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C2DC6">
      <w:pPr>
        <w:pStyle w:val="4"/>
        <w:snapToGrid w:val="0"/>
        <w:spacing w:before="319" w:beforeLines="100" w:after="319" w:afterLines="100" w:line="360" w:lineRule="auto"/>
        <w:rPr>
          <w:rFonts w:hint="eastAsia" w:ascii="宋体" w:hAnsi="宋体" w:eastAsia="宋体" w:cs="宋体"/>
          <w:color w:val="auto"/>
          <w:lang w:eastAsia="zh-CN"/>
        </w:rPr>
      </w:pPr>
      <w:r>
        <w:rPr>
          <w:rFonts w:hint="eastAsia" w:ascii="宋体" w:hAnsi="宋体" w:eastAsia="宋体" w:cs="宋体"/>
          <w:color w:val="auto"/>
        </w:rPr>
        <w:t>服务</w:t>
      </w:r>
      <w:r>
        <w:rPr>
          <w:rFonts w:hint="eastAsia" w:ascii="宋体" w:hAnsi="宋体" w:eastAsia="宋体" w:cs="宋体"/>
          <w:color w:val="auto"/>
          <w:lang w:val="en-US" w:eastAsia="zh-CN"/>
        </w:rPr>
        <w:t>要求</w:t>
      </w:r>
    </w:p>
    <w:p w14:paraId="3FDE7EE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val="en-US" w:eastAsia="zh-CN"/>
        </w:rPr>
        <w:t>配送地点</w:t>
      </w:r>
    </w:p>
    <w:p w14:paraId="093C4E2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重庆市万州区东北部数智运维中心基地食堂。</w:t>
      </w:r>
      <w:r>
        <w:rPr>
          <w:rFonts w:hint="eastAsia" w:ascii="宋体" w:hAnsi="宋体" w:eastAsia="宋体" w:cs="宋体"/>
          <w:sz w:val="24"/>
          <w:szCs w:val="24"/>
        </w:rPr>
        <w:t>采购的具体数量和品种需根据当天的实际发生数量确定。</w:t>
      </w:r>
    </w:p>
    <w:p w14:paraId="3527AFA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二、服务需求：</w:t>
      </w:r>
    </w:p>
    <w:p w14:paraId="3187E91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（一）基本要求：</w:t>
      </w:r>
    </w:p>
    <w:p w14:paraId="26FC2845">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中标人</w:t>
      </w:r>
      <w:r>
        <w:rPr>
          <w:rFonts w:hint="eastAsia" w:ascii="宋体" w:hAnsi="宋体" w:eastAsia="宋体" w:cs="宋体"/>
          <w:sz w:val="24"/>
          <w:szCs w:val="24"/>
        </w:rPr>
        <w:t>所供食材必须符合《中华人民共和国食品卫生法》</w:t>
      </w:r>
      <w:r>
        <w:rPr>
          <w:rFonts w:hint="eastAsia" w:ascii="宋体" w:hAnsi="宋体" w:eastAsia="宋体" w:cs="宋体"/>
          <w:sz w:val="24"/>
          <w:szCs w:val="24"/>
          <w:lang w:eastAsia="zh-CN"/>
        </w:rPr>
        <w:t>、</w:t>
      </w:r>
      <w:r>
        <w:rPr>
          <w:rFonts w:hint="eastAsia" w:ascii="宋体" w:hAnsi="宋体" w:eastAsia="宋体" w:cs="宋体"/>
          <w:sz w:val="24"/>
          <w:szCs w:val="24"/>
        </w:rPr>
        <w:t>《中华人民共和国食品安全法》等国家行业生产及经营标准，食材包装标签应符合《食品安全国家标准预包装食品标签通则》（GB7718）要求，包括食品名称、配料表、净含量、规格、生产者（或）经销者的名称、地址和联系方式、生产日期和保质期、贮存条件、食品生产许可证编号、产品标准代号等内容，标签上附有产地、食品安全等溯源信息。</w:t>
      </w:r>
    </w:p>
    <w:p w14:paraId="32F1EF5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2.中标人负责食材的运输、质量检测等工作，并承担所产生的费用。</w:t>
      </w:r>
    </w:p>
    <w:p w14:paraId="36B9A19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3.中标人不得将中标项目转包、分包，否则采购人有权单方终止合同，由此产生的一切经济损失由中标人自行承担。</w:t>
      </w:r>
    </w:p>
    <w:p w14:paraId="5E0886BD">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中标人须接受采购人的月度考核，由采购人对食材配送质量、服务、价格等进行督导评议。中标人对评议结果有异议，可提出申诉并提供证据。对确有不合格之处，中标人应积极沟通、妥善解决、按期整改。累计 3 个月被评议为不合格的，采购人有权解除合同。</w:t>
      </w:r>
    </w:p>
    <w:p w14:paraId="321CAD90">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5.食材具体需求量以实际供应前一天采购人采购要求为准。采购金额以实际结算价为准。采购人在任何情况下均不保证中标人在采购周期内供应食材的具体金额，投标人须自行承担由此带来的任何风险。</w:t>
      </w:r>
    </w:p>
    <w:p w14:paraId="2536C2C0">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中标人须安排固定专人及配送员（配送人员须持有健康证）与采购人食堂管理员对接，及时处理解决如下单、加订、提前、延后、质量不符合、缺斤短两等实际问题，相关人员如无意外情况，一般不允许更换。同时做好配送人员的教育工作，遵守采购人相关规章制度，服从采购人管理。</w:t>
      </w:r>
    </w:p>
    <w:p w14:paraId="4B7CFD2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en-US" w:eastAsia="zh-CN"/>
        </w:rPr>
        <w:t>每日配送时间为早上7点，</w:t>
      </w:r>
      <w:r>
        <w:rPr>
          <w:rFonts w:hint="eastAsia" w:ascii="宋体" w:hAnsi="宋体" w:eastAsia="宋体" w:cs="宋体"/>
          <w:sz w:val="24"/>
          <w:szCs w:val="24"/>
        </w:rPr>
        <w:t>除不可抗力外，中标人不得因其他任何理由延迟配送。采购人如遇特殊情况需推迟配送，应提前通知中标人。因中标人原因延误配送的（采购人要求推迟的除外）， 采购人有权自行采购，并由中标人承担由此产生的一切损失和费用。</w:t>
      </w:r>
    </w:p>
    <w:p w14:paraId="14A82253">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8.中标人不得随意变更食材，应严格按招标要求（含商标、名称、产地、规格和重量等）配送，否则，采购人有权拒收。如因市场流通问题确实需要变更的，应书面向采购人申请。</w:t>
      </w:r>
    </w:p>
    <w:p w14:paraId="6FA46D2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中标人在实施食材配送期间，不得将配送的实际数量及地点泄露给其他企业或者个人，中标人必须指派相对固定的人员完成食材配送服务，并需将配送人员的详细资料报采购人备案，食材配送人员必须遵纪守法、品行良好。如需要更换配送人员，必须事先通知采购人并将其个人资料送采购人审批，审批合格者方可更换。</w:t>
      </w:r>
    </w:p>
    <w:p w14:paraId="32A3A3E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10.中标人必须保证所有食材的来源清晰明确，必须来源于受到政府部门监管的大型自有农地、商品菜基地或蔬菜专业流通市场，有农产品质量追溯系统，并实行产品溯源管理，严禁收购散户农民的蔬菜供应。</w:t>
      </w:r>
    </w:p>
    <w:p w14:paraId="07003B1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（二）配送要求：</w:t>
      </w:r>
    </w:p>
    <w:p w14:paraId="460ADFE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配送计划：采购人按需求制定食材配送计划，于一日前将次日食材配送计划通过书面订单、电话（需做好记录）、微信或其他方式通知中标人。若食材配送计划没有即时送达或出现错误时，中标人有义务主动提醒或通知采购人。中标人根据采购人每天提供的食材配送计划，及时组织筹措和加工，确保按规定的品种、数量、质量配送。</w:t>
      </w:r>
      <w:r>
        <w:rPr>
          <w:rFonts w:hint="eastAsia" w:ascii="宋体" w:hAnsi="宋体" w:eastAsia="宋体" w:cs="宋体"/>
          <w:sz w:val="24"/>
          <w:szCs w:val="24"/>
          <w:lang w:val="en-US" w:eastAsia="zh-CN"/>
        </w:rPr>
        <w:t>每日配送时间为早上7点。</w:t>
      </w:r>
      <w:r>
        <w:rPr>
          <w:rFonts w:hint="eastAsia" w:ascii="宋体" w:hAnsi="宋体" w:eastAsia="宋体" w:cs="宋体"/>
          <w:sz w:val="24"/>
          <w:szCs w:val="24"/>
        </w:rPr>
        <w:t>如需要更换配送品种时，须经采购人同意方可施行。中标人配送时需提供注明食材名称、单位、数量、售价及总金额的食材配送清单交于采购人管理员验收无误后签字确认，作为双方验收凭证，同时中标人每日需要提供配送食材的动、植物食品检验检疫报告。</w:t>
      </w:r>
    </w:p>
    <w:p w14:paraId="24968C9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配送时间：根据采购人需求定期配送。遇采购人有特殊情况时，需要提前开餐或临时增加食材品种和数量，采购人应提前2小时将订单通知中标人，中标人应及时调整送货时间，并确保在收到通知后2小时左右送达。如遇不可抗力货物不能按时送达， 需与采购人食堂管理人员沟通解决。</w:t>
      </w:r>
    </w:p>
    <w:p w14:paraId="112FC57A">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运输要求：必须采用符合卫生标准的外包装和运载工具，并且要保持清洁和每日消毒。运输车厢内仓应使用抗腐蚀、防潮、易清洁消毒的材料。车厢内无不良气味、异味。食材堆放科学合理，避免造成交叉污染。</w:t>
      </w:r>
    </w:p>
    <w:p w14:paraId="15819123">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（三）质量要求：</w:t>
      </w:r>
    </w:p>
    <w:p w14:paraId="6BEB945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食材应当符合国家或行业标准，并应出示质量检测书及来源，有保质期限的食材剩余保存期不得少于原有保质期的三分之二。</w:t>
      </w:r>
    </w:p>
    <w:p w14:paraId="5BED635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（四）包装要求：</w:t>
      </w:r>
    </w:p>
    <w:p w14:paraId="48A0746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食材包装应完好无破漏，无腐败霉变或影响使用的情况，不存在危及人身、财产安全的不合理危险。</w:t>
      </w:r>
    </w:p>
    <w:p w14:paraId="24E5F07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（五）验收流程：</w:t>
      </w:r>
    </w:p>
    <w:p w14:paraId="3871D04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按招标文件规定的食材质量要求对食材质量进行核查，食材应清洁，无损伤、腐烂现象，外包装完整，无寄生虫或已受虫害现象。按索票--验证--抽查--计数--入库的程序完成验收，中标人要提供原件，原件只有一份又无法提供给采购人的，查验原件后，索取复印件留存。</w:t>
      </w:r>
    </w:p>
    <w:p w14:paraId="19F8B3B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rPr>
        <w:t>2.</w:t>
      </w:r>
      <w:r>
        <w:rPr>
          <w:rFonts w:hint="eastAsia" w:ascii="宋体" w:hAnsi="宋体" w:eastAsia="宋体" w:cs="宋体"/>
          <w:sz w:val="24"/>
          <w:szCs w:val="24"/>
          <w:highlight w:val="none"/>
        </w:rPr>
        <w:t>每批次每种食材均100%验收。如发现食材有损坏、重量不足等情况，应在相关单据上记录所有损坏情况并拍照留存。采购人验收人员应和中标人送货人员一起确认，并保留双方签字单据。</w:t>
      </w:r>
    </w:p>
    <w:p w14:paraId="19A9013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（六）检查发现问题的处理：</w:t>
      </w:r>
    </w:p>
    <w:p w14:paraId="0602C4B3">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1.对危及人身安全的食材质量问题，一经发现，当日所送同批次食材全部退货。</w:t>
      </w:r>
    </w:p>
    <w:p w14:paraId="6153B33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2.若抽查未发现问题，而在加工食用前发现部分食材存在质量问题，应立即通知中标人，对问题食材做退货处理。</w:t>
      </w:r>
    </w:p>
    <w:p w14:paraId="742148E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3.当日送达食材出现质量不达标、缺斤少两、配送错误等问题（若双方对质量或重量有争议，可送具有检验资质的部门检测，同时留样备检），由中标人负责在 30～</w:t>
      </w:r>
      <w:r>
        <w:rPr>
          <w:rFonts w:hint="eastAsia" w:ascii="宋体" w:hAnsi="宋体" w:eastAsia="宋体" w:cs="宋体"/>
          <w:sz w:val="24"/>
          <w:szCs w:val="24"/>
          <w:lang w:val="en-US" w:eastAsia="zh-CN"/>
        </w:rPr>
        <w:t>60</w:t>
      </w:r>
      <w:r>
        <w:rPr>
          <w:rFonts w:hint="eastAsia" w:ascii="宋体" w:hAnsi="宋体" w:eastAsia="宋体" w:cs="宋体"/>
          <w:sz w:val="24"/>
          <w:szCs w:val="24"/>
        </w:rPr>
        <w:t xml:space="preserve"> 分钟之内补换货，包换或包退，并承担因此而产生的一切费用。在退货过程中，对有碍公共卫生安全的食品，应按</w:t>
      </w:r>
      <w:r>
        <w:rPr>
          <w:rFonts w:hint="eastAsia" w:ascii="宋体" w:hAnsi="宋体" w:eastAsia="宋体" w:cs="宋体"/>
          <w:sz w:val="24"/>
          <w:szCs w:val="24"/>
          <w:lang w:val="en-US" w:eastAsia="zh-CN"/>
        </w:rPr>
        <w:t>国</w:t>
      </w:r>
      <w:r>
        <w:rPr>
          <w:rFonts w:hint="eastAsia" w:ascii="宋体" w:hAnsi="宋体" w:eastAsia="宋体" w:cs="宋体"/>
          <w:sz w:val="24"/>
          <w:szCs w:val="24"/>
        </w:rPr>
        <w:t>家有关规定处理或进行协议销毁，不再退货给中标人。</w:t>
      </w:r>
    </w:p>
    <w:p w14:paraId="573DD60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4.中标人未能履行招标文件和合同所定事项，或配送不合格、假冒伪劣、以次充好的食材，采购人将记录在案，除要承担因此产生的一切损失和费用外，可取消其配送资格。</w:t>
      </w:r>
    </w:p>
    <w:p w14:paraId="3C9D8740">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w:t>
      </w:r>
      <w:r>
        <w:rPr>
          <w:rFonts w:hint="eastAsia" w:ascii="宋体" w:hAnsi="宋体" w:eastAsia="宋体" w:cs="宋体"/>
          <w:sz w:val="24"/>
          <w:szCs w:val="24"/>
        </w:rPr>
        <w:t>七</w:t>
      </w:r>
      <w:r>
        <w:rPr>
          <w:rFonts w:hint="eastAsia" w:ascii="宋体" w:hAnsi="宋体" w:eastAsia="宋体" w:cs="宋体"/>
          <w:sz w:val="24"/>
          <w:szCs w:val="24"/>
          <w:lang w:val="zh-CN"/>
        </w:rPr>
        <w:t>）食材分类质量要求(包含但不限于下列品种)：</w:t>
      </w:r>
    </w:p>
    <w:p w14:paraId="1AC041F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1.总体要求</w:t>
      </w:r>
    </w:p>
    <w:p w14:paraId="6FA41BCA">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 供货质量严格按照《中华人民共和国食品安全法》、行业有关规定、招标文件质量要求执行，产品符合国家食品卫生标准、动物检验检疫合格标准。</w:t>
      </w:r>
    </w:p>
    <w:p w14:paraId="15A992B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 中标人所供应食材应符合GB 2762-2022《食品安全国家标准食品中污染物限量》、GB 2761-2017《食品安全国家标准食品中真菌毒素限量》及其他国家相关强制性标准与要求，质量应符合国家现行相关标准与要求，国家有出台新标准、更高标准时，以新标准、更高标准为准，中标人保证所供产品配送到指定地点时的数量(重量)、质量、卫生和安全。</w:t>
      </w:r>
    </w:p>
    <w:p w14:paraId="0081E02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 全部食品、食材禁止使用含有瘦肉精、兴奋剂的添加剂，中标人应完全尊重采购人的要求以及行业惯例和要求，确保所供应食品中不出现违禁添加剂。</w:t>
      </w:r>
    </w:p>
    <w:p w14:paraId="03B480F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畜禽肉类产品质量要求</w:t>
      </w:r>
    </w:p>
    <w:p w14:paraId="3B458140">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 所有配送的畜禽类产品应严格执行兽医检疫制度，屠宰和加工企业符合国家食品安全、卫生操作规范相关标准鲜肉是当日凌晨屠宰、清晨上市，未经直接冷却处理的产品，屠宰至开始配送时间一般不超过4个小时，运输环境温度保持在0℃-4℃，湿度控制在80%-90%的热鲜肉</w:t>
      </w:r>
      <w:r>
        <w:rPr>
          <w:rFonts w:hint="eastAsia" w:ascii="宋体" w:hAnsi="宋体" w:eastAsia="宋体" w:cs="宋体"/>
          <w:sz w:val="24"/>
          <w:szCs w:val="24"/>
          <w:lang w:eastAsia="zh-CN"/>
        </w:rPr>
        <w:t>。</w:t>
      </w:r>
      <w:r>
        <w:rPr>
          <w:rFonts w:hint="eastAsia" w:ascii="宋体" w:hAnsi="宋体" w:eastAsia="宋体" w:cs="宋体"/>
          <w:sz w:val="24"/>
          <w:szCs w:val="24"/>
        </w:rPr>
        <w:t>鲜肉肌体鲜红、色泽明亮、肉质紧密。</w:t>
      </w:r>
    </w:p>
    <w:p w14:paraId="092D1DE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猪肉质量要求：猪肉必须是去头、蹄、肚杂的鲜猪肉，新鲜无异味，不得有病猪、死猪、公母种猪肉。应具有有效的动物检疫(或检测)合格证明并加盖动物产品检疫(或检测)合格验讫印章，以及生猪定点屠宰场加盖的肉品品质检验合格验讫印章、出具的肉品品质检验合格证。产品标准符合：GB/T 9959.2-2008《分割鲜、冻猪瘦肉》或GB/T 9959.1-2019《鲜、冻猪肉及猪副产品 第1部分：片猪肉》。</w:t>
      </w:r>
    </w:p>
    <w:p w14:paraId="2237AA15">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 GB 31650-2019《食品安全国家标准 食品中兽药最大残留限量》和GB 31650.1-2022《食品安全国家标准 食品中41种兽药最大残留限量》要求，且肉食品需新鲜无质变。</w:t>
      </w:r>
    </w:p>
    <w:p w14:paraId="6301169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 牛、羊、兔、禽其它家畜、家禽应来源于正规供应渠道的新鲜产品，有当日动物产品检疫(或检测)合格证明或出县境动物产品检疫(或检测)合格证明，鸡、鸭、鹅、兔必须是去毛、去肠肚的整只。</w:t>
      </w:r>
    </w:p>
    <w:p w14:paraId="491D286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熟肉制品质量要求</w:t>
      </w:r>
    </w:p>
    <w:p w14:paraId="2CE187D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 所有熟肉制品应使用新鲜食材制作，并符合GB 29921-2021《食品安全国家标准 预包装食品中致病菌限量》、GB 31607-2021《食品安全国家标准 散装即食食品中致病菌限量》要求。防腐剂类检测、工业染料检测、氯霉素检测、动物源性成分检测均应符合国家最新有关强制性标准。</w:t>
      </w:r>
    </w:p>
    <w:p w14:paraId="250FD80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3.2 熟肉制品是指以鲜畜禽肉为主要原料，经选料、修整、腌制、调味、成型、熟化和包装工艺制成的肉类加工食品。</w:t>
      </w:r>
    </w:p>
    <w:p w14:paraId="18F4D0B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4.水产品、水产制品质量要求</w:t>
      </w:r>
    </w:p>
    <w:p w14:paraId="5BBB73A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4.1鲜冻水产品、水产制品卫生标准符合现行GB 2733-2015《食品安全国家标准鲜、冻动物性水产品》，水产制品符合现行GB 10136-2015《食品安全国家标准动物性水产制品》的要求、水产品及制品均须符合GB 31650-2019《食品安全国家标准食品中兽药最大残留限量》、GB 31650.1-2022《食品安全国家标准 食品中41种兽药最大残留限量》；水产品鲜品要求个体完整、体表卫生洁净且无伤痕，如鱼产品眼球饱满、腮丝清晰鲜红、粘液透明有光泽；冷冻水产品应保持新鲜，外观完整无破损、无变形、无腐烂、无异色、无异味、无杂质现象，冰衣无明显融化，解冻后无软化、无汁液渗出。水产干制品符合动物性水产干制品卫生标准，应清洁整齐，无异物、无霉变和变质现象，包装完整、无渗漏现象。</w:t>
      </w:r>
    </w:p>
    <w:p w14:paraId="075BB04D">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4.2食材应按品类分筐、分色区冷链分配送，每一品类固定颜色配送。应符合相关卫生要求，做到每日清洗、消毒并做好消毒记录。符合GB/T 36192-2018《活水产品运输技术规范》。</w:t>
      </w:r>
    </w:p>
    <w:p w14:paraId="17A4EA0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 配送的鱼应为活鱼，现杀（去鳞、去内脏），及时配送保证肉质新鲜。</w:t>
      </w:r>
    </w:p>
    <w:p w14:paraId="0ACA3CF5">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5.蔬菜质量要求</w:t>
      </w:r>
    </w:p>
    <w:p w14:paraId="1A65460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5.1 蔬菜类产品农药残留符合GB 2763-2021《食品安全国家标准 食品中农药最大残留限量》和GB 2763.1-2022《食品安全国家标准 食品中2,4-滴丁酸钠盐等112种农药最大残留限量》要求，配送时提供具有农药、杀虫剂残留检测合格的报告。</w:t>
      </w:r>
    </w:p>
    <w:p w14:paraId="176E4DF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 蔬菜产品必须新鲜，保证无黄叶、枯死叶、无虫、无杂质，当日供应，原菜须保证菜面干净、无明显泥土、码放整齐、无破损、不得过熟或欠熟；净菜须保证菜面完全干净、无泥土、按统一标准加工、码放整齐，并按相关规定配送前采样送检。</w:t>
      </w:r>
    </w:p>
    <w:p w14:paraId="372B0F0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5.4 水果品种：苹果、梨子、草莓、香蕉、西瓜、香瓜</w:t>
      </w:r>
      <w:r>
        <w:rPr>
          <w:rFonts w:hint="eastAsia" w:ascii="宋体" w:hAnsi="宋体" w:eastAsia="宋体" w:cs="宋体"/>
          <w:sz w:val="24"/>
          <w:szCs w:val="24"/>
          <w:lang w:val="en-US" w:eastAsia="zh-CN"/>
        </w:rPr>
        <w:t>等</w:t>
      </w:r>
      <w:r>
        <w:rPr>
          <w:rFonts w:hint="eastAsia" w:ascii="宋体" w:hAnsi="宋体" w:eastAsia="宋体" w:cs="宋体"/>
          <w:sz w:val="24"/>
          <w:szCs w:val="24"/>
        </w:rPr>
        <w:t>时令新鲜水果。</w:t>
      </w:r>
    </w:p>
    <w:p w14:paraId="7FBE597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硬水果：</w:t>
      </w:r>
      <w:r>
        <w:rPr>
          <w:rFonts w:hint="eastAsia" w:ascii="宋体" w:hAnsi="宋体" w:eastAsia="宋体" w:cs="宋体"/>
          <w:sz w:val="24"/>
          <w:szCs w:val="24"/>
          <w:lang w:val="en-US" w:eastAsia="zh-CN"/>
        </w:rPr>
        <w:t>如</w:t>
      </w:r>
      <w:r>
        <w:rPr>
          <w:rFonts w:hint="eastAsia" w:ascii="宋体" w:hAnsi="宋体" w:eastAsia="宋体" w:cs="宋体"/>
          <w:sz w:val="24"/>
          <w:szCs w:val="24"/>
        </w:rPr>
        <w:t>苹果、梨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桃子</w:t>
      </w:r>
      <w:r>
        <w:rPr>
          <w:rFonts w:hint="eastAsia" w:ascii="宋体" w:hAnsi="宋体" w:eastAsia="宋体" w:cs="宋体"/>
          <w:sz w:val="24"/>
          <w:szCs w:val="24"/>
        </w:rPr>
        <w:t>等，不能有虫眼、碰伤、花斑，</w:t>
      </w:r>
      <w:r>
        <w:rPr>
          <w:rFonts w:hint="eastAsia" w:ascii="宋体" w:hAnsi="宋体" w:eastAsia="宋体" w:cs="宋体"/>
          <w:sz w:val="24"/>
          <w:szCs w:val="24"/>
          <w:lang w:val="en-US" w:eastAsia="zh-CN"/>
        </w:rPr>
        <w:t>无</w:t>
      </w:r>
      <w:r>
        <w:rPr>
          <w:rFonts w:hint="eastAsia" w:ascii="宋体" w:hAnsi="宋体" w:eastAsia="宋体" w:cs="宋体"/>
          <w:sz w:val="24"/>
          <w:szCs w:val="24"/>
        </w:rPr>
        <w:t>残留有害化学物</w:t>
      </w:r>
      <w:r>
        <w:rPr>
          <w:rFonts w:hint="eastAsia" w:ascii="宋体" w:hAnsi="宋体" w:eastAsia="宋体" w:cs="宋体"/>
          <w:sz w:val="24"/>
          <w:szCs w:val="24"/>
          <w:lang w:eastAsia="zh-CN"/>
        </w:rPr>
        <w:t>。</w:t>
      </w:r>
    </w:p>
    <w:p w14:paraId="622DFE3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软水果：如提子、</w:t>
      </w:r>
      <w:r>
        <w:rPr>
          <w:rFonts w:hint="eastAsia" w:ascii="宋体" w:hAnsi="宋体" w:eastAsia="宋体" w:cs="宋体"/>
          <w:sz w:val="24"/>
          <w:szCs w:val="24"/>
          <w:lang w:val="en-US" w:eastAsia="zh-CN"/>
        </w:rPr>
        <w:t>香蕉</w:t>
      </w:r>
      <w:r>
        <w:rPr>
          <w:rFonts w:hint="eastAsia" w:ascii="宋体" w:hAnsi="宋体" w:eastAsia="宋体" w:cs="宋体"/>
          <w:sz w:val="24"/>
          <w:szCs w:val="24"/>
        </w:rPr>
        <w:t>等</w:t>
      </w:r>
      <w:r>
        <w:rPr>
          <w:rFonts w:hint="eastAsia" w:ascii="宋体" w:hAnsi="宋体" w:eastAsia="宋体" w:cs="宋体"/>
          <w:sz w:val="24"/>
          <w:szCs w:val="24"/>
          <w:lang w:val="en-US" w:eastAsia="zh-CN"/>
        </w:rPr>
        <w:t>无</w:t>
      </w:r>
      <w:r>
        <w:rPr>
          <w:rFonts w:hint="eastAsia" w:ascii="宋体" w:hAnsi="宋体" w:eastAsia="宋体" w:cs="宋体"/>
          <w:sz w:val="24"/>
          <w:szCs w:val="24"/>
        </w:rPr>
        <w:t>枯烂、</w:t>
      </w:r>
      <w:r>
        <w:rPr>
          <w:rFonts w:hint="eastAsia" w:ascii="宋体" w:hAnsi="宋体" w:eastAsia="宋体" w:cs="宋体"/>
          <w:sz w:val="24"/>
          <w:szCs w:val="24"/>
          <w:lang w:val="en-US" w:eastAsia="zh-CN"/>
        </w:rPr>
        <w:t>无</w:t>
      </w:r>
      <w:r>
        <w:rPr>
          <w:rFonts w:hint="eastAsia" w:ascii="宋体" w:hAnsi="宋体" w:eastAsia="宋体" w:cs="宋体"/>
          <w:sz w:val="24"/>
          <w:szCs w:val="24"/>
        </w:rPr>
        <w:t>出水、</w:t>
      </w:r>
      <w:r>
        <w:rPr>
          <w:rFonts w:hint="eastAsia" w:ascii="宋体" w:hAnsi="宋体" w:eastAsia="宋体" w:cs="宋体"/>
          <w:sz w:val="24"/>
          <w:szCs w:val="24"/>
          <w:lang w:val="en-US" w:eastAsia="zh-CN"/>
        </w:rPr>
        <w:t>无</w:t>
      </w:r>
      <w:r>
        <w:rPr>
          <w:rFonts w:hint="eastAsia" w:ascii="宋体" w:hAnsi="宋体" w:eastAsia="宋体" w:cs="宋体"/>
          <w:sz w:val="24"/>
          <w:szCs w:val="24"/>
        </w:rPr>
        <w:t>霉变。</w:t>
      </w:r>
    </w:p>
    <w:p w14:paraId="75AC8C49">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瓜类：甜瓜、西瓜等不能太生，</w:t>
      </w:r>
      <w:r>
        <w:rPr>
          <w:rFonts w:hint="eastAsia" w:ascii="宋体" w:hAnsi="宋体" w:eastAsia="宋体" w:cs="宋体"/>
          <w:sz w:val="24"/>
          <w:szCs w:val="24"/>
          <w:lang w:val="en-US" w:eastAsia="zh-CN"/>
        </w:rPr>
        <w:t>无</w:t>
      </w:r>
      <w:r>
        <w:rPr>
          <w:rFonts w:hint="eastAsia" w:ascii="宋体" w:hAnsi="宋体" w:eastAsia="宋体" w:cs="宋体"/>
          <w:sz w:val="24"/>
          <w:szCs w:val="24"/>
        </w:rPr>
        <w:t>压伤，</w:t>
      </w:r>
      <w:r>
        <w:rPr>
          <w:rFonts w:hint="eastAsia" w:ascii="宋体" w:hAnsi="宋体" w:eastAsia="宋体" w:cs="宋体"/>
          <w:sz w:val="24"/>
          <w:szCs w:val="24"/>
          <w:lang w:val="en-US" w:eastAsia="zh-CN"/>
        </w:rPr>
        <w:t>无</w:t>
      </w:r>
      <w:r>
        <w:rPr>
          <w:rFonts w:hint="eastAsia" w:ascii="宋体" w:hAnsi="宋体" w:eastAsia="宋体" w:cs="宋体"/>
          <w:sz w:val="24"/>
          <w:szCs w:val="24"/>
        </w:rPr>
        <w:t>变色、</w:t>
      </w:r>
      <w:r>
        <w:rPr>
          <w:rFonts w:hint="eastAsia" w:ascii="宋体" w:hAnsi="宋体" w:eastAsia="宋体" w:cs="宋体"/>
          <w:sz w:val="24"/>
          <w:szCs w:val="24"/>
          <w:lang w:val="en-US" w:eastAsia="zh-CN"/>
        </w:rPr>
        <w:t>无</w:t>
      </w:r>
      <w:r>
        <w:rPr>
          <w:rFonts w:hint="eastAsia" w:ascii="宋体" w:hAnsi="宋体" w:eastAsia="宋体" w:cs="宋体"/>
          <w:sz w:val="24"/>
          <w:szCs w:val="24"/>
        </w:rPr>
        <w:t>变味和腐烂。</w:t>
      </w:r>
    </w:p>
    <w:p w14:paraId="36C7A7F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 米面食品质量要求</w:t>
      </w:r>
    </w:p>
    <w:p w14:paraId="2BF1573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6.1 食品是指以米、面、杂粮为主要原料，以肉类、蔬菜为辅料，经加工制成各类烹制或未烹制的主食品后，立即采用速冻工艺制成并可以在冻结条件下运输储存及销售的各类主食品，如速冻饺子、速冻汤圆。</w:t>
      </w:r>
    </w:p>
    <w:p w14:paraId="3AD6E24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(1)原料要求：速冻食品的原料应符合国家规定的食品安全标准，不得含有对人体有害的物质。</w:t>
      </w:r>
    </w:p>
    <w:p w14:paraId="2D17D5F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(2)外观和质地要求：速冻食品的外观和质地应符合产品标准要求，不得有变质、腐败、 霉变、虫蛀异常情况。</w:t>
      </w:r>
    </w:p>
    <w:p w14:paraId="11AEDBE9">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(3)加工工艺要求：速冻食品的加工工艺应符合食品卫生要求，包括清洁、消毒、防止交叉污染。</w:t>
      </w:r>
    </w:p>
    <w:p w14:paraId="156DE71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(4)包装材料要求：速冻食品的包装材料应符合国家有关标准，能够保护食品的质量和安全。</w:t>
      </w:r>
    </w:p>
    <w:p w14:paraId="733B91D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(5)标签和标识要求：速冻食品的标签和标识应包括产品名称、原料、保质期、生产日期、生产厂家信息，且应明确显示产品需要在-18℃以下冷冻保存。</w:t>
      </w:r>
    </w:p>
    <w:p w14:paraId="06774C8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(6)微生物限量要求：按照GB 29921-2021《食品安全国家标准 预包装食品中病菌限量》标准执行。</w:t>
      </w:r>
    </w:p>
    <w:p w14:paraId="50084339">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 食用菌类质量要求</w:t>
      </w:r>
    </w:p>
    <w:p w14:paraId="2D683F3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7.1 食用菌及其制品应符合GB 7096-2014《食品安全国家标准 食用菌及其制品》要求。</w:t>
      </w:r>
    </w:p>
    <w:p w14:paraId="347CE57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7.2 食用菌及其制品应菌种纯正，无杂菌污染，菌丝有光泽，生长均匀整齐，连接成块，既有弹性，菌丝粗壮，菌龄适宜，菌丝不老化变色，无吐黄水现象，无原基和菌菇形成。</w:t>
      </w:r>
    </w:p>
    <w:p w14:paraId="7875D62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 乳制品质量要求</w:t>
      </w:r>
    </w:p>
    <w:p w14:paraId="56B4EC9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8.1 符合国家质量安全检验标准、随货有该批次产品质量检测合格证、包装完好无损、外观无霉变、无斑点、无腐烂变质，有该物品独有的气味、无异味。有效期在保质期二分之一天数之内，凭出厂合格证与检验员章确认质量，具有相关产品检验报告，有SC标记(食品生产许可证编号)。</w:t>
      </w:r>
    </w:p>
    <w:p w14:paraId="1DFE999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8.2 符合食品安全标准，具体如下：</w:t>
      </w:r>
    </w:p>
    <w:p w14:paraId="01B3DF8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(1)纯乳制品以生牛乳为原料，符合 GB 25190-2010《食品安全国家标准 灭菌乳》或GB25191-2010《食品安全国家标准 调制乳》或GB 19302-2010《食品安全国家标准 发酵乳》国家标准。色泽：呈均匀一致的乳白色，或微黄色。气味：具有牛乳固有的滋味和气味，无异味。 组织状态：均匀的液体，无凝块，无粘稠现象。</w:t>
      </w:r>
    </w:p>
    <w:p w14:paraId="67D64CA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(2)调味奶以不低于80%的生牛乳为源料生产，符合GB 25191-2010《食品安全国家标准 调制乳》国家标准。色泽：呈均匀一致的乳白色或具有调味乳应有的色泽。气味：具有调味乳 应有的滋味和气味。组织状态；均匀的液体，无凝块，无粘稠现象。</w:t>
      </w:r>
    </w:p>
    <w:p w14:paraId="243F1B1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9.谷物细粉质量要求</w:t>
      </w:r>
    </w:p>
    <w:p w14:paraId="73B4F79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9.1小麦粉质量标准：精制粉。</w:t>
      </w:r>
    </w:p>
    <w:p w14:paraId="3E35A00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面粉色泽呈白色或微黄色，手捻捏时呈细粉末状，置于手中紧捏后放开不成团。无异味。用手摸取时，手心有较大的凉爽感，握紧时成团。味道淡而微甜。</w:t>
      </w:r>
    </w:p>
    <w:p w14:paraId="0CEBD91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加工精度按实物标准样品对照检验粉麸色泽，水分≤14.0%，灰分≤0.70%，粗细度全通过CB36号筛，留存CB42号筛的不超过10.0%，面筋质(以湿度计)≥26.0%，脂肪酸值(以湿基计)≤80%，磁性金属场(g/Kg)≤0.003g/Kg，含砂量≤0.02，色泽、气味、口味正常。</w:t>
      </w:r>
    </w:p>
    <w:p w14:paraId="651615B5">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9.2 糯米粉质量标准：</w:t>
      </w:r>
    </w:p>
    <w:p w14:paraId="53F5B5C9">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峰值黏度：1级≥600BU，2级≥400BU，3级≥200BU，4级＜200BU；</w:t>
      </w:r>
    </w:p>
    <w:p w14:paraId="3F2CA5F9">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糊化温度：1级≤65℃，2级≤65℃，3级≤66℃，4级＞66℃；</w:t>
      </w:r>
    </w:p>
    <w:p w14:paraId="51B4DFA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灰分：1、2级≤0.4%，3、4级≤0.6%；</w:t>
      </w:r>
    </w:p>
    <w:p w14:paraId="4636845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细度：1、2级≥99%，3、4级≥95%；</w:t>
      </w:r>
    </w:p>
    <w:p w14:paraId="24C7F370">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白度：1、2级≥88%，3、4级≥86%；</w:t>
      </w:r>
    </w:p>
    <w:p w14:paraId="4D37714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斑点/(个/cm2):1、2级≤4%，3、4级≤6%；</w:t>
      </w:r>
    </w:p>
    <w:p w14:paraId="6D707FB3">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直链淀粉含量≤4%；</w:t>
      </w:r>
    </w:p>
    <w:p w14:paraId="6ED264E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含砂量≤0.02%；</w:t>
      </w:r>
    </w:p>
    <w:p w14:paraId="2FCF6063">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磁性金属物含量≤0.003(g/kg)。</w:t>
      </w:r>
    </w:p>
    <w:p w14:paraId="10CBA9A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9.3 玉米粉质量标准：</w:t>
      </w:r>
    </w:p>
    <w:p w14:paraId="1B51440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粒度：细面不超过75um；含水率：不超过14%；水解发米率：不低于90%；</w:t>
      </w:r>
    </w:p>
    <w:p w14:paraId="08FCB8FD">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破解率：＜4.5%；表观粒度：3mm-8mm；甜度：不超过11-12%。</w:t>
      </w:r>
    </w:p>
    <w:p w14:paraId="0D5670C3">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9.4 澄面粉质量标准：</w:t>
      </w:r>
    </w:p>
    <w:p w14:paraId="6ECFD313">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有生产许可证编号，标签上的内容齐全，至少包括：商品名称、配料表、质量等级、净含量、厂名、厂址、生产日期、保质期。</w:t>
      </w:r>
    </w:p>
    <w:p w14:paraId="446EEC9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色泽鲜而白，杂质少，无异味；用手搓捏袋中澄面粉，能听到比较大的“咔咔”声，不能含有滑石粉、小麦面粉或玉米面粉；用手抓半把澄面粉，用手紧握，松手能散，用拇指和食指捏一点澄粉粉末，反复搓捻感受光滑细腻；取少量澄粉送入口中无异味，细嚼不牙碜。</w:t>
      </w:r>
    </w:p>
    <w:p w14:paraId="20B8E41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9.5 燕麦粉质量标准：</w:t>
      </w:r>
    </w:p>
    <w:p w14:paraId="08A657E0">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酸碱度：PH应在4.5-7.5之间；水不溶物：＜1.5%；灰分：＜1.5%；</w:t>
      </w:r>
    </w:p>
    <w:p w14:paraId="0DC428D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外观质量：外观要求光洁、圆整、质感细腻；水分：＜15%；</w:t>
      </w:r>
    </w:p>
    <w:p w14:paraId="60C515A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原料：应为高品质的燕麦，无杂质、病虫害或腐烂的痕迹；</w:t>
      </w:r>
    </w:p>
    <w:p w14:paraId="54799D6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无有害成分：粉末中不得含有有害物质，如汞、砷、石棉；</w:t>
      </w:r>
    </w:p>
    <w:p w14:paraId="50119D0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必须符合国家《食品安全国家标准》的规定。</w:t>
      </w:r>
    </w:p>
    <w:p w14:paraId="6E2EA15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9.6 每批货有效期：除已有要求外，其余货品到货验收之日起保质期剩余二分之一以上。</w:t>
      </w:r>
    </w:p>
    <w:p w14:paraId="763F73B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9.7 包装要求：用纤维袋或塑料袋定量包装，规格由双方协商确定，以便于运输存储使用为原则。包装标识清楚，如印有生产日期、保质期、生产厂家、电话。</w:t>
      </w:r>
    </w:p>
    <w:p w14:paraId="35853C7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9.8在供货期间，若采购人对中标人所供货物质量产生异议，送政府质量检测部门检验。如检验不合格，检验费由中标人承担，并依照合同承担责任。若发生类似情况两次以上，则采购人有权终止合同。</w:t>
      </w:r>
    </w:p>
    <w:p w14:paraId="0EAC36E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9.9 中标人在合同期内应切实做到，保质保量准时送货。凡所供货物的质量、品种、数量与要求不符时，采购人有权拒收，并由中标人承担由此造成的直接经济损失。</w:t>
      </w:r>
    </w:p>
    <w:p w14:paraId="6A1AA5B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10.植物油及其制品质量要求</w:t>
      </w:r>
    </w:p>
    <w:p w14:paraId="489BE733">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10.1为非转基因食用植物油，食品安全指标应符合GB 2716-2018《食品安全国家标准 植物油》的规定，包装应符合GB/T 17374-2008《食用植物油销售包装》及国家的有关规定和要求，并按国家有关规定标识，预包装原料为原公司(厂)生产的全新产品，符合国家相关规定的质量标准、环保标准、技术参数和规格要求，并达到采购人对食材的要求，特殊食品符合国家有关特殊标准和规定。不得提供假冒伪劣、有毒有害食品。</w:t>
      </w:r>
    </w:p>
    <w:p w14:paraId="5C0A716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10.2成品食用油应清澄透明，双手摩擦发热后，嗅无味，无哈喇味或刺激味。色泽鲜亮，无杂质、无沉淀物、无任何异味，经250℃加热油色不变黑，有预包装并应符合国家的有关规定和要求，有明确的计量。</w:t>
      </w:r>
    </w:p>
    <w:p w14:paraId="3079149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10.3每批货均需附第三方具有检测资质的质检机构出具的产品检验报告，配送时提供出厂合格证或出厂检验证。</w:t>
      </w:r>
    </w:p>
    <w:p w14:paraId="03C993E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10.4在供货期间，若采购人对中标人所供货物质量产生异议，送政府质量检测部门检验。如：检验不合格，检验费由中标人承担，并依照合同承担责任。若发生类似情况两次以上，则采购人有权中止合同。</w:t>
      </w:r>
    </w:p>
    <w:p w14:paraId="7EF5B0E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10.5中标人在合同期内应切实做到，保质保量准时送货。凡所供货物的质量、品种、数量与要求不符时，采购人有权拒收，并由中标人承担由此造成的直接经济损失。</w:t>
      </w:r>
    </w:p>
    <w:p w14:paraId="526CC6D0">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11.豆腐及豆制品质量要求</w:t>
      </w:r>
    </w:p>
    <w:p w14:paraId="5700525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 所有豆制品应符合GB 2712-2014《食品安全国家标准 豆制品》要求。</w:t>
      </w:r>
    </w:p>
    <w:p w14:paraId="3B19198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11.2 豆腐：颜色为淡黄色或白色；边角完整，不凹凸；口感细嫩，软硬适宜；醇香无杂质、无异味，有生产日期和生产厂家。</w:t>
      </w:r>
    </w:p>
    <w:p w14:paraId="099EBD8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12.禽蛋质量要求</w:t>
      </w:r>
    </w:p>
    <w:p w14:paraId="2270C2D3">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12.1质量标准：符合国家和行业标准。应有动物产品检疫(或检测)合格证明或出县境动物产品检疫(或检测)合格证明，外地禽蛋应有其所在地农业部门的检疫(或检测)合格证明或检疫  (或检测)验讫标识，禽蛋无机砷、铅、镉、总汞依据相关国家标准控制在安全范围，必须保 证新鲜、卫生、安全。</w:t>
      </w:r>
    </w:p>
    <w:p w14:paraId="415B9F4D">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12.2验收标准；按照GB 2749-2015《食品安全国家标准 蛋与蛋制品》标准执行。</w:t>
      </w:r>
    </w:p>
    <w:p w14:paraId="2D47FCB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12.3在供货期间，若采购人对中标人所供货物质量产生异议，送政府质量检测部门检验。如检验不合格，检验费由中标人承担，并依照合同承担责任。若发生类似情况两次以上，则采购人有权中止合同。</w:t>
      </w:r>
    </w:p>
    <w:p w14:paraId="653FAEB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12.4中标人在合同期内应切实做到保质保量准时送货。凡所供货物的质量、品种、数量与要求不符时，采购人有权拒收，并由中标人承担由此造成的直接经济损失。</w:t>
      </w:r>
    </w:p>
    <w:p w14:paraId="0DAF2A09">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13.干杂及调味品质量要求</w:t>
      </w:r>
    </w:p>
    <w:p w14:paraId="5352280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13.1产品的生产、经营、加工、存储、运输、包装、标签、质量应符合采购人要求、国家、地方、行业现行有效的规定、标准、规范。</w:t>
      </w:r>
    </w:p>
    <w:p w14:paraId="788845F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13.2酱油符合GB/T 18186-2000 《酿造酱油》的标准。</w:t>
      </w:r>
    </w:p>
    <w:p w14:paraId="19B8AAA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13.3食醋符合GB/T 18187-2000 《酿造食醋》的标准。</w:t>
      </w:r>
    </w:p>
    <w:p w14:paraId="2CA10310">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13.4食用盐符合GB/T 5461-2016 《食用盐》、QB/T 4510-2013《食盐小包装制作技术规范》、GB 14881-2013《食品安全国家标准食品生产通用卫生规范》的标准。</w:t>
      </w:r>
    </w:p>
    <w:p w14:paraId="04D85DF0">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13.5包装完整、无渗漏、无破损。</w:t>
      </w:r>
    </w:p>
    <w:p w14:paraId="0B2B94C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13.6外包装及标签应载明产品名称、厂名、厂址、配料表、质量等级、产地、生产日期、保质期、产品标准内容，且内容必须真实，符合国家法律法规规定。</w:t>
      </w:r>
    </w:p>
    <w:p w14:paraId="6F6A6C5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 其他质量要求</w:t>
      </w:r>
    </w:p>
    <w:p w14:paraId="37819AEE">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14.1 食品安全指标应符合相应食品安全国家标准的规定，分等分级的质量指标不低于国家有关食品质量标准的中位数水平，如质量或规格等级划分为 1、2、3、4、5 或大(L)、中(M)、小(S)的，应选择 1、2、3 或大(L)、中(M)等级。</w:t>
      </w:r>
    </w:p>
    <w:p w14:paraId="756B147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14.2 食品的包装应完整、清洁、无破损，包装有关食品名称、生产日期、保质期限、质量等级、生产经营者标识内容应与其内装物一致。预包装类食品原料应具有SC标记(食品生产许可证编号)。</w:t>
      </w:r>
    </w:p>
    <w:p w14:paraId="2F87E7A5">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14.3 本项目采购标的所涉及的其他强制性标准或规定，若上述内容未提及的，按国家有关强制性标准或规定内容执行。</w:t>
      </w:r>
    </w:p>
    <w:p w14:paraId="429A5A7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14.4 除上述已明确配送时间、保质期和检验检疫要求的食材外，其他食材送达时不得超过食材生产日期至保质期限日的1/3，（例如：食材保质期限为10天的，送达时间不能超过3天；食材保质期为6个月的，送达时间不能超过2个月，其他同理以此类推）。超过以上保质期规定送达的，采购人有权拒收并实施无条件退货。中标人必须随食材的配送，向采购人提供本批食材的符合国家食品卫生检疫法律法规的检疫检验证明，以备采购人登记存档或追溯、调研食材的来源及安全性。</w:t>
      </w:r>
    </w:p>
    <w:p w14:paraId="1E5F0B4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14.5 中标人所配送的货物符合国家食品安全标准，对于没有国家标准的应符合行业标准，其中国家有强制性技术标准要求的产品，还应符合国家强制性技术标准，确保配送的货物安全、卫生。配送时提供配送物品的检测报告或产品合格证明，具有动物检验检疫合格证明、“SC”食品质量认证标志。</w:t>
      </w:r>
    </w:p>
    <w:p w14:paraId="3BD3E5D1">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14.6 投标人所配送的猪肉生产厂家（或屠宰场）具有《生猪定点屠宰证》、《动物防疫条件合格证》，在取得中标资格后签订合同后提供猪肉生产厂家（或屠宰场）的《生猪定点屠宰证》、《动物防疫条件合格证》复印件。</w:t>
      </w:r>
    </w:p>
    <w:p w14:paraId="37AFB0BD">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菜品单价确定方式：</w:t>
      </w:r>
    </w:p>
    <w:p w14:paraId="70BA7083">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每月采价两次（上下半个月各一次），当月配送物资采价地为甲方所在地周边的新世纪超市或永辉超市等大型商超或农产品批发市场，（选用以上地点的现场执行价，如现场有优惠按就低不就高的原则选择优惠价执行，但临期商品特殊降价除外）。结算单价=甲、乙方共同采价的单价*折扣率。</w:t>
      </w:r>
    </w:p>
    <w:p w14:paraId="2074C9D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、考核标准</w:t>
      </w:r>
    </w:p>
    <w:p w14:paraId="371D2BB2">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（一）发生因中标人原因（包括但不限于食材质量问题等）导致的食物中毒或其他相关食品安全事故，</w:t>
      </w:r>
      <w:r>
        <w:rPr>
          <w:rFonts w:hint="eastAsia" w:ascii="宋体" w:hAnsi="宋体" w:eastAsia="宋体" w:cs="宋体"/>
          <w:sz w:val="24"/>
          <w:szCs w:val="24"/>
          <w:lang w:eastAsia="zh-CN"/>
        </w:rPr>
        <w:t>中标</w:t>
      </w:r>
      <w:r>
        <w:rPr>
          <w:rFonts w:hint="eastAsia" w:ascii="宋体" w:hAnsi="宋体" w:eastAsia="宋体" w:cs="宋体"/>
          <w:sz w:val="24"/>
          <w:szCs w:val="24"/>
        </w:rPr>
        <w:t>人除必须承担相关法律责任和相应的医疗费用外，采购人直接扣除</w:t>
      </w:r>
      <w:r>
        <w:rPr>
          <w:rFonts w:hint="eastAsia" w:ascii="宋体" w:hAnsi="宋体" w:eastAsia="宋体" w:cs="宋体"/>
          <w:sz w:val="24"/>
          <w:szCs w:val="24"/>
          <w:lang w:eastAsia="zh-CN"/>
        </w:rPr>
        <w:t>中标</w:t>
      </w:r>
      <w:r>
        <w:rPr>
          <w:rFonts w:hint="eastAsia" w:ascii="宋体" w:hAnsi="宋体" w:eastAsia="宋体" w:cs="宋体"/>
          <w:sz w:val="24"/>
          <w:szCs w:val="24"/>
        </w:rPr>
        <w:t>人履约保证金，同时，采购人有权单方面解除双方合同关系。</w:t>
      </w:r>
    </w:p>
    <w:p w14:paraId="5F254EB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32"/>
          <w:szCs w:val="32"/>
        </w:rPr>
      </w:pPr>
      <w:r>
        <w:rPr>
          <w:rFonts w:hint="eastAsia" w:ascii="宋体" w:hAnsi="宋体" w:eastAsia="宋体" w:cs="宋体"/>
          <w:sz w:val="24"/>
          <w:szCs w:val="24"/>
        </w:rPr>
        <w:t>（二）中标人在合同执行期间必须接受采购人的考核（详见下表：《</w:t>
      </w:r>
      <w:r>
        <w:rPr>
          <w:rFonts w:hint="eastAsia" w:ascii="宋体" w:hAnsi="宋体" w:eastAsia="宋体" w:cs="宋体"/>
          <w:sz w:val="24"/>
          <w:szCs w:val="24"/>
          <w:lang w:eastAsia="zh-CN"/>
        </w:rPr>
        <w:t>重庆首讯科技股份有限公司生鲜配送</w:t>
      </w:r>
      <w:r>
        <w:rPr>
          <w:rFonts w:hint="eastAsia" w:ascii="宋体" w:hAnsi="宋体" w:eastAsia="宋体" w:cs="宋体"/>
          <w:sz w:val="24"/>
          <w:szCs w:val="24"/>
        </w:rPr>
        <w:t>规范及考核标准》），考核依据费用结算周期每1个月进行一次，考核结果作为对</w:t>
      </w:r>
      <w:r>
        <w:rPr>
          <w:rFonts w:hint="eastAsia" w:ascii="宋体" w:hAnsi="宋体" w:eastAsia="宋体" w:cs="宋体"/>
          <w:sz w:val="24"/>
          <w:szCs w:val="24"/>
          <w:lang w:eastAsia="zh-CN"/>
        </w:rPr>
        <w:t>中标人</w:t>
      </w:r>
      <w:r>
        <w:rPr>
          <w:rFonts w:hint="eastAsia" w:ascii="宋体" w:hAnsi="宋体" w:eastAsia="宋体" w:cs="宋体"/>
          <w:sz w:val="24"/>
          <w:szCs w:val="24"/>
        </w:rPr>
        <w:t>日常工作的跟踪评估依据，与支付结算费用挂钩。单月扣分达到40分或累计三个月被扣分值均高于30分（含30分），采购人有权终止合同；当月被扣分值高于15分（含15分）的，每多1分扣除结算费用100元。</w:t>
      </w:r>
    </w:p>
    <w:p w14:paraId="2AE04C4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（三）中标人应对扣分项目立即整改，拒不整改的，该扣分事项加倍扣分，发生2次拒不整改的，视为不能正常履行合同，采购人有权单方面解除双方合同关系。</w:t>
      </w:r>
    </w:p>
    <w:p w14:paraId="7AD853F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本考核细则，报价人与采购人签订合同时可进一步协商调整，但调整后的考核项目、考核标准、考核分值原则上不得低于考核细则（特殊情形除外）。</w:t>
      </w:r>
    </w:p>
    <w:p w14:paraId="69468D14">
      <w:pPr>
        <w:pStyle w:val="5"/>
        <w:ind w:firstLine="1897" w:firstLineChars="900"/>
        <w:rPr>
          <w:rFonts w:hint="eastAsia" w:ascii="宋体" w:hAnsi="宋体" w:eastAsia="宋体" w:cs="宋体"/>
          <w:b/>
          <w:bCs/>
          <w:color w:val="auto"/>
          <w:kern w:val="0"/>
          <w:sz w:val="21"/>
          <w:szCs w:val="21"/>
          <w:lang w:eastAsia="zh-CN"/>
        </w:rPr>
      </w:pPr>
    </w:p>
    <w:p w14:paraId="5573149C">
      <w:pPr>
        <w:rPr>
          <w:rFonts w:hint="eastAsia" w:ascii="宋体" w:hAnsi="宋体" w:eastAsia="宋体" w:cs="宋体"/>
          <w:b/>
          <w:bCs/>
          <w:color w:val="auto"/>
          <w:kern w:val="0"/>
          <w:sz w:val="21"/>
          <w:szCs w:val="21"/>
          <w:lang w:eastAsia="zh-CN"/>
        </w:rPr>
      </w:pPr>
    </w:p>
    <w:p w14:paraId="69B6AD52">
      <w:pPr>
        <w:pStyle w:val="2"/>
        <w:rPr>
          <w:rFonts w:hint="eastAsia" w:ascii="宋体" w:hAnsi="宋体" w:eastAsia="宋体" w:cs="宋体"/>
          <w:b/>
          <w:bCs/>
          <w:color w:val="auto"/>
          <w:kern w:val="0"/>
          <w:sz w:val="21"/>
          <w:szCs w:val="21"/>
          <w:lang w:eastAsia="zh-CN"/>
        </w:rPr>
      </w:pPr>
    </w:p>
    <w:p w14:paraId="4CC7F8E4">
      <w:pPr>
        <w:pStyle w:val="2"/>
        <w:rPr>
          <w:rFonts w:hint="eastAsia" w:ascii="宋体" w:hAnsi="宋体" w:eastAsia="宋体" w:cs="宋体"/>
          <w:b/>
          <w:bCs/>
          <w:color w:val="auto"/>
          <w:kern w:val="0"/>
          <w:sz w:val="21"/>
          <w:szCs w:val="21"/>
          <w:lang w:eastAsia="zh-CN"/>
        </w:rPr>
      </w:pPr>
    </w:p>
    <w:p w14:paraId="41CB557C">
      <w:pPr>
        <w:pStyle w:val="2"/>
        <w:rPr>
          <w:rFonts w:hint="eastAsia" w:ascii="宋体" w:hAnsi="宋体" w:eastAsia="宋体" w:cs="宋体"/>
          <w:b/>
          <w:bCs/>
          <w:color w:val="auto"/>
          <w:kern w:val="0"/>
          <w:sz w:val="21"/>
          <w:szCs w:val="21"/>
          <w:lang w:eastAsia="zh-CN"/>
        </w:rPr>
      </w:pPr>
    </w:p>
    <w:p w14:paraId="5F6E85A8">
      <w:pPr>
        <w:pStyle w:val="2"/>
        <w:rPr>
          <w:rFonts w:hint="eastAsia" w:ascii="宋体" w:hAnsi="宋体" w:eastAsia="宋体" w:cs="宋体"/>
          <w:b/>
          <w:bCs/>
          <w:color w:val="auto"/>
          <w:kern w:val="0"/>
          <w:sz w:val="21"/>
          <w:szCs w:val="21"/>
          <w:lang w:eastAsia="zh-CN"/>
        </w:rPr>
      </w:pPr>
    </w:p>
    <w:p w14:paraId="0E3B4074">
      <w:pPr>
        <w:pStyle w:val="2"/>
        <w:rPr>
          <w:rFonts w:hint="eastAsia" w:ascii="宋体" w:hAnsi="宋体" w:eastAsia="宋体" w:cs="宋体"/>
          <w:b/>
          <w:bCs/>
          <w:color w:val="auto"/>
          <w:kern w:val="0"/>
          <w:sz w:val="21"/>
          <w:szCs w:val="21"/>
          <w:lang w:eastAsia="zh-CN"/>
        </w:rPr>
      </w:pPr>
    </w:p>
    <w:p w14:paraId="7A648CBB">
      <w:pPr>
        <w:pStyle w:val="2"/>
        <w:rPr>
          <w:rFonts w:hint="eastAsia" w:ascii="宋体" w:hAnsi="宋体" w:eastAsia="宋体" w:cs="宋体"/>
          <w:b/>
          <w:bCs/>
          <w:color w:val="auto"/>
          <w:kern w:val="0"/>
          <w:sz w:val="21"/>
          <w:szCs w:val="21"/>
          <w:lang w:eastAsia="zh-CN"/>
        </w:rPr>
      </w:pPr>
    </w:p>
    <w:p w14:paraId="4225CF21">
      <w:pPr>
        <w:pStyle w:val="2"/>
        <w:rPr>
          <w:rFonts w:hint="eastAsia" w:ascii="宋体" w:hAnsi="宋体" w:eastAsia="宋体" w:cs="宋体"/>
          <w:b/>
          <w:bCs/>
          <w:color w:val="auto"/>
          <w:kern w:val="0"/>
          <w:sz w:val="21"/>
          <w:szCs w:val="21"/>
          <w:lang w:eastAsia="zh-CN"/>
        </w:rPr>
      </w:pPr>
    </w:p>
    <w:p w14:paraId="623FC69B">
      <w:pPr>
        <w:pStyle w:val="2"/>
        <w:rPr>
          <w:rFonts w:hint="eastAsia" w:ascii="宋体" w:hAnsi="宋体" w:eastAsia="宋体" w:cs="宋体"/>
          <w:b/>
          <w:bCs/>
          <w:color w:val="auto"/>
          <w:kern w:val="0"/>
          <w:sz w:val="21"/>
          <w:szCs w:val="21"/>
          <w:lang w:eastAsia="zh-CN"/>
        </w:rPr>
      </w:pPr>
    </w:p>
    <w:p w14:paraId="4D6CF17F">
      <w:pPr>
        <w:pStyle w:val="2"/>
        <w:rPr>
          <w:rFonts w:hint="eastAsia" w:ascii="宋体" w:hAnsi="宋体" w:eastAsia="宋体" w:cs="宋体"/>
          <w:b/>
          <w:bCs/>
          <w:color w:val="auto"/>
          <w:kern w:val="0"/>
          <w:sz w:val="21"/>
          <w:szCs w:val="21"/>
          <w:lang w:eastAsia="zh-CN"/>
        </w:rPr>
      </w:pPr>
    </w:p>
    <w:p w14:paraId="4A5A0AF0">
      <w:pPr>
        <w:pStyle w:val="2"/>
        <w:rPr>
          <w:rFonts w:hint="eastAsia" w:ascii="宋体" w:hAnsi="宋体" w:eastAsia="宋体" w:cs="宋体"/>
          <w:b/>
          <w:bCs/>
          <w:color w:val="auto"/>
          <w:kern w:val="0"/>
          <w:sz w:val="21"/>
          <w:szCs w:val="21"/>
          <w:lang w:eastAsia="zh-CN"/>
        </w:rPr>
      </w:pPr>
    </w:p>
    <w:p w14:paraId="49819B8F">
      <w:pPr>
        <w:pStyle w:val="2"/>
        <w:rPr>
          <w:rFonts w:hint="default" w:ascii="宋体" w:hAnsi="宋体" w:eastAsia="宋体" w:cs="宋体"/>
          <w:b/>
          <w:bCs/>
          <w:color w:val="auto"/>
          <w:kern w:val="0"/>
          <w:sz w:val="21"/>
          <w:szCs w:val="21"/>
          <w:lang w:val="en-US" w:eastAsia="zh-CN"/>
        </w:rPr>
      </w:pPr>
      <w:r>
        <w:rPr>
          <w:rFonts w:hint="eastAsia" w:ascii="宋体" w:hAnsi="宋体" w:eastAsia="宋体" w:cs="宋体"/>
          <w:b/>
          <w:bCs/>
          <w:color w:val="auto"/>
          <w:kern w:val="0"/>
          <w:sz w:val="21"/>
          <w:szCs w:val="21"/>
          <w:lang w:val="en-US" w:eastAsia="zh-CN"/>
        </w:rPr>
        <w:t>附件：</w:t>
      </w:r>
    </w:p>
    <w:tbl>
      <w:tblPr>
        <w:tblStyle w:val="6"/>
        <w:tblW w:w="93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6"/>
        <w:gridCol w:w="670"/>
        <w:gridCol w:w="793"/>
        <w:gridCol w:w="597"/>
        <w:gridCol w:w="3192"/>
        <w:gridCol w:w="1745"/>
        <w:gridCol w:w="795"/>
        <w:gridCol w:w="1063"/>
      </w:tblGrid>
      <w:tr w14:paraId="6D71F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9371" w:type="dxa"/>
            <w:gridSpan w:val="8"/>
            <w:tcBorders>
              <w:top w:val="single" w:color="auto" w:sz="12" w:space="0"/>
              <w:left w:val="single" w:color="auto" w:sz="12" w:space="0"/>
              <w:bottom w:val="single" w:color="auto" w:sz="4" w:space="0"/>
              <w:right w:val="single" w:color="auto" w:sz="12" w:space="0"/>
            </w:tcBorders>
            <w:shd w:val="clear" w:color="auto" w:fill="auto"/>
            <w:noWrap/>
            <w:vAlign w:val="center"/>
          </w:tcPr>
          <w:p w14:paraId="374326D7">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重庆首讯科技股份有限公司数智系统运维分公司生鲜配送考核表</w:t>
            </w:r>
          </w:p>
        </w:tc>
      </w:tr>
      <w:tr w14:paraId="6E88C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2576" w:type="dxa"/>
            <w:gridSpan w:val="4"/>
            <w:tcBorders>
              <w:top w:val="single" w:color="auto" w:sz="4" w:space="0"/>
              <w:left w:val="single" w:color="auto" w:sz="12" w:space="0"/>
              <w:bottom w:val="single" w:color="auto" w:sz="4" w:space="0"/>
              <w:right w:val="single" w:color="auto" w:sz="4" w:space="0"/>
            </w:tcBorders>
            <w:shd w:val="clear" w:color="auto" w:fill="auto"/>
            <w:noWrap/>
            <w:vAlign w:val="center"/>
          </w:tcPr>
          <w:p w14:paraId="49FBD44E">
            <w:pPr>
              <w:snapToGrid w:val="0"/>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4"/>
                <w:szCs w:val="24"/>
                <w:u w:val="none"/>
                <w:lang w:val="en-US" w:eastAsia="zh-CN" w:bidi="ar"/>
              </w:rPr>
              <w:t>被考核单位：</w:t>
            </w:r>
          </w:p>
        </w:tc>
        <w:tc>
          <w:tcPr>
            <w:tcW w:w="319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35F0967">
            <w:pPr>
              <w:snapToGrid w:val="0"/>
              <w:rPr>
                <w:rFonts w:hint="eastAsia" w:ascii="宋体" w:hAnsi="宋体" w:eastAsia="宋体" w:cs="宋体"/>
                <w:i w:val="0"/>
                <w:iCs w:val="0"/>
                <w:color w:val="000000"/>
                <w:sz w:val="22"/>
                <w:szCs w:val="22"/>
                <w:u w:val="none"/>
              </w:rPr>
            </w:pPr>
          </w:p>
        </w:tc>
        <w:tc>
          <w:tcPr>
            <w:tcW w:w="174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6D58E5">
            <w:pPr>
              <w:keepNext w:val="0"/>
              <w:keepLines w:val="0"/>
              <w:widowControl/>
              <w:suppressLineNumbers w:val="0"/>
              <w:snapToGrid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考核月份：</w:t>
            </w:r>
          </w:p>
        </w:tc>
        <w:tc>
          <w:tcPr>
            <w:tcW w:w="1858" w:type="dxa"/>
            <w:gridSpan w:val="2"/>
            <w:tcBorders>
              <w:top w:val="single" w:color="auto" w:sz="4" w:space="0"/>
              <w:left w:val="single" w:color="auto" w:sz="4" w:space="0"/>
              <w:bottom w:val="single" w:color="auto" w:sz="4" w:space="0"/>
              <w:right w:val="single" w:color="auto" w:sz="12" w:space="0"/>
            </w:tcBorders>
            <w:shd w:val="clear" w:color="auto" w:fill="auto"/>
            <w:noWrap/>
            <w:vAlign w:val="center"/>
          </w:tcPr>
          <w:p w14:paraId="1CDE86B2">
            <w:pPr>
              <w:snapToGrid w:val="0"/>
              <w:rPr>
                <w:rFonts w:hint="eastAsia" w:ascii="宋体" w:hAnsi="宋体" w:eastAsia="宋体" w:cs="宋体"/>
                <w:i w:val="0"/>
                <w:iCs w:val="0"/>
                <w:color w:val="000000"/>
                <w:sz w:val="22"/>
                <w:szCs w:val="22"/>
                <w:u w:val="none"/>
              </w:rPr>
            </w:pPr>
          </w:p>
        </w:tc>
      </w:tr>
      <w:tr w14:paraId="7F80B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16" w:type="dxa"/>
            <w:vMerge w:val="restart"/>
            <w:tcBorders>
              <w:top w:val="single" w:color="auto" w:sz="4" w:space="0"/>
              <w:left w:val="single" w:color="auto" w:sz="12" w:space="0"/>
              <w:bottom w:val="single" w:color="auto" w:sz="4" w:space="0"/>
              <w:right w:val="nil"/>
            </w:tcBorders>
            <w:shd w:val="clear" w:color="auto" w:fill="auto"/>
            <w:vAlign w:val="center"/>
          </w:tcPr>
          <w:p w14:paraId="141B7550">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670" w:type="dxa"/>
            <w:vMerge w:val="restart"/>
            <w:tcBorders>
              <w:top w:val="single" w:color="auto" w:sz="4" w:space="0"/>
              <w:left w:val="nil"/>
              <w:bottom w:val="single" w:color="auto" w:sz="4" w:space="0"/>
              <w:right w:val="single" w:color="auto" w:sz="4" w:space="0"/>
            </w:tcBorders>
            <w:shd w:val="clear" w:color="auto" w:fill="auto"/>
            <w:vAlign w:val="center"/>
          </w:tcPr>
          <w:p w14:paraId="0032C582">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7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B70B74">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5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945D3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分值</w:t>
            </w:r>
          </w:p>
        </w:tc>
        <w:tc>
          <w:tcPr>
            <w:tcW w:w="573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4DFCB3">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评分标准</w:t>
            </w:r>
          </w:p>
        </w:tc>
        <w:tc>
          <w:tcPr>
            <w:tcW w:w="1063" w:type="dxa"/>
            <w:vMerge w:val="restart"/>
            <w:tcBorders>
              <w:top w:val="single" w:color="auto" w:sz="4" w:space="0"/>
              <w:left w:val="single" w:color="auto" w:sz="4" w:space="0"/>
              <w:bottom w:val="single" w:color="auto" w:sz="4" w:space="0"/>
              <w:right w:val="single" w:color="auto" w:sz="12" w:space="0"/>
            </w:tcBorders>
            <w:shd w:val="clear" w:color="auto" w:fill="auto"/>
            <w:vAlign w:val="center"/>
          </w:tcPr>
          <w:p w14:paraId="72141780">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考核分数</w:t>
            </w:r>
          </w:p>
        </w:tc>
      </w:tr>
      <w:tr w14:paraId="57724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16" w:type="dxa"/>
            <w:vMerge w:val="continue"/>
            <w:tcBorders>
              <w:top w:val="single" w:color="auto" w:sz="4" w:space="0"/>
              <w:left w:val="single" w:color="auto" w:sz="12" w:space="0"/>
              <w:bottom w:val="single" w:color="auto" w:sz="4" w:space="0"/>
              <w:right w:val="nil"/>
            </w:tcBorders>
            <w:shd w:val="clear" w:color="auto" w:fill="auto"/>
            <w:vAlign w:val="center"/>
          </w:tcPr>
          <w:p w14:paraId="31D66C16">
            <w:pPr>
              <w:snapToGrid w:val="0"/>
              <w:jc w:val="center"/>
              <w:rPr>
                <w:rFonts w:hint="eastAsia" w:ascii="宋体" w:hAnsi="宋体" w:eastAsia="宋体" w:cs="宋体"/>
                <w:i w:val="0"/>
                <w:iCs w:val="0"/>
                <w:color w:val="000000"/>
                <w:sz w:val="21"/>
                <w:szCs w:val="21"/>
                <w:u w:val="none"/>
              </w:rPr>
            </w:pPr>
          </w:p>
        </w:tc>
        <w:tc>
          <w:tcPr>
            <w:tcW w:w="670" w:type="dxa"/>
            <w:vMerge w:val="continue"/>
            <w:tcBorders>
              <w:top w:val="single" w:color="auto" w:sz="4" w:space="0"/>
              <w:left w:val="nil"/>
              <w:bottom w:val="single" w:color="auto" w:sz="4" w:space="0"/>
              <w:right w:val="single" w:color="auto" w:sz="4" w:space="0"/>
            </w:tcBorders>
            <w:shd w:val="clear" w:color="auto" w:fill="auto"/>
            <w:vAlign w:val="center"/>
          </w:tcPr>
          <w:p w14:paraId="521D6836">
            <w:pPr>
              <w:snapToGrid w:val="0"/>
              <w:jc w:val="center"/>
              <w:rPr>
                <w:rFonts w:hint="eastAsia" w:ascii="宋体" w:hAnsi="宋体" w:eastAsia="宋体" w:cs="宋体"/>
                <w:i w:val="0"/>
                <w:iCs w:val="0"/>
                <w:color w:val="000000"/>
                <w:sz w:val="21"/>
                <w:szCs w:val="21"/>
                <w:u w:val="none"/>
              </w:rPr>
            </w:pPr>
          </w:p>
        </w:tc>
        <w:tc>
          <w:tcPr>
            <w:tcW w:w="79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96AE2C">
            <w:pPr>
              <w:snapToGrid w:val="0"/>
              <w:jc w:val="center"/>
              <w:rPr>
                <w:rFonts w:hint="eastAsia" w:ascii="宋体" w:hAnsi="宋体" w:eastAsia="宋体" w:cs="宋体"/>
                <w:i w:val="0"/>
                <w:iCs w:val="0"/>
                <w:color w:val="000000"/>
                <w:sz w:val="21"/>
                <w:szCs w:val="21"/>
                <w:u w:val="none"/>
              </w:rPr>
            </w:pPr>
          </w:p>
        </w:tc>
        <w:tc>
          <w:tcPr>
            <w:tcW w:w="59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B55C22">
            <w:pPr>
              <w:snapToGrid w:val="0"/>
              <w:jc w:val="center"/>
              <w:rPr>
                <w:rFonts w:hint="eastAsia" w:ascii="宋体" w:hAnsi="宋体" w:eastAsia="宋体" w:cs="宋体"/>
                <w:i w:val="0"/>
                <w:iCs w:val="0"/>
                <w:color w:val="000000"/>
                <w:sz w:val="21"/>
                <w:szCs w:val="21"/>
                <w:u w:val="none"/>
              </w:rPr>
            </w:pPr>
          </w:p>
        </w:tc>
        <w:tc>
          <w:tcPr>
            <w:tcW w:w="5732"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9E8514">
            <w:pPr>
              <w:snapToGrid w:val="0"/>
              <w:jc w:val="center"/>
              <w:rPr>
                <w:rFonts w:hint="eastAsia" w:ascii="宋体" w:hAnsi="宋体" w:eastAsia="宋体" w:cs="宋体"/>
                <w:i w:val="0"/>
                <w:iCs w:val="0"/>
                <w:color w:val="000000"/>
                <w:sz w:val="21"/>
                <w:szCs w:val="21"/>
                <w:u w:val="none"/>
              </w:rPr>
            </w:pPr>
          </w:p>
        </w:tc>
        <w:tc>
          <w:tcPr>
            <w:tcW w:w="1063" w:type="dxa"/>
            <w:vMerge w:val="continue"/>
            <w:tcBorders>
              <w:top w:val="single" w:color="auto" w:sz="4" w:space="0"/>
              <w:left w:val="single" w:color="auto" w:sz="4" w:space="0"/>
              <w:bottom w:val="single" w:color="auto" w:sz="4" w:space="0"/>
              <w:right w:val="single" w:color="auto" w:sz="12" w:space="0"/>
            </w:tcBorders>
            <w:shd w:val="clear" w:color="auto" w:fill="auto"/>
            <w:vAlign w:val="center"/>
          </w:tcPr>
          <w:p w14:paraId="3E492301">
            <w:pPr>
              <w:snapToGrid w:val="0"/>
              <w:jc w:val="center"/>
              <w:rPr>
                <w:rFonts w:hint="eastAsia" w:ascii="宋体" w:hAnsi="宋体" w:eastAsia="宋体" w:cs="宋体"/>
                <w:i w:val="0"/>
                <w:iCs w:val="0"/>
                <w:color w:val="000000"/>
                <w:sz w:val="21"/>
                <w:szCs w:val="21"/>
                <w:u w:val="none"/>
              </w:rPr>
            </w:pPr>
          </w:p>
        </w:tc>
      </w:tr>
      <w:tr w14:paraId="20ED9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16" w:type="dxa"/>
            <w:vMerge w:val="restart"/>
            <w:tcBorders>
              <w:top w:val="single" w:color="auto" w:sz="4" w:space="0"/>
              <w:left w:val="single" w:color="auto" w:sz="12" w:space="0"/>
              <w:bottom w:val="single" w:color="auto" w:sz="4" w:space="0"/>
              <w:right w:val="nil"/>
            </w:tcBorders>
            <w:shd w:val="clear" w:color="auto" w:fill="auto"/>
            <w:vAlign w:val="center"/>
          </w:tcPr>
          <w:p w14:paraId="407B2B41">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70" w:type="dxa"/>
            <w:vMerge w:val="restart"/>
            <w:tcBorders>
              <w:top w:val="single" w:color="auto" w:sz="4" w:space="0"/>
              <w:left w:val="nil"/>
              <w:bottom w:val="single" w:color="auto" w:sz="4" w:space="0"/>
              <w:right w:val="single" w:color="auto" w:sz="4" w:space="0"/>
            </w:tcBorders>
            <w:shd w:val="clear" w:color="auto" w:fill="auto"/>
            <w:vAlign w:val="center"/>
          </w:tcPr>
          <w:p w14:paraId="1D74A4E6">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配送管理</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690F01A">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送货时效</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4332F8E6">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3E82C3">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送货准时，每天所需食材一并送达，（非不可抗拒情况下延误一次扣3分，以此类推，扣完为止。如发现委托其他人或其他车代送不得分）需及时做好登记，让双方共同签名确认，作为扣分依据。</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23DC1D2A">
            <w:pPr>
              <w:snapToGrid w:val="0"/>
              <w:jc w:val="both"/>
              <w:rPr>
                <w:rFonts w:hint="eastAsia" w:ascii="宋体" w:hAnsi="宋体" w:eastAsia="宋体" w:cs="宋体"/>
                <w:i w:val="0"/>
                <w:iCs w:val="0"/>
                <w:color w:val="000000"/>
                <w:sz w:val="21"/>
                <w:szCs w:val="21"/>
                <w:u w:val="none"/>
              </w:rPr>
            </w:pPr>
          </w:p>
        </w:tc>
      </w:tr>
      <w:tr w14:paraId="25F60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16" w:type="dxa"/>
            <w:vMerge w:val="continue"/>
            <w:tcBorders>
              <w:top w:val="single" w:color="auto" w:sz="4" w:space="0"/>
              <w:left w:val="single" w:color="auto" w:sz="12" w:space="0"/>
              <w:bottom w:val="single" w:color="auto" w:sz="4" w:space="0"/>
              <w:right w:val="nil"/>
            </w:tcBorders>
            <w:shd w:val="clear" w:color="auto" w:fill="auto"/>
            <w:vAlign w:val="center"/>
          </w:tcPr>
          <w:p w14:paraId="09AD46C3">
            <w:pPr>
              <w:snapToGrid w:val="0"/>
              <w:jc w:val="center"/>
              <w:rPr>
                <w:rFonts w:hint="eastAsia" w:ascii="宋体" w:hAnsi="宋体" w:eastAsia="宋体" w:cs="宋体"/>
                <w:i w:val="0"/>
                <w:iCs w:val="0"/>
                <w:color w:val="000000"/>
                <w:sz w:val="21"/>
                <w:szCs w:val="21"/>
                <w:u w:val="none"/>
              </w:rPr>
            </w:pPr>
          </w:p>
        </w:tc>
        <w:tc>
          <w:tcPr>
            <w:tcW w:w="670" w:type="dxa"/>
            <w:vMerge w:val="continue"/>
            <w:tcBorders>
              <w:top w:val="single" w:color="auto" w:sz="4" w:space="0"/>
              <w:left w:val="nil"/>
              <w:bottom w:val="single" w:color="auto" w:sz="4" w:space="0"/>
              <w:right w:val="single" w:color="auto" w:sz="4" w:space="0"/>
            </w:tcBorders>
            <w:shd w:val="clear" w:color="auto" w:fill="auto"/>
            <w:vAlign w:val="center"/>
          </w:tcPr>
          <w:p w14:paraId="44FD6343">
            <w:pPr>
              <w:snapToGrid w:val="0"/>
              <w:jc w:val="center"/>
              <w:rPr>
                <w:rFonts w:hint="eastAsia" w:ascii="宋体" w:hAnsi="宋体" w:eastAsia="宋体" w:cs="宋体"/>
                <w:i w:val="0"/>
                <w:iCs w:val="0"/>
                <w:color w:val="000000"/>
                <w:sz w:val="21"/>
                <w:szCs w:val="21"/>
                <w:u w:val="none"/>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70163DA">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足斤足两</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644230DE">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C0ADCD7">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送货无缺斤少量现象。（分量短缺达到该类食材配送量2%以上，每次扣2分，扣完为止）需及时做好登记，让双方共同签名确认，作为扣分依据。</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575196CE">
            <w:pPr>
              <w:snapToGrid w:val="0"/>
              <w:jc w:val="both"/>
              <w:rPr>
                <w:rFonts w:hint="eastAsia" w:ascii="宋体" w:hAnsi="宋体" w:eastAsia="宋体" w:cs="宋体"/>
                <w:i w:val="0"/>
                <w:iCs w:val="0"/>
                <w:color w:val="000000"/>
                <w:sz w:val="21"/>
                <w:szCs w:val="21"/>
                <w:u w:val="none"/>
              </w:rPr>
            </w:pPr>
          </w:p>
        </w:tc>
      </w:tr>
      <w:tr w14:paraId="164EE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16" w:type="dxa"/>
            <w:vMerge w:val="continue"/>
            <w:tcBorders>
              <w:top w:val="single" w:color="auto" w:sz="4" w:space="0"/>
              <w:left w:val="single" w:color="auto" w:sz="12" w:space="0"/>
              <w:bottom w:val="single" w:color="auto" w:sz="4" w:space="0"/>
              <w:right w:val="nil"/>
            </w:tcBorders>
            <w:shd w:val="clear" w:color="auto" w:fill="auto"/>
            <w:vAlign w:val="center"/>
          </w:tcPr>
          <w:p w14:paraId="71DB92EE">
            <w:pPr>
              <w:snapToGrid w:val="0"/>
              <w:jc w:val="center"/>
              <w:rPr>
                <w:rFonts w:hint="eastAsia" w:ascii="宋体" w:hAnsi="宋体" w:eastAsia="宋体" w:cs="宋体"/>
                <w:i w:val="0"/>
                <w:iCs w:val="0"/>
                <w:color w:val="000000"/>
                <w:sz w:val="21"/>
                <w:szCs w:val="21"/>
                <w:u w:val="none"/>
              </w:rPr>
            </w:pPr>
          </w:p>
        </w:tc>
        <w:tc>
          <w:tcPr>
            <w:tcW w:w="670" w:type="dxa"/>
            <w:vMerge w:val="continue"/>
            <w:tcBorders>
              <w:top w:val="single" w:color="auto" w:sz="4" w:space="0"/>
              <w:left w:val="nil"/>
              <w:bottom w:val="single" w:color="auto" w:sz="4" w:space="0"/>
              <w:right w:val="single" w:color="auto" w:sz="4" w:space="0"/>
            </w:tcBorders>
            <w:shd w:val="clear" w:color="auto" w:fill="auto"/>
            <w:vAlign w:val="center"/>
          </w:tcPr>
          <w:p w14:paraId="691FE982">
            <w:pPr>
              <w:snapToGrid w:val="0"/>
              <w:jc w:val="center"/>
              <w:rPr>
                <w:rFonts w:hint="eastAsia" w:ascii="宋体" w:hAnsi="宋体" w:eastAsia="宋体" w:cs="宋体"/>
                <w:i w:val="0"/>
                <w:iCs w:val="0"/>
                <w:color w:val="000000"/>
                <w:sz w:val="21"/>
                <w:szCs w:val="21"/>
                <w:u w:val="none"/>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247357E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服务态度</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675D5655">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059CF6A">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中标方配送人员工作认真负责，服务热情周到，运送文明（配送人员野蛮运装货或无正当理由与采购人经办人员争执，每次扣1 分，扣完为止）</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75BE0F95">
            <w:pPr>
              <w:snapToGrid w:val="0"/>
              <w:jc w:val="left"/>
              <w:rPr>
                <w:rFonts w:hint="eastAsia" w:ascii="宋体" w:hAnsi="宋体" w:eastAsia="宋体" w:cs="宋体"/>
                <w:i w:val="0"/>
                <w:iCs w:val="0"/>
                <w:color w:val="000000"/>
                <w:sz w:val="21"/>
                <w:szCs w:val="21"/>
                <w:u w:val="none"/>
              </w:rPr>
            </w:pPr>
          </w:p>
        </w:tc>
      </w:tr>
      <w:tr w14:paraId="389AD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16" w:type="dxa"/>
            <w:vMerge w:val="continue"/>
            <w:tcBorders>
              <w:top w:val="single" w:color="auto" w:sz="4" w:space="0"/>
              <w:left w:val="single" w:color="auto" w:sz="12" w:space="0"/>
              <w:bottom w:val="single" w:color="auto" w:sz="4" w:space="0"/>
              <w:right w:val="nil"/>
            </w:tcBorders>
            <w:shd w:val="clear" w:color="auto" w:fill="auto"/>
            <w:vAlign w:val="center"/>
          </w:tcPr>
          <w:p w14:paraId="4565FD4E">
            <w:pPr>
              <w:snapToGrid w:val="0"/>
              <w:jc w:val="center"/>
              <w:rPr>
                <w:rFonts w:hint="eastAsia" w:ascii="宋体" w:hAnsi="宋体" w:eastAsia="宋体" w:cs="宋体"/>
                <w:i w:val="0"/>
                <w:iCs w:val="0"/>
                <w:color w:val="000000"/>
                <w:sz w:val="21"/>
                <w:szCs w:val="21"/>
                <w:u w:val="none"/>
              </w:rPr>
            </w:pPr>
          </w:p>
        </w:tc>
        <w:tc>
          <w:tcPr>
            <w:tcW w:w="670" w:type="dxa"/>
            <w:vMerge w:val="continue"/>
            <w:tcBorders>
              <w:top w:val="single" w:color="auto" w:sz="4" w:space="0"/>
              <w:left w:val="nil"/>
              <w:bottom w:val="single" w:color="auto" w:sz="4" w:space="0"/>
              <w:right w:val="single" w:color="auto" w:sz="4" w:space="0"/>
            </w:tcBorders>
            <w:shd w:val="clear" w:color="auto" w:fill="auto"/>
            <w:vAlign w:val="center"/>
          </w:tcPr>
          <w:p w14:paraId="52B3A62D">
            <w:pPr>
              <w:snapToGrid w:val="0"/>
              <w:jc w:val="center"/>
              <w:rPr>
                <w:rFonts w:hint="eastAsia" w:ascii="宋体" w:hAnsi="宋体" w:eastAsia="宋体" w:cs="宋体"/>
                <w:i w:val="0"/>
                <w:iCs w:val="0"/>
                <w:color w:val="000000"/>
                <w:sz w:val="21"/>
                <w:szCs w:val="21"/>
                <w:u w:val="none"/>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38970F0A">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配送着装</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157FAD2F">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A0E414F">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中标方配送人员每次配送都要统一着工装（带配送公司名称或者logo，不按要求着装每次扣1 分，扣完为止）并及时做好登记，让双方共同签名确认，作为扣分依据。</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4DDA5906">
            <w:pPr>
              <w:snapToGrid w:val="0"/>
              <w:jc w:val="both"/>
              <w:rPr>
                <w:rFonts w:hint="eastAsia" w:ascii="宋体" w:hAnsi="宋体" w:eastAsia="宋体" w:cs="宋体"/>
                <w:i w:val="0"/>
                <w:iCs w:val="0"/>
                <w:color w:val="000000"/>
                <w:sz w:val="21"/>
                <w:szCs w:val="21"/>
                <w:u w:val="none"/>
              </w:rPr>
            </w:pPr>
          </w:p>
        </w:tc>
      </w:tr>
      <w:tr w14:paraId="009A0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16" w:type="dxa"/>
            <w:vMerge w:val="continue"/>
            <w:tcBorders>
              <w:top w:val="single" w:color="auto" w:sz="4" w:space="0"/>
              <w:left w:val="single" w:color="auto" w:sz="12" w:space="0"/>
              <w:bottom w:val="single" w:color="auto" w:sz="4" w:space="0"/>
              <w:right w:val="nil"/>
            </w:tcBorders>
            <w:shd w:val="clear" w:color="auto" w:fill="auto"/>
            <w:vAlign w:val="center"/>
          </w:tcPr>
          <w:p w14:paraId="6CFAA565">
            <w:pPr>
              <w:snapToGrid w:val="0"/>
              <w:jc w:val="center"/>
              <w:rPr>
                <w:rFonts w:hint="eastAsia" w:ascii="宋体" w:hAnsi="宋体" w:eastAsia="宋体" w:cs="宋体"/>
                <w:i w:val="0"/>
                <w:iCs w:val="0"/>
                <w:color w:val="000000"/>
                <w:sz w:val="21"/>
                <w:szCs w:val="21"/>
                <w:u w:val="none"/>
              </w:rPr>
            </w:pPr>
          </w:p>
        </w:tc>
        <w:tc>
          <w:tcPr>
            <w:tcW w:w="670" w:type="dxa"/>
            <w:vMerge w:val="continue"/>
            <w:tcBorders>
              <w:top w:val="single" w:color="auto" w:sz="4" w:space="0"/>
              <w:left w:val="nil"/>
              <w:bottom w:val="single" w:color="auto" w:sz="4" w:space="0"/>
              <w:right w:val="single" w:color="auto" w:sz="4" w:space="0"/>
            </w:tcBorders>
            <w:shd w:val="clear" w:color="auto" w:fill="auto"/>
            <w:vAlign w:val="center"/>
          </w:tcPr>
          <w:p w14:paraId="6151FC6D">
            <w:pPr>
              <w:snapToGrid w:val="0"/>
              <w:jc w:val="center"/>
              <w:rPr>
                <w:rFonts w:hint="eastAsia" w:ascii="宋体" w:hAnsi="宋体" w:eastAsia="宋体" w:cs="宋体"/>
                <w:i w:val="0"/>
                <w:iCs w:val="0"/>
                <w:color w:val="000000"/>
                <w:sz w:val="21"/>
                <w:szCs w:val="21"/>
                <w:u w:val="none"/>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779E0AA">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工作质量</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5622CD0F">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13CB7EA">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送货单（结算凭证）项目齐全，机器打印清晰，配送物品清单与实际配送无差错。（项目不齐全或打印不清晰，每次扣1分；配送物品清单与实际配送有差错，每次扣2分。扣完为止）</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5EDEB1F5">
            <w:pPr>
              <w:snapToGrid w:val="0"/>
              <w:jc w:val="both"/>
              <w:rPr>
                <w:rFonts w:hint="eastAsia" w:ascii="宋体" w:hAnsi="宋体" w:eastAsia="宋体" w:cs="宋体"/>
                <w:i w:val="0"/>
                <w:iCs w:val="0"/>
                <w:color w:val="000000"/>
                <w:sz w:val="21"/>
                <w:szCs w:val="21"/>
                <w:u w:val="none"/>
              </w:rPr>
            </w:pPr>
          </w:p>
        </w:tc>
      </w:tr>
      <w:tr w14:paraId="6470C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16" w:type="dxa"/>
            <w:vMerge w:val="continue"/>
            <w:tcBorders>
              <w:top w:val="single" w:color="auto" w:sz="4" w:space="0"/>
              <w:left w:val="single" w:color="auto" w:sz="12" w:space="0"/>
              <w:bottom w:val="single" w:color="auto" w:sz="4" w:space="0"/>
              <w:right w:val="nil"/>
            </w:tcBorders>
            <w:shd w:val="clear" w:color="auto" w:fill="auto"/>
            <w:vAlign w:val="center"/>
          </w:tcPr>
          <w:p w14:paraId="01F28DB4">
            <w:pPr>
              <w:snapToGrid w:val="0"/>
              <w:jc w:val="center"/>
              <w:rPr>
                <w:rFonts w:hint="eastAsia" w:ascii="宋体" w:hAnsi="宋体" w:eastAsia="宋体" w:cs="宋体"/>
                <w:i w:val="0"/>
                <w:iCs w:val="0"/>
                <w:color w:val="000000"/>
                <w:sz w:val="21"/>
                <w:szCs w:val="21"/>
                <w:u w:val="none"/>
              </w:rPr>
            </w:pPr>
          </w:p>
        </w:tc>
        <w:tc>
          <w:tcPr>
            <w:tcW w:w="670" w:type="dxa"/>
            <w:vMerge w:val="continue"/>
            <w:tcBorders>
              <w:top w:val="single" w:color="auto" w:sz="4" w:space="0"/>
              <w:left w:val="nil"/>
              <w:bottom w:val="single" w:color="auto" w:sz="4" w:space="0"/>
              <w:right w:val="single" w:color="auto" w:sz="4" w:space="0"/>
            </w:tcBorders>
            <w:shd w:val="clear" w:color="auto" w:fill="auto"/>
            <w:vAlign w:val="center"/>
          </w:tcPr>
          <w:p w14:paraId="3C7951B1">
            <w:pPr>
              <w:snapToGrid w:val="0"/>
              <w:jc w:val="center"/>
              <w:rPr>
                <w:rFonts w:hint="eastAsia" w:ascii="宋体" w:hAnsi="宋体" w:eastAsia="宋体" w:cs="宋体"/>
                <w:i w:val="0"/>
                <w:iCs w:val="0"/>
                <w:color w:val="000000"/>
                <w:sz w:val="21"/>
                <w:szCs w:val="21"/>
                <w:u w:val="none"/>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129E6169">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配送车辆</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21841812">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8E6AD1">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按要求使用相应的配送车辆，配送车辆卫生干净，无异味。（不符合要求的配送车辆每次扣2分，配送车辆卫生不达标，有异味，每次扣3 分。扣完为止）需及时做好登记，让双方共同签名确认，作为评分依据。</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77C6314E">
            <w:pPr>
              <w:snapToGrid w:val="0"/>
              <w:jc w:val="both"/>
              <w:rPr>
                <w:rFonts w:hint="eastAsia" w:ascii="宋体" w:hAnsi="宋体" w:eastAsia="宋体" w:cs="宋体"/>
                <w:i w:val="0"/>
                <w:iCs w:val="0"/>
                <w:color w:val="000000"/>
                <w:sz w:val="21"/>
                <w:szCs w:val="21"/>
                <w:u w:val="none"/>
              </w:rPr>
            </w:pPr>
          </w:p>
        </w:tc>
      </w:tr>
      <w:tr w14:paraId="33D27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16" w:type="dxa"/>
            <w:vMerge w:val="restart"/>
            <w:tcBorders>
              <w:top w:val="single" w:color="auto" w:sz="4" w:space="0"/>
              <w:left w:val="single" w:color="auto" w:sz="12" w:space="0"/>
              <w:bottom w:val="single" w:color="auto" w:sz="4" w:space="0"/>
              <w:right w:val="nil"/>
            </w:tcBorders>
            <w:shd w:val="clear" w:color="auto" w:fill="auto"/>
            <w:vAlign w:val="center"/>
          </w:tcPr>
          <w:p w14:paraId="56BA0891">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70" w:type="dxa"/>
            <w:vMerge w:val="restart"/>
            <w:tcBorders>
              <w:top w:val="single" w:color="auto" w:sz="4" w:space="0"/>
              <w:left w:val="nil"/>
              <w:bottom w:val="single" w:color="auto" w:sz="4" w:space="0"/>
              <w:right w:val="single" w:color="auto" w:sz="4" w:space="0"/>
            </w:tcBorders>
            <w:shd w:val="clear" w:color="auto" w:fill="auto"/>
            <w:vAlign w:val="center"/>
          </w:tcPr>
          <w:p w14:paraId="4C3D28D1">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重点管理</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AD09E7C">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结算精准</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746B799E">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B51394B">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送货单上单价、发票上单价与每月双方共同核定的报价表一致，送货单和发票上的食材数量也要与实际送货数量一致（每发现一次错误扣2 分，扣完为止）</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5C50E36A">
            <w:pPr>
              <w:snapToGrid w:val="0"/>
              <w:jc w:val="both"/>
              <w:rPr>
                <w:rFonts w:hint="eastAsia" w:ascii="宋体" w:hAnsi="宋体" w:eastAsia="宋体" w:cs="宋体"/>
                <w:i w:val="0"/>
                <w:iCs w:val="0"/>
                <w:color w:val="000000"/>
                <w:sz w:val="21"/>
                <w:szCs w:val="21"/>
                <w:u w:val="none"/>
              </w:rPr>
            </w:pPr>
          </w:p>
        </w:tc>
      </w:tr>
      <w:tr w14:paraId="7E184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16" w:type="dxa"/>
            <w:vMerge w:val="continue"/>
            <w:tcBorders>
              <w:top w:val="single" w:color="auto" w:sz="4" w:space="0"/>
              <w:left w:val="single" w:color="auto" w:sz="12" w:space="0"/>
              <w:bottom w:val="single" w:color="auto" w:sz="4" w:space="0"/>
              <w:right w:val="nil"/>
            </w:tcBorders>
            <w:shd w:val="clear" w:color="auto" w:fill="auto"/>
            <w:vAlign w:val="center"/>
          </w:tcPr>
          <w:p w14:paraId="705724E6">
            <w:pPr>
              <w:snapToGrid w:val="0"/>
              <w:jc w:val="center"/>
              <w:rPr>
                <w:rFonts w:hint="eastAsia" w:ascii="宋体" w:hAnsi="宋体" w:eastAsia="宋体" w:cs="宋体"/>
                <w:i w:val="0"/>
                <w:iCs w:val="0"/>
                <w:color w:val="000000"/>
                <w:sz w:val="21"/>
                <w:szCs w:val="21"/>
                <w:u w:val="none"/>
              </w:rPr>
            </w:pPr>
          </w:p>
        </w:tc>
        <w:tc>
          <w:tcPr>
            <w:tcW w:w="670" w:type="dxa"/>
            <w:vMerge w:val="continue"/>
            <w:tcBorders>
              <w:top w:val="single" w:color="auto" w:sz="4" w:space="0"/>
              <w:left w:val="nil"/>
              <w:bottom w:val="single" w:color="auto" w:sz="4" w:space="0"/>
              <w:right w:val="single" w:color="auto" w:sz="4" w:space="0"/>
            </w:tcBorders>
            <w:shd w:val="clear" w:color="auto" w:fill="auto"/>
            <w:vAlign w:val="center"/>
          </w:tcPr>
          <w:p w14:paraId="0B692081">
            <w:pPr>
              <w:snapToGrid w:val="0"/>
              <w:jc w:val="center"/>
              <w:rPr>
                <w:rFonts w:hint="eastAsia" w:ascii="宋体" w:hAnsi="宋体" w:eastAsia="宋体" w:cs="宋体"/>
                <w:i w:val="0"/>
                <w:iCs w:val="0"/>
                <w:color w:val="000000"/>
                <w:sz w:val="21"/>
                <w:szCs w:val="21"/>
                <w:u w:val="none"/>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9B4ECDF">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货源组织</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6E2EA5BA">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5A1D338">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中标人每次食材配送都要提供食材的合格证和检疫证件或检测报告的复印件，供采购人留底。(缺一扣2 分，扣完为止)</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741180F3">
            <w:pPr>
              <w:snapToGrid w:val="0"/>
              <w:jc w:val="both"/>
              <w:rPr>
                <w:rFonts w:hint="eastAsia" w:ascii="宋体" w:hAnsi="宋体" w:eastAsia="宋体" w:cs="宋体"/>
                <w:i w:val="0"/>
                <w:iCs w:val="0"/>
                <w:color w:val="000000"/>
                <w:sz w:val="21"/>
                <w:szCs w:val="21"/>
                <w:u w:val="none"/>
              </w:rPr>
            </w:pPr>
          </w:p>
        </w:tc>
      </w:tr>
      <w:tr w14:paraId="7AB06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16" w:type="dxa"/>
            <w:vMerge w:val="continue"/>
            <w:tcBorders>
              <w:top w:val="single" w:color="auto" w:sz="4" w:space="0"/>
              <w:left w:val="single" w:color="auto" w:sz="12" w:space="0"/>
              <w:bottom w:val="single" w:color="auto" w:sz="4" w:space="0"/>
              <w:right w:val="nil"/>
            </w:tcBorders>
            <w:shd w:val="clear" w:color="auto" w:fill="auto"/>
            <w:vAlign w:val="center"/>
          </w:tcPr>
          <w:p w14:paraId="5B3DFFD8">
            <w:pPr>
              <w:snapToGrid w:val="0"/>
              <w:jc w:val="center"/>
              <w:rPr>
                <w:rFonts w:hint="eastAsia" w:ascii="宋体" w:hAnsi="宋体" w:eastAsia="宋体" w:cs="宋体"/>
                <w:i w:val="0"/>
                <w:iCs w:val="0"/>
                <w:color w:val="000000"/>
                <w:sz w:val="21"/>
                <w:szCs w:val="21"/>
                <w:u w:val="none"/>
              </w:rPr>
            </w:pPr>
          </w:p>
        </w:tc>
        <w:tc>
          <w:tcPr>
            <w:tcW w:w="670" w:type="dxa"/>
            <w:vMerge w:val="continue"/>
            <w:tcBorders>
              <w:top w:val="single" w:color="auto" w:sz="4" w:space="0"/>
              <w:left w:val="nil"/>
              <w:bottom w:val="single" w:color="auto" w:sz="4" w:space="0"/>
              <w:right w:val="single" w:color="auto" w:sz="4" w:space="0"/>
            </w:tcBorders>
            <w:shd w:val="clear" w:color="auto" w:fill="auto"/>
            <w:vAlign w:val="center"/>
          </w:tcPr>
          <w:p w14:paraId="716FD2F5">
            <w:pPr>
              <w:snapToGrid w:val="0"/>
              <w:jc w:val="center"/>
              <w:rPr>
                <w:rFonts w:hint="eastAsia" w:ascii="宋体" w:hAnsi="宋体" w:eastAsia="宋体" w:cs="宋体"/>
                <w:i w:val="0"/>
                <w:iCs w:val="0"/>
                <w:color w:val="000000"/>
                <w:sz w:val="21"/>
                <w:szCs w:val="21"/>
                <w:u w:val="none"/>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926F6DC">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沟通协调</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13A83AAC">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BF826F4">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对于配送中存在的问题愿意主动沟通，寻求解决办法，同时也会主动了解和记录采购人在食材方面的要求，注重沟通与协调（采购人反馈了意见和建议，不予理睬，不愿沟通和协调的，每次扣2 分，扣完为止）</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2B03920F">
            <w:pPr>
              <w:snapToGrid w:val="0"/>
              <w:jc w:val="both"/>
              <w:rPr>
                <w:rFonts w:hint="eastAsia" w:ascii="宋体" w:hAnsi="宋体" w:eastAsia="宋体" w:cs="宋体"/>
                <w:i w:val="0"/>
                <w:iCs w:val="0"/>
                <w:color w:val="000000"/>
                <w:sz w:val="21"/>
                <w:szCs w:val="21"/>
                <w:u w:val="none"/>
              </w:rPr>
            </w:pPr>
          </w:p>
        </w:tc>
      </w:tr>
      <w:tr w14:paraId="29F4A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16" w:type="dxa"/>
            <w:vMerge w:val="continue"/>
            <w:tcBorders>
              <w:top w:val="single" w:color="auto" w:sz="4" w:space="0"/>
              <w:left w:val="single" w:color="auto" w:sz="12" w:space="0"/>
              <w:bottom w:val="single" w:color="auto" w:sz="4" w:space="0"/>
              <w:right w:val="nil"/>
            </w:tcBorders>
            <w:shd w:val="clear" w:color="auto" w:fill="auto"/>
            <w:vAlign w:val="center"/>
          </w:tcPr>
          <w:p w14:paraId="04EC0F53">
            <w:pPr>
              <w:snapToGrid w:val="0"/>
              <w:jc w:val="center"/>
              <w:rPr>
                <w:rFonts w:hint="eastAsia" w:ascii="宋体" w:hAnsi="宋体" w:eastAsia="宋体" w:cs="宋体"/>
                <w:i w:val="0"/>
                <w:iCs w:val="0"/>
                <w:color w:val="000000"/>
                <w:sz w:val="21"/>
                <w:szCs w:val="21"/>
                <w:u w:val="none"/>
              </w:rPr>
            </w:pPr>
          </w:p>
        </w:tc>
        <w:tc>
          <w:tcPr>
            <w:tcW w:w="670" w:type="dxa"/>
            <w:vMerge w:val="continue"/>
            <w:tcBorders>
              <w:top w:val="single" w:color="auto" w:sz="4" w:space="0"/>
              <w:left w:val="nil"/>
              <w:bottom w:val="single" w:color="auto" w:sz="4" w:space="0"/>
              <w:right w:val="single" w:color="auto" w:sz="4" w:space="0"/>
            </w:tcBorders>
            <w:shd w:val="clear" w:color="auto" w:fill="auto"/>
            <w:vAlign w:val="center"/>
          </w:tcPr>
          <w:p w14:paraId="701EDBEE">
            <w:pPr>
              <w:snapToGrid w:val="0"/>
              <w:jc w:val="center"/>
              <w:rPr>
                <w:rFonts w:hint="eastAsia" w:ascii="宋体" w:hAnsi="宋体" w:eastAsia="宋体" w:cs="宋体"/>
                <w:i w:val="0"/>
                <w:iCs w:val="0"/>
                <w:color w:val="000000"/>
                <w:sz w:val="21"/>
                <w:szCs w:val="21"/>
                <w:u w:val="none"/>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147FEF73">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及时整改</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73E26C73">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B695387">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对于采购人的意见和建议要虚心接受，协调有效果，及时整改见实效得4分（整改效果不明显扣2 分，未见任何整改效果不得分）</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1A5B4498">
            <w:pPr>
              <w:snapToGrid w:val="0"/>
              <w:jc w:val="both"/>
              <w:rPr>
                <w:rFonts w:hint="eastAsia" w:ascii="宋体" w:hAnsi="宋体" w:eastAsia="宋体" w:cs="宋体"/>
                <w:i w:val="0"/>
                <w:iCs w:val="0"/>
                <w:color w:val="000000"/>
                <w:sz w:val="21"/>
                <w:szCs w:val="21"/>
                <w:u w:val="none"/>
              </w:rPr>
            </w:pPr>
          </w:p>
        </w:tc>
      </w:tr>
      <w:tr w14:paraId="25D44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16" w:type="dxa"/>
            <w:vMerge w:val="restart"/>
            <w:tcBorders>
              <w:top w:val="single" w:color="auto" w:sz="4" w:space="0"/>
              <w:left w:val="single" w:color="auto" w:sz="12" w:space="0"/>
              <w:bottom w:val="single" w:color="auto" w:sz="4" w:space="0"/>
              <w:right w:val="nil"/>
            </w:tcBorders>
            <w:shd w:val="clear" w:color="auto" w:fill="auto"/>
            <w:noWrap/>
            <w:vAlign w:val="center"/>
          </w:tcPr>
          <w:p w14:paraId="77D9E18E">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670" w:type="dxa"/>
            <w:vMerge w:val="restart"/>
            <w:tcBorders>
              <w:top w:val="single" w:color="auto" w:sz="4" w:space="0"/>
              <w:left w:val="nil"/>
              <w:bottom w:val="single" w:color="auto" w:sz="4" w:space="0"/>
              <w:right w:val="single" w:color="auto" w:sz="4" w:space="0"/>
            </w:tcBorders>
            <w:shd w:val="clear" w:color="auto" w:fill="auto"/>
            <w:noWrap/>
            <w:vAlign w:val="center"/>
          </w:tcPr>
          <w:p w14:paraId="079ED0F8">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质量管理</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E75DFC3">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食材质量</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769F972D">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1A2CFD1">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发现配送食材质量不符要求，采购人有权要求立即更换食材，并及时做好退换货登记，让双方共同签名确认，作为扣分依据（每次扣2 分，扣完为止）</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1F1B4E8E">
            <w:pPr>
              <w:snapToGrid w:val="0"/>
              <w:jc w:val="both"/>
              <w:rPr>
                <w:rFonts w:hint="eastAsia" w:ascii="宋体" w:hAnsi="宋体" w:eastAsia="宋体" w:cs="宋体"/>
                <w:i w:val="0"/>
                <w:iCs w:val="0"/>
                <w:color w:val="000000"/>
                <w:sz w:val="21"/>
                <w:szCs w:val="21"/>
                <w:u w:val="none"/>
              </w:rPr>
            </w:pPr>
          </w:p>
        </w:tc>
      </w:tr>
      <w:tr w14:paraId="25BE0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16" w:type="dxa"/>
            <w:vMerge w:val="continue"/>
            <w:tcBorders>
              <w:top w:val="single" w:color="auto" w:sz="4" w:space="0"/>
              <w:left w:val="single" w:color="auto" w:sz="12" w:space="0"/>
              <w:bottom w:val="single" w:color="auto" w:sz="4" w:space="0"/>
              <w:right w:val="nil"/>
            </w:tcBorders>
            <w:shd w:val="clear" w:color="auto" w:fill="auto"/>
            <w:noWrap/>
            <w:vAlign w:val="center"/>
          </w:tcPr>
          <w:p w14:paraId="559837A3">
            <w:pPr>
              <w:snapToGrid w:val="0"/>
              <w:jc w:val="center"/>
              <w:rPr>
                <w:rFonts w:hint="eastAsia" w:ascii="宋体" w:hAnsi="宋体" w:eastAsia="宋体" w:cs="宋体"/>
                <w:i w:val="0"/>
                <w:iCs w:val="0"/>
                <w:color w:val="000000"/>
                <w:sz w:val="22"/>
                <w:szCs w:val="22"/>
                <w:u w:val="none"/>
              </w:rPr>
            </w:pPr>
          </w:p>
        </w:tc>
        <w:tc>
          <w:tcPr>
            <w:tcW w:w="670" w:type="dxa"/>
            <w:vMerge w:val="continue"/>
            <w:tcBorders>
              <w:top w:val="single" w:color="auto" w:sz="4" w:space="0"/>
              <w:left w:val="nil"/>
              <w:bottom w:val="single" w:color="auto" w:sz="4" w:space="0"/>
              <w:right w:val="single" w:color="auto" w:sz="4" w:space="0"/>
            </w:tcBorders>
            <w:shd w:val="clear" w:color="auto" w:fill="auto"/>
            <w:noWrap/>
            <w:vAlign w:val="center"/>
          </w:tcPr>
          <w:p w14:paraId="57EA3CB7">
            <w:pPr>
              <w:snapToGrid w:val="0"/>
              <w:jc w:val="center"/>
              <w:rPr>
                <w:rFonts w:hint="eastAsia" w:ascii="宋体" w:hAnsi="宋体" w:eastAsia="宋体" w:cs="宋体"/>
                <w:i w:val="0"/>
                <w:iCs w:val="0"/>
                <w:color w:val="000000"/>
                <w:sz w:val="22"/>
                <w:szCs w:val="22"/>
                <w:u w:val="none"/>
              </w:rPr>
            </w:pP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14C7939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指定采购</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5C6C84CF">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C302282">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指定来源或品牌采购情况(发现一次不按指定来源或品牌采购扣2 分，扣完为止)</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1E6B5989">
            <w:pPr>
              <w:snapToGrid w:val="0"/>
              <w:jc w:val="both"/>
              <w:rPr>
                <w:rFonts w:hint="eastAsia" w:ascii="宋体" w:hAnsi="宋体" w:eastAsia="宋体" w:cs="宋体"/>
                <w:i w:val="0"/>
                <w:iCs w:val="0"/>
                <w:color w:val="000000"/>
                <w:sz w:val="21"/>
                <w:szCs w:val="21"/>
                <w:u w:val="none"/>
              </w:rPr>
            </w:pPr>
          </w:p>
        </w:tc>
      </w:tr>
      <w:tr w14:paraId="4A8CC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16" w:type="dxa"/>
            <w:tcBorders>
              <w:top w:val="single" w:color="auto" w:sz="4" w:space="0"/>
              <w:left w:val="single" w:color="auto" w:sz="12" w:space="0"/>
              <w:bottom w:val="single" w:color="auto" w:sz="4" w:space="0"/>
              <w:right w:val="nil"/>
            </w:tcBorders>
            <w:shd w:val="clear" w:color="auto" w:fill="auto"/>
            <w:noWrap/>
            <w:vAlign w:val="center"/>
          </w:tcPr>
          <w:p w14:paraId="29CAD13B">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670" w:type="dxa"/>
            <w:tcBorders>
              <w:top w:val="single" w:color="auto" w:sz="4" w:space="0"/>
              <w:left w:val="nil"/>
              <w:bottom w:val="single" w:color="auto" w:sz="4" w:space="0"/>
              <w:right w:val="single" w:color="auto" w:sz="4" w:space="0"/>
            </w:tcBorders>
            <w:shd w:val="clear" w:color="auto" w:fill="auto"/>
            <w:noWrap/>
            <w:vAlign w:val="center"/>
          </w:tcPr>
          <w:p w14:paraId="01F522CA">
            <w:pPr>
              <w:keepNext w:val="0"/>
              <w:keepLines w:val="0"/>
              <w:widowControl/>
              <w:suppressLineNumbers w:val="0"/>
              <w:snapToGrid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廉政管理</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3B9F936">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廉政承诺</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14:paraId="401083F8">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57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3C7ED09">
            <w:pPr>
              <w:keepNext w:val="0"/>
              <w:keepLines w:val="0"/>
              <w:widowControl/>
              <w:suppressLineNumbers w:val="0"/>
              <w:snapToGrid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廉政承诺执行情况（发现中标人贿赂食堂工作人员或采购人经办人一次扣15 分，扣完为止）</w:t>
            </w:r>
          </w:p>
        </w:tc>
        <w:tc>
          <w:tcPr>
            <w:tcW w:w="1063" w:type="dxa"/>
            <w:tcBorders>
              <w:top w:val="single" w:color="auto" w:sz="4" w:space="0"/>
              <w:left w:val="single" w:color="auto" w:sz="4" w:space="0"/>
              <w:bottom w:val="single" w:color="auto" w:sz="4" w:space="0"/>
              <w:right w:val="single" w:color="auto" w:sz="12" w:space="0"/>
            </w:tcBorders>
            <w:shd w:val="clear" w:color="auto" w:fill="auto"/>
            <w:vAlign w:val="top"/>
          </w:tcPr>
          <w:p w14:paraId="774363C5">
            <w:pPr>
              <w:snapToGrid w:val="0"/>
              <w:jc w:val="center"/>
              <w:rPr>
                <w:rFonts w:hint="eastAsia" w:ascii="宋体" w:hAnsi="宋体" w:eastAsia="宋体" w:cs="宋体"/>
                <w:i w:val="0"/>
                <w:iCs w:val="0"/>
                <w:color w:val="000000"/>
                <w:sz w:val="21"/>
                <w:szCs w:val="21"/>
                <w:u w:val="none"/>
              </w:rPr>
            </w:pPr>
          </w:p>
        </w:tc>
      </w:tr>
      <w:tr w14:paraId="722A4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jc w:val="center"/>
        </w:trPr>
        <w:tc>
          <w:tcPr>
            <w:tcW w:w="1979" w:type="dxa"/>
            <w:gridSpan w:val="3"/>
            <w:tcBorders>
              <w:top w:val="single" w:color="auto" w:sz="4" w:space="0"/>
              <w:left w:val="single" w:color="auto" w:sz="12" w:space="0"/>
              <w:bottom w:val="single" w:color="auto" w:sz="12" w:space="0"/>
              <w:right w:val="single" w:color="auto" w:sz="4" w:space="0"/>
            </w:tcBorders>
            <w:shd w:val="clear" w:color="auto" w:fill="auto"/>
            <w:vAlign w:val="top"/>
          </w:tcPr>
          <w:p w14:paraId="35CE4168">
            <w:pPr>
              <w:keepNext w:val="0"/>
              <w:keepLines w:val="0"/>
              <w:widowControl/>
              <w:suppressLineNumbers w:val="0"/>
              <w:snapToGrid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 分</w:t>
            </w:r>
          </w:p>
        </w:tc>
        <w:tc>
          <w:tcPr>
            <w:tcW w:w="597" w:type="dxa"/>
            <w:tcBorders>
              <w:top w:val="single" w:color="auto" w:sz="4" w:space="0"/>
              <w:left w:val="single" w:color="auto" w:sz="4" w:space="0"/>
              <w:bottom w:val="single" w:color="auto" w:sz="12" w:space="0"/>
              <w:right w:val="single" w:color="auto" w:sz="4" w:space="0"/>
            </w:tcBorders>
            <w:shd w:val="clear" w:color="auto" w:fill="auto"/>
            <w:vAlign w:val="center"/>
          </w:tcPr>
          <w:p w14:paraId="41DB8A61">
            <w:pPr>
              <w:keepNext w:val="0"/>
              <w:keepLines w:val="0"/>
              <w:widowControl/>
              <w:suppressLineNumbers w:val="0"/>
              <w:snapToGrid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5732" w:type="dxa"/>
            <w:gridSpan w:val="3"/>
            <w:tcBorders>
              <w:top w:val="single" w:color="auto" w:sz="4" w:space="0"/>
              <w:left w:val="single" w:color="auto" w:sz="4" w:space="0"/>
              <w:bottom w:val="single" w:color="auto" w:sz="12" w:space="0"/>
              <w:right w:val="single" w:color="auto" w:sz="4" w:space="0"/>
            </w:tcBorders>
            <w:shd w:val="clear" w:color="auto" w:fill="auto"/>
            <w:vAlign w:val="center"/>
          </w:tcPr>
          <w:p w14:paraId="70476DF0">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本月得分</w:t>
            </w:r>
          </w:p>
        </w:tc>
        <w:tc>
          <w:tcPr>
            <w:tcW w:w="1063" w:type="dxa"/>
            <w:tcBorders>
              <w:top w:val="single" w:color="auto" w:sz="4" w:space="0"/>
              <w:left w:val="single" w:color="auto" w:sz="4" w:space="0"/>
              <w:bottom w:val="single" w:color="auto" w:sz="12" w:space="0"/>
              <w:right w:val="single" w:color="auto" w:sz="12" w:space="0"/>
            </w:tcBorders>
            <w:shd w:val="clear" w:color="auto" w:fill="auto"/>
            <w:vAlign w:val="center"/>
          </w:tcPr>
          <w:p w14:paraId="72B6F79F">
            <w:pPr>
              <w:snapToGrid w:val="0"/>
              <w:rPr>
                <w:rFonts w:hint="eastAsia" w:ascii="宋体" w:hAnsi="宋体" w:eastAsia="宋体" w:cs="宋体"/>
                <w:i w:val="0"/>
                <w:iCs w:val="0"/>
                <w:color w:val="000000"/>
                <w:sz w:val="21"/>
                <w:szCs w:val="21"/>
                <w:u w:val="none"/>
              </w:rPr>
            </w:pPr>
          </w:p>
        </w:tc>
      </w:tr>
    </w:tbl>
    <w:p w14:paraId="0DD0C9C5">
      <w:pPr>
        <w:pStyle w:val="2"/>
        <w:ind w:left="0" w:leftChars="0" w:firstLine="0" w:firstLineChars="0"/>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0YzI4NGJiMjg2ZWZlN2MzZDcyYzg5ZDEwYzBhZDAifQ=="/>
  </w:docVars>
  <w:rsids>
    <w:rsidRoot w:val="08791C12"/>
    <w:rsid w:val="038A7E04"/>
    <w:rsid w:val="06D849E3"/>
    <w:rsid w:val="084C7436"/>
    <w:rsid w:val="08791C12"/>
    <w:rsid w:val="091343F8"/>
    <w:rsid w:val="09187C60"/>
    <w:rsid w:val="0BC047E3"/>
    <w:rsid w:val="0CFF53BF"/>
    <w:rsid w:val="10156CA8"/>
    <w:rsid w:val="10667503"/>
    <w:rsid w:val="10D80401"/>
    <w:rsid w:val="11B6119C"/>
    <w:rsid w:val="159F14ED"/>
    <w:rsid w:val="1A3366A8"/>
    <w:rsid w:val="1A9F789A"/>
    <w:rsid w:val="1CAD322A"/>
    <w:rsid w:val="1CCE090A"/>
    <w:rsid w:val="1D0D6A39"/>
    <w:rsid w:val="1E1B192D"/>
    <w:rsid w:val="1E6F5D7F"/>
    <w:rsid w:val="1F7E03C6"/>
    <w:rsid w:val="1F8D666D"/>
    <w:rsid w:val="2355252F"/>
    <w:rsid w:val="257D5ACA"/>
    <w:rsid w:val="29387837"/>
    <w:rsid w:val="297A0400"/>
    <w:rsid w:val="29E11C7D"/>
    <w:rsid w:val="29FA0F90"/>
    <w:rsid w:val="2EA80FBB"/>
    <w:rsid w:val="2F570A42"/>
    <w:rsid w:val="326272CF"/>
    <w:rsid w:val="36625EF3"/>
    <w:rsid w:val="3B0A4DAB"/>
    <w:rsid w:val="3CD74C36"/>
    <w:rsid w:val="3E287A22"/>
    <w:rsid w:val="3EE729F1"/>
    <w:rsid w:val="40644F5E"/>
    <w:rsid w:val="409C46F8"/>
    <w:rsid w:val="43AF64F0"/>
    <w:rsid w:val="45196317"/>
    <w:rsid w:val="4A2F7F61"/>
    <w:rsid w:val="4C1C493F"/>
    <w:rsid w:val="52915BBF"/>
    <w:rsid w:val="56CF2CD9"/>
    <w:rsid w:val="59411541"/>
    <w:rsid w:val="59AD6BD6"/>
    <w:rsid w:val="5B81031A"/>
    <w:rsid w:val="5BBA55DA"/>
    <w:rsid w:val="5C507EAA"/>
    <w:rsid w:val="5E092C69"/>
    <w:rsid w:val="5E4C073C"/>
    <w:rsid w:val="5EEB267A"/>
    <w:rsid w:val="62C03E1E"/>
    <w:rsid w:val="63B32543"/>
    <w:rsid w:val="645B3DFE"/>
    <w:rsid w:val="65366619"/>
    <w:rsid w:val="667411A7"/>
    <w:rsid w:val="67346B89"/>
    <w:rsid w:val="677E1BB2"/>
    <w:rsid w:val="694330B3"/>
    <w:rsid w:val="69B26C93"/>
    <w:rsid w:val="6A771266"/>
    <w:rsid w:val="6ADE0306"/>
    <w:rsid w:val="6C0B435C"/>
    <w:rsid w:val="7315161C"/>
    <w:rsid w:val="78F755BB"/>
    <w:rsid w:val="79B100A5"/>
    <w:rsid w:val="79E93803"/>
    <w:rsid w:val="7A8772A3"/>
    <w:rsid w:val="7B6D470C"/>
    <w:rsid w:val="7E61605D"/>
    <w:rsid w:val="7ED22AB7"/>
    <w:rsid w:val="7F954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qFormat/>
    <w:uiPriority w:val="0"/>
    <w:pPr>
      <w:keepNext/>
      <w:keepLines/>
      <w:spacing w:before="120" w:after="120"/>
      <w:jc w:val="center"/>
      <w:outlineLvl w:val="0"/>
    </w:pPr>
    <w:rPr>
      <w:rFonts w:ascii="Calibri" w:hAnsi="Calibri"/>
      <w:b/>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adjustRightInd w:val="0"/>
      <w:spacing w:after="120" w:line="520" w:lineRule="exact"/>
      <w:ind w:firstLine="210" w:firstLineChars="0"/>
      <w:textAlignment w:val="baseline"/>
    </w:pPr>
    <w:rPr>
      <w:rFonts w:ascii="黑体" w:hAnsi="Arial" w:eastAsia="黑体"/>
    </w:rPr>
  </w:style>
  <w:style w:type="paragraph" w:styleId="3">
    <w:name w:val="Body Text Indent"/>
    <w:basedOn w:val="1"/>
    <w:next w:val="1"/>
    <w:qFormat/>
    <w:uiPriority w:val="0"/>
    <w:pPr>
      <w:spacing w:line="360" w:lineRule="auto"/>
      <w:ind w:firstLine="480" w:firstLineChars="200"/>
    </w:pPr>
    <w:rPr>
      <w:rFonts w:ascii="宋体" w:hAnsi="Times New Roman"/>
      <w:sz w:val="24"/>
      <w:szCs w:val="20"/>
    </w:rPr>
  </w:style>
  <w:style w:type="paragraph" w:styleId="5">
    <w:name w:val="Body Text"/>
    <w:basedOn w:val="1"/>
    <w:next w:val="1"/>
    <w:qFormat/>
    <w:uiPriority w:val="0"/>
    <w:pPr>
      <w:spacing w:after="120"/>
    </w:pPr>
    <w:rPr>
      <w:kern w:val="0"/>
      <w:sz w:val="20"/>
    </w:rPr>
  </w:style>
  <w:style w:type="paragraph" w:customStyle="1" w:styleId="8">
    <w:name w:val="列出段落1"/>
    <w:basedOn w:val="1"/>
    <w:qFormat/>
    <w:uiPriority w:val="34"/>
    <w:pPr>
      <w:ind w:firstLine="420" w:firstLineChars="200"/>
    </w:pPr>
  </w:style>
  <w:style w:type="paragraph" w:customStyle="1" w:styleId="9">
    <w:name w:val="正文（缩进）"/>
    <w:basedOn w:val="1"/>
    <w:qFormat/>
    <w:uiPriority w:val="0"/>
    <w:pPr>
      <w:spacing w:beforeLines="50" w:afterLines="50" w:line="360" w:lineRule="auto"/>
      <w:ind w:firstLine="480" w:firstLineChars="200"/>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9226</Words>
  <Characters>9920</Characters>
  <Lines>0</Lines>
  <Paragraphs>0</Paragraphs>
  <TotalTime>5</TotalTime>
  <ScaleCrop>false</ScaleCrop>
  <LinksUpToDate>false</LinksUpToDate>
  <CharactersWithSpaces>10036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2024-09-14T08:39:00Z</dcterms:created>
  <dc:creator>王霁</dc:creator>
  <cp:lastModifiedBy>天涯</cp:lastModifiedBy>
  <dcterms:modified xsi:type="dcterms:W3CDTF">2026-04-17T07:12:06Z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081C898CC3C44FC29EC746406403E972_11</vt:lpwstr>
  </property>
  <property fmtid="{D5CDD505-2E9C-101B-9397-08002B2CF9AE}" pid="4" name="KSOTemplateDocerSaveRecord">
    <vt:lpwstr>eyJoZGlkIjoiNTE4MzBiNTgwMjYxOWI5YTU3MTk0N2NhOGU2MDI1MTAiLCJ1c2VySWQiOiIzODA0MjI1NzQifQ==</vt:lpwstr>
  </property>
</Properties>
</file>