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5988D">
      <w:pPr>
        <w:jc w:val="center"/>
        <w:rPr>
          <w:rFonts w:ascii="宋体" w:hAnsi="宋体" w:cs="宋体"/>
          <w:b/>
          <w:color w:val="000000" w:themeColor="text1"/>
          <w:sz w:val="48"/>
          <w:szCs w:val="48"/>
          <w14:textFill>
            <w14:solidFill>
              <w14:schemeClr w14:val="tx1"/>
            </w14:solidFill>
          </w14:textFill>
        </w:rPr>
      </w:pPr>
    </w:p>
    <w:p w14:paraId="623662CF">
      <w:pPr>
        <w:pStyle w:val="34"/>
        <w:rPr>
          <w:color w:val="000000" w:themeColor="text1"/>
          <w14:textFill>
            <w14:solidFill>
              <w14:schemeClr w14:val="tx1"/>
            </w14:solidFill>
          </w14:textFill>
        </w:rPr>
      </w:pPr>
    </w:p>
    <w:p w14:paraId="6F1562DB">
      <w:pPr>
        <w:pStyle w:val="34"/>
        <w:rPr>
          <w:color w:val="000000" w:themeColor="text1"/>
          <w14:textFill>
            <w14:solidFill>
              <w14:schemeClr w14:val="tx1"/>
            </w14:solidFill>
          </w14:textFill>
        </w:rPr>
      </w:pPr>
    </w:p>
    <w:p w14:paraId="61131714">
      <w:pPr>
        <w:pStyle w:val="8"/>
        <w:jc w:val="center"/>
        <w:outlineLvl w:val="0"/>
        <w:rPr>
          <w:rFonts w:ascii="宋体" w:hAnsi="宋体"/>
          <w:b/>
          <w:color w:val="000000" w:themeColor="text1"/>
          <w:sz w:val="44"/>
          <w:szCs w:val="32"/>
          <w14:textFill>
            <w14:solidFill>
              <w14:schemeClr w14:val="tx1"/>
            </w14:solidFill>
          </w14:textFill>
        </w:rPr>
      </w:pPr>
      <w:r>
        <w:rPr>
          <w:rFonts w:hint="eastAsia" w:ascii="宋体" w:hAnsi="宋体"/>
          <w:b/>
          <w:color w:val="000000" w:themeColor="text1"/>
          <w:sz w:val="44"/>
          <w:szCs w:val="32"/>
          <w14:textFill>
            <w14:solidFill>
              <w14:schemeClr w14:val="tx1"/>
            </w14:solidFill>
          </w14:textFill>
        </w:rPr>
        <w:t>重庆高速工程检测有限公司</w:t>
      </w:r>
    </w:p>
    <w:p w14:paraId="531F2E17">
      <w:pPr>
        <w:spacing w:line="360" w:lineRule="auto"/>
        <w:jc w:val="center"/>
        <w:rPr>
          <w:rFonts w:hint="eastAsia" w:eastAsia="宋体"/>
          <w:b/>
          <w:color w:val="000000" w:themeColor="text1"/>
          <w:sz w:val="44"/>
          <w:szCs w:val="44"/>
          <w:lang w:eastAsia="zh-CN"/>
          <w14:textFill>
            <w14:solidFill>
              <w14:schemeClr w14:val="tx1"/>
            </w14:solidFill>
          </w14:textFill>
        </w:rPr>
      </w:pPr>
      <w:r>
        <w:rPr>
          <w:rFonts w:hint="eastAsia"/>
          <w:b/>
          <w:color w:val="000000" w:themeColor="text1"/>
          <w:sz w:val="44"/>
          <w:szCs w:val="44"/>
          <w:lang w:eastAsia="zh-CN"/>
          <w14:textFill>
            <w14:solidFill>
              <w14:schemeClr w14:val="tx1"/>
            </w14:solidFill>
          </w14:textFill>
        </w:rPr>
        <w:t>2026年隧道检测车租赁及技术服务</w:t>
      </w:r>
    </w:p>
    <w:p w14:paraId="0F15FCEB">
      <w:pPr>
        <w:pStyle w:val="8"/>
        <w:jc w:val="center"/>
        <w:outlineLvl w:val="0"/>
        <w:rPr>
          <w:rFonts w:ascii="宋体" w:hAnsi="宋体"/>
          <w:b/>
          <w:color w:val="000000" w:themeColor="text1"/>
          <w:sz w:val="44"/>
          <w:szCs w:val="32"/>
          <w14:textFill>
            <w14:solidFill>
              <w14:schemeClr w14:val="tx1"/>
            </w14:solidFill>
          </w14:textFill>
        </w:rPr>
      </w:pPr>
      <w:r>
        <w:rPr>
          <w:rFonts w:hint="eastAsia" w:ascii="宋体" w:hAnsi="宋体"/>
          <w:b/>
          <w:color w:val="000000" w:themeColor="text1"/>
          <w:sz w:val="44"/>
          <w:szCs w:val="32"/>
          <w14:textFill>
            <w14:solidFill>
              <w14:schemeClr w14:val="tx1"/>
            </w14:solidFill>
          </w14:textFill>
        </w:rPr>
        <w:t>（第一批）</w:t>
      </w:r>
    </w:p>
    <w:p w14:paraId="7AA20401">
      <w:pPr>
        <w:jc w:val="center"/>
        <w:rPr>
          <w:rFonts w:ascii="宋体" w:hAnsi="宋体" w:cs="宋体"/>
          <w:b/>
          <w:color w:val="000000" w:themeColor="text1"/>
          <w:spacing w:val="20"/>
          <w:sz w:val="72"/>
          <w:szCs w:val="72"/>
          <w14:textFill>
            <w14:solidFill>
              <w14:schemeClr w14:val="tx1"/>
            </w14:solidFill>
          </w14:textFill>
        </w:rPr>
      </w:pPr>
    </w:p>
    <w:p w14:paraId="0A5D0F90">
      <w:pPr>
        <w:jc w:val="center"/>
        <w:rPr>
          <w:rFonts w:ascii="宋体" w:hAnsi="宋体" w:cs="宋体"/>
          <w:b/>
          <w:color w:val="000000" w:themeColor="text1"/>
          <w:spacing w:val="20"/>
          <w:sz w:val="84"/>
          <w:szCs w:val="84"/>
          <w14:textFill>
            <w14:solidFill>
              <w14:schemeClr w14:val="tx1"/>
            </w14:solidFill>
          </w14:textFill>
        </w:rPr>
      </w:pPr>
    </w:p>
    <w:p w14:paraId="5C9AA909">
      <w:pPr>
        <w:jc w:val="center"/>
        <w:outlineLvl w:val="0"/>
        <w:rPr>
          <w:rFonts w:ascii="宋体" w:hAnsi="宋体" w:cs="宋体"/>
          <w:b/>
          <w:color w:val="000000" w:themeColor="text1"/>
          <w:spacing w:val="20"/>
          <w:sz w:val="84"/>
          <w:szCs w:val="84"/>
          <w14:textFill>
            <w14:solidFill>
              <w14:schemeClr w14:val="tx1"/>
            </w14:solidFill>
          </w14:textFill>
        </w:rPr>
      </w:pPr>
      <w:r>
        <w:rPr>
          <w:rFonts w:hint="eastAsia" w:ascii="宋体" w:hAnsi="宋体" w:cs="宋体"/>
          <w:b/>
          <w:color w:val="000000" w:themeColor="text1"/>
          <w:spacing w:val="20"/>
          <w:sz w:val="84"/>
          <w:szCs w:val="84"/>
          <w14:textFill>
            <w14:solidFill>
              <w14:schemeClr w14:val="tx1"/>
            </w14:solidFill>
          </w14:textFill>
        </w:rPr>
        <w:t>竞争性比选文件</w:t>
      </w:r>
    </w:p>
    <w:p w14:paraId="3F5A1606">
      <w:pPr>
        <w:rPr>
          <w:rFonts w:ascii="宋体" w:hAnsi="宋体" w:cs="宋体"/>
          <w:color w:val="000000" w:themeColor="text1"/>
          <w:szCs w:val="21"/>
          <w14:textFill>
            <w14:solidFill>
              <w14:schemeClr w14:val="tx1"/>
            </w14:solidFill>
          </w14:textFill>
        </w:rPr>
      </w:pPr>
    </w:p>
    <w:p w14:paraId="1530E166">
      <w:pPr>
        <w:rPr>
          <w:rFonts w:ascii="宋体" w:hAnsi="宋体" w:cs="宋体"/>
          <w:color w:val="000000" w:themeColor="text1"/>
          <w:szCs w:val="21"/>
          <w14:textFill>
            <w14:solidFill>
              <w14:schemeClr w14:val="tx1"/>
            </w14:solidFill>
          </w14:textFill>
        </w:rPr>
      </w:pPr>
    </w:p>
    <w:p w14:paraId="467784F2">
      <w:pPr>
        <w:rPr>
          <w:rFonts w:ascii="宋体" w:hAnsi="宋体" w:cs="宋体"/>
          <w:color w:val="000000" w:themeColor="text1"/>
          <w:szCs w:val="21"/>
          <w14:textFill>
            <w14:solidFill>
              <w14:schemeClr w14:val="tx1"/>
            </w14:solidFill>
          </w14:textFill>
        </w:rPr>
      </w:pPr>
    </w:p>
    <w:p w14:paraId="5B06B7AD">
      <w:pPr>
        <w:rPr>
          <w:rFonts w:ascii="宋体" w:hAnsi="宋体" w:cs="宋体"/>
          <w:color w:val="000000" w:themeColor="text1"/>
          <w:szCs w:val="21"/>
          <w14:textFill>
            <w14:solidFill>
              <w14:schemeClr w14:val="tx1"/>
            </w14:solidFill>
          </w14:textFill>
        </w:rPr>
      </w:pPr>
    </w:p>
    <w:p w14:paraId="7D34CFF1">
      <w:pPr>
        <w:pStyle w:val="34"/>
        <w:rPr>
          <w:color w:val="000000" w:themeColor="text1"/>
          <w14:textFill>
            <w14:solidFill>
              <w14:schemeClr w14:val="tx1"/>
            </w14:solidFill>
          </w14:textFill>
        </w:rPr>
      </w:pPr>
    </w:p>
    <w:p w14:paraId="3B416DDA">
      <w:pPr>
        <w:rPr>
          <w:rFonts w:ascii="宋体" w:hAnsi="宋体" w:cs="宋体"/>
          <w:color w:val="000000" w:themeColor="text1"/>
          <w:szCs w:val="21"/>
          <w14:textFill>
            <w14:solidFill>
              <w14:schemeClr w14:val="tx1"/>
            </w14:solidFill>
          </w14:textFill>
        </w:rPr>
      </w:pPr>
    </w:p>
    <w:p w14:paraId="34A987DF">
      <w:pPr>
        <w:rPr>
          <w:rFonts w:ascii="宋体" w:hAnsi="宋体" w:cs="宋体"/>
          <w:color w:val="000000" w:themeColor="text1"/>
          <w:szCs w:val="21"/>
          <w14:textFill>
            <w14:solidFill>
              <w14:schemeClr w14:val="tx1"/>
            </w14:solidFill>
          </w14:textFill>
        </w:rPr>
      </w:pPr>
    </w:p>
    <w:p w14:paraId="4CF96D3E">
      <w:pPr>
        <w:rPr>
          <w:rFonts w:ascii="宋体" w:hAnsi="宋体" w:cs="宋体"/>
          <w:color w:val="000000" w:themeColor="text1"/>
          <w:szCs w:val="21"/>
          <w14:textFill>
            <w14:solidFill>
              <w14:schemeClr w14:val="tx1"/>
            </w14:solidFill>
          </w14:textFill>
        </w:rPr>
      </w:pPr>
    </w:p>
    <w:p w14:paraId="31BA56A4">
      <w:pPr>
        <w:rPr>
          <w:rFonts w:ascii="宋体" w:hAnsi="宋体" w:cs="宋体"/>
          <w:color w:val="000000" w:themeColor="text1"/>
          <w:szCs w:val="21"/>
          <w14:textFill>
            <w14:solidFill>
              <w14:schemeClr w14:val="tx1"/>
            </w14:solidFill>
          </w14:textFill>
        </w:rPr>
      </w:pPr>
    </w:p>
    <w:p w14:paraId="78B64D10">
      <w:pPr>
        <w:rPr>
          <w:rFonts w:ascii="宋体" w:hAnsi="宋体" w:cs="宋体"/>
          <w:color w:val="000000" w:themeColor="text1"/>
          <w:szCs w:val="21"/>
          <w14:textFill>
            <w14:solidFill>
              <w14:schemeClr w14:val="tx1"/>
            </w14:solidFill>
          </w14:textFill>
        </w:rPr>
      </w:pPr>
    </w:p>
    <w:p w14:paraId="42EFD132">
      <w:pPr>
        <w:rPr>
          <w:rFonts w:ascii="宋体" w:hAnsi="宋体" w:cs="宋体"/>
          <w:color w:val="000000" w:themeColor="text1"/>
          <w:szCs w:val="21"/>
          <w14:textFill>
            <w14:solidFill>
              <w14:schemeClr w14:val="tx1"/>
            </w14:solidFill>
          </w14:textFill>
        </w:rPr>
      </w:pPr>
    </w:p>
    <w:p w14:paraId="108EA988">
      <w:pPr>
        <w:rPr>
          <w:rFonts w:ascii="宋体" w:hAnsi="宋体" w:cs="宋体"/>
          <w:color w:val="000000" w:themeColor="text1"/>
          <w:szCs w:val="21"/>
          <w14:textFill>
            <w14:solidFill>
              <w14:schemeClr w14:val="tx1"/>
            </w14:solidFill>
          </w14:textFill>
        </w:rPr>
      </w:pPr>
    </w:p>
    <w:p w14:paraId="40E4FC5D">
      <w:pPr>
        <w:rPr>
          <w:rFonts w:ascii="宋体" w:hAnsi="宋体" w:cs="宋体"/>
          <w:color w:val="000000" w:themeColor="text1"/>
          <w:szCs w:val="21"/>
          <w14:textFill>
            <w14:solidFill>
              <w14:schemeClr w14:val="tx1"/>
            </w14:solidFill>
          </w14:textFill>
        </w:rPr>
      </w:pPr>
    </w:p>
    <w:p w14:paraId="305C9D2D">
      <w:pPr>
        <w:rPr>
          <w:rFonts w:ascii="宋体" w:hAnsi="宋体" w:cs="宋体"/>
          <w:color w:val="000000" w:themeColor="text1"/>
          <w:szCs w:val="21"/>
          <w14:textFill>
            <w14:solidFill>
              <w14:schemeClr w14:val="tx1"/>
            </w14:solidFill>
          </w14:textFill>
        </w:rPr>
      </w:pPr>
    </w:p>
    <w:p w14:paraId="49E171DA">
      <w:pPr>
        <w:rPr>
          <w:rFonts w:ascii="宋体" w:hAnsi="宋体" w:cs="宋体"/>
          <w:color w:val="000000" w:themeColor="text1"/>
          <w:szCs w:val="21"/>
          <w14:textFill>
            <w14:solidFill>
              <w14:schemeClr w14:val="tx1"/>
            </w14:solidFill>
          </w14:textFill>
        </w:rPr>
      </w:pPr>
    </w:p>
    <w:p w14:paraId="026FA460">
      <w:pPr>
        <w:rPr>
          <w:rFonts w:ascii="宋体" w:hAnsi="宋体" w:cs="宋体"/>
          <w:color w:val="000000" w:themeColor="text1"/>
          <w:szCs w:val="21"/>
          <w14:textFill>
            <w14:solidFill>
              <w14:schemeClr w14:val="tx1"/>
            </w14:solidFill>
          </w14:textFill>
        </w:rPr>
      </w:pPr>
    </w:p>
    <w:p w14:paraId="43C1EB7E">
      <w:pPr>
        <w:rPr>
          <w:rFonts w:ascii="宋体" w:hAnsi="宋体" w:cs="宋体"/>
          <w:color w:val="000000" w:themeColor="text1"/>
          <w:spacing w:val="100"/>
          <w:szCs w:val="21"/>
          <w14:textFill>
            <w14:solidFill>
              <w14:schemeClr w14:val="tx1"/>
            </w14:solidFill>
          </w14:textFill>
        </w:rPr>
      </w:pPr>
    </w:p>
    <w:p w14:paraId="3E6DE67A">
      <w:pPr>
        <w:pStyle w:val="11"/>
        <w:spacing w:line="360" w:lineRule="auto"/>
        <w:ind w:left="99" w:leftChars="47"/>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重庆高速工程检测有限公司</w:t>
      </w:r>
    </w:p>
    <w:p w14:paraId="21FA6E98">
      <w:pPr>
        <w:pStyle w:val="11"/>
        <w:spacing w:line="360" w:lineRule="auto"/>
        <w:ind w:left="99" w:leftChars="47"/>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2026年</w:t>
      </w:r>
      <w:r>
        <w:rPr>
          <w:rFonts w:hint="eastAsia" w:ascii="宋体" w:hAnsi="宋体" w:cs="宋体"/>
          <w:b/>
          <w:color w:val="000000" w:themeColor="text1"/>
          <w:sz w:val="32"/>
          <w:szCs w:val="32"/>
          <w:lang w:val="en-US" w:eastAsia="zh-CN"/>
          <w14:textFill>
            <w14:solidFill>
              <w14:schemeClr w14:val="tx1"/>
            </w14:solidFill>
          </w14:textFill>
        </w:rPr>
        <w:t>5</w:t>
      </w:r>
      <w:r>
        <w:rPr>
          <w:rFonts w:hint="eastAsia" w:ascii="宋体" w:hAnsi="宋体" w:cs="宋体"/>
          <w:b/>
          <w:color w:val="000000" w:themeColor="text1"/>
          <w:sz w:val="32"/>
          <w:szCs w:val="32"/>
          <w14:textFill>
            <w14:solidFill>
              <w14:schemeClr w14:val="tx1"/>
            </w14:solidFill>
          </w14:textFill>
        </w:rPr>
        <w:t>月</w:t>
      </w:r>
    </w:p>
    <w:p w14:paraId="32DB168C">
      <w:pPr>
        <w:rPr>
          <w:color w:val="000000" w:themeColor="text1"/>
          <w14:textFill>
            <w14:solidFill>
              <w14:schemeClr w14:val="tx1"/>
            </w14:solidFill>
          </w14:textFill>
        </w:rPr>
      </w:pPr>
    </w:p>
    <w:p w14:paraId="0665DB20">
      <w:pPr>
        <w:pStyle w:val="34"/>
        <w:rPr>
          <w:color w:val="000000" w:themeColor="text1"/>
          <w14:textFill>
            <w14:solidFill>
              <w14:schemeClr w14:val="tx1"/>
            </w14:solidFill>
          </w14:textFill>
        </w:rPr>
      </w:pPr>
    </w:p>
    <w:p w14:paraId="4C64B90D">
      <w:pPr>
        <w:pStyle w:val="34"/>
        <w:rPr>
          <w:color w:val="000000" w:themeColor="text1"/>
          <w14:textFill>
            <w14:solidFill>
              <w14:schemeClr w14:val="tx1"/>
            </w14:solidFill>
          </w14:textFill>
        </w:rPr>
      </w:pPr>
    </w:p>
    <w:p w14:paraId="2DB35561">
      <w:pPr>
        <w:jc w:val="center"/>
        <w:outlineLvl w:val="0"/>
        <w:rPr>
          <w:color w:val="000000" w:themeColor="text1"/>
          <w14:textFill>
            <w14:solidFill>
              <w14:schemeClr w14:val="tx1"/>
            </w14:solidFill>
          </w14:textFill>
        </w:rPr>
        <w:sectPr>
          <w:footerReference r:id="rId3" w:type="default"/>
          <w:pgSz w:w="11906" w:h="16838"/>
          <w:pgMar w:top="1361" w:right="1587" w:bottom="1179" w:left="1587" w:header="794" w:footer="794" w:gutter="0"/>
          <w:cols w:space="720" w:num="1"/>
          <w:titlePg/>
          <w:docGrid w:type="lines" w:linePitch="312" w:charSpace="0"/>
        </w:sectPr>
      </w:pPr>
    </w:p>
    <w:p w14:paraId="04F95D6A">
      <w:p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2026年隧道检测车租赁及技术服务</w:t>
      </w:r>
      <w:r>
        <w:rPr>
          <w:rFonts w:hint="eastAsia" w:ascii="宋体" w:hAnsi="宋体"/>
          <w:b/>
          <w:color w:val="000000" w:themeColor="text1"/>
          <w:sz w:val="32"/>
          <w:szCs w:val="32"/>
          <w14:textFill>
            <w14:solidFill>
              <w14:schemeClr w14:val="tx1"/>
            </w14:solidFill>
          </w14:textFill>
        </w:rPr>
        <w:t>（第一批）</w:t>
      </w:r>
    </w:p>
    <w:p w14:paraId="10395316">
      <w:p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采购竞争性比选公告</w:t>
      </w:r>
    </w:p>
    <w:p w14:paraId="097E2906">
      <w:pPr>
        <w:spacing w:line="420" w:lineRule="atLeast"/>
        <w:ind w:firstLine="420" w:firstLineChars="200"/>
        <w:jc w:val="left"/>
        <w:rPr>
          <w:color w:val="000000" w:themeColor="text1"/>
          <w:szCs w:val="21"/>
          <w14:textFill>
            <w14:solidFill>
              <w14:schemeClr w14:val="tx1"/>
            </w14:solidFill>
          </w14:textFill>
        </w:rPr>
      </w:pPr>
      <w:bookmarkStart w:id="0" w:name="_Toc296602412"/>
      <w:bookmarkStart w:id="1" w:name="_Toc144974489"/>
      <w:bookmarkStart w:id="2" w:name="_Toc152042297"/>
      <w:bookmarkStart w:id="3" w:name="_Toc246996911"/>
      <w:bookmarkStart w:id="4" w:name="_Toc247085682"/>
      <w:bookmarkStart w:id="5" w:name="_Toc246996168"/>
      <w:bookmarkStart w:id="6" w:name="_Toc179632538"/>
      <w:bookmarkStart w:id="7" w:name="_Toc152045521"/>
      <w:r>
        <w:rPr>
          <w:color w:val="000000" w:themeColor="text1"/>
          <w:szCs w:val="21"/>
          <w14:textFill>
            <w14:solidFill>
              <w14:schemeClr w14:val="tx1"/>
            </w14:solidFill>
          </w14:textFill>
        </w:rPr>
        <w:t>重庆高速工程检测有限公司（以下简称比选人）因</w:t>
      </w:r>
      <w:r>
        <w:rPr>
          <w:rFonts w:hint="eastAsia"/>
          <w:color w:val="000000" w:themeColor="text1"/>
          <w:szCs w:val="21"/>
          <w14:textFill>
            <w14:solidFill>
              <w14:schemeClr w14:val="tx1"/>
            </w14:solidFill>
          </w14:textFill>
        </w:rPr>
        <w:t>项目开展</w:t>
      </w:r>
      <w:r>
        <w:rPr>
          <w:color w:val="000000" w:themeColor="text1"/>
          <w:szCs w:val="21"/>
          <w14:textFill>
            <w14:solidFill>
              <w14:schemeClr w14:val="tx1"/>
            </w14:solidFill>
          </w14:textFill>
        </w:rPr>
        <w:t>需要，拟</w:t>
      </w:r>
      <w:r>
        <w:rPr>
          <w:rFonts w:hint="eastAsia"/>
          <w:color w:val="000000" w:themeColor="text1"/>
          <w:szCs w:val="21"/>
          <w14:textFill>
            <w14:solidFill>
              <w14:schemeClr w14:val="tx1"/>
            </w14:solidFill>
          </w14:textFill>
        </w:rPr>
        <w:t>通过</w:t>
      </w:r>
      <w:r>
        <w:rPr>
          <w:color w:val="000000" w:themeColor="text1"/>
          <w:szCs w:val="21"/>
          <w14:textFill>
            <w14:solidFill>
              <w14:schemeClr w14:val="tx1"/>
            </w14:solidFill>
          </w14:textFill>
        </w:rPr>
        <w:t>竞争性比选方式选择</w:t>
      </w:r>
      <w:r>
        <w:rPr>
          <w:rFonts w:hint="eastAsia"/>
          <w:color w:val="000000" w:themeColor="text1"/>
          <w:szCs w:val="21"/>
          <w14:textFill>
            <w14:solidFill>
              <w14:schemeClr w14:val="tx1"/>
            </w14:solidFill>
          </w14:textFill>
        </w:rPr>
        <w:t>隧道检测车</w:t>
      </w:r>
      <w:r>
        <w:rPr>
          <w:color w:val="000000" w:themeColor="text1"/>
          <w:szCs w:val="21"/>
          <w14:textFill>
            <w14:solidFill>
              <w14:schemeClr w14:val="tx1"/>
            </w14:solidFill>
          </w14:textFill>
        </w:rPr>
        <w:t>技术服务单位。具体情况如下：</w:t>
      </w:r>
    </w:p>
    <w:p w14:paraId="17A3B0B5">
      <w:pPr>
        <w:wordWrap w:val="0"/>
        <w:spacing w:line="400" w:lineRule="exact"/>
        <w:ind w:firstLine="422" w:firstLineChars="200"/>
        <w:jc w:val="left"/>
        <w:rPr>
          <w:b/>
          <w:color w:val="000000" w:themeColor="text1"/>
          <w:szCs w:val="21"/>
          <w14:textFill>
            <w14:solidFill>
              <w14:schemeClr w14:val="tx1"/>
            </w14:solidFill>
          </w14:textFill>
        </w:rPr>
      </w:pPr>
      <w:bookmarkStart w:id="8" w:name="_Toc246996167"/>
      <w:bookmarkStart w:id="9" w:name="_Toc179632537"/>
      <w:bookmarkStart w:id="10" w:name="_Toc144974488"/>
      <w:bookmarkStart w:id="11" w:name="_Toc296602411"/>
      <w:bookmarkStart w:id="12" w:name="_Toc152042296"/>
      <w:bookmarkStart w:id="13" w:name="_Toc247085681"/>
      <w:bookmarkStart w:id="14" w:name="_Toc152045520"/>
      <w:bookmarkStart w:id="15" w:name="_Toc246996910"/>
      <w:r>
        <w:rPr>
          <w:b/>
          <w:color w:val="000000" w:themeColor="text1"/>
          <w:szCs w:val="21"/>
          <w14:textFill>
            <w14:solidFill>
              <w14:schemeClr w14:val="tx1"/>
            </w14:solidFill>
          </w14:textFill>
        </w:rPr>
        <w:t>一、项目概况与</w:t>
      </w:r>
      <w:r>
        <w:rPr>
          <w:rFonts w:hint="eastAsia"/>
          <w:b/>
          <w:color w:val="000000" w:themeColor="text1"/>
          <w:szCs w:val="21"/>
          <w14:textFill>
            <w14:solidFill>
              <w14:schemeClr w14:val="tx1"/>
            </w14:solidFill>
          </w14:textFill>
        </w:rPr>
        <w:t>竞争性比选</w:t>
      </w:r>
      <w:r>
        <w:rPr>
          <w:b/>
          <w:color w:val="000000" w:themeColor="text1"/>
          <w:szCs w:val="21"/>
          <w14:textFill>
            <w14:solidFill>
              <w14:schemeClr w14:val="tx1"/>
            </w14:solidFill>
          </w14:textFill>
        </w:rPr>
        <w:t>范围</w:t>
      </w:r>
      <w:bookmarkEnd w:id="8"/>
      <w:bookmarkEnd w:id="9"/>
      <w:bookmarkEnd w:id="10"/>
      <w:bookmarkEnd w:id="11"/>
      <w:bookmarkEnd w:id="12"/>
      <w:bookmarkEnd w:id="13"/>
      <w:bookmarkEnd w:id="14"/>
      <w:bookmarkEnd w:id="15"/>
    </w:p>
    <w:p w14:paraId="0A00CE35">
      <w:pPr>
        <w:spacing w:line="40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分布在重庆市部分高速公路上，待检隧道（单洞）公里数总长约223.17公里，具体工程量信息及限价如下表所示：</w:t>
      </w:r>
    </w:p>
    <w:tbl>
      <w:tblPr>
        <w:tblStyle w:val="19"/>
        <w:tblW w:w="4997"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6"/>
        <w:gridCol w:w="1563"/>
        <w:gridCol w:w="1105"/>
        <w:gridCol w:w="1161"/>
        <w:gridCol w:w="1520"/>
        <w:gridCol w:w="1410"/>
        <w:gridCol w:w="1528"/>
      </w:tblGrid>
      <w:tr w14:paraId="5FB8D2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7" w:type="pct"/>
            <w:vMerge w:val="restart"/>
            <w:tcBorders>
              <w:tl2br w:val="nil"/>
              <w:tr2bl w:val="nil"/>
            </w:tcBorders>
            <w:shd w:val="clear" w:color="auto" w:fill="auto"/>
            <w:vAlign w:val="center"/>
          </w:tcPr>
          <w:p w14:paraId="4D2EB31B">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序号</w:t>
            </w:r>
          </w:p>
        </w:tc>
        <w:tc>
          <w:tcPr>
            <w:tcW w:w="874" w:type="pct"/>
            <w:vMerge w:val="restart"/>
            <w:tcBorders>
              <w:tl2br w:val="nil"/>
              <w:tr2bl w:val="nil"/>
            </w:tcBorders>
            <w:shd w:val="clear" w:color="auto" w:fill="auto"/>
            <w:vAlign w:val="center"/>
          </w:tcPr>
          <w:p w14:paraId="79799947">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费用名称</w:t>
            </w:r>
          </w:p>
        </w:tc>
        <w:tc>
          <w:tcPr>
            <w:tcW w:w="618" w:type="pct"/>
            <w:vMerge w:val="restart"/>
            <w:tcBorders>
              <w:tl2br w:val="nil"/>
              <w:tr2bl w:val="nil"/>
            </w:tcBorders>
            <w:shd w:val="clear" w:color="auto" w:fill="auto"/>
            <w:vAlign w:val="center"/>
          </w:tcPr>
          <w:p w14:paraId="066B80F2">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单位</w:t>
            </w:r>
          </w:p>
        </w:tc>
        <w:tc>
          <w:tcPr>
            <w:tcW w:w="646" w:type="pct"/>
            <w:vMerge w:val="restart"/>
            <w:tcBorders>
              <w:tl2br w:val="nil"/>
              <w:tr2bl w:val="nil"/>
            </w:tcBorders>
            <w:shd w:val="clear" w:color="auto" w:fill="auto"/>
            <w:vAlign w:val="center"/>
          </w:tcPr>
          <w:p w14:paraId="01244A02">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计划</w:t>
            </w:r>
          </w:p>
          <w:p w14:paraId="20C0A9E6">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工程量</w:t>
            </w:r>
          </w:p>
        </w:tc>
        <w:tc>
          <w:tcPr>
            <w:tcW w:w="850" w:type="pct"/>
            <w:vMerge w:val="restart"/>
            <w:tcBorders>
              <w:tl2br w:val="nil"/>
              <w:tr2bl w:val="nil"/>
            </w:tcBorders>
            <w:shd w:val="clear" w:color="auto" w:fill="auto"/>
            <w:vAlign w:val="center"/>
          </w:tcPr>
          <w:p w14:paraId="41E99F2D">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不含税限价单价（元）</w:t>
            </w:r>
          </w:p>
        </w:tc>
        <w:tc>
          <w:tcPr>
            <w:tcW w:w="788" w:type="pct"/>
            <w:vMerge w:val="restart"/>
            <w:tcBorders>
              <w:tl2br w:val="nil"/>
              <w:tr2bl w:val="nil"/>
            </w:tcBorders>
            <w:shd w:val="clear" w:color="auto" w:fill="auto"/>
            <w:vAlign w:val="center"/>
          </w:tcPr>
          <w:p w14:paraId="2981CF56">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不含税限价合价（元）</w:t>
            </w:r>
          </w:p>
        </w:tc>
        <w:tc>
          <w:tcPr>
            <w:tcW w:w="852" w:type="pct"/>
            <w:vMerge w:val="restart"/>
            <w:tcBorders>
              <w:tl2br w:val="nil"/>
              <w:tr2bl w:val="nil"/>
            </w:tcBorders>
            <w:shd w:val="clear" w:color="auto" w:fill="auto"/>
            <w:vAlign w:val="center"/>
          </w:tcPr>
          <w:p w14:paraId="4A810921">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备注</w:t>
            </w:r>
          </w:p>
        </w:tc>
      </w:tr>
      <w:tr w14:paraId="30B68C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367" w:type="pct"/>
            <w:vMerge w:val="continue"/>
            <w:tcBorders>
              <w:tl2br w:val="nil"/>
              <w:tr2bl w:val="nil"/>
            </w:tcBorders>
            <w:shd w:val="clear" w:color="auto" w:fill="auto"/>
            <w:vAlign w:val="center"/>
          </w:tcPr>
          <w:p w14:paraId="5AA08D0B">
            <w:pPr>
              <w:jc w:val="center"/>
              <w:rPr>
                <w:rFonts w:ascii="宋体" w:hAnsi="宋体" w:cs="宋体"/>
                <w:color w:val="000000" w:themeColor="text1"/>
                <w:kern w:val="0"/>
                <w:szCs w:val="21"/>
                <w:lang w:bidi="ar"/>
                <w14:textFill>
                  <w14:solidFill>
                    <w14:schemeClr w14:val="tx1"/>
                  </w14:solidFill>
                </w14:textFill>
              </w:rPr>
            </w:pPr>
          </w:p>
        </w:tc>
        <w:tc>
          <w:tcPr>
            <w:tcW w:w="874" w:type="pct"/>
            <w:vMerge w:val="continue"/>
            <w:tcBorders>
              <w:tl2br w:val="nil"/>
              <w:tr2bl w:val="nil"/>
            </w:tcBorders>
            <w:shd w:val="clear" w:color="auto" w:fill="auto"/>
            <w:vAlign w:val="center"/>
          </w:tcPr>
          <w:p w14:paraId="0D989B9E">
            <w:pPr>
              <w:jc w:val="center"/>
              <w:rPr>
                <w:rFonts w:ascii="宋体" w:hAnsi="宋体" w:cs="宋体"/>
                <w:color w:val="000000" w:themeColor="text1"/>
                <w:kern w:val="0"/>
                <w:szCs w:val="21"/>
                <w:lang w:bidi="ar"/>
                <w14:textFill>
                  <w14:solidFill>
                    <w14:schemeClr w14:val="tx1"/>
                  </w14:solidFill>
                </w14:textFill>
              </w:rPr>
            </w:pPr>
          </w:p>
        </w:tc>
        <w:tc>
          <w:tcPr>
            <w:tcW w:w="618" w:type="pct"/>
            <w:vMerge w:val="continue"/>
            <w:tcBorders>
              <w:tl2br w:val="nil"/>
              <w:tr2bl w:val="nil"/>
            </w:tcBorders>
            <w:shd w:val="clear" w:color="auto" w:fill="auto"/>
            <w:vAlign w:val="center"/>
          </w:tcPr>
          <w:p w14:paraId="14FB4776">
            <w:pPr>
              <w:jc w:val="center"/>
              <w:rPr>
                <w:rFonts w:ascii="宋体" w:hAnsi="宋体" w:cs="宋体"/>
                <w:color w:val="000000" w:themeColor="text1"/>
                <w:kern w:val="0"/>
                <w:szCs w:val="21"/>
                <w:lang w:bidi="ar"/>
                <w14:textFill>
                  <w14:solidFill>
                    <w14:schemeClr w14:val="tx1"/>
                  </w14:solidFill>
                </w14:textFill>
              </w:rPr>
            </w:pPr>
          </w:p>
        </w:tc>
        <w:tc>
          <w:tcPr>
            <w:tcW w:w="646" w:type="pct"/>
            <w:vMerge w:val="continue"/>
            <w:tcBorders>
              <w:tl2br w:val="nil"/>
              <w:tr2bl w:val="nil"/>
            </w:tcBorders>
            <w:shd w:val="clear" w:color="auto" w:fill="auto"/>
            <w:vAlign w:val="center"/>
          </w:tcPr>
          <w:p w14:paraId="248B9A93">
            <w:pPr>
              <w:jc w:val="center"/>
              <w:rPr>
                <w:rFonts w:ascii="宋体" w:hAnsi="宋体" w:cs="宋体"/>
                <w:color w:val="000000" w:themeColor="text1"/>
                <w:kern w:val="0"/>
                <w:szCs w:val="21"/>
                <w:lang w:bidi="ar"/>
                <w14:textFill>
                  <w14:solidFill>
                    <w14:schemeClr w14:val="tx1"/>
                  </w14:solidFill>
                </w14:textFill>
              </w:rPr>
            </w:pPr>
          </w:p>
        </w:tc>
        <w:tc>
          <w:tcPr>
            <w:tcW w:w="850" w:type="pct"/>
            <w:vMerge w:val="continue"/>
            <w:tcBorders>
              <w:tl2br w:val="nil"/>
              <w:tr2bl w:val="nil"/>
            </w:tcBorders>
            <w:shd w:val="clear" w:color="auto" w:fill="auto"/>
            <w:vAlign w:val="center"/>
          </w:tcPr>
          <w:p w14:paraId="4E1F8EF5">
            <w:pPr>
              <w:jc w:val="center"/>
              <w:rPr>
                <w:rFonts w:ascii="宋体" w:hAnsi="宋体" w:cs="宋体"/>
                <w:color w:val="000000" w:themeColor="text1"/>
                <w:kern w:val="0"/>
                <w:szCs w:val="21"/>
                <w:lang w:bidi="ar"/>
                <w14:textFill>
                  <w14:solidFill>
                    <w14:schemeClr w14:val="tx1"/>
                  </w14:solidFill>
                </w14:textFill>
              </w:rPr>
            </w:pPr>
          </w:p>
        </w:tc>
        <w:tc>
          <w:tcPr>
            <w:tcW w:w="788" w:type="pct"/>
            <w:vMerge w:val="continue"/>
            <w:tcBorders>
              <w:tl2br w:val="nil"/>
              <w:tr2bl w:val="nil"/>
            </w:tcBorders>
            <w:shd w:val="clear" w:color="auto" w:fill="auto"/>
            <w:vAlign w:val="center"/>
          </w:tcPr>
          <w:p w14:paraId="4C27700D">
            <w:pPr>
              <w:jc w:val="center"/>
              <w:rPr>
                <w:rFonts w:ascii="宋体" w:hAnsi="宋体" w:cs="宋体"/>
                <w:color w:val="000000" w:themeColor="text1"/>
                <w:kern w:val="0"/>
                <w:szCs w:val="21"/>
                <w:lang w:bidi="ar"/>
                <w14:textFill>
                  <w14:solidFill>
                    <w14:schemeClr w14:val="tx1"/>
                  </w14:solidFill>
                </w14:textFill>
              </w:rPr>
            </w:pPr>
          </w:p>
        </w:tc>
        <w:tc>
          <w:tcPr>
            <w:tcW w:w="852" w:type="pct"/>
            <w:vMerge w:val="continue"/>
            <w:tcBorders>
              <w:tl2br w:val="nil"/>
              <w:tr2bl w:val="nil"/>
            </w:tcBorders>
            <w:shd w:val="clear" w:color="auto" w:fill="auto"/>
            <w:vAlign w:val="center"/>
          </w:tcPr>
          <w:p w14:paraId="1A7F92DD">
            <w:pPr>
              <w:jc w:val="center"/>
              <w:rPr>
                <w:rFonts w:ascii="宋体" w:hAnsi="宋体" w:cs="宋体"/>
                <w:color w:val="000000" w:themeColor="text1"/>
                <w:kern w:val="0"/>
                <w:szCs w:val="21"/>
                <w:lang w:bidi="ar"/>
                <w14:textFill>
                  <w14:solidFill>
                    <w14:schemeClr w14:val="tx1"/>
                  </w14:solidFill>
                </w14:textFill>
              </w:rPr>
            </w:pPr>
          </w:p>
        </w:tc>
      </w:tr>
      <w:tr w14:paraId="6488FE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7" w:type="pct"/>
            <w:tcBorders>
              <w:tl2br w:val="nil"/>
              <w:tr2bl w:val="nil"/>
            </w:tcBorders>
            <w:vAlign w:val="center"/>
          </w:tcPr>
          <w:p w14:paraId="2E5F2F18">
            <w:pPr>
              <w:widowControl/>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1</w:t>
            </w:r>
          </w:p>
        </w:tc>
        <w:tc>
          <w:tcPr>
            <w:tcW w:w="874" w:type="pct"/>
            <w:tcBorders>
              <w:tl2br w:val="nil"/>
              <w:tr2bl w:val="nil"/>
            </w:tcBorders>
            <w:vAlign w:val="center"/>
          </w:tcPr>
          <w:p w14:paraId="7964B206">
            <w:pPr>
              <w:widowControl/>
              <w:jc w:val="center"/>
              <w:textAlignment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隧道检测车</w:t>
            </w:r>
            <w:r>
              <w:rPr>
                <w:color w:val="000000" w:themeColor="text1"/>
                <w:kern w:val="0"/>
                <w:szCs w:val="21"/>
                <w:lang w:bidi="ar"/>
                <w14:textFill>
                  <w14:solidFill>
                    <w14:schemeClr w14:val="tx1"/>
                  </w14:solidFill>
                </w14:textFill>
              </w:rPr>
              <w:t>技术服务</w:t>
            </w:r>
            <w:r>
              <w:rPr>
                <w:rFonts w:hint="eastAsia"/>
                <w:color w:val="000000" w:themeColor="text1"/>
                <w:kern w:val="0"/>
                <w:szCs w:val="21"/>
                <w:lang w:bidi="ar"/>
                <w14:textFill>
                  <w14:solidFill>
                    <w14:schemeClr w14:val="tx1"/>
                  </w14:solidFill>
                </w14:textFill>
              </w:rPr>
              <w:t>费</w:t>
            </w:r>
          </w:p>
        </w:tc>
        <w:tc>
          <w:tcPr>
            <w:tcW w:w="618" w:type="pct"/>
            <w:tcBorders>
              <w:tl2br w:val="nil"/>
              <w:tr2bl w:val="nil"/>
            </w:tcBorders>
            <w:vAlign w:val="center"/>
          </w:tcPr>
          <w:p w14:paraId="65402985">
            <w:pPr>
              <w:widowControl/>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延米</w:t>
            </w:r>
          </w:p>
        </w:tc>
        <w:tc>
          <w:tcPr>
            <w:tcW w:w="646" w:type="pct"/>
            <w:tcBorders>
              <w:tl2br w:val="nil"/>
              <w:tr2bl w:val="nil"/>
            </w:tcBorders>
            <w:vAlign w:val="center"/>
          </w:tcPr>
          <w:p w14:paraId="0651A7DD">
            <w:pPr>
              <w:widowControl/>
              <w:jc w:val="center"/>
              <w:textAlignment w:val="center"/>
              <w:rPr>
                <w:color w:val="000000" w:themeColor="text1"/>
                <w:kern w:val="0"/>
                <w:szCs w:val="21"/>
                <w:lang w:bidi="ar"/>
                <w14:textFill>
                  <w14:solidFill>
                    <w14:schemeClr w14:val="tx1"/>
                  </w14:solidFill>
                </w14:textFill>
              </w:rPr>
            </w:pPr>
            <w:r>
              <w:rPr>
                <w:rFonts w:hint="eastAsia"/>
                <w:color w:val="000000" w:themeColor="text1"/>
                <w:szCs w:val="21"/>
                <w14:textFill>
                  <w14:solidFill>
                    <w14:schemeClr w14:val="tx1"/>
                  </w14:solidFill>
                </w14:textFill>
              </w:rPr>
              <w:t>223170</w:t>
            </w:r>
          </w:p>
        </w:tc>
        <w:tc>
          <w:tcPr>
            <w:tcW w:w="850" w:type="pct"/>
            <w:tcBorders>
              <w:tl2br w:val="nil"/>
              <w:tr2bl w:val="nil"/>
            </w:tcBorders>
            <w:vAlign w:val="center"/>
          </w:tcPr>
          <w:p w14:paraId="22250253">
            <w:pPr>
              <w:widowControl/>
              <w:jc w:val="center"/>
              <w:textAlignment w:val="center"/>
              <w:rPr>
                <w:color w:val="000000" w:themeColor="text1"/>
                <w:kern w:val="0"/>
                <w:szCs w:val="21"/>
                <w:lang w:bidi="ar"/>
                <w14:textFill>
                  <w14:solidFill>
                    <w14:schemeClr w14:val="tx1"/>
                  </w14:solidFill>
                </w14:textFill>
              </w:rPr>
            </w:pPr>
            <w:r>
              <w:rPr>
                <w:rFonts w:hint="eastAsia"/>
                <w:color w:val="000000" w:themeColor="text1"/>
                <w:kern w:val="0"/>
                <w:szCs w:val="21"/>
                <w:lang w:bidi="ar"/>
                <w14:textFill>
                  <w14:solidFill>
                    <w14:schemeClr w14:val="tx1"/>
                  </w14:solidFill>
                </w14:textFill>
              </w:rPr>
              <w:t>2.97</w:t>
            </w:r>
          </w:p>
        </w:tc>
        <w:tc>
          <w:tcPr>
            <w:tcW w:w="788" w:type="pct"/>
            <w:tcBorders>
              <w:tl2br w:val="nil"/>
              <w:tr2bl w:val="nil"/>
            </w:tcBorders>
            <w:vAlign w:val="center"/>
          </w:tcPr>
          <w:p w14:paraId="04C59D8F">
            <w:pPr>
              <w:widowControl/>
              <w:jc w:val="center"/>
              <w:textAlignment w:val="center"/>
              <w:rPr>
                <w:rFonts w:hint="eastAsia" w:eastAsia="宋体"/>
                <w:color w:val="000000" w:themeColor="text1"/>
                <w:kern w:val="0"/>
                <w:szCs w:val="21"/>
                <w:lang w:eastAsia="zh-CN" w:bidi="ar"/>
                <w14:textFill>
                  <w14:solidFill>
                    <w14:schemeClr w14:val="tx1"/>
                  </w14:solidFill>
                </w14:textFill>
              </w:rPr>
            </w:pPr>
            <w:r>
              <w:rPr>
                <w:rFonts w:hint="eastAsia"/>
              </w:rPr>
              <w:t>662814.9</w:t>
            </w:r>
            <w:r>
              <w:rPr>
                <w:rFonts w:hint="eastAsia"/>
                <w:lang w:val="en-US" w:eastAsia="zh-CN"/>
              </w:rPr>
              <w:t>0</w:t>
            </w:r>
          </w:p>
        </w:tc>
        <w:tc>
          <w:tcPr>
            <w:tcW w:w="852" w:type="pct"/>
            <w:tcBorders>
              <w:tl2br w:val="nil"/>
              <w:tr2bl w:val="nil"/>
            </w:tcBorders>
            <w:vAlign w:val="center"/>
          </w:tcPr>
          <w:p w14:paraId="7E5E13E8">
            <w:pPr>
              <w:widowControl/>
              <w:spacing w:line="400" w:lineRule="exact"/>
              <w:jc w:val="left"/>
              <w:textAlignment w:val="center"/>
              <w:rPr>
                <w:color w:val="000000" w:themeColor="text1"/>
                <w:kern w:val="0"/>
                <w:szCs w:val="21"/>
                <w:lang w:bidi="ar"/>
                <w14:textFill>
                  <w14:solidFill>
                    <w14:schemeClr w14:val="tx1"/>
                  </w14:solidFill>
                </w14:textFill>
              </w:rPr>
            </w:pPr>
          </w:p>
        </w:tc>
      </w:tr>
      <w:tr w14:paraId="0485AD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08" w:type="pct"/>
            <w:gridSpan w:val="4"/>
            <w:tcBorders>
              <w:tl2br w:val="nil"/>
              <w:tr2bl w:val="nil"/>
            </w:tcBorders>
            <w:vAlign w:val="center"/>
          </w:tcPr>
          <w:p w14:paraId="0607EF3B">
            <w:pPr>
              <w:widowControl/>
              <w:spacing w:line="400" w:lineRule="exact"/>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合计（</w:t>
            </w:r>
            <w:r>
              <w:rPr>
                <w:rFonts w:hint="eastAsia"/>
                <w:color w:val="000000" w:themeColor="text1"/>
                <w:kern w:val="0"/>
                <w:szCs w:val="21"/>
                <w:lang w:bidi="ar"/>
                <w14:textFill>
                  <w14:solidFill>
                    <w14:schemeClr w14:val="tx1"/>
                  </w14:solidFill>
                </w14:textFill>
              </w:rPr>
              <w:t>不含增值税</w:t>
            </w:r>
            <w:r>
              <w:rPr>
                <w:color w:val="000000" w:themeColor="text1"/>
                <w:kern w:val="0"/>
                <w:szCs w:val="21"/>
                <w:lang w:bidi="ar"/>
                <w14:textFill>
                  <w14:solidFill>
                    <w14:schemeClr w14:val="tx1"/>
                  </w14:solidFill>
                </w14:textFill>
              </w:rPr>
              <w:t>）</w:t>
            </w:r>
          </w:p>
        </w:tc>
        <w:tc>
          <w:tcPr>
            <w:tcW w:w="850" w:type="pct"/>
            <w:tcBorders>
              <w:tl2br w:val="nil"/>
              <w:tr2bl w:val="nil"/>
            </w:tcBorders>
            <w:vAlign w:val="center"/>
          </w:tcPr>
          <w:p w14:paraId="7BD6D45A">
            <w:pPr>
              <w:widowControl/>
              <w:spacing w:line="400" w:lineRule="exact"/>
              <w:jc w:val="center"/>
              <w:textAlignment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w:t>
            </w:r>
          </w:p>
        </w:tc>
        <w:tc>
          <w:tcPr>
            <w:tcW w:w="788" w:type="pct"/>
            <w:tcBorders>
              <w:tl2br w:val="nil"/>
              <w:tr2bl w:val="nil"/>
            </w:tcBorders>
            <w:vAlign w:val="center"/>
          </w:tcPr>
          <w:p w14:paraId="18576827">
            <w:pPr>
              <w:widowControl/>
              <w:jc w:val="center"/>
              <w:textAlignment w:val="center"/>
              <w:rPr>
                <w:rFonts w:hint="eastAsia" w:eastAsia="宋体"/>
                <w:color w:val="000000" w:themeColor="text1"/>
                <w:szCs w:val="21"/>
                <w:lang w:eastAsia="zh-CN"/>
                <w14:textFill>
                  <w14:solidFill>
                    <w14:schemeClr w14:val="tx1"/>
                  </w14:solidFill>
                </w14:textFill>
              </w:rPr>
            </w:pPr>
            <w:r>
              <w:rPr>
                <w:rFonts w:hint="eastAsia"/>
              </w:rPr>
              <w:t>662814.9</w:t>
            </w:r>
            <w:r>
              <w:rPr>
                <w:rFonts w:hint="eastAsia"/>
                <w:lang w:val="en-US" w:eastAsia="zh-CN"/>
              </w:rPr>
              <w:t>0</w:t>
            </w:r>
          </w:p>
        </w:tc>
        <w:tc>
          <w:tcPr>
            <w:tcW w:w="852" w:type="pct"/>
            <w:tcBorders>
              <w:tl2br w:val="nil"/>
              <w:tr2bl w:val="nil"/>
            </w:tcBorders>
            <w:vAlign w:val="center"/>
          </w:tcPr>
          <w:p w14:paraId="709FEBEF">
            <w:pPr>
              <w:widowControl/>
              <w:spacing w:line="400" w:lineRule="exact"/>
              <w:jc w:val="center"/>
              <w:textAlignment w:val="center"/>
              <w:rPr>
                <w:color w:val="000000" w:themeColor="text1"/>
                <w:kern w:val="0"/>
                <w:szCs w:val="21"/>
                <w:lang w:bidi="ar"/>
                <w14:textFill>
                  <w14:solidFill>
                    <w14:schemeClr w14:val="tx1"/>
                  </w14:solidFill>
                </w14:textFill>
              </w:rPr>
            </w:pPr>
          </w:p>
        </w:tc>
      </w:tr>
      <w:tr w14:paraId="26540D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tcBorders>
              <w:tl2br w:val="nil"/>
              <w:tr2bl w:val="nil"/>
            </w:tcBorders>
            <w:vAlign w:val="center"/>
          </w:tcPr>
          <w:p w14:paraId="084571FC">
            <w:pPr>
              <w:widowControl/>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备注：</w:t>
            </w:r>
          </w:p>
        </w:tc>
      </w:tr>
      <w:tr w14:paraId="0E3E13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7"/>
            <w:tcBorders>
              <w:top w:val="nil"/>
            </w:tcBorders>
            <w:vAlign w:val="center"/>
          </w:tcPr>
          <w:p w14:paraId="6BF4D253">
            <w:pPr>
              <w:widowControl/>
              <w:numPr>
                <w:ilvl w:val="255"/>
                <w:numId w:val="0"/>
              </w:numPr>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上述限价包括隧道检测车使用、隧道土建结构和其他工程设施部分的现场定期检测及人工补测及复核、数据处理等，质保期内服务、人员工资及福利、人员交通及住宿、车辆使用(含高速公路通行费、燃油费)、隧道检测车维修费、人员及隧道检测车保险、安全投入、利润、增值税专用发票税金、物价上涨因素等在内的各种费用以及合同明示或暗示的所有责任、义务和一般风险。</w:t>
            </w:r>
          </w:p>
          <w:p w14:paraId="14ECA681">
            <w:pPr>
              <w:widowControl/>
              <w:numPr>
                <w:ilvl w:val="255"/>
                <w:numId w:val="0"/>
              </w:numPr>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2、所列计划工程量是估算的或预计的数量，不能作为最终结算与支付的依据。实际支付应按甲方认可的实际工程量进行结算。</w:t>
            </w:r>
          </w:p>
          <w:p w14:paraId="5C23D0C0">
            <w:pPr>
              <w:widowControl/>
              <w:numPr>
                <w:ilvl w:val="255"/>
                <w:numId w:val="0"/>
              </w:numPr>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3、</w:t>
            </w:r>
            <w:r>
              <w:rPr>
                <w:rFonts w:hint="eastAsia"/>
                <w:color w:val="000000" w:themeColor="text1"/>
                <w:szCs w:val="21"/>
                <w14:textFill>
                  <w14:solidFill>
                    <w14:schemeClr w14:val="tx1"/>
                  </w14:solidFill>
                </w14:textFill>
              </w:rPr>
              <w:t>使用地点：渝湘复线高速公路巴彭路、彭酉路、武道路、成渝高速公路等</w:t>
            </w:r>
            <w:r>
              <w:rPr>
                <w:rFonts w:hint="eastAsia" w:ascii="宋体" w:hAnsi="宋体" w:cs="宋体"/>
                <w:color w:val="000000" w:themeColor="text1"/>
                <w:kern w:val="0"/>
                <w:szCs w:val="21"/>
                <w:lang w:bidi="ar"/>
                <w14:textFill>
                  <w14:solidFill>
                    <w14:schemeClr w14:val="tx1"/>
                  </w14:solidFill>
                </w14:textFill>
              </w:rPr>
              <w:t>。</w:t>
            </w:r>
          </w:p>
        </w:tc>
      </w:tr>
    </w:tbl>
    <w:p w14:paraId="63E762F3">
      <w:pPr>
        <w:numPr>
          <w:ilvl w:val="0"/>
          <w:numId w:val="2"/>
        </w:numPr>
        <w:wordWrap w:val="0"/>
        <w:spacing w:line="400" w:lineRule="exact"/>
        <w:ind w:firstLine="422" w:firstLineChars="200"/>
        <w:jc w:val="lef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竞标人</w:t>
      </w:r>
      <w:r>
        <w:rPr>
          <w:rFonts w:hint="eastAsia"/>
          <w:b/>
          <w:color w:val="000000" w:themeColor="text1"/>
          <w:szCs w:val="21"/>
          <w14:textFill>
            <w14:solidFill>
              <w14:schemeClr w14:val="tx1"/>
            </w14:solidFill>
          </w14:textFill>
        </w:rPr>
        <w:t>资格要求</w:t>
      </w:r>
    </w:p>
    <w:p w14:paraId="53427635">
      <w:pPr>
        <w:numPr>
          <w:ilvl w:val="0"/>
          <w:numId w:val="3"/>
        </w:num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资质要求：在中华人民共和国境内工商局登记注册、根据中华人民共和国有关法律合法成立并存续且具有独立民事责任能力且在法律上和财务上独立，具备独立法人资格，企业营业执照（三证合一）、银行开户许可证（提供原件扫描件电子版）；</w:t>
      </w:r>
    </w:p>
    <w:p w14:paraId="418E6057">
      <w:pPr>
        <w:numPr>
          <w:ilvl w:val="0"/>
          <w:numId w:val="3"/>
        </w:num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设施设备要求：具有隧道检测车自有产权（提供产权证明）；</w:t>
      </w:r>
    </w:p>
    <w:p w14:paraId="11229CFB">
      <w:pPr>
        <w:numPr>
          <w:ilvl w:val="0"/>
          <w:numId w:val="3"/>
        </w:num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业绩要求：自2023年</w:t>
      </w:r>
      <w:r>
        <w:rPr>
          <w:rFonts w:hint="eastAsia"/>
          <w:color w:val="000000" w:themeColor="text1"/>
          <w:szCs w:val="21"/>
          <w:lang w:val="en-US" w:eastAsia="zh-CN"/>
          <w14:textFill>
            <w14:solidFill>
              <w14:schemeClr w14:val="tx1"/>
            </w14:solidFill>
          </w14:textFill>
        </w:rPr>
        <w:t>1</w:t>
      </w:r>
      <w:r>
        <w:rPr>
          <w:rFonts w:hint="eastAsia"/>
          <w:color w:val="000000" w:themeColor="text1"/>
          <w:szCs w:val="21"/>
          <w14:textFill>
            <w14:solidFill>
              <w14:schemeClr w14:val="tx1"/>
            </w14:solidFill>
          </w14:textFill>
        </w:rPr>
        <w:t>月1日至投标截止之日止，</w:t>
      </w:r>
      <w:r>
        <w:rPr>
          <w:rFonts w:hint="eastAsia"/>
          <w:color w:val="000000" w:themeColor="text1"/>
          <w:szCs w:val="21"/>
          <w:lang w:val="en-US" w:eastAsia="zh-CN"/>
          <w14:textFill>
            <w14:solidFill>
              <w14:schemeClr w14:val="tx1"/>
            </w14:solidFill>
          </w14:textFill>
        </w:rPr>
        <w:t>多个合同</w:t>
      </w:r>
      <w:r>
        <w:rPr>
          <w:rFonts w:hint="eastAsia"/>
          <w:color w:val="000000" w:themeColor="text1"/>
          <w:szCs w:val="21"/>
          <w14:textFill>
            <w14:solidFill>
              <w14:schemeClr w14:val="tx1"/>
            </w14:solidFill>
          </w14:textFill>
        </w:rPr>
        <w:t>累计不少于100公里公路</w:t>
      </w:r>
      <w:r>
        <w:rPr>
          <w:color w:val="000000" w:themeColor="text1"/>
          <w:szCs w:val="21"/>
          <w14:textFill>
            <w14:solidFill>
              <w14:schemeClr w14:val="tx1"/>
            </w14:solidFill>
          </w14:textFill>
        </w:rPr>
        <w:t>隧道</w:t>
      </w:r>
      <w:r>
        <w:rPr>
          <w:rFonts w:hint="eastAsia"/>
          <w:color w:val="000000" w:themeColor="text1"/>
          <w:szCs w:val="21"/>
          <w14:textFill>
            <w14:solidFill>
              <w14:schemeClr w14:val="tx1"/>
            </w14:solidFill>
          </w14:textFill>
        </w:rPr>
        <w:t>技术服务</w:t>
      </w:r>
      <w:r>
        <w:rPr>
          <w:color w:val="000000" w:themeColor="text1"/>
          <w:szCs w:val="21"/>
          <w14:textFill>
            <w14:solidFill>
              <w14:schemeClr w14:val="tx1"/>
            </w14:solidFill>
          </w14:textFill>
        </w:rPr>
        <w:t>合同</w:t>
      </w:r>
      <w:r>
        <w:rPr>
          <w:rFonts w:hint="eastAsia"/>
          <w:color w:val="000000" w:themeColor="text1"/>
          <w:szCs w:val="21"/>
          <w14:textFill>
            <w14:solidFill>
              <w14:schemeClr w14:val="tx1"/>
            </w14:solidFill>
          </w14:textFill>
        </w:rPr>
        <w:t>。（须提供合同协议书、银行收款回单及收款发票复印件，上述材料的原件备查）</w:t>
      </w:r>
    </w:p>
    <w:bookmarkEnd w:id="0"/>
    <w:bookmarkEnd w:id="1"/>
    <w:bookmarkEnd w:id="2"/>
    <w:bookmarkEnd w:id="3"/>
    <w:bookmarkEnd w:id="4"/>
    <w:bookmarkEnd w:id="5"/>
    <w:bookmarkEnd w:id="6"/>
    <w:bookmarkEnd w:id="7"/>
    <w:p w14:paraId="7D50CBED">
      <w:pPr>
        <w:spacing w:line="360" w:lineRule="exact"/>
        <w:ind w:firstLine="420" w:firstLineChars="200"/>
        <w:outlineLvl w:val="0"/>
        <w:rPr>
          <w:color w:val="000000" w:themeColor="text1"/>
          <w:szCs w:val="21"/>
          <w14:textFill>
            <w14:solidFill>
              <w14:schemeClr w14:val="tx1"/>
            </w14:solidFill>
          </w14:textFill>
        </w:rPr>
      </w:pPr>
      <w:bookmarkStart w:id="16" w:name="_Toc179632539"/>
      <w:bookmarkStart w:id="17" w:name="_Toc152042298"/>
      <w:bookmarkStart w:id="18" w:name="_Toc246996912"/>
      <w:bookmarkStart w:id="19" w:name="_Toc247085683"/>
      <w:bookmarkStart w:id="20" w:name="_Toc296602413"/>
      <w:bookmarkStart w:id="21" w:name="_Toc144974490"/>
      <w:bookmarkStart w:id="22" w:name="_Toc246996169"/>
      <w:bookmarkStart w:id="23" w:name="_Toc152045522"/>
      <w:r>
        <w:rPr>
          <w:rFonts w:hint="eastAsia"/>
          <w:color w:val="000000" w:themeColor="text1"/>
          <w:szCs w:val="21"/>
          <w14:textFill>
            <w14:solidFill>
              <w14:schemeClr w14:val="tx1"/>
            </w14:solidFill>
          </w14:textFill>
        </w:rPr>
        <w:t>4、若授权代表签字的需提供贵公司法定代表人签名的授权委托书，并加盖公司公章。</w:t>
      </w:r>
    </w:p>
    <w:p w14:paraId="5E2613FA">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以上材料均只需提供复印件（加盖公章）即可，原件备查。</w:t>
      </w:r>
    </w:p>
    <w:p w14:paraId="4D7E0007">
      <w:pPr>
        <w:numPr>
          <w:ilvl w:val="255"/>
          <w:numId w:val="0"/>
        </w:numPr>
        <w:spacing w:line="360" w:lineRule="exact"/>
        <w:ind w:firstLine="422" w:firstLineChars="200"/>
        <w:outlineLvl w:val="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三、</w:t>
      </w:r>
      <w:r>
        <w:rPr>
          <w:b/>
          <w:color w:val="000000" w:themeColor="text1"/>
          <w:szCs w:val="21"/>
          <w14:textFill>
            <w14:solidFill>
              <w14:schemeClr w14:val="tx1"/>
            </w14:solidFill>
          </w14:textFill>
        </w:rPr>
        <w:t xml:space="preserve">信誉要求 </w:t>
      </w:r>
      <w:r>
        <w:rPr>
          <w:rFonts w:hint="eastAsia"/>
          <w:b/>
          <w:color w:val="000000" w:themeColor="text1"/>
          <w:szCs w:val="21"/>
          <w14:textFill>
            <w14:solidFill>
              <w14:schemeClr w14:val="tx1"/>
            </w14:solidFill>
          </w14:textFill>
        </w:rPr>
        <w:t xml:space="preserve"> </w:t>
      </w:r>
    </w:p>
    <w:p w14:paraId="07D85AAA">
      <w:pPr>
        <w:spacing w:line="360" w:lineRule="exact"/>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最近三年没有出现违法违规或失信行为；无拖欠劳务费的败诉记录；没有无故弃标的不良记录；未处于被责令停业、歇业，投标资格被取消，财产被接管、被采取强制措施、破产状态。</w:t>
      </w:r>
    </w:p>
    <w:p w14:paraId="20603C9A">
      <w:pPr>
        <w:numPr>
          <w:ilvl w:val="255"/>
          <w:numId w:val="0"/>
        </w:numPr>
        <w:spacing w:line="360" w:lineRule="exact"/>
        <w:ind w:firstLine="422" w:firstLineChars="200"/>
        <w:outlineLvl w:val="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四、财务</w:t>
      </w:r>
      <w:r>
        <w:rPr>
          <w:b/>
          <w:color w:val="000000" w:themeColor="text1"/>
          <w:szCs w:val="21"/>
          <w14:textFill>
            <w14:solidFill>
              <w14:schemeClr w14:val="tx1"/>
            </w14:solidFill>
          </w14:textFill>
        </w:rPr>
        <w:t>要求</w:t>
      </w:r>
    </w:p>
    <w:p w14:paraId="7FB294A6">
      <w:pPr>
        <w:spacing w:line="360" w:lineRule="exact"/>
        <w:ind w:firstLine="420" w:firstLineChars="200"/>
        <w:rPr>
          <w:rFonts w:ascii="Segoe UI" w:hAnsi="Segoe UI" w:eastAsia="Segoe UI" w:cs="Segoe UI"/>
          <w:color w:val="000000" w:themeColor="text1"/>
          <w:szCs w:val="21"/>
          <w:shd w:val="clear" w:color="auto" w:fill="FFFFFF"/>
          <w14:textFill>
            <w14:solidFill>
              <w14:schemeClr w14:val="tx1"/>
            </w14:solidFill>
          </w14:textFill>
        </w:rPr>
      </w:pPr>
      <w:r>
        <w:rPr>
          <w:rFonts w:ascii="Segoe UI" w:hAnsi="Segoe UI" w:eastAsia="Segoe UI" w:cs="Segoe UI"/>
          <w:color w:val="000000" w:themeColor="text1"/>
          <w:szCs w:val="21"/>
          <w:shd w:val="clear" w:color="auto" w:fill="FFFFFF"/>
          <w14:textFill>
            <w14:solidFill>
              <w14:schemeClr w14:val="tx1"/>
            </w14:solidFill>
          </w14:textFill>
        </w:rPr>
        <w:t>中标人应按照比选人要求，及时提供合法有效、符合要求的增值税专用发票。如因开具发票不及时、不规范、不合法或涉嫌虚开，导致比选人无法及时认证、抵扣或引发税务问题的，中标人应依法重新开具发票，并承担由此产生的赔偿责任，包括但不限于税款、滞纳金、罚款及相关损失。</w:t>
      </w:r>
    </w:p>
    <w:p w14:paraId="6D9AA9BD">
      <w:pPr>
        <w:numPr>
          <w:ilvl w:val="255"/>
          <w:numId w:val="0"/>
        </w:numPr>
        <w:spacing w:line="360" w:lineRule="exact"/>
        <w:ind w:firstLine="422" w:firstLineChars="200"/>
        <w:outlineLvl w:val="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五、投标保证金</w:t>
      </w:r>
    </w:p>
    <w:p w14:paraId="5858787C">
      <w:pPr>
        <w:snapToGrid w:val="0"/>
        <w:spacing w:line="400" w:lineRule="exact"/>
        <w:ind w:firstLine="420" w:firstLineChars="200"/>
        <w:jc w:val="left"/>
        <w:rPr>
          <w:rFonts w:ascii="宋体" w:hAnsi="宋体" w:cs="宋体"/>
        </w:rPr>
      </w:pPr>
      <w:r>
        <w:rPr>
          <w:rFonts w:hint="eastAsia" w:ascii="宋体" w:hAnsi="宋体" w:cs="宋体"/>
        </w:rPr>
        <w:t>1、投标保证金交款形式及要求：投标人从企业的基本账户（开户行）在投标截止时间前通过转账支票直接划付或以电汇方式直接划付至下面指定的投标保证金账户。若投标截止时间延期，则投标保证金提交的截止时间和投标截止时间应当保持一致。</w:t>
      </w:r>
      <w:r>
        <w:rPr>
          <w:rFonts w:hint="eastAsia" w:ascii="宋体" w:hAnsi="宋体" w:cs="宋体"/>
          <w:kern w:val="0"/>
          <w:szCs w:val="21"/>
        </w:rPr>
        <w:t>不满足上述要求的投标保证金无效。</w:t>
      </w:r>
    </w:p>
    <w:p w14:paraId="55F0315B">
      <w:pPr>
        <w:snapToGrid w:val="0"/>
        <w:spacing w:line="400" w:lineRule="exact"/>
        <w:ind w:firstLine="420" w:firstLineChars="200"/>
        <w:jc w:val="left"/>
        <w:rPr>
          <w:rFonts w:ascii="宋体" w:hAnsi="宋体" w:cs="宋体"/>
        </w:rPr>
      </w:pPr>
      <w:r>
        <w:rPr>
          <w:rFonts w:hint="eastAsia" w:ascii="宋体" w:hAnsi="宋体" w:cs="宋体"/>
        </w:rPr>
        <w:t>投标人自行考虑汇入时间风险，如同城汇入、异地汇入、跨行汇入的时间要求。</w:t>
      </w:r>
    </w:p>
    <w:p w14:paraId="792AEEE4">
      <w:pPr>
        <w:snapToGrid w:val="0"/>
        <w:spacing w:line="400" w:lineRule="exact"/>
        <w:ind w:firstLine="420" w:firstLineChars="200"/>
        <w:jc w:val="left"/>
        <w:rPr>
          <w:rFonts w:ascii="宋体" w:hAnsi="宋体" w:cs="宋体"/>
        </w:rPr>
      </w:pPr>
      <w:r>
        <w:rPr>
          <w:rFonts w:hint="eastAsia" w:ascii="宋体" w:hAnsi="宋体" w:cs="宋体"/>
        </w:rPr>
        <w:t>2、以转账支票或电汇形式提交投标保证金的金额：￥</w:t>
      </w:r>
      <w:r>
        <w:rPr>
          <w:rFonts w:hint="eastAsia" w:ascii="宋体" w:hAnsi="宋体" w:cs="宋体"/>
          <w:u w:val="single"/>
        </w:rPr>
        <w:t>5000</w:t>
      </w:r>
      <w:r>
        <w:rPr>
          <w:rFonts w:hint="eastAsia" w:ascii="宋体" w:hAnsi="宋体" w:cs="宋体"/>
          <w:u w:val="single"/>
          <w:lang w:val="en-US" w:eastAsia="zh-CN"/>
        </w:rPr>
        <w:t>.00</w:t>
      </w:r>
      <w:r>
        <w:rPr>
          <w:rFonts w:hint="eastAsia" w:ascii="宋体" w:hAnsi="宋体" w:cs="宋体"/>
        </w:rPr>
        <w:t>元整（人民币）。</w:t>
      </w:r>
    </w:p>
    <w:p w14:paraId="2347A0C4">
      <w:pPr>
        <w:snapToGrid w:val="0"/>
        <w:spacing w:line="400" w:lineRule="exact"/>
        <w:ind w:firstLine="420" w:firstLineChars="200"/>
        <w:jc w:val="left"/>
        <w:rPr>
          <w:rFonts w:ascii="宋体" w:hAnsi="宋体" w:cs="宋体"/>
        </w:rPr>
      </w:pPr>
      <w:r>
        <w:rPr>
          <w:rFonts w:hint="eastAsia" w:ascii="宋体" w:hAnsi="宋体" w:cs="宋体"/>
        </w:rPr>
        <w:t>3、招标人应当在法定时间内和中标人签订合同。招标人应当在合同生效后1个月内向中标人和中标候选人退还。</w:t>
      </w:r>
    </w:p>
    <w:p w14:paraId="37C432C4">
      <w:pPr>
        <w:snapToGrid w:val="0"/>
        <w:spacing w:line="400" w:lineRule="exact"/>
        <w:ind w:firstLine="420" w:firstLineChars="200"/>
        <w:jc w:val="left"/>
        <w:rPr>
          <w:rFonts w:ascii="宋体" w:hAnsi="宋体" w:cs="宋体"/>
          <w:u w:val="single"/>
        </w:rPr>
      </w:pPr>
      <w:r>
        <w:rPr>
          <w:rFonts w:hint="eastAsia" w:ascii="宋体" w:hAnsi="宋体" w:cs="宋体"/>
        </w:rPr>
        <w:t>4、投标人必须在付款凭证备注栏中注明是“</w:t>
      </w:r>
      <w:r>
        <w:rPr>
          <w:rFonts w:hint="eastAsia" w:ascii="宋体" w:hAnsi="宋体" w:cs="宋体"/>
          <w:lang w:eastAsia="zh-CN"/>
        </w:rPr>
        <w:t>2026年隧道检测车租赁及技术服务</w:t>
      </w:r>
      <w:r>
        <w:rPr>
          <w:rFonts w:hint="eastAsia" w:ascii="宋体" w:hAnsi="宋体" w:cs="宋体"/>
        </w:rPr>
        <w:t>（第一批）</w:t>
      </w:r>
      <w:r>
        <w:rPr>
          <w:rFonts w:hint="eastAsia" w:ascii="宋体" w:hAnsi="宋体" w:cs="宋体"/>
          <w:bCs/>
          <w:snapToGrid w:val="0"/>
          <w:kern w:val="0"/>
          <w:szCs w:val="21"/>
        </w:rPr>
        <w:t>投标保证金</w:t>
      </w:r>
      <w:r>
        <w:rPr>
          <w:rFonts w:hint="eastAsia" w:ascii="宋体" w:hAnsi="宋体" w:cs="宋体"/>
        </w:rPr>
        <w:t>”。</w:t>
      </w:r>
    </w:p>
    <w:p w14:paraId="4908C14B">
      <w:pPr>
        <w:snapToGrid w:val="0"/>
        <w:spacing w:line="400" w:lineRule="exact"/>
        <w:ind w:firstLine="420" w:firstLineChars="200"/>
        <w:jc w:val="left"/>
        <w:rPr>
          <w:rFonts w:ascii="宋体" w:hAnsi="宋体" w:cs="宋体"/>
        </w:rPr>
      </w:pPr>
      <w:r>
        <w:rPr>
          <w:rFonts w:hint="eastAsia" w:ascii="宋体" w:hAnsi="宋体" w:cs="宋体"/>
        </w:rPr>
        <w:t>5、投标保证金有效期与投标有效期一致。</w:t>
      </w:r>
    </w:p>
    <w:p w14:paraId="0F8617A1">
      <w:pPr>
        <w:snapToGrid w:val="0"/>
        <w:spacing w:line="400" w:lineRule="exact"/>
        <w:ind w:firstLine="420" w:firstLineChars="200"/>
        <w:jc w:val="left"/>
        <w:rPr>
          <w:rFonts w:ascii="宋体" w:hAnsi="宋体" w:cs="宋体"/>
        </w:rPr>
      </w:pPr>
      <w:r>
        <w:rPr>
          <w:rFonts w:hint="eastAsia" w:ascii="宋体" w:hAnsi="宋体" w:cs="宋体"/>
        </w:rPr>
        <w:t>6、投标人基本账户：</w:t>
      </w:r>
    </w:p>
    <w:p w14:paraId="1F91EF7A">
      <w:pPr>
        <w:snapToGrid w:val="0"/>
        <w:spacing w:line="400" w:lineRule="exact"/>
        <w:ind w:firstLine="420" w:firstLineChars="200"/>
        <w:jc w:val="left"/>
        <w:rPr>
          <w:rFonts w:ascii="宋体" w:hAnsi="宋体" w:cs="宋体"/>
        </w:rPr>
      </w:pPr>
      <w:r>
        <w:rPr>
          <w:rFonts w:hint="eastAsia" w:ascii="宋体" w:hAnsi="宋体" w:cs="宋体"/>
        </w:rPr>
        <w:t xml:space="preserve">公司名称：重庆高速工程检测有限公司 </w:t>
      </w:r>
    </w:p>
    <w:p w14:paraId="512B9D84">
      <w:pPr>
        <w:snapToGrid w:val="0"/>
        <w:spacing w:line="400" w:lineRule="exact"/>
        <w:ind w:firstLine="420" w:firstLineChars="200"/>
        <w:jc w:val="left"/>
        <w:rPr>
          <w:rFonts w:ascii="宋体" w:hAnsi="宋体" w:cs="宋体"/>
        </w:rPr>
      </w:pPr>
      <w:r>
        <w:rPr>
          <w:rFonts w:hint="eastAsia" w:ascii="宋体" w:hAnsi="宋体" w:cs="宋体"/>
        </w:rPr>
        <w:t>税号：915001125699415187</w:t>
      </w:r>
    </w:p>
    <w:p w14:paraId="26BE617C">
      <w:pPr>
        <w:snapToGrid w:val="0"/>
        <w:spacing w:line="400" w:lineRule="exact"/>
        <w:ind w:firstLine="420" w:firstLineChars="200"/>
        <w:jc w:val="left"/>
        <w:rPr>
          <w:rFonts w:ascii="宋体" w:hAnsi="宋体" w:cs="宋体"/>
        </w:rPr>
      </w:pPr>
      <w:r>
        <w:rPr>
          <w:rFonts w:hint="eastAsia" w:ascii="宋体" w:hAnsi="宋体" w:cs="宋体"/>
        </w:rPr>
        <w:t>地址：重庆市南岸区广阳镇垭口村垭新组34号</w:t>
      </w:r>
    </w:p>
    <w:p w14:paraId="2E46BA8F">
      <w:pPr>
        <w:snapToGrid w:val="0"/>
        <w:spacing w:line="400" w:lineRule="exact"/>
        <w:ind w:firstLine="420" w:firstLineChars="200"/>
        <w:jc w:val="left"/>
        <w:rPr>
          <w:rFonts w:ascii="宋体" w:hAnsi="宋体" w:cs="宋体"/>
        </w:rPr>
      </w:pPr>
      <w:r>
        <w:rPr>
          <w:rFonts w:hint="eastAsia" w:ascii="宋体" w:hAnsi="宋体" w:cs="宋体"/>
        </w:rPr>
        <w:t>电话：023-89063833</w:t>
      </w:r>
    </w:p>
    <w:p w14:paraId="068704A8">
      <w:pPr>
        <w:snapToGrid w:val="0"/>
        <w:spacing w:line="400" w:lineRule="exact"/>
        <w:ind w:firstLine="420" w:firstLineChars="200"/>
        <w:jc w:val="left"/>
        <w:rPr>
          <w:rFonts w:ascii="宋体" w:hAnsi="宋体" w:cs="宋体"/>
        </w:rPr>
      </w:pPr>
      <w:r>
        <w:rPr>
          <w:rFonts w:hint="eastAsia" w:ascii="宋体" w:hAnsi="宋体" w:cs="宋体"/>
        </w:rPr>
        <w:t>开户行：兴业银行重庆分行营业部</w:t>
      </w:r>
    </w:p>
    <w:p w14:paraId="7BB4FA2E">
      <w:pPr>
        <w:snapToGrid w:val="0"/>
        <w:spacing w:line="400" w:lineRule="exact"/>
        <w:ind w:firstLine="420" w:firstLineChars="200"/>
        <w:jc w:val="left"/>
        <w:rPr>
          <w:rFonts w:ascii="宋体" w:hAnsi="宋体" w:cs="宋体"/>
        </w:rPr>
      </w:pPr>
      <w:r>
        <w:rPr>
          <w:rFonts w:hint="eastAsia" w:ascii="宋体" w:hAnsi="宋体" w:cs="宋体"/>
        </w:rPr>
        <w:t>账户：346010100100307396</w:t>
      </w:r>
    </w:p>
    <w:p w14:paraId="1A39E30E">
      <w:pPr>
        <w:spacing w:line="360" w:lineRule="exact"/>
        <w:ind w:firstLine="422" w:firstLineChars="200"/>
        <w:outlineLvl w:val="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六、比选申请文件的相关要求</w:t>
      </w:r>
    </w:p>
    <w:bookmarkEnd w:id="16"/>
    <w:bookmarkEnd w:id="17"/>
    <w:bookmarkEnd w:id="18"/>
    <w:bookmarkEnd w:id="19"/>
    <w:bookmarkEnd w:id="20"/>
    <w:bookmarkEnd w:id="21"/>
    <w:bookmarkEnd w:id="22"/>
    <w:bookmarkEnd w:id="23"/>
    <w:p w14:paraId="07F3272C">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1、竞标报价</w:t>
      </w:r>
      <w:r>
        <w:rPr>
          <w:color w:val="000000" w:themeColor="text1"/>
          <w:szCs w:val="21"/>
          <w14:textFill>
            <w14:solidFill>
              <w14:schemeClr w14:val="tx1"/>
            </w14:solidFill>
          </w14:textFill>
        </w:rPr>
        <w:t>说明</w:t>
      </w:r>
      <w:r>
        <w:rPr>
          <w:rFonts w:hint="eastAsia"/>
          <w:color w:val="000000" w:themeColor="text1"/>
          <w:szCs w:val="21"/>
          <w14:textFill>
            <w14:solidFill>
              <w14:schemeClr w14:val="tx1"/>
            </w14:solidFill>
          </w14:textFill>
        </w:rPr>
        <w:t>：</w:t>
      </w:r>
    </w:p>
    <w:p w14:paraId="208E8832">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（1）报价费用组成说明：清单含税单价包含</w:t>
      </w:r>
      <w:r>
        <w:rPr>
          <w:rFonts w:hint="eastAsia" w:ascii="宋体" w:hAnsi="宋体" w:cs="宋体"/>
          <w:color w:val="000000" w:themeColor="text1"/>
          <w:kern w:val="0"/>
          <w:szCs w:val="21"/>
          <w:lang w:bidi="ar"/>
          <w14:textFill>
            <w14:solidFill>
              <w14:schemeClr w14:val="tx1"/>
            </w14:solidFill>
          </w14:textFill>
        </w:rPr>
        <w:t>隧道检测车使用、隧道土建结构和其他工程设施部分的现场定期检测及人工补测及复核、数据处理等，质保期内服务、人员工资及福利、人员交通及住宿、车辆使用(含高速公路通行费、燃油费)、隧道检测车维修费、人员及隧道检测车保险、安全投入、利润、增值税专用发票税金、物价上涨因素等在内的各种费用以及合同明示或暗示的所有责任、义务和一般风险</w:t>
      </w:r>
      <w:r>
        <w:rPr>
          <w:rFonts w:hint="eastAsia" w:ascii="宋体" w:hAnsi="宋体" w:cs="宋体"/>
          <w:color w:val="000000" w:themeColor="text1"/>
          <w:szCs w:val="21"/>
          <w14:textFill>
            <w14:solidFill>
              <w14:schemeClr w14:val="tx1"/>
            </w14:solidFill>
          </w14:textFill>
        </w:rPr>
        <w:t>。</w:t>
      </w:r>
    </w:p>
    <w:p w14:paraId="29278EB9">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（2）报价表中所列计划工程量是估算的或设计的预计数量，不能作为最终结算与支付的依据。实际支付应按甲方认可的实际完成的工程量进行结算。</w:t>
      </w:r>
    </w:p>
    <w:p w14:paraId="049766EB">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（3）本项目最高总限价为：</w:t>
      </w:r>
      <w:r>
        <w:rPr>
          <w:rFonts w:hint="eastAsia"/>
          <w:u w:val="single"/>
        </w:rPr>
        <w:t>662814.9</w:t>
      </w:r>
      <w:r>
        <w:rPr>
          <w:rFonts w:hint="eastAsia"/>
          <w:u w:val="single"/>
          <w:lang w:val="en-US" w:eastAsia="zh-CN"/>
        </w:rPr>
        <w:t>0</w:t>
      </w:r>
      <w:r>
        <w:rPr>
          <w:rFonts w:hint="eastAsia"/>
          <w:color w:val="000000" w:themeColor="text1"/>
          <w:szCs w:val="21"/>
          <w14:textFill>
            <w14:solidFill>
              <w14:schemeClr w14:val="tx1"/>
            </w14:solidFill>
          </w14:textFill>
        </w:rPr>
        <w:t>元（大写：</w:t>
      </w:r>
      <w:r>
        <w:rPr>
          <w:rFonts w:hint="eastAsia"/>
          <w:color w:val="000000" w:themeColor="text1"/>
          <w:szCs w:val="21"/>
          <w:u w:val="single"/>
          <w14:textFill>
            <w14:solidFill>
              <w14:schemeClr w14:val="tx1"/>
            </w14:solidFill>
          </w14:textFill>
        </w:rPr>
        <w:t>人民币陆拾陆万贰仟捌佰壹拾肆元玖角</w:t>
      </w:r>
      <w:r>
        <w:rPr>
          <w:rFonts w:hint="eastAsia"/>
          <w:color w:val="000000" w:themeColor="text1"/>
          <w:szCs w:val="21"/>
          <w14:textFill>
            <w14:solidFill>
              <w14:schemeClr w14:val="tx1"/>
            </w14:solidFill>
          </w14:textFill>
        </w:rPr>
        <w:t>），具体详见“已标价报价清单”。</w:t>
      </w:r>
      <w:r>
        <w:rPr>
          <w:rFonts w:hint="eastAsia"/>
          <w:b/>
          <w:bCs/>
          <w:color w:val="000000" w:themeColor="text1"/>
          <w:szCs w:val="21"/>
          <w14:textFill>
            <w14:solidFill>
              <w14:schemeClr w14:val="tx1"/>
            </w14:solidFill>
          </w14:textFill>
        </w:rPr>
        <w:t>（单价限价则详见比选清单）</w:t>
      </w:r>
    </w:p>
    <w:p w14:paraId="613BF93D">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注：竞标人的竞标报价均不得超过比选人公布的相应最高限价否则均为无效竞标（竞标人所报的单价均不得超过单价限价）。</w:t>
      </w:r>
    </w:p>
    <w:p w14:paraId="31467C6C">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w:t>
      </w:r>
      <w:r>
        <w:rPr>
          <w:rFonts w:ascii="Times New Roman" w:eastAsia="宋体" w:cs="Times New Roman"/>
          <w:color w:val="000000" w:themeColor="text1"/>
          <w:kern w:val="2"/>
          <w:sz w:val="21"/>
          <w:szCs w:val="21"/>
          <w14:textFill>
            <w14:solidFill>
              <w14:schemeClr w14:val="tx1"/>
            </w14:solidFill>
          </w14:textFill>
        </w:rPr>
        <w:t>、智能检测车技术性能要求</w:t>
      </w:r>
    </w:p>
    <w:p w14:paraId="4C32052C">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w:t>
      </w:r>
      <w:r>
        <w:rPr>
          <w:rFonts w:ascii="Times New Roman" w:eastAsia="宋体" w:cs="Times New Roman"/>
          <w:color w:val="000000" w:themeColor="text1"/>
          <w:kern w:val="2"/>
          <w:sz w:val="21"/>
          <w:szCs w:val="21"/>
          <w14:textFill>
            <w14:solidFill>
              <w14:schemeClr w14:val="tx1"/>
            </w14:solidFill>
          </w14:textFill>
        </w:rPr>
        <w:t>.1、能够实现隧道衬砌及路面表观病害一体化智能快速检测，快速采集隧道衬砌、路面、检修道、排水系统、标志标线、吊顶及预埋件、内装饰等表观病害图像信息，智能检测智能检测车必须满足以下功能：</w:t>
      </w:r>
    </w:p>
    <w:p w14:paraId="106F135D">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1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①</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采集智能检测车需具备隧道衬砌和路面表观病害同时采集能力；</w:t>
      </w:r>
    </w:p>
    <w:p w14:paraId="10EA6E8A">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2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②</w:t>
      </w:r>
      <w:r>
        <w:rPr>
          <w:rFonts w:ascii="Times New Roman" w:eastAsia="宋体" w:cs="Times New Roman"/>
          <w:color w:val="000000" w:themeColor="text1"/>
          <w:kern w:val="2"/>
          <w:sz w:val="21"/>
          <w:szCs w:val="21"/>
          <w14:textFill>
            <w14:solidFill>
              <w14:schemeClr w14:val="tx1"/>
            </w14:solidFill>
          </w14:textFill>
        </w:rPr>
        <w:fldChar w:fldCharType="end"/>
      </w:r>
      <w:r>
        <w:rPr>
          <w:rFonts w:hint="eastAsia" w:ascii="Times New Roman" w:eastAsia="宋体" w:cs="Times New Roman"/>
          <w:color w:val="000000" w:themeColor="text1"/>
          <w:kern w:val="2"/>
          <w:sz w:val="21"/>
          <w:szCs w:val="21"/>
          <w14:textFill>
            <w14:solidFill>
              <w14:schemeClr w14:val="tx1"/>
            </w14:solidFill>
          </w14:textFill>
        </w:rPr>
        <w:t>隧道检测车</w:t>
      </w:r>
      <w:r>
        <w:rPr>
          <w:rFonts w:ascii="Times New Roman" w:eastAsia="宋体" w:cs="Times New Roman"/>
          <w:color w:val="000000" w:themeColor="text1"/>
          <w:kern w:val="2"/>
          <w:sz w:val="21"/>
          <w:szCs w:val="21"/>
          <w14:textFill>
            <w14:solidFill>
              <w14:schemeClr w14:val="tx1"/>
            </w14:solidFill>
          </w14:textFill>
        </w:rPr>
        <w:t>在 ≥60km/h 的匀速行驶状态下，其表观病害采集系统应能保持高清晰度标准，确保图像连续无跳帧，满足对隧道衬砌裂缝、渗漏等典型病害的清晰辨识及检测过程不封道、不影响隧道正常交通通行能力要求；</w:t>
      </w:r>
    </w:p>
    <w:p w14:paraId="28DE9728">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3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③</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病害图像采集方式为线阵相机扫描；</w:t>
      </w:r>
    </w:p>
    <w:p w14:paraId="1478188C">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4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④</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采集过程中照明方式为激光照明或LED照明；</w:t>
      </w:r>
    </w:p>
    <w:p w14:paraId="006D47CB">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5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⑤</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能提供隧道病害原图（分辨率不低于4096×1000）；</w:t>
      </w:r>
    </w:p>
    <w:p w14:paraId="22A0D3D3">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6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⑥</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 xml:space="preserve">检测系统采集到的数据，能够通过配套数据处理软件进行处理，能够分析、识别和提取出隧道病害并进行分类、统计； </w:t>
      </w:r>
    </w:p>
    <w:p w14:paraId="37652FE1">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7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⑦</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病害处理分析系统可自定义各类损坏类型，能够实现病害类型输出分类统计报表，并按里程桩号、位置信息给出病害详细参数列表，包括：桩号、位置、类型、数量、长度、宽度、面积等；</w:t>
      </w:r>
    </w:p>
    <w:p w14:paraId="74D563BE">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8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⑧</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病害处理分析系统能可视化查询隧道病害在此里程桩号位置的原始图像；</w:t>
      </w:r>
    </w:p>
    <w:p w14:paraId="217BE41A">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fldChar w:fldCharType="begin"/>
      </w:r>
      <w:r>
        <w:rPr>
          <w:rFonts w:ascii="Times New Roman" w:eastAsia="宋体" w:cs="Times New Roman"/>
          <w:color w:val="000000" w:themeColor="text1"/>
          <w:kern w:val="2"/>
          <w:sz w:val="21"/>
          <w:szCs w:val="21"/>
          <w14:textFill>
            <w14:solidFill>
              <w14:schemeClr w14:val="tx1"/>
            </w14:solidFill>
          </w14:textFill>
        </w:rPr>
        <w:instrText xml:space="preserve"> = 9 \* GB3 \* MERGEFORMAT </w:instrText>
      </w:r>
      <w:r>
        <w:rPr>
          <w:rFonts w:ascii="Times New Roman" w:eastAsia="宋体" w:cs="Times New Roman"/>
          <w:color w:val="000000" w:themeColor="text1"/>
          <w:kern w:val="2"/>
          <w:sz w:val="21"/>
          <w:szCs w:val="21"/>
          <w14:textFill>
            <w14:solidFill>
              <w14:schemeClr w14:val="tx1"/>
            </w14:solidFill>
          </w14:textFill>
        </w:rPr>
        <w:fldChar w:fldCharType="separate"/>
      </w:r>
      <w:r>
        <w:rPr>
          <w:rFonts w:ascii="Times New Roman" w:eastAsia="宋体" w:cs="Times New Roman"/>
          <w:color w:val="000000" w:themeColor="text1"/>
          <w:kern w:val="2"/>
          <w:sz w:val="21"/>
          <w:szCs w:val="21"/>
          <w14:textFill>
            <w14:solidFill>
              <w14:schemeClr w14:val="tx1"/>
            </w14:solidFill>
          </w14:textFill>
        </w:rPr>
        <w:t>⑨</w:t>
      </w:r>
      <w:r>
        <w:rPr>
          <w:rFonts w:ascii="Times New Roman" w:eastAsia="宋体" w:cs="Times New Roman"/>
          <w:color w:val="000000" w:themeColor="text1"/>
          <w:kern w:val="2"/>
          <w:sz w:val="21"/>
          <w:szCs w:val="21"/>
          <w14:textFill>
            <w14:solidFill>
              <w14:schemeClr w14:val="tx1"/>
            </w14:solidFill>
          </w14:textFill>
        </w:rPr>
        <w:fldChar w:fldCharType="end"/>
      </w:r>
      <w:r>
        <w:rPr>
          <w:rFonts w:ascii="Times New Roman" w:eastAsia="宋体" w:cs="Times New Roman"/>
          <w:color w:val="000000" w:themeColor="text1"/>
          <w:kern w:val="2"/>
          <w:sz w:val="21"/>
          <w:szCs w:val="21"/>
          <w14:textFill>
            <w14:solidFill>
              <w14:schemeClr w14:val="tx1"/>
            </w14:solidFill>
          </w14:textFill>
        </w:rPr>
        <w:t>裂缝宽度识别精度不低于0.2mm。</w:t>
      </w:r>
    </w:p>
    <w:p w14:paraId="3860297E">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w:t>
      </w:r>
      <w:r>
        <w:rPr>
          <w:rFonts w:ascii="Times New Roman" w:eastAsia="宋体" w:cs="Times New Roman"/>
          <w:color w:val="000000" w:themeColor="text1"/>
          <w:kern w:val="2"/>
          <w:sz w:val="21"/>
          <w:szCs w:val="21"/>
          <w14:textFill>
            <w14:solidFill>
              <w14:schemeClr w14:val="tx1"/>
            </w14:solidFill>
          </w14:textFill>
        </w:rPr>
        <w:t>.2、技术服务要求</w:t>
      </w:r>
    </w:p>
    <w:p w14:paraId="51114C6A">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w:t>
      </w:r>
      <w:r>
        <w:rPr>
          <w:rFonts w:ascii="Times New Roman" w:eastAsia="宋体" w:cs="Times New Roman"/>
          <w:color w:val="000000" w:themeColor="text1"/>
          <w:kern w:val="2"/>
          <w:sz w:val="21"/>
          <w:szCs w:val="21"/>
          <w14:textFill>
            <w14:solidFill>
              <w14:schemeClr w14:val="tx1"/>
            </w14:solidFill>
          </w14:textFill>
        </w:rPr>
        <w:t>.2.1、对智能检测车识别的重大或特殊病害</w:t>
      </w:r>
      <w:r>
        <w:rPr>
          <w:rFonts w:hint="eastAsia" w:ascii="Times New Roman" w:eastAsia="宋体" w:cs="Times New Roman"/>
          <w:color w:val="000000" w:themeColor="text1"/>
          <w:kern w:val="2"/>
          <w:sz w:val="21"/>
          <w:szCs w:val="21"/>
          <w14:textFill>
            <w14:solidFill>
              <w14:schemeClr w14:val="tx1"/>
            </w14:solidFill>
          </w14:textFill>
        </w:rPr>
        <w:t>以及</w:t>
      </w:r>
      <w:r>
        <w:rPr>
          <w:rFonts w:ascii="Times New Roman" w:eastAsia="宋体" w:cs="Times New Roman"/>
          <w:color w:val="000000" w:themeColor="text1"/>
          <w:kern w:val="2"/>
          <w:sz w:val="21"/>
          <w:szCs w:val="21"/>
          <w14:textFill>
            <w14:solidFill>
              <w14:schemeClr w14:val="tx1"/>
            </w14:solidFill>
          </w14:textFill>
        </w:rPr>
        <w:t>智能检测车无法进行系统检测的结构物（如：洞口、洞门、</w:t>
      </w:r>
      <w:r>
        <w:rPr>
          <w:rFonts w:hint="eastAsia" w:ascii="Times New Roman" w:eastAsia="宋体" w:cs="Times New Roman"/>
          <w:color w:val="000000" w:themeColor="text1"/>
          <w:kern w:val="2"/>
          <w:sz w:val="21"/>
          <w:szCs w:val="21"/>
          <w14:textFill>
            <w14:solidFill>
              <w14:schemeClr w14:val="tx1"/>
            </w14:solidFill>
          </w14:textFill>
        </w:rPr>
        <w:t>截排水沟、洞顶仰坡、</w:t>
      </w:r>
      <w:r>
        <w:rPr>
          <w:rFonts w:ascii="Times New Roman" w:eastAsia="宋体" w:cs="Times New Roman"/>
          <w:color w:val="000000" w:themeColor="text1"/>
          <w:kern w:val="2"/>
          <w:sz w:val="21"/>
          <w:szCs w:val="21"/>
          <w14:textFill>
            <w14:solidFill>
              <w14:schemeClr w14:val="tx1"/>
            </w14:solidFill>
          </w14:textFill>
        </w:rPr>
        <w:t>横通道、其他工程设施等）病害，须现场人工进行检查、复核。</w:t>
      </w:r>
    </w:p>
    <w:p w14:paraId="30C0F06B">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w:t>
      </w:r>
      <w:r>
        <w:rPr>
          <w:rFonts w:ascii="Times New Roman" w:eastAsia="宋体" w:cs="Times New Roman"/>
          <w:color w:val="000000" w:themeColor="text1"/>
          <w:kern w:val="2"/>
          <w:sz w:val="21"/>
          <w:szCs w:val="21"/>
          <w14:textFill>
            <w14:solidFill>
              <w14:schemeClr w14:val="tx1"/>
            </w14:solidFill>
          </w14:textFill>
        </w:rPr>
        <w:t>.2.2、按要求提供完整的检测成果</w:t>
      </w:r>
      <w:r>
        <w:rPr>
          <w:rFonts w:hint="eastAsia" w:ascii="Times New Roman" w:eastAsia="宋体" w:cs="Times New Roman"/>
          <w:color w:val="000000" w:themeColor="text1"/>
          <w:kern w:val="2"/>
          <w:sz w:val="21"/>
          <w:szCs w:val="21"/>
          <w14:textFill>
            <w14:solidFill>
              <w14:schemeClr w14:val="tx1"/>
            </w14:solidFill>
          </w14:textFill>
        </w:rPr>
        <w:t>资料</w:t>
      </w:r>
      <w:r>
        <w:rPr>
          <w:rFonts w:ascii="Times New Roman" w:eastAsia="宋体" w:cs="Times New Roman"/>
          <w:color w:val="000000" w:themeColor="text1"/>
          <w:kern w:val="2"/>
          <w:sz w:val="21"/>
          <w:szCs w:val="21"/>
          <w14:textFill>
            <w14:solidFill>
              <w14:schemeClr w14:val="tx1"/>
            </w14:solidFill>
          </w14:textFill>
        </w:rPr>
        <w:t>（含光盘），包括</w:t>
      </w:r>
      <w:r>
        <w:rPr>
          <w:rFonts w:hint="eastAsia" w:ascii="Times New Roman" w:eastAsia="宋体" w:cs="Times New Roman"/>
          <w:color w:val="000000" w:themeColor="text1"/>
          <w:kern w:val="2"/>
          <w:sz w:val="21"/>
          <w:szCs w:val="21"/>
          <w14:textFill>
            <w14:solidFill>
              <w14:schemeClr w14:val="tx1"/>
            </w14:solidFill>
          </w14:textFill>
        </w:rPr>
        <w:t>但不限于</w:t>
      </w:r>
      <w:r>
        <w:rPr>
          <w:rFonts w:ascii="Times New Roman" w:eastAsia="宋体" w:cs="Times New Roman"/>
          <w:color w:val="000000" w:themeColor="text1"/>
          <w:kern w:val="2"/>
          <w:sz w:val="21"/>
          <w:szCs w:val="21"/>
          <w14:textFill>
            <w14:solidFill>
              <w14:schemeClr w14:val="tx1"/>
            </w14:solidFill>
          </w14:textFill>
        </w:rPr>
        <w:t>典型病害图片、全幅影像隧道病害展布图、隧道CAD病害展布图、隧道衬砌原始图像、数据分析研究，原始数据提交保存硬盘。</w:t>
      </w:r>
    </w:p>
    <w:p w14:paraId="15EA6466">
      <w:pPr>
        <w:widowControl/>
        <w:spacing w:line="420" w:lineRule="exact"/>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.2.3、结合租赁及技术服务合同，对比选人技术人员进行智能检测车技术原理、数据处理系统软件进行交流培训，并同时提供一套数据采集及处理系统软件供比选人使用，且使用授权不低于5个。</w:t>
      </w:r>
    </w:p>
    <w:p w14:paraId="74477017">
      <w:pPr>
        <w:widowControl/>
        <w:spacing w:line="420" w:lineRule="exact"/>
        <w:ind w:firstLine="420" w:firstLineChars="20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.2.4、竞标人需有完整的技术服务体系及团队，并承诺在接到比选人技术服务要求通知后能在2小时内响应并提出解决方案，远程技术无法解决的，应在48小时内到达比选人指定检测或办公现场进行解决。</w:t>
      </w:r>
    </w:p>
    <w:p w14:paraId="0795E21A">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w:t>
      </w:r>
      <w:r>
        <w:rPr>
          <w:rFonts w:ascii="Times New Roman" w:eastAsia="宋体" w:cs="Times New Roman"/>
          <w:color w:val="000000" w:themeColor="text1"/>
          <w:kern w:val="2"/>
          <w:sz w:val="21"/>
          <w:szCs w:val="21"/>
          <w14:textFill>
            <w14:solidFill>
              <w14:schemeClr w14:val="tx1"/>
            </w14:solidFill>
          </w14:textFill>
        </w:rPr>
        <w:t>.2.5 竞标人智能检测车出现故障时必须在48小时内提供同型号检测车及时替补。否则由此对比选人造成的工期、质量、进度、材料等一切损失由竞标人承担。</w:t>
      </w:r>
    </w:p>
    <w:p w14:paraId="61D6B9B5">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hint="eastAsia" w:ascii="Times New Roman" w:eastAsia="宋体" w:cs="Times New Roman"/>
          <w:color w:val="000000" w:themeColor="text1"/>
          <w:kern w:val="2"/>
          <w:sz w:val="21"/>
          <w:szCs w:val="21"/>
          <w14:textFill>
            <w14:solidFill>
              <w14:schemeClr w14:val="tx1"/>
            </w14:solidFill>
          </w14:textFill>
        </w:rPr>
        <w:t>2.2.6 提供项目工后服务：包括但不限于养护管理系统录入、养护数据报表填报等工作。</w:t>
      </w:r>
    </w:p>
    <w:p w14:paraId="59AB25F2">
      <w:pPr>
        <w:spacing w:line="400" w:lineRule="exact"/>
        <w:ind w:firstLine="420" w:firstLineChars="200"/>
        <w:outlineLv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3、保险要求：为加强对乙方人员保险管理，乙方必须按照国家《劳动法》、《劳动合同法》等相关规定规范用工并为从业人员购买社保（含工伤保险）及其他商业险种。乙方商业险种应按照甲方要求购买雇主责任险（保险额度为100万/人；附加医疗保险10万/人），并自行承担相应的保费。乙方商业险种应按照甲方要求为隧道检测车购买机动车交通事故责任强制险、商业第三者责任险（保险额度不低于200万元/次）、机动车损失险（须足额投保并包含车载检测设备），并自行承担相应的保费。竞标人雇主责任险的购买可自行选择保险公司，也可在比选人推荐的保险公司购买，并将保险购买情况报比选人备案。</w:t>
      </w:r>
    </w:p>
    <w:p w14:paraId="17E9438F">
      <w:pPr>
        <w:spacing w:line="400" w:lineRule="exact"/>
        <w:ind w:firstLine="420" w:firstLineChars="200"/>
        <w:outlineLvl w:val="0"/>
        <w:rPr>
          <w:rFonts w:ascii="宋体" w:hAnsi="宋体" w:cs="宋体"/>
          <w:b/>
          <w:bCs/>
          <w:color w:val="000000" w:themeColor="text1"/>
          <w:kern w:val="0"/>
          <w:szCs w:val="22"/>
          <w14:textFill>
            <w14:solidFill>
              <w14:schemeClr w14:val="tx1"/>
            </w14:solidFill>
          </w14:textFill>
        </w:rPr>
      </w:pPr>
      <w:r>
        <w:rPr>
          <w:rFonts w:hint="eastAsia"/>
          <w:color w:val="000000" w:themeColor="text1"/>
          <w:szCs w:val="21"/>
          <w14:textFill>
            <w14:solidFill>
              <w14:schemeClr w14:val="tx1"/>
            </w14:solidFill>
          </w14:textFill>
        </w:rPr>
        <w:t>4、报价要求：</w:t>
      </w:r>
      <w:r>
        <w:rPr>
          <w:color w:val="000000" w:themeColor="text1"/>
          <w:szCs w:val="21"/>
          <w14:textFill>
            <w14:solidFill>
              <w14:schemeClr w14:val="tx1"/>
            </w14:solidFill>
          </w14:textFill>
        </w:rPr>
        <w:t>竞标人的报价，单价及总价报价均不得超过比选人公布的单价及总价最高限价，否则均为无效竞标</w:t>
      </w:r>
      <w:r>
        <w:rPr>
          <w:rFonts w:hint="eastAsia" w:ascii="宋体" w:hAnsi="宋体" w:cs="宋体"/>
          <w:color w:val="000000" w:themeColor="text1"/>
          <w:kern w:val="0"/>
          <w:szCs w:val="21"/>
          <w14:textFill>
            <w14:solidFill>
              <w14:schemeClr w14:val="tx1"/>
            </w14:solidFill>
          </w14:textFill>
        </w:rPr>
        <w:t>。</w:t>
      </w:r>
    </w:p>
    <w:p w14:paraId="70780589">
      <w:pPr>
        <w:spacing w:line="40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本次</w:t>
      </w:r>
      <w:r>
        <w:rPr>
          <w:rFonts w:hint="eastAsia"/>
          <w:color w:val="000000" w:themeColor="text1"/>
          <w:szCs w:val="21"/>
          <w14:textFill>
            <w14:solidFill>
              <w14:schemeClr w14:val="tx1"/>
            </w14:solidFill>
          </w14:textFill>
        </w:rPr>
        <w:t>比选申请</w:t>
      </w:r>
      <w:r>
        <w:rPr>
          <w:color w:val="000000" w:themeColor="text1"/>
          <w:szCs w:val="21"/>
          <w14:textFill>
            <w14:solidFill>
              <w14:schemeClr w14:val="tx1"/>
            </w14:solidFill>
          </w14:textFill>
        </w:rPr>
        <w:t>文件的组成：</w:t>
      </w:r>
    </w:p>
    <w:p w14:paraId="794464CE">
      <w:pPr>
        <w:spacing w:line="360" w:lineRule="exact"/>
        <w:ind w:firstLine="422" w:firstLineChars="200"/>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按比选文件格式编制。</w:t>
      </w:r>
    </w:p>
    <w:p w14:paraId="34580369">
      <w:pPr>
        <w:spacing w:line="360" w:lineRule="exact"/>
        <w:ind w:firstLine="422" w:firstLineChars="200"/>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（注：以上所有文件须加盖单位公章）</w:t>
      </w:r>
      <w:r>
        <w:rPr>
          <w:rFonts w:hint="eastAsia"/>
          <w:color w:val="000000" w:themeColor="text1"/>
          <w14:textFill>
            <w14:solidFill>
              <w14:schemeClr w14:val="tx1"/>
            </w14:solidFill>
          </w14:textFill>
        </w:rPr>
        <w:t>。</w:t>
      </w:r>
    </w:p>
    <w:p w14:paraId="59A13EBD">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6、比选申请</w:t>
      </w:r>
      <w:r>
        <w:rPr>
          <w:color w:val="000000" w:themeColor="text1"/>
          <w:szCs w:val="21"/>
          <w14:textFill>
            <w14:solidFill>
              <w14:schemeClr w14:val="tx1"/>
            </w14:solidFill>
          </w14:textFill>
        </w:rPr>
        <w:t>文件的份数及编制要求</w:t>
      </w:r>
      <w:r>
        <w:rPr>
          <w:rFonts w:hint="eastAsia"/>
          <w:color w:val="000000" w:themeColor="text1"/>
          <w:szCs w:val="21"/>
          <w14:textFill>
            <w14:solidFill>
              <w14:schemeClr w14:val="tx1"/>
            </w14:solidFill>
          </w14:textFill>
        </w:rPr>
        <w:t>：</w:t>
      </w:r>
    </w:p>
    <w:p w14:paraId="210F83CA">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比选申请文件</w:t>
      </w:r>
      <w:r>
        <w:rPr>
          <w:rFonts w:hint="eastAsia"/>
          <w:b/>
          <w:bCs/>
          <w:color w:val="000000" w:themeColor="text1"/>
          <w:szCs w:val="21"/>
          <w14:textFill>
            <w14:solidFill>
              <w14:schemeClr w14:val="tx1"/>
            </w14:solidFill>
          </w14:textFill>
        </w:rPr>
        <w:t>1份</w:t>
      </w:r>
      <w:r>
        <w:rPr>
          <w:rFonts w:hint="eastAsia"/>
          <w:color w:val="000000" w:themeColor="text1"/>
          <w:szCs w:val="21"/>
          <w14:textFill>
            <w14:solidFill>
              <w14:schemeClr w14:val="tx1"/>
            </w14:solidFill>
          </w14:textFill>
        </w:rPr>
        <w:t>，比选申请文件按竞争性比选文件中规定格式排版。</w:t>
      </w:r>
    </w:p>
    <w:p w14:paraId="38F90FDD">
      <w:pPr>
        <w:widowControl/>
        <w:spacing w:line="360" w:lineRule="exact"/>
        <w:ind w:firstLine="422" w:firstLineChars="200"/>
        <w:jc w:val="left"/>
        <w:outlineLvl w:val="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七、评标办法</w:t>
      </w:r>
    </w:p>
    <w:p w14:paraId="04C6BFBF">
      <w:pPr>
        <w:spacing w:line="360" w:lineRule="exact"/>
        <w:ind w:firstLine="422" w:firstLineChars="200"/>
        <w:rPr>
          <w:b/>
          <w:bCs/>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本项目采用经评审的最低投标价</w:t>
      </w:r>
      <w:r>
        <w:rPr>
          <w:rFonts w:hint="eastAsia"/>
          <w:b/>
          <w:color w:val="000000" w:themeColor="text1"/>
          <w:szCs w:val="21"/>
          <w14:textFill>
            <w14:solidFill>
              <w14:schemeClr w14:val="tx1"/>
            </w14:solidFill>
          </w14:textFill>
        </w:rPr>
        <w:t>法</w:t>
      </w:r>
      <w:r>
        <w:rPr>
          <w:rFonts w:hint="eastAsia"/>
          <w:color w:val="000000" w:themeColor="text1"/>
          <w:szCs w:val="21"/>
          <w14:textFill>
            <w14:solidFill>
              <w14:schemeClr w14:val="tx1"/>
            </w14:solidFill>
          </w14:textFill>
        </w:rPr>
        <w:t>，在满足比选文件要求的前提下，评标小组按报价</w:t>
      </w:r>
      <w:r>
        <w:rPr>
          <w:color w:val="000000" w:themeColor="text1"/>
          <w14:textFill>
            <w14:solidFill>
              <w14:schemeClr w14:val="tx1"/>
            </w14:solidFill>
          </w14:textFill>
        </w:rPr>
        <w:t>从</w:t>
      </w:r>
      <w:r>
        <w:rPr>
          <w:rFonts w:hint="eastAsia"/>
          <w:color w:val="000000" w:themeColor="text1"/>
          <w14:textFill>
            <w14:solidFill>
              <w14:schemeClr w14:val="tx1"/>
            </w14:solidFill>
          </w14:textFill>
        </w:rPr>
        <w:t>低</w:t>
      </w:r>
      <w:r>
        <w:rPr>
          <w:color w:val="000000" w:themeColor="text1"/>
          <w14:textFill>
            <w14:solidFill>
              <w14:schemeClr w14:val="tx1"/>
            </w14:solidFill>
          </w14:textFill>
        </w:rPr>
        <w:t>到</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的先后顺序</w:t>
      </w:r>
      <w:r>
        <w:rPr>
          <w:rFonts w:hint="eastAsia"/>
          <w:color w:val="000000" w:themeColor="text1"/>
          <w:szCs w:val="21"/>
          <w14:textFill>
            <w14:solidFill>
              <w14:schemeClr w14:val="tx1"/>
            </w14:solidFill>
          </w14:textFill>
        </w:rPr>
        <w:t>推荐中标候选人。若在满足比选文件所有要求前提下，最低报价相同时，</w:t>
      </w:r>
      <w:r>
        <w:rPr>
          <w:rFonts w:hint="eastAsia" w:ascii="宋体" w:hAnsi="宋体" w:cs="宋体"/>
          <w:b/>
          <w:bCs/>
          <w:snapToGrid w:val="0"/>
          <w:color w:val="000000" w:themeColor="text1"/>
          <w:kern w:val="0"/>
          <w14:textFill>
            <w14:solidFill>
              <w14:schemeClr w14:val="tx1"/>
            </w14:solidFill>
          </w14:textFill>
        </w:rPr>
        <w:t>进行第二轮报价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请各报价单位结合自身情况及市场行情进行报价。</w:t>
      </w:r>
      <w:r>
        <w:rPr>
          <w:rFonts w:hint="eastAsia"/>
          <w:b/>
          <w:bCs/>
          <w:color w:val="000000" w:themeColor="text1"/>
          <w14:textFill>
            <w14:solidFill>
              <w14:schemeClr w14:val="tx1"/>
            </w14:solidFill>
          </w14:textFill>
        </w:rPr>
        <w:t>具体评审标准详见下表。</w:t>
      </w:r>
    </w:p>
    <w:tbl>
      <w:tblPr>
        <w:tblStyle w:val="19"/>
        <w:tblW w:w="9569" w:type="dxa"/>
        <w:tblInd w:w="-23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375"/>
        <w:gridCol w:w="5023"/>
      </w:tblGrid>
      <w:tr w14:paraId="2EEEF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 w:hRule="atLeast"/>
        </w:trPr>
        <w:tc>
          <w:tcPr>
            <w:tcW w:w="2171" w:type="dxa"/>
            <w:gridSpan w:val="2"/>
            <w:tcBorders>
              <w:top w:val="single" w:color="auto" w:sz="4" w:space="0"/>
              <w:bottom w:val="single" w:color="auto" w:sz="4" w:space="0"/>
              <w:right w:val="single" w:color="auto" w:sz="4" w:space="0"/>
            </w:tcBorders>
            <w:vAlign w:val="center"/>
          </w:tcPr>
          <w:p w14:paraId="1CEDE4BC">
            <w:pPr>
              <w:spacing w:line="340" w:lineRule="exact"/>
              <w:ind w:firstLine="420" w:firstLineChars="200"/>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条款号</w:t>
            </w:r>
          </w:p>
        </w:tc>
        <w:tc>
          <w:tcPr>
            <w:tcW w:w="2375" w:type="dxa"/>
            <w:tcBorders>
              <w:top w:val="single" w:color="auto" w:sz="4" w:space="0"/>
              <w:left w:val="single" w:color="auto" w:sz="4" w:space="0"/>
              <w:bottom w:val="single" w:color="auto" w:sz="4" w:space="0"/>
              <w:right w:val="single" w:color="auto" w:sz="4" w:space="0"/>
            </w:tcBorders>
            <w:vAlign w:val="center"/>
          </w:tcPr>
          <w:p w14:paraId="2DA460F1">
            <w:pPr>
              <w:spacing w:line="340" w:lineRule="exact"/>
              <w:ind w:firstLine="420" w:firstLineChars="200"/>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评审因素</w:t>
            </w:r>
          </w:p>
        </w:tc>
        <w:tc>
          <w:tcPr>
            <w:tcW w:w="5023" w:type="dxa"/>
            <w:tcBorders>
              <w:top w:val="single" w:color="auto" w:sz="4" w:space="0"/>
              <w:left w:val="single" w:color="auto" w:sz="4" w:space="0"/>
              <w:bottom w:val="single" w:color="auto" w:sz="4" w:space="0"/>
              <w:right w:val="single" w:color="auto" w:sz="4" w:space="0"/>
            </w:tcBorders>
            <w:vAlign w:val="center"/>
          </w:tcPr>
          <w:p w14:paraId="55C69909">
            <w:pPr>
              <w:spacing w:line="340" w:lineRule="exact"/>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评审标准</w:t>
            </w:r>
          </w:p>
        </w:tc>
      </w:tr>
      <w:tr w14:paraId="3EFFF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trPr>
        <w:tc>
          <w:tcPr>
            <w:tcW w:w="989" w:type="dxa"/>
            <w:vMerge w:val="restart"/>
            <w:tcBorders>
              <w:top w:val="single" w:color="auto" w:sz="4" w:space="0"/>
              <w:right w:val="single" w:color="auto" w:sz="4" w:space="0"/>
            </w:tcBorders>
            <w:vAlign w:val="center"/>
          </w:tcPr>
          <w:p w14:paraId="64976DE2">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1.1.1</w:t>
            </w:r>
          </w:p>
        </w:tc>
        <w:tc>
          <w:tcPr>
            <w:tcW w:w="1182" w:type="dxa"/>
            <w:vMerge w:val="restart"/>
            <w:tcBorders>
              <w:top w:val="single" w:color="auto" w:sz="4" w:space="0"/>
              <w:right w:val="single" w:color="auto" w:sz="4" w:space="0"/>
            </w:tcBorders>
            <w:vAlign w:val="center"/>
          </w:tcPr>
          <w:p w14:paraId="6DB0AA7D">
            <w:pPr>
              <w:spacing w:line="340" w:lineRule="exact"/>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形式评审标准</w:t>
            </w:r>
          </w:p>
        </w:tc>
        <w:tc>
          <w:tcPr>
            <w:tcW w:w="2375" w:type="dxa"/>
            <w:tcBorders>
              <w:top w:val="single" w:color="auto" w:sz="4" w:space="0"/>
              <w:left w:val="single" w:color="auto" w:sz="4" w:space="0"/>
              <w:bottom w:val="single" w:color="auto" w:sz="4" w:space="0"/>
              <w:right w:val="single" w:color="auto" w:sz="4" w:space="0"/>
            </w:tcBorders>
            <w:vAlign w:val="center"/>
          </w:tcPr>
          <w:p w14:paraId="5A08896A">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竞标人名称</w:t>
            </w:r>
          </w:p>
        </w:tc>
        <w:tc>
          <w:tcPr>
            <w:tcW w:w="5023" w:type="dxa"/>
            <w:tcBorders>
              <w:top w:val="single" w:color="auto" w:sz="4" w:space="0"/>
              <w:left w:val="single" w:color="auto" w:sz="4" w:space="0"/>
              <w:bottom w:val="single" w:color="auto" w:sz="4" w:space="0"/>
              <w:right w:val="single" w:color="auto" w:sz="4" w:space="0"/>
            </w:tcBorders>
            <w:vAlign w:val="center"/>
          </w:tcPr>
          <w:p w14:paraId="121FCF9A">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与营业执照一致</w:t>
            </w:r>
          </w:p>
        </w:tc>
      </w:tr>
      <w:tr w14:paraId="293B5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989" w:type="dxa"/>
            <w:vMerge w:val="continue"/>
            <w:tcBorders>
              <w:right w:val="single" w:color="auto" w:sz="4" w:space="0"/>
            </w:tcBorders>
            <w:vAlign w:val="center"/>
          </w:tcPr>
          <w:p w14:paraId="686FDC39">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656D3D35">
            <w:pPr>
              <w:spacing w:line="340" w:lineRule="exact"/>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50E29EE2">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授权委托书</w:t>
            </w:r>
          </w:p>
        </w:tc>
        <w:tc>
          <w:tcPr>
            <w:tcW w:w="5023" w:type="dxa"/>
            <w:tcBorders>
              <w:top w:val="single" w:color="auto" w:sz="4" w:space="0"/>
              <w:left w:val="single" w:color="auto" w:sz="4" w:space="0"/>
              <w:bottom w:val="single" w:color="auto" w:sz="4" w:space="0"/>
              <w:right w:val="single" w:color="auto" w:sz="4" w:space="0"/>
            </w:tcBorders>
            <w:vAlign w:val="center"/>
          </w:tcPr>
          <w:p w14:paraId="0437FDC0">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具备有效的授权委托书</w:t>
            </w:r>
          </w:p>
        </w:tc>
      </w:tr>
      <w:tr w14:paraId="5EE12D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trPr>
        <w:tc>
          <w:tcPr>
            <w:tcW w:w="989" w:type="dxa"/>
            <w:vMerge w:val="continue"/>
            <w:tcBorders>
              <w:right w:val="single" w:color="auto" w:sz="4" w:space="0"/>
            </w:tcBorders>
            <w:vAlign w:val="center"/>
          </w:tcPr>
          <w:p w14:paraId="717EF7DE">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45357301">
            <w:pPr>
              <w:spacing w:line="340" w:lineRule="exact"/>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3077B456">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投标函签字盖章</w:t>
            </w:r>
          </w:p>
        </w:tc>
        <w:tc>
          <w:tcPr>
            <w:tcW w:w="5023" w:type="dxa"/>
            <w:tcBorders>
              <w:top w:val="single" w:color="auto" w:sz="4" w:space="0"/>
              <w:left w:val="single" w:color="auto" w:sz="4" w:space="0"/>
              <w:bottom w:val="single" w:color="auto" w:sz="4" w:space="0"/>
              <w:right w:val="single" w:color="auto" w:sz="4" w:space="0"/>
            </w:tcBorders>
            <w:vAlign w:val="center"/>
          </w:tcPr>
          <w:p w14:paraId="76EEB0BC">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有法定代表人或其委托代理人签字并加盖单位章</w:t>
            </w:r>
          </w:p>
        </w:tc>
      </w:tr>
      <w:tr w14:paraId="7D047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989" w:type="dxa"/>
            <w:vMerge w:val="continue"/>
            <w:tcBorders>
              <w:right w:val="single" w:color="auto" w:sz="4" w:space="0"/>
            </w:tcBorders>
            <w:vAlign w:val="center"/>
          </w:tcPr>
          <w:p w14:paraId="36CC8AF1">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59A0A3DB">
            <w:pPr>
              <w:spacing w:line="340" w:lineRule="exact"/>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3935780B">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比选申请文件格式</w:t>
            </w:r>
          </w:p>
        </w:tc>
        <w:tc>
          <w:tcPr>
            <w:tcW w:w="5023" w:type="dxa"/>
            <w:tcBorders>
              <w:top w:val="single" w:color="auto" w:sz="4" w:space="0"/>
              <w:left w:val="single" w:color="auto" w:sz="4" w:space="0"/>
              <w:bottom w:val="single" w:color="auto" w:sz="4" w:space="0"/>
              <w:right w:val="single" w:color="auto" w:sz="4" w:space="0"/>
            </w:tcBorders>
            <w:vAlign w:val="center"/>
          </w:tcPr>
          <w:p w14:paraId="55A70976">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符合“比选文件格式”的要求</w:t>
            </w:r>
          </w:p>
        </w:tc>
      </w:tr>
      <w:tr w14:paraId="241A6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trPr>
        <w:tc>
          <w:tcPr>
            <w:tcW w:w="989" w:type="dxa"/>
            <w:vMerge w:val="continue"/>
            <w:tcBorders>
              <w:right w:val="single" w:color="auto" w:sz="4" w:space="0"/>
            </w:tcBorders>
            <w:vAlign w:val="center"/>
          </w:tcPr>
          <w:p w14:paraId="0F1D956E">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6BF233B2">
            <w:pPr>
              <w:spacing w:line="340" w:lineRule="exact"/>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1163BB85">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报价唯一</w:t>
            </w:r>
          </w:p>
        </w:tc>
        <w:tc>
          <w:tcPr>
            <w:tcW w:w="5023" w:type="dxa"/>
            <w:tcBorders>
              <w:top w:val="single" w:color="auto" w:sz="4" w:space="0"/>
              <w:left w:val="single" w:color="auto" w:sz="4" w:space="0"/>
              <w:bottom w:val="single" w:color="auto" w:sz="4" w:space="0"/>
              <w:right w:val="single" w:color="auto" w:sz="4" w:space="0"/>
            </w:tcBorders>
            <w:vAlign w:val="center"/>
          </w:tcPr>
          <w:p w14:paraId="2DA0BA49">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只能有一个有效报价</w:t>
            </w:r>
          </w:p>
        </w:tc>
      </w:tr>
      <w:tr w14:paraId="25012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restart"/>
            <w:tcBorders>
              <w:top w:val="single" w:color="auto" w:sz="4" w:space="0"/>
              <w:right w:val="single" w:color="auto" w:sz="4" w:space="0"/>
            </w:tcBorders>
            <w:vAlign w:val="center"/>
          </w:tcPr>
          <w:p w14:paraId="0E471B85">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1.1.2</w:t>
            </w:r>
          </w:p>
        </w:tc>
        <w:tc>
          <w:tcPr>
            <w:tcW w:w="1182" w:type="dxa"/>
            <w:vMerge w:val="restart"/>
            <w:tcBorders>
              <w:top w:val="single" w:color="auto" w:sz="4" w:space="0"/>
              <w:right w:val="single" w:color="auto" w:sz="4" w:space="0"/>
            </w:tcBorders>
            <w:vAlign w:val="center"/>
          </w:tcPr>
          <w:p w14:paraId="626AA1D6">
            <w:pPr>
              <w:spacing w:line="340" w:lineRule="exact"/>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资格评审标准</w:t>
            </w:r>
          </w:p>
        </w:tc>
        <w:tc>
          <w:tcPr>
            <w:tcW w:w="2375" w:type="dxa"/>
            <w:tcBorders>
              <w:top w:val="single" w:color="auto" w:sz="4" w:space="0"/>
              <w:left w:val="single" w:color="auto" w:sz="4" w:space="0"/>
              <w:bottom w:val="single" w:color="auto" w:sz="4" w:space="0"/>
              <w:right w:val="single" w:color="auto" w:sz="4" w:space="0"/>
            </w:tcBorders>
            <w:vAlign w:val="center"/>
          </w:tcPr>
          <w:p w14:paraId="4D464B3D">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营业执照</w:t>
            </w:r>
          </w:p>
        </w:tc>
        <w:tc>
          <w:tcPr>
            <w:tcW w:w="5023" w:type="dxa"/>
            <w:tcBorders>
              <w:top w:val="single" w:color="auto" w:sz="4" w:space="0"/>
              <w:left w:val="single" w:color="auto" w:sz="4" w:space="0"/>
              <w:bottom w:val="single" w:color="auto" w:sz="4" w:space="0"/>
              <w:right w:val="single" w:color="auto" w:sz="4" w:space="0"/>
            </w:tcBorders>
            <w:vAlign w:val="center"/>
          </w:tcPr>
          <w:p w14:paraId="61F8D743">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180B9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vAlign w:val="center"/>
          </w:tcPr>
          <w:p w14:paraId="7BB2D8DB">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7700C0E2">
            <w:pPr>
              <w:spacing w:line="340" w:lineRule="exact"/>
              <w:jc w:val="center"/>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4844128D">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信誉要求</w:t>
            </w:r>
          </w:p>
        </w:tc>
        <w:tc>
          <w:tcPr>
            <w:tcW w:w="5023" w:type="dxa"/>
            <w:tcBorders>
              <w:top w:val="single" w:color="auto" w:sz="4" w:space="0"/>
              <w:left w:val="single" w:color="auto" w:sz="4" w:space="0"/>
              <w:bottom w:val="single" w:color="auto" w:sz="4" w:space="0"/>
              <w:right w:val="single" w:color="auto" w:sz="4" w:space="0"/>
            </w:tcBorders>
            <w:vAlign w:val="center"/>
          </w:tcPr>
          <w:p w14:paraId="3515D9F4">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197BB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vAlign w:val="center"/>
          </w:tcPr>
          <w:p w14:paraId="782616D4">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3F559008">
            <w:pPr>
              <w:spacing w:line="340" w:lineRule="exact"/>
              <w:jc w:val="center"/>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6660FC84">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财务要求</w:t>
            </w:r>
          </w:p>
        </w:tc>
        <w:tc>
          <w:tcPr>
            <w:tcW w:w="5023" w:type="dxa"/>
            <w:tcBorders>
              <w:top w:val="single" w:color="auto" w:sz="4" w:space="0"/>
              <w:left w:val="single" w:color="auto" w:sz="4" w:space="0"/>
              <w:bottom w:val="single" w:color="auto" w:sz="4" w:space="0"/>
              <w:right w:val="single" w:color="auto" w:sz="4" w:space="0"/>
            </w:tcBorders>
            <w:vAlign w:val="center"/>
          </w:tcPr>
          <w:p w14:paraId="04936F2B">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4818B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vAlign w:val="center"/>
          </w:tcPr>
          <w:p w14:paraId="1CB64C44">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0251BE94">
            <w:pPr>
              <w:spacing w:line="340" w:lineRule="exact"/>
              <w:jc w:val="center"/>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1BECBD5E">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资质要求</w:t>
            </w:r>
          </w:p>
        </w:tc>
        <w:tc>
          <w:tcPr>
            <w:tcW w:w="5023" w:type="dxa"/>
            <w:tcBorders>
              <w:top w:val="single" w:color="auto" w:sz="4" w:space="0"/>
              <w:left w:val="single" w:color="auto" w:sz="4" w:space="0"/>
              <w:bottom w:val="single" w:color="auto" w:sz="4" w:space="0"/>
              <w:right w:val="single" w:color="auto" w:sz="4" w:space="0"/>
            </w:tcBorders>
            <w:vAlign w:val="center"/>
          </w:tcPr>
          <w:p w14:paraId="2C4DC03A">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6BC55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vAlign w:val="center"/>
          </w:tcPr>
          <w:p w14:paraId="121FC4B6">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6510BD9C">
            <w:pPr>
              <w:spacing w:line="340" w:lineRule="exact"/>
              <w:jc w:val="center"/>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2A93A795">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业绩要求</w:t>
            </w:r>
          </w:p>
        </w:tc>
        <w:tc>
          <w:tcPr>
            <w:tcW w:w="5023" w:type="dxa"/>
            <w:tcBorders>
              <w:top w:val="single" w:color="auto" w:sz="4" w:space="0"/>
              <w:left w:val="single" w:color="auto" w:sz="4" w:space="0"/>
              <w:bottom w:val="single" w:color="auto" w:sz="4" w:space="0"/>
              <w:right w:val="single" w:color="auto" w:sz="4" w:space="0"/>
            </w:tcBorders>
            <w:vAlign w:val="center"/>
          </w:tcPr>
          <w:p w14:paraId="0294E88A">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62E1E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right w:val="single" w:color="auto" w:sz="4" w:space="0"/>
            </w:tcBorders>
            <w:vAlign w:val="center"/>
          </w:tcPr>
          <w:p w14:paraId="7D7D70E4">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right w:val="single" w:color="auto" w:sz="4" w:space="0"/>
            </w:tcBorders>
            <w:vAlign w:val="center"/>
          </w:tcPr>
          <w:p w14:paraId="2BED2B22">
            <w:pPr>
              <w:spacing w:line="340" w:lineRule="exact"/>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73011A77">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竞标报价</w:t>
            </w:r>
          </w:p>
        </w:tc>
        <w:tc>
          <w:tcPr>
            <w:tcW w:w="5023" w:type="dxa"/>
            <w:tcBorders>
              <w:top w:val="single" w:color="auto" w:sz="4" w:space="0"/>
              <w:left w:val="single" w:color="auto" w:sz="4" w:space="0"/>
              <w:bottom w:val="single" w:color="auto" w:sz="4" w:space="0"/>
              <w:right w:val="single" w:color="auto" w:sz="4" w:space="0"/>
            </w:tcBorders>
            <w:vAlign w:val="center"/>
          </w:tcPr>
          <w:p w14:paraId="036A857D">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5E64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vMerge w:val="continue"/>
            <w:tcBorders>
              <w:bottom w:val="single" w:color="auto" w:sz="4" w:space="0"/>
              <w:right w:val="single" w:color="auto" w:sz="4" w:space="0"/>
            </w:tcBorders>
            <w:vAlign w:val="center"/>
          </w:tcPr>
          <w:p w14:paraId="2A2194DA">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p>
        </w:tc>
        <w:tc>
          <w:tcPr>
            <w:tcW w:w="1182" w:type="dxa"/>
            <w:vMerge w:val="continue"/>
            <w:tcBorders>
              <w:bottom w:val="single" w:color="auto" w:sz="4" w:space="0"/>
              <w:right w:val="single" w:color="auto" w:sz="4" w:space="0"/>
            </w:tcBorders>
            <w:vAlign w:val="center"/>
          </w:tcPr>
          <w:p w14:paraId="474F343D">
            <w:pPr>
              <w:spacing w:line="340" w:lineRule="exact"/>
              <w:rPr>
                <w:rFonts w:ascii="宋体" w:hAnsi="宋体" w:cs="宋体"/>
                <w:color w:val="000000" w:themeColor="text1"/>
                <w:szCs w:val="21"/>
                <w:shd w:val="clear" w:color="auto" w:fill="FFFFFF"/>
                <w14:textFill>
                  <w14:solidFill>
                    <w14:schemeClr w14:val="tx1"/>
                  </w14:solidFill>
                </w14:textFill>
              </w:rPr>
            </w:pPr>
          </w:p>
        </w:tc>
        <w:tc>
          <w:tcPr>
            <w:tcW w:w="2375" w:type="dxa"/>
            <w:tcBorders>
              <w:top w:val="single" w:color="auto" w:sz="4" w:space="0"/>
              <w:left w:val="single" w:color="auto" w:sz="4" w:space="0"/>
              <w:bottom w:val="single" w:color="auto" w:sz="4" w:space="0"/>
              <w:right w:val="single" w:color="auto" w:sz="4" w:space="0"/>
            </w:tcBorders>
            <w:vAlign w:val="center"/>
          </w:tcPr>
          <w:p w14:paraId="72E62A1E">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投标保证金</w:t>
            </w:r>
          </w:p>
        </w:tc>
        <w:tc>
          <w:tcPr>
            <w:tcW w:w="5023" w:type="dxa"/>
            <w:tcBorders>
              <w:top w:val="single" w:color="auto" w:sz="4" w:space="0"/>
              <w:left w:val="single" w:color="auto" w:sz="4" w:space="0"/>
              <w:bottom w:val="single" w:color="auto" w:sz="4" w:space="0"/>
              <w:right w:val="single" w:color="auto" w:sz="4" w:space="0"/>
            </w:tcBorders>
            <w:vAlign w:val="center"/>
          </w:tcPr>
          <w:p w14:paraId="786B0AA7">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65CB1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trPr>
        <w:tc>
          <w:tcPr>
            <w:tcW w:w="989" w:type="dxa"/>
            <w:tcBorders>
              <w:top w:val="single" w:color="auto" w:sz="4" w:space="0"/>
              <w:bottom w:val="single" w:color="auto" w:sz="4" w:space="0"/>
              <w:right w:val="single" w:color="auto" w:sz="4" w:space="0"/>
            </w:tcBorders>
            <w:vAlign w:val="center"/>
          </w:tcPr>
          <w:p w14:paraId="4BD2CD1B">
            <w:pPr>
              <w:spacing w:line="340" w:lineRule="exact"/>
              <w:ind w:firstLine="29" w:firstLineChars="14"/>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1.1.3</w:t>
            </w:r>
          </w:p>
        </w:tc>
        <w:tc>
          <w:tcPr>
            <w:tcW w:w="1182" w:type="dxa"/>
            <w:tcBorders>
              <w:top w:val="single" w:color="auto" w:sz="4" w:space="0"/>
              <w:bottom w:val="single" w:color="auto" w:sz="4" w:space="0"/>
              <w:right w:val="single" w:color="auto" w:sz="4" w:space="0"/>
            </w:tcBorders>
            <w:vAlign w:val="center"/>
          </w:tcPr>
          <w:p w14:paraId="09107755">
            <w:pPr>
              <w:spacing w:line="340" w:lineRule="exact"/>
              <w:jc w:val="center"/>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响应性评审标准</w:t>
            </w:r>
          </w:p>
        </w:tc>
        <w:tc>
          <w:tcPr>
            <w:tcW w:w="2375" w:type="dxa"/>
            <w:tcBorders>
              <w:top w:val="single" w:color="auto" w:sz="4" w:space="0"/>
              <w:left w:val="single" w:color="auto" w:sz="4" w:space="0"/>
              <w:bottom w:val="single" w:color="auto" w:sz="4" w:space="0"/>
              <w:right w:val="single" w:color="auto" w:sz="4" w:space="0"/>
            </w:tcBorders>
            <w:vAlign w:val="center"/>
          </w:tcPr>
          <w:p w14:paraId="213ACFAB">
            <w:pPr>
              <w:spacing w:line="340" w:lineRule="exact"/>
              <w:jc w:val="left"/>
              <w:rPr>
                <w:rFonts w:ascii="宋体" w:hAnsi="宋体" w:cs="宋体"/>
                <w:color w:val="000000" w:themeColor="text1"/>
                <w:szCs w:val="21"/>
                <w:shd w:val="clear" w:color="auto" w:fill="FFFFFF"/>
                <w14:textFill>
                  <w14:solidFill>
                    <w14:schemeClr w14:val="tx1"/>
                  </w14:solidFill>
                </w14:textFill>
              </w:rPr>
            </w:pPr>
            <w:r>
              <w:rPr>
                <w:rFonts w:hint="eastAsia"/>
                <w:color w:val="000000" w:themeColor="text1"/>
                <w:szCs w:val="21"/>
                <w14:textFill>
                  <w14:solidFill>
                    <w14:schemeClr w14:val="tx1"/>
                  </w14:solidFill>
                </w14:textFill>
              </w:rPr>
              <w:t>供货期</w:t>
            </w:r>
          </w:p>
        </w:tc>
        <w:tc>
          <w:tcPr>
            <w:tcW w:w="5023" w:type="dxa"/>
            <w:tcBorders>
              <w:top w:val="single" w:color="auto" w:sz="4" w:space="0"/>
              <w:left w:val="single" w:color="auto" w:sz="4" w:space="0"/>
              <w:bottom w:val="single" w:color="auto" w:sz="4" w:space="0"/>
              <w:right w:val="single" w:color="auto" w:sz="4" w:space="0"/>
            </w:tcBorders>
            <w:vAlign w:val="center"/>
          </w:tcPr>
          <w:p w14:paraId="4CE8C073">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符合比选文件规定</w:t>
            </w:r>
          </w:p>
        </w:tc>
      </w:tr>
      <w:tr w14:paraId="7A482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569" w:type="dxa"/>
            <w:gridSpan w:val="4"/>
            <w:tcBorders>
              <w:top w:val="single" w:color="auto" w:sz="4" w:space="0"/>
              <w:bottom w:val="single" w:color="auto" w:sz="4" w:space="0"/>
              <w:right w:val="single" w:color="auto" w:sz="4" w:space="0"/>
            </w:tcBorders>
            <w:vAlign w:val="center"/>
          </w:tcPr>
          <w:p w14:paraId="6D141428">
            <w:pPr>
              <w:spacing w:line="340" w:lineRule="exac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注：条款1.1.1、1.1.2、1.1.3均为强制性要求，竞标人如不满足，按否决投标处理。</w:t>
            </w:r>
          </w:p>
        </w:tc>
      </w:tr>
      <w:tr w14:paraId="2FB5AD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9569" w:type="dxa"/>
            <w:gridSpan w:val="4"/>
            <w:tcBorders>
              <w:top w:val="single" w:color="auto" w:sz="4" w:space="0"/>
              <w:bottom w:val="single" w:color="auto" w:sz="4" w:space="0"/>
              <w:right w:val="single" w:color="auto" w:sz="4" w:space="0"/>
            </w:tcBorders>
            <w:vAlign w:val="center"/>
          </w:tcPr>
          <w:p w14:paraId="01D59425">
            <w:pPr>
              <w:spacing w:line="400" w:lineRule="exac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有下列情况之一的，做否决</w:t>
            </w:r>
            <w:r>
              <w:rPr>
                <w:rFonts w:hint="eastAsia"/>
                <w:b/>
                <w:color w:val="000000" w:themeColor="text1"/>
                <w:szCs w:val="21"/>
                <w14:textFill>
                  <w14:solidFill>
                    <w14:schemeClr w14:val="tx1"/>
                  </w14:solidFill>
                </w14:textFill>
              </w:rPr>
              <w:t>竞标</w:t>
            </w:r>
            <w:r>
              <w:rPr>
                <w:b/>
                <w:color w:val="000000" w:themeColor="text1"/>
                <w:szCs w:val="21"/>
                <w14:textFill>
                  <w14:solidFill>
                    <w14:schemeClr w14:val="tx1"/>
                  </w14:solidFill>
                </w14:textFill>
              </w:rPr>
              <w:t>处理。</w:t>
            </w:r>
          </w:p>
          <w:p w14:paraId="27C3EBF0">
            <w:pPr>
              <w:numPr>
                <w:ilvl w:val="0"/>
                <w:numId w:val="4"/>
              </w:numPr>
              <w:spacing w:line="400" w:lineRule="exact"/>
              <w:ind w:left="0"/>
              <w:rPr>
                <w:color w:val="000000" w:themeColor="text1"/>
                <w:szCs w:val="21"/>
                <w14:textFill>
                  <w14:solidFill>
                    <w14:schemeClr w14:val="tx1"/>
                  </w14:solidFill>
                </w14:textFill>
              </w:rPr>
            </w:pPr>
            <w:r>
              <w:rPr>
                <w:color w:val="000000" w:themeColor="text1"/>
                <w:szCs w:val="21"/>
                <w14:textFill>
                  <w14:solidFill>
                    <w14:schemeClr w14:val="tx1"/>
                  </w14:solidFill>
                </w14:textFill>
              </w:rPr>
              <w:t>不同</w:t>
            </w:r>
            <w:r>
              <w:rPr>
                <w:rFonts w:hint="eastAsia"/>
                <w:color w:val="000000" w:themeColor="text1"/>
                <w:szCs w:val="21"/>
                <w14:textFill>
                  <w14:solidFill>
                    <w14:schemeClr w14:val="tx1"/>
                  </w14:solidFill>
                </w14:textFill>
              </w:rPr>
              <w:t>竞标人</w:t>
            </w:r>
            <w:r>
              <w:rPr>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比选申请文件</w:t>
            </w:r>
            <w:r>
              <w:rPr>
                <w:color w:val="000000" w:themeColor="text1"/>
                <w:szCs w:val="21"/>
                <w14:textFill>
                  <w14:solidFill>
                    <w14:schemeClr w14:val="tx1"/>
                  </w14:solidFill>
                </w14:textFill>
              </w:rPr>
              <w:t>由同一单位或者个人编制；</w:t>
            </w:r>
          </w:p>
          <w:p w14:paraId="2E7BAC47">
            <w:pPr>
              <w:numPr>
                <w:ilvl w:val="0"/>
                <w:numId w:val="4"/>
              </w:numPr>
              <w:spacing w:line="400" w:lineRule="exact"/>
              <w:ind w:left="0"/>
              <w:rPr>
                <w:color w:val="000000" w:themeColor="text1"/>
                <w:szCs w:val="21"/>
                <w14:textFill>
                  <w14:solidFill>
                    <w14:schemeClr w14:val="tx1"/>
                  </w14:solidFill>
                </w14:textFill>
              </w:rPr>
            </w:pPr>
            <w:r>
              <w:rPr>
                <w:color w:val="000000" w:themeColor="text1"/>
                <w:szCs w:val="21"/>
                <w14:textFill>
                  <w14:solidFill>
                    <w14:schemeClr w14:val="tx1"/>
                  </w14:solidFill>
                </w14:textFill>
              </w:rPr>
              <w:t>不同</w:t>
            </w:r>
            <w:r>
              <w:rPr>
                <w:rFonts w:hint="eastAsia"/>
                <w:color w:val="000000" w:themeColor="text1"/>
                <w:szCs w:val="21"/>
                <w14:textFill>
                  <w14:solidFill>
                    <w14:schemeClr w14:val="tx1"/>
                  </w14:solidFill>
                </w14:textFill>
              </w:rPr>
              <w:t>竞标人</w:t>
            </w:r>
            <w:r>
              <w:rPr>
                <w:color w:val="000000" w:themeColor="text1"/>
                <w:szCs w:val="21"/>
                <w14:textFill>
                  <w14:solidFill>
                    <w14:schemeClr w14:val="tx1"/>
                  </w14:solidFill>
                </w14:textFill>
              </w:rPr>
              <w:t>委托同一单位或者个人办理</w:t>
            </w:r>
            <w:r>
              <w:rPr>
                <w:rFonts w:hint="eastAsia"/>
                <w:color w:val="000000" w:themeColor="text1"/>
                <w:szCs w:val="21"/>
                <w14:textFill>
                  <w14:solidFill>
                    <w14:schemeClr w14:val="tx1"/>
                  </w14:solidFill>
                </w14:textFill>
              </w:rPr>
              <w:t>竞标</w:t>
            </w:r>
            <w:r>
              <w:rPr>
                <w:color w:val="000000" w:themeColor="text1"/>
                <w:szCs w:val="21"/>
                <w14:textFill>
                  <w14:solidFill>
                    <w14:schemeClr w14:val="tx1"/>
                  </w14:solidFill>
                </w14:textFill>
              </w:rPr>
              <w:t>事宜；</w:t>
            </w:r>
          </w:p>
          <w:p w14:paraId="62E80950">
            <w:pPr>
              <w:numPr>
                <w:ilvl w:val="0"/>
                <w:numId w:val="4"/>
              </w:numPr>
              <w:spacing w:line="400" w:lineRule="exact"/>
              <w:ind w:left="0"/>
              <w:rPr>
                <w:color w:val="000000" w:themeColor="text1"/>
                <w:szCs w:val="21"/>
                <w14:textFill>
                  <w14:solidFill>
                    <w14:schemeClr w14:val="tx1"/>
                  </w14:solidFill>
                </w14:textFill>
              </w:rPr>
            </w:pPr>
            <w:r>
              <w:rPr>
                <w:color w:val="000000" w:themeColor="text1"/>
                <w:szCs w:val="21"/>
                <w14:textFill>
                  <w14:solidFill>
                    <w14:schemeClr w14:val="tx1"/>
                  </w14:solidFill>
                </w14:textFill>
              </w:rPr>
              <w:t>不同</w:t>
            </w:r>
            <w:r>
              <w:rPr>
                <w:rFonts w:hint="eastAsia"/>
                <w:color w:val="000000" w:themeColor="text1"/>
                <w:szCs w:val="21"/>
                <w14:textFill>
                  <w14:solidFill>
                    <w14:schemeClr w14:val="tx1"/>
                  </w14:solidFill>
                </w14:textFill>
              </w:rPr>
              <w:t>竞标人</w:t>
            </w:r>
            <w:r>
              <w:rPr>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比选申请文件</w:t>
            </w:r>
            <w:r>
              <w:rPr>
                <w:color w:val="000000" w:themeColor="text1"/>
                <w:szCs w:val="21"/>
                <w14:textFill>
                  <w14:solidFill>
                    <w14:schemeClr w14:val="tx1"/>
                  </w14:solidFill>
                </w14:textFill>
              </w:rPr>
              <w:t>载明的项目管理成员为同一人；</w:t>
            </w:r>
          </w:p>
          <w:p w14:paraId="609605FA">
            <w:pPr>
              <w:numPr>
                <w:ilvl w:val="0"/>
                <w:numId w:val="4"/>
              </w:numPr>
              <w:spacing w:line="400" w:lineRule="exact"/>
              <w:ind w:left="0"/>
              <w:rPr>
                <w:color w:val="000000" w:themeColor="text1"/>
                <w:szCs w:val="21"/>
                <w14:textFill>
                  <w14:solidFill>
                    <w14:schemeClr w14:val="tx1"/>
                  </w14:solidFill>
                </w14:textFill>
              </w:rPr>
            </w:pPr>
            <w:r>
              <w:rPr>
                <w:color w:val="000000" w:themeColor="text1"/>
                <w:szCs w:val="21"/>
                <w14:textFill>
                  <w14:solidFill>
                    <w14:schemeClr w14:val="tx1"/>
                  </w14:solidFill>
                </w14:textFill>
              </w:rPr>
              <w:t>不同</w:t>
            </w:r>
            <w:r>
              <w:rPr>
                <w:rFonts w:hint="eastAsia"/>
                <w:color w:val="000000" w:themeColor="text1"/>
                <w:szCs w:val="21"/>
                <w14:textFill>
                  <w14:solidFill>
                    <w14:schemeClr w14:val="tx1"/>
                  </w14:solidFill>
                </w14:textFill>
              </w:rPr>
              <w:t>竞标人</w:t>
            </w:r>
            <w:r>
              <w:rPr>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比选申请文件</w:t>
            </w:r>
            <w:r>
              <w:rPr>
                <w:color w:val="000000" w:themeColor="text1"/>
                <w:szCs w:val="21"/>
                <w14:textFill>
                  <w14:solidFill>
                    <w14:schemeClr w14:val="tx1"/>
                  </w14:solidFill>
                </w14:textFill>
              </w:rPr>
              <w:t>异常一致或者</w:t>
            </w:r>
            <w:r>
              <w:rPr>
                <w:rFonts w:hint="eastAsia"/>
                <w:color w:val="000000" w:themeColor="text1"/>
                <w:szCs w:val="21"/>
                <w14:textFill>
                  <w14:solidFill>
                    <w14:schemeClr w14:val="tx1"/>
                  </w14:solidFill>
                </w14:textFill>
              </w:rPr>
              <w:t>竞标报价</w:t>
            </w:r>
            <w:r>
              <w:rPr>
                <w:color w:val="000000" w:themeColor="text1"/>
                <w:szCs w:val="21"/>
                <w14:textFill>
                  <w14:solidFill>
                    <w14:schemeClr w14:val="tx1"/>
                  </w14:solidFill>
                </w14:textFill>
              </w:rPr>
              <w:t>呈规律性差异</w:t>
            </w:r>
            <w:r>
              <w:rPr>
                <w:rFonts w:hint="eastAsia"/>
                <w:color w:val="000000" w:themeColor="text1"/>
                <w:szCs w:val="21"/>
                <w14:textFill>
                  <w14:solidFill>
                    <w14:schemeClr w14:val="tx1"/>
                  </w14:solidFill>
                </w14:textFill>
              </w:rPr>
              <w:t>或报价不具备竞争性</w:t>
            </w:r>
            <w:r>
              <w:rPr>
                <w:color w:val="000000" w:themeColor="text1"/>
                <w:szCs w:val="21"/>
                <w14:textFill>
                  <w14:solidFill>
                    <w14:schemeClr w14:val="tx1"/>
                  </w14:solidFill>
                </w14:textFill>
              </w:rPr>
              <w:t>；</w:t>
            </w:r>
          </w:p>
          <w:p w14:paraId="4F30BE84">
            <w:pPr>
              <w:spacing w:line="340" w:lineRule="exact"/>
              <w:rPr>
                <w:rFonts w:ascii="宋体" w:hAnsi="宋体" w:cs="宋体"/>
                <w:color w:val="000000" w:themeColor="text1"/>
                <w:szCs w:val="21"/>
                <w:shd w:val="clear" w:color="auto" w:fill="FFFFFF"/>
                <w14:textFill>
                  <w14:solidFill>
                    <w14:schemeClr w14:val="tx1"/>
                  </w14:solidFill>
                </w14:textFill>
              </w:rPr>
            </w:pPr>
            <w:r>
              <w:rPr>
                <w:color w:val="000000" w:themeColor="text1"/>
                <w:szCs w:val="21"/>
                <w14:textFill>
                  <w14:solidFill>
                    <w14:schemeClr w14:val="tx1"/>
                  </w14:solidFill>
                </w14:textFill>
              </w:rPr>
              <w:t>不同</w:t>
            </w:r>
            <w:r>
              <w:rPr>
                <w:rFonts w:hint="eastAsia"/>
                <w:color w:val="000000" w:themeColor="text1"/>
                <w:szCs w:val="21"/>
                <w14:textFill>
                  <w14:solidFill>
                    <w14:schemeClr w14:val="tx1"/>
                  </w14:solidFill>
                </w14:textFill>
              </w:rPr>
              <w:t>竞标人</w:t>
            </w:r>
            <w:r>
              <w:rPr>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比选申请文件</w:t>
            </w:r>
            <w:r>
              <w:rPr>
                <w:color w:val="000000" w:themeColor="text1"/>
                <w:szCs w:val="21"/>
                <w14:textFill>
                  <w14:solidFill>
                    <w14:schemeClr w14:val="tx1"/>
                  </w14:solidFill>
                </w14:textFill>
              </w:rPr>
              <w:t>相互混装；</w:t>
            </w:r>
          </w:p>
        </w:tc>
      </w:tr>
      <w:tr w14:paraId="780A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vAlign w:val="center"/>
          </w:tcPr>
          <w:p w14:paraId="73A6346E">
            <w:pPr>
              <w:spacing w:line="400" w:lineRule="exact"/>
              <w:jc w:val="center"/>
              <w:rPr>
                <w:color w:val="000000" w:themeColor="text1"/>
                <w:kern w:val="0"/>
                <w:szCs w:val="21"/>
                <w14:textFill>
                  <w14:solidFill>
                    <w14:schemeClr w14:val="tx1"/>
                  </w14:solidFill>
                </w14:textFill>
              </w:rPr>
            </w:pPr>
            <w:r>
              <w:rPr>
                <w:rFonts w:hint="eastAsia"/>
                <w:color w:val="000000" w:themeColor="text1"/>
                <w:szCs w:val="21"/>
                <w14:textFill>
                  <w14:solidFill>
                    <w14:schemeClr w14:val="tx1"/>
                  </w14:solidFill>
                </w14:textFill>
              </w:rPr>
              <w:t>成交候</w:t>
            </w:r>
            <w:r>
              <w:rPr>
                <w:color w:val="000000" w:themeColor="text1"/>
                <w:szCs w:val="21"/>
                <w14:textFill>
                  <w14:solidFill>
                    <w14:schemeClr w14:val="tx1"/>
                  </w14:solidFill>
                </w14:textFill>
              </w:rPr>
              <w:t>选人</w:t>
            </w:r>
            <w:r>
              <w:rPr>
                <w:rFonts w:hint="eastAsia"/>
                <w:color w:val="000000" w:themeColor="text1"/>
                <w:szCs w:val="21"/>
                <w14:textFill>
                  <w14:solidFill>
                    <w14:schemeClr w14:val="tx1"/>
                  </w14:solidFill>
                </w14:textFill>
              </w:rPr>
              <w:t>推荐</w:t>
            </w:r>
          </w:p>
        </w:tc>
        <w:tc>
          <w:tcPr>
            <w:tcW w:w="7398" w:type="dxa"/>
            <w:gridSpan w:val="2"/>
            <w:vAlign w:val="center"/>
          </w:tcPr>
          <w:p w14:paraId="14A66DBE">
            <w:pPr>
              <w:spacing w:line="400" w:lineRule="exac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  若各标段报名家数大于等于三家，则</w:t>
            </w:r>
            <w:r>
              <w:rPr>
                <w:rFonts w:hint="eastAsia"/>
                <w:color w:val="000000" w:themeColor="text1"/>
                <w:szCs w:val="21"/>
                <w14:textFill>
                  <w14:solidFill>
                    <w14:schemeClr w14:val="tx1"/>
                  </w14:solidFill>
                </w14:textFill>
              </w:rPr>
              <w:t>经评审合格的候选人按价格由低到高的先后顺序推荐3名中标候选人；若评审合格的候选人不足3名（</w:t>
            </w:r>
            <w:r>
              <w:rPr>
                <w:color w:val="000000" w:themeColor="text1"/>
                <w14:textFill>
                  <w14:solidFill>
                    <w14:schemeClr w14:val="tx1"/>
                  </w14:solidFill>
                </w14:textFill>
              </w:rPr>
              <w:t>有效</w:t>
            </w:r>
            <w:r>
              <w:rPr>
                <w:rFonts w:hint="eastAsia"/>
                <w:color w:val="000000" w:themeColor="text1"/>
                <w:szCs w:val="21"/>
                <w14:textFill>
                  <w14:solidFill>
                    <w14:schemeClr w14:val="tx1"/>
                  </w14:solidFill>
                </w14:textFill>
              </w:rPr>
              <w:t>候选人</w:t>
            </w:r>
            <w:r>
              <w:rPr>
                <w:color w:val="000000" w:themeColor="text1"/>
                <w14:textFill>
                  <w14:solidFill>
                    <w14:schemeClr w14:val="tx1"/>
                  </w14:solidFill>
                </w14:textFill>
              </w:rPr>
              <w:t>的经济、技术等指标仍然具有市场竞争力，能够满足</w:t>
            </w:r>
            <w:r>
              <w:rPr>
                <w:rFonts w:hint="eastAsia"/>
                <w:color w:val="000000" w:themeColor="text1"/>
                <w14:textFill>
                  <w14:solidFill>
                    <w14:schemeClr w14:val="tx1"/>
                  </w14:solidFill>
                </w14:textFill>
              </w:rPr>
              <w:t>比选</w:t>
            </w:r>
            <w:r>
              <w:rPr>
                <w:color w:val="000000" w:themeColor="text1"/>
                <w14:textFill>
                  <w14:solidFill>
                    <w14:schemeClr w14:val="tx1"/>
                  </w14:solidFill>
                </w14:textFill>
              </w:rPr>
              <w:t>文件要求的</w:t>
            </w:r>
            <w:r>
              <w:rPr>
                <w:rFonts w:hint="eastAsia"/>
                <w:color w:val="000000" w:themeColor="text1"/>
                <w:szCs w:val="21"/>
                <w14:textFill>
                  <w14:solidFill>
                    <w14:schemeClr w14:val="tx1"/>
                  </w14:solidFill>
                </w14:textFill>
              </w:rPr>
              <w:t>），则只选取相应的数量。</w:t>
            </w:r>
          </w:p>
        </w:tc>
      </w:tr>
      <w:tr w14:paraId="2E0B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vAlign w:val="center"/>
          </w:tcPr>
          <w:p w14:paraId="60FDB7AE">
            <w:pPr>
              <w:spacing w:line="40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报价算术错误修正</w:t>
            </w:r>
          </w:p>
        </w:tc>
        <w:tc>
          <w:tcPr>
            <w:tcW w:w="7398" w:type="dxa"/>
            <w:gridSpan w:val="2"/>
            <w:vAlign w:val="center"/>
          </w:tcPr>
          <w:p w14:paraId="11823FD5">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若在评标过程中发现报价存在计算错误，则按以下规则进行算术修正：投标报价为各分项报价金额之和，投标报价与分项报价的合价不一致的，应以各分项合价累计数为准，修正投标报价；如分项报价中存在缺漏项，则视为缺漏项价格已包含在其他分项报价之中。投标大小写金额不一致的，以大写金额为准进行修正。总价金额和单价金额不一致的，以单价金额为准，但是单价金额有明显小数点错误的除外。</w:t>
            </w:r>
          </w:p>
        </w:tc>
      </w:tr>
      <w:tr w14:paraId="698B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71" w:type="dxa"/>
            <w:gridSpan w:val="2"/>
            <w:vAlign w:val="center"/>
          </w:tcPr>
          <w:p w14:paraId="5B4ADE18">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澄清</w:t>
            </w:r>
          </w:p>
        </w:tc>
        <w:tc>
          <w:tcPr>
            <w:tcW w:w="7398" w:type="dxa"/>
            <w:gridSpan w:val="2"/>
            <w:vAlign w:val="center"/>
          </w:tcPr>
          <w:p w14:paraId="0F299B9D">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在评标过程中，评审小组可以要求投标人对所提交投标文件中不明确的内容进行书面澄清或说明，或者对细微偏差进行补正。评标委员会不接受投标人主动提出的澄清、说明或补正。</w:t>
            </w:r>
          </w:p>
        </w:tc>
      </w:tr>
    </w:tbl>
    <w:p w14:paraId="384EE835">
      <w:pPr>
        <w:spacing w:line="360" w:lineRule="exac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八、履约保证金</w:t>
      </w:r>
    </w:p>
    <w:p w14:paraId="576EAB6F">
      <w:pPr>
        <w:pStyle w:val="41"/>
        <w:spacing w:line="240" w:lineRule="auto"/>
        <w:ind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（1）要求中标人提交履约保证金：</w:t>
      </w:r>
    </w:p>
    <w:p w14:paraId="21C8AD7B">
      <w:pPr>
        <w:pStyle w:val="41"/>
        <w:spacing w:line="240" w:lineRule="auto"/>
        <w:ind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（2）履约保证金的形式：以转账支票或电汇形式提交履约保证金。</w:t>
      </w:r>
    </w:p>
    <w:p w14:paraId="62CF0949">
      <w:pPr>
        <w:pStyle w:val="41"/>
        <w:spacing w:line="240" w:lineRule="auto"/>
        <w:ind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（3）履约保证金的金额：10％签约合同价。</w:t>
      </w:r>
    </w:p>
    <w:p w14:paraId="4D5064D4">
      <w:pPr>
        <w:pStyle w:val="41"/>
        <w:spacing w:line="240" w:lineRule="auto"/>
        <w:ind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（4）提交期限为：在中标后30个工作日内和签订合同前向发包人提交。</w:t>
      </w:r>
    </w:p>
    <w:p w14:paraId="0A23FC18">
      <w:pPr>
        <w:pStyle w:val="41"/>
        <w:spacing w:line="240" w:lineRule="auto"/>
        <w:ind w:firstLine="420" w:firstLineChars="200"/>
        <w:jc w:val="both"/>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（5）中标人不能按要求提交履约保证金的，视为放弃中标，其投标保证金不予退还，给招标人造成的损失超过投标保证金数额的，中标人还应对超过部分予以赔偿。</w:t>
      </w:r>
    </w:p>
    <w:p w14:paraId="603FFA33">
      <w:pPr>
        <w:pStyle w:val="41"/>
        <w:spacing w:line="240" w:lineRule="auto"/>
        <w:ind w:firstLine="420" w:firstLineChars="200"/>
        <w:jc w:val="both"/>
        <w:rPr>
          <w:rFonts w:ascii="宋体" w:hAnsi="宋体" w:eastAsia="宋体" w:cs="宋体"/>
          <w:color w:val="000000" w:themeColor="text1"/>
          <w:szCs w:val="21"/>
          <w14:textFill>
            <w14:solidFill>
              <w14:schemeClr w14:val="tx1"/>
            </w14:solidFill>
          </w14:textFill>
        </w:rPr>
      </w:pPr>
      <w:r>
        <w:rPr>
          <w:rFonts w:hint="eastAsia" w:eastAsia="宋体"/>
          <w:color w:val="000000" w:themeColor="text1"/>
          <w:sz w:val="21"/>
          <w:szCs w:val="20"/>
          <w:shd w:val="clear" w:color="auto" w:fill="FFFFFF"/>
          <w14:textFill>
            <w14:solidFill>
              <w14:schemeClr w14:val="tx1"/>
            </w14:solidFill>
          </w14:textFill>
        </w:rPr>
        <w:t>（6）甲方应在工程竣工验收证书签发后</w:t>
      </w:r>
      <w:r>
        <w:rPr>
          <w:rFonts w:eastAsia="宋体"/>
          <w:color w:val="000000" w:themeColor="text1"/>
          <w:sz w:val="21"/>
          <w:szCs w:val="20"/>
          <w:shd w:val="clear" w:color="auto" w:fill="FFFFFF"/>
          <w14:textFill>
            <w14:solidFill>
              <w14:schemeClr w14:val="tx1"/>
            </w14:solidFill>
          </w14:textFill>
        </w:rPr>
        <w:t>1个月</w:t>
      </w:r>
      <w:r>
        <w:rPr>
          <w:rFonts w:hint="eastAsia" w:eastAsia="宋体"/>
          <w:color w:val="000000" w:themeColor="text1"/>
          <w:sz w:val="21"/>
          <w:szCs w:val="20"/>
          <w:shd w:val="clear" w:color="auto" w:fill="FFFFFF"/>
          <w14:textFill>
            <w14:solidFill>
              <w14:schemeClr w14:val="tx1"/>
            </w14:solidFill>
          </w14:textFill>
        </w:rPr>
        <w:t>内无息退还履约保证金给</w:t>
      </w:r>
      <w:r>
        <w:rPr>
          <w:rFonts w:hint="eastAsia" w:eastAsia="宋体"/>
          <w:color w:val="000000" w:themeColor="text1"/>
          <w:sz w:val="21"/>
          <w:szCs w:val="20"/>
          <w14:textFill>
            <w14:solidFill>
              <w14:schemeClr w14:val="tx1"/>
            </w14:solidFill>
          </w14:textFill>
        </w:rPr>
        <w:t>乙方</w:t>
      </w:r>
      <w:r>
        <w:rPr>
          <w:rFonts w:hint="eastAsia" w:eastAsia="宋体"/>
          <w:color w:val="000000" w:themeColor="text1"/>
          <w:sz w:val="21"/>
          <w:szCs w:val="20"/>
          <w:shd w:val="clear" w:color="auto" w:fill="FFFFFF"/>
          <w14:textFill>
            <w14:solidFill>
              <w14:schemeClr w14:val="tx1"/>
            </w14:solidFill>
          </w14:textFill>
        </w:rPr>
        <w:t>。</w:t>
      </w:r>
    </w:p>
    <w:p w14:paraId="3DA6BE7B">
      <w:pPr>
        <w:spacing w:line="360" w:lineRule="exact"/>
        <w:rPr>
          <w:color w:val="000000" w:themeColor="text1"/>
          <w14:textFill>
            <w14:solidFill>
              <w14:schemeClr w14:val="tx1"/>
            </w14:solidFill>
          </w14:textFill>
        </w:rPr>
      </w:pPr>
      <w:r>
        <w:rPr>
          <w:rFonts w:hint="eastAsia"/>
          <w:b/>
          <w:bCs/>
          <w:color w:val="000000" w:themeColor="text1"/>
          <w:szCs w:val="21"/>
          <w14:textFill>
            <w14:solidFill>
              <w14:schemeClr w14:val="tx1"/>
            </w14:solidFill>
          </w14:textFill>
        </w:rPr>
        <w:t>九、低价风险担保</w:t>
      </w:r>
    </w:p>
    <w:p w14:paraId="52EBAD34">
      <w:pPr>
        <w:spacing w:line="360" w:lineRule="exact"/>
        <w:ind w:firstLine="420" w:firstLineChars="200"/>
        <w:outlineLvl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中标候选人的中标价格低于项目最高限价85%的，除缴纳履约保证金外还须缴纳低价担保金，担保方式采用银行保函或者现金、支票等多种方式，担保额度＝</w:t>
      </w:r>
      <w:r>
        <w:rPr>
          <w:rFonts w:hint="eastAsia" w:ascii="宋体" w:hAnsi="宋体"/>
          <w:color w:val="000000" w:themeColor="text1"/>
          <w:kern w:val="0"/>
          <w:szCs w:val="21"/>
          <w14:textFill>
            <w14:solidFill>
              <w14:schemeClr w14:val="tx1"/>
            </w14:solidFill>
          </w14:textFill>
        </w:rPr>
        <w:t>（最高限价×</w:t>
      </w:r>
      <w:r>
        <w:rPr>
          <w:rFonts w:ascii="宋体" w:hAnsi="宋体"/>
          <w:color w:val="000000" w:themeColor="text1"/>
          <w:kern w:val="0"/>
          <w:szCs w:val="21"/>
          <w14:textFill>
            <w14:solidFill>
              <w14:schemeClr w14:val="tx1"/>
            </w14:solidFill>
          </w14:textFill>
        </w:rPr>
        <w:t>85%-</w:t>
      </w:r>
      <w:r>
        <w:rPr>
          <w:rFonts w:hint="eastAsia" w:ascii="宋体" w:hAnsi="宋体"/>
          <w:color w:val="000000" w:themeColor="text1"/>
          <w:kern w:val="0"/>
          <w:szCs w:val="21"/>
          <w14:textFill>
            <w14:solidFill>
              <w14:schemeClr w14:val="tx1"/>
            </w14:solidFill>
          </w14:textFill>
        </w:rPr>
        <w:t>中标价）×3</w:t>
      </w:r>
      <w:r>
        <w:rPr>
          <w:rFonts w:hint="eastAsia"/>
          <w:color w:val="000000" w:themeColor="text1"/>
          <w:szCs w:val="21"/>
          <w14:textFill>
            <w14:solidFill>
              <w14:schemeClr w14:val="tx1"/>
            </w14:solidFill>
          </w14:textFill>
        </w:rPr>
        <w:t>，签订合同之前提交。</w:t>
      </w:r>
    </w:p>
    <w:p w14:paraId="2E3FB39D">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合同执行完毕</w:t>
      </w:r>
      <w:r>
        <w:rPr>
          <w:rFonts w:hint="eastAsia" w:ascii="宋体" w:hAnsi="宋体" w:cs="宋体"/>
          <w:color w:val="000000" w:themeColor="text1"/>
          <w:szCs w:val="21"/>
          <w14:textFill>
            <w14:solidFill>
              <w14:schemeClr w14:val="tx1"/>
            </w14:solidFill>
          </w14:textFill>
        </w:rPr>
        <w:t>，比选人将在双方完成相关手续后在1个月内无息</w:t>
      </w:r>
      <w:r>
        <w:rPr>
          <w:rFonts w:hint="eastAsia"/>
          <w:color w:val="000000" w:themeColor="text1"/>
          <w14:textFill>
            <w14:solidFill>
              <w14:schemeClr w14:val="tx1"/>
            </w14:solidFill>
          </w14:textFill>
        </w:rPr>
        <w:t xml:space="preserve">退还缴纳低价风险担保金的100% </w:t>
      </w:r>
      <w:r>
        <w:rPr>
          <w:rFonts w:hint="eastAsia" w:ascii="宋体" w:hAnsi="宋体" w:cs="宋体"/>
          <w:color w:val="000000" w:themeColor="text1"/>
          <w:szCs w:val="21"/>
          <w14:textFill>
            <w14:solidFill>
              <w14:schemeClr w14:val="tx1"/>
            </w14:solidFill>
          </w14:textFill>
        </w:rPr>
        <w:t>，否则甲方将全额扣除乙方支付的低价风险担保金。</w:t>
      </w:r>
    </w:p>
    <w:p w14:paraId="4CFB0FAA">
      <w:pPr>
        <w:spacing w:line="360" w:lineRule="exac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中标人不能按照合同约定的标的、价款、履行期限等主要条款完成合同约定内容的，应当依法承担相应的担保责任。</w:t>
      </w:r>
    </w:p>
    <w:p w14:paraId="3143098F">
      <w:pPr>
        <w:spacing w:line="36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十</w:t>
      </w:r>
      <w:r>
        <w:rPr>
          <w:b/>
          <w:color w:val="000000" w:themeColor="text1"/>
          <w:szCs w:val="21"/>
          <w14:textFill>
            <w14:solidFill>
              <w14:schemeClr w14:val="tx1"/>
            </w14:solidFill>
          </w14:textFill>
        </w:rPr>
        <w:t>、</w:t>
      </w:r>
      <w:r>
        <w:rPr>
          <w:rFonts w:hint="eastAsia"/>
          <w:b/>
          <w:color w:val="000000" w:themeColor="text1"/>
          <w:szCs w:val="21"/>
          <w14:textFill>
            <w14:solidFill>
              <w14:schemeClr w14:val="tx1"/>
            </w14:solidFill>
          </w14:textFill>
        </w:rPr>
        <w:t>竞争性比选</w:t>
      </w:r>
      <w:r>
        <w:rPr>
          <w:b/>
          <w:color w:val="000000" w:themeColor="text1"/>
          <w:szCs w:val="21"/>
          <w14:textFill>
            <w14:solidFill>
              <w14:schemeClr w14:val="tx1"/>
            </w14:solidFill>
          </w14:textFill>
        </w:rPr>
        <w:t>须知</w:t>
      </w:r>
    </w:p>
    <w:p w14:paraId="63B1000B">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竞争性比选文件获取方式：凡愿意参加的潜在竞标人，从挂网日起至竞争性比选响应文件递交截止时间前，在重庆高速集团官网（https://www.cegc.com.cn/html/col1810480.html）、重庆高速公路集团有限公司招投标管理平台（http://cqgsbid.cegc.com.cn:7900/#/web/home）上发布的本项目竞争性比选公告中的获取方式自行下载。不管竞标人是否下载，均视为已知晓竞争性比选文件的全部内容和有关事宜。本项目不需要报名，直接投标。</w:t>
      </w:r>
    </w:p>
    <w:p w14:paraId="5722EE1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（二）竞争性比选结果公示将在重庆高速集团官网（https://www.cegc.com.cn/html/col1810480.html）、重庆高速公路集团有限公司招投标管理平台（http://cqgsbid.cegc.com.cn:7900/#/web/home）上发布。</w:t>
      </w:r>
    </w:p>
    <w:p w14:paraId="4DC6B630">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（三）竞标文件递交截止地点：重庆公路养护工程(集团)有限公司306室（重庆市沙坪坝区梨高路4号）。</w:t>
      </w:r>
    </w:p>
    <w:p w14:paraId="232A529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（四）竞标文件递交截止时间：2026年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日下午</w:t>
      </w:r>
      <w:r>
        <w:rPr>
          <w:rFonts w:hint="eastAsia" w:ascii="宋体" w:hAnsi="宋体" w:cs="宋体"/>
          <w:color w:val="000000" w:themeColor="text1"/>
          <w:szCs w:val="21"/>
          <w:u w:val="single"/>
          <w14:textFill>
            <w14:solidFill>
              <w14:schemeClr w14:val="tx1"/>
            </w14:solidFill>
          </w14:textFill>
        </w:rPr>
        <w:t xml:space="preserve"> </w:t>
      </w:r>
      <w:r>
        <w:rPr>
          <w:rFonts w:ascii="宋体" w:hAnsi="宋体" w:cs="宋体"/>
          <w:color w:val="000000" w:themeColor="text1"/>
          <w:szCs w:val="21"/>
          <w:u w:val="single"/>
          <w14:textFill>
            <w14:solidFill>
              <w14:schemeClr w14:val="tx1"/>
            </w14:solidFill>
          </w14:textFill>
        </w:rPr>
        <w:t xml:space="preserve">14 </w:t>
      </w:r>
      <w:r>
        <w:rPr>
          <w:rFonts w:hint="eastAsia" w:ascii="宋体" w:hAnsi="宋体" w:cs="宋体"/>
          <w:color w:val="000000" w:themeColor="text1"/>
          <w:szCs w:val="21"/>
          <w14:textFill>
            <w14:solidFill>
              <w14:schemeClr w14:val="tx1"/>
            </w14:solidFill>
          </w14:textFill>
        </w:rPr>
        <w:t>时</w:t>
      </w:r>
      <w:r>
        <w:rPr>
          <w:rFonts w:ascii="宋体" w:hAnsi="宋体" w:cs="宋体"/>
          <w:color w:val="000000" w:themeColor="text1"/>
          <w:szCs w:val="21"/>
          <w:u w:val="single"/>
          <w14:textFill>
            <w14:solidFill>
              <w14:schemeClr w14:val="tx1"/>
            </w14:solidFill>
          </w14:textFill>
        </w:rPr>
        <w:t xml:space="preserve"> 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9728C9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竞标人应根据本次竞争性比选的具体要求，编制规范的竞标文件（竞标文件，要求填写规范，密封完好并在封口处加盖公章，所有竞标在截止时间后不得接收）。当第一次不足三家报名时，不予开标，标书当场退回；第二次及以后不足三家报名时，可按比选文件要求进行开标。</w:t>
      </w:r>
    </w:p>
    <w:p w14:paraId="2A98E818">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（六）密封要求：</w:t>
      </w:r>
    </w:p>
    <w:p w14:paraId="497D3607">
      <w:pPr>
        <w:spacing w:line="36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按第五条要求制作的比选申请文件，将比选申请文件密封到一个封套中，再在封套上写明：</w:t>
      </w:r>
    </w:p>
    <w:p w14:paraId="6A7205BF">
      <w:pPr>
        <w:spacing w:line="360" w:lineRule="exact"/>
        <w:ind w:firstLine="420" w:firstLineChars="200"/>
        <w:jc w:val="center"/>
        <w:outlineLvl w:val="1"/>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重庆高速工程检测有限公司</w:t>
      </w:r>
    </w:p>
    <w:p w14:paraId="3C95F5A4">
      <w:pPr>
        <w:spacing w:line="360" w:lineRule="exact"/>
        <w:ind w:firstLine="420" w:firstLineChars="200"/>
        <w:jc w:val="center"/>
        <w:outlineLvl w:val="1"/>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lang w:eastAsia="zh-CN"/>
          <w14:textFill>
            <w14:solidFill>
              <w14:schemeClr w14:val="tx1"/>
            </w14:solidFill>
          </w14:textFill>
        </w:rPr>
        <w:t>2026年隧道检测车租赁及技术服务</w:t>
      </w:r>
      <w:r>
        <w:rPr>
          <w:rFonts w:hint="eastAsia" w:ascii="宋体" w:hAnsi="宋体" w:cs="宋体"/>
          <w:color w:val="000000" w:themeColor="text1"/>
          <w:szCs w:val="21"/>
          <w:u w:val="single"/>
          <w14:textFill>
            <w14:solidFill>
              <w14:schemeClr w14:val="tx1"/>
            </w14:solidFill>
          </w14:textFill>
        </w:rPr>
        <w:t>（第一批）竞标文件</w:t>
      </w:r>
    </w:p>
    <w:p w14:paraId="55961A9D">
      <w:pPr>
        <w:spacing w:line="360" w:lineRule="exact"/>
        <w:ind w:firstLine="420" w:firstLineChars="200"/>
        <w:jc w:val="center"/>
        <w:outlineLvl w:val="1"/>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2026年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5</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日下午</w:t>
      </w:r>
      <w:r>
        <w:rPr>
          <w:rFonts w:hint="eastAsia" w:ascii="宋体" w:hAnsi="宋体" w:cs="宋体"/>
          <w:color w:val="000000" w:themeColor="text1"/>
          <w:szCs w:val="21"/>
          <w:u w:val="single"/>
          <w14:textFill>
            <w14:solidFill>
              <w14:schemeClr w14:val="tx1"/>
            </w14:solidFill>
          </w14:textFill>
        </w:rPr>
        <w:t xml:space="preserve"> 14  </w:t>
      </w:r>
      <w:r>
        <w:rPr>
          <w:rFonts w:hint="eastAsia" w:ascii="宋体" w:hAnsi="宋体" w:cs="宋体"/>
          <w:color w:val="000000" w:themeColor="text1"/>
          <w:szCs w:val="21"/>
          <w14:textFill>
            <w14:solidFill>
              <w14:schemeClr w14:val="tx1"/>
            </w14:solidFill>
          </w14:textFill>
        </w:rPr>
        <w:t>时</w:t>
      </w:r>
      <w:r>
        <w:rPr>
          <w:rFonts w:hint="eastAsia" w:ascii="宋体" w:hAnsi="宋体" w:cs="宋体"/>
          <w:color w:val="000000" w:themeColor="text1"/>
          <w:szCs w:val="21"/>
          <w:u w:val="single"/>
          <w14:textFill>
            <w14:solidFill>
              <w14:schemeClr w14:val="tx1"/>
            </w14:solidFill>
          </w14:textFill>
        </w:rPr>
        <w:t xml:space="preserve"> 30 分前不得开启</w:t>
      </w:r>
    </w:p>
    <w:p w14:paraId="535D6900">
      <w:pPr>
        <w:spacing w:line="360" w:lineRule="exact"/>
        <w:ind w:firstLine="422" w:firstLineChars="200"/>
        <w:rPr>
          <w:rFonts w:ascii="宋体" w:hAnsi="宋体" w:cs="宋体"/>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七）特别提醒：若竞标人恶意竞标后不与按比选要求与比选人签订合同或履约，比选人将直接将竞标人及其关联单位（含法人代表与委托代理人）一并拉入黑名单，不得参与重庆高速工程检测有限公司所有比选项目报价。</w:t>
      </w:r>
    </w:p>
    <w:p w14:paraId="349AB9B8">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（八）廉政约定：</w:t>
      </w:r>
    </w:p>
    <w:p w14:paraId="261647CE">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w:t>
      </w:r>
      <w:r>
        <w:rPr>
          <w:rFonts w:hint="eastAsia" w:ascii="宋体" w:hAnsi="宋体" w:cs="宋体"/>
          <w:b/>
          <w:bCs/>
          <w:color w:val="000000" w:themeColor="text1"/>
          <w:szCs w:val="21"/>
          <w14:textFill>
            <w14:solidFill>
              <w14:schemeClr w14:val="tx1"/>
            </w14:solidFill>
          </w14:textFill>
        </w:rPr>
        <w:t>须提供有效线索和相关证据、证明材料</w:t>
      </w:r>
      <w:r>
        <w:rPr>
          <w:rFonts w:hint="eastAsia" w:ascii="宋体" w:hAnsi="宋体" w:cs="宋体"/>
          <w:color w:val="000000" w:themeColor="text1"/>
          <w:szCs w:val="21"/>
          <w14:textFill>
            <w14:solidFill>
              <w14:schemeClr w14:val="tx1"/>
            </w14:solidFill>
          </w14:textFill>
        </w:rPr>
        <w:t>）。具体举报渠道告知如下：</w:t>
      </w:r>
    </w:p>
    <w:p w14:paraId="4526C823">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举报联系人：崔老师   举报电话：</w:t>
      </w:r>
      <w:r>
        <w:rPr>
          <w:rFonts w:ascii="宋体" w:hAnsi="宋体" w:cs="宋体"/>
          <w:color w:val="000000" w:themeColor="text1"/>
          <w:szCs w:val="21"/>
          <w14:textFill>
            <w14:solidFill>
              <w14:schemeClr w14:val="tx1"/>
            </w14:solidFill>
          </w14:textFill>
        </w:rPr>
        <w:t>023-89187977</w:t>
      </w:r>
    </w:p>
    <w:p w14:paraId="7B4FF929">
      <w:pPr>
        <w:spacing w:line="3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我司承诺：对所有举报信息及时调查处理，对举报来源严格保守秘密，对举报单位因举报所可能遭受的利益损害采取特别措施予以保护。</w:t>
      </w:r>
    </w:p>
    <w:p w14:paraId="7F9FC959">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（九）合同（附后）。</w:t>
      </w:r>
    </w:p>
    <w:p w14:paraId="68093A17">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（十）比选人联系方式</w:t>
      </w:r>
    </w:p>
    <w:p w14:paraId="6A54A646">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比选人：重庆高速工程检测有限公司</w:t>
      </w:r>
    </w:p>
    <w:p w14:paraId="38175A70">
      <w:pPr>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地址：重庆公路养护工程(集团)有限公司（重庆市沙坪坝区梨高路4号）。</w:t>
      </w:r>
    </w:p>
    <w:p w14:paraId="6C70FB62">
      <w:pPr>
        <w:spacing w:line="36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联系人：刘老师      电话：023-88563373</w:t>
      </w:r>
      <w:r>
        <w:rPr>
          <w:rFonts w:hint="eastAsia" w:ascii="宋体" w:hAnsi="宋体"/>
          <w:snapToGrid w:val="0"/>
          <w:color w:val="000000" w:themeColor="text1"/>
          <w:kern w:val="0"/>
          <w:szCs w:val="21"/>
          <w14:textFill>
            <w14:solidFill>
              <w14:schemeClr w14:val="tx1"/>
            </w14:solidFill>
          </w14:textFill>
        </w:rPr>
        <w:t xml:space="preserve">      江老师     电话：15213626630</w:t>
      </w:r>
    </w:p>
    <w:p w14:paraId="67834420">
      <w:pPr>
        <w:spacing w:line="360" w:lineRule="auto"/>
        <w:jc w:val="left"/>
        <w:outlineLvl w:val="1"/>
        <w:rPr>
          <w:b/>
          <w:color w:val="000000" w:themeColor="text1"/>
          <w:sz w:val="24"/>
          <w:szCs w:val="21"/>
          <w14:textFill>
            <w14:solidFill>
              <w14:schemeClr w14:val="tx1"/>
            </w14:solidFill>
          </w14:textFill>
        </w:rPr>
        <w:sectPr>
          <w:footerReference r:id="rId5" w:type="first"/>
          <w:footerReference r:id="rId4" w:type="default"/>
          <w:pgSz w:w="11906" w:h="16838"/>
          <w:pgMar w:top="1361" w:right="1587" w:bottom="1179" w:left="1587" w:header="794" w:footer="794" w:gutter="0"/>
          <w:pgNumType w:start="1"/>
          <w:cols w:space="720" w:num="1"/>
          <w:docGrid w:type="lines" w:linePitch="312" w:charSpace="0"/>
        </w:sectPr>
      </w:pPr>
    </w:p>
    <w:p w14:paraId="507DFD71">
      <w:pPr>
        <w:spacing w:line="360" w:lineRule="auto"/>
        <w:jc w:val="left"/>
        <w:outlineLvl w:val="1"/>
        <w:rPr>
          <w:b/>
          <w:color w:val="000000" w:themeColor="text1"/>
          <w:sz w:val="24"/>
          <w:szCs w:val="21"/>
          <w14:textFill>
            <w14:solidFill>
              <w14:schemeClr w14:val="tx1"/>
            </w14:solidFill>
          </w14:textFill>
        </w:rPr>
      </w:pPr>
      <w:r>
        <w:rPr>
          <w:rFonts w:hint="eastAsia"/>
          <w:b/>
          <w:color w:val="000000" w:themeColor="text1"/>
          <w:sz w:val="24"/>
          <w:szCs w:val="21"/>
          <w14:textFill>
            <w14:solidFill>
              <w14:schemeClr w14:val="tx1"/>
            </w14:solidFill>
          </w14:textFill>
        </w:rPr>
        <w:t>合同格式：</w:t>
      </w:r>
    </w:p>
    <w:p w14:paraId="62C3B5BD">
      <w:pPr>
        <w:spacing w:before="156" w:beforeLines="50" w:after="156" w:afterLines="50"/>
        <w:jc w:val="center"/>
        <w:outlineLvl w:val="0"/>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t>2026年隧道检测车租赁及技术服务</w:t>
      </w:r>
    </w:p>
    <w:p w14:paraId="5F2E8777">
      <w:pPr>
        <w:spacing w:before="156" w:beforeLines="50" w:after="156" w:afterLines="50"/>
        <w:jc w:val="center"/>
        <w:outlineLvl w:val="0"/>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（第一批）合同</w:t>
      </w:r>
    </w:p>
    <w:p w14:paraId="4921CAC0">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u w:val="single"/>
          <w14:textFill>
            <w14:solidFill>
              <w14:schemeClr w14:val="tx1"/>
            </w14:solidFill>
          </w14:textFill>
        </w:rPr>
        <w:t>重庆高速工程检测有限公司</w:t>
      </w:r>
    </w:p>
    <w:p w14:paraId="2DBB2631">
      <w:pPr>
        <w:pStyle w:val="34"/>
        <w:spacing w:line="360" w:lineRule="auto"/>
        <w:rPr>
          <w:rFonts w:hAnsi="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地址：</w:t>
      </w:r>
      <w:r>
        <w:rPr>
          <w:rFonts w:hint="eastAsia" w:ascii="宋体" w:hAnsi="宋体" w:eastAsia="宋体" w:cs="宋体"/>
          <w:color w:val="000000" w:themeColor="text1"/>
          <w:u w:val="single"/>
          <w14:textFill>
            <w14:solidFill>
              <w14:schemeClr w14:val="tx1"/>
            </w14:solidFill>
          </w14:textFill>
        </w:rPr>
        <w:t>重庆市南岸区广阳镇垭口村垭新组34号</w:t>
      </w:r>
    </w:p>
    <w:p w14:paraId="2162DB47">
      <w:pPr>
        <w:spacing w:line="360" w:lineRule="auto"/>
        <w:ind w:left="1025" w:hanging="1024" w:hangingChars="427"/>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乙方：</w:t>
      </w:r>
    </w:p>
    <w:p w14:paraId="5651305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w:t>
      </w:r>
    </w:p>
    <w:p w14:paraId="1B46343F">
      <w:pPr>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甲方因工作需要，</w:t>
      </w:r>
      <w:r>
        <w:rPr>
          <w:color w:val="000000" w:themeColor="text1"/>
          <w:sz w:val="24"/>
          <w:szCs w:val="24"/>
          <w14:textFill>
            <w14:solidFill>
              <w14:schemeClr w14:val="tx1"/>
            </w14:solidFill>
          </w14:textFill>
        </w:rPr>
        <w:t>委托乙方完成相关技术服务工作</w:t>
      </w:r>
      <w:r>
        <w:rPr>
          <w:rFonts w:hint="eastAsia" w:ascii="宋体" w:hAnsi="宋体"/>
          <w:color w:val="000000" w:themeColor="text1"/>
          <w:sz w:val="24"/>
          <w14:textFill>
            <w14:solidFill>
              <w14:schemeClr w14:val="tx1"/>
            </w14:solidFill>
          </w14:textFill>
        </w:rPr>
        <w:t>，为明确双方的</w:t>
      </w:r>
      <w:r>
        <w:rPr>
          <w:rFonts w:hint="eastAsia"/>
          <w:color w:val="000000" w:themeColor="text1"/>
          <w:sz w:val="24"/>
          <w14:textFill>
            <w14:solidFill>
              <w14:schemeClr w14:val="tx1"/>
            </w14:solidFill>
          </w14:textFill>
        </w:rPr>
        <w:t>责任、权利、义务</w:t>
      </w:r>
      <w:r>
        <w:rPr>
          <w:rFonts w:hint="eastAsia" w:ascii="宋体" w:hAnsi="宋体"/>
          <w:color w:val="000000" w:themeColor="text1"/>
          <w:sz w:val="24"/>
          <w14:textFill>
            <w14:solidFill>
              <w14:schemeClr w14:val="tx1"/>
            </w14:solidFill>
          </w14:textFill>
        </w:rPr>
        <w:t>，依照《</w:t>
      </w:r>
      <w:r>
        <w:fldChar w:fldCharType="begin"/>
      </w:r>
      <w:r>
        <w:instrText xml:space="preserve"> HYPERLINK "https://baike.baidu.com/item/%E4%B8%AD%E5%8D%8E%E4%BA%BA%E6%B0%91%E5%85%B1%E5%92%8C%E5%9B%BD%E6%B0%91%E6%B3%95%E5%85%B8/19435116?fromModule=lemma_inlink" \t "https://baike.baidu.com/item/%E4%B8%AD%E5%8D%8E%E4%BA%BA%E6%B0%91%E5%85%B1%E5%92%8C%E5%9B%BD%E5%90%88%E5%90%8C%E6%B3%95/_blank" </w:instrText>
      </w:r>
      <w:r>
        <w:fldChar w:fldCharType="separate"/>
      </w:r>
      <w:r>
        <w:rPr>
          <w:rFonts w:hint="eastAsia" w:ascii="宋体" w:hAnsi="宋体"/>
          <w:color w:val="000000" w:themeColor="text1"/>
          <w:sz w:val="24"/>
          <w14:textFill>
            <w14:solidFill>
              <w14:schemeClr w14:val="tx1"/>
            </w14:solidFill>
          </w14:textFill>
        </w:rPr>
        <w:t>中华人民共和国民法典</w:t>
      </w:r>
      <w:r>
        <w:rPr>
          <w:rFonts w:hint="eastAsia"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》及其他有关法律、行政法规，双方在遵循平等、自愿、公平和诚实信用原则基础上，经共同协商，达成一致意见，特签订本合同：</w:t>
      </w:r>
    </w:p>
    <w:p w14:paraId="12A21781">
      <w:pPr>
        <w:pStyle w:val="37"/>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spacing w:line="480" w:lineRule="exact"/>
        <w:ind w:left="-57"/>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一、本项目工程量：</w:t>
      </w:r>
    </w:p>
    <w:p w14:paraId="638EA875">
      <w:pPr>
        <w:wordWrap w:val="0"/>
        <w:spacing w:line="320" w:lineRule="exact"/>
        <w:ind w:left="-57" w:right="420"/>
        <w:jc w:val="righ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                                     </w:t>
      </w:r>
      <w:r>
        <w:rPr>
          <w:rFonts w:hint="eastAsia" w:ascii="宋体"/>
          <w:color w:val="000000" w:themeColor="text1"/>
          <w:sz w:val="24"/>
          <w14:textFill>
            <w14:solidFill>
              <w14:schemeClr w14:val="tx1"/>
            </w14:solidFill>
          </w14:textFill>
        </w:rPr>
        <w:t xml:space="preserve"> 货币单位：人民币   元</w:t>
      </w:r>
    </w:p>
    <w:tbl>
      <w:tblPr>
        <w:tblStyle w:val="19"/>
        <w:tblW w:w="9486"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0"/>
        <w:gridCol w:w="1662"/>
        <w:gridCol w:w="1175"/>
        <w:gridCol w:w="1225"/>
        <w:gridCol w:w="1616"/>
        <w:gridCol w:w="1496"/>
        <w:gridCol w:w="1612"/>
      </w:tblGrid>
      <w:tr w14:paraId="7B76C7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700" w:type="dxa"/>
            <w:vMerge w:val="restart"/>
            <w:tcBorders>
              <w:tl2br w:val="nil"/>
              <w:tr2bl w:val="nil"/>
            </w:tcBorders>
            <w:vAlign w:val="center"/>
          </w:tcPr>
          <w:p w14:paraId="486B2A3B">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序号</w:t>
            </w:r>
          </w:p>
        </w:tc>
        <w:tc>
          <w:tcPr>
            <w:tcW w:w="1662" w:type="dxa"/>
            <w:vMerge w:val="restart"/>
            <w:tcBorders>
              <w:tl2br w:val="nil"/>
              <w:tr2bl w:val="nil"/>
            </w:tcBorders>
            <w:vAlign w:val="center"/>
          </w:tcPr>
          <w:p w14:paraId="70A65B1E">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费用名称</w:t>
            </w:r>
          </w:p>
        </w:tc>
        <w:tc>
          <w:tcPr>
            <w:tcW w:w="1175" w:type="dxa"/>
            <w:vMerge w:val="restart"/>
            <w:tcBorders>
              <w:tl2br w:val="nil"/>
              <w:tr2bl w:val="nil"/>
            </w:tcBorders>
            <w:vAlign w:val="center"/>
          </w:tcPr>
          <w:p w14:paraId="6FFC89DE">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单位</w:t>
            </w:r>
          </w:p>
        </w:tc>
        <w:tc>
          <w:tcPr>
            <w:tcW w:w="1225" w:type="dxa"/>
            <w:vMerge w:val="restart"/>
            <w:tcBorders>
              <w:tl2br w:val="nil"/>
              <w:tr2bl w:val="nil"/>
            </w:tcBorders>
            <w:vAlign w:val="center"/>
          </w:tcPr>
          <w:p w14:paraId="66B528C7">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计划工程量</w:t>
            </w:r>
          </w:p>
        </w:tc>
        <w:tc>
          <w:tcPr>
            <w:tcW w:w="1616" w:type="dxa"/>
            <w:vMerge w:val="restart"/>
            <w:tcBorders>
              <w:tl2br w:val="nil"/>
              <w:tr2bl w:val="nil"/>
            </w:tcBorders>
            <w:vAlign w:val="center"/>
          </w:tcPr>
          <w:p w14:paraId="30A0D2F7">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不含税单价（元）</w:t>
            </w:r>
          </w:p>
        </w:tc>
        <w:tc>
          <w:tcPr>
            <w:tcW w:w="1496" w:type="dxa"/>
            <w:vMerge w:val="restart"/>
            <w:tcBorders>
              <w:tl2br w:val="nil"/>
              <w:tr2bl w:val="nil"/>
            </w:tcBorders>
            <w:vAlign w:val="center"/>
          </w:tcPr>
          <w:p w14:paraId="5992A465">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不含税合价（元）</w:t>
            </w:r>
          </w:p>
        </w:tc>
        <w:tc>
          <w:tcPr>
            <w:tcW w:w="1612" w:type="dxa"/>
            <w:vMerge w:val="restart"/>
            <w:tcBorders>
              <w:tl2br w:val="nil"/>
              <w:tr2bl w:val="nil"/>
            </w:tcBorders>
            <w:vAlign w:val="center"/>
          </w:tcPr>
          <w:p w14:paraId="33A07828">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备注</w:t>
            </w:r>
          </w:p>
        </w:tc>
      </w:tr>
      <w:tr w14:paraId="79BBDE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700" w:type="dxa"/>
            <w:vMerge w:val="continue"/>
            <w:tcBorders>
              <w:tl2br w:val="nil"/>
              <w:tr2bl w:val="nil"/>
            </w:tcBorders>
            <w:vAlign w:val="center"/>
          </w:tcPr>
          <w:p w14:paraId="38DB786A">
            <w:pPr>
              <w:jc w:val="center"/>
              <w:rPr>
                <w:rFonts w:ascii="宋体" w:hAnsi="宋体" w:cs="宋体"/>
                <w:color w:val="000000" w:themeColor="text1"/>
                <w:kern w:val="0"/>
                <w:szCs w:val="21"/>
                <w:lang w:bidi="ar"/>
                <w14:textFill>
                  <w14:solidFill>
                    <w14:schemeClr w14:val="tx1"/>
                  </w14:solidFill>
                </w14:textFill>
              </w:rPr>
            </w:pPr>
          </w:p>
        </w:tc>
        <w:tc>
          <w:tcPr>
            <w:tcW w:w="1662" w:type="dxa"/>
            <w:vMerge w:val="continue"/>
            <w:tcBorders>
              <w:tl2br w:val="nil"/>
              <w:tr2bl w:val="nil"/>
            </w:tcBorders>
            <w:vAlign w:val="center"/>
          </w:tcPr>
          <w:p w14:paraId="03381FC9">
            <w:pPr>
              <w:jc w:val="center"/>
              <w:rPr>
                <w:rFonts w:ascii="宋体" w:hAnsi="宋体" w:cs="宋体"/>
                <w:color w:val="000000" w:themeColor="text1"/>
                <w:kern w:val="0"/>
                <w:szCs w:val="21"/>
                <w:lang w:bidi="ar"/>
                <w14:textFill>
                  <w14:solidFill>
                    <w14:schemeClr w14:val="tx1"/>
                  </w14:solidFill>
                </w14:textFill>
              </w:rPr>
            </w:pPr>
          </w:p>
        </w:tc>
        <w:tc>
          <w:tcPr>
            <w:tcW w:w="1175" w:type="dxa"/>
            <w:vMerge w:val="continue"/>
            <w:tcBorders>
              <w:tl2br w:val="nil"/>
              <w:tr2bl w:val="nil"/>
            </w:tcBorders>
            <w:vAlign w:val="center"/>
          </w:tcPr>
          <w:p w14:paraId="3516202D">
            <w:pPr>
              <w:jc w:val="center"/>
              <w:rPr>
                <w:rFonts w:ascii="宋体" w:hAnsi="宋体" w:cs="宋体"/>
                <w:color w:val="000000" w:themeColor="text1"/>
                <w:kern w:val="0"/>
                <w:szCs w:val="21"/>
                <w:lang w:bidi="ar"/>
                <w14:textFill>
                  <w14:solidFill>
                    <w14:schemeClr w14:val="tx1"/>
                  </w14:solidFill>
                </w14:textFill>
              </w:rPr>
            </w:pPr>
          </w:p>
        </w:tc>
        <w:tc>
          <w:tcPr>
            <w:tcW w:w="1225" w:type="dxa"/>
            <w:vMerge w:val="continue"/>
            <w:tcBorders>
              <w:tl2br w:val="nil"/>
              <w:tr2bl w:val="nil"/>
            </w:tcBorders>
            <w:vAlign w:val="center"/>
          </w:tcPr>
          <w:p w14:paraId="1ED53B8F">
            <w:pPr>
              <w:jc w:val="center"/>
              <w:rPr>
                <w:rFonts w:ascii="宋体" w:hAnsi="宋体" w:cs="宋体"/>
                <w:color w:val="000000" w:themeColor="text1"/>
                <w:kern w:val="0"/>
                <w:szCs w:val="21"/>
                <w:lang w:bidi="ar"/>
                <w14:textFill>
                  <w14:solidFill>
                    <w14:schemeClr w14:val="tx1"/>
                  </w14:solidFill>
                </w14:textFill>
              </w:rPr>
            </w:pPr>
          </w:p>
        </w:tc>
        <w:tc>
          <w:tcPr>
            <w:tcW w:w="1616" w:type="dxa"/>
            <w:vMerge w:val="continue"/>
            <w:tcBorders>
              <w:tl2br w:val="nil"/>
              <w:tr2bl w:val="nil"/>
            </w:tcBorders>
            <w:vAlign w:val="center"/>
          </w:tcPr>
          <w:p w14:paraId="7F63796E">
            <w:pPr>
              <w:jc w:val="center"/>
              <w:rPr>
                <w:rFonts w:ascii="宋体" w:hAnsi="宋体" w:cs="宋体"/>
                <w:color w:val="000000" w:themeColor="text1"/>
                <w:kern w:val="0"/>
                <w:szCs w:val="21"/>
                <w:lang w:bidi="ar"/>
                <w14:textFill>
                  <w14:solidFill>
                    <w14:schemeClr w14:val="tx1"/>
                  </w14:solidFill>
                </w14:textFill>
              </w:rPr>
            </w:pPr>
          </w:p>
        </w:tc>
        <w:tc>
          <w:tcPr>
            <w:tcW w:w="1496" w:type="dxa"/>
            <w:vMerge w:val="continue"/>
            <w:tcBorders>
              <w:tl2br w:val="nil"/>
              <w:tr2bl w:val="nil"/>
            </w:tcBorders>
            <w:vAlign w:val="center"/>
          </w:tcPr>
          <w:p w14:paraId="54A53A89">
            <w:pPr>
              <w:jc w:val="center"/>
              <w:rPr>
                <w:rFonts w:ascii="宋体" w:hAnsi="宋体" w:cs="宋体"/>
                <w:color w:val="000000" w:themeColor="text1"/>
                <w:kern w:val="0"/>
                <w:szCs w:val="21"/>
                <w:lang w:bidi="ar"/>
                <w14:textFill>
                  <w14:solidFill>
                    <w14:schemeClr w14:val="tx1"/>
                  </w14:solidFill>
                </w14:textFill>
              </w:rPr>
            </w:pPr>
          </w:p>
        </w:tc>
        <w:tc>
          <w:tcPr>
            <w:tcW w:w="1612" w:type="dxa"/>
            <w:vMerge w:val="continue"/>
            <w:tcBorders>
              <w:tl2br w:val="nil"/>
              <w:tr2bl w:val="nil"/>
            </w:tcBorders>
            <w:vAlign w:val="center"/>
          </w:tcPr>
          <w:p w14:paraId="6E8A0C99">
            <w:pPr>
              <w:jc w:val="center"/>
              <w:rPr>
                <w:rFonts w:ascii="宋体" w:hAnsi="宋体" w:cs="宋体"/>
                <w:color w:val="000000" w:themeColor="text1"/>
                <w:kern w:val="0"/>
                <w:szCs w:val="21"/>
                <w:lang w:bidi="ar"/>
                <w14:textFill>
                  <w14:solidFill>
                    <w14:schemeClr w14:val="tx1"/>
                  </w14:solidFill>
                </w14:textFill>
              </w:rPr>
            </w:pPr>
          </w:p>
        </w:tc>
      </w:tr>
      <w:tr w14:paraId="36BCB2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jc w:val="center"/>
        </w:trPr>
        <w:tc>
          <w:tcPr>
            <w:tcW w:w="700" w:type="dxa"/>
            <w:tcBorders>
              <w:tl2br w:val="nil"/>
              <w:tr2bl w:val="nil"/>
            </w:tcBorders>
            <w:vAlign w:val="center"/>
          </w:tcPr>
          <w:p w14:paraId="3F2B201E">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w:t>
            </w:r>
          </w:p>
        </w:tc>
        <w:tc>
          <w:tcPr>
            <w:tcW w:w="1662" w:type="dxa"/>
            <w:tcBorders>
              <w:tl2br w:val="nil"/>
              <w:tr2bl w:val="nil"/>
            </w:tcBorders>
            <w:vAlign w:val="center"/>
          </w:tcPr>
          <w:p w14:paraId="08875F44">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隧道检测车技术服务费</w:t>
            </w:r>
          </w:p>
        </w:tc>
        <w:tc>
          <w:tcPr>
            <w:tcW w:w="1175" w:type="dxa"/>
            <w:tcBorders>
              <w:tl2br w:val="nil"/>
              <w:tr2bl w:val="nil"/>
            </w:tcBorders>
            <w:vAlign w:val="center"/>
          </w:tcPr>
          <w:p w14:paraId="57CFF756">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延米</w:t>
            </w:r>
          </w:p>
        </w:tc>
        <w:tc>
          <w:tcPr>
            <w:tcW w:w="1225" w:type="dxa"/>
            <w:tcBorders>
              <w:tl2br w:val="nil"/>
              <w:tr2bl w:val="nil"/>
            </w:tcBorders>
            <w:vAlign w:val="center"/>
          </w:tcPr>
          <w:p w14:paraId="3844FE6C">
            <w:pPr>
              <w:widowControl/>
              <w:jc w:val="center"/>
              <w:textAlignment w:val="center"/>
              <w:rPr>
                <w:rFonts w:ascii="宋体" w:hAnsi="宋体" w:cs="宋体"/>
                <w:color w:val="000000" w:themeColor="text1"/>
                <w:kern w:val="0"/>
                <w:szCs w:val="21"/>
                <w:lang w:bidi="ar"/>
                <w14:textFill>
                  <w14:solidFill>
                    <w14:schemeClr w14:val="tx1"/>
                  </w14:solidFill>
                </w14:textFill>
              </w:rPr>
            </w:pPr>
            <w:r>
              <w:rPr>
                <w:rFonts w:hint="eastAsia" w:eastAsia="方正仿宋_GBK"/>
                <w:color w:val="000000"/>
                <w:kern w:val="0"/>
                <w:szCs w:val="21"/>
                <w:lang w:bidi="ar"/>
              </w:rPr>
              <w:t>223170</w:t>
            </w:r>
          </w:p>
        </w:tc>
        <w:tc>
          <w:tcPr>
            <w:tcW w:w="1616" w:type="dxa"/>
            <w:tcBorders>
              <w:tl2br w:val="nil"/>
              <w:tr2bl w:val="nil"/>
            </w:tcBorders>
            <w:vAlign w:val="center"/>
          </w:tcPr>
          <w:p w14:paraId="3DA11224">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496" w:type="dxa"/>
            <w:tcBorders>
              <w:tl2br w:val="nil"/>
              <w:tr2bl w:val="nil"/>
            </w:tcBorders>
            <w:vAlign w:val="center"/>
          </w:tcPr>
          <w:p w14:paraId="226C7697">
            <w:pPr>
              <w:widowControl/>
              <w:jc w:val="center"/>
              <w:textAlignment w:val="center"/>
              <w:rPr>
                <w:rFonts w:ascii="宋体" w:hAnsi="宋体" w:cs="宋体"/>
                <w:color w:val="000000" w:themeColor="text1"/>
                <w:kern w:val="0"/>
                <w:szCs w:val="21"/>
                <w:lang w:bidi="ar"/>
                <w14:textFill>
                  <w14:solidFill>
                    <w14:schemeClr w14:val="tx1"/>
                  </w14:solidFill>
                </w14:textFill>
              </w:rPr>
            </w:pPr>
          </w:p>
        </w:tc>
        <w:tc>
          <w:tcPr>
            <w:tcW w:w="1612" w:type="dxa"/>
            <w:tcBorders>
              <w:tl2br w:val="nil"/>
              <w:tr2bl w:val="nil"/>
            </w:tcBorders>
            <w:vAlign w:val="center"/>
          </w:tcPr>
          <w:p w14:paraId="4ADE8802">
            <w:pPr>
              <w:widowControl/>
              <w:spacing w:line="400" w:lineRule="exact"/>
              <w:jc w:val="left"/>
              <w:textAlignment w:val="center"/>
              <w:rPr>
                <w:rFonts w:ascii="宋体" w:hAnsi="宋体" w:cs="宋体"/>
                <w:color w:val="000000" w:themeColor="text1"/>
                <w:kern w:val="0"/>
                <w:szCs w:val="21"/>
                <w:lang w:bidi="ar"/>
                <w14:textFill>
                  <w14:solidFill>
                    <w14:schemeClr w14:val="tx1"/>
                  </w14:solidFill>
                </w14:textFill>
              </w:rPr>
            </w:pPr>
          </w:p>
        </w:tc>
      </w:tr>
      <w:tr w14:paraId="24DC36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4762" w:type="dxa"/>
            <w:gridSpan w:val="4"/>
            <w:tcBorders>
              <w:tl2br w:val="nil"/>
              <w:tr2bl w:val="nil"/>
            </w:tcBorders>
            <w:vAlign w:val="center"/>
          </w:tcPr>
          <w:p w14:paraId="077F6B30">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合计（不含增值税）</w:t>
            </w:r>
          </w:p>
        </w:tc>
        <w:tc>
          <w:tcPr>
            <w:tcW w:w="1616" w:type="dxa"/>
            <w:tcBorders>
              <w:tl2br w:val="nil"/>
              <w:tr2bl w:val="nil"/>
            </w:tcBorders>
            <w:vAlign w:val="center"/>
          </w:tcPr>
          <w:p w14:paraId="2E4A4DD7">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p>
        </w:tc>
        <w:tc>
          <w:tcPr>
            <w:tcW w:w="1496" w:type="dxa"/>
            <w:tcBorders>
              <w:tl2br w:val="nil"/>
              <w:tr2bl w:val="nil"/>
            </w:tcBorders>
            <w:vAlign w:val="center"/>
          </w:tcPr>
          <w:p w14:paraId="60409D0D">
            <w:pPr>
              <w:widowControl/>
              <w:jc w:val="center"/>
              <w:textAlignment w:val="center"/>
              <w:rPr>
                <w:rFonts w:ascii="宋体" w:hAnsi="宋体" w:cs="宋体"/>
                <w:color w:val="000000" w:themeColor="text1"/>
                <w:szCs w:val="21"/>
                <w14:textFill>
                  <w14:solidFill>
                    <w14:schemeClr w14:val="tx1"/>
                  </w14:solidFill>
                </w14:textFill>
              </w:rPr>
            </w:pPr>
          </w:p>
        </w:tc>
        <w:tc>
          <w:tcPr>
            <w:tcW w:w="1612" w:type="dxa"/>
            <w:tcBorders>
              <w:tl2br w:val="nil"/>
              <w:tr2bl w:val="nil"/>
            </w:tcBorders>
            <w:vAlign w:val="center"/>
          </w:tcPr>
          <w:p w14:paraId="39C5FD16">
            <w:pPr>
              <w:widowControl/>
              <w:spacing w:line="400" w:lineRule="exact"/>
              <w:jc w:val="center"/>
              <w:textAlignment w:val="center"/>
              <w:rPr>
                <w:rFonts w:ascii="宋体" w:hAnsi="宋体" w:cs="宋体"/>
                <w:color w:val="000000" w:themeColor="text1"/>
                <w:kern w:val="0"/>
                <w:szCs w:val="21"/>
                <w:lang w:bidi="ar"/>
                <w14:textFill>
                  <w14:solidFill>
                    <w14:schemeClr w14:val="tx1"/>
                  </w14:solidFill>
                </w14:textFill>
              </w:rPr>
            </w:pPr>
          </w:p>
        </w:tc>
      </w:tr>
      <w:tr w14:paraId="75B08F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9486" w:type="dxa"/>
            <w:gridSpan w:val="7"/>
            <w:tcBorders>
              <w:tl2br w:val="nil"/>
              <w:tr2bl w:val="nil"/>
            </w:tcBorders>
            <w:vAlign w:val="center"/>
          </w:tcPr>
          <w:p w14:paraId="250061B8">
            <w:pPr>
              <w:widowControl/>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备注：</w:t>
            </w:r>
          </w:p>
        </w:tc>
      </w:tr>
      <w:tr w14:paraId="02949A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9486" w:type="dxa"/>
            <w:gridSpan w:val="7"/>
            <w:tcBorders>
              <w:top w:val="nil"/>
            </w:tcBorders>
            <w:vAlign w:val="center"/>
          </w:tcPr>
          <w:p w14:paraId="73920F31">
            <w:pPr>
              <w:widowControl/>
              <w:numPr>
                <w:ilvl w:val="255"/>
                <w:numId w:val="0"/>
              </w:numPr>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1、上述价格包括隧道检测车使用、隧道土建结构和其他工程设施部分的现场检测、人工补测及复核、数据处理等，质保期内服务、人员工资及福利、人员交通及住宿、车辆使用(含高速公路通行费、燃油费)、隧道检测车维修费、人员及隧道检测车保险、安全投入、利润、物价上涨因素等在内的各种费用以及合同明示或暗示的所有责任、义务和一般风险。</w:t>
            </w:r>
          </w:p>
          <w:p w14:paraId="3CB3F8AD">
            <w:pPr>
              <w:widowControl/>
              <w:numPr>
                <w:ilvl w:val="255"/>
                <w:numId w:val="0"/>
              </w:numPr>
              <w:jc w:val="left"/>
              <w:textAlignment w:val="center"/>
              <w:rPr>
                <w:rFonts w:ascii="宋体" w:hAnsi="宋体" w:cs="宋体"/>
                <w:color w:val="000000" w:themeColor="text1"/>
                <w:kern w:val="0"/>
                <w:szCs w:val="21"/>
                <w:lang w:bidi="ar"/>
                <w14:textFill>
                  <w14:solidFill>
                    <w14:schemeClr w14:val="tx1"/>
                  </w14:solidFill>
                </w14:textFill>
              </w:rPr>
            </w:pPr>
            <w:r>
              <w:rPr>
                <w:rFonts w:hint="eastAsia" w:ascii="宋体" w:hAnsi="宋体" w:cs="宋体"/>
                <w:color w:val="000000" w:themeColor="text1"/>
                <w:kern w:val="0"/>
                <w:szCs w:val="21"/>
                <w:lang w:bidi="ar"/>
                <w14:textFill>
                  <w14:solidFill>
                    <w14:schemeClr w14:val="tx1"/>
                  </w14:solidFill>
                </w14:textFill>
              </w:rPr>
              <w:t>2、所列计划工程量是估算的或预计的数量，不能作为最终结算与支付的依据。实际支付应按甲方认可的实际工程量进行结算。</w:t>
            </w:r>
          </w:p>
        </w:tc>
      </w:tr>
    </w:tbl>
    <w:p w14:paraId="5DE7F358">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w:t>
      </w:r>
      <w:r>
        <w:rPr>
          <w:rFonts w:hint="eastAsia" w:ascii="宋体" w:hAnsi="宋体"/>
          <w:b/>
          <w:color w:val="000000" w:themeColor="text1"/>
          <w:sz w:val="24"/>
          <w14:textFill>
            <w14:solidFill>
              <w14:schemeClr w14:val="tx1"/>
            </w14:solidFill>
          </w14:textFill>
        </w:rPr>
        <w:t>、技术服务内容</w:t>
      </w:r>
    </w:p>
    <w:p w14:paraId="457BFF33">
      <w:pPr>
        <w:spacing w:line="360" w:lineRule="auto"/>
        <w:ind w:firstLine="480" w:firstLineChars="200"/>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完成</w:t>
      </w:r>
      <w:r>
        <w:rPr>
          <w:rFonts w:hint="eastAsia"/>
          <w:color w:val="000000" w:themeColor="text1"/>
          <w:kern w:val="0"/>
          <w:sz w:val="24"/>
          <w:szCs w:val="24"/>
          <w:lang w:bidi="ar"/>
          <w14:textFill>
            <w14:solidFill>
              <w14:schemeClr w14:val="tx1"/>
            </w14:solidFill>
          </w14:textFill>
        </w:rPr>
        <w:t>甲方指定重庆高速公路</w:t>
      </w:r>
      <w:r>
        <w:rPr>
          <w:color w:val="000000" w:themeColor="text1"/>
          <w:kern w:val="0"/>
          <w:sz w:val="24"/>
          <w:szCs w:val="24"/>
          <w:lang w:bidi="ar"/>
          <w14:textFill>
            <w14:solidFill>
              <w14:schemeClr w14:val="tx1"/>
            </w14:solidFill>
          </w14:textFill>
        </w:rPr>
        <w:t>隧道检测（含现场复核）工作，并在项目委托方规定期限内完成相应检测</w:t>
      </w:r>
      <w:r>
        <w:rPr>
          <w:rFonts w:hint="eastAsia"/>
          <w:color w:val="000000" w:themeColor="text1"/>
          <w:kern w:val="0"/>
          <w:sz w:val="24"/>
          <w:szCs w:val="24"/>
          <w:lang w:val="en-US" w:eastAsia="zh-CN" w:bidi="ar"/>
          <w14:textFill>
            <w14:solidFill>
              <w14:schemeClr w14:val="tx1"/>
            </w14:solidFill>
          </w14:textFill>
        </w:rPr>
        <w:t>成果</w:t>
      </w:r>
      <w:r>
        <w:rPr>
          <w:color w:val="000000" w:themeColor="text1"/>
          <w:kern w:val="0"/>
          <w:sz w:val="24"/>
          <w:szCs w:val="24"/>
          <w:lang w:bidi="ar"/>
          <w14:textFill>
            <w14:solidFill>
              <w14:schemeClr w14:val="tx1"/>
            </w14:solidFill>
          </w14:textFill>
        </w:rPr>
        <w:t>（以委托方单位组织评审通过为准），并提供后期服务工作。</w:t>
      </w:r>
    </w:p>
    <w:p w14:paraId="0E17D366">
      <w:pPr>
        <w:spacing w:line="4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三、服务期限</w:t>
      </w:r>
    </w:p>
    <w:p w14:paraId="6073D9D6">
      <w:pPr>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本合同有效期：预计从</w:t>
      </w:r>
      <w:r>
        <w:rPr>
          <w:rFonts w:hint="eastAsia" w:ascii="宋体" w:hAnsi="宋体"/>
          <w:b/>
          <w:color w:val="000000" w:themeColor="text1"/>
          <w:sz w:val="24"/>
          <w:u w:val="single"/>
          <w14:textFill>
            <w14:solidFill>
              <w14:schemeClr w14:val="tx1"/>
            </w14:solidFill>
          </w14:textFill>
        </w:rPr>
        <w:t>2026年</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b/>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b/>
          <w:color w:val="000000" w:themeColor="text1"/>
          <w:sz w:val="24"/>
          <w:u w:val="single"/>
          <w14:textFill>
            <w14:solidFill>
              <w14:schemeClr w14:val="tx1"/>
            </w14:solidFill>
          </w14:textFill>
        </w:rPr>
        <w:t>2026年</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日，预计服务周期详见工程量清单，具体服务时间以双方签字确认为准。</w:t>
      </w:r>
    </w:p>
    <w:p w14:paraId="720D21A3">
      <w:pPr>
        <w:pStyle w:val="15"/>
        <w:ind w:firstLine="482" w:firstLineChars="200"/>
        <w:rPr>
          <w:rFonts w:hAnsi="Times New Roman"/>
          <w:color w:val="000000" w:themeColor="text1"/>
          <w:sz w:val="24"/>
          <w:szCs w:val="24"/>
          <w14:textFill>
            <w14:solidFill>
              <w14:schemeClr w14:val="tx1"/>
            </w14:solidFill>
          </w14:textFill>
        </w:rPr>
      </w:pPr>
      <w:r>
        <w:rPr>
          <w:rFonts w:hint="eastAsia" w:hAnsi="Times New Roman"/>
          <w:color w:val="000000" w:themeColor="text1"/>
          <w:sz w:val="24"/>
          <w:szCs w:val="24"/>
          <w14:textFill>
            <w14:solidFill>
              <w14:schemeClr w14:val="tx1"/>
            </w14:solidFill>
          </w14:textFill>
        </w:rPr>
        <w:t>四、进度要求</w:t>
      </w:r>
    </w:p>
    <w:p w14:paraId="5CEE0334">
      <w:pPr>
        <w:spacing w:line="360" w:lineRule="auto"/>
        <w:ind w:firstLine="480" w:firstLineChars="200"/>
        <w:rPr>
          <w:rFonts w:ascii="宋体" w:hAnsi="宋体" w:cs="宋体"/>
          <w:sz w:val="24"/>
          <w:szCs w:val="24"/>
        </w:rPr>
      </w:pPr>
      <w:r>
        <w:rPr>
          <w:rFonts w:hint="eastAsia" w:ascii="宋体" w:hAnsi="宋体" w:cs="宋体"/>
          <w:sz w:val="24"/>
          <w:szCs w:val="24"/>
        </w:rPr>
        <w:t>1）2026年5月31日前完成隧道检测车现场检测；</w:t>
      </w:r>
    </w:p>
    <w:p w14:paraId="1AA623D7">
      <w:pPr>
        <w:pStyle w:val="15"/>
        <w:spacing w:before="0" w:after="0" w:line="360" w:lineRule="auto"/>
        <w:ind w:firstLine="480" w:firstLineChars="200"/>
        <w:rPr>
          <w:rFonts w:ascii="宋体" w:hAnsi="宋体" w:cs="宋体"/>
          <w:b w:val="0"/>
          <w:bCs w:val="0"/>
          <w:caps w:val="0"/>
          <w:sz w:val="24"/>
          <w:szCs w:val="24"/>
        </w:rPr>
      </w:pPr>
      <w:r>
        <w:rPr>
          <w:rFonts w:hint="eastAsia" w:ascii="宋体" w:hAnsi="宋体" w:cs="宋体"/>
          <w:b w:val="0"/>
          <w:bCs w:val="0"/>
          <w:sz w:val="24"/>
          <w:szCs w:val="24"/>
        </w:rPr>
        <w:t>2）2026年</w:t>
      </w:r>
      <w:r>
        <w:rPr>
          <w:rFonts w:hint="eastAsia" w:ascii="宋体" w:hAnsi="宋体" w:cs="宋体"/>
          <w:b w:val="0"/>
          <w:bCs w:val="0"/>
          <w:caps w:val="0"/>
          <w:sz w:val="24"/>
          <w:szCs w:val="24"/>
        </w:rPr>
        <w:t>7月31日前完成检测外业工作（具体以交通组织手续获得最终批复之日起的30个连续日历日。该周期已包含人工补测、复测等为完成全部外业检测内容所需的所有工作时间）；</w:t>
      </w:r>
    </w:p>
    <w:p w14:paraId="0604BBC0">
      <w:pPr>
        <w:spacing w:line="360" w:lineRule="auto"/>
        <w:ind w:firstLine="480" w:firstLineChars="200"/>
        <w:rPr>
          <w:rFonts w:ascii="宋体" w:hAnsi="宋体" w:cs="宋体"/>
          <w:sz w:val="24"/>
          <w:szCs w:val="24"/>
        </w:rPr>
      </w:pPr>
      <w:r>
        <w:rPr>
          <w:rFonts w:hint="eastAsia" w:ascii="宋体" w:hAnsi="宋体" w:cs="宋体"/>
          <w:sz w:val="24"/>
          <w:szCs w:val="24"/>
        </w:rPr>
        <w:t>3）2026年11月30日前提交评审合格的定期检测</w:t>
      </w:r>
      <w:r>
        <w:rPr>
          <w:rFonts w:hint="eastAsia" w:ascii="宋体" w:hAnsi="宋体" w:cs="宋体"/>
          <w:sz w:val="24"/>
          <w:szCs w:val="24"/>
          <w:lang w:val="en-US" w:eastAsia="zh-CN"/>
        </w:rPr>
        <w:t>成果</w:t>
      </w:r>
      <w:r>
        <w:rPr>
          <w:rFonts w:hint="eastAsia" w:ascii="宋体" w:hAnsi="宋体" w:cs="宋体"/>
          <w:sz w:val="24"/>
          <w:szCs w:val="24"/>
        </w:rPr>
        <w:t>；</w:t>
      </w:r>
    </w:p>
    <w:p w14:paraId="7E2F2BFA">
      <w:pPr>
        <w:pStyle w:val="15"/>
        <w:spacing w:before="0" w:after="0" w:line="360" w:lineRule="auto"/>
        <w:ind w:firstLine="480" w:firstLineChars="200"/>
        <w:rPr>
          <w:rFonts w:ascii="宋体" w:hAnsi="宋体" w:cs="宋体"/>
          <w:b w:val="0"/>
          <w:bCs w:val="0"/>
          <w:caps w:val="0"/>
          <w:sz w:val="24"/>
          <w:szCs w:val="24"/>
        </w:rPr>
      </w:pPr>
      <w:r>
        <w:rPr>
          <w:rFonts w:hint="eastAsia" w:ascii="宋体" w:hAnsi="宋体" w:cs="宋体"/>
          <w:b w:val="0"/>
          <w:bCs w:val="0"/>
          <w:caps w:val="0"/>
          <w:sz w:val="24"/>
          <w:szCs w:val="24"/>
        </w:rPr>
        <w:t>4）</w:t>
      </w:r>
      <w:r>
        <w:rPr>
          <w:rFonts w:hint="eastAsia" w:ascii="宋体" w:hAnsi="宋体" w:cs="宋体"/>
          <w:b w:val="0"/>
          <w:bCs w:val="0"/>
          <w:sz w:val="24"/>
          <w:szCs w:val="24"/>
        </w:rPr>
        <w:t>2026年</w:t>
      </w:r>
      <w:r>
        <w:rPr>
          <w:rFonts w:hint="eastAsia" w:ascii="宋体" w:hAnsi="宋体" w:cs="宋体"/>
          <w:b w:val="0"/>
          <w:bCs w:val="0"/>
          <w:caps w:val="0"/>
          <w:sz w:val="24"/>
          <w:szCs w:val="24"/>
        </w:rPr>
        <w:t>12月30日前完成养护系统录入工作。</w:t>
      </w:r>
    </w:p>
    <w:p w14:paraId="64528E03">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五、工程量的确认</w:t>
      </w:r>
    </w:p>
    <w:p w14:paraId="282C25CF">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1、工程完工后，按甲方代表验收合格的实际工程量进行计量。</w:t>
      </w:r>
    </w:p>
    <w:p w14:paraId="3A6BB890">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2、对乙方超出甲方代表验收合格的实际工程量和因乙方原因造成返工的工程量，甲方不予计量。</w:t>
      </w:r>
    </w:p>
    <w:p w14:paraId="4FF50D52">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3、工程量的变化需经甲方代表确定后，方可计量。</w:t>
      </w:r>
    </w:p>
    <w:p w14:paraId="4EBC4AE1">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六、履约保证金</w:t>
      </w:r>
    </w:p>
    <w:p w14:paraId="011F32C3">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ascii="Segoe UI" w:hAnsi="Segoe UI" w:eastAsia="Segoe UI" w:cs="Segoe UI"/>
          <w:b w:val="0"/>
          <w:bCs w:val="0"/>
          <w:i w:val="0"/>
          <w:iCs w:val="0"/>
          <w:caps w:val="0"/>
          <w:color w:val="0F1115"/>
          <w:spacing w:val="0"/>
          <w:sz w:val="24"/>
          <w:szCs w:val="24"/>
          <w:shd w:val="clear" w:fill="FFFFFF"/>
        </w:rPr>
        <w:t>乙方应于</w:t>
      </w:r>
      <w:r>
        <w:rPr>
          <w:rStyle w:val="22"/>
          <w:rFonts w:hint="default" w:ascii="Segoe UI" w:hAnsi="Segoe UI" w:eastAsia="Segoe UI" w:cs="Segoe UI"/>
          <w:b w:val="0"/>
          <w:bCs w:val="0"/>
          <w:i w:val="0"/>
          <w:iCs w:val="0"/>
          <w:caps w:val="0"/>
          <w:color w:val="0F1115"/>
          <w:spacing w:val="0"/>
          <w:sz w:val="24"/>
          <w:szCs w:val="24"/>
          <w:shd w:val="clear" w:fill="FFFFFF"/>
        </w:rPr>
        <w:t>本合同签订之日起【</w:t>
      </w:r>
      <w:r>
        <w:rPr>
          <w:rStyle w:val="22"/>
          <w:rFonts w:hint="eastAsia" w:ascii="Segoe UI" w:hAnsi="Segoe UI" w:cs="Segoe UI"/>
          <w:b w:val="0"/>
          <w:bCs w:val="0"/>
          <w:i w:val="0"/>
          <w:iCs w:val="0"/>
          <w:caps w:val="0"/>
          <w:color w:val="0F1115"/>
          <w:spacing w:val="0"/>
          <w:sz w:val="24"/>
          <w:szCs w:val="24"/>
          <w:shd w:val="clear" w:fill="FFFFFF"/>
          <w:lang w:val="en-US" w:eastAsia="zh-CN"/>
        </w:rPr>
        <w:t>15</w:t>
      </w:r>
      <w:r>
        <w:rPr>
          <w:rStyle w:val="22"/>
          <w:rFonts w:hint="default" w:ascii="Segoe UI" w:hAnsi="Segoe UI" w:eastAsia="Segoe UI" w:cs="Segoe UI"/>
          <w:b w:val="0"/>
          <w:bCs w:val="0"/>
          <w:i w:val="0"/>
          <w:iCs w:val="0"/>
          <w:caps w:val="0"/>
          <w:color w:val="0F1115"/>
          <w:spacing w:val="0"/>
          <w:sz w:val="24"/>
          <w:szCs w:val="24"/>
          <w:shd w:val="clear" w:fill="FFFFFF"/>
        </w:rPr>
        <w:t>】个工作日内</w:t>
      </w:r>
      <w:r>
        <w:rPr>
          <w:rFonts w:hint="default" w:ascii="Segoe UI" w:hAnsi="Segoe UI" w:eastAsia="Segoe UI" w:cs="Segoe UI"/>
          <w:b w:val="0"/>
          <w:bCs w:val="0"/>
          <w:i w:val="0"/>
          <w:iCs w:val="0"/>
          <w:caps w:val="0"/>
          <w:color w:val="0F1115"/>
          <w:spacing w:val="0"/>
          <w:sz w:val="24"/>
          <w:szCs w:val="24"/>
          <w:shd w:val="clear" w:fill="FFFFFF"/>
        </w:rPr>
        <w:t>，向甲方</w:t>
      </w:r>
      <w:r>
        <w:rPr>
          <w:rFonts w:hint="default" w:ascii="Segoe UI" w:hAnsi="Segoe UI" w:eastAsia="Segoe UI" w:cs="Segoe UI"/>
          <w:i w:val="0"/>
          <w:iCs w:val="0"/>
          <w:caps w:val="0"/>
          <w:color w:val="0F1115"/>
          <w:spacing w:val="0"/>
          <w:sz w:val="24"/>
          <w:szCs w:val="24"/>
          <w:shd w:val="clear" w:fill="FFFFFF"/>
        </w:rPr>
        <w:t>提交履约保证金。逾期未提交的，甲方有权解除合同并追究乙方违约责任。</w:t>
      </w:r>
      <w:r>
        <w:rPr>
          <w:rFonts w:hint="eastAsia" w:ascii="宋体" w:hAnsi="宋体"/>
          <w:bCs/>
          <w:color w:val="000000" w:themeColor="text1"/>
          <w:sz w:val="24"/>
          <w14:textFill>
            <w14:solidFill>
              <w14:schemeClr w14:val="tx1"/>
            </w14:solidFill>
          </w14:textFill>
        </w:rPr>
        <w:t>合同含税合价金额的10%，合计          元 （大写         ）。</w:t>
      </w:r>
    </w:p>
    <w:p w14:paraId="48D46E2E">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七、合同价款与支付</w:t>
      </w:r>
    </w:p>
    <w:p w14:paraId="3F05293B">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（一）本合同为含税的固定单价合同，乙方提供的发票应为增值税专用发票。本合同含税总价：        元 （大写）：            ，其中不含税金额为            元（大写                ），税率</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%，税额为：         元（大写                 ）。本合同在履行期间，若国家税率政策发生变更调整的，本合同的执行税率也随之进行相应的调整。项目完工后，按照甲方代表确认的工程量结算；双方约定的合同单价已包含了全部风险范围的费用，在合同签订后，任何一方不得擅自改变或调整。</w:t>
      </w:r>
    </w:p>
    <w:p w14:paraId="483AAC8B">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（二）工程费用的计量方法： </w:t>
      </w:r>
    </w:p>
    <w:p w14:paraId="27EF3E2E">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按甲方代表确认的实际工程量×单价，包括为完成本项目所需的一切费用，包含但不限于以下各项费用：</w:t>
      </w:r>
    </w:p>
    <w:p w14:paraId="3C43BEBF">
      <w:pPr>
        <w:adjustRightInd w:val="0"/>
        <w:snapToGrid w:val="0"/>
        <w:spacing w:line="400" w:lineRule="exact"/>
        <w:ind w:firstLine="480" w:firstLineChars="200"/>
        <w:outlineLvl w:val="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隧道检测车使用、隧道土建结构和其他工程设施部分的现场检测、人工补测及复核、数据处理等，质保期内服务、人员工资及福利、人员交通及住宿、车辆使用(含高速公路通行费、燃油费)、隧道检测车维修费、人员及隧道检测车保险、安全投入、利润、增值税专用发票税金、物价上涨因素等在内的各种费用以及合同明示或暗示的所有责任、义务和一般风险</w:t>
      </w:r>
      <w:r>
        <w:rPr>
          <w:rFonts w:hint="eastAsia" w:ascii="宋体" w:hAnsi="宋体" w:cs="宋体"/>
          <w:bCs/>
          <w:color w:val="000000" w:themeColor="text1"/>
          <w:sz w:val="24"/>
          <w:szCs w:val="24"/>
          <w14:textFill>
            <w14:solidFill>
              <w14:schemeClr w14:val="tx1"/>
            </w14:solidFill>
          </w14:textFill>
        </w:rPr>
        <w:t>。</w:t>
      </w:r>
    </w:p>
    <w:p w14:paraId="1230CE40">
      <w:pPr>
        <w:adjustRightInd w:val="0"/>
        <w:snapToGrid w:val="0"/>
        <w:spacing w:line="400" w:lineRule="exact"/>
        <w:ind w:firstLine="480" w:firstLineChars="200"/>
        <w:outlineLvl w:val="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（三）工程款的支付：</w:t>
      </w:r>
    </w:p>
    <w:p w14:paraId="2B4F04B9">
      <w:pPr>
        <w:widowControl/>
        <w:spacing w:line="360" w:lineRule="auto"/>
        <w:ind w:firstLine="480" w:firstLineChars="200"/>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w:t>
      </w:r>
      <w:r>
        <w:rPr>
          <w:rFonts w:hint="eastAsia"/>
          <w:color w:val="000000" w:themeColor="text1"/>
          <w:sz w:val="24"/>
          <w:szCs w:val="24"/>
          <w14:textFill>
            <w14:solidFill>
              <w14:schemeClr w14:val="tx1"/>
            </w14:solidFill>
          </w14:textFill>
        </w:rPr>
        <w:t>项目无预付款。</w:t>
      </w:r>
    </w:p>
    <w:p w14:paraId="6DE3365C">
      <w:pPr>
        <w:spacing w:line="360"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2、进度款</w:t>
      </w:r>
      <w:r>
        <w:rPr>
          <w:color w:val="000000" w:themeColor="text1"/>
          <w:sz w:val="24"/>
          <w:szCs w:val="24"/>
          <w14:textFill>
            <w14:solidFill>
              <w14:schemeClr w14:val="tx1"/>
            </w14:solidFill>
          </w14:textFill>
        </w:rPr>
        <w:t>支付：</w:t>
      </w:r>
      <w:r>
        <w:rPr>
          <w:rFonts w:hint="eastAsia"/>
          <w:color w:val="000000" w:themeColor="text1"/>
          <w:sz w:val="24"/>
          <w:szCs w:val="24"/>
          <w14:textFill>
            <w14:solidFill>
              <w14:schemeClr w14:val="tx1"/>
            </w14:solidFill>
          </w14:textFill>
        </w:rPr>
        <w:t>乙方完成2026年度相关技术服务工作，提交相关成果经项目委托方组织评审通过，经甲方确认同意后，乙方可申请按甲方相关文件或工作程序规定，办理支付暂定签约合同价总额的95%</w:t>
      </w:r>
      <w:r>
        <w:rPr>
          <w:color w:val="000000" w:themeColor="text1"/>
          <w:sz w:val="24"/>
          <w:szCs w:val="24"/>
          <w14:textFill>
            <w14:solidFill>
              <w14:schemeClr w14:val="tx1"/>
            </w14:solidFill>
          </w14:textFill>
        </w:rPr>
        <w:t>；</w:t>
      </w:r>
    </w:p>
    <w:p w14:paraId="59D96F71">
      <w:pPr>
        <w:spacing w:line="360"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尾款</w:t>
      </w:r>
      <w:r>
        <w:rPr>
          <w:color w:val="000000" w:themeColor="text1"/>
          <w:sz w:val="24"/>
          <w:szCs w:val="24"/>
          <w14:textFill>
            <w14:solidFill>
              <w14:schemeClr w14:val="tx1"/>
            </w14:solidFill>
          </w14:textFill>
        </w:rPr>
        <w:t>支付：</w:t>
      </w:r>
      <w:r>
        <w:rPr>
          <w:rFonts w:hint="eastAsia"/>
          <w:color w:val="000000" w:themeColor="text1"/>
          <w:sz w:val="24"/>
          <w:szCs w:val="24"/>
          <w14:textFill>
            <w14:solidFill>
              <w14:schemeClr w14:val="tx1"/>
            </w14:solidFill>
          </w14:textFill>
        </w:rPr>
        <w:t>剩余合同总价的5％留作质量保证金，自乙方提交的相关成果经项目委托方评审通过之日起1年后，项目委托方未发现现场检测及相关成果存在质量缺陷，视为质保期满且甲方收到项目委托方2026年度检测质保金服务款项后凭乙方开具的质保金支付申请函，经甲方确认同意后，乙方可申请按甲方相关文件或工作程序规定，办理支付剩余合同价总额的5%。</w:t>
      </w:r>
    </w:p>
    <w:p w14:paraId="18B00ECD">
      <w:pPr>
        <w:widowControl/>
        <w:spacing w:line="360" w:lineRule="auto"/>
        <w:ind w:firstLine="480" w:firstLineChars="200"/>
        <w:textAlignment w:val="baseline"/>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（四）发票的开具</w:t>
      </w:r>
    </w:p>
    <w:p w14:paraId="4A28CE85">
      <w:pPr>
        <w:spacing w:line="360" w:lineRule="auto"/>
        <w:ind w:firstLine="480" w:firstLineChars="200"/>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1、本合同技术服务发票由乙方开具增值税专用发票（税率</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给甲方，发票单位名称为本合同甲乙双方全称，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02A6416B">
      <w:pPr>
        <w:spacing w:line="360"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color w:val="000000" w:themeColor="text1"/>
          <w:sz w:val="24"/>
          <w:szCs w:val="24"/>
          <w14:textFill>
            <w14:solidFill>
              <w14:schemeClr w14:val="tx1"/>
            </w14:solidFill>
          </w14:textFill>
        </w:rPr>
        <w:t>、合同生效后，因乙方纳税人身份、纳税方式或因相关法律法规变动导致乙方增值税税率等发生变化，应遵循相关税收政策的要求，对合同价格及增值税税额进行调整。</w:t>
      </w:r>
    </w:p>
    <w:p w14:paraId="5EF6DD1D">
      <w:pPr>
        <w:adjustRightInd w:val="0"/>
        <w:snapToGrid w:val="0"/>
        <w:spacing w:line="400" w:lineRule="exact"/>
        <w:ind w:firstLine="480" w:firstLineChars="200"/>
        <w:outlineLvl w:val="0"/>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八</w:t>
      </w:r>
      <w:r>
        <w:rPr>
          <w:rFonts w:hint="eastAsia" w:ascii="宋体" w:hAnsi="宋体"/>
          <w:b/>
          <w:color w:val="000000" w:themeColor="text1"/>
          <w:sz w:val="24"/>
          <w14:textFill>
            <w14:solidFill>
              <w14:schemeClr w14:val="tx1"/>
            </w14:solidFill>
          </w14:textFill>
        </w:rPr>
        <w:t>、甲方的权利和义务：</w:t>
      </w:r>
    </w:p>
    <w:p w14:paraId="64841AA7">
      <w:pPr>
        <w:spacing w:line="360" w:lineRule="auto"/>
        <w:ind w:firstLine="360" w:firstLineChars="150"/>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（1）双方签订本合同后，除非乙方违约，甲方不将合同内容委托其他单位进行。</w:t>
      </w:r>
      <w:r>
        <w:rPr>
          <w:color w:val="000000" w:themeColor="text1"/>
          <w:sz w:val="24"/>
          <w:szCs w:val="24"/>
          <w14:textFill>
            <w14:solidFill>
              <w14:schemeClr w14:val="tx1"/>
            </w14:solidFill>
          </w14:textFill>
        </w:rPr>
        <w:br w:type="textWrapping"/>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（2）当本合同所列工程量发生变化时，甲方应及时书面通知乙方办理合同内容变更手续。</w:t>
      </w:r>
      <w:r>
        <w:rPr>
          <w:color w:val="000000" w:themeColor="text1"/>
          <w:sz w:val="24"/>
          <w:szCs w:val="24"/>
          <w14:textFill>
            <w14:solidFill>
              <w14:schemeClr w14:val="tx1"/>
            </w14:solidFill>
          </w14:textFill>
        </w:rPr>
        <w:br w:type="textWrapping"/>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（3）甲方授权</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为代表，负责与乙方联系。如甲方代表发生变更，甲方应书面告知乙方。</w:t>
      </w:r>
      <w:r>
        <w:rPr>
          <w:color w:val="000000" w:themeColor="text1"/>
          <w:sz w:val="24"/>
          <w:szCs w:val="24"/>
          <w14:textFill>
            <w14:solidFill>
              <w14:schemeClr w14:val="tx1"/>
            </w14:solidFill>
          </w14:textFill>
        </w:rPr>
        <w:br w:type="textWrapping"/>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（4）甲方应于检验检测活动开始前7日内向乙方提供本检验检测合同项目有关的资料及文件，并对资料的可靠性负责。</w:t>
      </w:r>
    </w:p>
    <w:p w14:paraId="6965C935">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（5）由于甲方原因造成乙方返工、窝工，责任由甲方承担；且甲方应按本合同单价支付乙方已完成工作量和变更工作量的费用。</w:t>
      </w:r>
    </w:p>
    <w:p w14:paraId="3281D0C2">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九、乙方的权利和义务：</w:t>
      </w:r>
    </w:p>
    <w:p w14:paraId="0EA1AFE6">
      <w:pPr>
        <w:spacing w:line="360" w:lineRule="auto"/>
        <w:ind w:firstLine="480" w:firstLineChars="200"/>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（1）乙方授权</w:t>
      </w:r>
      <w:r>
        <w:rPr>
          <w:color w:val="000000" w:themeColor="text1"/>
          <w:sz w:val="24"/>
          <w:szCs w:val="24"/>
          <w:u w:val="single"/>
          <w14:textFill>
            <w14:solidFill>
              <w14:schemeClr w14:val="tx1"/>
            </w14:solidFill>
          </w14:textFill>
        </w:rPr>
        <w:t xml:space="preserve">    </w:t>
      </w:r>
      <w:r>
        <w:rPr>
          <w:color w:val="000000" w:themeColor="text1"/>
          <w:sz w:val="24"/>
          <w:szCs w:val="24"/>
          <w14:textFill>
            <w14:solidFill>
              <w14:schemeClr w14:val="tx1"/>
            </w14:solidFill>
          </w14:textFill>
        </w:rPr>
        <w:t>为</w:t>
      </w:r>
      <w:r>
        <w:rPr>
          <w:rFonts w:hint="eastAsia"/>
          <w:color w:val="000000" w:themeColor="text1"/>
          <w:sz w:val="24"/>
          <w:szCs w:val="24"/>
          <w14:textFill>
            <w14:solidFill>
              <w14:schemeClr w14:val="tx1"/>
            </w14:solidFill>
          </w14:textFill>
        </w:rPr>
        <w:t>项目负责人（身份证号：             ）</w:t>
      </w:r>
      <w:r>
        <w:rPr>
          <w:color w:val="000000" w:themeColor="text1"/>
          <w:sz w:val="24"/>
          <w:szCs w:val="24"/>
          <w14:textFill>
            <w14:solidFill>
              <w14:schemeClr w14:val="tx1"/>
            </w14:solidFill>
          </w14:textFill>
        </w:rPr>
        <w:t>，负责与甲方联系并执行本合同约定的全部内容。如乙方代表发生变更，乙方应书面告知甲方。</w:t>
      </w:r>
      <w:r>
        <w:rPr>
          <w:color w:val="000000" w:themeColor="text1"/>
          <w:sz w:val="24"/>
          <w:szCs w:val="24"/>
          <w14:textFill>
            <w14:solidFill>
              <w14:schemeClr w14:val="tx1"/>
            </w14:solidFill>
          </w14:textFill>
        </w:rPr>
        <w:br w:type="textWrapping"/>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（2）乙方应保证在收到甲方通知后，</w:t>
      </w:r>
      <w:r>
        <w:rPr>
          <w:rFonts w:hint="eastAsia"/>
          <w:color w:val="000000" w:themeColor="text1"/>
          <w:sz w:val="24"/>
          <w:szCs w:val="24"/>
          <w14:textFill>
            <w14:solidFill>
              <w14:schemeClr w14:val="tx1"/>
            </w14:solidFill>
          </w14:textFill>
        </w:rPr>
        <w:t>24小时内</w:t>
      </w:r>
      <w:r>
        <w:rPr>
          <w:color w:val="000000" w:themeColor="text1"/>
          <w:sz w:val="24"/>
          <w:szCs w:val="24"/>
          <w14:textFill>
            <w14:solidFill>
              <w14:schemeClr w14:val="tx1"/>
            </w14:solidFill>
          </w14:textFill>
        </w:rPr>
        <w:t>到</w:t>
      </w:r>
      <w:r>
        <w:rPr>
          <w:rFonts w:hint="eastAsia"/>
          <w:color w:val="000000" w:themeColor="text1"/>
          <w:sz w:val="24"/>
          <w:szCs w:val="24"/>
          <w14:textFill>
            <w14:solidFill>
              <w14:schemeClr w14:val="tx1"/>
            </w14:solidFill>
          </w14:textFill>
        </w:rPr>
        <w:t>达</w:t>
      </w:r>
      <w:r>
        <w:rPr>
          <w:color w:val="000000" w:themeColor="text1"/>
          <w:sz w:val="24"/>
          <w:szCs w:val="24"/>
          <w14:textFill>
            <w14:solidFill>
              <w14:schemeClr w14:val="tx1"/>
            </w14:solidFill>
          </w14:textFill>
        </w:rPr>
        <w:t>甲方指定地点开展</w:t>
      </w:r>
      <w:r>
        <w:rPr>
          <w:rFonts w:hint="eastAsia"/>
          <w:color w:val="000000" w:themeColor="text1"/>
          <w:sz w:val="24"/>
          <w:szCs w:val="24"/>
          <w14:textFill>
            <w14:solidFill>
              <w14:schemeClr w14:val="tx1"/>
            </w14:solidFill>
          </w14:textFill>
        </w:rPr>
        <w:t>隧道检测车技术服务工作</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项目开展过程中</w:t>
      </w:r>
      <w:r>
        <w:rPr>
          <w:color w:val="000000" w:themeColor="text1"/>
          <w:sz w:val="24"/>
          <w:szCs w:val="24"/>
          <w14:textFill>
            <w14:solidFill>
              <w14:schemeClr w14:val="tx1"/>
            </w14:solidFill>
          </w14:textFill>
        </w:rPr>
        <w:t>涉及的所有人员、机具、设备、车辆、燃油、交通通行费</w:t>
      </w:r>
      <w:r>
        <w:rPr>
          <w:rFonts w:hint="eastAsia"/>
          <w:color w:val="000000" w:themeColor="text1"/>
          <w:sz w:val="24"/>
          <w:szCs w:val="24"/>
          <w14:textFill>
            <w14:solidFill>
              <w14:schemeClr w14:val="tx1"/>
            </w14:solidFill>
          </w14:textFill>
        </w:rPr>
        <w:t>、差旅费</w:t>
      </w:r>
      <w:r>
        <w:rPr>
          <w:color w:val="000000" w:themeColor="text1"/>
          <w:sz w:val="24"/>
          <w:szCs w:val="24"/>
          <w14:textFill>
            <w14:solidFill>
              <w14:schemeClr w14:val="tx1"/>
            </w14:solidFill>
          </w14:textFill>
        </w:rPr>
        <w:t>等</w:t>
      </w:r>
      <w:r>
        <w:rPr>
          <w:rFonts w:hint="eastAsia"/>
          <w:color w:val="000000" w:themeColor="text1"/>
          <w:sz w:val="24"/>
          <w:szCs w:val="24"/>
          <w14:textFill>
            <w14:solidFill>
              <w14:schemeClr w14:val="tx1"/>
            </w14:solidFill>
          </w14:textFill>
        </w:rPr>
        <w:t>均</w:t>
      </w:r>
      <w:r>
        <w:rPr>
          <w:color w:val="000000" w:themeColor="text1"/>
          <w:sz w:val="24"/>
          <w:szCs w:val="24"/>
          <w14:textFill>
            <w14:solidFill>
              <w14:schemeClr w14:val="tx1"/>
            </w14:solidFill>
          </w14:textFill>
        </w:rPr>
        <w:t xml:space="preserve">由乙方自行解决。                                                </w:t>
      </w:r>
    </w:p>
    <w:p w14:paraId="5956A570">
      <w:pPr>
        <w:spacing w:line="360" w:lineRule="auto"/>
        <w:ind w:firstLine="480" w:firstLineChars="200"/>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（3）乙方应根据甲方要求完成全部</w:t>
      </w:r>
      <w:r>
        <w:rPr>
          <w:rFonts w:hint="eastAsia"/>
          <w:color w:val="000000" w:themeColor="text1"/>
          <w:sz w:val="24"/>
          <w:szCs w:val="24"/>
          <w14:textFill>
            <w14:solidFill>
              <w14:schemeClr w14:val="tx1"/>
            </w14:solidFill>
          </w14:textFill>
        </w:rPr>
        <w:t>技术服务</w:t>
      </w:r>
      <w:r>
        <w:rPr>
          <w:color w:val="000000" w:themeColor="text1"/>
          <w:sz w:val="24"/>
          <w:szCs w:val="24"/>
          <w14:textFill>
            <w14:solidFill>
              <w14:schemeClr w14:val="tx1"/>
            </w14:solidFill>
          </w14:textFill>
        </w:rPr>
        <w:t>项目及内容并向甲方提交</w:t>
      </w:r>
      <w:r>
        <w:rPr>
          <w:rFonts w:hint="eastAsia"/>
          <w:color w:val="000000" w:themeColor="text1"/>
          <w:sz w:val="24"/>
          <w:szCs w:val="24"/>
          <w14:textFill>
            <w14:solidFill>
              <w14:schemeClr w14:val="tx1"/>
            </w14:solidFill>
          </w14:textFill>
        </w:rPr>
        <w:t>相关成果</w:t>
      </w:r>
      <w:r>
        <w:rPr>
          <w:color w:val="000000" w:themeColor="text1"/>
          <w:sz w:val="24"/>
          <w:szCs w:val="24"/>
          <w14:textFill>
            <w14:solidFill>
              <w14:schemeClr w14:val="tx1"/>
            </w14:solidFill>
          </w14:textFill>
        </w:rPr>
        <w:t>，并对所提交</w:t>
      </w:r>
      <w:r>
        <w:rPr>
          <w:rFonts w:hint="eastAsia"/>
          <w:color w:val="000000" w:themeColor="text1"/>
          <w:sz w:val="24"/>
          <w:szCs w:val="24"/>
          <w14:textFill>
            <w14:solidFill>
              <w14:schemeClr w14:val="tx1"/>
            </w14:solidFill>
          </w14:textFill>
        </w:rPr>
        <w:t>成果</w:t>
      </w:r>
      <w:r>
        <w:rPr>
          <w:color w:val="000000" w:themeColor="text1"/>
          <w:sz w:val="24"/>
          <w:szCs w:val="24"/>
          <w14:textFill>
            <w14:solidFill>
              <w14:schemeClr w14:val="tx1"/>
            </w14:solidFill>
          </w14:textFill>
        </w:rPr>
        <w:t>的完整性及正确性负责。</w:t>
      </w:r>
    </w:p>
    <w:p w14:paraId="0F09DE8A">
      <w:pPr>
        <w:spacing w:line="360" w:lineRule="auto"/>
        <w:ind w:firstLine="480" w:firstLineChars="200"/>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（4）乙方应为甲方保守秘密，确保不将甲方委托的内容和信息泄露给第三方</w:t>
      </w:r>
      <w:r>
        <w:rPr>
          <w:rFonts w:hint="eastAsia"/>
          <w:color w:val="000000" w:themeColor="text1"/>
          <w:sz w:val="24"/>
          <w:szCs w:val="24"/>
          <w14:textFill>
            <w14:solidFill>
              <w14:schemeClr w14:val="tx1"/>
            </w14:solidFill>
          </w14:textFill>
        </w:rPr>
        <w:t>，</w:t>
      </w:r>
    </w:p>
    <w:p w14:paraId="41A1BAA3">
      <w:pPr>
        <w:spacing w:line="360" w:lineRule="auto"/>
        <w:rPr>
          <w:rFonts w:hAnsi="宋体"/>
          <w:sz w:val="24"/>
          <w:szCs w:val="24"/>
        </w:rPr>
      </w:pPr>
      <w:r>
        <w:rPr>
          <w:rFonts w:hint="eastAsia" w:hAnsi="宋体"/>
          <w:sz w:val="24"/>
          <w:szCs w:val="24"/>
        </w:rPr>
        <w:t>及时提供技术服务方案。</w:t>
      </w:r>
    </w:p>
    <w:p w14:paraId="029B9A64">
      <w:pPr>
        <w:spacing w:line="360" w:lineRule="auto"/>
        <w:ind w:firstLine="480" w:firstLineChars="200"/>
        <w:jc w:val="left"/>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）严格按照交通运输部的现行技术标准、规范、规程、定额、办法、事例等，深入全面进行</w:t>
      </w:r>
      <w:r>
        <w:rPr>
          <w:rFonts w:hint="eastAsia"/>
          <w:color w:val="000000" w:themeColor="text1"/>
          <w:sz w:val="24"/>
          <w:szCs w:val="24"/>
          <w14:textFill>
            <w14:solidFill>
              <w14:schemeClr w14:val="tx1"/>
            </w14:solidFill>
          </w14:textFill>
        </w:rPr>
        <w:t>隧道技术服务</w:t>
      </w:r>
      <w:r>
        <w:rPr>
          <w:color w:val="000000" w:themeColor="text1"/>
          <w:sz w:val="24"/>
          <w:szCs w:val="24"/>
          <w14:textFill>
            <w14:solidFill>
              <w14:schemeClr w14:val="tx1"/>
            </w14:solidFill>
          </w14:textFill>
        </w:rPr>
        <w:t>工作，提交合格的</w:t>
      </w:r>
      <w:r>
        <w:rPr>
          <w:rFonts w:hint="eastAsia"/>
          <w:color w:val="000000" w:themeColor="text1"/>
          <w:sz w:val="24"/>
          <w:szCs w:val="24"/>
          <w14:textFill>
            <w14:solidFill>
              <w14:schemeClr w14:val="tx1"/>
            </w14:solidFill>
          </w14:textFill>
        </w:rPr>
        <w:t>技术</w:t>
      </w:r>
      <w:r>
        <w:rPr>
          <w:color w:val="000000" w:themeColor="text1"/>
          <w:sz w:val="24"/>
          <w:szCs w:val="24"/>
          <w14:textFill>
            <w14:solidFill>
              <w14:schemeClr w14:val="tx1"/>
            </w14:solidFill>
          </w14:textFill>
        </w:rPr>
        <w:t>成果。</w:t>
      </w:r>
    </w:p>
    <w:p w14:paraId="1393AAD3">
      <w:pPr>
        <w:spacing w:line="360" w:lineRule="auto"/>
        <w:ind w:firstLine="480" w:firstLineChars="200"/>
        <w:jc w:val="left"/>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6</w:t>
      </w:r>
      <w:r>
        <w:rPr>
          <w:color w:val="000000" w:themeColor="text1"/>
          <w:sz w:val="24"/>
          <w:szCs w:val="24"/>
          <w14:textFill>
            <w14:solidFill>
              <w14:schemeClr w14:val="tx1"/>
            </w14:solidFill>
          </w14:textFill>
        </w:rPr>
        <w:t>）因</w:t>
      </w:r>
      <w:r>
        <w:rPr>
          <w:rFonts w:hint="eastAsia"/>
          <w:color w:val="000000" w:themeColor="text1"/>
          <w:sz w:val="24"/>
          <w:szCs w:val="24"/>
          <w14:textFill>
            <w14:solidFill>
              <w14:schemeClr w14:val="tx1"/>
            </w14:solidFill>
          </w14:textFill>
        </w:rPr>
        <w:t>乙方</w:t>
      </w:r>
      <w:r>
        <w:rPr>
          <w:color w:val="000000" w:themeColor="text1"/>
          <w:sz w:val="24"/>
          <w:szCs w:val="24"/>
          <w14:textFill>
            <w14:solidFill>
              <w14:schemeClr w14:val="tx1"/>
            </w14:solidFill>
          </w14:textFill>
        </w:rPr>
        <w:t>的失误，致使工期延误或影响实际质量，造成发包人经济损失或恶性事故，</w:t>
      </w:r>
      <w:r>
        <w:rPr>
          <w:rFonts w:hint="eastAsia"/>
          <w:color w:val="000000" w:themeColor="text1"/>
          <w:sz w:val="24"/>
          <w:szCs w:val="24"/>
          <w14:textFill>
            <w14:solidFill>
              <w14:schemeClr w14:val="tx1"/>
            </w14:solidFill>
          </w14:textFill>
        </w:rPr>
        <w:t>乙方</w:t>
      </w:r>
      <w:r>
        <w:rPr>
          <w:color w:val="000000" w:themeColor="text1"/>
          <w:sz w:val="24"/>
          <w:szCs w:val="24"/>
          <w14:textFill>
            <w14:solidFill>
              <w14:schemeClr w14:val="tx1"/>
            </w14:solidFill>
          </w14:textFill>
        </w:rPr>
        <w:t>必须按国家有关规定，承担相应的责任。</w:t>
      </w:r>
    </w:p>
    <w:p w14:paraId="579B071B">
      <w:pPr>
        <w:spacing w:line="360" w:lineRule="auto"/>
        <w:ind w:firstLine="480" w:firstLineChars="200"/>
        <w:jc w:val="left"/>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7</w:t>
      </w:r>
      <w:r>
        <w:rPr>
          <w:color w:val="000000" w:themeColor="text1"/>
          <w:sz w:val="24"/>
          <w:szCs w:val="24"/>
          <w14:textFill>
            <w14:solidFill>
              <w14:schemeClr w14:val="tx1"/>
            </w14:solidFill>
          </w14:textFill>
        </w:rPr>
        <w:t>）未经发包人许可，</w:t>
      </w:r>
      <w:r>
        <w:rPr>
          <w:rFonts w:hint="eastAsia"/>
          <w:color w:val="000000" w:themeColor="text1"/>
          <w:sz w:val="24"/>
          <w:szCs w:val="24"/>
          <w14:textFill>
            <w14:solidFill>
              <w14:schemeClr w14:val="tx1"/>
            </w14:solidFill>
          </w14:textFill>
        </w:rPr>
        <w:t>乙方</w:t>
      </w:r>
      <w:r>
        <w:rPr>
          <w:color w:val="000000" w:themeColor="text1"/>
          <w:sz w:val="24"/>
          <w:szCs w:val="24"/>
          <w14:textFill>
            <w14:solidFill>
              <w14:schemeClr w14:val="tx1"/>
            </w14:solidFill>
          </w14:textFill>
        </w:rPr>
        <w:t>不得将合同资料、</w:t>
      </w:r>
      <w:r>
        <w:rPr>
          <w:rFonts w:hint="eastAsia"/>
          <w:color w:val="000000" w:themeColor="text1"/>
          <w:sz w:val="24"/>
          <w:szCs w:val="24"/>
          <w14:textFill>
            <w14:solidFill>
              <w14:schemeClr w14:val="tx1"/>
            </w14:solidFill>
          </w14:textFill>
        </w:rPr>
        <w:t>技术成果资料</w:t>
      </w:r>
      <w:r>
        <w:rPr>
          <w:color w:val="000000" w:themeColor="text1"/>
          <w:sz w:val="24"/>
          <w:szCs w:val="24"/>
          <w14:textFill>
            <w14:solidFill>
              <w14:schemeClr w14:val="tx1"/>
            </w14:solidFill>
          </w14:textFill>
        </w:rPr>
        <w:t>提供给第三方。</w:t>
      </w:r>
    </w:p>
    <w:p w14:paraId="5F84A0A3">
      <w:pPr>
        <w:spacing w:line="360" w:lineRule="auto"/>
        <w:ind w:firstLine="480" w:firstLineChars="200"/>
        <w:jc w:val="left"/>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8</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乙方</w:t>
      </w:r>
      <w:r>
        <w:rPr>
          <w:color w:val="000000" w:themeColor="text1"/>
          <w:sz w:val="24"/>
          <w:szCs w:val="24"/>
          <w14:textFill>
            <w14:solidFill>
              <w14:schemeClr w14:val="tx1"/>
            </w14:solidFill>
          </w14:textFill>
        </w:rPr>
        <w:t>未经同意不得将该合同任务分包或转包给第三方实施。</w:t>
      </w:r>
    </w:p>
    <w:p w14:paraId="6EEFC564">
      <w:pPr>
        <w:spacing w:line="360" w:lineRule="auto"/>
        <w:ind w:firstLine="480" w:firstLineChars="200"/>
        <w:jc w:val="left"/>
        <w:textAlignment w:val="baseline"/>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9</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隧道检测车</w:t>
      </w:r>
      <w:r>
        <w:rPr>
          <w:color w:val="000000" w:themeColor="text1"/>
          <w:sz w:val="24"/>
          <w:szCs w:val="24"/>
          <w14:textFill>
            <w14:solidFill>
              <w14:schemeClr w14:val="tx1"/>
            </w14:solidFill>
          </w14:textFill>
        </w:rPr>
        <w:t>未达到发包人要求的无偿更换设备直至满足发包人要求。</w:t>
      </w:r>
    </w:p>
    <w:p w14:paraId="36F13736">
      <w:pPr>
        <w:spacing w:line="400" w:lineRule="exact"/>
        <w:ind w:firstLine="482" w:firstLineChars="200"/>
        <w:textAlignment w:val="baseline"/>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w:t>
      </w:r>
      <w:r>
        <w:rPr>
          <w:rFonts w:hint="eastAsia" w:ascii="宋体" w:hAnsi="宋体"/>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安全</w:t>
      </w:r>
      <w:r>
        <w:rPr>
          <w:rFonts w:hint="eastAsia" w:ascii="宋体" w:hAnsi="宋体"/>
          <w:b/>
          <w:color w:val="000000" w:themeColor="text1"/>
          <w:sz w:val="24"/>
          <w14:textFill>
            <w14:solidFill>
              <w14:schemeClr w14:val="tx1"/>
            </w14:solidFill>
          </w14:textFill>
        </w:rPr>
        <w:t>责任</w:t>
      </w:r>
    </w:p>
    <w:p w14:paraId="1AAC7DCA">
      <w:pPr>
        <w:autoSpaceDE w:val="0"/>
        <w:autoSpaceDN w:val="0"/>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zh-CN"/>
          <w14:textFill>
            <w14:solidFill>
              <w14:schemeClr w14:val="tx1"/>
            </w14:solidFill>
          </w14:textFill>
        </w:rPr>
        <w:t>乙</w:t>
      </w:r>
      <w:r>
        <w:rPr>
          <w:rFonts w:ascii="宋体" w:hAnsi="宋体"/>
          <w:color w:val="000000" w:themeColor="text1"/>
          <w:sz w:val="24"/>
          <w:lang w:val="zh-CN"/>
          <w14:textFill>
            <w14:solidFill>
              <w14:schemeClr w14:val="tx1"/>
            </w14:solidFill>
          </w14:textFill>
        </w:rPr>
        <w:t>方必须贯彻执行国家</w:t>
      </w:r>
      <w:r>
        <w:rPr>
          <w:rFonts w:hint="eastAsia" w:ascii="宋体" w:hAnsi="宋体"/>
          <w:color w:val="000000" w:themeColor="text1"/>
          <w:sz w:val="24"/>
          <w:lang w:val="zh-CN"/>
          <w14:textFill>
            <w14:solidFill>
              <w14:schemeClr w14:val="tx1"/>
            </w14:solidFill>
          </w14:textFill>
        </w:rPr>
        <w:t>、重庆市及</w:t>
      </w:r>
      <w:r>
        <w:rPr>
          <w:rFonts w:ascii="宋体" w:hAnsi="宋体"/>
          <w:color w:val="000000" w:themeColor="text1"/>
          <w:sz w:val="24"/>
          <w:lang w:val="zh-CN"/>
          <w14:textFill>
            <w14:solidFill>
              <w14:schemeClr w14:val="tx1"/>
            </w14:solidFill>
          </w14:textFill>
        </w:rPr>
        <w:t>行业主管部门颁布实施的有关安全生产的法律法规及各项规定，严格按</w:t>
      </w:r>
      <w:r>
        <w:rPr>
          <w:rFonts w:hint="eastAsia" w:ascii="宋体" w:hAnsi="宋体"/>
          <w:color w:val="000000" w:themeColor="text1"/>
          <w:sz w:val="24"/>
          <w:lang w:val="zh-CN"/>
          <w14:textFill>
            <w14:solidFill>
              <w14:schemeClr w14:val="tx1"/>
            </w14:solidFill>
          </w14:textFill>
        </w:rPr>
        <w:t>相应</w:t>
      </w:r>
      <w:r>
        <w:rPr>
          <w:rFonts w:ascii="宋体" w:hAnsi="宋体"/>
          <w:color w:val="000000" w:themeColor="text1"/>
          <w:sz w:val="24"/>
          <w:lang w:val="zh-CN"/>
          <w14:textFill>
            <w14:solidFill>
              <w14:schemeClr w14:val="tx1"/>
            </w14:solidFill>
          </w14:textFill>
        </w:rPr>
        <w:t>安全</w:t>
      </w:r>
      <w:r>
        <w:rPr>
          <w:rFonts w:hint="eastAsia" w:ascii="宋体" w:hAnsi="宋体"/>
          <w:color w:val="000000" w:themeColor="text1"/>
          <w:sz w:val="24"/>
          <w:lang w:val="zh-CN"/>
          <w14:textFill>
            <w14:solidFill>
              <w14:schemeClr w14:val="tx1"/>
            </w14:solidFill>
          </w14:textFill>
        </w:rPr>
        <w:t>规范</w:t>
      </w:r>
      <w:r>
        <w:rPr>
          <w:rFonts w:ascii="宋体" w:hAnsi="宋体"/>
          <w:color w:val="000000" w:themeColor="text1"/>
          <w:sz w:val="24"/>
          <w:lang w:val="zh-CN"/>
          <w14:textFill>
            <w14:solidFill>
              <w14:schemeClr w14:val="tx1"/>
            </w14:solidFill>
          </w14:textFill>
        </w:rPr>
        <w:t>组织</w:t>
      </w:r>
      <w:r>
        <w:rPr>
          <w:rFonts w:hint="eastAsia" w:ascii="宋体" w:hAnsi="宋体"/>
          <w:color w:val="000000" w:themeColor="text1"/>
          <w:sz w:val="24"/>
          <w14:textFill>
            <w14:solidFill>
              <w14:schemeClr w14:val="tx1"/>
            </w14:solidFill>
          </w14:textFill>
        </w:rPr>
        <w:t>检测</w:t>
      </w:r>
      <w:r>
        <w:rPr>
          <w:rFonts w:ascii="宋体" w:hAnsi="宋体"/>
          <w:color w:val="000000" w:themeColor="text1"/>
          <w:sz w:val="24"/>
          <w:lang w:val="zh-CN"/>
          <w14:textFill>
            <w14:solidFill>
              <w14:schemeClr w14:val="tx1"/>
            </w14:solidFill>
          </w14:textFill>
        </w:rPr>
        <w:t>。</w:t>
      </w:r>
    </w:p>
    <w:p w14:paraId="63BB38BD">
      <w:pPr>
        <w:spacing w:line="360" w:lineRule="auto"/>
        <w:ind w:firstLine="480" w:firstLineChars="200"/>
        <w:textAlignment w:val="baseline"/>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乙方检测现场应设专人负责安全，按操作规程指挥，做好安全防范措施。</w:t>
      </w:r>
    </w:p>
    <w:p w14:paraId="4391613F">
      <w:pPr>
        <w:spacing w:line="360"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3、在服务期间，乙方操作人员在作业过程中因操作失误甚至违章操作造成甲方或任何第三方的人员伤亡、设施损坏等，所造成的经济损失和法律责任均由乙方承担。</w:t>
      </w:r>
    </w:p>
    <w:p w14:paraId="45016453">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十一、违约责任</w:t>
      </w:r>
    </w:p>
    <w:p w14:paraId="79E4DE45">
      <w:pPr>
        <w:spacing w:line="400" w:lineRule="exact"/>
        <w:ind w:firstLine="480" w:firstLineChars="200"/>
        <w:rPr>
          <w:rFonts w:ascii="宋体" w:hAnsi="宋体" w:cs="宋体"/>
          <w:sz w:val="24"/>
          <w:szCs w:val="24"/>
        </w:rPr>
      </w:pPr>
      <w:r>
        <w:rPr>
          <w:rFonts w:hint="eastAsia" w:ascii="宋体" w:hAnsi="宋体" w:cs="宋体"/>
          <w:sz w:val="24"/>
          <w:szCs w:val="24"/>
        </w:rPr>
        <w:t>1、在项目质保期内，若在乙方已检测范围内，经我方复核确认存在影响结构安全的重大病害而乙方报告未发现，或存在超出规范允许范围的重大数据误差，乙方须承担以下责任：</w:t>
      </w:r>
    </w:p>
    <w:p w14:paraId="7909EBC0">
      <w:pPr>
        <w:spacing w:line="400" w:lineRule="exact"/>
        <w:ind w:firstLine="480" w:firstLineChars="200"/>
        <w:rPr>
          <w:rFonts w:ascii="宋体" w:hAnsi="宋体" w:cs="宋体"/>
          <w:sz w:val="24"/>
          <w:szCs w:val="24"/>
        </w:rPr>
      </w:pPr>
      <w:r>
        <w:rPr>
          <w:rFonts w:hint="eastAsia" w:ascii="宋体" w:hAnsi="宋体" w:cs="宋体"/>
          <w:sz w:val="24"/>
          <w:szCs w:val="24"/>
        </w:rPr>
        <w:t>1）按缺陷数量处罚：隧道土建结构按JTG H12-2015第4.5.4条规定评定的洞口、洞门、衬砌、路面、吊顶及预埋件等分项状况值出现≥3的情况，或整体被依据第4.5.5条评定为5类隧道，则视为发生重大质量缺陷，每遗漏一处重大病害，乙方须为此承担违约责任，支付人民币10,000元的违约金，并全额承担为复测及状况确认所产生的一切费用。</w:t>
      </w:r>
    </w:p>
    <w:p w14:paraId="68AEF2F9">
      <w:pPr>
        <w:spacing w:line="400" w:lineRule="exact"/>
        <w:ind w:firstLine="480" w:firstLineChars="200"/>
        <w:rPr>
          <w:rFonts w:ascii="宋体" w:hAnsi="宋体" w:cs="宋体"/>
          <w:sz w:val="24"/>
          <w:szCs w:val="24"/>
        </w:rPr>
      </w:pPr>
      <w:r>
        <w:rPr>
          <w:rFonts w:hint="eastAsia" w:ascii="宋体" w:hAnsi="宋体" w:cs="宋体"/>
          <w:sz w:val="24"/>
          <w:szCs w:val="24"/>
        </w:rPr>
        <w:t>2）整体误差率：误差率＞10%且≤20%，甲方合同结算时一次性扣除合同价款5%的违约金，并要求乙方自费全部复测。</w:t>
      </w:r>
    </w:p>
    <w:p w14:paraId="1DB3829F">
      <w:pPr>
        <w:spacing w:line="400" w:lineRule="exact"/>
        <w:ind w:firstLine="480" w:firstLineChars="200"/>
        <w:rPr>
          <w:rFonts w:ascii="宋体" w:hAnsi="宋体" w:cs="宋体"/>
          <w:sz w:val="24"/>
          <w:szCs w:val="24"/>
        </w:rPr>
      </w:pPr>
      <w:r>
        <w:rPr>
          <w:rFonts w:hint="eastAsia" w:ascii="宋体" w:hAnsi="宋体" w:cs="宋体"/>
          <w:sz w:val="24"/>
          <w:szCs w:val="24"/>
        </w:rPr>
        <w:t>3）误差率＞20%：甲方合同结算时一次性扣除合同价款10%的违约金，认定整批数据无效，乙方须自费全部重测，并承担由此造成的工期损失。</w:t>
      </w:r>
    </w:p>
    <w:p w14:paraId="38C28657">
      <w:pPr>
        <w:pStyle w:val="15"/>
        <w:spacing w:before="0" w:after="0" w:line="400" w:lineRule="exact"/>
        <w:ind w:firstLine="480" w:firstLineChars="200"/>
        <w:rPr>
          <w:rFonts w:ascii="宋体" w:hAnsi="宋体" w:cs="宋体"/>
          <w:b w:val="0"/>
          <w:bCs w:val="0"/>
          <w:sz w:val="24"/>
          <w:szCs w:val="24"/>
        </w:rPr>
      </w:pPr>
      <w:r>
        <w:rPr>
          <w:rFonts w:hint="eastAsia" w:ascii="宋体" w:hAnsi="宋体" w:cs="宋体"/>
          <w:b w:val="0"/>
          <w:bCs w:val="0"/>
          <w:caps w:val="0"/>
          <w:sz w:val="24"/>
          <w:szCs w:val="24"/>
        </w:rPr>
        <w:t>2、若未按期完成，造成甲方工期延误或严重后果（甲方无法按期评审或提交成果资料），乙方须承担相应违约责任，甲方</w:t>
      </w:r>
      <w:r>
        <w:rPr>
          <w:rFonts w:hint="eastAsia" w:ascii="宋体" w:hAnsi="宋体" w:cs="宋体"/>
          <w:b w:val="0"/>
          <w:bCs w:val="0"/>
          <w:sz w:val="24"/>
          <w:szCs w:val="24"/>
        </w:rPr>
        <w:t>可在合同结算时一次性扣除不超过合同价款10%的违约金。</w:t>
      </w:r>
    </w:p>
    <w:p w14:paraId="1108A767">
      <w:pPr>
        <w:spacing w:line="400" w:lineRule="exact"/>
        <w:ind w:firstLine="420"/>
        <w:rPr>
          <w:rFonts w:ascii="宋体" w:hAnsi="宋体" w:cs="宋体"/>
          <w:sz w:val="24"/>
          <w:szCs w:val="24"/>
        </w:rPr>
      </w:pPr>
      <w:r>
        <w:rPr>
          <w:rFonts w:hint="eastAsia" w:ascii="宋体" w:hAnsi="宋体" w:cs="宋体"/>
          <w:sz w:val="24"/>
          <w:szCs w:val="24"/>
        </w:rPr>
        <w:t>3、乙方提交的检测成果，若因自身原因未能通过甲方组织的评审，须限期免费整改并承担以下经济责任：</w:t>
      </w:r>
    </w:p>
    <w:p w14:paraId="46895AB7">
      <w:pPr>
        <w:spacing w:line="400" w:lineRule="exact"/>
        <w:ind w:firstLine="420"/>
        <w:rPr>
          <w:rFonts w:ascii="宋体" w:hAnsi="宋体" w:cs="宋体"/>
          <w:sz w:val="24"/>
          <w:szCs w:val="24"/>
        </w:rPr>
      </w:pPr>
      <w:r>
        <w:rPr>
          <w:rFonts w:hint="eastAsia" w:ascii="宋体" w:hAnsi="宋体" w:cs="宋体"/>
          <w:sz w:val="24"/>
          <w:szCs w:val="24"/>
        </w:rPr>
        <w:t>1）首次评审未通过：甲方有权根据专家评审意见及乙方提交成果的缺陷程度可在合同结算时一次性扣除不超过合同价款5%的违约金。</w:t>
      </w:r>
    </w:p>
    <w:p w14:paraId="0F58DC29">
      <w:pPr>
        <w:spacing w:line="400" w:lineRule="exact"/>
        <w:ind w:firstLine="420"/>
        <w:rPr>
          <w:rFonts w:ascii="宋体" w:hAnsi="宋体" w:cs="宋体"/>
          <w:sz w:val="24"/>
          <w:szCs w:val="24"/>
        </w:rPr>
      </w:pPr>
      <w:r>
        <w:rPr>
          <w:rFonts w:hint="eastAsia" w:ascii="宋体" w:hAnsi="宋体" w:cs="宋体"/>
          <w:sz w:val="24"/>
          <w:szCs w:val="24"/>
        </w:rPr>
        <w:t>2）第二次评审未通过：甲方合同结算时一次性扣除合同价款10%的违约金，且甲方有权暂停付款直至报告合格，并可考虑终止部分合同。</w:t>
      </w:r>
    </w:p>
    <w:p w14:paraId="3C0DC207">
      <w:pPr>
        <w:spacing w:line="400" w:lineRule="exact"/>
        <w:ind w:firstLine="420"/>
        <w:rPr>
          <w:rFonts w:ascii="宋体" w:hAnsi="宋体" w:cs="宋体"/>
          <w:color w:val="0F1115"/>
          <w:sz w:val="24"/>
          <w:szCs w:val="24"/>
        </w:rPr>
      </w:pPr>
      <w:r>
        <w:rPr>
          <w:rFonts w:hint="eastAsia" w:ascii="宋体" w:hAnsi="宋体" w:cs="宋体"/>
          <w:color w:val="0F1115"/>
          <w:sz w:val="24"/>
          <w:szCs w:val="24"/>
        </w:rPr>
        <w:t>4、甲方根据合同约定支付相应工程款项后，如在合同约定的质保期（评审后1年）内发现工程存在质量问题，乙方应自担费用</w:t>
      </w:r>
      <w:r>
        <w:rPr>
          <w:rFonts w:hint="eastAsia" w:ascii="宋体" w:hAnsi="宋体" w:cs="宋体"/>
          <w:sz w:val="24"/>
          <w:szCs w:val="24"/>
        </w:rPr>
        <w:t>并</w:t>
      </w:r>
      <w:r>
        <w:rPr>
          <w:rFonts w:hint="eastAsia" w:ascii="宋体" w:hAnsi="宋体" w:cs="宋体"/>
          <w:color w:val="0F1115"/>
          <w:sz w:val="24"/>
          <w:szCs w:val="24"/>
        </w:rPr>
        <w:t>予以修复。若乙方无正当理由拒绝或在甲方指定的合理期限内实施整改，应向甲方支付违约金。违约金总额不超过甲方已向乙方支付工程价款的30%。同时，甲方有权将乙方列入供应商黑名单，并单方面决定在三年内禁止乙方参与甲方的任何后续项目。</w:t>
      </w:r>
    </w:p>
    <w:p w14:paraId="187E0C96">
      <w:pPr>
        <w:spacing w:line="40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5、本合同履行过程中，若乙方未按约履行其它相应义务的，甲方有权要求乙方限期整改，乙方拒绝整改或整改后仍不符合合同约定的，甲方有权随时解除本合同。</w:t>
      </w:r>
    </w:p>
    <w:p w14:paraId="6BA29808">
      <w:pPr>
        <w:spacing w:line="4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上述所有违约金甲方均有权从未支付合同款项中直接抵扣，总额不超过合同总价的30%。</w:t>
      </w:r>
    </w:p>
    <w:p w14:paraId="5A6635BC">
      <w:pPr>
        <w:adjustRightInd w:val="0"/>
        <w:snapToGrid w:val="0"/>
        <w:spacing w:line="4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十二、保险</w:t>
      </w:r>
    </w:p>
    <w:p w14:paraId="69B1C651">
      <w:pPr>
        <w:pStyle w:val="15"/>
        <w:spacing w:before="0" w:after="0" w:line="400" w:lineRule="exact"/>
        <w:ind w:firstLine="480" w:firstLineChars="200"/>
        <w:rPr>
          <w:rFonts w:ascii="Times New Roman" w:hAnsi="Times New Roman"/>
          <w:b w:val="0"/>
          <w:bCs w:val="0"/>
          <w:caps w:val="0"/>
          <w:color w:val="000000" w:themeColor="text1"/>
          <w:sz w:val="24"/>
          <w:szCs w:val="24"/>
          <w14:textFill>
            <w14:solidFill>
              <w14:schemeClr w14:val="tx1"/>
            </w14:solidFill>
          </w14:textFill>
        </w:rPr>
      </w:pPr>
      <w:r>
        <w:rPr>
          <w:rFonts w:ascii="Times New Roman" w:hAnsi="Times New Roman"/>
          <w:b w:val="0"/>
          <w:bCs w:val="0"/>
          <w:caps w:val="0"/>
          <w:color w:val="000000" w:themeColor="text1"/>
          <w:sz w:val="24"/>
          <w:szCs w:val="24"/>
          <w14:textFill>
            <w14:solidFill>
              <w14:schemeClr w14:val="tx1"/>
            </w14:solidFill>
          </w14:textFill>
        </w:rPr>
        <w:t>为加强对乙方人员保险管理，乙方必须按照国家《劳动法》、《劳动合同法》等相关规定规范用工并为从业人员购买社保（含工伤保险）及其他商业险种。乙方商业险种应按照甲方要求购买雇主责任险（保险额度为100万/人；附加医疗保险10万/人），并自行承担相应的保费。乙方商业险种应按照甲方要求为隧道检测车购买机动车交通事故责任强制险、商业第三者责任险（保险额度不低于200万元/次）、机动车损失险（须足额投保并包含车载检测设备），并自行承担相应的保费。</w:t>
      </w:r>
    </w:p>
    <w:p w14:paraId="0D948EC7">
      <w:pPr>
        <w:adjustRightInd w:val="0"/>
        <w:snapToGrid w:val="0"/>
        <w:spacing w:line="400" w:lineRule="exact"/>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十三、争议的解决</w:t>
      </w:r>
    </w:p>
    <w:p w14:paraId="155358BB">
      <w:pPr>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如有争议，双方协商解决，协商不成可依法向重庆市</w:t>
      </w:r>
      <w:r>
        <w:rPr>
          <w:rFonts w:hint="eastAsia" w:ascii="宋体" w:hAnsi="宋体"/>
          <w:b/>
          <w:bCs/>
          <w:color w:val="000000" w:themeColor="text1"/>
          <w:sz w:val="24"/>
          <w:u w:val="single"/>
          <w14:textFill>
            <w14:solidFill>
              <w14:schemeClr w14:val="tx1"/>
            </w14:solidFill>
          </w14:textFill>
        </w:rPr>
        <w:t>南岸区人民法院提起诉讼</w:t>
      </w:r>
      <w:r>
        <w:rPr>
          <w:rFonts w:hint="eastAsia" w:ascii="宋体" w:hAnsi="宋体"/>
          <w:color w:val="000000" w:themeColor="text1"/>
          <w:sz w:val="24"/>
          <w14:textFill>
            <w14:solidFill>
              <w14:schemeClr w14:val="tx1"/>
            </w14:solidFill>
          </w14:textFill>
        </w:rPr>
        <w:t>。</w:t>
      </w:r>
    </w:p>
    <w:p w14:paraId="23B106A4">
      <w:pPr>
        <w:pStyle w:val="34"/>
        <w:spacing w:line="400" w:lineRule="exact"/>
        <w:ind w:firstLine="482" w:firstLineChars="200"/>
        <w:outlineLvl w:val="0"/>
        <w:rPr>
          <w:rFonts w:ascii="宋体" w:hAnsi="宋体" w:eastAsia="宋体" w:cs="Times New Roman"/>
          <w:b/>
          <w:color w:val="000000" w:themeColor="text1"/>
          <w:kern w:val="2"/>
          <w:szCs w:val="20"/>
          <w14:textFill>
            <w14:solidFill>
              <w14:schemeClr w14:val="tx1"/>
            </w14:solidFill>
          </w14:textFill>
        </w:rPr>
      </w:pPr>
      <w:r>
        <w:rPr>
          <w:rFonts w:hint="eastAsia" w:ascii="宋体" w:hAnsi="宋体" w:eastAsia="宋体" w:cs="Times New Roman"/>
          <w:b/>
          <w:color w:val="000000" w:themeColor="text1"/>
          <w:kern w:val="2"/>
          <w:szCs w:val="20"/>
          <w14:textFill>
            <w14:solidFill>
              <w14:schemeClr w14:val="tx1"/>
            </w14:solidFill>
          </w14:textFill>
        </w:rPr>
        <w:t>十四、通知和送达</w:t>
      </w:r>
    </w:p>
    <w:p w14:paraId="6418E3A9">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1、甲、乙双方确认以下为甲乙双方的联系方式：</w:t>
      </w:r>
    </w:p>
    <w:p w14:paraId="29E2B58B">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甲方送达地址：</w:t>
      </w:r>
    </w:p>
    <w:p w14:paraId="795B6597">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 xml:space="preserve">甲方联系人及联系电话： </w:t>
      </w:r>
    </w:p>
    <w:p w14:paraId="425558BA">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邮箱：</w:t>
      </w:r>
    </w:p>
    <w:p w14:paraId="5F39AF9C">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乙方送达地址：</w:t>
      </w:r>
    </w:p>
    <w:p w14:paraId="4312DDEC">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 xml:space="preserve">乙方联系人及联系电话： </w:t>
      </w:r>
    </w:p>
    <w:p w14:paraId="45D86FF0">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邮箱：</w:t>
      </w:r>
    </w:p>
    <w:p w14:paraId="1B4B35C9">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2、任何一方送达地址发生变更的，应当在变更后七日内以书面方式通知对方；一方送达地址变更后未按约定的时间、形式通知对方的，原送达地址仍为有效送达地址。</w:t>
      </w:r>
    </w:p>
    <w:p w14:paraId="2F5B3391">
      <w:pPr>
        <w:autoSpaceDE w:val="0"/>
        <w:autoSpaceDN w:val="0"/>
        <w:adjustRightInd w:val="0"/>
        <w:spacing w:line="400" w:lineRule="exact"/>
        <w:ind w:firstLine="480" w:firstLineChars="200"/>
        <w:jc w:val="left"/>
        <w:rPr>
          <w:rFonts w:ascii="AppleSystemUIFont" w:hAnsi="AppleSystemUIFont" w:cs="AppleSystemUIFont"/>
          <w:kern w:val="0"/>
          <w:sz w:val="24"/>
          <w:szCs w:val="24"/>
        </w:rPr>
      </w:pPr>
      <w:r>
        <w:rPr>
          <w:rFonts w:ascii="AppleSystemUIFont" w:hAnsi="AppleSystemUIFont" w:cs="AppleSystemUIFont"/>
          <w:kern w:val="0"/>
          <w:sz w:val="24"/>
          <w:szCs w:val="24"/>
        </w:rPr>
        <w:t>3、任何一方按照约定地址、电话向对方送达文件、信息的，视为有效送达；对方拒绝签收或由他人签收的，不影响送达的效力。因一方提供或者确认的送达地址不准确、送达地址变更后未及时按照约定通知对方、一方或其指定联系人拒绝签收等原因，导致文件、信息未能被实际接收的，邮寄送达的，以文书退回之日视为送达之日；发送信息的，从信息发出之日视为有效送达。</w:t>
      </w:r>
    </w:p>
    <w:p w14:paraId="6CE33D42">
      <w:pPr>
        <w:autoSpaceDE w:val="0"/>
        <w:autoSpaceDN w:val="0"/>
        <w:adjustRightInd w:val="0"/>
        <w:spacing w:line="400" w:lineRule="exact"/>
        <w:ind w:firstLine="480" w:firstLineChars="200"/>
        <w:jc w:val="left"/>
        <w:rPr>
          <w:rFonts w:ascii="AppleSystemUIFont" w:hAnsi="AppleSystemUIFont" w:eastAsia="AppleExternalUIFontSimplifiedCh" w:cs="AppleSystemUIFont"/>
          <w:color w:val="000000" w:themeColor="text1"/>
          <w:kern w:val="0"/>
          <w:sz w:val="26"/>
          <w:szCs w:val="26"/>
          <w14:textFill>
            <w14:solidFill>
              <w14:schemeClr w14:val="tx1"/>
            </w14:solidFill>
          </w14:textFill>
        </w:rPr>
      </w:pPr>
      <w:r>
        <w:rPr>
          <w:rFonts w:hint="eastAsia" w:asciiTheme="majorEastAsia" w:hAnsiTheme="majorEastAsia" w:eastAsiaTheme="majorEastAsia" w:cstheme="majorEastAsia"/>
          <w:kern w:val="0"/>
          <w:sz w:val="24"/>
          <w:szCs w:val="24"/>
        </w:rPr>
        <w:t>4、如双方因履行本合同发生纠纷时，人民法院或仲裁机关按照约定地址、电话向一方送达法律文书的，视为有效送达；一方拒绝签收或由他人签收的，不影响送达的效力。因一方提供或者确认的送达地址不准确、送达地址变更后未及时通知人民法院或仲裁机关、一方或其指定联系人拒绝签收等原因，导致法律文书未能被实际接收的，邮寄送达的，以法律文书退回之日视为送达之日；发送信息的，从信息发出之日视为有效送达。</w:t>
      </w:r>
      <w:r>
        <w:rPr>
          <w:rFonts w:ascii="AppleSystemUIFont" w:hAnsi="AppleSystemUIFont" w:eastAsia="AppleExternalUIFontSimplifiedCh" w:cs="AppleSystemUIFont"/>
          <w:kern w:val="0"/>
          <w:sz w:val="24"/>
          <w:szCs w:val="24"/>
        </w:rPr>
        <w:t xml:space="preserve"> </w:t>
      </w:r>
    </w:p>
    <w:p w14:paraId="527BD7A9">
      <w:pPr>
        <w:adjustRightInd w:val="0"/>
        <w:snapToGrid w:val="0"/>
        <w:spacing w:line="400" w:lineRule="exact"/>
        <w:ind w:firstLine="482" w:firstLineChars="200"/>
        <w:outlineLvl w:val="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十五、其它约定</w:t>
      </w:r>
    </w:p>
    <w:p w14:paraId="56B0B9E1">
      <w:pPr>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1、本合同</w:t>
      </w:r>
      <w:r>
        <w:rPr>
          <w:rFonts w:hint="eastAsia" w:ascii="宋体" w:hAnsi="宋体"/>
          <w:color w:val="000000" w:themeColor="text1"/>
          <w:sz w:val="24"/>
          <w:u w:val="single"/>
          <w14:textFill>
            <w14:solidFill>
              <w14:schemeClr w14:val="tx1"/>
            </w14:solidFill>
          </w14:textFill>
        </w:rPr>
        <w:t>及其附件、补充协议</w:t>
      </w:r>
      <w:r>
        <w:rPr>
          <w:rFonts w:hint="eastAsia" w:ascii="宋体" w:hAnsi="宋体"/>
          <w:color w:val="000000" w:themeColor="text1"/>
          <w:sz w:val="24"/>
          <w14:textFill>
            <w14:solidFill>
              <w14:schemeClr w14:val="tx1"/>
            </w14:solidFill>
          </w14:textFill>
        </w:rPr>
        <w:t>中未规定的事项，均按照中华人民共和国有关法律、法规和政策执行。</w:t>
      </w:r>
    </w:p>
    <w:p w14:paraId="3F1A5EEE">
      <w:pPr>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2、本合同未尽事宜，由甲、乙双方另行议定，并签订补充协议，补充协议与本合同不一致时，以补充协议为准。</w:t>
      </w:r>
    </w:p>
    <w:p w14:paraId="7226BA2E">
      <w:pPr>
        <w:pStyle w:val="37"/>
        <w:tabs>
          <w:tab w:val="left" w:pos="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s>
        <w:adjustRightInd w:val="0"/>
        <w:snapToGrid w:val="0"/>
        <w:spacing w:line="400" w:lineRule="exact"/>
        <w:ind w:firstLine="482" w:firstLineChars="200"/>
        <w:outlineLvl w:val="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十六、</w:t>
      </w:r>
      <w:r>
        <w:rPr>
          <w:rFonts w:ascii="宋体" w:hAnsi="宋体" w:eastAsia="宋体"/>
          <w:b/>
          <w:color w:val="000000" w:themeColor="text1"/>
          <w:sz w:val="24"/>
          <w:szCs w:val="24"/>
          <w14:textFill>
            <w14:solidFill>
              <w14:schemeClr w14:val="tx1"/>
            </w14:solidFill>
          </w14:textFill>
        </w:rPr>
        <w:t>合同</w:t>
      </w:r>
      <w:r>
        <w:rPr>
          <w:rFonts w:hint="eastAsia" w:ascii="宋体" w:hAnsi="宋体" w:eastAsia="宋体"/>
          <w:b/>
          <w:color w:val="000000" w:themeColor="text1"/>
          <w:sz w:val="24"/>
          <w:szCs w:val="24"/>
          <w14:textFill>
            <w14:solidFill>
              <w14:schemeClr w14:val="tx1"/>
            </w14:solidFill>
          </w14:textFill>
        </w:rPr>
        <w:t>份数及时效</w:t>
      </w:r>
    </w:p>
    <w:p w14:paraId="09ED825A">
      <w:pPr>
        <w:adjustRightInd w:val="0"/>
        <w:snapToGrid w:val="0"/>
        <w:spacing w:line="4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本合同一式</w:t>
      </w:r>
      <w:r>
        <w:rPr>
          <w:rFonts w:hint="eastAsia" w:ascii="宋体" w:hAnsi="宋体"/>
          <w:b/>
          <w:bCs/>
          <w:color w:val="000000" w:themeColor="text1"/>
          <w:sz w:val="24"/>
          <w:u w:val="single"/>
          <w14:textFill>
            <w14:solidFill>
              <w14:schemeClr w14:val="tx1"/>
            </w14:solidFill>
          </w14:textFill>
        </w:rPr>
        <w:t>肆</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贰</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贰</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各文本均具有同等法律效力；经双方签字盖章并加盖双方骑缝章后生效。在结束租赁、车辆出场及完结所有结算手续、支付租赁费用后终止。</w:t>
      </w:r>
    </w:p>
    <w:p w14:paraId="7A3C7352">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甲方（盖章）：                                  乙方（盖章）：</w:t>
      </w:r>
    </w:p>
    <w:p w14:paraId="04A45D88">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重庆高速工程检测有限公司            </w:t>
      </w:r>
    </w:p>
    <w:p w14:paraId="3E95BD4F">
      <w:pPr>
        <w:rPr>
          <w:rFonts w:ascii="宋体" w:hAnsi="宋体"/>
          <w:color w:val="000000" w:themeColor="text1"/>
          <w:sz w:val="24"/>
          <w14:textFill>
            <w14:solidFill>
              <w14:schemeClr w14:val="tx1"/>
            </w14:solidFill>
          </w14:textFill>
        </w:rPr>
      </w:pPr>
    </w:p>
    <w:p w14:paraId="507260A8">
      <w:pPr>
        <w:tabs>
          <w:tab w:val="left" w:pos="6210"/>
        </w:tabs>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4B9D3AB6">
      <w:pPr>
        <w:tabs>
          <w:tab w:val="left" w:pos="5610"/>
        </w:tabs>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或授权代表：</w:t>
      </w:r>
      <w:r>
        <w:rPr>
          <w:rFonts w:hint="eastAsia" w:ascii="宋体" w:hAnsi="宋体"/>
          <w:color w:val="000000" w:themeColor="text1"/>
          <w:sz w:val="24"/>
          <w14:textFill>
            <w14:solidFill>
              <w14:schemeClr w14:val="tx1"/>
            </w14:solidFill>
          </w14:textFill>
        </w:rPr>
        <w:tab/>
      </w:r>
      <w:r>
        <w:rPr>
          <w:rFonts w:hint="eastAsia" w:ascii="宋体" w:hAnsi="宋体"/>
          <w:color w:val="000000" w:themeColor="text1"/>
          <w:sz w:val="24"/>
          <w14:textFill>
            <w14:solidFill>
              <w14:schemeClr w14:val="tx1"/>
            </w14:solidFill>
          </w14:textFill>
        </w:rPr>
        <w:t>或授权代表：</w:t>
      </w:r>
    </w:p>
    <w:p w14:paraId="53B777B4">
      <w:pPr>
        <w:tabs>
          <w:tab w:val="left" w:pos="6210"/>
        </w:tabs>
        <w:rPr>
          <w:rFonts w:ascii="宋体" w:hAnsi="宋体"/>
          <w:color w:val="000000" w:themeColor="text1"/>
          <w:sz w:val="24"/>
          <w14:textFill>
            <w14:solidFill>
              <w14:schemeClr w14:val="tx1"/>
            </w14:solidFill>
          </w14:textFill>
        </w:rPr>
      </w:pPr>
    </w:p>
    <w:p w14:paraId="085C5C73">
      <w:pPr>
        <w:tabs>
          <w:tab w:val="left" w:pos="5670"/>
        </w:tabs>
        <w:ind w:firstLine="1440" w:firstLineChars="6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开户银行: </w:t>
      </w:r>
    </w:p>
    <w:p w14:paraId="784071A8">
      <w:pPr>
        <w:tabs>
          <w:tab w:val="left" w:pos="6210"/>
        </w:tabs>
        <w:ind w:firstLine="5599" w:firstLineChars="233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账号：</w:t>
      </w:r>
    </w:p>
    <w:p w14:paraId="45952D40">
      <w:pPr>
        <w:tabs>
          <w:tab w:val="left" w:pos="6210"/>
        </w:tabs>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部门负责人：</w:t>
      </w:r>
    </w:p>
    <w:p w14:paraId="49070189">
      <w:pPr>
        <w:tabs>
          <w:tab w:val="left" w:pos="6210"/>
        </w:tabs>
        <w:rPr>
          <w:rFonts w:ascii="宋体" w:hAnsi="宋体"/>
          <w:color w:val="000000" w:themeColor="text1"/>
          <w:sz w:val="24"/>
          <w14:textFill>
            <w14:solidFill>
              <w14:schemeClr w14:val="tx1"/>
            </w14:solidFill>
          </w14:textFill>
        </w:rPr>
      </w:pPr>
    </w:p>
    <w:p w14:paraId="48792498">
      <w:pPr>
        <w:tabs>
          <w:tab w:val="left" w:pos="6210"/>
        </w:tabs>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经办人：                                       经办人：</w:t>
      </w:r>
    </w:p>
    <w:p w14:paraId="6AE38F24">
      <w:pPr>
        <w:tabs>
          <w:tab w:val="left" w:pos="6210"/>
        </w:tabs>
        <w:rPr>
          <w:rFonts w:ascii="宋体" w:hAnsi="宋体"/>
          <w:color w:val="000000" w:themeColor="text1"/>
          <w:sz w:val="24"/>
          <w14:textFill>
            <w14:solidFill>
              <w14:schemeClr w14:val="tx1"/>
            </w14:solidFill>
          </w14:textFill>
        </w:rPr>
      </w:pPr>
    </w:p>
    <w:p w14:paraId="67ECF0BA">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签订日期：                                     签订日期：</w:t>
      </w:r>
    </w:p>
    <w:p w14:paraId="2172D85F">
      <w:pPr>
        <w:rPr>
          <w:color w:val="000000" w:themeColor="text1"/>
          <w:sz w:val="24"/>
          <w14:textFill>
            <w14:solidFill>
              <w14:schemeClr w14:val="tx1"/>
            </w14:solidFill>
          </w14:textFill>
        </w:rPr>
      </w:pPr>
    </w:p>
    <w:p w14:paraId="003CBB98">
      <w:pPr>
        <w:spacing w:line="360" w:lineRule="exact"/>
        <w:jc w:val="center"/>
        <w:textAlignment w:val="baseline"/>
        <w:rPr>
          <w:rFonts w:ascii="宋体" w:hAnsi="宋体"/>
          <w:b/>
          <w:color w:val="000000" w:themeColor="text1"/>
          <w:sz w:val="36"/>
          <w:szCs w:val="36"/>
          <w14:textFill>
            <w14:solidFill>
              <w14:schemeClr w14:val="tx1"/>
            </w14:solidFill>
          </w14:textFill>
        </w:rPr>
      </w:pPr>
    </w:p>
    <w:p w14:paraId="63912A50">
      <w:pPr>
        <w:spacing w:before="156" w:beforeLines="50" w:after="156" w:afterLines="50"/>
        <w:jc w:val="center"/>
        <w:outlineLvl w:val="0"/>
        <w:rPr>
          <w:rFonts w:ascii="宋体" w:hAnsi="宋体" w:cs="宋体"/>
          <w:b/>
          <w:color w:val="000000" w:themeColor="text1"/>
          <w:sz w:val="32"/>
          <w:szCs w:val="32"/>
          <w14:textFill>
            <w14:solidFill>
              <w14:schemeClr w14:val="tx1"/>
            </w14:solidFill>
          </w14:textFill>
        </w:rPr>
        <w:sectPr>
          <w:footerReference r:id="rId7" w:type="first"/>
          <w:footerReference r:id="rId6" w:type="default"/>
          <w:pgSz w:w="11906" w:h="16838"/>
          <w:pgMar w:top="1361" w:right="1587" w:bottom="1179" w:left="1587" w:header="794" w:footer="794" w:gutter="0"/>
          <w:cols w:space="720" w:num="1"/>
          <w:docGrid w:type="lines" w:linePitch="312" w:charSpace="0"/>
        </w:sectPr>
      </w:pPr>
    </w:p>
    <w:p w14:paraId="266AEB74">
      <w:pPr>
        <w:spacing w:before="156" w:beforeLines="50" w:after="156" w:afterLines="50"/>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2026年隧道检测车租赁及技术服务</w:t>
      </w:r>
      <w:r>
        <w:rPr>
          <w:rFonts w:hint="eastAsia" w:ascii="宋体" w:hAnsi="宋体" w:cs="宋体"/>
          <w:b/>
          <w:color w:val="000000" w:themeColor="text1"/>
          <w:sz w:val="32"/>
          <w:szCs w:val="32"/>
          <w14:textFill>
            <w14:solidFill>
              <w14:schemeClr w14:val="tx1"/>
            </w14:solidFill>
          </w14:textFill>
        </w:rPr>
        <w:t>（第一批）</w:t>
      </w:r>
    </w:p>
    <w:p w14:paraId="6A69CEAE">
      <w:pPr>
        <w:spacing w:before="156" w:beforeLines="50" w:after="156" w:afterLines="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廉政合同</w:t>
      </w:r>
    </w:p>
    <w:p w14:paraId="12880232">
      <w:pPr>
        <w:spacing w:line="400" w:lineRule="exact"/>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交通部《关于在交通基础设施建设中加强廉政建设的若干意见》和《关于在交通基础设施建设中推行廉政合同的通知》以及有关工程建设、廉政建设的规定，为做好工程建设中的党风廉政建设，保证项目高效优质，保证资金的安全和有效使用及投资效益，</w:t>
      </w:r>
      <w:r>
        <w:rPr>
          <w:rFonts w:hint="eastAsia"/>
          <w:b/>
          <w:color w:val="000000" w:themeColor="text1"/>
          <w:sz w:val="24"/>
          <w:u w:val="single"/>
          <w14:textFill>
            <w14:solidFill>
              <w14:schemeClr w14:val="tx1"/>
            </w14:solidFill>
          </w14:textFill>
        </w:rPr>
        <w:t>重庆高速工程检测有限公司</w:t>
      </w:r>
      <w:r>
        <w:rPr>
          <w:rFonts w:hint="eastAsia"/>
          <w:color w:val="000000" w:themeColor="text1"/>
          <w:sz w:val="24"/>
          <w14:textFill>
            <w14:solidFill>
              <w14:schemeClr w14:val="tx1"/>
            </w14:solidFill>
          </w14:textFill>
        </w:rPr>
        <w:t xml:space="preserve">（以下称甲方）与 </w:t>
      </w:r>
      <w:r>
        <w:rPr>
          <w:rFonts w:hint="eastAsia" w:ascii="宋体" w:hAnsi="宋体"/>
          <w:b/>
          <w:bCs/>
          <w:color w:val="000000" w:themeColor="text1"/>
          <w:sz w:val="24"/>
          <w:szCs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（以下称乙方），特订立如下合同。</w:t>
      </w:r>
    </w:p>
    <w:p w14:paraId="1BF62794">
      <w:pPr>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第一条甲乙双方的权利和义务</w:t>
      </w:r>
    </w:p>
    <w:p w14:paraId="2D90103F">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（一）严格遵守党和国家有关法律法规及交通部的有关规定。</w:t>
      </w:r>
    </w:p>
    <w:p w14:paraId="12FBAD41">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（二）严格执行</w:t>
      </w:r>
      <w:r>
        <w:rPr>
          <w:rFonts w:hint="eastAsia"/>
          <w:b/>
          <w:color w:val="000000" w:themeColor="text1"/>
          <w:sz w:val="24"/>
          <w14:textFill>
            <w14:solidFill>
              <w14:schemeClr w14:val="tx1"/>
            </w14:solidFill>
          </w14:textFill>
        </w:rPr>
        <w:t>《</w:t>
      </w:r>
      <w:r>
        <w:rPr>
          <w:rFonts w:hint="eastAsia"/>
          <w:b/>
          <w:color w:val="000000" w:themeColor="text1"/>
          <w:sz w:val="24"/>
          <w:lang w:eastAsia="zh-CN"/>
          <w14:textFill>
            <w14:solidFill>
              <w14:schemeClr w14:val="tx1"/>
            </w14:solidFill>
          </w14:textFill>
        </w:rPr>
        <w:t>2026年隧道检测车租赁及技术服务</w:t>
      </w:r>
      <w:r>
        <w:rPr>
          <w:rFonts w:hint="eastAsia"/>
          <w:b/>
          <w:color w:val="000000" w:themeColor="text1"/>
          <w:sz w:val="24"/>
          <w14:textFill>
            <w14:solidFill>
              <w14:schemeClr w14:val="tx1"/>
            </w14:solidFill>
          </w14:textFill>
        </w:rPr>
        <w:t>（第一批）合同》</w:t>
      </w:r>
      <w:r>
        <w:rPr>
          <w:rFonts w:hint="eastAsia"/>
          <w:color w:val="000000" w:themeColor="text1"/>
          <w:sz w:val="24"/>
          <w14:textFill>
            <w14:solidFill>
              <w14:schemeClr w14:val="tx1"/>
            </w14:solidFill>
          </w14:textFill>
        </w:rPr>
        <w:t>的相关条款，自觉按合同办事。</w:t>
      </w:r>
    </w:p>
    <w:p w14:paraId="3AB67903">
      <w:pPr>
        <w:pStyle w:val="9"/>
        <w:spacing w:line="400" w:lineRule="exact"/>
        <w:ind w:left="0"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（三）双方的业务活动坚持公开、公正、诚信、透明的原则（除法律认定的商业秘密和合同文件另有规定之外），不得损害国家和集体利益，违反工程建设管理规章制度。</w:t>
      </w:r>
    </w:p>
    <w:p w14:paraId="419F0458">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（四）建立健全廉政制度，开展廉政教育，设立廉政告示牌，公布举报电话，监督并认真查处违法违纪行为。</w:t>
      </w:r>
    </w:p>
    <w:p w14:paraId="38E64063">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（五）发现对方在业务活动中有违反廉政规定的行为，有及时提醒对方纠正的权利和义务。</w:t>
      </w:r>
    </w:p>
    <w:p w14:paraId="2482D774">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（六）发现对方严重违反本合同义务条款的行为，有向其上级有关部门举报、建议给予处理并要求告知处理结果的权利。</w:t>
      </w:r>
    </w:p>
    <w:p w14:paraId="61C068CA">
      <w:pPr>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第二条甲方义务</w:t>
      </w:r>
    </w:p>
    <w:p w14:paraId="5552A610">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（一）甲方及其工作人员不得索要或接受乙方的礼金、有价证券和贵重要物品，不得在乙方报销任何应由甲方或个人支付的费用等。</w:t>
      </w:r>
    </w:p>
    <w:p w14:paraId="33B27634">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（二）甲方工作人员不得参加乙方安排的宴请或可能影响公正的其他宴请和娱乐活动。不得接受乙方提供的通讯工具、交通工具和高档办公用品等。</w:t>
      </w:r>
    </w:p>
    <w:p w14:paraId="164D5A51">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（三）甲方及其工作人员不得要求或者接受乙方为其住房装修、婚丧嫁娶活动、配偶子女的工作安排以及出国出境、旅游等提乙方便等。</w:t>
      </w:r>
    </w:p>
    <w:p w14:paraId="1E2839DB">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（四）甲方工作人员的配偶、子女不得从事与甲方工程有关的材料车辆供应、工程分包、劳务等经济活动等。</w:t>
      </w:r>
    </w:p>
    <w:p w14:paraId="5161EB7B">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（五）甲方及其工作人员不得以任何理由向乙方推荐分包单位，不得要求乙方购买合同规定外的材料和车辆。</w:t>
      </w:r>
    </w:p>
    <w:p w14:paraId="5E015EA9">
      <w:pPr>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第三条乙方义务</w:t>
      </w:r>
    </w:p>
    <w:p w14:paraId="67922185">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（一）乙方不得以任何理由向甲方及其工作人员行贿或馈赠礼金、有价证券、贵重礼品。</w:t>
      </w:r>
    </w:p>
    <w:p w14:paraId="3D2293DF">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（二）乙方不得以任何名义为甲方及其工作人员报销应由甲方单位或个人支付的任何费用。</w:t>
      </w:r>
    </w:p>
    <w:p w14:paraId="46EA8830">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（三）乙方不得以任何理由邀请甲方工作人员外出旅游或安排甲方工作人员参加宴请及娱乐活动。</w:t>
      </w:r>
    </w:p>
    <w:p w14:paraId="605A811A">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（四）乙方不得为甲方单位和个人购置或提供通讯工具、交通工具和高档办公用品等。</w:t>
      </w:r>
    </w:p>
    <w:p w14:paraId="61A68388">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（五）乙方及其工作人员应严格按规程办事，不得为谋取私利向工作人员非法行贿，私下串通，损害甲方利益。同时依法履行向甲方承诺的上述其他廉政义务。</w:t>
      </w:r>
    </w:p>
    <w:p w14:paraId="5E680AC6">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乙方如果发现甲方工作人员有违反廉政规定的行为，应向甲方组织或上级单位举报。甲方均不得找任何借口对乙方进行报复。甲方对举报属实或严格遵守廉政合同的乙方，在同等条件下给予承接后续工程的优先邀请投标权。</w:t>
      </w:r>
    </w:p>
    <w:p w14:paraId="0A5AF6FC">
      <w:pPr>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第四条违约责任</w:t>
      </w:r>
    </w:p>
    <w:p w14:paraId="608738CD">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（一）甲方及其工作人员违反本合同第一、二条，按管理权限，依据有关规定给予党纪、政纪或组织处理；涉嫌犯罪的，移交司法机关追究刑事责任；给乙方单位造成经济损失的，应予以赔偿。</w:t>
      </w:r>
    </w:p>
    <w:p w14:paraId="64323D22">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293B87A2">
      <w:pPr>
        <w:spacing w:line="40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第五条双方约定</w:t>
      </w:r>
    </w:p>
    <w:p w14:paraId="34FEEA08">
      <w:pPr>
        <w:spacing w:line="40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本合同由双方或双方上级单位的纪检监察部门负责监督执行。</w:t>
      </w:r>
    </w:p>
    <w:p w14:paraId="494C7E88">
      <w:pPr>
        <w:spacing w:line="400" w:lineRule="exact"/>
        <w:ind w:firstLine="482" w:firstLineChars="200"/>
        <w:rPr>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第六条</w:t>
      </w:r>
      <w:r>
        <w:rPr>
          <w:rFonts w:hint="eastAsia"/>
          <w:color w:val="000000" w:themeColor="text1"/>
          <w:sz w:val="24"/>
          <w14:textFill>
            <w14:solidFill>
              <w14:schemeClr w14:val="tx1"/>
            </w14:solidFill>
          </w14:textFill>
        </w:rPr>
        <w:t>本合同作为</w:t>
      </w:r>
      <w:r>
        <w:rPr>
          <w:rFonts w:hint="eastAsia"/>
          <w:b/>
          <w:color w:val="000000" w:themeColor="text1"/>
          <w:sz w:val="24"/>
          <w14:textFill>
            <w14:solidFill>
              <w14:schemeClr w14:val="tx1"/>
            </w14:solidFill>
          </w14:textFill>
        </w:rPr>
        <w:t>《</w:t>
      </w:r>
      <w:r>
        <w:rPr>
          <w:rFonts w:hint="eastAsia"/>
          <w:b/>
          <w:color w:val="000000" w:themeColor="text1"/>
          <w:sz w:val="24"/>
          <w:lang w:eastAsia="zh-CN"/>
          <w14:textFill>
            <w14:solidFill>
              <w14:schemeClr w14:val="tx1"/>
            </w14:solidFill>
          </w14:textFill>
        </w:rPr>
        <w:t>2026年隧道检测车租赁及技术服务</w:t>
      </w:r>
      <w:r>
        <w:rPr>
          <w:rFonts w:hint="eastAsia"/>
          <w:b/>
          <w:color w:val="000000" w:themeColor="text1"/>
          <w:sz w:val="24"/>
          <w14:textFill>
            <w14:solidFill>
              <w14:schemeClr w14:val="tx1"/>
            </w14:solidFill>
          </w14:textFill>
        </w:rPr>
        <w:t>（第一批）合同》</w:t>
      </w:r>
      <w:r>
        <w:rPr>
          <w:rFonts w:hint="eastAsia"/>
          <w:color w:val="000000" w:themeColor="text1"/>
          <w:sz w:val="24"/>
          <w14:textFill>
            <w14:solidFill>
              <w14:schemeClr w14:val="tx1"/>
            </w14:solidFill>
          </w14:textFill>
        </w:rPr>
        <w:t>的附件，具有同等的法律效力，经合同双方签署立即生效。</w:t>
      </w:r>
    </w:p>
    <w:p w14:paraId="23F2F231">
      <w:pPr>
        <w:spacing w:line="400" w:lineRule="exact"/>
        <w:ind w:firstLine="482" w:firstLineChars="200"/>
        <w:textAlignment w:val="baseline"/>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第七条</w:t>
      </w:r>
      <w:r>
        <w:rPr>
          <w:rFonts w:ascii="宋体" w:hAnsi="宋体"/>
          <w:color w:val="000000" w:themeColor="text1"/>
          <w:sz w:val="24"/>
          <w14:textFill>
            <w14:solidFill>
              <w14:schemeClr w14:val="tx1"/>
            </w14:solidFill>
          </w14:textFill>
        </w:rPr>
        <w:t>本合同一式</w:t>
      </w:r>
      <w:r>
        <w:rPr>
          <w:rFonts w:hint="eastAsia" w:ascii="宋体" w:hAnsi="宋体"/>
          <w:b/>
          <w:bCs/>
          <w:color w:val="000000" w:themeColor="text1"/>
          <w:sz w:val="24"/>
          <w:u w:val="single"/>
          <w14:textFill>
            <w14:solidFill>
              <w14:schemeClr w14:val="tx1"/>
            </w14:solidFill>
          </w14:textFill>
        </w:rPr>
        <w:t>肆</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贰</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贰</w:t>
      </w:r>
      <w:r>
        <w:rPr>
          <w:rFonts w:ascii="宋体" w:hAnsi="宋体"/>
          <w:color w:val="000000" w:themeColor="text1"/>
          <w:sz w:val="24"/>
          <w14:textFill>
            <w14:solidFill>
              <w14:schemeClr w14:val="tx1"/>
            </w14:solidFill>
          </w14:textFill>
        </w:rPr>
        <w:t>份</w:t>
      </w:r>
      <w:r>
        <w:rPr>
          <w:rFonts w:hint="eastAsia" w:ascii="宋体"/>
          <w:color w:val="000000" w:themeColor="text1"/>
          <w:sz w:val="24"/>
          <w14:textFill>
            <w14:solidFill>
              <w14:schemeClr w14:val="tx1"/>
            </w14:solidFill>
          </w14:textFill>
        </w:rPr>
        <w:t>；具有同等法律效力；自双方签字盖章后生效，甲乙双方</w:t>
      </w:r>
      <w:r>
        <w:rPr>
          <w:rFonts w:hint="eastAsia" w:ascii="宋体" w:hAnsi="宋体"/>
          <w:color w:val="000000" w:themeColor="text1"/>
          <w:sz w:val="24"/>
          <w14:textFill>
            <w14:solidFill>
              <w14:schemeClr w14:val="tx1"/>
            </w14:solidFill>
          </w14:textFill>
        </w:rPr>
        <w:t>履行合同全部义务、结算价款支付完毕后，本合同即告终止。</w:t>
      </w:r>
    </w:p>
    <w:p w14:paraId="7DDDF425">
      <w:pPr>
        <w:spacing w:line="520" w:lineRule="exact"/>
        <w:textAlignment w:val="baseline"/>
        <w:rPr>
          <w:rFonts w:ascii="宋体" w:hAnsi="宋体"/>
          <w:color w:val="000000" w:themeColor="text1"/>
          <w:sz w:val="24"/>
          <w14:textFill>
            <w14:solidFill>
              <w14:schemeClr w14:val="tx1"/>
            </w14:solidFill>
          </w14:textFill>
        </w:rPr>
      </w:pPr>
    </w:p>
    <w:p w14:paraId="7348E5E5">
      <w:pPr>
        <w:spacing w:line="520" w:lineRule="exact"/>
        <w:textAlignment w:val="baseline"/>
        <w:rPr>
          <w:rFonts w:ascii="宋体" w:hAnsi="宋体"/>
          <w:color w:val="000000" w:themeColor="text1"/>
          <w:sz w:val="24"/>
          <w14:textFill>
            <w14:solidFill>
              <w14:schemeClr w14:val="tx1"/>
            </w14:solidFill>
          </w14:textFill>
        </w:rPr>
      </w:pPr>
    </w:p>
    <w:p w14:paraId="73EB159F">
      <w:pPr>
        <w:spacing w:line="520" w:lineRule="exact"/>
        <w:textAlignment w:val="baseline"/>
        <w:rPr>
          <w:rFonts w:ascii="宋体" w:hAnsi="宋体"/>
          <w:color w:val="000000" w:themeColor="text1"/>
          <w:sz w:val="24"/>
          <w14:textFill>
            <w14:solidFill>
              <w14:schemeClr w14:val="tx1"/>
            </w14:solidFill>
          </w14:textFill>
        </w:rPr>
      </w:pPr>
    </w:p>
    <w:p w14:paraId="6D1B4164">
      <w:pPr>
        <w:spacing w:line="520" w:lineRule="exact"/>
        <w:textAlignment w:val="baseline"/>
        <w:rPr>
          <w:rFonts w:ascii="宋体" w:hAnsi="宋体"/>
          <w:color w:val="000000" w:themeColor="text1"/>
          <w:sz w:val="24"/>
          <w14:textFill>
            <w14:solidFill>
              <w14:schemeClr w14:val="tx1"/>
            </w14:solidFill>
          </w14:textFill>
        </w:rPr>
      </w:pPr>
    </w:p>
    <w:p w14:paraId="42B73B99">
      <w:pPr>
        <w:spacing w:line="520" w:lineRule="exact"/>
        <w:textAlignment w:val="baseline"/>
        <w:rPr>
          <w:rFonts w:ascii="宋体" w:hAnsi="宋体"/>
          <w:color w:val="000000" w:themeColor="text1"/>
          <w:sz w:val="24"/>
          <w14:textFill>
            <w14:solidFill>
              <w14:schemeClr w14:val="tx1"/>
            </w14:solidFill>
          </w14:textFill>
        </w:rPr>
      </w:pPr>
    </w:p>
    <w:p w14:paraId="07BE6C99">
      <w:pPr>
        <w:spacing w:line="520" w:lineRule="exact"/>
        <w:textAlignment w:val="baseline"/>
        <w:rPr>
          <w:rFonts w:ascii="宋体" w:hAnsi="宋体"/>
          <w:color w:val="000000" w:themeColor="text1"/>
          <w:sz w:val="24"/>
          <w14:textFill>
            <w14:solidFill>
              <w14:schemeClr w14:val="tx1"/>
            </w14:solidFill>
          </w14:textFill>
        </w:rPr>
      </w:pPr>
    </w:p>
    <w:p w14:paraId="6E90C372">
      <w:pPr>
        <w:spacing w:line="520" w:lineRule="exac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甲方：（公章）                          乙方：（公章）</w:t>
      </w:r>
    </w:p>
    <w:p w14:paraId="64D2A25A">
      <w:pPr>
        <w:spacing w:line="520" w:lineRule="exact"/>
        <w:textAlignment w:val="baseline"/>
        <w:rPr>
          <w:rFonts w:ascii="宋体" w:hAnsi="宋体"/>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 xml:space="preserve">重庆高速工程检测有限公司 </w:t>
      </w:r>
    </w:p>
    <w:p w14:paraId="77F6A3C6">
      <w:pPr>
        <w:spacing w:line="520" w:lineRule="exact"/>
        <w:textAlignment w:val="baseline"/>
        <w:rPr>
          <w:rFonts w:ascii="宋体" w:hAnsi="宋体"/>
          <w:color w:val="000000" w:themeColor="text1"/>
          <w:sz w:val="24"/>
          <w14:textFill>
            <w14:solidFill>
              <w14:schemeClr w14:val="tx1"/>
            </w14:solidFill>
          </w14:textFill>
        </w:rPr>
      </w:pPr>
    </w:p>
    <w:p w14:paraId="1DF4AF46">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23D62E8B">
      <w:pPr>
        <w:spacing w:line="520" w:lineRule="exac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或授权代表：                           或授权代表：</w:t>
      </w:r>
    </w:p>
    <w:p w14:paraId="26F61200">
      <w:pPr>
        <w:spacing w:line="520" w:lineRule="exact"/>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部门负责人：</w:t>
      </w:r>
    </w:p>
    <w:p w14:paraId="668B9DDF">
      <w:pPr>
        <w:widowControl/>
        <w:spacing w:line="520" w:lineRule="exact"/>
        <w:ind w:left="265" w:leftChars="12" w:hanging="240" w:hangingChars="100"/>
        <w:jc w:val="left"/>
        <w:textAlignment w:val="baseline"/>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经办人：                               经办人：</w:t>
      </w:r>
    </w:p>
    <w:p w14:paraId="0D2A1164">
      <w:pPr>
        <w:widowControl/>
        <w:spacing w:line="520" w:lineRule="exact"/>
        <w:jc w:val="left"/>
        <w:textAlignment w:val="baseline"/>
        <w:rPr>
          <w:color w:val="000000" w:themeColor="text1"/>
          <w:sz w:val="24"/>
          <w14:textFill>
            <w14:solidFill>
              <w14:schemeClr w14:val="tx1"/>
            </w14:solidFill>
          </w14:textFill>
        </w:rPr>
      </w:pPr>
    </w:p>
    <w:p w14:paraId="4B279AB9">
      <w:pPr>
        <w:spacing w:line="520" w:lineRule="exact"/>
        <w:rPr>
          <w:rFonts w:ascii="宋体" w:hAnsi="宋体" w:cs="宋体"/>
          <w:color w:val="000000" w:themeColor="text1"/>
          <w:sz w:val="24"/>
          <w:szCs w:val="24"/>
          <w14:textFill>
            <w14:solidFill>
              <w14:schemeClr w14:val="tx1"/>
            </w14:solidFill>
          </w14:textFill>
        </w:rPr>
        <w:sectPr>
          <w:pgSz w:w="11906" w:h="16838"/>
          <w:pgMar w:top="1361" w:right="1587" w:bottom="1179" w:left="1587" w:header="794" w:footer="794" w:gutter="0"/>
          <w:cols w:space="720" w:num="1"/>
          <w:docGrid w:type="lines" w:linePitch="312" w:charSpace="0"/>
        </w:sectPr>
      </w:pPr>
      <w:r>
        <w:rPr>
          <w:rFonts w:hint="eastAsia"/>
          <w:color w:val="000000" w:themeColor="text1"/>
          <w:sz w:val="24"/>
          <w14:textFill>
            <w14:solidFill>
              <w14:schemeClr w14:val="tx1"/>
            </w14:solidFill>
          </w14:textFill>
        </w:rPr>
        <w:t>日期：    年   月   日                 日期：    年    月    日</w:t>
      </w:r>
    </w:p>
    <w:p w14:paraId="257C4E1B">
      <w:pPr>
        <w:spacing w:line="360" w:lineRule="auto"/>
        <w:ind w:left="2715" w:hanging="2715" w:hangingChars="845"/>
        <w:jc w:val="center"/>
        <w:outlineLvl w:val="0"/>
        <w:rPr>
          <w:rFonts w:ascii="宋体" w:hAnsi="宋体"/>
          <w:b/>
          <w:color w:val="000000" w:themeColor="text1"/>
          <w:sz w:val="32"/>
          <w:szCs w:val="36"/>
          <w14:textFill>
            <w14:solidFill>
              <w14:schemeClr w14:val="tx1"/>
            </w14:solidFill>
          </w14:textFill>
        </w:rPr>
      </w:pPr>
      <w:r>
        <w:rPr>
          <w:rFonts w:hint="eastAsia" w:ascii="宋体" w:hAnsi="宋体"/>
          <w:b/>
          <w:color w:val="000000" w:themeColor="text1"/>
          <w:sz w:val="32"/>
          <w:szCs w:val="36"/>
          <w:lang w:eastAsia="zh-CN"/>
          <w14:textFill>
            <w14:solidFill>
              <w14:schemeClr w14:val="tx1"/>
            </w14:solidFill>
          </w14:textFill>
        </w:rPr>
        <w:t>2026年隧道检测车租赁及技术服务</w:t>
      </w:r>
      <w:r>
        <w:rPr>
          <w:rFonts w:hint="eastAsia" w:ascii="宋体" w:hAnsi="宋体"/>
          <w:b/>
          <w:color w:val="000000" w:themeColor="text1"/>
          <w:sz w:val="32"/>
          <w:szCs w:val="36"/>
          <w14:textFill>
            <w14:solidFill>
              <w14:schemeClr w14:val="tx1"/>
            </w14:solidFill>
          </w14:textFill>
        </w:rPr>
        <w:t>（第一批）</w:t>
      </w:r>
    </w:p>
    <w:p w14:paraId="753982D2">
      <w:pPr>
        <w:spacing w:line="360" w:lineRule="auto"/>
        <w:ind w:left="2715" w:hanging="2715" w:hangingChars="845"/>
        <w:jc w:val="center"/>
        <w:outlineLvl w:val="0"/>
        <w:rPr>
          <w:rFonts w:ascii="宋体" w:hAnsi="宋体"/>
          <w:b/>
          <w:color w:val="000000" w:themeColor="text1"/>
          <w:sz w:val="32"/>
          <w:szCs w:val="36"/>
          <w14:textFill>
            <w14:solidFill>
              <w14:schemeClr w14:val="tx1"/>
            </w14:solidFill>
          </w14:textFill>
        </w:rPr>
      </w:pPr>
      <w:r>
        <w:rPr>
          <w:rFonts w:hint="eastAsia" w:ascii="宋体" w:hAnsi="宋体"/>
          <w:b/>
          <w:color w:val="000000" w:themeColor="text1"/>
          <w:kern w:val="0"/>
          <w:sz w:val="32"/>
          <w:szCs w:val="36"/>
          <w14:textFill>
            <w14:solidFill>
              <w14:schemeClr w14:val="tx1"/>
            </w14:solidFill>
          </w14:textFill>
        </w:rPr>
        <w:t>安全生产合同</w:t>
      </w:r>
    </w:p>
    <w:p w14:paraId="64D3D374">
      <w:pPr>
        <w:spacing w:line="348" w:lineRule="auto"/>
        <w:ind w:firstLine="480" w:firstLineChars="200"/>
        <w:textAlignment w:val="baseline"/>
        <w:rPr>
          <w:color w:val="000000" w:themeColor="text1"/>
          <w:sz w:val="28"/>
          <w14:textFill>
            <w14:solidFill>
              <w14:schemeClr w14:val="tx1"/>
            </w14:solidFill>
          </w14:textFill>
        </w:rPr>
      </w:pPr>
      <w:r>
        <w:rPr>
          <w:rFonts w:hint="eastAsia"/>
          <w:color w:val="000000" w:themeColor="text1"/>
          <w:sz w:val="24"/>
          <w14:textFill>
            <w14:solidFill>
              <w14:schemeClr w14:val="tx1"/>
            </w14:solidFill>
          </w14:textFill>
        </w:rPr>
        <w:t>重庆高速工程检测有限公司为在</w:t>
      </w:r>
      <w:r>
        <w:rPr>
          <w:rFonts w:hint="eastAsia"/>
          <w:b/>
          <w:bCs/>
          <w:color w:val="000000" w:themeColor="text1"/>
          <w:sz w:val="24"/>
          <w:u w:val="single"/>
          <w:lang w:eastAsia="zh-CN"/>
          <w14:textFill>
            <w14:solidFill>
              <w14:schemeClr w14:val="tx1"/>
            </w14:solidFill>
          </w14:textFill>
        </w:rPr>
        <w:t>2026年隧道检测车租赁及技术服务</w:t>
      </w:r>
      <w:r>
        <w:rPr>
          <w:rFonts w:hint="eastAsia"/>
          <w:b/>
          <w:bCs/>
          <w:color w:val="000000" w:themeColor="text1"/>
          <w:sz w:val="24"/>
          <w:u w:val="single"/>
          <w14:textFill>
            <w14:solidFill>
              <w14:schemeClr w14:val="tx1"/>
            </w14:solidFill>
          </w14:textFill>
        </w:rPr>
        <w:t>（第一批）</w:t>
      </w:r>
      <w:r>
        <w:rPr>
          <w:rFonts w:hint="eastAsia"/>
          <w:color w:val="000000" w:themeColor="text1"/>
          <w:sz w:val="24"/>
          <w14:textFill>
            <w14:solidFill>
              <w14:schemeClr w14:val="tx1"/>
            </w14:solidFill>
          </w14:textFill>
        </w:rPr>
        <w:t>实施过程中创造安全、高效的检测环境，切实搞好本项目的安全管理工作，发包单位</w:t>
      </w:r>
      <w:r>
        <w:rPr>
          <w:rFonts w:hint="eastAsia"/>
          <w:b/>
          <w:color w:val="000000" w:themeColor="text1"/>
          <w:sz w:val="24"/>
          <w:u w:val="single"/>
          <w14:textFill>
            <w14:solidFill>
              <w14:schemeClr w14:val="tx1"/>
            </w14:solidFill>
          </w14:textFill>
        </w:rPr>
        <w:t>重庆高速工程检测有限公司</w:t>
      </w:r>
      <w:r>
        <w:rPr>
          <w:rFonts w:hint="eastAsia"/>
          <w:color w:val="000000" w:themeColor="text1"/>
          <w:sz w:val="24"/>
          <w14:textFill>
            <w14:solidFill>
              <w14:schemeClr w14:val="tx1"/>
            </w14:solidFill>
          </w14:textFill>
        </w:rPr>
        <w:t>（以下简称甲方）与承包单位</w:t>
      </w:r>
      <w:r>
        <w:rPr>
          <w:rFonts w:hint="eastAsia"/>
          <w:b/>
          <w:bCs/>
          <w:color w:val="000000" w:themeColor="text1"/>
          <w:sz w:val="24"/>
          <w:szCs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（以下简称乙方）特此签订如下安全生产合同：</w:t>
      </w:r>
    </w:p>
    <w:p w14:paraId="2F40F870">
      <w:pPr>
        <w:spacing w:line="348"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一、甲方职责</w:t>
      </w:r>
    </w:p>
    <w:p w14:paraId="45E78FD6">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1、严格遵守并贯彻执行国家有关安全生产法律法规规定，认真履行安全监督管理职责。</w:t>
      </w:r>
    </w:p>
    <w:p w14:paraId="463E802F">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2、按照“安全第一、预防为主、综合治理”和 “谁主管，谁负责”的原则进行安全生产管理，生产与安全工作同时计划、布置、检查、总结和评比。</w:t>
      </w:r>
    </w:p>
    <w:p w14:paraId="54E47D43">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3、定期召开安全生产调度会，及时传达中央及地方有关安全生产的精神，协调解决乙方安全生产过程中出现的有关问题。</w:t>
      </w:r>
    </w:p>
    <w:p w14:paraId="10D622D9">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4、在检测前组织对乙方管理人员进行有关高速公路检测作业的安全知识教育培训和安全技术交底，监督检查乙方对其作业人员的安全教育培训和安全技术交底工作，审核乙方提交的乙方人员的资格资料。</w:t>
      </w:r>
    </w:p>
    <w:p w14:paraId="06C21A74">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5、不定期组织人员对乙方人员和车辆运输安全管理、安全生产行为、安全措施落实情况进行检查，监督乙方及时处理和整改发现的各种安全隐患，督促各项安全措施落到实处。</w:t>
      </w:r>
    </w:p>
    <w:p w14:paraId="492B386F">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6、对乙方违反安全生产的各种违法违纪行为，有权予以制止并按照相关规定进行处理。</w:t>
      </w:r>
    </w:p>
    <w:p w14:paraId="0713E53B">
      <w:pPr>
        <w:spacing w:line="348" w:lineRule="auto"/>
        <w:ind w:firstLine="480" w:firstLineChars="20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7、甲方的上述职责不代表甲方对乙方的合同履行行为做任何安全方面明示或暗示的保证，乙方仍应自行负责处理并自行承担合同履行过程中可能出现的一切安全事故责任与风险等。</w:t>
      </w:r>
    </w:p>
    <w:p w14:paraId="3F3C3774">
      <w:pPr>
        <w:spacing w:line="348" w:lineRule="auto"/>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二、乙方职责</w:t>
      </w:r>
    </w:p>
    <w:p w14:paraId="06F05DFF">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1、严格遵守并贯彻执行国家有关安全生产的法律法规，认真履行安全管理职责。乙方作为承包方，是项目实施安全生产的责任主体，在项目实施过程中所发生的一切安全事故，由乙方承担全部责任。</w:t>
      </w:r>
    </w:p>
    <w:p w14:paraId="48FC8D4A">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2、严格遵守和执行包括交通部颁发的《营运高速公路施工管理规范》（DB50/T 959-2019）《公路工程施工安全技术规程》(JTGF90—2015)和《公路养护安全作业规程》(JTGH30—2015)、《公路筑养路机械操作规程》、《重庆市高速公路养护施工作业安全管理规定》、《重庆市营运高速公路施工标准化管理规定》以及《养护工程项目安全文明施工管理办法》等在内的有关规定，认真执行工程承包合同以及本合同中的有关安全要求。</w:t>
      </w:r>
    </w:p>
    <w:p w14:paraId="654ED389">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5153E66A">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建立健全安全生产责任制。从派往项目实施的项目负责人到作业人员的安全生产保障体系必须做到纵向到底，横向到边，一环不漏，将安全生产责任制落到每个人或岗位上，做到安全生产人人有责。项目负责人是安全生产的第一责任人，安全管理人员为直接责任人。项目应设置的安全管理组织机构，配备项目安全管理人员，专门负责现场人员、车辆、交通标志标牌、交通疏导、治安保卫等安全管理工作，有效防止各种安全事故发生。现场安全管理机构，依职责有权按有关规定发布指令，并采取保护性措施防止安全事故的发生；同时，服从甲方的安全监督管理。</w:t>
      </w:r>
    </w:p>
    <w:p w14:paraId="3EDA92D5">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5、乙方作业人员不得违章作业、冒险作业和疲劳作业，乙方应根据施工现场实际情况，采取各种合理的预防措施，防止其作业人员发生任何违法、违禁、暴力或妨碍治安的行为。</w:t>
      </w:r>
    </w:p>
    <w:p w14:paraId="054C1E99">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乙方进入高速公路作业，必须按规定穿戴防护用品。项目负责人和安全管理人员应随时检查劳动防护用品的穿戴情况，不按规定穿戴防护用品的人员不得上岗。因违规造成的安全事故，由乙方承担一切法律责任、赔偿全部经济损失。</w:t>
      </w:r>
    </w:p>
    <w:p w14:paraId="4CFA7C7F">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乙方参加本项目的作业人员，必须接受安全技术教育及培训，熟知和遵守本岗位的各项安全技术操作规程，合格者方准上岗操作。特种作业人员（如有）须按国家有关规定持证上岗。乙方必须保证相关人员所持证照在合同和工期内持续有效。项目实施过程中如出现有关人员无证操作、证照失效等的，所发生的安全事故，由乙方承担一切法律责任、赔偿全部经济损失。</w:t>
      </w:r>
    </w:p>
    <w:p w14:paraId="2B7AAA38">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项目使用车辆应定期检查，必须符合《道路安全法》、《车辆安全技术规定》等规定，并有管理人员的检查签字记录，保证其始终处于良好完备状态。不合格的车辆和劳动保护用品严禁使用。因违反相关规定和要求，所造成的安全事故，由乙方承担一切法律责任、赔偿全部经济损失。</w:t>
      </w:r>
    </w:p>
    <w:p w14:paraId="4525D761">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794A03E8">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乙方合同单价中已包含安全责任保险费用。乙方如在工作中发生的上路作业人员伤、亡事故，或违反安全施工，野蛮操作等造成的人员伤亡和车辆财产损失均由乙方自行承担全部法律责任和经济责任，甲方概不负责。</w:t>
      </w:r>
    </w:p>
    <w:p w14:paraId="2FA81DC3">
      <w:pPr>
        <w:spacing w:line="348"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乙方必须按照本项目特点，组织制定项目实施中的生产安全事故应急救援预案。如果发生安全事故，应按照《生产安全事故报告和调查处理条例》以及其他有关规定，及时上报有关部门，并坚持“四不放过”的原则，严肃处理相关责任人。</w:t>
      </w:r>
    </w:p>
    <w:p w14:paraId="38A918A2">
      <w:pPr>
        <w:spacing w:line="348" w:lineRule="auto"/>
        <w:ind w:firstLine="480" w:firstLineChars="200"/>
        <w:textAlignment w:val="baseline"/>
        <w:outlineLvl w:val="0"/>
        <w:rPr>
          <w:rFonts w:ascii="宋体" w:hAnsi="宋体" w:cs="宋体"/>
          <w:b/>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2、乙方指定项目现场安全责任人：</w:t>
      </w:r>
    </w:p>
    <w:p w14:paraId="2F6B2552">
      <w:pPr>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三、保险管理</w:t>
      </w:r>
    </w:p>
    <w:p w14:paraId="5C70BCC9">
      <w:pPr>
        <w:spacing w:line="348"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为加强对乙方人员保险管理，乙方必须按照国家《劳动法》、《劳动合同法》等相关规定规范用工并为从业人员购买社保（含工伤保险）及其他商业险种。乙方商业险种应按照甲方要求购买雇主责任险（保险额度为100万/人；附加医疗保险10万/人），并自行承担相应的保费。乙方雇主责任险的购买可自行选择保险公司，也可在甲方推荐的保险公司购买，并将保险购买情况报甲方备案。</w:t>
      </w:r>
    </w:p>
    <w:p w14:paraId="10352CF7">
      <w:pPr>
        <w:spacing w:line="348"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 若发生保险事故，由乙方自行承担事故处理、保险责任、保险理赔有关事宜及费用等工作。</w:t>
      </w:r>
    </w:p>
    <w:p w14:paraId="3F5BDB72">
      <w:pPr>
        <w:spacing w:line="348"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 乙方在项目开工前，须提前向甲方提供乙方从业人员保险名单（包括姓名、性别、身份证复印件）备案，并保证其真实合法有效。</w:t>
      </w:r>
    </w:p>
    <w:p w14:paraId="3FE41E40">
      <w:pPr>
        <w:spacing w:line="348"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 项目实施过程中，乙方从业人员如发生变更，乙方须及时将变更人员名单（包括进出人员姓名、性别、身份证复印件）提供给甲方备案，待乙方变更人员投保后方可进出现场检测作业。</w:t>
      </w:r>
    </w:p>
    <w:p w14:paraId="302679B2">
      <w:pPr>
        <w:spacing w:line="348"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 乙方从业人员未购买保险，严禁进入检测现场作业，如因乙方责任造成的一切后果均由乙方自行承担。</w:t>
      </w:r>
    </w:p>
    <w:p w14:paraId="50820A26">
      <w:pPr>
        <w:spacing w:line="348" w:lineRule="auto"/>
        <w:ind w:firstLine="480" w:firstLineChars="200"/>
        <w:textAlignment w:val="baseline"/>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 如因乙方违约，甲方可按照有关规定对乙方主张违约责任，并由乙方承担由此给甲方造成的一切损失及后果。</w:t>
      </w:r>
    </w:p>
    <w:p w14:paraId="29C120F0">
      <w:pPr>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四、违约责任</w:t>
      </w:r>
    </w:p>
    <w:p w14:paraId="06A2CCA2">
      <w:pPr>
        <w:spacing w:line="348" w:lineRule="auto"/>
        <w:ind w:firstLine="480" w:firstLineChars="200"/>
        <w:rPr>
          <w:rFonts w:hAnsi="楷体_GB2312" w:cs="楷体_GB2312"/>
          <w:color w:val="000000" w:themeColor="text1"/>
          <w:kern w:val="0"/>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hAnsi="楷体_GB2312" w:cs="楷体_GB2312"/>
          <w:color w:val="000000" w:themeColor="text1"/>
          <w:kern w:val="0"/>
          <w:sz w:val="24"/>
          <w14:textFill>
            <w14:solidFill>
              <w14:schemeClr w14:val="tx1"/>
            </w14:solidFill>
          </w14:textFill>
        </w:rPr>
        <w:t>本合同有效期内，</w:t>
      </w:r>
      <w:r>
        <w:rPr>
          <w:rFonts w:hint="eastAsia"/>
          <w:color w:val="000000" w:themeColor="text1"/>
          <w:sz w:val="24"/>
          <w14:textFill>
            <w14:solidFill>
              <w14:schemeClr w14:val="tx1"/>
            </w14:solidFill>
          </w14:textFill>
        </w:rPr>
        <w:t>如乙方违约，甲方依据《项目安全文明施工管理办法》有关条款对乙方给予违约处罚；</w:t>
      </w:r>
      <w:r>
        <w:rPr>
          <w:rFonts w:hint="eastAsia" w:hAnsi="楷体_GB2312" w:cs="楷体_GB2312"/>
          <w:color w:val="000000" w:themeColor="text1"/>
          <w:kern w:val="0"/>
          <w:sz w:val="24"/>
          <w14:textFill>
            <w14:solidFill>
              <w14:schemeClr w14:val="tx1"/>
            </w14:solidFill>
          </w14:textFill>
        </w:rPr>
        <w:t>因乙方原因造成安全事故的，由乙方承担全部责任。</w:t>
      </w:r>
    </w:p>
    <w:p w14:paraId="0A986698">
      <w:pPr>
        <w:spacing w:line="348" w:lineRule="auto"/>
        <w:ind w:firstLine="480" w:firstLineChars="200"/>
        <w:rPr>
          <w:rFonts w:hAnsi="楷体_GB2312" w:cs="楷体_GB2312"/>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rFonts w:hint="eastAsia" w:hAnsi="楷体_GB2312" w:cs="楷体_GB2312"/>
          <w:color w:val="000000" w:themeColor="text1"/>
          <w:kern w:val="0"/>
          <w:sz w:val="24"/>
          <w14:textFill>
            <w14:solidFill>
              <w14:schemeClr w14:val="tx1"/>
            </w14:solidFill>
          </w14:textFill>
        </w:rPr>
        <w:t>本合同有效期内，如因乙方或乙方工作人员过错给甲方造成损失，由乙方负责向甲方赔偿，甲方有权直接从乙方工程款中予以扣除。</w:t>
      </w:r>
    </w:p>
    <w:p w14:paraId="6EC21862">
      <w:pPr>
        <w:spacing w:line="348"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3、如因甲方或乙方违约造成安全事故，将依法按照国家有关法律法规进行处理。</w:t>
      </w:r>
    </w:p>
    <w:p w14:paraId="635E70EE">
      <w:pPr>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五、合同签约地：重庆市南岸区广阳镇垭口村垭新组34号。</w:t>
      </w:r>
    </w:p>
    <w:p w14:paraId="08B178CA">
      <w:pPr>
        <w:spacing w:line="348" w:lineRule="auto"/>
        <w:ind w:firstLine="600" w:firstLineChars="250"/>
        <w:textAlignment w:val="baseline"/>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本合同一式</w:t>
      </w:r>
      <w:r>
        <w:rPr>
          <w:rFonts w:hint="eastAsia" w:ascii="宋体" w:hAnsi="宋体"/>
          <w:b/>
          <w:bCs/>
          <w:color w:val="000000" w:themeColor="text1"/>
          <w:sz w:val="24"/>
          <w:u w:val="single"/>
          <w14:textFill>
            <w14:solidFill>
              <w14:schemeClr w14:val="tx1"/>
            </w14:solidFill>
          </w14:textFill>
        </w:rPr>
        <w:t>肆</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贰</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贰</w:t>
      </w:r>
      <w:r>
        <w:rPr>
          <w:rFonts w:ascii="宋体" w:hAnsi="宋体"/>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；由双方法定代表人或其授权代表签署与加盖公章后生效，全部工程竣工验收后终止。</w:t>
      </w:r>
    </w:p>
    <w:p w14:paraId="271D5208">
      <w:pPr>
        <w:spacing w:line="348" w:lineRule="auto"/>
        <w:textAlignment w:val="baseline"/>
        <w:rPr>
          <w:rFonts w:ascii="宋体" w:hAnsi="宋体"/>
          <w:color w:val="000000" w:themeColor="text1"/>
          <w:sz w:val="24"/>
          <w14:textFill>
            <w14:solidFill>
              <w14:schemeClr w14:val="tx1"/>
            </w14:solidFill>
          </w14:textFill>
        </w:rPr>
      </w:pPr>
    </w:p>
    <w:p w14:paraId="036AA868">
      <w:pPr>
        <w:spacing w:line="348"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甲方：（盖章）                          乙方：（盖章）</w:t>
      </w:r>
    </w:p>
    <w:p w14:paraId="493A2B2C">
      <w:pPr>
        <w:spacing w:line="348"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重庆高速工程检测有限公司       </w:t>
      </w:r>
    </w:p>
    <w:p w14:paraId="4D0BA9EA">
      <w:pPr>
        <w:spacing w:line="348"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                             法定代表人</w:t>
      </w:r>
    </w:p>
    <w:p w14:paraId="4DC963DF">
      <w:pPr>
        <w:spacing w:line="348"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或授权代表：                           或授权代表：                 </w:t>
      </w:r>
    </w:p>
    <w:p w14:paraId="7C028296">
      <w:pPr>
        <w:spacing w:line="360" w:lineRule="auto"/>
        <w:textAlignment w:val="baseline"/>
        <w:rPr>
          <w:rFonts w:ascii="宋体" w:hAnsi="宋体"/>
          <w:color w:val="000000" w:themeColor="text1"/>
          <w:sz w:val="24"/>
          <w14:textFill>
            <w14:solidFill>
              <w14:schemeClr w14:val="tx1"/>
            </w14:solidFill>
          </w14:textFill>
        </w:rPr>
      </w:pPr>
    </w:p>
    <w:p w14:paraId="55211C1B">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部门负责人：</w:t>
      </w:r>
    </w:p>
    <w:p w14:paraId="31364035">
      <w:pPr>
        <w:spacing w:line="360" w:lineRule="auto"/>
        <w:textAlignment w:val="baseline"/>
        <w:rPr>
          <w:rFonts w:ascii="宋体" w:hAnsi="宋体"/>
          <w:color w:val="000000" w:themeColor="text1"/>
          <w:sz w:val="24"/>
          <w14:textFill>
            <w14:solidFill>
              <w14:schemeClr w14:val="tx1"/>
            </w14:solidFill>
          </w14:textFill>
        </w:rPr>
      </w:pPr>
    </w:p>
    <w:p w14:paraId="34891CCB">
      <w:pPr>
        <w:spacing w:line="360" w:lineRule="auto"/>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经办人：                               经办人： </w:t>
      </w:r>
    </w:p>
    <w:p w14:paraId="75E991FB">
      <w:pPr>
        <w:pStyle w:val="34"/>
        <w:rPr>
          <w:rFonts w:ascii="宋体" w:hAnsi="宋体" w:eastAsia="宋体" w:cs="Times New Roman"/>
          <w:color w:val="000000" w:themeColor="text1"/>
          <w:kern w:val="2"/>
          <w:szCs w:val="20"/>
          <w14:textFill>
            <w14:solidFill>
              <w14:schemeClr w14:val="tx1"/>
            </w14:solidFill>
          </w14:textFill>
        </w:rPr>
      </w:pPr>
    </w:p>
    <w:p w14:paraId="04D43498">
      <w:pPr>
        <w:pStyle w:val="34"/>
        <w:rPr>
          <w:rFonts w:ascii="宋体" w:hAnsi="宋体" w:eastAsia="宋体" w:cs="Times New Roman"/>
          <w:color w:val="000000" w:themeColor="text1"/>
          <w:kern w:val="2"/>
          <w:szCs w:val="20"/>
          <w14:textFill>
            <w14:solidFill>
              <w14:schemeClr w14:val="tx1"/>
            </w14:solidFill>
          </w14:textFill>
        </w:rPr>
      </w:pPr>
      <w:r>
        <w:rPr>
          <w:rFonts w:hint="eastAsia" w:ascii="宋体" w:hAnsi="宋体" w:eastAsia="宋体" w:cs="Times New Roman"/>
          <w:color w:val="000000" w:themeColor="text1"/>
          <w:kern w:val="2"/>
          <w:szCs w:val="20"/>
          <w14:textFill>
            <w14:solidFill>
              <w14:schemeClr w14:val="tx1"/>
            </w14:solidFill>
          </w14:textFill>
        </w:rPr>
        <w:t>日期：    年   月   日                 日期：    年    月   日</w:t>
      </w:r>
    </w:p>
    <w:p w14:paraId="7122D154">
      <w:pPr>
        <w:pStyle w:val="34"/>
        <w:rPr>
          <w:rFonts w:ascii="宋体" w:hAnsi="宋体" w:eastAsia="宋体" w:cs="Times New Roman"/>
          <w:color w:val="000000" w:themeColor="text1"/>
          <w:kern w:val="2"/>
          <w:szCs w:val="20"/>
          <w14:textFill>
            <w14:solidFill>
              <w14:schemeClr w14:val="tx1"/>
            </w14:solidFill>
          </w14:textFill>
        </w:rPr>
      </w:pPr>
    </w:p>
    <w:p w14:paraId="31C708E8">
      <w:pPr>
        <w:pStyle w:val="34"/>
        <w:rPr>
          <w:rFonts w:ascii="宋体" w:hAnsi="宋体" w:eastAsia="宋体" w:cs="Times New Roman"/>
          <w:color w:val="000000" w:themeColor="text1"/>
          <w:kern w:val="2"/>
          <w:szCs w:val="20"/>
          <w14:textFill>
            <w14:solidFill>
              <w14:schemeClr w14:val="tx1"/>
            </w14:solidFill>
          </w14:textFill>
        </w:rPr>
      </w:pPr>
    </w:p>
    <w:p w14:paraId="2CC36E5A">
      <w:pPr>
        <w:pStyle w:val="34"/>
        <w:rPr>
          <w:rFonts w:ascii="宋体" w:hAnsi="宋体" w:eastAsia="宋体" w:cs="Times New Roman"/>
          <w:color w:val="000000" w:themeColor="text1"/>
          <w:kern w:val="2"/>
          <w:szCs w:val="20"/>
          <w14:textFill>
            <w14:solidFill>
              <w14:schemeClr w14:val="tx1"/>
            </w14:solidFill>
          </w14:textFill>
        </w:rPr>
      </w:pPr>
    </w:p>
    <w:p w14:paraId="5CFEC010">
      <w:pPr>
        <w:pStyle w:val="34"/>
        <w:rPr>
          <w:rFonts w:ascii="宋体" w:hAnsi="宋体" w:eastAsia="宋体" w:cs="Times New Roman"/>
          <w:color w:val="000000" w:themeColor="text1"/>
          <w:kern w:val="2"/>
          <w:szCs w:val="20"/>
          <w14:textFill>
            <w14:solidFill>
              <w14:schemeClr w14:val="tx1"/>
            </w14:solidFill>
          </w14:textFill>
        </w:rPr>
      </w:pPr>
    </w:p>
    <w:p w14:paraId="3748961E">
      <w:pPr>
        <w:pStyle w:val="34"/>
        <w:rPr>
          <w:rFonts w:ascii="宋体" w:hAnsi="宋体" w:eastAsia="宋体" w:cs="Times New Roman"/>
          <w:color w:val="000000" w:themeColor="text1"/>
          <w:kern w:val="2"/>
          <w:szCs w:val="20"/>
          <w14:textFill>
            <w14:solidFill>
              <w14:schemeClr w14:val="tx1"/>
            </w14:solidFill>
          </w14:textFill>
        </w:rPr>
      </w:pPr>
    </w:p>
    <w:p w14:paraId="4937298C">
      <w:pPr>
        <w:jc w:val="center"/>
        <w:rPr>
          <w:rFonts w:ascii="宋体" w:hAnsi="宋体" w:cs="宋体"/>
          <w:b/>
          <w:color w:val="000000" w:themeColor="text1"/>
          <w:sz w:val="36"/>
          <w14:textFill>
            <w14:solidFill>
              <w14:schemeClr w14:val="tx1"/>
            </w14:solidFill>
          </w14:textFill>
        </w:rPr>
      </w:pPr>
    </w:p>
    <w:p w14:paraId="30A5B8B8">
      <w:pPr>
        <w:jc w:val="center"/>
        <w:rPr>
          <w:rFonts w:ascii="宋体" w:hAnsi="宋体" w:cs="宋体"/>
          <w:b/>
          <w:color w:val="000000" w:themeColor="text1"/>
          <w:sz w:val="36"/>
          <w14:textFill>
            <w14:solidFill>
              <w14:schemeClr w14:val="tx1"/>
            </w14:solidFill>
          </w14:textFill>
        </w:rPr>
      </w:pPr>
    </w:p>
    <w:p w14:paraId="2815B466">
      <w:pPr>
        <w:jc w:val="center"/>
        <w:rPr>
          <w:rFonts w:ascii="宋体" w:hAnsi="宋体" w:cs="宋体"/>
          <w:b/>
          <w:color w:val="000000" w:themeColor="text1"/>
          <w:sz w:val="36"/>
          <w14:textFill>
            <w14:solidFill>
              <w14:schemeClr w14:val="tx1"/>
            </w14:solidFill>
          </w14:textFill>
        </w:rPr>
      </w:pPr>
    </w:p>
    <w:p w14:paraId="64666F23">
      <w:pPr>
        <w:jc w:val="center"/>
        <w:rPr>
          <w:rFonts w:ascii="宋体" w:hAnsi="宋体" w:cs="宋体"/>
          <w:b/>
          <w:color w:val="000000" w:themeColor="text1"/>
          <w:sz w:val="36"/>
          <w14:textFill>
            <w14:solidFill>
              <w14:schemeClr w14:val="tx1"/>
            </w14:solidFill>
          </w14:textFill>
        </w:rPr>
      </w:pPr>
    </w:p>
    <w:p w14:paraId="7AFAA270">
      <w:pPr>
        <w:jc w:val="center"/>
        <w:rPr>
          <w:rFonts w:ascii="宋体" w:hAnsi="宋体" w:cs="宋体"/>
          <w:b/>
          <w:color w:val="000000" w:themeColor="text1"/>
          <w:sz w:val="36"/>
          <w14:textFill>
            <w14:solidFill>
              <w14:schemeClr w14:val="tx1"/>
            </w14:solidFill>
          </w14:textFill>
        </w:rPr>
      </w:pPr>
    </w:p>
    <w:p w14:paraId="1CFAB3CA">
      <w:pPr>
        <w:spacing w:line="360" w:lineRule="auto"/>
        <w:ind w:left="2715" w:hanging="2715" w:hangingChars="845"/>
        <w:jc w:val="center"/>
        <w:outlineLvl w:val="0"/>
        <w:rPr>
          <w:rFonts w:ascii="宋体" w:hAnsi="宋体"/>
          <w:b/>
          <w:color w:val="000000" w:themeColor="text1"/>
          <w:sz w:val="32"/>
          <w:szCs w:val="36"/>
          <w14:textFill>
            <w14:solidFill>
              <w14:schemeClr w14:val="tx1"/>
            </w14:solidFill>
          </w14:textFill>
        </w:rPr>
      </w:pPr>
      <w:r>
        <w:rPr>
          <w:rFonts w:hint="eastAsia" w:ascii="宋体" w:hAnsi="宋体"/>
          <w:b/>
          <w:color w:val="000000" w:themeColor="text1"/>
          <w:sz w:val="32"/>
          <w:szCs w:val="36"/>
          <w:lang w:eastAsia="zh-CN"/>
          <w14:textFill>
            <w14:solidFill>
              <w14:schemeClr w14:val="tx1"/>
            </w14:solidFill>
          </w14:textFill>
        </w:rPr>
        <w:t>2026年隧道检测车租赁及技术服务</w:t>
      </w:r>
      <w:r>
        <w:rPr>
          <w:rFonts w:hint="eastAsia" w:ascii="宋体" w:hAnsi="宋体"/>
          <w:b/>
          <w:color w:val="000000" w:themeColor="text1"/>
          <w:sz w:val="32"/>
          <w:szCs w:val="36"/>
          <w14:textFill>
            <w14:solidFill>
              <w14:schemeClr w14:val="tx1"/>
            </w14:solidFill>
          </w14:textFill>
        </w:rPr>
        <w:t>采购（第一批）</w:t>
      </w:r>
    </w:p>
    <w:p w14:paraId="7F996064">
      <w:pPr>
        <w:spacing w:line="580" w:lineRule="exact"/>
        <w:jc w:val="center"/>
        <w:outlineLvl w:val="1"/>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诚信合规协议</w:t>
      </w:r>
    </w:p>
    <w:p w14:paraId="4B15A197">
      <w:pPr>
        <w:spacing w:line="580" w:lineRule="exact"/>
        <w:jc w:val="center"/>
        <w:outlineLvl w:val="1"/>
        <w:rPr>
          <w:rFonts w:asciiTheme="minorEastAsia" w:hAnsiTheme="minorEastAsia" w:eastAsiaTheme="minorEastAsia" w:cstheme="minorEastAsia"/>
          <w:b/>
          <w:bCs/>
          <w:color w:val="000000"/>
          <w:sz w:val="32"/>
          <w:szCs w:val="32"/>
        </w:rPr>
      </w:pPr>
    </w:p>
    <w:p w14:paraId="3C72BE1C">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甲方：</w:t>
      </w:r>
      <w:r>
        <w:rPr>
          <w:rFonts w:hint="eastAsia" w:ascii="宋体" w:hAnsi="宋体"/>
          <w:color w:val="000000" w:themeColor="text1"/>
          <w:sz w:val="24"/>
          <w14:textFill>
            <w14:solidFill>
              <w14:schemeClr w14:val="tx1"/>
            </w14:solidFill>
          </w14:textFill>
        </w:rPr>
        <w:t>重庆高速工程检测有限公司</w:t>
      </w:r>
      <w:r>
        <w:rPr>
          <w:rFonts w:hint="eastAsia" w:asciiTheme="minorEastAsia" w:hAnsiTheme="minorEastAsia" w:eastAsiaTheme="minorEastAsia" w:cstheme="minorEastAsia"/>
          <w:color w:val="000000"/>
          <w:kern w:val="0"/>
          <w:sz w:val="24"/>
          <w:szCs w:val="24"/>
          <w:lang w:bidi="ar"/>
        </w:rPr>
        <w:t xml:space="preserve"> </w:t>
      </w:r>
    </w:p>
    <w:p w14:paraId="6130245F">
      <w:pPr>
        <w:widowControl/>
        <w:spacing w:line="400" w:lineRule="exact"/>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乙方：</w:t>
      </w:r>
      <w:r>
        <w:rPr>
          <w:rFonts w:hint="eastAsia" w:ascii="宋体" w:hAnsi="宋体"/>
          <w:color w:val="000000" w:themeColor="text1"/>
          <w:sz w:val="24"/>
          <w14:textFill>
            <w14:solidFill>
              <w14:schemeClr w14:val="tx1"/>
            </w14:solidFill>
          </w14:textFill>
        </w:rPr>
        <w:t>重庆切克威科技有限公司</w:t>
      </w:r>
      <w:r>
        <w:rPr>
          <w:rFonts w:hint="eastAsia" w:asciiTheme="minorEastAsia" w:hAnsiTheme="minorEastAsia" w:eastAsiaTheme="minorEastAsia" w:cstheme="minorEastAsia"/>
          <w:color w:val="000000"/>
          <w:kern w:val="0"/>
          <w:sz w:val="24"/>
          <w:szCs w:val="24"/>
          <w:lang w:bidi="ar"/>
        </w:rPr>
        <w:t xml:space="preserve"> </w:t>
      </w:r>
    </w:p>
    <w:p w14:paraId="7651A10F">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本协议为各方签订的</w:t>
      </w:r>
      <w:r>
        <w:rPr>
          <w:rFonts w:hint="eastAsia" w:eastAsiaTheme="minorEastAsia"/>
          <w:b/>
          <w:bCs/>
          <w:color w:val="000000" w:themeColor="text1"/>
          <w:sz w:val="24"/>
          <w:u w:val="single"/>
          <w:lang w:eastAsia="zh-CN"/>
          <w14:textFill>
            <w14:solidFill>
              <w14:schemeClr w14:val="tx1"/>
            </w14:solidFill>
          </w14:textFill>
        </w:rPr>
        <w:t>2026年隧道检测车租赁及技术服务</w:t>
      </w:r>
      <w:r>
        <w:rPr>
          <w:rFonts w:hint="eastAsia" w:eastAsiaTheme="minorEastAsia"/>
          <w:b/>
          <w:bCs/>
          <w:color w:val="000000" w:themeColor="text1"/>
          <w:sz w:val="24"/>
          <w:u w:val="single"/>
          <w14:textFill>
            <w14:solidFill>
              <w14:schemeClr w14:val="tx1"/>
            </w14:solidFill>
          </w14:textFill>
        </w:rPr>
        <w:t>采购（第一批）</w:t>
      </w:r>
      <w:r>
        <w:rPr>
          <w:rFonts w:hint="eastAsia" w:asciiTheme="minorEastAsia" w:hAnsiTheme="minorEastAsia" w:eastAsiaTheme="minorEastAsia" w:cstheme="minorEastAsia"/>
          <w:color w:val="000000"/>
          <w:kern w:val="0"/>
          <w:sz w:val="24"/>
          <w:szCs w:val="24"/>
          <w:lang w:bidi="ar"/>
        </w:rPr>
        <w:t xml:space="preserve">（以下简称“合同”）的重要组成部分，经各方协商一致，同意共同遵守。 </w:t>
      </w:r>
    </w:p>
    <w:p w14:paraId="4C1C9CD2">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一、遵守反腐败法律 </w:t>
      </w:r>
    </w:p>
    <w:p w14:paraId="00898689">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各方保证和承诺，与合同约定的活动或交易相关的各方或各方的关联公司、子公司、董事、高级管理人员、员工、顾问、代理方、最终受益人和股东及所有直接或间接代表各方开展活动或交易的个人及相关方，在过去或将来均不会违反或致使各方违反《联合国反腐败公约》《关于打击国际商业交易中行贿外国公职人员行为的公约》《中华人民共和国刑法》及所在国家的反腐败、反欺诈、反不正当竞争法律、法规及规则等（以下合称“反腐败法律”） 各方保证和承诺，与合同约定的活动或交易相关的各方或各方的关联公司、子公司、董事、 高级管理人员、员工、顾问、代理方、最终受益人和股东及所有直接或间接代表各方开展活动或交易的个人及相关方，在过去或将来也不会发生以下行为： </w:t>
      </w:r>
    </w:p>
    <w:p w14:paraId="202E2731">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（一）为以下目的给予或承诺给予公务人员、个人或法人任何利益： </w:t>
      </w:r>
    </w:p>
    <w:p w14:paraId="56453D12">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1. 不当影响公务人员的行为或决定； </w:t>
      </w:r>
    </w:p>
    <w:p w14:paraId="4517F00A">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2. 诱使公务人员违反其法定职责从而作为或不作为； </w:t>
      </w:r>
    </w:p>
    <w:p w14:paraId="34D2FBEB">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3. 诱使公务人员直接通过其个人影响力，或通过其对国内外政府或政府部门的影响力，影响该政府或政府部门的行为或决定； </w:t>
      </w:r>
    </w:p>
    <w:p w14:paraId="59D53730">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4. 协助各方不当获得或保持商业机会或使其获得不当优势。 </w:t>
      </w:r>
    </w:p>
    <w:p w14:paraId="6C302E6E">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（二）为以下目的给予或承诺给予个人任何利益，无论其是否为公务人员： </w:t>
      </w:r>
    </w:p>
    <w:p w14:paraId="27B91899">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1、意图使该个人不当履行其应尽的职责或义务； </w:t>
      </w:r>
    </w:p>
    <w:p w14:paraId="2BD1AF24">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2、知晓该个人接受利益即构成不当履行其应尽的职责或义务。 </w:t>
      </w:r>
    </w:p>
    <w:p w14:paraId="46A7526F">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二、持续义务 </w:t>
      </w:r>
    </w:p>
    <w:p w14:paraId="506EC8FD">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各方保证和承诺，与合同约定的活动或交易相关的各方或各方的关联公司、子公司、董事、高级管理人员、员工、顾问、代理方、最终受益人和股东及所有直接或间接代表各方开展活动或交易的个人及相关方，在本协议有效期内均会遵守反腐败法律的相关规定。 </w:t>
      </w:r>
    </w:p>
    <w:p w14:paraId="25AD7263">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三、公务人员参与 </w:t>
      </w:r>
    </w:p>
    <w:p w14:paraId="55C99C11">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除各方已披露的情形外，各方现有的董事、高级管理人员、股东（此处不包括上市公司的股东）、最终受益人均非公务人员，其直系亲属亦均非公务人员；若任何一方发现上述董事、高级管理人员、股东（此处不包括上市公司的股东）、最终受益人成为公务人员时，应在合理期限内通知其他方。 </w:t>
      </w:r>
    </w:p>
    <w:p w14:paraId="6D48450A">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四、无私设资金 </w:t>
      </w:r>
    </w:p>
    <w:p w14:paraId="1701547D">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在本协议有效期内，各方不会因为受到反腐败法律禁止的支付、或者为便利反腐败法律所禁止的其他行为，而设立秘密或账外资金、账户或资产，且无论其是否与合同拟进行的活动或交易相关。 </w:t>
      </w:r>
    </w:p>
    <w:p w14:paraId="78A12E3E">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五、免责 </w:t>
      </w:r>
    </w:p>
    <w:p w14:paraId="666E6030">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各方及其股东、董事、高级管理人员及员工不承担因其他方违反本协议约定的反腐败保证和承诺而造成的损失，包括但不限于罚金、损失赔偿金、或上述个人或相关方的经济损失。 </w:t>
      </w:r>
    </w:p>
    <w:p w14:paraId="6C3593CF">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六、终止权 </w:t>
      </w:r>
    </w:p>
    <w:p w14:paraId="3327EF0A">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根据可靠消息来源，包括但不限于任意方自行陈述或有正当来源的新闻报道，如任意方已实质性违反其在本协议中的遵守反腐败法律的相关保证与承诺，则视为实质违反本协议。无论该方是否因为违反反腐败法律而获罪或受到其他惩罚，其他方都有权终止本协议，且无须为此承担罚金或支付赔偿金。 </w:t>
      </w:r>
    </w:p>
    <w:p w14:paraId="6FBA081B">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七、审核权 </w:t>
      </w:r>
    </w:p>
    <w:p w14:paraId="5716196A">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各方应保留所有必要记录以证明其遵守本协议的约定。各方同意，经事先通知，各方或各方指派的审计事务所可查阅或审核其他方与合同履行相关的会计账簿和记录。各方及其指派的审计事务所对前述会计账簿和记录的查阅或审核应严格限于本协议所述工作范围，且应仅为合规审核目的。本条所列审核产生的费用应由申请方自行承担。 </w:t>
      </w:r>
    </w:p>
    <w:p w14:paraId="0D3C9D73">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八、调查通知 </w:t>
      </w:r>
    </w:p>
    <w:p w14:paraId="48AAD3DB">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各方同意，如其发现其因与本协议相关的行为正被执法或监管机关、政府机构、国际组织、证券交易所或非政府组织调查，其应立即通知其他方；此外，如各方发现其因违反反腐败法律而正被执法或监管机关、政府机构、国际组织、证券交易所或非政府组织调查，无论被调查行为是否与本协议相关，应立即通知其他方。 </w:t>
      </w:r>
    </w:p>
    <w:p w14:paraId="4A8716FC">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咨询举报邮箱： </w:t>
      </w:r>
    </w:p>
    <w:p w14:paraId="72679A72">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九、本协议有效期 </w:t>
      </w:r>
    </w:p>
    <w:p w14:paraId="2F3D02F4">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本协议有效期与合同的有效期一致。 </w:t>
      </w:r>
    </w:p>
    <w:p w14:paraId="2563AEA0">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十、本协议生效 </w:t>
      </w:r>
    </w:p>
    <w:p w14:paraId="60776530">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本协议一式</w:t>
      </w:r>
      <w:r>
        <w:rPr>
          <w:rFonts w:hint="eastAsia" w:ascii="宋体" w:hAnsi="宋体"/>
          <w:b/>
          <w:bCs/>
          <w:color w:val="000000" w:themeColor="text1"/>
          <w:sz w:val="24"/>
          <w:u w:val="single"/>
          <w14:textFill>
            <w14:solidFill>
              <w14:schemeClr w14:val="tx1"/>
            </w14:solidFill>
          </w14:textFill>
        </w:rPr>
        <w:t>柒</w:t>
      </w:r>
      <w:r>
        <w:rPr>
          <w:rFonts w:ascii="宋体" w:hAnsi="宋体"/>
          <w:color w:val="000000" w:themeColor="text1"/>
          <w:sz w:val="24"/>
          <w14:textFill>
            <w14:solidFill>
              <w14:schemeClr w14:val="tx1"/>
            </w14:solidFill>
          </w14:textFill>
        </w:rPr>
        <w:t>份，甲方</w:t>
      </w:r>
      <w:r>
        <w:rPr>
          <w:rFonts w:hint="eastAsia" w:ascii="宋体" w:hAnsi="宋体"/>
          <w:color w:val="000000" w:themeColor="text1"/>
          <w:sz w:val="24"/>
          <w14:textFill>
            <w14:solidFill>
              <w14:schemeClr w14:val="tx1"/>
            </w14:solidFill>
          </w14:textFill>
        </w:rPr>
        <w:t>执</w:t>
      </w:r>
      <w:r>
        <w:rPr>
          <w:rFonts w:hint="eastAsia" w:ascii="宋体" w:hAnsi="宋体"/>
          <w:b/>
          <w:bCs/>
          <w:color w:val="000000" w:themeColor="text1"/>
          <w:sz w:val="24"/>
          <w:u w:val="single"/>
          <w14:textFill>
            <w14:solidFill>
              <w14:schemeClr w14:val="tx1"/>
            </w14:solidFill>
          </w14:textFill>
        </w:rPr>
        <w:t>肆</w:t>
      </w:r>
      <w:r>
        <w:rPr>
          <w:rFonts w:ascii="宋体" w:hAnsi="宋体"/>
          <w:color w:val="000000" w:themeColor="text1"/>
          <w:sz w:val="24"/>
          <w14:textFill>
            <w14:solidFill>
              <w14:schemeClr w14:val="tx1"/>
            </w14:solidFill>
          </w14:textFill>
        </w:rPr>
        <w:t>份，</w:t>
      </w: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方</w:t>
      </w:r>
      <w:r>
        <w:rPr>
          <w:rFonts w:hint="eastAsia" w:ascii="宋体" w:hAnsi="宋体"/>
          <w:color w:val="000000" w:themeColor="text1"/>
          <w:sz w:val="24"/>
          <w14:textFill>
            <w14:solidFill>
              <w14:schemeClr w14:val="tx1"/>
            </w14:solidFill>
          </w14:textFill>
        </w:rPr>
        <w:t>执</w:t>
      </w:r>
      <w:r>
        <w:rPr>
          <w:rFonts w:hint="eastAsia" w:ascii="宋体" w:hAnsi="宋体"/>
          <w:b/>
          <w:color w:val="000000" w:themeColor="text1"/>
          <w:sz w:val="24"/>
          <w:u w:val="single"/>
          <w14:textFill>
            <w14:solidFill>
              <w14:schemeClr w14:val="tx1"/>
            </w14:solidFill>
          </w14:textFill>
        </w:rPr>
        <w:t>叁</w:t>
      </w:r>
      <w:r>
        <w:rPr>
          <w:rFonts w:ascii="宋体" w:hAnsi="宋体"/>
          <w:color w:val="000000" w:themeColor="text1"/>
          <w:sz w:val="24"/>
          <w14:textFill>
            <w14:solidFill>
              <w14:schemeClr w14:val="tx1"/>
            </w14:solidFill>
          </w14:textFill>
        </w:rPr>
        <w:t>份</w:t>
      </w:r>
      <w:r>
        <w:rPr>
          <w:rFonts w:hint="eastAsia" w:asciiTheme="minorEastAsia" w:hAnsiTheme="minorEastAsia" w:eastAsiaTheme="minorEastAsia" w:cstheme="minorEastAsia"/>
          <w:color w:val="000000"/>
          <w:kern w:val="0"/>
          <w:sz w:val="24"/>
          <w:szCs w:val="24"/>
          <w:lang w:bidi="ar"/>
        </w:rPr>
        <w:t xml:space="preserve">，经各方盖章后生效，具有同等法律效力。 </w:t>
      </w:r>
    </w:p>
    <w:p w14:paraId="5E668F19">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附：公务人员的定义：本协议中的“公务人员”应包括但不限于其他单位的下列人员： </w:t>
      </w:r>
    </w:p>
    <w:p w14:paraId="697FC56D">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（一）政府部门的官员、雇员、代表以及代表政府或者经公共权力机构授权的人员； </w:t>
      </w:r>
    </w:p>
    <w:p w14:paraId="5B5AD7ED">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（二）国际组织的官员、雇员和代表; </w:t>
      </w:r>
    </w:p>
    <w:p w14:paraId="69EDCECC">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（三）行使公共权力的政治组织的官员、雇员、代表，或皇室成员; </w:t>
      </w:r>
    </w:p>
    <w:p w14:paraId="72A39304">
      <w:pPr>
        <w:widowControl/>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 xml:space="preserve">（四）政府直接或间接控制或施加决定性影响力的国有企业的人员。 </w:t>
      </w:r>
    </w:p>
    <w:p w14:paraId="53F6297E">
      <w:pPr>
        <w:widowControl/>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（以下无正文）</w:t>
      </w:r>
    </w:p>
    <w:p w14:paraId="5D4E399B">
      <w:pPr>
        <w:widowControl/>
        <w:spacing w:line="400" w:lineRule="exact"/>
        <w:jc w:val="left"/>
        <w:rPr>
          <w:rFonts w:asciiTheme="minorEastAsia" w:hAnsiTheme="minorEastAsia" w:eastAsiaTheme="minorEastAsia" w:cstheme="minorEastAsia"/>
          <w:color w:val="000000"/>
          <w:kern w:val="0"/>
          <w:sz w:val="24"/>
          <w:szCs w:val="24"/>
          <w:lang w:bidi="ar"/>
        </w:rPr>
      </w:pPr>
    </w:p>
    <w:p w14:paraId="12C849B3">
      <w:pPr>
        <w:widowControl/>
        <w:spacing w:line="400" w:lineRule="exact"/>
        <w:jc w:val="left"/>
        <w:rPr>
          <w:rFonts w:asciiTheme="minorEastAsia" w:hAnsiTheme="minorEastAsia" w:eastAsiaTheme="minorEastAsia" w:cstheme="minorEastAsia"/>
          <w:color w:val="000000"/>
          <w:kern w:val="0"/>
          <w:sz w:val="24"/>
          <w:szCs w:val="24"/>
          <w:lang w:bidi="ar"/>
        </w:rPr>
      </w:pPr>
    </w:p>
    <w:p w14:paraId="763FFF30">
      <w:pPr>
        <w:widowControl/>
        <w:spacing w:line="400" w:lineRule="exact"/>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 xml:space="preserve">甲方（盖章）                                 乙方（盖章） </w:t>
      </w:r>
    </w:p>
    <w:p w14:paraId="377899BC">
      <w:pPr>
        <w:widowControl/>
        <w:spacing w:line="400" w:lineRule="exact"/>
        <w:ind w:firstLine="1920" w:firstLineChars="800"/>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年   月   日                            年   月   日</w:t>
      </w:r>
    </w:p>
    <w:p w14:paraId="5C54675D"/>
    <w:p w14:paraId="6E7C5C23">
      <w:pPr>
        <w:jc w:val="center"/>
        <w:rPr>
          <w:rFonts w:ascii="宋体" w:hAnsi="宋体" w:cs="宋体"/>
          <w:b/>
          <w:color w:val="000000" w:themeColor="text1"/>
          <w:sz w:val="36"/>
          <w14:textFill>
            <w14:solidFill>
              <w14:schemeClr w14:val="tx1"/>
            </w14:solidFill>
          </w14:textFill>
        </w:rPr>
      </w:pPr>
    </w:p>
    <w:p w14:paraId="721E593E">
      <w:pPr>
        <w:jc w:val="center"/>
        <w:rPr>
          <w:rFonts w:ascii="宋体" w:hAnsi="宋体" w:cs="宋体"/>
          <w:b/>
          <w:color w:val="000000" w:themeColor="text1"/>
          <w:sz w:val="36"/>
          <w14:textFill>
            <w14:solidFill>
              <w14:schemeClr w14:val="tx1"/>
            </w14:solidFill>
          </w14:textFill>
        </w:rPr>
      </w:pPr>
    </w:p>
    <w:p w14:paraId="575F57BB">
      <w:pPr>
        <w:jc w:val="center"/>
        <w:rPr>
          <w:rFonts w:ascii="宋体" w:hAnsi="宋体" w:cs="宋体"/>
          <w:b/>
          <w:color w:val="000000" w:themeColor="text1"/>
          <w:sz w:val="36"/>
          <w14:textFill>
            <w14:solidFill>
              <w14:schemeClr w14:val="tx1"/>
            </w14:solidFill>
          </w14:textFill>
        </w:rPr>
      </w:pPr>
    </w:p>
    <w:p w14:paraId="20D9A86A">
      <w:pPr>
        <w:jc w:val="center"/>
        <w:rPr>
          <w:rFonts w:ascii="宋体" w:hAnsi="宋体" w:cs="宋体"/>
          <w:b/>
          <w:color w:val="000000" w:themeColor="text1"/>
          <w:sz w:val="36"/>
          <w14:textFill>
            <w14:solidFill>
              <w14:schemeClr w14:val="tx1"/>
            </w14:solidFill>
          </w14:textFill>
        </w:rPr>
      </w:pPr>
    </w:p>
    <w:p w14:paraId="63F12009">
      <w:pPr>
        <w:jc w:val="center"/>
        <w:rPr>
          <w:rFonts w:ascii="宋体" w:hAnsi="宋体" w:cs="宋体"/>
          <w:b/>
          <w:color w:val="000000" w:themeColor="text1"/>
          <w:sz w:val="36"/>
          <w14:textFill>
            <w14:solidFill>
              <w14:schemeClr w14:val="tx1"/>
            </w14:solidFill>
          </w14:textFill>
        </w:rPr>
      </w:pPr>
    </w:p>
    <w:p w14:paraId="0EF92F9A">
      <w:pPr>
        <w:jc w:val="center"/>
        <w:rPr>
          <w:rFonts w:ascii="宋体" w:hAnsi="宋体" w:cs="宋体"/>
          <w:b/>
          <w:color w:val="000000" w:themeColor="text1"/>
          <w:sz w:val="36"/>
          <w14:textFill>
            <w14:solidFill>
              <w14:schemeClr w14:val="tx1"/>
            </w14:solidFill>
          </w14:textFill>
        </w:rPr>
      </w:pPr>
    </w:p>
    <w:p w14:paraId="3B31906C">
      <w:pPr>
        <w:jc w:val="center"/>
        <w:rPr>
          <w:rFonts w:ascii="宋体" w:hAnsi="宋体" w:cs="宋体"/>
          <w:b/>
          <w:color w:val="000000" w:themeColor="text1"/>
          <w:sz w:val="36"/>
          <w14:textFill>
            <w14:solidFill>
              <w14:schemeClr w14:val="tx1"/>
            </w14:solidFill>
          </w14:textFill>
        </w:rPr>
      </w:pPr>
    </w:p>
    <w:p w14:paraId="48E627F8">
      <w:pPr>
        <w:jc w:val="center"/>
        <w:rPr>
          <w:rFonts w:ascii="宋体" w:hAnsi="宋体" w:cs="宋体"/>
          <w:b/>
          <w:color w:val="000000" w:themeColor="text1"/>
          <w:sz w:val="36"/>
          <w14:textFill>
            <w14:solidFill>
              <w14:schemeClr w14:val="tx1"/>
            </w14:solidFill>
          </w14:textFill>
        </w:rPr>
      </w:pPr>
    </w:p>
    <w:p w14:paraId="3E8D2E89">
      <w:pPr>
        <w:jc w:val="center"/>
        <w:rPr>
          <w:rFonts w:ascii="宋体" w:hAnsi="宋体" w:cs="宋体"/>
          <w:b/>
          <w:color w:val="000000" w:themeColor="text1"/>
          <w:sz w:val="36"/>
          <w14:textFill>
            <w14:solidFill>
              <w14:schemeClr w14:val="tx1"/>
            </w14:solidFill>
          </w14:textFill>
        </w:rPr>
      </w:pPr>
    </w:p>
    <w:p w14:paraId="0F00EFD0">
      <w:pPr>
        <w:jc w:val="center"/>
        <w:rPr>
          <w:rFonts w:ascii="宋体" w:hAnsi="宋体" w:cs="宋体"/>
          <w:b/>
          <w:color w:val="000000" w:themeColor="text1"/>
          <w:sz w:val="36"/>
          <w14:textFill>
            <w14:solidFill>
              <w14:schemeClr w14:val="tx1"/>
            </w14:solidFill>
          </w14:textFill>
        </w:rPr>
      </w:pPr>
    </w:p>
    <w:p w14:paraId="777843D4">
      <w:pPr>
        <w:jc w:val="center"/>
        <w:rPr>
          <w:rFonts w:ascii="宋体" w:hAnsi="宋体" w:cs="宋体"/>
          <w:b/>
          <w:color w:val="000000" w:themeColor="text1"/>
          <w:sz w:val="36"/>
          <w14:textFill>
            <w14:solidFill>
              <w14:schemeClr w14:val="tx1"/>
            </w14:solidFill>
          </w14:textFill>
        </w:rPr>
      </w:pPr>
    </w:p>
    <w:p w14:paraId="1B1156F9">
      <w:pPr>
        <w:jc w:val="center"/>
        <w:rPr>
          <w:rFonts w:ascii="宋体" w:hAnsi="宋体" w:cs="宋体"/>
          <w:b/>
          <w:color w:val="000000" w:themeColor="text1"/>
          <w:sz w:val="36"/>
          <w14:textFill>
            <w14:solidFill>
              <w14:schemeClr w14:val="tx1"/>
            </w14:solidFill>
          </w14:textFill>
        </w:rPr>
      </w:pPr>
    </w:p>
    <w:p w14:paraId="32904C6D">
      <w:pPr>
        <w:jc w:val="center"/>
        <w:rPr>
          <w:rFonts w:ascii="宋体" w:hAnsi="宋体" w:cs="宋体"/>
          <w:b/>
          <w:color w:val="000000" w:themeColor="text1"/>
          <w:sz w:val="36"/>
          <w14:textFill>
            <w14:solidFill>
              <w14:schemeClr w14:val="tx1"/>
            </w14:solidFill>
          </w14:textFill>
        </w:rPr>
      </w:pPr>
    </w:p>
    <w:p w14:paraId="77F0A660">
      <w:pPr>
        <w:jc w:val="center"/>
        <w:rPr>
          <w:rFonts w:ascii="宋体" w:hAnsi="宋体" w:cs="宋体"/>
          <w:b/>
          <w:color w:val="000000" w:themeColor="text1"/>
          <w:sz w:val="36"/>
          <w14:textFill>
            <w14:solidFill>
              <w14:schemeClr w14:val="tx1"/>
            </w14:solidFill>
          </w14:textFill>
        </w:rPr>
      </w:pPr>
    </w:p>
    <w:p w14:paraId="040AB7D6">
      <w:pPr>
        <w:jc w:val="center"/>
        <w:rPr>
          <w:rFonts w:ascii="宋体" w:hAnsi="宋体" w:cs="宋体"/>
          <w:b/>
          <w:color w:val="000000" w:themeColor="text1"/>
          <w:sz w:val="36"/>
          <w14:textFill>
            <w14:solidFill>
              <w14:schemeClr w14:val="tx1"/>
            </w14:solidFill>
          </w14:textFill>
        </w:rPr>
      </w:pPr>
    </w:p>
    <w:p w14:paraId="169800A7">
      <w:pPr>
        <w:jc w:val="center"/>
        <w:rPr>
          <w:rFonts w:ascii="宋体" w:hAnsi="宋体" w:cs="宋体"/>
          <w:b/>
          <w:color w:val="000000" w:themeColor="text1"/>
          <w:sz w:val="36"/>
          <w14:textFill>
            <w14:solidFill>
              <w14:schemeClr w14:val="tx1"/>
            </w14:solidFill>
          </w14:textFill>
        </w:rPr>
      </w:pPr>
    </w:p>
    <w:p w14:paraId="49E0285C">
      <w:pPr>
        <w:jc w:val="center"/>
        <w:outlineLvl w:val="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竞标文件格式</w:t>
      </w:r>
    </w:p>
    <w:p w14:paraId="4F4E8257">
      <w:pPr>
        <w:jc w:val="center"/>
        <w:rPr>
          <w:rFonts w:ascii="宋体" w:hAnsi="宋体" w:cs="宋体"/>
          <w:b/>
          <w:color w:val="000000" w:themeColor="text1"/>
          <w:sz w:val="24"/>
          <w14:textFill>
            <w14:solidFill>
              <w14:schemeClr w14:val="tx1"/>
            </w14:solidFill>
          </w14:textFill>
        </w:rPr>
      </w:pPr>
    </w:p>
    <w:p w14:paraId="64F26385">
      <w:pPr>
        <w:jc w:val="center"/>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（以下内容为示例）</w:t>
      </w:r>
    </w:p>
    <w:p w14:paraId="6954D558">
      <w:pPr>
        <w:jc w:val="center"/>
        <w:rPr>
          <w:rFonts w:ascii="宋体" w:hAnsi="宋体" w:cs="宋体"/>
          <w:b/>
          <w:color w:val="000000" w:themeColor="text1"/>
          <w:sz w:val="24"/>
          <w14:textFill>
            <w14:solidFill>
              <w14:schemeClr w14:val="tx1"/>
            </w14:solidFill>
          </w14:textFill>
        </w:rPr>
      </w:pPr>
    </w:p>
    <w:p w14:paraId="6692506F">
      <w:pPr>
        <w:ind w:right="480" w:firstLine="2849" w:firstLineChars="946"/>
        <w:rPr>
          <w:rFonts w:ascii="宋体" w:hAnsi="宋体" w:cs="宋体"/>
          <w:b/>
          <w:color w:val="000000" w:themeColor="text1"/>
          <w:sz w:val="30"/>
          <w:szCs w:val="30"/>
          <w14:textFill>
            <w14:solidFill>
              <w14:schemeClr w14:val="tx1"/>
            </w14:solidFill>
          </w14:textFill>
        </w:rPr>
      </w:pPr>
    </w:p>
    <w:p w14:paraId="49246746">
      <w:pPr>
        <w:ind w:right="480" w:firstLine="2849" w:firstLineChars="946"/>
        <w:rPr>
          <w:rFonts w:ascii="宋体" w:hAnsi="宋体" w:cs="宋体"/>
          <w:b/>
          <w:color w:val="000000" w:themeColor="text1"/>
          <w:sz w:val="30"/>
          <w:szCs w:val="30"/>
          <w14:textFill>
            <w14:solidFill>
              <w14:schemeClr w14:val="tx1"/>
            </w14:solidFill>
          </w14:textFill>
        </w:rPr>
      </w:pPr>
    </w:p>
    <w:p w14:paraId="37030763">
      <w:pPr>
        <w:ind w:right="480" w:firstLine="2849" w:firstLineChars="946"/>
        <w:rPr>
          <w:rFonts w:ascii="宋体" w:hAnsi="宋体" w:cs="宋体"/>
          <w:b/>
          <w:color w:val="000000" w:themeColor="text1"/>
          <w:sz w:val="30"/>
          <w:szCs w:val="30"/>
          <w14:textFill>
            <w14:solidFill>
              <w14:schemeClr w14:val="tx1"/>
            </w14:solidFill>
          </w14:textFill>
        </w:rPr>
      </w:pPr>
    </w:p>
    <w:p w14:paraId="64209AF5">
      <w:pPr>
        <w:ind w:right="480" w:firstLine="2849" w:firstLineChars="946"/>
        <w:rPr>
          <w:rFonts w:ascii="宋体" w:hAnsi="宋体" w:cs="宋体"/>
          <w:b/>
          <w:color w:val="000000" w:themeColor="text1"/>
          <w:sz w:val="30"/>
          <w:szCs w:val="30"/>
          <w14:textFill>
            <w14:solidFill>
              <w14:schemeClr w14:val="tx1"/>
            </w14:solidFill>
          </w14:textFill>
        </w:rPr>
      </w:pPr>
    </w:p>
    <w:p w14:paraId="540A7D34">
      <w:pPr>
        <w:ind w:right="480" w:firstLine="2849" w:firstLineChars="946"/>
        <w:rPr>
          <w:rFonts w:ascii="宋体" w:hAnsi="宋体" w:cs="宋体"/>
          <w:b/>
          <w:color w:val="000000" w:themeColor="text1"/>
          <w:sz w:val="30"/>
          <w:szCs w:val="30"/>
          <w14:textFill>
            <w14:solidFill>
              <w14:schemeClr w14:val="tx1"/>
            </w14:solidFill>
          </w14:textFill>
        </w:rPr>
        <w:sectPr>
          <w:pgSz w:w="11906" w:h="16838"/>
          <w:pgMar w:top="1418" w:right="1361" w:bottom="1418" w:left="1361" w:header="851" w:footer="992" w:gutter="0"/>
          <w:cols w:space="720" w:num="1"/>
          <w:docGrid w:type="lines" w:linePitch="312" w:charSpace="0"/>
        </w:sectPr>
      </w:pPr>
    </w:p>
    <w:p w14:paraId="6AC4C482">
      <w:pPr>
        <w:jc w:val="center"/>
        <w:outlineLvl w:val="0"/>
        <w:rPr>
          <w:rFonts w:ascii="宋体" w:hAnsi="宋体" w:cs="宋体"/>
          <w:b/>
          <w:color w:val="000000" w:themeColor="text1"/>
          <w:sz w:val="36"/>
          <w:szCs w:val="40"/>
          <w:u w:val="single"/>
          <w14:textFill>
            <w14:solidFill>
              <w14:schemeClr w14:val="tx1"/>
            </w14:solidFill>
          </w14:textFill>
        </w:rPr>
      </w:pPr>
      <w:r>
        <w:rPr>
          <w:rFonts w:hint="eastAsia" w:ascii="宋体" w:hAnsi="宋体" w:cs="宋体"/>
          <w:b/>
          <w:color w:val="000000" w:themeColor="text1"/>
          <w:sz w:val="36"/>
          <w:szCs w:val="40"/>
          <w:u w:val="single"/>
          <w14:textFill>
            <w14:solidFill>
              <w14:schemeClr w14:val="tx1"/>
            </w14:solidFill>
          </w14:textFill>
        </w:rPr>
        <w:t>重庆高速工程检测有限公司</w:t>
      </w:r>
    </w:p>
    <w:p w14:paraId="71727187">
      <w:pPr>
        <w:jc w:val="center"/>
        <w:outlineLvl w:val="0"/>
        <w:rPr>
          <w:rFonts w:ascii="宋体" w:hAnsi="宋体" w:cs="宋体"/>
          <w:b/>
          <w:color w:val="000000" w:themeColor="text1"/>
          <w:sz w:val="36"/>
          <w:szCs w:val="40"/>
          <w:u w:val="single"/>
          <w14:textFill>
            <w14:solidFill>
              <w14:schemeClr w14:val="tx1"/>
            </w14:solidFill>
          </w14:textFill>
        </w:rPr>
      </w:pPr>
      <w:r>
        <w:rPr>
          <w:rFonts w:hint="eastAsia" w:ascii="宋体" w:hAnsi="宋体" w:cs="宋体"/>
          <w:b/>
          <w:color w:val="000000" w:themeColor="text1"/>
          <w:sz w:val="36"/>
          <w:szCs w:val="40"/>
          <w:u w:val="single"/>
          <w:lang w:eastAsia="zh-CN"/>
          <w14:textFill>
            <w14:solidFill>
              <w14:schemeClr w14:val="tx1"/>
            </w14:solidFill>
          </w14:textFill>
        </w:rPr>
        <w:t>2026年隧道检测车租赁及技术服务</w:t>
      </w:r>
      <w:r>
        <w:rPr>
          <w:rFonts w:hint="eastAsia" w:ascii="宋体" w:hAnsi="宋体" w:cs="宋体"/>
          <w:b/>
          <w:color w:val="000000" w:themeColor="text1"/>
          <w:sz w:val="36"/>
          <w:szCs w:val="40"/>
          <w:u w:val="single"/>
          <w14:textFill>
            <w14:solidFill>
              <w14:schemeClr w14:val="tx1"/>
            </w14:solidFill>
          </w14:textFill>
        </w:rPr>
        <w:t>采购（第一批）</w:t>
      </w:r>
    </w:p>
    <w:p w14:paraId="09717F27">
      <w:pPr>
        <w:jc w:val="center"/>
        <w:outlineLvl w:val="0"/>
        <w:rPr>
          <w:rFonts w:ascii="宋体" w:hAnsi="宋体" w:cs="宋体"/>
          <w:b/>
          <w:color w:val="000000" w:themeColor="text1"/>
          <w:sz w:val="36"/>
          <w:szCs w:val="40"/>
          <w14:textFill>
            <w14:solidFill>
              <w14:schemeClr w14:val="tx1"/>
            </w14:solidFill>
          </w14:textFill>
        </w:rPr>
      </w:pPr>
      <w:r>
        <w:rPr>
          <w:rFonts w:hint="eastAsia" w:ascii="宋体" w:hAnsi="宋体" w:cs="宋体"/>
          <w:b/>
          <w:color w:val="000000" w:themeColor="text1"/>
          <w:sz w:val="36"/>
          <w:szCs w:val="40"/>
          <w:u w:val="single"/>
          <w14:textFill>
            <w14:solidFill>
              <w14:schemeClr w14:val="tx1"/>
            </w14:solidFill>
          </w14:textFill>
        </w:rPr>
        <w:t>竞标文件</w:t>
      </w:r>
    </w:p>
    <w:p w14:paraId="18CE8524">
      <w:pPr>
        <w:jc w:val="center"/>
        <w:rPr>
          <w:rFonts w:ascii="宋体" w:hAnsi="宋体" w:cs="宋体"/>
          <w:color w:val="000000" w:themeColor="text1"/>
          <w:sz w:val="32"/>
          <w:szCs w:val="32"/>
          <w14:textFill>
            <w14:solidFill>
              <w14:schemeClr w14:val="tx1"/>
            </w14:solidFill>
          </w14:textFill>
        </w:rPr>
      </w:pPr>
    </w:p>
    <w:p w14:paraId="77959895">
      <w:pPr>
        <w:jc w:val="center"/>
        <w:rPr>
          <w:rFonts w:ascii="宋体" w:hAnsi="宋体" w:cs="宋体"/>
          <w:color w:val="000000" w:themeColor="text1"/>
          <w:sz w:val="32"/>
          <w:szCs w:val="32"/>
          <w14:textFill>
            <w14:solidFill>
              <w14:schemeClr w14:val="tx1"/>
            </w14:solidFill>
          </w14:textFill>
        </w:rPr>
      </w:pPr>
    </w:p>
    <w:p w14:paraId="33804B16">
      <w:pPr>
        <w:jc w:val="center"/>
        <w:rPr>
          <w:rFonts w:ascii="宋体" w:hAnsi="宋体" w:cs="宋体"/>
          <w:color w:val="000000" w:themeColor="text1"/>
          <w:sz w:val="32"/>
          <w:szCs w:val="32"/>
          <w14:textFill>
            <w14:solidFill>
              <w14:schemeClr w14:val="tx1"/>
            </w14:solidFill>
          </w14:textFill>
        </w:rPr>
      </w:pPr>
    </w:p>
    <w:p w14:paraId="3004C6F5">
      <w:pPr>
        <w:jc w:val="center"/>
        <w:rPr>
          <w:rFonts w:ascii="宋体" w:hAnsi="宋体" w:cs="宋体"/>
          <w:color w:val="000000" w:themeColor="text1"/>
          <w:sz w:val="32"/>
          <w:szCs w:val="32"/>
          <w14:textFill>
            <w14:solidFill>
              <w14:schemeClr w14:val="tx1"/>
            </w14:solidFill>
          </w14:textFill>
        </w:rPr>
      </w:pPr>
    </w:p>
    <w:p w14:paraId="33E081C5">
      <w:pPr>
        <w:jc w:val="center"/>
        <w:rPr>
          <w:rFonts w:ascii="宋体" w:hAnsi="宋体" w:cs="宋体"/>
          <w:color w:val="000000" w:themeColor="text1"/>
          <w:sz w:val="32"/>
          <w:szCs w:val="32"/>
          <w14:textFill>
            <w14:solidFill>
              <w14:schemeClr w14:val="tx1"/>
            </w14:solidFill>
          </w14:textFill>
        </w:rPr>
      </w:pPr>
    </w:p>
    <w:p w14:paraId="5AA4FC1F">
      <w:pPr>
        <w:jc w:val="center"/>
        <w:rPr>
          <w:rFonts w:ascii="宋体" w:hAnsi="宋体" w:cs="宋体"/>
          <w:color w:val="000000" w:themeColor="text1"/>
          <w:sz w:val="32"/>
          <w:szCs w:val="32"/>
          <w14:textFill>
            <w14:solidFill>
              <w14:schemeClr w14:val="tx1"/>
            </w14:solidFill>
          </w14:textFill>
        </w:rPr>
      </w:pPr>
    </w:p>
    <w:p w14:paraId="47AC3FB7">
      <w:pPr>
        <w:jc w:val="center"/>
        <w:rPr>
          <w:rFonts w:ascii="宋体" w:hAnsi="宋体" w:cs="宋体"/>
          <w:color w:val="000000" w:themeColor="text1"/>
          <w:sz w:val="32"/>
          <w:szCs w:val="32"/>
          <w14:textFill>
            <w14:solidFill>
              <w14:schemeClr w14:val="tx1"/>
            </w14:solidFill>
          </w14:textFill>
        </w:rPr>
      </w:pPr>
    </w:p>
    <w:p w14:paraId="0A19EF01">
      <w:pPr>
        <w:jc w:val="center"/>
        <w:rPr>
          <w:rFonts w:ascii="宋体" w:hAnsi="宋体" w:cs="宋体"/>
          <w:color w:val="000000" w:themeColor="text1"/>
          <w:sz w:val="32"/>
          <w:szCs w:val="32"/>
          <w14:textFill>
            <w14:solidFill>
              <w14:schemeClr w14:val="tx1"/>
            </w14:solidFill>
          </w14:textFill>
        </w:rPr>
      </w:pPr>
    </w:p>
    <w:p w14:paraId="79A53370">
      <w:pPr>
        <w:jc w:val="center"/>
        <w:rPr>
          <w:rFonts w:ascii="宋体" w:hAnsi="宋体" w:cs="宋体"/>
          <w:color w:val="000000" w:themeColor="text1"/>
          <w:sz w:val="32"/>
          <w:szCs w:val="32"/>
          <w14:textFill>
            <w14:solidFill>
              <w14:schemeClr w14:val="tx1"/>
            </w14:solidFill>
          </w14:textFill>
        </w:rPr>
      </w:pPr>
    </w:p>
    <w:p w14:paraId="5CD831C4">
      <w:pPr>
        <w:jc w:val="center"/>
        <w:rPr>
          <w:rFonts w:ascii="宋体" w:hAnsi="宋体" w:cs="宋体"/>
          <w:color w:val="000000" w:themeColor="text1"/>
          <w:sz w:val="32"/>
          <w:szCs w:val="32"/>
          <w14:textFill>
            <w14:solidFill>
              <w14:schemeClr w14:val="tx1"/>
            </w14:solidFill>
          </w14:textFill>
        </w:rPr>
      </w:pPr>
    </w:p>
    <w:p w14:paraId="61E84693">
      <w:pPr>
        <w:jc w:val="center"/>
        <w:rPr>
          <w:rFonts w:ascii="宋体" w:hAnsi="宋体" w:cs="宋体"/>
          <w:color w:val="000000" w:themeColor="text1"/>
          <w:sz w:val="32"/>
          <w:szCs w:val="32"/>
          <w14:textFill>
            <w14:solidFill>
              <w14:schemeClr w14:val="tx1"/>
            </w14:solidFill>
          </w14:textFill>
        </w:rPr>
      </w:pPr>
    </w:p>
    <w:p w14:paraId="62AE8A04">
      <w:pPr>
        <w:jc w:val="center"/>
        <w:rPr>
          <w:rFonts w:ascii="宋体" w:hAnsi="宋体" w:cs="宋体"/>
          <w:color w:val="000000" w:themeColor="text1"/>
          <w:sz w:val="32"/>
          <w:szCs w:val="32"/>
          <w14:textFill>
            <w14:solidFill>
              <w14:schemeClr w14:val="tx1"/>
            </w14:solidFill>
          </w14:textFill>
        </w:rPr>
      </w:pPr>
    </w:p>
    <w:p w14:paraId="419A0D92">
      <w:pPr>
        <w:jc w:val="center"/>
        <w:rPr>
          <w:rFonts w:ascii="宋体" w:hAnsi="宋体" w:cs="宋体"/>
          <w:color w:val="000000" w:themeColor="text1"/>
          <w:sz w:val="32"/>
          <w:szCs w:val="32"/>
          <w14:textFill>
            <w14:solidFill>
              <w14:schemeClr w14:val="tx1"/>
            </w14:solidFill>
          </w14:textFill>
        </w:rPr>
      </w:pPr>
    </w:p>
    <w:p w14:paraId="4A532037">
      <w:pPr>
        <w:jc w:val="center"/>
        <w:rPr>
          <w:rFonts w:ascii="宋体" w:hAnsi="宋体" w:cs="宋体"/>
          <w:color w:val="000000" w:themeColor="text1"/>
          <w:sz w:val="32"/>
          <w:szCs w:val="32"/>
          <w14:textFill>
            <w14:solidFill>
              <w14:schemeClr w14:val="tx1"/>
            </w14:solidFill>
          </w14:textFill>
        </w:rPr>
      </w:pPr>
    </w:p>
    <w:p w14:paraId="45528937">
      <w:pPr>
        <w:jc w:val="center"/>
        <w:outlineLvl w:val="0"/>
        <w:rPr>
          <w:rFonts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u w:val="single"/>
          <w14:textFill>
            <w14:solidFill>
              <w14:schemeClr w14:val="tx1"/>
            </w14:solidFill>
          </w14:textFill>
        </w:rPr>
        <w:t>竞标单位名称全称（盖单位公章）</w:t>
      </w:r>
    </w:p>
    <w:p w14:paraId="5EEC0379">
      <w:pPr>
        <w:jc w:val="center"/>
        <w:outlineLvl w:val="0"/>
        <w:rPr>
          <w:rFonts w:ascii="宋体" w:hAnsi="宋体" w:cs="宋体"/>
          <w:color w:val="000000" w:themeColor="text1"/>
          <w:sz w:val="32"/>
          <w:szCs w:val="32"/>
          <w:u w:val="single"/>
          <w14:textFill>
            <w14:solidFill>
              <w14:schemeClr w14:val="tx1"/>
            </w14:solidFill>
          </w14:textFill>
        </w:rPr>
      </w:pPr>
      <w:r>
        <w:rPr>
          <w:rFonts w:hint="eastAsia" w:ascii="宋体" w:hAnsi="宋体" w:cs="宋体"/>
          <w:color w:val="000000" w:themeColor="text1"/>
          <w:sz w:val="32"/>
          <w:szCs w:val="32"/>
          <w:u w:val="single"/>
          <w14:textFill>
            <w14:solidFill>
              <w14:schemeClr w14:val="tx1"/>
            </w14:solidFill>
          </w14:textFill>
        </w:rPr>
        <w:t>2026年</w:t>
      </w:r>
      <w:r>
        <w:rPr>
          <w:rFonts w:hint="eastAsia" w:ascii="宋体" w:hAnsi="宋体" w:cs="宋体"/>
          <w:color w:val="000000" w:themeColor="text1"/>
          <w:sz w:val="32"/>
          <w:szCs w:val="32"/>
          <w:u w:val="single"/>
          <w:lang w:val="en-US" w:eastAsia="zh-CN"/>
          <w14:textFill>
            <w14:solidFill>
              <w14:schemeClr w14:val="tx1"/>
            </w14:solidFill>
          </w14:textFill>
        </w:rPr>
        <w:t>5</w:t>
      </w:r>
      <w:r>
        <w:rPr>
          <w:rFonts w:hint="eastAsia" w:ascii="宋体" w:hAnsi="宋体" w:cs="宋体"/>
          <w:color w:val="000000" w:themeColor="text1"/>
          <w:sz w:val="32"/>
          <w:szCs w:val="32"/>
          <w:u w:val="single"/>
          <w14:textFill>
            <w14:solidFill>
              <w14:schemeClr w14:val="tx1"/>
            </w14:solidFill>
          </w14:textFill>
        </w:rPr>
        <w:t>月</w:t>
      </w:r>
      <w:r>
        <w:rPr>
          <w:rFonts w:hint="eastAsia" w:ascii="宋体" w:hAnsi="宋体" w:cs="宋体"/>
          <w:color w:val="000000" w:themeColor="text1"/>
          <w:sz w:val="32"/>
          <w:szCs w:val="32"/>
          <w:u w:val="single"/>
          <w:lang w:val="en-US" w:eastAsia="zh-CN"/>
          <w14:textFill>
            <w14:solidFill>
              <w14:schemeClr w14:val="tx1"/>
            </w14:solidFill>
          </w14:textFill>
        </w:rPr>
        <w:t>7</w:t>
      </w:r>
      <w:r>
        <w:rPr>
          <w:rFonts w:hint="eastAsia" w:ascii="宋体" w:hAnsi="宋体" w:cs="宋体"/>
          <w:color w:val="000000" w:themeColor="text1"/>
          <w:sz w:val="32"/>
          <w:szCs w:val="32"/>
          <w:u w:val="single"/>
          <w14:textFill>
            <w14:solidFill>
              <w14:schemeClr w14:val="tx1"/>
            </w14:solidFill>
          </w14:textFill>
        </w:rPr>
        <w:t>日</w:t>
      </w:r>
      <w:bookmarkStart w:id="24" w:name="_GoBack"/>
      <w:bookmarkEnd w:id="24"/>
    </w:p>
    <w:p w14:paraId="30DC8F9D">
      <w:pPr>
        <w:jc w:val="center"/>
        <w:rPr>
          <w:rFonts w:ascii="宋体" w:hAnsi="宋体" w:cs="宋体"/>
          <w:color w:val="000000" w:themeColor="text1"/>
          <w:sz w:val="32"/>
          <w:szCs w:val="32"/>
          <w:u w:val="single"/>
          <w14:textFill>
            <w14:solidFill>
              <w14:schemeClr w14:val="tx1"/>
            </w14:solidFill>
          </w14:textFill>
        </w:rPr>
      </w:pPr>
    </w:p>
    <w:p w14:paraId="009EB05C">
      <w:pPr>
        <w:pStyle w:val="34"/>
        <w:rPr>
          <w:color w:val="000000" w:themeColor="text1"/>
          <w14:textFill>
            <w14:solidFill>
              <w14:schemeClr w14:val="tx1"/>
            </w14:solidFill>
          </w14:textFill>
        </w:rPr>
      </w:pPr>
    </w:p>
    <w:p w14:paraId="03BDB144">
      <w:pPr>
        <w:pStyle w:val="34"/>
        <w:rPr>
          <w:color w:val="000000" w:themeColor="text1"/>
          <w14:textFill>
            <w14:solidFill>
              <w14:schemeClr w14:val="tx1"/>
            </w14:solidFill>
          </w14:textFill>
        </w:rPr>
      </w:pPr>
    </w:p>
    <w:p w14:paraId="0C89BCA4">
      <w:pPr>
        <w:pStyle w:val="34"/>
        <w:rPr>
          <w:color w:val="000000" w:themeColor="text1"/>
          <w14:textFill>
            <w14:solidFill>
              <w14:schemeClr w14:val="tx1"/>
            </w14:solidFill>
          </w14:textFill>
        </w:rPr>
      </w:pPr>
    </w:p>
    <w:p w14:paraId="37DC4438">
      <w:pPr>
        <w:pStyle w:val="34"/>
        <w:rPr>
          <w:color w:val="000000" w:themeColor="text1"/>
          <w14:textFill>
            <w14:solidFill>
              <w14:schemeClr w14:val="tx1"/>
            </w14:solidFill>
          </w14:textFill>
        </w:rPr>
      </w:pPr>
    </w:p>
    <w:p w14:paraId="1C9C7EFD">
      <w:pPr>
        <w:pStyle w:val="34"/>
        <w:rPr>
          <w:color w:val="000000" w:themeColor="text1"/>
          <w14:textFill>
            <w14:solidFill>
              <w14:schemeClr w14:val="tx1"/>
            </w14:solidFill>
          </w14:textFill>
        </w:rPr>
      </w:pPr>
    </w:p>
    <w:p w14:paraId="005B58BD">
      <w:pPr>
        <w:pStyle w:val="34"/>
        <w:rPr>
          <w:color w:val="000000" w:themeColor="text1"/>
          <w14:textFill>
            <w14:solidFill>
              <w14:schemeClr w14:val="tx1"/>
            </w14:solidFill>
          </w14:textFill>
        </w:rPr>
      </w:pPr>
    </w:p>
    <w:p w14:paraId="3EDFF2AF">
      <w:pPr>
        <w:pStyle w:val="34"/>
        <w:rPr>
          <w:color w:val="000000" w:themeColor="text1"/>
          <w14:textFill>
            <w14:solidFill>
              <w14:schemeClr w14:val="tx1"/>
            </w14:solidFill>
          </w14:textFill>
        </w:rPr>
      </w:pPr>
    </w:p>
    <w:p w14:paraId="0C5428E5">
      <w:pPr>
        <w:pStyle w:val="34"/>
        <w:rPr>
          <w:color w:val="000000" w:themeColor="text1"/>
          <w14:textFill>
            <w14:solidFill>
              <w14:schemeClr w14:val="tx1"/>
            </w14:solidFill>
          </w14:textFill>
        </w:rPr>
      </w:pPr>
    </w:p>
    <w:p w14:paraId="543F8BC8">
      <w:pPr>
        <w:tabs>
          <w:tab w:val="left" w:pos="900"/>
          <w:tab w:val="left" w:pos="1080"/>
        </w:tabs>
        <w:spacing w:line="300" w:lineRule="auto"/>
        <w:jc w:val="center"/>
        <w:outlineLvl w:val="0"/>
        <w:rPr>
          <w:b/>
          <w:color w:val="000000" w:themeColor="text1"/>
          <w:sz w:val="28"/>
          <w:szCs w:val="21"/>
          <w14:textFill>
            <w14:solidFill>
              <w14:schemeClr w14:val="tx1"/>
            </w14:solidFill>
          </w14:textFill>
        </w:rPr>
      </w:pPr>
      <w:r>
        <w:rPr>
          <w:b/>
          <w:color w:val="000000" w:themeColor="text1"/>
          <w:sz w:val="28"/>
          <w:szCs w:val="21"/>
          <w14:textFill>
            <w14:solidFill>
              <w14:schemeClr w14:val="tx1"/>
            </w14:solidFill>
          </w14:textFill>
        </w:rPr>
        <w:t>目  录</w:t>
      </w:r>
    </w:p>
    <w:p w14:paraId="19884074">
      <w:pPr>
        <w:tabs>
          <w:tab w:val="left" w:pos="900"/>
          <w:tab w:val="left" w:pos="1080"/>
        </w:tabs>
        <w:spacing w:line="300" w:lineRule="auto"/>
        <w:jc w:val="center"/>
        <w:outlineLvl w:val="0"/>
        <w:rPr>
          <w:b/>
          <w:color w:val="000000" w:themeColor="text1"/>
          <w:sz w:val="24"/>
          <w14:textFill>
            <w14:solidFill>
              <w14:schemeClr w14:val="tx1"/>
            </w14:solidFill>
          </w14:textFill>
        </w:rPr>
      </w:pPr>
    </w:p>
    <w:p w14:paraId="1179BB58">
      <w:pPr>
        <w:tabs>
          <w:tab w:val="left" w:pos="900"/>
          <w:tab w:val="left" w:pos="1080"/>
        </w:tabs>
        <w:spacing w:line="360" w:lineRule="auto"/>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一、报价书</w:t>
      </w:r>
    </w:p>
    <w:p w14:paraId="191213F5">
      <w:pPr>
        <w:tabs>
          <w:tab w:val="left" w:pos="900"/>
          <w:tab w:val="left" w:pos="1080"/>
        </w:tabs>
        <w:spacing w:line="360" w:lineRule="auto"/>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二、资格审查</w:t>
      </w:r>
    </w:p>
    <w:p w14:paraId="51137A33">
      <w:pPr>
        <w:tabs>
          <w:tab w:val="left" w:pos="900"/>
          <w:tab w:val="left" w:pos="1080"/>
        </w:tabs>
        <w:spacing w:line="360" w:lineRule="auto"/>
        <w:outlineLvl w:val="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三、商务部分</w:t>
      </w:r>
    </w:p>
    <w:p w14:paraId="06323DDA">
      <w:pPr>
        <w:tabs>
          <w:tab w:val="left" w:pos="900"/>
          <w:tab w:val="left" w:pos="1080"/>
        </w:tabs>
        <w:spacing w:line="360" w:lineRule="auto"/>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四</w:t>
      </w:r>
      <w:r>
        <w:rPr>
          <w:color w:val="000000" w:themeColor="text1"/>
          <w:sz w:val="24"/>
          <w:szCs w:val="24"/>
          <w14:textFill>
            <w14:solidFill>
              <w14:schemeClr w14:val="tx1"/>
            </w14:solidFill>
          </w14:textFill>
        </w:rPr>
        <w:t>、其他资料</w:t>
      </w:r>
    </w:p>
    <w:p w14:paraId="1225372E">
      <w:pPr>
        <w:pStyle w:val="34"/>
        <w:rPr>
          <w:color w:val="000000" w:themeColor="text1"/>
          <w14:textFill>
            <w14:solidFill>
              <w14:schemeClr w14:val="tx1"/>
            </w14:solidFill>
          </w14:textFill>
        </w:rPr>
      </w:pPr>
    </w:p>
    <w:p w14:paraId="2AE35FA9">
      <w:pPr>
        <w:pStyle w:val="34"/>
        <w:rPr>
          <w:color w:val="000000" w:themeColor="text1"/>
          <w14:textFill>
            <w14:solidFill>
              <w14:schemeClr w14:val="tx1"/>
            </w14:solidFill>
          </w14:textFill>
        </w:rPr>
      </w:pPr>
    </w:p>
    <w:p w14:paraId="00F3A368">
      <w:pPr>
        <w:spacing w:line="440" w:lineRule="exact"/>
        <w:rPr>
          <w:rFonts w:ascii="宋体" w:hAnsi="宋体" w:cs="宋体"/>
          <w:b/>
          <w:color w:val="000000" w:themeColor="text1"/>
          <w14:textFill>
            <w14:solidFill>
              <w14:schemeClr w14:val="tx1"/>
            </w14:solidFill>
          </w14:textFill>
        </w:rPr>
      </w:pPr>
    </w:p>
    <w:p w14:paraId="737B7071">
      <w:pPr>
        <w:jc w:val="center"/>
        <w:outlineLvl w:val="0"/>
        <w:rPr>
          <w:rFonts w:ascii="宋体" w:hAnsi="宋体" w:cs="宋体"/>
          <w:b/>
          <w:color w:val="000000" w:themeColor="text1"/>
          <w:sz w:val="28"/>
          <w:szCs w:val="28"/>
          <w14:textFill>
            <w14:solidFill>
              <w14:schemeClr w14:val="tx1"/>
            </w14:solidFill>
          </w14:textFill>
        </w:rPr>
        <w:sectPr>
          <w:pgSz w:w="11906" w:h="16838"/>
          <w:pgMar w:top="1418" w:right="1361" w:bottom="1418" w:left="1361" w:header="851" w:footer="992" w:gutter="0"/>
          <w:cols w:space="720" w:num="1"/>
          <w:docGrid w:type="lines" w:linePitch="312" w:charSpace="0"/>
        </w:sectPr>
      </w:pPr>
    </w:p>
    <w:p w14:paraId="4930E41F">
      <w:pPr>
        <w:jc w:val="center"/>
        <w:outlineLvl w:val="0"/>
        <w:rPr>
          <w:rFonts w:ascii="宋体" w:hAnsi="宋体" w:cs="宋体"/>
          <w:b/>
          <w:color w:val="000000" w:themeColor="text1"/>
          <w:sz w:val="28"/>
          <w:szCs w:val="28"/>
          <w14:textFill>
            <w14:solidFill>
              <w14:schemeClr w14:val="tx1"/>
            </w14:solidFill>
          </w14:textFill>
        </w:rPr>
      </w:pPr>
    </w:p>
    <w:p w14:paraId="33BA1FDD">
      <w:pPr>
        <w:jc w:val="center"/>
        <w:rPr>
          <w:b/>
          <w:color w:val="000000" w:themeColor="text1"/>
          <w:sz w:val="40"/>
          <w:szCs w:val="44"/>
          <w14:textFill>
            <w14:solidFill>
              <w14:schemeClr w14:val="tx1"/>
            </w14:solidFill>
          </w14:textFill>
        </w:rPr>
      </w:pPr>
    </w:p>
    <w:p w14:paraId="6EC54C58">
      <w:pPr>
        <w:jc w:val="center"/>
        <w:rPr>
          <w:b/>
          <w:color w:val="000000" w:themeColor="text1"/>
          <w:sz w:val="40"/>
          <w:szCs w:val="44"/>
          <w14:textFill>
            <w14:solidFill>
              <w14:schemeClr w14:val="tx1"/>
            </w14:solidFill>
          </w14:textFill>
        </w:rPr>
      </w:pPr>
    </w:p>
    <w:p w14:paraId="40873D38">
      <w:pPr>
        <w:jc w:val="center"/>
        <w:rPr>
          <w:b/>
          <w:color w:val="000000" w:themeColor="text1"/>
          <w:sz w:val="40"/>
          <w:szCs w:val="44"/>
          <w14:textFill>
            <w14:solidFill>
              <w14:schemeClr w14:val="tx1"/>
            </w14:solidFill>
          </w14:textFill>
        </w:rPr>
      </w:pPr>
    </w:p>
    <w:p w14:paraId="23E03104">
      <w:pPr>
        <w:jc w:val="center"/>
        <w:rPr>
          <w:b/>
          <w:color w:val="000000" w:themeColor="text1"/>
          <w:sz w:val="40"/>
          <w:szCs w:val="44"/>
          <w14:textFill>
            <w14:solidFill>
              <w14:schemeClr w14:val="tx1"/>
            </w14:solidFill>
          </w14:textFill>
        </w:rPr>
      </w:pPr>
    </w:p>
    <w:p w14:paraId="3490A1E8">
      <w:pPr>
        <w:jc w:val="center"/>
        <w:rPr>
          <w:b/>
          <w:color w:val="000000" w:themeColor="text1"/>
          <w:sz w:val="40"/>
          <w:szCs w:val="44"/>
          <w14:textFill>
            <w14:solidFill>
              <w14:schemeClr w14:val="tx1"/>
            </w14:solidFill>
          </w14:textFill>
        </w:rPr>
      </w:pPr>
    </w:p>
    <w:p w14:paraId="586A97FA">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报</w:t>
      </w:r>
    </w:p>
    <w:p w14:paraId="5D3CA1AF">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价</w:t>
      </w:r>
    </w:p>
    <w:p w14:paraId="15ACB5E1">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书</w:t>
      </w:r>
    </w:p>
    <w:p w14:paraId="01B3BF86">
      <w:pPr>
        <w:jc w:val="center"/>
        <w:outlineLvl w:val="0"/>
        <w:rPr>
          <w:rFonts w:ascii="宋体" w:hAnsi="宋体" w:cs="宋体"/>
          <w:b/>
          <w:color w:val="000000" w:themeColor="text1"/>
          <w:sz w:val="28"/>
          <w:szCs w:val="28"/>
          <w14:textFill>
            <w14:solidFill>
              <w14:schemeClr w14:val="tx1"/>
            </w14:solidFill>
          </w14:textFill>
        </w:rPr>
        <w:sectPr>
          <w:pgSz w:w="11906" w:h="16838"/>
          <w:pgMar w:top="1418" w:right="1361" w:bottom="1418" w:left="1361" w:header="851" w:footer="992" w:gutter="0"/>
          <w:cols w:space="720" w:num="1"/>
          <w:docGrid w:type="lines" w:linePitch="312" w:charSpace="0"/>
        </w:sectPr>
      </w:pPr>
    </w:p>
    <w:p w14:paraId="756F2273">
      <w:pPr>
        <w:jc w:val="center"/>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一、报价书</w:t>
      </w:r>
    </w:p>
    <w:p w14:paraId="4A8442AB">
      <w:pPr>
        <w:spacing w:line="440" w:lineRule="exact"/>
        <w:rPr>
          <w:color w:val="000000" w:themeColor="text1"/>
          <w:szCs w:val="21"/>
          <w14:textFill>
            <w14:solidFill>
              <w14:schemeClr w14:val="tx1"/>
            </w14:solidFill>
          </w14:textFill>
        </w:rPr>
      </w:pPr>
      <w:r>
        <w:rPr>
          <w:b/>
          <w:color w:val="000000" w:themeColor="text1"/>
          <w:u w:val="single"/>
          <w14:textFill>
            <w14:solidFill>
              <w14:schemeClr w14:val="tx1"/>
            </w14:solidFill>
          </w14:textFill>
        </w:rPr>
        <w:t>致：重庆高速工程检测有限公司</w:t>
      </w:r>
    </w:p>
    <w:p w14:paraId="6DC3BA1C">
      <w:pPr>
        <w:spacing w:line="44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1．我方已仔细研究了</w:t>
      </w:r>
      <w:r>
        <w:rPr>
          <w:rFonts w:hint="eastAsia"/>
          <w:b/>
          <w:color w:val="000000" w:themeColor="text1"/>
          <w:szCs w:val="22"/>
          <w:u w:val="single"/>
          <w:lang w:eastAsia="zh-CN"/>
          <w14:textFill>
            <w14:solidFill>
              <w14:schemeClr w14:val="tx1"/>
            </w14:solidFill>
          </w14:textFill>
        </w:rPr>
        <w:t>2026年隧道检测车租赁及技术服务</w:t>
      </w:r>
      <w:r>
        <w:rPr>
          <w:rFonts w:hint="eastAsia"/>
          <w:b/>
          <w:color w:val="000000" w:themeColor="text1"/>
          <w:szCs w:val="22"/>
          <w:u w:val="single"/>
          <w14:textFill>
            <w14:solidFill>
              <w14:schemeClr w14:val="tx1"/>
            </w14:solidFill>
          </w14:textFill>
        </w:rPr>
        <w:t>（第一批）</w:t>
      </w:r>
      <w:r>
        <w:rPr>
          <w:color w:val="000000" w:themeColor="text1"/>
          <w:szCs w:val="21"/>
          <w14:textFill>
            <w14:solidFill>
              <w14:schemeClr w14:val="tx1"/>
            </w14:solidFill>
          </w14:textFill>
        </w:rPr>
        <w:t>竞争性比选文件的全部内容，根据相关取费标准，愿意以单价为</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元/单洞.延米，总价¥</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（大写：</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）竞标，并按约定实施。</w:t>
      </w:r>
    </w:p>
    <w:p w14:paraId="414F8BCD">
      <w:pPr>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2．我方承诺在投标有效期内不修改、撤销竞争性比选响应文件。</w:t>
      </w:r>
    </w:p>
    <w:p w14:paraId="21BDFBD6">
      <w:pPr>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color w:val="000000" w:themeColor="text1"/>
          <w14:textFill>
            <w14:solidFill>
              <w14:schemeClr w14:val="tx1"/>
            </w14:solidFill>
          </w14:textFill>
        </w:rPr>
        <w:t>我方在此声明，所递交的竞争性比选响应文件及有关资料内容完整、真实和准确。</w:t>
      </w:r>
    </w:p>
    <w:p w14:paraId="4B624F61">
      <w:pPr>
        <w:spacing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4．在合同协议书正式签署生效之前，本报价书连同你方的成交通知书将构成我们双方之间共同遵守的文件，对双方具有约束力。</w:t>
      </w:r>
    </w:p>
    <w:p w14:paraId="72110AB8">
      <w:pPr>
        <w:spacing w:line="440" w:lineRule="exact"/>
        <w:rPr>
          <w:color w:val="000000" w:themeColor="text1"/>
          <w:szCs w:val="21"/>
          <w14:textFill>
            <w14:solidFill>
              <w14:schemeClr w14:val="tx1"/>
            </w14:solidFill>
          </w14:textFill>
        </w:rPr>
      </w:pPr>
    </w:p>
    <w:p w14:paraId="6B84AF4E">
      <w:pPr>
        <w:spacing w:line="440" w:lineRule="exact"/>
        <w:rPr>
          <w:color w:val="000000" w:themeColor="text1"/>
          <w:szCs w:val="21"/>
          <w14:textFill>
            <w14:solidFill>
              <w14:schemeClr w14:val="tx1"/>
            </w14:solidFill>
          </w14:textFill>
        </w:rPr>
      </w:pPr>
    </w:p>
    <w:p w14:paraId="284837C9">
      <w:pPr>
        <w:spacing w:line="440" w:lineRule="exact"/>
        <w:rPr>
          <w:color w:val="000000" w:themeColor="text1"/>
          <w:szCs w:val="21"/>
          <w14:textFill>
            <w14:solidFill>
              <w14:schemeClr w14:val="tx1"/>
            </w14:solidFill>
          </w14:textFill>
        </w:rPr>
      </w:pPr>
    </w:p>
    <w:p w14:paraId="06EC086E">
      <w:pPr>
        <w:spacing w:line="440" w:lineRule="exact"/>
        <w:rPr>
          <w:color w:val="000000" w:themeColor="text1"/>
          <w:szCs w:val="21"/>
          <w14:textFill>
            <w14:solidFill>
              <w14:schemeClr w14:val="tx1"/>
            </w14:solidFill>
          </w14:textFill>
        </w:rPr>
      </w:pPr>
    </w:p>
    <w:p w14:paraId="5777BF65">
      <w:pPr>
        <w:spacing w:line="440" w:lineRule="exact"/>
        <w:rPr>
          <w:color w:val="000000" w:themeColor="text1"/>
          <w:szCs w:val="21"/>
          <w14:textFill>
            <w14:solidFill>
              <w14:schemeClr w14:val="tx1"/>
            </w14:solidFill>
          </w14:textFill>
        </w:rPr>
      </w:pPr>
    </w:p>
    <w:p w14:paraId="115AC93A">
      <w:pPr>
        <w:spacing w:line="440" w:lineRule="exact"/>
        <w:rPr>
          <w:color w:val="000000" w:themeColor="text1"/>
          <w:szCs w:val="21"/>
          <w14:textFill>
            <w14:solidFill>
              <w14:schemeClr w14:val="tx1"/>
            </w14:solidFill>
          </w14:textFill>
        </w:rPr>
      </w:pPr>
    </w:p>
    <w:p w14:paraId="73D5B190">
      <w:pPr>
        <w:spacing w:line="440" w:lineRule="exact"/>
        <w:ind w:firstLine="3675" w:firstLineChars="1750"/>
        <w:rPr>
          <w:color w:val="000000" w:themeColor="text1"/>
          <w:szCs w:val="21"/>
          <w14:textFill>
            <w14:solidFill>
              <w14:schemeClr w14:val="tx1"/>
            </w14:solidFill>
          </w14:textFill>
        </w:rPr>
      </w:pPr>
      <w:r>
        <w:rPr>
          <w:color w:val="000000" w:themeColor="text1"/>
          <w:szCs w:val="21"/>
          <w14:textFill>
            <w14:solidFill>
              <w14:schemeClr w14:val="tx1"/>
            </w14:solidFill>
          </w14:textFill>
        </w:rPr>
        <w:t>竞 标 人：</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（盖单位章）</w:t>
      </w:r>
    </w:p>
    <w:p w14:paraId="7D177AA4">
      <w:pPr>
        <w:spacing w:line="440" w:lineRule="exact"/>
        <w:ind w:firstLine="3675" w:firstLineChars="1750"/>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法定代表人或其委托代理人：</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（签字）</w:t>
      </w:r>
    </w:p>
    <w:p w14:paraId="44C1D28D">
      <w:pPr>
        <w:tabs>
          <w:tab w:val="left" w:pos="6300"/>
        </w:tabs>
        <w:autoSpaceDE w:val="0"/>
        <w:autoSpaceDN w:val="0"/>
        <w:adjustRightInd w:val="0"/>
        <w:snapToGrid w:val="0"/>
        <w:spacing w:line="360" w:lineRule="auto"/>
        <w:ind w:firstLine="1680"/>
        <w:jc w:val="right"/>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地址</w:t>
      </w:r>
      <w:r>
        <w:rPr>
          <w:color w:val="000000" w:themeColor="text1"/>
          <w:kern w:val="0"/>
          <w:szCs w:val="21"/>
          <w14:textFill>
            <w14:solidFill>
              <w14:schemeClr w14:val="tx1"/>
            </w14:solidFill>
          </w14:textFill>
        </w:rPr>
        <w:t>：</w:t>
      </w:r>
      <w:r>
        <w:rPr>
          <w:color w:val="000000" w:themeColor="text1"/>
          <w:w w:val="200"/>
          <w:kern w:val="0"/>
          <w:szCs w:val="21"/>
          <w:u w:val="single"/>
          <w14:textFill>
            <w14:solidFill>
              <w14:schemeClr w14:val="tx1"/>
            </w14:solidFill>
          </w14:textFill>
        </w:rPr>
        <w:t xml:space="preserve"> </w:t>
      </w:r>
      <w:r>
        <w:rPr>
          <w:color w:val="000000" w:themeColor="text1"/>
          <w:kern w:val="0"/>
          <w:szCs w:val="21"/>
          <w:u w:val="single"/>
          <w14:textFill>
            <w14:solidFill>
              <w14:schemeClr w14:val="tx1"/>
            </w14:solidFill>
          </w14:textFill>
        </w:rPr>
        <w:tab/>
      </w:r>
      <w:r>
        <w:rPr>
          <w:color w:val="000000" w:themeColor="text1"/>
          <w:kern w:val="0"/>
          <w:szCs w:val="21"/>
          <w:u w:val="single"/>
          <w14:textFill>
            <w14:solidFill>
              <w14:schemeClr w14:val="tx1"/>
            </w14:solidFill>
          </w14:textFill>
        </w:rPr>
        <w:t xml:space="preserve">  </w:t>
      </w:r>
    </w:p>
    <w:p w14:paraId="1151319A">
      <w:pPr>
        <w:tabs>
          <w:tab w:val="left" w:pos="5260"/>
        </w:tabs>
        <w:autoSpaceDE w:val="0"/>
        <w:autoSpaceDN w:val="0"/>
        <w:adjustRightInd w:val="0"/>
        <w:snapToGrid w:val="0"/>
        <w:spacing w:line="360" w:lineRule="auto"/>
        <w:ind w:firstLine="1680"/>
        <w:jc w:val="right"/>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网址</w:t>
      </w:r>
      <w:r>
        <w:rPr>
          <w:color w:val="000000" w:themeColor="text1"/>
          <w:kern w:val="0"/>
          <w:szCs w:val="21"/>
          <w14:textFill>
            <w14:solidFill>
              <w14:schemeClr w14:val="tx1"/>
            </w14:solidFill>
          </w14:textFill>
        </w:rPr>
        <w:t>：</w:t>
      </w:r>
      <w:r>
        <w:rPr>
          <w:color w:val="000000" w:themeColor="text1"/>
          <w:w w:val="200"/>
          <w:kern w:val="0"/>
          <w:szCs w:val="21"/>
          <w:u w:val="single"/>
          <w14:textFill>
            <w14:solidFill>
              <w14:schemeClr w14:val="tx1"/>
            </w14:solidFill>
          </w14:textFill>
        </w:rPr>
        <w:t xml:space="preserve">                 </w:t>
      </w:r>
      <w:r>
        <w:rPr>
          <w:color w:val="000000" w:themeColor="text1"/>
          <w:kern w:val="0"/>
          <w:szCs w:val="21"/>
          <w:u w:val="single"/>
          <w14:textFill>
            <w14:solidFill>
              <w14:schemeClr w14:val="tx1"/>
            </w14:solidFill>
          </w14:textFill>
        </w:rPr>
        <w:tab/>
      </w:r>
      <w:r>
        <w:rPr>
          <w:color w:val="000000" w:themeColor="text1"/>
          <w:kern w:val="0"/>
          <w:szCs w:val="21"/>
          <w:u w:val="single"/>
          <w14:textFill>
            <w14:solidFill>
              <w14:schemeClr w14:val="tx1"/>
            </w14:solidFill>
          </w14:textFill>
        </w:rPr>
        <w:t xml:space="preserve"> </w:t>
      </w:r>
    </w:p>
    <w:p w14:paraId="707ED83C">
      <w:pPr>
        <w:tabs>
          <w:tab w:val="left" w:pos="6720"/>
        </w:tabs>
        <w:autoSpaceDE w:val="0"/>
        <w:autoSpaceDN w:val="0"/>
        <w:adjustRightInd w:val="0"/>
        <w:snapToGrid w:val="0"/>
        <w:spacing w:line="360" w:lineRule="auto"/>
        <w:ind w:firstLine="1680"/>
        <w:jc w:val="right"/>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    电话</w:t>
      </w:r>
      <w:r>
        <w:rPr>
          <w:color w:val="000000" w:themeColor="text1"/>
          <w:kern w:val="0"/>
          <w:szCs w:val="21"/>
          <w14:textFill>
            <w14:solidFill>
              <w14:schemeClr w14:val="tx1"/>
            </w14:solidFill>
          </w14:textFill>
        </w:rPr>
        <w:t>：</w:t>
      </w:r>
      <w:r>
        <w:rPr>
          <w:color w:val="000000" w:themeColor="text1"/>
          <w:w w:val="200"/>
          <w:kern w:val="0"/>
          <w:szCs w:val="21"/>
          <w:u w:val="single"/>
          <w14:textFill>
            <w14:solidFill>
              <w14:schemeClr w14:val="tx1"/>
            </w14:solidFill>
          </w14:textFill>
        </w:rPr>
        <w:t xml:space="preserve"> </w:t>
      </w:r>
      <w:r>
        <w:rPr>
          <w:color w:val="000000" w:themeColor="text1"/>
          <w:kern w:val="0"/>
          <w:szCs w:val="21"/>
          <w:u w:val="single"/>
          <w14:textFill>
            <w14:solidFill>
              <w14:schemeClr w14:val="tx1"/>
            </w14:solidFill>
          </w14:textFill>
        </w:rPr>
        <w:tab/>
      </w:r>
    </w:p>
    <w:p w14:paraId="229AA337">
      <w:pPr>
        <w:tabs>
          <w:tab w:val="left" w:pos="6825"/>
        </w:tabs>
        <w:autoSpaceDE w:val="0"/>
        <w:autoSpaceDN w:val="0"/>
        <w:adjustRightInd w:val="0"/>
        <w:snapToGrid w:val="0"/>
        <w:spacing w:line="360" w:lineRule="auto"/>
        <w:ind w:firstLine="1680"/>
        <w:jc w:val="right"/>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传真</w:t>
      </w:r>
      <w:r>
        <w:rPr>
          <w:color w:val="000000" w:themeColor="text1"/>
          <w:kern w:val="0"/>
          <w:szCs w:val="21"/>
          <w14:textFill>
            <w14:solidFill>
              <w14:schemeClr w14:val="tx1"/>
            </w14:solidFill>
          </w14:textFill>
        </w:rPr>
        <w:t>：</w:t>
      </w:r>
      <w:r>
        <w:rPr>
          <w:color w:val="000000" w:themeColor="text1"/>
          <w:w w:val="200"/>
          <w:kern w:val="0"/>
          <w:szCs w:val="21"/>
          <w:u w:val="single"/>
          <w14:textFill>
            <w14:solidFill>
              <w14:schemeClr w14:val="tx1"/>
            </w14:solidFill>
          </w14:textFill>
        </w:rPr>
        <w:t xml:space="preserve"> </w:t>
      </w:r>
      <w:r>
        <w:rPr>
          <w:color w:val="000000" w:themeColor="text1"/>
          <w:kern w:val="0"/>
          <w:szCs w:val="21"/>
          <w:u w:val="single"/>
          <w14:textFill>
            <w14:solidFill>
              <w14:schemeClr w14:val="tx1"/>
            </w14:solidFill>
          </w14:textFill>
        </w:rPr>
        <w:tab/>
      </w:r>
    </w:p>
    <w:p w14:paraId="06833593">
      <w:pPr>
        <w:tabs>
          <w:tab w:val="left" w:pos="6825"/>
        </w:tabs>
        <w:autoSpaceDE w:val="0"/>
        <w:autoSpaceDN w:val="0"/>
        <w:adjustRightInd w:val="0"/>
        <w:snapToGrid w:val="0"/>
        <w:spacing w:line="360" w:lineRule="auto"/>
        <w:ind w:firstLine="1680"/>
        <w:jc w:val="right"/>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邮政编码</w:t>
      </w:r>
      <w:r>
        <w:rPr>
          <w:color w:val="000000" w:themeColor="text1"/>
          <w:kern w:val="0"/>
          <w:szCs w:val="21"/>
          <w14:textFill>
            <w14:solidFill>
              <w14:schemeClr w14:val="tx1"/>
            </w14:solidFill>
          </w14:textFill>
        </w:rPr>
        <w:t>：</w:t>
      </w:r>
      <w:r>
        <w:rPr>
          <w:color w:val="000000" w:themeColor="text1"/>
          <w:w w:val="200"/>
          <w:kern w:val="0"/>
          <w:szCs w:val="21"/>
          <w:u w:val="single"/>
          <w14:textFill>
            <w14:solidFill>
              <w14:schemeClr w14:val="tx1"/>
            </w14:solidFill>
          </w14:textFill>
        </w:rPr>
        <w:t xml:space="preserve"> </w:t>
      </w:r>
      <w:r>
        <w:rPr>
          <w:color w:val="000000" w:themeColor="text1"/>
          <w:kern w:val="0"/>
          <w:szCs w:val="21"/>
          <w:u w:val="single"/>
          <w14:textFill>
            <w14:solidFill>
              <w14:schemeClr w14:val="tx1"/>
            </w14:solidFill>
          </w14:textFill>
        </w:rPr>
        <w:tab/>
      </w:r>
    </w:p>
    <w:p w14:paraId="012AFC13">
      <w:pPr>
        <w:spacing w:line="440" w:lineRule="exact"/>
        <w:ind w:firstLine="3675" w:firstLineChars="1750"/>
        <w:rPr>
          <w:color w:val="000000" w:themeColor="text1"/>
          <w:szCs w:val="21"/>
          <w14:textFill>
            <w14:solidFill>
              <w14:schemeClr w14:val="tx1"/>
            </w14:solidFill>
          </w14:textFill>
        </w:rPr>
      </w:pPr>
    </w:p>
    <w:p w14:paraId="2A20BF55">
      <w:pPr>
        <w:spacing w:line="440" w:lineRule="exact"/>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p>
    <w:p w14:paraId="0D18A674">
      <w:pPr>
        <w:spacing w:line="400" w:lineRule="atLeast"/>
        <w:jc w:val="right"/>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14:paraId="7749590E">
      <w:pPr>
        <w:spacing w:line="440" w:lineRule="exact"/>
        <w:ind w:firstLine="2003" w:firstLineChars="950"/>
        <w:rPr>
          <w:rFonts w:ascii="宋体" w:hAnsi="宋体" w:cs="宋体"/>
          <w:b/>
          <w:color w:val="000000" w:themeColor="text1"/>
          <w14:textFill>
            <w14:solidFill>
              <w14:schemeClr w14:val="tx1"/>
            </w14:solidFill>
          </w14:textFill>
        </w:rPr>
      </w:pPr>
    </w:p>
    <w:p w14:paraId="31308648">
      <w:pPr>
        <w:spacing w:line="440" w:lineRule="exact"/>
        <w:ind w:firstLine="2003" w:firstLineChars="950"/>
        <w:rPr>
          <w:rFonts w:ascii="宋体" w:hAnsi="宋体" w:cs="宋体"/>
          <w:b/>
          <w:color w:val="000000" w:themeColor="text1"/>
          <w14:textFill>
            <w14:solidFill>
              <w14:schemeClr w14:val="tx1"/>
            </w14:solidFill>
          </w14:textFill>
        </w:rPr>
      </w:pPr>
    </w:p>
    <w:p w14:paraId="5C39D600">
      <w:pPr>
        <w:spacing w:line="440" w:lineRule="exact"/>
        <w:ind w:firstLine="2003" w:firstLineChars="950"/>
        <w:rPr>
          <w:rFonts w:ascii="宋体" w:hAnsi="宋体" w:cs="宋体"/>
          <w:b/>
          <w:color w:val="000000" w:themeColor="text1"/>
          <w14:textFill>
            <w14:solidFill>
              <w14:schemeClr w14:val="tx1"/>
            </w14:solidFill>
          </w14:textFill>
        </w:rPr>
      </w:pPr>
    </w:p>
    <w:p w14:paraId="5E51D77D">
      <w:pPr>
        <w:pStyle w:val="34"/>
        <w:rPr>
          <w:color w:val="000000" w:themeColor="text1"/>
          <w14:textFill>
            <w14:solidFill>
              <w14:schemeClr w14:val="tx1"/>
            </w14:solidFill>
          </w14:textFill>
        </w:rPr>
      </w:pPr>
    </w:p>
    <w:p w14:paraId="63A70F0C">
      <w:pPr>
        <w:pStyle w:val="34"/>
        <w:rPr>
          <w:rFonts w:ascii="宋体" w:hAnsi="宋体" w:cs="宋体"/>
          <w:b/>
          <w:color w:val="000000" w:themeColor="text1"/>
          <w14:textFill>
            <w14:solidFill>
              <w14:schemeClr w14:val="tx1"/>
            </w14:solidFill>
          </w14:textFill>
        </w:rPr>
      </w:pPr>
    </w:p>
    <w:p w14:paraId="12761968">
      <w:pPr>
        <w:pStyle w:val="34"/>
        <w:rPr>
          <w:rFonts w:ascii="宋体" w:hAnsi="宋体" w:cs="宋体"/>
          <w:b/>
          <w:color w:val="000000" w:themeColor="text1"/>
          <w14:textFill>
            <w14:solidFill>
              <w14:schemeClr w14:val="tx1"/>
            </w14:solidFill>
          </w14:textFill>
        </w:rPr>
      </w:pPr>
    </w:p>
    <w:p w14:paraId="486423EC">
      <w:pPr>
        <w:pStyle w:val="34"/>
        <w:rPr>
          <w:rFonts w:ascii="宋体" w:hAnsi="宋体" w:cs="宋体"/>
          <w:b/>
          <w:color w:val="000000" w:themeColor="text1"/>
          <w14:textFill>
            <w14:solidFill>
              <w14:schemeClr w14:val="tx1"/>
            </w14:solidFill>
          </w14:textFill>
        </w:rPr>
      </w:pPr>
    </w:p>
    <w:p w14:paraId="7900B761">
      <w:pPr>
        <w:pStyle w:val="34"/>
        <w:rPr>
          <w:rFonts w:ascii="宋体" w:hAnsi="宋体" w:cs="宋体"/>
          <w:b/>
          <w:color w:val="000000" w:themeColor="text1"/>
          <w14:textFill>
            <w14:solidFill>
              <w14:schemeClr w14:val="tx1"/>
            </w14:solidFill>
          </w14:textFill>
        </w:rPr>
      </w:pPr>
    </w:p>
    <w:p w14:paraId="49F600E5">
      <w:pPr>
        <w:jc w:val="center"/>
        <w:rPr>
          <w:b/>
          <w:color w:val="000000" w:themeColor="text1"/>
          <w:sz w:val="40"/>
          <w:szCs w:val="44"/>
          <w14:textFill>
            <w14:solidFill>
              <w14:schemeClr w14:val="tx1"/>
            </w14:solidFill>
          </w14:textFill>
        </w:rPr>
      </w:pPr>
    </w:p>
    <w:p w14:paraId="530C00FD">
      <w:pPr>
        <w:jc w:val="center"/>
        <w:rPr>
          <w:b/>
          <w:color w:val="000000" w:themeColor="text1"/>
          <w:sz w:val="40"/>
          <w:szCs w:val="44"/>
          <w14:textFill>
            <w14:solidFill>
              <w14:schemeClr w14:val="tx1"/>
            </w14:solidFill>
          </w14:textFill>
        </w:rPr>
      </w:pPr>
    </w:p>
    <w:p w14:paraId="10E30C0A">
      <w:pPr>
        <w:jc w:val="center"/>
        <w:rPr>
          <w:b/>
          <w:color w:val="000000" w:themeColor="text1"/>
          <w:sz w:val="40"/>
          <w:szCs w:val="44"/>
          <w14:textFill>
            <w14:solidFill>
              <w14:schemeClr w14:val="tx1"/>
            </w14:solidFill>
          </w14:textFill>
        </w:rPr>
      </w:pPr>
    </w:p>
    <w:p w14:paraId="27DA33A0">
      <w:pPr>
        <w:jc w:val="center"/>
        <w:rPr>
          <w:b/>
          <w:color w:val="000000" w:themeColor="text1"/>
          <w:sz w:val="40"/>
          <w:szCs w:val="44"/>
          <w14:textFill>
            <w14:solidFill>
              <w14:schemeClr w14:val="tx1"/>
            </w14:solidFill>
          </w14:textFill>
        </w:rPr>
      </w:pPr>
    </w:p>
    <w:p w14:paraId="5B20E11F">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资</w:t>
      </w:r>
    </w:p>
    <w:p w14:paraId="58BBB494">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格</w:t>
      </w:r>
    </w:p>
    <w:p w14:paraId="43B899DA">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审</w:t>
      </w:r>
    </w:p>
    <w:p w14:paraId="321D5487">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查</w:t>
      </w:r>
    </w:p>
    <w:p w14:paraId="41672C0E">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部</w:t>
      </w:r>
    </w:p>
    <w:p w14:paraId="4177B585">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分</w:t>
      </w:r>
    </w:p>
    <w:p w14:paraId="62168C3E">
      <w:pPr>
        <w:pStyle w:val="34"/>
        <w:rPr>
          <w:rFonts w:ascii="宋体" w:hAnsi="宋体" w:cs="宋体"/>
          <w:b/>
          <w:color w:val="000000" w:themeColor="text1"/>
          <w14:textFill>
            <w14:solidFill>
              <w14:schemeClr w14:val="tx1"/>
            </w14:solidFill>
          </w14:textFill>
        </w:rPr>
      </w:pPr>
    </w:p>
    <w:p w14:paraId="7BC85DD9">
      <w:pPr>
        <w:pStyle w:val="34"/>
        <w:rPr>
          <w:rFonts w:ascii="宋体" w:hAnsi="宋体" w:cs="宋体"/>
          <w:b/>
          <w:color w:val="000000" w:themeColor="text1"/>
          <w14:textFill>
            <w14:solidFill>
              <w14:schemeClr w14:val="tx1"/>
            </w14:solidFill>
          </w14:textFill>
        </w:rPr>
      </w:pPr>
    </w:p>
    <w:p w14:paraId="25AB829C">
      <w:pPr>
        <w:pStyle w:val="34"/>
        <w:rPr>
          <w:rFonts w:ascii="宋体" w:hAnsi="宋体" w:cs="宋体"/>
          <w:b/>
          <w:color w:val="000000" w:themeColor="text1"/>
          <w14:textFill>
            <w14:solidFill>
              <w14:schemeClr w14:val="tx1"/>
            </w14:solidFill>
          </w14:textFill>
        </w:rPr>
      </w:pPr>
    </w:p>
    <w:p w14:paraId="1A27D80F">
      <w:pPr>
        <w:pStyle w:val="34"/>
        <w:rPr>
          <w:rFonts w:ascii="宋体" w:hAnsi="宋体" w:cs="宋体"/>
          <w:b/>
          <w:color w:val="000000" w:themeColor="text1"/>
          <w14:textFill>
            <w14:solidFill>
              <w14:schemeClr w14:val="tx1"/>
            </w14:solidFill>
          </w14:textFill>
        </w:rPr>
      </w:pPr>
    </w:p>
    <w:p w14:paraId="57C18C5E">
      <w:pPr>
        <w:pStyle w:val="34"/>
        <w:rPr>
          <w:rFonts w:ascii="宋体" w:hAnsi="宋体" w:cs="宋体"/>
          <w:b/>
          <w:color w:val="000000" w:themeColor="text1"/>
          <w14:textFill>
            <w14:solidFill>
              <w14:schemeClr w14:val="tx1"/>
            </w14:solidFill>
          </w14:textFill>
        </w:rPr>
      </w:pPr>
    </w:p>
    <w:p w14:paraId="0CE27E2F">
      <w:pPr>
        <w:pStyle w:val="34"/>
        <w:rPr>
          <w:rFonts w:ascii="宋体" w:hAnsi="宋体" w:cs="宋体"/>
          <w:b/>
          <w:color w:val="000000" w:themeColor="text1"/>
          <w14:textFill>
            <w14:solidFill>
              <w14:schemeClr w14:val="tx1"/>
            </w14:solidFill>
          </w14:textFill>
        </w:rPr>
      </w:pPr>
    </w:p>
    <w:p w14:paraId="33E17528">
      <w:pPr>
        <w:pStyle w:val="34"/>
        <w:rPr>
          <w:rFonts w:ascii="宋体" w:hAnsi="宋体" w:cs="宋体"/>
          <w:b/>
          <w:color w:val="000000" w:themeColor="text1"/>
          <w14:textFill>
            <w14:solidFill>
              <w14:schemeClr w14:val="tx1"/>
            </w14:solidFill>
          </w14:textFill>
        </w:rPr>
      </w:pPr>
    </w:p>
    <w:p w14:paraId="047C4468">
      <w:pPr>
        <w:pStyle w:val="34"/>
        <w:rPr>
          <w:rFonts w:ascii="宋体" w:hAnsi="宋体" w:cs="宋体"/>
          <w:b/>
          <w:color w:val="000000" w:themeColor="text1"/>
          <w14:textFill>
            <w14:solidFill>
              <w14:schemeClr w14:val="tx1"/>
            </w14:solidFill>
          </w14:textFill>
        </w:rPr>
      </w:pPr>
    </w:p>
    <w:p w14:paraId="66648959">
      <w:pPr>
        <w:pStyle w:val="34"/>
        <w:rPr>
          <w:rFonts w:ascii="宋体" w:hAnsi="宋体" w:cs="宋体"/>
          <w:b/>
          <w:color w:val="000000" w:themeColor="text1"/>
          <w14:textFill>
            <w14:solidFill>
              <w14:schemeClr w14:val="tx1"/>
            </w14:solidFill>
          </w14:textFill>
        </w:rPr>
      </w:pPr>
    </w:p>
    <w:p w14:paraId="1EC4B5B3">
      <w:pPr>
        <w:pStyle w:val="34"/>
        <w:rPr>
          <w:rFonts w:ascii="宋体" w:hAnsi="宋体" w:cs="宋体"/>
          <w:b/>
          <w:color w:val="000000" w:themeColor="text1"/>
          <w14:textFill>
            <w14:solidFill>
              <w14:schemeClr w14:val="tx1"/>
            </w14:solidFill>
          </w14:textFill>
        </w:rPr>
      </w:pPr>
    </w:p>
    <w:p w14:paraId="00028C7D">
      <w:pPr>
        <w:pStyle w:val="34"/>
        <w:rPr>
          <w:rFonts w:ascii="宋体" w:hAnsi="宋体" w:cs="宋体"/>
          <w:b/>
          <w:color w:val="000000" w:themeColor="text1"/>
          <w14:textFill>
            <w14:solidFill>
              <w14:schemeClr w14:val="tx1"/>
            </w14:solidFill>
          </w14:textFill>
        </w:rPr>
      </w:pPr>
    </w:p>
    <w:p w14:paraId="1AEEEDDC">
      <w:pPr>
        <w:pStyle w:val="34"/>
        <w:rPr>
          <w:rFonts w:ascii="宋体" w:hAnsi="宋体" w:cs="宋体"/>
          <w:b/>
          <w:color w:val="000000" w:themeColor="text1"/>
          <w14:textFill>
            <w14:solidFill>
              <w14:schemeClr w14:val="tx1"/>
            </w14:solidFill>
          </w14:textFill>
        </w:rPr>
      </w:pPr>
    </w:p>
    <w:p w14:paraId="4B705925">
      <w:pPr>
        <w:pStyle w:val="34"/>
        <w:rPr>
          <w:rFonts w:ascii="宋体" w:hAnsi="宋体" w:cs="宋体"/>
          <w:b/>
          <w:color w:val="000000" w:themeColor="text1"/>
          <w14:textFill>
            <w14:solidFill>
              <w14:schemeClr w14:val="tx1"/>
            </w14:solidFill>
          </w14:textFill>
        </w:rPr>
      </w:pPr>
    </w:p>
    <w:p w14:paraId="0A408B30">
      <w:pPr>
        <w:pStyle w:val="34"/>
        <w:rPr>
          <w:rFonts w:ascii="宋体" w:hAnsi="宋体" w:cs="宋体"/>
          <w:b/>
          <w:color w:val="000000" w:themeColor="text1"/>
          <w14:textFill>
            <w14:solidFill>
              <w14:schemeClr w14:val="tx1"/>
            </w14:solidFill>
          </w14:textFill>
        </w:rPr>
      </w:pPr>
    </w:p>
    <w:p w14:paraId="1F789F09">
      <w:pPr>
        <w:pStyle w:val="34"/>
        <w:rPr>
          <w:rFonts w:ascii="宋体" w:hAnsi="宋体" w:cs="宋体"/>
          <w:b/>
          <w:color w:val="000000" w:themeColor="text1"/>
          <w14:textFill>
            <w14:solidFill>
              <w14:schemeClr w14:val="tx1"/>
            </w14:solidFill>
          </w14:textFill>
        </w:rPr>
      </w:pPr>
    </w:p>
    <w:p w14:paraId="1E93084F">
      <w:pPr>
        <w:pStyle w:val="34"/>
        <w:rPr>
          <w:rFonts w:ascii="宋体" w:hAnsi="宋体" w:cs="宋体"/>
          <w:b/>
          <w:color w:val="000000" w:themeColor="text1"/>
          <w14:textFill>
            <w14:solidFill>
              <w14:schemeClr w14:val="tx1"/>
            </w14:solidFill>
          </w14:textFill>
        </w:rPr>
      </w:pPr>
    </w:p>
    <w:p w14:paraId="12803C9B">
      <w:pPr>
        <w:pStyle w:val="34"/>
        <w:rPr>
          <w:rFonts w:ascii="宋体" w:hAnsi="宋体" w:cs="宋体"/>
          <w:b/>
          <w:color w:val="000000" w:themeColor="text1"/>
          <w14:textFill>
            <w14:solidFill>
              <w14:schemeClr w14:val="tx1"/>
            </w14:solidFill>
          </w14:textFill>
        </w:rPr>
      </w:pPr>
    </w:p>
    <w:p w14:paraId="42AE71BF">
      <w:pPr>
        <w:pStyle w:val="34"/>
        <w:rPr>
          <w:rFonts w:ascii="宋体" w:hAnsi="宋体" w:cs="宋体"/>
          <w:b/>
          <w:color w:val="000000" w:themeColor="text1"/>
          <w14:textFill>
            <w14:solidFill>
              <w14:schemeClr w14:val="tx1"/>
            </w14:solidFill>
          </w14:textFill>
        </w:rPr>
      </w:pPr>
    </w:p>
    <w:p w14:paraId="4BDD8F6C">
      <w:pPr>
        <w:pStyle w:val="34"/>
        <w:jc w:val="center"/>
        <w:outlineLvl w:val="0"/>
        <w:rPr>
          <w:rFonts w:ascii="Times New Roman" w:eastAsia="宋体" w:cs="Times New Roman"/>
          <w:b/>
          <w:color w:val="000000" w:themeColor="text1"/>
          <w:sz w:val="28"/>
          <w:szCs w:val="28"/>
          <w14:textFill>
            <w14:solidFill>
              <w14:schemeClr w14:val="tx1"/>
            </w14:solidFill>
          </w14:textFill>
        </w:rPr>
      </w:pPr>
      <w:r>
        <w:rPr>
          <w:rFonts w:ascii="Times New Roman" w:eastAsia="宋体" w:cs="Times New Roman"/>
          <w:b/>
          <w:color w:val="000000" w:themeColor="text1"/>
          <w:sz w:val="28"/>
          <w:szCs w:val="28"/>
          <w14:textFill>
            <w14:solidFill>
              <w14:schemeClr w14:val="tx1"/>
            </w14:solidFill>
          </w14:textFill>
        </w:rPr>
        <w:t>一、比选申请单位有效的营业执照</w:t>
      </w:r>
    </w:p>
    <w:p w14:paraId="443863FF">
      <w:pPr>
        <w:pStyle w:val="34"/>
        <w:rPr>
          <w:rFonts w:ascii="宋体" w:hAnsi="宋体" w:cs="宋体"/>
          <w:b/>
          <w:color w:val="000000" w:themeColor="text1"/>
          <w14:textFill>
            <w14:solidFill>
              <w14:schemeClr w14:val="tx1"/>
            </w14:solidFill>
          </w14:textFill>
        </w:rPr>
      </w:pPr>
    </w:p>
    <w:p w14:paraId="49094DD3">
      <w:pPr>
        <w:pStyle w:val="34"/>
        <w:rPr>
          <w:rFonts w:ascii="宋体" w:hAnsi="宋体" w:cs="宋体"/>
          <w:b/>
          <w:color w:val="000000" w:themeColor="text1"/>
          <w14:textFill>
            <w14:solidFill>
              <w14:schemeClr w14:val="tx1"/>
            </w14:solidFill>
          </w14:textFill>
        </w:rPr>
      </w:pPr>
    </w:p>
    <w:p w14:paraId="5F2D863D">
      <w:pPr>
        <w:pStyle w:val="34"/>
        <w:rPr>
          <w:rFonts w:ascii="宋体" w:hAnsi="宋体" w:cs="宋体"/>
          <w:b/>
          <w:color w:val="000000" w:themeColor="text1"/>
          <w14:textFill>
            <w14:solidFill>
              <w14:schemeClr w14:val="tx1"/>
            </w14:solidFill>
          </w14:textFill>
        </w:rPr>
      </w:pPr>
    </w:p>
    <w:p w14:paraId="73A34C14">
      <w:pPr>
        <w:pStyle w:val="34"/>
        <w:rPr>
          <w:rFonts w:ascii="宋体" w:hAnsi="宋体" w:cs="宋体"/>
          <w:b/>
          <w:color w:val="000000" w:themeColor="text1"/>
          <w14:textFill>
            <w14:solidFill>
              <w14:schemeClr w14:val="tx1"/>
            </w14:solidFill>
          </w14:textFill>
        </w:rPr>
      </w:pPr>
    </w:p>
    <w:p w14:paraId="2E67B792">
      <w:pPr>
        <w:pStyle w:val="34"/>
        <w:rPr>
          <w:rFonts w:ascii="宋体" w:hAnsi="宋体" w:cs="宋体"/>
          <w:b/>
          <w:color w:val="000000" w:themeColor="text1"/>
          <w14:textFill>
            <w14:solidFill>
              <w14:schemeClr w14:val="tx1"/>
            </w14:solidFill>
          </w14:textFill>
        </w:rPr>
      </w:pPr>
    </w:p>
    <w:p w14:paraId="1396DFCB">
      <w:pPr>
        <w:pStyle w:val="34"/>
        <w:rPr>
          <w:rFonts w:ascii="宋体" w:hAnsi="宋体" w:cs="宋体"/>
          <w:b/>
          <w:color w:val="000000" w:themeColor="text1"/>
          <w14:textFill>
            <w14:solidFill>
              <w14:schemeClr w14:val="tx1"/>
            </w14:solidFill>
          </w14:textFill>
        </w:rPr>
      </w:pPr>
    </w:p>
    <w:p w14:paraId="3E51D2A1">
      <w:pPr>
        <w:pStyle w:val="34"/>
        <w:rPr>
          <w:rFonts w:ascii="宋体" w:hAnsi="宋体" w:cs="宋体"/>
          <w:b/>
          <w:color w:val="000000" w:themeColor="text1"/>
          <w14:textFill>
            <w14:solidFill>
              <w14:schemeClr w14:val="tx1"/>
            </w14:solidFill>
          </w14:textFill>
        </w:rPr>
      </w:pPr>
    </w:p>
    <w:p w14:paraId="0155FAFA">
      <w:pPr>
        <w:pStyle w:val="34"/>
        <w:rPr>
          <w:rFonts w:ascii="宋体" w:hAnsi="宋体" w:cs="宋体"/>
          <w:b/>
          <w:color w:val="000000" w:themeColor="text1"/>
          <w14:textFill>
            <w14:solidFill>
              <w14:schemeClr w14:val="tx1"/>
            </w14:solidFill>
          </w14:textFill>
        </w:rPr>
      </w:pPr>
    </w:p>
    <w:p w14:paraId="2E007AF2">
      <w:pPr>
        <w:pStyle w:val="34"/>
        <w:rPr>
          <w:rFonts w:ascii="宋体" w:hAnsi="宋体" w:cs="宋体"/>
          <w:b/>
          <w:color w:val="000000" w:themeColor="text1"/>
          <w14:textFill>
            <w14:solidFill>
              <w14:schemeClr w14:val="tx1"/>
            </w14:solidFill>
          </w14:textFill>
        </w:rPr>
      </w:pPr>
    </w:p>
    <w:p w14:paraId="458EC171">
      <w:pPr>
        <w:pStyle w:val="34"/>
        <w:rPr>
          <w:rFonts w:ascii="宋体" w:hAnsi="宋体" w:cs="宋体"/>
          <w:b/>
          <w:color w:val="000000" w:themeColor="text1"/>
          <w14:textFill>
            <w14:solidFill>
              <w14:schemeClr w14:val="tx1"/>
            </w14:solidFill>
          </w14:textFill>
        </w:rPr>
      </w:pPr>
    </w:p>
    <w:p w14:paraId="5CC7CE30">
      <w:pPr>
        <w:pStyle w:val="34"/>
        <w:rPr>
          <w:rFonts w:ascii="宋体" w:hAnsi="宋体" w:cs="宋体"/>
          <w:b/>
          <w:color w:val="000000" w:themeColor="text1"/>
          <w14:textFill>
            <w14:solidFill>
              <w14:schemeClr w14:val="tx1"/>
            </w14:solidFill>
          </w14:textFill>
        </w:rPr>
      </w:pPr>
    </w:p>
    <w:p w14:paraId="250965D2">
      <w:pPr>
        <w:pStyle w:val="34"/>
        <w:rPr>
          <w:rFonts w:ascii="宋体" w:hAnsi="宋体" w:cs="宋体"/>
          <w:b/>
          <w:color w:val="000000" w:themeColor="text1"/>
          <w14:textFill>
            <w14:solidFill>
              <w14:schemeClr w14:val="tx1"/>
            </w14:solidFill>
          </w14:textFill>
        </w:rPr>
      </w:pPr>
    </w:p>
    <w:p w14:paraId="5A50C3E6">
      <w:pPr>
        <w:pStyle w:val="34"/>
        <w:rPr>
          <w:rFonts w:ascii="宋体" w:hAnsi="宋体" w:cs="宋体"/>
          <w:b/>
          <w:color w:val="000000" w:themeColor="text1"/>
          <w14:textFill>
            <w14:solidFill>
              <w14:schemeClr w14:val="tx1"/>
            </w14:solidFill>
          </w14:textFill>
        </w:rPr>
      </w:pPr>
    </w:p>
    <w:p w14:paraId="3FBB04F6">
      <w:pPr>
        <w:pStyle w:val="34"/>
        <w:rPr>
          <w:rFonts w:ascii="宋体" w:hAnsi="宋体" w:cs="宋体"/>
          <w:b/>
          <w:color w:val="000000" w:themeColor="text1"/>
          <w14:textFill>
            <w14:solidFill>
              <w14:schemeClr w14:val="tx1"/>
            </w14:solidFill>
          </w14:textFill>
        </w:rPr>
      </w:pPr>
    </w:p>
    <w:p w14:paraId="719FEE77">
      <w:pPr>
        <w:pStyle w:val="34"/>
        <w:rPr>
          <w:rFonts w:ascii="宋体" w:hAnsi="宋体" w:cs="宋体"/>
          <w:b/>
          <w:color w:val="000000" w:themeColor="text1"/>
          <w14:textFill>
            <w14:solidFill>
              <w14:schemeClr w14:val="tx1"/>
            </w14:solidFill>
          </w14:textFill>
        </w:rPr>
      </w:pPr>
    </w:p>
    <w:p w14:paraId="207D8504">
      <w:pPr>
        <w:pStyle w:val="34"/>
        <w:rPr>
          <w:rFonts w:ascii="宋体" w:hAnsi="宋体" w:cs="宋体"/>
          <w:b/>
          <w:color w:val="000000" w:themeColor="text1"/>
          <w14:textFill>
            <w14:solidFill>
              <w14:schemeClr w14:val="tx1"/>
            </w14:solidFill>
          </w14:textFill>
        </w:rPr>
      </w:pPr>
    </w:p>
    <w:p w14:paraId="24016868">
      <w:pPr>
        <w:pStyle w:val="34"/>
        <w:rPr>
          <w:rFonts w:ascii="宋体" w:hAnsi="宋体" w:cs="宋体"/>
          <w:b/>
          <w:color w:val="000000" w:themeColor="text1"/>
          <w14:textFill>
            <w14:solidFill>
              <w14:schemeClr w14:val="tx1"/>
            </w14:solidFill>
          </w14:textFill>
        </w:rPr>
      </w:pPr>
    </w:p>
    <w:p w14:paraId="03D33B0C">
      <w:pPr>
        <w:pStyle w:val="34"/>
        <w:rPr>
          <w:rFonts w:ascii="宋体" w:hAnsi="宋体" w:cs="宋体"/>
          <w:b/>
          <w:color w:val="000000" w:themeColor="text1"/>
          <w14:textFill>
            <w14:solidFill>
              <w14:schemeClr w14:val="tx1"/>
            </w14:solidFill>
          </w14:textFill>
        </w:rPr>
      </w:pPr>
    </w:p>
    <w:p w14:paraId="0C8B6380">
      <w:pPr>
        <w:pStyle w:val="34"/>
        <w:rPr>
          <w:rFonts w:ascii="宋体" w:hAnsi="宋体" w:cs="宋体"/>
          <w:b/>
          <w:color w:val="000000" w:themeColor="text1"/>
          <w14:textFill>
            <w14:solidFill>
              <w14:schemeClr w14:val="tx1"/>
            </w14:solidFill>
          </w14:textFill>
        </w:rPr>
      </w:pPr>
    </w:p>
    <w:p w14:paraId="3768617E">
      <w:pPr>
        <w:pStyle w:val="34"/>
        <w:rPr>
          <w:rFonts w:ascii="宋体" w:hAnsi="宋体" w:cs="宋体"/>
          <w:b/>
          <w:color w:val="000000" w:themeColor="text1"/>
          <w14:textFill>
            <w14:solidFill>
              <w14:schemeClr w14:val="tx1"/>
            </w14:solidFill>
          </w14:textFill>
        </w:rPr>
      </w:pPr>
    </w:p>
    <w:p w14:paraId="2F7AB37A">
      <w:pPr>
        <w:pStyle w:val="34"/>
        <w:rPr>
          <w:rFonts w:ascii="宋体" w:hAnsi="宋体" w:cs="宋体"/>
          <w:b/>
          <w:color w:val="000000" w:themeColor="text1"/>
          <w14:textFill>
            <w14:solidFill>
              <w14:schemeClr w14:val="tx1"/>
            </w14:solidFill>
          </w14:textFill>
        </w:rPr>
      </w:pPr>
    </w:p>
    <w:p w14:paraId="33B88159">
      <w:pPr>
        <w:pStyle w:val="34"/>
        <w:rPr>
          <w:rFonts w:ascii="宋体" w:hAnsi="宋体" w:cs="宋体"/>
          <w:b/>
          <w:color w:val="000000" w:themeColor="text1"/>
          <w14:textFill>
            <w14:solidFill>
              <w14:schemeClr w14:val="tx1"/>
            </w14:solidFill>
          </w14:textFill>
        </w:rPr>
      </w:pPr>
    </w:p>
    <w:p w14:paraId="2FC73CFA">
      <w:pPr>
        <w:pStyle w:val="34"/>
        <w:rPr>
          <w:rFonts w:ascii="宋体" w:hAnsi="宋体" w:cs="宋体"/>
          <w:b/>
          <w:color w:val="000000" w:themeColor="text1"/>
          <w14:textFill>
            <w14:solidFill>
              <w14:schemeClr w14:val="tx1"/>
            </w14:solidFill>
          </w14:textFill>
        </w:rPr>
      </w:pPr>
    </w:p>
    <w:p w14:paraId="07543315">
      <w:pPr>
        <w:pStyle w:val="34"/>
        <w:rPr>
          <w:rFonts w:ascii="宋体" w:hAnsi="宋体" w:cs="宋体"/>
          <w:b/>
          <w:color w:val="000000" w:themeColor="text1"/>
          <w14:textFill>
            <w14:solidFill>
              <w14:schemeClr w14:val="tx1"/>
            </w14:solidFill>
          </w14:textFill>
        </w:rPr>
      </w:pPr>
    </w:p>
    <w:p w14:paraId="48B99E2E">
      <w:pPr>
        <w:pStyle w:val="34"/>
        <w:rPr>
          <w:rFonts w:ascii="宋体" w:hAnsi="宋体" w:cs="宋体"/>
          <w:b/>
          <w:color w:val="000000" w:themeColor="text1"/>
          <w14:textFill>
            <w14:solidFill>
              <w14:schemeClr w14:val="tx1"/>
            </w14:solidFill>
          </w14:textFill>
        </w:rPr>
      </w:pPr>
    </w:p>
    <w:p w14:paraId="0B7D450E">
      <w:pPr>
        <w:pStyle w:val="34"/>
        <w:rPr>
          <w:rFonts w:ascii="宋体" w:hAnsi="宋体" w:cs="宋体"/>
          <w:b/>
          <w:color w:val="000000" w:themeColor="text1"/>
          <w14:textFill>
            <w14:solidFill>
              <w14:schemeClr w14:val="tx1"/>
            </w14:solidFill>
          </w14:textFill>
        </w:rPr>
      </w:pPr>
    </w:p>
    <w:p w14:paraId="179AF9E9">
      <w:pPr>
        <w:pStyle w:val="34"/>
        <w:rPr>
          <w:rFonts w:ascii="宋体" w:hAnsi="宋体" w:cs="宋体"/>
          <w:b/>
          <w:color w:val="000000" w:themeColor="text1"/>
          <w14:textFill>
            <w14:solidFill>
              <w14:schemeClr w14:val="tx1"/>
            </w14:solidFill>
          </w14:textFill>
        </w:rPr>
      </w:pPr>
    </w:p>
    <w:p w14:paraId="7CB21E4B">
      <w:pPr>
        <w:pStyle w:val="34"/>
        <w:rPr>
          <w:rFonts w:ascii="宋体" w:hAnsi="宋体" w:cs="宋体"/>
          <w:b/>
          <w:color w:val="000000" w:themeColor="text1"/>
          <w14:textFill>
            <w14:solidFill>
              <w14:schemeClr w14:val="tx1"/>
            </w14:solidFill>
          </w14:textFill>
        </w:rPr>
      </w:pPr>
    </w:p>
    <w:p w14:paraId="0F811B51">
      <w:pPr>
        <w:pStyle w:val="34"/>
        <w:rPr>
          <w:rFonts w:ascii="宋体" w:hAnsi="宋体" w:cs="宋体"/>
          <w:b/>
          <w:color w:val="000000" w:themeColor="text1"/>
          <w14:textFill>
            <w14:solidFill>
              <w14:schemeClr w14:val="tx1"/>
            </w14:solidFill>
          </w14:textFill>
        </w:rPr>
      </w:pPr>
    </w:p>
    <w:p w14:paraId="479785CA">
      <w:pPr>
        <w:pStyle w:val="34"/>
        <w:rPr>
          <w:rFonts w:ascii="宋体" w:hAnsi="宋体" w:cs="宋体"/>
          <w:b/>
          <w:color w:val="000000" w:themeColor="text1"/>
          <w14:textFill>
            <w14:solidFill>
              <w14:schemeClr w14:val="tx1"/>
            </w14:solidFill>
          </w14:textFill>
        </w:rPr>
      </w:pPr>
    </w:p>
    <w:p w14:paraId="7665E8A1">
      <w:pPr>
        <w:pStyle w:val="34"/>
        <w:rPr>
          <w:rFonts w:ascii="宋体" w:hAnsi="宋体" w:cs="宋体"/>
          <w:b/>
          <w:color w:val="000000" w:themeColor="text1"/>
          <w14:textFill>
            <w14:solidFill>
              <w14:schemeClr w14:val="tx1"/>
            </w14:solidFill>
          </w14:textFill>
        </w:rPr>
      </w:pPr>
    </w:p>
    <w:p w14:paraId="0EA78930">
      <w:pPr>
        <w:pStyle w:val="34"/>
        <w:rPr>
          <w:rFonts w:ascii="宋体" w:hAnsi="宋体" w:cs="宋体"/>
          <w:b/>
          <w:color w:val="000000" w:themeColor="text1"/>
          <w14:textFill>
            <w14:solidFill>
              <w14:schemeClr w14:val="tx1"/>
            </w14:solidFill>
          </w14:textFill>
        </w:rPr>
      </w:pPr>
    </w:p>
    <w:p w14:paraId="34E0D63B">
      <w:pPr>
        <w:pStyle w:val="34"/>
        <w:rPr>
          <w:rFonts w:ascii="宋体" w:hAnsi="宋体" w:cs="宋体"/>
          <w:b/>
          <w:color w:val="000000" w:themeColor="text1"/>
          <w14:textFill>
            <w14:solidFill>
              <w14:schemeClr w14:val="tx1"/>
            </w14:solidFill>
          </w14:textFill>
        </w:rPr>
      </w:pPr>
    </w:p>
    <w:p w14:paraId="3216DE7B">
      <w:pPr>
        <w:pStyle w:val="34"/>
        <w:rPr>
          <w:rFonts w:ascii="宋体" w:hAnsi="宋体" w:cs="宋体"/>
          <w:b/>
          <w:color w:val="000000" w:themeColor="text1"/>
          <w14:textFill>
            <w14:solidFill>
              <w14:schemeClr w14:val="tx1"/>
            </w14:solidFill>
          </w14:textFill>
        </w:rPr>
      </w:pPr>
    </w:p>
    <w:p w14:paraId="0CF825CB">
      <w:pPr>
        <w:pStyle w:val="34"/>
        <w:rPr>
          <w:rFonts w:ascii="宋体" w:hAnsi="宋体" w:cs="宋体"/>
          <w:b/>
          <w:color w:val="000000" w:themeColor="text1"/>
          <w14:textFill>
            <w14:solidFill>
              <w14:schemeClr w14:val="tx1"/>
            </w14:solidFill>
          </w14:textFill>
        </w:rPr>
      </w:pPr>
    </w:p>
    <w:p w14:paraId="03353EF3">
      <w:pPr>
        <w:pStyle w:val="34"/>
        <w:rPr>
          <w:rFonts w:ascii="宋体" w:hAnsi="宋体" w:cs="宋体"/>
          <w:b/>
          <w:color w:val="000000" w:themeColor="text1"/>
          <w14:textFill>
            <w14:solidFill>
              <w14:schemeClr w14:val="tx1"/>
            </w14:solidFill>
          </w14:textFill>
        </w:rPr>
      </w:pPr>
    </w:p>
    <w:p w14:paraId="306FAA8C">
      <w:pPr>
        <w:pStyle w:val="34"/>
        <w:rPr>
          <w:rFonts w:ascii="宋体" w:hAnsi="宋体" w:cs="宋体"/>
          <w:b/>
          <w:color w:val="000000" w:themeColor="text1"/>
          <w14:textFill>
            <w14:solidFill>
              <w14:schemeClr w14:val="tx1"/>
            </w14:solidFill>
          </w14:textFill>
        </w:rPr>
      </w:pPr>
    </w:p>
    <w:p w14:paraId="6C943302">
      <w:pPr>
        <w:pStyle w:val="34"/>
        <w:rPr>
          <w:rFonts w:ascii="宋体" w:hAnsi="宋体" w:cs="宋体"/>
          <w:b/>
          <w:color w:val="000000" w:themeColor="text1"/>
          <w14:textFill>
            <w14:solidFill>
              <w14:schemeClr w14:val="tx1"/>
            </w14:solidFill>
          </w14:textFill>
        </w:rPr>
      </w:pPr>
    </w:p>
    <w:p w14:paraId="5872812C">
      <w:pPr>
        <w:pStyle w:val="34"/>
        <w:rPr>
          <w:rFonts w:ascii="宋体" w:hAnsi="宋体" w:cs="宋体"/>
          <w:b/>
          <w:color w:val="000000" w:themeColor="text1"/>
          <w14:textFill>
            <w14:solidFill>
              <w14:schemeClr w14:val="tx1"/>
            </w14:solidFill>
          </w14:textFill>
        </w:rPr>
      </w:pPr>
    </w:p>
    <w:p w14:paraId="4BF3D43B">
      <w:pPr>
        <w:pStyle w:val="34"/>
        <w:rPr>
          <w:rFonts w:ascii="宋体" w:hAnsi="宋体" w:cs="宋体"/>
          <w:b/>
          <w:color w:val="000000" w:themeColor="text1"/>
          <w14:textFill>
            <w14:solidFill>
              <w14:schemeClr w14:val="tx1"/>
            </w14:solidFill>
          </w14:textFill>
        </w:rPr>
      </w:pPr>
    </w:p>
    <w:p w14:paraId="6D840745">
      <w:pPr>
        <w:pStyle w:val="34"/>
        <w:rPr>
          <w:rFonts w:ascii="宋体" w:hAnsi="宋体" w:cs="宋体"/>
          <w:b/>
          <w:color w:val="000000" w:themeColor="text1"/>
          <w14:textFill>
            <w14:solidFill>
              <w14:schemeClr w14:val="tx1"/>
            </w14:solidFill>
          </w14:textFill>
        </w:rPr>
      </w:pPr>
    </w:p>
    <w:p w14:paraId="5590F225">
      <w:pPr>
        <w:pStyle w:val="34"/>
        <w:rPr>
          <w:rFonts w:ascii="宋体" w:hAnsi="宋体" w:cs="宋体"/>
          <w:b/>
          <w:color w:val="000000" w:themeColor="text1"/>
          <w14:textFill>
            <w14:solidFill>
              <w14:schemeClr w14:val="tx1"/>
            </w14:solidFill>
          </w14:textFill>
        </w:rPr>
      </w:pPr>
    </w:p>
    <w:p w14:paraId="362C5259">
      <w:pPr>
        <w:pStyle w:val="34"/>
        <w:jc w:val="center"/>
        <w:outlineLvl w:val="0"/>
        <w:rPr>
          <w:rFonts w:ascii="Times New Roman" w:eastAsia="宋体" w:cs="Times New Roman"/>
          <w:b/>
          <w:color w:val="000000" w:themeColor="text1"/>
          <w:sz w:val="28"/>
          <w:szCs w:val="28"/>
          <w14:textFill>
            <w14:solidFill>
              <w14:schemeClr w14:val="tx1"/>
            </w14:solidFill>
          </w14:textFill>
        </w:rPr>
      </w:pPr>
      <w:r>
        <w:rPr>
          <w:rFonts w:ascii="Times New Roman" w:eastAsia="宋体" w:cs="Times New Roman"/>
          <w:b/>
          <w:color w:val="000000" w:themeColor="text1"/>
          <w:sz w:val="28"/>
          <w:szCs w:val="28"/>
          <w14:textFill>
            <w14:solidFill>
              <w14:schemeClr w14:val="tx1"/>
            </w14:solidFill>
          </w14:textFill>
        </w:rPr>
        <w:t>二、法定代表人身份证明及授权委托书</w:t>
      </w:r>
    </w:p>
    <w:p w14:paraId="4B1A08EF">
      <w:pPr>
        <w:spacing w:line="440" w:lineRule="exact"/>
        <w:rPr>
          <w:rFonts w:ascii="宋体" w:hAnsi="宋体" w:cs="宋体"/>
          <w:color w:val="000000" w:themeColor="text1"/>
          <w:sz w:val="20"/>
          <w14:textFill>
            <w14:solidFill>
              <w14:schemeClr w14:val="tx1"/>
            </w14:solidFill>
          </w14:textFill>
        </w:rPr>
      </w:pPr>
    </w:p>
    <w:p w14:paraId="29D2964F">
      <w:pPr>
        <w:topLinePunct/>
        <w:spacing w:line="440" w:lineRule="exact"/>
        <w:ind w:firstLine="422" w:firstLineChars="200"/>
        <w:jc w:val="center"/>
        <w:outlineLvl w:val="1"/>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（一）法定代表人身份证明</w:t>
      </w:r>
    </w:p>
    <w:p w14:paraId="02AC48C3">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竞标人名称：</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4BFF177F">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单位性质：</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688E6BC6">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地址：</w:t>
      </w:r>
      <w:r>
        <w:rPr>
          <w:color w:val="000000" w:themeColor="text1"/>
          <w:szCs w:val="21"/>
          <w:u w:val="single"/>
          <w14:textFill>
            <w14:solidFill>
              <w14:schemeClr w14:val="tx1"/>
            </w14:solidFill>
          </w14:textFill>
        </w:rPr>
        <w:t xml:space="preserve">                                   </w:t>
      </w:r>
    </w:p>
    <w:p w14:paraId="668D5B18">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成立时间：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日</w:t>
      </w:r>
    </w:p>
    <w:p w14:paraId="0A45F16E">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经营期限：</w:t>
      </w:r>
      <w:r>
        <w:rPr>
          <w:color w:val="000000" w:themeColor="text1"/>
          <w:szCs w:val="21"/>
          <w:u w:val="single"/>
          <w14:textFill>
            <w14:solidFill>
              <w14:schemeClr w14:val="tx1"/>
            </w14:solidFill>
          </w14:textFill>
        </w:rPr>
        <w:t xml:space="preserve">                               </w:t>
      </w:r>
    </w:p>
    <w:p w14:paraId="46FE7F9B">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姓名：</w:t>
      </w:r>
      <w:r>
        <w:rPr>
          <w:color w:val="000000" w:themeColor="text1"/>
          <w:szCs w:val="21"/>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（法人手签）</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性别：</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年龄：</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职务：</w:t>
      </w:r>
      <w:r>
        <w:rPr>
          <w:color w:val="000000" w:themeColor="text1"/>
          <w:szCs w:val="21"/>
          <w:u w:val="single"/>
          <w14:textFill>
            <w14:solidFill>
              <w14:schemeClr w14:val="tx1"/>
            </w14:solidFill>
          </w14:textFill>
        </w:rPr>
        <w:t xml:space="preserve">        </w:t>
      </w:r>
    </w:p>
    <w:p w14:paraId="51317DFA">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系</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（竞标人名称）的法定代表人。</w:t>
      </w:r>
    </w:p>
    <w:p w14:paraId="608F103E">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特此证明。</w:t>
      </w:r>
    </w:p>
    <w:p w14:paraId="2F645340">
      <w:pPr>
        <w:spacing w:line="440" w:lineRule="exact"/>
        <w:rPr>
          <w:color w:val="000000" w:themeColor="text1"/>
          <w:szCs w:val="21"/>
          <w14:textFill>
            <w14:solidFill>
              <w14:schemeClr w14:val="tx1"/>
            </w14:solidFill>
          </w14:textFill>
        </w:rPr>
      </w:pPr>
    </w:p>
    <w:p w14:paraId="64F04161">
      <w:pPr>
        <w:spacing w:line="440" w:lineRule="exact"/>
        <w:rPr>
          <w:color w:val="000000" w:themeColor="text1"/>
          <w:szCs w:val="21"/>
          <w14:textFill>
            <w14:solidFill>
              <w14:schemeClr w14:val="tx1"/>
            </w14:solidFill>
          </w14:textFill>
        </w:rPr>
      </w:pPr>
    </w:p>
    <w:p w14:paraId="7634E7E1">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竞标人：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（盖单位章）</w:t>
      </w:r>
    </w:p>
    <w:p w14:paraId="2573E23D">
      <w:pPr>
        <w:spacing w:line="44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 xml:space="preserve">           </w:t>
      </w:r>
    </w:p>
    <w:p w14:paraId="072F6F19">
      <w:pPr>
        <w:ind w:firstLine="105" w:firstLineChars="50"/>
        <w:rPr>
          <w:rFonts w:ascii="宋体" w:hAnsi="宋体"/>
          <w:color w:val="000000" w:themeColor="text1"/>
          <w:szCs w:val="21"/>
          <w14:textFill>
            <w14:solidFill>
              <w14:schemeClr w14:val="tx1"/>
            </w14:solidFill>
          </w14:textFill>
        </w:rPr>
      </w:pPr>
    </w:p>
    <w:p w14:paraId="15118046">
      <w:pPr>
        <w:ind w:firstLine="105" w:firstLineChars="50"/>
        <w:rPr>
          <w:rFonts w:ascii="宋体" w:hAnsi="宋体"/>
          <w:color w:val="000000" w:themeColor="text1"/>
          <w:szCs w:val="21"/>
          <w14:textFill>
            <w14:solidFill>
              <w14:schemeClr w14:val="tx1"/>
            </w14:solidFill>
          </w14:textFill>
        </w:rPr>
      </w:pPr>
    </w:p>
    <w:p w14:paraId="7EC03D72">
      <w:pPr>
        <w:ind w:firstLine="105" w:firstLineChars="50"/>
        <w:rPr>
          <w:rFonts w:ascii="宋体" w:hAnsi="宋体"/>
          <w:color w:val="000000" w:themeColor="text1"/>
          <w:szCs w:val="21"/>
          <w14:textFill>
            <w14:solidFill>
              <w14:schemeClr w14:val="tx1"/>
            </w14:solidFill>
          </w14:textFill>
        </w:rPr>
      </w:pPr>
    </w:p>
    <w:p w14:paraId="7FBBF06A">
      <w:pPr>
        <w:ind w:firstLine="105" w:firstLineChars="50"/>
        <w:rPr>
          <w:rFonts w:ascii="宋体" w:hAnsi="宋体"/>
          <w:color w:val="000000" w:themeColor="text1"/>
          <w:szCs w:val="21"/>
          <w14:textFill>
            <w14:solidFill>
              <w14:schemeClr w14:val="tx1"/>
            </w14:solidFill>
          </w14:textFill>
        </w:rPr>
      </w:pPr>
    </w:p>
    <w:p w14:paraId="0FE96771">
      <w:pPr>
        <w:ind w:firstLine="105" w:firstLine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注：法定代表人的签字必须是亲笔签名，不得用印章、签名章或其他电子制版签名。</w:t>
      </w:r>
    </w:p>
    <w:p w14:paraId="1FE335AD">
      <w:pPr>
        <w:topLinePunct/>
        <w:spacing w:line="440" w:lineRule="exact"/>
        <w:ind w:firstLine="400" w:firstLineChars="200"/>
        <w:jc w:val="center"/>
        <w:outlineLvl w:val="1"/>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 w:val="20"/>
          <w14:textFill>
            <w14:solidFill>
              <w14:schemeClr w14:val="tx1"/>
            </w14:solidFill>
          </w14:textFill>
        </w:rPr>
        <w:br w:type="page"/>
      </w:r>
      <w:r>
        <w:rPr>
          <w:rFonts w:hint="eastAsia" w:ascii="宋体" w:hAnsi="宋体" w:cs="宋体"/>
          <w:b/>
          <w:color w:val="000000" w:themeColor="text1"/>
          <w:szCs w:val="21"/>
          <w14:textFill>
            <w14:solidFill>
              <w14:schemeClr w14:val="tx1"/>
            </w14:solidFill>
          </w14:textFill>
        </w:rPr>
        <w:t xml:space="preserve">（二）授权委托书 </w:t>
      </w:r>
    </w:p>
    <w:p w14:paraId="34B5B586">
      <w:pPr>
        <w:autoSpaceDE w:val="0"/>
        <w:autoSpaceDN w:val="0"/>
        <w:adjustRightInd w:val="0"/>
        <w:snapToGrid w:val="0"/>
        <w:spacing w:line="360" w:lineRule="auto"/>
        <w:jc w:val="left"/>
        <w:rPr>
          <w:rFonts w:ascii="宋体" w:hAnsi="宋体" w:cs="宋体"/>
          <w:color w:val="000000" w:themeColor="text1"/>
          <w:kern w:val="0"/>
          <w:sz w:val="12"/>
          <w:szCs w:val="12"/>
          <w14:textFill>
            <w14:solidFill>
              <w14:schemeClr w14:val="tx1"/>
            </w14:solidFill>
          </w14:textFill>
        </w:rPr>
      </w:pPr>
    </w:p>
    <w:p w14:paraId="0C93B48B">
      <w:pPr>
        <w:autoSpaceDE w:val="0"/>
        <w:autoSpaceDN w:val="0"/>
        <w:adjustRightInd w:val="0"/>
        <w:snapToGrid w:val="0"/>
        <w:spacing w:line="360" w:lineRule="auto"/>
        <w:jc w:val="left"/>
        <w:rPr>
          <w:rFonts w:ascii="宋体" w:hAnsi="宋体" w:cs="宋体"/>
          <w:color w:val="000000" w:themeColor="text1"/>
          <w:kern w:val="0"/>
          <w:sz w:val="20"/>
          <w14:textFill>
            <w14:solidFill>
              <w14:schemeClr w14:val="tx1"/>
            </w14:solidFill>
          </w14:textFill>
        </w:rPr>
      </w:pPr>
    </w:p>
    <w:p w14:paraId="24712FFF">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本人</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（姓名）系</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（竞标人名称</w:t>
      </w:r>
      <w:r>
        <w:rPr>
          <w:rFonts w:hint="eastAsia" w:ascii="宋体" w:hAnsi="宋体" w:cs="宋体"/>
          <w:color w:val="000000" w:themeColor="text1"/>
          <w:spacing w:val="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的法定代</w:t>
      </w:r>
      <w:r>
        <w:rPr>
          <w:rFonts w:hint="eastAsia" w:ascii="宋体" w:hAnsi="宋体" w:cs="宋体"/>
          <w:color w:val="000000" w:themeColor="text1"/>
          <w:spacing w:val="1"/>
          <w:kern w:val="0"/>
          <w:szCs w:val="21"/>
          <w14:textFill>
            <w14:solidFill>
              <w14:schemeClr w14:val="tx1"/>
            </w14:solidFill>
          </w14:textFill>
        </w:rPr>
        <w:t>表</w:t>
      </w:r>
      <w:r>
        <w:rPr>
          <w:rFonts w:hint="eastAsia" w:ascii="宋体" w:hAnsi="宋体" w:cs="宋体"/>
          <w:color w:val="000000" w:themeColor="text1"/>
          <w:kern w:val="0"/>
          <w:szCs w:val="21"/>
          <w14:textFill>
            <w14:solidFill>
              <w14:schemeClr w14:val="tx1"/>
            </w14:solidFill>
          </w14:textFill>
        </w:rPr>
        <w:t>人，现委托</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（姓名）为我方代理人。代理人根据授权，以我方名义签署、澄清、说明、补正、递交、撤回、修改</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2026年隧道检测车租赁及技术服务</w:t>
      </w:r>
      <w:r>
        <w:rPr>
          <w:rFonts w:hint="eastAsia"/>
          <w:color w:val="000000" w:themeColor="text1"/>
          <w:szCs w:val="21"/>
          <w:u w:val="single"/>
          <w14:textFill>
            <w14:solidFill>
              <w14:schemeClr w14:val="tx1"/>
            </w14:solidFill>
          </w14:textFill>
        </w:rPr>
        <w:t>（第一批）</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报价书、签订合同和处理有关事宜， 其法律后果由我方承担。</w:t>
      </w:r>
    </w:p>
    <w:p w14:paraId="3BFE71E9">
      <w:pPr>
        <w:tabs>
          <w:tab w:val="left" w:pos="4110"/>
          <w:tab w:val="left" w:pos="8000"/>
        </w:tabs>
        <w:autoSpaceDE w:val="0"/>
        <w:autoSpaceDN w:val="0"/>
        <w:adjustRightInd w:val="0"/>
        <w:snapToGrid w:val="0"/>
        <w:spacing w:line="360" w:lineRule="auto"/>
        <w:ind w:firstLine="420"/>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w:t>
      </w:r>
      <w:r>
        <w:rPr>
          <w:rFonts w:hint="eastAsia" w:ascii="宋体" w:hAnsi="宋体" w:cs="宋体"/>
          <w:color w:val="000000" w:themeColor="text1"/>
          <w:spacing w:val="-1"/>
          <w:kern w:val="0"/>
          <w:szCs w:val="21"/>
          <w14:textFill>
            <w14:solidFill>
              <w14:schemeClr w14:val="tx1"/>
            </w14:solidFill>
          </w14:textFill>
        </w:rPr>
        <w:t>期</w:t>
      </w:r>
      <w:r>
        <w:rPr>
          <w:rFonts w:hint="eastAsia" w:ascii="宋体" w:hAnsi="宋体" w:cs="宋体"/>
          <w:color w:val="000000" w:themeColor="text1"/>
          <w:kern w:val="0"/>
          <w:szCs w:val="21"/>
          <w14:textFill>
            <w14:solidFill>
              <w14:schemeClr w14:val="tx1"/>
            </w14:solidFill>
          </w14:textFill>
        </w:rPr>
        <w:t>限：</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p>
    <w:p w14:paraId="0F7C46C3">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代理人无转委托权。</w:t>
      </w:r>
    </w:p>
    <w:p w14:paraId="3A5BAB3B">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附：法定代表人身份证复印件、代理人身份复印件</w:t>
      </w:r>
      <w:r>
        <w:rPr>
          <w:rFonts w:hint="eastAsia" w:ascii="宋体" w:hAnsi="宋体" w:cs="宋体"/>
          <w:color w:val="000000" w:themeColor="text1"/>
          <w:kern w:val="0"/>
          <w:szCs w:val="21"/>
          <w14:textFill>
            <w14:solidFill>
              <w14:schemeClr w14:val="tx1"/>
            </w14:solidFill>
          </w14:textFill>
        </w:rPr>
        <w:t>。</w:t>
      </w:r>
    </w:p>
    <w:p w14:paraId="4820A761">
      <w:pPr>
        <w:autoSpaceDE w:val="0"/>
        <w:autoSpaceDN w:val="0"/>
        <w:adjustRightInd w:val="0"/>
        <w:snapToGrid w:val="0"/>
        <w:spacing w:line="360" w:lineRule="auto"/>
        <w:jc w:val="left"/>
        <w:rPr>
          <w:rFonts w:ascii="宋体" w:hAnsi="宋体" w:cs="宋体"/>
          <w:color w:val="000000" w:themeColor="text1"/>
          <w:kern w:val="0"/>
          <w:sz w:val="12"/>
          <w:szCs w:val="12"/>
          <w14:textFill>
            <w14:solidFill>
              <w14:schemeClr w14:val="tx1"/>
            </w14:solidFill>
          </w14:textFill>
        </w:rPr>
      </w:pPr>
    </w:p>
    <w:tbl>
      <w:tblPr>
        <w:tblStyle w:val="19"/>
        <w:tblpPr w:leftFromText="180" w:rightFromText="180" w:vertAnchor="text" w:horzAnchor="page" w:tblpX="1365" w:tblpY="340"/>
        <w:tblOverlap w:val="never"/>
        <w:tblW w:w="0" w:type="auto"/>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90"/>
        <w:gridCol w:w="4670"/>
      </w:tblGrid>
      <w:tr w14:paraId="0F525DE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trPr>
        <w:tc>
          <w:tcPr>
            <w:tcW w:w="4990" w:type="dxa"/>
            <w:vAlign w:val="center"/>
          </w:tcPr>
          <w:p w14:paraId="67D0EFE3">
            <w:pPr>
              <w:spacing w:line="500" w:lineRule="exact"/>
              <w:jc w:val="center"/>
              <w:rPr>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法定代表人身份证正面</w:t>
            </w:r>
          </w:p>
        </w:tc>
        <w:tc>
          <w:tcPr>
            <w:tcW w:w="4670" w:type="dxa"/>
            <w:vAlign w:val="center"/>
          </w:tcPr>
          <w:p w14:paraId="75A5ACD9">
            <w:pPr>
              <w:spacing w:line="500" w:lineRule="exact"/>
              <w:jc w:val="center"/>
              <w:rPr>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法定代表人身份证反面</w:t>
            </w:r>
          </w:p>
        </w:tc>
      </w:tr>
      <w:tr w14:paraId="60D691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trPr>
        <w:tc>
          <w:tcPr>
            <w:tcW w:w="4990" w:type="dxa"/>
            <w:vAlign w:val="center"/>
          </w:tcPr>
          <w:p w14:paraId="2E77B895">
            <w:pPr>
              <w:spacing w:line="500" w:lineRule="exact"/>
              <w:jc w:val="center"/>
              <w:rPr>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代理人身份证正面</w:t>
            </w:r>
          </w:p>
        </w:tc>
        <w:tc>
          <w:tcPr>
            <w:tcW w:w="4670" w:type="dxa"/>
            <w:vAlign w:val="center"/>
          </w:tcPr>
          <w:p w14:paraId="4E65E1CC">
            <w:pPr>
              <w:spacing w:line="500" w:lineRule="exact"/>
              <w:jc w:val="center"/>
              <w:rPr>
                <w:color w:val="000000" w:themeColor="text1"/>
                <w:sz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代理人身份证反面</w:t>
            </w:r>
          </w:p>
        </w:tc>
      </w:tr>
    </w:tbl>
    <w:p w14:paraId="441D9454">
      <w:pPr>
        <w:autoSpaceDE w:val="0"/>
        <w:autoSpaceDN w:val="0"/>
        <w:adjustRightInd w:val="0"/>
        <w:snapToGrid w:val="0"/>
        <w:spacing w:line="360" w:lineRule="auto"/>
        <w:jc w:val="left"/>
        <w:rPr>
          <w:rFonts w:ascii="宋体" w:hAnsi="宋体" w:cs="宋体"/>
          <w:color w:val="000000" w:themeColor="text1"/>
          <w:kern w:val="0"/>
          <w:sz w:val="20"/>
          <w14:textFill>
            <w14:solidFill>
              <w14:schemeClr w14:val="tx1"/>
            </w14:solidFill>
          </w14:textFill>
        </w:rPr>
      </w:pPr>
    </w:p>
    <w:p w14:paraId="031CB638">
      <w:pPr>
        <w:pStyle w:val="34"/>
        <w:rPr>
          <w:color w:val="000000" w:themeColor="text1"/>
          <w14:textFill>
            <w14:solidFill>
              <w14:schemeClr w14:val="tx1"/>
            </w14:solidFill>
          </w14:textFill>
        </w:rPr>
      </w:pPr>
    </w:p>
    <w:p w14:paraId="500886FB">
      <w:pPr>
        <w:tabs>
          <w:tab w:val="left" w:pos="4200"/>
          <w:tab w:val="left" w:pos="4620"/>
        </w:tabs>
        <w:autoSpaceDE w:val="0"/>
        <w:autoSpaceDN w:val="0"/>
        <w:adjustRightInd w:val="0"/>
        <w:snapToGrid w:val="0"/>
        <w:spacing w:line="360" w:lineRule="auto"/>
        <w:ind w:firstLine="1694"/>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竞标人：</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spacing w:val="-1"/>
          <w:kern w:val="0"/>
          <w:szCs w:val="21"/>
          <w14:textFill>
            <w14:solidFill>
              <w14:schemeClr w14:val="tx1"/>
            </w14:solidFill>
          </w14:textFill>
        </w:rPr>
        <w:t>盖</w:t>
      </w:r>
      <w:r>
        <w:rPr>
          <w:rFonts w:hint="eastAsia" w:ascii="宋体" w:hAnsi="宋体" w:cs="宋体"/>
          <w:color w:val="000000" w:themeColor="text1"/>
          <w:kern w:val="0"/>
          <w:szCs w:val="21"/>
          <w14:textFill>
            <w14:solidFill>
              <w14:schemeClr w14:val="tx1"/>
            </w14:solidFill>
          </w14:textFill>
        </w:rPr>
        <w:t xml:space="preserve">单位公章） </w:t>
      </w:r>
    </w:p>
    <w:p w14:paraId="75247B71">
      <w:pPr>
        <w:tabs>
          <w:tab w:val="left" w:pos="6300"/>
        </w:tabs>
        <w:autoSpaceDE w:val="0"/>
        <w:autoSpaceDN w:val="0"/>
        <w:adjustRightInd w:val="0"/>
        <w:snapToGrid w:val="0"/>
        <w:spacing w:line="360" w:lineRule="auto"/>
        <w:ind w:firstLine="16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（签字）</w:t>
      </w:r>
    </w:p>
    <w:p w14:paraId="49F08CFC">
      <w:pPr>
        <w:tabs>
          <w:tab w:val="left" w:pos="5260"/>
        </w:tabs>
        <w:autoSpaceDE w:val="0"/>
        <w:autoSpaceDN w:val="0"/>
        <w:adjustRightInd w:val="0"/>
        <w:snapToGrid w:val="0"/>
        <w:spacing w:line="360" w:lineRule="auto"/>
        <w:ind w:firstLine="16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身份证号码：</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p>
    <w:p w14:paraId="09175B3C">
      <w:pPr>
        <w:tabs>
          <w:tab w:val="left" w:pos="6720"/>
        </w:tabs>
        <w:autoSpaceDE w:val="0"/>
        <w:autoSpaceDN w:val="0"/>
        <w:adjustRightInd w:val="0"/>
        <w:snapToGrid w:val="0"/>
        <w:spacing w:line="360" w:lineRule="auto"/>
        <w:ind w:firstLine="16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委托代理人：</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（签</w:t>
      </w:r>
      <w:r>
        <w:rPr>
          <w:rFonts w:hint="eastAsia" w:ascii="宋体" w:hAnsi="宋体" w:cs="宋体"/>
          <w:color w:val="000000" w:themeColor="text1"/>
          <w:spacing w:val="-1"/>
          <w:kern w:val="0"/>
          <w:szCs w:val="21"/>
          <w14:textFill>
            <w14:solidFill>
              <w14:schemeClr w14:val="tx1"/>
            </w14:solidFill>
          </w14:textFill>
        </w:rPr>
        <w:t>字</w:t>
      </w:r>
      <w:r>
        <w:rPr>
          <w:rFonts w:hint="eastAsia" w:ascii="宋体" w:hAnsi="宋体" w:cs="宋体"/>
          <w:color w:val="000000" w:themeColor="text1"/>
          <w:kern w:val="0"/>
          <w:szCs w:val="21"/>
          <w14:textFill>
            <w14:solidFill>
              <w14:schemeClr w14:val="tx1"/>
            </w14:solidFill>
          </w14:textFill>
        </w:rPr>
        <w:t>）</w:t>
      </w:r>
    </w:p>
    <w:p w14:paraId="18D6537B">
      <w:pPr>
        <w:tabs>
          <w:tab w:val="left" w:pos="6825"/>
        </w:tabs>
        <w:autoSpaceDE w:val="0"/>
        <w:autoSpaceDN w:val="0"/>
        <w:adjustRightInd w:val="0"/>
        <w:snapToGrid w:val="0"/>
        <w:spacing w:line="360" w:lineRule="auto"/>
        <w:ind w:firstLine="16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身份证号码：</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p>
    <w:p w14:paraId="04821032">
      <w:pPr>
        <w:autoSpaceDE w:val="0"/>
        <w:autoSpaceDN w:val="0"/>
        <w:adjustRightInd w:val="0"/>
        <w:snapToGrid w:val="0"/>
        <w:spacing w:line="360" w:lineRule="auto"/>
        <w:jc w:val="left"/>
        <w:rPr>
          <w:rFonts w:ascii="宋体" w:hAnsi="宋体" w:cs="宋体"/>
          <w:color w:val="000000" w:themeColor="text1"/>
          <w:kern w:val="0"/>
          <w:sz w:val="20"/>
          <w14:textFill>
            <w14:solidFill>
              <w14:schemeClr w14:val="tx1"/>
            </w14:solidFill>
          </w14:textFill>
        </w:rPr>
      </w:pPr>
    </w:p>
    <w:p w14:paraId="0543D50F">
      <w:pPr>
        <w:topLinePunct/>
        <w:spacing w:line="440" w:lineRule="exact"/>
        <w:ind w:firstLine="840" w:firstLineChars="200"/>
        <w:jc w:val="center"/>
        <w:outlineLvl w:val="1"/>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年</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w w:val="200"/>
          <w:kern w:val="0"/>
          <w:szCs w:val="21"/>
          <w:u w:val="single"/>
          <w14:textFill>
            <w14:solidFill>
              <w14:schemeClr w14:val="tx1"/>
            </w14:solidFill>
          </w14:textFill>
        </w:rPr>
        <w:t xml:space="preserve"> </w:t>
      </w:r>
      <w:r>
        <w:rPr>
          <w:rFonts w:hint="eastAsia" w:ascii="宋体" w:hAnsi="宋体" w:cs="宋体"/>
          <w:color w:val="000000" w:themeColor="text1"/>
          <w:kern w:val="0"/>
          <w:szCs w:val="21"/>
          <w:u w:val="single"/>
          <w14:textFill>
            <w14:solidFill>
              <w14:schemeClr w14:val="tx1"/>
            </w14:solidFill>
          </w14:textFill>
        </w:rPr>
        <w:tab/>
      </w:r>
      <w:r>
        <w:rPr>
          <w:rFonts w:hint="eastAsia" w:ascii="宋体" w:hAnsi="宋体" w:cs="宋体"/>
          <w:color w:val="000000" w:themeColor="text1"/>
          <w:kern w:val="0"/>
          <w:szCs w:val="21"/>
          <w14:textFill>
            <w14:solidFill>
              <w14:schemeClr w14:val="tx1"/>
            </w14:solidFill>
          </w14:textFill>
        </w:rPr>
        <w:t>日</w:t>
      </w:r>
    </w:p>
    <w:p w14:paraId="153D6D7C">
      <w:pPr>
        <w:pStyle w:val="34"/>
        <w:numPr>
          <w:ilvl w:val="255"/>
          <w:numId w:val="0"/>
        </w:numPr>
        <w:spacing w:line="440" w:lineRule="exact"/>
        <w:ind w:firstLine="632" w:firstLineChars="300"/>
        <w:jc w:val="center"/>
        <w:outlineLvl w:val="1"/>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kern w:val="2"/>
          <w:sz w:val="21"/>
          <w:szCs w:val="21"/>
          <w14:textFill>
            <w14:solidFill>
              <w14:schemeClr w14:val="tx1"/>
            </w14:solidFill>
          </w14:textFill>
        </w:rPr>
        <w:t>(三)隧道检测车技术参数</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364"/>
        <w:gridCol w:w="4819"/>
        <w:gridCol w:w="1264"/>
      </w:tblGrid>
      <w:tr w14:paraId="7D93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Align w:val="center"/>
          </w:tcPr>
          <w:p w14:paraId="785BE09A">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智能检测车名称</w:t>
            </w:r>
          </w:p>
        </w:tc>
        <w:tc>
          <w:tcPr>
            <w:tcW w:w="800" w:type="pct"/>
            <w:vAlign w:val="center"/>
          </w:tcPr>
          <w:p w14:paraId="7E34D2DA">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型号或规格</w:t>
            </w:r>
          </w:p>
        </w:tc>
        <w:tc>
          <w:tcPr>
            <w:tcW w:w="2827" w:type="pct"/>
            <w:vAlign w:val="center"/>
          </w:tcPr>
          <w:p w14:paraId="722A335E">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技术参数指标</w:t>
            </w:r>
          </w:p>
        </w:tc>
        <w:tc>
          <w:tcPr>
            <w:tcW w:w="741" w:type="pct"/>
            <w:vAlign w:val="center"/>
          </w:tcPr>
          <w:p w14:paraId="2CCD2B73">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响应情况</w:t>
            </w:r>
          </w:p>
        </w:tc>
      </w:tr>
      <w:tr w14:paraId="728D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29" w:type="pct"/>
            <w:vMerge w:val="restart"/>
            <w:vAlign w:val="center"/>
          </w:tcPr>
          <w:p w14:paraId="7CE79B6A">
            <w:pPr>
              <w:widowControl/>
              <w:jc w:val="center"/>
              <w:rPr>
                <w:bCs/>
                <w:color w:val="000000" w:themeColor="text1"/>
                <w:szCs w:val="21"/>
                <w14:textFill>
                  <w14:solidFill>
                    <w14:schemeClr w14:val="tx1"/>
                  </w14:solidFill>
                </w14:textFill>
              </w:rPr>
            </w:pPr>
          </w:p>
        </w:tc>
        <w:tc>
          <w:tcPr>
            <w:tcW w:w="800" w:type="pct"/>
            <w:vMerge w:val="restart"/>
            <w:vAlign w:val="center"/>
          </w:tcPr>
          <w:p w14:paraId="285BAA2A">
            <w:pPr>
              <w:spacing w:line="360" w:lineRule="auto"/>
              <w:jc w:val="center"/>
              <w:rPr>
                <w:color w:val="000000" w:themeColor="text1"/>
                <w:szCs w:val="21"/>
                <w14:textFill>
                  <w14:solidFill>
                    <w14:schemeClr w14:val="tx1"/>
                  </w14:solidFill>
                </w14:textFill>
              </w:rPr>
            </w:pPr>
          </w:p>
        </w:tc>
        <w:tc>
          <w:tcPr>
            <w:tcW w:w="2827" w:type="pct"/>
            <w:vAlign w:val="center"/>
          </w:tcPr>
          <w:p w14:paraId="1BE0F021">
            <w:pPr>
              <w:pStyle w:val="34"/>
              <w:spacing w:line="420" w:lineRule="exact"/>
              <w:rPr>
                <w:rFonts w:ascii="Times New Roman" w:cs="Times New Roman"/>
                <w:bCs/>
                <w:color w:val="000000" w:themeColor="text1"/>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t>是否具备隧道衬砌和路面表观病害同时采集能力</w:t>
            </w:r>
          </w:p>
        </w:tc>
        <w:tc>
          <w:tcPr>
            <w:tcW w:w="741" w:type="pct"/>
            <w:vAlign w:val="center"/>
          </w:tcPr>
          <w:p w14:paraId="1E7BFB23">
            <w:pPr>
              <w:jc w:val="center"/>
              <w:rPr>
                <w:bCs/>
                <w:color w:val="000000" w:themeColor="text1"/>
                <w:szCs w:val="21"/>
                <w14:textFill>
                  <w14:solidFill>
                    <w14:schemeClr w14:val="tx1"/>
                  </w14:solidFill>
                </w14:textFill>
              </w:rPr>
            </w:pPr>
          </w:p>
        </w:tc>
      </w:tr>
      <w:tr w14:paraId="047B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38096FC4">
            <w:pPr>
              <w:widowControl/>
              <w:jc w:val="center"/>
              <w:rPr>
                <w:bCs/>
                <w:color w:val="000000" w:themeColor="text1"/>
                <w:szCs w:val="21"/>
                <w14:textFill>
                  <w14:solidFill>
                    <w14:schemeClr w14:val="tx1"/>
                  </w14:solidFill>
                </w14:textFill>
              </w:rPr>
            </w:pPr>
          </w:p>
        </w:tc>
        <w:tc>
          <w:tcPr>
            <w:tcW w:w="800" w:type="pct"/>
            <w:vMerge w:val="continue"/>
            <w:vAlign w:val="center"/>
          </w:tcPr>
          <w:p w14:paraId="60345297">
            <w:pPr>
              <w:spacing w:line="360" w:lineRule="auto"/>
              <w:jc w:val="center"/>
              <w:rPr>
                <w:color w:val="000000" w:themeColor="text1"/>
                <w:szCs w:val="21"/>
                <w14:textFill>
                  <w14:solidFill>
                    <w14:schemeClr w14:val="tx1"/>
                  </w14:solidFill>
                </w14:textFill>
              </w:rPr>
            </w:pPr>
          </w:p>
        </w:tc>
        <w:tc>
          <w:tcPr>
            <w:tcW w:w="2827" w:type="pct"/>
            <w:vAlign w:val="center"/>
          </w:tcPr>
          <w:p w14:paraId="0A9695BF">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检测行驶速度</w:t>
            </w:r>
          </w:p>
        </w:tc>
        <w:tc>
          <w:tcPr>
            <w:tcW w:w="741" w:type="pct"/>
            <w:vAlign w:val="center"/>
          </w:tcPr>
          <w:p w14:paraId="6E190586">
            <w:pPr>
              <w:jc w:val="center"/>
              <w:rPr>
                <w:bCs/>
                <w:color w:val="000000" w:themeColor="text1"/>
                <w:szCs w:val="21"/>
                <w14:textFill>
                  <w14:solidFill>
                    <w14:schemeClr w14:val="tx1"/>
                  </w14:solidFill>
                </w14:textFill>
              </w:rPr>
            </w:pPr>
          </w:p>
        </w:tc>
      </w:tr>
      <w:tr w14:paraId="7474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4FE76B8A">
            <w:pPr>
              <w:widowControl/>
              <w:jc w:val="center"/>
              <w:rPr>
                <w:bCs/>
                <w:color w:val="000000" w:themeColor="text1"/>
                <w:szCs w:val="21"/>
                <w14:textFill>
                  <w14:solidFill>
                    <w14:schemeClr w14:val="tx1"/>
                  </w14:solidFill>
                </w14:textFill>
              </w:rPr>
            </w:pPr>
          </w:p>
        </w:tc>
        <w:tc>
          <w:tcPr>
            <w:tcW w:w="800" w:type="pct"/>
            <w:vMerge w:val="continue"/>
            <w:vAlign w:val="center"/>
          </w:tcPr>
          <w:p w14:paraId="7EBF7820">
            <w:pPr>
              <w:spacing w:line="360" w:lineRule="auto"/>
              <w:jc w:val="center"/>
              <w:rPr>
                <w:color w:val="000000" w:themeColor="text1"/>
                <w:szCs w:val="21"/>
                <w14:textFill>
                  <w14:solidFill>
                    <w14:schemeClr w14:val="tx1"/>
                  </w14:solidFill>
                </w14:textFill>
              </w:rPr>
            </w:pPr>
          </w:p>
        </w:tc>
        <w:tc>
          <w:tcPr>
            <w:tcW w:w="2827" w:type="pct"/>
            <w:vAlign w:val="center"/>
          </w:tcPr>
          <w:p w14:paraId="2415D733">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病害图像采集方式</w:t>
            </w:r>
          </w:p>
        </w:tc>
        <w:tc>
          <w:tcPr>
            <w:tcW w:w="741" w:type="pct"/>
            <w:vAlign w:val="center"/>
          </w:tcPr>
          <w:p w14:paraId="20B75DAD">
            <w:pPr>
              <w:jc w:val="center"/>
              <w:rPr>
                <w:bCs/>
                <w:color w:val="000000" w:themeColor="text1"/>
                <w:szCs w:val="21"/>
                <w14:textFill>
                  <w14:solidFill>
                    <w14:schemeClr w14:val="tx1"/>
                  </w14:solidFill>
                </w14:textFill>
              </w:rPr>
            </w:pPr>
          </w:p>
        </w:tc>
      </w:tr>
      <w:tr w14:paraId="53C3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4FBAEF0E">
            <w:pPr>
              <w:widowControl/>
              <w:jc w:val="center"/>
              <w:rPr>
                <w:bCs/>
                <w:color w:val="000000" w:themeColor="text1"/>
                <w:szCs w:val="21"/>
                <w14:textFill>
                  <w14:solidFill>
                    <w14:schemeClr w14:val="tx1"/>
                  </w14:solidFill>
                </w14:textFill>
              </w:rPr>
            </w:pPr>
          </w:p>
        </w:tc>
        <w:tc>
          <w:tcPr>
            <w:tcW w:w="800" w:type="pct"/>
            <w:vMerge w:val="continue"/>
            <w:vAlign w:val="center"/>
          </w:tcPr>
          <w:p w14:paraId="075080ED">
            <w:pPr>
              <w:spacing w:line="360" w:lineRule="auto"/>
              <w:jc w:val="center"/>
              <w:rPr>
                <w:color w:val="000000" w:themeColor="text1"/>
                <w:szCs w:val="21"/>
                <w14:textFill>
                  <w14:solidFill>
                    <w14:schemeClr w14:val="tx1"/>
                  </w14:solidFill>
                </w14:textFill>
              </w:rPr>
            </w:pPr>
          </w:p>
        </w:tc>
        <w:tc>
          <w:tcPr>
            <w:tcW w:w="2827" w:type="pct"/>
            <w:vAlign w:val="center"/>
          </w:tcPr>
          <w:p w14:paraId="59C47742">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照明方式</w:t>
            </w:r>
          </w:p>
        </w:tc>
        <w:tc>
          <w:tcPr>
            <w:tcW w:w="741" w:type="pct"/>
            <w:vAlign w:val="center"/>
          </w:tcPr>
          <w:p w14:paraId="56915265">
            <w:pPr>
              <w:jc w:val="center"/>
              <w:rPr>
                <w:bCs/>
                <w:color w:val="000000" w:themeColor="text1"/>
                <w:szCs w:val="21"/>
                <w14:textFill>
                  <w14:solidFill>
                    <w14:schemeClr w14:val="tx1"/>
                  </w14:solidFill>
                </w14:textFill>
              </w:rPr>
            </w:pPr>
          </w:p>
        </w:tc>
      </w:tr>
      <w:tr w14:paraId="0A7D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40C2426C">
            <w:pPr>
              <w:widowControl/>
              <w:jc w:val="center"/>
              <w:rPr>
                <w:bCs/>
                <w:color w:val="000000" w:themeColor="text1"/>
                <w:szCs w:val="21"/>
                <w14:textFill>
                  <w14:solidFill>
                    <w14:schemeClr w14:val="tx1"/>
                  </w14:solidFill>
                </w14:textFill>
              </w:rPr>
            </w:pPr>
          </w:p>
        </w:tc>
        <w:tc>
          <w:tcPr>
            <w:tcW w:w="800" w:type="pct"/>
            <w:vMerge w:val="continue"/>
            <w:vAlign w:val="center"/>
          </w:tcPr>
          <w:p w14:paraId="7AAB3792">
            <w:pPr>
              <w:spacing w:line="360" w:lineRule="auto"/>
              <w:jc w:val="center"/>
              <w:rPr>
                <w:color w:val="000000" w:themeColor="text1"/>
                <w:szCs w:val="21"/>
                <w14:textFill>
                  <w14:solidFill>
                    <w14:schemeClr w14:val="tx1"/>
                  </w14:solidFill>
                </w14:textFill>
              </w:rPr>
            </w:pPr>
          </w:p>
        </w:tc>
        <w:tc>
          <w:tcPr>
            <w:tcW w:w="2827" w:type="pct"/>
            <w:vAlign w:val="center"/>
          </w:tcPr>
          <w:p w14:paraId="6F17FF02">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隧道病害图分辨率</w:t>
            </w:r>
          </w:p>
        </w:tc>
        <w:tc>
          <w:tcPr>
            <w:tcW w:w="741" w:type="pct"/>
            <w:vAlign w:val="center"/>
          </w:tcPr>
          <w:p w14:paraId="2667BE43">
            <w:pPr>
              <w:jc w:val="center"/>
              <w:rPr>
                <w:bCs/>
                <w:color w:val="000000" w:themeColor="text1"/>
                <w:szCs w:val="21"/>
                <w14:textFill>
                  <w14:solidFill>
                    <w14:schemeClr w14:val="tx1"/>
                  </w14:solidFill>
                </w14:textFill>
              </w:rPr>
            </w:pPr>
          </w:p>
        </w:tc>
      </w:tr>
      <w:tr w14:paraId="510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58B8A58C">
            <w:pPr>
              <w:widowControl/>
              <w:jc w:val="center"/>
              <w:rPr>
                <w:bCs/>
                <w:color w:val="000000" w:themeColor="text1"/>
                <w:szCs w:val="21"/>
                <w14:textFill>
                  <w14:solidFill>
                    <w14:schemeClr w14:val="tx1"/>
                  </w14:solidFill>
                </w14:textFill>
              </w:rPr>
            </w:pPr>
          </w:p>
        </w:tc>
        <w:tc>
          <w:tcPr>
            <w:tcW w:w="800" w:type="pct"/>
            <w:vMerge w:val="continue"/>
            <w:vAlign w:val="center"/>
          </w:tcPr>
          <w:p w14:paraId="2491A8E7">
            <w:pPr>
              <w:spacing w:line="360" w:lineRule="auto"/>
              <w:jc w:val="center"/>
              <w:rPr>
                <w:color w:val="000000" w:themeColor="text1"/>
                <w:szCs w:val="21"/>
                <w14:textFill>
                  <w14:solidFill>
                    <w14:schemeClr w14:val="tx1"/>
                  </w14:solidFill>
                </w14:textFill>
              </w:rPr>
            </w:pPr>
          </w:p>
        </w:tc>
        <w:tc>
          <w:tcPr>
            <w:tcW w:w="2827" w:type="pct"/>
            <w:vAlign w:val="center"/>
          </w:tcPr>
          <w:p w14:paraId="43C94E61">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数据处理软件进行处理是否能够分析、识别和提取出隧道病害并进行分类、统计</w:t>
            </w:r>
          </w:p>
        </w:tc>
        <w:tc>
          <w:tcPr>
            <w:tcW w:w="741" w:type="pct"/>
            <w:vAlign w:val="center"/>
          </w:tcPr>
          <w:p w14:paraId="45F3F532">
            <w:pPr>
              <w:jc w:val="center"/>
              <w:rPr>
                <w:bCs/>
                <w:color w:val="000000" w:themeColor="text1"/>
                <w:szCs w:val="21"/>
                <w14:textFill>
                  <w14:solidFill>
                    <w14:schemeClr w14:val="tx1"/>
                  </w14:solidFill>
                </w14:textFill>
              </w:rPr>
            </w:pPr>
          </w:p>
        </w:tc>
      </w:tr>
      <w:tr w14:paraId="471C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52996A02">
            <w:pPr>
              <w:widowControl/>
              <w:jc w:val="center"/>
              <w:rPr>
                <w:bCs/>
                <w:color w:val="000000" w:themeColor="text1"/>
                <w:szCs w:val="21"/>
                <w14:textFill>
                  <w14:solidFill>
                    <w14:schemeClr w14:val="tx1"/>
                  </w14:solidFill>
                </w14:textFill>
              </w:rPr>
            </w:pPr>
          </w:p>
        </w:tc>
        <w:tc>
          <w:tcPr>
            <w:tcW w:w="800" w:type="pct"/>
            <w:vMerge w:val="continue"/>
            <w:vAlign w:val="center"/>
          </w:tcPr>
          <w:p w14:paraId="371D5DA2">
            <w:pPr>
              <w:spacing w:line="360" w:lineRule="auto"/>
              <w:jc w:val="center"/>
              <w:rPr>
                <w:color w:val="000000" w:themeColor="text1"/>
                <w:szCs w:val="21"/>
                <w14:textFill>
                  <w14:solidFill>
                    <w14:schemeClr w14:val="tx1"/>
                  </w14:solidFill>
                </w14:textFill>
              </w:rPr>
            </w:pPr>
          </w:p>
        </w:tc>
        <w:tc>
          <w:tcPr>
            <w:tcW w:w="2827" w:type="pct"/>
            <w:vAlign w:val="center"/>
          </w:tcPr>
          <w:p w14:paraId="5AC84FB7">
            <w:pPr>
              <w:pStyle w:val="34"/>
              <w:rPr>
                <w:rFonts w:ascii="Times New Roman" w:cs="Times New Roman"/>
                <w:bCs/>
                <w:color w:val="000000" w:themeColor="text1"/>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t>病害处理分析系统是否能够实现病害类型输出分类统计报表，并按里程桩号、位置信息给出病害详细参数列表，包括：桩号、位置、类型、数量、长度、宽度、面积等</w:t>
            </w:r>
          </w:p>
        </w:tc>
        <w:tc>
          <w:tcPr>
            <w:tcW w:w="741" w:type="pct"/>
            <w:vAlign w:val="center"/>
          </w:tcPr>
          <w:p w14:paraId="01C8FD7B">
            <w:pPr>
              <w:jc w:val="center"/>
              <w:rPr>
                <w:bCs/>
                <w:color w:val="000000" w:themeColor="text1"/>
                <w:szCs w:val="21"/>
                <w14:textFill>
                  <w14:solidFill>
                    <w14:schemeClr w14:val="tx1"/>
                  </w14:solidFill>
                </w14:textFill>
              </w:rPr>
            </w:pPr>
          </w:p>
        </w:tc>
      </w:tr>
      <w:tr w14:paraId="349B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1E144FC8">
            <w:pPr>
              <w:widowControl/>
              <w:jc w:val="center"/>
              <w:rPr>
                <w:bCs/>
                <w:color w:val="000000" w:themeColor="text1"/>
                <w:szCs w:val="21"/>
                <w14:textFill>
                  <w14:solidFill>
                    <w14:schemeClr w14:val="tx1"/>
                  </w14:solidFill>
                </w14:textFill>
              </w:rPr>
            </w:pPr>
          </w:p>
        </w:tc>
        <w:tc>
          <w:tcPr>
            <w:tcW w:w="800" w:type="pct"/>
            <w:vMerge w:val="continue"/>
            <w:vAlign w:val="center"/>
          </w:tcPr>
          <w:p w14:paraId="3AD19AD2">
            <w:pPr>
              <w:spacing w:line="360" w:lineRule="auto"/>
              <w:jc w:val="center"/>
              <w:rPr>
                <w:color w:val="000000" w:themeColor="text1"/>
                <w:szCs w:val="21"/>
                <w14:textFill>
                  <w14:solidFill>
                    <w14:schemeClr w14:val="tx1"/>
                  </w14:solidFill>
                </w14:textFill>
              </w:rPr>
            </w:pPr>
          </w:p>
        </w:tc>
        <w:tc>
          <w:tcPr>
            <w:tcW w:w="2827" w:type="pct"/>
            <w:vAlign w:val="center"/>
          </w:tcPr>
          <w:p w14:paraId="4E314EEB">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是否能可视化查询隧道病害在此里程桩号位置的原始图像</w:t>
            </w:r>
          </w:p>
        </w:tc>
        <w:tc>
          <w:tcPr>
            <w:tcW w:w="741" w:type="pct"/>
            <w:vAlign w:val="center"/>
          </w:tcPr>
          <w:p w14:paraId="65F311E7">
            <w:pPr>
              <w:jc w:val="center"/>
              <w:rPr>
                <w:bCs/>
                <w:color w:val="000000" w:themeColor="text1"/>
                <w:szCs w:val="21"/>
                <w14:textFill>
                  <w14:solidFill>
                    <w14:schemeClr w14:val="tx1"/>
                  </w14:solidFill>
                </w14:textFill>
              </w:rPr>
            </w:pPr>
          </w:p>
        </w:tc>
      </w:tr>
      <w:tr w14:paraId="1809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5D52DC44">
            <w:pPr>
              <w:widowControl/>
              <w:jc w:val="center"/>
              <w:rPr>
                <w:bCs/>
                <w:color w:val="000000" w:themeColor="text1"/>
                <w:szCs w:val="21"/>
                <w14:textFill>
                  <w14:solidFill>
                    <w14:schemeClr w14:val="tx1"/>
                  </w14:solidFill>
                </w14:textFill>
              </w:rPr>
            </w:pPr>
          </w:p>
        </w:tc>
        <w:tc>
          <w:tcPr>
            <w:tcW w:w="800" w:type="pct"/>
            <w:vMerge w:val="continue"/>
            <w:vAlign w:val="center"/>
          </w:tcPr>
          <w:p w14:paraId="35B39201">
            <w:pPr>
              <w:spacing w:line="360" w:lineRule="auto"/>
              <w:jc w:val="center"/>
              <w:rPr>
                <w:color w:val="000000" w:themeColor="text1"/>
                <w:szCs w:val="21"/>
                <w14:textFill>
                  <w14:solidFill>
                    <w14:schemeClr w14:val="tx1"/>
                  </w14:solidFill>
                </w14:textFill>
              </w:rPr>
            </w:pPr>
          </w:p>
        </w:tc>
        <w:tc>
          <w:tcPr>
            <w:tcW w:w="2827" w:type="pct"/>
            <w:vAlign w:val="center"/>
          </w:tcPr>
          <w:p w14:paraId="7B6E5E5F">
            <w:pPr>
              <w:jc w:val="left"/>
              <w:rPr>
                <w:bCs/>
                <w:color w:val="000000" w:themeColor="text1"/>
                <w:szCs w:val="21"/>
                <w14:textFill>
                  <w14:solidFill>
                    <w14:schemeClr w14:val="tx1"/>
                  </w14:solidFill>
                </w14:textFill>
              </w:rPr>
            </w:pPr>
            <w:r>
              <w:rPr>
                <w:color w:val="000000" w:themeColor="text1"/>
                <w:szCs w:val="21"/>
                <w14:textFill>
                  <w14:solidFill>
                    <w14:schemeClr w14:val="tx1"/>
                  </w14:solidFill>
                </w14:textFill>
              </w:rPr>
              <w:t>裂缝宽度识别精度</w:t>
            </w:r>
          </w:p>
        </w:tc>
        <w:tc>
          <w:tcPr>
            <w:tcW w:w="741" w:type="pct"/>
            <w:vAlign w:val="center"/>
          </w:tcPr>
          <w:p w14:paraId="3F9D70DE">
            <w:pPr>
              <w:jc w:val="center"/>
              <w:rPr>
                <w:bCs/>
                <w:color w:val="000000" w:themeColor="text1"/>
                <w:szCs w:val="21"/>
                <w14:textFill>
                  <w14:solidFill>
                    <w14:schemeClr w14:val="tx1"/>
                  </w14:solidFill>
                </w14:textFill>
              </w:rPr>
            </w:pPr>
          </w:p>
        </w:tc>
      </w:tr>
      <w:tr w14:paraId="7EC3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29" w:type="pct"/>
            <w:vMerge w:val="continue"/>
            <w:vAlign w:val="center"/>
          </w:tcPr>
          <w:p w14:paraId="1F20E526">
            <w:pPr>
              <w:widowControl/>
              <w:jc w:val="center"/>
              <w:rPr>
                <w:bCs/>
                <w:color w:val="000000" w:themeColor="text1"/>
                <w:szCs w:val="21"/>
                <w14:textFill>
                  <w14:solidFill>
                    <w14:schemeClr w14:val="tx1"/>
                  </w14:solidFill>
                </w14:textFill>
              </w:rPr>
            </w:pPr>
          </w:p>
        </w:tc>
        <w:tc>
          <w:tcPr>
            <w:tcW w:w="800" w:type="pct"/>
            <w:vMerge w:val="continue"/>
            <w:vAlign w:val="center"/>
          </w:tcPr>
          <w:p w14:paraId="31B29860">
            <w:pPr>
              <w:spacing w:line="360" w:lineRule="auto"/>
              <w:jc w:val="center"/>
              <w:rPr>
                <w:color w:val="000000" w:themeColor="text1"/>
                <w:szCs w:val="21"/>
                <w14:textFill>
                  <w14:solidFill>
                    <w14:schemeClr w14:val="tx1"/>
                  </w14:solidFill>
                </w14:textFill>
              </w:rPr>
            </w:pPr>
          </w:p>
        </w:tc>
        <w:tc>
          <w:tcPr>
            <w:tcW w:w="2827" w:type="pct"/>
            <w:vAlign w:val="center"/>
          </w:tcPr>
          <w:p w14:paraId="3D8FCA97">
            <w:pP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其它（自列）</w:t>
            </w:r>
          </w:p>
        </w:tc>
        <w:tc>
          <w:tcPr>
            <w:tcW w:w="741" w:type="pct"/>
            <w:vAlign w:val="center"/>
          </w:tcPr>
          <w:p w14:paraId="0EB323BB">
            <w:pPr>
              <w:jc w:val="center"/>
              <w:rPr>
                <w:bCs/>
                <w:color w:val="000000" w:themeColor="text1"/>
                <w:szCs w:val="21"/>
                <w14:textFill>
                  <w14:solidFill>
                    <w14:schemeClr w14:val="tx1"/>
                  </w14:solidFill>
                </w14:textFill>
              </w:rPr>
            </w:pPr>
          </w:p>
        </w:tc>
      </w:tr>
    </w:tbl>
    <w:p w14:paraId="28DD1481">
      <w:pPr>
        <w:pStyle w:val="34"/>
        <w:jc w:val="center"/>
        <w:rPr>
          <w:rFonts w:ascii="Times New Roman" w:eastAsia="宋体" w:cs="Times New Roman"/>
          <w:color w:val="000000" w:themeColor="text1"/>
          <w14:textFill>
            <w14:solidFill>
              <w14:schemeClr w14:val="tx1"/>
            </w14:solidFill>
          </w14:textFill>
        </w:rPr>
      </w:pPr>
    </w:p>
    <w:p w14:paraId="12366AC5">
      <w:pPr>
        <w:pStyle w:val="34"/>
        <w:rPr>
          <w:rFonts w:ascii="Times New Roman" w:eastAsia="宋体" w:cs="Times New Roman"/>
          <w:color w:val="000000" w:themeColor="text1"/>
          <w14:textFill>
            <w14:solidFill>
              <w14:schemeClr w14:val="tx1"/>
            </w14:solidFill>
          </w14:textFill>
        </w:rPr>
      </w:pPr>
      <w:r>
        <w:rPr>
          <w:rFonts w:ascii="Times New Roman" w:eastAsia="宋体" w:cs="Times New Roman"/>
          <w:b/>
          <w:color w:val="000000" w:themeColor="text1"/>
          <w:kern w:val="2"/>
          <w:szCs w:val="28"/>
          <w14:textFill>
            <w14:solidFill>
              <w14:schemeClr w14:val="tx1"/>
            </w14:solidFill>
          </w14:textFill>
        </w:rPr>
        <w:t>自有产权证明</w:t>
      </w:r>
      <w:r>
        <w:rPr>
          <w:rFonts w:ascii="Times New Roman" w:eastAsia="宋体" w:cs="Times New Roman"/>
          <w:color w:val="000000" w:themeColor="text1"/>
          <w14:textFill>
            <w14:solidFill>
              <w14:schemeClr w14:val="tx1"/>
            </w14:solidFill>
          </w14:textFill>
        </w:rPr>
        <w:t>：</w:t>
      </w:r>
    </w:p>
    <w:p w14:paraId="17835ED6">
      <w:pPr>
        <w:tabs>
          <w:tab w:val="left" w:pos="900"/>
          <w:tab w:val="left" w:pos="1080"/>
        </w:tabs>
        <w:spacing w:line="300" w:lineRule="auto"/>
        <w:jc w:val="center"/>
        <w:rPr>
          <w:rFonts w:ascii="宋体" w:hAnsi="宋体" w:cs="宋体"/>
          <w:b/>
          <w:color w:val="000000" w:themeColor="text1"/>
          <w:sz w:val="28"/>
          <w:szCs w:val="28"/>
          <w14:textFill>
            <w14:solidFill>
              <w14:schemeClr w14:val="tx1"/>
            </w14:solidFill>
          </w14:textFill>
        </w:rPr>
      </w:pPr>
    </w:p>
    <w:p w14:paraId="734597F1">
      <w:pPr>
        <w:pStyle w:val="34"/>
        <w:jc w:val="center"/>
        <w:outlineLvl w:val="0"/>
        <w:rPr>
          <w:rFonts w:ascii="宋体" w:hAnsi="宋体" w:cs="宋体"/>
          <w:b/>
          <w:color w:val="000000" w:themeColor="text1"/>
          <w:sz w:val="28"/>
          <w:szCs w:val="28"/>
          <w14:textFill>
            <w14:solidFill>
              <w14:schemeClr w14:val="tx1"/>
            </w14:solidFill>
          </w14:textFill>
        </w:rPr>
      </w:pPr>
    </w:p>
    <w:p w14:paraId="5B05872B">
      <w:pPr>
        <w:pStyle w:val="34"/>
        <w:jc w:val="center"/>
        <w:outlineLvl w:val="0"/>
        <w:rPr>
          <w:rFonts w:ascii="宋体" w:hAnsi="宋体" w:cs="宋体"/>
          <w:b/>
          <w:color w:val="000000" w:themeColor="text1"/>
          <w:sz w:val="28"/>
          <w:szCs w:val="28"/>
          <w14:textFill>
            <w14:solidFill>
              <w14:schemeClr w14:val="tx1"/>
            </w14:solidFill>
          </w14:textFill>
        </w:rPr>
      </w:pPr>
    </w:p>
    <w:p w14:paraId="62CF087A">
      <w:pPr>
        <w:pStyle w:val="34"/>
        <w:jc w:val="center"/>
        <w:outlineLvl w:val="0"/>
        <w:rPr>
          <w:rFonts w:ascii="宋体" w:hAnsi="宋体" w:cs="宋体"/>
          <w:b/>
          <w:color w:val="000000" w:themeColor="text1"/>
          <w:sz w:val="28"/>
          <w:szCs w:val="28"/>
          <w14:textFill>
            <w14:solidFill>
              <w14:schemeClr w14:val="tx1"/>
            </w14:solidFill>
          </w14:textFill>
        </w:rPr>
      </w:pPr>
    </w:p>
    <w:p w14:paraId="65BE841B">
      <w:pPr>
        <w:pStyle w:val="34"/>
        <w:jc w:val="center"/>
        <w:outlineLvl w:val="0"/>
        <w:rPr>
          <w:rFonts w:ascii="宋体" w:hAnsi="宋体" w:cs="宋体"/>
          <w:b/>
          <w:color w:val="000000" w:themeColor="text1"/>
          <w:sz w:val="28"/>
          <w:szCs w:val="28"/>
          <w14:textFill>
            <w14:solidFill>
              <w14:schemeClr w14:val="tx1"/>
            </w14:solidFill>
          </w14:textFill>
        </w:rPr>
      </w:pPr>
    </w:p>
    <w:p w14:paraId="426B8BCD">
      <w:pPr>
        <w:pStyle w:val="34"/>
        <w:jc w:val="center"/>
        <w:outlineLvl w:val="0"/>
        <w:rPr>
          <w:rFonts w:ascii="宋体" w:hAnsi="宋体" w:cs="宋体"/>
          <w:b/>
          <w:color w:val="000000" w:themeColor="text1"/>
          <w:sz w:val="28"/>
          <w:szCs w:val="28"/>
          <w14:textFill>
            <w14:solidFill>
              <w14:schemeClr w14:val="tx1"/>
            </w14:solidFill>
          </w14:textFill>
        </w:rPr>
      </w:pPr>
    </w:p>
    <w:p w14:paraId="0A7FEC80">
      <w:pPr>
        <w:pStyle w:val="34"/>
        <w:jc w:val="center"/>
        <w:outlineLvl w:val="0"/>
        <w:rPr>
          <w:rFonts w:ascii="宋体" w:hAnsi="宋体" w:cs="宋体"/>
          <w:b/>
          <w:color w:val="000000" w:themeColor="text1"/>
          <w:sz w:val="28"/>
          <w:szCs w:val="28"/>
          <w14:textFill>
            <w14:solidFill>
              <w14:schemeClr w14:val="tx1"/>
            </w14:solidFill>
          </w14:textFill>
        </w:rPr>
      </w:pPr>
    </w:p>
    <w:p w14:paraId="29E0E8B5">
      <w:pPr>
        <w:pStyle w:val="34"/>
        <w:jc w:val="center"/>
        <w:outlineLvl w:val="0"/>
        <w:rPr>
          <w:rFonts w:ascii="宋体" w:hAnsi="宋体" w:cs="宋体"/>
          <w:b/>
          <w:color w:val="000000" w:themeColor="text1"/>
          <w:sz w:val="28"/>
          <w:szCs w:val="28"/>
          <w14:textFill>
            <w14:solidFill>
              <w14:schemeClr w14:val="tx1"/>
            </w14:solidFill>
          </w14:textFill>
        </w:rPr>
      </w:pPr>
    </w:p>
    <w:p w14:paraId="5BB6CEE5">
      <w:pPr>
        <w:pStyle w:val="34"/>
        <w:jc w:val="center"/>
        <w:outlineLvl w:val="0"/>
        <w:rPr>
          <w:rFonts w:ascii="宋体" w:hAnsi="宋体" w:cs="宋体"/>
          <w:b/>
          <w:color w:val="000000" w:themeColor="text1"/>
          <w:sz w:val="28"/>
          <w:szCs w:val="28"/>
          <w14:textFill>
            <w14:solidFill>
              <w14:schemeClr w14:val="tx1"/>
            </w14:solidFill>
          </w14:textFill>
        </w:rPr>
      </w:pPr>
    </w:p>
    <w:p w14:paraId="25D6C5BE">
      <w:pPr>
        <w:pStyle w:val="34"/>
        <w:jc w:val="center"/>
        <w:outlineLvl w:val="0"/>
        <w:rPr>
          <w:rFonts w:ascii="宋体" w:hAnsi="宋体" w:cs="宋体"/>
          <w:b/>
          <w:color w:val="000000" w:themeColor="text1"/>
          <w:sz w:val="28"/>
          <w:szCs w:val="28"/>
          <w14:textFill>
            <w14:solidFill>
              <w14:schemeClr w14:val="tx1"/>
            </w14:solidFill>
          </w14:textFill>
        </w:rPr>
      </w:pPr>
    </w:p>
    <w:p w14:paraId="554C9D4A">
      <w:pPr>
        <w:pStyle w:val="34"/>
        <w:jc w:val="center"/>
        <w:outlineLvl w:val="0"/>
        <w:rPr>
          <w:rFonts w:ascii="宋体" w:hAnsi="宋体" w:cs="宋体"/>
          <w:b/>
          <w:color w:val="000000" w:themeColor="text1"/>
          <w:sz w:val="28"/>
          <w:szCs w:val="28"/>
          <w14:textFill>
            <w14:solidFill>
              <w14:schemeClr w14:val="tx1"/>
            </w14:solidFill>
          </w14:textFill>
        </w:rPr>
      </w:pPr>
    </w:p>
    <w:p w14:paraId="2756D81C">
      <w:pPr>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（四）业绩证明</w:t>
      </w:r>
      <w:r>
        <w:rPr>
          <w:rFonts w:hint="eastAsia" w:ascii="宋体" w:hAnsi="宋体" w:cs="宋体"/>
          <w:b/>
          <w:color w:val="000000" w:themeColor="text1"/>
          <w:sz w:val="28"/>
          <w:szCs w:val="28"/>
          <w14:textFill>
            <w14:solidFill>
              <w14:schemeClr w14:val="tx1"/>
            </w14:solidFill>
          </w14:textFill>
        </w:rPr>
        <w:br w:type="page"/>
      </w:r>
    </w:p>
    <w:p w14:paraId="436E3C4F">
      <w:pPr>
        <w:numPr>
          <w:ilvl w:val="255"/>
          <w:numId w:val="0"/>
        </w:numPr>
        <w:spacing w:line="300" w:lineRule="auto"/>
        <w:jc w:val="center"/>
        <w:outlineLvl w:val="0"/>
        <w:rPr>
          <w:rFonts w:ascii="宋体" w:hAnsi="宋体" w:cs="宋体"/>
          <w:b/>
          <w:color w:val="000000" w:themeColor="text1"/>
          <w:sz w:val="28"/>
          <w:szCs w:val="28"/>
          <w14:textFill>
            <w14:solidFill>
              <w14:schemeClr w14:val="tx1"/>
            </w14:solidFill>
          </w14:textFill>
        </w:rPr>
      </w:pPr>
    </w:p>
    <w:p w14:paraId="6C019043">
      <w:pPr>
        <w:numPr>
          <w:ilvl w:val="255"/>
          <w:numId w:val="0"/>
        </w:numPr>
        <w:spacing w:line="300" w:lineRule="auto"/>
        <w:jc w:val="center"/>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p>
    <w:p w14:paraId="04E7327B">
      <w:pPr>
        <w:numPr>
          <w:ilvl w:val="255"/>
          <w:numId w:val="0"/>
        </w:numPr>
        <w:jc w:val="left"/>
        <w:rPr>
          <w:color w:val="000000" w:themeColor="text1"/>
          <w14:textFill>
            <w14:solidFill>
              <w14:schemeClr w14:val="tx1"/>
            </w14:solidFill>
          </w14:textFill>
        </w:rPr>
      </w:pPr>
    </w:p>
    <w:p w14:paraId="337B6573">
      <w:pPr>
        <w:numPr>
          <w:ilvl w:val="255"/>
          <w:numId w:val="0"/>
        </w:numPr>
        <w:jc w:val="left"/>
        <w:rPr>
          <w:color w:val="000000" w:themeColor="text1"/>
          <w14:textFill>
            <w14:solidFill>
              <w14:schemeClr w14:val="tx1"/>
            </w14:solidFill>
          </w14:textFill>
        </w:rPr>
      </w:pPr>
    </w:p>
    <w:p w14:paraId="126287A4">
      <w:pPr>
        <w:numPr>
          <w:ilvl w:val="255"/>
          <w:numId w:val="0"/>
        </w:numPr>
        <w:jc w:val="left"/>
        <w:rPr>
          <w:color w:val="000000" w:themeColor="text1"/>
          <w14:textFill>
            <w14:solidFill>
              <w14:schemeClr w14:val="tx1"/>
            </w14:solidFill>
          </w14:textFill>
        </w:rPr>
      </w:pPr>
    </w:p>
    <w:p w14:paraId="2E0C07DA">
      <w:pPr>
        <w:numPr>
          <w:ilvl w:val="255"/>
          <w:numId w:val="0"/>
        </w:numPr>
        <w:jc w:val="left"/>
        <w:rPr>
          <w:color w:val="000000" w:themeColor="text1"/>
          <w14:textFill>
            <w14:solidFill>
              <w14:schemeClr w14:val="tx1"/>
            </w14:solidFill>
          </w14:textFill>
        </w:rPr>
      </w:pPr>
    </w:p>
    <w:p w14:paraId="02AA26C3">
      <w:pPr>
        <w:numPr>
          <w:ilvl w:val="255"/>
          <w:numId w:val="0"/>
        </w:numPr>
        <w:jc w:val="left"/>
        <w:rPr>
          <w:color w:val="000000" w:themeColor="text1"/>
          <w14:textFill>
            <w14:solidFill>
              <w14:schemeClr w14:val="tx1"/>
            </w14:solidFill>
          </w14:textFill>
        </w:rPr>
      </w:pPr>
    </w:p>
    <w:p w14:paraId="4620CA4E">
      <w:pPr>
        <w:numPr>
          <w:ilvl w:val="255"/>
          <w:numId w:val="0"/>
        </w:numPr>
        <w:jc w:val="left"/>
        <w:rPr>
          <w:color w:val="000000" w:themeColor="text1"/>
          <w14:textFill>
            <w14:solidFill>
              <w14:schemeClr w14:val="tx1"/>
            </w14:solidFill>
          </w14:textFill>
        </w:rPr>
      </w:pPr>
    </w:p>
    <w:p w14:paraId="7DE5D7F6">
      <w:pPr>
        <w:numPr>
          <w:ilvl w:val="255"/>
          <w:numId w:val="0"/>
        </w:numPr>
        <w:jc w:val="left"/>
        <w:rPr>
          <w:color w:val="000000" w:themeColor="text1"/>
          <w14:textFill>
            <w14:solidFill>
              <w14:schemeClr w14:val="tx1"/>
            </w14:solidFill>
          </w14:textFill>
        </w:rPr>
      </w:pPr>
    </w:p>
    <w:p w14:paraId="7FA58B84">
      <w:pPr>
        <w:numPr>
          <w:ilvl w:val="255"/>
          <w:numId w:val="0"/>
        </w:numPr>
        <w:jc w:val="left"/>
        <w:rPr>
          <w:color w:val="000000" w:themeColor="text1"/>
          <w14:textFill>
            <w14:solidFill>
              <w14:schemeClr w14:val="tx1"/>
            </w14:solidFill>
          </w14:textFill>
        </w:rPr>
      </w:pPr>
    </w:p>
    <w:p w14:paraId="47378DEE">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商</w:t>
      </w:r>
    </w:p>
    <w:p w14:paraId="33DA8171">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务</w:t>
      </w:r>
    </w:p>
    <w:p w14:paraId="12A6F41D">
      <w:pPr>
        <w:jc w:val="center"/>
        <w:rPr>
          <w:b/>
          <w:color w:val="000000" w:themeColor="text1"/>
          <w:sz w:val="52"/>
          <w:szCs w:val="56"/>
          <w14:textFill>
            <w14:solidFill>
              <w14:schemeClr w14:val="tx1"/>
            </w14:solidFill>
          </w14:textFill>
        </w:rPr>
      </w:pPr>
      <w:r>
        <w:rPr>
          <w:b/>
          <w:color w:val="000000" w:themeColor="text1"/>
          <w:sz w:val="52"/>
          <w:szCs w:val="56"/>
          <w14:textFill>
            <w14:solidFill>
              <w14:schemeClr w14:val="tx1"/>
            </w14:solidFill>
          </w14:textFill>
        </w:rPr>
        <w:t>部</w:t>
      </w:r>
    </w:p>
    <w:p w14:paraId="419F86CF">
      <w:pPr>
        <w:numPr>
          <w:ilvl w:val="255"/>
          <w:numId w:val="0"/>
        </w:numPr>
        <w:spacing w:line="300" w:lineRule="auto"/>
        <w:jc w:val="center"/>
        <w:outlineLvl w:val="0"/>
        <w:rPr>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r>
        <w:rPr>
          <w:b/>
          <w:color w:val="000000" w:themeColor="text1"/>
          <w:sz w:val="52"/>
          <w:szCs w:val="56"/>
          <w14:textFill>
            <w14:solidFill>
              <w14:schemeClr w14:val="tx1"/>
            </w14:solidFill>
          </w14:textFill>
        </w:rPr>
        <w:t>分</w:t>
      </w:r>
      <w:r>
        <w:rPr>
          <w:rFonts w:hint="eastAsia"/>
          <w:b/>
          <w:color w:val="000000" w:themeColor="text1"/>
          <w:sz w:val="52"/>
          <w:szCs w:val="56"/>
          <w14:textFill>
            <w14:solidFill>
              <w14:schemeClr w14:val="tx1"/>
            </w14:solidFill>
          </w14:textFill>
        </w:rPr>
        <w:t xml:space="preserve">  </w:t>
      </w:r>
    </w:p>
    <w:p w14:paraId="639DAE08">
      <w:pPr>
        <w:numPr>
          <w:ilvl w:val="0"/>
          <w:numId w:val="5"/>
        </w:numPr>
        <w:spacing w:before="468" w:beforeLines="150" w:after="312" w:afterLines="100" w:line="300" w:lineRule="auto"/>
        <w:ind w:firstLine="3373" w:firstLineChars="16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p w14:paraId="4F995C1C">
      <w:pPr>
        <w:pStyle w:val="8"/>
        <w:numPr>
          <w:ilvl w:val="255"/>
          <w:numId w:val="0"/>
        </w:numPr>
        <w:spacing w:before="468" w:beforeLines="150" w:after="312" w:afterLines="100"/>
        <w:jc w:val="center"/>
      </w:pPr>
    </w:p>
    <w:p w14:paraId="378C6A55">
      <w:pPr>
        <w:widowControl/>
        <w:snapToGrid w:val="0"/>
        <w:spacing w:line="360" w:lineRule="auto"/>
        <w:jc w:val="center"/>
        <w:rPr>
          <w:rFonts w:ascii="宋体" w:hAnsi="宋体"/>
          <w:szCs w:val="21"/>
        </w:rPr>
      </w:pPr>
      <w:r>
        <w:rPr>
          <w:rFonts w:hint="eastAsia" w:ascii="宋体" w:hAnsi="宋体"/>
          <w:b/>
          <w:szCs w:val="21"/>
        </w:rPr>
        <w:t>说  明</w:t>
      </w:r>
    </w:p>
    <w:p w14:paraId="7A11D821">
      <w:pPr>
        <w:spacing w:line="440" w:lineRule="exact"/>
        <w:rPr>
          <w:rFonts w:ascii="宋体" w:hAnsi="宋体" w:cs="宋体"/>
        </w:rPr>
      </w:pPr>
      <w:r>
        <w:rPr>
          <w:rFonts w:hint="eastAsia" w:ascii="宋体" w:hAnsi="宋体" w:cs="宋体"/>
        </w:rPr>
        <w:t>企业基本账户开户证明文件复印件和投标保证金交纳凭证复印件（附转账支票电子文件）</w:t>
      </w:r>
    </w:p>
    <w:p w14:paraId="3B78F2D6">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568B9A02">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5FC59008">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1A6D452E">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387E42EA">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1874CCF2">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580D6D1F">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19434A71">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1DAD87A4">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73A06226">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7517FA76">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79C385A5">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56D3E94B">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362167B5">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0C098513">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06DC81D8">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0C55BC04">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3839BE98">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43BB008B">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66138E64">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42A3EC5B">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0FC335A4">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05C329F2">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273C3FC3">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69F3660C">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193765F2">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7D232151">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78FB7B0E">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p>
    <w:p w14:paraId="7DA6D86D">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（二）</w:t>
      </w:r>
      <w:r>
        <w:rPr>
          <w:rFonts w:ascii="宋体" w:hAnsi="宋体" w:cs="宋体"/>
          <w:b/>
          <w:color w:val="000000" w:themeColor="text1"/>
          <w:szCs w:val="21"/>
          <w14:textFill>
            <w14:solidFill>
              <w14:schemeClr w14:val="tx1"/>
            </w14:solidFill>
          </w14:textFill>
        </w:rPr>
        <w:t>比选申请单位自行承诺部分</w:t>
      </w:r>
    </w:p>
    <w:p w14:paraId="568AE0F9">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重庆高速工程检测有限公司：</w:t>
      </w:r>
    </w:p>
    <w:p w14:paraId="49EE2846">
      <w:pPr>
        <w:spacing w:line="44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我司承诺本次比选申请文件的所有资料、业绩均为真实材料。我司将履行比选文件及合同约定。若违背竞争性比选文件及合同要求，我司将按照约定接受处罚。</w:t>
      </w:r>
    </w:p>
    <w:p w14:paraId="10D43492">
      <w:pPr>
        <w:spacing w:line="440" w:lineRule="exact"/>
        <w:rPr>
          <w:color w:val="000000" w:themeColor="text1"/>
          <w:szCs w:val="2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   </w:t>
      </w:r>
      <w:r>
        <w:rPr>
          <w:rFonts w:hint="eastAsia"/>
          <w:color w:val="000000" w:themeColor="text1"/>
          <w:szCs w:val="21"/>
          <w14:textFill>
            <w14:solidFill>
              <w14:schemeClr w14:val="tx1"/>
            </w14:solidFill>
          </w14:textFill>
        </w:rPr>
        <w:t>我司承诺在最近三年没有出现违法违规或失信行为；无拖欠劳务费的败诉记录；没有无故弃标的不良记录；未处于被责令停业，歇业，投标资格被取消，财产被接管、被采取强制措施、破产状态，并将按照比选文件要求实施项目。</w:t>
      </w:r>
    </w:p>
    <w:p w14:paraId="0F60CA63">
      <w:pPr>
        <w:pStyle w:val="34"/>
        <w:rPr>
          <w:rFonts w:ascii="宋体" w:hAnsi="宋体" w:cs="宋体"/>
          <w:b/>
          <w:color w:val="000000" w:themeColor="text1"/>
          <w:sz w:val="28"/>
          <w:szCs w:val="28"/>
          <w14:textFill>
            <w14:solidFill>
              <w14:schemeClr w14:val="tx1"/>
            </w14:solidFill>
          </w14:textFill>
        </w:rPr>
      </w:pPr>
    </w:p>
    <w:p w14:paraId="5CB60823">
      <w:pPr>
        <w:spacing w:line="440" w:lineRule="exact"/>
        <w:ind w:firstLine="3990" w:firstLineChars="1900"/>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竞标人：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（盖单位章）</w:t>
      </w:r>
    </w:p>
    <w:p w14:paraId="5FE4F878">
      <w:pPr>
        <w:pStyle w:val="34"/>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1E2C4AE6">
      <w:pPr>
        <w:pStyle w:val="34"/>
        <w:jc w:val="right"/>
        <w:rPr>
          <w:color w:val="000000" w:themeColor="text1"/>
          <w:szCs w:val="21"/>
          <w14:textFill>
            <w14:solidFill>
              <w14:schemeClr w14:val="tx1"/>
            </w14:solidFill>
          </w14:textFill>
        </w:rPr>
      </w:pPr>
    </w:p>
    <w:p w14:paraId="4EFE57A3">
      <w:pPr>
        <w:pStyle w:val="34"/>
        <w:jc w:val="right"/>
        <w:rPr>
          <w:color w:val="000000" w:themeColor="text1"/>
          <w:szCs w:val="21"/>
          <w14:textFill>
            <w14:solidFill>
              <w14:schemeClr w14:val="tx1"/>
            </w14:solidFill>
          </w14:textFill>
        </w:rPr>
      </w:pPr>
    </w:p>
    <w:p w14:paraId="375A8D26">
      <w:pPr>
        <w:pStyle w:val="34"/>
        <w:jc w:val="right"/>
        <w:rPr>
          <w:rFonts w:ascii="宋体" w:hAnsi="宋体" w:eastAsia="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日 </w:t>
      </w:r>
    </w:p>
    <w:p w14:paraId="136E91AB">
      <w:pPr>
        <w:pStyle w:val="34"/>
        <w:jc w:val="right"/>
        <w:rPr>
          <w:rFonts w:ascii="宋体" w:hAnsi="宋体" w:eastAsia="宋体" w:cs="宋体"/>
          <w:color w:val="000000" w:themeColor="text1"/>
          <w:szCs w:val="21"/>
          <w14:textFill>
            <w14:solidFill>
              <w14:schemeClr w14:val="tx1"/>
            </w14:solidFill>
          </w14:textFill>
        </w:rPr>
      </w:pPr>
    </w:p>
    <w:p w14:paraId="71FCA40D">
      <w:pPr>
        <w:pStyle w:val="34"/>
        <w:jc w:val="right"/>
        <w:rPr>
          <w:rFonts w:ascii="宋体" w:hAnsi="宋体" w:eastAsia="宋体" w:cs="宋体"/>
          <w:color w:val="000000" w:themeColor="text1"/>
          <w:szCs w:val="21"/>
          <w14:textFill>
            <w14:solidFill>
              <w14:schemeClr w14:val="tx1"/>
            </w14:solidFill>
          </w14:textFill>
        </w:rPr>
      </w:pPr>
    </w:p>
    <w:p w14:paraId="045A3FE7">
      <w:pPr>
        <w:pStyle w:val="34"/>
        <w:jc w:val="right"/>
        <w:rPr>
          <w:rFonts w:ascii="宋体" w:hAnsi="宋体" w:eastAsia="宋体" w:cs="宋体"/>
          <w:color w:val="000000" w:themeColor="text1"/>
          <w:szCs w:val="21"/>
          <w14:textFill>
            <w14:solidFill>
              <w14:schemeClr w14:val="tx1"/>
            </w14:solidFill>
          </w14:textFill>
        </w:rPr>
      </w:pPr>
    </w:p>
    <w:p w14:paraId="44684032">
      <w:pPr>
        <w:pStyle w:val="34"/>
        <w:jc w:val="right"/>
        <w:rPr>
          <w:rFonts w:ascii="宋体" w:hAnsi="宋体" w:eastAsia="宋体" w:cs="宋体"/>
          <w:color w:val="000000" w:themeColor="text1"/>
          <w:szCs w:val="21"/>
          <w14:textFill>
            <w14:solidFill>
              <w14:schemeClr w14:val="tx1"/>
            </w14:solidFill>
          </w14:textFill>
        </w:rPr>
      </w:pPr>
    </w:p>
    <w:p w14:paraId="678A8BFA">
      <w:pPr>
        <w:pStyle w:val="34"/>
        <w:jc w:val="right"/>
        <w:rPr>
          <w:rFonts w:ascii="宋体" w:hAnsi="宋体" w:eastAsia="宋体" w:cs="宋体"/>
          <w:color w:val="000000" w:themeColor="text1"/>
          <w:szCs w:val="21"/>
          <w14:textFill>
            <w14:solidFill>
              <w14:schemeClr w14:val="tx1"/>
            </w14:solidFill>
          </w14:textFill>
        </w:rPr>
      </w:pPr>
    </w:p>
    <w:p w14:paraId="6D6ACC06">
      <w:pPr>
        <w:pStyle w:val="34"/>
        <w:jc w:val="right"/>
        <w:rPr>
          <w:rFonts w:ascii="宋体" w:hAnsi="宋体" w:eastAsia="宋体" w:cs="宋体"/>
          <w:color w:val="000000" w:themeColor="text1"/>
          <w:szCs w:val="21"/>
          <w14:textFill>
            <w14:solidFill>
              <w14:schemeClr w14:val="tx1"/>
            </w14:solidFill>
          </w14:textFill>
        </w:rPr>
      </w:pPr>
    </w:p>
    <w:p w14:paraId="1A568D0A">
      <w:pPr>
        <w:pStyle w:val="34"/>
        <w:jc w:val="right"/>
        <w:rPr>
          <w:rFonts w:ascii="宋体" w:hAnsi="宋体" w:eastAsia="宋体" w:cs="宋体"/>
          <w:color w:val="000000" w:themeColor="text1"/>
          <w:szCs w:val="21"/>
          <w14:textFill>
            <w14:solidFill>
              <w14:schemeClr w14:val="tx1"/>
            </w14:solidFill>
          </w14:textFill>
        </w:rPr>
      </w:pPr>
    </w:p>
    <w:p w14:paraId="1135FFFC">
      <w:pPr>
        <w:pStyle w:val="34"/>
        <w:jc w:val="right"/>
        <w:rPr>
          <w:rFonts w:ascii="宋体" w:hAnsi="宋体" w:eastAsia="宋体" w:cs="宋体"/>
          <w:color w:val="000000" w:themeColor="text1"/>
          <w:szCs w:val="21"/>
          <w14:textFill>
            <w14:solidFill>
              <w14:schemeClr w14:val="tx1"/>
            </w14:solidFill>
          </w14:textFill>
        </w:rPr>
      </w:pPr>
    </w:p>
    <w:p w14:paraId="2F481280">
      <w:pPr>
        <w:pStyle w:val="34"/>
        <w:jc w:val="right"/>
        <w:rPr>
          <w:rFonts w:ascii="宋体" w:hAnsi="宋体" w:eastAsia="宋体" w:cs="宋体"/>
          <w:color w:val="000000" w:themeColor="text1"/>
          <w:szCs w:val="21"/>
          <w14:textFill>
            <w14:solidFill>
              <w14:schemeClr w14:val="tx1"/>
            </w14:solidFill>
          </w14:textFill>
        </w:rPr>
      </w:pPr>
    </w:p>
    <w:p w14:paraId="7E716AF5">
      <w:pPr>
        <w:pStyle w:val="34"/>
        <w:jc w:val="right"/>
        <w:rPr>
          <w:rFonts w:ascii="宋体" w:hAnsi="宋体" w:eastAsia="宋体" w:cs="宋体"/>
          <w:color w:val="000000" w:themeColor="text1"/>
          <w:szCs w:val="21"/>
          <w14:textFill>
            <w14:solidFill>
              <w14:schemeClr w14:val="tx1"/>
            </w14:solidFill>
          </w14:textFill>
        </w:rPr>
      </w:pPr>
    </w:p>
    <w:p w14:paraId="20A7D88B">
      <w:pPr>
        <w:pStyle w:val="34"/>
        <w:jc w:val="right"/>
        <w:rPr>
          <w:rFonts w:ascii="宋体" w:hAnsi="宋体" w:eastAsia="宋体" w:cs="宋体"/>
          <w:color w:val="000000" w:themeColor="text1"/>
          <w:szCs w:val="21"/>
          <w14:textFill>
            <w14:solidFill>
              <w14:schemeClr w14:val="tx1"/>
            </w14:solidFill>
          </w14:textFill>
        </w:rPr>
      </w:pPr>
    </w:p>
    <w:p w14:paraId="1DF22CFC">
      <w:pPr>
        <w:pStyle w:val="34"/>
        <w:jc w:val="right"/>
        <w:rPr>
          <w:rFonts w:ascii="宋体" w:hAnsi="宋体" w:eastAsia="宋体" w:cs="宋体"/>
          <w:color w:val="000000" w:themeColor="text1"/>
          <w:szCs w:val="21"/>
          <w14:textFill>
            <w14:solidFill>
              <w14:schemeClr w14:val="tx1"/>
            </w14:solidFill>
          </w14:textFill>
        </w:rPr>
      </w:pPr>
    </w:p>
    <w:p w14:paraId="73509344">
      <w:pPr>
        <w:pStyle w:val="34"/>
        <w:jc w:val="right"/>
        <w:rPr>
          <w:rFonts w:ascii="宋体" w:hAnsi="宋体" w:eastAsia="宋体" w:cs="宋体"/>
          <w:color w:val="000000" w:themeColor="text1"/>
          <w:szCs w:val="21"/>
          <w14:textFill>
            <w14:solidFill>
              <w14:schemeClr w14:val="tx1"/>
            </w14:solidFill>
          </w14:textFill>
        </w:rPr>
      </w:pPr>
    </w:p>
    <w:p w14:paraId="7D71FE5E">
      <w:pPr>
        <w:pStyle w:val="34"/>
        <w:jc w:val="right"/>
        <w:rPr>
          <w:rFonts w:ascii="宋体" w:hAnsi="宋体" w:eastAsia="宋体" w:cs="宋体"/>
          <w:color w:val="000000" w:themeColor="text1"/>
          <w:szCs w:val="21"/>
          <w14:textFill>
            <w14:solidFill>
              <w14:schemeClr w14:val="tx1"/>
            </w14:solidFill>
          </w14:textFill>
        </w:rPr>
      </w:pPr>
    </w:p>
    <w:p w14:paraId="764B765F">
      <w:pPr>
        <w:pStyle w:val="34"/>
        <w:jc w:val="right"/>
        <w:rPr>
          <w:rFonts w:ascii="宋体" w:hAnsi="宋体" w:eastAsia="宋体" w:cs="宋体"/>
          <w:color w:val="000000" w:themeColor="text1"/>
          <w:szCs w:val="21"/>
          <w14:textFill>
            <w14:solidFill>
              <w14:schemeClr w14:val="tx1"/>
            </w14:solidFill>
          </w14:textFill>
        </w:rPr>
      </w:pPr>
    </w:p>
    <w:p w14:paraId="6DC2A2D7">
      <w:pPr>
        <w:pStyle w:val="34"/>
        <w:jc w:val="right"/>
        <w:rPr>
          <w:rFonts w:ascii="宋体" w:hAnsi="宋体" w:eastAsia="宋体" w:cs="宋体"/>
          <w:color w:val="000000" w:themeColor="text1"/>
          <w:szCs w:val="21"/>
          <w14:textFill>
            <w14:solidFill>
              <w14:schemeClr w14:val="tx1"/>
            </w14:solidFill>
          </w14:textFill>
        </w:rPr>
      </w:pPr>
    </w:p>
    <w:p w14:paraId="2A11C2D5">
      <w:pPr>
        <w:pStyle w:val="34"/>
        <w:jc w:val="right"/>
        <w:rPr>
          <w:rFonts w:ascii="宋体" w:hAnsi="宋体" w:eastAsia="宋体" w:cs="宋体"/>
          <w:color w:val="000000" w:themeColor="text1"/>
          <w:szCs w:val="21"/>
          <w14:textFill>
            <w14:solidFill>
              <w14:schemeClr w14:val="tx1"/>
            </w14:solidFill>
          </w14:textFill>
        </w:rPr>
      </w:pPr>
    </w:p>
    <w:p w14:paraId="5BD27064">
      <w:pPr>
        <w:pStyle w:val="34"/>
        <w:jc w:val="right"/>
        <w:rPr>
          <w:rFonts w:ascii="宋体" w:hAnsi="宋体" w:eastAsia="宋体" w:cs="宋体"/>
          <w:color w:val="000000" w:themeColor="text1"/>
          <w:szCs w:val="21"/>
          <w14:textFill>
            <w14:solidFill>
              <w14:schemeClr w14:val="tx1"/>
            </w14:solidFill>
          </w14:textFill>
        </w:rPr>
      </w:pPr>
    </w:p>
    <w:p w14:paraId="7E5EE2BD">
      <w:pPr>
        <w:pStyle w:val="34"/>
        <w:jc w:val="right"/>
        <w:rPr>
          <w:rFonts w:ascii="宋体" w:hAnsi="宋体" w:eastAsia="宋体" w:cs="宋体"/>
          <w:color w:val="000000" w:themeColor="text1"/>
          <w:szCs w:val="21"/>
          <w14:textFill>
            <w14:solidFill>
              <w14:schemeClr w14:val="tx1"/>
            </w14:solidFill>
          </w14:textFill>
        </w:rPr>
      </w:pPr>
    </w:p>
    <w:p w14:paraId="76293E18">
      <w:pPr>
        <w:pStyle w:val="34"/>
        <w:jc w:val="right"/>
        <w:rPr>
          <w:rFonts w:ascii="宋体" w:hAnsi="宋体" w:eastAsia="宋体" w:cs="宋体"/>
          <w:color w:val="000000" w:themeColor="text1"/>
          <w:szCs w:val="21"/>
          <w14:textFill>
            <w14:solidFill>
              <w14:schemeClr w14:val="tx1"/>
            </w14:solidFill>
          </w14:textFill>
        </w:rPr>
      </w:pPr>
    </w:p>
    <w:p w14:paraId="78DFA563">
      <w:pPr>
        <w:pStyle w:val="34"/>
        <w:jc w:val="right"/>
        <w:rPr>
          <w:rFonts w:ascii="宋体" w:hAnsi="宋体" w:eastAsia="宋体" w:cs="宋体"/>
          <w:color w:val="000000" w:themeColor="text1"/>
          <w:szCs w:val="21"/>
          <w14:textFill>
            <w14:solidFill>
              <w14:schemeClr w14:val="tx1"/>
            </w14:solidFill>
          </w14:textFill>
        </w:rPr>
      </w:pPr>
    </w:p>
    <w:p w14:paraId="0B7D4E45">
      <w:pPr>
        <w:pStyle w:val="34"/>
        <w:jc w:val="right"/>
        <w:rPr>
          <w:rFonts w:ascii="宋体" w:hAnsi="宋体" w:eastAsia="宋体" w:cs="宋体"/>
          <w:color w:val="000000" w:themeColor="text1"/>
          <w:szCs w:val="21"/>
          <w14:textFill>
            <w14:solidFill>
              <w14:schemeClr w14:val="tx1"/>
            </w14:solidFill>
          </w14:textFill>
        </w:rPr>
      </w:pPr>
    </w:p>
    <w:p w14:paraId="18037D50">
      <w:pPr>
        <w:pStyle w:val="34"/>
        <w:jc w:val="right"/>
        <w:rPr>
          <w:rFonts w:ascii="宋体" w:hAnsi="宋体" w:eastAsia="宋体" w:cs="宋体"/>
          <w:color w:val="000000" w:themeColor="text1"/>
          <w:szCs w:val="21"/>
          <w14:textFill>
            <w14:solidFill>
              <w14:schemeClr w14:val="tx1"/>
            </w14:solidFill>
          </w14:textFill>
        </w:rPr>
      </w:pPr>
    </w:p>
    <w:p w14:paraId="0D9E6114">
      <w:pPr>
        <w:pStyle w:val="34"/>
        <w:jc w:val="right"/>
        <w:rPr>
          <w:rFonts w:ascii="宋体" w:hAnsi="宋体" w:eastAsia="宋体" w:cs="宋体"/>
          <w:color w:val="000000" w:themeColor="text1"/>
          <w:szCs w:val="21"/>
          <w14:textFill>
            <w14:solidFill>
              <w14:schemeClr w14:val="tx1"/>
            </w14:solidFill>
          </w14:textFill>
        </w:rPr>
      </w:pPr>
    </w:p>
    <w:p w14:paraId="1F34374F">
      <w:pPr>
        <w:pStyle w:val="34"/>
        <w:jc w:val="right"/>
        <w:rPr>
          <w:rFonts w:ascii="宋体" w:hAnsi="宋体" w:eastAsia="宋体" w:cs="宋体"/>
          <w:color w:val="000000" w:themeColor="text1"/>
          <w:szCs w:val="21"/>
          <w14:textFill>
            <w14:solidFill>
              <w14:schemeClr w14:val="tx1"/>
            </w14:solidFill>
          </w14:textFill>
        </w:rPr>
      </w:pPr>
    </w:p>
    <w:p w14:paraId="7B11E8A4">
      <w:pPr>
        <w:pStyle w:val="34"/>
        <w:jc w:val="right"/>
        <w:rPr>
          <w:rFonts w:ascii="宋体" w:hAnsi="宋体" w:eastAsia="宋体" w:cs="宋体"/>
          <w:color w:val="000000" w:themeColor="text1"/>
          <w:szCs w:val="21"/>
          <w14:textFill>
            <w14:solidFill>
              <w14:schemeClr w14:val="tx1"/>
            </w14:solidFill>
          </w14:textFill>
        </w:rPr>
      </w:pPr>
    </w:p>
    <w:p w14:paraId="4486EB1B">
      <w:pPr>
        <w:pStyle w:val="34"/>
        <w:jc w:val="right"/>
        <w:rPr>
          <w:rFonts w:ascii="宋体" w:hAnsi="宋体" w:eastAsia="宋体" w:cs="宋体"/>
          <w:color w:val="000000" w:themeColor="text1"/>
          <w:szCs w:val="21"/>
          <w14:textFill>
            <w14:solidFill>
              <w14:schemeClr w14:val="tx1"/>
            </w14:solidFill>
          </w14:textFill>
        </w:rPr>
      </w:pPr>
    </w:p>
    <w:p w14:paraId="2B894EC1">
      <w:pPr>
        <w:numPr>
          <w:ilvl w:val="255"/>
          <w:numId w:val="0"/>
        </w:numPr>
        <w:spacing w:line="300" w:lineRule="auto"/>
        <w:jc w:val="center"/>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（三）信誉承诺</w:t>
      </w:r>
    </w:p>
    <w:p w14:paraId="72C77BEF">
      <w:pPr>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重庆高速工程检测有限公司：</w:t>
      </w:r>
    </w:p>
    <w:p w14:paraId="13024E50">
      <w:pPr>
        <w:pStyle w:val="34"/>
        <w:spacing w:line="420" w:lineRule="exact"/>
        <w:ind w:firstLine="420" w:firstLineChars="200"/>
        <w:rPr>
          <w:rFonts w:ascii="Times New Roman" w:eastAsia="宋体" w:cs="Times New Roman"/>
          <w:color w:val="000000" w:themeColor="text1"/>
          <w:kern w:val="2"/>
          <w:sz w:val="21"/>
          <w:szCs w:val="21"/>
          <w14:textFill>
            <w14:solidFill>
              <w14:schemeClr w14:val="tx1"/>
            </w14:solidFill>
          </w14:textFill>
        </w:rPr>
      </w:pPr>
      <w:r>
        <w:rPr>
          <w:rFonts w:ascii="Times New Roman" w:eastAsia="宋体" w:cs="Times New Roman"/>
          <w:color w:val="000000" w:themeColor="text1"/>
          <w:kern w:val="2"/>
          <w:sz w:val="21"/>
          <w:szCs w:val="21"/>
          <w14:textFill>
            <w14:solidFill>
              <w14:schemeClr w14:val="tx1"/>
            </w14:solidFill>
          </w14:textFill>
        </w:rPr>
        <w:t>我司承诺无任何不良投标记录，没有正受到责令停产、停业的行政处罚或正处于财务被接管、冻结、破产的状态，没有涉及正在诉讼的案件，并承诺不会对承担本合同造成影响，否则将向贵司赔偿因本次竞标活动贵司发生的全部费用和损失（包含贵司后期检测业务无法开展或延误的损失）。</w:t>
      </w:r>
    </w:p>
    <w:p w14:paraId="26190E71">
      <w:pPr>
        <w:pStyle w:val="34"/>
        <w:rPr>
          <w:rFonts w:ascii="Times New Roman" w:cs="Times New Roman"/>
          <w:color w:val="000000" w:themeColor="text1"/>
          <w:sz w:val="44"/>
          <w:szCs w:val="44"/>
          <w14:textFill>
            <w14:solidFill>
              <w14:schemeClr w14:val="tx1"/>
            </w14:solidFill>
          </w14:textFill>
        </w:rPr>
      </w:pPr>
      <w:r>
        <w:rPr>
          <w:rFonts w:ascii="Times New Roman" w:cs="Times New Roman"/>
          <w:color w:val="000000" w:themeColor="text1"/>
          <w:sz w:val="44"/>
          <w:szCs w:val="44"/>
          <w14:textFill>
            <w14:solidFill>
              <w14:schemeClr w14:val="tx1"/>
            </w14:solidFill>
          </w14:textFill>
        </w:rPr>
        <w:t xml:space="preserve"> </w:t>
      </w:r>
    </w:p>
    <w:p w14:paraId="10CFA2D0">
      <w:pPr>
        <w:spacing w:line="440" w:lineRule="exact"/>
        <w:ind w:firstLine="8360" w:firstLineChars="1900"/>
        <w:jc w:val="right"/>
        <w:rPr>
          <w:color w:val="000000" w:themeColor="text1"/>
          <w:szCs w:val="21"/>
          <w14:textFill>
            <w14:solidFill>
              <w14:schemeClr w14:val="tx1"/>
            </w14:solidFill>
          </w14:textFill>
        </w:rPr>
      </w:pPr>
      <w:r>
        <w:rPr>
          <w:color w:val="000000" w:themeColor="text1"/>
          <w:sz w:val="44"/>
          <w:szCs w:val="44"/>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竞标人：</w:t>
      </w:r>
      <w:r>
        <w:rPr>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（盖单位章）</w:t>
      </w:r>
    </w:p>
    <w:p w14:paraId="16DB2E3A">
      <w:pPr>
        <w:pStyle w:val="34"/>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r>
        <w:rPr>
          <w:color w:val="000000" w:themeColor="text1"/>
          <w:szCs w:val="21"/>
          <w14:textFill>
            <w14:solidFill>
              <w14:schemeClr w14:val="tx1"/>
            </w14:solidFill>
          </w14:textFill>
        </w:rPr>
        <w:t xml:space="preserve"> </w:t>
      </w:r>
    </w:p>
    <w:p w14:paraId="7246E6D7">
      <w:pPr>
        <w:pStyle w:val="34"/>
        <w:jc w:val="right"/>
        <w:rPr>
          <w:color w:val="000000" w:themeColor="text1"/>
          <w:szCs w:val="21"/>
          <w14:textFill>
            <w14:solidFill>
              <w14:schemeClr w14:val="tx1"/>
            </w14:solidFill>
          </w14:textFill>
        </w:rPr>
      </w:pPr>
    </w:p>
    <w:p w14:paraId="047715E9">
      <w:pPr>
        <w:pStyle w:val="34"/>
        <w:jc w:val="right"/>
        <w:rPr>
          <w:color w:val="000000" w:themeColor="text1"/>
          <w:szCs w:val="21"/>
          <w14:textFill>
            <w14:solidFill>
              <w14:schemeClr w14:val="tx1"/>
            </w14:solidFill>
          </w14:textFill>
        </w:rPr>
      </w:pPr>
    </w:p>
    <w:p w14:paraId="11D35EB0">
      <w:pPr>
        <w:pStyle w:val="34"/>
        <w:jc w:val="right"/>
        <w:rPr>
          <w:rFonts w:ascii="宋体" w:hAnsi="宋体" w:eastAsia="宋体" w:cs="宋体"/>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日 </w:t>
      </w:r>
    </w:p>
    <w:p w14:paraId="3CA05D02">
      <w:pPr>
        <w:pStyle w:val="34"/>
        <w:rPr>
          <w:rFonts w:ascii="Times New Roman" w:cs="Times New Roman"/>
          <w:color w:val="000000" w:themeColor="text1"/>
          <w:sz w:val="44"/>
          <w:szCs w:val="44"/>
          <w14:textFill>
            <w14:solidFill>
              <w14:schemeClr w14:val="tx1"/>
            </w14:solidFill>
          </w14:textFill>
        </w:rPr>
      </w:pPr>
    </w:p>
    <w:p w14:paraId="52092D80">
      <w:pPr>
        <w:pStyle w:val="34"/>
        <w:jc w:val="center"/>
        <w:rPr>
          <w:rFonts w:ascii="Times New Roman" w:eastAsia="宋体" w:cs="Times New Roman"/>
          <w:color w:val="000000" w:themeColor="text1"/>
          <w14:textFill>
            <w14:solidFill>
              <w14:schemeClr w14:val="tx1"/>
            </w14:solidFill>
          </w14:textFill>
        </w:rPr>
      </w:pPr>
    </w:p>
    <w:p w14:paraId="404021A3">
      <w:pPr>
        <w:pStyle w:val="34"/>
        <w:jc w:val="center"/>
        <w:rPr>
          <w:rFonts w:ascii="Times New Roman" w:eastAsia="宋体" w:cs="Times New Roman"/>
          <w:color w:val="000000" w:themeColor="text1"/>
          <w14:textFill>
            <w14:solidFill>
              <w14:schemeClr w14:val="tx1"/>
            </w14:solidFill>
          </w14:textFill>
        </w:rPr>
      </w:pPr>
    </w:p>
    <w:p w14:paraId="36610806">
      <w:pPr>
        <w:pStyle w:val="34"/>
        <w:jc w:val="center"/>
        <w:rPr>
          <w:rFonts w:ascii="Times New Roman" w:eastAsia="宋体" w:cs="Times New Roman"/>
          <w:color w:val="000000" w:themeColor="text1"/>
          <w14:textFill>
            <w14:solidFill>
              <w14:schemeClr w14:val="tx1"/>
            </w14:solidFill>
          </w14:textFill>
        </w:rPr>
      </w:pPr>
    </w:p>
    <w:p w14:paraId="2E8C1A06">
      <w:pPr>
        <w:pStyle w:val="34"/>
        <w:jc w:val="center"/>
        <w:rPr>
          <w:rFonts w:ascii="Times New Roman" w:eastAsia="宋体" w:cs="Times New Roman"/>
          <w:color w:val="000000" w:themeColor="text1"/>
          <w14:textFill>
            <w14:solidFill>
              <w14:schemeClr w14:val="tx1"/>
            </w14:solidFill>
          </w14:textFill>
        </w:rPr>
      </w:pPr>
    </w:p>
    <w:p w14:paraId="6AC65EAC">
      <w:pPr>
        <w:pStyle w:val="34"/>
        <w:jc w:val="center"/>
        <w:rPr>
          <w:rFonts w:ascii="Times New Roman" w:eastAsia="宋体" w:cs="Times New Roman"/>
          <w:color w:val="000000" w:themeColor="text1"/>
          <w14:textFill>
            <w14:solidFill>
              <w14:schemeClr w14:val="tx1"/>
            </w14:solidFill>
          </w14:textFill>
        </w:rPr>
      </w:pPr>
    </w:p>
    <w:p w14:paraId="364DEBD3">
      <w:pPr>
        <w:pStyle w:val="34"/>
        <w:jc w:val="center"/>
        <w:rPr>
          <w:rFonts w:ascii="Times New Roman" w:eastAsia="宋体" w:cs="Times New Roman"/>
          <w:color w:val="000000" w:themeColor="text1"/>
          <w14:textFill>
            <w14:solidFill>
              <w14:schemeClr w14:val="tx1"/>
            </w14:solidFill>
          </w14:textFill>
        </w:rPr>
      </w:pPr>
    </w:p>
    <w:p w14:paraId="087AF0CF">
      <w:pPr>
        <w:pStyle w:val="34"/>
        <w:jc w:val="center"/>
        <w:rPr>
          <w:rFonts w:ascii="Times New Roman" w:eastAsia="宋体" w:cs="Times New Roman"/>
          <w:color w:val="000000" w:themeColor="text1"/>
          <w14:textFill>
            <w14:solidFill>
              <w14:schemeClr w14:val="tx1"/>
            </w14:solidFill>
          </w14:textFill>
        </w:rPr>
      </w:pPr>
    </w:p>
    <w:p w14:paraId="55AEDDDC">
      <w:pPr>
        <w:pStyle w:val="34"/>
        <w:jc w:val="center"/>
        <w:rPr>
          <w:rFonts w:ascii="Times New Roman" w:eastAsia="宋体" w:cs="Times New Roman"/>
          <w:color w:val="000000" w:themeColor="text1"/>
          <w14:textFill>
            <w14:solidFill>
              <w14:schemeClr w14:val="tx1"/>
            </w14:solidFill>
          </w14:textFill>
        </w:rPr>
      </w:pPr>
    </w:p>
    <w:p w14:paraId="6394BBC2">
      <w:pPr>
        <w:pStyle w:val="34"/>
        <w:jc w:val="center"/>
        <w:rPr>
          <w:rFonts w:ascii="Times New Roman" w:eastAsia="宋体" w:cs="Times New Roman"/>
          <w:color w:val="000000" w:themeColor="text1"/>
          <w14:textFill>
            <w14:solidFill>
              <w14:schemeClr w14:val="tx1"/>
            </w14:solidFill>
          </w14:textFill>
        </w:rPr>
      </w:pPr>
    </w:p>
    <w:p w14:paraId="0436691C">
      <w:pPr>
        <w:pStyle w:val="34"/>
        <w:jc w:val="center"/>
        <w:rPr>
          <w:rFonts w:ascii="Times New Roman" w:eastAsia="宋体" w:cs="Times New Roman"/>
          <w:color w:val="000000" w:themeColor="text1"/>
          <w14:textFill>
            <w14:solidFill>
              <w14:schemeClr w14:val="tx1"/>
            </w14:solidFill>
          </w14:textFill>
        </w:rPr>
      </w:pPr>
    </w:p>
    <w:p w14:paraId="68500CE4">
      <w:pPr>
        <w:pStyle w:val="34"/>
        <w:jc w:val="center"/>
        <w:rPr>
          <w:rFonts w:ascii="Times New Roman" w:eastAsia="宋体" w:cs="Times New Roman"/>
          <w:color w:val="000000" w:themeColor="text1"/>
          <w14:textFill>
            <w14:solidFill>
              <w14:schemeClr w14:val="tx1"/>
            </w14:solidFill>
          </w14:textFill>
        </w:rPr>
      </w:pPr>
    </w:p>
    <w:p w14:paraId="3F4381AF">
      <w:pPr>
        <w:pStyle w:val="34"/>
        <w:jc w:val="center"/>
        <w:rPr>
          <w:rFonts w:ascii="Times New Roman" w:eastAsia="宋体" w:cs="Times New Roman"/>
          <w:color w:val="000000" w:themeColor="text1"/>
          <w14:textFill>
            <w14:solidFill>
              <w14:schemeClr w14:val="tx1"/>
            </w14:solidFill>
          </w14:textFill>
        </w:rPr>
      </w:pPr>
    </w:p>
    <w:p w14:paraId="5C9146E6">
      <w:pPr>
        <w:pStyle w:val="34"/>
        <w:jc w:val="center"/>
        <w:rPr>
          <w:rFonts w:ascii="Times New Roman" w:eastAsia="宋体" w:cs="Times New Roman"/>
          <w:color w:val="000000" w:themeColor="text1"/>
          <w14:textFill>
            <w14:solidFill>
              <w14:schemeClr w14:val="tx1"/>
            </w14:solidFill>
          </w14:textFill>
        </w:rPr>
      </w:pPr>
    </w:p>
    <w:p w14:paraId="2AD77C20">
      <w:pPr>
        <w:pStyle w:val="34"/>
        <w:jc w:val="center"/>
        <w:rPr>
          <w:rFonts w:ascii="Times New Roman" w:eastAsia="宋体" w:cs="Times New Roman"/>
          <w:color w:val="000000" w:themeColor="text1"/>
          <w14:textFill>
            <w14:solidFill>
              <w14:schemeClr w14:val="tx1"/>
            </w14:solidFill>
          </w14:textFill>
        </w:rPr>
      </w:pPr>
    </w:p>
    <w:p w14:paraId="2CC2C2AF">
      <w:pPr>
        <w:pStyle w:val="34"/>
        <w:jc w:val="center"/>
        <w:rPr>
          <w:rFonts w:ascii="Times New Roman" w:eastAsia="宋体" w:cs="Times New Roman"/>
          <w:color w:val="000000" w:themeColor="text1"/>
          <w14:textFill>
            <w14:solidFill>
              <w14:schemeClr w14:val="tx1"/>
            </w14:solidFill>
          </w14:textFill>
        </w:rPr>
      </w:pPr>
    </w:p>
    <w:p w14:paraId="5492ABA9">
      <w:pPr>
        <w:pStyle w:val="34"/>
        <w:jc w:val="center"/>
        <w:rPr>
          <w:rFonts w:ascii="Times New Roman" w:eastAsia="宋体" w:cs="Times New Roman"/>
          <w:color w:val="000000" w:themeColor="text1"/>
          <w14:textFill>
            <w14:solidFill>
              <w14:schemeClr w14:val="tx1"/>
            </w14:solidFill>
          </w14:textFill>
        </w:rPr>
      </w:pPr>
    </w:p>
    <w:p w14:paraId="3D661D2C">
      <w:pPr>
        <w:pStyle w:val="34"/>
        <w:jc w:val="center"/>
        <w:rPr>
          <w:rFonts w:ascii="Times New Roman" w:eastAsia="宋体" w:cs="Times New Roman"/>
          <w:color w:val="000000" w:themeColor="text1"/>
          <w14:textFill>
            <w14:solidFill>
              <w14:schemeClr w14:val="tx1"/>
            </w14:solidFill>
          </w14:textFill>
        </w:rPr>
      </w:pPr>
    </w:p>
    <w:p w14:paraId="3AE0B477">
      <w:pPr>
        <w:pStyle w:val="34"/>
        <w:jc w:val="center"/>
        <w:rPr>
          <w:rFonts w:ascii="Times New Roman" w:eastAsia="宋体" w:cs="Times New Roman"/>
          <w:color w:val="000000" w:themeColor="text1"/>
          <w14:textFill>
            <w14:solidFill>
              <w14:schemeClr w14:val="tx1"/>
            </w14:solidFill>
          </w14:textFill>
        </w:rPr>
      </w:pPr>
    </w:p>
    <w:p w14:paraId="0244A429">
      <w:pPr>
        <w:pStyle w:val="34"/>
        <w:jc w:val="center"/>
        <w:rPr>
          <w:rFonts w:ascii="Times New Roman" w:eastAsia="宋体" w:cs="Times New Roman"/>
          <w:color w:val="000000" w:themeColor="text1"/>
          <w14:textFill>
            <w14:solidFill>
              <w14:schemeClr w14:val="tx1"/>
            </w14:solidFill>
          </w14:textFill>
        </w:rPr>
      </w:pPr>
    </w:p>
    <w:p w14:paraId="0EA2BF20">
      <w:pPr>
        <w:pStyle w:val="34"/>
        <w:jc w:val="center"/>
        <w:rPr>
          <w:rFonts w:ascii="Times New Roman" w:eastAsia="宋体" w:cs="Times New Roman"/>
          <w:color w:val="000000" w:themeColor="text1"/>
          <w14:textFill>
            <w14:solidFill>
              <w14:schemeClr w14:val="tx1"/>
            </w14:solidFill>
          </w14:textFill>
        </w:rPr>
      </w:pPr>
    </w:p>
    <w:p w14:paraId="69C3BE56">
      <w:pPr>
        <w:pStyle w:val="34"/>
        <w:jc w:val="center"/>
        <w:rPr>
          <w:rFonts w:ascii="Times New Roman" w:eastAsia="宋体" w:cs="Times New Roman"/>
          <w:color w:val="000000" w:themeColor="text1"/>
          <w14:textFill>
            <w14:solidFill>
              <w14:schemeClr w14:val="tx1"/>
            </w14:solidFill>
          </w14:textFill>
        </w:rPr>
      </w:pPr>
    </w:p>
    <w:p w14:paraId="2A07F90A">
      <w:pPr>
        <w:pStyle w:val="34"/>
        <w:jc w:val="center"/>
        <w:rPr>
          <w:rFonts w:ascii="Times New Roman" w:eastAsia="宋体" w:cs="Times New Roman"/>
          <w:color w:val="000000" w:themeColor="text1"/>
          <w14:textFill>
            <w14:solidFill>
              <w14:schemeClr w14:val="tx1"/>
            </w14:solidFill>
          </w14:textFill>
        </w:rPr>
      </w:pPr>
    </w:p>
    <w:p w14:paraId="0F4C9F98">
      <w:pPr>
        <w:pStyle w:val="34"/>
        <w:jc w:val="center"/>
        <w:rPr>
          <w:rFonts w:ascii="Times New Roman" w:eastAsia="宋体" w:cs="Times New Roman"/>
          <w:color w:val="000000" w:themeColor="text1"/>
          <w14:textFill>
            <w14:solidFill>
              <w14:schemeClr w14:val="tx1"/>
            </w14:solidFill>
          </w14:textFill>
        </w:rPr>
      </w:pPr>
    </w:p>
    <w:p w14:paraId="53002B53">
      <w:pPr>
        <w:pStyle w:val="34"/>
        <w:jc w:val="center"/>
        <w:rPr>
          <w:rFonts w:ascii="Times New Roman" w:eastAsia="宋体" w:cs="Times New Roman"/>
          <w:color w:val="000000" w:themeColor="text1"/>
          <w14:textFill>
            <w14:solidFill>
              <w14:schemeClr w14:val="tx1"/>
            </w14:solidFill>
          </w14:textFill>
        </w:rPr>
      </w:pPr>
    </w:p>
    <w:p w14:paraId="61176E33">
      <w:pPr>
        <w:pStyle w:val="34"/>
        <w:jc w:val="center"/>
        <w:rPr>
          <w:rFonts w:ascii="Times New Roman" w:eastAsia="宋体" w:cs="Times New Roman"/>
          <w:color w:val="000000" w:themeColor="text1"/>
          <w14:textFill>
            <w14:solidFill>
              <w14:schemeClr w14:val="tx1"/>
            </w14:solidFill>
          </w14:textFill>
        </w:rPr>
      </w:pPr>
    </w:p>
    <w:p w14:paraId="06B1E2AE">
      <w:pPr>
        <w:pStyle w:val="34"/>
        <w:jc w:val="center"/>
        <w:rPr>
          <w:rFonts w:ascii="Times New Roman" w:eastAsia="宋体" w:cs="Times New Roman"/>
          <w:color w:val="000000" w:themeColor="text1"/>
          <w14:textFill>
            <w14:solidFill>
              <w14:schemeClr w14:val="tx1"/>
            </w14:solidFill>
          </w14:textFill>
        </w:rPr>
      </w:pPr>
    </w:p>
    <w:p w14:paraId="7B83F1DA">
      <w:pPr>
        <w:pStyle w:val="34"/>
        <w:jc w:val="center"/>
        <w:rPr>
          <w:rFonts w:ascii="Times New Roman" w:eastAsia="宋体" w:cs="Times New Roman"/>
          <w:color w:val="000000" w:themeColor="text1"/>
          <w14:textFill>
            <w14:solidFill>
              <w14:schemeClr w14:val="tx1"/>
            </w14:solidFill>
          </w14:textFill>
        </w:rPr>
      </w:pPr>
    </w:p>
    <w:p w14:paraId="52D7C401">
      <w:pPr>
        <w:pStyle w:val="34"/>
        <w:jc w:val="center"/>
        <w:rPr>
          <w:rFonts w:ascii="Times New Roman" w:eastAsia="宋体" w:cs="Times New Roman"/>
          <w:color w:val="000000" w:themeColor="text1"/>
          <w14:textFill>
            <w14:solidFill>
              <w14:schemeClr w14:val="tx1"/>
            </w14:solidFill>
          </w14:textFill>
        </w:rPr>
      </w:pPr>
    </w:p>
    <w:p w14:paraId="6E4BDDBA">
      <w:pPr>
        <w:pStyle w:val="34"/>
        <w:jc w:val="center"/>
        <w:rPr>
          <w:rFonts w:ascii="Times New Roman" w:eastAsia="宋体" w:cs="Times New Roman"/>
          <w:color w:val="000000" w:themeColor="text1"/>
          <w14:textFill>
            <w14:solidFill>
              <w14:schemeClr w14:val="tx1"/>
            </w14:solidFill>
          </w14:textFill>
        </w:rPr>
      </w:pPr>
    </w:p>
    <w:p w14:paraId="010AFE36">
      <w:pPr>
        <w:pStyle w:val="34"/>
        <w:jc w:val="center"/>
        <w:rPr>
          <w:rFonts w:ascii="Times New Roman" w:eastAsia="宋体" w:cs="Times New Roman"/>
          <w:color w:val="000000" w:themeColor="text1"/>
          <w14:textFill>
            <w14:solidFill>
              <w14:schemeClr w14:val="tx1"/>
            </w14:solidFill>
          </w14:textFill>
        </w:rPr>
      </w:pPr>
    </w:p>
    <w:p w14:paraId="0F0AC4D4">
      <w:pPr>
        <w:pStyle w:val="34"/>
        <w:jc w:val="center"/>
        <w:rPr>
          <w:rFonts w:ascii="Times New Roman" w:eastAsia="宋体" w:cs="Times New Roman"/>
          <w:color w:val="000000" w:themeColor="text1"/>
          <w14:textFill>
            <w14:solidFill>
              <w14:schemeClr w14:val="tx1"/>
            </w14:solidFill>
          </w14:textFill>
        </w:rPr>
      </w:pPr>
    </w:p>
    <w:p w14:paraId="5906A24C">
      <w:pPr>
        <w:pStyle w:val="34"/>
        <w:jc w:val="center"/>
        <w:rPr>
          <w:rFonts w:ascii="Times New Roman" w:eastAsia="宋体" w:cs="Times New Roman"/>
          <w:color w:val="000000" w:themeColor="text1"/>
          <w14:textFill>
            <w14:solidFill>
              <w14:schemeClr w14:val="tx1"/>
            </w14:solidFill>
          </w14:textFill>
        </w:rPr>
      </w:pPr>
    </w:p>
    <w:p w14:paraId="0157EF16">
      <w:pPr>
        <w:rPr>
          <w:color w:val="000000" w:themeColor="text1"/>
          <w14:textFill>
            <w14:solidFill>
              <w14:schemeClr w14:val="tx1"/>
            </w14:solidFill>
          </w14:textFill>
        </w:rPr>
      </w:pPr>
    </w:p>
    <w:p w14:paraId="08250586">
      <w:pPr>
        <w:rPr>
          <w:color w:val="000000" w:themeColor="text1"/>
          <w14:textFill>
            <w14:solidFill>
              <w14:schemeClr w14:val="tx1"/>
            </w14:solidFill>
          </w14:textFill>
        </w:rPr>
      </w:pPr>
    </w:p>
    <w:p w14:paraId="47A7880C">
      <w:pPr>
        <w:rPr>
          <w:color w:val="000000" w:themeColor="text1"/>
          <w14:textFill>
            <w14:solidFill>
              <w14:schemeClr w14:val="tx1"/>
            </w14:solidFill>
          </w14:textFill>
        </w:rPr>
      </w:pPr>
    </w:p>
    <w:p w14:paraId="5DF8987D">
      <w:pPr>
        <w:rPr>
          <w:color w:val="000000" w:themeColor="text1"/>
          <w14:textFill>
            <w14:solidFill>
              <w14:schemeClr w14:val="tx1"/>
            </w14:solidFill>
          </w14:textFill>
        </w:rPr>
      </w:pPr>
    </w:p>
    <w:p w14:paraId="647C9B6E">
      <w:pPr>
        <w:rPr>
          <w:color w:val="000000" w:themeColor="text1"/>
          <w14:textFill>
            <w14:solidFill>
              <w14:schemeClr w14:val="tx1"/>
            </w14:solidFill>
          </w14:textFill>
        </w:rPr>
      </w:pPr>
    </w:p>
    <w:p w14:paraId="6B2ADCBC">
      <w:pPr>
        <w:jc w:val="center"/>
        <w:rPr>
          <w:b/>
          <w:color w:val="000000" w:themeColor="text1"/>
          <w:sz w:val="52"/>
          <w:szCs w:val="56"/>
          <w14:textFill>
            <w14:solidFill>
              <w14:schemeClr w14:val="tx1"/>
            </w14:solidFill>
          </w14:textFill>
        </w:rPr>
      </w:pPr>
      <w:r>
        <w:rPr>
          <w:rFonts w:hint="eastAsia"/>
          <w:b/>
          <w:color w:val="000000" w:themeColor="text1"/>
          <w:sz w:val="52"/>
          <w:szCs w:val="56"/>
          <w14:textFill>
            <w14:solidFill>
              <w14:schemeClr w14:val="tx1"/>
            </w14:solidFill>
          </w14:textFill>
        </w:rPr>
        <w:t>其</w:t>
      </w:r>
    </w:p>
    <w:p w14:paraId="6118A273">
      <w:pPr>
        <w:jc w:val="center"/>
        <w:rPr>
          <w:b/>
          <w:color w:val="000000" w:themeColor="text1"/>
          <w:sz w:val="52"/>
          <w:szCs w:val="56"/>
          <w14:textFill>
            <w14:solidFill>
              <w14:schemeClr w14:val="tx1"/>
            </w14:solidFill>
          </w14:textFill>
        </w:rPr>
      </w:pPr>
      <w:r>
        <w:rPr>
          <w:rFonts w:hint="eastAsia"/>
          <w:b/>
          <w:color w:val="000000" w:themeColor="text1"/>
          <w:sz w:val="52"/>
          <w:szCs w:val="56"/>
          <w14:textFill>
            <w14:solidFill>
              <w14:schemeClr w14:val="tx1"/>
            </w14:solidFill>
          </w14:textFill>
        </w:rPr>
        <w:t>他</w:t>
      </w:r>
    </w:p>
    <w:p w14:paraId="777878CF">
      <w:pPr>
        <w:jc w:val="center"/>
        <w:rPr>
          <w:b/>
          <w:color w:val="000000" w:themeColor="text1"/>
          <w:sz w:val="52"/>
          <w:szCs w:val="56"/>
          <w14:textFill>
            <w14:solidFill>
              <w14:schemeClr w14:val="tx1"/>
            </w14:solidFill>
          </w14:textFill>
        </w:rPr>
      </w:pPr>
      <w:r>
        <w:rPr>
          <w:rFonts w:hint="eastAsia"/>
          <w:b/>
          <w:color w:val="000000" w:themeColor="text1"/>
          <w:sz w:val="52"/>
          <w:szCs w:val="56"/>
          <w14:textFill>
            <w14:solidFill>
              <w14:schemeClr w14:val="tx1"/>
            </w14:solidFill>
          </w14:textFill>
        </w:rPr>
        <w:t>资</w:t>
      </w:r>
    </w:p>
    <w:p w14:paraId="6D68B76F">
      <w:pPr>
        <w:jc w:val="center"/>
        <w:rPr>
          <w:color w:val="000000" w:themeColor="text1"/>
          <w:sz w:val="28"/>
          <w:szCs w:val="28"/>
          <w14:textFill>
            <w14:solidFill>
              <w14:schemeClr w14:val="tx1"/>
            </w14:solidFill>
          </w14:textFill>
        </w:rPr>
      </w:pPr>
      <w:r>
        <w:rPr>
          <w:rFonts w:hint="eastAsia"/>
          <w:b/>
          <w:color w:val="000000" w:themeColor="text1"/>
          <w:sz w:val="52"/>
          <w:szCs w:val="56"/>
          <w14:textFill>
            <w14:solidFill>
              <w14:schemeClr w14:val="tx1"/>
            </w14:solidFill>
          </w14:textFill>
        </w:rPr>
        <w:t xml:space="preserve">料 </w:t>
      </w:r>
    </w:p>
    <w:p w14:paraId="2623AAAB">
      <w:pPr>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（格式自拟）</w:t>
      </w:r>
    </w:p>
    <w:p w14:paraId="3324480F">
      <w:pPr>
        <w:jc w:val="center"/>
        <w:rPr>
          <w:color w:val="000000" w:themeColor="text1"/>
          <w:sz w:val="28"/>
          <w:szCs w:val="28"/>
          <w14:textFill>
            <w14:solidFill>
              <w14:schemeClr w14:val="tx1"/>
            </w14:solidFill>
          </w14:textFill>
        </w:rPr>
      </w:pPr>
    </w:p>
    <w:sectPr>
      <w:head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AppleSystemUIFont">
    <w:altName w:val="Calibri"/>
    <w:panose1 w:val="020B0604020202020204"/>
    <w:charset w:val="00"/>
    <w:family w:val="auto"/>
    <w:pitch w:val="default"/>
    <w:sig w:usb0="00000000" w:usb1="00000000" w:usb2="00000000" w:usb3="00000000" w:csb0="00000001" w:csb1="00000000"/>
  </w:font>
  <w:font w:name="AppleExternalUIFontSimplifiedCh">
    <w:altName w:val="微软雅黑"/>
    <w:panose1 w:val="020B0604020202020204"/>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66EEE">
    <w:pPr>
      <w:pStyle w:val="13"/>
      <w:tabs>
        <w:tab w:val="left" w:pos="504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F52DE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15F52DE9">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6F87">
    <w:pPr>
      <w:pStyle w:val="13"/>
      <w:tabs>
        <w:tab w:val="left" w:pos="5041"/>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E56770">
                          <w:pPr>
                            <w:pStyle w:val="13"/>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3</w:t>
                          </w:r>
                          <w:r>
                            <w:rPr>
                              <w:rFonts w:hint="eastAsia"/>
                              <w:lang w:val="en-US" w:eastAsia="zh-CN"/>
                            </w:rPr>
                            <w:t>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7BE56770">
                    <w:pPr>
                      <w:pStyle w:val="13"/>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3</w:t>
                    </w:r>
                    <w:r>
                      <w:rPr>
                        <w:rFonts w:hint="eastAsia"/>
                        <w:lang w:val="en-US" w:eastAsia="zh-CN"/>
                      </w:rPr>
                      <w:t>9</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B96C4">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558F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0E558F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0D389">
    <w:pPr>
      <w:pStyle w:val="13"/>
      <w:tabs>
        <w:tab w:val="left" w:pos="5041"/>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369367">
                          <w:pPr>
                            <w:pStyle w:val="13"/>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3</w:t>
                          </w:r>
                          <w:r>
                            <w:rPr>
                              <w:rFonts w:hint="eastAsia"/>
                              <w:color w:val="000000" w:themeColor="text1"/>
                              <w:lang w:val="en-US" w:eastAsia="zh-CN"/>
                              <w14:textFill>
                                <w14:solidFill>
                                  <w14:schemeClr w14:val="tx1"/>
                                </w14:solidFill>
                              </w14:textFill>
                            </w:rPr>
                            <w:t>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8369367">
                    <w:pPr>
                      <w:pStyle w:val="13"/>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rPr>
                      <w:t>3</w:t>
                    </w:r>
                    <w:r>
                      <w:rPr>
                        <w:rFonts w:hint="eastAsia"/>
                        <w:color w:val="000000" w:themeColor="text1"/>
                        <w:lang w:val="en-US" w:eastAsia="zh-CN"/>
                        <w14:textFill>
                          <w14:solidFill>
                            <w14:schemeClr w14:val="tx1"/>
                          </w14:solidFill>
                        </w14:textFill>
                      </w:rPr>
                      <w:t>9</w:t>
                    </w:r>
                    <w:r>
                      <w:t xml:space="preserve"> 页</w:t>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66AF">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3283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E83283D">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1DBD">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7DBEC"/>
    <w:multiLevelType w:val="singleLevel"/>
    <w:tmpl w:val="9017DBEC"/>
    <w:lvl w:ilvl="0" w:tentative="0">
      <w:start w:val="1"/>
      <w:numFmt w:val="chineseCounting"/>
      <w:suff w:val="nothing"/>
      <w:lvlText w:val="（%1）"/>
      <w:lvlJc w:val="left"/>
      <w:rPr>
        <w:rFonts w:hint="eastAsia"/>
      </w:rPr>
    </w:lvl>
  </w:abstractNum>
  <w:abstractNum w:abstractNumId="1">
    <w:nsid w:val="A6F323F1"/>
    <w:multiLevelType w:val="singleLevel"/>
    <w:tmpl w:val="A6F323F1"/>
    <w:lvl w:ilvl="0" w:tentative="0">
      <w:start w:val="1"/>
      <w:numFmt w:val="decimal"/>
      <w:suff w:val="nothing"/>
      <w:lvlText w:val="%1、"/>
      <w:lvlJc w:val="left"/>
    </w:lvl>
  </w:abstractNum>
  <w:abstractNum w:abstractNumId="2">
    <w:nsid w:val="0000000F"/>
    <w:multiLevelType w:val="multilevel"/>
    <w:tmpl w:val="0000000F"/>
    <w:lvl w:ilvl="0" w:tentative="0">
      <w:start w:val="1"/>
      <w:numFmt w:val="decimal"/>
      <w:pStyle w:val="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E482E59"/>
    <w:multiLevelType w:val="multilevel"/>
    <w:tmpl w:val="2E482E5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D640AF"/>
    <w:multiLevelType w:val="singleLevel"/>
    <w:tmpl w:val="63D640AF"/>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MTRkNDI5NDZlODM4ZGY4NjQ1MzAzNDU3YTUxMjUifQ=="/>
  </w:docVars>
  <w:rsids>
    <w:rsidRoot w:val="00172A27"/>
    <w:rsid w:val="00036843"/>
    <w:rsid w:val="000C7B4F"/>
    <w:rsid w:val="00157D0F"/>
    <w:rsid w:val="00172A27"/>
    <w:rsid w:val="00182EBD"/>
    <w:rsid w:val="001B1460"/>
    <w:rsid w:val="002F1E5B"/>
    <w:rsid w:val="00353B17"/>
    <w:rsid w:val="00732078"/>
    <w:rsid w:val="0076222B"/>
    <w:rsid w:val="00903959"/>
    <w:rsid w:val="009135C6"/>
    <w:rsid w:val="00AA0FB5"/>
    <w:rsid w:val="00AF3A2E"/>
    <w:rsid w:val="00B41975"/>
    <w:rsid w:val="00B51FAF"/>
    <w:rsid w:val="00CD3DE4"/>
    <w:rsid w:val="00CF5521"/>
    <w:rsid w:val="00D34824"/>
    <w:rsid w:val="00E24E37"/>
    <w:rsid w:val="00E452BD"/>
    <w:rsid w:val="014F6641"/>
    <w:rsid w:val="01607FCF"/>
    <w:rsid w:val="019E58B5"/>
    <w:rsid w:val="01DE71EE"/>
    <w:rsid w:val="023D413A"/>
    <w:rsid w:val="02541B61"/>
    <w:rsid w:val="02CE01A5"/>
    <w:rsid w:val="02F77E3E"/>
    <w:rsid w:val="03563CB7"/>
    <w:rsid w:val="037E5C84"/>
    <w:rsid w:val="03B0401B"/>
    <w:rsid w:val="03BD546B"/>
    <w:rsid w:val="03D1333D"/>
    <w:rsid w:val="03D40D58"/>
    <w:rsid w:val="03E125EC"/>
    <w:rsid w:val="04C14767"/>
    <w:rsid w:val="04CD56ED"/>
    <w:rsid w:val="04E0470D"/>
    <w:rsid w:val="05502D9E"/>
    <w:rsid w:val="056D0247"/>
    <w:rsid w:val="06696793"/>
    <w:rsid w:val="066C0586"/>
    <w:rsid w:val="06746D22"/>
    <w:rsid w:val="06875D43"/>
    <w:rsid w:val="06994288"/>
    <w:rsid w:val="06C97AB1"/>
    <w:rsid w:val="0706353A"/>
    <w:rsid w:val="07417B55"/>
    <w:rsid w:val="07747F4A"/>
    <w:rsid w:val="077A7310"/>
    <w:rsid w:val="07886BEA"/>
    <w:rsid w:val="07937179"/>
    <w:rsid w:val="07E51502"/>
    <w:rsid w:val="082F287B"/>
    <w:rsid w:val="082F4DFA"/>
    <w:rsid w:val="0831084F"/>
    <w:rsid w:val="08346591"/>
    <w:rsid w:val="086E55FF"/>
    <w:rsid w:val="08C2566D"/>
    <w:rsid w:val="08F64C65"/>
    <w:rsid w:val="090F576C"/>
    <w:rsid w:val="093B1AB4"/>
    <w:rsid w:val="095C1EF7"/>
    <w:rsid w:val="096A4B81"/>
    <w:rsid w:val="0972418C"/>
    <w:rsid w:val="09B6397C"/>
    <w:rsid w:val="09E04552"/>
    <w:rsid w:val="09EC6054"/>
    <w:rsid w:val="0A056F7E"/>
    <w:rsid w:val="0A38293B"/>
    <w:rsid w:val="0A515D78"/>
    <w:rsid w:val="0A783593"/>
    <w:rsid w:val="0A9358E8"/>
    <w:rsid w:val="0AB70FA0"/>
    <w:rsid w:val="0ADB5CDD"/>
    <w:rsid w:val="0B611439"/>
    <w:rsid w:val="0BAE0408"/>
    <w:rsid w:val="0BDA11FD"/>
    <w:rsid w:val="0C1969E9"/>
    <w:rsid w:val="0C1A5EF1"/>
    <w:rsid w:val="0C222FF4"/>
    <w:rsid w:val="0C2D7823"/>
    <w:rsid w:val="0C535F5F"/>
    <w:rsid w:val="0C830617"/>
    <w:rsid w:val="0C9C0B26"/>
    <w:rsid w:val="0C9E333F"/>
    <w:rsid w:val="0CC8086C"/>
    <w:rsid w:val="0D074FED"/>
    <w:rsid w:val="0D296826"/>
    <w:rsid w:val="0D2C5A88"/>
    <w:rsid w:val="0D3B5F51"/>
    <w:rsid w:val="0D40644B"/>
    <w:rsid w:val="0D8D654B"/>
    <w:rsid w:val="0DC950AB"/>
    <w:rsid w:val="0DE63E89"/>
    <w:rsid w:val="0DED1DE7"/>
    <w:rsid w:val="0DF41772"/>
    <w:rsid w:val="0E0C5AEE"/>
    <w:rsid w:val="0E1D59E6"/>
    <w:rsid w:val="0E500E58"/>
    <w:rsid w:val="0E5840C6"/>
    <w:rsid w:val="0E7C47EE"/>
    <w:rsid w:val="0E835B7C"/>
    <w:rsid w:val="0F6428CD"/>
    <w:rsid w:val="0F65034F"/>
    <w:rsid w:val="0F663BD2"/>
    <w:rsid w:val="0F665DD1"/>
    <w:rsid w:val="0F825701"/>
    <w:rsid w:val="0F8278E2"/>
    <w:rsid w:val="0F906C15"/>
    <w:rsid w:val="0FCC6DFA"/>
    <w:rsid w:val="0FD02A4F"/>
    <w:rsid w:val="0FE80928"/>
    <w:rsid w:val="1027040D"/>
    <w:rsid w:val="10331BD0"/>
    <w:rsid w:val="103A670E"/>
    <w:rsid w:val="10717588"/>
    <w:rsid w:val="108A3FA1"/>
    <w:rsid w:val="10BE7D28"/>
    <w:rsid w:val="10F70AE6"/>
    <w:rsid w:val="111E2F24"/>
    <w:rsid w:val="112558D1"/>
    <w:rsid w:val="113556FF"/>
    <w:rsid w:val="11A14309"/>
    <w:rsid w:val="11C73DC7"/>
    <w:rsid w:val="11D02E86"/>
    <w:rsid w:val="11D95855"/>
    <w:rsid w:val="121243CE"/>
    <w:rsid w:val="12154897"/>
    <w:rsid w:val="123C2076"/>
    <w:rsid w:val="12A769F7"/>
    <w:rsid w:val="12E77112"/>
    <w:rsid w:val="135B24CE"/>
    <w:rsid w:val="137F010F"/>
    <w:rsid w:val="13806551"/>
    <w:rsid w:val="13D15494"/>
    <w:rsid w:val="13F015BE"/>
    <w:rsid w:val="141616D8"/>
    <w:rsid w:val="14166484"/>
    <w:rsid w:val="145426E6"/>
    <w:rsid w:val="145A45EF"/>
    <w:rsid w:val="14A44CEC"/>
    <w:rsid w:val="14E55342"/>
    <w:rsid w:val="14FA1F7A"/>
    <w:rsid w:val="15011905"/>
    <w:rsid w:val="15154951"/>
    <w:rsid w:val="15314652"/>
    <w:rsid w:val="154F67B8"/>
    <w:rsid w:val="155D478D"/>
    <w:rsid w:val="159E151F"/>
    <w:rsid w:val="15F64E85"/>
    <w:rsid w:val="15FA6724"/>
    <w:rsid w:val="16111742"/>
    <w:rsid w:val="16412291"/>
    <w:rsid w:val="16450C97"/>
    <w:rsid w:val="164E0DE7"/>
    <w:rsid w:val="168E50BE"/>
    <w:rsid w:val="16AB5C70"/>
    <w:rsid w:val="16E52D9F"/>
    <w:rsid w:val="170D4E5D"/>
    <w:rsid w:val="17117835"/>
    <w:rsid w:val="171B6EE5"/>
    <w:rsid w:val="173C6029"/>
    <w:rsid w:val="178C31AD"/>
    <w:rsid w:val="17BD07A9"/>
    <w:rsid w:val="17F06755"/>
    <w:rsid w:val="182072A4"/>
    <w:rsid w:val="18214D25"/>
    <w:rsid w:val="183323C1"/>
    <w:rsid w:val="183416B6"/>
    <w:rsid w:val="183E42D5"/>
    <w:rsid w:val="18754787"/>
    <w:rsid w:val="18CF0AF0"/>
    <w:rsid w:val="18E44A63"/>
    <w:rsid w:val="1923702A"/>
    <w:rsid w:val="19453803"/>
    <w:rsid w:val="197A625B"/>
    <w:rsid w:val="19884BA6"/>
    <w:rsid w:val="19CB14DE"/>
    <w:rsid w:val="19F90A3F"/>
    <w:rsid w:val="1A2C607F"/>
    <w:rsid w:val="1A4F3CB5"/>
    <w:rsid w:val="1A524C3A"/>
    <w:rsid w:val="1A606AB6"/>
    <w:rsid w:val="1A8E701D"/>
    <w:rsid w:val="1A9044F4"/>
    <w:rsid w:val="1AB02A55"/>
    <w:rsid w:val="1AF70C4B"/>
    <w:rsid w:val="1B535AE1"/>
    <w:rsid w:val="1B810BAF"/>
    <w:rsid w:val="1B985459"/>
    <w:rsid w:val="1BC4192D"/>
    <w:rsid w:val="1BCA4DEA"/>
    <w:rsid w:val="1BEE3761"/>
    <w:rsid w:val="1C4E78AE"/>
    <w:rsid w:val="1C6C3255"/>
    <w:rsid w:val="1C7F43ED"/>
    <w:rsid w:val="1C861486"/>
    <w:rsid w:val="1C900D6C"/>
    <w:rsid w:val="1CB15A1E"/>
    <w:rsid w:val="1CB26D23"/>
    <w:rsid w:val="1CEA2700"/>
    <w:rsid w:val="1CFF359F"/>
    <w:rsid w:val="1D1F4CC2"/>
    <w:rsid w:val="1D216C8C"/>
    <w:rsid w:val="1D2432C4"/>
    <w:rsid w:val="1D492719"/>
    <w:rsid w:val="1D4D111F"/>
    <w:rsid w:val="1D5C71BB"/>
    <w:rsid w:val="1DBF27F3"/>
    <w:rsid w:val="1DC16EE0"/>
    <w:rsid w:val="1DCD2549"/>
    <w:rsid w:val="1DCF2D5F"/>
    <w:rsid w:val="1DD4393A"/>
    <w:rsid w:val="1E0A08F9"/>
    <w:rsid w:val="1E1D56A5"/>
    <w:rsid w:val="1E4C0B4A"/>
    <w:rsid w:val="1E7E2B16"/>
    <w:rsid w:val="1E801591"/>
    <w:rsid w:val="1ECE5D98"/>
    <w:rsid w:val="1F0432F1"/>
    <w:rsid w:val="1F122DD5"/>
    <w:rsid w:val="1F135208"/>
    <w:rsid w:val="1F163163"/>
    <w:rsid w:val="1F62660C"/>
    <w:rsid w:val="1F674C92"/>
    <w:rsid w:val="1F746526"/>
    <w:rsid w:val="1F870899"/>
    <w:rsid w:val="1FAA1708"/>
    <w:rsid w:val="1FB94A9C"/>
    <w:rsid w:val="1FDD405E"/>
    <w:rsid w:val="1FE53362"/>
    <w:rsid w:val="1FEA2555"/>
    <w:rsid w:val="200B57A0"/>
    <w:rsid w:val="203941DC"/>
    <w:rsid w:val="204A474C"/>
    <w:rsid w:val="208B3FBF"/>
    <w:rsid w:val="209338C0"/>
    <w:rsid w:val="209B3D8A"/>
    <w:rsid w:val="210C37AF"/>
    <w:rsid w:val="21273EB2"/>
    <w:rsid w:val="21634686"/>
    <w:rsid w:val="21760275"/>
    <w:rsid w:val="22225B6A"/>
    <w:rsid w:val="225A35C8"/>
    <w:rsid w:val="22955183"/>
    <w:rsid w:val="22AD02F2"/>
    <w:rsid w:val="231F4DAE"/>
    <w:rsid w:val="233A33D9"/>
    <w:rsid w:val="234052E2"/>
    <w:rsid w:val="23567EAD"/>
    <w:rsid w:val="23615817"/>
    <w:rsid w:val="236D292E"/>
    <w:rsid w:val="237C2330"/>
    <w:rsid w:val="237C26BD"/>
    <w:rsid w:val="23905EB5"/>
    <w:rsid w:val="23B52D23"/>
    <w:rsid w:val="23B613AF"/>
    <w:rsid w:val="23BE5BB1"/>
    <w:rsid w:val="24194FC5"/>
    <w:rsid w:val="24880AFD"/>
    <w:rsid w:val="249661B1"/>
    <w:rsid w:val="24AD32BB"/>
    <w:rsid w:val="24B74346"/>
    <w:rsid w:val="25262BD5"/>
    <w:rsid w:val="253B262F"/>
    <w:rsid w:val="25621AE5"/>
    <w:rsid w:val="25633CE3"/>
    <w:rsid w:val="25664C67"/>
    <w:rsid w:val="257F7D90"/>
    <w:rsid w:val="25822292"/>
    <w:rsid w:val="258E102F"/>
    <w:rsid w:val="25D02862"/>
    <w:rsid w:val="25E52FB7"/>
    <w:rsid w:val="26365340"/>
    <w:rsid w:val="266A1E20"/>
    <w:rsid w:val="2684763E"/>
    <w:rsid w:val="268B284C"/>
    <w:rsid w:val="26906CD3"/>
    <w:rsid w:val="26CB5833"/>
    <w:rsid w:val="26FE1DEC"/>
    <w:rsid w:val="2714160F"/>
    <w:rsid w:val="271B299E"/>
    <w:rsid w:val="27431FFA"/>
    <w:rsid w:val="27511310"/>
    <w:rsid w:val="276B50A0"/>
    <w:rsid w:val="277B2154"/>
    <w:rsid w:val="278E34D5"/>
    <w:rsid w:val="27921F7C"/>
    <w:rsid w:val="27A40D9A"/>
    <w:rsid w:val="27D10D07"/>
    <w:rsid w:val="28115515"/>
    <w:rsid w:val="287348EA"/>
    <w:rsid w:val="288365ED"/>
    <w:rsid w:val="28A63E40"/>
    <w:rsid w:val="28DC5B3C"/>
    <w:rsid w:val="28F519C1"/>
    <w:rsid w:val="29041C64"/>
    <w:rsid w:val="292509B9"/>
    <w:rsid w:val="2970130A"/>
    <w:rsid w:val="297C2B9E"/>
    <w:rsid w:val="299340DC"/>
    <w:rsid w:val="29A86EE6"/>
    <w:rsid w:val="29AE18A7"/>
    <w:rsid w:val="2A064AA7"/>
    <w:rsid w:val="2A174F9B"/>
    <w:rsid w:val="2A48576A"/>
    <w:rsid w:val="2A493E22"/>
    <w:rsid w:val="2A496A6F"/>
    <w:rsid w:val="2A4D5E9A"/>
    <w:rsid w:val="2A687324"/>
    <w:rsid w:val="2A761373"/>
    <w:rsid w:val="2A8A1A57"/>
    <w:rsid w:val="2AA73585"/>
    <w:rsid w:val="2AE84266"/>
    <w:rsid w:val="2AF015D6"/>
    <w:rsid w:val="2B0B4AD7"/>
    <w:rsid w:val="2B3862EB"/>
    <w:rsid w:val="2B48310F"/>
    <w:rsid w:val="2BBE65D0"/>
    <w:rsid w:val="2BC362DB"/>
    <w:rsid w:val="2BD65CAD"/>
    <w:rsid w:val="2C0E2AD1"/>
    <w:rsid w:val="2C1A3467"/>
    <w:rsid w:val="2C1C696A"/>
    <w:rsid w:val="2C332DE9"/>
    <w:rsid w:val="2C3C1CCE"/>
    <w:rsid w:val="2C3C4CA0"/>
    <w:rsid w:val="2C447B2E"/>
    <w:rsid w:val="2C535729"/>
    <w:rsid w:val="2C6303E3"/>
    <w:rsid w:val="2C736DD8"/>
    <w:rsid w:val="2C842BA5"/>
    <w:rsid w:val="2CEA02BC"/>
    <w:rsid w:val="2CF95873"/>
    <w:rsid w:val="2D0E71F7"/>
    <w:rsid w:val="2D3B6DC2"/>
    <w:rsid w:val="2D3E05DB"/>
    <w:rsid w:val="2D3F3249"/>
    <w:rsid w:val="2D5653ED"/>
    <w:rsid w:val="2DB23588"/>
    <w:rsid w:val="2E0F5EA0"/>
    <w:rsid w:val="2E2F1667"/>
    <w:rsid w:val="2E9C2616"/>
    <w:rsid w:val="2EB156AA"/>
    <w:rsid w:val="2ED87AE7"/>
    <w:rsid w:val="2F0F5A43"/>
    <w:rsid w:val="2F407BBD"/>
    <w:rsid w:val="2F4800A8"/>
    <w:rsid w:val="2F6B28DA"/>
    <w:rsid w:val="2F96119F"/>
    <w:rsid w:val="2FDE4E17"/>
    <w:rsid w:val="2FF7387C"/>
    <w:rsid w:val="301B4C7C"/>
    <w:rsid w:val="301F1F33"/>
    <w:rsid w:val="302C7114"/>
    <w:rsid w:val="30355769"/>
    <w:rsid w:val="303C2C32"/>
    <w:rsid w:val="30424B3B"/>
    <w:rsid w:val="30500D32"/>
    <w:rsid w:val="305344C6"/>
    <w:rsid w:val="307F5D4C"/>
    <w:rsid w:val="30871DAD"/>
    <w:rsid w:val="30D808B2"/>
    <w:rsid w:val="30DE1AB9"/>
    <w:rsid w:val="30EF6F2B"/>
    <w:rsid w:val="30F03A74"/>
    <w:rsid w:val="31002970"/>
    <w:rsid w:val="315853B3"/>
    <w:rsid w:val="319A10DF"/>
    <w:rsid w:val="31B20DEF"/>
    <w:rsid w:val="32134DB6"/>
    <w:rsid w:val="325E7BE3"/>
    <w:rsid w:val="326170B4"/>
    <w:rsid w:val="328175E9"/>
    <w:rsid w:val="32C40954"/>
    <w:rsid w:val="33026C3D"/>
    <w:rsid w:val="33103208"/>
    <w:rsid w:val="335B2774"/>
    <w:rsid w:val="336124DA"/>
    <w:rsid w:val="3364565D"/>
    <w:rsid w:val="336530DF"/>
    <w:rsid w:val="33922181"/>
    <w:rsid w:val="33A45AC9"/>
    <w:rsid w:val="33CA2E03"/>
    <w:rsid w:val="33E85C36"/>
    <w:rsid w:val="343265E8"/>
    <w:rsid w:val="343D0BC3"/>
    <w:rsid w:val="34C51DA1"/>
    <w:rsid w:val="34CF5840"/>
    <w:rsid w:val="35052B8B"/>
    <w:rsid w:val="35441312"/>
    <w:rsid w:val="354C0D81"/>
    <w:rsid w:val="3566192B"/>
    <w:rsid w:val="35956BF6"/>
    <w:rsid w:val="359A307E"/>
    <w:rsid w:val="35D72EE3"/>
    <w:rsid w:val="36080950"/>
    <w:rsid w:val="36261957"/>
    <w:rsid w:val="366B09B4"/>
    <w:rsid w:val="368E4C10"/>
    <w:rsid w:val="369938DF"/>
    <w:rsid w:val="36A75FFC"/>
    <w:rsid w:val="36E51A3D"/>
    <w:rsid w:val="36EB4929"/>
    <w:rsid w:val="37043239"/>
    <w:rsid w:val="373553B6"/>
    <w:rsid w:val="3745693D"/>
    <w:rsid w:val="37471E40"/>
    <w:rsid w:val="37662F7D"/>
    <w:rsid w:val="379F6CD3"/>
    <w:rsid w:val="37AD17E4"/>
    <w:rsid w:val="37EE37B7"/>
    <w:rsid w:val="380D6386"/>
    <w:rsid w:val="38114D8C"/>
    <w:rsid w:val="38662298"/>
    <w:rsid w:val="38D428CC"/>
    <w:rsid w:val="39160DB7"/>
    <w:rsid w:val="392576AC"/>
    <w:rsid w:val="393E3E02"/>
    <w:rsid w:val="39513FFD"/>
    <w:rsid w:val="39587D6B"/>
    <w:rsid w:val="395F2BBE"/>
    <w:rsid w:val="396E7247"/>
    <w:rsid w:val="39706B79"/>
    <w:rsid w:val="398F0CA8"/>
    <w:rsid w:val="399A3BF6"/>
    <w:rsid w:val="39CF5FE7"/>
    <w:rsid w:val="39D236E8"/>
    <w:rsid w:val="39FE4185"/>
    <w:rsid w:val="3A1357D6"/>
    <w:rsid w:val="3A6058D6"/>
    <w:rsid w:val="3A63048C"/>
    <w:rsid w:val="3AAA60BB"/>
    <w:rsid w:val="3AB75198"/>
    <w:rsid w:val="3B27401A"/>
    <w:rsid w:val="3B3D61BD"/>
    <w:rsid w:val="3B3F16C0"/>
    <w:rsid w:val="3B5C6F43"/>
    <w:rsid w:val="3B9649BF"/>
    <w:rsid w:val="3C08498D"/>
    <w:rsid w:val="3C1D4C5E"/>
    <w:rsid w:val="3C380B4C"/>
    <w:rsid w:val="3C406F5B"/>
    <w:rsid w:val="3C741ABD"/>
    <w:rsid w:val="3CE04016"/>
    <w:rsid w:val="3D8D4788"/>
    <w:rsid w:val="3D947997"/>
    <w:rsid w:val="3E0E185F"/>
    <w:rsid w:val="3E1026D9"/>
    <w:rsid w:val="3E3E0A6C"/>
    <w:rsid w:val="3E585156"/>
    <w:rsid w:val="3E6403D5"/>
    <w:rsid w:val="3ECA28B9"/>
    <w:rsid w:val="3EFA5BE3"/>
    <w:rsid w:val="3F852345"/>
    <w:rsid w:val="3FA06772"/>
    <w:rsid w:val="3FD036BE"/>
    <w:rsid w:val="3FE7550C"/>
    <w:rsid w:val="3FEF1293"/>
    <w:rsid w:val="40077B0C"/>
    <w:rsid w:val="400E0E9A"/>
    <w:rsid w:val="40695B91"/>
    <w:rsid w:val="406A5E3B"/>
    <w:rsid w:val="406F0DC0"/>
    <w:rsid w:val="409C790E"/>
    <w:rsid w:val="40BB4940"/>
    <w:rsid w:val="40D20119"/>
    <w:rsid w:val="410D0EC7"/>
    <w:rsid w:val="410D1152"/>
    <w:rsid w:val="412929F5"/>
    <w:rsid w:val="41456AA2"/>
    <w:rsid w:val="415C44C9"/>
    <w:rsid w:val="4166285A"/>
    <w:rsid w:val="41A86B47"/>
    <w:rsid w:val="41CE0F85"/>
    <w:rsid w:val="42282174"/>
    <w:rsid w:val="42351C2E"/>
    <w:rsid w:val="425659E6"/>
    <w:rsid w:val="42663817"/>
    <w:rsid w:val="428761B5"/>
    <w:rsid w:val="42894A41"/>
    <w:rsid w:val="42A279DD"/>
    <w:rsid w:val="42BD2E0C"/>
    <w:rsid w:val="42D77239"/>
    <w:rsid w:val="42E5654F"/>
    <w:rsid w:val="42FE3875"/>
    <w:rsid w:val="42FF04E9"/>
    <w:rsid w:val="437A6A42"/>
    <w:rsid w:val="43A22FD9"/>
    <w:rsid w:val="43AD2714"/>
    <w:rsid w:val="43BD6E5F"/>
    <w:rsid w:val="43E11C2D"/>
    <w:rsid w:val="43F3617F"/>
    <w:rsid w:val="440A7BCA"/>
    <w:rsid w:val="4419274A"/>
    <w:rsid w:val="446C43E1"/>
    <w:rsid w:val="44815F70"/>
    <w:rsid w:val="448D0F5E"/>
    <w:rsid w:val="44F86EB3"/>
    <w:rsid w:val="44F92016"/>
    <w:rsid w:val="451A06ED"/>
    <w:rsid w:val="453448A7"/>
    <w:rsid w:val="45476FB4"/>
    <w:rsid w:val="454E1E40"/>
    <w:rsid w:val="45570552"/>
    <w:rsid w:val="4592133C"/>
    <w:rsid w:val="45A32BCF"/>
    <w:rsid w:val="45C66607"/>
    <w:rsid w:val="460D2A30"/>
    <w:rsid w:val="460E6EE7"/>
    <w:rsid w:val="46120C85"/>
    <w:rsid w:val="46234621"/>
    <w:rsid w:val="463827CD"/>
    <w:rsid w:val="466210FA"/>
    <w:rsid w:val="469730DC"/>
    <w:rsid w:val="46B8599B"/>
    <w:rsid w:val="46DC034D"/>
    <w:rsid w:val="46E50C5D"/>
    <w:rsid w:val="46FA78FD"/>
    <w:rsid w:val="47012B0C"/>
    <w:rsid w:val="471F54C1"/>
    <w:rsid w:val="478F3674"/>
    <w:rsid w:val="47CA38F8"/>
    <w:rsid w:val="481A4AA2"/>
    <w:rsid w:val="483E6094"/>
    <w:rsid w:val="48461096"/>
    <w:rsid w:val="48631ADC"/>
    <w:rsid w:val="486E0AE4"/>
    <w:rsid w:val="48776513"/>
    <w:rsid w:val="487C587B"/>
    <w:rsid w:val="48813900"/>
    <w:rsid w:val="488937B4"/>
    <w:rsid w:val="48B14AB8"/>
    <w:rsid w:val="48BC2DE1"/>
    <w:rsid w:val="48CC68FF"/>
    <w:rsid w:val="48DE7494"/>
    <w:rsid w:val="496E6505"/>
    <w:rsid w:val="499E6C57"/>
    <w:rsid w:val="49F266E1"/>
    <w:rsid w:val="4A4039C4"/>
    <w:rsid w:val="4A430DC3"/>
    <w:rsid w:val="4A4970F0"/>
    <w:rsid w:val="4A5A3A15"/>
    <w:rsid w:val="4A79003F"/>
    <w:rsid w:val="4A822180"/>
    <w:rsid w:val="4A8E6560"/>
    <w:rsid w:val="4AFB0F76"/>
    <w:rsid w:val="4B55797D"/>
    <w:rsid w:val="4B571947"/>
    <w:rsid w:val="4B867FB4"/>
    <w:rsid w:val="4B8C2BFF"/>
    <w:rsid w:val="4B917814"/>
    <w:rsid w:val="4BDE3E16"/>
    <w:rsid w:val="4BFA665E"/>
    <w:rsid w:val="4C075D5F"/>
    <w:rsid w:val="4C196BFC"/>
    <w:rsid w:val="4C28087F"/>
    <w:rsid w:val="4C2B7286"/>
    <w:rsid w:val="4C334692"/>
    <w:rsid w:val="4C5F67DB"/>
    <w:rsid w:val="4C6F6C90"/>
    <w:rsid w:val="4C862E17"/>
    <w:rsid w:val="4CB155F9"/>
    <w:rsid w:val="4CB613E8"/>
    <w:rsid w:val="4CB81F75"/>
    <w:rsid w:val="4CDF25AC"/>
    <w:rsid w:val="4CF3124D"/>
    <w:rsid w:val="4D210A97"/>
    <w:rsid w:val="4D486759"/>
    <w:rsid w:val="4D7F5185"/>
    <w:rsid w:val="4D8A4C44"/>
    <w:rsid w:val="4DD3633D"/>
    <w:rsid w:val="4E0A4298"/>
    <w:rsid w:val="4E10291E"/>
    <w:rsid w:val="4E6423A8"/>
    <w:rsid w:val="4E6558AB"/>
    <w:rsid w:val="4EC314C8"/>
    <w:rsid w:val="4EC869B1"/>
    <w:rsid w:val="4ECA55D0"/>
    <w:rsid w:val="4F786567"/>
    <w:rsid w:val="4FA9473B"/>
    <w:rsid w:val="4FB629B4"/>
    <w:rsid w:val="4FBF4BE3"/>
    <w:rsid w:val="4FBF6DE2"/>
    <w:rsid w:val="4FDA07DD"/>
    <w:rsid w:val="500243D3"/>
    <w:rsid w:val="50095F5C"/>
    <w:rsid w:val="5073564E"/>
    <w:rsid w:val="50841208"/>
    <w:rsid w:val="50B15470"/>
    <w:rsid w:val="51145515"/>
    <w:rsid w:val="511735C3"/>
    <w:rsid w:val="51357C48"/>
    <w:rsid w:val="518935FD"/>
    <w:rsid w:val="519B043D"/>
    <w:rsid w:val="519D5BDA"/>
    <w:rsid w:val="51B727A0"/>
    <w:rsid w:val="51B95CA3"/>
    <w:rsid w:val="520833AB"/>
    <w:rsid w:val="5220694C"/>
    <w:rsid w:val="522C275E"/>
    <w:rsid w:val="52412270"/>
    <w:rsid w:val="52463308"/>
    <w:rsid w:val="5283316D"/>
    <w:rsid w:val="52A25C20"/>
    <w:rsid w:val="52EC1518"/>
    <w:rsid w:val="53001166"/>
    <w:rsid w:val="530153EE"/>
    <w:rsid w:val="53117559"/>
    <w:rsid w:val="531526DC"/>
    <w:rsid w:val="531B14AC"/>
    <w:rsid w:val="5333550F"/>
    <w:rsid w:val="5365691C"/>
    <w:rsid w:val="537E2A7A"/>
    <w:rsid w:val="538D6EA3"/>
    <w:rsid w:val="538E05FD"/>
    <w:rsid w:val="53E0692D"/>
    <w:rsid w:val="540B7771"/>
    <w:rsid w:val="540C51F2"/>
    <w:rsid w:val="541A1F8A"/>
    <w:rsid w:val="541F6411"/>
    <w:rsid w:val="543C096C"/>
    <w:rsid w:val="54A96376"/>
    <w:rsid w:val="54B576DE"/>
    <w:rsid w:val="54BA0B93"/>
    <w:rsid w:val="54D029B2"/>
    <w:rsid w:val="54EC22E2"/>
    <w:rsid w:val="54F33E6B"/>
    <w:rsid w:val="552C498D"/>
    <w:rsid w:val="55350158"/>
    <w:rsid w:val="55A97406"/>
    <w:rsid w:val="55AD6B1D"/>
    <w:rsid w:val="55AE4859"/>
    <w:rsid w:val="55F0105B"/>
    <w:rsid w:val="563016F1"/>
    <w:rsid w:val="56327239"/>
    <w:rsid w:val="56C708EE"/>
    <w:rsid w:val="56D55286"/>
    <w:rsid w:val="56E7651F"/>
    <w:rsid w:val="57275238"/>
    <w:rsid w:val="575539D5"/>
    <w:rsid w:val="575B7127"/>
    <w:rsid w:val="5777740D"/>
    <w:rsid w:val="57811AFA"/>
    <w:rsid w:val="57A027D0"/>
    <w:rsid w:val="57A65259"/>
    <w:rsid w:val="57CC546B"/>
    <w:rsid w:val="580402F6"/>
    <w:rsid w:val="58273D2E"/>
    <w:rsid w:val="587F43BC"/>
    <w:rsid w:val="588562C6"/>
    <w:rsid w:val="58AC2BA6"/>
    <w:rsid w:val="58B61B08"/>
    <w:rsid w:val="58E10AA2"/>
    <w:rsid w:val="58E426D4"/>
    <w:rsid w:val="592077C9"/>
    <w:rsid w:val="5A1A070F"/>
    <w:rsid w:val="5A276CF7"/>
    <w:rsid w:val="5A847957"/>
    <w:rsid w:val="5A874791"/>
    <w:rsid w:val="5A946344"/>
    <w:rsid w:val="5A9E21B8"/>
    <w:rsid w:val="5AA62E48"/>
    <w:rsid w:val="5ACC7530"/>
    <w:rsid w:val="5AE31628"/>
    <w:rsid w:val="5B195385"/>
    <w:rsid w:val="5B2B7A9D"/>
    <w:rsid w:val="5B474BD0"/>
    <w:rsid w:val="5B730F17"/>
    <w:rsid w:val="5BD23026"/>
    <w:rsid w:val="5BE45D53"/>
    <w:rsid w:val="5BF25068"/>
    <w:rsid w:val="5C133668"/>
    <w:rsid w:val="5C3830CF"/>
    <w:rsid w:val="5C720E3A"/>
    <w:rsid w:val="5CBD4CE2"/>
    <w:rsid w:val="5CE53377"/>
    <w:rsid w:val="5D163B46"/>
    <w:rsid w:val="5D3521EF"/>
    <w:rsid w:val="5D8174D1"/>
    <w:rsid w:val="5D8366F8"/>
    <w:rsid w:val="5D96269B"/>
    <w:rsid w:val="5E583259"/>
    <w:rsid w:val="5E7128C8"/>
    <w:rsid w:val="5E804DD8"/>
    <w:rsid w:val="5ED44DA1"/>
    <w:rsid w:val="5EE17A4E"/>
    <w:rsid w:val="5EEA27D4"/>
    <w:rsid w:val="5EF157B7"/>
    <w:rsid w:val="5F021B37"/>
    <w:rsid w:val="5F0D61FF"/>
    <w:rsid w:val="5F176B0F"/>
    <w:rsid w:val="5F282BE9"/>
    <w:rsid w:val="5F515CB4"/>
    <w:rsid w:val="5F8800C7"/>
    <w:rsid w:val="5F8B48CF"/>
    <w:rsid w:val="5F950838"/>
    <w:rsid w:val="5F9728E0"/>
    <w:rsid w:val="602A0930"/>
    <w:rsid w:val="603A11F0"/>
    <w:rsid w:val="606345B3"/>
    <w:rsid w:val="608B4472"/>
    <w:rsid w:val="60A5501C"/>
    <w:rsid w:val="60C018E5"/>
    <w:rsid w:val="60DA4171"/>
    <w:rsid w:val="60F560A0"/>
    <w:rsid w:val="611A085E"/>
    <w:rsid w:val="6124336C"/>
    <w:rsid w:val="61246BEF"/>
    <w:rsid w:val="612A5FDF"/>
    <w:rsid w:val="615A3846"/>
    <w:rsid w:val="618E6761"/>
    <w:rsid w:val="61C86CA3"/>
    <w:rsid w:val="62390CB6"/>
    <w:rsid w:val="62583769"/>
    <w:rsid w:val="62724E61"/>
    <w:rsid w:val="62745318"/>
    <w:rsid w:val="629F3EDD"/>
    <w:rsid w:val="62D17DD9"/>
    <w:rsid w:val="6308525F"/>
    <w:rsid w:val="631753FD"/>
    <w:rsid w:val="6361491E"/>
    <w:rsid w:val="63785DBF"/>
    <w:rsid w:val="6379740E"/>
    <w:rsid w:val="63A064A2"/>
    <w:rsid w:val="63D42C55"/>
    <w:rsid w:val="63EB698C"/>
    <w:rsid w:val="6453379D"/>
    <w:rsid w:val="64557D2B"/>
    <w:rsid w:val="64646CC1"/>
    <w:rsid w:val="646856C7"/>
    <w:rsid w:val="64834313"/>
    <w:rsid w:val="64947810"/>
    <w:rsid w:val="649C5F21"/>
    <w:rsid w:val="64B45B46"/>
    <w:rsid w:val="64B557C6"/>
    <w:rsid w:val="64C94467"/>
    <w:rsid w:val="64CF6370"/>
    <w:rsid w:val="64D811FE"/>
    <w:rsid w:val="65106CA0"/>
    <w:rsid w:val="651200DE"/>
    <w:rsid w:val="65135B60"/>
    <w:rsid w:val="65420B1A"/>
    <w:rsid w:val="65AE37E0"/>
    <w:rsid w:val="65E12D35"/>
    <w:rsid w:val="66135703"/>
    <w:rsid w:val="667E4DB2"/>
    <w:rsid w:val="66854BCD"/>
    <w:rsid w:val="66B477F6"/>
    <w:rsid w:val="66BA2A18"/>
    <w:rsid w:val="66CF713B"/>
    <w:rsid w:val="66DE2AC5"/>
    <w:rsid w:val="66F75934"/>
    <w:rsid w:val="671309C0"/>
    <w:rsid w:val="6717752F"/>
    <w:rsid w:val="671A3D37"/>
    <w:rsid w:val="672008BF"/>
    <w:rsid w:val="67305EDA"/>
    <w:rsid w:val="67A13C10"/>
    <w:rsid w:val="67BC1E1C"/>
    <w:rsid w:val="67C223E6"/>
    <w:rsid w:val="683826EB"/>
    <w:rsid w:val="687377EB"/>
    <w:rsid w:val="688B27D8"/>
    <w:rsid w:val="68DA0494"/>
    <w:rsid w:val="68DF491C"/>
    <w:rsid w:val="69147375"/>
    <w:rsid w:val="691D5D16"/>
    <w:rsid w:val="691F3187"/>
    <w:rsid w:val="692041D9"/>
    <w:rsid w:val="69262320"/>
    <w:rsid w:val="692E469B"/>
    <w:rsid w:val="69473047"/>
    <w:rsid w:val="694D0EE5"/>
    <w:rsid w:val="69744E10"/>
    <w:rsid w:val="6978717C"/>
    <w:rsid w:val="69D10516"/>
    <w:rsid w:val="69D713AB"/>
    <w:rsid w:val="6A2D474B"/>
    <w:rsid w:val="6A3F1672"/>
    <w:rsid w:val="6A465168"/>
    <w:rsid w:val="6A7D5B04"/>
    <w:rsid w:val="6AA21659"/>
    <w:rsid w:val="6ABD3EAD"/>
    <w:rsid w:val="6ABE7777"/>
    <w:rsid w:val="6B1000B4"/>
    <w:rsid w:val="6B1E5B86"/>
    <w:rsid w:val="6B714C55"/>
    <w:rsid w:val="6B7F6169"/>
    <w:rsid w:val="6B903E85"/>
    <w:rsid w:val="6B911907"/>
    <w:rsid w:val="6B965D8F"/>
    <w:rsid w:val="6B970464"/>
    <w:rsid w:val="6B973810"/>
    <w:rsid w:val="6BCC405B"/>
    <w:rsid w:val="6BE446D9"/>
    <w:rsid w:val="6BEC7A32"/>
    <w:rsid w:val="6C1D4D6E"/>
    <w:rsid w:val="6C3979C3"/>
    <w:rsid w:val="6C3E104B"/>
    <w:rsid w:val="6C890DA1"/>
    <w:rsid w:val="6C9907EA"/>
    <w:rsid w:val="6C9F78C6"/>
    <w:rsid w:val="6CBF0CA2"/>
    <w:rsid w:val="6CBF2379"/>
    <w:rsid w:val="6CE931BD"/>
    <w:rsid w:val="6CF87D83"/>
    <w:rsid w:val="6CFB496F"/>
    <w:rsid w:val="6D0676C7"/>
    <w:rsid w:val="6D4547D0"/>
    <w:rsid w:val="6D955854"/>
    <w:rsid w:val="6D973623"/>
    <w:rsid w:val="6D98205C"/>
    <w:rsid w:val="6DA70D45"/>
    <w:rsid w:val="6DE746A6"/>
    <w:rsid w:val="6E070112"/>
    <w:rsid w:val="6E262BC5"/>
    <w:rsid w:val="6E384164"/>
    <w:rsid w:val="6E4757A4"/>
    <w:rsid w:val="6E6C58B8"/>
    <w:rsid w:val="6EAB66A1"/>
    <w:rsid w:val="6EC86534"/>
    <w:rsid w:val="6EDA1DC4"/>
    <w:rsid w:val="6EDC6E70"/>
    <w:rsid w:val="6EE13152"/>
    <w:rsid w:val="6EE1458F"/>
    <w:rsid w:val="6EE32433"/>
    <w:rsid w:val="6EE7643E"/>
    <w:rsid w:val="6EE93BC6"/>
    <w:rsid w:val="6EF9099F"/>
    <w:rsid w:val="6F177F4F"/>
    <w:rsid w:val="6F460A9E"/>
    <w:rsid w:val="6F753B6B"/>
    <w:rsid w:val="6F8F6914"/>
    <w:rsid w:val="6F9208F0"/>
    <w:rsid w:val="6F991C7F"/>
    <w:rsid w:val="6FCB0CF7"/>
    <w:rsid w:val="705B2B64"/>
    <w:rsid w:val="707012B2"/>
    <w:rsid w:val="70744A19"/>
    <w:rsid w:val="710F3379"/>
    <w:rsid w:val="71172F17"/>
    <w:rsid w:val="71860FCD"/>
    <w:rsid w:val="718A5D23"/>
    <w:rsid w:val="72411700"/>
    <w:rsid w:val="72DD0BBD"/>
    <w:rsid w:val="72E5220E"/>
    <w:rsid w:val="72FA73DA"/>
    <w:rsid w:val="730A287F"/>
    <w:rsid w:val="732A167E"/>
    <w:rsid w:val="735264FF"/>
    <w:rsid w:val="73B22065"/>
    <w:rsid w:val="73C36379"/>
    <w:rsid w:val="73C81356"/>
    <w:rsid w:val="73D00762"/>
    <w:rsid w:val="749D155F"/>
    <w:rsid w:val="74CE72E9"/>
    <w:rsid w:val="74D55755"/>
    <w:rsid w:val="74FB3074"/>
    <w:rsid w:val="750F6193"/>
    <w:rsid w:val="75144A21"/>
    <w:rsid w:val="75155D26"/>
    <w:rsid w:val="752D3A0B"/>
    <w:rsid w:val="752E4C17"/>
    <w:rsid w:val="753E10E9"/>
    <w:rsid w:val="753E5865"/>
    <w:rsid w:val="754045EC"/>
    <w:rsid w:val="754E03EF"/>
    <w:rsid w:val="7582387F"/>
    <w:rsid w:val="75880263"/>
    <w:rsid w:val="75B6552C"/>
    <w:rsid w:val="75BC5C9E"/>
    <w:rsid w:val="75DF53EF"/>
    <w:rsid w:val="75E93780"/>
    <w:rsid w:val="761738FD"/>
    <w:rsid w:val="76206B6F"/>
    <w:rsid w:val="762C0D71"/>
    <w:rsid w:val="76695353"/>
    <w:rsid w:val="766A2DD4"/>
    <w:rsid w:val="767720EA"/>
    <w:rsid w:val="76931A1A"/>
    <w:rsid w:val="769B35A3"/>
    <w:rsid w:val="769F1FAA"/>
    <w:rsid w:val="76CA086F"/>
    <w:rsid w:val="76D25C7C"/>
    <w:rsid w:val="77234781"/>
    <w:rsid w:val="7725204A"/>
    <w:rsid w:val="77291B3C"/>
    <w:rsid w:val="77311A03"/>
    <w:rsid w:val="778E3EF5"/>
    <w:rsid w:val="77A14244"/>
    <w:rsid w:val="77A80CB1"/>
    <w:rsid w:val="77E63734"/>
    <w:rsid w:val="78917997"/>
    <w:rsid w:val="78A13CF9"/>
    <w:rsid w:val="78A23968"/>
    <w:rsid w:val="78DF5A89"/>
    <w:rsid w:val="78FA7C0B"/>
    <w:rsid w:val="792451CB"/>
    <w:rsid w:val="796F1DC8"/>
    <w:rsid w:val="79ED74DE"/>
    <w:rsid w:val="79F1491F"/>
    <w:rsid w:val="7A277378"/>
    <w:rsid w:val="7A35088C"/>
    <w:rsid w:val="7A5158B1"/>
    <w:rsid w:val="7A530DC6"/>
    <w:rsid w:val="7A6648DE"/>
    <w:rsid w:val="7A6730A5"/>
    <w:rsid w:val="7A6B0D66"/>
    <w:rsid w:val="7AD21A0F"/>
    <w:rsid w:val="7AE364A4"/>
    <w:rsid w:val="7B09056F"/>
    <w:rsid w:val="7B2054A5"/>
    <w:rsid w:val="7B2F566B"/>
    <w:rsid w:val="7B322D2D"/>
    <w:rsid w:val="7B6569FF"/>
    <w:rsid w:val="7B6A3F09"/>
    <w:rsid w:val="7B6B0973"/>
    <w:rsid w:val="7B9939D6"/>
    <w:rsid w:val="7C762007"/>
    <w:rsid w:val="7CA7604D"/>
    <w:rsid w:val="7D6B4FCC"/>
    <w:rsid w:val="7D935F5F"/>
    <w:rsid w:val="7D966713"/>
    <w:rsid w:val="7D990F1D"/>
    <w:rsid w:val="7DAF0828"/>
    <w:rsid w:val="7DD93F05"/>
    <w:rsid w:val="7DDB75A6"/>
    <w:rsid w:val="7DE64F0C"/>
    <w:rsid w:val="7E2120FB"/>
    <w:rsid w:val="7E3D2B28"/>
    <w:rsid w:val="7E4538A4"/>
    <w:rsid w:val="7E5B31DA"/>
    <w:rsid w:val="7E664DEE"/>
    <w:rsid w:val="7E694F12"/>
    <w:rsid w:val="7E9B7847"/>
    <w:rsid w:val="7EA2394E"/>
    <w:rsid w:val="7EB56F36"/>
    <w:rsid w:val="7EB85AF2"/>
    <w:rsid w:val="7EE04A9D"/>
    <w:rsid w:val="7EE61C49"/>
    <w:rsid w:val="7EEA243B"/>
    <w:rsid w:val="7EFD6EFB"/>
    <w:rsid w:val="7F0211BA"/>
    <w:rsid w:val="7F1B620C"/>
    <w:rsid w:val="7F5054F4"/>
    <w:rsid w:val="7F5C3045"/>
    <w:rsid w:val="7F7D2A23"/>
    <w:rsid w:val="7F9B3D14"/>
    <w:rsid w:val="7FC2379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3"/>
    <w:basedOn w:val="1"/>
    <w:next w:val="1"/>
    <w:unhideWhenUsed/>
    <w:qFormat/>
    <w:uiPriority w:val="9"/>
    <w:pPr>
      <w:keepNext/>
      <w:keepLines/>
      <w:spacing w:before="260" w:after="260" w:line="415" w:lineRule="auto"/>
      <w:outlineLvl w:val="2"/>
    </w:pPr>
    <w:rPr>
      <w:b/>
      <w:bCs/>
      <w:sz w:val="32"/>
      <w:szCs w:val="32"/>
    </w:rPr>
  </w:style>
  <w:style w:type="paragraph" w:styleId="4">
    <w:name w:val="heading 4"/>
    <w:basedOn w:val="1"/>
    <w:next w:val="1"/>
    <w:unhideWhenUsed/>
    <w:qFormat/>
    <w:uiPriority w:val="9"/>
    <w:pPr>
      <w:keepNext/>
      <w:keepLines/>
      <w:spacing w:before="280" w:after="290" w:line="372" w:lineRule="auto"/>
      <w:outlineLvl w:val="3"/>
    </w:pPr>
    <w:rPr>
      <w:rFonts w:ascii="Arial" w:hAnsi="Arial" w:eastAsia="黑体"/>
      <w:b/>
      <w:bCs/>
      <w:color w:val="000000"/>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25"/>
    <w:qFormat/>
    <w:uiPriority w:val="0"/>
    <w:rPr>
      <w:rFonts w:ascii="宋体"/>
      <w:sz w:val="18"/>
      <w:szCs w:val="18"/>
    </w:rPr>
  </w:style>
  <w:style w:type="paragraph" w:styleId="7">
    <w:name w:val="annotation text"/>
    <w:basedOn w:val="1"/>
    <w:link w:val="26"/>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line="700" w:lineRule="exact"/>
      <w:ind w:left="960"/>
    </w:pPr>
    <w:rPr>
      <w:sz w:val="44"/>
    </w:rPr>
  </w:style>
  <w:style w:type="paragraph" w:styleId="10">
    <w:name w:val="Plain Text"/>
    <w:basedOn w:val="1"/>
    <w:unhideWhenUsed/>
    <w:qFormat/>
    <w:uiPriority w:val="99"/>
    <w:rPr>
      <w:rFonts w:ascii="宋体" w:hAnsi="Courier New"/>
      <w:szCs w:val="21"/>
    </w:rPr>
  </w:style>
  <w:style w:type="paragraph" w:styleId="11">
    <w:name w:val="Date"/>
    <w:basedOn w:val="1"/>
    <w:next w:val="1"/>
    <w:qFormat/>
    <w:uiPriority w:val="0"/>
    <w:pPr>
      <w:ind w:left="100" w:leftChars="2500"/>
    </w:pPr>
  </w:style>
  <w:style w:type="paragraph" w:styleId="12">
    <w:name w:val="Balloon Text"/>
    <w:basedOn w:val="1"/>
    <w:link w:val="27"/>
    <w:unhideWhenUsed/>
    <w:qFormat/>
    <w:uiPriority w:val="99"/>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b/>
      <w:bCs/>
      <w:caps/>
      <w:sz w:val="20"/>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index 1"/>
    <w:basedOn w:val="1"/>
    <w:next w:val="1"/>
    <w:qFormat/>
    <w:uiPriority w:val="0"/>
    <w:pPr>
      <w:spacing w:line="360" w:lineRule="auto"/>
      <w:jc w:val="center"/>
    </w:pPr>
    <w:rPr>
      <w:rFonts w:ascii="宋体" w:hAnsi="Arial" w:cs="Arial"/>
      <w:b/>
      <w:color w:val="000000"/>
      <w:sz w:val="24"/>
      <w:szCs w:val="24"/>
    </w:rPr>
  </w:style>
  <w:style w:type="paragraph" w:styleId="18">
    <w:name w:val="annotation subject"/>
    <w:basedOn w:val="7"/>
    <w:next w:val="7"/>
    <w:link w:val="28"/>
    <w:unhideWhenUsed/>
    <w:qFormat/>
    <w:uiPriority w:val="99"/>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styleId="23">
    <w:name w:val="page number"/>
    <w:basedOn w:val="21"/>
    <w:qFormat/>
    <w:uiPriority w:val="0"/>
  </w:style>
  <w:style w:type="character" w:styleId="24">
    <w:name w:val="annotation reference"/>
    <w:unhideWhenUsed/>
    <w:qFormat/>
    <w:uiPriority w:val="99"/>
    <w:rPr>
      <w:sz w:val="21"/>
      <w:szCs w:val="21"/>
    </w:rPr>
  </w:style>
  <w:style w:type="character" w:customStyle="1" w:styleId="25">
    <w:name w:val="文档结构图 Char"/>
    <w:link w:val="6"/>
    <w:qFormat/>
    <w:uiPriority w:val="0"/>
    <w:rPr>
      <w:rFonts w:ascii="宋体"/>
      <w:kern w:val="2"/>
      <w:sz w:val="18"/>
      <w:szCs w:val="18"/>
    </w:rPr>
  </w:style>
  <w:style w:type="character" w:customStyle="1" w:styleId="26">
    <w:name w:val="批注文字 Char"/>
    <w:link w:val="7"/>
    <w:qFormat/>
    <w:uiPriority w:val="99"/>
    <w:rPr>
      <w:kern w:val="2"/>
      <w:sz w:val="21"/>
    </w:rPr>
  </w:style>
  <w:style w:type="character" w:customStyle="1" w:styleId="27">
    <w:name w:val="批注框文本 Char"/>
    <w:link w:val="12"/>
    <w:semiHidden/>
    <w:qFormat/>
    <w:uiPriority w:val="99"/>
    <w:rPr>
      <w:kern w:val="2"/>
      <w:sz w:val="18"/>
      <w:szCs w:val="18"/>
    </w:rPr>
  </w:style>
  <w:style w:type="character" w:customStyle="1" w:styleId="28">
    <w:name w:val="批注主题 Char"/>
    <w:link w:val="18"/>
    <w:semiHidden/>
    <w:qFormat/>
    <w:uiPriority w:val="99"/>
    <w:rPr>
      <w:b/>
      <w:bCs/>
      <w:kern w:val="2"/>
      <w:sz w:val="21"/>
    </w:rPr>
  </w:style>
  <w:style w:type="character" w:customStyle="1" w:styleId="29">
    <w:name w:val="font01"/>
    <w:qFormat/>
    <w:uiPriority w:val="0"/>
    <w:rPr>
      <w:rFonts w:hint="eastAsia" w:ascii="宋体" w:hAnsi="宋体" w:eastAsia="宋体" w:cs="宋体"/>
      <w:color w:val="000000"/>
      <w:sz w:val="22"/>
      <w:szCs w:val="22"/>
      <w:u w:val="none"/>
    </w:rPr>
  </w:style>
  <w:style w:type="character" w:customStyle="1" w:styleId="30">
    <w:name w:val="font11"/>
    <w:basedOn w:val="21"/>
    <w:qFormat/>
    <w:uiPriority w:val="0"/>
    <w:rPr>
      <w:rFonts w:hint="eastAsia" w:ascii="宋体" w:hAnsi="宋体" w:eastAsia="宋体" w:cs="宋体"/>
      <w:color w:val="000000"/>
      <w:sz w:val="18"/>
      <w:szCs w:val="18"/>
      <w:u w:val="none"/>
    </w:rPr>
  </w:style>
  <w:style w:type="character" w:customStyle="1" w:styleId="31">
    <w:name w:val="NormalCharacter"/>
    <w:semiHidden/>
    <w:qFormat/>
    <w:uiPriority w:val="0"/>
  </w:style>
  <w:style w:type="character" w:customStyle="1" w:styleId="32">
    <w:name w:val="font31"/>
    <w:basedOn w:val="21"/>
    <w:qFormat/>
    <w:uiPriority w:val="0"/>
    <w:rPr>
      <w:rFonts w:hint="eastAsia" w:ascii="宋体" w:hAnsi="宋体" w:eastAsia="宋体" w:cs="宋体"/>
      <w:color w:val="000000"/>
      <w:sz w:val="18"/>
      <w:szCs w:val="18"/>
      <w:u w:val="none"/>
    </w:rPr>
  </w:style>
  <w:style w:type="character" w:customStyle="1" w:styleId="33">
    <w:name w:val="占位符文本1"/>
    <w:basedOn w:val="21"/>
    <w:semiHidden/>
    <w:qFormat/>
    <w:uiPriority w:val="99"/>
    <w:rPr>
      <w:color w:val="808080"/>
    </w:rPr>
  </w:style>
  <w:style w:type="paragraph" w:customStyle="1" w:styleId="3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5">
    <w:name w:val="Heading3"/>
    <w:basedOn w:val="1"/>
    <w:next w:val="1"/>
    <w:qFormat/>
    <w:uiPriority w:val="0"/>
    <w:pPr>
      <w:keepNext/>
      <w:keepLines/>
      <w:spacing w:before="260" w:after="260" w:line="415" w:lineRule="auto"/>
      <w:textAlignment w:val="baseline"/>
    </w:pPr>
    <w:rPr>
      <w:rFonts w:ascii="Calibri" w:hAnsi="Calibri"/>
      <w:b/>
      <w:bCs/>
      <w:sz w:val="32"/>
      <w:szCs w:val="32"/>
    </w:rPr>
  </w:style>
  <w:style w:type="paragraph" w:customStyle="1" w:styleId="36">
    <w:name w:val="样式10"/>
    <w:basedOn w:val="1"/>
    <w:qFormat/>
    <w:uiPriority w:val="0"/>
    <w:pPr>
      <w:numPr>
        <w:ilvl w:val="0"/>
        <w:numId w:val="1"/>
      </w:numPr>
      <w:tabs>
        <w:tab w:val="left" w:pos="737"/>
        <w:tab w:val="clear" w:pos="360"/>
      </w:tabs>
      <w:spacing w:line="360" w:lineRule="auto"/>
    </w:pPr>
    <w:rPr>
      <w:sz w:val="24"/>
      <w:szCs w:val="24"/>
    </w:rPr>
  </w:style>
  <w:style w:type="paragraph" w:customStyle="1" w:styleId="37">
    <w:name w:val="正文1"/>
    <w:qFormat/>
    <w:uiPriority w:val="0"/>
    <w:pPr>
      <w:widowControl w:val="0"/>
      <w:jc w:val="both"/>
    </w:pPr>
    <w:rPr>
      <w:rFonts w:ascii="Calibri" w:hAnsi="Calibri" w:eastAsia="ヒラギノ角ゴ Pro W3" w:cs="Times New Roman"/>
      <w:color w:val="000000"/>
      <w:kern w:val="2"/>
      <w:sz w:val="21"/>
      <w:lang w:val="en-US" w:eastAsia="zh-CN" w:bidi="ar-SA"/>
    </w:rPr>
  </w:style>
  <w:style w:type="paragraph" w:customStyle="1" w:styleId="38">
    <w:name w:val="彩色列表 - 强调文字颜色 11"/>
    <w:basedOn w:val="1"/>
    <w:qFormat/>
    <w:uiPriority w:val="0"/>
    <w:pPr>
      <w:widowControl/>
      <w:ind w:firstLine="420"/>
    </w:pPr>
    <w:rPr>
      <w:rFonts w:ascii="Calibri" w:hAnsi="Calibri" w:cs="Calibri"/>
      <w:kern w:val="0"/>
      <w:szCs w:val="21"/>
    </w:rPr>
  </w:style>
  <w:style w:type="paragraph" w:customStyle="1" w:styleId="39">
    <w:name w:val="列出段落1"/>
    <w:basedOn w:val="1"/>
    <w:qFormat/>
    <w:uiPriority w:val="99"/>
    <w:pPr>
      <w:ind w:firstLine="420" w:firstLineChars="200"/>
    </w:pPr>
    <w:rPr>
      <w:rFonts w:ascii="Calibri" w:hAnsi="Calibri" w:cs="Calibri"/>
      <w:szCs w:val="21"/>
    </w:rPr>
  </w:style>
  <w:style w:type="paragraph" w:customStyle="1" w:styleId="4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1">
    <w:name w:val="图表内容"/>
    <w:qFormat/>
    <w:uiPriority w:val="0"/>
    <w:pPr>
      <w:spacing w:line="400" w:lineRule="exact"/>
    </w:pPr>
    <w:rPr>
      <w:rFonts w:ascii="Times New Roman" w:hAnsi="Times New Roman" w:eastAsia="方正仿宋_GBK" w:cs="Times New Roman"/>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0153F-F48C-4F55-B03D-7FF574F642DC}">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40</Pages>
  <Words>5636</Words>
  <Characters>6054</Characters>
  <Lines>150</Lines>
  <Paragraphs>42</Paragraphs>
  <TotalTime>30</TotalTime>
  <ScaleCrop>false</ScaleCrop>
  <LinksUpToDate>false</LinksUpToDate>
  <CharactersWithSpaces>6162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2026-04-13T08:44:00Z</dcterms:created>
  <dc:creator>宋海涛</dc:creator>
  <cp:lastModifiedBy>PC</cp:lastModifiedBy>
  <cp:lastPrinted>2025-09-25T07:17:00Z</cp:lastPrinted>
  <dcterms:modified xsi:type="dcterms:W3CDTF">2026-04-27T10:18:31Z</dcterms:modified>
  <dc:title>重庆高速公路集团有限公司南方营运分公司服务区保安值守服务项目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37180F5EFE4E4ED391CAC9149062DAD4_13</vt:lpwstr>
  </property>
  <property fmtid="{D5CDD505-2E9C-101B-9397-08002B2CF9AE}" pid="4" name="KSOTemplateDocerSaveRecord">
    <vt:lpwstr>eyJoZGlkIjoiOWZkMThlZjA3M2UxNzIyMzMzMDBlODJhYWRmNTNmOTQiLCJ1c2VySWQiOiIyMTA2NDc5NDMifQ==</vt:lpwstr>
  </property>
</Properties>
</file>