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47390">
      <w:pPr>
        <w:spacing w:line="400" w:lineRule="exact"/>
        <w:jc w:val="center"/>
        <w:rPr>
          <w:rFonts w:hint="eastAsia" w:ascii="方正楷体_GB2312" w:hAnsi="方正楷体_GB2312" w:eastAsia="方正楷体_GB2312" w:cs="方正楷体_GB2312"/>
          <w:b/>
          <w:color w:val="auto"/>
          <w:sz w:val="32"/>
          <w:szCs w:val="32"/>
          <w:highlight w:val="none"/>
        </w:rPr>
      </w:pPr>
    </w:p>
    <w:p w14:paraId="38B52664">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rPr>
        <w:t>项目名称：</w:t>
      </w:r>
      <w:r>
        <w:rPr>
          <w:rFonts w:hint="eastAsia" w:ascii="宋体" w:hAnsi="宋体" w:cs="宋体"/>
          <w:b/>
          <w:color w:val="auto"/>
          <w:sz w:val="40"/>
          <w:szCs w:val="40"/>
          <w:highlight w:val="none"/>
          <w:lang w:eastAsia="zh-CN"/>
        </w:rPr>
        <w:t>东北及东南安全韧性提升项目生产用车租赁服务采购（第二次）</w:t>
      </w:r>
    </w:p>
    <w:p w14:paraId="12E09B5C">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0BA68AA4">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竞</w:t>
      </w:r>
    </w:p>
    <w:p w14:paraId="7FE7069D">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5C51AA65">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争</w:t>
      </w:r>
    </w:p>
    <w:p w14:paraId="3F8BB300">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046DEC87">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性</w:t>
      </w:r>
    </w:p>
    <w:p w14:paraId="5EAB09A8">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6E61C847">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比</w:t>
      </w:r>
    </w:p>
    <w:p w14:paraId="1ED90F4F">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37E587F5">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选</w:t>
      </w:r>
    </w:p>
    <w:p w14:paraId="57C1ABA9">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58B60448">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文</w:t>
      </w:r>
    </w:p>
    <w:p w14:paraId="4D52AF5B">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359C0565">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96"/>
          <w:szCs w:val="72"/>
          <w:highlight w:val="none"/>
        </w:rPr>
      </w:pPr>
      <w:r>
        <w:rPr>
          <w:rFonts w:hint="eastAsia" w:ascii="宋体" w:hAnsi="宋体" w:cs="宋体"/>
          <w:b/>
          <w:color w:val="auto"/>
          <w:sz w:val="48"/>
          <w:szCs w:val="48"/>
          <w:highlight w:val="none"/>
        </w:rPr>
        <w:t>件</w:t>
      </w:r>
    </w:p>
    <w:p w14:paraId="2F7231B8">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p>
    <w:p w14:paraId="0ED8C547">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p>
    <w:p w14:paraId="212A8128">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p>
    <w:p w14:paraId="67EE5539">
      <w:pPr>
        <w:keepNext w:val="0"/>
        <w:keepLines w:val="0"/>
        <w:pageBreakBefore w:val="0"/>
        <w:widowControl w:val="0"/>
        <w:kinsoku/>
        <w:wordWrap/>
        <w:overflowPunct/>
        <w:topLinePunct w:val="0"/>
        <w:autoSpaceDE/>
        <w:autoSpaceDN/>
        <w:bidi w:val="0"/>
        <w:adjustRightInd/>
        <w:snapToGrid/>
        <w:textAlignment w:val="auto"/>
        <w:outlineLvl w:val="9"/>
        <w:rPr>
          <w:color w:val="auto"/>
          <w:highlight w:val="none"/>
        </w:rPr>
      </w:pPr>
    </w:p>
    <w:p w14:paraId="3F91369B">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采购人：</w:t>
      </w:r>
      <w:r>
        <w:rPr>
          <w:rFonts w:hint="eastAsia" w:ascii="宋体" w:hAnsi="宋体" w:cs="宋体"/>
          <w:b/>
          <w:color w:val="auto"/>
          <w:sz w:val="28"/>
          <w:szCs w:val="28"/>
          <w:highlight w:val="none"/>
          <w:lang w:eastAsia="zh-CN"/>
        </w:rPr>
        <w:t>重庆首讯科技股份有限公司数智系统运维分公司</w:t>
      </w:r>
    </w:p>
    <w:p w14:paraId="4E3C1617">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2026年5月</w:t>
      </w:r>
    </w:p>
    <w:p w14:paraId="251FC8AF">
      <w:pPr>
        <w:pStyle w:val="29"/>
        <w:jc w:val="center"/>
        <w:rPr>
          <w:rFonts w:hint="eastAsia" w:ascii="宋体" w:hAnsi="宋体" w:cs="宋体"/>
          <w:b/>
          <w:bCs w:val="0"/>
          <w:color w:val="auto"/>
          <w:sz w:val="32"/>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p>
    <w:p w14:paraId="4707231C">
      <w:pPr>
        <w:pStyle w:val="29"/>
        <w:jc w:val="center"/>
        <w:rPr>
          <w:rFonts w:ascii="宋体" w:hAnsi="宋体" w:cs="宋体"/>
          <w:color w:val="auto"/>
          <w:szCs w:val="21"/>
          <w:highlight w:val="none"/>
        </w:rPr>
      </w:pPr>
      <w:r>
        <w:rPr>
          <w:rFonts w:hint="eastAsia" w:ascii="宋体" w:hAnsi="宋体" w:cs="宋体"/>
          <w:b/>
          <w:bCs w:val="0"/>
          <w:color w:val="auto"/>
          <w:sz w:val="32"/>
          <w:highlight w:val="none"/>
        </w:rPr>
        <w:t>目   录</w:t>
      </w:r>
    </w:p>
    <w:p w14:paraId="1D436ED6">
      <w:pPr>
        <w:pStyle w:val="29"/>
        <w:tabs>
          <w:tab w:val="right" w:leader="dot" w:pos="9638"/>
        </w:tabs>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_Toc5708 </w:instrText>
      </w:r>
      <w:r>
        <w:rPr>
          <w:rFonts w:hint="eastAsia" w:ascii="宋体" w:hAnsi="宋体" w:cs="宋体"/>
          <w:bCs w:val="0"/>
          <w:caps w:val="0"/>
          <w:highlight w:val="none"/>
        </w:rPr>
        <w:fldChar w:fldCharType="separate"/>
      </w:r>
      <w:r>
        <w:rPr>
          <w:rFonts w:hint="eastAsia" w:ascii="宋体" w:hAnsi="宋体" w:eastAsia="宋体" w:cs="宋体"/>
          <w:bCs/>
          <w:smallCaps w:val="0"/>
          <w:kern w:val="44"/>
          <w:szCs w:val="44"/>
          <w:highlight w:val="none"/>
          <w:lang w:val="en-US" w:eastAsia="zh-CN" w:bidi="ar-SA"/>
        </w:rPr>
        <w:t>第一章 比选公告</w:t>
      </w:r>
      <w:r>
        <w:tab/>
      </w:r>
      <w:r>
        <w:fldChar w:fldCharType="begin"/>
      </w:r>
      <w:r>
        <w:instrText xml:space="preserve"> PAGEREF _Toc5708 \h </w:instrText>
      </w:r>
      <w:r>
        <w:fldChar w:fldCharType="separate"/>
      </w:r>
      <w:r>
        <w:t>2</w:t>
      </w:r>
      <w:r>
        <w:fldChar w:fldCharType="end"/>
      </w:r>
      <w:r>
        <w:rPr>
          <w:rFonts w:hint="eastAsia" w:ascii="宋体" w:hAnsi="宋体" w:cs="宋体"/>
          <w:bCs w:val="0"/>
          <w:caps w:val="0"/>
          <w:color w:val="auto"/>
          <w:highlight w:val="none"/>
        </w:rPr>
        <w:fldChar w:fldCharType="end"/>
      </w:r>
    </w:p>
    <w:p w14:paraId="0E0C916E">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_Toc32767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tab/>
      </w:r>
      <w:r>
        <w:fldChar w:fldCharType="begin"/>
      </w:r>
      <w:r>
        <w:instrText xml:space="preserve"> PAGEREF _Toc32767 \h </w:instrText>
      </w:r>
      <w:r>
        <w:fldChar w:fldCharType="separate"/>
      </w:r>
      <w:r>
        <w:t>2</w:t>
      </w:r>
      <w:r>
        <w:fldChar w:fldCharType="end"/>
      </w:r>
      <w:r>
        <w:rPr>
          <w:rFonts w:hint="eastAsia" w:ascii="宋体" w:hAnsi="宋体" w:cs="宋体"/>
          <w:bCs/>
          <w:caps/>
          <w:color w:val="auto"/>
          <w:highlight w:val="none"/>
        </w:rPr>
        <w:fldChar w:fldCharType="end"/>
      </w:r>
    </w:p>
    <w:p w14:paraId="75815AC4">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_Toc13364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tab/>
      </w:r>
      <w:r>
        <w:fldChar w:fldCharType="begin"/>
      </w:r>
      <w:r>
        <w:instrText xml:space="preserve"> PAGEREF _Toc13364 \h </w:instrText>
      </w:r>
      <w:r>
        <w:fldChar w:fldCharType="separate"/>
      </w:r>
      <w:r>
        <w:t>2</w:t>
      </w:r>
      <w:r>
        <w:fldChar w:fldCharType="end"/>
      </w:r>
      <w:r>
        <w:rPr>
          <w:rFonts w:hint="eastAsia" w:ascii="宋体" w:hAnsi="宋体" w:cs="宋体"/>
          <w:bCs/>
          <w:caps/>
          <w:color w:val="auto"/>
          <w:highlight w:val="none"/>
        </w:rPr>
        <w:fldChar w:fldCharType="end"/>
      </w:r>
    </w:p>
    <w:p w14:paraId="0DA71D6E">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_Toc30358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tab/>
      </w:r>
      <w:r>
        <w:fldChar w:fldCharType="begin"/>
      </w:r>
      <w:r>
        <w:instrText xml:space="preserve"> PAGEREF _Toc30358 \h </w:instrText>
      </w:r>
      <w:r>
        <w:fldChar w:fldCharType="separate"/>
      </w:r>
      <w:r>
        <w:t>2</w:t>
      </w:r>
      <w:r>
        <w:fldChar w:fldCharType="end"/>
      </w:r>
      <w:r>
        <w:rPr>
          <w:rFonts w:hint="eastAsia" w:ascii="宋体" w:hAnsi="宋体" w:cs="宋体"/>
          <w:bCs/>
          <w:caps/>
          <w:color w:val="auto"/>
          <w:highlight w:val="none"/>
        </w:rPr>
        <w:fldChar w:fldCharType="end"/>
      </w:r>
    </w:p>
    <w:p w14:paraId="5E581D7F">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_Toc14753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4</w:t>
      </w:r>
      <w:r>
        <w:rPr>
          <w:rFonts w:hint="eastAsia" w:ascii="宋体" w:hAnsi="宋体" w:eastAsia="宋体" w:cs="宋体"/>
          <w:highlight w:val="none"/>
        </w:rPr>
        <w:t xml:space="preserve">. </w:t>
      </w:r>
      <w:r>
        <w:rPr>
          <w:rFonts w:hint="eastAsia" w:ascii="宋体" w:hAnsi="宋体" w:eastAsia="宋体" w:cs="宋体"/>
          <w:highlight w:val="none"/>
          <w:lang w:val="en-US" w:eastAsia="zh-CN"/>
        </w:rPr>
        <w:t>评标办法</w:t>
      </w:r>
      <w:r>
        <w:tab/>
      </w:r>
      <w:r>
        <w:fldChar w:fldCharType="begin"/>
      </w:r>
      <w:r>
        <w:instrText xml:space="preserve"> PAGEREF _Toc14753 \h </w:instrText>
      </w:r>
      <w:r>
        <w:fldChar w:fldCharType="separate"/>
      </w:r>
      <w:r>
        <w:t>2</w:t>
      </w:r>
      <w:r>
        <w:fldChar w:fldCharType="end"/>
      </w:r>
      <w:r>
        <w:rPr>
          <w:rFonts w:hint="eastAsia" w:ascii="宋体" w:hAnsi="宋体" w:cs="宋体"/>
          <w:bCs/>
          <w:caps/>
          <w:color w:val="auto"/>
          <w:highlight w:val="none"/>
        </w:rPr>
        <w:fldChar w:fldCharType="end"/>
      </w:r>
    </w:p>
    <w:p w14:paraId="59296823">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_Toc7265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 比选文件的获取</w:t>
      </w:r>
      <w:r>
        <w:tab/>
      </w:r>
      <w:r>
        <w:fldChar w:fldCharType="begin"/>
      </w:r>
      <w:r>
        <w:instrText xml:space="preserve"> PAGEREF _Toc7265 \h </w:instrText>
      </w:r>
      <w:r>
        <w:fldChar w:fldCharType="separate"/>
      </w:r>
      <w:r>
        <w:t>2</w:t>
      </w:r>
      <w:r>
        <w:fldChar w:fldCharType="end"/>
      </w:r>
      <w:r>
        <w:rPr>
          <w:rFonts w:hint="eastAsia" w:ascii="宋体" w:hAnsi="宋体" w:cs="宋体"/>
          <w:bCs/>
          <w:caps/>
          <w:color w:val="auto"/>
          <w:highlight w:val="none"/>
        </w:rPr>
        <w:fldChar w:fldCharType="end"/>
      </w:r>
    </w:p>
    <w:p w14:paraId="2BB68C47">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_Toc20783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竞争性比选响应文件的递交及相关事宜</w:t>
      </w:r>
      <w:r>
        <w:tab/>
      </w:r>
      <w:r>
        <w:fldChar w:fldCharType="begin"/>
      </w:r>
      <w:r>
        <w:instrText xml:space="preserve"> PAGEREF _Toc20783 \h </w:instrText>
      </w:r>
      <w:r>
        <w:fldChar w:fldCharType="separate"/>
      </w:r>
      <w:r>
        <w:t>3</w:t>
      </w:r>
      <w:r>
        <w:fldChar w:fldCharType="end"/>
      </w:r>
      <w:r>
        <w:rPr>
          <w:rFonts w:hint="eastAsia" w:ascii="宋体" w:hAnsi="宋体" w:cs="宋体"/>
          <w:bCs/>
          <w:caps/>
          <w:color w:val="auto"/>
          <w:highlight w:val="none"/>
        </w:rPr>
        <w:fldChar w:fldCharType="end"/>
      </w:r>
    </w:p>
    <w:p w14:paraId="45B0AB93">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_Toc14728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 联系方式</w:t>
      </w:r>
      <w:r>
        <w:tab/>
      </w:r>
      <w:r>
        <w:fldChar w:fldCharType="begin"/>
      </w:r>
      <w:r>
        <w:instrText xml:space="preserve"> PAGEREF _Toc14728 \h </w:instrText>
      </w:r>
      <w:r>
        <w:fldChar w:fldCharType="separate"/>
      </w:r>
      <w:r>
        <w:t>3</w:t>
      </w:r>
      <w:r>
        <w:fldChar w:fldCharType="end"/>
      </w:r>
      <w:r>
        <w:rPr>
          <w:rFonts w:hint="eastAsia" w:ascii="宋体" w:hAnsi="宋体" w:cs="宋体"/>
          <w:bCs/>
          <w:caps/>
          <w:color w:val="auto"/>
          <w:highlight w:val="none"/>
        </w:rPr>
        <w:fldChar w:fldCharType="end"/>
      </w:r>
    </w:p>
    <w:p w14:paraId="66A2F274">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_Toc21090 </w:instrText>
      </w:r>
      <w:r>
        <w:rPr>
          <w:rFonts w:hint="eastAsia" w:ascii="宋体" w:hAnsi="宋体" w:cs="宋体"/>
          <w:bCs/>
          <w:caps/>
          <w:highlight w:val="none"/>
        </w:rPr>
        <w:fldChar w:fldCharType="separate"/>
      </w:r>
      <w:r>
        <w:rPr>
          <w:rFonts w:hint="eastAsia" w:ascii="宋体" w:hAnsi="宋体" w:cs="宋体"/>
          <w:highlight w:val="none"/>
        </w:rPr>
        <w:t xml:space="preserve">第二章 </w:t>
      </w:r>
      <w:r>
        <w:rPr>
          <w:rFonts w:hint="eastAsia" w:ascii="宋体" w:hAnsi="宋体" w:cs="宋体"/>
          <w:highlight w:val="none"/>
          <w:lang w:val="en-US" w:eastAsia="zh-CN"/>
        </w:rPr>
        <w:t>报价人须知</w:t>
      </w:r>
      <w:r>
        <w:tab/>
      </w:r>
      <w:r>
        <w:fldChar w:fldCharType="begin"/>
      </w:r>
      <w:r>
        <w:instrText xml:space="preserve"> PAGEREF _Toc21090 \h </w:instrText>
      </w:r>
      <w:r>
        <w:fldChar w:fldCharType="separate"/>
      </w:r>
      <w:r>
        <w:t>4</w:t>
      </w:r>
      <w:r>
        <w:fldChar w:fldCharType="end"/>
      </w:r>
      <w:r>
        <w:rPr>
          <w:rFonts w:hint="eastAsia" w:ascii="宋体" w:hAnsi="宋体" w:cs="宋体"/>
          <w:bCs/>
          <w:caps/>
          <w:color w:val="auto"/>
          <w:highlight w:val="none"/>
        </w:rPr>
        <w:fldChar w:fldCharType="end"/>
      </w:r>
    </w:p>
    <w:p w14:paraId="0539F7E9">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_Toc8084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tab/>
      </w:r>
      <w:r>
        <w:fldChar w:fldCharType="begin"/>
      </w:r>
      <w:r>
        <w:instrText xml:space="preserve"> PAGEREF _Toc8084 \h </w:instrText>
      </w:r>
      <w:r>
        <w:fldChar w:fldCharType="separate"/>
      </w:r>
      <w:r>
        <w:t>9</w:t>
      </w:r>
      <w:r>
        <w:fldChar w:fldCharType="end"/>
      </w:r>
      <w:r>
        <w:rPr>
          <w:rFonts w:hint="eastAsia" w:ascii="宋体" w:hAnsi="宋体" w:cs="宋体"/>
          <w:bCs/>
          <w:caps/>
          <w:color w:val="auto"/>
          <w:highlight w:val="none"/>
        </w:rPr>
        <w:fldChar w:fldCharType="end"/>
      </w:r>
    </w:p>
    <w:p w14:paraId="4FFF25CD">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_Toc2153 </w:instrText>
      </w:r>
      <w:r>
        <w:rPr>
          <w:rFonts w:hint="eastAsia" w:ascii="宋体" w:hAnsi="宋体" w:cs="宋体"/>
          <w:bCs/>
          <w:caps/>
          <w:highlight w:val="none"/>
        </w:rPr>
        <w:fldChar w:fldCharType="separate"/>
      </w:r>
      <w:r>
        <w:rPr>
          <w:rFonts w:hint="eastAsia"/>
        </w:rPr>
        <w:t xml:space="preserve">第三章 </w:t>
      </w:r>
      <w:r>
        <w:rPr>
          <w:rFonts w:hint="eastAsia" w:ascii="宋体" w:hAnsi="宋体" w:cs="宋体"/>
          <w:highlight w:val="none"/>
        </w:rPr>
        <w:t>评标办法（经评审的最低投标价法）</w:t>
      </w:r>
      <w:r>
        <w:tab/>
      </w:r>
      <w:r>
        <w:fldChar w:fldCharType="begin"/>
      </w:r>
      <w:r>
        <w:instrText xml:space="preserve"> PAGEREF _Toc2153 \h </w:instrText>
      </w:r>
      <w:r>
        <w:fldChar w:fldCharType="separate"/>
      </w:r>
      <w:r>
        <w:t>10</w:t>
      </w:r>
      <w:r>
        <w:fldChar w:fldCharType="end"/>
      </w:r>
      <w:r>
        <w:rPr>
          <w:rFonts w:hint="eastAsia" w:ascii="宋体" w:hAnsi="宋体" w:cs="宋体"/>
          <w:bCs/>
          <w:caps/>
          <w:color w:val="auto"/>
          <w:highlight w:val="none"/>
        </w:rPr>
        <w:fldChar w:fldCharType="end"/>
      </w:r>
    </w:p>
    <w:p w14:paraId="53D0CEC9">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_Toc21919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tab/>
      </w:r>
      <w:r>
        <w:fldChar w:fldCharType="begin"/>
      </w:r>
      <w:r>
        <w:instrText xml:space="preserve"> PAGEREF _Toc21919 \h </w:instrText>
      </w:r>
      <w:r>
        <w:fldChar w:fldCharType="separate"/>
      </w:r>
      <w:r>
        <w:t>12</w:t>
      </w:r>
      <w:r>
        <w:fldChar w:fldCharType="end"/>
      </w:r>
      <w:r>
        <w:rPr>
          <w:rFonts w:hint="eastAsia" w:ascii="宋体" w:hAnsi="宋体" w:cs="宋体"/>
          <w:bCs/>
          <w:caps/>
          <w:color w:val="auto"/>
          <w:highlight w:val="none"/>
        </w:rPr>
        <w:fldChar w:fldCharType="end"/>
      </w:r>
    </w:p>
    <w:p w14:paraId="523DD72D">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_Toc11281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tab/>
      </w:r>
      <w:r>
        <w:fldChar w:fldCharType="begin"/>
      </w:r>
      <w:r>
        <w:instrText xml:space="preserve"> PAGEREF _Toc11281 \h </w:instrText>
      </w:r>
      <w:r>
        <w:fldChar w:fldCharType="separate"/>
      </w:r>
      <w:r>
        <w:t>12</w:t>
      </w:r>
      <w:r>
        <w:fldChar w:fldCharType="end"/>
      </w:r>
      <w:r>
        <w:rPr>
          <w:rFonts w:hint="eastAsia" w:ascii="宋体" w:hAnsi="宋体" w:cs="宋体"/>
          <w:bCs/>
          <w:caps/>
          <w:color w:val="auto"/>
          <w:highlight w:val="none"/>
        </w:rPr>
        <w:fldChar w:fldCharType="end"/>
      </w:r>
    </w:p>
    <w:p w14:paraId="33D9A163">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_Toc12011 </w:instrText>
      </w:r>
      <w:r>
        <w:rPr>
          <w:rFonts w:hint="eastAsia" w:ascii="宋体" w:hAnsi="宋体" w:cs="宋体"/>
          <w:bCs/>
          <w:caps/>
          <w:highlight w:val="none"/>
        </w:rPr>
        <w:fldChar w:fldCharType="separate"/>
      </w:r>
      <w:r>
        <w:rPr>
          <w:rFonts w:hint="eastAsia" w:ascii="宋体" w:hAnsi="宋体" w:cs="宋体"/>
          <w:szCs w:val="21"/>
          <w:highlight w:val="none"/>
          <w:lang w:val="en-US" w:eastAsia="zh-CN"/>
        </w:rPr>
        <w:t>3. 评标程序</w:t>
      </w:r>
      <w:r>
        <w:tab/>
      </w:r>
      <w:r>
        <w:fldChar w:fldCharType="begin"/>
      </w:r>
      <w:r>
        <w:instrText xml:space="preserve"> PAGEREF _Toc12011 \h </w:instrText>
      </w:r>
      <w:r>
        <w:fldChar w:fldCharType="separate"/>
      </w:r>
      <w:r>
        <w:t>12</w:t>
      </w:r>
      <w:r>
        <w:fldChar w:fldCharType="end"/>
      </w:r>
      <w:r>
        <w:rPr>
          <w:rFonts w:hint="eastAsia" w:ascii="宋体" w:hAnsi="宋体" w:cs="宋体"/>
          <w:bCs/>
          <w:caps/>
          <w:color w:val="auto"/>
          <w:highlight w:val="none"/>
        </w:rPr>
        <w:fldChar w:fldCharType="end"/>
      </w:r>
    </w:p>
    <w:p w14:paraId="656FD19D">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_Toc4734 </w:instrText>
      </w:r>
      <w:r>
        <w:rPr>
          <w:rFonts w:hint="eastAsia" w:ascii="宋体" w:hAnsi="宋体" w:cs="宋体"/>
          <w:bCs/>
          <w:caps/>
          <w:highlight w:val="none"/>
        </w:rPr>
        <w:fldChar w:fldCharType="separate"/>
      </w:r>
      <w:r>
        <w:rPr>
          <w:rFonts w:hint="eastAsia" w:ascii="宋体" w:hAnsi="宋体" w:cs="宋体"/>
        </w:rPr>
        <w:t xml:space="preserve">第四章 </w:t>
      </w:r>
      <w:r>
        <w:rPr>
          <w:rFonts w:hint="eastAsia" w:ascii="宋体" w:hAnsi="宋体" w:cs="宋体"/>
          <w:highlight w:val="none"/>
          <w:lang w:val="en-US" w:eastAsia="zh-CN"/>
        </w:rPr>
        <w:t>报价说明</w:t>
      </w:r>
      <w:r>
        <w:tab/>
      </w:r>
      <w:r>
        <w:fldChar w:fldCharType="begin"/>
      </w:r>
      <w:r>
        <w:instrText xml:space="preserve"> PAGEREF _Toc4734 \h </w:instrText>
      </w:r>
      <w:r>
        <w:fldChar w:fldCharType="separate"/>
      </w:r>
      <w:r>
        <w:t>14</w:t>
      </w:r>
      <w:r>
        <w:fldChar w:fldCharType="end"/>
      </w:r>
      <w:r>
        <w:rPr>
          <w:rFonts w:hint="eastAsia" w:ascii="宋体" w:hAnsi="宋体" w:cs="宋体"/>
          <w:bCs/>
          <w:caps/>
          <w:color w:val="auto"/>
          <w:highlight w:val="none"/>
        </w:rPr>
        <w:fldChar w:fldCharType="end"/>
      </w:r>
    </w:p>
    <w:p w14:paraId="6A1C2A25">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_Toc26452 </w:instrText>
      </w:r>
      <w:r>
        <w:rPr>
          <w:rFonts w:hint="eastAsia" w:ascii="宋体" w:hAnsi="宋体" w:cs="宋体"/>
          <w:bCs/>
          <w:caps/>
          <w:highlight w:val="none"/>
        </w:rPr>
        <w:fldChar w:fldCharType="separate"/>
      </w:r>
      <w:r>
        <w:rPr>
          <w:rFonts w:hint="eastAsia" w:ascii="宋体" w:hAnsi="宋体" w:cs="宋体"/>
        </w:rPr>
        <w:t xml:space="preserve">第五章 </w:t>
      </w:r>
      <w:r>
        <w:rPr>
          <w:rFonts w:hint="eastAsia" w:ascii="宋体" w:hAnsi="宋体" w:cs="宋体"/>
          <w:highlight w:val="none"/>
        </w:rPr>
        <w:t>采购清单</w:t>
      </w:r>
      <w:r>
        <w:tab/>
      </w:r>
      <w:r>
        <w:fldChar w:fldCharType="begin"/>
      </w:r>
      <w:r>
        <w:instrText xml:space="preserve"> PAGEREF _Toc26452 \h </w:instrText>
      </w:r>
      <w:r>
        <w:fldChar w:fldCharType="separate"/>
      </w:r>
      <w:r>
        <w:t>17</w:t>
      </w:r>
      <w:r>
        <w:fldChar w:fldCharType="end"/>
      </w:r>
      <w:r>
        <w:rPr>
          <w:rFonts w:hint="eastAsia" w:ascii="宋体" w:hAnsi="宋体" w:cs="宋体"/>
          <w:bCs/>
          <w:caps/>
          <w:color w:val="auto"/>
          <w:highlight w:val="none"/>
        </w:rPr>
        <w:fldChar w:fldCharType="end"/>
      </w:r>
    </w:p>
    <w:p w14:paraId="5597C9FD">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_Toc24148 </w:instrText>
      </w:r>
      <w:r>
        <w:rPr>
          <w:rFonts w:hint="eastAsia" w:ascii="宋体" w:hAnsi="宋体" w:cs="宋体"/>
          <w:bCs/>
          <w:caps/>
          <w:highlight w:val="none"/>
        </w:rPr>
        <w:fldChar w:fldCharType="separate"/>
      </w:r>
      <w:r>
        <w:rPr>
          <w:rFonts w:hint="eastAsia" w:ascii="宋体" w:hAnsi="宋体" w:cs="宋体"/>
        </w:rPr>
        <w:t xml:space="preserve">第六章 </w:t>
      </w:r>
      <w:r>
        <w:rPr>
          <w:rFonts w:hint="eastAsia" w:ascii="宋体" w:hAnsi="宋体" w:cs="宋体"/>
          <w:highlight w:val="none"/>
        </w:rPr>
        <w:t>技术要求</w:t>
      </w:r>
      <w:r>
        <w:tab/>
      </w:r>
      <w:r>
        <w:fldChar w:fldCharType="begin"/>
      </w:r>
      <w:r>
        <w:instrText xml:space="preserve"> PAGEREF _Toc24148 \h </w:instrText>
      </w:r>
      <w:r>
        <w:fldChar w:fldCharType="separate"/>
      </w:r>
      <w:r>
        <w:t>18</w:t>
      </w:r>
      <w:r>
        <w:fldChar w:fldCharType="end"/>
      </w:r>
      <w:r>
        <w:rPr>
          <w:rFonts w:hint="eastAsia" w:ascii="宋体" w:hAnsi="宋体" w:cs="宋体"/>
          <w:bCs/>
          <w:caps/>
          <w:color w:val="auto"/>
          <w:highlight w:val="none"/>
        </w:rPr>
        <w:fldChar w:fldCharType="end"/>
      </w:r>
    </w:p>
    <w:p w14:paraId="76E3EDE2">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_Toc31804 </w:instrText>
      </w:r>
      <w:r>
        <w:rPr>
          <w:rFonts w:hint="eastAsia" w:ascii="宋体" w:hAnsi="宋体" w:cs="宋体"/>
          <w:bCs/>
          <w:caps/>
          <w:highlight w:val="none"/>
        </w:rPr>
        <w:fldChar w:fldCharType="separate"/>
      </w:r>
      <w:r>
        <w:rPr>
          <w:rFonts w:hint="eastAsia" w:ascii="宋体" w:hAnsi="宋体" w:cs="宋体"/>
        </w:rPr>
        <w:t xml:space="preserve">第七章 </w:t>
      </w:r>
      <w:r>
        <w:rPr>
          <w:rFonts w:hint="eastAsia" w:ascii="宋体" w:hAnsi="宋体" w:cs="宋体"/>
          <w:highlight w:val="none"/>
          <w:lang w:val="en-US" w:eastAsia="zh-CN"/>
        </w:rPr>
        <w:t>合同范本</w:t>
      </w:r>
      <w:r>
        <w:tab/>
      </w:r>
      <w:r>
        <w:fldChar w:fldCharType="begin"/>
      </w:r>
      <w:r>
        <w:instrText xml:space="preserve"> PAGEREF _Toc31804 \h </w:instrText>
      </w:r>
      <w:r>
        <w:fldChar w:fldCharType="separate"/>
      </w:r>
      <w:r>
        <w:t>19</w:t>
      </w:r>
      <w:r>
        <w:fldChar w:fldCharType="end"/>
      </w:r>
      <w:r>
        <w:rPr>
          <w:rFonts w:hint="eastAsia" w:ascii="宋体" w:hAnsi="宋体" w:cs="宋体"/>
          <w:bCs/>
          <w:caps/>
          <w:color w:val="auto"/>
          <w:highlight w:val="none"/>
        </w:rPr>
        <w:fldChar w:fldCharType="end"/>
      </w:r>
    </w:p>
    <w:p w14:paraId="4B9869C1">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_Toc12151 </w:instrText>
      </w:r>
      <w:r>
        <w:rPr>
          <w:rFonts w:hint="eastAsia" w:ascii="宋体" w:hAnsi="宋体" w:cs="宋体"/>
          <w:bCs/>
          <w:caps/>
          <w:highlight w:val="none"/>
        </w:rPr>
        <w:fldChar w:fldCharType="separate"/>
      </w:r>
      <w:r>
        <w:rPr>
          <w:rFonts w:hint="eastAsia" w:ascii="宋体" w:hAnsi="宋体" w:cs="宋体"/>
        </w:rPr>
        <w:t xml:space="preserve">第八章 </w:t>
      </w:r>
      <w:r>
        <w:rPr>
          <w:rFonts w:hint="default" w:ascii="宋体" w:hAnsi="宋体" w:cs="宋体"/>
          <w:highlight w:val="none"/>
        </w:rPr>
        <w:t>竞争性比选响应文件格式</w:t>
      </w:r>
      <w:r>
        <w:tab/>
      </w:r>
      <w:r>
        <w:fldChar w:fldCharType="begin"/>
      </w:r>
      <w:r>
        <w:instrText xml:space="preserve"> PAGEREF _Toc12151 \h </w:instrText>
      </w:r>
      <w:r>
        <w:fldChar w:fldCharType="separate"/>
      </w:r>
      <w:r>
        <w:t>24</w:t>
      </w:r>
      <w:r>
        <w:fldChar w:fldCharType="end"/>
      </w:r>
      <w:r>
        <w:rPr>
          <w:rFonts w:hint="eastAsia" w:ascii="宋体" w:hAnsi="宋体" w:cs="宋体"/>
          <w:bCs/>
          <w:caps/>
          <w:color w:val="auto"/>
          <w:highlight w:val="none"/>
        </w:rPr>
        <w:fldChar w:fldCharType="end"/>
      </w:r>
    </w:p>
    <w:p w14:paraId="1F757045">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_Toc28127 </w:instrText>
      </w:r>
      <w:r>
        <w:rPr>
          <w:rFonts w:hint="eastAsia" w:ascii="宋体" w:hAnsi="宋体" w:cs="宋体"/>
          <w:bCs/>
          <w:caps/>
          <w:highlight w:val="none"/>
        </w:rPr>
        <w:fldChar w:fldCharType="separate"/>
      </w:r>
      <w:r>
        <w:rPr>
          <w:rFonts w:hint="eastAsia" w:ascii="宋体" w:hAnsi="宋体" w:eastAsia="宋体" w:cs="宋体"/>
        </w:rPr>
        <w:t xml:space="preserve">一、 </w:t>
      </w:r>
      <w:r>
        <w:rPr>
          <w:rFonts w:hint="eastAsia" w:ascii="宋体" w:hAnsi="宋体" w:eastAsia="宋体" w:cs="宋体"/>
          <w:highlight w:val="none"/>
          <w:lang w:eastAsia="zh-CN"/>
        </w:rPr>
        <w:t>竞争性比选</w:t>
      </w:r>
      <w:r>
        <w:rPr>
          <w:rFonts w:hint="eastAsia" w:ascii="宋体" w:hAnsi="宋体" w:eastAsia="宋体" w:cs="宋体"/>
          <w:highlight w:val="none"/>
        </w:rPr>
        <w:t>响应声明书</w:t>
      </w:r>
      <w:r>
        <w:tab/>
      </w:r>
      <w:r>
        <w:fldChar w:fldCharType="begin"/>
      </w:r>
      <w:r>
        <w:instrText xml:space="preserve"> PAGEREF _Toc28127 \h </w:instrText>
      </w:r>
      <w:r>
        <w:fldChar w:fldCharType="separate"/>
      </w:r>
      <w:r>
        <w:t>27</w:t>
      </w:r>
      <w:r>
        <w:fldChar w:fldCharType="end"/>
      </w:r>
      <w:r>
        <w:rPr>
          <w:rFonts w:hint="eastAsia" w:ascii="宋体" w:hAnsi="宋体" w:cs="宋体"/>
          <w:bCs/>
          <w:caps/>
          <w:color w:val="auto"/>
          <w:highlight w:val="none"/>
        </w:rPr>
        <w:fldChar w:fldCharType="end"/>
      </w:r>
    </w:p>
    <w:p w14:paraId="1E365903">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_Toc28048 </w:instrText>
      </w:r>
      <w:r>
        <w:rPr>
          <w:rFonts w:hint="eastAsia" w:ascii="宋体" w:hAnsi="宋体" w:cs="宋体"/>
          <w:bCs/>
          <w:caps/>
          <w:highlight w:val="none"/>
        </w:rPr>
        <w:fldChar w:fldCharType="separate"/>
      </w:r>
      <w:r>
        <w:rPr>
          <w:rFonts w:hint="eastAsia" w:ascii="宋体" w:hAnsi="宋体" w:eastAsia="宋体" w:cs="宋体"/>
        </w:rPr>
        <w:t xml:space="preserve">二、 </w:t>
      </w:r>
      <w:r>
        <w:rPr>
          <w:rFonts w:hint="eastAsia" w:ascii="宋体" w:hAnsi="宋体" w:eastAsia="宋体" w:cs="宋体"/>
          <w:highlight w:val="none"/>
        </w:rPr>
        <w:t>法定代表人身份证明或法定代表人授权委托书</w:t>
      </w:r>
      <w:r>
        <w:tab/>
      </w:r>
      <w:r>
        <w:fldChar w:fldCharType="begin"/>
      </w:r>
      <w:r>
        <w:instrText xml:space="preserve"> PAGEREF _Toc28048 \h </w:instrText>
      </w:r>
      <w:r>
        <w:fldChar w:fldCharType="separate"/>
      </w:r>
      <w:r>
        <w:t>28</w:t>
      </w:r>
      <w:r>
        <w:fldChar w:fldCharType="end"/>
      </w:r>
      <w:r>
        <w:rPr>
          <w:rFonts w:hint="eastAsia" w:ascii="宋体" w:hAnsi="宋体" w:cs="宋体"/>
          <w:bCs/>
          <w:caps/>
          <w:color w:val="auto"/>
          <w:highlight w:val="none"/>
        </w:rPr>
        <w:fldChar w:fldCharType="end"/>
      </w:r>
    </w:p>
    <w:p w14:paraId="24C8FBF3">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_Toc13357 </w:instrText>
      </w:r>
      <w:r>
        <w:rPr>
          <w:rFonts w:hint="eastAsia" w:ascii="宋体" w:hAnsi="宋体" w:cs="宋体"/>
          <w:bCs/>
          <w:caps/>
          <w:highlight w:val="none"/>
        </w:rPr>
        <w:fldChar w:fldCharType="separate"/>
      </w:r>
      <w:r>
        <w:rPr>
          <w:rFonts w:hint="eastAsia" w:ascii="宋体" w:hAnsi="宋体" w:eastAsia="宋体" w:cs="宋体"/>
        </w:rPr>
        <w:t xml:space="preserve">三、 </w:t>
      </w:r>
      <w:r>
        <w:rPr>
          <w:rFonts w:hint="eastAsia" w:ascii="宋体" w:hAnsi="宋体" w:eastAsia="宋体" w:cs="宋体"/>
          <w:highlight w:val="none"/>
        </w:rPr>
        <w:t>报价一览表</w:t>
      </w:r>
      <w:r>
        <w:tab/>
      </w:r>
      <w:r>
        <w:fldChar w:fldCharType="begin"/>
      </w:r>
      <w:r>
        <w:instrText xml:space="preserve"> PAGEREF _Toc13357 \h </w:instrText>
      </w:r>
      <w:r>
        <w:fldChar w:fldCharType="separate"/>
      </w:r>
      <w:r>
        <w:t>30</w:t>
      </w:r>
      <w:r>
        <w:fldChar w:fldCharType="end"/>
      </w:r>
      <w:r>
        <w:rPr>
          <w:rFonts w:hint="eastAsia" w:ascii="宋体" w:hAnsi="宋体" w:cs="宋体"/>
          <w:bCs/>
          <w:caps/>
          <w:color w:val="auto"/>
          <w:highlight w:val="none"/>
        </w:rPr>
        <w:fldChar w:fldCharType="end"/>
      </w:r>
    </w:p>
    <w:p w14:paraId="64843250">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_Toc27641 </w:instrText>
      </w:r>
      <w:r>
        <w:rPr>
          <w:rFonts w:hint="eastAsia" w:ascii="宋体" w:hAnsi="宋体" w:cs="宋体"/>
          <w:bCs/>
          <w:caps/>
          <w:highlight w:val="none"/>
        </w:rPr>
        <w:fldChar w:fldCharType="separate"/>
      </w:r>
      <w:r>
        <w:rPr>
          <w:rFonts w:hint="eastAsia" w:ascii="宋体" w:hAnsi="宋体" w:eastAsia="宋体" w:cs="宋体"/>
        </w:rPr>
        <w:t xml:space="preserve">四、 </w:t>
      </w:r>
      <w:r>
        <w:rPr>
          <w:rFonts w:hint="eastAsia" w:ascii="宋体" w:hAnsi="宋体" w:eastAsia="宋体" w:cs="宋体"/>
          <w:highlight w:val="none"/>
        </w:rPr>
        <w:t>审查资料</w:t>
      </w:r>
      <w:r>
        <w:tab/>
      </w:r>
      <w:r>
        <w:fldChar w:fldCharType="begin"/>
      </w:r>
      <w:r>
        <w:instrText xml:space="preserve"> PAGEREF _Toc27641 \h </w:instrText>
      </w:r>
      <w:r>
        <w:fldChar w:fldCharType="separate"/>
      </w:r>
      <w:r>
        <w:t>31</w:t>
      </w:r>
      <w:r>
        <w:fldChar w:fldCharType="end"/>
      </w:r>
      <w:r>
        <w:rPr>
          <w:rFonts w:hint="eastAsia" w:ascii="宋体" w:hAnsi="宋体" w:cs="宋体"/>
          <w:bCs/>
          <w:caps/>
          <w:color w:val="auto"/>
          <w:highlight w:val="none"/>
        </w:rPr>
        <w:fldChar w:fldCharType="end"/>
      </w:r>
    </w:p>
    <w:p w14:paraId="631E72CD">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_Toc19360 </w:instrText>
      </w:r>
      <w:r>
        <w:rPr>
          <w:rFonts w:hint="eastAsia" w:ascii="宋体" w:hAnsi="宋体" w:cs="宋体"/>
          <w:bCs/>
          <w:caps/>
          <w:highlight w:val="none"/>
        </w:rPr>
        <w:fldChar w:fldCharType="separate"/>
      </w:r>
      <w:r>
        <w:rPr>
          <w:rFonts w:hint="eastAsia" w:ascii="宋体" w:hAnsi="宋体" w:eastAsia="宋体" w:cs="宋体"/>
        </w:rPr>
        <w:t xml:space="preserve">五、 </w:t>
      </w:r>
      <w:r>
        <w:rPr>
          <w:rFonts w:hint="eastAsia" w:ascii="宋体" w:hAnsi="宋体" w:eastAsia="宋体" w:cs="宋体"/>
          <w:highlight w:val="none"/>
        </w:rPr>
        <w:t>报价人承诺</w:t>
      </w:r>
      <w:r>
        <w:tab/>
      </w:r>
      <w:r>
        <w:fldChar w:fldCharType="begin"/>
      </w:r>
      <w:r>
        <w:instrText xml:space="preserve"> PAGEREF _Toc19360 \h </w:instrText>
      </w:r>
      <w:r>
        <w:fldChar w:fldCharType="separate"/>
      </w:r>
      <w:r>
        <w:t>36</w:t>
      </w:r>
      <w:r>
        <w:fldChar w:fldCharType="end"/>
      </w:r>
      <w:r>
        <w:rPr>
          <w:rFonts w:hint="eastAsia" w:ascii="宋体" w:hAnsi="宋体" w:cs="宋体"/>
          <w:bCs/>
          <w:caps/>
          <w:color w:val="auto"/>
          <w:highlight w:val="none"/>
        </w:rPr>
        <w:fldChar w:fldCharType="end"/>
      </w:r>
    </w:p>
    <w:p w14:paraId="7EF2E34B">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_Toc22969 </w:instrText>
      </w:r>
      <w:r>
        <w:rPr>
          <w:rFonts w:hint="eastAsia" w:ascii="宋体" w:hAnsi="宋体" w:cs="宋体"/>
          <w:bCs/>
          <w:caps/>
          <w:highlight w:val="none"/>
        </w:rPr>
        <w:fldChar w:fldCharType="separate"/>
      </w:r>
      <w:r>
        <w:rPr>
          <w:rFonts w:hint="eastAsia" w:ascii="宋体" w:hAnsi="宋体" w:eastAsia="宋体" w:cs="宋体"/>
        </w:rPr>
        <w:t xml:space="preserve">六、 </w:t>
      </w:r>
      <w:r>
        <w:rPr>
          <w:rFonts w:hint="eastAsia" w:ascii="宋体" w:hAnsi="宋体" w:eastAsia="宋体" w:cs="宋体"/>
          <w:highlight w:val="none"/>
        </w:rPr>
        <w:t>报价人提供的其他资料</w:t>
      </w:r>
      <w:r>
        <w:tab/>
      </w:r>
      <w:r>
        <w:fldChar w:fldCharType="begin"/>
      </w:r>
      <w:r>
        <w:instrText xml:space="preserve"> PAGEREF _Toc22969 \h </w:instrText>
      </w:r>
      <w:r>
        <w:fldChar w:fldCharType="separate"/>
      </w:r>
      <w:r>
        <w:t>37</w:t>
      </w:r>
      <w:r>
        <w:fldChar w:fldCharType="end"/>
      </w:r>
      <w:r>
        <w:rPr>
          <w:rFonts w:hint="eastAsia" w:ascii="宋体" w:hAnsi="宋体" w:cs="宋体"/>
          <w:bCs/>
          <w:caps/>
          <w:color w:val="auto"/>
          <w:highlight w:val="none"/>
        </w:rPr>
        <w:fldChar w:fldCharType="end"/>
      </w:r>
    </w:p>
    <w:p w14:paraId="40944397">
      <w:pPr>
        <w:pStyle w:val="35"/>
        <w:tabs>
          <w:tab w:val="right" w:leader="dot" w:pos="9628"/>
        </w:tabs>
        <w:ind w:left="0"/>
        <w:rPr>
          <w:rFonts w:ascii="宋体" w:hAnsi="宋体" w:cs="宋体"/>
          <w:b/>
          <w:bCs/>
          <w:caps/>
          <w:color w:val="auto"/>
          <w:highlight w:val="none"/>
        </w:rPr>
        <w:sectPr>
          <w:footerReference r:id="rId7" w:type="default"/>
          <w:pgSz w:w="11906" w:h="16838"/>
          <w:pgMar w:top="1418" w:right="1134" w:bottom="1418" w:left="1134" w:header="851" w:footer="992" w:gutter="0"/>
          <w:pgNumType w:fmt="decimal" w:start="1"/>
          <w:cols w:space="720" w:num="1"/>
          <w:docGrid w:type="lines" w:linePitch="312" w:charSpace="0"/>
        </w:sectPr>
      </w:pPr>
      <w:r>
        <w:rPr>
          <w:rFonts w:hint="eastAsia" w:ascii="宋体" w:hAnsi="宋体" w:cs="宋体"/>
          <w:bCs/>
          <w:caps/>
          <w:color w:val="auto"/>
          <w:highlight w:val="none"/>
        </w:rPr>
        <w:fldChar w:fldCharType="end"/>
      </w:r>
    </w:p>
    <w:p w14:paraId="1F5921CB">
      <w:pPr>
        <w:pStyle w:val="35"/>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0" w:name="_Toc5708"/>
      <w:r>
        <w:rPr>
          <w:rFonts w:hint="eastAsia" w:ascii="宋体" w:hAnsi="宋体" w:eastAsia="宋体" w:cs="宋体"/>
          <w:b/>
          <w:bCs/>
          <w:smallCaps w:val="0"/>
          <w:color w:val="auto"/>
          <w:kern w:val="44"/>
          <w:sz w:val="44"/>
          <w:szCs w:val="44"/>
          <w:highlight w:val="none"/>
          <w:lang w:val="en-US" w:eastAsia="zh-CN" w:bidi="ar-SA"/>
        </w:rPr>
        <w:t>第一章 比选公告</w:t>
      </w:r>
      <w:bookmarkEnd w:id="0"/>
    </w:p>
    <w:p w14:paraId="676B0A4A">
      <w:pPr>
        <w:spacing w:line="440" w:lineRule="exact"/>
        <w:jc w:val="center"/>
        <w:rPr>
          <w:rFonts w:ascii="宋体" w:hAnsi="宋体" w:cs="宋体"/>
          <w:b/>
          <w:color w:val="auto"/>
          <w:sz w:val="28"/>
          <w:szCs w:val="28"/>
          <w:highlight w:val="none"/>
        </w:rPr>
      </w:pPr>
    </w:p>
    <w:p w14:paraId="0BCA67A9">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643" w:firstLineChars="200"/>
        <w:textAlignment w:val="auto"/>
        <w:rPr>
          <w:rFonts w:ascii="宋体" w:hAnsi="宋体" w:eastAsia="宋体" w:cs="宋体"/>
          <w:color w:val="auto"/>
          <w:highlight w:val="none"/>
        </w:rPr>
      </w:pPr>
      <w:bookmarkStart w:id="1" w:name="_Toc32767"/>
      <w:r>
        <w:rPr>
          <w:rFonts w:hint="eastAsia" w:ascii="宋体" w:hAnsi="宋体" w:eastAsia="宋体" w:cs="宋体"/>
          <w:color w:val="auto"/>
          <w:highlight w:val="none"/>
        </w:rPr>
        <w:t>1. 比选条件</w:t>
      </w:r>
      <w:bookmarkEnd w:id="1"/>
    </w:p>
    <w:p w14:paraId="09CE4BB6">
      <w:pPr>
        <w:pageBreakBefore w:val="0"/>
        <w:widowControl w:val="0"/>
        <w:kinsoku/>
        <w:wordWrap/>
        <w:overflowPunct/>
        <w:topLinePunct w:val="0"/>
        <w:autoSpaceDE/>
        <w:autoSpaceDN/>
        <w:bidi w:val="0"/>
        <w:snapToGrid/>
        <w:spacing w:line="400" w:lineRule="exact"/>
        <w:ind w:left="0" w:leftChars="0"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本竞争性比选项目</w:t>
      </w:r>
      <w:r>
        <w:rPr>
          <w:rFonts w:hint="eastAsia" w:ascii="宋体" w:hAnsi="宋体" w:cs="宋体"/>
          <w:i w:val="0"/>
          <w:iCs w:val="0"/>
          <w:color w:val="auto"/>
          <w:szCs w:val="21"/>
          <w:highlight w:val="none"/>
          <w:u w:val="single"/>
          <w:lang w:eastAsia="zh-CN"/>
        </w:rPr>
        <w:t>东北及东南安全韧性提升项目生产用车租赁服务采购（第二次）</w:t>
      </w:r>
      <w:r>
        <w:rPr>
          <w:rFonts w:hint="eastAsia" w:ascii="宋体" w:hAnsi="宋体" w:cs="宋体"/>
          <w:color w:val="auto"/>
          <w:szCs w:val="21"/>
          <w:highlight w:val="none"/>
        </w:rPr>
        <w:t>，采购人为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重庆首讯科技股份有限公司数智系统运维分公司</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，该项目已具备比选条件，现对该项目进行竞争性比选。</w:t>
      </w:r>
    </w:p>
    <w:p w14:paraId="118D5AF1">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643" w:firstLineChars="200"/>
        <w:textAlignment w:val="auto"/>
        <w:rPr>
          <w:rFonts w:ascii="宋体" w:hAnsi="宋体" w:eastAsia="宋体" w:cs="宋体"/>
          <w:color w:val="auto"/>
          <w:highlight w:val="none"/>
        </w:rPr>
      </w:pPr>
      <w:bookmarkStart w:id="2" w:name="_Toc13364"/>
      <w:r>
        <w:rPr>
          <w:rFonts w:hint="eastAsia" w:ascii="宋体" w:hAnsi="宋体" w:eastAsia="宋体" w:cs="宋体"/>
          <w:color w:val="auto"/>
          <w:highlight w:val="none"/>
        </w:rPr>
        <w:t>2. 项目概况与比选范围</w:t>
      </w:r>
      <w:bookmarkEnd w:id="2"/>
    </w:p>
    <w:p w14:paraId="2BBE734D">
      <w:pPr>
        <w:keepNext w:val="0"/>
        <w:keepLines w:val="0"/>
        <w:pageBreakBefore w:val="0"/>
        <w:kinsoku/>
        <w:wordWrap w:val="0"/>
        <w:overflowPunct/>
        <w:topLinePunct w:val="0"/>
        <w:bidi w:val="0"/>
        <w:snapToGrid w:val="0"/>
        <w:spacing w:line="420" w:lineRule="exact"/>
        <w:ind w:firstLine="413" w:firstLineChars="197"/>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2.1项目</w:t>
      </w:r>
      <w:r>
        <w:rPr>
          <w:rFonts w:hint="eastAsia" w:ascii="宋体" w:hAnsi="宋体" w:cs="宋体"/>
          <w:color w:val="auto"/>
          <w:szCs w:val="21"/>
          <w:highlight w:val="none"/>
          <w:lang w:val="en-US" w:eastAsia="zh-CN"/>
        </w:rPr>
        <w:t>概况</w:t>
      </w:r>
      <w:r>
        <w:rPr>
          <w:rFonts w:hint="eastAsia" w:ascii="宋体" w:hAnsi="宋体" w:eastAsia="宋体" w:cs="宋体"/>
          <w:color w:val="auto"/>
          <w:szCs w:val="21"/>
          <w:highlight w:val="none"/>
        </w:rPr>
        <w:t>：</w:t>
      </w:r>
      <w:r>
        <w:rPr>
          <w:rFonts w:hint="eastAsia" w:ascii="宋体" w:hAnsi="宋体" w:cs="宋体"/>
          <w:i w:val="0"/>
          <w:iCs w:val="0"/>
          <w:color w:val="auto"/>
          <w:szCs w:val="21"/>
          <w:highlight w:val="none"/>
          <w:u w:val="single"/>
          <w:lang w:eastAsia="zh-CN"/>
        </w:rPr>
        <w:t>东北及东南安全韧性提升项目生产用车租赁服务采购（第二次）。</w:t>
      </w:r>
    </w:p>
    <w:p w14:paraId="3542692F">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eastAsia="宋体" w:cs="宋体"/>
          <w:color w:val="auto"/>
          <w:szCs w:val="21"/>
          <w:highlight w:val="none"/>
        </w:rPr>
        <w:t>2.2</w:t>
      </w: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内容：</w:t>
      </w:r>
      <w:r>
        <w:rPr>
          <w:rFonts w:hint="eastAsia" w:ascii="宋体" w:hAnsi="宋体"/>
          <w:snapToGrid w:val="0"/>
          <w:color w:val="auto"/>
          <w:kern w:val="0"/>
          <w:szCs w:val="21"/>
          <w:highlight w:val="none"/>
          <w:u w:val="single"/>
          <w:lang w:val="en-US" w:eastAsia="zh-CN"/>
        </w:rPr>
        <w:t>包括完成</w:t>
      </w:r>
      <w:r>
        <w:rPr>
          <w:rFonts w:hint="eastAsia" w:ascii="宋体" w:hAnsi="宋体" w:cs="宋体"/>
          <w:i w:val="0"/>
          <w:iCs w:val="0"/>
          <w:color w:val="auto"/>
          <w:szCs w:val="21"/>
          <w:highlight w:val="none"/>
          <w:u w:val="single"/>
          <w:lang w:val="en-US" w:eastAsia="zh-CN"/>
        </w:rPr>
        <w:t>汽车租赁等</w:t>
      </w:r>
      <w:r>
        <w:rPr>
          <w:rFonts w:hint="eastAsia" w:ascii="宋体" w:hAnsi="宋体"/>
          <w:snapToGrid w:val="0"/>
          <w:color w:val="auto"/>
          <w:kern w:val="0"/>
          <w:szCs w:val="21"/>
          <w:highlight w:val="none"/>
          <w:u w:val="single"/>
          <w:lang w:val="en-US" w:eastAsia="zh-CN"/>
        </w:rPr>
        <w:t>的</w:t>
      </w:r>
      <w:r>
        <w:rPr>
          <w:rFonts w:hint="eastAsia" w:ascii="宋体" w:hAnsi="宋体" w:eastAsia="宋体" w:cs="宋体"/>
          <w:color w:val="auto"/>
          <w:kern w:val="0"/>
          <w:szCs w:val="21"/>
          <w:highlight w:val="none"/>
          <w:u w:val="single"/>
        </w:rPr>
        <w:t>供货</w:t>
      </w:r>
      <w:r>
        <w:rPr>
          <w:rFonts w:hint="eastAsia" w:ascii="宋体" w:hAnsi="宋体" w:eastAsia="宋体" w:cs="宋体"/>
          <w:color w:val="auto"/>
          <w:kern w:val="0"/>
          <w:szCs w:val="21"/>
          <w:highlight w:val="none"/>
          <w:u w:val="single"/>
          <w:lang w:eastAsia="zh-CN"/>
        </w:rPr>
        <w:t>（具体内容详见“第六章 技术要求”）</w:t>
      </w:r>
      <w:r>
        <w:rPr>
          <w:rFonts w:hint="eastAsia" w:ascii="宋体" w:hAnsi="宋体" w:eastAsia="宋体" w:cs="宋体"/>
          <w:color w:val="auto"/>
          <w:szCs w:val="21"/>
          <w:highlight w:val="none"/>
        </w:rPr>
        <w:t>。</w:t>
      </w:r>
    </w:p>
    <w:p w14:paraId="7BB025A5">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2.3</w:t>
      </w:r>
      <w:r>
        <w:rPr>
          <w:rFonts w:hint="eastAsia" w:ascii="宋体" w:hAnsi="宋体" w:cs="宋体"/>
          <w:color w:val="auto"/>
          <w:highlight w:val="none"/>
          <w:lang w:val="en-US" w:eastAsia="zh-CN"/>
        </w:rPr>
        <w:t>采购规模</w:t>
      </w:r>
      <w:r>
        <w:rPr>
          <w:rFonts w:hint="eastAsia" w:ascii="宋体" w:hAnsi="宋体" w:eastAsia="宋体" w:cs="宋体"/>
          <w:color w:val="auto"/>
          <w:szCs w:val="21"/>
          <w:highlight w:val="none"/>
        </w:rPr>
        <w:t>约</w:t>
      </w:r>
      <w:r>
        <w:rPr>
          <w:rFonts w:hint="eastAsia" w:ascii="宋体" w:hAnsi="宋体" w:cs="宋体"/>
          <w:color w:val="auto"/>
          <w:szCs w:val="21"/>
          <w:highlight w:val="none"/>
          <w:lang w:val="en-US" w:eastAsia="zh-CN"/>
        </w:rPr>
        <w:t>10.80万元。</w:t>
      </w:r>
    </w:p>
    <w:p w14:paraId="5ACE1427">
      <w:pPr>
        <w:keepNext w:val="0"/>
        <w:keepLines w:val="0"/>
        <w:pageBreakBefore w:val="0"/>
        <w:kinsoku/>
        <w:wordWrap w:val="0"/>
        <w:overflowPunct/>
        <w:topLinePunct w:val="0"/>
        <w:bidi w:val="0"/>
        <w:snapToGrid w:val="0"/>
        <w:spacing w:line="420" w:lineRule="exact"/>
        <w:ind w:firstLine="413" w:firstLineChars="197"/>
        <w:textAlignment w:val="auto"/>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rPr>
        <w:t>2.4</w:t>
      </w:r>
      <w:r>
        <w:rPr>
          <w:rFonts w:hint="eastAsia" w:ascii="宋体" w:hAnsi="宋体" w:eastAsia="宋体" w:cs="宋体"/>
          <w:color w:val="auto"/>
          <w:szCs w:val="21"/>
          <w:highlight w:val="none"/>
          <w:lang w:val="en-US" w:eastAsia="zh-CN"/>
        </w:rPr>
        <w:t>交货地点：</w:t>
      </w:r>
      <w:r>
        <w:rPr>
          <w:rFonts w:hint="eastAsia" w:ascii="宋体" w:hAnsi="宋体" w:cs="宋体"/>
          <w:color w:val="auto"/>
          <w:szCs w:val="21"/>
          <w:highlight w:val="none"/>
          <w:u w:val="single"/>
          <w:lang w:val="en-US" w:eastAsia="zh-CN"/>
        </w:rPr>
        <w:t>重庆高速公路管辖路段</w:t>
      </w:r>
      <w:r>
        <w:rPr>
          <w:rFonts w:hint="eastAsia"/>
          <w:color w:val="auto"/>
          <w:highlight w:val="none"/>
          <w:lang w:eastAsia="zh-CN"/>
        </w:rPr>
        <w:t>。</w:t>
      </w:r>
    </w:p>
    <w:p w14:paraId="70E3C557">
      <w:pPr>
        <w:keepNext w:val="0"/>
        <w:keepLines w:val="0"/>
        <w:pageBreakBefore w:val="0"/>
        <w:kinsoku/>
        <w:wordWrap w:val="0"/>
        <w:overflowPunct/>
        <w:topLinePunct w:val="0"/>
        <w:bidi w:val="0"/>
        <w:snapToGrid w:val="0"/>
        <w:spacing w:line="420" w:lineRule="exact"/>
        <w:ind w:firstLine="413" w:firstLineChars="197"/>
        <w:textAlignment w:val="auto"/>
        <w:rPr>
          <w:rFonts w:hint="eastAsia" w:ascii="宋体" w:hAnsi="宋体" w:eastAsia="宋体" w:cs="宋体"/>
          <w:b/>
          <w:bCs/>
          <w:i/>
          <w:iCs/>
          <w:color w:val="auto"/>
          <w:szCs w:val="21"/>
          <w:highlight w:val="none"/>
          <w:lang w:eastAsia="zh-CN"/>
        </w:rPr>
      </w:pPr>
      <w:r>
        <w:rPr>
          <w:rFonts w:hint="eastAsia" w:ascii="宋体" w:hAnsi="宋体" w:eastAsia="宋体" w:cs="宋体"/>
          <w:color w:val="auto"/>
          <w:szCs w:val="21"/>
          <w:highlight w:val="none"/>
          <w:lang w:val="en-US" w:eastAsia="zh-CN"/>
        </w:rPr>
        <w:t>2.5</w:t>
      </w:r>
      <w:r>
        <w:rPr>
          <w:rFonts w:hint="eastAsia" w:ascii="宋体" w:hAnsi="宋体" w:eastAsia="宋体" w:cs="宋体"/>
          <w:color w:val="auto"/>
          <w:szCs w:val="21"/>
          <w:highlight w:val="none"/>
        </w:rPr>
        <w:t>交货时间：</w:t>
      </w:r>
      <w:r>
        <w:rPr>
          <w:rFonts w:hint="eastAsia" w:ascii="宋体" w:hAnsi="宋体" w:cs="宋体"/>
          <w:color w:val="auto"/>
          <w:szCs w:val="21"/>
          <w:highlight w:val="none"/>
          <w:lang w:val="en-US" w:eastAsia="zh-CN"/>
        </w:rPr>
        <w:t>3天</w:t>
      </w:r>
      <w:r>
        <w:rPr>
          <w:rFonts w:hint="eastAsia" w:ascii="宋体" w:hAnsi="宋体" w:eastAsia="宋体" w:cs="宋体"/>
          <w:color w:val="auto"/>
          <w:szCs w:val="21"/>
          <w:highlight w:val="none"/>
          <w:u w:val="single"/>
        </w:rPr>
        <w:t>。</w:t>
      </w:r>
    </w:p>
    <w:p w14:paraId="12FEC4D1">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b w:val="0"/>
          <w:bCs w:val="0"/>
          <w:color w:val="auto"/>
          <w:kern w:val="2"/>
          <w:sz w:val="21"/>
          <w:szCs w:val="24"/>
          <w:highlight w:val="none"/>
          <w:u w:val="single"/>
          <w:lang w:val="en-US" w:eastAsia="zh-CN" w:bidi="ar-SA"/>
        </w:rPr>
        <w:t xml:space="preserve"> 1</w:t>
      </w:r>
      <w:r>
        <w:rPr>
          <w:rFonts w:hint="eastAsia" w:ascii="宋体" w:hAnsi="宋体" w:cs="宋体"/>
          <w:b w:val="0"/>
          <w:bCs w:val="0"/>
          <w:color w:val="auto"/>
          <w:kern w:val="2"/>
          <w:sz w:val="21"/>
          <w:szCs w:val="24"/>
          <w:highlight w:val="none"/>
          <w:lang w:val="en-US" w:eastAsia="zh-CN" w:bidi="ar-SA"/>
        </w:rPr>
        <w:t>个标段。</w:t>
      </w:r>
    </w:p>
    <w:p w14:paraId="76F14AA6">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643" w:firstLineChars="200"/>
        <w:textAlignment w:val="auto"/>
        <w:rPr>
          <w:rFonts w:ascii="宋体" w:hAnsi="宋体" w:eastAsia="宋体" w:cs="宋体"/>
          <w:color w:val="auto"/>
          <w:highlight w:val="none"/>
        </w:rPr>
      </w:pPr>
      <w:bookmarkStart w:id="3" w:name="_Toc30358"/>
      <w:r>
        <w:rPr>
          <w:rFonts w:hint="eastAsia" w:ascii="宋体" w:hAnsi="宋体" w:eastAsia="宋体" w:cs="宋体"/>
          <w:color w:val="auto"/>
          <w:highlight w:val="none"/>
        </w:rPr>
        <w:t>3. 报价人资格要求</w:t>
      </w:r>
      <w:bookmarkEnd w:id="3"/>
    </w:p>
    <w:p w14:paraId="309C8385">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3.1 资质要求：</w:t>
      </w:r>
    </w:p>
    <w:p w14:paraId="076117E0">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（1）具有独立法人资格；</w:t>
      </w:r>
    </w:p>
    <w:p w14:paraId="3D0334CC">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（2）有效的营业执照；</w:t>
      </w:r>
    </w:p>
    <w:p w14:paraId="13CC7291">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 业绩要求：</w:t>
      </w:r>
      <w:r>
        <w:rPr>
          <w:rFonts w:hint="eastAsia" w:ascii="宋体" w:hAnsi="宋体" w:cs="宋体"/>
          <w:color w:val="auto"/>
          <w:sz w:val="21"/>
          <w:szCs w:val="21"/>
          <w:highlight w:val="none"/>
          <w:lang w:val="en-US" w:eastAsia="zh-CN"/>
        </w:rPr>
        <w:t>2023年1月1日至投标截止日（以合同签订时间为准），投标人至少具有一个单项合同金额不低于5万元汽车租赁业绩，提供合同扫描件，该合同的交车单扫描件及等额的发票扫描件。</w:t>
      </w:r>
    </w:p>
    <w:p w14:paraId="3954661F">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信誉要求：</w:t>
      </w:r>
      <w:bookmarkStart w:id="4" w:name="信誉要求"/>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bookmarkEnd w:id="4"/>
      <w:r>
        <w:rPr>
          <w:rFonts w:hint="eastAsia" w:ascii="宋体" w:hAnsi="宋体" w:eastAsia="宋体" w:cs="宋体"/>
          <w:color w:val="auto"/>
          <w:sz w:val="21"/>
          <w:szCs w:val="21"/>
          <w:highlight w:val="none"/>
          <w:lang w:val="en-US" w:eastAsia="zh-CN"/>
        </w:rPr>
        <w:t>。</w:t>
      </w:r>
    </w:p>
    <w:p w14:paraId="319B45CF">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 xml:space="preserve"> 本次比选不接受联合体报价。</w:t>
      </w:r>
    </w:p>
    <w:p w14:paraId="4A0ABFBB">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14:paraId="543DE526">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643" w:firstLineChars="200"/>
        <w:textAlignment w:val="auto"/>
        <w:rPr>
          <w:rFonts w:hint="default" w:ascii="宋体" w:hAnsi="宋体" w:eastAsia="宋体" w:cs="宋体"/>
          <w:color w:val="auto"/>
          <w:highlight w:val="none"/>
          <w:lang w:val="en-US" w:eastAsia="zh-CN"/>
        </w:rPr>
      </w:pPr>
      <w:bookmarkStart w:id="5" w:name="_Toc14753"/>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评标办法</w:t>
      </w:r>
      <w:bookmarkEnd w:id="5"/>
    </w:p>
    <w:p w14:paraId="4F98EE0A">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highlight w:val="none"/>
          <w:lang w:val="en-US" w:eastAsia="zh-CN"/>
        </w:rPr>
      </w:pPr>
      <w:r>
        <w:rPr>
          <w:rFonts w:hint="eastAsia" w:ascii="宋体" w:hAnsi="宋体" w:eastAsia="宋体" w:cs="宋体"/>
          <w:color w:val="auto"/>
          <w:sz w:val="21"/>
          <w:szCs w:val="21"/>
          <w:highlight w:val="none"/>
          <w:lang w:val="en-US" w:eastAsia="zh-CN"/>
        </w:rPr>
        <w:t>本项目采用</w:t>
      </w:r>
      <w:r>
        <w:rPr>
          <w:rFonts w:hint="eastAsia" w:ascii="宋体" w:hAnsi="宋体" w:cs="宋体"/>
          <w:color w:val="auto"/>
          <w:sz w:val="21"/>
          <w:szCs w:val="21"/>
          <w:highlight w:val="none"/>
          <w:lang w:val="en-US" w:eastAsia="zh-CN"/>
        </w:rPr>
        <w:t>经评审的最低投标价法</w:t>
      </w:r>
      <w:r>
        <w:rPr>
          <w:rFonts w:hint="eastAsia" w:ascii="宋体" w:hAnsi="宋体" w:eastAsia="宋体" w:cs="宋体"/>
          <w:color w:val="auto"/>
          <w:sz w:val="21"/>
          <w:szCs w:val="21"/>
          <w:highlight w:val="none"/>
          <w:lang w:val="en-US" w:eastAsia="zh-CN"/>
        </w:rPr>
        <w:t>。</w:t>
      </w:r>
    </w:p>
    <w:p w14:paraId="65B6C925">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643" w:firstLineChars="200"/>
        <w:textAlignment w:val="auto"/>
        <w:rPr>
          <w:rFonts w:ascii="宋体" w:hAnsi="宋体" w:eastAsia="宋体" w:cs="宋体"/>
          <w:color w:val="auto"/>
          <w:highlight w:val="none"/>
        </w:rPr>
      </w:pPr>
      <w:bookmarkStart w:id="6" w:name="_Toc7265"/>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 比选文件的获取</w:t>
      </w:r>
      <w:bookmarkEnd w:id="6"/>
    </w:p>
    <w:p w14:paraId="328DD21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000000" w:themeColor="text1"/>
          <w:szCs w:val="21"/>
          <w:highlight w:val="none"/>
          <w14:textFill>
            <w14:solidFill>
              <w14:schemeClr w14:val="tx1"/>
            </w14:solidFill>
          </w14:textFill>
        </w:rPr>
      </w:pPr>
      <w:bookmarkStart w:id="7" w:name="_Toc11329217"/>
      <w:bookmarkStart w:id="8" w:name="_Toc507319895"/>
      <w:bookmarkStart w:id="9" w:name="_Toc179632532"/>
      <w:bookmarkStart w:id="10" w:name="_Toc152045516"/>
      <w:bookmarkStart w:id="11" w:name="_Toc246996162"/>
      <w:bookmarkStart w:id="12" w:name="_Toc144974484"/>
      <w:bookmarkStart w:id="13" w:name="_Toc246996905"/>
      <w:bookmarkStart w:id="14" w:name="_Toc247085676"/>
      <w:bookmarkStart w:id="15" w:name="_Toc152042292"/>
      <w:bookmarkStart w:id="16" w:name="_Toc16686"/>
      <w:bookmarkStart w:id="17" w:name="_Toc1237"/>
      <w:bookmarkStart w:id="18" w:name="_Toc9131"/>
      <w:bookmarkStart w:id="19" w:name="_Toc18060"/>
      <w:bookmarkStart w:id="20" w:name="_Toc31493"/>
      <w:r>
        <w:rPr>
          <w:rFonts w:hint="eastAsia" w:ascii="宋体" w:hAnsi="宋体"/>
          <w:color w:val="000000" w:themeColor="text1"/>
          <w:szCs w:val="21"/>
          <w:highlight w:val="none"/>
          <w14:textFill>
            <w14:solidFill>
              <w14:schemeClr w14:val="tx1"/>
            </w14:solidFill>
          </w14:textFill>
        </w:rPr>
        <w:t>凡愿意参加的潜在报价人，在 202</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 xml:space="preserve"> 年</w:t>
      </w:r>
      <w:r>
        <w:rPr>
          <w:rFonts w:hint="eastAsia" w:ascii="宋体" w:hAnsi="宋体"/>
          <w:color w:val="000000" w:themeColor="text1"/>
          <w:szCs w:val="21"/>
          <w:highlight w:val="none"/>
          <w:lang w:val="en-US" w:eastAsia="zh-CN"/>
          <w14:textFill>
            <w14:solidFill>
              <w14:schemeClr w14:val="tx1"/>
            </w14:solidFill>
          </w14:textFill>
        </w:rPr>
        <w:t xml:space="preserve"> 5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lang w:val="en-US" w:eastAsia="zh-CN"/>
          <w14:textFill>
            <w14:solidFill>
              <w14:schemeClr w14:val="tx1"/>
            </w14:solidFill>
          </w14:textFill>
        </w:rPr>
        <w:t>13</w:t>
      </w:r>
      <w:r>
        <w:rPr>
          <w:rFonts w:hint="eastAsia" w:ascii="宋体" w:hAnsi="宋体"/>
          <w:color w:val="000000" w:themeColor="text1"/>
          <w:szCs w:val="21"/>
          <w:highlight w:val="none"/>
          <w14:textFill>
            <w14:solidFill>
              <w14:schemeClr w14:val="tx1"/>
            </w14:solidFill>
          </w14:textFill>
        </w:rPr>
        <w:t>日上午 10 时 00 分前在重庆高速集团官网平台上获取比选文件</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清单、澄清、修改、补充通知、最高限价通知等全部内容。各报价人应随时关注网上发布的竞争性比选文件答疑、补遗、澄清等文件内容，不管报价人是否下载，均视为已知晓竞争性比选文件的全部内容和有关事宜。</w:t>
      </w:r>
    </w:p>
    <w:p w14:paraId="4E6A28A8">
      <w:pPr>
        <w:pStyle w:val="3"/>
        <w:shd w:val="clear"/>
        <w:spacing w:before="120" w:after="0" w:line="40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6</w:t>
      </w:r>
      <w:r>
        <w:rPr>
          <w:rFonts w:hint="eastAsia" w:ascii="宋体" w:hAnsi="宋体" w:eastAsia="宋体" w:cs="宋体"/>
          <w:color w:val="000000" w:themeColor="text1"/>
          <w:highlight w:val="none"/>
          <w14:textFill>
            <w14:solidFill>
              <w14:schemeClr w14:val="tx1"/>
            </w14:solidFill>
          </w14:textFill>
        </w:rPr>
        <w:t>. 竞争性比选响应文件的递交</w:t>
      </w:r>
      <w:bookmarkEnd w:id="7"/>
      <w:bookmarkEnd w:id="8"/>
      <w:bookmarkEnd w:id="9"/>
      <w:bookmarkEnd w:id="10"/>
      <w:bookmarkEnd w:id="11"/>
      <w:bookmarkEnd w:id="12"/>
      <w:bookmarkEnd w:id="13"/>
      <w:bookmarkEnd w:id="14"/>
      <w:bookmarkEnd w:id="15"/>
      <w:r>
        <w:rPr>
          <w:rFonts w:hint="eastAsia" w:ascii="宋体" w:hAnsi="宋体" w:eastAsia="宋体" w:cs="宋体"/>
          <w:color w:val="000000" w:themeColor="text1"/>
          <w:highlight w:val="none"/>
          <w14:textFill>
            <w14:solidFill>
              <w14:schemeClr w14:val="tx1"/>
            </w14:solidFill>
          </w14:textFill>
        </w:rPr>
        <w:t>及相关事宜</w:t>
      </w:r>
      <w:bookmarkEnd w:id="16"/>
      <w:bookmarkEnd w:id="17"/>
      <w:bookmarkEnd w:id="18"/>
      <w:bookmarkEnd w:id="19"/>
      <w:bookmarkEnd w:id="20"/>
    </w:p>
    <w:p w14:paraId="2FFCD343">
      <w:pPr>
        <w:tabs>
          <w:tab w:val="left" w:pos="360"/>
        </w:tabs>
        <w:spacing w:line="400" w:lineRule="exact"/>
        <w:ind w:firstLine="420" w:firstLineChars="200"/>
        <w:rPr>
          <w:rFonts w:ascii="宋体" w:hAnsi="宋体" w:cs="宋体"/>
          <w:szCs w:val="21"/>
          <w:highlight w:val="none"/>
        </w:rPr>
      </w:pPr>
      <w:bookmarkStart w:id="21" w:name="_Toc246996907"/>
      <w:bookmarkStart w:id="22" w:name="_Toc28994"/>
      <w:bookmarkStart w:id="23" w:name="_Toc247085678"/>
      <w:bookmarkStart w:id="24" w:name="_Toc246996164"/>
      <w:bookmarkStart w:id="25" w:name="_Toc152042293"/>
      <w:bookmarkStart w:id="26" w:name="_Toc152045517"/>
      <w:bookmarkStart w:id="27" w:name="_Toc18402"/>
      <w:bookmarkStart w:id="28" w:name="_Toc21615"/>
      <w:bookmarkStart w:id="29" w:name="_Toc11329219"/>
      <w:bookmarkStart w:id="30" w:name="_Toc393"/>
      <w:bookmarkStart w:id="31" w:name="_Toc28867"/>
      <w:bookmarkStart w:id="32" w:name="_Toc507319897"/>
      <w:bookmarkStart w:id="33" w:name="_Toc179632534"/>
      <w:bookmarkStart w:id="34" w:name="_Toc144974485"/>
      <w:r>
        <w:rPr>
          <w:rFonts w:hint="eastAsia" w:ascii="宋体" w:hAnsi="宋体" w:cs="宋体"/>
          <w:szCs w:val="21"/>
          <w:highlight w:val="none"/>
          <w:lang w:val="en-US" w:eastAsia="zh-CN"/>
        </w:rPr>
        <w:t>6</w:t>
      </w:r>
      <w:r>
        <w:rPr>
          <w:rFonts w:hint="eastAsia" w:ascii="宋体" w:hAnsi="宋体" w:cs="宋体"/>
          <w:szCs w:val="21"/>
          <w:highlight w:val="none"/>
        </w:rPr>
        <w:t>.1</w:t>
      </w:r>
      <w:r>
        <w:rPr>
          <w:rFonts w:hint="default" w:ascii="宋体" w:hAnsi="宋体" w:cs="宋体"/>
          <w:szCs w:val="21"/>
          <w:highlight w:val="none"/>
        </w:rPr>
        <w:t xml:space="preserve"> </w:t>
      </w:r>
      <w:r>
        <w:rPr>
          <w:rFonts w:hint="eastAsia" w:ascii="宋体" w:hAnsi="宋体" w:cs="宋体"/>
          <w:szCs w:val="21"/>
          <w:highlight w:val="none"/>
        </w:rPr>
        <w:t>报价截止时间和开标时间：</w:t>
      </w:r>
      <w:r>
        <w:rPr>
          <w:rFonts w:hint="eastAsia" w:ascii="宋体" w:hAnsi="宋体"/>
          <w:szCs w:val="21"/>
          <w:highlight w:val="none"/>
          <w:u w:val="single"/>
        </w:rPr>
        <w:t>202</w:t>
      </w:r>
      <w:r>
        <w:rPr>
          <w:rFonts w:hint="eastAsia" w:ascii="宋体" w:hAnsi="宋体"/>
          <w:szCs w:val="21"/>
          <w:highlight w:val="none"/>
          <w:u w:val="single"/>
          <w:lang w:val="en-US" w:eastAsia="zh-CN"/>
        </w:rPr>
        <w:t>6</w:t>
      </w:r>
      <w:r>
        <w:rPr>
          <w:rFonts w:hint="eastAsia" w:ascii="宋体" w:hAnsi="宋体"/>
          <w:szCs w:val="21"/>
          <w:highlight w:val="none"/>
        </w:rPr>
        <w:t>年</w:t>
      </w:r>
      <w:r>
        <w:rPr>
          <w:rFonts w:hint="eastAsia" w:ascii="宋体" w:hAnsi="宋体"/>
          <w:szCs w:val="21"/>
          <w:highlight w:val="none"/>
          <w:u w:val="single"/>
          <w:lang w:val="en-US" w:eastAsia="zh-CN"/>
        </w:rPr>
        <w:t>5</w:t>
      </w:r>
      <w:r>
        <w:rPr>
          <w:rFonts w:hint="eastAsia" w:ascii="宋体" w:hAnsi="宋体"/>
          <w:szCs w:val="21"/>
          <w:highlight w:val="none"/>
        </w:rPr>
        <w:t>月</w:t>
      </w:r>
      <w:r>
        <w:rPr>
          <w:rFonts w:hint="eastAsia" w:ascii="宋体" w:hAnsi="宋体"/>
          <w:szCs w:val="21"/>
          <w:highlight w:val="none"/>
          <w:lang w:val="en-US" w:eastAsia="zh-CN"/>
        </w:rPr>
        <w:t>13</w:t>
      </w:r>
      <w:r>
        <w:rPr>
          <w:rFonts w:hint="eastAsia" w:ascii="宋体" w:hAnsi="宋体"/>
          <w:szCs w:val="21"/>
          <w:highlight w:val="none"/>
        </w:rPr>
        <w:t>日上午</w:t>
      </w:r>
      <w:r>
        <w:rPr>
          <w:rFonts w:hint="eastAsia" w:ascii="宋体" w:hAnsi="宋体"/>
          <w:szCs w:val="21"/>
          <w:highlight w:val="none"/>
          <w:lang w:val="en-US" w:eastAsia="zh-CN"/>
        </w:rPr>
        <w:t xml:space="preserve"> </w:t>
      </w:r>
      <w:r>
        <w:rPr>
          <w:rFonts w:hint="eastAsia" w:ascii="宋体" w:hAnsi="宋体"/>
          <w:szCs w:val="21"/>
          <w:highlight w:val="none"/>
          <w:u w:val="single"/>
        </w:rPr>
        <w:t>1</w:t>
      </w:r>
      <w:r>
        <w:rPr>
          <w:rFonts w:hint="eastAsia" w:ascii="宋体" w:hAnsi="宋体"/>
          <w:szCs w:val="21"/>
          <w:highlight w:val="none"/>
          <w:u w:val="single"/>
          <w:lang w:val="en-US" w:eastAsia="zh-CN"/>
        </w:rPr>
        <w:t xml:space="preserve">0 </w:t>
      </w:r>
      <w:r>
        <w:rPr>
          <w:rFonts w:hint="eastAsia" w:ascii="宋体" w:hAnsi="宋体" w:cs="宋体"/>
          <w:szCs w:val="21"/>
          <w:highlight w:val="none"/>
        </w:rPr>
        <w:t>时</w:t>
      </w:r>
      <w:r>
        <w:rPr>
          <w:rFonts w:hint="eastAsia" w:ascii="宋体" w:hAnsi="宋体" w:cs="宋体"/>
          <w:szCs w:val="21"/>
          <w:highlight w:val="none"/>
          <w:u w:val="single"/>
        </w:rPr>
        <w:t xml:space="preserve"> 00 </w:t>
      </w:r>
      <w:r>
        <w:rPr>
          <w:rFonts w:hint="eastAsia" w:ascii="宋体" w:hAnsi="宋体" w:cs="宋体"/>
          <w:szCs w:val="21"/>
          <w:highlight w:val="none"/>
        </w:rPr>
        <w:t>分（北京时间）。</w:t>
      </w:r>
    </w:p>
    <w:p w14:paraId="3BFEB422">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w:t>
      </w:r>
      <w:r>
        <w:rPr>
          <w:rFonts w:hint="default" w:ascii="宋体" w:hAnsi="宋体" w:cs="宋体"/>
          <w:color w:val="auto"/>
          <w:szCs w:val="21"/>
          <w:highlight w:val="none"/>
        </w:rPr>
        <w:t xml:space="preserve"> </w:t>
      </w:r>
      <w:r>
        <w:rPr>
          <w:rFonts w:hint="eastAsia" w:ascii="宋体" w:hAnsi="宋体" w:eastAsia="宋体" w:cs="宋体"/>
          <w:color w:val="auto"/>
          <w:szCs w:val="21"/>
          <w:highlight w:val="none"/>
        </w:rPr>
        <w:t>报价的递交方式：</w:t>
      </w:r>
      <w:r>
        <w:rPr>
          <w:rFonts w:hint="eastAsia" w:ascii="宋体" w:hAnsi="宋体" w:eastAsia="宋体" w:cs="宋体"/>
          <w:color w:val="auto"/>
          <w:kern w:val="2"/>
          <w:sz w:val="21"/>
          <w:szCs w:val="21"/>
          <w:highlight w:val="none"/>
          <w:lang w:val="en-US" w:eastAsia="zh-CN" w:bidi="ar"/>
        </w:rPr>
        <w:t>现场递交或邮寄，若采用现场递交方式</w:t>
      </w:r>
      <w:r>
        <w:rPr>
          <w:rFonts w:hint="default" w:ascii="宋体" w:hAnsi="宋体" w:cs="宋体"/>
          <w:color w:val="auto"/>
          <w:kern w:val="2"/>
          <w:sz w:val="21"/>
          <w:szCs w:val="21"/>
          <w:highlight w:val="none"/>
          <w:lang w:eastAsia="zh-CN" w:bidi="ar"/>
        </w:rPr>
        <w:t>须</w:t>
      </w:r>
      <w:r>
        <w:rPr>
          <w:rFonts w:hint="eastAsia" w:ascii="宋体" w:hAnsi="宋体" w:eastAsia="宋体" w:cs="宋体"/>
          <w:color w:val="auto"/>
          <w:kern w:val="2"/>
          <w:sz w:val="21"/>
          <w:szCs w:val="21"/>
          <w:highlight w:val="none"/>
          <w:lang w:val="en-US" w:eastAsia="zh-CN" w:bidi="ar"/>
        </w:rPr>
        <w:t>在</w:t>
      </w:r>
      <w:r>
        <w:rPr>
          <w:rFonts w:hint="default" w:ascii="宋体" w:hAnsi="宋体" w:cs="宋体"/>
          <w:color w:val="auto"/>
          <w:kern w:val="2"/>
          <w:sz w:val="21"/>
          <w:szCs w:val="21"/>
          <w:highlight w:val="none"/>
          <w:lang w:eastAsia="zh-CN" w:bidi="ar"/>
        </w:rPr>
        <w:t>报价截止</w:t>
      </w:r>
      <w:r>
        <w:rPr>
          <w:rFonts w:hint="eastAsia" w:ascii="宋体" w:hAnsi="宋体" w:eastAsia="宋体" w:cs="宋体"/>
          <w:color w:val="auto"/>
          <w:kern w:val="2"/>
          <w:sz w:val="21"/>
          <w:szCs w:val="21"/>
          <w:highlight w:val="none"/>
          <w:lang w:val="en-US" w:eastAsia="zh-CN" w:bidi="ar"/>
        </w:rPr>
        <w:t>当天将文件送达并参与现场开标；若采用邮寄方式需</w:t>
      </w:r>
      <w:r>
        <w:rPr>
          <w:rFonts w:hint="default" w:ascii="宋体" w:hAnsi="宋体" w:eastAsia="宋体" w:cs="宋体"/>
          <w:color w:val="auto"/>
          <w:kern w:val="2"/>
          <w:sz w:val="21"/>
          <w:szCs w:val="21"/>
          <w:highlight w:val="none"/>
          <w:lang w:eastAsia="zh-CN" w:bidi="ar"/>
        </w:rPr>
        <w:t>在报价截止时间之前将响应文件邮寄</w:t>
      </w:r>
      <w:r>
        <w:rPr>
          <w:rFonts w:hint="default" w:ascii="宋体" w:hAnsi="宋体" w:cs="宋体"/>
          <w:color w:val="auto"/>
          <w:kern w:val="2"/>
          <w:sz w:val="21"/>
          <w:szCs w:val="21"/>
          <w:highlight w:val="none"/>
          <w:lang w:eastAsia="zh-CN" w:bidi="ar"/>
        </w:rPr>
        <w:t>到达</w:t>
      </w:r>
      <w:r>
        <w:rPr>
          <w:rFonts w:hint="default" w:ascii="宋体" w:hAnsi="宋体" w:eastAsia="宋体" w:cs="宋体"/>
          <w:color w:val="auto"/>
          <w:kern w:val="2"/>
          <w:sz w:val="21"/>
          <w:szCs w:val="21"/>
          <w:highlight w:val="none"/>
          <w:lang w:eastAsia="zh-CN" w:bidi="ar"/>
        </w:rPr>
        <w:t>递交地址，并</w:t>
      </w:r>
      <w:r>
        <w:rPr>
          <w:rFonts w:hint="default" w:ascii="宋体" w:hAnsi="宋体" w:cs="宋体"/>
          <w:color w:val="auto"/>
          <w:kern w:val="2"/>
          <w:sz w:val="21"/>
          <w:szCs w:val="21"/>
          <w:highlight w:val="none"/>
          <w:lang w:eastAsia="zh-CN" w:bidi="ar"/>
        </w:rPr>
        <w:t>按要求进行密封，</w:t>
      </w:r>
      <w:r>
        <w:rPr>
          <w:rFonts w:hint="eastAsia" w:ascii="宋体" w:hAnsi="宋体" w:eastAsia="宋体" w:cs="宋体"/>
          <w:color w:val="auto"/>
          <w:kern w:val="2"/>
          <w:sz w:val="21"/>
          <w:szCs w:val="21"/>
          <w:highlight w:val="none"/>
          <w:lang w:val="en-US" w:eastAsia="zh-CN" w:bidi="ar"/>
        </w:rPr>
        <w:t>否则采购人有权拒收，采用邮寄方式的报价人默认认可采购人的开标结果，不得由此提出任何质疑。</w:t>
      </w:r>
    </w:p>
    <w:p w14:paraId="279DF52B">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.3 递交地址：重庆市</w:t>
      </w:r>
      <w:r>
        <w:rPr>
          <w:rFonts w:hint="eastAsia" w:ascii="宋体" w:hAnsi="宋体" w:cs="宋体"/>
          <w:color w:val="auto"/>
          <w:szCs w:val="21"/>
          <w:highlight w:val="none"/>
          <w:lang w:val="en-US" w:eastAsia="zh-CN"/>
        </w:rPr>
        <w:t>南岸区南坪镇海峡路</w:t>
      </w:r>
      <w:r>
        <w:rPr>
          <w:rFonts w:hint="eastAsia" w:ascii="宋体" w:hAnsi="宋体" w:eastAsia="宋体" w:cs="宋体"/>
          <w:color w:val="auto"/>
          <w:szCs w:val="21"/>
          <w:highlight w:val="none"/>
        </w:rPr>
        <w:t>重庆首讯科技股份有限公司</w:t>
      </w:r>
    </w:p>
    <w:p w14:paraId="33173A94">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.4 逾期送达，或未送达指定地点，或未密封的竞争性比选响应文件，采购人不予受理。</w:t>
      </w:r>
    </w:p>
    <w:p w14:paraId="4295D317">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.5</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采购人不组织现场踏勘，不召开报价预备会。</w:t>
      </w:r>
    </w:p>
    <w:p w14:paraId="6C960801">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6.6需提供正本一本；副本一本；电子档一份。</w:t>
      </w:r>
    </w:p>
    <w:p w14:paraId="1AB30AF1">
      <w:pPr>
        <w:pStyle w:val="3"/>
        <w:shd w:val="clear"/>
        <w:spacing w:before="120" w:after="0" w:line="40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 联系方式</w:t>
      </w:r>
      <w:bookmarkEnd w:id="21"/>
      <w:bookmarkEnd w:id="22"/>
      <w:bookmarkEnd w:id="23"/>
      <w:bookmarkEnd w:id="24"/>
      <w:bookmarkEnd w:id="25"/>
      <w:bookmarkEnd w:id="26"/>
      <w:bookmarkEnd w:id="27"/>
      <w:bookmarkEnd w:id="28"/>
      <w:bookmarkEnd w:id="29"/>
      <w:bookmarkEnd w:id="30"/>
      <w:bookmarkEnd w:id="31"/>
      <w:bookmarkEnd w:id="32"/>
      <w:bookmarkEnd w:id="33"/>
      <w:bookmarkEnd w:id="34"/>
    </w:p>
    <w:tbl>
      <w:tblPr>
        <w:tblStyle w:val="44"/>
        <w:tblW w:w="9709" w:type="dxa"/>
        <w:tblInd w:w="0" w:type="dxa"/>
        <w:tblLayout w:type="fixed"/>
        <w:tblCellMar>
          <w:top w:w="0" w:type="dxa"/>
          <w:left w:w="108" w:type="dxa"/>
          <w:bottom w:w="0" w:type="dxa"/>
          <w:right w:w="108" w:type="dxa"/>
        </w:tblCellMar>
      </w:tblPr>
      <w:tblGrid>
        <w:gridCol w:w="9709"/>
      </w:tblGrid>
      <w:tr w14:paraId="24505DEF">
        <w:tblPrEx>
          <w:tblCellMar>
            <w:top w:w="0" w:type="dxa"/>
            <w:left w:w="108" w:type="dxa"/>
            <w:bottom w:w="0" w:type="dxa"/>
            <w:right w:w="108" w:type="dxa"/>
          </w:tblCellMar>
        </w:tblPrEx>
        <w:trPr>
          <w:trHeight w:val="520" w:hRule="atLeast"/>
        </w:trPr>
        <w:tc>
          <w:tcPr>
            <w:tcW w:w="9709" w:type="dxa"/>
            <w:vAlign w:val="center"/>
          </w:tcPr>
          <w:p w14:paraId="26EFCE62">
            <w:pPr>
              <w:pStyle w:val="104"/>
              <w:pageBreakBefore w:val="0"/>
              <w:shd w:val="clear"/>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cs="宋体"/>
                <w:color w:val="000000" w:themeColor="text1"/>
                <w:kern w:val="2"/>
                <w:sz w:val="21"/>
                <w:szCs w:val="21"/>
                <w:highlight w:val="none"/>
                <w14:textFill>
                  <w14:solidFill>
                    <w14:schemeClr w14:val="tx1"/>
                  </w14:solidFill>
                </w14:textFill>
              </w:rPr>
              <w:t>采购人：</w:t>
            </w:r>
            <w:r>
              <w:rPr>
                <w:rFonts w:hint="eastAsia" w:ascii="宋体" w:hAnsi="宋体" w:cs="宋体"/>
                <w:color w:val="000000" w:themeColor="text1"/>
                <w:kern w:val="2"/>
                <w:sz w:val="21"/>
                <w:szCs w:val="21"/>
                <w:highlight w:val="none"/>
                <w:lang w:eastAsia="zh-CN"/>
                <w14:textFill>
                  <w14:solidFill>
                    <w14:schemeClr w14:val="tx1"/>
                  </w14:solidFill>
                </w14:textFill>
              </w:rPr>
              <w:t>重庆首讯科技股份有限公司数智系统运维分公司</w:t>
            </w:r>
          </w:p>
        </w:tc>
      </w:tr>
      <w:tr w14:paraId="5171D31B">
        <w:tblPrEx>
          <w:tblCellMar>
            <w:top w:w="0" w:type="dxa"/>
            <w:left w:w="108" w:type="dxa"/>
            <w:bottom w:w="0" w:type="dxa"/>
            <w:right w:w="108" w:type="dxa"/>
          </w:tblCellMar>
        </w:tblPrEx>
        <w:trPr>
          <w:trHeight w:val="510" w:hRule="atLeast"/>
        </w:trPr>
        <w:tc>
          <w:tcPr>
            <w:tcW w:w="9709" w:type="dxa"/>
            <w:vAlign w:val="center"/>
          </w:tcPr>
          <w:p w14:paraId="3DEC0BC8">
            <w:pPr>
              <w:keepNext w:val="0"/>
              <w:keepLines w:val="0"/>
              <w:pageBreakBefore w:val="0"/>
              <w:widowControl w:val="0"/>
              <w:suppressLineNumbers w:val="0"/>
              <w:shd w:val="clear"/>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地址：</w:t>
            </w:r>
            <w:r>
              <w:rPr>
                <w:rFonts w:hint="eastAsia" w:ascii="宋体" w:hAnsi="宋体" w:eastAsia="宋体" w:cs="宋体"/>
                <w:color w:val="auto"/>
                <w:szCs w:val="21"/>
                <w:highlight w:val="none"/>
              </w:rPr>
              <w:t>重庆市</w:t>
            </w:r>
            <w:r>
              <w:rPr>
                <w:rFonts w:hint="eastAsia" w:ascii="宋体" w:hAnsi="宋体" w:cs="宋体"/>
                <w:color w:val="auto"/>
                <w:szCs w:val="21"/>
                <w:highlight w:val="none"/>
                <w:lang w:val="en-US" w:eastAsia="zh-CN"/>
              </w:rPr>
              <w:t>南岸区南坪镇海峡路</w:t>
            </w:r>
            <w:r>
              <w:rPr>
                <w:rFonts w:hint="eastAsia" w:ascii="宋体" w:hAnsi="宋体" w:eastAsia="宋体" w:cs="宋体"/>
                <w:color w:val="auto"/>
                <w:szCs w:val="21"/>
                <w:highlight w:val="none"/>
              </w:rPr>
              <w:t>重庆首讯科技股份有限公司</w:t>
            </w:r>
          </w:p>
        </w:tc>
      </w:tr>
      <w:tr w14:paraId="7AE94200">
        <w:tblPrEx>
          <w:tblCellMar>
            <w:top w:w="0" w:type="dxa"/>
            <w:left w:w="108" w:type="dxa"/>
            <w:bottom w:w="0" w:type="dxa"/>
            <w:right w:w="108" w:type="dxa"/>
          </w:tblCellMar>
        </w:tblPrEx>
        <w:trPr>
          <w:trHeight w:val="520" w:hRule="atLeast"/>
        </w:trPr>
        <w:tc>
          <w:tcPr>
            <w:tcW w:w="9709" w:type="dxa"/>
            <w:vAlign w:val="center"/>
          </w:tcPr>
          <w:p w14:paraId="55134BEF">
            <w:pPr>
              <w:shd w:val="clear"/>
              <w:topLinePunct/>
              <w:spacing w:line="420" w:lineRule="exact"/>
              <w:ind w:firstLine="420" w:firstLineChars="200"/>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商务</w:t>
            </w:r>
            <w:r>
              <w:rPr>
                <w:rFonts w:hint="eastAsia"/>
                <w:color w:val="000000" w:themeColor="text1"/>
                <w:highlight w:val="none"/>
                <w14:textFill>
                  <w14:solidFill>
                    <w14:schemeClr w14:val="tx1"/>
                  </w14:solidFill>
                </w14:textFill>
              </w:rPr>
              <w:t>联系人：</w:t>
            </w:r>
            <w:r>
              <w:rPr>
                <w:rFonts w:hint="eastAsia"/>
                <w:color w:val="000000" w:themeColor="text1"/>
                <w:highlight w:val="none"/>
                <w:lang w:val="en-US" w:eastAsia="zh-CN"/>
                <w14:textFill>
                  <w14:solidFill>
                    <w14:schemeClr w14:val="tx1"/>
                  </w14:solidFill>
                </w14:textFill>
              </w:rPr>
              <w:t>方老师</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电 话：</w:t>
            </w:r>
            <w:r>
              <w:rPr>
                <w:rFonts w:hint="eastAsia"/>
                <w:color w:val="000000" w:themeColor="text1"/>
                <w:highlight w:val="none"/>
                <w:lang w:val="en-US" w:eastAsia="zh-CN"/>
                <w14:textFill>
                  <w14:solidFill>
                    <w14:schemeClr w14:val="tx1"/>
                  </w14:solidFill>
                </w14:textFill>
              </w:rPr>
              <w:t>19922923241</w:t>
            </w:r>
          </w:p>
        </w:tc>
      </w:tr>
    </w:tbl>
    <w:p w14:paraId="19480AB3">
      <w:pPr>
        <w:rPr>
          <w:color w:val="auto"/>
          <w:highlight w:val="none"/>
        </w:rPr>
      </w:pPr>
    </w:p>
    <w:p w14:paraId="3DC7FD33">
      <w:pPr>
        <w:pStyle w:val="29"/>
        <w:rPr>
          <w:color w:val="auto"/>
          <w:highlight w:val="none"/>
        </w:rPr>
      </w:pPr>
    </w:p>
    <w:p w14:paraId="2CD07177">
      <w:pPr>
        <w:rPr>
          <w:color w:val="auto"/>
          <w:highlight w:val="none"/>
        </w:rPr>
      </w:pPr>
    </w:p>
    <w:p w14:paraId="04870D10">
      <w:pPr>
        <w:pStyle w:val="29"/>
        <w:rPr>
          <w:color w:val="auto"/>
          <w:highlight w:val="none"/>
        </w:rPr>
      </w:pPr>
    </w:p>
    <w:p w14:paraId="272A03C2">
      <w:pPr>
        <w:pStyle w:val="29"/>
        <w:rPr>
          <w:color w:val="auto"/>
          <w:highlight w:val="none"/>
        </w:rPr>
      </w:pPr>
    </w:p>
    <w:p w14:paraId="30EF3E3B">
      <w:pPr>
        <w:pStyle w:val="2"/>
        <w:spacing w:before="0" w:after="0" w:line="360" w:lineRule="auto"/>
        <w:jc w:val="center"/>
        <w:rPr>
          <w:rFonts w:ascii="宋体" w:hAnsi="宋体" w:cs="宋体"/>
          <w:color w:val="auto"/>
          <w:highlight w:val="none"/>
        </w:rPr>
      </w:pPr>
      <w:r>
        <w:rPr>
          <w:rFonts w:hint="eastAsia" w:ascii="宋体" w:hAnsi="宋体" w:cs="宋体"/>
          <w:color w:val="auto"/>
          <w:highlight w:val="none"/>
        </w:rPr>
        <w:br w:type="page"/>
      </w:r>
      <w:bookmarkStart w:id="35" w:name="_Toc21090"/>
      <w:r>
        <w:rPr>
          <w:rFonts w:hint="eastAsia" w:ascii="宋体" w:hAnsi="宋体" w:cs="宋体"/>
          <w:color w:val="auto"/>
          <w:highlight w:val="none"/>
        </w:rPr>
        <w:t xml:space="preserve">第二章 </w:t>
      </w:r>
      <w:r>
        <w:rPr>
          <w:rFonts w:hint="eastAsia" w:ascii="宋体" w:hAnsi="宋体" w:cs="宋体"/>
          <w:color w:val="auto"/>
          <w:highlight w:val="none"/>
          <w:lang w:val="en-US" w:eastAsia="zh-CN"/>
        </w:rPr>
        <w:t>报价人须知</w:t>
      </w:r>
      <w:bookmarkEnd w:id="35"/>
    </w:p>
    <w:tbl>
      <w:tblPr>
        <w:tblStyle w:val="44"/>
        <w:tblpPr w:leftFromText="180" w:rightFromText="180" w:vertAnchor="text" w:horzAnchor="page" w:tblpX="1111"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2B9B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697" w:type="dxa"/>
            <w:vAlign w:val="center"/>
          </w:tcPr>
          <w:p w14:paraId="18C15C3D">
            <w:pPr>
              <w:keepNext w:val="0"/>
              <w:keepLines w:val="0"/>
              <w:pageBreakBefore w:val="0"/>
              <w:kinsoku/>
              <w:wordWrap/>
              <w:overflowPunct/>
              <w:bidi w:val="0"/>
              <w:spacing w:line="36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序号</w:t>
            </w:r>
          </w:p>
        </w:tc>
        <w:tc>
          <w:tcPr>
            <w:tcW w:w="2106" w:type="dxa"/>
            <w:vAlign w:val="center"/>
          </w:tcPr>
          <w:p w14:paraId="6BB417AA">
            <w:pPr>
              <w:keepNext w:val="0"/>
              <w:keepLines w:val="0"/>
              <w:pageBreakBefore w:val="0"/>
              <w:kinsoku/>
              <w:wordWrap/>
              <w:overflowPunct/>
              <w:bidi w:val="0"/>
              <w:spacing w:line="36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条款名称</w:t>
            </w:r>
          </w:p>
        </w:tc>
        <w:tc>
          <w:tcPr>
            <w:tcW w:w="7104" w:type="dxa"/>
            <w:vAlign w:val="center"/>
          </w:tcPr>
          <w:p w14:paraId="62F09208">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编  列  内  容</w:t>
            </w:r>
          </w:p>
        </w:tc>
      </w:tr>
      <w:tr w14:paraId="21018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29B6D612">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2106" w:type="dxa"/>
            <w:vAlign w:val="center"/>
          </w:tcPr>
          <w:p w14:paraId="7515A1F2">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采购人</w:t>
            </w:r>
          </w:p>
        </w:tc>
        <w:tc>
          <w:tcPr>
            <w:tcW w:w="7104" w:type="dxa"/>
            <w:vAlign w:val="center"/>
          </w:tcPr>
          <w:p w14:paraId="5CF4A56A">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采购人：</w:t>
            </w:r>
            <w:r>
              <w:rPr>
                <w:rFonts w:hint="eastAsia" w:ascii="宋体" w:hAnsi="宋体" w:cs="宋体"/>
                <w:color w:val="auto"/>
                <w:sz w:val="21"/>
                <w:szCs w:val="21"/>
                <w:highlight w:val="none"/>
                <w:lang w:eastAsia="zh-CN"/>
              </w:rPr>
              <w:t>重庆首讯科技股份有限公司数智系统运维分公司</w:t>
            </w:r>
          </w:p>
          <w:p w14:paraId="317F3D1D">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hAnsi="宋体"/>
                <w:color w:val="auto"/>
                <w:kern w:val="2"/>
                <w:sz w:val="21"/>
                <w:szCs w:val="21"/>
              </w:rPr>
              <w:t>重庆市南岸区南坪镇海峡路重庆首讯科技股份有限公司</w:t>
            </w:r>
          </w:p>
          <w:p w14:paraId="6CBE0F8D">
            <w:pPr>
              <w:keepNext w:val="0"/>
              <w:keepLines w:val="0"/>
              <w:pageBreakBefore w:val="0"/>
              <w:kinsoku/>
              <w:wordWrap/>
              <w:overflowPunct/>
              <w:bidi w:val="0"/>
              <w:spacing w:line="360" w:lineRule="exact"/>
              <w:ind w:firstLine="420" w:firstLineChars="200"/>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联系人：</w:t>
            </w:r>
            <w:r>
              <w:rPr>
                <w:rFonts w:hint="eastAsia" w:ascii="宋体" w:hAnsi="宋体" w:cs="宋体"/>
                <w:color w:val="auto"/>
                <w:szCs w:val="21"/>
                <w:highlight w:val="none"/>
                <w:u w:val="none"/>
                <w:lang w:val="en-US" w:eastAsia="zh-CN"/>
              </w:rPr>
              <w:t>方老</w:t>
            </w:r>
            <w:r>
              <w:rPr>
                <w:rFonts w:hint="eastAsia" w:ascii="宋体" w:hAnsi="宋体" w:cs="宋体"/>
                <w:color w:val="auto"/>
                <w:szCs w:val="21"/>
                <w:highlight w:val="none"/>
                <w:lang w:val="en-US" w:eastAsia="zh-CN"/>
              </w:rPr>
              <w:t>师</w:t>
            </w:r>
          </w:p>
          <w:p w14:paraId="187133C6">
            <w:pPr>
              <w:keepNext w:val="0"/>
              <w:keepLines w:val="0"/>
              <w:pageBreakBefore w:val="0"/>
              <w:kinsoku/>
              <w:wordWrap/>
              <w:overflowPunct/>
              <w:topLinePunct/>
              <w:bidi w:val="0"/>
              <w:spacing w:line="360" w:lineRule="exact"/>
              <w:ind w:firstLine="420" w:firstLineChars="200"/>
              <w:jc w:val="both"/>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电  话：</w:t>
            </w:r>
            <w:r>
              <w:rPr>
                <w:rFonts w:hint="eastAsia" w:ascii="宋体" w:hAnsi="宋体" w:cs="宋体"/>
                <w:color w:val="auto"/>
                <w:sz w:val="21"/>
                <w:szCs w:val="21"/>
                <w:highlight w:val="none"/>
                <w:lang w:val="en-US" w:eastAsia="zh-CN"/>
              </w:rPr>
              <w:t>19922923241</w:t>
            </w:r>
          </w:p>
        </w:tc>
      </w:tr>
      <w:tr w14:paraId="7FFB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7E5137DC">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2106" w:type="dxa"/>
            <w:vAlign w:val="center"/>
          </w:tcPr>
          <w:p w14:paraId="606E152B">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项目名称</w:t>
            </w:r>
          </w:p>
        </w:tc>
        <w:tc>
          <w:tcPr>
            <w:tcW w:w="7104" w:type="dxa"/>
            <w:vAlign w:val="center"/>
          </w:tcPr>
          <w:p w14:paraId="692442B9">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cs="宋体"/>
                <w:i w:val="0"/>
                <w:iCs w:val="0"/>
                <w:color w:val="auto"/>
                <w:szCs w:val="21"/>
                <w:highlight w:val="none"/>
                <w:u w:val="none"/>
                <w:lang w:eastAsia="zh-CN"/>
              </w:rPr>
              <w:t>东北及东南安全韧性提升项目生产用车租赁服务采购（第二次）</w:t>
            </w:r>
          </w:p>
        </w:tc>
      </w:tr>
      <w:tr w14:paraId="55259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086CB19B">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2106" w:type="dxa"/>
            <w:vAlign w:val="center"/>
          </w:tcPr>
          <w:p w14:paraId="5888BAE3">
            <w:pPr>
              <w:keepNext w:val="0"/>
              <w:keepLines w:val="0"/>
              <w:pageBreakBefore w:val="0"/>
              <w:kinsoku/>
              <w:wordWrap/>
              <w:overflowPunct/>
              <w:bidi w:val="0"/>
              <w:spacing w:line="360" w:lineRule="exact"/>
              <w:jc w:val="center"/>
              <w:textAlignment w:val="auto"/>
              <w:rPr>
                <w:rFonts w:hint="default" w:ascii="宋体" w:hAnsi="宋体" w:eastAsia="宋体" w:cs="宋体"/>
                <w:color w:val="auto"/>
                <w:kern w:val="0"/>
                <w:sz w:val="21"/>
                <w:szCs w:val="21"/>
                <w:highlight w:val="none"/>
                <w:lang w:val="en-US"/>
              </w:rPr>
            </w:pP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内容</w:t>
            </w:r>
          </w:p>
        </w:tc>
        <w:tc>
          <w:tcPr>
            <w:tcW w:w="7104" w:type="dxa"/>
            <w:vAlign w:val="center"/>
          </w:tcPr>
          <w:p w14:paraId="5F1C0666">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见比选公告</w:t>
            </w:r>
          </w:p>
        </w:tc>
      </w:tr>
      <w:tr w14:paraId="7F400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1996FB66">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p>
        </w:tc>
        <w:tc>
          <w:tcPr>
            <w:tcW w:w="2106" w:type="dxa"/>
            <w:vAlign w:val="center"/>
          </w:tcPr>
          <w:p w14:paraId="6150EC71">
            <w:pPr>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cs="宋体"/>
                <w:color w:val="auto"/>
                <w:highlight w:val="none"/>
                <w:lang w:val="en-US" w:eastAsia="zh-CN"/>
              </w:rPr>
              <w:t>采购规模</w:t>
            </w:r>
          </w:p>
        </w:tc>
        <w:tc>
          <w:tcPr>
            <w:tcW w:w="7104" w:type="dxa"/>
            <w:vAlign w:val="center"/>
          </w:tcPr>
          <w:p w14:paraId="2E90AD28">
            <w:pPr>
              <w:keepNext w:val="0"/>
              <w:keepLines w:val="0"/>
              <w:pageBreakBefore w:val="0"/>
              <w:tabs>
                <w:tab w:val="left" w:pos="3000"/>
                <w:tab w:val="left" w:pos="3280"/>
                <w:tab w:val="left" w:pos="6120"/>
                <w:tab w:val="left" w:pos="7540"/>
                <w:tab w:val="left" w:pos="8320"/>
              </w:tabs>
              <w:kinsoku/>
              <w:wordWrap/>
              <w:overflowPunct/>
              <w:autoSpaceDE w:val="0"/>
              <w:autoSpaceDN w:val="0"/>
              <w:bidi w:val="0"/>
              <w:adjustRightInd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见比选公告</w:t>
            </w:r>
          </w:p>
        </w:tc>
      </w:tr>
      <w:tr w14:paraId="0B96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7F443C18">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5</w:t>
            </w:r>
          </w:p>
        </w:tc>
        <w:tc>
          <w:tcPr>
            <w:tcW w:w="2106" w:type="dxa"/>
            <w:shd w:val="clear" w:color="auto" w:fill="auto"/>
            <w:vAlign w:val="center"/>
          </w:tcPr>
          <w:p w14:paraId="05FAB48D">
            <w:pPr>
              <w:keepNext w:val="0"/>
              <w:keepLines w:val="0"/>
              <w:pageBreakBefore w:val="0"/>
              <w:kinsoku/>
              <w:wordWrap/>
              <w:overflowPunct/>
              <w:bidi w:val="0"/>
              <w:spacing w:line="360" w:lineRule="exact"/>
              <w:jc w:val="center"/>
              <w:textAlignment w:val="auto"/>
              <w:rPr>
                <w:rFonts w:hint="default" w:ascii="宋体" w:hAnsi="宋体" w:eastAsia="宋体" w:cs="宋体"/>
                <w:color w:val="auto"/>
                <w:kern w:val="2"/>
                <w:sz w:val="21"/>
                <w:szCs w:val="24"/>
                <w:highlight w:val="none"/>
                <w:lang w:val="en-US" w:eastAsia="zh-CN" w:bidi="ar-SA"/>
              </w:rPr>
            </w:pPr>
            <w:r>
              <w:rPr>
                <w:rFonts w:hint="eastAsia" w:ascii="宋体" w:hAnsi="宋体" w:cs="宋体"/>
                <w:color w:val="auto"/>
                <w:kern w:val="2"/>
                <w:sz w:val="21"/>
                <w:szCs w:val="24"/>
                <w:highlight w:val="none"/>
                <w:lang w:val="en-US" w:eastAsia="zh-CN" w:bidi="ar-SA"/>
              </w:rPr>
              <w:t>交货地点</w:t>
            </w:r>
          </w:p>
        </w:tc>
        <w:tc>
          <w:tcPr>
            <w:tcW w:w="7104" w:type="dxa"/>
            <w:shd w:val="clear" w:color="auto" w:fill="auto"/>
            <w:vAlign w:val="center"/>
          </w:tcPr>
          <w:p w14:paraId="4397BDF5">
            <w:pPr>
              <w:keepNext w:val="0"/>
              <w:keepLines w:val="0"/>
              <w:pageBreakBefore w:val="0"/>
              <w:tabs>
                <w:tab w:val="left" w:pos="3000"/>
                <w:tab w:val="left" w:pos="3280"/>
                <w:tab w:val="left" w:pos="6120"/>
                <w:tab w:val="left" w:pos="7540"/>
                <w:tab w:val="left" w:pos="8320"/>
              </w:tabs>
              <w:kinsoku/>
              <w:wordWrap/>
              <w:overflowPunct/>
              <w:autoSpaceDE w:val="0"/>
              <w:autoSpaceDN w:val="0"/>
              <w:bidi w:val="0"/>
              <w:adjustRightInd w:val="0"/>
              <w:spacing w:line="360" w:lineRule="exact"/>
              <w:ind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见比选公告</w:t>
            </w:r>
          </w:p>
        </w:tc>
      </w:tr>
      <w:tr w14:paraId="36FC7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382205E0">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6</w:t>
            </w:r>
          </w:p>
        </w:tc>
        <w:tc>
          <w:tcPr>
            <w:tcW w:w="2106" w:type="dxa"/>
            <w:tcBorders>
              <w:top w:val="single" w:color="auto" w:sz="4" w:space="0"/>
              <w:left w:val="single" w:color="auto" w:sz="4" w:space="0"/>
              <w:bottom w:val="single" w:color="auto" w:sz="4" w:space="0"/>
              <w:right w:val="single" w:color="auto" w:sz="4" w:space="0"/>
            </w:tcBorders>
            <w:shd w:val="clear" w:color="auto" w:fill="auto"/>
            <w:vAlign w:val="center"/>
          </w:tcPr>
          <w:p w14:paraId="549B7E48">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szCs w:val="21"/>
                <w:highlight w:val="none"/>
              </w:rPr>
              <w:t>交货时间</w:t>
            </w:r>
          </w:p>
        </w:tc>
        <w:tc>
          <w:tcPr>
            <w:tcW w:w="7104" w:type="dxa"/>
            <w:tcBorders>
              <w:top w:val="single" w:color="auto" w:sz="4" w:space="0"/>
              <w:left w:val="single" w:color="auto" w:sz="4" w:space="0"/>
              <w:bottom w:val="single" w:color="auto" w:sz="4" w:space="0"/>
              <w:right w:val="single" w:color="auto" w:sz="4" w:space="0"/>
            </w:tcBorders>
            <w:shd w:val="clear" w:color="auto" w:fill="auto"/>
            <w:vAlign w:val="center"/>
          </w:tcPr>
          <w:p w14:paraId="6B121365">
            <w:pPr>
              <w:keepNext w:val="0"/>
              <w:keepLines w:val="0"/>
              <w:pageBreakBefore w:val="0"/>
              <w:tabs>
                <w:tab w:val="left" w:pos="3000"/>
                <w:tab w:val="left" w:pos="3280"/>
                <w:tab w:val="left" w:pos="6120"/>
                <w:tab w:val="left" w:pos="7540"/>
                <w:tab w:val="left" w:pos="8320"/>
              </w:tabs>
              <w:kinsoku/>
              <w:wordWrap/>
              <w:overflowPunct/>
              <w:autoSpaceDE w:val="0"/>
              <w:autoSpaceDN w:val="0"/>
              <w:bidi w:val="0"/>
              <w:adjustRightInd w:val="0"/>
              <w:spacing w:line="360" w:lineRule="exact"/>
              <w:ind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见比选公告</w:t>
            </w:r>
          </w:p>
        </w:tc>
      </w:tr>
      <w:tr w14:paraId="0EECB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1269FE69">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w:t>
            </w:r>
          </w:p>
        </w:tc>
        <w:tc>
          <w:tcPr>
            <w:tcW w:w="2106" w:type="dxa"/>
            <w:tcBorders>
              <w:top w:val="single" w:color="auto" w:sz="4" w:space="0"/>
              <w:left w:val="single" w:color="auto" w:sz="4" w:space="0"/>
              <w:bottom w:val="single" w:color="auto" w:sz="4" w:space="0"/>
              <w:right w:val="single" w:color="auto" w:sz="4" w:space="0"/>
            </w:tcBorders>
            <w:vAlign w:val="center"/>
          </w:tcPr>
          <w:p w14:paraId="1CFE28C4">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cs="宋体"/>
                <w:color w:val="auto"/>
                <w:kern w:val="0"/>
                <w:highlight w:val="none"/>
              </w:rPr>
              <w:t>质量保修期</w:t>
            </w:r>
          </w:p>
        </w:tc>
        <w:tc>
          <w:tcPr>
            <w:tcW w:w="7104" w:type="dxa"/>
            <w:tcBorders>
              <w:top w:val="single" w:color="auto" w:sz="4" w:space="0"/>
              <w:left w:val="single" w:color="auto" w:sz="4" w:space="0"/>
              <w:bottom w:val="single" w:color="auto" w:sz="4" w:space="0"/>
              <w:right w:val="single" w:color="auto" w:sz="4" w:space="0"/>
            </w:tcBorders>
            <w:vAlign w:val="center"/>
          </w:tcPr>
          <w:p w14:paraId="2A34CF3D">
            <w:pPr>
              <w:keepNext w:val="0"/>
              <w:keepLines w:val="0"/>
              <w:pageBreakBefore w:val="0"/>
              <w:tabs>
                <w:tab w:val="left" w:pos="3000"/>
                <w:tab w:val="left" w:pos="3280"/>
                <w:tab w:val="left" w:pos="6120"/>
                <w:tab w:val="left" w:pos="7540"/>
                <w:tab w:val="left" w:pos="8320"/>
              </w:tabs>
              <w:kinsoku/>
              <w:wordWrap/>
              <w:overflowPunct/>
              <w:autoSpaceDE w:val="0"/>
              <w:autoSpaceDN w:val="0"/>
              <w:bidi w:val="0"/>
              <w:adjustRightInd w:val="0"/>
              <w:spacing w:line="360" w:lineRule="exact"/>
              <w:ind w:firstLine="420" w:firstLineChars="200"/>
              <w:jc w:val="both"/>
              <w:textAlignment w:val="auto"/>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u w:val="none"/>
                <w:lang w:val="en-US" w:eastAsia="zh-CN" w:bidi="ar-SA"/>
              </w:rPr>
              <w:t>24</w:t>
            </w:r>
            <w:r>
              <w:rPr>
                <w:rFonts w:hint="eastAsia" w:ascii="宋体" w:hAnsi="宋体" w:cs="宋体"/>
                <w:color w:val="auto"/>
                <w:kern w:val="0"/>
                <w:sz w:val="21"/>
                <w:szCs w:val="21"/>
                <w:highlight w:val="none"/>
                <w:lang w:val="en-US" w:eastAsia="zh-CN" w:bidi="ar-SA"/>
              </w:rPr>
              <w:t>个月，自项目验收合格之日起计算</w:t>
            </w:r>
          </w:p>
        </w:tc>
      </w:tr>
      <w:tr w14:paraId="17FFB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187547B2">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8</w:t>
            </w:r>
          </w:p>
        </w:tc>
        <w:tc>
          <w:tcPr>
            <w:tcW w:w="2106" w:type="dxa"/>
            <w:tcBorders>
              <w:top w:val="single" w:color="auto" w:sz="4" w:space="0"/>
              <w:left w:val="single" w:color="auto" w:sz="4" w:space="0"/>
              <w:bottom w:val="single" w:color="auto" w:sz="4" w:space="0"/>
              <w:right w:val="single" w:color="auto" w:sz="4" w:space="0"/>
            </w:tcBorders>
            <w:vAlign w:val="center"/>
          </w:tcPr>
          <w:p w14:paraId="039964B7">
            <w:pPr>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技术标准</w:t>
            </w:r>
          </w:p>
        </w:tc>
        <w:tc>
          <w:tcPr>
            <w:tcW w:w="7104" w:type="dxa"/>
            <w:tcBorders>
              <w:top w:val="single" w:color="auto" w:sz="4" w:space="0"/>
              <w:left w:val="single" w:color="auto" w:sz="4" w:space="0"/>
              <w:bottom w:val="single" w:color="auto" w:sz="4" w:space="0"/>
              <w:right w:val="single" w:color="auto" w:sz="4" w:space="0"/>
            </w:tcBorders>
            <w:vAlign w:val="center"/>
          </w:tcPr>
          <w:p w14:paraId="220EC249">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10"/>
                <w:sz w:val="21"/>
                <w:szCs w:val="21"/>
                <w:highlight w:val="none"/>
                <w:lang w:val="en-US" w:eastAsia="zh-CN"/>
              </w:rPr>
            </w:pPr>
            <w:r>
              <w:rPr>
                <w:rFonts w:hint="eastAsia" w:ascii="宋体" w:hAnsi="宋体" w:eastAsia="宋体" w:cs="宋体"/>
                <w:color w:val="auto"/>
                <w:sz w:val="21"/>
                <w:szCs w:val="21"/>
                <w:highlight w:val="none"/>
              </w:rPr>
              <w:t>详见</w:t>
            </w:r>
            <w:r>
              <w:rPr>
                <w:rFonts w:hint="default"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第</w:t>
            </w:r>
            <w:r>
              <w:rPr>
                <w:rFonts w:hint="eastAsia" w:ascii="宋体" w:hAnsi="宋体" w:cs="宋体"/>
                <w:color w:val="auto"/>
                <w:sz w:val="21"/>
                <w:szCs w:val="21"/>
                <w:highlight w:val="none"/>
                <w:lang w:val="en-US" w:eastAsia="zh-CN"/>
              </w:rPr>
              <w:t>六</w:t>
            </w:r>
            <w:r>
              <w:rPr>
                <w:rFonts w:hint="eastAsia" w:ascii="宋体" w:hAnsi="宋体" w:eastAsia="宋体" w:cs="宋体"/>
                <w:color w:val="auto"/>
                <w:sz w:val="21"/>
                <w:szCs w:val="21"/>
                <w:highlight w:val="none"/>
              </w:rPr>
              <w:t>章</w:t>
            </w:r>
            <w:r>
              <w:rPr>
                <w:rFonts w:hint="eastAsia" w:ascii="宋体" w:hAnsi="宋体" w:cs="宋体"/>
                <w:color w:val="auto"/>
                <w:sz w:val="21"/>
                <w:szCs w:val="21"/>
                <w:highlight w:val="none"/>
                <w:lang w:val="en-US" w:eastAsia="zh-CN"/>
              </w:rPr>
              <w:t xml:space="preserve"> </w:t>
            </w:r>
            <w:r>
              <w:rPr>
                <w:rFonts w:hint="eastAsia" w:ascii="宋体" w:hAnsi="宋体" w:cs="宋体"/>
                <w:color w:val="auto"/>
                <w:highlight w:val="none"/>
              </w:rPr>
              <w:t>技术要求</w:t>
            </w:r>
            <w:r>
              <w:rPr>
                <w:rFonts w:hint="default" w:ascii="宋体" w:hAnsi="宋体" w:cs="宋体"/>
                <w:color w:val="auto"/>
                <w:highlight w:val="none"/>
                <w:lang w:val="en-US" w:eastAsia="zh-CN"/>
              </w:rPr>
              <w:t>”</w:t>
            </w:r>
          </w:p>
        </w:tc>
      </w:tr>
      <w:tr w14:paraId="14B8D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1B807878">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9</w:t>
            </w:r>
          </w:p>
        </w:tc>
        <w:tc>
          <w:tcPr>
            <w:tcW w:w="2106" w:type="dxa"/>
            <w:tcBorders>
              <w:top w:val="single" w:color="auto" w:sz="4" w:space="0"/>
              <w:left w:val="single" w:color="auto" w:sz="4" w:space="0"/>
              <w:bottom w:val="single" w:color="auto" w:sz="4" w:space="0"/>
              <w:right w:val="single" w:color="auto" w:sz="4" w:space="0"/>
            </w:tcBorders>
            <w:vAlign w:val="center"/>
          </w:tcPr>
          <w:p w14:paraId="339AB09D">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报价人资格要求</w:t>
            </w:r>
          </w:p>
        </w:tc>
        <w:tc>
          <w:tcPr>
            <w:tcW w:w="7104" w:type="dxa"/>
            <w:tcBorders>
              <w:top w:val="single" w:color="auto" w:sz="4" w:space="0"/>
              <w:left w:val="single" w:color="auto" w:sz="4" w:space="0"/>
              <w:bottom w:val="single" w:color="auto" w:sz="4" w:space="0"/>
              <w:right w:val="single" w:color="auto" w:sz="4" w:space="0"/>
            </w:tcBorders>
            <w:vAlign w:val="center"/>
          </w:tcPr>
          <w:p w14:paraId="3A9BEFDE">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见比选公告及附录1</w:t>
            </w:r>
          </w:p>
        </w:tc>
      </w:tr>
      <w:tr w14:paraId="2A0EB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782E3211">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10</w:t>
            </w:r>
          </w:p>
        </w:tc>
        <w:tc>
          <w:tcPr>
            <w:tcW w:w="2106" w:type="dxa"/>
            <w:tcBorders>
              <w:top w:val="single" w:color="auto" w:sz="4" w:space="0"/>
              <w:left w:val="single" w:color="auto" w:sz="4" w:space="0"/>
              <w:bottom w:val="single" w:color="auto" w:sz="4" w:space="0"/>
              <w:right w:val="single" w:color="auto" w:sz="4" w:space="0"/>
            </w:tcBorders>
            <w:vAlign w:val="center"/>
          </w:tcPr>
          <w:p w14:paraId="2E6AA397">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是否接受</w:t>
            </w:r>
          </w:p>
          <w:p w14:paraId="3550775F">
            <w:pPr>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联合体报价</w:t>
            </w:r>
          </w:p>
        </w:tc>
        <w:tc>
          <w:tcPr>
            <w:tcW w:w="7104" w:type="dxa"/>
            <w:tcBorders>
              <w:top w:val="single" w:color="auto" w:sz="4" w:space="0"/>
              <w:left w:val="single" w:color="auto" w:sz="4" w:space="0"/>
              <w:bottom w:val="single" w:color="auto" w:sz="4" w:space="0"/>
              <w:right w:val="single" w:color="auto" w:sz="4" w:space="0"/>
            </w:tcBorders>
            <w:vAlign w:val="center"/>
          </w:tcPr>
          <w:p w14:paraId="1EB6D9A7">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不接受</w:t>
            </w:r>
          </w:p>
        </w:tc>
      </w:tr>
      <w:tr w14:paraId="53A2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022625DC">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11</w:t>
            </w:r>
          </w:p>
        </w:tc>
        <w:tc>
          <w:tcPr>
            <w:tcW w:w="2106" w:type="dxa"/>
            <w:tcBorders>
              <w:top w:val="single" w:color="auto" w:sz="4" w:space="0"/>
              <w:left w:val="single" w:color="auto" w:sz="4" w:space="0"/>
              <w:bottom w:val="single" w:color="auto" w:sz="4" w:space="0"/>
              <w:right w:val="single" w:color="auto" w:sz="4" w:space="0"/>
            </w:tcBorders>
            <w:vAlign w:val="center"/>
          </w:tcPr>
          <w:p w14:paraId="5FB86023">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踏勘现场</w:t>
            </w:r>
          </w:p>
        </w:tc>
        <w:tc>
          <w:tcPr>
            <w:tcW w:w="7104" w:type="dxa"/>
            <w:tcBorders>
              <w:top w:val="single" w:color="auto" w:sz="4" w:space="0"/>
              <w:left w:val="single" w:color="auto" w:sz="4" w:space="0"/>
              <w:bottom w:val="single" w:color="auto" w:sz="4" w:space="0"/>
              <w:right w:val="single" w:color="auto" w:sz="4" w:space="0"/>
            </w:tcBorders>
            <w:vAlign w:val="center"/>
          </w:tcPr>
          <w:p w14:paraId="762120CE">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不组织，由各报价人根据需要自行完成现场踏勘</w:t>
            </w:r>
          </w:p>
        </w:tc>
      </w:tr>
      <w:tr w14:paraId="230B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6EDD84B6">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12</w:t>
            </w:r>
          </w:p>
        </w:tc>
        <w:tc>
          <w:tcPr>
            <w:tcW w:w="2106" w:type="dxa"/>
            <w:tcBorders>
              <w:top w:val="single" w:color="auto" w:sz="4" w:space="0"/>
              <w:left w:val="single" w:color="auto" w:sz="4" w:space="0"/>
              <w:bottom w:val="single" w:color="auto" w:sz="4" w:space="0"/>
              <w:right w:val="single" w:color="auto" w:sz="4" w:space="0"/>
            </w:tcBorders>
            <w:vAlign w:val="center"/>
          </w:tcPr>
          <w:p w14:paraId="2116EDD8">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分包</w:t>
            </w:r>
          </w:p>
        </w:tc>
        <w:tc>
          <w:tcPr>
            <w:tcW w:w="7104" w:type="dxa"/>
            <w:tcBorders>
              <w:top w:val="single" w:color="auto" w:sz="4" w:space="0"/>
              <w:left w:val="single" w:color="auto" w:sz="4" w:space="0"/>
              <w:bottom w:val="single" w:color="auto" w:sz="4" w:space="0"/>
              <w:right w:val="single" w:color="auto" w:sz="4" w:space="0"/>
            </w:tcBorders>
            <w:vAlign w:val="center"/>
          </w:tcPr>
          <w:p w14:paraId="3D92416B">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不允许</w:t>
            </w:r>
          </w:p>
        </w:tc>
      </w:tr>
      <w:tr w14:paraId="13328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3B6380CD">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13</w:t>
            </w:r>
          </w:p>
        </w:tc>
        <w:tc>
          <w:tcPr>
            <w:tcW w:w="2106" w:type="dxa"/>
            <w:tcBorders>
              <w:top w:val="single" w:color="auto" w:sz="4" w:space="0"/>
              <w:left w:val="single" w:color="auto" w:sz="4" w:space="0"/>
              <w:bottom w:val="single" w:color="auto" w:sz="4" w:space="0"/>
              <w:right w:val="single" w:color="auto" w:sz="4" w:space="0"/>
            </w:tcBorders>
            <w:vAlign w:val="center"/>
          </w:tcPr>
          <w:p w14:paraId="7B1D684E">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偏差</w:t>
            </w:r>
          </w:p>
        </w:tc>
        <w:tc>
          <w:tcPr>
            <w:tcW w:w="7104" w:type="dxa"/>
            <w:tcBorders>
              <w:top w:val="single" w:color="auto" w:sz="4" w:space="0"/>
              <w:left w:val="single" w:color="auto" w:sz="4" w:space="0"/>
              <w:bottom w:val="single" w:color="auto" w:sz="4" w:space="0"/>
              <w:right w:val="single" w:color="auto" w:sz="4" w:space="0"/>
            </w:tcBorders>
            <w:vAlign w:val="center"/>
          </w:tcPr>
          <w:p w14:paraId="68D3404C">
            <w:pPr>
              <w:keepNext w:val="0"/>
              <w:keepLines w:val="0"/>
              <w:pageBreakBefore w:val="0"/>
              <w:kinsoku/>
              <w:wordWrap/>
              <w:overflowPunct/>
              <w:bidi w:val="0"/>
              <w:spacing w:line="360" w:lineRule="exact"/>
              <w:ind w:firstLine="422" w:firstLineChars="200"/>
              <w:jc w:val="both"/>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b/>
                <w:bCs/>
                <w:color w:val="auto"/>
                <w:szCs w:val="21"/>
                <w:highlight w:val="none"/>
              </w:rPr>
              <w:t>不允许任何负偏差</w:t>
            </w:r>
            <w:r>
              <w:rPr>
                <w:rFonts w:hint="eastAsia" w:ascii="宋体" w:hAnsi="宋体" w:cs="宋体"/>
                <w:b/>
                <w:bCs/>
                <w:color w:val="auto"/>
                <w:szCs w:val="21"/>
                <w:highlight w:val="none"/>
                <w:lang w:eastAsia="zh-CN"/>
              </w:rPr>
              <w:t>；</w:t>
            </w:r>
            <w:r>
              <w:rPr>
                <w:rFonts w:hint="eastAsia" w:ascii="宋体" w:hAnsi="宋体" w:cs="宋体"/>
                <w:b/>
                <w:bCs/>
                <w:color w:val="auto"/>
                <w:szCs w:val="21"/>
                <w:highlight w:val="none"/>
              </w:rPr>
              <w:t>除</w:t>
            </w:r>
            <w:r>
              <w:rPr>
                <w:rFonts w:hint="eastAsia" w:ascii="宋体" w:hAnsi="宋体"/>
                <w:b/>
                <w:bCs/>
                <w:color w:val="auto"/>
                <w:szCs w:val="21"/>
                <w:highlight w:val="none"/>
              </w:rPr>
              <w:t>“第</w:t>
            </w:r>
            <w:r>
              <w:rPr>
                <w:rFonts w:hint="eastAsia" w:ascii="宋体" w:hAnsi="宋体"/>
                <w:b/>
                <w:bCs/>
                <w:color w:val="auto"/>
                <w:szCs w:val="21"/>
                <w:highlight w:val="none"/>
                <w:lang w:val="en-US" w:eastAsia="zh-CN"/>
              </w:rPr>
              <w:t>六</w:t>
            </w:r>
            <w:r>
              <w:rPr>
                <w:rFonts w:hint="eastAsia" w:ascii="宋体" w:hAnsi="宋体"/>
                <w:b/>
                <w:bCs/>
                <w:color w:val="auto"/>
                <w:szCs w:val="21"/>
                <w:highlight w:val="none"/>
              </w:rPr>
              <w:t>章 技术要求”按技术评分外，</w:t>
            </w:r>
            <w:r>
              <w:rPr>
                <w:rFonts w:hint="eastAsia" w:ascii="宋体" w:hAnsi="宋体" w:cs="宋体"/>
                <w:b/>
                <w:bCs/>
                <w:color w:val="auto"/>
                <w:szCs w:val="21"/>
                <w:highlight w:val="none"/>
              </w:rPr>
              <w:t>其余条款不允许任何负偏差</w:t>
            </w:r>
            <w:r>
              <w:rPr>
                <w:rFonts w:hint="eastAsia" w:ascii="宋体" w:hAnsi="宋体" w:cs="宋体"/>
                <w:b/>
                <w:bCs/>
                <w:color w:val="auto"/>
                <w:szCs w:val="21"/>
                <w:highlight w:val="none"/>
                <w:lang w:val="en-US" w:eastAsia="zh-CN"/>
              </w:rPr>
              <w:t>（针对技术条款需要评分的内容按此条执行）</w:t>
            </w:r>
            <w:r>
              <w:rPr>
                <w:rFonts w:ascii="宋体" w:hAnsi="宋体" w:cs="宋体"/>
                <w:b/>
                <w:bCs/>
                <w:color w:val="auto"/>
                <w:szCs w:val="21"/>
                <w:highlight w:val="none"/>
              </w:rPr>
              <w:t>。</w:t>
            </w:r>
          </w:p>
        </w:tc>
      </w:tr>
      <w:tr w14:paraId="74095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184E5A37">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14</w:t>
            </w:r>
          </w:p>
        </w:tc>
        <w:tc>
          <w:tcPr>
            <w:tcW w:w="2106" w:type="dxa"/>
            <w:tcBorders>
              <w:top w:val="single" w:color="auto" w:sz="4" w:space="0"/>
              <w:left w:val="single" w:color="auto" w:sz="4" w:space="0"/>
              <w:bottom w:val="single" w:color="auto" w:sz="4" w:space="0"/>
              <w:right w:val="single" w:color="auto" w:sz="4" w:space="0"/>
            </w:tcBorders>
            <w:vAlign w:val="center"/>
          </w:tcPr>
          <w:p w14:paraId="00D78C34">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构成比选文件的其他材料</w:t>
            </w:r>
          </w:p>
        </w:tc>
        <w:tc>
          <w:tcPr>
            <w:tcW w:w="7104" w:type="dxa"/>
            <w:tcBorders>
              <w:top w:val="single" w:color="auto" w:sz="4" w:space="0"/>
              <w:left w:val="single" w:color="auto" w:sz="4" w:space="0"/>
              <w:bottom w:val="single" w:color="auto" w:sz="4" w:space="0"/>
              <w:right w:val="single" w:color="auto" w:sz="4" w:space="0"/>
            </w:tcBorders>
            <w:vAlign w:val="center"/>
          </w:tcPr>
          <w:p w14:paraId="43AA4844">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采购人发布的图纸、补遗书、答疑、澄清、最高限价通知等附件。</w:t>
            </w:r>
          </w:p>
        </w:tc>
      </w:tr>
      <w:tr w14:paraId="4E8D4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4D509147">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15</w:t>
            </w:r>
          </w:p>
        </w:tc>
        <w:tc>
          <w:tcPr>
            <w:tcW w:w="2106" w:type="dxa"/>
            <w:tcBorders>
              <w:top w:val="single" w:color="auto" w:sz="4" w:space="0"/>
              <w:left w:val="single" w:color="auto" w:sz="4" w:space="0"/>
              <w:bottom w:val="single" w:color="auto" w:sz="4" w:space="0"/>
              <w:right w:val="single" w:color="auto" w:sz="4" w:space="0"/>
            </w:tcBorders>
            <w:vAlign w:val="center"/>
          </w:tcPr>
          <w:p w14:paraId="44C1F5BA">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构成竞争性比选响应文件的其他材料</w:t>
            </w:r>
          </w:p>
        </w:tc>
        <w:tc>
          <w:tcPr>
            <w:tcW w:w="7104" w:type="dxa"/>
            <w:tcBorders>
              <w:top w:val="single" w:color="auto" w:sz="4" w:space="0"/>
              <w:left w:val="single" w:color="auto" w:sz="4" w:space="0"/>
              <w:bottom w:val="single" w:color="auto" w:sz="4" w:space="0"/>
              <w:right w:val="single" w:color="auto" w:sz="4" w:space="0"/>
            </w:tcBorders>
            <w:vAlign w:val="center"/>
          </w:tcPr>
          <w:p w14:paraId="27CB8FC6">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报价人书面澄清或补正，但不得改变竞争性比选响应文件实质。</w:t>
            </w:r>
          </w:p>
        </w:tc>
      </w:tr>
      <w:tr w14:paraId="5D936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tcBorders>
              <w:bottom w:val="single" w:color="auto" w:sz="4" w:space="0"/>
            </w:tcBorders>
            <w:shd w:val="clear" w:color="auto" w:fill="auto"/>
            <w:vAlign w:val="center"/>
          </w:tcPr>
          <w:p w14:paraId="5BC66942">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16</w:t>
            </w:r>
          </w:p>
        </w:tc>
        <w:tc>
          <w:tcPr>
            <w:tcW w:w="2106" w:type="dxa"/>
            <w:tcBorders>
              <w:top w:val="single" w:color="auto" w:sz="4" w:space="0"/>
              <w:left w:val="single" w:color="auto" w:sz="4" w:space="0"/>
              <w:bottom w:val="single" w:color="auto" w:sz="4" w:space="0"/>
              <w:right w:val="single" w:color="auto" w:sz="4" w:space="0"/>
            </w:tcBorders>
            <w:vAlign w:val="center"/>
          </w:tcPr>
          <w:p w14:paraId="2FC039A0">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报价清单的填写方式</w:t>
            </w:r>
          </w:p>
        </w:tc>
        <w:tc>
          <w:tcPr>
            <w:tcW w:w="7104" w:type="dxa"/>
            <w:tcBorders>
              <w:top w:val="single" w:color="auto" w:sz="4" w:space="0"/>
              <w:left w:val="single" w:color="auto" w:sz="4" w:space="0"/>
              <w:bottom w:val="single" w:color="auto" w:sz="4" w:space="0"/>
              <w:right w:val="single" w:color="auto" w:sz="4" w:space="0"/>
            </w:tcBorders>
            <w:vAlign w:val="center"/>
          </w:tcPr>
          <w:p w14:paraId="07C3CC6E">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报价人按照采购人提供的报价清单填写报价。</w:t>
            </w:r>
          </w:p>
          <w:p w14:paraId="5897308F">
            <w:pPr>
              <w:keepNext w:val="0"/>
              <w:keepLines w:val="0"/>
              <w:pageBreakBefore w:val="0"/>
              <w:kinsoku/>
              <w:wordWrap/>
              <w:overflowPunct/>
              <w:bidi w:val="0"/>
              <w:spacing w:line="360" w:lineRule="exact"/>
              <w:ind w:firstLine="422"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本项目报价清单及说明随比选文件一并发布，详见附件</w:t>
            </w:r>
            <w:r>
              <w:rPr>
                <w:rFonts w:hint="eastAsia" w:ascii="宋体" w:hAnsi="宋体" w:cs="宋体"/>
                <w:b/>
                <w:bCs/>
                <w:color w:val="auto"/>
                <w:sz w:val="21"/>
                <w:szCs w:val="21"/>
                <w:highlight w:val="none"/>
                <w:lang w:val="en-US" w:eastAsia="zh-CN"/>
              </w:rPr>
              <w:t>(如有)</w:t>
            </w:r>
            <w:r>
              <w:rPr>
                <w:rFonts w:hint="eastAsia" w:ascii="宋体" w:hAnsi="宋体" w:eastAsia="宋体" w:cs="宋体"/>
                <w:b/>
                <w:bCs/>
                <w:color w:val="auto"/>
                <w:sz w:val="21"/>
                <w:szCs w:val="21"/>
                <w:highlight w:val="none"/>
              </w:rPr>
              <w:t>。</w:t>
            </w:r>
          </w:p>
        </w:tc>
      </w:tr>
      <w:tr w14:paraId="774BC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7" w:type="dxa"/>
            <w:tcBorders>
              <w:bottom w:val="single" w:color="auto" w:sz="4" w:space="0"/>
            </w:tcBorders>
            <w:shd w:val="clear" w:color="auto" w:fill="auto"/>
            <w:vAlign w:val="center"/>
          </w:tcPr>
          <w:p w14:paraId="09E9ADEC">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w:t>
            </w:r>
          </w:p>
        </w:tc>
        <w:tc>
          <w:tcPr>
            <w:tcW w:w="2106" w:type="dxa"/>
            <w:tcBorders>
              <w:top w:val="single" w:color="auto" w:sz="4" w:space="0"/>
              <w:left w:val="single" w:color="auto" w:sz="4" w:space="0"/>
              <w:bottom w:val="single" w:color="auto" w:sz="4" w:space="0"/>
              <w:right w:val="single" w:color="auto" w:sz="4" w:space="0"/>
            </w:tcBorders>
            <w:vAlign w:val="center"/>
          </w:tcPr>
          <w:p w14:paraId="14359D4D">
            <w:pPr>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最高投标限价</w:t>
            </w:r>
          </w:p>
        </w:tc>
        <w:tc>
          <w:tcPr>
            <w:tcW w:w="7104" w:type="dxa"/>
            <w:tcBorders>
              <w:top w:val="single" w:color="auto" w:sz="4" w:space="0"/>
              <w:left w:val="single" w:color="auto" w:sz="4" w:space="0"/>
              <w:bottom w:val="single" w:color="auto" w:sz="4" w:space="0"/>
              <w:right w:val="single" w:color="auto" w:sz="4" w:space="0"/>
            </w:tcBorders>
            <w:vAlign w:val="center"/>
          </w:tcPr>
          <w:p w14:paraId="6A7BA683">
            <w:pPr>
              <w:keepNext w:val="0"/>
              <w:keepLines w:val="0"/>
              <w:pageBreakBefore w:val="0"/>
              <w:kinsoku/>
              <w:wordWrap/>
              <w:overflowPunct/>
              <w:bidi w:val="0"/>
              <w:spacing w:line="360" w:lineRule="exact"/>
              <w:ind w:firstLine="422" w:firstLineChars="200"/>
              <w:jc w:val="both"/>
              <w:textAlignment w:val="auto"/>
              <w:rPr>
                <w:rFonts w:hint="eastAsia" w:ascii="宋体" w:hAnsi="宋体" w:eastAsia="宋体" w:cs="宋体"/>
                <w:color w:val="auto"/>
                <w:sz w:val="21"/>
                <w:szCs w:val="21"/>
                <w:highlight w:val="none"/>
              </w:rPr>
            </w:pPr>
            <w:r>
              <w:rPr>
                <w:rFonts w:hint="eastAsia" w:ascii="宋体" w:hAnsi="宋体" w:cs="宋体"/>
                <w:b/>
                <w:bCs/>
                <w:color w:val="auto"/>
                <w:sz w:val="21"/>
                <w:szCs w:val="21"/>
                <w:highlight w:val="none"/>
                <w:lang w:val="en-US" w:eastAsia="zh-CN"/>
              </w:rPr>
              <w:t>本</w:t>
            </w:r>
            <w:r>
              <w:rPr>
                <w:rFonts w:hint="eastAsia" w:ascii="宋体" w:hAnsi="宋体" w:eastAsia="宋体" w:cs="宋体"/>
                <w:b/>
                <w:bCs/>
                <w:color w:val="auto"/>
                <w:sz w:val="21"/>
                <w:szCs w:val="21"/>
                <w:highlight w:val="none"/>
              </w:rPr>
              <w:t>项目</w:t>
            </w:r>
            <w:r>
              <w:rPr>
                <w:rFonts w:hint="eastAsia" w:ascii="宋体" w:hAnsi="宋体" w:cs="宋体"/>
                <w:b/>
                <w:bCs/>
                <w:color w:val="auto"/>
                <w:sz w:val="21"/>
                <w:szCs w:val="21"/>
                <w:highlight w:val="none"/>
                <w:lang w:val="en-US" w:eastAsia="zh-CN"/>
              </w:rPr>
              <w:t>设置报价总价</w:t>
            </w:r>
            <w:r>
              <w:rPr>
                <w:rFonts w:hint="eastAsia" w:ascii="宋体" w:hAnsi="宋体" w:eastAsia="宋体" w:cs="宋体"/>
                <w:b/>
                <w:bCs/>
                <w:color w:val="auto"/>
                <w:sz w:val="21"/>
                <w:szCs w:val="21"/>
                <w:highlight w:val="none"/>
              </w:rPr>
              <w:t>最高限价：</w:t>
            </w:r>
            <w:r>
              <w:rPr>
                <w:rFonts w:hint="eastAsia" w:ascii="宋体" w:hAnsi="宋体" w:cs="宋体"/>
                <w:b/>
                <w:bCs/>
                <w:color w:val="auto"/>
                <w:sz w:val="21"/>
                <w:szCs w:val="21"/>
                <w:highlight w:val="none"/>
                <w:u w:val="single"/>
                <w:lang w:val="en-US" w:eastAsia="zh-CN"/>
              </w:rPr>
              <w:t>108000.00</w:t>
            </w:r>
            <w:r>
              <w:rPr>
                <w:rFonts w:hint="eastAsia" w:ascii="宋体" w:hAnsi="宋体" w:eastAsia="宋体" w:cs="宋体"/>
                <w:b/>
                <w:bCs/>
                <w:color w:val="auto"/>
                <w:sz w:val="21"/>
                <w:szCs w:val="21"/>
                <w:highlight w:val="none"/>
                <w:u w:val="none"/>
              </w:rPr>
              <w:t>元</w:t>
            </w:r>
            <w:r>
              <w:rPr>
                <w:rFonts w:hint="eastAsia" w:ascii="宋体" w:hAnsi="宋体" w:cs="宋体"/>
                <w:b/>
                <w:bCs/>
                <w:color w:val="auto"/>
                <w:sz w:val="21"/>
                <w:szCs w:val="21"/>
                <w:highlight w:val="none"/>
                <w:u w:val="none"/>
                <w:lang w:eastAsia="zh-CN"/>
              </w:rPr>
              <w:t>，</w:t>
            </w:r>
            <w:r>
              <w:rPr>
                <w:rFonts w:hint="eastAsia" w:ascii="宋体" w:hAnsi="宋体" w:cs="宋体"/>
                <w:b/>
                <w:bCs/>
                <w:color w:val="auto"/>
                <w:sz w:val="21"/>
                <w:szCs w:val="21"/>
                <w:highlight w:val="none"/>
                <w:u w:val="none"/>
                <w:lang w:val="en-US" w:eastAsia="zh-CN"/>
              </w:rPr>
              <w:t>单价限价详见“第五章 采购清单”</w:t>
            </w:r>
            <w:r>
              <w:rPr>
                <w:rFonts w:hint="eastAsia" w:ascii="宋体" w:hAnsi="宋体" w:eastAsia="宋体" w:cs="宋体"/>
                <w:b/>
                <w:bCs/>
                <w:color w:val="auto"/>
                <w:sz w:val="21"/>
                <w:szCs w:val="21"/>
                <w:highlight w:val="none"/>
                <w:u w:val="none"/>
              </w:rPr>
              <w:t>。</w:t>
            </w:r>
            <w:bookmarkStart w:id="52" w:name="_GoBack"/>
            <w:bookmarkEnd w:id="52"/>
          </w:p>
          <w:p w14:paraId="2A509B3A">
            <w:pPr>
              <w:keepNext w:val="0"/>
              <w:keepLines w:val="0"/>
              <w:pageBreakBefore w:val="0"/>
              <w:kinsoku/>
              <w:wordWrap/>
              <w:overflowPunct/>
              <w:bidi w:val="0"/>
              <w:spacing w:line="360" w:lineRule="exact"/>
              <w:ind w:firstLine="422"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报价人所报</w:t>
            </w:r>
            <w:r>
              <w:rPr>
                <w:rFonts w:hint="eastAsia" w:ascii="宋体" w:hAnsi="宋体" w:cs="宋体"/>
                <w:b/>
                <w:color w:val="auto"/>
                <w:sz w:val="21"/>
                <w:szCs w:val="21"/>
                <w:highlight w:val="none"/>
                <w:lang w:val="en-US" w:eastAsia="zh-CN"/>
              </w:rPr>
              <w:t>报价均</w:t>
            </w:r>
            <w:r>
              <w:rPr>
                <w:rFonts w:hint="eastAsia" w:ascii="宋体" w:hAnsi="宋体" w:eastAsia="宋体" w:cs="宋体"/>
                <w:b/>
                <w:color w:val="auto"/>
                <w:sz w:val="21"/>
                <w:szCs w:val="21"/>
                <w:highlight w:val="none"/>
              </w:rPr>
              <w:t>不得超过采购人发布的</w:t>
            </w:r>
            <w:r>
              <w:rPr>
                <w:rFonts w:hint="eastAsia" w:ascii="宋体" w:hAnsi="宋体" w:cs="宋体"/>
                <w:b/>
                <w:color w:val="auto"/>
                <w:sz w:val="21"/>
                <w:szCs w:val="21"/>
                <w:highlight w:val="none"/>
                <w:lang w:val="en-US" w:eastAsia="zh-CN"/>
              </w:rPr>
              <w:t>最高</w:t>
            </w:r>
            <w:r>
              <w:rPr>
                <w:rFonts w:hint="eastAsia" w:ascii="宋体" w:hAnsi="宋体" w:eastAsia="宋体" w:cs="宋体"/>
                <w:b/>
                <w:color w:val="auto"/>
                <w:sz w:val="21"/>
                <w:szCs w:val="21"/>
                <w:highlight w:val="none"/>
              </w:rPr>
              <w:t>限价，若有报价高于采购人发布的</w:t>
            </w:r>
            <w:r>
              <w:rPr>
                <w:rFonts w:hint="eastAsia" w:ascii="宋体" w:hAnsi="宋体" w:cs="宋体"/>
                <w:b/>
                <w:color w:val="auto"/>
                <w:sz w:val="21"/>
                <w:szCs w:val="21"/>
                <w:highlight w:val="none"/>
                <w:lang w:val="en-US" w:eastAsia="zh-CN"/>
              </w:rPr>
              <w:t>最高</w:t>
            </w:r>
            <w:r>
              <w:rPr>
                <w:rFonts w:hint="eastAsia" w:ascii="宋体" w:hAnsi="宋体" w:eastAsia="宋体" w:cs="宋体"/>
                <w:b/>
                <w:color w:val="auto"/>
                <w:sz w:val="21"/>
                <w:szCs w:val="21"/>
                <w:highlight w:val="none"/>
              </w:rPr>
              <w:t>限价，其竞争性比选响应文件视为重大偏差，竞争性比选响应文件将按否决报价处理</w:t>
            </w:r>
            <w:r>
              <w:rPr>
                <w:rFonts w:hint="eastAsia" w:ascii="宋体" w:hAnsi="宋体" w:eastAsia="宋体" w:cs="宋体"/>
                <w:b/>
                <w:bCs/>
                <w:color w:val="auto"/>
                <w:kern w:val="0"/>
                <w:sz w:val="21"/>
                <w:szCs w:val="21"/>
                <w:highlight w:val="none"/>
              </w:rPr>
              <w:t>。</w:t>
            </w:r>
          </w:p>
        </w:tc>
      </w:tr>
      <w:tr w14:paraId="271AE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28007B44">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18</w:t>
            </w:r>
          </w:p>
        </w:tc>
        <w:tc>
          <w:tcPr>
            <w:tcW w:w="2106" w:type="dxa"/>
            <w:tcBorders>
              <w:top w:val="single" w:color="auto" w:sz="4" w:space="0"/>
              <w:left w:val="single" w:color="auto" w:sz="4" w:space="0"/>
              <w:bottom w:val="single" w:color="auto" w:sz="4" w:space="0"/>
              <w:right w:val="single" w:color="auto" w:sz="4" w:space="0"/>
            </w:tcBorders>
            <w:vAlign w:val="center"/>
          </w:tcPr>
          <w:p w14:paraId="366A4021">
            <w:pPr>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合同支付办法</w:t>
            </w:r>
          </w:p>
        </w:tc>
        <w:tc>
          <w:tcPr>
            <w:tcW w:w="7104" w:type="dxa"/>
            <w:tcBorders>
              <w:top w:val="single" w:color="auto" w:sz="4" w:space="0"/>
              <w:left w:val="single" w:color="auto" w:sz="4" w:space="0"/>
              <w:bottom w:val="single" w:color="auto" w:sz="4" w:space="0"/>
              <w:right w:val="single" w:color="auto" w:sz="4" w:space="0"/>
            </w:tcBorders>
            <w:vAlign w:val="center"/>
          </w:tcPr>
          <w:p w14:paraId="495B1796">
            <w:pPr>
              <w:pStyle w:val="29"/>
              <w:keepNext w:val="0"/>
              <w:keepLines w:val="0"/>
              <w:pageBreakBefore w:val="0"/>
              <w:widowControl/>
              <w:kinsoku/>
              <w:wordWrap/>
              <w:overflowPunct/>
              <w:bidi w:val="0"/>
              <w:spacing w:before="0" w:after="0" w:line="360" w:lineRule="exact"/>
              <w:ind w:firstLine="422"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（1）据实计量，以每季度为一个计量周期，进行一次租金支付。</w:t>
            </w:r>
          </w:p>
          <w:p w14:paraId="5549E882">
            <w:pPr>
              <w:pStyle w:val="29"/>
              <w:keepNext w:val="0"/>
              <w:keepLines w:val="0"/>
              <w:pageBreakBefore w:val="0"/>
              <w:widowControl/>
              <w:kinsoku/>
              <w:wordWrap/>
              <w:overflowPunct/>
              <w:bidi w:val="0"/>
              <w:spacing w:before="0" w:after="0" w:line="360" w:lineRule="exact"/>
              <w:ind w:firstLine="422"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（2）乙方应于甲方每次付款（预付款除外）前提供等额增值税专用发票给甲方。</w:t>
            </w:r>
          </w:p>
          <w:p w14:paraId="0DAB3A40">
            <w:pPr>
              <w:pStyle w:val="29"/>
              <w:keepNext w:val="0"/>
              <w:keepLines w:val="0"/>
              <w:pageBreakBefore w:val="0"/>
              <w:widowControl/>
              <w:kinsoku/>
              <w:wordWrap/>
              <w:overflowPunct/>
              <w:bidi w:val="0"/>
              <w:spacing w:before="0" w:after="0" w:line="360" w:lineRule="exact"/>
              <w:ind w:firstLine="422" w:firstLineChars="200"/>
              <w:jc w:val="both"/>
              <w:textAlignment w:val="auto"/>
              <w:rPr>
                <w:rFonts w:hint="default" w:ascii="宋体" w:hAnsi="宋体" w:eastAsia="宋体" w:cs="宋体"/>
                <w:color w:val="auto"/>
                <w:sz w:val="21"/>
                <w:szCs w:val="21"/>
                <w:highlight w:val="none"/>
                <w:lang w:val="en-US"/>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lang w:eastAsia="zh-CN"/>
              </w:rPr>
              <w:t>每次付款由乙方主动提出书面申请，经甲方业务部门确认后，30个工作日内全额支付（质量保证金不计任何利息），若乙方未提出书面申请，则相应的延迟责任由乙方自行承担；甲方每次付款前，乙方应向甲方开具等额增值税专用发票，否则甲方有权拒绝付款。</w:t>
            </w:r>
          </w:p>
        </w:tc>
      </w:tr>
      <w:tr w14:paraId="0C937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023BF050">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19</w:t>
            </w:r>
          </w:p>
        </w:tc>
        <w:tc>
          <w:tcPr>
            <w:tcW w:w="2106" w:type="dxa"/>
            <w:tcBorders>
              <w:top w:val="single" w:color="auto" w:sz="4" w:space="0"/>
              <w:left w:val="single" w:color="auto" w:sz="4" w:space="0"/>
              <w:bottom w:val="single" w:color="auto" w:sz="4" w:space="0"/>
              <w:right w:val="single" w:color="auto" w:sz="4" w:space="0"/>
            </w:tcBorders>
            <w:vAlign w:val="center"/>
          </w:tcPr>
          <w:p w14:paraId="0CB2E77B">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中标候选人的人数</w:t>
            </w:r>
          </w:p>
        </w:tc>
        <w:tc>
          <w:tcPr>
            <w:tcW w:w="7104" w:type="dxa"/>
            <w:tcBorders>
              <w:top w:val="single" w:color="auto" w:sz="4" w:space="0"/>
              <w:left w:val="single" w:color="auto" w:sz="4" w:space="0"/>
              <w:bottom w:val="single" w:color="auto" w:sz="4" w:space="0"/>
              <w:right w:val="single" w:color="auto" w:sz="4" w:space="0"/>
            </w:tcBorders>
            <w:vAlign w:val="center"/>
          </w:tcPr>
          <w:p w14:paraId="56D804B1">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推荐的中标候选人数：2名。</w:t>
            </w:r>
          </w:p>
        </w:tc>
      </w:tr>
      <w:tr w14:paraId="089B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7" w:type="dxa"/>
            <w:shd w:val="clear" w:color="auto" w:fill="auto"/>
            <w:vAlign w:val="center"/>
          </w:tcPr>
          <w:p w14:paraId="4DC03D4D">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20</w:t>
            </w:r>
          </w:p>
        </w:tc>
        <w:tc>
          <w:tcPr>
            <w:tcW w:w="2106" w:type="dxa"/>
            <w:tcBorders>
              <w:top w:val="single" w:color="auto" w:sz="4" w:space="0"/>
              <w:left w:val="single" w:color="auto" w:sz="4" w:space="0"/>
              <w:bottom w:val="single" w:color="auto" w:sz="4" w:space="0"/>
              <w:right w:val="single" w:color="auto" w:sz="4" w:space="0"/>
            </w:tcBorders>
            <w:vAlign w:val="center"/>
          </w:tcPr>
          <w:p w14:paraId="4F8CBD11">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保证金</w:t>
            </w:r>
          </w:p>
        </w:tc>
        <w:tc>
          <w:tcPr>
            <w:tcW w:w="7104" w:type="dxa"/>
            <w:tcBorders>
              <w:top w:val="single" w:color="auto" w:sz="4" w:space="0"/>
              <w:left w:val="single" w:color="auto" w:sz="4" w:space="0"/>
              <w:bottom w:val="single" w:color="auto" w:sz="4" w:space="0"/>
              <w:right w:val="single" w:color="auto" w:sz="4" w:space="0"/>
            </w:tcBorders>
            <w:vAlign w:val="center"/>
          </w:tcPr>
          <w:p w14:paraId="71A7FB7D">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14:paraId="66B8AC56">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000000" w:themeColor="text1"/>
                <w:sz w:val="21"/>
                <w:szCs w:val="21"/>
                <w:highlight w:val="none"/>
                <w:lang w:val="en-US"/>
                <w14:textFill>
                  <w14:solidFill>
                    <w14:schemeClr w14:val="tx1"/>
                  </w14:solidFill>
                </w14:textFill>
              </w:rPr>
            </w:pP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报价人是否提供</w:t>
            </w:r>
            <w:r>
              <w:rPr>
                <w:rFonts w:hint="eastAsia" w:ascii="宋体" w:hAnsi="宋体" w:cs="宋体"/>
                <w:b w:val="0"/>
                <w:bCs w:val="0"/>
                <w:color w:val="000000" w:themeColor="text1"/>
                <w:kern w:val="0"/>
                <w:sz w:val="21"/>
                <w:szCs w:val="18"/>
                <w:highlight w:val="none"/>
                <w:lang w:bidi="ar"/>
                <w14:textFill>
                  <w14:solidFill>
                    <w14:schemeClr w14:val="tx1"/>
                  </w14:solidFill>
                </w14:textFill>
              </w:rPr>
              <w:t>投标保证金</w:t>
            </w:r>
            <w:r>
              <w:rPr>
                <w:rFonts w:hint="eastAsia" w:ascii="宋体" w:hAnsi="宋体" w:cs="宋体"/>
                <w:b w:val="0"/>
                <w:bCs w:val="0"/>
                <w:color w:val="000000" w:themeColor="text1"/>
                <w:kern w:val="0"/>
                <w:sz w:val="21"/>
                <w:szCs w:val="18"/>
                <w:highlight w:val="none"/>
                <w:lang w:eastAsia="zh-CN" w:bidi="ar"/>
                <w14:textFill>
                  <w14:solidFill>
                    <w14:schemeClr w14:val="tx1"/>
                  </w14:solidFill>
                </w14:textFill>
              </w:rPr>
              <w:t>：</w:t>
            </w: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是</w:t>
            </w:r>
          </w:p>
          <w:p w14:paraId="63F4662E">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1、报价人须缴纳投标保证金</w:t>
            </w:r>
            <w:r>
              <w:rPr>
                <w:rFonts w:hint="eastAsia" w:hAnsi="宋体" w:cs="宋体"/>
                <w:color w:val="000000" w:themeColor="text1"/>
                <w:sz w:val="21"/>
                <w:szCs w:val="21"/>
                <w:highlight w:val="none"/>
                <w:u w:val="single"/>
                <w:lang w:val="en-US" w:eastAsia="zh-CN"/>
                <w14:textFill>
                  <w14:solidFill>
                    <w14:schemeClr w14:val="tx1"/>
                  </w14:solidFill>
                </w14:textFill>
              </w:rPr>
              <w:t>2000.00</w:t>
            </w:r>
            <w:r>
              <w:rPr>
                <w:rFonts w:hint="eastAsia" w:ascii="宋体" w:hAnsi="宋体" w:eastAsia="宋体" w:cs="宋体"/>
                <w:color w:val="000000" w:themeColor="text1"/>
                <w:sz w:val="21"/>
                <w:szCs w:val="21"/>
                <w:highlight w:val="none"/>
                <w14:textFill>
                  <w14:solidFill>
                    <w14:schemeClr w14:val="tx1"/>
                  </w14:solidFill>
                </w14:textFill>
              </w:rPr>
              <w:t>元，由报价人从公司基本账户将投标保证金汇至以下指定账户：</w:t>
            </w:r>
          </w:p>
          <w:p w14:paraId="590B69B8">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保证金到账截止</w:t>
            </w:r>
            <w:r>
              <w:rPr>
                <w:rFonts w:hint="eastAsia" w:ascii="宋体" w:hAnsi="宋体" w:eastAsia="宋体" w:cs="宋体"/>
                <w:caps/>
                <w:color w:val="000000" w:themeColor="text1"/>
                <w:kern w:val="2"/>
                <w:sz w:val="21"/>
                <w:szCs w:val="21"/>
                <w:highlight w:val="none"/>
                <w:shd w:val="clear" w:color="auto" w:fill="FFFFFF"/>
                <w14:textFill>
                  <w14:solidFill>
                    <w14:schemeClr w14:val="tx1"/>
                  </w14:solidFill>
                </w14:textFill>
              </w:rPr>
              <w:t>时间：</w:t>
            </w:r>
            <w:r>
              <w:rPr>
                <w:rFonts w:hint="eastAsia" w:hAnsi="宋体" w:cs="宋体"/>
                <w:color w:val="000000" w:themeColor="text1"/>
                <w:sz w:val="21"/>
                <w:szCs w:val="21"/>
                <w:highlight w:val="none"/>
                <w:lang w:val="en-US" w:eastAsia="zh-CN"/>
                <w14:textFill>
                  <w14:solidFill>
                    <w14:schemeClr w14:val="tx1"/>
                  </w14:solidFill>
                </w14:textFill>
              </w:rPr>
              <w:t>开标截止时间</w:t>
            </w:r>
            <w:r>
              <w:rPr>
                <w:rFonts w:hint="eastAsia" w:ascii="宋体" w:hAnsi="宋体" w:eastAsia="宋体" w:cs="宋体"/>
                <w:color w:val="000000" w:themeColor="text1"/>
                <w:sz w:val="21"/>
                <w:szCs w:val="21"/>
                <w:highlight w:val="none"/>
                <w14:textFill>
                  <w14:solidFill>
                    <w14:schemeClr w14:val="tx1"/>
                  </w14:solidFill>
                </w14:textFill>
              </w:rPr>
              <w:t>前</w:t>
            </w:r>
            <w:r>
              <w:rPr>
                <w:rFonts w:hint="eastAsia" w:ascii="宋体" w:hAnsi="宋体" w:eastAsia="宋体" w:cs="宋体"/>
                <w:caps/>
                <w:color w:val="000000" w:themeColor="text1"/>
                <w:kern w:val="2"/>
                <w:sz w:val="21"/>
                <w:szCs w:val="21"/>
                <w:highlight w:val="none"/>
                <w:shd w:val="clear" w:color="auto" w:fill="FFFFFF"/>
                <w14:textFill>
                  <w14:solidFill>
                    <w14:schemeClr w14:val="tx1"/>
                  </w14:solidFill>
                </w14:textFill>
              </w:rPr>
              <w:t>；</w:t>
            </w:r>
          </w:p>
          <w:p w14:paraId="73FEBCF0">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若竞争性比选响应文件内无投标保证金缴纳凭证，采购人有权作废标处理，若投标保证金存在虚假不实情况，采购人有权作废标处理。</w:t>
            </w:r>
          </w:p>
          <w:p w14:paraId="0069ECDB">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转款备注：</w:t>
            </w:r>
            <w:r>
              <w:rPr>
                <w:rFonts w:hint="eastAsia" w:ascii="宋体" w:hAnsi="宋体" w:eastAsia="宋体" w:cs="宋体"/>
                <w:i/>
                <w:iCs/>
                <w:color w:val="000000" w:themeColor="text1"/>
                <w:sz w:val="21"/>
                <w:szCs w:val="21"/>
                <w:highlight w:val="none"/>
                <w:u w:val="single"/>
                <w14:textFill>
                  <w14:solidFill>
                    <w14:schemeClr w14:val="tx1"/>
                  </w14:solidFill>
                </w14:textFill>
              </w:rPr>
              <w:t xml:space="preserve">             （项目名称）</w:t>
            </w:r>
            <w:r>
              <w:rPr>
                <w:rFonts w:hint="eastAsia" w:ascii="宋体" w:hAnsi="宋体" w:eastAsia="宋体" w:cs="宋体"/>
                <w:color w:val="000000" w:themeColor="text1"/>
                <w:sz w:val="21"/>
                <w:szCs w:val="21"/>
                <w:highlight w:val="none"/>
                <w14:textFill>
                  <w14:solidFill>
                    <w14:schemeClr w14:val="tx1"/>
                  </w14:solidFill>
                </w14:textFill>
              </w:rPr>
              <w:t>投标保证金</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项目名称可简写</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b/>
                <w:bCs/>
                <w:color w:val="000000" w:themeColor="text1"/>
                <w:sz w:val="21"/>
                <w:szCs w:val="21"/>
                <w:highlight w:val="none"/>
                <w14:textFill>
                  <w14:solidFill>
                    <w14:schemeClr w14:val="tx1"/>
                  </w14:solidFill>
                </w14:textFill>
              </w:rPr>
              <w:t>。</w:t>
            </w:r>
          </w:p>
          <w:p w14:paraId="22DD94BB">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2、投标保证金退还方式</w:t>
            </w:r>
          </w:p>
          <w:p w14:paraId="1EB6F05D">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为便于及时退还，报价人在递交响应文件的同时，递交本项目保证金银行回单和公司的开户许可证复印件。</w:t>
            </w:r>
          </w:p>
          <w:p w14:paraId="45D77E9A">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未中标报价人的投标保证金，于该项目结果公示期结束</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未中标报价人</w:t>
            </w:r>
            <w:r>
              <w:rPr>
                <w:rFonts w:hint="eastAsia" w:ascii="宋体" w:hAnsi="宋体" w:eastAsia="宋体" w:cs="宋体"/>
                <w:color w:val="000000" w:themeColor="text1"/>
                <w:sz w:val="21"/>
                <w:szCs w:val="21"/>
                <w:highlight w:val="none"/>
                <w:lang w:val="en-US" w:eastAsia="zh-CN"/>
                <w14:textFill>
                  <w14:solidFill>
                    <w14:schemeClr w14:val="tx1"/>
                  </w14:solidFill>
                </w14:textFill>
              </w:rPr>
              <w:t>按要求提供资料</w:t>
            </w:r>
            <w:r>
              <w:rPr>
                <w:rFonts w:hint="eastAsia" w:ascii="宋体" w:hAnsi="宋体" w:eastAsia="宋体" w:cs="宋体"/>
                <w:color w:val="000000" w:themeColor="text1"/>
                <w:sz w:val="21"/>
                <w:szCs w:val="21"/>
                <w:highlight w:val="none"/>
                <w14:textFill>
                  <w14:solidFill>
                    <w14:schemeClr w14:val="tx1"/>
                  </w14:solidFill>
                </w14:textFill>
              </w:rPr>
              <w:t>后15个工作日内无息退还至报价人基本账户。</w:t>
            </w:r>
          </w:p>
          <w:p w14:paraId="05ECF187">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中标人的投标保证金，自合同签订后</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中标报价人</w:t>
            </w:r>
            <w:r>
              <w:rPr>
                <w:rFonts w:hint="eastAsia" w:ascii="宋体" w:hAnsi="宋体" w:eastAsia="宋体" w:cs="宋体"/>
                <w:color w:val="000000" w:themeColor="text1"/>
                <w:sz w:val="21"/>
                <w:szCs w:val="21"/>
                <w:highlight w:val="none"/>
                <w:lang w:val="en-US" w:eastAsia="zh-CN"/>
                <w14:textFill>
                  <w14:solidFill>
                    <w14:schemeClr w14:val="tx1"/>
                  </w14:solidFill>
                </w14:textFill>
              </w:rPr>
              <w:t>按要求提供资料</w:t>
            </w:r>
            <w:r>
              <w:rPr>
                <w:rFonts w:hint="eastAsia" w:ascii="宋体" w:hAnsi="宋体" w:eastAsia="宋体" w:cs="宋体"/>
                <w:color w:val="000000" w:themeColor="text1"/>
                <w:sz w:val="21"/>
                <w:szCs w:val="21"/>
                <w:highlight w:val="none"/>
                <w14:textFill>
                  <w14:solidFill>
                    <w14:schemeClr w14:val="tx1"/>
                  </w14:solidFill>
                </w14:textFill>
              </w:rPr>
              <w:t>15个工作日内无息退还至中标人基本账户。</w:t>
            </w:r>
          </w:p>
          <w:p w14:paraId="0C7FF4EE">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hAnsi="宋体" w:cs="宋体"/>
                <w:color w:val="000000" w:themeColor="text1"/>
                <w:sz w:val="21"/>
                <w:szCs w:val="21"/>
                <w:highlight w:val="none"/>
                <w:lang w:val="en-US" w:eastAsia="zh-CN"/>
                <w14:textFill>
                  <w14:solidFill>
                    <w14:schemeClr w14:val="tx1"/>
                  </w14:solidFill>
                </w14:textFill>
              </w:rPr>
              <w:t>3、第一次比选已缴纳投标保证金的报价单位，无需重复缴纳投标保证金。</w:t>
            </w:r>
          </w:p>
          <w:p w14:paraId="3C5C8226">
            <w:pPr>
              <w:pStyle w:val="151"/>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14:paraId="3E4B75EA">
            <w:pPr>
              <w:pStyle w:val="151"/>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s="宋体"/>
                <w:b w:val="0"/>
                <w:bCs w:val="0"/>
                <w:color w:val="auto"/>
                <w:kern w:val="0"/>
                <w:sz w:val="21"/>
                <w:szCs w:val="18"/>
                <w:highlight w:val="none"/>
                <w:lang w:val="en-US" w:eastAsia="zh-CN" w:bidi="ar"/>
              </w:rPr>
            </w:pPr>
            <w:r>
              <w:rPr>
                <w:rFonts w:hint="eastAsia" w:hAnsi="宋体" w:cs="宋体"/>
                <w:b w:val="0"/>
                <w:bCs w:val="0"/>
                <w:color w:val="auto"/>
                <w:kern w:val="0"/>
                <w:sz w:val="21"/>
                <w:szCs w:val="18"/>
                <w:highlight w:val="none"/>
                <w:lang w:val="en-US" w:eastAsia="zh-CN" w:bidi="ar"/>
              </w:rPr>
              <w:t>无</w:t>
            </w:r>
          </w:p>
          <w:p w14:paraId="663F1742">
            <w:pPr>
              <w:pStyle w:val="151"/>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三、采购人指定的开户银行及账号如下：</w:t>
            </w:r>
          </w:p>
          <w:p w14:paraId="5725F549">
            <w:pPr>
              <w:pStyle w:val="151"/>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14:paraId="640FB25C">
            <w:pPr>
              <w:pStyle w:val="151"/>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开户银行：兴业银行重庆分行营业部</w:t>
            </w:r>
          </w:p>
          <w:p w14:paraId="4EDDEF46">
            <w:pPr>
              <w:pStyle w:val="151"/>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14:paraId="2E4A9A95">
            <w:pPr>
              <w:pStyle w:val="151"/>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default" w:hAnsi="宋体"/>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4B41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4A7F2DD1">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21</w:t>
            </w:r>
          </w:p>
        </w:tc>
        <w:tc>
          <w:tcPr>
            <w:tcW w:w="2106" w:type="dxa"/>
            <w:tcBorders>
              <w:top w:val="single" w:color="auto" w:sz="4" w:space="0"/>
              <w:left w:val="single" w:color="auto" w:sz="4" w:space="0"/>
              <w:bottom w:val="single" w:color="auto" w:sz="4" w:space="0"/>
              <w:right w:val="single" w:color="auto" w:sz="4" w:space="0"/>
            </w:tcBorders>
            <w:vAlign w:val="center"/>
          </w:tcPr>
          <w:p w14:paraId="5FE28F8C">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监督部门</w:t>
            </w:r>
          </w:p>
        </w:tc>
        <w:tc>
          <w:tcPr>
            <w:tcW w:w="7104" w:type="dxa"/>
            <w:tcBorders>
              <w:top w:val="single" w:color="auto" w:sz="4" w:space="0"/>
              <w:left w:val="single" w:color="auto" w:sz="4" w:space="0"/>
              <w:bottom w:val="single" w:color="auto" w:sz="4" w:space="0"/>
              <w:right w:val="single" w:color="auto" w:sz="4" w:space="0"/>
            </w:tcBorders>
            <w:vAlign w:val="center"/>
          </w:tcPr>
          <w:p w14:paraId="455EA8C9">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监督部门：</w:t>
            </w:r>
            <w:r>
              <w:rPr>
                <w:rFonts w:hint="eastAsia" w:hAnsi="宋体"/>
                <w:color w:val="auto"/>
                <w:kern w:val="2"/>
                <w:sz w:val="21"/>
                <w:szCs w:val="21"/>
                <w:lang w:eastAsia="zh-CN"/>
              </w:rPr>
              <w:t>重庆首讯科技股份有限公司数智系统运维分公司</w:t>
            </w:r>
            <w:r>
              <w:rPr>
                <w:rFonts w:hint="eastAsia" w:hAnsi="宋体"/>
                <w:color w:val="auto"/>
                <w:kern w:val="2"/>
                <w:sz w:val="21"/>
                <w:szCs w:val="21"/>
                <w:lang w:val="en-US" w:eastAsia="zh-CN"/>
              </w:rPr>
              <w:t>综合管理</w:t>
            </w:r>
            <w:r>
              <w:rPr>
                <w:rFonts w:hint="eastAsia" w:hAnsi="宋体"/>
                <w:color w:val="auto"/>
                <w:kern w:val="2"/>
                <w:sz w:val="21"/>
                <w:szCs w:val="21"/>
              </w:rPr>
              <w:t>部</w:t>
            </w:r>
          </w:p>
          <w:p w14:paraId="24D6A17C">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    址：</w:t>
            </w:r>
            <w:r>
              <w:rPr>
                <w:rFonts w:hint="eastAsia" w:hAnsi="宋体"/>
                <w:color w:val="auto"/>
                <w:kern w:val="2"/>
                <w:sz w:val="21"/>
                <w:szCs w:val="21"/>
              </w:rPr>
              <w:t>重庆市南岸区南坪镇海峡路重庆首讯科技股份有限公司</w:t>
            </w:r>
          </w:p>
          <w:p w14:paraId="712BCDBF">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hAnsi="宋体"/>
                <w:color w:val="auto"/>
                <w:kern w:val="2"/>
                <w:sz w:val="21"/>
                <w:szCs w:val="21"/>
              </w:rPr>
              <w:t>023-86325020</w:t>
            </w:r>
          </w:p>
        </w:tc>
      </w:tr>
      <w:tr w14:paraId="039BF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14716BF9">
            <w:pPr>
              <w:pStyle w:val="151"/>
              <w:keepNext w:val="0"/>
              <w:keepLines w:val="0"/>
              <w:pageBreakBefore w:val="0"/>
              <w:kinsoku/>
              <w:wordWrap/>
              <w:overflowPunct/>
              <w:bidi w:val="0"/>
              <w:spacing w:line="360" w:lineRule="exact"/>
              <w:jc w:val="center"/>
              <w:textAlignment w:val="auto"/>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22</w:t>
            </w:r>
          </w:p>
        </w:tc>
        <w:tc>
          <w:tcPr>
            <w:tcW w:w="2106" w:type="dxa"/>
            <w:tcBorders>
              <w:top w:val="single" w:color="auto" w:sz="4" w:space="0"/>
              <w:left w:val="single" w:color="auto" w:sz="4" w:space="0"/>
              <w:bottom w:val="single" w:color="auto" w:sz="4" w:space="0"/>
              <w:right w:val="single" w:color="auto" w:sz="4" w:space="0"/>
            </w:tcBorders>
            <w:vAlign w:val="center"/>
          </w:tcPr>
          <w:p w14:paraId="73FFC7C7">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竞争性比选响应文件的组成</w:t>
            </w:r>
          </w:p>
        </w:tc>
        <w:tc>
          <w:tcPr>
            <w:tcW w:w="7104" w:type="dxa"/>
            <w:tcBorders>
              <w:top w:val="single" w:color="auto" w:sz="4" w:space="0"/>
              <w:left w:val="single" w:color="auto" w:sz="4" w:space="0"/>
              <w:bottom w:val="single" w:color="auto" w:sz="4" w:space="0"/>
              <w:right w:val="single" w:color="auto" w:sz="4" w:space="0"/>
            </w:tcBorders>
            <w:vAlign w:val="center"/>
          </w:tcPr>
          <w:p w14:paraId="519C69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default"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w:t>
            </w:r>
            <w:r>
              <w:rPr>
                <w:rFonts w:hint="eastAsia" w:ascii="宋体" w:hAnsi="宋体" w:cs="宋体"/>
                <w:b/>
                <w:bCs/>
                <w:color w:val="auto"/>
                <w:szCs w:val="21"/>
                <w:highlight w:val="none"/>
                <w:lang w:val="en-US" w:eastAsia="zh-CN"/>
              </w:rPr>
              <w:t>每个标段均需</w:t>
            </w:r>
            <w:r>
              <w:rPr>
                <w:rFonts w:hint="eastAsia" w:ascii="宋体" w:hAnsi="宋体" w:cs="宋体"/>
                <w:b/>
                <w:bCs/>
                <w:color w:val="auto"/>
                <w:szCs w:val="21"/>
                <w:highlight w:val="none"/>
              </w:rPr>
              <w:t>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w:t>
            </w:r>
            <w:r>
              <w:rPr>
                <w:rFonts w:hint="eastAsia" w:ascii="宋体" w:hAnsi="宋体" w:cs="宋体"/>
                <w:b w:val="0"/>
                <w:bCs w:val="0"/>
                <w:color w:val="auto"/>
                <w:szCs w:val="21"/>
                <w:highlight w:val="none"/>
                <w:lang w:eastAsia="zh-CN"/>
              </w:rPr>
              <w:t>，</w:t>
            </w:r>
            <w:r>
              <w:rPr>
                <w:rFonts w:hint="eastAsia" w:ascii="宋体" w:hAnsi="宋体" w:cs="宋体"/>
                <w:b w:val="0"/>
                <w:bCs w:val="0"/>
                <w:color w:val="auto"/>
                <w:szCs w:val="21"/>
                <w:highlight w:val="none"/>
                <w:lang w:val="en-US" w:eastAsia="zh-CN"/>
              </w:rPr>
              <w:t>包含</w:t>
            </w:r>
            <w:r>
              <w:rPr>
                <w:rFonts w:hint="eastAsia" w:ascii="宋体" w:hAnsi="宋体" w:cs="宋体"/>
                <w:b w:val="0"/>
                <w:bCs w:val="0"/>
                <w:color w:val="auto"/>
                <w:szCs w:val="21"/>
                <w:highlight w:val="none"/>
                <w:lang w:eastAsia="zh-CN"/>
              </w:rPr>
              <w:t>盖章版扫描件（原件或彩色复印件的扫描件均可）PDF格式一份（内容须包括竞争性比选响应文件全部内容，所有文件均须逐页加盖报价人的单位公章）、excel格式报价清单一份</w:t>
            </w:r>
            <w:r>
              <w:rPr>
                <w:rFonts w:hint="eastAsia" w:ascii="宋体" w:hAnsi="宋体" w:cs="宋体"/>
                <w:b w:val="0"/>
                <w:bCs w:val="0"/>
                <w:color w:val="auto"/>
                <w:szCs w:val="21"/>
                <w:highlight w:val="none"/>
              </w:rPr>
              <w:t>）。当电子文件与纸质版竞争性比选响应文件不一致时，以纸质版竞争性比选响应文件为准，当正本与副本不一致时，以正本为准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6D4D0C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3A96DE93">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14:paraId="0AFD48A2">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b/>
                <w:bCs/>
                <w:color w:val="auto"/>
                <w:kern w:val="0"/>
                <w:szCs w:val="21"/>
                <w:highlight w:val="none"/>
              </w:rPr>
            </w:pPr>
            <w:r>
              <w:rPr>
                <w:rFonts w:hint="eastAsia" w:ascii="宋体" w:hAnsi="宋体" w:cs="宋体"/>
                <w:color w:val="auto"/>
                <w:szCs w:val="21"/>
                <w:highlight w:val="none"/>
                <w:u w:val="none"/>
                <w:lang w:val="en-US" w:eastAsia="zh-CN"/>
              </w:rPr>
              <w:t>4</w:t>
            </w:r>
            <w:r>
              <w:rPr>
                <w:rFonts w:hint="eastAsia" w:ascii="宋体" w:hAnsi="宋体" w:eastAsia="宋体" w:cs="宋体"/>
                <w:color w:val="auto"/>
                <w:szCs w:val="21"/>
                <w:highlight w:val="none"/>
                <w:u w:val="none"/>
                <w:lang w:val="en-US" w:eastAsia="zh-CN"/>
              </w:rPr>
              <w:t>.</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14:paraId="547579E0">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4"/>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0F55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14:paraId="102BFDBD">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14:paraId="2CCADAE8">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u w:val="single"/>
                      <w:lang w:eastAsia="zh-CN"/>
                    </w:rPr>
                    <w:t>东北及东南安全韧性提升项目生产用车租赁服务采购（第二次）</w:t>
                  </w:r>
                </w:p>
                <w:p w14:paraId="265CFA9E">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14:paraId="587890EB">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2026</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10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00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6371B2F9">
            <w:pPr>
              <w:pStyle w:val="151"/>
              <w:keepNext w:val="0"/>
              <w:keepLines w:val="0"/>
              <w:pageBreakBefore w:val="0"/>
              <w:widowControl w:val="0"/>
              <w:kinsoku/>
              <w:wordWrap w:val="0"/>
              <w:overflowPunct/>
              <w:topLinePunct w:val="0"/>
              <w:autoSpaceDE w:val="0"/>
              <w:autoSpaceDN w:val="0"/>
              <w:bidi w:val="0"/>
              <w:adjustRightInd w:val="0"/>
              <w:snapToGrid/>
              <w:spacing w:line="360" w:lineRule="exact"/>
              <w:ind w:firstLine="420" w:firstLineChars="200"/>
              <w:jc w:val="both"/>
              <w:textAlignment w:val="auto"/>
              <w:rPr>
                <w:rFonts w:hint="default" w:ascii="宋体" w:hAnsi="宋体" w:eastAsia="宋体" w:cs="宋体"/>
                <w:color w:val="auto"/>
                <w:kern w:val="2"/>
                <w:sz w:val="21"/>
                <w:szCs w:val="21"/>
                <w:highlight w:val="none"/>
                <w:shd w:val="clear" w:color="auto" w:fill="FFFFFF"/>
                <w:lang w:val="en-US" w:eastAsia="zh-CN"/>
              </w:rPr>
            </w:pPr>
          </w:p>
        </w:tc>
      </w:tr>
      <w:tr w14:paraId="0B9CA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6C9B2AD2">
            <w:pPr>
              <w:pStyle w:val="151"/>
              <w:keepNext w:val="0"/>
              <w:keepLines w:val="0"/>
              <w:pageBreakBefore w:val="0"/>
              <w:kinsoku/>
              <w:wordWrap/>
              <w:overflowPunct/>
              <w:bidi w:val="0"/>
              <w:spacing w:line="36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23</w:t>
            </w:r>
          </w:p>
        </w:tc>
        <w:tc>
          <w:tcPr>
            <w:tcW w:w="2106" w:type="dxa"/>
            <w:tcBorders>
              <w:top w:val="single" w:color="auto" w:sz="4" w:space="0"/>
              <w:left w:val="single" w:color="auto" w:sz="4" w:space="0"/>
              <w:bottom w:val="single" w:color="auto" w:sz="4" w:space="0"/>
              <w:right w:val="single" w:color="auto" w:sz="4" w:space="0"/>
            </w:tcBorders>
            <w:shd w:val="clear" w:color="auto" w:fill="auto"/>
            <w:vAlign w:val="center"/>
          </w:tcPr>
          <w:p w14:paraId="2D33461E">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中标候选人公示</w:t>
            </w:r>
          </w:p>
        </w:tc>
        <w:tc>
          <w:tcPr>
            <w:tcW w:w="7104" w:type="dxa"/>
            <w:tcBorders>
              <w:top w:val="single" w:color="auto" w:sz="4" w:space="0"/>
              <w:left w:val="single" w:color="auto" w:sz="4" w:space="0"/>
              <w:bottom w:val="single" w:color="auto" w:sz="4" w:space="0"/>
              <w:right w:val="single" w:color="auto" w:sz="4" w:space="0"/>
            </w:tcBorders>
            <w:shd w:val="clear" w:color="auto" w:fill="auto"/>
            <w:vAlign w:val="center"/>
          </w:tcPr>
          <w:p w14:paraId="18F32E4F">
            <w:pPr>
              <w:keepNext w:val="0"/>
              <w:keepLines w:val="0"/>
              <w:pageBreakBefore w:val="0"/>
              <w:widowControl w:val="0"/>
              <w:kinsoku/>
              <w:wordWrap w:val="0"/>
              <w:overflowPunct/>
              <w:topLinePunct w:val="0"/>
              <w:autoSpaceDE/>
              <w:autoSpaceDN/>
              <w:bidi w:val="0"/>
              <w:adjustRightInd/>
              <w:snapToGrid/>
              <w:spacing w:line="36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评标结果将在重庆高速集团</w:t>
            </w:r>
            <w:r>
              <w:rPr>
                <w:rFonts w:hint="eastAsia" w:ascii="宋体" w:hAnsi="宋体" w:cs="宋体"/>
                <w:color w:val="auto"/>
                <w:sz w:val="21"/>
                <w:szCs w:val="21"/>
                <w:highlight w:val="none"/>
                <w:lang w:val="en-US" w:eastAsia="zh-CN"/>
              </w:rPr>
              <w:t>官网</w:t>
            </w:r>
            <w:r>
              <w:rPr>
                <w:rFonts w:hint="eastAsia" w:ascii="宋体" w:hAnsi="宋体" w:eastAsia="宋体" w:cs="宋体"/>
                <w:color w:val="auto"/>
                <w:sz w:val="21"/>
                <w:szCs w:val="21"/>
                <w:highlight w:val="none"/>
              </w:rPr>
              <w:t>上进行公示，公示期为3日。公示内容包括中标候选人名称、排序、报价</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提出异议、投诉的渠道和方式。</w:t>
            </w:r>
          </w:p>
        </w:tc>
      </w:tr>
      <w:tr w14:paraId="20837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697" w:type="dxa"/>
            <w:vAlign w:val="center"/>
          </w:tcPr>
          <w:p w14:paraId="5FFD18DD">
            <w:pPr>
              <w:pStyle w:val="151"/>
              <w:keepNext w:val="0"/>
              <w:keepLines w:val="0"/>
              <w:pageBreakBefore w:val="0"/>
              <w:kinsoku/>
              <w:wordWrap/>
              <w:overflowPunct/>
              <w:bidi w:val="0"/>
              <w:spacing w:line="360" w:lineRule="exact"/>
              <w:jc w:val="center"/>
              <w:textAlignment w:val="auto"/>
              <w:rPr>
                <w:rFonts w:hint="default" w:ascii="宋体" w:hAnsi="宋体" w:eastAsia="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24</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3F624664">
            <w:pPr>
              <w:pStyle w:val="151"/>
              <w:keepNext w:val="0"/>
              <w:keepLines w:val="0"/>
              <w:pageBreakBefore w:val="0"/>
              <w:kinsoku/>
              <w:wordWrap/>
              <w:overflowPunct/>
              <w:bidi w:val="0"/>
              <w:spacing w:line="360" w:lineRule="exact"/>
              <w:ind w:firstLine="422" w:firstLineChars="20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sz w:val="21"/>
                <w:szCs w:val="21"/>
                <w:highlight w:val="none"/>
              </w:rPr>
              <w:t>需要补充的其他内容</w:t>
            </w:r>
          </w:p>
        </w:tc>
      </w:tr>
      <w:tr w14:paraId="0438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697" w:type="dxa"/>
            <w:tcBorders>
              <w:top w:val="single" w:color="auto" w:sz="4" w:space="0"/>
              <w:left w:val="single" w:color="auto" w:sz="4" w:space="0"/>
              <w:bottom w:val="single" w:color="auto" w:sz="4" w:space="0"/>
              <w:right w:val="single" w:color="auto" w:sz="4" w:space="0"/>
            </w:tcBorders>
            <w:vAlign w:val="center"/>
          </w:tcPr>
          <w:p w14:paraId="17D9505E">
            <w:pPr>
              <w:keepNext w:val="0"/>
              <w:keepLines w:val="0"/>
              <w:pageBreakBefore w:val="0"/>
              <w:widowControl w:val="0"/>
              <w:kinsoku/>
              <w:wordWrap w:val="0"/>
              <w:overflowPunct/>
              <w:topLinePunct w:val="0"/>
              <w:autoSpaceDE/>
              <w:autoSpaceDN/>
              <w:bidi w:val="0"/>
              <w:adjustRightInd/>
              <w:snapToGrid/>
              <w:spacing w:line="360" w:lineRule="exact"/>
              <w:ind w:firstLine="420" w:firstLineChars="200"/>
              <w:jc w:val="both"/>
              <w:textAlignment w:val="auto"/>
              <w:rPr>
                <w:rFonts w:hint="eastAsia" w:ascii="宋体" w:hAnsi="宋体" w:eastAsia="宋体" w:cs="宋体"/>
                <w:color w:val="auto"/>
                <w:sz w:val="21"/>
                <w:szCs w:val="21"/>
                <w:highlight w:val="none"/>
              </w:rPr>
            </w:pPr>
          </w:p>
          <w:p w14:paraId="0E70163B">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w:t>
            </w:r>
            <w:r>
              <w:rPr>
                <w:rFonts w:hint="eastAsia" w:hAnsi="宋体" w:cs="宋体"/>
                <w:color w:val="auto"/>
                <w:kern w:val="2"/>
                <w:sz w:val="21"/>
                <w:szCs w:val="21"/>
                <w:highlight w:val="none"/>
                <w:lang w:val="en-US" w:eastAsia="zh-CN"/>
              </w:rPr>
              <w:t>4</w:t>
            </w:r>
            <w:r>
              <w:rPr>
                <w:rFonts w:hint="eastAsia" w:ascii="宋体" w:hAnsi="宋体" w:eastAsia="宋体" w:cs="宋体"/>
                <w:color w:val="auto"/>
                <w:kern w:val="2"/>
                <w:sz w:val="21"/>
                <w:szCs w:val="21"/>
                <w:highlight w:val="none"/>
              </w:rPr>
              <w:t>.1</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109190">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截止竞争性比选响应文件递交时间，报价人仍少于3个，按法定程序开标和评标，确定中标人。</w:t>
            </w:r>
          </w:p>
        </w:tc>
      </w:tr>
      <w:tr w14:paraId="0A43F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tcBorders>
              <w:top w:val="single" w:color="auto" w:sz="4" w:space="0"/>
              <w:left w:val="single" w:color="auto" w:sz="4" w:space="0"/>
              <w:bottom w:val="single" w:color="auto" w:sz="4" w:space="0"/>
              <w:right w:val="single" w:color="auto" w:sz="4" w:space="0"/>
            </w:tcBorders>
            <w:vAlign w:val="center"/>
          </w:tcPr>
          <w:p w14:paraId="5A6D1BF5">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w:t>
            </w:r>
            <w:r>
              <w:rPr>
                <w:rFonts w:hint="eastAsia" w:hAnsi="宋体" w:cs="宋体"/>
                <w:color w:val="auto"/>
                <w:kern w:val="2"/>
                <w:sz w:val="21"/>
                <w:szCs w:val="21"/>
                <w:highlight w:val="none"/>
                <w:lang w:val="en-US" w:eastAsia="zh-CN"/>
              </w:rPr>
              <w:t>4</w:t>
            </w:r>
            <w:r>
              <w:rPr>
                <w:rFonts w:hint="eastAsia" w:ascii="宋体" w:hAnsi="宋体" w:eastAsia="宋体" w:cs="宋体"/>
                <w:color w:val="auto"/>
                <w:kern w:val="2"/>
                <w:sz w:val="21"/>
                <w:szCs w:val="21"/>
                <w:highlight w:val="none"/>
              </w:rPr>
              <w:t>.2</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AD0C00">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b/>
                <w:bCs/>
                <w:color w:val="auto"/>
                <w:sz w:val="21"/>
                <w:szCs w:val="21"/>
                <w:highlight w:val="none"/>
                <w:lang w:val="en-US" w:eastAsia="zh-CN" w:bidi="ar-SA"/>
              </w:rPr>
            </w:pPr>
            <w:r>
              <w:rPr>
                <w:rFonts w:hint="eastAsia" w:ascii="宋体" w:hAnsi="宋体" w:eastAsia="宋体" w:cs="宋体"/>
                <w:color w:val="auto"/>
                <w:sz w:val="21"/>
                <w:szCs w:val="21"/>
                <w:highlight w:val="none"/>
              </w:rPr>
              <w:t>如中标人提供的产品无法满足本项目需求的，采购人有权退货、终止合同，并扣除合同总金额的10%。</w:t>
            </w:r>
          </w:p>
        </w:tc>
      </w:tr>
      <w:tr w14:paraId="4AA49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65C97820">
            <w:pPr>
              <w:pStyle w:val="151"/>
              <w:keepNext w:val="0"/>
              <w:keepLines w:val="0"/>
              <w:pageBreakBefore w:val="0"/>
              <w:kinsoku/>
              <w:wordWrap/>
              <w:overflowPunct/>
              <w:bidi w:val="0"/>
              <w:spacing w:line="360" w:lineRule="exact"/>
              <w:jc w:val="center"/>
              <w:textAlignment w:val="auto"/>
              <w:rPr>
                <w:rFonts w:hint="default" w:ascii="宋体" w:hAnsi="宋体" w:eastAsia="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24.3</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12C109">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b/>
                <w:bCs/>
                <w:color w:val="auto"/>
                <w:sz w:val="21"/>
                <w:szCs w:val="21"/>
                <w:highlight w:val="none"/>
                <w:lang w:val="en-US" w:eastAsia="zh-CN" w:bidi="ar-SA"/>
              </w:rPr>
            </w:pPr>
            <w:r>
              <w:rPr>
                <w:rFonts w:hint="eastAsia" w:ascii="宋体" w:hAnsi="宋体" w:eastAsia="宋体" w:cs="宋体"/>
                <w:color w:val="auto"/>
                <w:sz w:val="21"/>
                <w:szCs w:val="21"/>
                <w:highlight w:val="none"/>
              </w:rPr>
              <w:t>需提供所投产品彩页</w:t>
            </w:r>
            <w:r>
              <w:rPr>
                <w:rFonts w:hint="eastAsia" w:hAnsi="宋体" w:cs="宋体"/>
                <w:color w:val="auto"/>
                <w:sz w:val="21"/>
                <w:szCs w:val="21"/>
                <w:highlight w:val="none"/>
                <w:lang w:val="en-US" w:eastAsia="zh-CN"/>
              </w:rPr>
              <w:t>相关</w:t>
            </w:r>
            <w:r>
              <w:rPr>
                <w:rFonts w:hint="eastAsia" w:ascii="宋体" w:hAnsi="宋体" w:eastAsia="宋体" w:cs="宋体"/>
                <w:color w:val="auto"/>
                <w:sz w:val="21"/>
                <w:szCs w:val="21"/>
                <w:highlight w:val="none"/>
              </w:rPr>
              <w:t>资料</w:t>
            </w:r>
            <w:r>
              <w:rPr>
                <w:rFonts w:hint="eastAsia" w:hAnsi="宋体" w:cs="宋体"/>
                <w:color w:val="auto"/>
                <w:sz w:val="21"/>
                <w:szCs w:val="21"/>
                <w:highlight w:val="none"/>
                <w:lang w:val="en-US" w:eastAsia="zh-CN"/>
              </w:rPr>
              <w:t>(如有)</w:t>
            </w:r>
            <w:r>
              <w:rPr>
                <w:rFonts w:hint="eastAsia" w:ascii="宋体" w:hAnsi="宋体" w:eastAsia="宋体" w:cs="宋体"/>
                <w:color w:val="auto"/>
                <w:sz w:val="21"/>
                <w:szCs w:val="21"/>
                <w:highlight w:val="none"/>
              </w:rPr>
              <w:t>。</w:t>
            </w:r>
          </w:p>
        </w:tc>
      </w:tr>
      <w:tr w14:paraId="1BE42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2FCED3E4">
            <w:pPr>
              <w:pStyle w:val="151"/>
              <w:keepNext w:val="0"/>
              <w:keepLines w:val="0"/>
              <w:pageBreakBefore w:val="0"/>
              <w:kinsoku/>
              <w:wordWrap/>
              <w:overflowPunct/>
              <w:bidi w:val="0"/>
              <w:spacing w:line="36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24.4</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4F0551">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在报价时应充分考虑原料价格波动、人工费用上涨、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人若中标，其报价在供货期内不得调整。</w:t>
            </w:r>
          </w:p>
          <w:p w14:paraId="2CA99476">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货物的供货范围有漏报、漏项的情况发生，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p w14:paraId="204B9481">
            <w:pPr>
              <w:pStyle w:val="151"/>
              <w:keepNext w:val="0"/>
              <w:keepLines w:val="0"/>
              <w:pageBreakBefore w:val="0"/>
              <w:kinsoku/>
              <w:wordWrap/>
              <w:overflowPunct/>
              <w:bidi w:val="0"/>
              <w:spacing w:line="360" w:lineRule="exact"/>
              <w:ind w:firstLine="420" w:firstLineChars="200"/>
              <w:jc w:val="both"/>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3</w:t>
            </w:r>
            <w:r>
              <w:rPr>
                <w:rFonts w:hint="eastAsia" w:hAnsi="宋体" w:cs="宋体"/>
                <w:color w:val="auto"/>
                <w:sz w:val="21"/>
                <w:szCs w:val="21"/>
                <w:highlight w:val="none"/>
                <w:lang w:eastAsia="zh-CN"/>
              </w:rPr>
              <w:t>）中标人在本项目中标后，需在采购人发放中标通知书后5日内，根据采购人需求在指定地点完成</w:t>
            </w:r>
            <w:r>
              <w:rPr>
                <w:rFonts w:hint="eastAsia" w:hAnsi="宋体" w:cs="宋体"/>
                <w:color w:val="auto"/>
                <w:sz w:val="21"/>
                <w:szCs w:val="21"/>
                <w:highlight w:val="none"/>
                <w:lang w:val="en-US" w:eastAsia="zh-CN"/>
              </w:rPr>
              <w:t>相关</w:t>
            </w:r>
            <w:r>
              <w:rPr>
                <w:rFonts w:hint="eastAsia" w:hAnsi="宋体" w:cs="宋体"/>
                <w:color w:val="auto"/>
                <w:sz w:val="21"/>
                <w:szCs w:val="21"/>
                <w:highlight w:val="none"/>
                <w:lang w:eastAsia="zh-CN"/>
              </w:rPr>
              <w:t>测试，若测试未通过，采购人有权取消中标人中标资格。</w:t>
            </w:r>
          </w:p>
        </w:tc>
      </w:tr>
      <w:tr w14:paraId="29EF5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04899335">
            <w:pPr>
              <w:pStyle w:val="151"/>
              <w:keepNext w:val="0"/>
              <w:keepLines w:val="0"/>
              <w:pageBreakBefore w:val="0"/>
              <w:kinsoku/>
              <w:wordWrap/>
              <w:overflowPunct/>
              <w:bidi w:val="0"/>
              <w:spacing w:line="36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24.5</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7A9E8A">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14:paraId="70D37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79D67C41">
            <w:pPr>
              <w:pStyle w:val="151"/>
              <w:keepNext w:val="0"/>
              <w:keepLines w:val="0"/>
              <w:pageBreakBefore w:val="0"/>
              <w:kinsoku/>
              <w:wordWrap/>
              <w:overflowPunct/>
              <w:bidi w:val="0"/>
              <w:spacing w:line="36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24.6</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7F0B2A">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根据采购人需求，中标人与重庆首讯科技股份有限公司签订相关合同。</w:t>
            </w:r>
          </w:p>
          <w:p w14:paraId="3B608D39">
            <w:pPr>
              <w:pStyle w:val="151"/>
              <w:keepNext w:val="0"/>
              <w:keepLines w:val="0"/>
              <w:pageBreakBefore w:val="0"/>
              <w:kinsoku/>
              <w:wordWrap/>
              <w:overflowPunct/>
              <w:bidi w:val="0"/>
              <w:spacing w:line="360" w:lineRule="exact"/>
              <w:ind w:firstLine="420" w:firstLineChars="200"/>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含运输及卸货；</w:t>
            </w:r>
          </w:p>
        </w:tc>
      </w:tr>
    </w:tbl>
    <w:p w14:paraId="1C086657">
      <w:pPr>
        <w:pStyle w:val="3"/>
        <w:jc w:val="center"/>
        <w:outlineLvl w:val="0"/>
        <w:rPr>
          <w:rFonts w:ascii="宋体" w:hAnsi="宋体" w:eastAsia="宋体" w:cs="宋体"/>
          <w:bCs w:val="0"/>
          <w:color w:val="auto"/>
          <w:sz w:val="28"/>
          <w:szCs w:val="28"/>
          <w:highlight w:val="none"/>
        </w:rPr>
      </w:pPr>
      <w:bookmarkStart w:id="36" w:name="_Toc8084"/>
      <w:r>
        <w:rPr>
          <w:rFonts w:hint="eastAsia" w:ascii="宋体" w:hAnsi="宋体" w:eastAsia="宋体" w:cs="宋体"/>
          <w:color w:val="auto"/>
          <w:sz w:val="28"/>
          <w:szCs w:val="28"/>
          <w:highlight w:val="none"/>
        </w:rPr>
        <w:t xml:space="preserve">附录1  </w:t>
      </w:r>
      <w:r>
        <w:rPr>
          <w:rFonts w:hint="eastAsia" w:ascii="宋体" w:hAnsi="宋体" w:eastAsia="宋体" w:cs="宋体"/>
          <w:bCs w:val="0"/>
          <w:color w:val="auto"/>
          <w:sz w:val="28"/>
          <w:szCs w:val="28"/>
          <w:highlight w:val="none"/>
        </w:rPr>
        <w:t>报价人资格要求</w:t>
      </w:r>
      <w:bookmarkEnd w:id="36"/>
    </w:p>
    <w:tbl>
      <w:tblPr>
        <w:tblStyle w:val="44"/>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18F5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3C147D31">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6EA7FBFD">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1FE89BA9">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资格要求</w:t>
            </w:r>
          </w:p>
        </w:tc>
      </w:tr>
      <w:tr w14:paraId="5D3F5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664" w:type="dxa"/>
            <w:tcBorders>
              <w:top w:val="single" w:color="auto" w:sz="4" w:space="0"/>
              <w:left w:val="single" w:color="auto" w:sz="4" w:space="0"/>
              <w:bottom w:val="single" w:color="auto" w:sz="4" w:space="0"/>
              <w:right w:val="single" w:color="auto" w:sz="4" w:space="0"/>
            </w:tcBorders>
            <w:vAlign w:val="center"/>
          </w:tcPr>
          <w:p w14:paraId="399F3FFE">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52768DFE">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0A70CEC3">
            <w:pPr>
              <w:spacing w:line="40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（1）具有独立法人资格；</w:t>
            </w:r>
          </w:p>
          <w:p w14:paraId="022FC336">
            <w:pPr>
              <w:spacing w:line="40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（2）有效的营业执照；</w:t>
            </w:r>
          </w:p>
          <w:p w14:paraId="0B6E43B8">
            <w:pPr>
              <w:spacing w:line="400" w:lineRule="exact"/>
              <w:ind w:firstLine="420" w:firstLineChars="200"/>
              <w:rPr>
                <w:color w:val="auto"/>
                <w:highlight w:val="yellow"/>
              </w:rPr>
            </w:pPr>
          </w:p>
        </w:tc>
      </w:tr>
      <w:tr w14:paraId="1ACA0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4" w:type="dxa"/>
            <w:tcBorders>
              <w:top w:val="single" w:color="auto" w:sz="4" w:space="0"/>
              <w:left w:val="single" w:color="auto" w:sz="4" w:space="0"/>
              <w:bottom w:val="single" w:color="auto" w:sz="4" w:space="0"/>
              <w:right w:val="single" w:color="auto" w:sz="4" w:space="0"/>
            </w:tcBorders>
            <w:vAlign w:val="center"/>
          </w:tcPr>
          <w:p w14:paraId="129836A0">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4A6F3069">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44B43443">
            <w:pPr>
              <w:spacing w:line="400" w:lineRule="exact"/>
              <w:ind w:firstLine="420" w:firstLineChars="200"/>
              <w:rPr>
                <w:rFonts w:ascii="宋体" w:hAnsi="宋体" w:cs="宋体"/>
                <w:color w:val="auto"/>
                <w:szCs w:val="21"/>
                <w:highlight w:val="yellow"/>
              </w:rPr>
            </w:pPr>
            <w:r>
              <w:rPr>
                <w:rFonts w:hint="eastAsia" w:ascii="宋体" w:hAnsi="宋体" w:cs="宋体"/>
                <w:color w:val="auto"/>
                <w:sz w:val="21"/>
                <w:szCs w:val="21"/>
                <w:highlight w:val="none"/>
                <w:lang w:val="en-US" w:eastAsia="zh-CN"/>
              </w:rPr>
              <w:t>2023年1月1日至投标截止日（以合同签订时间为准），投标人至少具有一个单项合同金额不低于5万元汽车租赁业绩，提供合同扫描件，该合同的交车单扫描件及等额的发票扫描件。</w:t>
            </w:r>
          </w:p>
        </w:tc>
      </w:tr>
      <w:tr w14:paraId="0089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64" w:type="dxa"/>
            <w:tcBorders>
              <w:top w:val="single" w:color="auto" w:sz="4" w:space="0"/>
              <w:left w:val="single" w:color="auto" w:sz="4" w:space="0"/>
              <w:bottom w:val="single" w:color="auto" w:sz="4" w:space="0"/>
              <w:right w:val="single" w:color="auto" w:sz="4" w:space="0"/>
            </w:tcBorders>
            <w:vAlign w:val="center"/>
          </w:tcPr>
          <w:p w14:paraId="33A6C284">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2A6E2044">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0650107C">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yellow"/>
                <w:shd w:val="clear" w:color="auto" w:fill="FFFFFF"/>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eastAsia="宋体" w:cs="宋体"/>
                <w:color w:val="auto"/>
                <w:sz w:val="21"/>
                <w:szCs w:val="21"/>
                <w:highlight w:val="none"/>
                <w:lang w:val="en-US" w:eastAsia="zh-CN"/>
              </w:rPr>
              <w:t>。</w:t>
            </w:r>
          </w:p>
        </w:tc>
      </w:tr>
    </w:tbl>
    <w:p w14:paraId="3C4DEE86">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hAnsi="宋体"/>
          <w:b/>
          <w:bCs/>
          <w:color w:val="auto"/>
          <w:kern w:val="0"/>
          <w:szCs w:val="21"/>
          <w:highlight w:val="none"/>
        </w:rPr>
      </w:pPr>
    </w:p>
    <w:p w14:paraId="5D954375">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Ansi="宋体"/>
          <w:b/>
          <w:bCs/>
          <w:color w:val="auto"/>
          <w:kern w:val="0"/>
          <w:szCs w:val="21"/>
          <w:highlight w:val="none"/>
        </w:rPr>
      </w:pPr>
      <w:r>
        <w:rPr>
          <w:rFonts w:hint="eastAsia" w:hAnsi="宋体"/>
          <w:b/>
          <w:bCs/>
          <w:color w:val="auto"/>
          <w:kern w:val="0"/>
          <w:szCs w:val="21"/>
          <w:highlight w:val="none"/>
        </w:rPr>
        <w:t>注：1.提供公司营业执照复印件，并加盖单位公章。</w:t>
      </w:r>
    </w:p>
    <w:p w14:paraId="4437505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textAlignment w:val="auto"/>
        <w:outlineLvl w:val="9"/>
        <w:rPr>
          <w:b/>
          <w:bCs/>
          <w:color w:val="auto"/>
          <w:highlight w:val="none"/>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103A3A81">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outlineLvl w:val="9"/>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14:paraId="08ACBDFC">
      <w:pPr>
        <w:pStyle w:val="29"/>
        <w:rPr>
          <w:color w:val="auto"/>
          <w:highlight w:val="none"/>
        </w:rPr>
      </w:pPr>
    </w:p>
    <w:p w14:paraId="251A74D8">
      <w:pPr>
        <w:spacing w:line="440" w:lineRule="exact"/>
        <w:ind w:firstLine="210" w:firstLineChars="100"/>
        <w:rPr>
          <w:rFonts w:ascii="宋体" w:hAnsi="宋体" w:cs="宋体"/>
          <w:color w:val="auto"/>
          <w:highlight w:val="none"/>
        </w:rPr>
      </w:pPr>
    </w:p>
    <w:p w14:paraId="73A69419">
      <w:pPr>
        <w:pStyle w:val="18"/>
        <w:rPr>
          <w:rFonts w:ascii="宋体" w:hAnsi="宋体" w:cs="宋体"/>
          <w:color w:val="auto"/>
          <w:highlight w:val="none"/>
        </w:rPr>
      </w:pPr>
    </w:p>
    <w:p w14:paraId="31C254D3">
      <w:pPr>
        <w:rPr>
          <w:color w:val="auto"/>
          <w:highlight w:val="none"/>
        </w:rPr>
      </w:pPr>
    </w:p>
    <w:p w14:paraId="4C076698">
      <w:pPr>
        <w:rPr>
          <w:rFonts w:ascii="宋体" w:hAnsi="宋体" w:cs="宋体"/>
          <w:color w:val="auto"/>
          <w:highlight w:val="none"/>
        </w:rPr>
      </w:pPr>
    </w:p>
    <w:p w14:paraId="5403B73C">
      <w:pPr>
        <w:pStyle w:val="18"/>
        <w:rPr>
          <w:rFonts w:ascii="宋体" w:hAnsi="宋体" w:cs="宋体"/>
          <w:color w:val="auto"/>
          <w:highlight w:val="none"/>
        </w:rPr>
      </w:pPr>
    </w:p>
    <w:p w14:paraId="24BA1971">
      <w:pPr>
        <w:pStyle w:val="2"/>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r>
        <w:rPr>
          <w:rFonts w:hint="eastAsia" w:ascii="宋体" w:hAnsi="宋体" w:cs="宋体"/>
          <w:color w:val="auto"/>
          <w:highlight w:val="none"/>
        </w:rPr>
        <w:t xml:space="preserve"> </w:t>
      </w:r>
      <w:bookmarkStart w:id="37" w:name="_Toc2153"/>
      <w:r>
        <w:rPr>
          <w:rFonts w:hint="eastAsia" w:ascii="宋体" w:hAnsi="宋体" w:cs="宋体"/>
          <w:color w:val="auto"/>
          <w:highlight w:val="none"/>
        </w:rPr>
        <w:t>评标办法（经评审的最低投标价法）</w:t>
      </w:r>
      <w:bookmarkEnd w:id="37"/>
    </w:p>
    <w:p w14:paraId="3ABDA7C5">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4"/>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3C1740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blHeader/>
          <w:jc w:val="center"/>
        </w:trPr>
        <w:tc>
          <w:tcPr>
            <w:tcW w:w="2024" w:type="dxa"/>
            <w:gridSpan w:val="2"/>
            <w:tcBorders>
              <w:top w:val="single" w:color="auto" w:sz="4" w:space="0"/>
              <w:bottom w:val="single" w:color="auto" w:sz="4" w:space="0"/>
              <w:right w:val="single" w:color="auto" w:sz="4" w:space="0"/>
            </w:tcBorders>
            <w:vAlign w:val="center"/>
          </w:tcPr>
          <w:p w14:paraId="258FAC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18135D5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14:paraId="456E6B7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评审标准</w:t>
            </w:r>
          </w:p>
        </w:tc>
      </w:tr>
      <w:tr w14:paraId="2854A1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0" w:type="dxa"/>
            <w:vMerge w:val="restart"/>
            <w:tcBorders>
              <w:top w:val="single" w:color="auto" w:sz="4" w:space="0"/>
              <w:right w:val="single" w:color="auto" w:sz="4" w:space="0"/>
            </w:tcBorders>
            <w:vAlign w:val="center"/>
          </w:tcPr>
          <w:p w14:paraId="79033FA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1</w:t>
            </w:r>
          </w:p>
        </w:tc>
        <w:tc>
          <w:tcPr>
            <w:tcW w:w="1124" w:type="dxa"/>
            <w:vMerge w:val="restart"/>
            <w:tcBorders>
              <w:top w:val="single" w:color="auto" w:sz="4" w:space="0"/>
              <w:left w:val="single" w:color="auto" w:sz="4" w:space="0"/>
              <w:right w:val="single" w:color="auto" w:sz="4" w:space="0"/>
            </w:tcBorders>
            <w:vAlign w:val="center"/>
          </w:tcPr>
          <w:p w14:paraId="21C91EC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2147617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14:paraId="4FE39571">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如出现报价相等时，评审小组按以下原则确定第一中标候选人：</w:t>
            </w:r>
          </w:p>
          <w:p w14:paraId="69ECD2FE">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以最早提交报价文件的报价人为第一中标候选人</w:t>
            </w:r>
            <w:r>
              <w:rPr>
                <w:color w:val="auto"/>
                <w:highlight w:val="none"/>
              </w:rPr>
              <w:t>。</w:t>
            </w:r>
          </w:p>
        </w:tc>
      </w:tr>
      <w:tr w14:paraId="68ACFF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0" w:type="dxa"/>
            <w:vMerge w:val="continue"/>
            <w:tcBorders>
              <w:right w:val="single" w:color="auto" w:sz="4" w:space="0"/>
            </w:tcBorders>
            <w:vAlign w:val="center"/>
          </w:tcPr>
          <w:p w14:paraId="215FA42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2BF34D9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0587FAC">
            <w:pPr>
              <w:spacing w:line="400" w:lineRule="exact"/>
              <w:jc w:val="center"/>
              <w:rPr>
                <w:color w:val="auto"/>
                <w:highlight w:val="none"/>
              </w:rPr>
            </w:pPr>
            <w:r>
              <w:rPr>
                <w:rFonts w:hint="eastAsia" w:ascii="宋体" w:hAnsi="宋体"/>
                <w:color w:val="auto"/>
                <w:kern w:val="0"/>
              </w:rPr>
              <w:t>符合性审查</w:t>
            </w:r>
          </w:p>
        </w:tc>
        <w:tc>
          <w:tcPr>
            <w:tcW w:w="5004" w:type="dxa"/>
            <w:tcBorders>
              <w:top w:val="single" w:color="auto" w:sz="4" w:space="0"/>
              <w:left w:val="single" w:color="auto" w:sz="4" w:space="0"/>
              <w:bottom w:val="single" w:color="auto" w:sz="4" w:space="0"/>
            </w:tcBorders>
            <w:vAlign w:val="center"/>
          </w:tcPr>
          <w:p w14:paraId="6C92EB9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olor w:val="auto"/>
                <w:kern w:val="0"/>
              </w:rPr>
            </w:pPr>
            <w:r>
              <w:rPr>
                <w:rFonts w:hint="eastAsia" w:ascii="宋体" w:hAnsi="宋体"/>
                <w:color w:val="auto"/>
                <w:kern w:val="0"/>
              </w:rPr>
              <w:t>取报价排序前</w:t>
            </w:r>
            <w:r>
              <w:rPr>
                <w:rFonts w:hint="eastAsia" w:ascii="宋体" w:hAnsi="宋体"/>
                <w:color w:val="auto"/>
                <w:kern w:val="0"/>
                <w:highlight w:val="none"/>
                <w:lang w:eastAsia="zh-CN"/>
              </w:rPr>
              <w:t>□</w:t>
            </w:r>
            <w:r>
              <w:rPr>
                <w:rFonts w:hint="eastAsia" w:ascii="宋体" w:hAnsi="宋体"/>
                <w:color w:val="auto"/>
                <w:kern w:val="0"/>
                <w:highlight w:val="none"/>
              </w:rPr>
              <w:t>5□6</w:t>
            </w:r>
            <w:r>
              <w:rPr>
                <w:rFonts w:hint="eastAsia" w:ascii="宋体" w:hAnsi="宋体"/>
                <w:color w:val="auto"/>
                <w:kern w:val="0"/>
                <w:highlight w:val="none"/>
                <w:lang w:eastAsia="zh-CN"/>
              </w:rPr>
              <w:t>☑</w:t>
            </w:r>
            <w:r>
              <w:rPr>
                <w:rFonts w:hint="eastAsia" w:ascii="宋体" w:hAnsi="宋体"/>
                <w:color w:val="auto"/>
                <w:kern w:val="0"/>
                <w:highlight w:val="none"/>
              </w:rPr>
              <w:t>7名</w:t>
            </w:r>
            <w:r>
              <w:rPr>
                <w:rFonts w:hint="eastAsia" w:ascii="宋体" w:hAnsi="宋体"/>
                <w:color w:val="auto"/>
                <w:kern w:val="0"/>
              </w:rPr>
              <w:t>（若实际</w:t>
            </w:r>
            <w:r>
              <w:rPr>
                <w:rFonts w:hint="eastAsia" w:ascii="宋体" w:hAnsi="宋体"/>
                <w:color w:val="auto"/>
                <w:kern w:val="0"/>
                <w:lang w:val="en-US" w:eastAsia="zh-CN"/>
              </w:rPr>
              <w:t>报价</w:t>
            </w:r>
            <w:r>
              <w:rPr>
                <w:rFonts w:hint="eastAsia" w:ascii="宋体" w:hAnsi="宋体"/>
                <w:color w:val="auto"/>
                <w:kern w:val="0"/>
              </w:rPr>
              <w:t>人数量小于勾选数量，</w:t>
            </w:r>
            <w:r>
              <w:rPr>
                <w:rFonts w:hint="eastAsia" w:ascii="宋体" w:hAnsi="宋体"/>
                <w:color w:val="auto"/>
                <w:spacing w:val="4"/>
                <w:kern w:val="0"/>
                <w:szCs w:val="21"/>
              </w:rPr>
              <w:t>则全部纳入）进行符合性审查。符合性审查内容：形式评审、资格评审、响应性评审。符合性审查</w:t>
            </w:r>
            <w:r>
              <w:rPr>
                <w:rFonts w:hint="eastAsia" w:ascii="宋体" w:hAnsi="宋体"/>
                <w:color w:val="auto"/>
                <w:kern w:val="0"/>
              </w:rPr>
              <w:t>合格的</w:t>
            </w:r>
            <w:r>
              <w:rPr>
                <w:rFonts w:hint="eastAsia" w:ascii="宋体" w:hAnsi="宋体"/>
                <w:color w:val="auto"/>
                <w:kern w:val="0"/>
                <w:lang w:val="en-US" w:eastAsia="zh-CN"/>
              </w:rPr>
              <w:t>报价</w:t>
            </w:r>
            <w:r>
              <w:rPr>
                <w:rFonts w:hint="eastAsia" w:ascii="宋体" w:hAnsi="宋体"/>
                <w:color w:val="auto"/>
                <w:kern w:val="0"/>
              </w:rPr>
              <w:t>人中，报价最低的成为第一中标候选人，报价次低的成为第二中标候选人，依次类推。</w:t>
            </w:r>
          </w:p>
          <w:p w14:paraId="41B3351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color w:val="auto"/>
                <w:highlight w:val="none"/>
              </w:rPr>
            </w:pPr>
            <w:r>
              <w:rPr>
                <w:rFonts w:hint="eastAsia" w:ascii="宋体" w:hAnsi="宋体"/>
                <w:color w:val="auto"/>
                <w:kern w:val="0"/>
              </w:rPr>
              <w:t>符合性审查中有任何一项不符合要求，符合性审查不合格，</w:t>
            </w:r>
            <w:r>
              <w:rPr>
                <w:rFonts w:hint="eastAsia" w:ascii="宋体" w:hAnsi="宋体"/>
                <w:color w:val="auto"/>
                <w:kern w:val="0"/>
                <w:lang w:val="en-US" w:eastAsia="zh-CN"/>
              </w:rPr>
              <w:t>其</w:t>
            </w:r>
            <w:r>
              <w:rPr>
                <w:rFonts w:hint="eastAsia" w:ascii="宋体" w:hAnsi="宋体" w:cs="宋体"/>
                <w:color w:val="auto"/>
                <w:sz w:val="21"/>
                <w:szCs w:val="21"/>
                <w:highlight w:val="none"/>
                <w:lang w:eastAsia="zh-CN"/>
              </w:rPr>
              <w:t>竞争性比选响应文件</w:t>
            </w:r>
            <w:r>
              <w:rPr>
                <w:rFonts w:hint="eastAsia" w:ascii="宋体" w:hAnsi="宋体"/>
                <w:color w:val="auto"/>
                <w:kern w:val="0"/>
              </w:rPr>
              <w:t>由评标委员会作否决处理。</w:t>
            </w:r>
          </w:p>
        </w:tc>
      </w:tr>
      <w:tr w14:paraId="0A8E1F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restart"/>
            <w:tcBorders>
              <w:top w:val="single" w:color="auto" w:sz="4" w:space="0"/>
              <w:right w:val="single" w:color="auto" w:sz="4" w:space="0"/>
            </w:tcBorders>
            <w:vAlign w:val="center"/>
          </w:tcPr>
          <w:p w14:paraId="4AAE6ED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2</w:t>
            </w:r>
          </w:p>
        </w:tc>
        <w:tc>
          <w:tcPr>
            <w:tcW w:w="1124" w:type="dxa"/>
            <w:vMerge w:val="restart"/>
            <w:tcBorders>
              <w:top w:val="single" w:color="auto" w:sz="4" w:space="0"/>
              <w:left w:val="single" w:color="auto" w:sz="4" w:space="0"/>
              <w:right w:val="single" w:color="auto" w:sz="4" w:space="0"/>
            </w:tcBorders>
            <w:vAlign w:val="center"/>
          </w:tcPr>
          <w:p w14:paraId="5639ACA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6B1E19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14:paraId="771A8368">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1822E4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right w:val="single" w:color="auto" w:sz="4" w:space="0"/>
            </w:tcBorders>
            <w:vAlign w:val="center"/>
          </w:tcPr>
          <w:p w14:paraId="5B0C36A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4E369E4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3151AF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函签字盖章</w:t>
            </w:r>
          </w:p>
        </w:tc>
        <w:tc>
          <w:tcPr>
            <w:tcW w:w="5004" w:type="dxa"/>
            <w:tcBorders>
              <w:top w:val="single" w:color="auto" w:sz="4" w:space="0"/>
              <w:left w:val="single" w:color="auto" w:sz="4" w:space="0"/>
              <w:bottom w:val="single" w:color="auto" w:sz="4" w:space="0"/>
            </w:tcBorders>
            <w:vAlign w:val="center"/>
          </w:tcPr>
          <w:p w14:paraId="69B03FBF">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有法定代表人或委托代理人签字或加盖单位公章。</w:t>
            </w:r>
          </w:p>
        </w:tc>
      </w:tr>
      <w:tr w14:paraId="5FDF48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right w:val="single" w:color="auto" w:sz="4" w:space="0"/>
            </w:tcBorders>
            <w:vAlign w:val="center"/>
          </w:tcPr>
          <w:p w14:paraId="446AF10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5DE52AA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76FBE0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竞争性</w:t>
            </w:r>
            <w:r>
              <w:rPr>
                <w:color w:val="auto"/>
                <w:highlight w:val="none"/>
              </w:rPr>
              <w:t>比选</w:t>
            </w:r>
          </w:p>
          <w:p w14:paraId="2D0C7EB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14:paraId="591EE000">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w:t>
            </w:r>
            <w:r>
              <w:rPr>
                <w:rFonts w:hint="eastAsia"/>
                <w:color w:val="auto"/>
                <w:highlight w:val="none"/>
                <w:lang w:val="en-US" w:eastAsia="zh-CN"/>
              </w:rPr>
              <w:t>八</w:t>
            </w:r>
            <w:r>
              <w:rPr>
                <w:color w:val="auto"/>
                <w:highlight w:val="none"/>
              </w:rPr>
              <w:t>章</w:t>
            </w:r>
            <w:r>
              <w:rPr>
                <w:rFonts w:hint="eastAsia"/>
                <w:color w:val="auto"/>
                <w:highlight w:val="none"/>
                <w:lang w:eastAsia="zh-CN"/>
              </w:rPr>
              <w:t>“</w:t>
            </w:r>
            <w:r>
              <w:rPr>
                <w:rFonts w:hint="eastAsia"/>
                <w:color w:val="auto"/>
                <w:highlight w:val="none"/>
              </w:rPr>
              <w:t>竞争性</w:t>
            </w:r>
            <w:r>
              <w:rPr>
                <w:color w:val="auto"/>
                <w:highlight w:val="none"/>
              </w:rPr>
              <w:t>比选响应文件格式</w:t>
            </w:r>
            <w:r>
              <w:rPr>
                <w:rFonts w:hint="eastAsia"/>
                <w:color w:val="auto"/>
                <w:highlight w:val="none"/>
                <w:lang w:eastAsia="zh-CN"/>
              </w:rPr>
              <w:t>”</w:t>
            </w:r>
            <w:r>
              <w:rPr>
                <w:color w:val="auto"/>
                <w:highlight w:val="none"/>
              </w:rPr>
              <w:t>的要求，字迹清晰可辨。</w:t>
            </w:r>
          </w:p>
          <w:p w14:paraId="4761AD58">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14:paraId="463FDF13">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14:paraId="3D2DA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right w:val="single" w:color="auto" w:sz="4" w:space="0"/>
            </w:tcBorders>
            <w:vAlign w:val="center"/>
          </w:tcPr>
          <w:p w14:paraId="75D5878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098FF59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CC4FF4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color w:val="auto"/>
                <w:highlight w:val="none"/>
                <w:lang w:val="en-US" w:eastAsia="zh-CN"/>
              </w:rPr>
              <w:t>采购清单</w:t>
            </w:r>
          </w:p>
        </w:tc>
        <w:tc>
          <w:tcPr>
            <w:tcW w:w="5004" w:type="dxa"/>
            <w:tcBorders>
              <w:top w:val="single" w:color="auto" w:sz="4" w:space="0"/>
              <w:left w:val="single" w:color="auto" w:sz="4" w:space="0"/>
              <w:bottom w:val="single" w:color="auto" w:sz="4" w:space="0"/>
            </w:tcBorders>
            <w:vAlign w:val="center"/>
          </w:tcPr>
          <w:p w14:paraId="568FD22B">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w:t>
            </w:r>
            <w:r>
              <w:rPr>
                <w:rFonts w:hint="eastAsia"/>
                <w:color w:val="auto"/>
                <w:highlight w:val="none"/>
                <w:lang w:val="en-US" w:eastAsia="zh-CN"/>
              </w:rPr>
              <w:t>五</w:t>
            </w:r>
            <w:r>
              <w:rPr>
                <w:color w:val="auto"/>
                <w:highlight w:val="none"/>
              </w:rPr>
              <w:t>章</w:t>
            </w:r>
            <w:r>
              <w:rPr>
                <w:rFonts w:hint="eastAsia"/>
                <w:color w:val="auto"/>
                <w:highlight w:val="none"/>
                <w:lang w:eastAsia="zh-CN"/>
              </w:rPr>
              <w:t>“</w:t>
            </w:r>
            <w:r>
              <w:rPr>
                <w:rFonts w:hint="eastAsia"/>
                <w:color w:val="auto"/>
                <w:highlight w:val="none"/>
                <w:lang w:val="en-US" w:eastAsia="zh-CN"/>
              </w:rPr>
              <w:t>采购清单</w:t>
            </w:r>
            <w:r>
              <w:rPr>
                <w:rFonts w:hint="eastAsia"/>
                <w:color w:val="auto"/>
                <w:highlight w:val="none"/>
                <w:lang w:eastAsia="zh-CN"/>
              </w:rPr>
              <w:t>”</w:t>
            </w:r>
            <w:r>
              <w:rPr>
                <w:color w:val="auto"/>
                <w:highlight w:val="none"/>
              </w:rPr>
              <w:t>给出的范围及数量</w:t>
            </w:r>
            <w:r>
              <w:rPr>
                <w:rFonts w:hint="eastAsia"/>
                <w:color w:val="auto"/>
                <w:highlight w:val="none"/>
              </w:rPr>
              <w:t>。</w:t>
            </w:r>
          </w:p>
        </w:tc>
      </w:tr>
      <w:tr w14:paraId="322B8D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right w:val="single" w:color="auto" w:sz="4" w:space="0"/>
            </w:tcBorders>
            <w:vAlign w:val="center"/>
          </w:tcPr>
          <w:p w14:paraId="6E453CC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755986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252DD41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14:paraId="58F12AB1">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14:paraId="1E8FA5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right w:val="single" w:color="auto" w:sz="4" w:space="0"/>
            </w:tcBorders>
            <w:vAlign w:val="center"/>
          </w:tcPr>
          <w:p w14:paraId="4E7D0D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44908C2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25E9232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shd w:val="clear" w:color="auto" w:fill="auto"/>
            <w:vAlign w:val="center"/>
          </w:tcPr>
          <w:p w14:paraId="1F31EFF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比选响应文件正本中法定代表人或授权代理人签署姓名齐全，符合</w:t>
            </w:r>
            <w:r>
              <w:rPr>
                <w:rFonts w:hint="eastAsia"/>
                <w:color w:val="auto"/>
                <w:highlight w:val="none"/>
              </w:rPr>
              <w:t>比选</w:t>
            </w:r>
            <w:r>
              <w:rPr>
                <w:color w:val="auto"/>
                <w:highlight w:val="none"/>
              </w:rPr>
              <w:t>文件规定；</w:t>
            </w:r>
          </w:p>
        </w:tc>
      </w:tr>
      <w:tr w14:paraId="34E73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7DF5BAE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51C304C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right w:val="single" w:color="auto" w:sz="4" w:space="0"/>
            </w:tcBorders>
            <w:vAlign w:val="center"/>
          </w:tcPr>
          <w:p w14:paraId="4D1E8236">
            <w:pPr>
              <w:keepNext w:val="0"/>
              <w:pageBreakBefore w:val="0"/>
              <w:kinsoku/>
              <w:wordWrap/>
              <w:overflowPunct/>
              <w:topLinePunct w:val="0"/>
              <w:bidi w:val="0"/>
              <w:spacing w:beforeAutospacing="0" w:line="360" w:lineRule="exact"/>
              <w:jc w:val="center"/>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14:paraId="4CB51821">
            <w:pPr>
              <w:keepNext w:val="0"/>
              <w:keepLines w:val="0"/>
              <w:pageBreakBefore w:val="0"/>
              <w:widowControl w:val="0"/>
              <w:kinsoku/>
              <w:wordWrap/>
              <w:overflowPunct/>
              <w:topLinePunct w:val="0"/>
              <w:autoSpaceDE/>
              <w:autoSpaceDN/>
              <w:bidi w:val="0"/>
              <w:adjustRightInd/>
              <w:snapToGrid/>
              <w:spacing w:beforeAutospacing="0" w:line="360" w:lineRule="exact"/>
              <w:ind w:firstLine="0" w:firstLineChars="0"/>
              <w:textAlignment w:val="auto"/>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213D16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restart"/>
            <w:tcBorders>
              <w:top w:val="single" w:color="auto" w:sz="4" w:space="0"/>
              <w:bottom w:val="single" w:color="auto" w:sz="4" w:space="0"/>
              <w:right w:val="single" w:color="auto" w:sz="4" w:space="0"/>
            </w:tcBorders>
            <w:vAlign w:val="center"/>
          </w:tcPr>
          <w:p w14:paraId="141ABFE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76EEEB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314F1B3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sz w:val="21"/>
                <w:szCs w:val="21"/>
                <w:highlight w:val="none"/>
                <w:lang w:val="en-US" w:eastAsia="zh-CN"/>
              </w:rPr>
              <w:t>资质要求</w:t>
            </w:r>
          </w:p>
        </w:tc>
        <w:tc>
          <w:tcPr>
            <w:tcW w:w="5004" w:type="dxa"/>
            <w:tcBorders>
              <w:top w:val="single" w:color="auto" w:sz="4" w:space="0"/>
              <w:left w:val="single" w:color="auto" w:sz="4" w:space="0"/>
              <w:bottom w:val="single" w:color="auto" w:sz="4" w:space="0"/>
            </w:tcBorders>
            <w:vAlign w:val="center"/>
          </w:tcPr>
          <w:p w14:paraId="526E3514">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12C8B5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bottom w:val="single" w:color="auto" w:sz="4" w:space="0"/>
              <w:right w:val="single" w:color="auto" w:sz="4" w:space="0"/>
            </w:tcBorders>
            <w:vAlign w:val="center"/>
          </w:tcPr>
          <w:p w14:paraId="4A8DF9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5F3B6CD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F1FBD9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tcPr>
          <w:p w14:paraId="3B3D0B62">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0FF9A8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bottom w:val="single" w:color="auto" w:sz="4" w:space="0"/>
              <w:right w:val="single" w:color="auto" w:sz="4" w:space="0"/>
            </w:tcBorders>
            <w:vAlign w:val="center"/>
          </w:tcPr>
          <w:p w14:paraId="3B3792E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E9E04A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6CB32A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14:paraId="3D1E2271">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5301CA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restart"/>
            <w:tcBorders>
              <w:top w:val="single" w:color="auto" w:sz="4" w:space="0"/>
              <w:bottom w:val="single" w:color="auto" w:sz="4" w:space="0"/>
              <w:right w:val="single" w:color="auto" w:sz="4" w:space="0"/>
            </w:tcBorders>
            <w:vAlign w:val="center"/>
          </w:tcPr>
          <w:p w14:paraId="6C09C6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636C7F6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EFD47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heme="minorEastAsia" w:hAnsiTheme="minorEastAsia" w:eastAsiaTheme="minorEastAsia" w:cstheme="minorEastAsia"/>
                <w:color w:val="auto"/>
                <w:kern w:val="2"/>
                <w:sz w:val="21"/>
                <w:szCs w:val="21"/>
                <w:highlight w:val="none"/>
                <w:lang w:val="en-US" w:eastAsia="zh-CN" w:bidi="ar-SA"/>
              </w:rPr>
            </w:pPr>
            <w:r>
              <w:rPr>
                <w:color w:val="auto"/>
                <w:highlight w:val="none"/>
              </w:rPr>
              <w:t>投标内容</w:t>
            </w:r>
          </w:p>
        </w:tc>
        <w:tc>
          <w:tcPr>
            <w:tcW w:w="5004" w:type="dxa"/>
            <w:tcBorders>
              <w:top w:val="single" w:color="auto" w:sz="4" w:space="0"/>
              <w:left w:val="single" w:color="auto" w:sz="4" w:space="0"/>
              <w:bottom w:val="single" w:color="auto" w:sz="4" w:space="0"/>
            </w:tcBorders>
            <w:shd w:val="clear" w:color="auto" w:fill="auto"/>
            <w:vAlign w:val="center"/>
          </w:tcPr>
          <w:p w14:paraId="36C25CD3">
            <w:pPr>
              <w:keepNext w:val="0"/>
              <w:keepLines w:val="0"/>
              <w:pageBreakBefore w:val="0"/>
              <w:widowControl w:val="0"/>
              <w:kinsoku/>
              <w:wordWrap/>
              <w:overflowPunct/>
              <w:topLinePunct w:val="0"/>
              <w:autoSpaceDE/>
              <w:autoSpaceDN/>
              <w:bidi w:val="0"/>
              <w:adjustRightInd/>
              <w:snapToGrid/>
              <w:spacing w:line="400" w:lineRule="exact"/>
              <w:textAlignment w:val="auto"/>
              <w:rPr>
                <w:rFonts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14:paraId="40E41A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248B5CB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rPr>
            </w:pPr>
          </w:p>
        </w:tc>
        <w:tc>
          <w:tcPr>
            <w:tcW w:w="1124" w:type="dxa"/>
            <w:vMerge w:val="continue"/>
            <w:tcBorders>
              <w:left w:val="single" w:color="auto" w:sz="4" w:space="0"/>
              <w:right w:val="single" w:color="auto" w:sz="4" w:space="0"/>
            </w:tcBorders>
            <w:vAlign w:val="center"/>
          </w:tcPr>
          <w:p w14:paraId="28F35FE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2CD9581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color w:val="auto"/>
                <w:highlight w:val="none"/>
              </w:rPr>
              <w:t>报价</w:t>
            </w:r>
          </w:p>
        </w:tc>
        <w:tc>
          <w:tcPr>
            <w:tcW w:w="5004" w:type="dxa"/>
            <w:tcBorders>
              <w:top w:val="single" w:color="auto" w:sz="4" w:space="0"/>
              <w:left w:val="single" w:color="auto" w:sz="4" w:space="0"/>
              <w:bottom w:val="single" w:color="auto" w:sz="4" w:space="0"/>
            </w:tcBorders>
            <w:shd w:val="clear" w:color="auto" w:fill="auto"/>
            <w:vAlign w:val="center"/>
          </w:tcPr>
          <w:p w14:paraId="4BDE1A71">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14:paraId="43C353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42A3093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323E6CB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890CE1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交货地点</w:t>
            </w:r>
          </w:p>
        </w:tc>
        <w:tc>
          <w:tcPr>
            <w:tcW w:w="5004" w:type="dxa"/>
            <w:tcBorders>
              <w:top w:val="single" w:color="auto" w:sz="4" w:space="0"/>
              <w:left w:val="single" w:color="auto" w:sz="4" w:space="0"/>
              <w:bottom w:val="single" w:color="auto" w:sz="4" w:space="0"/>
            </w:tcBorders>
            <w:shd w:val="clear" w:color="auto" w:fill="auto"/>
            <w:vAlign w:val="center"/>
          </w:tcPr>
          <w:p w14:paraId="3A4AD295">
            <w:pPr>
              <w:keepNext w:val="0"/>
              <w:keepLines w:val="0"/>
              <w:pageBreakBefore w:val="0"/>
              <w:widowControl w:val="0"/>
              <w:kinsoku/>
              <w:wordWrap/>
              <w:overflowPunct/>
              <w:topLinePunct w:val="0"/>
              <w:autoSpaceDE/>
              <w:autoSpaceDN/>
              <w:bidi w:val="0"/>
              <w:adjustRightInd/>
              <w:snapToGrid/>
              <w:spacing w:line="400" w:lineRule="exact"/>
              <w:textAlignment w:val="auto"/>
              <w:rPr>
                <w:rFonts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14:paraId="618736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3BAE77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6772E6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5F10A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宋体" w:hAnsi="宋体" w:eastAsia="宋体" w:cs="宋体"/>
                <w:color w:val="auto"/>
                <w:szCs w:val="21"/>
                <w:highlight w:val="none"/>
              </w:rPr>
              <w:t>交货时间</w:t>
            </w:r>
          </w:p>
        </w:tc>
        <w:tc>
          <w:tcPr>
            <w:tcW w:w="5004" w:type="dxa"/>
            <w:tcBorders>
              <w:top w:val="single" w:color="auto" w:sz="4" w:space="0"/>
              <w:left w:val="single" w:color="auto" w:sz="4" w:space="0"/>
              <w:bottom w:val="single" w:color="auto" w:sz="4" w:space="0"/>
            </w:tcBorders>
            <w:shd w:val="clear" w:color="auto" w:fill="auto"/>
            <w:vAlign w:val="center"/>
          </w:tcPr>
          <w:p w14:paraId="5AFF8844">
            <w:pPr>
              <w:keepNext w:val="0"/>
              <w:keepLines w:val="0"/>
              <w:pageBreakBefore w:val="0"/>
              <w:widowControl w:val="0"/>
              <w:kinsoku/>
              <w:wordWrap/>
              <w:overflowPunct/>
              <w:topLinePunct w:val="0"/>
              <w:autoSpaceDE/>
              <w:autoSpaceDN/>
              <w:bidi w:val="0"/>
              <w:adjustRightInd/>
              <w:snapToGrid/>
              <w:spacing w:line="400" w:lineRule="exact"/>
              <w:textAlignment w:val="auto"/>
              <w:rPr>
                <w:rFonts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14:paraId="04B013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3AE768A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3CD29E5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313C98E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ascii="宋体" w:hAnsi="宋体" w:cs="宋体"/>
                <w:color w:val="auto"/>
                <w:kern w:val="0"/>
                <w:highlight w:val="none"/>
              </w:rPr>
              <w:t>质量保修期</w:t>
            </w:r>
          </w:p>
        </w:tc>
        <w:tc>
          <w:tcPr>
            <w:tcW w:w="5004" w:type="dxa"/>
            <w:tcBorders>
              <w:top w:val="single" w:color="auto" w:sz="4" w:space="0"/>
              <w:left w:val="single" w:color="auto" w:sz="4" w:space="0"/>
              <w:bottom w:val="single" w:color="auto" w:sz="4" w:space="0"/>
            </w:tcBorders>
            <w:shd w:val="clear" w:color="auto" w:fill="auto"/>
            <w:vAlign w:val="center"/>
          </w:tcPr>
          <w:p w14:paraId="0F6F74A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14:paraId="274A93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510086F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10A6C6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306B73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技术标准</w:t>
            </w:r>
          </w:p>
        </w:tc>
        <w:tc>
          <w:tcPr>
            <w:tcW w:w="5004" w:type="dxa"/>
            <w:tcBorders>
              <w:top w:val="single" w:color="auto" w:sz="4" w:space="0"/>
              <w:left w:val="single" w:color="auto" w:sz="4" w:space="0"/>
              <w:bottom w:val="single" w:color="auto" w:sz="4" w:space="0"/>
            </w:tcBorders>
            <w:shd w:val="clear" w:color="auto" w:fill="auto"/>
            <w:vAlign w:val="center"/>
          </w:tcPr>
          <w:p w14:paraId="0E25740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8</w:t>
            </w:r>
            <w:r>
              <w:rPr>
                <w:color w:val="auto"/>
                <w:highlight w:val="none"/>
              </w:rPr>
              <w:t>项规定</w:t>
            </w:r>
          </w:p>
        </w:tc>
      </w:tr>
      <w:tr w14:paraId="1120D0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bottom w:val="single" w:color="auto" w:sz="4" w:space="0"/>
              <w:right w:val="single" w:color="auto" w:sz="4" w:space="0"/>
            </w:tcBorders>
            <w:vAlign w:val="center"/>
          </w:tcPr>
          <w:p w14:paraId="12EB756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AE52D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193B687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偏差</w:t>
            </w:r>
          </w:p>
        </w:tc>
        <w:tc>
          <w:tcPr>
            <w:tcW w:w="5004" w:type="dxa"/>
            <w:tcBorders>
              <w:top w:val="single" w:color="auto" w:sz="4" w:space="0"/>
              <w:left w:val="single" w:color="auto" w:sz="4" w:space="0"/>
              <w:bottom w:val="single" w:color="auto" w:sz="4" w:space="0"/>
            </w:tcBorders>
            <w:shd w:val="clear" w:color="auto" w:fill="auto"/>
            <w:vAlign w:val="center"/>
          </w:tcPr>
          <w:p w14:paraId="2F384A3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14:paraId="0274E5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bottom w:val="single" w:color="auto" w:sz="4" w:space="0"/>
              <w:right w:val="single" w:color="auto" w:sz="4" w:space="0"/>
            </w:tcBorders>
            <w:vAlign w:val="center"/>
          </w:tcPr>
          <w:p w14:paraId="63DA69B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2FFE738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55F328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5004" w:type="dxa"/>
            <w:tcBorders>
              <w:top w:val="single" w:color="auto" w:sz="4" w:space="0"/>
              <w:left w:val="single" w:color="auto" w:sz="4" w:space="0"/>
              <w:bottom w:val="single" w:color="auto" w:sz="4" w:space="0"/>
            </w:tcBorders>
            <w:shd w:val="clear" w:color="auto" w:fill="auto"/>
            <w:vAlign w:val="center"/>
          </w:tcPr>
          <w:p w14:paraId="018AEBC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14:paraId="3DE786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tcBorders>
              <w:top w:val="single" w:color="auto" w:sz="4" w:space="0"/>
              <w:bottom w:val="single" w:color="auto" w:sz="4" w:space="0"/>
              <w:right w:val="single" w:color="auto" w:sz="4" w:space="0"/>
            </w:tcBorders>
            <w:vAlign w:val="center"/>
          </w:tcPr>
          <w:p w14:paraId="6C32354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14:paraId="791C80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14:paraId="5E7C189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color w:val="auto"/>
                <w:highlight w:val="none"/>
              </w:rPr>
            </w:pPr>
            <w:r>
              <w:rPr>
                <w:color w:val="auto"/>
                <w:highlight w:val="none"/>
              </w:rPr>
              <w:t>补充细化：</w:t>
            </w:r>
          </w:p>
          <w:p w14:paraId="682F803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14:paraId="19F72C88">
      <w:pPr>
        <w:rPr>
          <w:color w:val="auto"/>
          <w:highlight w:val="none"/>
        </w:rPr>
      </w:pPr>
    </w:p>
    <w:p w14:paraId="6B9ED789">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14:paraId="5CACED74">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rPr>
      </w:pPr>
      <w:bookmarkStart w:id="38" w:name="_Toc21919"/>
      <w:r>
        <w:rPr>
          <w:rFonts w:hint="eastAsia" w:ascii="宋体" w:hAnsi="宋体" w:cs="宋体"/>
          <w:color w:val="auto"/>
          <w:sz w:val="21"/>
          <w:szCs w:val="21"/>
          <w:highlight w:val="none"/>
        </w:rPr>
        <w:t>1. 评标方法</w:t>
      </w:r>
      <w:bookmarkEnd w:id="38"/>
    </w:p>
    <w:p w14:paraId="441F15D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ascii="宋体" w:hAnsi="宋体"/>
          <w:color w:val="auto"/>
          <w:sz w:val="21"/>
          <w:szCs w:val="21"/>
          <w:highlight w:val="none"/>
        </w:rPr>
      </w:pPr>
      <w:r>
        <w:rPr>
          <w:rFonts w:hint="eastAsia" w:ascii="宋体" w:hAnsi="宋体"/>
          <w:color w:val="auto"/>
          <w:sz w:val="21"/>
          <w:szCs w:val="21"/>
          <w:highlight w:val="none"/>
        </w:rPr>
        <w:t>本次评标采用经评审的最低投标价法，评标委员会按照本章第2.1款进行报价排序，按照本章第2.2款进行符合性审查，符合性审查合格的</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中按报价由低到高推荐中标候选人，或根据采购人授权直接确定中标人。若出现</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投标报价相同的，以评标办法前附表约定的原则确定排序。</w:t>
      </w:r>
    </w:p>
    <w:p w14:paraId="30F7DE3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1"/>
        <w:rPr>
          <w:rFonts w:hint="eastAsia" w:ascii="宋体" w:hAnsi="宋体" w:cs="宋体"/>
          <w:color w:val="auto"/>
          <w:sz w:val="21"/>
          <w:szCs w:val="21"/>
          <w:highlight w:val="none"/>
        </w:rPr>
      </w:pPr>
      <w:bookmarkStart w:id="39" w:name="_Toc11281"/>
      <w:r>
        <w:rPr>
          <w:rFonts w:hint="eastAsia" w:ascii="宋体" w:hAnsi="宋体" w:cs="宋体"/>
          <w:color w:val="auto"/>
          <w:sz w:val="21"/>
          <w:szCs w:val="21"/>
          <w:highlight w:val="none"/>
        </w:rPr>
        <w:t>2. 评审标准</w:t>
      </w:r>
      <w:bookmarkEnd w:id="39"/>
    </w:p>
    <w:p w14:paraId="03E051DD">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2.1报价排序标准</w:t>
      </w:r>
    </w:p>
    <w:p w14:paraId="28757E3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见评标办法前附表。</w:t>
      </w:r>
    </w:p>
    <w:p w14:paraId="3CF1B04F">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2符合性审查标准</w:t>
      </w:r>
    </w:p>
    <w:p w14:paraId="6902B9D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按评标办法前附表约定的投标单位报价排序数量进行符合性审查</w:t>
      </w:r>
      <w:r>
        <w:rPr>
          <w:rFonts w:hint="eastAsia" w:ascii="宋体" w:hAnsi="宋体"/>
          <w:color w:val="auto"/>
          <w:spacing w:val="4"/>
          <w:kern w:val="0"/>
          <w:sz w:val="21"/>
          <w:szCs w:val="21"/>
          <w:highlight w:val="none"/>
        </w:rPr>
        <w:t>。符合性审查内容：技术方案评审（如有）、资格评审、形式评审、响应性评审</w:t>
      </w:r>
      <w:r>
        <w:rPr>
          <w:rFonts w:hint="eastAsia" w:ascii="宋体" w:hAnsi="宋体" w:cs="宋体"/>
          <w:color w:val="auto"/>
          <w:sz w:val="21"/>
          <w:szCs w:val="21"/>
          <w:highlight w:val="none"/>
        </w:rPr>
        <w:t>。</w:t>
      </w:r>
    </w:p>
    <w:p w14:paraId="7C0F122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2.2.1  形式评审标准：见评标办法前附表。</w:t>
      </w:r>
    </w:p>
    <w:p w14:paraId="1D34A5B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2  资格评审标准：见评标办法前附表。</w:t>
      </w:r>
    </w:p>
    <w:p w14:paraId="379F80D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3  响应性评审标准：见评标办法前附表。</w:t>
      </w:r>
    </w:p>
    <w:p w14:paraId="54BAAB89">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lang w:val="en-US" w:eastAsia="zh-CN"/>
        </w:rPr>
      </w:pPr>
      <w:bookmarkStart w:id="40" w:name="_Toc12011"/>
      <w:r>
        <w:rPr>
          <w:rFonts w:hint="eastAsia" w:ascii="宋体" w:hAnsi="宋体" w:cs="宋体"/>
          <w:color w:val="auto"/>
          <w:sz w:val="21"/>
          <w:szCs w:val="21"/>
          <w:highlight w:val="none"/>
          <w:lang w:val="en-US" w:eastAsia="zh-CN"/>
        </w:rPr>
        <w:t>3. 评标程序</w:t>
      </w:r>
      <w:bookmarkEnd w:id="40"/>
    </w:p>
    <w:p w14:paraId="4CADE492">
      <w:pPr>
        <w:pageBreakBefore w:val="0"/>
        <w:widowControl w:val="0"/>
        <w:kinsoku/>
        <w:wordWrap/>
        <w:overflowPunct/>
        <w:topLinePunct w:val="0"/>
        <w:bidi w:val="0"/>
        <w:snapToGrid/>
        <w:spacing w:line="400" w:lineRule="exact"/>
        <w:ind w:firstLine="413" w:firstLineChars="197"/>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3.1报价排序</w:t>
      </w:r>
    </w:p>
    <w:p w14:paraId="29F3DFF3">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对报价不高于最高限价的所有</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，按照报价由低到高的顺序排序。</w:t>
      </w:r>
    </w:p>
    <w:p w14:paraId="44880FCB">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3.2符合性审查</w:t>
      </w:r>
    </w:p>
    <w:p w14:paraId="44637FE4">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.1评标委员会依据本章第2.</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款规定的标准对</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进行符合性审查。符合性审查顺序：形式评审、资格评审、响应性评审。</w:t>
      </w:r>
    </w:p>
    <w:p w14:paraId="40DDCC24">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.2 </w:t>
      </w:r>
      <w:r>
        <w:rPr>
          <w:rFonts w:hint="eastAsia" w:ascii="宋体" w:hAnsi="宋体" w:cs="宋体"/>
          <w:color w:val="auto"/>
          <w:sz w:val="21"/>
          <w:szCs w:val="21"/>
          <w:highlight w:val="none"/>
          <w:lang w:eastAsia="zh-CN"/>
        </w:rPr>
        <w:t>报价人</w:t>
      </w:r>
      <w:r>
        <w:rPr>
          <w:rFonts w:ascii="宋体" w:hAnsi="宋体" w:cs="宋体"/>
          <w:color w:val="auto"/>
          <w:sz w:val="21"/>
          <w:szCs w:val="21"/>
          <w:highlight w:val="none"/>
        </w:rPr>
        <w:t>有以下情形之一的，</w:t>
      </w:r>
      <w:r>
        <w:rPr>
          <w:rFonts w:hint="eastAsia" w:ascii="宋体" w:hAnsi="宋体" w:cs="宋体"/>
          <w:color w:val="auto"/>
          <w:sz w:val="21"/>
          <w:szCs w:val="21"/>
          <w:highlight w:val="none"/>
        </w:rPr>
        <w:t>其</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将被否决：</w:t>
      </w:r>
    </w:p>
    <w:p w14:paraId="5BB4C59B">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ascii="宋体" w:hAnsi="宋体" w:cs="宋体"/>
          <w:color w:val="auto"/>
          <w:sz w:val="21"/>
          <w:szCs w:val="21"/>
          <w:highlight w:val="none"/>
        </w:rPr>
        <w:t>）</w:t>
      </w:r>
      <w:r>
        <w:rPr>
          <w:rFonts w:hint="eastAsia" w:ascii="宋体" w:hAnsi="宋体" w:cs="宋体"/>
          <w:color w:val="auto"/>
          <w:sz w:val="21"/>
          <w:szCs w:val="21"/>
          <w:highlight w:val="none"/>
        </w:rPr>
        <w:t>本次投标有串通投标、弄虚作假等其他违反招投标相关法律、法规行为的；</w:t>
      </w:r>
    </w:p>
    <w:p w14:paraId="4C14AC1A">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（2）拒绝按评标委员会要求澄清、说明或补正的。</w:t>
      </w:r>
    </w:p>
    <w:p w14:paraId="24DD95A1">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3.2.3 投标报价有算术错误的，评标委员会按以下原则对投标报价进行修正，修正的价格经</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书面确认后具有约束力，修正原则如下：</w:t>
      </w:r>
    </w:p>
    <w:p w14:paraId="795C0589">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中的大写金额与小写金额不一致的，以大写金额为准；</w:t>
      </w:r>
    </w:p>
    <w:p w14:paraId="13D32BDC">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（2）响应声明书中的总报价与已标价采购清单总报价不一致的，由评标委员会作否决投标处理。</w:t>
      </w:r>
    </w:p>
    <w:p w14:paraId="1209C969">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 xml:space="preserve">3.3 </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的澄清和补正</w:t>
      </w:r>
    </w:p>
    <w:p w14:paraId="3878546C">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.1 </w:t>
      </w:r>
      <w:r>
        <w:rPr>
          <w:rFonts w:hint="eastAsia" w:ascii="宋体" w:hAnsi="宋体" w:cs="宋体"/>
          <w:color w:val="auto"/>
          <w:sz w:val="21"/>
          <w:szCs w:val="21"/>
          <w:highlight w:val="none"/>
        </w:rPr>
        <w:t>在评标过程中，评标委员会可以书面形式要求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对所提交</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中不明确的内容进行书面澄清或说明，或者对细微偏差进行补正。评标委员会不接受</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主动提出的澄清、说明或补正。</w:t>
      </w:r>
    </w:p>
    <w:p w14:paraId="6763EE02">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.2 </w:t>
      </w:r>
      <w:r>
        <w:rPr>
          <w:rFonts w:hint="eastAsia" w:ascii="宋体" w:hAnsi="宋体" w:cs="宋体"/>
          <w:color w:val="auto"/>
          <w:sz w:val="21"/>
          <w:szCs w:val="21"/>
          <w:highlight w:val="none"/>
        </w:rPr>
        <w:t>澄清、说明和补正不得改变</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的实质性内容（算术性错误修正的除外）。</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的书面澄清、说明和补正属于</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的组成部分。</w:t>
      </w:r>
    </w:p>
    <w:p w14:paraId="72773C1D">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.3 </w:t>
      </w:r>
      <w:r>
        <w:rPr>
          <w:rFonts w:hint="eastAsia" w:ascii="宋体" w:hAnsi="宋体" w:cs="宋体"/>
          <w:color w:val="auto"/>
          <w:sz w:val="21"/>
          <w:szCs w:val="21"/>
          <w:highlight w:val="none"/>
        </w:rPr>
        <w:t>评标委员会对</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提交的澄清、说明或补正有疑问的，可以要求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进一步澄清、说明或补正，直至满足评标委员会的要求。</w:t>
      </w:r>
    </w:p>
    <w:p w14:paraId="1FF4F962">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3.4 评标结果</w:t>
      </w:r>
    </w:p>
    <w:p w14:paraId="3BF0ABBC">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outlineLvl w:val="9"/>
        <w:rPr>
          <w:rFonts w:ascii="宋体" w:hAnsi="宋体" w:cs="宋体"/>
          <w:color w:val="auto"/>
          <w:kern w:val="0"/>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.1</w:t>
      </w:r>
      <w:r>
        <w:rPr>
          <w:rFonts w:hint="eastAsia" w:ascii="宋体" w:hAnsi="宋体" w:cs="宋体"/>
          <w:color w:val="auto"/>
          <w:sz w:val="21"/>
          <w:szCs w:val="21"/>
          <w:highlight w:val="none"/>
        </w:rPr>
        <w:t xml:space="preserve"> 除第二章“</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须知”前附表授权直接确定中标人外，评标委员会按经评审的最低投标价法推荐中标候选人。</w:t>
      </w:r>
    </w:p>
    <w:p w14:paraId="64B86ED3">
      <w:pPr>
        <w:pageBreakBefore w:val="0"/>
        <w:widowControl w:val="0"/>
        <w:kinsoku/>
        <w:wordWrap/>
        <w:overflowPunct/>
        <w:topLinePunct w:val="0"/>
        <w:bidi w:val="0"/>
        <w:snapToGrid/>
        <w:spacing w:line="400" w:lineRule="exact"/>
        <w:ind w:firstLine="420" w:firstLineChars="200"/>
        <w:jc w:val="left"/>
        <w:textAlignment w:val="auto"/>
        <w:outlineLvl w:val="9"/>
        <w:rPr>
          <w:rFonts w:ascii="宋体" w:hAnsi="宋体" w:cs="宋体"/>
          <w:color w:val="auto"/>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.2</w:t>
      </w:r>
      <w:r>
        <w:rPr>
          <w:rFonts w:hint="eastAsia" w:ascii="宋体" w:hAnsi="宋体" w:cs="宋体"/>
          <w:color w:val="auto"/>
          <w:sz w:val="21"/>
          <w:szCs w:val="21"/>
          <w:highlight w:val="none"/>
        </w:rPr>
        <w:t xml:space="preserve"> 评标委员会完成评标后，应当向采购人提交书面评标报告和中标候选人名单。</w:t>
      </w:r>
    </w:p>
    <w:p w14:paraId="1252DA81">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09ED9B7C">
      <w:pPr>
        <w:pStyle w:val="2"/>
        <w:keepNext/>
        <w:keepLines/>
        <w:pageBreakBefore w:val="0"/>
        <w:widowControl w:val="0"/>
        <w:numPr>
          <w:ilvl w:val="0"/>
          <w:numId w:val="2"/>
        </w:numPr>
        <w:kinsoku/>
        <w:wordWrap/>
        <w:overflowPunct/>
        <w:topLinePunct w:val="0"/>
        <w:autoSpaceDE/>
        <w:autoSpaceDN/>
        <w:bidi w:val="0"/>
        <w:adjustRightInd/>
        <w:snapToGrid/>
        <w:spacing w:before="157" w:beforeLines="50" w:after="157" w:afterLines="50" w:line="360" w:lineRule="auto"/>
        <w:jc w:val="center"/>
        <w:textAlignment w:val="auto"/>
        <w:rPr>
          <w:rFonts w:ascii="宋体" w:hAnsi="宋体" w:cs="宋体"/>
          <w:color w:val="auto"/>
          <w:highlight w:val="none"/>
        </w:rPr>
      </w:pPr>
      <w:bookmarkStart w:id="41" w:name="_Toc4734"/>
      <w:r>
        <w:rPr>
          <w:rFonts w:hint="eastAsia" w:ascii="宋体" w:hAnsi="宋体" w:cs="宋体"/>
          <w:color w:val="auto"/>
          <w:highlight w:val="none"/>
          <w:lang w:val="en-US" w:eastAsia="zh-CN"/>
        </w:rPr>
        <w:t>报价说明</w:t>
      </w:r>
      <w:bookmarkEnd w:id="41"/>
    </w:p>
    <w:p w14:paraId="66B31ABF">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2" w:firstLineChars="200"/>
        <w:textAlignment w:val="auto"/>
        <w:rPr>
          <w:rFonts w:hint="default" w:ascii="宋体" w:hAnsi="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一、报价依据</w:t>
      </w:r>
    </w:p>
    <w:p w14:paraId="594BC77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1、报价人</w:t>
      </w:r>
      <w:r>
        <w:rPr>
          <w:rFonts w:hint="eastAsia" w:ascii="宋体" w:hAnsi="宋体" w:eastAsia="宋体" w:cs="宋体"/>
          <w:color w:val="auto"/>
          <w:highlight w:val="none"/>
        </w:rPr>
        <w:t>提供的货物及服务均应符合</w:t>
      </w:r>
      <w:r>
        <w:rPr>
          <w:rFonts w:hint="eastAsia" w:ascii="宋体" w:hAnsi="宋体" w:eastAsia="宋体" w:cs="宋体"/>
          <w:color w:val="auto"/>
          <w:highlight w:val="none"/>
          <w:lang w:val="en-US" w:eastAsia="zh-CN"/>
        </w:rPr>
        <w:t>竞争性比选文件</w:t>
      </w:r>
      <w:r>
        <w:rPr>
          <w:rFonts w:hint="eastAsia" w:ascii="宋体" w:hAnsi="宋体" w:eastAsia="宋体" w:cs="宋体"/>
          <w:color w:val="auto"/>
          <w:highlight w:val="none"/>
        </w:rPr>
        <w:t>的技术要求</w:t>
      </w:r>
      <w:r>
        <w:rPr>
          <w:rFonts w:hint="eastAsia" w:ascii="宋体" w:hAnsi="宋体" w:eastAsia="宋体" w:cs="宋体"/>
          <w:color w:val="auto"/>
          <w:highlight w:val="none"/>
          <w:lang w:val="en-US" w:eastAsia="zh-CN"/>
        </w:rPr>
        <w:t>以及</w:t>
      </w:r>
      <w:r>
        <w:rPr>
          <w:rFonts w:hint="eastAsia" w:ascii="宋体" w:hAnsi="宋体" w:eastAsia="宋体" w:cs="宋体"/>
          <w:color w:val="auto"/>
          <w:highlight w:val="none"/>
        </w:rPr>
        <w:t>约定的规格</w:t>
      </w:r>
      <w:r>
        <w:rPr>
          <w:rFonts w:hint="eastAsia" w:ascii="宋体" w:hAnsi="宋体" w:cs="宋体"/>
          <w:color w:val="auto"/>
          <w:highlight w:val="none"/>
          <w:lang w:val="en-US" w:eastAsia="zh-CN"/>
        </w:rPr>
        <w:t>和</w:t>
      </w:r>
      <w:r>
        <w:rPr>
          <w:rFonts w:hint="eastAsia" w:ascii="宋体" w:hAnsi="宋体" w:eastAsia="宋体" w:cs="宋体"/>
          <w:color w:val="auto"/>
          <w:highlight w:val="none"/>
        </w:rPr>
        <w:t>质量标准；货物的技术参数和性能</w:t>
      </w:r>
      <w:r>
        <w:rPr>
          <w:rFonts w:hint="eastAsia" w:ascii="宋体" w:hAnsi="宋体" w:eastAsia="宋体" w:cs="宋体"/>
          <w:color w:val="auto"/>
          <w:highlight w:val="none"/>
          <w:lang w:val="en-US" w:eastAsia="zh-CN"/>
        </w:rPr>
        <w:t>须</w:t>
      </w:r>
      <w:r>
        <w:rPr>
          <w:rFonts w:hint="eastAsia" w:ascii="宋体" w:hAnsi="宋体" w:eastAsia="宋体" w:cs="宋体"/>
          <w:color w:val="auto"/>
          <w:highlight w:val="none"/>
        </w:rPr>
        <w:t>符合国家质量检测标准</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如果没有提及适用标准，则应符合中华人民共和国现行有效的国家标准、地方标准或行业标准，并以较高标准为准；如果中华人民共和国没有相关标准的，则采用货物来源国适用的官方标准。这些标准必须是有关机构发布的最新版本的标准。</w:t>
      </w:r>
    </w:p>
    <w:p w14:paraId="6356609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2、报价</w:t>
      </w:r>
      <w:r>
        <w:rPr>
          <w:rFonts w:hint="eastAsia" w:ascii="宋体" w:hAnsi="宋体" w:eastAsia="宋体" w:cs="宋体"/>
          <w:color w:val="auto"/>
          <w:highlight w:val="none"/>
        </w:rPr>
        <w:t>人提供的所有货物（包括但不限于零部件、备件、备品等）必须是全新的、完整的、未使用过的和未翻新的产品，并用先进工艺及材料制造，能够安全使用，运行安全可靠；在原料、生产过程、检验等方面符合合同约定，其品质符合合同文件、技术规范和要求等要求（标准不一致时，以较高者为准）；在各方面符合</w:t>
      </w:r>
      <w:r>
        <w:rPr>
          <w:rFonts w:hint="eastAsia" w:ascii="宋体" w:hAnsi="宋体" w:eastAsia="宋体" w:cs="宋体"/>
          <w:color w:val="auto"/>
          <w:highlight w:val="none"/>
          <w:lang w:val="en-US" w:eastAsia="zh-CN"/>
        </w:rPr>
        <w:t>相关</w:t>
      </w:r>
      <w:r>
        <w:rPr>
          <w:rFonts w:hint="eastAsia" w:ascii="宋体" w:hAnsi="宋体" w:eastAsia="宋体" w:cs="宋体"/>
          <w:color w:val="auto"/>
          <w:highlight w:val="none"/>
        </w:rPr>
        <w:t>规定的质量、规格和性能。随</w:t>
      </w:r>
      <w:r>
        <w:rPr>
          <w:rFonts w:hint="eastAsia" w:ascii="宋体" w:hAnsi="宋体" w:eastAsia="宋体" w:cs="宋体"/>
          <w:color w:val="auto"/>
          <w:highlight w:val="none"/>
          <w:lang w:val="en-US" w:eastAsia="zh-CN"/>
        </w:rPr>
        <w:t>货物</w:t>
      </w:r>
      <w:r>
        <w:rPr>
          <w:rFonts w:hint="eastAsia" w:ascii="宋体" w:hAnsi="宋体" w:eastAsia="宋体" w:cs="宋体"/>
          <w:color w:val="auto"/>
          <w:highlight w:val="none"/>
        </w:rPr>
        <w:t>持有产品合格证书、保修卡、说明书等。</w:t>
      </w:r>
    </w:p>
    <w:p w14:paraId="3F12FB7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安装施工质量要求</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如有</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国家、行业和重庆市现行有关施工质量验收规范、技术标准、规程、文件等相关规定及工程施工图设计文件要求，并以较高要求为准，且满足运行条件达到一次性验收合格标准。随机持有产品合格证书、保修卡、说明书、检测/检验/试验报告、原装进口产品相关资料等。</w:t>
      </w:r>
    </w:p>
    <w:p w14:paraId="361887CA">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2" w:firstLineChars="200"/>
        <w:textAlignment w:val="auto"/>
        <w:rPr>
          <w:rFonts w:hint="default"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二、报价原则</w:t>
      </w:r>
    </w:p>
    <w:p w14:paraId="54F35C1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须负责本次</w:t>
      </w:r>
      <w:r>
        <w:rPr>
          <w:rFonts w:hint="eastAsia" w:asciiTheme="minorEastAsia" w:hAnsiTheme="minorEastAsia" w:eastAsiaTheme="minorEastAsia" w:cstheme="minorEastAsia"/>
          <w:color w:val="auto"/>
          <w:sz w:val="21"/>
          <w:szCs w:val="21"/>
          <w:highlight w:val="none"/>
          <w:lang w:val="en-US" w:eastAsia="zh-CN"/>
        </w:rPr>
        <w:t>采购</w:t>
      </w:r>
      <w:r>
        <w:rPr>
          <w:rFonts w:hint="eastAsia" w:asciiTheme="minorEastAsia" w:hAnsiTheme="minorEastAsia" w:eastAsiaTheme="minorEastAsia" w:cstheme="minorEastAsia"/>
          <w:color w:val="auto"/>
          <w:sz w:val="21"/>
          <w:szCs w:val="21"/>
          <w:highlight w:val="none"/>
        </w:rPr>
        <w:t>范围内的</w:t>
      </w:r>
      <w:r>
        <w:rPr>
          <w:rFonts w:hint="eastAsia" w:asciiTheme="minorEastAsia" w:hAnsiTheme="minorEastAsia" w:eastAsiaTheme="minorEastAsia" w:cstheme="minorEastAsia"/>
          <w:color w:val="auto"/>
          <w:sz w:val="21"/>
          <w:szCs w:val="21"/>
          <w:highlight w:val="none"/>
          <w:lang w:val="en-US" w:eastAsia="zh-CN"/>
        </w:rPr>
        <w:t>货物供货</w:t>
      </w:r>
      <w:r>
        <w:rPr>
          <w:rFonts w:hint="eastAsia" w:asciiTheme="minorEastAsia" w:hAnsiTheme="minorEastAsia" w:eastAsiaTheme="minorEastAsia" w:cstheme="minorEastAsia"/>
          <w:color w:val="auto"/>
          <w:sz w:val="21"/>
          <w:szCs w:val="21"/>
          <w:highlight w:val="none"/>
        </w:rPr>
        <w:t>及安装</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如有</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工作，</w:t>
      </w:r>
      <w:r>
        <w:rPr>
          <w:rFonts w:hint="eastAsia" w:ascii="宋体" w:hAnsi="宋体" w:eastAsia="宋体" w:cs="宋体"/>
          <w:b w:val="0"/>
          <w:bCs w:val="0"/>
          <w:color w:val="auto"/>
          <w:sz w:val="21"/>
          <w:szCs w:val="21"/>
          <w:highlight w:val="none"/>
          <w:lang w:val="en-US" w:eastAsia="zh-CN"/>
        </w:rPr>
        <w:t>本竞争性比选报价采用综合单价报价。综合单价报价</w:t>
      </w:r>
      <w:r>
        <w:rPr>
          <w:rFonts w:hint="eastAsia" w:asciiTheme="minorEastAsia" w:hAnsiTheme="minorEastAsia" w:eastAsiaTheme="minorEastAsia" w:cstheme="minorEastAsia"/>
          <w:color w:val="auto"/>
          <w:sz w:val="21"/>
          <w:szCs w:val="21"/>
          <w:highlight w:val="none"/>
        </w:rPr>
        <w:t>应是</w:t>
      </w:r>
      <w:r>
        <w:rPr>
          <w:rFonts w:hint="eastAsia" w:asciiTheme="minorEastAsia" w:hAnsiTheme="minorEastAsia" w:eastAsiaTheme="minorEastAsia" w:cstheme="minorEastAsia"/>
          <w:color w:val="auto"/>
          <w:sz w:val="21"/>
          <w:szCs w:val="21"/>
          <w:highlight w:val="none"/>
          <w:lang w:val="en-US" w:eastAsia="zh-CN"/>
        </w:rPr>
        <w:t>竞争性比选</w:t>
      </w:r>
      <w:r>
        <w:rPr>
          <w:rFonts w:hint="eastAsia" w:asciiTheme="minorEastAsia" w:hAnsiTheme="minorEastAsia" w:eastAsiaTheme="minorEastAsia" w:cstheme="minorEastAsia"/>
          <w:color w:val="auto"/>
          <w:sz w:val="21"/>
          <w:szCs w:val="21"/>
          <w:highlight w:val="none"/>
        </w:rPr>
        <w:t>文件及合同条款中涉及和/或合理推断出</w:t>
      </w:r>
      <w:r>
        <w:rPr>
          <w:rFonts w:hint="eastAsia" w:asciiTheme="minorEastAsia" w:hAnsiTheme="minorEastAsia" w:eastAsiaTheme="minorEastAsia" w:cstheme="minorEastAsia"/>
          <w:color w:val="auto"/>
          <w:sz w:val="21"/>
          <w:szCs w:val="21"/>
          <w:highlight w:val="none"/>
          <w:lang w:val="en-US" w:eastAsia="zh-CN"/>
        </w:rPr>
        <w:t>报价人</w:t>
      </w:r>
      <w:r>
        <w:rPr>
          <w:rFonts w:hint="eastAsia" w:asciiTheme="minorEastAsia" w:hAnsiTheme="minorEastAsia" w:eastAsiaTheme="minorEastAsia" w:cstheme="minorEastAsia"/>
          <w:color w:val="auto"/>
          <w:sz w:val="21"/>
          <w:szCs w:val="21"/>
          <w:highlight w:val="none"/>
        </w:rPr>
        <w:t>应承担的全部义务，包括但不限于</w:t>
      </w:r>
      <w:r>
        <w:rPr>
          <w:rFonts w:hint="eastAsia" w:asciiTheme="minorEastAsia" w:hAnsiTheme="minorEastAsia" w:eastAsiaTheme="minorEastAsia" w:cstheme="minorEastAsia"/>
          <w:color w:val="auto"/>
          <w:sz w:val="21"/>
          <w:szCs w:val="21"/>
          <w:highlight w:val="none"/>
          <w:lang w:val="en-US" w:eastAsia="zh-CN"/>
        </w:rPr>
        <w:t>采购</w:t>
      </w:r>
      <w:r>
        <w:rPr>
          <w:rFonts w:hint="eastAsia" w:asciiTheme="minorEastAsia" w:hAnsiTheme="minorEastAsia" w:eastAsiaTheme="minorEastAsia" w:cstheme="minorEastAsia"/>
          <w:color w:val="auto"/>
          <w:sz w:val="21"/>
          <w:szCs w:val="21"/>
          <w:highlight w:val="none"/>
        </w:rPr>
        <w:t>范围的设备（含备品、备件、专用工具</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辅助配套材料等</w:t>
      </w:r>
      <w:r>
        <w:rPr>
          <w:rFonts w:hint="eastAsia" w:asciiTheme="minorEastAsia" w:hAnsiTheme="minorEastAsia" w:eastAsiaTheme="minorEastAsia" w:cstheme="minorEastAsia"/>
          <w:color w:val="auto"/>
          <w:sz w:val="21"/>
          <w:szCs w:val="21"/>
          <w:highlight w:val="none"/>
        </w:rPr>
        <w:t>）采购、制造、选型、安装、装配（含出厂前组装、测试和检测、检验等）、知识产权、货物交货的各项成本、配合设计费、包装费、运输费（含密闭运输、运杂费等）、大型机械进出场费、装卸费（含上下车、货到现场二次或多次装卸等）、保险、货物保管（</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负责</w:t>
      </w:r>
      <w:r>
        <w:rPr>
          <w:rFonts w:hint="eastAsia" w:asciiTheme="minorEastAsia" w:hAnsiTheme="minorEastAsia" w:eastAsiaTheme="minorEastAsia" w:cstheme="minorEastAsia"/>
          <w:color w:val="auto"/>
          <w:sz w:val="21"/>
          <w:szCs w:val="21"/>
          <w:highlight w:val="none"/>
          <w:lang w:val="en-US" w:eastAsia="zh-CN"/>
        </w:rPr>
        <w:t>将</w:t>
      </w:r>
      <w:r>
        <w:rPr>
          <w:rFonts w:hint="eastAsia" w:asciiTheme="minorEastAsia" w:hAnsiTheme="minorEastAsia" w:eastAsiaTheme="minorEastAsia" w:cstheme="minorEastAsia"/>
          <w:color w:val="auto"/>
          <w:sz w:val="21"/>
          <w:szCs w:val="21"/>
          <w:highlight w:val="none"/>
        </w:rPr>
        <w:t>设备具备移交条件后移交给</w:t>
      </w:r>
      <w:r>
        <w:rPr>
          <w:rFonts w:hint="eastAsia" w:asciiTheme="minorEastAsia" w:hAnsiTheme="minorEastAsia" w:eastAsiaTheme="minorEastAsia" w:cstheme="minorEastAsia"/>
          <w:color w:val="auto"/>
          <w:sz w:val="21"/>
          <w:szCs w:val="21"/>
          <w:highlight w:val="none"/>
          <w:lang w:val="en-US" w:eastAsia="zh-CN"/>
        </w:rPr>
        <w:t>采购人</w:t>
      </w:r>
      <w:r>
        <w:rPr>
          <w:rFonts w:hint="eastAsia" w:asciiTheme="minorEastAsia" w:hAnsiTheme="minorEastAsia" w:eastAsiaTheme="minorEastAsia" w:cstheme="minorEastAsia"/>
          <w:color w:val="auto"/>
          <w:sz w:val="21"/>
          <w:szCs w:val="21"/>
          <w:highlight w:val="none"/>
        </w:rPr>
        <w:t>）、调试、检测、试运行、配合服务及验收、周边已完工程的成品保护、资料提交、技术服务、人员培训、质保期内的维修、维护、保养和易损耗件的提供、售后服务、设备、一切风险费等全部费用以及</w:t>
      </w:r>
      <w:r>
        <w:rPr>
          <w:rFonts w:hint="eastAsia" w:asciiTheme="minorEastAsia" w:hAnsiTheme="minorEastAsia" w:eastAsiaTheme="minorEastAsia" w:cstheme="minorEastAsia"/>
          <w:color w:val="auto"/>
          <w:sz w:val="21"/>
          <w:szCs w:val="21"/>
          <w:highlight w:val="none"/>
          <w:lang w:val="en-US" w:eastAsia="zh-CN"/>
        </w:rPr>
        <w:t>报价人</w:t>
      </w:r>
      <w:r>
        <w:rPr>
          <w:rFonts w:hint="eastAsia" w:asciiTheme="minorEastAsia" w:hAnsiTheme="minorEastAsia" w:eastAsiaTheme="minorEastAsia" w:cstheme="minorEastAsia"/>
          <w:color w:val="auto"/>
          <w:sz w:val="21"/>
          <w:szCs w:val="21"/>
          <w:highlight w:val="none"/>
        </w:rPr>
        <w:t>为完成合同全部义务应承担的一切成本、税金、风险、合理利润等所有费用。除此之外，</w:t>
      </w:r>
      <w:r>
        <w:rPr>
          <w:rFonts w:hint="eastAsia" w:asciiTheme="minorEastAsia" w:hAnsiTheme="minorEastAsia" w:eastAsiaTheme="minorEastAsia" w:cstheme="minorEastAsia"/>
          <w:color w:val="auto"/>
          <w:sz w:val="21"/>
          <w:szCs w:val="21"/>
          <w:highlight w:val="none"/>
          <w:lang w:val="en-US" w:eastAsia="zh-CN"/>
        </w:rPr>
        <w:t>采购人</w:t>
      </w:r>
      <w:r>
        <w:rPr>
          <w:rFonts w:hint="eastAsia" w:asciiTheme="minorEastAsia" w:hAnsiTheme="minorEastAsia" w:eastAsiaTheme="minorEastAsia" w:cstheme="minorEastAsia"/>
          <w:color w:val="auto"/>
          <w:sz w:val="21"/>
          <w:szCs w:val="21"/>
          <w:highlight w:val="none"/>
        </w:rPr>
        <w:t>无需向</w:t>
      </w:r>
      <w:r>
        <w:rPr>
          <w:rFonts w:hint="eastAsia" w:asciiTheme="minorEastAsia" w:hAnsiTheme="minorEastAsia" w:eastAsiaTheme="minorEastAsia" w:cstheme="minorEastAsia"/>
          <w:color w:val="auto"/>
          <w:sz w:val="21"/>
          <w:szCs w:val="21"/>
          <w:highlight w:val="none"/>
          <w:lang w:val="en-US" w:eastAsia="zh-CN"/>
        </w:rPr>
        <w:t>报价人</w:t>
      </w:r>
      <w:r>
        <w:rPr>
          <w:rFonts w:hint="eastAsia" w:asciiTheme="minorEastAsia" w:hAnsiTheme="minorEastAsia" w:eastAsiaTheme="minorEastAsia" w:cstheme="minorEastAsia"/>
          <w:color w:val="auto"/>
          <w:sz w:val="21"/>
          <w:szCs w:val="21"/>
          <w:highlight w:val="none"/>
        </w:rPr>
        <w:t>和（或）第三方支付任何其他费用。</w:t>
      </w:r>
    </w:p>
    <w:p w14:paraId="0F5EBAB8">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1"/>
          <w:szCs w:val="21"/>
          <w:highlight w:val="none"/>
          <w:lang w:val="en-US" w:eastAsia="zh-CN"/>
        </w:rPr>
        <w:t>三、</w:t>
      </w:r>
      <w:r>
        <w:rPr>
          <w:rFonts w:hint="eastAsia" w:asciiTheme="minorEastAsia" w:hAnsiTheme="minorEastAsia" w:eastAsiaTheme="minorEastAsia" w:cstheme="minorEastAsia"/>
          <w:b/>
          <w:bCs/>
          <w:color w:val="auto"/>
          <w:sz w:val="21"/>
          <w:szCs w:val="21"/>
          <w:highlight w:val="none"/>
        </w:rPr>
        <w:t>报价说明</w:t>
      </w:r>
    </w:p>
    <w:p w14:paraId="3EA2B312">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cs="宋体"/>
          <w:b w:val="0"/>
          <w:bCs w:val="0"/>
          <w:color w:val="auto"/>
          <w:sz w:val="21"/>
          <w:szCs w:val="21"/>
          <w:highlight w:val="none"/>
          <w:lang w:val="en-US" w:eastAsia="zh-CN"/>
        </w:rPr>
        <w:t>采购人发布的采购清单（以下简称“清单”）</w:t>
      </w:r>
      <w:r>
        <w:rPr>
          <w:rFonts w:hint="eastAsia" w:ascii="宋体" w:hAnsi="宋体" w:eastAsia="宋体" w:cs="宋体"/>
          <w:b w:val="0"/>
          <w:bCs w:val="0"/>
          <w:color w:val="auto"/>
          <w:sz w:val="21"/>
          <w:szCs w:val="21"/>
          <w:highlight w:val="none"/>
          <w:lang w:val="en-US" w:eastAsia="zh-CN"/>
        </w:rPr>
        <w:t>应与本</w:t>
      </w:r>
      <w:r>
        <w:rPr>
          <w:rFonts w:hint="eastAsia" w:ascii="宋体" w:hAnsi="宋体" w:cs="宋体"/>
          <w:b w:val="0"/>
          <w:bCs w:val="0"/>
          <w:color w:val="auto"/>
          <w:sz w:val="21"/>
          <w:szCs w:val="21"/>
          <w:highlight w:val="none"/>
          <w:lang w:val="en-US" w:eastAsia="zh-CN"/>
        </w:rPr>
        <w:t>项目</w:t>
      </w:r>
      <w:r>
        <w:rPr>
          <w:rFonts w:hint="eastAsia" w:ascii="宋体" w:hAnsi="宋体" w:eastAsia="宋体" w:cs="宋体"/>
          <w:b w:val="0"/>
          <w:bCs w:val="0"/>
          <w:color w:val="auto"/>
          <w:sz w:val="21"/>
          <w:szCs w:val="21"/>
          <w:highlight w:val="none"/>
          <w:lang w:val="en-US" w:eastAsia="zh-CN"/>
        </w:rPr>
        <w:t>竞争性比选文件、技术标准和要求等文件结合起来查阅与理解。</w:t>
      </w:r>
    </w:p>
    <w:p w14:paraId="06D6EAA8">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val="en-US" w:eastAsia="zh-CN"/>
        </w:rPr>
        <w:t>、报价人应结合现场实际和现在的市场情况、自身技术及管理水平、经营状况、机械设备及制定的方案的要求自行报价，该报价不低于报价人完成该项目的成本。</w:t>
      </w:r>
    </w:p>
    <w:p w14:paraId="1795F590">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lang w:val="en-US" w:eastAsia="zh-CN"/>
        </w:rPr>
        <w:t>、清单中所列数量是</w:t>
      </w:r>
      <w:r>
        <w:rPr>
          <w:rFonts w:hint="eastAsia" w:ascii="宋体" w:hAnsi="宋体" w:cs="宋体"/>
          <w:b w:val="0"/>
          <w:bCs w:val="0"/>
          <w:color w:val="auto"/>
          <w:sz w:val="21"/>
          <w:szCs w:val="21"/>
          <w:highlight w:val="none"/>
          <w:lang w:val="en-US" w:eastAsia="zh-CN"/>
        </w:rPr>
        <w:t>暂估</w:t>
      </w:r>
      <w:r>
        <w:rPr>
          <w:rFonts w:hint="eastAsia" w:ascii="宋体" w:hAnsi="宋体" w:eastAsia="宋体" w:cs="宋体"/>
          <w:b w:val="0"/>
          <w:bCs w:val="0"/>
          <w:color w:val="auto"/>
          <w:sz w:val="21"/>
          <w:szCs w:val="21"/>
          <w:highlight w:val="none"/>
          <w:lang w:val="en-US" w:eastAsia="zh-CN"/>
        </w:rPr>
        <w:t>数量，仅作为报价的共同基础，不能作为最终结算与支付的依据。实际支付应按实际完成的</w:t>
      </w:r>
      <w:r>
        <w:rPr>
          <w:rFonts w:hint="eastAsia" w:ascii="宋体" w:hAnsi="宋体" w:cs="宋体"/>
          <w:b w:val="0"/>
          <w:bCs w:val="0"/>
          <w:color w:val="auto"/>
          <w:sz w:val="21"/>
          <w:szCs w:val="21"/>
          <w:highlight w:val="none"/>
          <w:lang w:val="en-US" w:eastAsia="zh-CN"/>
        </w:rPr>
        <w:t>数</w:t>
      </w:r>
      <w:r>
        <w:rPr>
          <w:rFonts w:hint="eastAsia" w:ascii="宋体" w:hAnsi="宋体" w:eastAsia="宋体" w:cs="宋体"/>
          <w:b w:val="0"/>
          <w:bCs w:val="0"/>
          <w:color w:val="auto"/>
          <w:sz w:val="21"/>
          <w:szCs w:val="21"/>
          <w:highlight w:val="none"/>
          <w:lang w:val="en-US" w:eastAsia="zh-CN"/>
        </w:rPr>
        <w:t>量</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清单的单价来计算支付金额。</w:t>
      </w:r>
    </w:p>
    <w:p w14:paraId="6CA05431">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lang w:val="en-US" w:eastAsia="zh-CN"/>
        </w:rPr>
        <w:t>、清单中所列</w:t>
      </w:r>
      <w:r>
        <w:rPr>
          <w:rFonts w:hint="eastAsia" w:ascii="宋体" w:hAnsi="宋体" w:cs="宋体"/>
          <w:b w:val="0"/>
          <w:bCs w:val="0"/>
          <w:color w:val="auto"/>
          <w:sz w:val="21"/>
          <w:szCs w:val="21"/>
          <w:highlight w:val="none"/>
          <w:lang w:val="en-US" w:eastAsia="zh-CN"/>
        </w:rPr>
        <w:t>数量</w:t>
      </w:r>
      <w:r>
        <w:rPr>
          <w:rFonts w:hint="eastAsia" w:ascii="宋体" w:hAnsi="宋体" w:eastAsia="宋体" w:cs="宋体"/>
          <w:b w:val="0"/>
          <w:bCs w:val="0"/>
          <w:color w:val="auto"/>
          <w:sz w:val="21"/>
          <w:szCs w:val="21"/>
          <w:highlight w:val="none"/>
          <w:lang w:val="en-US" w:eastAsia="zh-CN"/>
        </w:rPr>
        <w:t>的变动，丝毫不会降低或影响合同条款的效力，也不免除报价人按规定的标准进行</w:t>
      </w:r>
      <w:r>
        <w:rPr>
          <w:rFonts w:hint="eastAsia" w:ascii="宋体" w:hAnsi="宋体" w:cs="宋体"/>
          <w:b w:val="0"/>
          <w:bCs w:val="0"/>
          <w:color w:val="auto"/>
          <w:sz w:val="21"/>
          <w:szCs w:val="21"/>
          <w:highlight w:val="none"/>
          <w:lang w:val="en-US" w:eastAsia="zh-CN"/>
        </w:rPr>
        <w:t>作业</w:t>
      </w:r>
      <w:r>
        <w:rPr>
          <w:rFonts w:hint="eastAsia" w:ascii="宋体" w:hAnsi="宋体" w:eastAsia="宋体" w:cs="宋体"/>
          <w:b w:val="0"/>
          <w:bCs w:val="0"/>
          <w:color w:val="auto"/>
          <w:sz w:val="21"/>
          <w:szCs w:val="21"/>
          <w:highlight w:val="none"/>
          <w:lang w:val="en-US" w:eastAsia="zh-CN"/>
        </w:rPr>
        <w:t>和修复缺陷的责任。</w:t>
      </w:r>
    </w:p>
    <w:p w14:paraId="44D6AC67">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val="en-US" w:eastAsia="zh-CN"/>
        </w:rPr>
        <w:t>、对清单中的每一个细目，报价人均填单价和合价，对于未填入单价和合价的细目，其费用应视为已包括在清单中的其他细目的单价和合价中，报价人必须按采购人指令完成清单中未填入单价和合价的细目，但不能得到结算与支付，报价人的总报价应是所有</w:t>
      </w:r>
      <w:r>
        <w:rPr>
          <w:rFonts w:hint="eastAsia" w:ascii="宋体" w:hAnsi="宋体" w:cs="宋体"/>
          <w:b w:val="0"/>
          <w:bCs w:val="0"/>
          <w:color w:val="auto"/>
          <w:sz w:val="21"/>
          <w:szCs w:val="21"/>
          <w:highlight w:val="none"/>
          <w:lang w:val="en-US" w:eastAsia="zh-CN"/>
        </w:rPr>
        <w:t>项目</w:t>
      </w:r>
      <w:r>
        <w:rPr>
          <w:rFonts w:hint="eastAsia" w:ascii="宋体" w:hAnsi="宋体" w:eastAsia="宋体" w:cs="宋体"/>
          <w:b w:val="0"/>
          <w:bCs w:val="0"/>
          <w:color w:val="auto"/>
          <w:sz w:val="21"/>
          <w:szCs w:val="21"/>
          <w:highlight w:val="none"/>
          <w:lang w:val="en-US" w:eastAsia="zh-CN"/>
        </w:rPr>
        <w:t>费用的汇总。</w:t>
      </w:r>
    </w:p>
    <w:p w14:paraId="201D78B8">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val="en-US" w:eastAsia="zh-CN"/>
        </w:rPr>
        <w:t>、清单中的任何内容不得随意删除或涂改，若有误，在有效时间内书面向采购人提出，以“补遗”资料为准。</w:t>
      </w:r>
    </w:p>
    <w:p w14:paraId="731833AF">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7</w:t>
      </w:r>
      <w:r>
        <w:rPr>
          <w:rFonts w:hint="eastAsia" w:ascii="宋体" w:hAnsi="宋体" w:eastAsia="宋体" w:cs="宋体"/>
          <w:b w:val="0"/>
          <w:bCs w:val="0"/>
          <w:color w:val="auto"/>
          <w:sz w:val="21"/>
          <w:szCs w:val="21"/>
          <w:highlight w:val="none"/>
          <w:lang w:val="en-US" w:eastAsia="zh-CN"/>
        </w:rPr>
        <w:t>、不同单项中相同项目（项目特征及工作内容相同）应报价统一，如有差异，按最低的一个报价进行结算；材料设备单价处理办法相同。</w:t>
      </w:r>
    </w:p>
    <w:p w14:paraId="54A1B456">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8</w:t>
      </w:r>
      <w:r>
        <w:rPr>
          <w:rFonts w:hint="eastAsia" w:ascii="宋体" w:hAnsi="宋体" w:eastAsia="宋体" w:cs="宋体"/>
          <w:b w:val="0"/>
          <w:bCs w:val="0"/>
          <w:color w:val="auto"/>
          <w:sz w:val="21"/>
          <w:szCs w:val="21"/>
          <w:highlight w:val="none"/>
          <w:lang w:val="en-US" w:eastAsia="zh-CN"/>
        </w:rPr>
        <w:t>、对作业和材料设备的技术标准和要求及一般说明或规定，未重复写入清单内，在给清单各细目报价前，应参阅并满足设计文件及竞争性比选文件中技术标准和要求的有关部分，如不满足相关技术标准和要求，由此对采购人造成的一切损失由报价人承担。</w:t>
      </w:r>
    </w:p>
    <w:p w14:paraId="6B828B31">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9</w:t>
      </w:r>
      <w:r>
        <w:rPr>
          <w:rFonts w:hint="eastAsia" w:ascii="宋体" w:hAnsi="宋体" w:eastAsia="宋体" w:cs="宋体"/>
          <w:b w:val="0"/>
          <w:bCs w:val="0"/>
          <w:color w:val="auto"/>
          <w:sz w:val="21"/>
          <w:szCs w:val="21"/>
          <w:highlight w:val="none"/>
          <w:lang w:val="en-US" w:eastAsia="zh-CN"/>
        </w:rPr>
        <w:t>、对于符合要求的竞争性比选响应文件，在签订合同协议书前，如发现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14:paraId="24AF1F0F">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10</w:t>
      </w:r>
      <w:r>
        <w:rPr>
          <w:rFonts w:hint="eastAsia" w:ascii="宋体" w:hAnsi="宋体" w:eastAsia="宋体" w:cs="宋体"/>
          <w:b w:val="0"/>
          <w:bCs w:val="0"/>
          <w:color w:val="auto"/>
          <w:sz w:val="21"/>
          <w:szCs w:val="21"/>
          <w:highlight w:val="none"/>
          <w:lang w:val="en-US" w:eastAsia="zh-CN"/>
        </w:rPr>
        <w:t>、报价中的单价和合价全部以人民币（元）表示。</w:t>
      </w:r>
    </w:p>
    <w:p w14:paraId="2042537D">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11</w:t>
      </w:r>
      <w:r>
        <w:rPr>
          <w:rFonts w:hint="eastAsia" w:ascii="宋体" w:hAnsi="宋体" w:eastAsia="宋体" w:cs="宋体"/>
          <w:b w:val="0"/>
          <w:bCs w:val="0"/>
          <w:color w:val="auto"/>
          <w:sz w:val="21"/>
          <w:szCs w:val="21"/>
          <w:highlight w:val="none"/>
          <w:lang w:val="en-US" w:eastAsia="zh-CN"/>
        </w:rPr>
        <w:t>、对于报价人报价中明显高于市场价的单项报价，采购人有权进行价格审核后调整。调整后应以取得报价人的同意，并确认修正后的最终报价。如果报价人拒绝确认，则其</w:t>
      </w:r>
      <w:r>
        <w:rPr>
          <w:rFonts w:hint="eastAsia" w:ascii="宋体" w:hAnsi="宋体" w:cs="宋体"/>
          <w:b w:val="0"/>
          <w:bCs w:val="0"/>
          <w:color w:val="auto"/>
          <w:sz w:val="21"/>
          <w:szCs w:val="21"/>
          <w:highlight w:val="none"/>
          <w:lang w:val="en-US" w:eastAsia="zh-CN"/>
        </w:rPr>
        <w:t>竞争性比选响应文件</w:t>
      </w:r>
      <w:r>
        <w:rPr>
          <w:rFonts w:hint="eastAsia" w:ascii="宋体" w:hAnsi="宋体" w:eastAsia="宋体" w:cs="宋体"/>
          <w:b w:val="0"/>
          <w:bCs w:val="0"/>
          <w:color w:val="auto"/>
          <w:sz w:val="21"/>
          <w:szCs w:val="21"/>
          <w:highlight w:val="none"/>
          <w:lang w:val="en-US" w:eastAsia="zh-CN"/>
        </w:rPr>
        <w:t>将不予评审。</w:t>
      </w:r>
    </w:p>
    <w:p w14:paraId="43841329">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12</w:t>
      </w:r>
      <w:r>
        <w:rPr>
          <w:rFonts w:hint="eastAsia" w:ascii="宋体" w:hAnsi="宋体" w:eastAsia="宋体" w:cs="宋体"/>
          <w:b w:val="0"/>
          <w:bCs w:val="0"/>
          <w:color w:val="auto"/>
          <w:sz w:val="21"/>
          <w:szCs w:val="21"/>
          <w:highlight w:val="none"/>
          <w:lang w:val="en-US" w:eastAsia="zh-CN"/>
        </w:rPr>
        <w:t>、合同为单价合同，合同期间不予调价。</w:t>
      </w:r>
    </w:p>
    <w:p w14:paraId="7F14A3F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宋体" w:hAnsi="宋体" w:cs="宋体"/>
          <w:b w:val="0"/>
          <w:bCs w:val="0"/>
          <w:color w:val="auto"/>
          <w:sz w:val="21"/>
          <w:szCs w:val="21"/>
          <w:highlight w:val="none"/>
          <w:lang w:val="en-US" w:eastAsia="zh-CN"/>
        </w:rPr>
        <w:t>13</w:t>
      </w:r>
      <w:r>
        <w:rPr>
          <w:rFonts w:hint="eastAsia" w:ascii="宋体" w:hAnsi="宋体" w:eastAsia="宋体" w:cs="宋体"/>
          <w:b w:val="0"/>
          <w:bCs w:val="0"/>
          <w:color w:val="auto"/>
          <w:sz w:val="21"/>
          <w:szCs w:val="21"/>
          <w:highlight w:val="none"/>
          <w:lang w:val="en-US" w:eastAsia="zh-CN"/>
        </w:rPr>
        <w:t>、报价人应严格按照清单进行报价，不得随意修改采购人发布的工程量清单数量、公式及相关内容。</w:t>
      </w:r>
    </w:p>
    <w:p w14:paraId="6EBF1AD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14</w:t>
      </w:r>
      <w:r>
        <w:rPr>
          <w:rFonts w:hint="eastAsia" w:asciiTheme="minorEastAsia" w:hAnsiTheme="minorEastAsia" w:eastAsiaTheme="minorEastAsia" w:cstheme="minorEastAsia"/>
          <w:color w:val="auto"/>
          <w:sz w:val="21"/>
          <w:szCs w:val="21"/>
          <w:highlight w:val="none"/>
        </w:rPr>
        <w:t>、本项目所需的主要设备，中标人应选用</w:t>
      </w:r>
      <w:r>
        <w:rPr>
          <w:rFonts w:hint="eastAsia" w:asciiTheme="minorEastAsia" w:hAnsiTheme="minorEastAsia" w:eastAsiaTheme="minorEastAsia" w:cstheme="minorEastAsia"/>
          <w:color w:val="auto"/>
          <w:sz w:val="21"/>
          <w:szCs w:val="21"/>
          <w:highlight w:val="none"/>
          <w:lang w:val="en-US" w:eastAsia="zh-CN"/>
        </w:rPr>
        <w:t>采购人提供的</w:t>
      </w:r>
      <w:r>
        <w:rPr>
          <w:rFonts w:hint="eastAsia" w:asciiTheme="minorEastAsia" w:hAnsiTheme="minorEastAsia" w:eastAsiaTheme="minorEastAsia" w:cstheme="minorEastAsia"/>
          <w:color w:val="auto"/>
          <w:sz w:val="21"/>
          <w:szCs w:val="21"/>
          <w:highlight w:val="none"/>
        </w:rPr>
        <w:t>参考品牌（厂家）的产品或采用与之质量品质相当的品牌（厂家）的产品，若中标人选用与之质量品质相当的品牌（厂家）的产品，应在采购前14日内将所采购材料（设备）的厂家、技术参数、品牌、质量等级等指标以书面形式通知采购人，采购人收到中标人的书面报告后对中标人所采购材料（设备）的进行考察，经采购人认质、封样（如有必要）、审核通过后中标人方可采购进场。采购人认为中标人所使用的材料（设备）的质量品质存在缺陷，或者偏离图纸及规范要求，不能适用于本项目，采购人有权按参考品牌中注明的该材料（设备）品牌中指定一种供中标人使用，采购人不承担因更换材料（设备）品牌而调整材料（设备）的价格及其他相关费用；若中标人拒绝按采购人要求更换的，则该种材料（设备）将改为第三方供货，采购人实际支付的货款从中标人的结算价款中予以扣除，中标人按照该类材料（设备）费的20%向采购人支付违约金。</w:t>
      </w:r>
    </w:p>
    <w:p w14:paraId="734AB20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15</w:t>
      </w:r>
      <w:r>
        <w:rPr>
          <w:rFonts w:hint="eastAsia" w:asciiTheme="minorEastAsia" w:hAnsiTheme="minorEastAsia" w:eastAsiaTheme="minorEastAsia" w:cstheme="minorEastAsia"/>
          <w:color w:val="auto"/>
          <w:sz w:val="21"/>
          <w:szCs w:val="21"/>
          <w:highlight w:val="none"/>
        </w:rPr>
        <w:t>、特别说明</w:t>
      </w:r>
    </w:p>
    <w:p w14:paraId="6244C35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应充分考虑现场情况，并保持周边现有道路的畅通，充分了解工地位置、情况、道路、储存空间、装卸限制及任何其它足以影响承包价格的情况，任何因忽视或误解</w:t>
      </w:r>
      <w:r>
        <w:rPr>
          <w:rFonts w:hint="eastAsia" w:asciiTheme="minorEastAsia" w:hAnsiTheme="minorEastAsia" w:eastAsiaTheme="minorEastAsia" w:cstheme="minorEastAsia"/>
          <w:color w:val="auto"/>
          <w:sz w:val="21"/>
          <w:szCs w:val="21"/>
          <w:highlight w:val="none"/>
          <w:lang w:val="en-US" w:eastAsia="zh-CN"/>
        </w:rPr>
        <w:t>采购</w:t>
      </w:r>
      <w:r>
        <w:rPr>
          <w:rFonts w:hint="eastAsia" w:asciiTheme="minorEastAsia" w:hAnsiTheme="minorEastAsia" w:eastAsiaTheme="minorEastAsia" w:cstheme="minorEastAsia"/>
          <w:color w:val="auto"/>
          <w:sz w:val="21"/>
          <w:szCs w:val="21"/>
          <w:highlight w:val="none"/>
        </w:rPr>
        <w:t>范围、图示内容和</w:t>
      </w:r>
      <w:r>
        <w:rPr>
          <w:rFonts w:hint="eastAsia" w:asciiTheme="minorEastAsia" w:hAnsiTheme="minorEastAsia" w:eastAsiaTheme="minorEastAsia" w:cstheme="minorEastAsia"/>
          <w:color w:val="auto"/>
          <w:sz w:val="21"/>
          <w:szCs w:val="21"/>
          <w:highlight w:val="none"/>
          <w:lang w:val="en-US" w:eastAsia="zh-CN"/>
        </w:rPr>
        <w:t>现场</w:t>
      </w:r>
      <w:r>
        <w:rPr>
          <w:rFonts w:hint="eastAsia" w:asciiTheme="minorEastAsia" w:hAnsiTheme="minorEastAsia" w:eastAsiaTheme="minorEastAsia" w:cstheme="minorEastAsia"/>
          <w:color w:val="auto"/>
          <w:sz w:val="21"/>
          <w:szCs w:val="21"/>
          <w:highlight w:val="none"/>
        </w:rPr>
        <w:t>情况而导致的索赔或工期延长申请将不获批准。</w:t>
      </w:r>
    </w:p>
    <w:p w14:paraId="43DAC75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）施工用水、用电由</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自行考虑，产生的费用由</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纳入投标报价中，包干使用，不作调整。</w:t>
      </w:r>
    </w:p>
    <w:p w14:paraId="6E255B1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应充分考虑本工程与其它</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交叉作业的影响，并作好充分配合，其费用纳入投标报价中，不另行计费。</w:t>
      </w:r>
    </w:p>
    <w:p w14:paraId="150D085E">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p>
    <w:p w14:paraId="5B4CF9AB">
      <w:pPr>
        <w:pStyle w:val="29"/>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color w:val="auto"/>
          <w:sz w:val="21"/>
          <w:szCs w:val="21"/>
          <w:highlight w:val="none"/>
          <w:lang w:val="en-US" w:eastAsia="zh-CN"/>
        </w:rPr>
      </w:pPr>
    </w:p>
    <w:p w14:paraId="1C20F4EB">
      <w:pPr>
        <w:pageBreakBefore w:val="0"/>
        <w:widowControl w:val="0"/>
        <w:numPr>
          <w:ilvl w:val="-1"/>
          <w:numId w:val="0"/>
        </w:numPr>
        <w:kinsoku/>
        <w:wordWrap/>
        <w:overflowPunct/>
        <w:topLinePunct w:val="0"/>
        <w:autoSpaceDE/>
        <w:autoSpaceDN/>
        <w:bidi w:val="0"/>
        <w:adjustRightInd/>
        <w:snapToGrid/>
        <w:spacing w:before="0" w:after="0" w:line="360" w:lineRule="auto"/>
        <w:ind w:firstLine="420" w:firstLineChars="200"/>
        <w:jc w:val="both"/>
        <w:textAlignment w:val="auto"/>
        <w:outlineLvl w:val="9"/>
        <w:rPr>
          <w:rFonts w:hint="eastAsia" w:ascii="宋体" w:hAnsi="宋体" w:eastAsia="宋体" w:cs="宋体"/>
          <w:b w:val="0"/>
          <w:bCs w:val="0"/>
          <w:color w:val="auto"/>
          <w:sz w:val="21"/>
          <w:szCs w:val="21"/>
          <w:highlight w:val="none"/>
          <w:lang w:val="en-US" w:eastAsia="zh-CN"/>
        </w:rPr>
      </w:pPr>
    </w:p>
    <w:p w14:paraId="6BA999C7">
      <w:pP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br w:type="page"/>
      </w:r>
    </w:p>
    <w:p w14:paraId="6EE6DD38">
      <w:pPr>
        <w:pStyle w:val="2"/>
        <w:numPr>
          <w:ilvl w:val="0"/>
          <w:numId w:val="2"/>
        </w:numPr>
        <w:spacing w:before="0" w:after="0" w:line="360" w:lineRule="auto"/>
        <w:jc w:val="center"/>
        <w:rPr>
          <w:rFonts w:ascii="宋体" w:hAnsi="宋体" w:cs="宋体"/>
          <w:color w:val="auto"/>
          <w:highlight w:val="none"/>
        </w:rPr>
      </w:pPr>
      <w:bookmarkStart w:id="42" w:name="_Toc26452"/>
      <w:r>
        <w:rPr>
          <w:rFonts w:hint="eastAsia" w:ascii="宋体" w:hAnsi="宋体" w:cs="宋体"/>
          <w:color w:val="auto"/>
          <w:highlight w:val="none"/>
        </w:rPr>
        <w:t>采购清单</w:t>
      </w:r>
      <w:bookmarkEnd w:id="42"/>
    </w:p>
    <w:p w14:paraId="503CC50C">
      <w:pPr>
        <w:rPr>
          <w:rFonts w:hint="eastAsia" w:ascii="宋体" w:hAnsi="宋体" w:cs="宋体"/>
          <w:color w:val="auto"/>
          <w:highlight w:val="none"/>
        </w:rPr>
      </w:pPr>
    </w:p>
    <w:p w14:paraId="7F8CB1F2">
      <w:pPr>
        <w:jc w:val="center"/>
        <w:rPr>
          <w:rFonts w:hint="default" w:ascii="宋体" w:hAnsi="宋体" w:eastAsia="宋体" w:cs="宋体"/>
          <w:b/>
          <w:bCs/>
          <w:color w:val="auto"/>
          <w:highlight w:val="none"/>
          <w:lang w:val="en-US" w:eastAsia="zh-CN"/>
        </w:rPr>
      </w:pPr>
      <w:r>
        <w:rPr>
          <w:rFonts w:hint="eastAsia" w:ascii="宋体" w:hAnsi="宋体" w:cs="宋体"/>
          <w:b/>
          <w:bCs/>
          <w:color w:val="auto"/>
          <w:highlight w:val="none"/>
          <w:lang w:val="en-US" w:eastAsia="zh-CN"/>
        </w:rPr>
        <w:t>详见竞争性比选文件附件。</w:t>
      </w:r>
    </w:p>
    <w:p w14:paraId="099FFAB3">
      <w:pPr>
        <w:rPr>
          <w:rFonts w:hint="eastAsia" w:ascii="宋体" w:hAnsi="宋体" w:cs="宋体"/>
          <w:color w:val="auto"/>
          <w:highlight w:val="none"/>
        </w:rPr>
      </w:pPr>
      <w:r>
        <w:rPr>
          <w:rFonts w:hint="eastAsia" w:ascii="宋体" w:hAnsi="宋体" w:cs="宋体"/>
          <w:color w:val="auto"/>
          <w:highlight w:val="none"/>
        </w:rPr>
        <w:br w:type="page"/>
      </w:r>
    </w:p>
    <w:p w14:paraId="656C8A19">
      <w:pPr>
        <w:pStyle w:val="2"/>
        <w:numPr>
          <w:ilvl w:val="0"/>
          <w:numId w:val="2"/>
        </w:numPr>
        <w:spacing w:before="0" w:after="0" w:line="360" w:lineRule="auto"/>
        <w:jc w:val="center"/>
        <w:rPr>
          <w:rFonts w:ascii="宋体" w:hAnsi="宋体" w:cs="宋体"/>
          <w:color w:val="auto"/>
          <w:highlight w:val="none"/>
        </w:rPr>
      </w:pPr>
      <w:bookmarkStart w:id="43" w:name="_Toc24148"/>
      <w:r>
        <w:rPr>
          <w:rFonts w:hint="eastAsia" w:ascii="宋体" w:hAnsi="宋体" w:cs="宋体"/>
          <w:color w:val="auto"/>
          <w:highlight w:val="none"/>
        </w:rPr>
        <w:t>技术要求</w:t>
      </w:r>
      <w:bookmarkEnd w:id="43"/>
    </w:p>
    <w:p w14:paraId="108CC335">
      <w:pPr>
        <w:spacing w:before="0" w:after="0" w:line="360" w:lineRule="auto"/>
        <w:jc w:val="center"/>
        <w:rPr>
          <w:rFonts w:hint="eastAsia" w:ascii="宋体" w:hAnsi="宋体" w:cs="宋体"/>
          <w:b/>
          <w:color w:val="auto"/>
          <w:kern w:val="0"/>
          <w:sz w:val="24"/>
          <w:highlight w:val="none"/>
        </w:rPr>
      </w:pPr>
    </w:p>
    <w:p w14:paraId="57ED9AF4">
      <w:pPr>
        <w:spacing w:before="0" w:after="0" w:line="360" w:lineRule="auto"/>
        <w:ind w:firstLine="0" w:firstLineChars="0"/>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ab/>
      </w:r>
    </w:p>
    <w:p w14:paraId="467390C9">
      <w:pPr>
        <w:spacing w:before="0" w:after="0" w:line="360" w:lineRule="auto"/>
        <w:ind w:firstLine="0" w:firstLineChars="0"/>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(1)车辆排量3.0-2.0区间的柴油车、四驱，提供车型车龄不超过5年，车辆价值在10万以上，且车辆状况良好、无大修、年审合格、满足甲方施工需要。</w:t>
      </w:r>
    </w:p>
    <w:p w14:paraId="2419A9A8">
      <w:pPr>
        <w:spacing w:before="0" w:after="0" w:line="360" w:lineRule="auto"/>
        <w:ind w:firstLine="0" w:firstLineChars="0"/>
        <w:jc w:val="center"/>
        <w:rPr>
          <w:rFonts w:hint="eastAsia" w:ascii="宋体" w:hAnsi="宋体" w:cs="宋体"/>
          <w:b/>
          <w:color w:val="auto"/>
          <w:kern w:val="0"/>
          <w:sz w:val="24"/>
          <w:highlight w:val="none"/>
        </w:rPr>
      </w:pPr>
    </w:p>
    <w:p w14:paraId="27B41C24">
      <w:pPr>
        <w:spacing w:before="0" w:after="0" w:line="360" w:lineRule="auto"/>
        <w:ind w:firstLine="0" w:firstLineChars="0"/>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(2)车辆在租用期间的保养、维修、维护、年审费用、保险、路桥年费、 车船税等配送费用由出租方承担，并在租用合同中予以明确。</w:t>
      </w:r>
    </w:p>
    <w:p w14:paraId="1D9F3F74">
      <w:pPr>
        <w:spacing w:before="0" w:after="0" w:line="360" w:lineRule="auto"/>
        <w:ind w:firstLine="0" w:firstLineChars="0"/>
        <w:jc w:val="center"/>
        <w:rPr>
          <w:rFonts w:hint="eastAsia" w:ascii="宋体" w:hAnsi="宋体" w:cs="宋体"/>
          <w:b/>
          <w:color w:val="auto"/>
          <w:kern w:val="0"/>
          <w:sz w:val="24"/>
          <w:highlight w:val="none"/>
        </w:rPr>
      </w:pPr>
    </w:p>
    <w:p w14:paraId="0ABEFED4">
      <w:pPr>
        <w:spacing w:before="0" w:after="0" w:line="360" w:lineRule="auto"/>
        <w:ind w:firstLine="0" w:firstLineChars="0"/>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(3)签订车辆必须满足相关要求：车辆保险齐全，单台车辆机动车第三者责任保险不低于200万元，车上人员责任险不低于5万元/座，后续按集团《车辆及驾驶员管理规定》管理。</w:t>
      </w:r>
    </w:p>
    <w:p w14:paraId="16C68C2B">
      <w:pPr>
        <w:spacing w:before="0" w:after="0" w:line="360" w:lineRule="auto"/>
        <w:ind w:firstLine="0" w:firstLineChars="0"/>
        <w:jc w:val="center"/>
        <w:rPr>
          <w:rFonts w:hint="eastAsia" w:ascii="宋体" w:hAnsi="宋体" w:cs="宋体"/>
          <w:b/>
          <w:color w:val="auto"/>
          <w:kern w:val="0"/>
          <w:sz w:val="24"/>
          <w:highlight w:val="none"/>
        </w:rPr>
      </w:pPr>
    </w:p>
    <w:p w14:paraId="570D1C7F">
      <w:pPr>
        <w:spacing w:before="0" w:after="0" w:line="360" w:lineRule="auto"/>
        <w:ind w:firstLine="0" w:firstLineChars="0"/>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(4)按照高速公路作业车辆标准设置相应的警示措施，包括车辆颜色,施工标识和警示灯具等。</w:t>
      </w:r>
    </w:p>
    <w:p w14:paraId="31F786CA">
      <w:pPr>
        <w:spacing w:before="0" w:after="0" w:line="360" w:lineRule="auto"/>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br w:type="page"/>
      </w:r>
    </w:p>
    <w:p w14:paraId="25A935B6">
      <w:pPr>
        <w:pStyle w:val="2"/>
        <w:numPr>
          <w:ilvl w:val="0"/>
          <w:numId w:val="2"/>
        </w:numPr>
        <w:spacing w:before="0" w:after="0" w:line="360" w:lineRule="auto"/>
        <w:jc w:val="center"/>
        <w:rPr>
          <w:rFonts w:ascii="宋体" w:hAnsi="宋体" w:cs="宋体"/>
          <w:color w:val="auto"/>
          <w:highlight w:val="none"/>
        </w:rPr>
      </w:pPr>
      <w:bookmarkStart w:id="44" w:name="_Toc31804"/>
      <w:r>
        <w:rPr>
          <w:rFonts w:hint="eastAsia" w:ascii="宋体" w:hAnsi="宋体" w:cs="宋体"/>
          <w:color w:val="auto"/>
          <w:highlight w:val="none"/>
          <w:lang w:val="en-US" w:eastAsia="zh-CN"/>
        </w:rPr>
        <w:t>合同范本</w:t>
      </w:r>
      <w:bookmarkEnd w:id="44"/>
    </w:p>
    <w:p w14:paraId="728FA437">
      <w:pPr>
        <w:jc w:val="center"/>
        <w:rPr>
          <w:rFonts w:hint="eastAsia" w:ascii="宋体" w:hAnsi="宋体" w:cs="宋体"/>
          <w:color w:val="auto"/>
          <w:highlight w:val="none"/>
          <w:lang w:val="en-US" w:eastAsia="zh-CN"/>
        </w:rPr>
      </w:pPr>
      <w:r>
        <w:rPr>
          <w:rFonts w:hint="eastAsia" w:ascii="宋体" w:hAnsi="宋体" w:cs="宋体"/>
          <w:b/>
          <w:color w:val="auto"/>
          <w:kern w:val="0"/>
          <w:sz w:val="24"/>
          <w:highlight w:val="none"/>
        </w:rPr>
        <w:t>详见竞争性比选文件附件。</w:t>
      </w:r>
    </w:p>
    <w:p w14:paraId="6E89FBB3">
      <w:pPr>
        <w:rPr>
          <w:rFonts w:hint="eastAsia" w:ascii="Times New Roman" w:hAnsi="Times New Roman" w:eastAsia="宋体" w:cs="Times New Roman"/>
          <w:b/>
          <w:bCs/>
          <w:color w:val="auto"/>
          <w:sz w:val="21"/>
          <w:szCs w:val="15"/>
          <w:highlight w:val="none"/>
          <w:lang w:val="en-US" w:eastAsia="zh-CN"/>
        </w:rPr>
      </w:pPr>
      <w:r>
        <w:rPr>
          <w:rFonts w:hint="eastAsia" w:ascii="宋体" w:hAnsi="宋体" w:cs="宋体"/>
          <w:color w:val="auto"/>
          <w:highlight w:val="none"/>
          <w:lang w:val="en-US" w:eastAsia="zh-CN"/>
        </w:rPr>
        <w:br w:type="page"/>
      </w: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14:paraId="302BC32F">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14:paraId="274E53FB">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14:paraId="01A69F0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14:paraId="4266C45B">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212FC2E6">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14:paraId="6F8C9A8F">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2010ABAB">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14:paraId="266BDEF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71EA3785">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14:paraId="51A2606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14:paraId="358F4775">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14:paraId="53B68D5F">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14:paraId="4A6EBF3E">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062F4A9F">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14:paraId="02B6A72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14:paraId="4533AE6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14:paraId="51813703">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14:paraId="3EB1934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14:paraId="360DD70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14:paraId="303FAEB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6FA65015">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14:paraId="51C0223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14:paraId="246468FD">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14:paraId="68E0D48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14:paraId="69F566D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4CF37040">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14:paraId="57D5A8D2">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14:paraId="10FF2808">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14:paraId="7C891CB0">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14:paraId="5057F43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14:paraId="49C642E5">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06B4589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02CAB9DB">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22D899FD">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573BD57D">
      <w:pPr>
        <w:jc w:val="right"/>
        <w:rPr>
          <w:rFonts w:hint="eastAsia" w:ascii="宋体" w:hAnsi="宋体" w:eastAsia="宋体" w:cs="宋体"/>
          <w:color w:val="auto"/>
          <w:kern w:val="2"/>
          <w:sz w:val="21"/>
          <w:szCs w:val="21"/>
          <w:highlight w:val="none"/>
        </w:rPr>
      </w:pPr>
    </w:p>
    <w:p w14:paraId="19DEB222">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14:paraId="0D943E4A">
      <w:pPr>
        <w:rPr>
          <w:rFonts w:hint="eastAsia" w:ascii="宋体" w:hAnsi="宋体" w:cs="宋体"/>
          <w:color w:val="auto"/>
          <w:highlight w:val="none"/>
          <w:lang w:val="en-US" w:eastAsia="zh-CN"/>
        </w:rPr>
      </w:pPr>
      <w:r>
        <w:rPr>
          <w:rFonts w:hint="eastAsia" w:ascii="宋体" w:hAnsi="宋体" w:cs="宋体"/>
          <w:color w:val="auto"/>
          <w:highlight w:val="none"/>
          <w:lang w:val="en-US" w:eastAsia="zh-CN"/>
        </w:rPr>
        <w:br w:type="page"/>
      </w:r>
    </w:p>
    <w:p w14:paraId="43F05D55">
      <w:pPr>
        <w:rPr>
          <w:rFonts w:hint="eastAsia" w:ascii="宋体" w:hAnsi="宋体" w:cs="宋体"/>
          <w:color w:val="auto"/>
          <w:highlight w:val="none"/>
          <w:lang w:val="en-US" w:eastAsia="zh-CN"/>
        </w:rPr>
      </w:pPr>
    </w:p>
    <w:p w14:paraId="5B8C1E64">
      <w:pPr>
        <w:rPr>
          <w:rFonts w:hint="eastAsia" w:ascii="宋体" w:hAnsi="宋体" w:cs="宋体"/>
          <w:color w:val="auto"/>
          <w:highlight w:val="none"/>
          <w:lang w:val="en-US" w:eastAsia="zh-CN"/>
        </w:rPr>
      </w:pPr>
    </w:p>
    <w:p w14:paraId="7A0742A8">
      <w:pPr>
        <w:pStyle w:val="2"/>
        <w:numPr>
          <w:ilvl w:val="0"/>
          <w:numId w:val="2"/>
        </w:numPr>
        <w:spacing w:before="0" w:after="0" w:line="360" w:lineRule="auto"/>
        <w:jc w:val="center"/>
        <w:rPr>
          <w:rFonts w:ascii="宋体" w:hAnsi="宋体" w:cs="宋体"/>
          <w:color w:val="auto"/>
          <w:highlight w:val="none"/>
        </w:rPr>
      </w:pPr>
      <w:bookmarkStart w:id="45" w:name="_Toc12151"/>
      <w:r>
        <w:rPr>
          <w:rFonts w:hint="default" w:ascii="宋体" w:hAnsi="宋体" w:cs="宋体"/>
          <w:color w:val="auto"/>
          <w:highlight w:val="none"/>
        </w:rPr>
        <w:t>竞争性比选响应文件格式</w:t>
      </w:r>
      <w:bookmarkEnd w:id="45"/>
    </w:p>
    <w:p w14:paraId="39DBBC0E">
      <w:pPr>
        <w:pStyle w:val="18"/>
        <w:rPr>
          <w:color w:val="auto"/>
          <w:highlight w:val="none"/>
        </w:rPr>
      </w:pPr>
    </w:p>
    <w:p w14:paraId="7F027A38">
      <w:pPr>
        <w:rPr>
          <w:color w:val="auto"/>
          <w:highlight w:val="none"/>
        </w:rPr>
        <w:sectPr>
          <w:footerReference r:id="rId10" w:type="first"/>
          <w:headerReference r:id="rId8" w:type="default"/>
          <w:footerReference r:id="rId9" w:type="default"/>
          <w:pgSz w:w="11906" w:h="16838"/>
          <w:pgMar w:top="1440" w:right="1800" w:bottom="1440" w:left="1800" w:header="851" w:footer="992" w:gutter="0"/>
          <w:pgNumType w:fmt="decimal"/>
          <w:cols w:space="720" w:num="1"/>
          <w:titlePg/>
          <w:docGrid w:type="lines" w:linePitch="312" w:charSpace="0"/>
        </w:sectPr>
      </w:pPr>
    </w:p>
    <w:p w14:paraId="74EAEC33">
      <w:pPr>
        <w:rPr>
          <w:rFonts w:ascii="宋体" w:hAnsi="宋体" w:cs="宋体"/>
          <w:color w:val="auto"/>
          <w:highlight w:val="none"/>
        </w:rPr>
      </w:pPr>
    </w:p>
    <w:p w14:paraId="24DFBD33">
      <w:pPr>
        <w:jc w:val="center"/>
        <w:rPr>
          <w:rFonts w:ascii="宋体" w:hAnsi="宋体" w:cs="宋体"/>
          <w:color w:val="auto"/>
          <w:sz w:val="52"/>
          <w:szCs w:val="52"/>
          <w:highlight w:val="none"/>
          <w:u w:val="single"/>
        </w:rPr>
      </w:pPr>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 xml:space="preserve">（项目名称） </w:t>
      </w:r>
    </w:p>
    <w:p w14:paraId="04003114">
      <w:pPr>
        <w:rPr>
          <w:rFonts w:ascii="宋体" w:hAnsi="宋体" w:cs="宋体"/>
          <w:color w:val="auto"/>
          <w:sz w:val="20"/>
          <w:szCs w:val="20"/>
          <w:highlight w:val="none"/>
        </w:rPr>
      </w:pPr>
    </w:p>
    <w:p w14:paraId="6F7F7300">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14:paraId="5CD75608">
      <w:pPr>
        <w:rPr>
          <w:rFonts w:ascii="宋体" w:hAnsi="宋体" w:cs="宋体"/>
          <w:color w:val="auto"/>
          <w:sz w:val="28"/>
          <w:szCs w:val="28"/>
          <w:highlight w:val="none"/>
        </w:rPr>
      </w:pPr>
    </w:p>
    <w:p w14:paraId="2B227B8B">
      <w:pPr>
        <w:rPr>
          <w:rFonts w:ascii="宋体" w:hAnsi="宋体" w:cs="宋体"/>
          <w:color w:val="auto"/>
          <w:sz w:val="28"/>
          <w:szCs w:val="28"/>
          <w:highlight w:val="none"/>
        </w:rPr>
      </w:pPr>
    </w:p>
    <w:p w14:paraId="2DB335E4">
      <w:pPr>
        <w:rPr>
          <w:rFonts w:ascii="宋体" w:hAnsi="宋体" w:cs="宋体"/>
          <w:color w:val="auto"/>
          <w:sz w:val="28"/>
          <w:szCs w:val="28"/>
          <w:highlight w:val="none"/>
        </w:rPr>
      </w:pPr>
    </w:p>
    <w:p w14:paraId="5334F3FB">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0F141F56">
      <w:pPr>
        <w:jc w:val="center"/>
        <w:rPr>
          <w:rFonts w:ascii="宋体" w:hAnsi="宋体" w:cs="宋体"/>
          <w:b/>
          <w:color w:val="auto"/>
          <w:sz w:val="32"/>
          <w:szCs w:val="32"/>
          <w:highlight w:val="none"/>
        </w:rPr>
      </w:pPr>
    </w:p>
    <w:p w14:paraId="5CED4474">
      <w:pPr>
        <w:rPr>
          <w:rFonts w:ascii="宋体" w:hAnsi="宋体" w:cs="宋体"/>
          <w:color w:val="auto"/>
          <w:sz w:val="28"/>
          <w:szCs w:val="28"/>
          <w:highlight w:val="none"/>
        </w:rPr>
      </w:pPr>
    </w:p>
    <w:p w14:paraId="2971C9BB">
      <w:pPr>
        <w:rPr>
          <w:rFonts w:ascii="宋体" w:hAnsi="宋体" w:cs="宋体"/>
          <w:color w:val="auto"/>
          <w:sz w:val="28"/>
          <w:szCs w:val="28"/>
          <w:highlight w:val="none"/>
        </w:rPr>
      </w:pPr>
    </w:p>
    <w:p w14:paraId="390AE620">
      <w:pPr>
        <w:rPr>
          <w:rFonts w:ascii="宋体" w:hAnsi="宋体" w:cs="宋体"/>
          <w:color w:val="auto"/>
          <w:sz w:val="28"/>
          <w:szCs w:val="28"/>
          <w:highlight w:val="none"/>
        </w:rPr>
      </w:pPr>
    </w:p>
    <w:p w14:paraId="075C14A6">
      <w:pPr>
        <w:rPr>
          <w:rFonts w:ascii="宋体" w:hAnsi="宋体" w:cs="宋体"/>
          <w:color w:val="auto"/>
          <w:sz w:val="28"/>
          <w:szCs w:val="28"/>
          <w:highlight w:val="none"/>
        </w:rPr>
      </w:pPr>
    </w:p>
    <w:p w14:paraId="38975CC0">
      <w:pPr>
        <w:rPr>
          <w:rFonts w:ascii="宋体" w:hAnsi="宋体" w:cs="宋体"/>
          <w:color w:val="auto"/>
          <w:sz w:val="28"/>
          <w:szCs w:val="28"/>
          <w:highlight w:val="none"/>
        </w:rPr>
      </w:pPr>
    </w:p>
    <w:p w14:paraId="01752E3A">
      <w:pPr>
        <w:pStyle w:val="29"/>
        <w:rPr>
          <w:color w:val="auto"/>
          <w:highlight w:val="none"/>
        </w:rPr>
      </w:pPr>
    </w:p>
    <w:p w14:paraId="3641F997">
      <w:pPr>
        <w:rPr>
          <w:color w:val="auto"/>
          <w:highlight w:val="none"/>
        </w:rPr>
      </w:pPr>
    </w:p>
    <w:p w14:paraId="0798279B">
      <w:pPr>
        <w:pStyle w:val="29"/>
        <w:rPr>
          <w:color w:val="auto"/>
          <w:highlight w:val="none"/>
        </w:rPr>
      </w:pPr>
    </w:p>
    <w:p w14:paraId="7CBA414C">
      <w:pPr>
        <w:rPr>
          <w:color w:val="auto"/>
          <w:highlight w:val="none"/>
        </w:rPr>
      </w:pPr>
    </w:p>
    <w:p w14:paraId="392F47C3">
      <w:pPr>
        <w:pStyle w:val="29"/>
        <w:rPr>
          <w:color w:val="auto"/>
          <w:highlight w:val="none"/>
        </w:rPr>
      </w:pPr>
    </w:p>
    <w:p w14:paraId="7CD0A357">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0770D477">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签名或盖章</w:t>
      </w:r>
      <w:r>
        <w:rPr>
          <w:rFonts w:hint="eastAsia" w:ascii="宋体" w:hAnsi="宋体" w:cs="宋体"/>
          <w:color w:val="auto"/>
          <w:sz w:val="28"/>
          <w:szCs w:val="28"/>
          <w:highlight w:val="none"/>
        </w:rPr>
        <w:t>）</w:t>
      </w:r>
    </w:p>
    <w:p w14:paraId="52BD55C9">
      <w:pPr>
        <w:jc w:val="center"/>
        <w:rPr>
          <w:rFonts w:ascii="宋体" w:hAnsi="宋体" w:cs="宋体"/>
          <w:color w:val="auto"/>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3489B304">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F60143C">
      <w:pPr>
        <w:pageBreakBefore w:val="0"/>
        <w:widowControl w:val="0"/>
        <w:kinsoku/>
        <w:wordWrap/>
        <w:overflowPunct/>
        <w:topLinePunct w:val="0"/>
        <w:autoSpaceDE/>
        <w:autoSpaceDN/>
        <w:bidi w:val="0"/>
        <w:adjustRightInd/>
        <w:snapToGrid/>
        <w:jc w:val="center"/>
        <w:textAlignment w:val="auto"/>
        <w:outlineLvl w:val="9"/>
        <w:rPr>
          <w:rFonts w:ascii="宋体" w:hAnsi="宋体" w:eastAsia="宋体" w:cs="宋体"/>
          <w:b/>
          <w:bCs/>
          <w:color w:val="auto"/>
          <w:sz w:val="32"/>
          <w:szCs w:val="40"/>
          <w:highlight w:val="none"/>
        </w:rPr>
      </w:pPr>
      <w:r>
        <w:rPr>
          <w:rFonts w:hint="eastAsia" w:ascii="宋体" w:hAnsi="宋体" w:eastAsia="宋体" w:cs="宋体"/>
          <w:b/>
          <w:bCs/>
          <w:color w:val="auto"/>
          <w:sz w:val="32"/>
          <w:szCs w:val="40"/>
          <w:highlight w:val="none"/>
        </w:rPr>
        <w:t>目    录</w:t>
      </w:r>
    </w:p>
    <w:p w14:paraId="02A169ED">
      <w:pPr>
        <w:pageBreakBefore w:val="0"/>
        <w:widowControl w:val="0"/>
        <w:numPr>
          <w:ilvl w:val="0"/>
          <w:numId w:val="3"/>
        </w:numPr>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r>
        <w:rPr>
          <w:rFonts w:hint="eastAsia" w:ascii="宋体" w:hAnsi="宋体" w:cs="宋体"/>
          <w:color w:val="auto"/>
          <w:highlight w:val="none"/>
        </w:rPr>
        <w:t>竞争性响应声明书</w:t>
      </w:r>
    </w:p>
    <w:p w14:paraId="2627E5C5">
      <w:pPr>
        <w:pageBreakBefore w:val="0"/>
        <w:widowControl w:val="0"/>
        <w:numPr>
          <w:ilvl w:val="0"/>
          <w:numId w:val="3"/>
        </w:numPr>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r>
        <w:rPr>
          <w:rFonts w:ascii="宋体" w:hAnsi="宋体" w:cs="宋体"/>
          <w:color w:val="auto"/>
          <w:highlight w:val="none"/>
        </w:rPr>
        <w:t>法定代表人身份证明或法定代表人授权委托书</w:t>
      </w:r>
    </w:p>
    <w:p w14:paraId="0F530F51">
      <w:pPr>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r>
        <w:rPr>
          <w:rFonts w:hint="eastAsia" w:ascii="宋体" w:hAnsi="宋体" w:cs="宋体"/>
          <w:color w:val="auto"/>
          <w:highlight w:val="none"/>
        </w:rPr>
        <w:t>三、报价一览表</w:t>
      </w:r>
    </w:p>
    <w:p w14:paraId="51465325">
      <w:pPr>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r>
        <w:rPr>
          <w:rFonts w:hint="eastAsia" w:ascii="宋体" w:hAnsi="宋体" w:cs="宋体"/>
          <w:color w:val="auto"/>
          <w:highlight w:val="none"/>
        </w:rPr>
        <w:t>四、审查资料</w:t>
      </w:r>
    </w:p>
    <w:p w14:paraId="10343490">
      <w:pPr>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589042FC">
      <w:pPr>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r>
        <w:rPr>
          <w:rFonts w:hint="eastAsia" w:ascii="宋体" w:hAnsi="宋体" w:cs="宋体"/>
          <w:color w:val="auto"/>
          <w:highlight w:val="none"/>
        </w:rPr>
        <w:t>六、报价人提供的其他资料（如有）</w:t>
      </w:r>
    </w:p>
    <w:p w14:paraId="59F65185">
      <w:pPr>
        <w:spacing w:line="400" w:lineRule="exact"/>
        <w:rPr>
          <w:rFonts w:ascii="宋体" w:hAnsi="宋体" w:cs="宋体"/>
          <w:color w:val="auto"/>
          <w:highlight w:val="none"/>
        </w:rPr>
      </w:pPr>
    </w:p>
    <w:p w14:paraId="1F6CB755">
      <w:pPr>
        <w:spacing w:line="400" w:lineRule="exact"/>
        <w:rPr>
          <w:rFonts w:ascii="宋体" w:hAnsi="宋体" w:cs="宋体"/>
          <w:color w:val="auto"/>
          <w:highlight w:val="none"/>
        </w:rPr>
      </w:pPr>
    </w:p>
    <w:p w14:paraId="163249DE">
      <w:pPr>
        <w:spacing w:line="400" w:lineRule="exact"/>
        <w:rPr>
          <w:rFonts w:ascii="宋体" w:hAnsi="宋体" w:cs="宋体"/>
          <w:color w:val="auto"/>
          <w:highlight w:val="none"/>
        </w:rPr>
      </w:pPr>
    </w:p>
    <w:p w14:paraId="3C042EAE">
      <w:pPr>
        <w:spacing w:line="400" w:lineRule="exact"/>
        <w:rPr>
          <w:rFonts w:ascii="宋体" w:hAnsi="宋体" w:cs="宋体"/>
          <w:color w:val="auto"/>
          <w:highlight w:val="none"/>
        </w:rPr>
      </w:pPr>
    </w:p>
    <w:p w14:paraId="51203C49">
      <w:pPr>
        <w:spacing w:line="400" w:lineRule="exact"/>
        <w:rPr>
          <w:rFonts w:ascii="宋体" w:hAnsi="宋体" w:cs="宋体"/>
          <w:color w:val="auto"/>
          <w:highlight w:val="none"/>
        </w:rPr>
      </w:pPr>
    </w:p>
    <w:p w14:paraId="38153FCF">
      <w:pPr>
        <w:spacing w:line="400" w:lineRule="exact"/>
        <w:rPr>
          <w:rFonts w:ascii="宋体" w:hAnsi="宋体" w:cs="宋体"/>
          <w:color w:val="auto"/>
          <w:highlight w:val="none"/>
        </w:rPr>
      </w:pPr>
    </w:p>
    <w:p w14:paraId="3CC77389">
      <w:pPr>
        <w:spacing w:line="400" w:lineRule="exact"/>
        <w:rPr>
          <w:rFonts w:ascii="宋体" w:hAnsi="宋体" w:cs="宋体"/>
          <w:color w:val="auto"/>
          <w:highlight w:val="none"/>
        </w:rPr>
      </w:pPr>
    </w:p>
    <w:p w14:paraId="7071D654">
      <w:pPr>
        <w:spacing w:line="400" w:lineRule="exact"/>
        <w:rPr>
          <w:rFonts w:ascii="宋体" w:hAnsi="宋体" w:cs="宋体"/>
          <w:color w:val="auto"/>
          <w:highlight w:val="none"/>
        </w:rPr>
      </w:pPr>
    </w:p>
    <w:p w14:paraId="66D492EB">
      <w:pPr>
        <w:spacing w:line="400" w:lineRule="exact"/>
        <w:rPr>
          <w:rFonts w:ascii="宋体" w:hAnsi="宋体" w:cs="宋体"/>
          <w:color w:val="auto"/>
          <w:highlight w:val="none"/>
        </w:rPr>
      </w:pPr>
    </w:p>
    <w:p w14:paraId="47D56903">
      <w:pPr>
        <w:spacing w:line="400" w:lineRule="exact"/>
        <w:rPr>
          <w:rFonts w:ascii="宋体" w:hAnsi="宋体" w:cs="宋体"/>
          <w:color w:val="auto"/>
          <w:highlight w:val="none"/>
        </w:rPr>
      </w:pPr>
    </w:p>
    <w:p w14:paraId="0A00F0D4">
      <w:pPr>
        <w:spacing w:line="400" w:lineRule="exact"/>
        <w:rPr>
          <w:rFonts w:ascii="宋体" w:hAnsi="宋体" w:cs="宋体"/>
          <w:color w:val="auto"/>
          <w:highlight w:val="none"/>
        </w:rPr>
      </w:pPr>
    </w:p>
    <w:p w14:paraId="2782F824">
      <w:pPr>
        <w:spacing w:line="400" w:lineRule="exact"/>
        <w:rPr>
          <w:rFonts w:ascii="宋体" w:hAnsi="宋体" w:cs="宋体"/>
          <w:color w:val="auto"/>
          <w:highlight w:val="none"/>
        </w:rPr>
      </w:pPr>
    </w:p>
    <w:p w14:paraId="1CF93266">
      <w:pPr>
        <w:spacing w:line="400" w:lineRule="exact"/>
        <w:rPr>
          <w:rFonts w:ascii="宋体" w:hAnsi="宋体" w:cs="宋体"/>
          <w:color w:val="auto"/>
          <w:highlight w:val="none"/>
        </w:rPr>
      </w:pPr>
    </w:p>
    <w:p w14:paraId="49D6C377">
      <w:pPr>
        <w:spacing w:line="400" w:lineRule="exact"/>
        <w:rPr>
          <w:rFonts w:ascii="宋体" w:hAnsi="宋体" w:cs="宋体"/>
          <w:color w:val="auto"/>
          <w:highlight w:val="none"/>
        </w:rPr>
      </w:pPr>
    </w:p>
    <w:p w14:paraId="219838E4">
      <w:pPr>
        <w:spacing w:line="400" w:lineRule="exact"/>
        <w:rPr>
          <w:rFonts w:ascii="宋体" w:hAnsi="宋体" w:cs="宋体"/>
          <w:color w:val="auto"/>
          <w:highlight w:val="none"/>
        </w:rPr>
      </w:pPr>
    </w:p>
    <w:p w14:paraId="27E310FC">
      <w:pPr>
        <w:spacing w:line="400" w:lineRule="exact"/>
        <w:rPr>
          <w:rFonts w:ascii="宋体" w:hAnsi="宋体" w:cs="宋体"/>
          <w:color w:val="auto"/>
          <w:highlight w:val="none"/>
        </w:rPr>
      </w:pPr>
    </w:p>
    <w:p w14:paraId="1197F494">
      <w:pPr>
        <w:spacing w:line="400" w:lineRule="exact"/>
        <w:rPr>
          <w:rFonts w:ascii="宋体" w:hAnsi="宋体" w:cs="宋体"/>
          <w:color w:val="auto"/>
          <w:highlight w:val="none"/>
        </w:rPr>
      </w:pPr>
    </w:p>
    <w:p w14:paraId="2F8C5EED">
      <w:pPr>
        <w:spacing w:line="400" w:lineRule="exact"/>
        <w:rPr>
          <w:rFonts w:ascii="宋体" w:hAnsi="宋体" w:cs="宋体"/>
          <w:color w:val="auto"/>
          <w:highlight w:val="none"/>
        </w:rPr>
      </w:pPr>
    </w:p>
    <w:p w14:paraId="5280B506">
      <w:pPr>
        <w:spacing w:line="400" w:lineRule="exact"/>
        <w:rPr>
          <w:rFonts w:ascii="宋体" w:hAnsi="宋体" w:cs="宋体"/>
          <w:color w:val="auto"/>
          <w:highlight w:val="none"/>
        </w:rPr>
      </w:pPr>
    </w:p>
    <w:p w14:paraId="40E92DE8">
      <w:pPr>
        <w:spacing w:line="400" w:lineRule="exact"/>
        <w:rPr>
          <w:rFonts w:ascii="宋体" w:hAnsi="宋体" w:cs="宋体"/>
          <w:color w:val="auto"/>
          <w:highlight w:val="none"/>
        </w:rPr>
      </w:pPr>
    </w:p>
    <w:p w14:paraId="53AA2B53">
      <w:pPr>
        <w:spacing w:line="400" w:lineRule="exact"/>
        <w:rPr>
          <w:rFonts w:ascii="宋体" w:hAnsi="宋体" w:cs="宋体"/>
          <w:color w:val="auto"/>
          <w:highlight w:val="none"/>
        </w:rPr>
      </w:pPr>
      <w:r>
        <w:rPr>
          <w:rFonts w:ascii="宋体" w:hAnsi="宋体" w:cs="宋体"/>
          <w:color w:val="auto"/>
          <w:highlight w:val="none"/>
        </w:rPr>
        <w:br w:type="page"/>
      </w:r>
    </w:p>
    <w:p w14:paraId="41DFBBD7">
      <w:pPr>
        <w:pStyle w:val="3"/>
        <w:numPr>
          <w:ilvl w:val="0"/>
          <w:numId w:val="4"/>
        </w:numPr>
        <w:spacing w:before="0" w:after="0" w:line="360" w:lineRule="auto"/>
        <w:jc w:val="center"/>
        <w:rPr>
          <w:rFonts w:ascii="宋体" w:hAnsi="宋体" w:eastAsia="宋体" w:cs="宋体"/>
          <w:color w:val="auto"/>
          <w:sz w:val="28"/>
          <w:highlight w:val="none"/>
        </w:rPr>
      </w:pPr>
      <w:bookmarkStart w:id="46" w:name="_Toc28127"/>
      <w:r>
        <w:rPr>
          <w:rFonts w:hint="eastAsia" w:ascii="宋体" w:hAnsi="宋体" w:eastAsia="宋体" w:cs="宋体"/>
          <w:color w:val="auto"/>
          <w:sz w:val="28"/>
          <w:highlight w:val="none"/>
          <w:lang w:eastAsia="zh-CN"/>
        </w:rPr>
        <w:t>竞争性比选</w:t>
      </w:r>
      <w:r>
        <w:rPr>
          <w:rFonts w:hint="eastAsia" w:ascii="宋体" w:hAnsi="宋体" w:eastAsia="宋体" w:cs="宋体"/>
          <w:color w:val="auto"/>
          <w:sz w:val="28"/>
          <w:highlight w:val="none"/>
        </w:rPr>
        <w:t>响应声明书</w:t>
      </w:r>
      <w:bookmarkEnd w:id="46"/>
    </w:p>
    <w:p w14:paraId="348F0CC3">
      <w:pPr>
        <w:keepNext w:val="0"/>
        <w:keepLines w:val="0"/>
        <w:pageBreakBefore w:val="0"/>
        <w:widowControl w:val="0"/>
        <w:tabs>
          <w:tab w:val="left" w:pos="900"/>
        </w:tabs>
        <w:kinsoku/>
        <w:overflowPunct/>
        <w:topLinePunct w:val="0"/>
        <w:autoSpaceDE/>
        <w:autoSpaceDN/>
        <w:bidi w:val="0"/>
        <w:adjustRightInd/>
        <w:snapToGrid/>
        <w:spacing w:line="560" w:lineRule="exact"/>
        <w:textAlignment w:val="auto"/>
        <w:outlineLvl w:val="2"/>
        <w:rPr>
          <w:rFonts w:hint="eastAsia" w:asciiTheme="minorEastAsia" w:hAnsiTheme="minorEastAsia" w:eastAsiaTheme="minorEastAsia" w:cstheme="minorEastAsia"/>
          <w:color w:val="auto"/>
          <w:highlight w:val="none"/>
          <w:lang w:eastAsia="zh-CN"/>
        </w:rPr>
      </w:pPr>
      <w:r>
        <w:rPr>
          <w:rFonts w:ascii="Arial" w:hAnsi="Arial" w:cs="Arial"/>
          <w:color w:val="auto"/>
          <w:sz w:val="24"/>
          <w:highlight w:val="none"/>
        </w:rPr>
        <w:t xml:space="preserve"> </w:t>
      </w:r>
      <w:r>
        <w:rPr>
          <w:rFonts w:hint="eastAsia" w:asciiTheme="minorEastAsia" w:hAnsiTheme="minorEastAsia" w:eastAsiaTheme="minorEastAsia" w:cstheme="minorEastAsia"/>
          <w:b/>
          <w:color w:val="auto"/>
          <w:sz w:val="24"/>
          <w:highlight w:val="none"/>
        </w:rPr>
        <w:t>致：</w:t>
      </w:r>
      <w:r>
        <w:rPr>
          <w:rFonts w:hint="eastAsia" w:asciiTheme="minorEastAsia" w:hAnsiTheme="minorEastAsia" w:eastAsiaTheme="minorEastAsia" w:cstheme="minorEastAsia"/>
          <w:b/>
          <w:bCs/>
          <w:color w:val="auto"/>
          <w:sz w:val="24"/>
          <w:highlight w:val="none"/>
          <w:u w:val="single"/>
          <w:lang w:eastAsia="zh-CN"/>
        </w:rPr>
        <w:t>重庆首讯科技股份有限公司数智系统运维分公司</w:t>
      </w:r>
    </w:p>
    <w:p w14:paraId="57E9A780">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14:paraId="78014791">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供货任务。交货地点达到竞争性比选文件要求，交货时间达到竞争性比选文件要求，质量保修期达到竞争性比选文件要求</w:t>
      </w:r>
      <w:r>
        <w:rPr>
          <w:rFonts w:hint="eastAsia" w:asciiTheme="minorEastAsia" w:hAnsiTheme="minorEastAsia" w:eastAsiaTheme="minorEastAsia" w:cstheme="minorEastAsia"/>
          <w:color w:val="auto"/>
          <w:sz w:val="24"/>
          <w:highlight w:val="none"/>
          <w:u w:val="single"/>
        </w:rPr>
        <w:t>。</w:t>
      </w:r>
    </w:p>
    <w:p w14:paraId="36838A70">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14:paraId="0EC1967E">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14:paraId="79EF0470">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14:paraId="5A0F64F9">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14:paraId="0145E3AB">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14:paraId="3DA57552">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44B7801D">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53456AE9">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4BFFB1C2">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78AEAA6D">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14:paraId="1F00BE2A">
      <w:pPr>
        <w:keepNext w:val="0"/>
        <w:keepLines w:val="0"/>
        <w:pageBreakBefore w:val="0"/>
        <w:widowControl w:val="0"/>
        <w:tabs>
          <w:tab w:val="left" w:pos="900"/>
        </w:tabs>
        <w:kinsoku/>
        <w:wordWrap/>
        <w:overflowPunct/>
        <w:topLinePunct w:val="0"/>
        <w:autoSpaceDE/>
        <w:autoSpaceDN/>
        <w:bidi w:val="0"/>
        <w:adjustRightInd/>
        <w:snapToGrid/>
        <w:spacing w:before="320" w:beforeLines="100" w:line="480" w:lineRule="auto"/>
        <w:ind w:firstLine="480" w:firstLineChars="200"/>
        <w:textAlignment w:val="auto"/>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14:paraId="0B49885D">
      <w:pPr>
        <w:pStyle w:val="3"/>
        <w:numPr>
          <w:ilvl w:val="0"/>
          <w:numId w:val="4"/>
        </w:numPr>
        <w:spacing w:before="0" w:after="0" w:line="360" w:lineRule="auto"/>
        <w:jc w:val="center"/>
        <w:rPr>
          <w:rFonts w:ascii="宋体" w:hAnsi="宋体" w:eastAsia="宋体" w:cs="宋体"/>
          <w:color w:val="auto"/>
          <w:sz w:val="28"/>
          <w:highlight w:val="none"/>
        </w:rPr>
      </w:pPr>
      <w:bookmarkStart w:id="47" w:name="_Toc28048"/>
      <w:r>
        <w:rPr>
          <w:rFonts w:hint="eastAsia" w:ascii="宋体" w:hAnsi="宋体" w:eastAsia="宋体" w:cs="宋体"/>
          <w:color w:val="auto"/>
          <w:sz w:val="28"/>
          <w:highlight w:val="none"/>
        </w:rPr>
        <w:t>法定代表人身份证明或法定代表人授权委托书</w:t>
      </w:r>
      <w:bookmarkEnd w:id="47"/>
    </w:p>
    <w:p w14:paraId="4735EB20">
      <w:pPr>
        <w:pStyle w:val="3"/>
        <w:spacing w:line="480" w:lineRule="auto"/>
        <w:jc w:val="center"/>
        <w:outlineLvl w:val="2"/>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（一）法定代表人身份证明</w:t>
      </w:r>
    </w:p>
    <w:p w14:paraId="141009C0">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3873936D">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r>
        <w:rPr>
          <w:rFonts w:ascii="宋体" w:hAnsi="宋体"/>
          <w:color w:val="auto"/>
          <w:highlight w:val="none"/>
          <w:u w:val="single"/>
        </w:rPr>
        <w:t xml:space="preserve">        </w:t>
      </w:r>
      <w:r>
        <w:rPr>
          <w:rFonts w:ascii="宋体" w:hAnsi="宋体"/>
          <w:color w:val="auto"/>
          <w:highlight w:val="none"/>
        </w:rPr>
        <w:t>年龄：</w:t>
      </w:r>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3CA9324A">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7F091C3E">
      <w:pPr>
        <w:spacing w:line="480" w:lineRule="auto"/>
        <w:ind w:firstLine="420" w:firstLineChars="200"/>
        <w:rPr>
          <w:rFonts w:ascii="宋体" w:hAnsi="宋体"/>
          <w:color w:val="auto"/>
          <w:highlight w:val="none"/>
        </w:rPr>
      </w:pPr>
      <w:r>
        <w:rPr>
          <w:rFonts w:ascii="宋体" w:hAnsi="宋体"/>
          <w:color w:val="auto"/>
          <w:highlight w:val="none"/>
        </w:rPr>
        <w:t>特此证明。</w:t>
      </w:r>
    </w:p>
    <w:p w14:paraId="7F89345F">
      <w:pPr>
        <w:spacing w:line="480" w:lineRule="auto"/>
        <w:rPr>
          <w:rFonts w:ascii="宋体" w:hAnsi="宋体"/>
          <w:color w:val="auto"/>
          <w:highlight w:val="none"/>
        </w:rPr>
      </w:pPr>
    </w:p>
    <w:p w14:paraId="40C39A02">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5408" behindDoc="0" locked="0" layoutInCell="1" allowOverlap="1">
                <wp:simplePos x="0" y="0"/>
                <wp:positionH relativeFrom="column">
                  <wp:posOffset>-126365</wp:posOffset>
                </wp:positionH>
                <wp:positionV relativeFrom="paragraph">
                  <wp:posOffset>-216535</wp:posOffset>
                </wp:positionV>
                <wp:extent cx="6045835" cy="1850390"/>
                <wp:effectExtent l="4445" t="4445" r="15240" b="1968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1A0DA5">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F1D22AE">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5408;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271A0DA5">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F1D22AE">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76A0413E">
      <w:pPr>
        <w:spacing w:line="480" w:lineRule="auto"/>
        <w:rPr>
          <w:rFonts w:ascii="宋体" w:hAnsi="宋体"/>
          <w:color w:val="auto"/>
          <w:highlight w:val="none"/>
        </w:rPr>
      </w:pPr>
    </w:p>
    <w:p w14:paraId="4B81A610">
      <w:pPr>
        <w:spacing w:line="440" w:lineRule="exact"/>
        <w:rPr>
          <w:rFonts w:ascii="宋体" w:hAnsi="宋体"/>
          <w:color w:val="auto"/>
          <w:highlight w:val="none"/>
        </w:rPr>
      </w:pPr>
    </w:p>
    <w:p w14:paraId="356016F8">
      <w:pPr>
        <w:spacing w:line="440" w:lineRule="exact"/>
        <w:rPr>
          <w:rFonts w:ascii="宋体" w:hAnsi="宋体"/>
          <w:color w:val="auto"/>
          <w:highlight w:val="none"/>
        </w:rPr>
      </w:pPr>
    </w:p>
    <w:p w14:paraId="4459672D">
      <w:pPr>
        <w:spacing w:line="440" w:lineRule="exact"/>
        <w:rPr>
          <w:rFonts w:ascii="宋体" w:hAnsi="宋体"/>
          <w:color w:val="auto"/>
          <w:highlight w:val="none"/>
        </w:rPr>
      </w:pPr>
    </w:p>
    <w:p w14:paraId="7D087A84">
      <w:pPr>
        <w:spacing w:line="440" w:lineRule="exact"/>
        <w:rPr>
          <w:rFonts w:ascii="宋体" w:hAnsi="宋体"/>
          <w:color w:val="auto"/>
          <w:highlight w:val="none"/>
        </w:rPr>
      </w:pPr>
    </w:p>
    <w:p w14:paraId="1079CF5B">
      <w:pPr>
        <w:spacing w:line="440" w:lineRule="exact"/>
        <w:rPr>
          <w:rFonts w:ascii="宋体" w:hAnsi="宋体"/>
          <w:color w:val="auto"/>
          <w:highlight w:val="none"/>
        </w:rPr>
      </w:pPr>
    </w:p>
    <w:p w14:paraId="24065E8F">
      <w:pPr>
        <w:spacing w:line="440" w:lineRule="exact"/>
        <w:rPr>
          <w:rFonts w:ascii="宋体" w:hAnsi="宋体"/>
          <w:color w:val="auto"/>
          <w:highlight w:val="none"/>
        </w:rPr>
      </w:pPr>
    </w:p>
    <w:p w14:paraId="036364F2">
      <w:pPr>
        <w:spacing w:line="440" w:lineRule="exact"/>
        <w:rPr>
          <w:rFonts w:ascii="宋体" w:hAnsi="宋体"/>
          <w:color w:val="auto"/>
          <w:highlight w:val="none"/>
        </w:rPr>
      </w:pPr>
    </w:p>
    <w:p w14:paraId="695C3312">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6B813EA3">
      <w:pPr>
        <w:spacing w:line="440" w:lineRule="exact"/>
        <w:rPr>
          <w:rFonts w:ascii="宋体" w:hAnsi="宋体"/>
          <w:color w:val="auto"/>
          <w:highlight w:val="none"/>
        </w:rPr>
      </w:pPr>
    </w:p>
    <w:p w14:paraId="63E1EEAB">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303F57A8">
      <w:pPr>
        <w:rPr>
          <w:rFonts w:ascii="宋体" w:hAnsi="宋体"/>
          <w:color w:val="auto"/>
          <w:highlight w:val="none"/>
        </w:rPr>
      </w:pPr>
    </w:p>
    <w:p w14:paraId="1887D28D">
      <w:pPr>
        <w:rPr>
          <w:rFonts w:ascii="宋体" w:hAnsi="宋体"/>
          <w:color w:val="auto"/>
          <w:highlight w:val="none"/>
        </w:rPr>
      </w:pPr>
    </w:p>
    <w:p w14:paraId="2F7934EA">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7437A346">
      <w:pPr>
        <w:spacing w:line="440" w:lineRule="exact"/>
        <w:rPr>
          <w:rFonts w:ascii="宋体" w:hAnsi="宋体"/>
          <w:color w:val="auto"/>
          <w:sz w:val="20"/>
          <w:highlight w:val="none"/>
        </w:rPr>
      </w:pPr>
    </w:p>
    <w:p w14:paraId="65773D87">
      <w:pPr>
        <w:spacing w:line="20" w:lineRule="exact"/>
        <w:jc w:val="center"/>
        <w:rPr>
          <w:rFonts w:ascii="宋体" w:hAnsi="宋体"/>
          <w:color w:val="auto"/>
          <w:sz w:val="20"/>
          <w:highlight w:val="none"/>
        </w:rPr>
      </w:pPr>
      <w:r>
        <w:rPr>
          <w:rFonts w:ascii="宋体" w:hAnsi="宋体"/>
          <w:color w:val="auto"/>
          <w:sz w:val="20"/>
          <w:highlight w:val="none"/>
        </w:rPr>
        <w:br w:type="page"/>
      </w:r>
    </w:p>
    <w:p w14:paraId="20FE365F">
      <w:pPr>
        <w:pStyle w:val="3"/>
        <w:spacing w:line="480" w:lineRule="auto"/>
        <w:jc w:val="center"/>
        <w:outlineLvl w:val="2"/>
        <w:rPr>
          <w:rFonts w:ascii="宋体" w:hAnsi="宋体"/>
          <w:color w:val="auto"/>
          <w:sz w:val="28"/>
          <w:szCs w:val="28"/>
          <w:highlight w:val="none"/>
        </w:rPr>
      </w:pPr>
      <w:r>
        <w:rPr>
          <w:rFonts w:hint="eastAsia" w:ascii="宋体" w:hAnsi="宋体" w:eastAsia="宋体" w:cs="宋体"/>
          <w:color w:val="auto"/>
          <w:sz w:val="24"/>
          <w:szCs w:val="24"/>
          <w:highlight w:val="none"/>
        </w:rPr>
        <w:t>（二）法定代表人授权委托书</w:t>
      </w:r>
    </w:p>
    <w:p w14:paraId="141275D6">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48E4A0D5">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10FDAB61">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14:paraId="7D46F2DF">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5FA03DC3">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-134620</wp:posOffset>
                </wp:positionH>
                <wp:positionV relativeFrom="paragraph">
                  <wp:posOffset>0</wp:posOffset>
                </wp:positionV>
                <wp:extent cx="6045835" cy="1850390"/>
                <wp:effectExtent l="4445" t="4445" r="15240" b="1968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E4D44CB">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623B233D">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3360;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14:paraId="2E4D44CB">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623B233D">
                      <w:pPr>
                        <w:snapToGrid w:val="0"/>
                        <w:spacing w:line="360" w:lineRule="auto"/>
                        <w:rPr>
                          <w:highlight w:val="none"/>
                        </w:rPr>
                      </w:pPr>
                    </w:p>
                  </w:txbxContent>
                </v:textbox>
              </v:shape>
            </w:pict>
          </mc:Fallback>
        </mc:AlternateContent>
      </w:r>
    </w:p>
    <w:p w14:paraId="108D3AD8">
      <w:pPr>
        <w:spacing w:line="440" w:lineRule="exact"/>
        <w:rPr>
          <w:rFonts w:ascii="宋体" w:hAnsi="宋体"/>
          <w:color w:val="auto"/>
          <w:highlight w:val="none"/>
        </w:rPr>
      </w:pPr>
    </w:p>
    <w:p w14:paraId="270D72C2">
      <w:pPr>
        <w:spacing w:line="440" w:lineRule="exact"/>
        <w:rPr>
          <w:rFonts w:ascii="宋体" w:hAnsi="宋体"/>
          <w:color w:val="auto"/>
          <w:highlight w:val="none"/>
        </w:rPr>
      </w:pPr>
      <w:r>
        <w:rPr>
          <w:rFonts w:ascii="宋体" w:hAnsi="宋体"/>
          <w:color w:val="auto"/>
          <w:highlight w:val="none"/>
        </w:rPr>
        <w:t>委托代理人身份证复印件</w:t>
      </w:r>
    </w:p>
    <w:p w14:paraId="45915C6E">
      <w:pPr>
        <w:spacing w:line="440" w:lineRule="exact"/>
        <w:rPr>
          <w:rFonts w:ascii="宋体" w:hAnsi="宋体"/>
          <w:color w:val="auto"/>
          <w:highlight w:val="none"/>
        </w:rPr>
      </w:pPr>
    </w:p>
    <w:p w14:paraId="0BA57745">
      <w:pPr>
        <w:spacing w:line="440" w:lineRule="exact"/>
        <w:rPr>
          <w:rFonts w:ascii="宋体" w:hAnsi="宋体"/>
          <w:color w:val="auto"/>
          <w:highlight w:val="none"/>
        </w:rPr>
      </w:pPr>
    </w:p>
    <w:p w14:paraId="7FFCDCA3">
      <w:pPr>
        <w:spacing w:line="440" w:lineRule="exact"/>
        <w:rPr>
          <w:rFonts w:ascii="宋体" w:hAnsi="宋体"/>
          <w:color w:val="auto"/>
          <w:highlight w:val="none"/>
        </w:rPr>
      </w:pPr>
    </w:p>
    <w:p w14:paraId="2841FD05">
      <w:pPr>
        <w:spacing w:line="440" w:lineRule="exact"/>
        <w:rPr>
          <w:rFonts w:ascii="宋体" w:hAnsi="宋体"/>
          <w:color w:val="auto"/>
          <w:highlight w:val="none"/>
        </w:rPr>
      </w:pPr>
    </w:p>
    <w:p w14:paraId="564016CE">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4384" behindDoc="0" locked="0" layoutInCell="1" allowOverlap="1">
                <wp:simplePos x="0" y="0"/>
                <wp:positionH relativeFrom="column">
                  <wp:posOffset>-146050</wp:posOffset>
                </wp:positionH>
                <wp:positionV relativeFrom="paragraph">
                  <wp:posOffset>21590</wp:posOffset>
                </wp:positionV>
                <wp:extent cx="6066790" cy="1953260"/>
                <wp:effectExtent l="5080" t="4445" r="8890" b="825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ACC732">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37415B6B">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4384;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14:paraId="76ACC732">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37415B6B">
                      <w:pPr>
                        <w:spacing w:line="360" w:lineRule="auto"/>
                        <w:jc w:val="center"/>
                        <w:rPr>
                          <w:highlight w:val="none"/>
                        </w:rPr>
                      </w:pPr>
                    </w:p>
                  </w:txbxContent>
                </v:textbox>
              </v:shape>
            </w:pict>
          </mc:Fallback>
        </mc:AlternateContent>
      </w:r>
    </w:p>
    <w:p w14:paraId="4B364EAA">
      <w:pPr>
        <w:spacing w:line="440" w:lineRule="exact"/>
        <w:ind w:firstLine="2692" w:firstLineChars="1282"/>
        <w:rPr>
          <w:rFonts w:hint="eastAsia" w:ascii="宋体" w:hAnsi="宋体"/>
          <w:color w:val="auto"/>
          <w:highlight w:val="none"/>
        </w:rPr>
      </w:pPr>
    </w:p>
    <w:p w14:paraId="7D016309">
      <w:pPr>
        <w:spacing w:line="440" w:lineRule="exact"/>
        <w:ind w:firstLine="2692" w:firstLineChars="1282"/>
        <w:rPr>
          <w:rFonts w:hint="eastAsia" w:ascii="宋体" w:hAnsi="宋体"/>
          <w:color w:val="auto"/>
          <w:highlight w:val="none"/>
        </w:rPr>
      </w:pPr>
    </w:p>
    <w:p w14:paraId="25A4077C">
      <w:pPr>
        <w:spacing w:line="440" w:lineRule="exact"/>
        <w:ind w:firstLine="2692" w:firstLineChars="1282"/>
        <w:rPr>
          <w:rFonts w:hint="eastAsia" w:ascii="宋体" w:hAnsi="宋体"/>
          <w:color w:val="auto"/>
          <w:highlight w:val="none"/>
        </w:rPr>
      </w:pPr>
    </w:p>
    <w:p w14:paraId="116089CC">
      <w:pPr>
        <w:spacing w:line="440" w:lineRule="exact"/>
        <w:ind w:firstLine="2692" w:firstLineChars="1282"/>
        <w:rPr>
          <w:rFonts w:hint="eastAsia" w:ascii="宋体" w:hAnsi="宋体"/>
          <w:color w:val="auto"/>
          <w:highlight w:val="none"/>
        </w:rPr>
      </w:pPr>
    </w:p>
    <w:p w14:paraId="7DC75D06">
      <w:pPr>
        <w:spacing w:line="440" w:lineRule="exact"/>
        <w:ind w:firstLine="2692" w:firstLineChars="1282"/>
        <w:rPr>
          <w:rFonts w:hint="eastAsia" w:ascii="宋体" w:hAnsi="宋体"/>
          <w:color w:val="auto"/>
          <w:highlight w:val="none"/>
        </w:rPr>
      </w:pPr>
    </w:p>
    <w:p w14:paraId="52F75287">
      <w:pPr>
        <w:spacing w:line="440" w:lineRule="exact"/>
        <w:ind w:firstLine="2692" w:firstLineChars="1282"/>
        <w:rPr>
          <w:rFonts w:hint="eastAsia" w:ascii="宋体" w:hAnsi="宋体"/>
          <w:color w:val="auto"/>
          <w:highlight w:val="none"/>
        </w:rPr>
      </w:pPr>
    </w:p>
    <w:p w14:paraId="39003CCF">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6276CA8D">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签名或盖章</w:t>
      </w:r>
      <w:r>
        <w:rPr>
          <w:rFonts w:ascii="宋体" w:hAnsi="宋体"/>
          <w:color w:val="auto"/>
          <w:highlight w:val="none"/>
        </w:rPr>
        <w:t>）</w:t>
      </w:r>
    </w:p>
    <w:p w14:paraId="584ED504">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613523AE">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签名或盖章</w:t>
      </w:r>
      <w:r>
        <w:rPr>
          <w:rFonts w:ascii="宋体" w:hAnsi="宋体"/>
          <w:color w:val="auto"/>
          <w:highlight w:val="none"/>
        </w:rPr>
        <w:t>）</w:t>
      </w:r>
    </w:p>
    <w:p w14:paraId="4D5EDE0A">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16E0E5F0">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0B768FD4">
      <w:pPr>
        <w:rPr>
          <w:rFonts w:ascii="宋体" w:hAnsi="宋体"/>
          <w:color w:val="auto"/>
          <w:highlight w:val="none"/>
        </w:rPr>
      </w:pPr>
    </w:p>
    <w:p w14:paraId="799D2603">
      <w:pPr>
        <w:rPr>
          <w:rFonts w:ascii="宋体" w:hAnsi="宋体"/>
          <w:color w:val="auto"/>
          <w:highlight w:val="none"/>
        </w:rPr>
      </w:pPr>
    </w:p>
    <w:p w14:paraId="1CF6966F">
      <w:pPr>
        <w:spacing w:line="440" w:lineRule="exact"/>
        <w:rPr>
          <w:rFonts w:hint="eastAsia" w:ascii="宋体" w:hAnsi="宋体" w:eastAsia="宋体" w:cs="宋体"/>
          <w:color w:val="auto"/>
          <w:sz w:val="28"/>
          <w:highlight w:val="none"/>
          <w:lang w:val="en-US" w:eastAsia="zh-CN"/>
        </w:rPr>
        <w:sectPr>
          <w:footerReference r:id="rId12" w:type="first"/>
          <w:footerReference r:id="rId11" w:type="default"/>
          <w:pgSz w:w="11906" w:h="16838"/>
          <w:pgMar w:top="1440" w:right="1576" w:bottom="1440" w:left="1463" w:header="851" w:footer="992" w:gutter="0"/>
          <w:pgNumType w:fmt="decimal"/>
          <w:cols w:space="0" w:num="1"/>
          <w:titlePg/>
          <w:docGrid w:type="lines" w:linePitch="319" w:charSpace="0"/>
        </w:sect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14:paraId="34419CBF">
      <w:pPr>
        <w:pStyle w:val="3"/>
        <w:numPr>
          <w:ilvl w:val="0"/>
          <w:numId w:val="4"/>
        </w:numPr>
        <w:spacing w:before="0" w:after="0" w:line="360" w:lineRule="auto"/>
        <w:jc w:val="center"/>
        <w:rPr>
          <w:rFonts w:ascii="宋体" w:hAnsi="宋体" w:eastAsia="宋体" w:cs="宋体"/>
          <w:color w:val="auto"/>
          <w:sz w:val="28"/>
          <w:highlight w:val="none"/>
        </w:rPr>
      </w:pPr>
      <w:bookmarkStart w:id="48" w:name="_Toc13357"/>
      <w:r>
        <w:rPr>
          <w:rFonts w:hint="eastAsia" w:ascii="宋体" w:hAnsi="宋体" w:eastAsia="宋体" w:cs="宋体"/>
          <w:color w:val="auto"/>
          <w:sz w:val="28"/>
          <w:highlight w:val="none"/>
        </w:rPr>
        <w:t>报价一览表</w:t>
      </w:r>
      <w:bookmarkEnd w:id="48"/>
    </w:p>
    <w:p w14:paraId="1437DA1D">
      <w:pPr>
        <w:pStyle w:val="39"/>
        <w:spacing w:line="480" w:lineRule="auto"/>
        <w:jc w:val="both"/>
        <w:rPr>
          <w:rFonts w:hint="eastAsia" w:hAnsi="宋体"/>
          <w:color w:val="auto"/>
          <w:highlight w:val="none"/>
        </w:rPr>
      </w:pPr>
      <w:r>
        <w:rPr>
          <w:rFonts w:hint="eastAsia" w:hAnsi="宋体"/>
          <w:color w:val="auto"/>
          <w:highlight w:val="none"/>
          <w:lang w:eastAsia="zh-CN"/>
        </w:rPr>
        <w:t>重庆首讯科技股份有限公司数智系统运维分公司</w:t>
      </w:r>
      <w:r>
        <w:rPr>
          <w:rFonts w:hint="eastAsia" w:hAnsi="宋体"/>
          <w:color w:val="auto"/>
          <w:highlight w:val="none"/>
        </w:rPr>
        <w:t>：</w:t>
      </w:r>
    </w:p>
    <w:p w14:paraId="7DC11B5A">
      <w:pPr>
        <w:pStyle w:val="39"/>
        <w:keepNext w:val="0"/>
        <w:keepLines w:val="0"/>
        <w:pageBreakBefore w:val="0"/>
        <w:widowControl w:val="0"/>
        <w:kinsoku/>
        <w:wordWrap/>
        <w:overflowPunct/>
        <w:topLinePunct w:val="0"/>
        <w:autoSpaceDE/>
        <w:autoSpaceDN/>
        <w:bidi w:val="0"/>
        <w:adjustRightInd/>
        <w:snapToGrid/>
        <w:spacing w:line="280" w:lineRule="exact"/>
        <w:ind w:firstLine="480" w:firstLineChars="200"/>
        <w:jc w:val="both"/>
        <w:textAlignment w:val="auto"/>
        <w:rPr>
          <w:b w:val="0"/>
          <w:bCs/>
          <w:color w:val="auto"/>
          <w:highlight w:val="none"/>
        </w:rPr>
      </w:pPr>
      <w:r>
        <w:rPr>
          <w:rFonts w:hint="eastAsia" w:hAnsi="宋体"/>
          <w:b w:val="0"/>
          <w:bCs/>
          <w:color w:val="auto"/>
          <w:highlight w:val="none"/>
        </w:rPr>
        <w:t>在研究了</w:t>
      </w:r>
      <w:r>
        <w:rPr>
          <w:rFonts w:hint="eastAsia" w:hAnsi="宋体"/>
          <w:b w:val="0"/>
          <w:bCs/>
          <w:color w:val="auto"/>
          <w:highlight w:val="none"/>
          <w:lang w:eastAsia="zh-CN"/>
        </w:rPr>
        <w:t>竞争性比选</w:t>
      </w:r>
      <w:r>
        <w:rPr>
          <w:rFonts w:hint="eastAsia" w:hAnsi="宋体"/>
          <w:b w:val="0"/>
          <w:bCs/>
          <w:color w:val="auto"/>
          <w:highlight w:val="none"/>
        </w:rPr>
        <w:t>文件中所有文件后，我司对</w:t>
      </w:r>
      <w:r>
        <w:rPr>
          <w:rFonts w:hint="eastAsia" w:hAnsi="宋体"/>
          <w:b w:val="0"/>
          <w:bCs/>
          <w:color w:val="auto"/>
          <w:highlight w:val="none"/>
          <w:lang w:val="en-US" w:eastAsia="zh-CN"/>
        </w:rPr>
        <w:t>本</w:t>
      </w:r>
      <w:r>
        <w:rPr>
          <w:rFonts w:hint="eastAsia" w:hAnsi="宋体"/>
          <w:b w:val="0"/>
          <w:bCs/>
          <w:color w:val="auto"/>
          <w:highlight w:val="none"/>
        </w:rPr>
        <w:t>项目</w:t>
      </w:r>
      <w:r>
        <w:rPr>
          <w:rFonts w:hint="eastAsia" w:hAnsi="宋体"/>
          <w:b w:val="0"/>
          <w:bCs/>
          <w:color w:val="auto"/>
          <w:highlight w:val="none"/>
          <w:lang w:eastAsia="zh-CN"/>
        </w:rPr>
        <w:t>竞争性比选</w:t>
      </w:r>
      <w:r>
        <w:rPr>
          <w:rFonts w:hint="eastAsia" w:hAnsi="宋体"/>
          <w:b w:val="0"/>
          <w:bCs/>
          <w:color w:val="auto"/>
          <w:highlight w:val="none"/>
        </w:rPr>
        <w:t xml:space="preserve">响应报价如下： </w:t>
      </w:r>
    </w:p>
    <w:p w14:paraId="45A47AE4">
      <w:pPr>
        <w:spacing w:line="420" w:lineRule="exact"/>
        <w:ind w:firstLine="420" w:firstLineChars="200"/>
        <w:rPr>
          <w:rFonts w:hint="eastAsia" w:ascii="宋体" w:hAnsi="宋体" w:eastAsia="宋体" w:cs="Times New Roman"/>
          <w:color w:val="auto"/>
          <w:highlight w:val="none"/>
          <w:lang w:val="en-US" w:eastAsia="zh-CN"/>
        </w:rPr>
      </w:pPr>
      <w:r>
        <w:rPr>
          <w:rFonts w:hint="eastAsia" w:ascii="宋体" w:hAnsi="宋体" w:cs="Times New Roman"/>
          <w:color w:val="auto"/>
          <w:highlight w:val="none"/>
          <w:lang w:val="en-US" w:eastAsia="zh-CN"/>
        </w:rPr>
        <w:t>详情以附件清单为准。</w:t>
      </w:r>
    </w:p>
    <w:p w14:paraId="7C70B1F7">
      <w:pPr>
        <w:spacing w:line="420" w:lineRule="exact"/>
        <w:ind w:firstLine="420" w:firstLineChars="200"/>
        <w:rPr>
          <w:rFonts w:ascii="宋体" w:hAnsi="宋体" w:eastAsia="宋体" w:cs="Times New Roman"/>
          <w:snapToGrid w:val="0"/>
          <w:color w:val="auto"/>
          <w:w w:val="99"/>
          <w:highlight w:val="none"/>
        </w:rPr>
      </w:pPr>
      <w:r>
        <w:rPr>
          <w:rFonts w:hint="eastAsia" w:ascii="宋体" w:hAnsi="宋体" w:eastAsia="宋体" w:cs="Times New Roman"/>
          <w:color w:val="auto"/>
          <w:highlight w:val="none"/>
          <w:lang w:val="en-US" w:eastAsia="zh-CN"/>
        </w:rPr>
        <w:t>1</w:t>
      </w: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含税</w:t>
      </w:r>
      <w:r>
        <w:rPr>
          <w:rFonts w:hint="eastAsia" w:ascii="宋体" w:hAnsi="宋体" w:eastAsia="宋体" w:cs="Times New Roman"/>
          <w:color w:val="auto"/>
          <w:highlight w:val="none"/>
        </w:rPr>
        <w:t>总报价</w:t>
      </w:r>
      <w:r>
        <w:rPr>
          <w:rFonts w:ascii="宋体" w:hAnsi="宋体" w:eastAsia="宋体" w:cs="Times New Roman"/>
          <w:color w:val="auto"/>
          <w:highlight w:val="none"/>
        </w:rPr>
        <w:t>应与</w:t>
      </w:r>
      <w:r>
        <w:rPr>
          <w:rFonts w:hint="eastAsia" w:ascii="宋体" w:hAnsi="宋体" w:cs="Times New Roman"/>
          <w:color w:val="auto"/>
          <w:highlight w:val="none"/>
          <w:lang w:eastAsia="zh-CN"/>
        </w:rPr>
        <w:t>竞争性比选</w:t>
      </w:r>
      <w:r>
        <w:rPr>
          <w:rFonts w:hint="eastAsia" w:ascii="宋体" w:hAnsi="宋体" w:eastAsia="宋体" w:cs="Times New Roman"/>
          <w:color w:val="auto"/>
          <w:highlight w:val="none"/>
        </w:rPr>
        <w:t>响应声明书</w:t>
      </w:r>
      <w:r>
        <w:rPr>
          <w:rFonts w:ascii="宋体" w:hAnsi="宋体" w:eastAsia="宋体" w:cs="Times New Roman"/>
          <w:color w:val="auto"/>
          <w:highlight w:val="none"/>
        </w:rPr>
        <w:t>中的</w:t>
      </w:r>
      <w:r>
        <w:rPr>
          <w:rFonts w:hint="eastAsia" w:ascii="宋体" w:hAnsi="宋体" w:eastAsia="宋体" w:cs="Times New Roman"/>
          <w:color w:val="auto"/>
          <w:highlight w:val="none"/>
        </w:rPr>
        <w:t>报价</w:t>
      </w:r>
      <w:r>
        <w:rPr>
          <w:rFonts w:ascii="宋体" w:hAnsi="宋体" w:eastAsia="宋体" w:cs="Times New Roman"/>
          <w:color w:val="auto"/>
          <w:highlight w:val="none"/>
        </w:rPr>
        <w:t>一致；所有价格均系用人民币表示，单位为“元”，报价最多精确到小数点后两位。</w:t>
      </w:r>
    </w:p>
    <w:p w14:paraId="3043CDB6">
      <w:pPr>
        <w:spacing w:line="420" w:lineRule="exact"/>
        <w:ind w:firstLine="420" w:firstLineChars="200"/>
        <w:rPr>
          <w:rFonts w:ascii="宋体" w:hAnsi="宋体" w:eastAsia="宋体" w:cs="Times New Roman"/>
          <w:color w:val="auto"/>
          <w:highlight w:val="none"/>
        </w:rPr>
      </w:pPr>
      <w:r>
        <w:rPr>
          <w:rFonts w:hint="eastAsia" w:ascii="宋体" w:hAnsi="宋体" w:eastAsia="宋体" w:cs="Times New Roman"/>
          <w:color w:val="auto"/>
          <w:highlight w:val="none"/>
          <w:lang w:val="en-US" w:eastAsia="zh-CN"/>
        </w:rPr>
        <w:t>2</w:t>
      </w:r>
      <w:r>
        <w:rPr>
          <w:rFonts w:hint="eastAsia" w:ascii="宋体" w:hAnsi="宋体" w:eastAsia="宋体" w:cs="Times New Roman"/>
          <w:color w:val="auto"/>
          <w:highlight w:val="none"/>
        </w:rPr>
        <w:t>、</w:t>
      </w:r>
      <w:r>
        <w:rPr>
          <w:rFonts w:hint="eastAsia" w:ascii="宋体" w:hAnsi="宋体" w:eastAsia="宋体" w:cs="Times New Roman"/>
          <w:color w:val="auto"/>
          <w:highlight w:val="none"/>
          <w:lang w:val="en-US" w:eastAsia="zh-CN"/>
        </w:rPr>
        <w:t>报价</w:t>
      </w:r>
      <w:r>
        <w:rPr>
          <w:rFonts w:ascii="宋体" w:hAnsi="宋体" w:eastAsia="宋体" w:cs="Times New Roman"/>
          <w:color w:val="auto"/>
          <w:highlight w:val="none"/>
        </w:rPr>
        <w:t>人应仔细核实</w:t>
      </w:r>
      <w:r>
        <w:rPr>
          <w:rFonts w:hint="eastAsia" w:ascii="宋体" w:hAnsi="宋体" w:eastAsia="宋体" w:cs="Times New Roman"/>
          <w:color w:val="auto"/>
          <w:highlight w:val="none"/>
          <w:lang w:val="en-US" w:eastAsia="zh-CN"/>
        </w:rPr>
        <w:t>比选</w:t>
      </w:r>
      <w:r>
        <w:rPr>
          <w:rFonts w:ascii="宋体" w:hAnsi="宋体" w:eastAsia="宋体" w:cs="Times New Roman"/>
          <w:color w:val="auto"/>
          <w:highlight w:val="none"/>
        </w:rPr>
        <w:t>范围内所包含的所有计费项目，未报及漏报的项目将视为是</w:t>
      </w:r>
      <w:r>
        <w:rPr>
          <w:rFonts w:hint="eastAsia" w:ascii="宋体" w:hAnsi="宋体" w:eastAsia="宋体" w:cs="Times New Roman"/>
          <w:color w:val="auto"/>
          <w:highlight w:val="none"/>
          <w:lang w:val="en-US" w:eastAsia="zh-CN"/>
        </w:rPr>
        <w:t>报价</w:t>
      </w:r>
      <w:r>
        <w:rPr>
          <w:rFonts w:ascii="宋体" w:hAnsi="宋体" w:eastAsia="宋体" w:cs="Times New Roman"/>
          <w:color w:val="auto"/>
          <w:highlight w:val="none"/>
        </w:rPr>
        <w:t>人对</w:t>
      </w:r>
      <w:r>
        <w:rPr>
          <w:rFonts w:hint="eastAsia" w:ascii="宋体" w:hAnsi="宋体" w:eastAsia="宋体" w:cs="Times New Roman"/>
          <w:color w:val="auto"/>
          <w:highlight w:val="none"/>
          <w:lang w:val="en-US" w:eastAsia="zh-CN"/>
        </w:rPr>
        <w:t>采购</w:t>
      </w:r>
      <w:r>
        <w:rPr>
          <w:rFonts w:ascii="宋体" w:hAnsi="宋体" w:eastAsia="宋体" w:cs="Times New Roman"/>
          <w:color w:val="auto"/>
          <w:highlight w:val="none"/>
        </w:rPr>
        <w:t>人进行优惠，结算时不再进行增加。</w:t>
      </w:r>
    </w:p>
    <w:p w14:paraId="71EE19DB">
      <w:pPr>
        <w:tabs>
          <w:tab w:val="left" w:pos="7140"/>
          <w:tab w:val="left" w:pos="7560"/>
          <w:tab w:val="left" w:pos="8300"/>
        </w:tabs>
        <w:autoSpaceDE w:val="0"/>
        <w:autoSpaceDN w:val="0"/>
        <w:adjustRightInd w:val="0"/>
        <w:spacing w:line="360" w:lineRule="auto"/>
        <w:ind w:right="210" w:firstLine="4907" w:firstLineChars="2337"/>
        <w:rPr>
          <w:rFonts w:hint="eastAsia" w:ascii="宋体" w:hAnsi="宋体"/>
          <w:snapToGrid w:val="0"/>
          <w:color w:val="auto"/>
          <w:kern w:val="0"/>
          <w:szCs w:val="21"/>
          <w:highlight w:val="none"/>
          <w:lang w:val="en-US" w:eastAsia="zh-CN"/>
        </w:rPr>
      </w:pPr>
    </w:p>
    <w:p w14:paraId="121CBEF2">
      <w:pPr>
        <w:tabs>
          <w:tab w:val="left" w:pos="7140"/>
          <w:tab w:val="left" w:pos="7560"/>
          <w:tab w:val="left" w:pos="8300"/>
        </w:tabs>
        <w:autoSpaceDE w:val="0"/>
        <w:autoSpaceDN w:val="0"/>
        <w:adjustRightInd w:val="0"/>
        <w:spacing w:line="360" w:lineRule="auto"/>
        <w:ind w:right="210" w:firstLine="4907" w:firstLineChars="2337"/>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报</w:t>
      </w: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lang w:val="en-US" w:eastAsia="zh-CN"/>
        </w:rPr>
        <w:t>价</w:t>
      </w:r>
      <w:r>
        <w:rPr>
          <w:rFonts w:ascii="宋体" w:hAnsi="宋体"/>
          <w:snapToGrid w:val="0"/>
          <w:color w:val="auto"/>
          <w:kern w:val="0"/>
          <w:szCs w:val="21"/>
          <w:highlight w:val="none"/>
        </w:rPr>
        <w:t xml:space="preserve">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w:t>
      </w:r>
      <w:r>
        <w:rPr>
          <w:rFonts w:hint="eastAsia" w:ascii="宋体" w:hAnsi="宋体"/>
          <w:snapToGrid w:val="0"/>
          <w:color w:val="auto"/>
          <w:kern w:val="0"/>
          <w:szCs w:val="21"/>
          <w:highlight w:val="none"/>
          <w:lang w:val="en-US" w:eastAsia="zh-CN"/>
        </w:rPr>
        <w:t>公</w:t>
      </w:r>
      <w:r>
        <w:rPr>
          <w:rFonts w:ascii="宋体" w:hAnsi="宋体"/>
          <w:snapToGrid w:val="0"/>
          <w:color w:val="auto"/>
          <w:kern w:val="0"/>
          <w:szCs w:val="21"/>
          <w:highlight w:val="none"/>
        </w:rPr>
        <w:t xml:space="preserve">章） </w:t>
      </w:r>
    </w:p>
    <w:p w14:paraId="30B9A973">
      <w:pPr>
        <w:tabs>
          <w:tab w:val="left" w:pos="7140"/>
          <w:tab w:val="left" w:pos="7560"/>
          <w:tab w:val="left" w:pos="8300"/>
        </w:tabs>
        <w:autoSpaceDE w:val="0"/>
        <w:autoSpaceDN w:val="0"/>
        <w:adjustRightInd w:val="0"/>
        <w:spacing w:line="360" w:lineRule="auto"/>
        <w:ind w:right="210" w:firstLine="4935" w:firstLineChars="235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签名</w:t>
      </w:r>
      <w:r>
        <w:rPr>
          <w:rFonts w:ascii="宋体" w:hAnsi="宋体"/>
          <w:snapToGrid w:val="0"/>
          <w:color w:val="auto"/>
          <w:kern w:val="0"/>
          <w:szCs w:val="21"/>
          <w:highlight w:val="none"/>
        </w:rPr>
        <w:t xml:space="preserve">或盖章） </w:t>
      </w:r>
    </w:p>
    <w:p w14:paraId="3EF8E104">
      <w:pPr>
        <w:pStyle w:val="18"/>
        <w:ind w:firstLine="6800" w:firstLineChars="3400"/>
        <w:rPr>
          <w:rFonts w:hint="default" w:eastAsia="宋体"/>
          <w:color w:val="auto"/>
          <w:highlight w:val="none"/>
          <w:u w:val="none"/>
          <w:lang w:val="en-US" w:eastAsia="zh-CN"/>
        </w:rPr>
        <w:sectPr>
          <w:pgSz w:w="16838" w:h="11906" w:orient="landscape"/>
          <w:pgMar w:top="1463" w:right="1440" w:bottom="1576" w:left="1440" w:header="851" w:footer="992" w:gutter="0"/>
          <w:pgNumType w:fmt="decimal"/>
          <w:cols w:space="0" w:num="1"/>
          <w:titlePg/>
          <w:docGrid w:type="lines" w:linePitch="328" w:charSpace="0"/>
        </w:sectPr>
      </w:pPr>
      <w:r>
        <w:rPr>
          <w:rFonts w:hint="eastAsia"/>
          <w:color w:val="auto"/>
          <w:highlight w:val="none"/>
          <w:lang w:val="en-US" w:eastAsia="zh-CN"/>
        </w:rPr>
        <w:t>日期：</w:t>
      </w:r>
      <w:r>
        <w:rPr>
          <w:rFonts w:hint="eastAsia"/>
          <w:color w:val="auto"/>
          <w:highlight w:val="none"/>
          <w:u w:val="single"/>
          <w:lang w:val="en-US" w:eastAsia="zh-CN"/>
        </w:rPr>
        <w:t xml:space="preserve">    </w:t>
      </w:r>
      <w:r>
        <w:rPr>
          <w:rFonts w:hint="eastAsia"/>
          <w:color w:val="auto"/>
          <w:highlight w:val="none"/>
          <w:u w:val="none"/>
          <w:lang w:val="en-US" w:eastAsia="zh-CN"/>
        </w:rPr>
        <w:t>年</w:t>
      </w:r>
      <w:r>
        <w:rPr>
          <w:rFonts w:hint="eastAsia"/>
          <w:color w:val="auto"/>
          <w:highlight w:val="none"/>
          <w:u w:val="single"/>
          <w:lang w:val="en-US" w:eastAsia="zh-CN"/>
        </w:rPr>
        <w:t xml:space="preserve">   </w:t>
      </w:r>
      <w:r>
        <w:rPr>
          <w:rFonts w:hint="eastAsia"/>
          <w:color w:val="auto"/>
          <w:highlight w:val="none"/>
          <w:u w:val="none"/>
          <w:lang w:val="en-US" w:eastAsia="zh-CN"/>
        </w:rPr>
        <w:t>月</w:t>
      </w:r>
      <w:r>
        <w:rPr>
          <w:rFonts w:hint="eastAsia"/>
          <w:color w:val="auto"/>
          <w:highlight w:val="none"/>
          <w:u w:val="single"/>
          <w:lang w:val="en-US" w:eastAsia="zh-CN"/>
        </w:rPr>
        <w:t xml:space="preserve">   </w:t>
      </w:r>
      <w:r>
        <w:rPr>
          <w:rFonts w:hint="eastAsia"/>
          <w:color w:val="auto"/>
          <w:highlight w:val="none"/>
          <w:u w:val="none"/>
          <w:lang w:val="en-US" w:eastAsia="zh-CN"/>
        </w:rPr>
        <w:t>日</w:t>
      </w:r>
    </w:p>
    <w:p w14:paraId="5251F72D">
      <w:pPr>
        <w:pStyle w:val="3"/>
        <w:numPr>
          <w:ilvl w:val="0"/>
          <w:numId w:val="4"/>
        </w:numPr>
        <w:spacing w:before="0" w:after="0" w:line="360" w:lineRule="auto"/>
        <w:jc w:val="center"/>
        <w:rPr>
          <w:rFonts w:ascii="宋体" w:hAnsi="宋体" w:eastAsia="宋体" w:cs="宋体"/>
          <w:color w:val="auto"/>
          <w:sz w:val="28"/>
          <w:highlight w:val="none"/>
        </w:rPr>
      </w:pPr>
      <w:bookmarkStart w:id="49" w:name="_Toc27641"/>
      <w:r>
        <w:rPr>
          <w:rFonts w:hint="eastAsia" w:ascii="宋体" w:hAnsi="宋体" w:eastAsia="宋体" w:cs="宋体"/>
          <w:color w:val="auto"/>
          <w:sz w:val="28"/>
          <w:highlight w:val="none"/>
        </w:rPr>
        <w:t>审查资料</w:t>
      </w:r>
      <w:bookmarkEnd w:id="49"/>
    </w:p>
    <w:p w14:paraId="78E0C3ED">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4"/>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17E07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7BADBC7F">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b/>
                <w:bCs/>
                <w:color w:val="auto"/>
                <w:szCs w:val="21"/>
                <w:highlight w:val="none"/>
              </w:rPr>
            </w:pPr>
            <w:r>
              <w:rPr>
                <w:rFonts w:hint="eastAsia" w:ascii="宋体" w:hAnsi="宋体" w:cs="宋体"/>
                <w:b/>
                <w:bCs/>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41F148ED">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b/>
                <w:bCs/>
                <w:color w:val="auto"/>
                <w:szCs w:val="21"/>
                <w:highlight w:val="none"/>
              </w:rPr>
            </w:pPr>
            <w:r>
              <w:rPr>
                <w:rFonts w:hint="eastAsia" w:ascii="宋体" w:hAnsi="宋体" w:cs="宋体"/>
                <w:b/>
                <w:bCs/>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45C938B5">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b/>
                <w:bCs/>
                <w:color w:val="auto"/>
                <w:szCs w:val="21"/>
                <w:highlight w:val="none"/>
              </w:rPr>
            </w:pPr>
            <w:r>
              <w:rPr>
                <w:rFonts w:hint="eastAsia" w:ascii="宋体" w:hAnsi="宋体" w:cs="宋体"/>
                <w:b/>
                <w:bCs/>
                <w:color w:val="auto"/>
                <w:szCs w:val="21"/>
                <w:highlight w:val="none"/>
              </w:rPr>
              <w:t>资格要求</w:t>
            </w:r>
          </w:p>
        </w:tc>
      </w:tr>
      <w:tr w14:paraId="41549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64" w:type="dxa"/>
            <w:tcBorders>
              <w:top w:val="single" w:color="auto" w:sz="4" w:space="0"/>
              <w:left w:val="single" w:color="auto" w:sz="4" w:space="0"/>
              <w:bottom w:val="single" w:color="auto" w:sz="4" w:space="0"/>
              <w:right w:val="single" w:color="auto" w:sz="4" w:space="0"/>
            </w:tcBorders>
            <w:vAlign w:val="center"/>
          </w:tcPr>
          <w:p w14:paraId="28774936">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6F222E3D">
            <w:pPr>
              <w:pageBreakBefore w:val="0"/>
              <w:widowControl w:val="0"/>
              <w:kinsoku/>
              <w:overflowPunct/>
              <w:topLinePunct w:val="0"/>
              <w:autoSpaceDE/>
              <w:autoSpaceDN/>
              <w:bidi w:val="0"/>
              <w:adjustRightInd/>
              <w:snapToGrid/>
              <w:spacing w:line="400" w:lineRule="exact"/>
              <w:jc w:val="center"/>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343922C7">
            <w:pPr>
              <w:pageBreakBefore w:val="0"/>
              <w:widowControl w:val="0"/>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（1）具有独立法人资格；</w:t>
            </w:r>
          </w:p>
          <w:p w14:paraId="795704AD">
            <w:pPr>
              <w:pageBreakBefore w:val="0"/>
              <w:widowControl w:val="0"/>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（2）有效的营业执照；</w:t>
            </w:r>
          </w:p>
          <w:p w14:paraId="06D423EB">
            <w:pPr>
              <w:pageBreakBefore w:val="0"/>
              <w:widowControl w:val="0"/>
              <w:kinsoku/>
              <w:overflowPunct/>
              <w:topLinePunct w:val="0"/>
              <w:autoSpaceDE/>
              <w:autoSpaceDN/>
              <w:bidi w:val="0"/>
              <w:adjustRightInd/>
              <w:snapToGrid/>
              <w:spacing w:line="400" w:lineRule="exact"/>
              <w:ind w:firstLine="420" w:firstLineChars="200"/>
              <w:textAlignment w:val="auto"/>
              <w:outlineLvl w:val="9"/>
              <w:rPr>
                <w:color w:val="auto"/>
                <w:highlight w:val="none"/>
              </w:rPr>
            </w:pPr>
          </w:p>
        </w:tc>
      </w:tr>
      <w:tr w14:paraId="2B67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4" w:type="dxa"/>
            <w:tcBorders>
              <w:top w:val="single" w:color="auto" w:sz="4" w:space="0"/>
              <w:left w:val="single" w:color="auto" w:sz="4" w:space="0"/>
              <w:bottom w:val="single" w:color="auto" w:sz="4" w:space="0"/>
              <w:right w:val="single" w:color="auto" w:sz="4" w:space="0"/>
            </w:tcBorders>
            <w:vAlign w:val="center"/>
          </w:tcPr>
          <w:p w14:paraId="212F3B5D">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37E30F6A">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05B4D394">
            <w:pPr>
              <w:pageBreakBefore w:val="0"/>
              <w:widowControl w:val="0"/>
              <w:kinsoku/>
              <w:overflowPunct/>
              <w:topLinePunct w:val="0"/>
              <w:autoSpaceDE/>
              <w:autoSpaceDN/>
              <w:bidi w:val="0"/>
              <w:adjustRightInd/>
              <w:snapToGrid/>
              <w:spacing w:line="400" w:lineRule="exact"/>
              <w:ind w:firstLine="420" w:firstLineChars="200"/>
              <w:textAlignment w:val="auto"/>
              <w:outlineLvl w:val="9"/>
              <w:rPr>
                <w:rFonts w:ascii="宋体" w:hAnsi="宋体" w:cs="宋体"/>
                <w:color w:val="auto"/>
                <w:szCs w:val="21"/>
                <w:highlight w:val="none"/>
              </w:rPr>
            </w:pPr>
            <w:r>
              <w:rPr>
                <w:rFonts w:hint="eastAsia" w:ascii="宋体" w:hAnsi="宋体" w:cs="宋体"/>
                <w:color w:val="auto"/>
                <w:sz w:val="21"/>
                <w:szCs w:val="21"/>
                <w:highlight w:val="none"/>
                <w:lang w:val="en-US" w:eastAsia="zh-CN"/>
              </w:rPr>
              <w:t>2023年1月1日至投标截止日（以合同签订时间为准），投标人至少具有一个单项合同金额不低于5万元汽车租赁业绩，提供合同扫描件，该合同的交车单扫描件及等额的发票扫描件。</w:t>
            </w:r>
          </w:p>
        </w:tc>
      </w:tr>
      <w:tr w14:paraId="78EFA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64" w:type="dxa"/>
            <w:tcBorders>
              <w:top w:val="single" w:color="auto" w:sz="4" w:space="0"/>
              <w:left w:val="single" w:color="auto" w:sz="4" w:space="0"/>
              <w:bottom w:val="single" w:color="auto" w:sz="4" w:space="0"/>
              <w:right w:val="single" w:color="auto" w:sz="4" w:space="0"/>
            </w:tcBorders>
            <w:vAlign w:val="center"/>
          </w:tcPr>
          <w:p w14:paraId="37FAE8BE">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1ED15C6E">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39045869">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outlineLvl w:val="9"/>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eastAsia="宋体" w:cs="宋体"/>
                <w:color w:val="auto"/>
                <w:sz w:val="21"/>
                <w:szCs w:val="21"/>
                <w:highlight w:val="none"/>
                <w:lang w:val="en-US" w:eastAsia="zh-CN"/>
              </w:rPr>
              <w:t>。</w:t>
            </w:r>
          </w:p>
        </w:tc>
      </w:tr>
    </w:tbl>
    <w:p w14:paraId="33765531">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hAnsi="宋体"/>
          <w:b/>
          <w:bCs/>
          <w:color w:val="auto"/>
          <w:kern w:val="0"/>
          <w:szCs w:val="21"/>
          <w:highlight w:val="none"/>
        </w:rPr>
      </w:pPr>
    </w:p>
    <w:p w14:paraId="01C19FF6">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Ansi="宋体"/>
          <w:b/>
          <w:bCs/>
          <w:color w:val="auto"/>
          <w:kern w:val="0"/>
          <w:szCs w:val="21"/>
          <w:highlight w:val="none"/>
        </w:rPr>
      </w:pPr>
      <w:r>
        <w:rPr>
          <w:rFonts w:hint="eastAsia" w:hAnsi="宋体"/>
          <w:b/>
          <w:bCs/>
          <w:color w:val="auto"/>
          <w:kern w:val="0"/>
          <w:szCs w:val="21"/>
          <w:highlight w:val="none"/>
        </w:rPr>
        <w:t>注：1.提供公司营业执照复印件，并加盖单位公章。</w:t>
      </w:r>
    </w:p>
    <w:p w14:paraId="74EA844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textAlignment w:val="auto"/>
        <w:outlineLvl w:val="9"/>
        <w:rPr>
          <w:b/>
          <w:bCs/>
          <w:color w:val="auto"/>
          <w:highlight w:val="none"/>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629B5C38">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outlineLvl w:val="9"/>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14:paraId="35DC5B58">
      <w:pPr>
        <w:numPr>
          <w:ilvl w:val="0"/>
          <w:numId w:val="0"/>
        </w:numPr>
        <w:ind w:left="735" w:leftChars="0"/>
        <w:rPr>
          <w:color w:val="auto"/>
          <w:highlight w:val="none"/>
        </w:rPr>
      </w:pPr>
    </w:p>
    <w:p w14:paraId="3ECC26CA">
      <w:pPr>
        <w:rPr>
          <w:rFonts w:ascii="宋体" w:hAnsi="宋体" w:cs="宋体"/>
          <w:color w:val="auto"/>
          <w:sz w:val="28"/>
          <w:highlight w:val="none"/>
        </w:rPr>
      </w:pPr>
      <w:r>
        <w:rPr>
          <w:rFonts w:ascii="宋体" w:hAnsi="宋体" w:cs="宋体"/>
          <w:color w:val="auto"/>
          <w:sz w:val="28"/>
          <w:highlight w:val="none"/>
        </w:rPr>
        <w:br w:type="page"/>
      </w:r>
    </w:p>
    <w:p w14:paraId="1C265364">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如有</w:t>
      </w:r>
      <w:r>
        <w:rPr>
          <w:rFonts w:hint="eastAsia" w:ascii="宋体" w:hAnsi="宋体" w:cs="宋体"/>
          <w:b/>
          <w:bCs/>
          <w:color w:val="auto"/>
          <w:kern w:val="0"/>
          <w:sz w:val="28"/>
          <w:szCs w:val="20"/>
          <w:highlight w:val="none"/>
          <w:lang w:eastAsia="zh-CN"/>
        </w:rPr>
        <w:t>）</w:t>
      </w:r>
    </w:p>
    <w:p w14:paraId="495BD2CD">
      <w:pPr>
        <w:jc w:val="center"/>
        <w:rPr>
          <w:rFonts w:hint="eastAsia" w:ascii="宋体" w:hAnsi="宋体" w:cs="宋体"/>
          <w:b/>
          <w:bCs/>
          <w:color w:val="auto"/>
          <w:kern w:val="0"/>
          <w:sz w:val="28"/>
          <w:szCs w:val="20"/>
          <w:highlight w:val="none"/>
          <w:lang w:eastAsia="zh-CN"/>
        </w:rPr>
      </w:pPr>
    </w:p>
    <w:tbl>
      <w:tblPr>
        <w:tblStyle w:val="44"/>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14:paraId="50A3F6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321BD59B">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14:paraId="39F27748">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14:paraId="58098923">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14:paraId="163F02A1">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14:paraId="01C2DD01">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14:paraId="613E776A">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384596B2">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14:paraId="6945CFA7">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14:paraId="4D3D84C5">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090648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509B4954">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14:paraId="63EBC2B6">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2B97E62E">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7D1BA65F">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63FF1EBD">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6F68126E">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05B85D23">
            <w:pPr>
              <w:jc w:val="center"/>
              <w:rPr>
                <w:rFonts w:hint="eastAsia" w:ascii="宋体" w:hAnsi="宋体"/>
                <w:color w:val="auto"/>
                <w:szCs w:val="21"/>
                <w:highlight w:val="none"/>
              </w:rPr>
            </w:pPr>
          </w:p>
        </w:tc>
      </w:tr>
      <w:tr w14:paraId="1305E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7D7CE50">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14:paraId="46AAFCFD">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758A1FEF">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691EB4EE">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33213868">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36BDCA66">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02DF02CB">
            <w:pPr>
              <w:jc w:val="center"/>
              <w:rPr>
                <w:rFonts w:hint="eastAsia" w:ascii="宋体" w:hAnsi="宋体"/>
                <w:color w:val="auto"/>
                <w:szCs w:val="21"/>
                <w:highlight w:val="none"/>
              </w:rPr>
            </w:pPr>
          </w:p>
        </w:tc>
      </w:tr>
      <w:tr w14:paraId="532C2B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28CAB89">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14:paraId="729873AB">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6382F247">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02AEF4F1">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1E6781EB">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2EC2A0A4">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3CCF23E7">
            <w:pPr>
              <w:jc w:val="center"/>
              <w:rPr>
                <w:rFonts w:hint="eastAsia" w:ascii="宋体" w:hAnsi="宋体"/>
                <w:color w:val="auto"/>
                <w:szCs w:val="21"/>
                <w:highlight w:val="none"/>
              </w:rPr>
            </w:pPr>
          </w:p>
        </w:tc>
      </w:tr>
      <w:tr w14:paraId="133A5B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52B5FDE3">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14:paraId="6A736AA7">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0C38F6BE">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7EF21B8B">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52A1415C">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6E5C2D1C">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521DAF69">
            <w:pPr>
              <w:jc w:val="center"/>
              <w:rPr>
                <w:rFonts w:hint="eastAsia" w:ascii="宋体" w:hAnsi="宋体"/>
                <w:color w:val="auto"/>
                <w:szCs w:val="21"/>
                <w:highlight w:val="none"/>
              </w:rPr>
            </w:pPr>
          </w:p>
        </w:tc>
      </w:tr>
      <w:tr w14:paraId="002A57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8931DB3">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14:paraId="1BC66695">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57CE665E">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2F9A8A6D">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11780245">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007585CA">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750ADF96">
            <w:pPr>
              <w:jc w:val="center"/>
              <w:rPr>
                <w:rFonts w:hint="eastAsia" w:ascii="宋体" w:hAnsi="宋体"/>
                <w:color w:val="auto"/>
                <w:szCs w:val="21"/>
                <w:highlight w:val="none"/>
              </w:rPr>
            </w:pPr>
          </w:p>
        </w:tc>
      </w:tr>
    </w:tbl>
    <w:p w14:paraId="039CD441">
      <w:pPr>
        <w:adjustRightInd w:val="0"/>
        <w:snapToGrid w:val="0"/>
        <w:spacing w:line="460" w:lineRule="exact"/>
        <w:ind w:firstLine="422"/>
        <w:rPr>
          <w:rFonts w:hint="eastAsia" w:ascii="宋体" w:hAnsi="宋体"/>
          <w:b/>
          <w:color w:val="auto"/>
          <w:szCs w:val="21"/>
          <w:highlight w:val="none"/>
        </w:rPr>
      </w:pPr>
    </w:p>
    <w:p w14:paraId="5D1CA651">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14:paraId="4328C4F8">
      <w:pPr>
        <w:adjustRightInd w:val="0"/>
        <w:snapToGrid w:val="0"/>
        <w:spacing w:line="460" w:lineRule="exact"/>
        <w:ind w:firstLine="422"/>
        <w:rPr>
          <w:rFonts w:hint="eastAsia" w:ascii="宋体" w:hAnsi="宋体"/>
          <w:b/>
          <w:color w:val="auto"/>
          <w:szCs w:val="21"/>
          <w:highlight w:val="none"/>
        </w:rPr>
      </w:pPr>
    </w:p>
    <w:p w14:paraId="430BC0BA">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4C336A4E">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14:paraId="7C1ED186">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536D8DA6">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14:paraId="642C8E0C">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14:paraId="5FF5BB53">
      <w:pPr>
        <w:spacing w:after="0" w:afterLines="-2147483648" w:line="240" w:lineRule="auto"/>
        <w:ind w:firstLine="0"/>
        <w:jc w:val="left"/>
        <w:outlineLvl w:val="9"/>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14:paraId="3D29EF51">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如有</w:t>
      </w:r>
      <w:r>
        <w:rPr>
          <w:rFonts w:hint="eastAsia" w:ascii="宋体" w:hAnsi="宋体" w:cs="宋体"/>
          <w:b/>
          <w:bCs/>
          <w:color w:val="auto"/>
          <w:kern w:val="0"/>
          <w:sz w:val="28"/>
          <w:szCs w:val="20"/>
          <w:highlight w:val="none"/>
          <w:lang w:eastAsia="zh-CN"/>
        </w:rPr>
        <w:t>）</w:t>
      </w:r>
    </w:p>
    <w:p w14:paraId="6CC650B1">
      <w:pPr>
        <w:spacing w:line="360" w:lineRule="auto"/>
        <w:jc w:val="left"/>
        <w:rPr>
          <w:rFonts w:ascii="宋体" w:hAnsi="宋体" w:eastAsia="宋体" w:cs="Times New Roman"/>
          <w:color w:val="auto"/>
          <w:szCs w:val="21"/>
          <w:highlight w:val="none"/>
        </w:rPr>
      </w:pPr>
    </w:p>
    <w:tbl>
      <w:tblPr>
        <w:tblStyle w:val="44"/>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14:paraId="7611D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7A4903E2">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14:paraId="19FAEA01">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14:paraId="08DA8A14">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文件要求技术参数、性能指标</w:t>
            </w:r>
          </w:p>
        </w:tc>
        <w:tc>
          <w:tcPr>
            <w:tcW w:w="1701" w:type="dxa"/>
            <w:vAlign w:val="center"/>
          </w:tcPr>
          <w:p w14:paraId="6533E534">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人提供技术参数、性能指标</w:t>
            </w:r>
          </w:p>
        </w:tc>
        <w:tc>
          <w:tcPr>
            <w:tcW w:w="1134" w:type="dxa"/>
            <w:vAlign w:val="center"/>
          </w:tcPr>
          <w:p w14:paraId="3BBE9AA7">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14:paraId="5D5630E9">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14:paraId="7CC6E337">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14:paraId="60A90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02A21E67">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14:paraId="2C26AEAF">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42F04CBF">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29F67017">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741D1C93">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098AE8C6">
            <w:pPr>
              <w:spacing w:before="312" w:beforeLines="100" w:line="360" w:lineRule="auto"/>
              <w:jc w:val="center"/>
              <w:rPr>
                <w:rFonts w:ascii="宋体" w:hAnsi="宋体" w:eastAsia="宋体" w:cs="Times New Roman"/>
                <w:color w:val="auto"/>
                <w:szCs w:val="21"/>
                <w:highlight w:val="none"/>
              </w:rPr>
            </w:pPr>
          </w:p>
        </w:tc>
      </w:tr>
      <w:tr w14:paraId="56CD6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3DBC7166">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14:paraId="33796922">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3BBECD83">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3E685F4B">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1401A7D3">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0CA0EF23">
            <w:pPr>
              <w:spacing w:before="312" w:beforeLines="100" w:line="360" w:lineRule="auto"/>
              <w:jc w:val="center"/>
              <w:rPr>
                <w:rFonts w:ascii="宋体" w:hAnsi="宋体" w:eastAsia="宋体" w:cs="Times New Roman"/>
                <w:color w:val="auto"/>
                <w:szCs w:val="21"/>
                <w:highlight w:val="none"/>
              </w:rPr>
            </w:pPr>
          </w:p>
        </w:tc>
      </w:tr>
      <w:tr w14:paraId="1B02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78F46FEC">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14:paraId="636C9027">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15E33503">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681E77D2">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0B8ACEC5">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0CB0491D">
            <w:pPr>
              <w:spacing w:before="312" w:beforeLines="100" w:line="360" w:lineRule="auto"/>
              <w:jc w:val="center"/>
              <w:rPr>
                <w:rFonts w:ascii="宋体" w:hAnsi="宋体" w:eastAsia="宋体" w:cs="Times New Roman"/>
                <w:color w:val="auto"/>
                <w:szCs w:val="21"/>
                <w:highlight w:val="none"/>
              </w:rPr>
            </w:pPr>
          </w:p>
        </w:tc>
      </w:tr>
      <w:tr w14:paraId="03312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75989868">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14:paraId="102B65A4">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59039B55">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7FE870A3">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679B1FD5">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0AD88FB9">
            <w:pPr>
              <w:spacing w:before="312" w:beforeLines="100" w:line="360" w:lineRule="auto"/>
              <w:jc w:val="center"/>
              <w:rPr>
                <w:rFonts w:ascii="宋体" w:hAnsi="宋体" w:eastAsia="宋体" w:cs="Times New Roman"/>
                <w:color w:val="auto"/>
                <w:szCs w:val="21"/>
                <w:highlight w:val="none"/>
              </w:rPr>
            </w:pPr>
          </w:p>
        </w:tc>
      </w:tr>
    </w:tbl>
    <w:p w14:paraId="0C440BC2">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14:paraId="6F7E9448">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14:paraId="7CCB2863">
      <w:pPr>
        <w:adjustRightInd w:val="0"/>
        <w:snapToGrid w:val="0"/>
        <w:spacing w:line="460" w:lineRule="exact"/>
        <w:ind w:firstLine="422"/>
        <w:rPr>
          <w:rFonts w:ascii="宋体" w:hAnsi="宋体" w:eastAsia="宋体" w:cs="Times New Roman"/>
          <w:b/>
          <w:color w:val="auto"/>
          <w:szCs w:val="21"/>
          <w:highlight w:val="none"/>
        </w:rPr>
      </w:pPr>
    </w:p>
    <w:p w14:paraId="1B2B036B">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授权代表（签名或盖章）：</w:t>
      </w:r>
    </w:p>
    <w:p w14:paraId="36631692">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14:paraId="433645F9">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14:paraId="438F82FB">
      <w:pPr>
        <w:pStyle w:val="18"/>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14:paraId="7F2308CD">
      <w:pPr>
        <w:rPr>
          <w:color w:val="auto"/>
          <w:highlight w:val="none"/>
        </w:rPr>
      </w:pPr>
      <w:r>
        <w:rPr>
          <w:color w:val="auto"/>
          <w:highlight w:val="none"/>
        </w:rPr>
        <w:br w:type="page"/>
      </w:r>
    </w:p>
    <w:p w14:paraId="049A54E0">
      <w:pPr>
        <w:rPr>
          <w:color w:val="auto"/>
          <w:highlight w:val="none"/>
        </w:rPr>
      </w:pPr>
    </w:p>
    <w:p w14:paraId="0D9E6AD1">
      <w:pPr>
        <w:pStyle w:val="3"/>
        <w:numPr>
          <w:ilvl w:val="0"/>
          <w:numId w:val="4"/>
        </w:numPr>
        <w:spacing w:before="0" w:after="0" w:line="360" w:lineRule="auto"/>
        <w:jc w:val="center"/>
        <w:rPr>
          <w:rFonts w:ascii="宋体" w:hAnsi="宋体" w:eastAsia="宋体" w:cs="宋体"/>
          <w:color w:val="auto"/>
          <w:sz w:val="28"/>
          <w:highlight w:val="none"/>
        </w:rPr>
      </w:pPr>
      <w:bookmarkStart w:id="50" w:name="_Toc19360"/>
      <w:r>
        <w:rPr>
          <w:rFonts w:hint="eastAsia" w:ascii="宋体" w:hAnsi="宋体" w:eastAsia="宋体" w:cs="宋体"/>
          <w:color w:val="auto"/>
          <w:sz w:val="28"/>
          <w:highlight w:val="none"/>
        </w:rPr>
        <w:t>报价人承诺</w:t>
      </w:r>
      <w:bookmarkEnd w:id="50"/>
    </w:p>
    <w:p w14:paraId="2FE15DDE">
      <w:pPr>
        <w:pStyle w:val="18"/>
        <w:rPr>
          <w:color w:val="auto"/>
          <w:highlight w:val="none"/>
        </w:rPr>
      </w:pPr>
    </w:p>
    <w:p w14:paraId="7CF38B12">
      <w:pPr>
        <w:pStyle w:val="39"/>
        <w:spacing w:line="480" w:lineRule="auto"/>
        <w:jc w:val="both"/>
        <w:rPr>
          <w:rFonts w:hint="eastAsia" w:hAnsi="宋体" w:eastAsia="宋体"/>
          <w:color w:val="auto"/>
          <w:sz w:val="21"/>
          <w:szCs w:val="21"/>
          <w:highlight w:val="none"/>
          <w:lang w:eastAsia="zh-CN"/>
        </w:rPr>
      </w:pPr>
      <w:r>
        <w:rPr>
          <w:rFonts w:hint="eastAsia" w:hAnsi="宋体"/>
          <w:color w:val="auto"/>
          <w:sz w:val="21"/>
          <w:szCs w:val="21"/>
          <w:highlight w:val="none"/>
        </w:rPr>
        <w:t>致：</w:t>
      </w:r>
      <w:r>
        <w:rPr>
          <w:rFonts w:hint="eastAsia" w:hAnsi="宋体"/>
          <w:color w:val="auto"/>
          <w:sz w:val="21"/>
          <w:szCs w:val="21"/>
          <w:highlight w:val="none"/>
          <w:u w:val="single"/>
          <w:lang w:eastAsia="zh-CN"/>
        </w:rPr>
        <w:t>重庆首讯科技股份有限公司数智系统运维分公司</w:t>
      </w:r>
    </w:p>
    <w:p w14:paraId="266AA975">
      <w:pPr>
        <w:rPr>
          <w:color w:val="auto"/>
          <w:sz w:val="21"/>
          <w:szCs w:val="21"/>
          <w:highlight w:val="none"/>
        </w:rPr>
      </w:pPr>
    </w:p>
    <w:p w14:paraId="0EBFCF95">
      <w:pPr>
        <w:tabs>
          <w:tab w:val="left" w:pos="1680"/>
          <w:tab w:val="left" w:pos="4215"/>
          <w:tab w:val="left" w:pos="4305"/>
          <w:tab w:val="left" w:pos="8000"/>
        </w:tabs>
        <w:autoSpaceDE w:val="0"/>
        <w:autoSpaceDN w:val="0"/>
        <w:adjustRightInd w:val="0"/>
        <w:snapToGrid w:val="0"/>
        <w:spacing w:line="480" w:lineRule="auto"/>
        <w:ind w:firstLine="630" w:firstLineChars="300"/>
        <w:rPr>
          <w:rFonts w:hint="eastAsia" w:ascii="宋体" w:hAnsi="宋体"/>
          <w:color w:val="auto"/>
          <w:sz w:val="21"/>
          <w:szCs w:val="21"/>
          <w:highlight w:val="none"/>
        </w:rPr>
      </w:pPr>
      <w:r>
        <w:rPr>
          <w:rFonts w:hint="eastAsia" w:ascii="宋体" w:hAnsi="宋体"/>
          <w:color w:val="auto"/>
          <w:sz w:val="21"/>
          <w:szCs w:val="21"/>
          <w:highlight w:val="none"/>
        </w:rPr>
        <w:t>在研究</w:t>
      </w:r>
      <w:r>
        <w:rPr>
          <w:rFonts w:hint="eastAsia" w:ascii="Arial" w:hAnsi="Arial" w:cs="Arial"/>
          <w:color w:val="auto"/>
          <w:sz w:val="21"/>
          <w:szCs w:val="21"/>
          <w:highlight w:val="none"/>
          <w:u w:val="single"/>
          <w:lang w:val="en-US" w:eastAsia="zh-CN"/>
        </w:rPr>
        <w:t xml:space="preserve">            （项目名称）</w:t>
      </w:r>
      <w:r>
        <w:rPr>
          <w:rFonts w:hint="eastAsia" w:ascii="Arial" w:hAnsi="Arial" w:cs="Arial"/>
          <w:color w:val="auto"/>
          <w:sz w:val="21"/>
          <w:szCs w:val="21"/>
          <w:highlight w:val="none"/>
        </w:rPr>
        <w:t>项目</w:t>
      </w:r>
      <w:r>
        <w:rPr>
          <w:rFonts w:hint="eastAsia" w:ascii="宋体" w:hAnsi="宋体"/>
          <w:color w:val="auto"/>
          <w:sz w:val="21"/>
          <w:szCs w:val="21"/>
          <w:highlight w:val="none"/>
          <w:lang w:eastAsia="zh-CN"/>
        </w:rPr>
        <w:t>竞争性比选</w:t>
      </w:r>
      <w:r>
        <w:rPr>
          <w:rFonts w:hint="eastAsia" w:ascii="宋体" w:hAnsi="宋体"/>
          <w:color w:val="auto"/>
          <w:sz w:val="21"/>
          <w:szCs w:val="21"/>
          <w:highlight w:val="none"/>
        </w:rPr>
        <w:t>文件后，在此郑重承诺我司满足本项目一切报价内容、报价、</w:t>
      </w:r>
      <w:r>
        <w:rPr>
          <w:rFonts w:hint="eastAsia" w:ascii="宋体" w:hAnsi="宋体"/>
          <w:color w:val="auto"/>
          <w:sz w:val="21"/>
          <w:szCs w:val="21"/>
          <w:highlight w:val="none"/>
          <w:lang w:val="en-US" w:eastAsia="zh-CN"/>
        </w:rPr>
        <w:t>交货时间</w:t>
      </w:r>
      <w:r>
        <w:rPr>
          <w:rFonts w:hint="eastAsia" w:ascii="宋体" w:hAnsi="宋体"/>
          <w:color w:val="auto"/>
          <w:sz w:val="21"/>
          <w:szCs w:val="21"/>
          <w:highlight w:val="none"/>
        </w:rPr>
        <w:t>及质量标准等相关要求，响应比选函的一切内容，同时申明将按照自行给出的商务、技术方案组建服务团队、履行服务义务。若我司中标本项目且无法满足业主相关需求，我司愿承担由此给采购人造成的一切损失。</w:t>
      </w:r>
    </w:p>
    <w:p w14:paraId="4D549BA6">
      <w:pPr>
        <w:keepNext w:val="0"/>
        <w:keepLines w:val="0"/>
        <w:pageBreakBefore w:val="0"/>
        <w:widowControl w:val="0"/>
        <w:tabs>
          <w:tab w:val="left" w:pos="1680"/>
          <w:tab w:val="left" w:pos="4215"/>
          <w:tab w:val="left" w:pos="4305"/>
          <w:tab w:val="left" w:pos="8000"/>
        </w:tabs>
        <w:kinsoku/>
        <w:wordWrap w:val="0"/>
        <w:overflowPunct/>
        <w:topLinePunct w:val="0"/>
        <w:autoSpaceDE w:val="0"/>
        <w:autoSpaceDN w:val="0"/>
        <w:bidi w:val="0"/>
        <w:adjustRightInd w:val="0"/>
        <w:snapToGrid w:val="0"/>
        <w:spacing w:line="480" w:lineRule="auto"/>
        <w:ind w:firstLine="630" w:firstLineChars="3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在此承诺</w:t>
      </w:r>
      <w:r>
        <w:rPr>
          <w:rFonts w:hint="eastAsia" w:ascii="宋体" w:hAnsi="宋体"/>
          <w:color w:val="auto"/>
          <w:sz w:val="21"/>
          <w:szCs w:val="21"/>
          <w:highlight w:val="none"/>
          <w:lang w:eastAsia="zh-CN"/>
        </w:rPr>
        <w:t>：</w:t>
      </w:r>
      <w:r>
        <w:rPr>
          <w:rFonts w:hint="eastAsia" w:ascii="宋体" w:hAnsi="宋体"/>
          <w:color w:val="auto"/>
          <w:sz w:val="21"/>
          <w:szCs w:val="21"/>
          <w:highlight w:val="none"/>
        </w:rPr>
        <w:t>我公司具有良好的商业信誉，在国家企业信用信息公示系统（http://www.gsxt.gov.cn/）中未被列入严重违法失信企业名单（黑名单）信息；在“信用中国”网站（http://www.creditchina.gov.cn/）中未被列入严重失信主体名单。</w:t>
      </w:r>
    </w:p>
    <w:p w14:paraId="49FF48C7">
      <w:pPr>
        <w:pStyle w:val="18"/>
        <w:spacing w:line="480" w:lineRule="auto"/>
        <w:rPr>
          <w:rFonts w:ascii="宋体" w:hAnsi="宋体"/>
          <w:color w:val="auto"/>
          <w:sz w:val="21"/>
          <w:szCs w:val="21"/>
          <w:highlight w:val="none"/>
        </w:rPr>
      </w:pPr>
    </w:p>
    <w:p w14:paraId="2CDB728A">
      <w:pPr>
        <w:tabs>
          <w:tab w:val="left" w:pos="7140"/>
          <w:tab w:val="left" w:pos="7560"/>
          <w:tab w:val="left" w:pos="8300"/>
        </w:tabs>
        <w:autoSpaceDE w:val="0"/>
        <w:autoSpaceDN w:val="0"/>
        <w:adjustRightInd w:val="0"/>
        <w:spacing w:line="360" w:lineRule="auto"/>
        <w:ind w:left="4620" w:leftChars="2200" w:right="210" w:firstLine="277" w:firstLineChars="132"/>
        <w:rPr>
          <w:rFonts w:ascii="宋体" w:hAnsi="宋体"/>
          <w:b w:val="0"/>
          <w:bCs w:val="0"/>
          <w:snapToGrid w:val="0"/>
          <w:color w:val="auto"/>
          <w:kern w:val="0"/>
          <w:szCs w:val="21"/>
          <w:highlight w:val="none"/>
        </w:rPr>
      </w:pPr>
      <w:r>
        <w:rPr>
          <w:rFonts w:hint="eastAsia" w:ascii="宋体" w:hAnsi="宋体"/>
          <w:b w:val="0"/>
          <w:bCs w:val="0"/>
          <w:color w:val="auto"/>
          <w:sz w:val="21"/>
          <w:szCs w:val="21"/>
          <w:highlight w:val="none"/>
        </w:rPr>
        <w:t xml:space="preserve">                                        </w:t>
      </w:r>
      <w:r>
        <w:rPr>
          <w:rFonts w:hint="eastAsia" w:ascii="宋体" w:hAnsi="宋体"/>
          <w:b w:val="0"/>
          <w:bCs w:val="0"/>
          <w:snapToGrid w:val="0"/>
          <w:color w:val="auto"/>
          <w:kern w:val="0"/>
          <w:szCs w:val="21"/>
          <w:highlight w:val="none"/>
          <w:lang w:val="en-US" w:eastAsia="zh-CN"/>
        </w:rPr>
        <w:t>承诺</w:t>
      </w:r>
      <w:r>
        <w:rPr>
          <w:rFonts w:ascii="宋体" w:hAnsi="宋体"/>
          <w:b w:val="0"/>
          <w:bCs w:val="0"/>
          <w:snapToGrid w:val="0"/>
          <w:color w:val="auto"/>
          <w:kern w:val="0"/>
          <w:szCs w:val="21"/>
          <w:highlight w:val="none"/>
        </w:rPr>
        <w:t>人：</w:t>
      </w:r>
      <w:r>
        <w:rPr>
          <w:rFonts w:ascii="宋体" w:hAnsi="宋体"/>
          <w:b w:val="0"/>
          <w:bCs w:val="0"/>
          <w:snapToGrid w:val="0"/>
          <w:color w:val="auto"/>
          <w:kern w:val="0"/>
          <w:szCs w:val="21"/>
          <w:highlight w:val="none"/>
          <w:u w:val="single"/>
        </w:rPr>
        <w:t xml:space="preserve">           </w:t>
      </w:r>
      <w:r>
        <w:rPr>
          <w:rFonts w:hint="eastAsia" w:ascii="宋体" w:hAnsi="宋体"/>
          <w:b w:val="0"/>
          <w:bCs w:val="0"/>
          <w:snapToGrid w:val="0"/>
          <w:color w:val="auto"/>
          <w:kern w:val="0"/>
          <w:szCs w:val="21"/>
          <w:highlight w:val="none"/>
          <w:u w:val="single"/>
        </w:rPr>
        <w:t xml:space="preserve">    </w:t>
      </w:r>
      <w:r>
        <w:rPr>
          <w:rFonts w:ascii="宋体" w:hAnsi="宋体"/>
          <w:b w:val="0"/>
          <w:bCs w:val="0"/>
          <w:snapToGrid w:val="0"/>
          <w:color w:val="auto"/>
          <w:kern w:val="0"/>
          <w:szCs w:val="21"/>
          <w:highlight w:val="none"/>
          <w:u w:val="single"/>
        </w:rPr>
        <w:t xml:space="preserve">  </w:t>
      </w:r>
      <w:r>
        <w:rPr>
          <w:rFonts w:ascii="宋体" w:hAnsi="宋体"/>
          <w:b w:val="0"/>
          <w:bCs w:val="0"/>
          <w:snapToGrid w:val="0"/>
          <w:color w:val="auto"/>
          <w:kern w:val="0"/>
          <w:szCs w:val="21"/>
          <w:highlight w:val="none"/>
        </w:rPr>
        <w:t>（盖单位</w:t>
      </w:r>
      <w:r>
        <w:rPr>
          <w:rFonts w:hint="eastAsia" w:ascii="宋体" w:hAnsi="宋体"/>
          <w:b w:val="0"/>
          <w:bCs w:val="0"/>
          <w:snapToGrid w:val="0"/>
          <w:color w:val="auto"/>
          <w:kern w:val="0"/>
          <w:szCs w:val="21"/>
          <w:highlight w:val="none"/>
          <w:lang w:val="en-US" w:eastAsia="zh-CN"/>
        </w:rPr>
        <w:t>公</w:t>
      </w:r>
      <w:r>
        <w:rPr>
          <w:rFonts w:ascii="宋体" w:hAnsi="宋体"/>
          <w:b w:val="0"/>
          <w:bCs w:val="0"/>
          <w:snapToGrid w:val="0"/>
          <w:color w:val="auto"/>
          <w:kern w:val="0"/>
          <w:szCs w:val="21"/>
          <w:highlight w:val="none"/>
        </w:rPr>
        <w:t xml:space="preserve">章） </w:t>
      </w:r>
    </w:p>
    <w:p w14:paraId="663C60D1">
      <w:pPr>
        <w:pStyle w:val="18"/>
        <w:spacing w:line="480" w:lineRule="auto"/>
        <w:ind w:firstLine="5400" w:firstLineChars="2700"/>
        <w:rPr>
          <w:b w:val="0"/>
          <w:bCs w:val="0"/>
          <w:color w:val="auto"/>
          <w:highlight w:val="none"/>
        </w:rPr>
      </w:pPr>
      <w:r>
        <w:rPr>
          <w:rFonts w:hint="eastAsia"/>
          <w:b w:val="0"/>
          <w:bCs w:val="0"/>
          <w:color w:val="auto"/>
          <w:highlight w:val="none"/>
          <w:lang w:val="en-US" w:eastAsia="zh-CN"/>
        </w:rPr>
        <w:t>日期：</w:t>
      </w:r>
      <w:r>
        <w:rPr>
          <w:rFonts w:hint="eastAsia"/>
          <w:b w:val="0"/>
          <w:bCs w:val="0"/>
          <w:color w:val="auto"/>
          <w:highlight w:val="none"/>
          <w:u w:val="single"/>
          <w:lang w:val="en-US" w:eastAsia="zh-CN"/>
        </w:rPr>
        <w:t xml:space="preserve">    </w:t>
      </w:r>
      <w:r>
        <w:rPr>
          <w:rFonts w:hint="eastAsia"/>
          <w:b w:val="0"/>
          <w:bCs w:val="0"/>
          <w:color w:val="auto"/>
          <w:highlight w:val="none"/>
          <w:u w:val="none"/>
          <w:lang w:val="en-US" w:eastAsia="zh-CN"/>
        </w:rPr>
        <w:t>年</w:t>
      </w:r>
      <w:r>
        <w:rPr>
          <w:rFonts w:hint="eastAsia"/>
          <w:b w:val="0"/>
          <w:bCs w:val="0"/>
          <w:color w:val="auto"/>
          <w:highlight w:val="none"/>
          <w:u w:val="single"/>
          <w:lang w:val="en-US" w:eastAsia="zh-CN"/>
        </w:rPr>
        <w:t xml:space="preserve">   </w:t>
      </w:r>
      <w:r>
        <w:rPr>
          <w:rFonts w:hint="eastAsia"/>
          <w:b w:val="0"/>
          <w:bCs w:val="0"/>
          <w:color w:val="auto"/>
          <w:highlight w:val="none"/>
          <w:u w:val="none"/>
          <w:lang w:val="en-US" w:eastAsia="zh-CN"/>
        </w:rPr>
        <w:t>月</w:t>
      </w:r>
      <w:r>
        <w:rPr>
          <w:rFonts w:hint="eastAsia"/>
          <w:b w:val="0"/>
          <w:bCs w:val="0"/>
          <w:color w:val="auto"/>
          <w:highlight w:val="none"/>
          <w:u w:val="single"/>
          <w:lang w:val="en-US" w:eastAsia="zh-CN"/>
        </w:rPr>
        <w:t xml:space="preserve">   </w:t>
      </w:r>
      <w:r>
        <w:rPr>
          <w:rFonts w:hint="eastAsia"/>
          <w:b w:val="0"/>
          <w:bCs w:val="0"/>
          <w:color w:val="auto"/>
          <w:highlight w:val="none"/>
          <w:u w:val="none"/>
          <w:lang w:val="en-US" w:eastAsia="zh-CN"/>
        </w:rPr>
        <w:t>日</w:t>
      </w:r>
    </w:p>
    <w:p w14:paraId="602ECDC6">
      <w:pPr>
        <w:pStyle w:val="18"/>
        <w:spacing w:line="480" w:lineRule="auto"/>
        <w:rPr>
          <w:rFonts w:hint="eastAsia" w:eastAsia="宋体"/>
          <w:b/>
          <w:bCs/>
          <w:color w:val="auto"/>
          <w:highlight w:val="none"/>
          <w:lang w:val="en-US" w:eastAsia="zh-CN"/>
        </w:rPr>
      </w:pPr>
      <w:r>
        <w:rPr>
          <w:rFonts w:hint="eastAsia"/>
          <w:b/>
          <w:bCs/>
          <w:color w:val="auto"/>
          <w:highlight w:val="none"/>
          <w:lang w:val="en-US" w:eastAsia="zh-CN"/>
        </w:rPr>
        <w:t xml:space="preserve"> </w:t>
      </w:r>
    </w:p>
    <w:p w14:paraId="016446C5">
      <w:pPr>
        <w:pStyle w:val="18"/>
        <w:rPr>
          <w:rFonts w:ascii="宋体" w:hAnsi="宋体"/>
          <w:color w:val="auto"/>
          <w:sz w:val="24"/>
          <w:highlight w:val="none"/>
        </w:rPr>
      </w:pPr>
    </w:p>
    <w:p w14:paraId="352C9319">
      <w:pPr>
        <w:rPr>
          <w:rFonts w:ascii="宋体" w:hAnsi="宋体"/>
          <w:color w:val="auto"/>
          <w:sz w:val="24"/>
          <w:highlight w:val="none"/>
        </w:rPr>
      </w:pPr>
    </w:p>
    <w:p w14:paraId="1F36DA7F">
      <w:pPr>
        <w:rPr>
          <w:color w:val="auto"/>
          <w:highlight w:val="none"/>
        </w:rPr>
      </w:pPr>
      <w:r>
        <w:rPr>
          <w:color w:val="auto"/>
          <w:highlight w:val="none"/>
        </w:rPr>
        <w:br w:type="page"/>
      </w:r>
    </w:p>
    <w:p w14:paraId="5D20845D">
      <w:pPr>
        <w:pStyle w:val="3"/>
        <w:numPr>
          <w:ilvl w:val="0"/>
          <w:numId w:val="4"/>
        </w:numPr>
        <w:spacing w:before="0" w:after="0" w:line="360" w:lineRule="auto"/>
        <w:jc w:val="center"/>
        <w:rPr>
          <w:rFonts w:ascii="宋体" w:hAnsi="宋体" w:eastAsia="宋体" w:cs="宋体"/>
          <w:color w:val="auto"/>
          <w:sz w:val="28"/>
          <w:highlight w:val="none"/>
        </w:rPr>
      </w:pPr>
      <w:bookmarkStart w:id="51" w:name="_Toc22969"/>
      <w:r>
        <w:rPr>
          <w:rFonts w:hint="eastAsia" w:ascii="宋体" w:hAnsi="宋体" w:eastAsia="宋体" w:cs="宋体"/>
          <w:color w:val="auto"/>
          <w:sz w:val="28"/>
          <w:highlight w:val="none"/>
        </w:rPr>
        <w:t>报价人提供的其他资料</w:t>
      </w:r>
      <w:bookmarkEnd w:id="51"/>
    </w:p>
    <w:p w14:paraId="0077607C">
      <w:pPr>
        <w:pStyle w:val="4"/>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20E04E70">
      <w:pPr>
        <w:pStyle w:val="27"/>
        <w:rPr>
          <w:color w:val="auto"/>
          <w:highlight w:val="none"/>
        </w:rPr>
      </w:pPr>
    </w:p>
    <w:tbl>
      <w:tblPr>
        <w:tblStyle w:val="44"/>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6FEF0B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0502EA7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1C1788B3">
            <w:pPr>
              <w:topLinePunct/>
              <w:spacing w:line="440" w:lineRule="exact"/>
              <w:jc w:val="center"/>
              <w:rPr>
                <w:rFonts w:ascii="宋体" w:hAnsi="宋体" w:cs="宋体"/>
                <w:color w:val="auto"/>
                <w:szCs w:val="21"/>
                <w:highlight w:val="none"/>
              </w:rPr>
            </w:pPr>
          </w:p>
        </w:tc>
      </w:tr>
      <w:tr w14:paraId="6CC238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3D849637">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14:paraId="310BA19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D47223A">
            <w:pPr>
              <w:topLinePunct/>
              <w:spacing w:line="440" w:lineRule="exact"/>
              <w:jc w:val="center"/>
              <w:rPr>
                <w:rFonts w:ascii="宋体" w:hAnsi="宋体" w:cs="宋体"/>
                <w:color w:val="auto"/>
                <w:szCs w:val="21"/>
                <w:highlight w:val="none"/>
              </w:rPr>
            </w:pPr>
          </w:p>
        </w:tc>
      </w:tr>
      <w:tr w14:paraId="066E9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0A4800D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3BCB88A4">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F40BD5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0649FEC">
            <w:pPr>
              <w:topLinePunct/>
              <w:spacing w:line="440" w:lineRule="exact"/>
              <w:jc w:val="center"/>
              <w:rPr>
                <w:rFonts w:ascii="宋体" w:hAnsi="宋体" w:cs="宋体"/>
                <w:color w:val="auto"/>
                <w:szCs w:val="21"/>
                <w:highlight w:val="none"/>
              </w:rPr>
            </w:pPr>
          </w:p>
        </w:tc>
      </w:tr>
      <w:tr w14:paraId="02C3A0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1417461">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719E336F">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2E85855B">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2DAF3B5">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029A534">
            <w:pPr>
              <w:topLinePunct/>
              <w:spacing w:line="440" w:lineRule="exact"/>
              <w:jc w:val="center"/>
              <w:rPr>
                <w:rFonts w:ascii="宋体" w:hAnsi="宋体" w:cs="宋体"/>
                <w:color w:val="auto"/>
                <w:szCs w:val="21"/>
                <w:highlight w:val="none"/>
              </w:rPr>
            </w:pPr>
          </w:p>
        </w:tc>
      </w:tr>
      <w:tr w14:paraId="17E416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730D4D8F">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79FE0D3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53B0E073">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DE276A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28406606">
            <w:pPr>
              <w:topLinePunct/>
              <w:spacing w:line="440" w:lineRule="exact"/>
              <w:jc w:val="center"/>
              <w:rPr>
                <w:rFonts w:ascii="宋体" w:hAnsi="宋体" w:cs="宋体"/>
                <w:color w:val="auto"/>
                <w:szCs w:val="21"/>
                <w:highlight w:val="none"/>
              </w:rPr>
            </w:pPr>
          </w:p>
        </w:tc>
      </w:tr>
      <w:tr w14:paraId="3C6513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2462FE5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5BA1382F">
            <w:pPr>
              <w:topLinePunct/>
              <w:spacing w:line="440" w:lineRule="exact"/>
              <w:jc w:val="center"/>
              <w:rPr>
                <w:rFonts w:ascii="宋体" w:hAnsi="宋体" w:cs="宋体"/>
                <w:color w:val="auto"/>
                <w:szCs w:val="21"/>
                <w:highlight w:val="none"/>
              </w:rPr>
            </w:pPr>
          </w:p>
        </w:tc>
      </w:tr>
      <w:tr w14:paraId="2D37D0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669DE86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63E1B51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0A682769">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0831717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783C2A20">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2D3EEF5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4D383A37">
            <w:pPr>
              <w:topLinePunct/>
              <w:spacing w:line="440" w:lineRule="exact"/>
              <w:jc w:val="center"/>
              <w:rPr>
                <w:rFonts w:ascii="宋体" w:hAnsi="宋体" w:cs="宋体"/>
                <w:color w:val="auto"/>
                <w:szCs w:val="21"/>
                <w:highlight w:val="none"/>
              </w:rPr>
            </w:pPr>
          </w:p>
        </w:tc>
      </w:tr>
      <w:tr w14:paraId="3C903A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4DA047E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52152A32">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02BC34D8">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00DF84E9">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778D39B5">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00AA5A9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2C967816">
            <w:pPr>
              <w:topLinePunct/>
              <w:spacing w:line="440" w:lineRule="exact"/>
              <w:jc w:val="center"/>
              <w:rPr>
                <w:rFonts w:ascii="宋体" w:hAnsi="宋体" w:cs="宋体"/>
                <w:color w:val="auto"/>
                <w:szCs w:val="21"/>
                <w:highlight w:val="none"/>
              </w:rPr>
            </w:pPr>
          </w:p>
        </w:tc>
      </w:tr>
      <w:tr w14:paraId="62C57C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72E6A6C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3CF7C47">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2F0B99B9">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14:paraId="1EE42B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22CB066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482104C">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1D63E2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2614CEB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0F23AEB">
            <w:pPr>
              <w:topLinePunct/>
              <w:spacing w:line="440" w:lineRule="exact"/>
              <w:jc w:val="center"/>
              <w:rPr>
                <w:rFonts w:ascii="宋体" w:hAnsi="宋体" w:cs="宋体"/>
                <w:color w:val="auto"/>
                <w:szCs w:val="21"/>
                <w:highlight w:val="none"/>
              </w:rPr>
            </w:pPr>
          </w:p>
        </w:tc>
      </w:tr>
      <w:tr w14:paraId="48595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44D1E393">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3AB3D53">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5B9AF3E">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8B24966">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A03C565">
            <w:pPr>
              <w:topLinePunct/>
              <w:spacing w:line="440" w:lineRule="exact"/>
              <w:jc w:val="center"/>
              <w:rPr>
                <w:rFonts w:ascii="宋体" w:hAnsi="宋体" w:cs="宋体"/>
                <w:color w:val="auto"/>
                <w:szCs w:val="21"/>
                <w:highlight w:val="none"/>
              </w:rPr>
            </w:pPr>
          </w:p>
        </w:tc>
      </w:tr>
      <w:tr w14:paraId="05715E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1F9D9081">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92CC47B">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AD69825">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E53B0B3">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956A9C8">
            <w:pPr>
              <w:topLinePunct/>
              <w:spacing w:line="440" w:lineRule="exact"/>
              <w:jc w:val="center"/>
              <w:rPr>
                <w:rFonts w:ascii="宋体" w:hAnsi="宋体" w:cs="宋体"/>
                <w:color w:val="auto"/>
                <w:szCs w:val="21"/>
                <w:highlight w:val="none"/>
              </w:rPr>
            </w:pPr>
          </w:p>
        </w:tc>
      </w:tr>
      <w:tr w14:paraId="12A35B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14B73EA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27449FD">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F000912">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094C4C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84256EF">
            <w:pPr>
              <w:topLinePunct/>
              <w:spacing w:line="440" w:lineRule="exact"/>
              <w:jc w:val="center"/>
              <w:rPr>
                <w:rFonts w:ascii="宋体" w:hAnsi="宋体" w:cs="宋体"/>
                <w:color w:val="auto"/>
                <w:szCs w:val="21"/>
                <w:highlight w:val="none"/>
              </w:rPr>
            </w:pPr>
          </w:p>
        </w:tc>
      </w:tr>
      <w:tr w14:paraId="554B07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4859A84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05509E3">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AA332A2">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B509364">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A4227FE">
            <w:pPr>
              <w:topLinePunct/>
              <w:spacing w:line="440" w:lineRule="exact"/>
              <w:jc w:val="center"/>
              <w:rPr>
                <w:rFonts w:ascii="宋体" w:hAnsi="宋体" w:cs="宋体"/>
                <w:color w:val="auto"/>
                <w:szCs w:val="21"/>
                <w:highlight w:val="none"/>
              </w:rPr>
            </w:pPr>
          </w:p>
        </w:tc>
      </w:tr>
      <w:tr w14:paraId="0FE598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0A935985">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7CBFBD79">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14:paraId="273109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1EED7766">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92176B9">
            <w:pPr>
              <w:topLinePunct/>
              <w:spacing w:line="440" w:lineRule="exact"/>
              <w:jc w:val="center"/>
              <w:rPr>
                <w:rFonts w:ascii="宋体" w:hAnsi="宋体" w:cs="宋体"/>
                <w:color w:val="auto"/>
                <w:szCs w:val="21"/>
                <w:highlight w:val="none"/>
              </w:rPr>
            </w:pPr>
          </w:p>
        </w:tc>
      </w:tr>
    </w:tbl>
    <w:p w14:paraId="159C9C25">
      <w:pPr>
        <w:pStyle w:val="18"/>
        <w:rPr>
          <w:rFonts w:hint="eastAsia" w:ascii="宋体" w:hAnsi="宋体" w:cs="宋体"/>
          <w:color w:val="auto"/>
          <w:sz w:val="28"/>
          <w:highlight w:val="none"/>
          <w:lang w:eastAsia="zh-CN"/>
        </w:rPr>
      </w:pPr>
    </w:p>
    <w:p w14:paraId="18B72919">
      <w:pPr>
        <w:pStyle w:val="18"/>
        <w:rPr>
          <w:rFonts w:hint="eastAsia" w:ascii="宋体" w:hAnsi="宋体" w:cs="宋体"/>
          <w:color w:val="auto"/>
          <w:sz w:val="28"/>
          <w:highlight w:val="none"/>
          <w:lang w:eastAsia="zh-CN"/>
        </w:rPr>
      </w:pPr>
    </w:p>
    <w:p w14:paraId="7C078364">
      <w:pPr>
        <w:pStyle w:val="18"/>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二</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14:paraId="1029207A">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14:paraId="6C022FF8">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14:paraId="28FA7391">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sectPr>
      <w:pgSz w:w="11906" w:h="16838"/>
      <w:pgMar w:top="1440" w:right="1576" w:bottom="1440" w:left="1463" w:header="851" w:footer="992" w:gutter="0"/>
      <w:pgNumType w:fmt="decimal"/>
      <w:cols w:space="0" w:num="1"/>
      <w:titlePg/>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BDD9CBB-F9F3-4CAA-9810-3E7C8675A25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方正楷体_GB2312">
    <w:panose1 w:val="02000000000000000000"/>
    <w:charset w:val="86"/>
    <w:family w:val="auto"/>
    <w:pitch w:val="default"/>
    <w:sig w:usb0="A00002BF" w:usb1="184F6CFA" w:usb2="00000012" w:usb3="00000000" w:csb0="00040001" w:csb1="00000000"/>
    <w:embedRegular r:id="rId2" w:fontKey="{E7B0C05E-9D72-47D3-9D0E-B0CB30D50C43}"/>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altName w:val="Arial"/>
    <w:panose1 w:val="00000500000000000000"/>
    <w:charset w:val="00"/>
    <w:family w:val="auto"/>
    <w:pitch w:val="default"/>
    <w:sig w:usb0="00000000" w:usb1="00000000" w:usb2="00000000" w:usb3="00000000" w:csb0="00000011" w:csb1="00000000"/>
  </w:font>
  <w:font w:name="腾祥童宋体简">
    <w:altName w:val="宋体"/>
    <w:panose1 w:val="01010104010101010101"/>
    <w:charset w:val="86"/>
    <w:family w:val="auto"/>
    <w:pitch w:val="default"/>
    <w:sig w:usb0="00000000" w:usb1="00000000" w:usb2="00000000"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637BF">
    <w:pPr>
      <w:pStyle w:val="27"/>
      <w:jc w:val="center"/>
    </w:pPr>
  </w:p>
  <w:p w14:paraId="32A0F6F4">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37A59">
    <w:pPr>
      <w:pStyle w:val="27"/>
      <w:framePr w:wrap="around" w:vAnchor="text" w:hAnchor="margin" w:xAlign="center" w:y="1"/>
      <w:rPr>
        <w:rStyle w:val="48"/>
      </w:rPr>
    </w:pPr>
    <w:r>
      <w:fldChar w:fldCharType="begin"/>
    </w:r>
    <w:r>
      <w:rPr>
        <w:rStyle w:val="48"/>
      </w:rPr>
      <w:instrText xml:space="preserve">PAGE  </w:instrText>
    </w:r>
    <w:r>
      <w:fldChar w:fldCharType="end"/>
    </w:r>
  </w:p>
  <w:p w14:paraId="6C21D2A8">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29B18">
    <w:pPr>
      <w:pStyle w:val="27"/>
      <w:jc w:val="center"/>
    </w:pPr>
    <w:r>
      <w:fldChar w:fldCharType="begin"/>
    </w:r>
    <w:r>
      <w:instrText xml:space="preserve">PAGE   \* MERGEFORMAT</w:instrText>
    </w:r>
    <w:r>
      <w:fldChar w:fldCharType="separate"/>
    </w:r>
    <w:r>
      <w:rPr>
        <w:lang w:val="zh-CN"/>
      </w:rPr>
      <w:t>79</w:t>
    </w:r>
    <w:r>
      <w:fldChar w:fldCharType="end"/>
    </w:r>
  </w:p>
  <w:p w14:paraId="7A66E7D5">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65575">
    <w:pPr>
      <w:pStyle w:val="2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03EDDA">
                          <w:pPr>
                            <w:pStyle w:val="2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E03EDDA">
                    <w:pPr>
                      <w:pStyle w:val="27"/>
                    </w:pPr>
                    <w:r>
                      <w:fldChar w:fldCharType="begin"/>
                    </w:r>
                    <w:r>
                      <w:instrText xml:space="preserve"> PAGE  \* MERGEFORMAT </w:instrText>
                    </w:r>
                    <w:r>
                      <w:fldChar w:fldCharType="separate"/>
                    </w:r>
                    <w:r>
                      <w:t>2</w:t>
                    </w:r>
                    <w:r>
                      <w:fldChar w:fldCharType="end"/>
                    </w:r>
                  </w:p>
                </w:txbxContent>
              </v:textbox>
            </v:shape>
          </w:pict>
        </mc:Fallback>
      </mc:AlternateContent>
    </w:r>
  </w:p>
  <w:p w14:paraId="654A9A0F">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CF306">
    <w:pPr>
      <w:pStyle w:val="27"/>
      <w:ind w:right="36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0A6C36">
                          <w:pPr>
                            <w:pStyle w:val="2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70A6C36">
                    <w:pPr>
                      <w:pStyle w:val="2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ECC7A">
    <w:pPr>
      <w:pStyle w:val="2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90B38A">
                          <w:pPr>
                            <w:pStyle w:val="2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090B38A">
                    <w:pPr>
                      <w:pStyle w:val="2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9E3CC">
    <w:pPr>
      <w:pStyle w:val="27"/>
      <w:ind w:right="36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BD6EFB">
                          <w:pPr>
                            <w:pStyle w:val="27"/>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7BD6EFB">
                    <w:pPr>
                      <w:pStyle w:val="27"/>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FC931">
    <w:pPr>
      <w:pStyle w:val="27"/>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E738A3">
                          <w:pPr>
                            <w:pStyle w:val="27"/>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7E738A3">
                    <w:pPr>
                      <w:pStyle w:val="27"/>
                    </w:pPr>
                    <w:r>
                      <w:fldChar w:fldCharType="begin"/>
                    </w:r>
                    <w:r>
                      <w:instrText xml:space="preserve"> PAGE  \* MERGEFORMAT </w:instrText>
                    </w:r>
                    <w:r>
                      <w:fldChar w:fldCharType="separate"/>
                    </w:r>
                    <w:r>
                      <w:t>25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767FD">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E614C">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EEEE1"/>
    <w:multiLevelType w:val="singleLevel"/>
    <w:tmpl w:val="C6DEEEE1"/>
    <w:lvl w:ilvl="0" w:tentative="0">
      <w:start w:val="1"/>
      <w:numFmt w:val="chineseCounting"/>
      <w:suff w:val="nothing"/>
      <w:lvlText w:val="%1、"/>
      <w:lvlJc w:val="left"/>
      <w:pPr>
        <w:ind w:left="0" w:firstLine="420"/>
      </w:pPr>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4"/>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3871CE1D"/>
    <w:multiLevelType w:val="singleLevel"/>
    <w:tmpl w:val="3871CE1D"/>
    <w:lvl w:ilvl="0" w:tentative="0">
      <w:start w:val="1"/>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cumentProtection w:enforcement="0"/>
  <w:defaultTabStop w:val="0"/>
  <w:drawingGridVerticalSpacing w:val="16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Mzc0YmY5ZGIxYTRlZTc2ZDIwYzQ2NjFiYWNmOGU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235C"/>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47B0"/>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50A2"/>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6B"/>
    <w:rsid w:val="001661DF"/>
    <w:rsid w:val="00166289"/>
    <w:rsid w:val="00167BC0"/>
    <w:rsid w:val="00170C4F"/>
    <w:rsid w:val="001743B9"/>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A6350"/>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41CB"/>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4802"/>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0C9"/>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9D"/>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0D72"/>
    <w:rsid w:val="004E6A77"/>
    <w:rsid w:val="004F05BD"/>
    <w:rsid w:val="004F5845"/>
    <w:rsid w:val="004F7236"/>
    <w:rsid w:val="005016AD"/>
    <w:rsid w:val="00501C58"/>
    <w:rsid w:val="00502E26"/>
    <w:rsid w:val="00504EDE"/>
    <w:rsid w:val="005118BF"/>
    <w:rsid w:val="005142E6"/>
    <w:rsid w:val="00514C5C"/>
    <w:rsid w:val="00514DF5"/>
    <w:rsid w:val="005216B1"/>
    <w:rsid w:val="005230E8"/>
    <w:rsid w:val="005248B7"/>
    <w:rsid w:val="00524AAD"/>
    <w:rsid w:val="00527DED"/>
    <w:rsid w:val="0053576A"/>
    <w:rsid w:val="0053749E"/>
    <w:rsid w:val="0053783C"/>
    <w:rsid w:val="00540A63"/>
    <w:rsid w:val="00541EAD"/>
    <w:rsid w:val="00543B84"/>
    <w:rsid w:val="00547A20"/>
    <w:rsid w:val="00551444"/>
    <w:rsid w:val="005516BA"/>
    <w:rsid w:val="00554CE3"/>
    <w:rsid w:val="005638B5"/>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427D"/>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1725"/>
    <w:rsid w:val="0065343F"/>
    <w:rsid w:val="00662461"/>
    <w:rsid w:val="00663AC4"/>
    <w:rsid w:val="00663C2A"/>
    <w:rsid w:val="00664ABD"/>
    <w:rsid w:val="00670D51"/>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35FD"/>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B75"/>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5DBE"/>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35E3"/>
    <w:rsid w:val="0094715F"/>
    <w:rsid w:val="009514A5"/>
    <w:rsid w:val="00951F63"/>
    <w:rsid w:val="00953549"/>
    <w:rsid w:val="00954247"/>
    <w:rsid w:val="009564C7"/>
    <w:rsid w:val="00956F8D"/>
    <w:rsid w:val="009572C8"/>
    <w:rsid w:val="00962870"/>
    <w:rsid w:val="00962ACC"/>
    <w:rsid w:val="00964B02"/>
    <w:rsid w:val="0096531D"/>
    <w:rsid w:val="009661C5"/>
    <w:rsid w:val="00972900"/>
    <w:rsid w:val="00972B04"/>
    <w:rsid w:val="00972BE1"/>
    <w:rsid w:val="00974712"/>
    <w:rsid w:val="00974ED2"/>
    <w:rsid w:val="009756CC"/>
    <w:rsid w:val="00984865"/>
    <w:rsid w:val="00987F58"/>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2ED"/>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3CB4"/>
    <w:rsid w:val="00BF6FA8"/>
    <w:rsid w:val="00BF76B0"/>
    <w:rsid w:val="00C0271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05D1"/>
    <w:rsid w:val="00C624A2"/>
    <w:rsid w:val="00C65656"/>
    <w:rsid w:val="00C66A53"/>
    <w:rsid w:val="00C66FB7"/>
    <w:rsid w:val="00C76490"/>
    <w:rsid w:val="00C848C9"/>
    <w:rsid w:val="00C8655B"/>
    <w:rsid w:val="00C91CDE"/>
    <w:rsid w:val="00C91F22"/>
    <w:rsid w:val="00C92C81"/>
    <w:rsid w:val="00C943E9"/>
    <w:rsid w:val="00C9715E"/>
    <w:rsid w:val="00CA01B6"/>
    <w:rsid w:val="00CA2781"/>
    <w:rsid w:val="00CA398D"/>
    <w:rsid w:val="00CA45CB"/>
    <w:rsid w:val="00CA6808"/>
    <w:rsid w:val="00CA7567"/>
    <w:rsid w:val="00CB3A28"/>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537A"/>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F0D79"/>
    <w:rsid w:val="00DF1985"/>
    <w:rsid w:val="00DF4CFA"/>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47DBF"/>
    <w:rsid w:val="00E516C7"/>
    <w:rsid w:val="00E52FD0"/>
    <w:rsid w:val="00E53668"/>
    <w:rsid w:val="00E562C9"/>
    <w:rsid w:val="00E57CE7"/>
    <w:rsid w:val="00E64D73"/>
    <w:rsid w:val="00E65B2B"/>
    <w:rsid w:val="00E73F6E"/>
    <w:rsid w:val="00E82559"/>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6AEA"/>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0101"/>
    <w:rsid w:val="00F425FC"/>
    <w:rsid w:val="00F43948"/>
    <w:rsid w:val="00F4432F"/>
    <w:rsid w:val="00F47A3D"/>
    <w:rsid w:val="00F47D02"/>
    <w:rsid w:val="00F518DB"/>
    <w:rsid w:val="00F53D6E"/>
    <w:rsid w:val="00F5528C"/>
    <w:rsid w:val="00F55898"/>
    <w:rsid w:val="00F55EB1"/>
    <w:rsid w:val="00F56076"/>
    <w:rsid w:val="00F620DD"/>
    <w:rsid w:val="00F6265D"/>
    <w:rsid w:val="00F646A2"/>
    <w:rsid w:val="00F65BF5"/>
    <w:rsid w:val="00F66766"/>
    <w:rsid w:val="00F70302"/>
    <w:rsid w:val="00F72A20"/>
    <w:rsid w:val="00F72AAD"/>
    <w:rsid w:val="00F72FBB"/>
    <w:rsid w:val="00F73BC2"/>
    <w:rsid w:val="00F73F3B"/>
    <w:rsid w:val="00F74775"/>
    <w:rsid w:val="00F75143"/>
    <w:rsid w:val="00F807D7"/>
    <w:rsid w:val="00F8218B"/>
    <w:rsid w:val="00F821AD"/>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1C626C"/>
    <w:rsid w:val="015D18DC"/>
    <w:rsid w:val="01852BD3"/>
    <w:rsid w:val="018A6C3C"/>
    <w:rsid w:val="01A8609A"/>
    <w:rsid w:val="01F5332B"/>
    <w:rsid w:val="02155A13"/>
    <w:rsid w:val="02195A53"/>
    <w:rsid w:val="02387DE2"/>
    <w:rsid w:val="02613833"/>
    <w:rsid w:val="029D41FE"/>
    <w:rsid w:val="02A800C5"/>
    <w:rsid w:val="02C6499B"/>
    <w:rsid w:val="02C91CAA"/>
    <w:rsid w:val="031B3B46"/>
    <w:rsid w:val="03410496"/>
    <w:rsid w:val="037D0CD2"/>
    <w:rsid w:val="038B3366"/>
    <w:rsid w:val="03981B5E"/>
    <w:rsid w:val="03996EAD"/>
    <w:rsid w:val="03A55655"/>
    <w:rsid w:val="03B501AB"/>
    <w:rsid w:val="03DF4FA7"/>
    <w:rsid w:val="03F60BFA"/>
    <w:rsid w:val="03FD32CF"/>
    <w:rsid w:val="04023CC8"/>
    <w:rsid w:val="04074EC0"/>
    <w:rsid w:val="042674F4"/>
    <w:rsid w:val="042C4A18"/>
    <w:rsid w:val="042D3C13"/>
    <w:rsid w:val="04722D72"/>
    <w:rsid w:val="047A0BBC"/>
    <w:rsid w:val="04C12ED8"/>
    <w:rsid w:val="04DC5749"/>
    <w:rsid w:val="04E20559"/>
    <w:rsid w:val="04E26FED"/>
    <w:rsid w:val="04E41F94"/>
    <w:rsid w:val="04FD6633"/>
    <w:rsid w:val="052E2B3B"/>
    <w:rsid w:val="054416D2"/>
    <w:rsid w:val="05507F0F"/>
    <w:rsid w:val="05871A0A"/>
    <w:rsid w:val="05A42E7B"/>
    <w:rsid w:val="05A70EA9"/>
    <w:rsid w:val="05AD317E"/>
    <w:rsid w:val="05D55D36"/>
    <w:rsid w:val="05F15F19"/>
    <w:rsid w:val="060C2525"/>
    <w:rsid w:val="062756FD"/>
    <w:rsid w:val="062B138D"/>
    <w:rsid w:val="06506CFD"/>
    <w:rsid w:val="065F7A31"/>
    <w:rsid w:val="067B1C86"/>
    <w:rsid w:val="067C53E7"/>
    <w:rsid w:val="06820F5E"/>
    <w:rsid w:val="068F02DD"/>
    <w:rsid w:val="06AE2ABA"/>
    <w:rsid w:val="06C75368"/>
    <w:rsid w:val="06C75DF5"/>
    <w:rsid w:val="06D14EBD"/>
    <w:rsid w:val="06DD02BB"/>
    <w:rsid w:val="06E71F51"/>
    <w:rsid w:val="06F965AD"/>
    <w:rsid w:val="07014A23"/>
    <w:rsid w:val="07050666"/>
    <w:rsid w:val="070768E5"/>
    <w:rsid w:val="071C4DB7"/>
    <w:rsid w:val="07362674"/>
    <w:rsid w:val="073B54B2"/>
    <w:rsid w:val="07537EF9"/>
    <w:rsid w:val="07595D1A"/>
    <w:rsid w:val="076A349C"/>
    <w:rsid w:val="07815EE7"/>
    <w:rsid w:val="07954CB4"/>
    <w:rsid w:val="07F62E75"/>
    <w:rsid w:val="0807764D"/>
    <w:rsid w:val="081748AE"/>
    <w:rsid w:val="082D752C"/>
    <w:rsid w:val="08491B20"/>
    <w:rsid w:val="08635851"/>
    <w:rsid w:val="08B62FD9"/>
    <w:rsid w:val="08BE3C78"/>
    <w:rsid w:val="08C2359B"/>
    <w:rsid w:val="08CB4814"/>
    <w:rsid w:val="09041814"/>
    <w:rsid w:val="090B017D"/>
    <w:rsid w:val="092D7BDC"/>
    <w:rsid w:val="09332D2B"/>
    <w:rsid w:val="093E2D64"/>
    <w:rsid w:val="09472203"/>
    <w:rsid w:val="095073FA"/>
    <w:rsid w:val="098B1DA7"/>
    <w:rsid w:val="09907951"/>
    <w:rsid w:val="099F43E4"/>
    <w:rsid w:val="09A31A61"/>
    <w:rsid w:val="09BA7A85"/>
    <w:rsid w:val="09DE1094"/>
    <w:rsid w:val="09E2475B"/>
    <w:rsid w:val="09E4588C"/>
    <w:rsid w:val="0A1E6E37"/>
    <w:rsid w:val="0A2400B4"/>
    <w:rsid w:val="0A3F34B7"/>
    <w:rsid w:val="0A4403A1"/>
    <w:rsid w:val="0A4B11BE"/>
    <w:rsid w:val="0A7B4003"/>
    <w:rsid w:val="0A8E5B8D"/>
    <w:rsid w:val="0AA240FA"/>
    <w:rsid w:val="0AAC0CBB"/>
    <w:rsid w:val="0AD84BD3"/>
    <w:rsid w:val="0AE0030A"/>
    <w:rsid w:val="0AE941D3"/>
    <w:rsid w:val="0B1061C6"/>
    <w:rsid w:val="0B2B08D5"/>
    <w:rsid w:val="0B403483"/>
    <w:rsid w:val="0B78608E"/>
    <w:rsid w:val="0BA35012"/>
    <w:rsid w:val="0BB825ED"/>
    <w:rsid w:val="0BC0647C"/>
    <w:rsid w:val="0BD7624B"/>
    <w:rsid w:val="0BF26817"/>
    <w:rsid w:val="0C22464A"/>
    <w:rsid w:val="0C2B72AE"/>
    <w:rsid w:val="0C5422FA"/>
    <w:rsid w:val="0C623EAC"/>
    <w:rsid w:val="0C946488"/>
    <w:rsid w:val="0C9D2956"/>
    <w:rsid w:val="0CAD24AF"/>
    <w:rsid w:val="0CB27F34"/>
    <w:rsid w:val="0D0D3F93"/>
    <w:rsid w:val="0D12389F"/>
    <w:rsid w:val="0D2820B7"/>
    <w:rsid w:val="0D662EE5"/>
    <w:rsid w:val="0D6FAE02"/>
    <w:rsid w:val="0D860EC5"/>
    <w:rsid w:val="0D9339BE"/>
    <w:rsid w:val="0D9E6A67"/>
    <w:rsid w:val="0D9F0DC4"/>
    <w:rsid w:val="0DC02AA1"/>
    <w:rsid w:val="0DDE695A"/>
    <w:rsid w:val="0DF73A5B"/>
    <w:rsid w:val="0E164CA8"/>
    <w:rsid w:val="0E231949"/>
    <w:rsid w:val="0E2C1011"/>
    <w:rsid w:val="0E2D072E"/>
    <w:rsid w:val="0E3B295D"/>
    <w:rsid w:val="0E47249B"/>
    <w:rsid w:val="0E551882"/>
    <w:rsid w:val="0E5C501B"/>
    <w:rsid w:val="0E65340B"/>
    <w:rsid w:val="0E683859"/>
    <w:rsid w:val="0E7306EC"/>
    <w:rsid w:val="0EB254B2"/>
    <w:rsid w:val="0EB73D57"/>
    <w:rsid w:val="0ED93671"/>
    <w:rsid w:val="0EFB3F5D"/>
    <w:rsid w:val="0F041CC7"/>
    <w:rsid w:val="0F042317"/>
    <w:rsid w:val="0F1209F8"/>
    <w:rsid w:val="0F20161D"/>
    <w:rsid w:val="0F4C19DA"/>
    <w:rsid w:val="0F4C7D05"/>
    <w:rsid w:val="0F4F31AF"/>
    <w:rsid w:val="0F5F17BD"/>
    <w:rsid w:val="0F737586"/>
    <w:rsid w:val="0F837211"/>
    <w:rsid w:val="0F90531D"/>
    <w:rsid w:val="0FAD64B5"/>
    <w:rsid w:val="0FB21FD4"/>
    <w:rsid w:val="0FFF5930"/>
    <w:rsid w:val="101149A7"/>
    <w:rsid w:val="102F2299"/>
    <w:rsid w:val="102F4CE5"/>
    <w:rsid w:val="10646943"/>
    <w:rsid w:val="10933BBD"/>
    <w:rsid w:val="10A265EF"/>
    <w:rsid w:val="10E30B54"/>
    <w:rsid w:val="10EC4A0F"/>
    <w:rsid w:val="11156FC6"/>
    <w:rsid w:val="11485B0D"/>
    <w:rsid w:val="114C7209"/>
    <w:rsid w:val="1154158B"/>
    <w:rsid w:val="117076B2"/>
    <w:rsid w:val="118E19DD"/>
    <w:rsid w:val="119E6579"/>
    <w:rsid w:val="11A8229F"/>
    <w:rsid w:val="11C97D4A"/>
    <w:rsid w:val="11D435DD"/>
    <w:rsid w:val="11DA3C43"/>
    <w:rsid w:val="1220326C"/>
    <w:rsid w:val="123A67B6"/>
    <w:rsid w:val="12474FD6"/>
    <w:rsid w:val="125670E6"/>
    <w:rsid w:val="125C6A25"/>
    <w:rsid w:val="125E1A9C"/>
    <w:rsid w:val="1276289F"/>
    <w:rsid w:val="1288522D"/>
    <w:rsid w:val="129D6A95"/>
    <w:rsid w:val="129F3456"/>
    <w:rsid w:val="12A64158"/>
    <w:rsid w:val="12AF4046"/>
    <w:rsid w:val="12BD1BFF"/>
    <w:rsid w:val="12CE506D"/>
    <w:rsid w:val="12DB509F"/>
    <w:rsid w:val="12F65490"/>
    <w:rsid w:val="12F73D2A"/>
    <w:rsid w:val="12F9698E"/>
    <w:rsid w:val="13112273"/>
    <w:rsid w:val="131C7C5D"/>
    <w:rsid w:val="131D231B"/>
    <w:rsid w:val="13511DF6"/>
    <w:rsid w:val="13677654"/>
    <w:rsid w:val="138B4634"/>
    <w:rsid w:val="138F1214"/>
    <w:rsid w:val="13AC77D8"/>
    <w:rsid w:val="13BF412F"/>
    <w:rsid w:val="13D101C7"/>
    <w:rsid w:val="1400440E"/>
    <w:rsid w:val="142669A3"/>
    <w:rsid w:val="14346F7A"/>
    <w:rsid w:val="143805F9"/>
    <w:rsid w:val="14454D6C"/>
    <w:rsid w:val="144729D8"/>
    <w:rsid w:val="148E78CB"/>
    <w:rsid w:val="149F4D92"/>
    <w:rsid w:val="14A13E6D"/>
    <w:rsid w:val="14AB614D"/>
    <w:rsid w:val="14B96C2B"/>
    <w:rsid w:val="14CC1154"/>
    <w:rsid w:val="14D159F1"/>
    <w:rsid w:val="14D56F59"/>
    <w:rsid w:val="15064E11"/>
    <w:rsid w:val="15282A96"/>
    <w:rsid w:val="15436E45"/>
    <w:rsid w:val="15450840"/>
    <w:rsid w:val="15507C7E"/>
    <w:rsid w:val="15664AEF"/>
    <w:rsid w:val="156A5AB1"/>
    <w:rsid w:val="156F17F4"/>
    <w:rsid w:val="158E23E1"/>
    <w:rsid w:val="159D7EA6"/>
    <w:rsid w:val="159F1BF9"/>
    <w:rsid w:val="15B71B1D"/>
    <w:rsid w:val="15C072C4"/>
    <w:rsid w:val="15C3670A"/>
    <w:rsid w:val="15E63361"/>
    <w:rsid w:val="15ED9D0A"/>
    <w:rsid w:val="160B0227"/>
    <w:rsid w:val="166C7DA6"/>
    <w:rsid w:val="16864176"/>
    <w:rsid w:val="16E04880"/>
    <w:rsid w:val="16F86032"/>
    <w:rsid w:val="17081A7A"/>
    <w:rsid w:val="17292C0C"/>
    <w:rsid w:val="172A02F2"/>
    <w:rsid w:val="174C321D"/>
    <w:rsid w:val="176F50FE"/>
    <w:rsid w:val="17B27317"/>
    <w:rsid w:val="17C640D5"/>
    <w:rsid w:val="17D10049"/>
    <w:rsid w:val="17DD0B49"/>
    <w:rsid w:val="17F1563C"/>
    <w:rsid w:val="17F23C73"/>
    <w:rsid w:val="180F3B80"/>
    <w:rsid w:val="181B1411"/>
    <w:rsid w:val="181C1400"/>
    <w:rsid w:val="18223BBF"/>
    <w:rsid w:val="18406E44"/>
    <w:rsid w:val="18480DBB"/>
    <w:rsid w:val="185C1918"/>
    <w:rsid w:val="185C46BF"/>
    <w:rsid w:val="18602A8A"/>
    <w:rsid w:val="186C25A2"/>
    <w:rsid w:val="186D44B9"/>
    <w:rsid w:val="1880349D"/>
    <w:rsid w:val="18C03C09"/>
    <w:rsid w:val="18D435BC"/>
    <w:rsid w:val="18E261BC"/>
    <w:rsid w:val="18EF6999"/>
    <w:rsid w:val="19193365"/>
    <w:rsid w:val="19261639"/>
    <w:rsid w:val="195D5C0E"/>
    <w:rsid w:val="19B64CC2"/>
    <w:rsid w:val="19BA69A5"/>
    <w:rsid w:val="19DF6D3F"/>
    <w:rsid w:val="19E24459"/>
    <w:rsid w:val="1A305FF4"/>
    <w:rsid w:val="1A3D7EBE"/>
    <w:rsid w:val="1A4353A0"/>
    <w:rsid w:val="1A557489"/>
    <w:rsid w:val="1A761AE6"/>
    <w:rsid w:val="1AB230C8"/>
    <w:rsid w:val="1AF45443"/>
    <w:rsid w:val="1B075A0C"/>
    <w:rsid w:val="1B67066F"/>
    <w:rsid w:val="1B6B1E72"/>
    <w:rsid w:val="1B7229E4"/>
    <w:rsid w:val="1B7A5EC7"/>
    <w:rsid w:val="1B8E5EC0"/>
    <w:rsid w:val="1C930BF0"/>
    <w:rsid w:val="1CA83985"/>
    <w:rsid w:val="1CB33990"/>
    <w:rsid w:val="1CD10BAE"/>
    <w:rsid w:val="1CF6260F"/>
    <w:rsid w:val="1CF83AEA"/>
    <w:rsid w:val="1CF911FC"/>
    <w:rsid w:val="1D6914D5"/>
    <w:rsid w:val="1D7C7A22"/>
    <w:rsid w:val="1D7E09CF"/>
    <w:rsid w:val="1D9E3026"/>
    <w:rsid w:val="1D9F1A69"/>
    <w:rsid w:val="1DBC10EB"/>
    <w:rsid w:val="1DC81497"/>
    <w:rsid w:val="1DD91595"/>
    <w:rsid w:val="1DE41480"/>
    <w:rsid w:val="1E2139B7"/>
    <w:rsid w:val="1E7065BE"/>
    <w:rsid w:val="1E7A14A8"/>
    <w:rsid w:val="1E7F32B0"/>
    <w:rsid w:val="1E873426"/>
    <w:rsid w:val="1EA85BDD"/>
    <w:rsid w:val="1EBA058B"/>
    <w:rsid w:val="1EBB622E"/>
    <w:rsid w:val="1EC34807"/>
    <w:rsid w:val="1EEA13A6"/>
    <w:rsid w:val="1EFE64E9"/>
    <w:rsid w:val="1F0709E5"/>
    <w:rsid w:val="1F0B768A"/>
    <w:rsid w:val="1F3F5213"/>
    <w:rsid w:val="1F6207D0"/>
    <w:rsid w:val="1F7D0570"/>
    <w:rsid w:val="1F9041EC"/>
    <w:rsid w:val="1FA015EC"/>
    <w:rsid w:val="1FE1627D"/>
    <w:rsid w:val="1FEA603B"/>
    <w:rsid w:val="20133D98"/>
    <w:rsid w:val="20226856"/>
    <w:rsid w:val="20293E2F"/>
    <w:rsid w:val="205B743C"/>
    <w:rsid w:val="20686E43"/>
    <w:rsid w:val="206E3E8E"/>
    <w:rsid w:val="207224C8"/>
    <w:rsid w:val="2076639A"/>
    <w:rsid w:val="2093114F"/>
    <w:rsid w:val="2094746D"/>
    <w:rsid w:val="209B57AA"/>
    <w:rsid w:val="20A121FD"/>
    <w:rsid w:val="20C20004"/>
    <w:rsid w:val="20D07CD4"/>
    <w:rsid w:val="20D83D6E"/>
    <w:rsid w:val="20DE5531"/>
    <w:rsid w:val="20E1180E"/>
    <w:rsid w:val="20EA6084"/>
    <w:rsid w:val="20EC135F"/>
    <w:rsid w:val="20F01139"/>
    <w:rsid w:val="20F1461D"/>
    <w:rsid w:val="212B522B"/>
    <w:rsid w:val="21736537"/>
    <w:rsid w:val="217A74D8"/>
    <w:rsid w:val="21977807"/>
    <w:rsid w:val="219A6D4B"/>
    <w:rsid w:val="21C2735E"/>
    <w:rsid w:val="21D71593"/>
    <w:rsid w:val="21E57FA3"/>
    <w:rsid w:val="21FB5A74"/>
    <w:rsid w:val="22034F52"/>
    <w:rsid w:val="226827C0"/>
    <w:rsid w:val="227C6EFF"/>
    <w:rsid w:val="22942795"/>
    <w:rsid w:val="22A10D06"/>
    <w:rsid w:val="22B665A5"/>
    <w:rsid w:val="22B85F08"/>
    <w:rsid w:val="22C925E0"/>
    <w:rsid w:val="22DE7C76"/>
    <w:rsid w:val="22E46F4A"/>
    <w:rsid w:val="22F20159"/>
    <w:rsid w:val="23005537"/>
    <w:rsid w:val="230A3078"/>
    <w:rsid w:val="233C2C53"/>
    <w:rsid w:val="23486890"/>
    <w:rsid w:val="236F1F61"/>
    <w:rsid w:val="23830E80"/>
    <w:rsid w:val="23AB4CDF"/>
    <w:rsid w:val="23B65B66"/>
    <w:rsid w:val="23BA40F1"/>
    <w:rsid w:val="23C37A75"/>
    <w:rsid w:val="241707A9"/>
    <w:rsid w:val="24220F3E"/>
    <w:rsid w:val="2423604B"/>
    <w:rsid w:val="242B0FF0"/>
    <w:rsid w:val="243A3F7E"/>
    <w:rsid w:val="24436391"/>
    <w:rsid w:val="2450121E"/>
    <w:rsid w:val="245726F7"/>
    <w:rsid w:val="2487622C"/>
    <w:rsid w:val="24973094"/>
    <w:rsid w:val="24AD6D9A"/>
    <w:rsid w:val="24D6253B"/>
    <w:rsid w:val="251418FC"/>
    <w:rsid w:val="254C382E"/>
    <w:rsid w:val="25A845B3"/>
    <w:rsid w:val="25E55A4D"/>
    <w:rsid w:val="25EB71B7"/>
    <w:rsid w:val="25FBD1C6"/>
    <w:rsid w:val="260276E7"/>
    <w:rsid w:val="26154215"/>
    <w:rsid w:val="261A0BE6"/>
    <w:rsid w:val="262C6E4F"/>
    <w:rsid w:val="263C7691"/>
    <w:rsid w:val="265E2776"/>
    <w:rsid w:val="26666FDC"/>
    <w:rsid w:val="26AB763C"/>
    <w:rsid w:val="26B267E7"/>
    <w:rsid w:val="26F131DC"/>
    <w:rsid w:val="26F65310"/>
    <w:rsid w:val="27052D05"/>
    <w:rsid w:val="27082804"/>
    <w:rsid w:val="270832AE"/>
    <w:rsid w:val="27357F9F"/>
    <w:rsid w:val="277C00D0"/>
    <w:rsid w:val="27A16DE5"/>
    <w:rsid w:val="27A4553F"/>
    <w:rsid w:val="27C74FFB"/>
    <w:rsid w:val="27D06488"/>
    <w:rsid w:val="27D35135"/>
    <w:rsid w:val="27DFF2BC"/>
    <w:rsid w:val="27EF1935"/>
    <w:rsid w:val="27FB26F7"/>
    <w:rsid w:val="280A1B75"/>
    <w:rsid w:val="283962F8"/>
    <w:rsid w:val="284112C1"/>
    <w:rsid w:val="286A345F"/>
    <w:rsid w:val="287A36F4"/>
    <w:rsid w:val="288458E7"/>
    <w:rsid w:val="28A33A20"/>
    <w:rsid w:val="28A47F17"/>
    <w:rsid w:val="28D7626B"/>
    <w:rsid w:val="290212C1"/>
    <w:rsid w:val="290D5ED8"/>
    <w:rsid w:val="294E0E0E"/>
    <w:rsid w:val="29656DCE"/>
    <w:rsid w:val="29843091"/>
    <w:rsid w:val="298A7A33"/>
    <w:rsid w:val="298B4B23"/>
    <w:rsid w:val="29996185"/>
    <w:rsid w:val="29B71FDB"/>
    <w:rsid w:val="29CF18DD"/>
    <w:rsid w:val="29D65D23"/>
    <w:rsid w:val="29D875FE"/>
    <w:rsid w:val="29F12F35"/>
    <w:rsid w:val="2A0B100E"/>
    <w:rsid w:val="2A194E5D"/>
    <w:rsid w:val="2A21554B"/>
    <w:rsid w:val="2A403DF7"/>
    <w:rsid w:val="2A570A39"/>
    <w:rsid w:val="2A594BC2"/>
    <w:rsid w:val="2A5952FE"/>
    <w:rsid w:val="2A7D60F5"/>
    <w:rsid w:val="2A9F7561"/>
    <w:rsid w:val="2AA90FA0"/>
    <w:rsid w:val="2AB31CE2"/>
    <w:rsid w:val="2AB55266"/>
    <w:rsid w:val="2ACF7D27"/>
    <w:rsid w:val="2ADF564F"/>
    <w:rsid w:val="2AE56CAE"/>
    <w:rsid w:val="2B2250B8"/>
    <w:rsid w:val="2B41036D"/>
    <w:rsid w:val="2B43250A"/>
    <w:rsid w:val="2B487382"/>
    <w:rsid w:val="2B552F60"/>
    <w:rsid w:val="2B634FBD"/>
    <w:rsid w:val="2B69553F"/>
    <w:rsid w:val="2B7841A6"/>
    <w:rsid w:val="2BB367B9"/>
    <w:rsid w:val="2BC1301F"/>
    <w:rsid w:val="2BCFAFDE"/>
    <w:rsid w:val="2C13380B"/>
    <w:rsid w:val="2C184D47"/>
    <w:rsid w:val="2C514425"/>
    <w:rsid w:val="2C796A89"/>
    <w:rsid w:val="2C8361E7"/>
    <w:rsid w:val="2CA90479"/>
    <w:rsid w:val="2CBD3A96"/>
    <w:rsid w:val="2CC74339"/>
    <w:rsid w:val="2CCC23F7"/>
    <w:rsid w:val="2CCE1414"/>
    <w:rsid w:val="2CF93ABF"/>
    <w:rsid w:val="2CFFA9B3"/>
    <w:rsid w:val="2D1E27A3"/>
    <w:rsid w:val="2D27F8A5"/>
    <w:rsid w:val="2D394FF5"/>
    <w:rsid w:val="2D3B1E3A"/>
    <w:rsid w:val="2D6E25C1"/>
    <w:rsid w:val="2D766528"/>
    <w:rsid w:val="2D9F08C2"/>
    <w:rsid w:val="2DBE2231"/>
    <w:rsid w:val="2DCBA548"/>
    <w:rsid w:val="2DDFE05D"/>
    <w:rsid w:val="2DFF25E6"/>
    <w:rsid w:val="2E1D62B6"/>
    <w:rsid w:val="2E6A704D"/>
    <w:rsid w:val="2E8A6255"/>
    <w:rsid w:val="2EC310BD"/>
    <w:rsid w:val="2F0B1048"/>
    <w:rsid w:val="2F141AAA"/>
    <w:rsid w:val="2F5A3D7C"/>
    <w:rsid w:val="2FA16E1D"/>
    <w:rsid w:val="2FCA4353"/>
    <w:rsid w:val="2FE55D75"/>
    <w:rsid w:val="2FE5E77A"/>
    <w:rsid w:val="2FF23F99"/>
    <w:rsid w:val="2FFE6C6F"/>
    <w:rsid w:val="30216CBD"/>
    <w:rsid w:val="30236367"/>
    <w:rsid w:val="30331BC6"/>
    <w:rsid w:val="30367EC5"/>
    <w:rsid w:val="30370D81"/>
    <w:rsid w:val="303E7E03"/>
    <w:rsid w:val="304A182B"/>
    <w:rsid w:val="30700C52"/>
    <w:rsid w:val="30757C00"/>
    <w:rsid w:val="307D5D65"/>
    <w:rsid w:val="30B34CE3"/>
    <w:rsid w:val="30BC78BF"/>
    <w:rsid w:val="30CB1C83"/>
    <w:rsid w:val="30EC0F07"/>
    <w:rsid w:val="30ED2830"/>
    <w:rsid w:val="30F46E09"/>
    <w:rsid w:val="310F4338"/>
    <w:rsid w:val="316B2857"/>
    <w:rsid w:val="31832D29"/>
    <w:rsid w:val="319D5339"/>
    <w:rsid w:val="319F2F47"/>
    <w:rsid w:val="31D20CDE"/>
    <w:rsid w:val="31F37E23"/>
    <w:rsid w:val="31FD0ADA"/>
    <w:rsid w:val="31FE689A"/>
    <w:rsid w:val="32223DC6"/>
    <w:rsid w:val="325A02A1"/>
    <w:rsid w:val="32613717"/>
    <w:rsid w:val="329032EF"/>
    <w:rsid w:val="329970EF"/>
    <w:rsid w:val="32A2020C"/>
    <w:rsid w:val="32B35AAA"/>
    <w:rsid w:val="32C404E8"/>
    <w:rsid w:val="32CB6EDC"/>
    <w:rsid w:val="33135210"/>
    <w:rsid w:val="3326373F"/>
    <w:rsid w:val="332A6DF3"/>
    <w:rsid w:val="334459AC"/>
    <w:rsid w:val="335C05EB"/>
    <w:rsid w:val="336358B7"/>
    <w:rsid w:val="33705A64"/>
    <w:rsid w:val="33A055AF"/>
    <w:rsid w:val="33A51E80"/>
    <w:rsid w:val="33DF33CE"/>
    <w:rsid w:val="33DF8CA6"/>
    <w:rsid w:val="33EB7A8F"/>
    <w:rsid w:val="33EE589E"/>
    <w:rsid w:val="340329A9"/>
    <w:rsid w:val="341D3AAA"/>
    <w:rsid w:val="342645AD"/>
    <w:rsid w:val="342B057B"/>
    <w:rsid w:val="34335C8F"/>
    <w:rsid w:val="34617CD8"/>
    <w:rsid w:val="34753860"/>
    <w:rsid w:val="34A61339"/>
    <w:rsid w:val="34A90696"/>
    <w:rsid w:val="34CC3006"/>
    <w:rsid w:val="34EF38ED"/>
    <w:rsid w:val="34F3793E"/>
    <w:rsid w:val="351F4A39"/>
    <w:rsid w:val="35574E9C"/>
    <w:rsid w:val="35712E34"/>
    <w:rsid w:val="35BE6A29"/>
    <w:rsid w:val="35ED793B"/>
    <w:rsid w:val="35F84740"/>
    <w:rsid w:val="36383125"/>
    <w:rsid w:val="36532455"/>
    <w:rsid w:val="366C082D"/>
    <w:rsid w:val="366E0262"/>
    <w:rsid w:val="368C388A"/>
    <w:rsid w:val="36C90DD1"/>
    <w:rsid w:val="36D21D41"/>
    <w:rsid w:val="37071057"/>
    <w:rsid w:val="370B1B77"/>
    <w:rsid w:val="373C217C"/>
    <w:rsid w:val="374634AB"/>
    <w:rsid w:val="37704489"/>
    <w:rsid w:val="37710026"/>
    <w:rsid w:val="37925427"/>
    <w:rsid w:val="379E0F7A"/>
    <w:rsid w:val="37A55DCC"/>
    <w:rsid w:val="37CA04FF"/>
    <w:rsid w:val="37D30771"/>
    <w:rsid w:val="37DFD518"/>
    <w:rsid w:val="37EC0BB8"/>
    <w:rsid w:val="37FFD3C5"/>
    <w:rsid w:val="383D3495"/>
    <w:rsid w:val="388D6212"/>
    <w:rsid w:val="38995839"/>
    <w:rsid w:val="38C05C05"/>
    <w:rsid w:val="38E54DB7"/>
    <w:rsid w:val="392350DC"/>
    <w:rsid w:val="392D338D"/>
    <w:rsid w:val="392E03A9"/>
    <w:rsid w:val="3941556B"/>
    <w:rsid w:val="394C68A5"/>
    <w:rsid w:val="395C57D0"/>
    <w:rsid w:val="395E479A"/>
    <w:rsid w:val="39675804"/>
    <w:rsid w:val="3979098B"/>
    <w:rsid w:val="397E18D7"/>
    <w:rsid w:val="39A36C2D"/>
    <w:rsid w:val="39AA29B9"/>
    <w:rsid w:val="39B9109D"/>
    <w:rsid w:val="39E71AEC"/>
    <w:rsid w:val="39F41A71"/>
    <w:rsid w:val="39F60058"/>
    <w:rsid w:val="3A0E533A"/>
    <w:rsid w:val="3A104089"/>
    <w:rsid w:val="3A235E66"/>
    <w:rsid w:val="3A8217DE"/>
    <w:rsid w:val="3A822B01"/>
    <w:rsid w:val="3A9F4998"/>
    <w:rsid w:val="3AB8426E"/>
    <w:rsid w:val="3AB98CB2"/>
    <w:rsid w:val="3ACD37E5"/>
    <w:rsid w:val="3ACF765C"/>
    <w:rsid w:val="3AD278CD"/>
    <w:rsid w:val="3AEB344C"/>
    <w:rsid w:val="3AFA4BE5"/>
    <w:rsid w:val="3B2A44B8"/>
    <w:rsid w:val="3B2B6476"/>
    <w:rsid w:val="3B3FAC0B"/>
    <w:rsid w:val="3B7C0FEF"/>
    <w:rsid w:val="3B7F10D5"/>
    <w:rsid w:val="3BBC038E"/>
    <w:rsid w:val="3BFE3F02"/>
    <w:rsid w:val="3C2972FD"/>
    <w:rsid w:val="3C5B4444"/>
    <w:rsid w:val="3C6BD4F9"/>
    <w:rsid w:val="3C791915"/>
    <w:rsid w:val="3C852047"/>
    <w:rsid w:val="3CA13116"/>
    <w:rsid w:val="3CA43BF7"/>
    <w:rsid w:val="3CA925AE"/>
    <w:rsid w:val="3CDAD20C"/>
    <w:rsid w:val="3CDC0B8B"/>
    <w:rsid w:val="3CEB274D"/>
    <w:rsid w:val="3CEE6FC2"/>
    <w:rsid w:val="3CF877AB"/>
    <w:rsid w:val="3D0B5F9E"/>
    <w:rsid w:val="3D306CB2"/>
    <w:rsid w:val="3D32729D"/>
    <w:rsid w:val="3D485E54"/>
    <w:rsid w:val="3D667959"/>
    <w:rsid w:val="3D8230F2"/>
    <w:rsid w:val="3D886E2C"/>
    <w:rsid w:val="3DAA5519"/>
    <w:rsid w:val="3DC413E8"/>
    <w:rsid w:val="3DCA34BB"/>
    <w:rsid w:val="3DD83D60"/>
    <w:rsid w:val="3DDF6E72"/>
    <w:rsid w:val="3E044CAE"/>
    <w:rsid w:val="3E0B01E0"/>
    <w:rsid w:val="3E12201C"/>
    <w:rsid w:val="3E1E1AF9"/>
    <w:rsid w:val="3E427218"/>
    <w:rsid w:val="3E49090A"/>
    <w:rsid w:val="3E7BC2CD"/>
    <w:rsid w:val="3E9D08D7"/>
    <w:rsid w:val="3EA72ABE"/>
    <w:rsid w:val="3EAD4174"/>
    <w:rsid w:val="3EAD7F9C"/>
    <w:rsid w:val="3EB32892"/>
    <w:rsid w:val="3EB58FF9"/>
    <w:rsid w:val="3EBC3336"/>
    <w:rsid w:val="3EBD0429"/>
    <w:rsid w:val="3EC610F2"/>
    <w:rsid w:val="3EDE79C6"/>
    <w:rsid w:val="3EF65530"/>
    <w:rsid w:val="3EF9D3F1"/>
    <w:rsid w:val="3EFF9593"/>
    <w:rsid w:val="3F064AE9"/>
    <w:rsid w:val="3F1E66C4"/>
    <w:rsid w:val="3F3B0C43"/>
    <w:rsid w:val="3F4C62B0"/>
    <w:rsid w:val="3F66523D"/>
    <w:rsid w:val="3F6E4168"/>
    <w:rsid w:val="3F7279F0"/>
    <w:rsid w:val="3F9717D1"/>
    <w:rsid w:val="3F9D7C66"/>
    <w:rsid w:val="3FB2485B"/>
    <w:rsid w:val="3FB689BA"/>
    <w:rsid w:val="3FB7DAC3"/>
    <w:rsid w:val="3FCB940A"/>
    <w:rsid w:val="3FCD00FD"/>
    <w:rsid w:val="3FE32D99"/>
    <w:rsid w:val="3FF7BF3D"/>
    <w:rsid w:val="402A34B8"/>
    <w:rsid w:val="402E040A"/>
    <w:rsid w:val="40360CD1"/>
    <w:rsid w:val="40361D66"/>
    <w:rsid w:val="406060C3"/>
    <w:rsid w:val="40613E30"/>
    <w:rsid w:val="40736573"/>
    <w:rsid w:val="407D7357"/>
    <w:rsid w:val="409B4A07"/>
    <w:rsid w:val="40BF6E39"/>
    <w:rsid w:val="40C25B7F"/>
    <w:rsid w:val="40EA548F"/>
    <w:rsid w:val="40F66678"/>
    <w:rsid w:val="410E1C56"/>
    <w:rsid w:val="4120577A"/>
    <w:rsid w:val="41313EDF"/>
    <w:rsid w:val="416C142E"/>
    <w:rsid w:val="41B66342"/>
    <w:rsid w:val="41E25FEF"/>
    <w:rsid w:val="41F31157"/>
    <w:rsid w:val="41FD121E"/>
    <w:rsid w:val="421A7627"/>
    <w:rsid w:val="4233112B"/>
    <w:rsid w:val="42401E98"/>
    <w:rsid w:val="424E1FFE"/>
    <w:rsid w:val="4267672B"/>
    <w:rsid w:val="42872311"/>
    <w:rsid w:val="428B5762"/>
    <w:rsid w:val="42AD3BBE"/>
    <w:rsid w:val="42D47C2B"/>
    <w:rsid w:val="42DA32B5"/>
    <w:rsid w:val="42FA38B9"/>
    <w:rsid w:val="431B7ED7"/>
    <w:rsid w:val="433543AC"/>
    <w:rsid w:val="43420FE8"/>
    <w:rsid w:val="434513F0"/>
    <w:rsid w:val="434656CF"/>
    <w:rsid w:val="43702851"/>
    <w:rsid w:val="439B5AA0"/>
    <w:rsid w:val="43CA4F48"/>
    <w:rsid w:val="43F9002B"/>
    <w:rsid w:val="4424604A"/>
    <w:rsid w:val="442967DE"/>
    <w:rsid w:val="445014AB"/>
    <w:rsid w:val="44BB5577"/>
    <w:rsid w:val="44CE660D"/>
    <w:rsid w:val="44D750ED"/>
    <w:rsid w:val="44F83F0D"/>
    <w:rsid w:val="4502438F"/>
    <w:rsid w:val="454F0B76"/>
    <w:rsid w:val="45795008"/>
    <w:rsid w:val="4579514B"/>
    <w:rsid w:val="457E2BBE"/>
    <w:rsid w:val="457F72E8"/>
    <w:rsid w:val="45CB0639"/>
    <w:rsid w:val="45D104B5"/>
    <w:rsid w:val="45DB18E9"/>
    <w:rsid w:val="45DE083B"/>
    <w:rsid w:val="45E076C0"/>
    <w:rsid w:val="45E85CE9"/>
    <w:rsid w:val="45F10353"/>
    <w:rsid w:val="45F36067"/>
    <w:rsid w:val="460054E7"/>
    <w:rsid w:val="460C0745"/>
    <w:rsid w:val="463122D8"/>
    <w:rsid w:val="4632053D"/>
    <w:rsid w:val="463D551C"/>
    <w:rsid w:val="46577675"/>
    <w:rsid w:val="4662415A"/>
    <w:rsid w:val="4662498C"/>
    <w:rsid w:val="46A022D9"/>
    <w:rsid w:val="46A9554B"/>
    <w:rsid w:val="46AA7AE9"/>
    <w:rsid w:val="46B21457"/>
    <w:rsid w:val="46BE1A6C"/>
    <w:rsid w:val="46BE6647"/>
    <w:rsid w:val="46C2653A"/>
    <w:rsid w:val="46C96620"/>
    <w:rsid w:val="46CC2B84"/>
    <w:rsid w:val="46EE3897"/>
    <w:rsid w:val="471B3499"/>
    <w:rsid w:val="4730142A"/>
    <w:rsid w:val="477F005D"/>
    <w:rsid w:val="478DCCCB"/>
    <w:rsid w:val="478E4BD2"/>
    <w:rsid w:val="479B6AEC"/>
    <w:rsid w:val="47D45636"/>
    <w:rsid w:val="47DD756D"/>
    <w:rsid w:val="48011C14"/>
    <w:rsid w:val="48037A8A"/>
    <w:rsid w:val="48056FFA"/>
    <w:rsid w:val="48377D23"/>
    <w:rsid w:val="4857124D"/>
    <w:rsid w:val="486634EE"/>
    <w:rsid w:val="48807890"/>
    <w:rsid w:val="488A727E"/>
    <w:rsid w:val="489A5E11"/>
    <w:rsid w:val="48A22238"/>
    <w:rsid w:val="48A64B98"/>
    <w:rsid w:val="48BC156D"/>
    <w:rsid w:val="48F765BE"/>
    <w:rsid w:val="490445F2"/>
    <w:rsid w:val="490935A0"/>
    <w:rsid w:val="49183CD0"/>
    <w:rsid w:val="49291217"/>
    <w:rsid w:val="49320F23"/>
    <w:rsid w:val="49BA0254"/>
    <w:rsid w:val="49DD73AE"/>
    <w:rsid w:val="49DF0293"/>
    <w:rsid w:val="49F0622F"/>
    <w:rsid w:val="49F95BD6"/>
    <w:rsid w:val="49F9FBFF"/>
    <w:rsid w:val="4A8C77D9"/>
    <w:rsid w:val="4AA73240"/>
    <w:rsid w:val="4AB72272"/>
    <w:rsid w:val="4AD703A4"/>
    <w:rsid w:val="4AE14CE5"/>
    <w:rsid w:val="4B275EE9"/>
    <w:rsid w:val="4B305E1B"/>
    <w:rsid w:val="4B3D6070"/>
    <w:rsid w:val="4B4632A9"/>
    <w:rsid w:val="4BB5392D"/>
    <w:rsid w:val="4BB92D8E"/>
    <w:rsid w:val="4BD07B58"/>
    <w:rsid w:val="4BE87BA5"/>
    <w:rsid w:val="4C005116"/>
    <w:rsid w:val="4C3176AB"/>
    <w:rsid w:val="4C415DC1"/>
    <w:rsid w:val="4C51468C"/>
    <w:rsid w:val="4C5C4D3B"/>
    <w:rsid w:val="4C602C81"/>
    <w:rsid w:val="4C6E278E"/>
    <w:rsid w:val="4C6F31F2"/>
    <w:rsid w:val="4C9837DA"/>
    <w:rsid w:val="4CFF538B"/>
    <w:rsid w:val="4D4D7800"/>
    <w:rsid w:val="4D7251FF"/>
    <w:rsid w:val="4DE50C0B"/>
    <w:rsid w:val="4E11105D"/>
    <w:rsid w:val="4E16225A"/>
    <w:rsid w:val="4E180317"/>
    <w:rsid w:val="4E253AB8"/>
    <w:rsid w:val="4E2B1DBF"/>
    <w:rsid w:val="4E472C92"/>
    <w:rsid w:val="4E824D97"/>
    <w:rsid w:val="4E8F13F8"/>
    <w:rsid w:val="4E9D5C2D"/>
    <w:rsid w:val="4EAF2C40"/>
    <w:rsid w:val="4EBA57C1"/>
    <w:rsid w:val="4EBC4E69"/>
    <w:rsid w:val="4ED50A17"/>
    <w:rsid w:val="4EE7C9FA"/>
    <w:rsid w:val="4F047E0A"/>
    <w:rsid w:val="4F07757D"/>
    <w:rsid w:val="4F477F24"/>
    <w:rsid w:val="4F4936D9"/>
    <w:rsid w:val="4F77F7B4"/>
    <w:rsid w:val="4F7E1EA1"/>
    <w:rsid w:val="4F852864"/>
    <w:rsid w:val="4FA91AAC"/>
    <w:rsid w:val="4FBCE6E7"/>
    <w:rsid w:val="4FBD0FF5"/>
    <w:rsid w:val="4FC03919"/>
    <w:rsid w:val="4FC854D7"/>
    <w:rsid w:val="4FF678D5"/>
    <w:rsid w:val="50142DE1"/>
    <w:rsid w:val="5015687B"/>
    <w:rsid w:val="501926CA"/>
    <w:rsid w:val="503109FF"/>
    <w:rsid w:val="505E3D68"/>
    <w:rsid w:val="50D13748"/>
    <w:rsid w:val="50DE772C"/>
    <w:rsid w:val="51241968"/>
    <w:rsid w:val="516A440A"/>
    <w:rsid w:val="51AE55D3"/>
    <w:rsid w:val="51BA5A6F"/>
    <w:rsid w:val="51C42E16"/>
    <w:rsid w:val="51CB5193"/>
    <w:rsid w:val="521115A1"/>
    <w:rsid w:val="52430B2E"/>
    <w:rsid w:val="525351F4"/>
    <w:rsid w:val="525A6FBC"/>
    <w:rsid w:val="52645B25"/>
    <w:rsid w:val="526C0997"/>
    <w:rsid w:val="52855A65"/>
    <w:rsid w:val="52FB60FD"/>
    <w:rsid w:val="53052442"/>
    <w:rsid w:val="53223676"/>
    <w:rsid w:val="5329003E"/>
    <w:rsid w:val="53311AB3"/>
    <w:rsid w:val="53317F44"/>
    <w:rsid w:val="533D33D1"/>
    <w:rsid w:val="534FE554"/>
    <w:rsid w:val="53511F1B"/>
    <w:rsid w:val="53670B33"/>
    <w:rsid w:val="537735FB"/>
    <w:rsid w:val="53775B6A"/>
    <w:rsid w:val="538F5737"/>
    <w:rsid w:val="53C74ACF"/>
    <w:rsid w:val="53D43855"/>
    <w:rsid w:val="53D6214F"/>
    <w:rsid w:val="53EE1101"/>
    <w:rsid w:val="53FB5D72"/>
    <w:rsid w:val="53FC4E8E"/>
    <w:rsid w:val="541717DC"/>
    <w:rsid w:val="54271D5C"/>
    <w:rsid w:val="5474722B"/>
    <w:rsid w:val="547B44BA"/>
    <w:rsid w:val="54976AA9"/>
    <w:rsid w:val="549A3F89"/>
    <w:rsid w:val="54DC2CA5"/>
    <w:rsid w:val="54DE0134"/>
    <w:rsid w:val="553C46BA"/>
    <w:rsid w:val="5545363C"/>
    <w:rsid w:val="55494082"/>
    <w:rsid w:val="556C6DB9"/>
    <w:rsid w:val="557D5B60"/>
    <w:rsid w:val="55834A19"/>
    <w:rsid w:val="558A0CD6"/>
    <w:rsid w:val="55BF466A"/>
    <w:rsid w:val="55DD60F2"/>
    <w:rsid w:val="55F27046"/>
    <w:rsid w:val="55F526C6"/>
    <w:rsid w:val="56066DC9"/>
    <w:rsid w:val="564E1228"/>
    <w:rsid w:val="568B1B00"/>
    <w:rsid w:val="56A6131D"/>
    <w:rsid w:val="56A82B00"/>
    <w:rsid w:val="56BC5AD0"/>
    <w:rsid w:val="56D00C68"/>
    <w:rsid w:val="56EC4AD0"/>
    <w:rsid w:val="56ED7603"/>
    <w:rsid w:val="57022BD1"/>
    <w:rsid w:val="57212B27"/>
    <w:rsid w:val="572809C2"/>
    <w:rsid w:val="57480C4D"/>
    <w:rsid w:val="574C27F3"/>
    <w:rsid w:val="5757095B"/>
    <w:rsid w:val="576F5440"/>
    <w:rsid w:val="577D4872"/>
    <w:rsid w:val="57895A45"/>
    <w:rsid w:val="57980551"/>
    <w:rsid w:val="57BFA81E"/>
    <w:rsid w:val="57C5313B"/>
    <w:rsid w:val="57CF3962"/>
    <w:rsid w:val="57D26AB7"/>
    <w:rsid w:val="57D807D4"/>
    <w:rsid w:val="57EA7969"/>
    <w:rsid w:val="57F740F4"/>
    <w:rsid w:val="57FA3D86"/>
    <w:rsid w:val="58750691"/>
    <w:rsid w:val="58AB575D"/>
    <w:rsid w:val="58B636BF"/>
    <w:rsid w:val="58BC728D"/>
    <w:rsid w:val="58DD0763"/>
    <w:rsid w:val="58DD21D7"/>
    <w:rsid w:val="59445F91"/>
    <w:rsid w:val="5955073B"/>
    <w:rsid w:val="59815208"/>
    <w:rsid w:val="59F001A4"/>
    <w:rsid w:val="5A1E2DE7"/>
    <w:rsid w:val="5A20427A"/>
    <w:rsid w:val="5A395FB6"/>
    <w:rsid w:val="5A400F1C"/>
    <w:rsid w:val="5A436A2D"/>
    <w:rsid w:val="5A740B0D"/>
    <w:rsid w:val="5A771BC4"/>
    <w:rsid w:val="5A7F1DC3"/>
    <w:rsid w:val="5AA179C0"/>
    <w:rsid w:val="5AAF7FEE"/>
    <w:rsid w:val="5ACE2103"/>
    <w:rsid w:val="5ADF1011"/>
    <w:rsid w:val="5AFB2D6E"/>
    <w:rsid w:val="5B0A066E"/>
    <w:rsid w:val="5B123FA7"/>
    <w:rsid w:val="5B4C4290"/>
    <w:rsid w:val="5B5B66DC"/>
    <w:rsid w:val="5B5E18A4"/>
    <w:rsid w:val="5B613C0E"/>
    <w:rsid w:val="5B7C2DC4"/>
    <w:rsid w:val="5B955E96"/>
    <w:rsid w:val="5B9B2E59"/>
    <w:rsid w:val="5B9B3675"/>
    <w:rsid w:val="5BA26571"/>
    <w:rsid w:val="5BA57103"/>
    <w:rsid w:val="5BCA6564"/>
    <w:rsid w:val="5BD66D67"/>
    <w:rsid w:val="5C107D40"/>
    <w:rsid w:val="5C15139A"/>
    <w:rsid w:val="5C1E3775"/>
    <w:rsid w:val="5C381264"/>
    <w:rsid w:val="5C672644"/>
    <w:rsid w:val="5C8132C7"/>
    <w:rsid w:val="5CA23A25"/>
    <w:rsid w:val="5CC26330"/>
    <w:rsid w:val="5CD67F41"/>
    <w:rsid w:val="5CDF760E"/>
    <w:rsid w:val="5CE66541"/>
    <w:rsid w:val="5CF453B2"/>
    <w:rsid w:val="5D017C51"/>
    <w:rsid w:val="5D1B1DC7"/>
    <w:rsid w:val="5D3200B8"/>
    <w:rsid w:val="5D3F5332"/>
    <w:rsid w:val="5D4165A3"/>
    <w:rsid w:val="5D463591"/>
    <w:rsid w:val="5D4F2A78"/>
    <w:rsid w:val="5D4F7B96"/>
    <w:rsid w:val="5D5A0592"/>
    <w:rsid w:val="5D792AE4"/>
    <w:rsid w:val="5D8A630A"/>
    <w:rsid w:val="5D9C1B0D"/>
    <w:rsid w:val="5DAD1ECE"/>
    <w:rsid w:val="5DC25C67"/>
    <w:rsid w:val="5DD97571"/>
    <w:rsid w:val="5DF58FC7"/>
    <w:rsid w:val="5DFD708D"/>
    <w:rsid w:val="5DFF0D27"/>
    <w:rsid w:val="5DFFAD62"/>
    <w:rsid w:val="5E2774DB"/>
    <w:rsid w:val="5E2F58D3"/>
    <w:rsid w:val="5E52091B"/>
    <w:rsid w:val="5E5A06FD"/>
    <w:rsid w:val="5E9342EC"/>
    <w:rsid w:val="5E9E498A"/>
    <w:rsid w:val="5EA27CF7"/>
    <w:rsid w:val="5EA61486"/>
    <w:rsid w:val="5EB62B27"/>
    <w:rsid w:val="5EBC3C1E"/>
    <w:rsid w:val="5ED70279"/>
    <w:rsid w:val="5EDFC910"/>
    <w:rsid w:val="5EEB4040"/>
    <w:rsid w:val="5EF77A7E"/>
    <w:rsid w:val="5F2E00CC"/>
    <w:rsid w:val="5F3815EE"/>
    <w:rsid w:val="5F430A91"/>
    <w:rsid w:val="5F5C32D6"/>
    <w:rsid w:val="5F7649FB"/>
    <w:rsid w:val="5F82661B"/>
    <w:rsid w:val="5F970771"/>
    <w:rsid w:val="5F9C10A2"/>
    <w:rsid w:val="5FA71BE3"/>
    <w:rsid w:val="5FA92D9F"/>
    <w:rsid w:val="5FAC2DE4"/>
    <w:rsid w:val="5FB10E83"/>
    <w:rsid w:val="5FBC4CCB"/>
    <w:rsid w:val="5FC73231"/>
    <w:rsid w:val="5FD70630"/>
    <w:rsid w:val="5FD79839"/>
    <w:rsid w:val="5FD914CE"/>
    <w:rsid w:val="5FF35908"/>
    <w:rsid w:val="5FF563F9"/>
    <w:rsid w:val="5FF75406"/>
    <w:rsid w:val="5FFF1A4A"/>
    <w:rsid w:val="600E788A"/>
    <w:rsid w:val="600F3699"/>
    <w:rsid w:val="6011673F"/>
    <w:rsid w:val="604130CF"/>
    <w:rsid w:val="60663C94"/>
    <w:rsid w:val="606865F6"/>
    <w:rsid w:val="606F2819"/>
    <w:rsid w:val="60794FD4"/>
    <w:rsid w:val="60814FEF"/>
    <w:rsid w:val="60AE4E89"/>
    <w:rsid w:val="60D32F5A"/>
    <w:rsid w:val="610E2B4C"/>
    <w:rsid w:val="610F359A"/>
    <w:rsid w:val="613E4136"/>
    <w:rsid w:val="614D10D2"/>
    <w:rsid w:val="61807ABD"/>
    <w:rsid w:val="61846CDE"/>
    <w:rsid w:val="619945D7"/>
    <w:rsid w:val="61C24BFD"/>
    <w:rsid w:val="61DE43D4"/>
    <w:rsid w:val="61E06967"/>
    <w:rsid w:val="61ED083B"/>
    <w:rsid w:val="624216A0"/>
    <w:rsid w:val="626343A0"/>
    <w:rsid w:val="626736F9"/>
    <w:rsid w:val="626B4082"/>
    <w:rsid w:val="626B6B00"/>
    <w:rsid w:val="628E1BE9"/>
    <w:rsid w:val="62D06FF9"/>
    <w:rsid w:val="62D765EB"/>
    <w:rsid w:val="62FE43C4"/>
    <w:rsid w:val="63021D83"/>
    <w:rsid w:val="6321195C"/>
    <w:rsid w:val="636B22CC"/>
    <w:rsid w:val="636C198B"/>
    <w:rsid w:val="639A2C09"/>
    <w:rsid w:val="63B65AC7"/>
    <w:rsid w:val="63CF5573"/>
    <w:rsid w:val="63D7428B"/>
    <w:rsid w:val="640C4C0D"/>
    <w:rsid w:val="643B5584"/>
    <w:rsid w:val="644F1EBF"/>
    <w:rsid w:val="645830D7"/>
    <w:rsid w:val="64675414"/>
    <w:rsid w:val="647258C3"/>
    <w:rsid w:val="64AA2E73"/>
    <w:rsid w:val="64B8434A"/>
    <w:rsid w:val="64C5008F"/>
    <w:rsid w:val="64D836A1"/>
    <w:rsid w:val="64E8446E"/>
    <w:rsid w:val="65376B47"/>
    <w:rsid w:val="654042F5"/>
    <w:rsid w:val="65537C34"/>
    <w:rsid w:val="65D200F0"/>
    <w:rsid w:val="65ED34AD"/>
    <w:rsid w:val="65F66C79"/>
    <w:rsid w:val="660447CA"/>
    <w:rsid w:val="665622BC"/>
    <w:rsid w:val="665820C8"/>
    <w:rsid w:val="665E5B82"/>
    <w:rsid w:val="6660772E"/>
    <w:rsid w:val="66653739"/>
    <w:rsid w:val="666C4EE6"/>
    <w:rsid w:val="66792487"/>
    <w:rsid w:val="66A178F0"/>
    <w:rsid w:val="66FB0FDC"/>
    <w:rsid w:val="66FC5AFF"/>
    <w:rsid w:val="6709462E"/>
    <w:rsid w:val="673B0A69"/>
    <w:rsid w:val="676C6322"/>
    <w:rsid w:val="6777196F"/>
    <w:rsid w:val="678A1ED0"/>
    <w:rsid w:val="67A744FC"/>
    <w:rsid w:val="67AB61F8"/>
    <w:rsid w:val="67AFA11C"/>
    <w:rsid w:val="67BA7741"/>
    <w:rsid w:val="67BF2C5D"/>
    <w:rsid w:val="67E6170C"/>
    <w:rsid w:val="67FBA179"/>
    <w:rsid w:val="67FF84E2"/>
    <w:rsid w:val="680D0CA5"/>
    <w:rsid w:val="687B6403"/>
    <w:rsid w:val="68916D9B"/>
    <w:rsid w:val="68A45648"/>
    <w:rsid w:val="68A563FE"/>
    <w:rsid w:val="68A5668C"/>
    <w:rsid w:val="68D27297"/>
    <w:rsid w:val="6911241F"/>
    <w:rsid w:val="691E001F"/>
    <w:rsid w:val="694D3FA6"/>
    <w:rsid w:val="69A44104"/>
    <w:rsid w:val="69B67115"/>
    <w:rsid w:val="69B82DF4"/>
    <w:rsid w:val="69C11329"/>
    <w:rsid w:val="69DF55BE"/>
    <w:rsid w:val="69EF53B4"/>
    <w:rsid w:val="69FB365C"/>
    <w:rsid w:val="6A126DD2"/>
    <w:rsid w:val="6A231730"/>
    <w:rsid w:val="6A420E56"/>
    <w:rsid w:val="6A7A4AD5"/>
    <w:rsid w:val="6A924E32"/>
    <w:rsid w:val="6A94008C"/>
    <w:rsid w:val="6AA4465D"/>
    <w:rsid w:val="6AB57189"/>
    <w:rsid w:val="6AC00C9E"/>
    <w:rsid w:val="6AC635A8"/>
    <w:rsid w:val="6AE60947"/>
    <w:rsid w:val="6AEF6EB8"/>
    <w:rsid w:val="6B0B374F"/>
    <w:rsid w:val="6B0E6D92"/>
    <w:rsid w:val="6B17074E"/>
    <w:rsid w:val="6B1F0CCB"/>
    <w:rsid w:val="6B2751C5"/>
    <w:rsid w:val="6B3259F5"/>
    <w:rsid w:val="6B3A9615"/>
    <w:rsid w:val="6B5363CE"/>
    <w:rsid w:val="6B6234E5"/>
    <w:rsid w:val="6B972A2D"/>
    <w:rsid w:val="6BBD11F5"/>
    <w:rsid w:val="6BBD6D91"/>
    <w:rsid w:val="6BCE1834"/>
    <w:rsid w:val="6BD03987"/>
    <w:rsid w:val="6BD12800"/>
    <w:rsid w:val="6BE17EE8"/>
    <w:rsid w:val="6BFA2F04"/>
    <w:rsid w:val="6C005CE7"/>
    <w:rsid w:val="6C022DB1"/>
    <w:rsid w:val="6C030E4B"/>
    <w:rsid w:val="6C1164D9"/>
    <w:rsid w:val="6C200D51"/>
    <w:rsid w:val="6C2D3C14"/>
    <w:rsid w:val="6C5E02FC"/>
    <w:rsid w:val="6C721812"/>
    <w:rsid w:val="6C8B0F52"/>
    <w:rsid w:val="6CD96A21"/>
    <w:rsid w:val="6CDD0DD0"/>
    <w:rsid w:val="6CF51963"/>
    <w:rsid w:val="6CFA7DB1"/>
    <w:rsid w:val="6D0127E4"/>
    <w:rsid w:val="6D135E16"/>
    <w:rsid w:val="6D1C168A"/>
    <w:rsid w:val="6D347A31"/>
    <w:rsid w:val="6D3668DD"/>
    <w:rsid w:val="6D471CAB"/>
    <w:rsid w:val="6D6F4DA4"/>
    <w:rsid w:val="6DAC0977"/>
    <w:rsid w:val="6DB941BD"/>
    <w:rsid w:val="6DC60F63"/>
    <w:rsid w:val="6E1A5BCD"/>
    <w:rsid w:val="6E4C770B"/>
    <w:rsid w:val="6E5B60A6"/>
    <w:rsid w:val="6E5F1098"/>
    <w:rsid w:val="6E6F2793"/>
    <w:rsid w:val="6E703D8E"/>
    <w:rsid w:val="6E7E60CD"/>
    <w:rsid w:val="6E7EB17C"/>
    <w:rsid w:val="6E84323D"/>
    <w:rsid w:val="6E942A76"/>
    <w:rsid w:val="6EA41FA2"/>
    <w:rsid w:val="6EB44AD4"/>
    <w:rsid w:val="6ED73532"/>
    <w:rsid w:val="6EDC48A6"/>
    <w:rsid w:val="6EF2F120"/>
    <w:rsid w:val="6F313FE8"/>
    <w:rsid w:val="6F350301"/>
    <w:rsid w:val="6F381CAC"/>
    <w:rsid w:val="6F3F7BF1"/>
    <w:rsid w:val="6F6128C1"/>
    <w:rsid w:val="6F9C6902"/>
    <w:rsid w:val="6FA0729C"/>
    <w:rsid w:val="6FA205CB"/>
    <w:rsid w:val="6FAD72F5"/>
    <w:rsid w:val="6FDFD8FF"/>
    <w:rsid w:val="6FEB2C43"/>
    <w:rsid w:val="6FEF4FB0"/>
    <w:rsid w:val="6FEF7AF1"/>
    <w:rsid w:val="70100CA2"/>
    <w:rsid w:val="70393572"/>
    <w:rsid w:val="704C4E7B"/>
    <w:rsid w:val="70610967"/>
    <w:rsid w:val="70892265"/>
    <w:rsid w:val="70A24D48"/>
    <w:rsid w:val="70BA64EF"/>
    <w:rsid w:val="70C900DF"/>
    <w:rsid w:val="70F80524"/>
    <w:rsid w:val="710A2419"/>
    <w:rsid w:val="710C226A"/>
    <w:rsid w:val="71326D32"/>
    <w:rsid w:val="714C2CD0"/>
    <w:rsid w:val="715A596A"/>
    <w:rsid w:val="7162056E"/>
    <w:rsid w:val="717C247D"/>
    <w:rsid w:val="717F26E4"/>
    <w:rsid w:val="71814006"/>
    <w:rsid w:val="71816B8E"/>
    <w:rsid w:val="71832D29"/>
    <w:rsid w:val="71907818"/>
    <w:rsid w:val="71B0045C"/>
    <w:rsid w:val="71B252F9"/>
    <w:rsid w:val="71BF5724"/>
    <w:rsid w:val="71E239A4"/>
    <w:rsid w:val="71E95916"/>
    <w:rsid w:val="7203413E"/>
    <w:rsid w:val="720375F4"/>
    <w:rsid w:val="7250588C"/>
    <w:rsid w:val="726F5278"/>
    <w:rsid w:val="727E786A"/>
    <w:rsid w:val="72887FD4"/>
    <w:rsid w:val="729D1577"/>
    <w:rsid w:val="72BD0544"/>
    <w:rsid w:val="72C0472D"/>
    <w:rsid w:val="72D11D5C"/>
    <w:rsid w:val="72E85DAD"/>
    <w:rsid w:val="732303D9"/>
    <w:rsid w:val="732F8D3C"/>
    <w:rsid w:val="733818AE"/>
    <w:rsid w:val="73532CC9"/>
    <w:rsid w:val="737FA0ED"/>
    <w:rsid w:val="73870CC5"/>
    <w:rsid w:val="73CC3F16"/>
    <w:rsid w:val="73D73D11"/>
    <w:rsid w:val="73E05929"/>
    <w:rsid w:val="73EC4FBF"/>
    <w:rsid w:val="73FF1727"/>
    <w:rsid w:val="744975DD"/>
    <w:rsid w:val="745558E8"/>
    <w:rsid w:val="746920A5"/>
    <w:rsid w:val="74733422"/>
    <w:rsid w:val="74CB1EDB"/>
    <w:rsid w:val="74DE73F5"/>
    <w:rsid w:val="74FA5557"/>
    <w:rsid w:val="75160021"/>
    <w:rsid w:val="751E77AF"/>
    <w:rsid w:val="757D5931"/>
    <w:rsid w:val="757FA7B4"/>
    <w:rsid w:val="75C8117D"/>
    <w:rsid w:val="75D07F8B"/>
    <w:rsid w:val="75E92BD3"/>
    <w:rsid w:val="75EE5669"/>
    <w:rsid w:val="761D71C4"/>
    <w:rsid w:val="7636D2E0"/>
    <w:rsid w:val="763F75C4"/>
    <w:rsid w:val="76646D93"/>
    <w:rsid w:val="76957051"/>
    <w:rsid w:val="76BD4232"/>
    <w:rsid w:val="76C10199"/>
    <w:rsid w:val="76C57BCB"/>
    <w:rsid w:val="76DF3364"/>
    <w:rsid w:val="76E30E67"/>
    <w:rsid w:val="76E905FB"/>
    <w:rsid w:val="76F60290"/>
    <w:rsid w:val="76F77B54"/>
    <w:rsid w:val="76F927CD"/>
    <w:rsid w:val="76FBB177"/>
    <w:rsid w:val="76FF88DB"/>
    <w:rsid w:val="770666BF"/>
    <w:rsid w:val="77125D0B"/>
    <w:rsid w:val="773B2934"/>
    <w:rsid w:val="773E064E"/>
    <w:rsid w:val="774E1211"/>
    <w:rsid w:val="774E1436"/>
    <w:rsid w:val="7777C7C8"/>
    <w:rsid w:val="7779587C"/>
    <w:rsid w:val="77797094"/>
    <w:rsid w:val="777B71D8"/>
    <w:rsid w:val="779D0C3B"/>
    <w:rsid w:val="77A54D53"/>
    <w:rsid w:val="77AFA966"/>
    <w:rsid w:val="77D75F2B"/>
    <w:rsid w:val="77FC6767"/>
    <w:rsid w:val="77FF8EDB"/>
    <w:rsid w:val="77FFCB35"/>
    <w:rsid w:val="781A0BEC"/>
    <w:rsid w:val="78202415"/>
    <w:rsid w:val="78213FC9"/>
    <w:rsid w:val="784376FF"/>
    <w:rsid w:val="78701D9C"/>
    <w:rsid w:val="78AD5F33"/>
    <w:rsid w:val="78CD19BA"/>
    <w:rsid w:val="78FA0671"/>
    <w:rsid w:val="78FBDADB"/>
    <w:rsid w:val="792541F5"/>
    <w:rsid w:val="793A634F"/>
    <w:rsid w:val="793B8405"/>
    <w:rsid w:val="798635EB"/>
    <w:rsid w:val="798A0AC8"/>
    <w:rsid w:val="799F4581"/>
    <w:rsid w:val="79A5750A"/>
    <w:rsid w:val="79A71C80"/>
    <w:rsid w:val="79D1209D"/>
    <w:rsid w:val="79DBEED9"/>
    <w:rsid w:val="79F14CAE"/>
    <w:rsid w:val="79FBD08E"/>
    <w:rsid w:val="79FCC046"/>
    <w:rsid w:val="79FF5AA6"/>
    <w:rsid w:val="79FFE0A4"/>
    <w:rsid w:val="7A071041"/>
    <w:rsid w:val="7A0C1011"/>
    <w:rsid w:val="7A0E7A81"/>
    <w:rsid w:val="7A321CDB"/>
    <w:rsid w:val="7A567B6E"/>
    <w:rsid w:val="7A5A3E26"/>
    <w:rsid w:val="7A6E32C8"/>
    <w:rsid w:val="7A7CEC62"/>
    <w:rsid w:val="7AC900CF"/>
    <w:rsid w:val="7ADD6CC2"/>
    <w:rsid w:val="7ADF2556"/>
    <w:rsid w:val="7AEB7120"/>
    <w:rsid w:val="7AEEBFC0"/>
    <w:rsid w:val="7AEEED2C"/>
    <w:rsid w:val="7AF139CB"/>
    <w:rsid w:val="7B022DCE"/>
    <w:rsid w:val="7B052FBD"/>
    <w:rsid w:val="7B2BD677"/>
    <w:rsid w:val="7B5A5A6C"/>
    <w:rsid w:val="7B5C250E"/>
    <w:rsid w:val="7B6D0F87"/>
    <w:rsid w:val="7B72691F"/>
    <w:rsid w:val="7B783FD8"/>
    <w:rsid w:val="7B9A3DB8"/>
    <w:rsid w:val="7BA113AB"/>
    <w:rsid w:val="7BD34DAC"/>
    <w:rsid w:val="7BD52290"/>
    <w:rsid w:val="7BD568A0"/>
    <w:rsid w:val="7BDE2653"/>
    <w:rsid w:val="7BEF4EB5"/>
    <w:rsid w:val="7BF20E1E"/>
    <w:rsid w:val="7BF8E44F"/>
    <w:rsid w:val="7BFDFB3C"/>
    <w:rsid w:val="7BFF69ED"/>
    <w:rsid w:val="7BFFBE7A"/>
    <w:rsid w:val="7BFFF4A8"/>
    <w:rsid w:val="7C5728ED"/>
    <w:rsid w:val="7C9408F4"/>
    <w:rsid w:val="7CB83597"/>
    <w:rsid w:val="7CB90CC2"/>
    <w:rsid w:val="7CD4CAA2"/>
    <w:rsid w:val="7CE04A49"/>
    <w:rsid w:val="7CE7A0B1"/>
    <w:rsid w:val="7CF52BFF"/>
    <w:rsid w:val="7CFB2CE9"/>
    <w:rsid w:val="7CFBCCF6"/>
    <w:rsid w:val="7D0734C3"/>
    <w:rsid w:val="7D0C34C4"/>
    <w:rsid w:val="7D1D39AE"/>
    <w:rsid w:val="7D212CA5"/>
    <w:rsid w:val="7D255EE2"/>
    <w:rsid w:val="7D2760D5"/>
    <w:rsid w:val="7D293184"/>
    <w:rsid w:val="7D483587"/>
    <w:rsid w:val="7D4A23DF"/>
    <w:rsid w:val="7D4B3EE6"/>
    <w:rsid w:val="7D6112EF"/>
    <w:rsid w:val="7D68620F"/>
    <w:rsid w:val="7D69777E"/>
    <w:rsid w:val="7D7601E8"/>
    <w:rsid w:val="7D7C6E9A"/>
    <w:rsid w:val="7D927DC0"/>
    <w:rsid w:val="7DB1DE95"/>
    <w:rsid w:val="7DB34706"/>
    <w:rsid w:val="7DBED353"/>
    <w:rsid w:val="7DE59FBD"/>
    <w:rsid w:val="7DF879F0"/>
    <w:rsid w:val="7DFDA2DD"/>
    <w:rsid w:val="7E1A0A9F"/>
    <w:rsid w:val="7E1FC5E9"/>
    <w:rsid w:val="7E3C401A"/>
    <w:rsid w:val="7E5E0DFC"/>
    <w:rsid w:val="7E5FBFA7"/>
    <w:rsid w:val="7E641213"/>
    <w:rsid w:val="7E7FA550"/>
    <w:rsid w:val="7E8F0128"/>
    <w:rsid w:val="7E9568C8"/>
    <w:rsid w:val="7EA67E97"/>
    <w:rsid w:val="7EC0418C"/>
    <w:rsid w:val="7ED72015"/>
    <w:rsid w:val="7EDF0BE9"/>
    <w:rsid w:val="7EE33139"/>
    <w:rsid w:val="7EF34773"/>
    <w:rsid w:val="7EF75AFF"/>
    <w:rsid w:val="7EFB0677"/>
    <w:rsid w:val="7F0D08DC"/>
    <w:rsid w:val="7F173D26"/>
    <w:rsid w:val="7F27B164"/>
    <w:rsid w:val="7F361298"/>
    <w:rsid w:val="7F362DF9"/>
    <w:rsid w:val="7F5DC674"/>
    <w:rsid w:val="7F617DDF"/>
    <w:rsid w:val="7F666017"/>
    <w:rsid w:val="7F714EE5"/>
    <w:rsid w:val="7F7E0744"/>
    <w:rsid w:val="7F7F2734"/>
    <w:rsid w:val="7F871C4A"/>
    <w:rsid w:val="7F8EDBCF"/>
    <w:rsid w:val="7F944AA6"/>
    <w:rsid w:val="7FA63F96"/>
    <w:rsid w:val="7FAE9EF6"/>
    <w:rsid w:val="7FB9287C"/>
    <w:rsid w:val="7FBFC35E"/>
    <w:rsid w:val="7FCC47FD"/>
    <w:rsid w:val="7FCF19E0"/>
    <w:rsid w:val="7FD31973"/>
    <w:rsid w:val="7FD962E8"/>
    <w:rsid w:val="7FE15B01"/>
    <w:rsid w:val="7FE65B6D"/>
    <w:rsid w:val="7FEC3F1F"/>
    <w:rsid w:val="7FEFEFFF"/>
    <w:rsid w:val="7FF7AB6C"/>
    <w:rsid w:val="7FFA3A11"/>
    <w:rsid w:val="7FFB1B6E"/>
    <w:rsid w:val="7FFE7630"/>
    <w:rsid w:val="7FFFA0FF"/>
    <w:rsid w:val="7FFFE4F3"/>
    <w:rsid w:val="97D712E5"/>
    <w:rsid w:val="97DF737F"/>
    <w:rsid w:val="9B96F82A"/>
    <w:rsid w:val="9BD72B77"/>
    <w:rsid w:val="9C1B60B3"/>
    <w:rsid w:val="9DFFEECC"/>
    <w:rsid w:val="9FB76CD3"/>
    <w:rsid w:val="9FF95891"/>
    <w:rsid w:val="9FFA1E23"/>
    <w:rsid w:val="A3B3C6E4"/>
    <w:rsid w:val="AC3DD8CF"/>
    <w:rsid w:val="AD8F0B05"/>
    <w:rsid w:val="AED98051"/>
    <w:rsid w:val="AF3EB684"/>
    <w:rsid w:val="B26B1C15"/>
    <w:rsid w:val="B36F5B4F"/>
    <w:rsid w:val="B47D6E3A"/>
    <w:rsid w:val="B5DF2FA7"/>
    <w:rsid w:val="B5FB735C"/>
    <w:rsid w:val="B6D6260B"/>
    <w:rsid w:val="B6FBFC99"/>
    <w:rsid w:val="B9F6F55D"/>
    <w:rsid w:val="B9F944A5"/>
    <w:rsid w:val="B9FFFF18"/>
    <w:rsid w:val="BA7F44B3"/>
    <w:rsid w:val="BB5D3081"/>
    <w:rsid w:val="BB7EAAFC"/>
    <w:rsid w:val="BB9ECF36"/>
    <w:rsid w:val="BBB7FCA1"/>
    <w:rsid w:val="BBBB09ED"/>
    <w:rsid w:val="BCD6E468"/>
    <w:rsid w:val="BDF6FA2D"/>
    <w:rsid w:val="BDFFD50E"/>
    <w:rsid w:val="BE3F4117"/>
    <w:rsid w:val="BF66489A"/>
    <w:rsid w:val="BF729CD6"/>
    <w:rsid w:val="BFAFA768"/>
    <w:rsid w:val="BFB73CB5"/>
    <w:rsid w:val="BFCA0146"/>
    <w:rsid w:val="BFE5AA07"/>
    <w:rsid w:val="BFE9354E"/>
    <w:rsid w:val="BFEF7202"/>
    <w:rsid w:val="BFF23BB0"/>
    <w:rsid w:val="BFF7F79E"/>
    <w:rsid w:val="BFFDFFA5"/>
    <w:rsid w:val="BFFF17FC"/>
    <w:rsid w:val="C1EF5288"/>
    <w:rsid w:val="C4FDD6EE"/>
    <w:rsid w:val="C5DB1ABC"/>
    <w:rsid w:val="CA57A0C0"/>
    <w:rsid w:val="CB1E1260"/>
    <w:rsid w:val="CB7EC77F"/>
    <w:rsid w:val="CD9ED96A"/>
    <w:rsid w:val="CDDE29AB"/>
    <w:rsid w:val="CDF66E75"/>
    <w:rsid w:val="CE75A70B"/>
    <w:rsid w:val="D4FBDA35"/>
    <w:rsid w:val="D57EDBA3"/>
    <w:rsid w:val="DA36D2E0"/>
    <w:rsid w:val="DB6A6FC0"/>
    <w:rsid w:val="DBBE93F9"/>
    <w:rsid w:val="DBFD743E"/>
    <w:rsid w:val="DBFF9188"/>
    <w:rsid w:val="DDB5CD9B"/>
    <w:rsid w:val="DDD3B388"/>
    <w:rsid w:val="DDDB8AE3"/>
    <w:rsid w:val="DDEE7589"/>
    <w:rsid w:val="DE56E60E"/>
    <w:rsid w:val="DEF9D536"/>
    <w:rsid w:val="DF0EDA6F"/>
    <w:rsid w:val="DFBB2E67"/>
    <w:rsid w:val="DFE79705"/>
    <w:rsid w:val="DFEFBB44"/>
    <w:rsid w:val="DFF54172"/>
    <w:rsid w:val="DFF68E1C"/>
    <w:rsid w:val="E17F5E8B"/>
    <w:rsid w:val="E5D35D51"/>
    <w:rsid w:val="E5FF8168"/>
    <w:rsid w:val="E6FF17C8"/>
    <w:rsid w:val="E79D517D"/>
    <w:rsid w:val="E7CFFA1A"/>
    <w:rsid w:val="E7DFCE6A"/>
    <w:rsid w:val="E7EFE179"/>
    <w:rsid w:val="E97D1D7B"/>
    <w:rsid w:val="E97FD536"/>
    <w:rsid w:val="EB3E2410"/>
    <w:rsid w:val="EB4FFA72"/>
    <w:rsid w:val="EB73825A"/>
    <w:rsid w:val="EB779625"/>
    <w:rsid w:val="EB77E458"/>
    <w:rsid w:val="EBEE61B0"/>
    <w:rsid w:val="EBFF37F0"/>
    <w:rsid w:val="ECF4A850"/>
    <w:rsid w:val="EDA7DD58"/>
    <w:rsid w:val="EDD52862"/>
    <w:rsid w:val="EDEE63D3"/>
    <w:rsid w:val="EECD7EA9"/>
    <w:rsid w:val="EF9A47E8"/>
    <w:rsid w:val="EFA8D6EA"/>
    <w:rsid w:val="EFB6A06F"/>
    <w:rsid w:val="EFC78E81"/>
    <w:rsid w:val="EFDBFDB6"/>
    <w:rsid w:val="EFDDE3D1"/>
    <w:rsid w:val="EFF7634E"/>
    <w:rsid w:val="EFF7A7D6"/>
    <w:rsid w:val="EFF80A4A"/>
    <w:rsid w:val="EFFD0A01"/>
    <w:rsid w:val="EFFDE408"/>
    <w:rsid w:val="EFFF6522"/>
    <w:rsid w:val="F0FF4E69"/>
    <w:rsid w:val="F2BEBE3A"/>
    <w:rsid w:val="F2F5715D"/>
    <w:rsid w:val="F3BBA4B6"/>
    <w:rsid w:val="F3EBFEE2"/>
    <w:rsid w:val="F3EE40B3"/>
    <w:rsid w:val="F5DFC364"/>
    <w:rsid w:val="F5E74B70"/>
    <w:rsid w:val="F5F73BDA"/>
    <w:rsid w:val="F65F02CF"/>
    <w:rsid w:val="F67F6212"/>
    <w:rsid w:val="F6ED34C3"/>
    <w:rsid w:val="F6EE22C9"/>
    <w:rsid w:val="F6EF8CAE"/>
    <w:rsid w:val="F7EE7B87"/>
    <w:rsid w:val="F7EF6738"/>
    <w:rsid w:val="F7FF7209"/>
    <w:rsid w:val="F9EB9C71"/>
    <w:rsid w:val="FA578648"/>
    <w:rsid w:val="FAD3B2D5"/>
    <w:rsid w:val="FAFEFB64"/>
    <w:rsid w:val="FB0929A7"/>
    <w:rsid w:val="FB3EDF3B"/>
    <w:rsid w:val="FB57C932"/>
    <w:rsid w:val="FB77670D"/>
    <w:rsid w:val="FBFFF110"/>
    <w:rsid w:val="FC5F7E68"/>
    <w:rsid w:val="FCBD0687"/>
    <w:rsid w:val="FCFF63B7"/>
    <w:rsid w:val="FD75A122"/>
    <w:rsid w:val="FD7FB05D"/>
    <w:rsid w:val="FD9FF77A"/>
    <w:rsid w:val="FDBCC814"/>
    <w:rsid w:val="FDD1909F"/>
    <w:rsid w:val="FDEBBADB"/>
    <w:rsid w:val="FDF71818"/>
    <w:rsid w:val="FDFC12BF"/>
    <w:rsid w:val="FE43D0A7"/>
    <w:rsid w:val="FE7FA8E7"/>
    <w:rsid w:val="FE99D42B"/>
    <w:rsid w:val="FEDEDE08"/>
    <w:rsid w:val="FEFB11CC"/>
    <w:rsid w:val="FF385BD1"/>
    <w:rsid w:val="FF3FE0AE"/>
    <w:rsid w:val="FF5B4979"/>
    <w:rsid w:val="FF5F4091"/>
    <w:rsid w:val="FF7D82BB"/>
    <w:rsid w:val="FF7DE649"/>
    <w:rsid w:val="FF7EC21C"/>
    <w:rsid w:val="FF7EF00D"/>
    <w:rsid w:val="FF7FC83C"/>
    <w:rsid w:val="FF8B9B48"/>
    <w:rsid w:val="FF9BD202"/>
    <w:rsid w:val="FFB73B53"/>
    <w:rsid w:val="FFB7DB7F"/>
    <w:rsid w:val="FFB96590"/>
    <w:rsid w:val="FFCD1C12"/>
    <w:rsid w:val="FFCDA1B9"/>
    <w:rsid w:val="FFDFB5E3"/>
    <w:rsid w:val="FFDFB6BF"/>
    <w:rsid w:val="FFE7EEA1"/>
    <w:rsid w:val="FFEB2AAC"/>
    <w:rsid w:val="FFF6F457"/>
    <w:rsid w:val="FFF96DE8"/>
    <w:rsid w:val="FFFD7D15"/>
    <w:rsid w:val="FFFE79D1"/>
    <w:rsid w:val="FFFF8750"/>
    <w:rsid w:val="FFFFD970"/>
    <w:rsid w:val="FFFFF67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4"/>
    <w:autoRedefine/>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9"/>
    <w:autoRedefine/>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8"/>
    <w:autoRedefine/>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3"/>
    <w:autoRedefine/>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5"/>
    <w:basedOn w:val="1"/>
    <w:next w:val="1"/>
    <w:autoRedefine/>
    <w:semiHidden/>
    <w:unhideWhenUsed/>
    <w:qFormat/>
    <w:uiPriority w:val="0"/>
    <w:pPr>
      <w:spacing w:beforeAutospacing="1" w:afterAutospacing="1"/>
      <w:jc w:val="left"/>
      <w:outlineLvl w:val="4"/>
    </w:pPr>
    <w:rPr>
      <w:rFonts w:hint="eastAsia" w:ascii="宋体" w:hAnsi="宋体"/>
      <w:b/>
      <w:bCs/>
      <w:kern w:val="0"/>
      <w:sz w:val="20"/>
      <w:szCs w:val="20"/>
    </w:rPr>
  </w:style>
  <w:style w:type="paragraph" w:styleId="7">
    <w:name w:val="heading 6"/>
    <w:basedOn w:val="1"/>
    <w:next w:val="1"/>
    <w:link w:val="60"/>
    <w:autoRedefine/>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100"/>
    <w:autoRedefine/>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2"/>
    <w:autoRedefine/>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4"/>
    <w:autoRedefine/>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6">
    <w:name w:val="Default Paragraph Font"/>
    <w:autoRedefine/>
    <w:semiHidden/>
    <w:unhideWhenUsed/>
    <w:qFormat/>
    <w:uiPriority w:val="1"/>
  </w:style>
  <w:style w:type="table" w:default="1" w:styleId="44">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39"/>
    <w:pPr>
      <w:ind w:left="1260"/>
      <w:jc w:val="left"/>
    </w:pPr>
    <w:rPr>
      <w:rFonts w:ascii="Calibri" w:hAnsi="Calibri"/>
      <w:sz w:val="18"/>
      <w:szCs w:val="18"/>
    </w:rPr>
  </w:style>
  <w:style w:type="paragraph" w:styleId="12">
    <w:name w:val="table of authorities"/>
    <w:basedOn w:val="1"/>
    <w:next w:val="1"/>
    <w:autoRedefine/>
    <w:qFormat/>
    <w:uiPriority w:val="99"/>
    <w:pPr>
      <w:ind w:left="420" w:leftChars="200"/>
    </w:pPr>
  </w:style>
  <w:style w:type="paragraph" w:styleId="13">
    <w:name w:val="Normal Indent"/>
    <w:basedOn w:val="14"/>
    <w:link w:val="70"/>
    <w:autoRedefine/>
    <w:qFormat/>
    <w:uiPriority w:val="0"/>
    <w:pPr>
      <w:ind w:firstLine="420" w:firstLineChars="200"/>
    </w:pPr>
  </w:style>
  <w:style w:type="paragraph" w:styleId="14">
    <w:name w:val="Balloon Text"/>
    <w:basedOn w:val="1"/>
    <w:link w:val="81"/>
    <w:autoRedefine/>
    <w:qFormat/>
    <w:uiPriority w:val="0"/>
    <w:rPr>
      <w:kern w:val="0"/>
      <w:sz w:val="18"/>
      <w:szCs w:val="18"/>
    </w:rPr>
  </w:style>
  <w:style w:type="paragraph" w:styleId="15">
    <w:name w:val="Document Map"/>
    <w:basedOn w:val="1"/>
    <w:link w:val="77"/>
    <w:autoRedefine/>
    <w:qFormat/>
    <w:uiPriority w:val="0"/>
    <w:pPr>
      <w:shd w:val="clear" w:color="auto" w:fill="000080"/>
    </w:pPr>
    <w:rPr>
      <w:kern w:val="0"/>
      <w:sz w:val="20"/>
    </w:rPr>
  </w:style>
  <w:style w:type="paragraph" w:styleId="16">
    <w:name w:val="annotation text"/>
    <w:basedOn w:val="1"/>
    <w:link w:val="59"/>
    <w:autoRedefine/>
    <w:unhideWhenUsed/>
    <w:qFormat/>
    <w:uiPriority w:val="99"/>
    <w:pPr>
      <w:jc w:val="left"/>
    </w:pPr>
    <w:rPr>
      <w:kern w:val="0"/>
      <w:sz w:val="20"/>
    </w:rPr>
  </w:style>
  <w:style w:type="paragraph" w:styleId="17">
    <w:name w:val="Body Text 3"/>
    <w:basedOn w:val="1"/>
    <w:link w:val="63"/>
    <w:autoRedefine/>
    <w:qFormat/>
    <w:uiPriority w:val="0"/>
    <w:rPr>
      <w:rFonts w:ascii="宋体"/>
      <w:kern w:val="0"/>
      <w:sz w:val="24"/>
      <w:szCs w:val="20"/>
    </w:rPr>
  </w:style>
  <w:style w:type="paragraph" w:styleId="18">
    <w:name w:val="Body Text"/>
    <w:basedOn w:val="1"/>
    <w:next w:val="1"/>
    <w:link w:val="66"/>
    <w:autoRedefine/>
    <w:qFormat/>
    <w:uiPriority w:val="0"/>
    <w:pPr>
      <w:spacing w:after="120"/>
    </w:pPr>
    <w:rPr>
      <w:kern w:val="0"/>
      <w:sz w:val="20"/>
    </w:rPr>
  </w:style>
  <w:style w:type="paragraph" w:styleId="19">
    <w:name w:val="Body Text Indent"/>
    <w:basedOn w:val="1"/>
    <w:next w:val="1"/>
    <w:link w:val="76"/>
    <w:autoRedefine/>
    <w:qFormat/>
    <w:uiPriority w:val="0"/>
    <w:pPr>
      <w:spacing w:after="120"/>
      <w:ind w:left="420" w:leftChars="200"/>
    </w:pPr>
    <w:rPr>
      <w:kern w:val="0"/>
      <w:sz w:val="20"/>
    </w:rPr>
  </w:style>
  <w:style w:type="paragraph" w:styleId="20">
    <w:name w:val="Block Text"/>
    <w:basedOn w:val="1"/>
    <w:autoRedefine/>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1">
    <w:name w:val="toc 5"/>
    <w:basedOn w:val="1"/>
    <w:next w:val="1"/>
    <w:autoRedefine/>
    <w:qFormat/>
    <w:uiPriority w:val="39"/>
    <w:pPr>
      <w:ind w:left="840"/>
      <w:jc w:val="left"/>
    </w:pPr>
    <w:rPr>
      <w:rFonts w:ascii="Calibri" w:hAnsi="Calibri"/>
      <w:sz w:val="18"/>
      <w:szCs w:val="18"/>
    </w:rPr>
  </w:style>
  <w:style w:type="paragraph" w:styleId="22">
    <w:name w:val="toc 3"/>
    <w:basedOn w:val="1"/>
    <w:next w:val="1"/>
    <w:autoRedefine/>
    <w:qFormat/>
    <w:uiPriority w:val="39"/>
    <w:pPr>
      <w:ind w:left="420"/>
      <w:jc w:val="left"/>
    </w:pPr>
    <w:rPr>
      <w:rFonts w:ascii="Calibri" w:hAnsi="Calibri"/>
      <w:i/>
      <w:iCs/>
      <w:sz w:val="20"/>
      <w:szCs w:val="20"/>
    </w:rPr>
  </w:style>
  <w:style w:type="paragraph" w:styleId="23">
    <w:name w:val="Plain Text"/>
    <w:basedOn w:val="1"/>
    <w:link w:val="99"/>
    <w:autoRedefine/>
    <w:qFormat/>
    <w:uiPriority w:val="99"/>
    <w:rPr>
      <w:rFonts w:ascii="Courier New" w:hAnsi="Courier New"/>
      <w:kern w:val="0"/>
      <w:sz w:val="20"/>
      <w:szCs w:val="20"/>
    </w:rPr>
  </w:style>
  <w:style w:type="paragraph" w:styleId="24">
    <w:name w:val="toc 8"/>
    <w:basedOn w:val="1"/>
    <w:next w:val="1"/>
    <w:autoRedefine/>
    <w:qFormat/>
    <w:uiPriority w:val="39"/>
    <w:pPr>
      <w:ind w:left="1470"/>
      <w:jc w:val="left"/>
    </w:pPr>
    <w:rPr>
      <w:rFonts w:ascii="Calibri" w:hAnsi="Calibri"/>
      <w:sz w:val="18"/>
      <w:szCs w:val="18"/>
    </w:rPr>
  </w:style>
  <w:style w:type="paragraph" w:styleId="25">
    <w:name w:val="Date"/>
    <w:basedOn w:val="1"/>
    <w:next w:val="1"/>
    <w:link w:val="83"/>
    <w:autoRedefine/>
    <w:qFormat/>
    <w:uiPriority w:val="0"/>
    <w:rPr>
      <w:kern w:val="0"/>
      <w:sz w:val="24"/>
      <w:szCs w:val="20"/>
    </w:rPr>
  </w:style>
  <w:style w:type="paragraph" w:styleId="26">
    <w:name w:val="Body Text Indent 2"/>
    <w:basedOn w:val="1"/>
    <w:next w:val="1"/>
    <w:autoRedefine/>
    <w:qFormat/>
    <w:uiPriority w:val="0"/>
    <w:pPr>
      <w:spacing w:after="120" w:line="480" w:lineRule="auto"/>
      <w:ind w:left="420" w:leftChars="200"/>
    </w:pPr>
  </w:style>
  <w:style w:type="paragraph" w:styleId="27">
    <w:name w:val="footer"/>
    <w:basedOn w:val="1"/>
    <w:link w:val="95"/>
    <w:autoRedefine/>
    <w:qFormat/>
    <w:uiPriority w:val="99"/>
    <w:pPr>
      <w:tabs>
        <w:tab w:val="center" w:pos="4153"/>
        <w:tab w:val="right" w:pos="8306"/>
      </w:tabs>
      <w:snapToGrid w:val="0"/>
      <w:jc w:val="left"/>
    </w:pPr>
    <w:rPr>
      <w:kern w:val="0"/>
      <w:sz w:val="18"/>
      <w:szCs w:val="18"/>
    </w:rPr>
  </w:style>
  <w:style w:type="paragraph" w:styleId="28">
    <w:name w:val="header"/>
    <w:basedOn w:val="1"/>
    <w:link w:val="73"/>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autoRedefine/>
    <w:qFormat/>
    <w:uiPriority w:val="39"/>
    <w:pPr>
      <w:spacing w:before="120" w:after="120"/>
      <w:jc w:val="left"/>
    </w:pPr>
    <w:rPr>
      <w:rFonts w:ascii="Calibri" w:hAnsi="Calibri"/>
      <w:b/>
      <w:bCs/>
      <w:caps/>
      <w:sz w:val="20"/>
      <w:szCs w:val="20"/>
    </w:rPr>
  </w:style>
  <w:style w:type="paragraph" w:styleId="30">
    <w:name w:val="toc 4"/>
    <w:basedOn w:val="1"/>
    <w:next w:val="1"/>
    <w:autoRedefine/>
    <w:qFormat/>
    <w:uiPriority w:val="39"/>
    <w:pPr>
      <w:ind w:left="630"/>
      <w:jc w:val="left"/>
    </w:pPr>
    <w:rPr>
      <w:rFonts w:ascii="Calibri" w:hAnsi="Calibri"/>
      <w:sz w:val="18"/>
      <w:szCs w:val="18"/>
    </w:rPr>
  </w:style>
  <w:style w:type="paragraph" w:styleId="31">
    <w:name w:val="footnote text"/>
    <w:basedOn w:val="1"/>
    <w:link w:val="67"/>
    <w:autoRedefine/>
    <w:qFormat/>
    <w:uiPriority w:val="0"/>
    <w:rPr>
      <w:kern w:val="0"/>
      <w:sz w:val="20"/>
      <w:szCs w:val="20"/>
    </w:rPr>
  </w:style>
  <w:style w:type="paragraph" w:styleId="32">
    <w:name w:val="toc 6"/>
    <w:basedOn w:val="1"/>
    <w:next w:val="1"/>
    <w:autoRedefine/>
    <w:qFormat/>
    <w:uiPriority w:val="39"/>
    <w:pPr>
      <w:ind w:left="1050"/>
      <w:jc w:val="left"/>
    </w:pPr>
    <w:rPr>
      <w:rFonts w:ascii="Calibri" w:hAnsi="Calibri"/>
      <w:sz w:val="18"/>
      <w:szCs w:val="18"/>
    </w:rPr>
  </w:style>
  <w:style w:type="paragraph" w:styleId="33">
    <w:name w:val="Body Text Indent 3"/>
    <w:basedOn w:val="1"/>
    <w:link w:val="87"/>
    <w:autoRedefine/>
    <w:qFormat/>
    <w:uiPriority w:val="0"/>
    <w:pPr>
      <w:spacing w:after="120"/>
      <w:ind w:left="420" w:leftChars="200"/>
    </w:pPr>
    <w:rPr>
      <w:kern w:val="0"/>
      <w:sz w:val="16"/>
      <w:szCs w:val="16"/>
    </w:rPr>
  </w:style>
  <w:style w:type="paragraph" w:styleId="34">
    <w:name w:val="table of figures"/>
    <w:basedOn w:val="1"/>
    <w:next w:val="1"/>
    <w:autoRedefine/>
    <w:qFormat/>
    <w:uiPriority w:val="0"/>
    <w:pPr>
      <w:ind w:left="200" w:leftChars="200" w:hanging="200" w:hangingChars="200"/>
    </w:pPr>
  </w:style>
  <w:style w:type="paragraph" w:styleId="35">
    <w:name w:val="toc 2"/>
    <w:basedOn w:val="1"/>
    <w:next w:val="1"/>
    <w:autoRedefine/>
    <w:qFormat/>
    <w:uiPriority w:val="39"/>
    <w:pPr>
      <w:ind w:left="210"/>
      <w:jc w:val="left"/>
    </w:pPr>
    <w:rPr>
      <w:rFonts w:ascii="Calibri" w:hAnsi="Calibri"/>
      <w:smallCaps/>
      <w:sz w:val="20"/>
      <w:szCs w:val="20"/>
    </w:rPr>
  </w:style>
  <w:style w:type="paragraph" w:styleId="36">
    <w:name w:val="toc 9"/>
    <w:basedOn w:val="1"/>
    <w:next w:val="1"/>
    <w:autoRedefine/>
    <w:qFormat/>
    <w:uiPriority w:val="39"/>
    <w:pPr>
      <w:ind w:left="1680"/>
      <w:jc w:val="left"/>
    </w:pPr>
    <w:rPr>
      <w:rFonts w:ascii="Calibri" w:hAnsi="Calibri"/>
      <w:sz w:val="18"/>
      <w:szCs w:val="18"/>
    </w:rPr>
  </w:style>
  <w:style w:type="paragraph" w:styleId="37">
    <w:name w:val="HTML Preformatted"/>
    <w:basedOn w:val="1"/>
    <w:link w:val="97"/>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8">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autoRedefine/>
    <w:semiHidden/>
    <w:qFormat/>
    <w:uiPriority w:val="0"/>
    <w:pPr>
      <w:spacing w:line="360" w:lineRule="auto"/>
      <w:jc w:val="center"/>
    </w:pPr>
    <w:rPr>
      <w:rFonts w:ascii="宋体" w:hAnsi="Arial" w:cs="Arial"/>
      <w:b/>
      <w:color w:val="000000"/>
      <w:sz w:val="24"/>
    </w:rPr>
  </w:style>
  <w:style w:type="paragraph" w:styleId="40">
    <w:name w:val="Title"/>
    <w:basedOn w:val="1"/>
    <w:link w:val="80"/>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1">
    <w:name w:val="annotation subject"/>
    <w:basedOn w:val="16"/>
    <w:next w:val="16"/>
    <w:link w:val="69"/>
    <w:autoRedefine/>
    <w:qFormat/>
    <w:uiPriority w:val="0"/>
    <w:rPr>
      <w:b/>
      <w:bCs/>
    </w:rPr>
  </w:style>
  <w:style w:type="paragraph" w:styleId="42">
    <w:name w:val="Body Text First Indent"/>
    <w:basedOn w:val="18"/>
    <w:autoRedefine/>
    <w:qFormat/>
    <w:uiPriority w:val="0"/>
    <w:pPr>
      <w:adjustRightInd w:val="0"/>
      <w:spacing w:line="275" w:lineRule="atLeast"/>
      <w:ind w:firstLine="420"/>
      <w:textAlignment w:val="baseline"/>
    </w:pPr>
    <w:rPr>
      <w:rFonts w:ascii="宋体" w:eastAsia="方正楷体_GB2312"/>
      <w:sz w:val="24"/>
      <w:szCs w:val="20"/>
    </w:rPr>
  </w:style>
  <w:style w:type="paragraph" w:styleId="43">
    <w:name w:val="Body Text First Indent 2"/>
    <w:basedOn w:val="19"/>
    <w:autoRedefine/>
    <w:qFormat/>
    <w:uiPriority w:val="0"/>
    <w:pPr>
      <w:ind w:firstLine="420"/>
    </w:pPr>
    <w:rPr>
      <w:sz w:val="21"/>
    </w:rPr>
  </w:style>
  <w:style w:type="table" w:styleId="45">
    <w:name w:val="Table Grid"/>
    <w:basedOn w:val="44"/>
    <w:autoRedefine/>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autoRedefine/>
    <w:qFormat/>
    <w:uiPriority w:val="0"/>
    <w:rPr>
      <w:b/>
      <w:bCs/>
    </w:rPr>
  </w:style>
  <w:style w:type="character" w:styleId="48">
    <w:name w:val="page number"/>
    <w:autoRedefine/>
    <w:qFormat/>
    <w:uiPriority w:val="0"/>
  </w:style>
  <w:style w:type="character" w:styleId="49">
    <w:name w:val="FollowedHyperlink"/>
    <w:basedOn w:val="46"/>
    <w:autoRedefine/>
    <w:qFormat/>
    <w:uiPriority w:val="0"/>
    <w:rPr>
      <w:rFonts w:hint="default" w:ascii="Arial" w:hAnsi="Arial" w:eastAsia="Arial" w:cs="Arial"/>
      <w:color w:val="333333"/>
      <w:sz w:val="21"/>
      <w:szCs w:val="21"/>
      <w:u w:val="none"/>
    </w:rPr>
  </w:style>
  <w:style w:type="character" w:styleId="50">
    <w:name w:val="Emphasis"/>
    <w:basedOn w:val="46"/>
    <w:autoRedefine/>
    <w:qFormat/>
    <w:uiPriority w:val="20"/>
    <w:rPr>
      <w:i/>
    </w:rPr>
  </w:style>
  <w:style w:type="character" w:styleId="51">
    <w:name w:val="Hyperlink"/>
    <w:basedOn w:val="46"/>
    <w:autoRedefine/>
    <w:qFormat/>
    <w:uiPriority w:val="99"/>
    <w:rPr>
      <w:rFonts w:ascii="Arial" w:hAnsi="Arial" w:eastAsia="Arial" w:cs="Arial"/>
      <w:color w:val="333333"/>
      <w:sz w:val="21"/>
      <w:szCs w:val="21"/>
      <w:u w:val="none"/>
    </w:rPr>
  </w:style>
  <w:style w:type="character" w:styleId="52">
    <w:name w:val="annotation reference"/>
    <w:autoRedefine/>
    <w:qFormat/>
    <w:uiPriority w:val="0"/>
    <w:rPr>
      <w:sz w:val="21"/>
      <w:szCs w:val="21"/>
    </w:rPr>
  </w:style>
  <w:style w:type="character" w:styleId="53">
    <w:name w:val="footnote reference"/>
    <w:autoRedefine/>
    <w:qFormat/>
    <w:uiPriority w:val="0"/>
    <w:rPr>
      <w:vertAlign w:val="superscript"/>
    </w:rPr>
  </w:style>
  <w:style w:type="character" w:customStyle="1" w:styleId="54">
    <w:name w:val="apple-style-span"/>
    <w:autoRedefine/>
    <w:qFormat/>
    <w:uiPriority w:val="0"/>
    <w:rPr>
      <w:rFonts w:ascii="Verdana" w:hAnsi="Verdana" w:eastAsia="宋体"/>
      <w:sz w:val="21"/>
      <w:lang w:val="en-US" w:eastAsia="en-US" w:bidi="ar-SA"/>
    </w:rPr>
  </w:style>
  <w:style w:type="character" w:customStyle="1" w:styleId="55">
    <w:name w:val="正文文本 3 Char1"/>
    <w:autoRedefine/>
    <w:semiHidden/>
    <w:qFormat/>
    <w:uiPriority w:val="99"/>
    <w:rPr>
      <w:rFonts w:ascii="Times New Roman" w:hAnsi="Times New Roman" w:eastAsia="宋体" w:cs="Times New Roman"/>
      <w:sz w:val="16"/>
      <w:szCs w:val="16"/>
    </w:rPr>
  </w:style>
  <w:style w:type="character" w:customStyle="1" w:styleId="56">
    <w:name w:val="样式 宋体"/>
    <w:autoRedefine/>
    <w:qFormat/>
    <w:uiPriority w:val="0"/>
    <w:rPr>
      <w:rFonts w:ascii="Times New Roman" w:hAnsi="Times New Roman" w:eastAsia="宋体"/>
      <w:sz w:val="21"/>
    </w:rPr>
  </w:style>
  <w:style w:type="character" w:customStyle="1" w:styleId="57">
    <w:name w:val="正文文本 (2) + 9.5 pt"/>
    <w:autoRedefine/>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8">
    <w:name w:val="标题 3 字符"/>
    <w:link w:val="4"/>
    <w:autoRedefine/>
    <w:qFormat/>
    <w:uiPriority w:val="0"/>
    <w:rPr>
      <w:rFonts w:ascii="Times New Roman" w:hAnsi="Times New Roman" w:eastAsia="宋体" w:cs="Times New Roman"/>
      <w:b/>
      <w:bCs/>
      <w:sz w:val="32"/>
      <w:szCs w:val="32"/>
    </w:rPr>
  </w:style>
  <w:style w:type="character" w:customStyle="1" w:styleId="59">
    <w:name w:val="批注文字 字符"/>
    <w:link w:val="16"/>
    <w:autoRedefine/>
    <w:semiHidden/>
    <w:qFormat/>
    <w:uiPriority w:val="99"/>
    <w:rPr>
      <w:rFonts w:ascii="Times New Roman" w:hAnsi="Times New Roman" w:eastAsia="宋体" w:cs="Times New Roman"/>
      <w:szCs w:val="24"/>
    </w:rPr>
  </w:style>
  <w:style w:type="character" w:customStyle="1" w:styleId="60">
    <w:name w:val="标题 6 字符"/>
    <w:link w:val="7"/>
    <w:autoRedefine/>
    <w:qFormat/>
    <w:uiPriority w:val="0"/>
    <w:rPr>
      <w:rFonts w:ascii="Arial" w:hAnsi="Arial" w:eastAsia="黑体" w:cs="Times New Roman"/>
      <w:b/>
      <w:bCs/>
      <w:kern w:val="0"/>
      <w:sz w:val="24"/>
      <w:szCs w:val="24"/>
    </w:rPr>
  </w:style>
  <w:style w:type="character" w:customStyle="1" w:styleId="61">
    <w:name w:val="Char Char8"/>
    <w:autoRedefine/>
    <w:qFormat/>
    <w:uiPriority w:val="0"/>
    <w:rPr>
      <w:rFonts w:ascii="Arial" w:hAnsi="Arial" w:eastAsia="黑体"/>
      <w:b/>
      <w:bCs/>
      <w:kern w:val="2"/>
      <w:sz w:val="32"/>
      <w:szCs w:val="32"/>
      <w:lang w:val="en-US" w:eastAsia="zh-CN" w:bidi="ar-SA"/>
    </w:rPr>
  </w:style>
  <w:style w:type="character" w:customStyle="1" w:styleId="62">
    <w:name w:val="脚注文本 Char1"/>
    <w:autoRedefine/>
    <w:semiHidden/>
    <w:qFormat/>
    <w:uiPriority w:val="99"/>
    <w:rPr>
      <w:rFonts w:ascii="Times New Roman" w:hAnsi="Times New Roman" w:eastAsia="宋体" w:cs="Times New Roman"/>
      <w:sz w:val="18"/>
      <w:szCs w:val="18"/>
    </w:rPr>
  </w:style>
  <w:style w:type="character" w:customStyle="1" w:styleId="63">
    <w:name w:val="正文文本 3 字符"/>
    <w:link w:val="17"/>
    <w:autoRedefine/>
    <w:qFormat/>
    <w:uiPriority w:val="0"/>
    <w:rPr>
      <w:rFonts w:ascii="宋体"/>
      <w:sz w:val="24"/>
    </w:rPr>
  </w:style>
  <w:style w:type="character" w:customStyle="1" w:styleId="64">
    <w:name w:val="页脚 Char1"/>
    <w:autoRedefine/>
    <w:semiHidden/>
    <w:qFormat/>
    <w:uiPriority w:val="99"/>
    <w:rPr>
      <w:rFonts w:ascii="Times New Roman" w:hAnsi="Times New Roman" w:eastAsia="宋体" w:cs="Times New Roman"/>
      <w:sz w:val="18"/>
      <w:szCs w:val="18"/>
    </w:rPr>
  </w:style>
  <w:style w:type="character" w:customStyle="1" w:styleId="65">
    <w:name w:val="标题 Char1"/>
    <w:autoRedefine/>
    <w:qFormat/>
    <w:uiPriority w:val="10"/>
    <w:rPr>
      <w:rFonts w:ascii="Calibri Light" w:hAnsi="Calibri Light" w:eastAsia="宋体" w:cs="Times New Roman"/>
      <w:b/>
      <w:bCs/>
      <w:sz w:val="32"/>
      <w:szCs w:val="32"/>
    </w:rPr>
  </w:style>
  <w:style w:type="character" w:customStyle="1" w:styleId="66">
    <w:name w:val="正文文本 字符"/>
    <w:link w:val="18"/>
    <w:autoRedefine/>
    <w:qFormat/>
    <w:uiPriority w:val="0"/>
    <w:rPr>
      <w:rFonts w:eastAsia="宋体"/>
      <w:szCs w:val="24"/>
    </w:rPr>
  </w:style>
  <w:style w:type="character" w:customStyle="1" w:styleId="67">
    <w:name w:val="脚注文本 字符"/>
    <w:link w:val="31"/>
    <w:autoRedefine/>
    <w:qFormat/>
    <w:uiPriority w:val="0"/>
    <w:rPr>
      <w:rFonts w:eastAsia="宋体"/>
    </w:rPr>
  </w:style>
  <w:style w:type="character" w:customStyle="1" w:styleId="68">
    <w:name w:val="纯文本 Char1"/>
    <w:autoRedefine/>
    <w:semiHidden/>
    <w:qFormat/>
    <w:uiPriority w:val="99"/>
    <w:rPr>
      <w:rFonts w:ascii="宋体" w:hAnsi="Courier New" w:eastAsia="宋体" w:cs="Courier New"/>
      <w:szCs w:val="21"/>
    </w:rPr>
  </w:style>
  <w:style w:type="character" w:customStyle="1" w:styleId="69">
    <w:name w:val="批注主题 字符"/>
    <w:link w:val="41"/>
    <w:autoRedefine/>
    <w:qFormat/>
    <w:uiPriority w:val="0"/>
    <w:rPr>
      <w:rFonts w:ascii="Times New Roman" w:hAnsi="Times New Roman" w:eastAsia="宋体" w:cs="Times New Roman"/>
      <w:b/>
      <w:bCs/>
      <w:szCs w:val="24"/>
    </w:rPr>
  </w:style>
  <w:style w:type="character" w:customStyle="1" w:styleId="70">
    <w:name w:val="正文缩进 字符"/>
    <w:link w:val="13"/>
    <w:autoRedefine/>
    <w:qFormat/>
    <w:locked/>
    <w:uiPriority w:val="0"/>
    <w:rPr>
      <w:kern w:val="2"/>
      <w:sz w:val="21"/>
      <w:szCs w:val="24"/>
    </w:rPr>
  </w:style>
  <w:style w:type="character" w:customStyle="1" w:styleId="71">
    <w:name w:val="font11"/>
    <w:autoRedefine/>
    <w:qFormat/>
    <w:uiPriority w:val="0"/>
    <w:rPr>
      <w:rFonts w:hint="default" w:ascii="Times New Roman" w:hAnsi="Times New Roman" w:cs="Times New Roman"/>
      <w:color w:val="000000"/>
      <w:sz w:val="22"/>
      <w:szCs w:val="22"/>
      <w:u w:val="none"/>
    </w:rPr>
  </w:style>
  <w:style w:type="character" w:customStyle="1" w:styleId="72">
    <w:name w:val="font01"/>
    <w:autoRedefine/>
    <w:qFormat/>
    <w:uiPriority w:val="0"/>
    <w:rPr>
      <w:rFonts w:hint="eastAsia" w:ascii="宋体" w:hAnsi="宋体" w:eastAsia="宋体" w:cs="宋体"/>
      <w:color w:val="000000"/>
      <w:sz w:val="22"/>
      <w:szCs w:val="22"/>
      <w:u w:val="none"/>
    </w:rPr>
  </w:style>
  <w:style w:type="character" w:customStyle="1" w:styleId="73">
    <w:name w:val="页眉 字符"/>
    <w:link w:val="28"/>
    <w:autoRedefine/>
    <w:qFormat/>
    <w:uiPriority w:val="0"/>
    <w:rPr>
      <w:rFonts w:ascii="Times New Roman" w:hAnsi="Times New Roman" w:eastAsia="宋体" w:cs="Times New Roman"/>
      <w:sz w:val="18"/>
      <w:szCs w:val="18"/>
    </w:rPr>
  </w:style>
  <w:style w:type="character" w:customStyle="1" w:styleId="74">
    <w:name w:val="标题 9 字符"/>
    <w:link w:val="10"/>
    <w:autoRedefine/>
    <w:qFormat/>
    <w:uiPriority w:val="0"/>
    <w:rPr>
      <w:rFonts w:ascii="Arial" w:hAnsi="Arial" w:eastAsia="黑体" w:cs="Times New Roman"/>
      <w:kern w:val="0"/>
      <w:szCs w:val="21"/>
    </w:rPr>
  </w:style>
  <w:style w:type="character" w:customStyle="1" w:styleId="75">
    <w:name w:val="标题 2 Char1"/>
    <w:autoRedefine/>
    <w:qFormat/>
    <w:uiPriority w:val="0"/>
    <w:rPr>
      <w:rFonts w:ascii="Arial" w:hAnsi="Arial" w:eastAsia="黑体" w:cs="Times New Roman"/>
      <w:b/>
      <w:bCs/>
      <w:sz w:val="32"/>
      <w:szCs w:val="32"/>
      <w:lang w:val="en-US" w:eastAsia="en-US" w:bidi="ar-SA"/>
    </w:rPr>
  </w:style>
  <w:style w:type="character" w:customStyle="1" w:styleId="76">
    <w:name w:val="正文文本缩进 字符"/>
    <w:link w:val="19"/>
    <w:autoRedefine/>
    <w:qFormat/>
    <w:uiPriority w:val="0"/>
    <w:rPr>
      <w:szCs w:val="24"/>
    </w:rPr>
  </w:style>
  <w:style w:type="character" w:customStyle="1" w:styleId="77">
    <w:name w:val="文档结构图 字符"/>
    <w:link w:val="15"/>
    <w:autoRedefine/>
    <w:qFormat/>
    <w:uiPriority w:val="0"/>
    <w:rPr>
      <w:rFonts w:ascii="Times New Roman" w:hAnsi="Times New Roman" w:eastAsia="宋体" w:cs="Times New Roman"/>
      <w:szCs w:val="24"/>
      <w:shd w:val="clear" w:color="auto" w:fill="000080"/>
    </w:rPr>
  </w:style>
  <w:style w:type="character" w:customStyle="1" w:styleId="78">
    <w:name w:val="font161"/>
    <w:autoRedefine/>
    <w:qFormat/>
    <w:uiPriority w:val="0"/>
    <w:rPr>
      <w:b/>
      <w:bCs/>
      <w:sz w:val="32"/>
      <w:szCs w:val="32"/>
    </w:rPr>
  </w:style>
  <w:style w:type="character" w:customStyle="1" w:styleId="79">
    <w:name w:val="标题 2 字符"/>
    <w:link w:val="3"/>
    <w:autoRedefine/>
    <w:qFormat/>
    <w:uiPriority w:val="0"/>
    <w:rPr>
      <w:rFonts w:ascii="Arial" w:hAnsi="Arial" w:eastAsia="黑体" w:cs="Times New Roman"/>
      <w:b/>
      <w:bCs/>
      <w:sz w:val="32"/>
      <w:szCs w:val="32"/>
    </w:rPr>
  </w:style>
  <w:style w:type="character" w:customStyle="1" w:styleId="80">
    <w:name w:val="标题 字符"/>
    <w:link w:val="40"/>
    <w:autoRedefine/>
    <w:qFormat/>
    <w:uiPriority w:val="0"/>
    <w:rPr>
      <w:rFonts w:ascii="Arial" w:hAnsi="Arial"/>
      <w:b/>
      <w:sz w:val="32"/>
    </w:rPr>
  </w:style>
  <w:style w:type="character" w:customStyle="1" w:styleId="81">
    <w:name w:val="批注框文本 字符"/>
    <w:link w:val="14"/>
    <w:autoRedefine/>
    <w:qFormat/>
    <w:uiPriority w:val="0"/>
    <w:rPr>
      <w:rFonts w:ascii="Times New Roman" w:hAnsi="Times New Roman" w:eastAsia="宋体" w:cs="Times New Roman"/>
      <w:sz w:val="18"/>
      <w:szCs w:val="18"/>
    </w:rPr>
  </w:style>
  <w:style w:type="character" w:customStyle="1" w:styleId="82">
    <w:name w:val="标题 8 字符"/>
    <w:link w:val="9"/>
    <w:autoRedefine/>
    <w:qFormat/>
    <w:uiPriority w:val="0"/>
    <w:rPr>
      <w:rFonts w:ascii="Arial" w:hAnsi="Arial" w:eastAsia="黑体" w:cs="Times New Roman"/>
      <w:kern w:val="0"/>
      <w:sz w:val="24"/>
      <w:szCs w:val="24"/>
    </w:rPr>
  </w:style>
  <w:style w:type="character" w:customStyle="1" w:styleId="83">
    <w:name w:val="日期 字符"/>
    <w:link w:val="25"/>
    <w:autoRedefine/>
    <w:qFormat/>
    <w:uiPriority w:val="0"/>
    <w:rPr>
      <w:rFonts w:ascii="Times New Roman" w:hAnsi="Times New Roman" w:eastAsia="宋体" w:cs="Times New Roman"/>
      <w:sz w:val="24"/>
      <w:szCs w:val="20"/>
    </w:rPr>
  </w:style>
  <w:style w:type="character" w:customStyle="1" w:styleId="84">
    <w:name w:val="标题 1 字符"/>
    <w:link w:val="2"/>
    <w:autoRedefine/>
    <w:qFormat/>
    <w:uiPriority w:val="0"/>
    <w:rPr>
      <w:rFonts w:ascii="Times New Roman" w:hAnsi="Times New Roman" w:eastAsia="宋体" w:cs="Times New Roman"/>
      <w:b/>
      <w:bCs/>
      <w:kern w:val="44"/>
      <w:sz w:val="44"/>
      <w:szCs w:val="44"/>
    </w:rPr>
  </w:style>
  <w:style w:type="character" w:customStyle="1" w:styleId="85">
    <w:name w:val="招标节 Char"/>
    <w:link w:val="86"/>
    <w:autoRedefine/>
    <w:qFormat/>
    <w:locked/>
    <w:uiPriority w:val="0"/>
    <w:rPr>
      <w:b/>
      <w:sz w:val="24"/>
      <w:szCs w:val="24"/>
    </w:rPr>
  </w:style>
  <w:style w:type="paragraph" w:customStyle="1" w:styleId="86">
    <w:name w:val="招标节"/>
    <w:basedOn w:val="1"/>
    <w:next w:val="1"/>
    <w:link w:val="85"/>
    <w:autoRedefine/>
    <w:qFormat/>
    <w:uiPriority w:val="0"/>
    <w:pPr>
      <w:spacing w:beforeLines="50" w:afterLines="50"/>
      <w:outlineLvl w:val="1"/>
    </w:pPr>
    <w:rPr>
      <w:b/>
      <w:kern w:val="0"/>
      <w:sz w:val="24"/>
    </w:rPr>
  </w:style>
  <w:style w:type="character" w:customStyle="1" w:styleId="87">
    <w:name w:val="正文文本缩进 3 字符"/>
    <w:link w:val="33"/>
    <w:autoRedefine/>
    <w:qFormat/>
    <w:uiPriority w:val="0"/>
    <w:rPr>
      <w:rFonts w:ascii="Times New Roman" w:hAnsi="Times New Roman" w:eastAsia="宋体" w:cs="Times New Roman"/>
      <w:sz w:val="16"/>
      <w:szCs w:val="16"/>
    </w:rPr>
  </w:style>
  <w:style w:type="character" w:customStyle="1" w:styleId="88">
    <w:name w:val="tpc_content1"/>
    <w:autoRedefine/>
    <w:qFormat/>
    <w:uiPriority w:val="0"/>
    <w:rPr>
      <w:sz w:val="20"/>
      <w:szCs w:val="20"/>
    </w:rPr>
  </w:style>
  <w:style w:type="character" w:customStyle="1" w:styleId="89">
    <w:name w:val="Char Char"/>
    <w:autoRedefine/>
    <w:qFormat/>
    <w:uiPriority w:val="0"/>
    <w:rPr>
      <w:rFonts w:ascii="Arial" w:hAnsi="Arial" w:eastAsia="黑体"/>
      <w:b/>
      <w:bCs/>
      <w:kern w:val="2"/>
      <w:sz w:val="32"/>
      <w:szCs w:val="32"/>
      <w:lang w:val="en-US" w:eastAsia="zh-CN" w:bidi="ar-SA"/>
    </w:rPr>
  </w:style>
  <w:style w:type="character" w:customStyle="1" w:styleId="90">
    <w:name w:val="正文文本 Char1"/>
    <w:autoRedefine/>
    <w:semiHidden/>
    <w:qFormat/>
    <w:uiPriority w:val="99"/>
    <w:rPr>
      <w:rFonts w:ascii="Times New Roman" w:hAnsi="Times New Roman" w:eastAsia="宋体" w:cs="Times New Roman"/>
      <w:szCs w:val="24"/>
    </w:rPr>
  </w:style>
  <w:style w:type="character" w:customStyle="1" w:styleId="91">
    <w:name w:val="Char Char2"/>
    <w:autoRedefine/>
    <w:qFormat/>
    <w:uiPriority w:val="0"/>
    <w:rPr>
      <w:rFonts w:eastAsia="宋体"/>
      <w:kern w:val="2"/>
      <w:sz w:val="21"/>
      <w:szCs w:val="24"/>
      <w:lang w:val="en-US" w:eastAsia="zh-CN" w:bidi="ar-SA"/>
    </w:rPr>
  </w:style>
  <w:style w:type="character" w:customStyle="1" w:styleId="92">
    <w:name w:val="apple-converted-space"/>
    <w:autoRedefine/>
    <w:qFormat/>
    <w:uiPriority w:val="0"/>
  </w:style>
  <w:style w:type="character" w:customStyle="1" w:styleId="93">
    <w:name w:val="标题 4 字符"/>
    <w:link w:val="5"/>
    <w:autoRedefine/>
    <w:qFormat/>
    <w:uiPriority w:val="0"/>
    <w:rPr>
      <w:rFonts w:ascii="Arial" w:hAnsi="Arial" w:eastAsia="黑体" w:cs="Times New Roman"/>
      <w:b/>
      <w:bCs/>
      <w:sz w:val="28"/>
      <w:szCs w:val="28"/>
    </w:rPr>
  </w:style>
  <w:style w:type="character" w:customStyle="1" w:styleId="94">
    <w:name w:val="正文文本缩进 Char1"/>
    <w:autoRedefine/>
    <w:semiHidden/>
    <w:qFormat/>
    <w:uiPriority w:val="99"/>
    <w:rPr>
      <w:rFonts w:ascii="Times New Roman" w:hAnsi="Times New Roman" w:eastAsia="宋体" w:cs="Times New Roman"/>
      <w:szCs w:val="24"/>
    </w:rPr>
  </w:style>
  <w:style w:type="character" w:customStyle="1" w:styleId="95">
    <w:name w:val="页脚 字符"/>
    <w:link w:val="27"/>
    <w:autoRedefine/>
    <w:qFormat/>
    <w:uiPriority w:val="99"/>
    <w:rPr>
      <w:sz w:val="18"/>
      <w:szCs w:val="18"/>
    </w:rPr>
  </w:style>
  <w:style w:type="character" w:customStyle="1" w:styleId="96">
    <w:name w:val="Char Char7"/>
    <w:autoRedefine/>
    <w:qFormat/>
    <w:uiPriority w:val="0"/>
    <w:rPr>
      <w:rFonts w:ascii="Arial" w:hAnsi="Arial" w:eastAsia="黑体"/>
      <w:b/>
      <w:bCs/>
      <w:kern w:val="2"/>
      <w:sz w:val="32"/>
      <w:szCs w:val="32"/>
      <w:lang w:val="en-US" w:eastAsia="zh-CN" w:bidi="ar-SA"/>
    </w:rPr>
  </w:style>
  <w:style w:type="character" w:customStyle="1" w:styleId="97">
    <w:name w:val="HTML 预设格式 字符"/>
    <w:link w:val="37"/>
    <w:autoRedefine/>
    <w:qFormat/>
    <w:uiPriority w:val="0"/>
    <w:rPr>
      <w:rFonts w:ascii="微软雅黑" w:hAnsi="微软雅黑" w:eastAsia="微软雅黑" w:cs="Times New Roman"/>
      <w:kern w:val="0"/>
      <w:sz w:val="24"/>
      <w:szCs w:val="24"/>
    </w:rPr>
  </w:style>
  <w:style w:type="character" w:customStyle="1" w:styleId="98">
    <w:name w:val="批注文字 Char"/>
    <w:autoRedefine/>
    <w:qFormat/>
    <w:uiPriority w:val="0"/>
    <w:rPr>
      <w:rFonts w:eastAsia="宋体"/>
      <w:kern w:val="2"/>
      <w:sz w:val="21"/>
      <w:szCs w:val="24"/>
      <w:lang w:val="en-US" w:eastAsia="zh-CN" w:bidi="ar-SA"/>
    </w:rPr>
  </w:style>
  <w:style w:type="character" w:customStyle="1" w:styleId="99">
    <w:name w:val="纯文本 字符"/>
    <w:link w:val="23"/>
    <w:autoRedefine/>
    <w:qFormat/>
    <w:uiPriority w:val="99"/>
    <w:rPr>
      <w:rFonts w:ascii="Courier New" w:hAnsi="Courier New"/>
    </w:rPr>
  </w:style>
  <w:style w:type="character" w:customStyle="1" w:styleId="100">
    <w:name w:val="标题 7 字符"/>
    <w:link w:val="8"/>
    <w:autoRedefine/>
    <w:qFormat/>
    <w:uiPriority w:val="0"/>
    <w:rPr>
      <w:rFonts w:ascii="Times New Roman" w:hAnsi="Times New Roman" w:eastAsia="宋体" w:cs="Times New Roman"/>
      <w:b/>
      <w:bCs/>
      <w:kern w:val="0"/>
      <w:sz w:val="24"/>
      <w:szCs w:val="24"/>
    </w:rPr>
  </w:style>
  <w:style w:type="paragraph" w:customStyle="1" w:styleId="101">
    <w:name w:val="样式4"/>
    <w:basedOn w:val="4"/>
    <w:autoRedefine/>
    <w:qFormat/>
    <w:uiPriority w:val="0"/>
    <w:rPr>
      <w:rFonts w:eastAsia="Arial"/>
    </w:rPr>
  </w:style>
  <w:style w:type="paragraph" w:customStyle="1" w:styleId="102">
    <w:name w:val="Normal_9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Normal_6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font10"/>
    <w:basedOn w:val="1"/>
    <w:autoRedefine/>
    <w:qFormat/>
    <w:uiPriority w:val="0"/>
    <w:pPr>
      <w:widowControl/>
      <w:spacing w:before="100" w:beforeAutospacing="1" w:after="100" w:afterAutospacing="1"/>
      <w:jc w:val="left"/>
    </w:pPr>
    <w:rPr>
      <w:kern w:val="0"/>
      <w:sz w:val="28"/>
      <w:szCs w:val="28"/>
    </w:rPr>
  </w:style>
  <w:style w:type="paragraph" w:customStyle="1" w:styleId="105">
    <w:name w:val="Normal_5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Normal_6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样式1"/>
    <w:basedOn w:val="4"/>
    <w:autoRedefine/>
    <w:qFormat/>
    <w:uiPriority w:val="0"/>
    <w:rPr>
      <w:rFonts w:eastAsia="Arial"/>
    </w:rPr>
  </w:style>
  <w:style w:type="paragraph" w:customStyle="1" w:styleId="108">
    <w:name w:val="Normal_25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Normal_5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Char"/>
    <w:basedOn w:val="1"/>
    <w:autoRedefine/>
    <w:qFormat/>
    <w:uiPriority w:val="0"/>
    <w:pPr>
      <w:tabs>
        <w:tab w:val="left" w:pos="360"/>
      </w:tabs>
    </w:pPr>
    <w:rPr>
      <w:sz w:val="24"/>
    </w:rPr>
  </w:style>
  <w:style w:type="paragraph" w:customStyle="1" w:styleId="111">
    <w:name w:val="Normal_9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表格"/>
    <w:basedOn w:val="1"/>
    <w:autoRedefine/>
    <w:qFormat/>
    <w:uiPriority w:val="0"/>
    <w:pPr>
      <w:jc w:val="center"/>
      <w:textAlignment w:val="center"/>
    </w:pPr>
    <w:rPr>
      <w:rFonts w:ascii="华文细黑" w:hAnsi="华文细黑"/>
      <w:kern w:val="0"/>
      <w:szCs w:val="20"/>
    </w:rPr>
  </w:style>
  <w:style w:type="paragraph" w:customStyle="1" w:styleId="113">
    <w:name w:val="Normal_5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1"/>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Normal_6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样式 居中 首行缩进:  2 字符"/>
    <w:basedOn w:val="1"/>
    <w:autoRedefine/>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7">
    <w:name w:val="Normal_6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1"/>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5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Normal_6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2">
    <w:name w:val="列表段落1"/>
    <w:basedOn w:val="1"/>
    <w:autoRedefine/>
    <w:qFormat/>
    <w:uiPriority w:val="34"/>
    <w:pPr>
      <w:ind w:firstLine="420" w:firstLineChars="200"/>
    </w:pPr>
    <w:rPr>
      <w:rFonts w:ascii="Calibri" w:hAnsi="Calibri"/>
      <w:szCs w:val="22"/>
    </w:rPr>
  </w:style>
  <w:style w:type="paragraph" w:customStyle="1" w:styleId="123">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bCs w:val="0"/>
      <w:sz w:val="28"/>
      <w:szCs w:val="20"/>
    </w:rPr>
  </w:style>
  <w:style w:type="paragraph" w:customStyle="1" w:styleId="124">
    <w:name w:val="Normal_5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Normal_6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6">
    <w:name w:val="表中"/>
    <w:basedOn w:val="1"/>
    <w:autoRedefine/>
    <w:qFormat/>
    <w:uiPriority w:val="0"/>
    <w:pPr>
      <w:autoSpaceDE w:val="0"/>
      <w:autoSpaceDN w:val="0"/>
      <w:adjustRightInd w:val="0"/>
      <w:spacing w:line="360" w:lineRule="atLeast"/>
      <w:jc w:val="center"/>
    </w:pPr>
    <w:rPr>
      <w:rFonts w:ascii="宋体"/>
      <w:kern w:val="0"/>
      <w:szCs w:val="20"/>
    </w:rPr>
  </w:style>
  <w:style w:type="paragraph" w:customStyle="1" w:styleId="127">
    <w:name w:val="样式 标题 1 + 黑体 三号 非加粗 居中 段前: 6 磅 段后: 6 磅 行距: 固定值 20 磅"/>
    <w:basedOn w:val="2"/>
    <w:autoRedefine/>
    <w:qFormat/>
    <w:uiPriority w:val="0"/>
    <w:pPr>
      <w:spacing w:before="120" w:after="120" w:line="400" w:lineRule="exact"/>
      <w:jc w:val="center"/>
    </w:pPr>
    <w:rPr>
      <w:rFonts w:ascii="黑体" w:hAnsi="黑体" w:eastAsia="黑体" w:cs="宋体"/>
      <w:b w:val="0"/>
      <w:bCs w:val="0"/>
      <w:sz w:val="32"/>
      <w:szCs w:val="20"/>
    </w:rPr>
  </w:style>
  <w:style w:type="paragraph" w:customStyle="1" w:styleId="128">
    <w:name w:val="1"/>
    <w:basedOn w:val="1"/>
    <w:next w:val="1"/>
    <w:autoRedefine/>
    <w:qFormat/>
    <w:uiPriority w:val="0"/>
  </w:style>
  <w:style w:type="paragraph" w:customStyle="1" w:styleId="129">
    <w:name w:val="Normal_5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Normal_5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1">
    <w:name w:val="规范文本"/>
    <w:basedOn w:val="23"/>
    <w:autoRedefine/>
    <w:qFormat/>
    <w:uiPriority w:val="0"/>
    <w:pPr>
      <w:adjustRightInd w:val="0"/>
      <w:snapToGrid w:val="0"/>
      <w:spacing w:line="360" w:lineRule="exact"/>
      <w:ind w:firstLine="420"/>
    </w:pPr>
    <w:rPr>
      <w:rFonts w:ascii="宋体"/>
      <w:snapToGrid w:val="0"/>
      <w:szCs w:val="21"/>
    </w:rPr>
  </w:style>
  <w:style w:type="paragraph" w:customStyle="1" w:styleId="132">
    <w:name w:val="样式 标题 2 + Times New Roman 四号 非加粗 行距: 单倍行距"/>
    <w:basedOn w:val="3"/>
    <w:autoRedefine/>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3">
    <w:name w:val="节"/>
    <w:basedOn w:val="23"/>
    <w:autoRedefine/>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4">
    <w:name w:val="Normal_8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样式3"/>
    <w:basedOn w:val="4"/>
    <w:autoRedefine/>
    <w:qFormat/>
    <w:uiPriority w:val="0"/>
    <w:rPr>
      <w:rFonts w:eastAsia="Arial"/>
    </w:rPr>
  </w:style>
  <w:style w:type="paragraph" w:customStyle="1" w:styleId="136">
    <w:name w:val="Normal_9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Normal_5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9">
    <w:name w:val="Normal_9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正文文本 (15)"/>
    <w:basedOn w:val="1"/>
    <w:autoRedefine/>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1">
    <w:name w:val="Normal_9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Normal_4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3">
    <w:name w:val="正文文本 (2)"/>
    <w:basedOn w:val="1"/>
    <w:autoRedefine/>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4">
    <w:name w:val="设计说明2"/>
    <w:basedOn w:val="1"/>
    <w:autoRedefine/>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5">
    <w:name w:val="Normal_6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样式 宋体 左 首行缩进:  2 字符"/>
    <w:basedOn w:val="1"/>
    <w:autoRedefine/>
    <w:qFormat/>
    <w:uiPriority w:val="0"/>
    <w:pPr>
      <w:widowControl/>
      <w:spacing w:line="360" w:lineRule="auto"/>
      <w:ind w:firstLine="200" w:firstLineChars="200"/>
    </w:pPr>
    <w:rPr>
      <w:rFonts w:cs="宋体"/>
      <w:kern w:val="0"/>
      <w:szCs w:val="20"/>
      <w:lang w:eastAsia="en-US" w:bidi="en-US"/>
    </w:rPr>
  </w:style>
  <w:style w:type="paragraph" w:customStyle="1" w:styleId="147">
    <w:name w:val="Normal_5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8">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149">
    <w:name w:val="第二"/>
    <w:basedOn w:val="1"/>
    <w:autoRedefine/>
    <w:qFormat/>
    <w:uiPriority w:val="0"/>
    <w:pPr>
      <w:adjustRightInd w:val="0"/>
      <w:snapToGrid w:val="0"/>
      <w:spacing w:line="360" w:lineRule="auto"/>
      <w:ind w:right="-108" w:rightChars="-45" w:firstLine="482"/>
    </w:pPr>
    <w:rPr>
      <w:b/>
    </w:rPr>
  </w:style>
  <w:style w:type="paragraph" w:customStyle="1" w:styleId="150">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4"/>
      <w:szCs w:val="20"/>
    </w:rPr>
  </w:style>
  <w:style w:type="paragraph" w:customStyle="1" w:styleId="151">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2">
    <w:name w:val="xl27"/>
    <w:basedOn w:val="1"/>
    <w:autoRedefine/>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3">
    <w:name w:val="内容"/>
    <w:basedOn w:val="1"/>
    <w:autoRedefine/>
    <w:qFormat/>
    <w:uiPriority w:val="0"/>
    <w:pPr>
      <w:spacing w:line="480" w:lineRule="exact"/>
      <w:ind w:firstLine="200" w:firstLineChars="200"/>
    </w:pPr>
  </w:style>
  <w:style w:type="paragraph" w:customStyle="1" w:styleId="154">
    <w:name w:val="正文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5">
    <w:name w:val="Normal_4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列出段落1"/>
    <w:basedOn w:val="1"/>
    <w:autoRedefine/>
    <w:qFormat/>
    <w:uiPriority w:val="99"/>
    <w:pPr>
      <w:ind w:firstLine="420" w:firstLineChars="200"/>
    </w:pPr>
  </w:style>
  <w:style w:type="paragraph" w:customStyle="1" w:styleId="157">
    <w:name w:val="Normal_4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8">
    <w:name w:val="表格文字"/>
    <w:basedOn w:val="1"/>
    <w:autoRedefine/>
    <w:qFormat/>
    <w:uiPriority w:val="0"/>
    <w:pPr>
      <w:adjustRightInd w:val="0"/>
      <w:spacing w:line="420" w:lineRule="atLeast"/>
      <w:jc w:val="left"/>
      <w:textAlignment w:val="baseline"/>
    </w:pPr>
    <w:rPr>
      <w:kern w:val="0"/>
      <w:szCs w:val="20"/>
    </w:rPr>
  </w:style>
  <w:style w:type="paragraph" w:customStyle="1" w:styleId="159">
    <w:name w:val="须知内容"/>
    <w:autoRedefine/>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60">
    <w:name w:val="样式2"/>
    <w:basedOn w:val="4"/>
    <w:autoRedefine/>
    <w:qFormat/>
    <w:uiPriority w:val="0"/>
  </w:style>
  <w:style w:type="character" w:customStyle="1" w:styleId="161">
    <w:name w:val="after"/>
    <w:basedOn w:val="46"/>
    <w:autoRedefine/>
    <w:qFormat/>
    <w:uiPriority w:val="0"/>
    <w:rPr>
      <w:bdr w:val="dashed" w:color="auto" w:sz="48" w:space="0"/>
    </w:rPr>
  </w:style>
  <w:style w:type="character" w:customStyle="1" w:styleId="162">
    <w:name w:val="before"/>
    <w:basedOn w:val="46"/>
    <w:autoRedefine/>
    <w:qFormat/>
    <w:uiPriority w:val="0"/>
    <w:rPr>
      <w:bdr w:val="single" w:color="auto" w:sz="48" w:space="0"/>
    </w:rPr>
  </w:style>
  <w:style w:type="character" w:customStyle="1" w:styleId="163">
    <w:name w:val="hover48"/>
    <w:basedOn w:val="46"/>
    <w:autoRedefine/>
    <w:qFormat/>
    <w:uiPriority w:val="0"/>
    <w:rPr>
      <w:shd w:val="clear" w:color="auto" w:fill="346AC3"/>
    </w:rPr>
  </w:style>
  <w:style w:type="character" w:customStyle="1" w:styleId="164">
    <w:name w:val="hover49"/>
    <w:basedOn w:val="46"/>
    <w:autoRedefine/>
    <w:qFormat/>
    <w:uiPriority w:val="0"/>
  </w:style>
  <w:style w:type="character" w:customStyle="1" w:styleId="165">
    <w:name w:val="hover50"/>
    <w:basedOn w:val="46"/>
    <w:autoRedefine/>
    <w:qFormat/>
    <w:uiPriority w:val="0"/>
    <w:rPr>
      <w:color w:val="4285F4"/>
      <w:u w:val="none"/>
    </w:rPr>
  </w:style>
  <w:style w:type="character" w:customStyle="1" w:styleId="166">
    <w:name w:val="hover51"/>
    <w:basedOn w:val="46"/>
    <w:autoRedefine/>
    <w:qFormat/>
    <w:uiPriority w:val="0"/>
    <w:rPr>
      <w:color w:val="4285F4"/>
    </w:rPr>
  </w:style>
  <w:style w:type="character" w:customStyle="1" w:styleId="167">
    <w:name w:val="hover52"/>
    <w:basedOn w:val="46"/>
    <w:autoRedefine/>
    <w:qFormat/>
    <w:uiPriority w:val="0"/>
    <w:rPr>
      <w:color w:val="1A85D7"/>
    </w:rPr>
  </w:style>
  <w:style w:type="character" w:customStyle="1" w:styleId="168">
    <w:name w:val="credit"/>
    <w:basedOn w:val="46"/>
    <w:autoRedefine/>
    <w:qFormat/>
    <w:uiPriority w:val="0"/>
    <w:rPr>
      <w:sz w:val="18"/>
      <w:szCs w:val="18"/>
    </w:rPr>
  </w:style>
  <w:style w:type="character" w:customStyle="1" w:styleId="169">
    <w:name w:val="first-child"/>
    <w:basedOn w:val="46"/>
    <w:autoRedefine/>
    <w:qFormat/>
    <w:uiPriority w:val="0"/>
  </w:style>
  <w:style w:type="character" w:customStyle="1" w:styleId="170">
    <w:name w:val="font31"/>
    <w:basedOn w:val="46"/>
    <w:autoRedefine/>
    <w:qFormat/>
    <w:uiPriority w:val="0"/>
    <w:rPr>
      <w:rFonts w:hint="eastAsia" w:ascii="宋体" w:hAnsi="宋体" w:eastAsia="宋体" w:cs="宋体"/>
      <w:color w:val="000000"/>
      <w:sz w:val="24"/>
      <w:szCs w:val="24"/>
      <w:u w:val="none"/>
    </w:rPr>
  </w:style>
  <w:style w:type="paragraph" w:customStyle="1" w:styleId="171">
    <w:name w:val="样式 + 首行缩进: 2 字符"/>
    <w:basedOn w:val="1"/>
    <w:autoRedefine/>
    <w:qFormat/>
    <w:uiPriority w:val="0"/>
    <w:pPr>
      <w:adjustRightInd w:val="0"/>
      <w:spacing w:line="360" w:lineRule="auto"/>
      <w:ind w:firstLine="524" w:firstLineChars="200"/>
    </w:pPr>
    <w:rPr>
      <w:rFonts w:hint="eastAsia" w:ascii="宋体" w:hAnsi="宋体"/>
      <w:spacing w:val="11"/>
      <w:kern w:val="0"/>
      <w:sz w:val="24"/>
    </w:rPr>
  </w:style>
  <w:style w:type="paragraph" w:customStyle="1" w:styleId="172">
    <w:name w:val="表格内正文，无编号"/>
    <w:basedOn w:val="1"/>
    <w:autoRedefine/>
    <w:qFormat/>
    <w:uiPriority w:val="0"/>
    <w:pPr>
      <w:spacing w:line="400" w:lineRule="exact"/>
      <w:ind w:firstLine="643" w:firstLineChars="200"/>
    </w:pPr>
  </w:style>
  <w:style w:type="paragraph" w:customStyle="1" w:styleId="173">
    <w:name w:val="*正文"/>
    <w:basedOn w:val="1"/>
    <w:autoRedefine/>
    <w:qFormat/>
    <w:uiPriority w:val="0"/>
    <w:pPr>
      <w:widowControl/>
      <w:ind w:firstLine="200" w:firstLineChars="200"/>
    </w:pPr>
    <w:rPr>
      <w:rFonts w:ascii="方正仿宋_GB2312" w:eastAsia="方正仿宋_GB2312" w:cstheme="minorBidi"/>
      <w:sz w:val="24"/>
      <w:szCs w:val="28"/>
    </w:rPr>
  </w:style>
  <w:style w:type="paragraph" w:customStyle="1" w:styleId="174">
    <w:name w:val="表体"/>
    <w:basedOn w:val="1"/>
    <w:next w:val="1"/>
    <w:autoRedefine/>
    <w:qFormat/>
    <w:uiPriority w:val="0"/>
    <w:pPr>
      <w:snapToGrid w:val="0"/>
      <w:spacing w:line="0" w:lineRule="atLeast"/>
    </w:pPr>
    <w:rPr>
      <w:b/>
      <w:szCs w:val="20"/>
    </w:rPr>
  </w:style>
  <w:style w:type="character" w:customStyle="1" w:styleId="175">
    <w:name w:val="font21"/>
    <w:basedOn w:val="46"/>
    <w:autoRedefine/>
    <w:qFormat/>
    <w:uiPriority w:val="0"/>
    <w:rPr>
      <w:rFonts w:hint="eastAsia" w:ascii="黑体" w:hAnsi="宋体" w:eastAsia="黑体" w:cs="黑体"/>
      <w:color w:val="000000"/>
      <w:sz w:val="20"/>
      <w:szCs w:val="20"/>
      <w:u w:val="none"/>
    </w:rPr>
  </w:style>
  <w:style w:type="character" w:customStyle="1" w:styleId="176">
    <w:name w:val="font61"/>
    <w:basedOn w:val="46"/>
    <w:autoRedefine/>
    <w:qFormat/>
    <w:uiPriority w:val="0"/>
    <w:rPr>
      <w:rFonts w:ascii="腾祥童宋体简" w:hAnsi="腾祥童宋体简" w:eastAsia="腾祥童宋体简" w:cs="腾祥童宋体简"/>
      <w:color w:val="000000"/>
      <w:sz w:val="20"/>
      <w:szCs w:val="20"/>
      <w:u w:val="none"/>
    </w:rPr>
  </w:style>
  <w:style w:type="character" w:customStyle="1" w:styleId="177">
    <w:name w:val="font81"/>
    <w:basedOn w:val="46"/>
    <w:autoRedefine/>
    <w:qFormat/>
    <w:uiPriority w:val="0"/>
    <w:rPr>
      <w:rFonts w:ascii="腾祥童宋体简" w:hAnsi="腾祥童宋体简" w:eastAsia="腾祥童宋体简" w:cs="腾祥童宋体简"/>
      <w:color w:val="000000"/>
      <w:sz w:val="20"/>
      <w:szCs w:val="20"/>
      <w:u w:val="none"/>
    </w:rPr>
  </w:style>
  <w:style w:type="paragraph" w:customStyle="1" w:styleId="178">
    <w:name w:val="修订1"/>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179">
    <w:name w:val="修订2"/>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180">
    <w:name w:val="Y正文GBK"/>
    <w:basedOn w:val="1"/>
    <w:autoRedefine/>
    <w:qFormat/>
    <w:uiPriority w:val="0"/>
    <w:pPr>
      <w:spacing w:line="560" w:lineRule="exact"/>
      <w:ind w:firstLine="640"/>
    </w:pPr>
    <w:rPr>
      <w:rFonts w:ascii="方正仿宋_GBK" w:hAnsi="黑体" w:eastAsia="方正仿宋_GBK"/>
      <w:szCs w:val="32"/>
    </w:rPr>
  </w:style>
  <w:style w:type="paragraph" w:customStyle="1" w:styleId="181">
    <w:name w:val="List Paragraph"/>
    <w:basedOn w:val="182"/>
    <w:autoRedefine/>
    <w:qFormat/>
    <w:uiPriority w:val="1"/>
    <w:pPr>
      <w:ind w:left="100" w:firstLine="420"/>
    </w:pPr>
    <w:rPr>
      <w:rFonts w:ascii="宋体" w:hAnsi="宋体" w:eastAsia="宋体" w:cs="宋体"/>
    </w:rPr>
  </w:style>
  <w:style w:type="paragraph" w:customStyle="1" w:styleId="182">
    <w:name w:val="五级条标题"/>
    <w:basedOn w:val="183"/>
    <w:next w:val="183"/>
    <w:autoRedefine/>
    <w:qFormat/>
    <w:uiPriority w:val="0"/>
    <w:pPr>
      <w:outlineLvl w:val="6"/>
    </w:pPr>
  </w:style>
  <w:style w:type="paragraph" w:customStyle="1" w:styleId="183">
    <w:name w:val="章标题"/>
    <w:next w:val="184"/>
    <w:autoRedefine/>
    <w:qFormat/>
    <w:uiPriority w:val="0"/>
    <w:pPr>
      <w:jc w:val="both"/>
      <w:outlineLvl w:val="1"/>
    </w:pPr>
    <w:rPr>
      <w:rFonts w:ascii="黑体" w:hAnsi="黑体" w:eastAsia="黑体" w:cs="Times New Roman"/>
      <w:kern w:val="1"/>
      <w:sz w:val="21"/>
      <w:lang w:val="en-US" w:eastAsia="zh-CN" w:bidi="ar-SA"/>
    </w:rPr>
  </w:style>
  <w:style w:type="paragraph" w:customStyle="1" w:styleId="184">
    <w:name w:val="目次、标准名称标题"/>
    <w:basedOn w:val="185"/>
    <w:next w:val="185"/>
    <w:autoRedefine/>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85">
    <w:name w:val="投标正文"/>
    <w:basedOn w:val="186"/>
    <w:autoRedefine/>
    <w:qFormat/>
    <w:uiPriority w:val="0"/>
    <w:pPr>
      <w:spacing w:line="360" w:lineRule="auto"/>
    </w:pPr>
    <w:rPr>
      <w:spacing w:val="15"/>
      <w:sz w:val="32"/>
      <w:szCs w:val="32"/>
    </w:rPr>
  </w:style>
  <w:style w:type="paragraph" w:customStyle="1" w:styleId="186">
    <w:name w:val="四级条标题"/>
    <w:basedOn w:val="187"/>
    <w:next w:val="187"/>
    <w:autoRedefine/>
    <w:qFormat/>
    <w:uiPriority w:val="0"/>
    <w:pPr>
      <w:outlineLvl w:val="5"/>
    </w:pPr>
  </w:style>
  <w:style w:type="paragraph" w:customStyle="1" w:styleId="187">
    <w:name w:val="三级条标题"/>
    <w:basedOn w:val="188"/>
    <w:next w:val="188"/>
    <w:autoRedefine/>
    <w:qFormat/>
    <w:uiPriority w:val="0"/>
    <w:pPr>
      <w:outlineLvl w:val="4"/>
    </w:pPr>
  </w:style>
  <w:style w:type="paragraph" w:customStyle="1" w:styleId="188">
    <w:name w:val="二级条标题"/>
    <w:basedOn w:val="189"/>
    <w:next w:val="189"/>
    <w:autoRedefine/>
    <w:qFormat/>
    <w:uiPriority w:val="0"/>
    <w:pPr>
      <w:outlineLvl w:val="3"/>
    </w:pPr>
  </w:style>
  <w:style w:type="paragraph" w:customStyle="1" w:styleId="189">
    <w:name w:val="一级条标题"/>
    <w:next w:val="13"/>
    <w:autoRedefine/>
    <w:qFormat/>
    <w:uiPriority w:val="0"/>
    <w:pPr>
      <w:outlineLvl w:val="2"/>
    </w:pPr>
    <w:rPr>
      <w:rFonts w:ascii="黑体" w:hAnsi="黑体" w:eastAsia="黑体" w:cs="Times New Roman"/>
      <w:kern w:val="1"/>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33</Pages>
  <Words>317</Words>
  <Characters>345</Characters>
  <Lines>3114</Lines>
  <Paragraphs>1999</Paragraphs>
  <TotalTime>13</TotalTime>
  <ScaleCrop>false</ScaleCrop>
  <LinksUpToDate>false</LinksUpToDate>
  <CharactersWithSpaces>399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2024-08-10T00:33:00Z</dcterms:created>
  <dc:creator>陈桂兰</dc:creator>
  <cp:lastModifiedBy>小方</cp:lastModifiedBy>
  <cp:lastPrinted>2022-06-10T02:51:00Z</cp:lastPrinted>
  <dcterms:modified xsi:type="dcterms:W3CDTF">2026-05-07T05:01:38Z</dcterms:modified>
  <dc:title>项目名称：2019年重庆市取消高速公路省界收费站项目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7B059DD092024C9282DA968006840913_13</vt:lpwstr>
  </property>
  <property fmtid="{D5CDD505-2E9C-101B-9397-08002B2CF9AE}" pid="4" name="KSOTemplateDocerSaveRecord">
    <vt:lpwstr>eyJoZGlkIjoiMzljMzU0YWI5OGYzY2Q1NmE2NWNiY2VhMWM2ZjA1YzIiLCJ1c2VySWQiOiIxMjg4NTQwMDA1In0=</vt:lpwstr>
  </property>
</Properties>
</file>