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D6D65B">
      <w:pPr>
        <w:autoSpaceDE w:val="0"/>
        <w:autoSpaceDN w:val="0"/>
        <w:adjustRightInd w:val="0"/>
        <w:snapToGrid w:val="0"/>
        <w:spacing w:line="360" w:lineRule="auto"/>
        <w:rPr>
          <w:rFonts w:hint="default" w:ascii="宋体" w:hAnsi="宋体" w:eastAsia="宋体" w:cs="宋体"/>
          <w:color w:val="auto"/>
          <w:kern w:val="0"/>
          <w:sz w:val="32"/>
          <w:szCs w:val="32"/>
          <w:highlight w:val="none"/>
          <w:u w:val="none"/>
          <w:lang w:val="en-US" w:eastAsia="zh-CN"/>
        </w:rPr>
      </w:pPr>
      <w:bookmarkStart w:id="0" w:name="_Toc43278824"/>
      <w:bookmarkStart w:id="1" w:name="_Toc37531048"/>
      <w:bookmarkStart w:id="2" w:name="_Toc536800622"/>
      <w:bookmarkStart w:id="3" w:name="_Toc536781693"/>
      <w:bookmarkStart w:id="4" w:name="_Toc536782092"/>
      <w:bookmarkStart w:id="5" w:name="_Toc536621766"/>
      <w:bookmarkStart w:id="6" w:name="_Toc28400"/>
      <w:bookmarkStart w:id="7" w:name="_Toc536628229"/>
      <w:bookmarkStart w:id="8" w:name="_Toc509218549"/>
      <w:bookmarkStart w:id="9" w:name="_Toc287620665"/>
      <w:bookmarkStart w:id="1065" w:name="_GoBack"/>
      <w:bookmarkEnd w:id="1065"/>
      <w:r>
        <w:rPr>
          <w:rFonts w:hint="eastAsia" w:ascii="宋体" w:hAnsi="宋体" w:cs="宋体"/>
          <w:color w:val="auto"/>
          <w:kern w:val="0"/>
          <w:sz w:val="32"/>
          <w:szCs w:val="32"/>
          <w:highlight w:val="none"/>
          <w:u w:val="none"/>
          <w:lang w:eastAsia="zh-CN"/>
        </w:rPr>
        <w:t>成渝改扩建机电工程监控、通信设施保通及路由管道劳务采购</w:t>
      </w:r>
    </w:p>
    <w:p w14:paraId="5440059A">
      <w:pPr>
        <w:keepNext w:val="0"/>
        <w:keepLines w:val="0"/>
        <w:widowControl/>
        <w:suppressLineNumbers w:val="0"/>
        <w:jc w:val="left"/>
        <w:rPr>
          <w:highlight w:val="none"/>
        </w:rPr>
      </w:pPr>
      <w:r>
        <w:rPr>
          <w:rFonts w:hint="eastAsia" w:ascii="宋体" w:hAnsi="宋体" w:cs="宋体"/>
          <w:color w:val="auto"/>
          <w:kern w:val="0"/>
          <w:sz w:val="30"/>
          <w:szCs w:val="30"/>
          <w:highlight w:val="none"/>
          <w:u w:val="none"/>
          <w:lang w:val="en-US" w:eastAsia="zh-CN"/>
        </w:rPr>
        <w:t>项目</w:t>
      </w:r>
      <w:r>
        <w:rPr>
          <w:rFonts w:hint="eastAsia" w:ascii="宋体" w:hAnsi="宋体" w:cs="宋体"/>
          <w:color w:val="auto"/>
          <w:kern w:val="0"/>
          <w:sz w:val="30"/>
          <w:szCs w:val="30"/>
          <w:highlight w:val="none"/>
          <w:u w:val="none"/>
        </w:rPr>
        <w:t>编号：</w:t>
      </w:r>
      <w:r>
        <w:rPr>
          <w:rFonts w:hint="eastAsia" w:ascii="宋体" w:hAnsi="宋体" w:eastAsia="宋体" w:cs="宋体"/>
          <w:b w:val="0"/>
          <w:bCs w:val="0"/>
          <w:i w:val="0"/>
          <w:iCs w:val="0"/>
          <w:caps w:val="0"/>
          <w:color w:val="auto"/>
          <w:spacing w:val="0"/>
          <w:kern w:val="0"/>
          <w:sz w:val="30"/>
          <w:szCs w:val="30"/>
          <w:highlight w:val="none"/>
          <w:u w:val="none"/>
          <w:shd w:val="clear" w:fill="auto"/>
          <w:lang w:val="en-US" w:eastAsia="zh-CN" w:bidi="ar"/>
        </w:rPr>
        <w:t>TZZX-26011838</w:t>
      </w:r>
    </w:p>
    <w:p w14:paraId="30A8667A">
      <w:pPr>
        <w:autoSpaceDE w:val="0"/>
        <w:autoSpaceDN w:val="0"/>
        <w:adjustRightInd w:val="0"/>
        <w:snapToGrid w:val="0"/>
        <w:spacing w:line="360" w:lineRule="auto"/>
        <w:rPr>
          <w:rFonts w:hint="eastAsia" w:ascii="宋体" w:hAnsi="宋体" w:eastAsia="宋体" w:cs="宋体"/>
          <w:color w:val="auto"/>
          <w:kern w:val="0"/>
          <w:sz w:val="32"/>
          <w:szCs w:val="32"/>
          <w:highlight w:val="none"/>
          <w:u w:val="none"/>
          <w:lang w:eastAsia="zh-CN"/>
        </w:rPr>
      </w:pPr>
      <w:r>
        <w:rPr>
          <w:rFonts w:hint="eastAsia" w:ascii="宋体" w:hAnsi="宋体" w:cs="宋体"/>
          <w:color w:val="auto"/>
          <w:kern w:val="0"/>
          <w:sz w:val="30"/>
          <w:szCs w:val="30"/>
          <w:highlight w:val="none"/>
          <w:u w:val="none"/>
        </w:rPr>
        <w:t xml:space="preserve"> </w:t>
      </w:r>
      <w:r>
        <w:rPr>
          <w:rFonts w:hint="eastAsia" w:ascii="宋体" w:hAnsi="宋体" w:cs="宋体"/>
          <w:color w:val="auto"/>
          <w:kern w:val="0"/>
          <w:sz w:val="30"/>
          <w:szCs w:val="30"/>
          <w:highlight w:val="none"/>
          <w:u w:val="none"/>
          <w:lang w:val="en-US" w:eastAsia="zh-CN"/>
        </w:rPr>
        <w:t xml:space="preserve"> </w:t>
      </w:r>
    </w:p>
    <w:p w14:paraId="2560F913">
      <w:pPr>
        <w:autoSpaceDE w:val="0"/>
        <w:autoSpaceDN w:val="0"/>
        <w:adjustRightInd w:val="0"/>
        <w:snapToGrid w:val="0"/>
        <w:spacing w:line="360" w:lineRule="auto"/>
        <w:jc w:val="left"/>
        <w:rPr>
          <w:rFonts w:ascii="宋体" w:hAnsi="宋体" w:cs="宋体"/>
          <w:color w:val="auto"/>
          <w:kern w:val="0"/>
          <w:sz w:val="20"/>
          <w:szCs w:val="20"/>
          <w:highlight w:val="none"/>
        </w:rPr>
      </w:pPr>
    </w:p>
    <w:p w14:paraId="36BC1DA8">
      <w:pPr>
        <w:autoSpaceDE w:val="0"/>
        <w:autoSpaceDN w:val="0"/>
        <w:adjustRightInd w:val="0"/>
        <w:snapToGrid w:val="0"/>
        <w:spacing w:line="360" w:lineRule="auto"/>
        <w:jc w:val="left"/>
        <w:rPr>
          <w:rFonts w:ascii="宋体" w:hAnsi="宋体" w:cs="宋体"/>
          <w:color w:val="auto"/>
          <w:kern w:val="0"/>
          <w:sz w:val="20"/>
          <w:szCs w:val="20"/>
          <w:highlight w:val="none"/>
        </w:rPr>
      </w:pPr>
    </w:p>
    <w:p w14:paraId="3815C6A8">
      <w:pPr>
        <w:autoSpaceDE w:val="0"/>
        <w:autoSpaceDN w:val="0"/>
        <w:adjustRightInd w:val="0"/>
        <w:snapToGrid w:val="0"/>
        <w:spacing w:line="360" w:lineRule="auto"/>
        <w:jc w:val="left"/>
        <w:rPr>
          <w:rFonts w:ascii="宋体" w:hAnsi="宋体" w:cs="宋体"/>
          <w:color w:val="auto"/>
          <w:kern w:val="0"/>
          <w:sz w:val="20"/>
          <w:szCs w:val="20"/>
          <w:highlight w:val="none"/>
        </w:rPr>
      </w:pPr>
    </w:p>
    <w:p w14:paraId="36FA4CC4">
      <w:pPr>
        <w:autoSpaceDE w:val="0"/>
        <w:autoSpaceDN w:val="0"/>
        <w:adjustRightInd w:val="0"/>
        <w:snapToGrid w:val="0"/>
        <w:spacing w:line="360" w:lineRule="auto"/>
        <w:jc w:val="left"/>
        <w:rPr>
          <w:rFonts w:ascii="宋体" w:hAnsi="宋体" w:cs="宋体"/>
          <w:color w:val="auto"/>
          <w:kern w:val="0"/>
          <w:sz w:val="20"/>
          <w:szCs w:val="20"/>
          <w:highlight w:val="none"/>
        </w:rPr>
      </w:pPr>
    </w:p>
    <w:p w14:paraId="4A85E44A">
      <w:pPr>
        <w:autoSpaceDE w:val="0"/>
        <w:autoSpaceDN w:val="0"/>
        <w:adjustRightInd w:val="0"/>
        <w:snapToGrid w:val="0"/>
        <w:spacing w:line="360" w:lineRule="auto"/>
        <w:jc w:val="left"/>
        <w:rPr>
          <w:rFonts w:ascii="宋体" w:hAnsi="宋体" w:cs="宋体"/>
          <w:color w:val="auto"/>
          <w:kern w:val="0"/>
          <w:sz w:val="20"/>
          <w:szCs w:val="20"/>
          <w:highlight w:val="none"/>
        </w:rPr>
      </w:pPr>
    </w:p>
    <w:p w14:paraId="4BA73FEE">
      <w:pPr>
        <w:autoSpaceDE w:val="0"/>
        <w:autoSpaceDN w:val="0"/>
        <w:adjustRightInd w:val="0"/>
        <w:snapToGrid w:val="0"/>
        <w:spacing w:line="360" w:lineRule="auto"/>
        <w:jc w:val="center"/>
        <w:rPr>
          <w:rFonts w:hint="eastAsia" w:ascii="宋体" w:hAnsi="宋体" w:cs="宋体"/>
          <w:color w:val="auto"/>
          <w:kern w:val="0"/>
          <w:sz w:val="72"/>
          <w:szCs w:val="72"/>
          <w:highlight w:val="none"/>
        </w:rPr>
      </w:pPr>
    </w:p>
    <w:p w14:paraId="17EA737C">
      <w:pPr>
        <w:autoSpaceDE w:val="0"/>
        <w:autoSpaceDN w:val="0"/>
        <w:adjustRightInd w:val="0"/>
        <w:snapToGrid w:val="0"/>
        <w:spacing w:line="360" w:lineRule="auto"/>
        <w:jc w:val="center"/>
        <w:rPr>
          <w:rFonts w:ascii="宋体" w:hAnsi="宋体" w:cs="宋体"/>
          <w:color w:val="auto"/>
          <w:kern w:val="0"/>
          <w:sz w:val="72"/>
          <w:szCs w:val="72"/>
          <w:highlight w:val="none"/>
        </w:rPr>
      </w:pPr>
      <w:r>
        <w:rPr>
          <w:rFonts w:hint="eastAsia" w:ascii="宋体" w:hAnsi="宋体" w:cs="宋体"/>
          <w:color w:val="auto"/>
          <w:kern w:val="0"/>
          <w:sz w:val="72"/>
          <w:szCs w:val="72"/>
          <w:highlight w:val="none"/>
          <w:lang w:val="en-US" w:eastAsia="zh-CN"/>
        </w:rPr>
        <w:t>竞争性比选</w:t>
      </w:r>
      <w:r>
        <w:rPr>
          <w:rFonts w:hint="eastAsia" w:ascii="宋体" w:hAnsi="宋体" w:cs="宋体"/>
          <w:color w:val="auto"/>
          <w:kern w:val="0"/>
          <w:sz w:val="72"/>
          <w:szCs w:val="72"/>
          <w:highlight w:val="none"/>
        </w:rPr>
        <w:t>文件</w:t>
      </w:r>
    </w:p>
    <w:p w14:paraId="58D7783D">
      <w:pPr>
        <w:autoSpaceDE w:val="0"/>
        <w:autoSpaceDN w:val="0"/>
        <w:adjustRightInd w:val="0"/>
        <w:snapToGrid w:val="0"/>
        <w:spacing w:line="360" w:lineRule="auto"/>
        <w:jc w:val="left"/>
        <w:rPr>
          <w:rFonts w:ascii="宋体" w:hAnsi="宋体" w:cs="宋体"/>
          <w:color w:val="auto"/>
          <w:kern w:val="0"/>
          <w:sz w:val="20"/>
          <w:szCs w:val="20"/>
          <w:highlight w:val="none"/>
        </w:rPr>
      </w:pPr>
    </w:p>
    <w:p w14:paraId="56072F8F">
      <w:pPr>
        <w:autoSpaceDE w:val="0"/>
        <w:autoSpaceDN w:val="0"/>
        <w:adjustRightInd w:val="0"/>
        <w:snapToGrid w:val="0"/>
        <w:spacing w:line="360" w:lineRule="auto"/>
        <w:jc w:val="left"/>
        <w:rPr>
          <w:rFonts w:ascii="宋体" w:hAnsi="宋体" w:cs="宋体"/>
          <w:color w:val="auto"/>
          <w:kern w:val="0"/>
          <w:sz w:val="20"/>
          <w:szCs w:val="20"/>
          <w:highlight w:val="none"/>
        </w:rPr>
      </w:pPr>
    </w:p>
    <w:p w14:paraId="33B63067">
      <w:pPr>
        <w:autoSpaceDE w:val="0"/>
        <w:autoSpaceDN w:val="0"/>
        <w:adjustRightInd w:val="0"/>
        <w:snapToGrid w:val="0"/>
        <w:spacing w:line="360" w:lineRule="auto"/>
        <w:jc w:val="left"/>
        <w:rPr>
          <w:rFonts w:ascii="宋体" w:hAnsi="宋体" w:cs="宋体"/>
          <w:color w:val="auto"/>
          <w:kern w:val="0"/>
          <w:sz w:val="20"/>
          <w:szCs w:val="20"/>
          <w:highlight w:val="none"/>
        </w:rPr>
      </w:pPr>
    </w:p>
    <w:p w14:paraId="2CB25B0D">
      <w:pPr>
        <w:autoSpaceDE w:val="0"/>
        <w:autoSpaceDN w:val="0"/>
        <w:adjustRightInd w:val="0"/>
        <w:snapToGrid w:val="0"/>
        <w:spacing w:line="360" w:lineRule="auto"/>
        <w:jc w:val="left"/>
        <w:rPr>
          <w:rFonts w:ascii="宋体" w:hAnsi="宋体" w:cs="宋体"/>
          <w:color w:val="auto"/>
          <w:kern w:val="0"/>
          <w:sz w:val="20"/>
          <w:szCs w:val="20"/>
          <w:highlight w:val="none"/>
        </w:rPr>
      </w:pPr>
    </w:p>
    <w:p w14:paraId="1264FED3">
      <w:pPr>
        <w:autoSpaceDE w:val="0"/>
        <w:autoSpaceDN w:val="0"/>
        <w:adjustRightInd w:val="0"/>
        <w:snapToGrid w:val="0"/>
        <w:spacing w:line="360" w:lineRule="auto"/>
        <w:jc w:val="left"/>
        <w:rPr>
          <w:rFonts w:ascii="宋体" w:hAnsi="宋体" w:cs="宋体"/>
          <w:color w:val="auto"/>
          <w:kern w:val="0"/>
          <w:sz w:val="20"/>
          <w:szCs w:val="20"/>
          <w:highlight w:val="none"/>
        </w:rPr>
      </w:pPr>
    </w:p>
    <w:p w14:paraId="75F79F97">
      <w:pPr>
        <w:autoSpaceDE w:val="0"/>
        <w:autoSpaceDN w:val="0"/>
        <w:adjustRightInd w:val="0"/>
        <w:snapToGrid w:val="0"/>
        <w:spacing w:line="360" w:lineRule="auto"/>
        <w:jc w:val="left"/>
        <w:rPr>
          <w:rFonts w:ascii="宋体" w:hAnsi="宋体" w:cs="宋体"/>
          <w:color w:val="auto"/>
          <w:kern w:val="0"/>
          <w:sz w:val="20"/>
          <w:szCs w:val="20"/>
          <w:highlight w:val="none"/>
        </w:rPr>
      </w:pPr>
    </w:p>
    <w:p w14:paraId="0549575B">
      <w:pPr>
        <w:autoSpaceDE w:val="0"/>
        <w:autoSpaceDN w:val="0"/>
        <w:adjustRightInd w:val="0"/>
        <w:snapToGrid w:val="0"/>
        <w:spacing w:line="360" w:lineRule="auto"/>
        <w:jc w:val="left"/>
        <w:rPr>
          <w:rFonts w:ascii="宋体" w:hAnsi="宋体" w:cs="宋体"/>
          <w:color w:val="auto"/>
          <w:kern w:val="0"/>
          <w:sz w:val="20"/>
          <w:szCs w:val="20"/>
          <w:highlight w:val="none"/>
        </w:rPr>
      </w:pPr>
    </w:p>
    <w:p w14:paraId="2AA8F79C">
      <w:pPr>
        <w:autoSpaceDE w:val="0"/>
        <w:autoSpaceDN w:val="0"/>
        <w:adjustRightInd w:val="0"/>
        <w:snapToGrid w:val="0"/>
        <w:spacing w:line="360" w:lineRule="auto"/>
        <w:rPr>
          <w:rFonts w:ascii="宋体" w:hAnsi="宋体" w:cs="宋体"/>
          <w:color w:val="auto"/>
          <w:kern w:val="0"/>
          <w:sz w:val="20"/>
          <w:szCs w:val="20"/>
          <w:highlight w:val="none"/>
        </w:rPr>
      </w:pPr>
    </w:p>
    <w:p w14:paraId="2CC507D8">
      <w:pPr>
        <w:autoSpaceDE w:val="0"/>
        <w:autoSpaceDN w:val="0"/>
        <w:adjustRightInd w:val="0"/>
        <w:snapToGrid w:val="0"/>
        <w:spacing w:line="360" w:lineRule="auto"/>
        <w:jc w:val="left"/>
        <w:rPr>
          <w:rFonts w:ascii="宋体" w:hAnsi="宋体" w:cs="宋体"/>
          <w:color w:val="auto"/>
          <w:kern w:val="0"/>
          <w:sz w:val="20"/>
          <w:szCs w:val="20"/>
          <w:highlight w:val="none"/>
        </w:rPr>
      </w:pPr>
    </w:p>
    <w:p w14:paraId="6305E67E">
      <w:pPr>
        <w:autoSpaceDE w:val="0"/>
        <w:autoSpaceDN w:val="0"/>
        <w:adjustRightInd w:val="0"/>
        <w:snapToGrid w:val="0"/>
        <w:spacing w:line="360" w:lineRule="auto"/>
        <w:rPr>
          <w:rFonts w:ascii="宋体" w:hAnsi="宋体" w:cs="宋体"/>
          <w:color w:val="auto"/>
          <w:kern w:val="0"/>
          <w:sz w:val="20"/>
          <w:szCs w:val="20"/>
          <w:highlight w:val="none"/>
        </w:rPr>
      </w:pPr>
    </w:p>
    <w:p w14:paraId="1689FA99">
      <w:pPr>
        <w:autoSpaceDE w:val="0"/>
        <w:autoSpaceDN w:val="0"/>
        <w:adjustRightInd w:val="0"/>
        <w:snapToGrid w:val="0"/>
        <w:spacing w:line="360" w:lineRule="auto"/>
        <w:rPr>
          <w:rFonts w:ascii="宋体" w:hAnsi="宋体" w:cs="宋体"/>
          <w:color w:val="auto"/>
          <w:kern w:val="0"/>
          <w:sz w:val="20"/>
          <w:szCs w:val="20"/>
          <w:highlight w:val="none"/>
        </w:rPr>
      </w:pPr>
    </w:p>
    <w:p w14:paraId="1645200C">
      <w:pPr>
        <w:autoSpaceDE w:val="0"/>
        <w:autoSpaceDN w:val="0"/>
        <w:adjustRightInd w:val="0"/>
        <w:snapToGrid w:val="0"/>
        <w:spacing w:line="360" w:lineRule="auto"/>
        <w:rPr>
          <w:rFonts w:ascii="宋体" w:hAnsi="宋体" w:cs="宋体"/>
          <w:color w:val="auto"/>
          <w:kern w:val="0"/>
          <w:sz w:val="20"/>
          <w:szCs w:val="20"/>
          <w:highlight w:val="none"/>
        </w:rPr>
      </w:pPr>
    </w:p>
    <w:p w14:paraId="7029DF99">
      <w:pPr>
        <w:tabs>
          <w:tab w:val="left" w:pos="6219"/>
        </w:tabs>
        <w:autoSpaceDE w:val="0"/>
        <w:autoSpaceDN w:val="0"/>
        <w:adjustRightInd w:val="0"/>
        <w:snapToGrid w:val="0"/>
        <w:spacing w:line="360" w:lineRule="auto"/>
        <w:ind w:firstLine="842" w:firstLineChars="200"/>
        <w:jc w:val="both"/>
        <w:rPr>
          <w:rFonts w:ascii="宋体" w:hAnsi="宋体" w:cs="宋体"/>
          <w:b/>
          <w:bCs w:val="0"/>
          <w:color w:val="auto"/>
          <w:w w:val="99"/>
          <w:kern w:val="0"/>
          <w:sz w:val="28"/>
          <w:szCs w:val="28"/>
          <w:highlight w:val="none"/>
        </w:rPr>
      </w:pPr>
      <w:r>
        <w:rPr>
          <w:rFonts w:hint="eastAsia" w:ascii="宋体" w:hAnsi="宋体" w:cs="宋体"/>
          <w:b/>
          <w:bCs w:val="0"/>
          <w:color w:val="auto"/>
          <w:spacing w:val="70"/>
          <w:w w:val="100"/>
          <w:kern w:val="0"/>
          <w:sz w:val="28"/>
          <w:szCs w:val="28"/>
          <w:highlight w:val="none"/>
          <w:fitText w:val="1120" w:id="1530820367"/>
          <w:lang w:val="en-US" w:eastAsia="zh-CN"/>
        </w:rPr>
        <w:t>采购</w:t>
      </w:r>
      <w:r>
        <w:rPr>
          <w:rFonts w:hint="eastAsia" w:ascii="宋体" w:hAnsi="宋体" w:cs="宋体"/>
          <w:b/>
          <w:bCs w:val="0"/>
          <w:color w:val="auto"/>
          <w:spacing w:val="0"/>
          <w:w w:val="100"/>
          <w:kern w:val="0"/>
          <w:sz w:val="28"/>
          <w:szCs w:val="28"/>
          <w:highlight w:val="none"/>
          <w:fitText w:val="1120" w:id="1530820367"/>
          <w:lang w:val="en-US" w:eastAsia="zh-CN"/>
        </w:rPr>
        <w:t>人</w:t>
      </w:r>
      <w:r>
        <w:rPr>
          <w:rFonts w:hint="eastAsia" w:ascii="宋体" w:hAnsi="宋体" w:cs="宋体"/>
          <w:b/>
          <w:bCs w:val="0"/>
          <w:color w:val="auto"/>
          <w:w w:val="99"/>
          <w:kern w:val="0"/>
          <w:sz w:val="28"/>
          <w:szCs w:val="28"/>
          <w:highlight w:val="none"/>
        </w:rPr>
        <w:t>：</w:t>
      </w:r>
      <w:r>
        <w:rPr>
          <w:rFonts w:hint="eastAsia" w:ascii="宋体" w:hAnsi="宋体" w:cs="宋体"/>
          <w:b/>
          <w:bCs w:val="0"/>
          <w:color w:val="auto"/>
          <w:w w:val="99"/>
          <w:kern w:val="0"/>
          <w:sz w:val="28"/>
          <w:szCs w:val="28"/>
          <w:highlight w:val="none"/>
          <w:u w:val="single"/>
        </w:rPr>
        <w:t>重庆首讯科技股份有限公司</w:t>
      </w:r>
      <w:r>
        <w:rPr>
          <w:rFonts w:hint="eastAsia" w:ascii="宋体" w:hAnsi="宋体" w:cs="宋体"/>
          <w:b/>
          <w:bCs w:val="0"/>
          <w:color w:val="auto"/>
          <w:w w:val="99"/>
          <w:kern w:val="0"/>
          <w:sz w:val="28"/>
          <w:szCs w:val="28"/>
          <w:highlight w:val="none"/>
        </w:rPr>
        <w:t>（盖单位法人章）</w:t>
      </w:r>
    </w:p>
    <w:p w14:paraId="219D838A">
      <w:pPr>
        <w:tabs>
          <w:tab w:val="left" w:pos="6252"/>
        </w:tabs>
        <w:autoSpaceDE w:val="0"/>
        <w:autoSpaceDN w:val="0"/>
        <w:adjustRightInd w:val="0"/>
        <w:snapToGrid w:val="0"/>
        <w:spacing w:line="360" w:lineRule="auto"/>
        <w:ind w:firstLine="843" w:firstLineChars="300"/>
        <w:rPr>
          <w:rFonts w:ascii="宋体" w:hAnsi="宋体" w:cs="宋体"/>
          <w:b/>
          <w:color w:val="auto"/>
          <w:w w:val="99"/>
          <w:kern w:val="0"/>
          <w:sz w:val="28"/>
          <w:szCs w:val="28"/>
          <w:highlight w:val="none"/>
        </w:rPr>
      </w:pPr>
      <w:r>
        <w:rPr>
          <w:rFonts w:hint="eastAsia" w:ascii="宋体" w:hAnsi="宋体" w:cs="宋体"/>
          <w:b/>
          <w:bCs w:val="0"/>
          <w:color w:val="auto"/>
          <w:spacing w:val="0"/>
          <w:w w:val="100"/>
          <w:kern w:val="0"/>
          <w:sz w:val="28"/>
          <w:szCs w:val="28"/>
          <w:highlight w:val="none"/>
          <w:fitText w:val="1120" w:id="1089019629"/>
        </w:rPr>
        <w:t>代理机构</w:t>
      </w:r>
      <w:r>
        <w:rPr>
          <w:rFonts w:hint="eastAsia" w:ascii="宋体" w:hAnsi="宋体" w:cs="宋体"/>
          <w:b/>
          <w:bCs w:val="0"/>
          <w:color w:val="auto"/>
          <w:spacing w:val="8"/>
          <w:kern w:val="0"/>
          <w:sz w:val="28"/>
          <w:szCs w:val="28"/>
          <w:highlight w:val="none"/>
        </w:rPr>
        <w:t>：</w:t>
      </w:r>
      <w:r>
        <w:rPr>
          <w:rFonts w:hint="eastAsia" w:ascii="宋体" w:hAnsi="宋体" w:cs="宋体"/>
          <w:b/>
          <w:bCs w:val="0"/>
          <w:color w:val="auto"/>
          <w:spacing w:val="8"/>
          <w:kern w:val="0"/>
          <w:sz w:val="28"/>
          <w:szCs w:val="28"/>
          <w:highlight w:val="none"/>
          <w:u w:val="single"/>
        </w:rPr>
        <w:t>重庆市投资咨询有限公司</w:t>
      </w:r>
      <w:r>
        <w:rPr>
          <w:rFonts w:hint="eastAsia" w:ascii="宋体" w:hAnsi="宋体" w:cs="宋体"/>
          <w:b/>
          <w:bCs w:val="0"/>
          <w:color w:val="auto"/>
          <w:w w:val="99"/>
          <w:kern w:val="0"/>
          <w:sz w:val="28"/>
          <w:szCs w:val="28"/>
          <w:highlight w:val="none"/>
        </w:rPr>
        <w:t>（盖单位法人章）</w:t>
      </w:r>
    </w:p>
    <w:p w14:paraId="3DED8851">
      <w:pPr>
        <w:autoSpaceDE w:val="0"/>
        <w:autoSpaceDN w:val="0"/>
        <w:adjustRightInd w:val="0"/>
        <w:snapToGrid w:val="0"/>
        <w:spacing w:line="360" w:lineRule="auto"/>
        <w:jc w:val="center"/>
        <w:rPr>
          <w:rFonts w:ascii="宋体" w:hAnsi="宋体" w:cs="宋体"/>
          <w:b/>
          <w:color w:val="auto"/>
          <w:kern w:val="0"/>
          <w:sz w:val="28"/>
          <w:szCs w:val="28"/>
          <w:highlight w:val="none"/>
        </w:rPr>
      </w:pPr>
    </w:p>
    <w:p w14:paraId="763670EB">
      <w:pPr>
        <w:jc w:val="center"/>
        <w:rPr>
          <w:rFonts w:ascii="宋体" w:hAnsi="宋体" w:cs="宋体"/>
          <w:b/>
          <w:bCs/>
          <w:color w:val="auto"/>
          <w:sz w:val="24"/>
          <w:highlight w:val="none"/>
        </w:rPr>
      </w:pPr>
      <w:r>
        <w:rPr>
          <w:rFonts w:hint="eastAsia" w:ascii="宋体" w:hAnsi="宋体" w:cs="宋体"/>
          <w:b/>
          <w:bCs/>
          <w:color w:val="auto"/>
          <w:sz w:val="24"/>
          <w:highlight w:val="none"/>
          <w:u w:val="single"/>
        </w:rPr>
        <w:t>202</w:t>
      </w:r>
      <w:r>
        <w:rPr>
          <w:rFonts w:hint="eastAsia" w:ascii="宋体" w:hAnsi="宋体" w:cs="宋体"/>
          <w:b/>
          <w:bCs/>
          <w:color w:val="auto"/>
          <w:sz w:val="24"/>
          <w:highlight w:val="none"/>
          <w:u w:val="single"/>
          <w:lang w:val="en-US" w:eastAsia="zh-CN"/>
        </w:rPr>
        <w:t>6</w:t>
      </w:r>
      <w:r>
        <w:rPr>
          <w:rFonts w:hint="eastAsia" w:ascii="宋体" w:hAnsi="宋体" w:cs="宋体"/>
          <w:b/>
          <w:bCs/>
          <w:color w:val="auto"/>
          <w:sz w:val="24"/>
          <w:highlight w:val="none"/>
        </w:rPr>
        <w:t>年</w:t>
      </w:r>
      <w:r>
        <w:rPr>
          <w:rFonts w:hint="eastAsia" w:ascii="宋体" w:hAnsi="宋体" w:cs="宋体"/>
          <w:b/>
          <w:bCs/>
          <w:color w:val="auto"/>
          <w:sz w:val="24"/>
          <w:highlight w:val="none"/>
          <w:u w:val="single"/>
          <w:lang w:val="en-US" w:eastAsia="zh-CN"/>
        </w:rPr>
        <w:t>6</w:t>
      </w:r>
      <w:r>
        <w:rPr>
          <w:rFonts w:hint="eastAsia" w:ascii="宋体" w:hAnsi="宋体" w:cs="宋体"/>
          <w:b/>
          <w:bCs/>
          <w:color w:val="auto"/>
          <w:sz w:val="24"/>
          <w:highlight w:val="none"/>
        </w:rPr>
        <w:t>月</w:t>
      </w:r>
      <w:bookmarkEnd w:id="0"/>
      <w:bookmarkEnd w:id="1"/>
      <w:bookmarkEnd w:id="2"/>
      <w:bookmarkEnd w:id="3"/>
      <w:bookmarkEnd w:id="4"/>
      <w:bookmarkEnd w:id="5"/>
      <w:bookmarkEnd w:id="6"/>
      <w:bookmarkEnd w:id="7"/>
      <w:bookmarkEnd w:id="8"/>
    </w:p>
    <w:p w14:paraId="15B5AC85">
      <w:pPr>
        <w:pStyle w:val="3"/>
        <w:spacing w:line="360" w:lineRule="auto"/>
        <w:rPr>
          <w:rFonts w:ascii="宋体" w:hAnsi="宋体" w:cs="宋体"/>
          <w:color w:val="auto"/>
          <w:spacing w:val="8"/>
          <w:kern w:val="0"/>
          <w:sz w:val="28"/>
          <w:szCs w:val="28"/>
          <w:highlight w:val="none"/>
          <w:u w:val="single"/>
        </w:rPr>
        <w:sectPr>
          <w:headerReference r:id="rId3" w:type="default"/>
          <w:pgSz w:w="11907" w:h="16840"/>
          <w:pgMar w:top="1304" w:right="1134" w:bottom="1304" w:left="1304" w:header="851" w:footer="992" w:gutter="0"/>
          <w:pgNumType w:start="1"/>
          <w:cols w:space="720" w:num="1"/>
          <w:docGrid w:linePitch="312" w:charSpace="0"/>
        </w:sectPr>
      </w:pPr>
    </w:p>
    <w:bookmarkEnd w:id="9"/>
    <w:p w14:paraId="1C280B94">
      <w:pPr>
        <w:pStyle w:val="45"/>
        <w:jc w:val="center"/>
        <w:rPr>
          <w:rFonts w:ascii="宋体" w:hAnsi="宋体" w:cs="宋体"/>
          <w:color w:val="auto"/>
          <w:sz w:val="44"/>
          <w:szCs w:val="44"/>
          <w:highlight w:val="none"/>
        </w:rPr>
      </w:pPr>
      <w:bookmarkStart w:id="10" w:name="_Toc430530414"/>
      <w:r>
        <w:rPr>
          <w:rFonts w:hint="eastAsia" w:ascii="宋体" w:hAnsi="宋体" w:cs="宋体"/>
          <w:color w:val="auto"/>
          <w:sz w:val="44"/>
          <w:szCs w:val="44"/>
          <w:highlight w:val="none"/>
          <w:lang w:val="zh-CN"/>
        </w:rPr>
        <w:t>目</w:t>
      </w:r>
      <w:r>
        <w:rPr>
          <w:rFonts w:hint="eastAsia" w:ascii="宋体" w:hAnsi="宋体" w:cs="宋体"/>
          <w:color w:val="auto"/>
          <w:sz w:val="44"/>
          <w:szCs w:val="44"/>
          <w:highlight w:val="none"/>
        </w:rPr>
        <w:t xml:space="preserve"> </w:t>
      </w:r>
      <w:r>
        <w:rPr>
          <w:rFonts w:hint="eastAsia" w:ascii="宋体" w:hAnsi="宋体" w:cs="宋体"/>
          <w:color w:val="auto"/>
          <w:sz w:val="44"/>
          <w:szCs w:val="44"/>
          <w:highlight w:val="none"/>
          <w:lang w:val="zh-CN"/>
        </w:rPr>
        <w:t>录</w:t>
      </w:r>
    </w:p>
    <w:p w14:paraId="060587DB">
      <w:pPr>
        <w:pStyle w:val="24"/>
        <w:tabs>
          <w:tab w:val="right" w:leader="dot" w:pos="9469"/>
        </w:tabs>
        <w:rPr>
          <w:color w:val="auto"/>
          <w:highlight w:val="none"/>
        </w:rPr>
      </w:pPr>
      <w:r>
        <w:rPr>
          <w:rFonts w:hint="eastAsia" w:ascii="宋体" w:hAnsi="宋体" w:cs="宋体"/>
          <w:color w:val="auto"/>
          <w:sz w:val="21"/>
          <w:szCs w:val="21"/>
          <w:highlight w:val="none"/>
        </w:rPr>
        <w:fldChar w:fldCharType="begin"/>
      </w:r>
      <w:r>
        <w:rPr>
          <w:rFonts w:hint="eastAsia" w:ascii="宋体" w:hAnsi="宋体" w:cs="宋体"/>
          <w:color w:val="auto"/>
          <w:sz w:val="21"/>
          <w:szCs w:val="21"/>
          <w:highlight w:val="none"/>
        </w:rPr>
        <w:instrText xml:space="preserve"> TOC \o "1-3" \h \z \u </w:instrText>
      </w:r>
      <w:r>
        <w:rPr>
          <w:rFonts w:hint="eastAsia" w:ascii="宋体" w:hAnsi="宋体" w:cs="宋体"/>
          <w:color w:val="auto"/>
          <w:sz w:val="21"/>
          <w:szCs w:val="21"/>
          <w:highlight w:val="none"/>
        </w:rPr>
        <w:fldChar w:fldCharType="separate"/>
      </w: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_Toc3542 </w:instrText>
      </w:r>
      <w:r>
        <w:rPr>
          <w:rFonts w:hint="eastAsia" w:ascii="宋体" w:hAnsi="宋体" w:cs="宋体"/>
          <w:bCs/>
          <w:color w:val="auto"/>
          <w:szCs w:val="21"/>
          <w:highlight w:val="none"/>
          <w:lang w:val="zh-CN"/>
        </w:rPr>
        <w:fldChar w:fldCharType="separate"/>
      </w:r>
      <w:r>
        <w:rPr>
          <w:rFonts w:hint="eastAsia" w:ascii="宋体" w:hAnsi="宋体" w:cs="宋体"/>
          <w:color w:val="auto"/>
          <w:szCs w:val="52"/>
          <w:highlight w:val="none"/>
        </w:rPr>
        <w:t>第 一 卷</w:t>
      </w:r>
      <w:r>
        <w:rPr>
          <w:color w:val="auto"/>
          <w:highlight w:val="none"/>
        </w:rPr>
        <w:tab/>
      </w:r>
      <w:r>
        <w:rPr>
          <w:color w:val="auto"/>
          <w:highlight w:val="none"/>
        </w:rPr>
        <w:fldChar w:fldCharType="begin"/>
      </w:r>
      <w:r>
        <w:rPr>
          <w:color w:val="auto"/>
          <w:highlight w:val="none"/>
        </w:rPr>
        <w:instrText xml:space="preserve"> PAGEREF _Toc3542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color w:val="auto"/>
          <w:szCs w:val="21"/>
          <w:highlight w:val="none"/>
          <w:lang w:val="zh-CN"/>
        </w:rPr>
        <w:fldChar w:fldCharType="end"/>
      </w:r>
    </w:p>
    <w:p w14:paraId="376E1325">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_Toc19860 </w:instrText>
      </w:r>
      <w:r>
        <w:rPr>
          <w:rFonts w:hint="eastAsia" w:ascii="宋体" w:hAnsi="宋体" w:cs="宋体"/>
          <w:bCs/>
          <w:color w:val="auto"/>
          <w:szCs w:val="21"/>
          <w:highlight w:val="none"/>
          <w:lang w:val="zh-CN"/>
        </w:rPr>
        <w:fldChar w:fldCharType="separate"/>
      </w:r>
      <w:r>
        <w:rPr>
          <w:rFonts w:hint="eastAsia" w:ascii="宋体" w:hAnsi="宋体" w:cs="宋体"/>
          <w:snapToGrid w:val="0"/>
          <w:color w:val="auto"/>
          <w:kern w:val="0"/>
          <w:highlight w:val="none"/>
        </w:rPr>
        <w:t xml:space="preserve">第一章  </w:t>
      </w:r>
      <w:r>
        <w:rPr>
          <w:rFonts w:hint="eastAsia" w:ascii="宋体" w:hAnsi="宋体" w:cs="宋体"/>
          <w:snapToGrid w:val="0"/>
          <w:color w:val="auto"/>
          <w:kern w:val="0"/>
          <w:highlight w:val="none"/>
          <w:lang w:eastAsia="zh-CN"/>
        </w:rPr>
        <w:t>竞争性比选公告</w:t>
      </w:r>
      <w:r>
        <w:rPr>
          <w:color w:val="auto"/>
          <w:highlight w:val="none"/>
        </w:rPr>
        <w:tab/>
      </w:r>
      <w:r>
        <w:rPr>
          <w:color w:val="auto"/>
          <w:highlight w:val="none"/>
        </w:rPr>
        <w:fldChar w:fldCharType="begin"/>
      </w:r>
      <w:r>
        <w:rPr>
          <w:color w:val="auto"/>
          <w:highlight w:val="none"/>
        </w:rPr>
        <w:instrText xml:space="preserve"> PAGEREF _Toc19860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cs="宋体"/>
          <w:bCs/>
          <w:color w:val="auto"/>
          <w:szCs w:val="21"/>
          <w:highlight w:val="none"/>
          <w:lang w:val="zh-CN"/>
        </w:rPr>
        <w:fldChar w:fldCharType="end"/>
      </w:r>
    </w:p>
    <w:p w14:paraId="4B52E30B">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_Toc6754 </w:instrText>
      </w:r>
      <w:r>
        <w:rPr>
          <w:rFonts w:hint="eastAsia" w:ascii="宋体" w:hAnsi="宋体" w:cs="宋体"/>
          <w:bCs/>
          <w:color w:val="auto"/>
          <w:szCs w:val="21"/>
          <w:highlight w:val="none"/>
          <w:lang w:val="zh-CN"/>
        </w:rPr>
        <w:fldChar w:fldCharType="separate"/>
      </w:r>
      <w:r>
        <w:rPr>
          <w:rFonts w:hint="eastAsia" w:ascii="宋体" w:hAnsi="宋体" w:cs="宋体"/>
          <w:bCs w:val="0"/>
          <w:snapToGrid w:val="0"/>
          <w:color w:val="auto"/>
          <w:highlight w:val="none"/>
        </w:rPr>
        <w:t xml:space="preserve">第二章  </w:t>
      </w:r>
      <w:r>
        <w:rPr>
          <w:rFonts w:hint="eastAsia" w:ascii="宋体" w:hAnsi="宋体" w:cs="宋体"/>
          <w:bCs w:val="0"/>
          <w:snapToGrid w:val="0"/>
          <w:color w:val="auto"/>
          <w:highlight w:val="none"/>
          <w:lang w:eastAsia="zh-CN"/>
        </w:rPr>
        <w:t>供应商</w:t>
      </w:r>
      <w:r>
        <w:rPr>
          <w:rFonts w:hint="eastAsia" w:ascii="宋体" w:hAnsi="宋体" w:cs="宋体"/>
          <w:bCs w:val="0"/>
          <w:snapToGrid w:val="0"/>
          <w:color w:val="auto"/>
          <w:highlight w:val="none"/>
        </w:rPr>
        <w:t>须知</w:t>
      </w:r>
      <w:r>
        <w:rPr>
          <w:color w:val="auto"/>
          <w:highlight w:val="none"/>
        </w:rPr>
        <w:tab/>
      </w:r>
      <w:r>
        <w:rPr>
          <w:color w:val="auto"/>
          <w:highlight w:val="none"/>
        </w:rPr>
        <w:fldChar w:fldCharType="begin"/>
      </w:r>
      <w:r>
        <w:rPr>
          <w:color w:val="auto"/>
          <w:highlight w:val="none"/>
        </w:rPr>
        <w:instrText xml:space="preserve"> PAGEREF _Toc6754 \h </w:instrText>
      </w:r>
      <w:r>
        <w:rPr>
          <w:color w:val="auto"/>
          <w:highlight w:val="none"/>
        </w:rPr>
        <w:fldChar w:fldCharType="separate"/>
      </w:r>
      <w:r>
        <w:rPr>
          <w:color w:val="auto"/>
          <w:highlight w:val="none"/>
        </w:rPr>
        <w:t>6</w:t>
      </w:r>
      <w:r>
        <w:rPr>
          <w:color w:val="auto"/>
          <w:highlight w:val="none"/>
        </w:rPr>
        <w:fldChar w:fldCharType="end"/>
      </w:r>
      <w:r>
        <w:rPr>
          <w:rFonts w:hint="eastAsia" w:ascii="宋体" w:hAnsi="宋体" w:cs="宋体"/>
          <w:bCs/>
          <w:color w:val="auto"/>
          <w:szCs w:val="21"/>
          <w:highlight w:val="none"/>
          <w:lang w:val="zh-CN"/>
        </w:rPr>
        <w:fldChar w:fldCharType="end"/>
      </w:r>
    </w:p>
    <w:p w14:paraId="11A72781">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_Toc16258 </w:instrText>
      </w:r>
      <w:r>
        <w:rPr>
          <w:rFonts w:hint="eastAsia" w:ascii="宋体" w:hAnsi="宋体" w:cs="宋体"/>
          <w:bCs/>
          <w:color w:val="auto"/>
          <w:szCs w:val="21"/>
          <w:highlight w:val="none"/>
          <w:lang w:val="zh-CN"/>
        </w:rPr>
        <w:fldChar w:fldCharType="separate"/>
      </w:r>
      <w:r>
        <w:rPr>
          <w:rFonts w:ascii="宋体" w:hAnsi="宋体"/>
          <w:color w:val="auto"/>
          <w:highlight w:val="none"/>
        </w:rPr>
        <w:t>第三章</w:t>
      </w:r>
      <w:r>
        <w:rPr>
          <w:rFonts w:hint="eastAsia" w:ascii="宋体" w:hAnsi="宋体"/>
          <w:color w:val="auto"/>
          <w:highlight w:val="none"/>
        </w:rPr>
        <w:t xml:space="preserve">  </w:t>
      </w:r>
      <w:r>
        <w:rPr>
          <w:rFonts w:hint="eastAsia" w:ascii="宋体" w:hAnsi="宋体"/>
          <w:color w:val="auto"/>
          <w:highlight w:val="none"/>
          <w:lang w:eastAsia="zh-CN"/>
        </w:rPr>
        <w:t>评审办法</w:t>
      </w:r>
      <w:r>
        <w:rPr>
          <w:rFonts w:ascii="宋体" w:hAnsi="宋体"/>
          <w:color w:val="auto"/>
          <w:highlight w:val="none"/>
        </w:rPr>
        <w:t>（综合评估法）</w:t>
      </w:r>
      <w:r>
        <w:rPr>
          <w:color w:val="auto"/>
          <w:highlight w:val="none"/>
        </w:rPr>
        <w:tab/>
      </w:r>
      <w:r>
        <w:rPr>
          <w:color w:val="auto"/>
          <w:highlight w:val="none"/>
        </w:rPr>
        <w:fldChar w:fldCharType="begin"/>
      </w:r>
      <w:r>
        <w:rPr>
          <w:color w:val="auto"/>
          <w:highlight w:val="none"/>
        </w:rPr>
        <w:instrText xml:space="preserve"> PAGEREF _Toc16258 \h </w:instrText>
      </w:r>
      <w:r>
        <w:rPr>
          <w:color w:val="auto"/>
          <w:highlight w:val="none"/>
        </w:rPr>
        <w:fldChar w:fldCharType="separate"/>
      </w:r>
      <w:r>
        <w:rPr>
          <w:color w:val="auto"/>
          <w:highlight w:val="none"/>
        </w:rPr>
        <w:t>34</w:t>
      </w:r>
      <w:r>
        <w:rPr>
          <w:color w:val="auto"/>
          <w:highlight w:val="none"/>
        </w:rPr>
        <w:fldChar w:fldCharType="end"/>
      </w:r>
      <w:r>
        <w:rPr>
          <w:rFonts w:hint="eastAsia" w:ascii="宋体" w:hAnsi="宋体" w:cs="宋体"/>
          <w:bCs/>
          <w:color w:val="auto"/>
          <w:szCs w:val="21"/>
          <w:highlight w:val="none"/>
          <w:lang w:val="zh-CN"/>
        </w:rPr>
        <w:fldChar w:fldCharType="end"/>
      </w:r>
    </w:p>
    <w:p w14:paraId="1BD3FC38">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_Toc13805 </w:instrText>
      </w:r>
      <w:r>
        <w:rPr>
          <w:rFonts w:hint="eastAsia" w:ascii="宋体" w:hAnsi="宋体" w:cs="宋体"/>
          <w:bCs/>
          <w:color w:val="auto"/>
          <w:szCs w:val="21"/>
          <w:highlight w:val="none"/>
          <w:lang w:val="zh-CN"/>
        </w:rPr>
        <w:fldChar w:fldCharType="separate"/>
      </w:r>
      <w:r>
        <w:rPr>
          <w:rFonts w:hint="eastAsia" w:ascii="宋体" w:hAnsi="宋体" w:cs="宋体"/>
          <w:bCs w:val="0"/>
          <w:snapToGrid w:val="0"/>
          <w:color w:val="auto"/>
          <w:highlight w:val="none"/>
        </w:rPr>
        <w:t>第四章  合同条款及格式</w:t>
      </w:r>
      <w:r>
        <w:rPr>
          <w:color w:val="auto"/>
          <w:highlight w:val="none"/>
        </w:rPr>
        <w:tab/>
      </w:r>
      <w:r>
        <w:rPr>
          <w:color w:val="auto"/>
          <w:highlight w:val="none"/>
        </w:rPr>
        <w:fldChar w:fldCharType="begin"/>
      </w:r>
      <w:r>
        <w:rPr>
          <w:color w:val="auto"/>
          <w:highlight w:val="none"/>
        </w:rPr>
        <w:instrText xml:space="preserve"> PAGEREF _Toc13805 \h </w:instrText>
      </w:r>
      <w:r>
        <w:rPr>
          <w:color w:val="auto"/>
          <w:highlight w:val="none"/>
        </w:rPr>
        <w:fldChar w:fldCharType="separate"/>
      </w:r>
      <w:r>
        <w:rPr>
          <w:color w:val="auto"/>
          <w:highlight w:val="none"/>
        </w:rPr>
        <w:t>43</w:t>
      </w:r>
      <w:r>
        <w:rPr>
          <w:color w:val="auto"/>
          <w:highlight w:val="none"/>
        </w:rPr>
        <w:fldChar w:fldCharType="end"/>
      </w:r>
      <w:r>
        <w:rPr>
          <w:rFonts w:hint="eastAsia" w:ascii="宋体" w:hAnsi="宋体" w:cs="宋体"/>
          <w:bCs/>
          <w:color w:val="auto"/>
          <w:szCs w:val="21"/>
          <w:highlight w:val="none"/>
          <w:lang w:val="zh-CN"/>
        </w:rPr>
        <w:fldChar w:fldCharType="end"/>
      </w:r>
    </w:p>
    <w:p w14:paraId="34086B85">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_Toc15690 </w:instrText>
      </w:r>
      <w:r>
        <w:rPr>
          <w:rFonts w:hint="eastAsia" w:ascii="宋体" w:hAnsi="宋体" w:cs="宋体"/>
          <w:bCs/>
          <w:color w:val="auto"/>
          <w:szCs w:val="21"/>
          <w:highlight w:val="none"/>
          <w:lang w:val="zh-CN"/>
        </w:rPr>
        <w:fldChar w:fldCharType="separate"/>
      </w:r>
      <w:r>
        <w:rPr>
          <w:rFonts w:hint="eastAsia" w:ascii="宋体" w:hAnsi="宋体" w:cs="宋体"/>
          <w:bCs w:val="0"/>
          <w:color w:val="auto"/>
          <w:highlight w:val="none"/>
        </w:rPr>
        <w:t>第五章  工程量清单</w:t>
      </w:r>
      <w:r>
        <w:rPr>
          <w:color w:val="auto"/>
          <w:highlight w:val="none"/>
        </w:rPr>
        <w:tab/>
      </w:r>
      <w:r>
        <w:rPr>
          <w:color w:val="auto"/>
          <w:highlight w:val="none"/>
        </w:rPr>
        <w:fldChar w:fldCharType="begin"/>
      </w:r>
      <w:r>
        <w:rPr>
          <w:color w:val="auto"/>
          <w:highlight w:val="none"/>
        </w:rPr>
        <w:instrText xml:space="preserve"> PAGEREF _Toc15690 \h </w:instrText>
      </w:r>
      <w:r>
        <w:rPr>
          <w:color w:val="auto"/>
          <w:highlight w:val="none"/>
        </w:rPr>
        <w:fldChar w:fldCharType="separate"/>
      </w:r>
      <w:r>
        <w:rPr>
          <w:color w:val="auto"/>
          <w:highlight w:val="none"/>
        </w:rPr>
        <w:t>103</w:t>
      </w:r>
      <w:r>
        <w:rPr>
          <w:color w:val="auto"/>
          <w:highlight w:val="none"/>
        </w:rPr>
        <w:fldChar w:fldCharType="end"/>
      </w:r>
      <w:r>
        <w:rPr>
          <w:rFonts w:hint="eastAsia" w:ascii="宋体" w:hAnsi="宋体" w:cs="宋体"/>
          <w:bCs/>
          <w:color w:val="auto"/>
          <w:szCs w:val="21"/>
          <w:highlight w:val="none"/>
          <w:lang w:val="zh-CN"/>
        </w:rPr>
        <w:fldChar w:fldCharType="end"/>
      </w:r>
    </w:p>
    <w:p w14:paraId="6200A706">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_Toc18746 </w:instrText>
      </w:r>
      <w:r>
        <w:rPr>
          <w:rFonts w:hint="eastAsia" w:ascii="宋体" w:hAnsi="宋体" w:cs="宋体"/>
          <w:bCs/>
          <w:color w:val="auto"/>
          <w:szCs w:val="21"/>
          <w:highlight w:val="none"/>
          <w:lang w:val="zh-CN"/>
        </w:rPr>
        <w:fldChar w:fldCharType="separate"/>
      </w:r>
      <w:r>
        <w:rPr>
          <w:rFonts w:hint="eastAsia" w:ascii="宋体" w:hAnsi="宋体" w:cs="宋体"/>
          <w:color w:val="auto"/>
          <w:szCs w:val="52"/>
          <w:highlight w:val="none"/>
        </w:rPr>
        <w:t>第 二 卷</w:t>
      </w:r>
      <w:r>
        <w:rPr>
          <w:color w:val="auto"/>
          <w:highlight w:val="none"/>
        </w:rPr>
        <w:tab/>
      </w:r>
      <w:r>
        <w:rPr>
          <w:color w:val="auto"/>
          <w:highlight w:val="none"/>
        </w:rPr>
        <w:fldChar w:fldCharType="begin"/>
      </w:r>
      <w:r>
        <w:rPr>
          <w:color w:val="auto"/>
          <w:highlight w:val="none"/>
        </w:rPr>
        <w:instrText xml:space="preserve"> PAGEREF _Toc18746 \h </w:instrText>
      </w:r>
      <w:r>
        <w:rPr>
          <w:color w:val="auto"/>
          <w:highlight w:val="none"/>
        </w:rPr>
        <w:fldChar w:fldCharType="separate"/>
      </w:r>
      <w:r>
        <w:rPr>
          <w:color w:val="auto"/>
          <w:highlight w:val="none"/>
        </w:rPr>
        <w:t>104</w:t>
      </w:r>
      <w:r>
        <w:rPr>
          <w:color w:val="auto"/>
          <w:highlight w:val="none"/>
        </w:rPr>
        <w:fldChar w:fldCharType="end"/>
      </w:r>
      <w:r>
        <w:rPr>
          <w:rFonts w:hint="eastAsia" w:ascii="宋体" w:hAnsi="宋体" w:cs="宋体"/>
          <w:bCs/>
          <w:color w:val="auto"/>
          <w:szCs w:val="21"/>
          <w:highlight w:val="none"/>
          <w:lang w:val="zh-CN"/>
        </w:rPr>
        <w:fldChar w:fldCharType="end"/>
      </w:r>
    </w:p>
    <w:p w14:paraId="0FB2C473">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_Toc15474 </w:instrText>
      </w:r>
      <w:r>
        <w:rPr>
          <w:rFonts w:hint="eastAsia" w:ascii="宋体" w:hAnsi="宋体" w:cs="宋体"/>
          <w:bCs/>
          <w:color w:val="auto"/>
          <w:szCs w:val="21"/>
          <w:highlight w:val="none"/>
          <w:lang w:val="zh-CN"/>
        </w:rPr>
        <w:fldChar w:fldCharType="separate"/>
      </w:r>
      <w:r>
        <w:rPr>
          <w:rFonts w:hint="eastAsia" w:ascii="宋体" w:hAnsi="宋体" w:cs="宋体"/>
          <w:bCs w:val="0"/>
          <w:color w:val="auto"/>
          <w:highlight w:val="none"/>
        </w:rPr>
        <w:t>第六章  图纸</w:t>
      </w:r>
      <w:r>
        <w:rPr>
          <w:color w:val="auto"/>
          <w:highlight w:val="none"/>
        </w:rPr>
        <w:tab/>
      </w:r>
      <w:r>
        <w:rPr>
          <w:color w:val="auto"/>
          <w:highlight w:val="none"/>
        </w:rPr>
        <w:fldChar w:fldCharType="begin"/>
      </w:r>
      <w:r>
        <w:rPr>
          <w:color w:val="auto"/>
          <w:highlight w:val="none"/>
        </w:rPr>
        <w:instrText xml:space="preserve"> PAGEREF _Toc15474 \h </w:instrText>
      </w:r>
      <w:r>
        <w:rPr>
          <w:color w:val="auto"/>
          <w:highlight w:val="none"/>
        </w:rPr>
        <w:fldChar w:fldCharType="separate"/>
      </w:r>
      <w:r>
        <w:rPr>
          <w:color w:val="auto"/>
          <w:highlight w:val="none"/>
        </w:rPr>
        <w:t>105</w:t>
      </w:r>
      <w:r>
        <w:rPr>
          <w:color w:val="auto"/>
          <w:highlight w:val="none"/>
        </w:rPr>
        <w:fldChar w:fldCharType="end"/>
      </w:r>
      <w:r>
        <w:rPr>
          <w:rFonts w:hint="eastAsia" w:ascii="宋体" w:hAnsi="宋体" w:cs="宋体"/>
          <w:bCs/>
          <w:color w:val="auto"/>
          <w:szCs w:val="21"/>
          <w:highlight w:val="none"/>
          <w:lang w:val="zh-CN"/>
        </w:rPr>
        <w:fldChar w:fldCharType="end"/>
      </w:r>
    </w:p>
    <w:p w14:paraId="5AB12B4F">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_Toc5733 </w:instrText>
      </w:r>
      <w:r>
        <w:rPr>
          <w:rFonts w:hint="eastAsia" w:ascii="宋体" w:hAnsi="宋体" w:cs="宋体"/>
          <w:bCs/>
          <w:color w:val="auto"/>
          <w:szCs w:val="21"/>
          <w:highlight w:val="none"/>
          <w:lang w:val="zh-CN"/>
        </w:rPr>
        <w:fldChar w:fldCharType="separate"/>
      </w:r>
      <w:r>
        <w:rPr>
          <w:rFonts w:hint="eastAsia" w:ascii="宋体" w:hAnsi="宋体" w:cs="宋体"/>
          <w:color w:val="auto"/>
          <w:szCs w:val="52"/>
          <w:highlight w:val="none"/>
        </w:rPr>
        <w:t>第 三 卷</w:t>
      </w:r>
      <w:r>
        <w:rPr>
          <w:color w:val="auto"/>
          <w:highlight w:val="none"/>
        </w:rPr>
        <w:tab/>
      </w:r>
      <w:r>
        <w:rPr>
          <w:color w:val="auto"/>
          <w:highlight w:val="none"/>
        </w:rPr>
        <w:fldChar w:fldCharType="begin"/>
      </w:r>
      <w:r>
        <w:rPr>
          <w:color w:val="auto"/>
          <w:highlight w:val="none"/>
        </w:rPr>
        <w:instrText xml:space="preserve"> PAGEREF _Toc5733 \h </w:instrText>
      </w:r>
      <w:r>
        <w:rPr>
          <w:color w:val="auto"/>
          <w:highlight w:val="none"/>
        </w:rPr>
        <w:fldChar w:fldCharType="separate"/>
      </w:r>
      <w:r>
        <w:rPr>
          <w:color w:val="auto"/>
          <w:highlight w:val="none"/>
        </w:rPr>
        <w:t>106</w:t>
      </w:r>
      <w:r>
        <w:rPr>
          <w:color w:val="auto"/>
          <w:highlight w:val="none"/>
        </w:rPr>
        <w:fldChar w:fldCharType="end"/>
      </w:r>
      <w:r>
        <w:rPr>
          <w:rFonts w:hint="eastAsia" w:ascii="宋体" w:hAnsi="宋体" w:cs="宋体"/>
          <w:bCs/>
          <w:color w:val="auto"/>
          <w:szCs w:val="21"/>
          <w:highlight w:val="none"/>
          <w:lang w:val="zh-CN"/>
        </w:rPr>
        <w:fldChar w:fldCharType="end"/>
      </w:r>
    </w:p>
    <w:p w14:paraId="1A231F45">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_Toc17317 </w:instrText>
      </w:r>
      <w:r>
        <w:rPr>
          <w:rFonts w:hint="eastAsia" w:ascii="宋体" w:hAnsi="宋体" w:cs="宋体"/>
          <w:bCs/>
          <w:color w:val="auto"/>
          <w:szCs w:val="21"/>
          <w:highlight w:val="none"/>
          <w:lang w:val="zh-CN"/>
        </w:rPr>
        <w:fldChar w:fldCharType="separate"/>
      </w:r>
      <w:r>
        <w:rPr>
          <w:rFonts w:hint="eastAsia" w:ascii="宋体" w:hAnsi="宋体" w:cs="宋体"/>
          <w:bCs w:val="0"/>
          <w:color w:val="auto"/>
          <w:highlight w:val="none"/>
        </w:rPr>
        <w:t>第七章  技术标准和要求</w:t>
      </w:r>
      <w:r>
        <w:rPr>
          <w:color w:val="auto"/>
          <w:highlight w:val="none"/>
        </w:rPr>
        <w:tab/>
      </w:r>
      <w:r>
        <w:rPr>
          <w:color w:val="auto"/>
          <w:highlight w:val="none"/>
        </w:rPr>
        <w:fldChar w:fldCharType="begin"/>
      </w:r>
      <w:r>
        <w:rPr>
          <w:color w:val="auto"/>
          <w:highlight w:val="none"/>
        </w:rPr>
        <w:instrText xml:space="preserve"> PAGEREF _Toc17317 \h </w:instrText>
      </w:r>
      <w:r>
        <w:rPr>
          <w:color w:val="auto"/>
          <w:highlight w:val="none"/>
        </w:rPr>
        <w:fldChar w:fldCharType="separate"/>
      </w:r>
      <w:r>
        <w:rPr>
          <w:color w:val="auto"/>
          <w:highlight w:val="none"/>
        </w:rPr>
        <w:t>107</w:t>
      </w:r>
      <w:r>
        <w:rPr>
          <w:color w:val="auto"/>
          <w:highlight w:val="none"/>
        </w:rPr>
        <w:fldChar w:fldCharType="end"/>
      </w:r>
      <w:r>
        <w:rPr>
          <w:rFonts w:hint="eastAsia" w:ascii="宋体" w:hAnsi="宋体" w:cs="宋体"/>
          <w:bCs/>
          <w:color w:val="auto"/>
          <w:szCs w:val="21"/>
          <w:highlight w:val="none"/>
          <w:lang w:val="zh-CN"/>
        </w:rPr>
        <w:fldChar w:fldCharType="end"/>
      </w:r>
    </w:p>
    <w:p w14:paraId="67D8A978">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_Toc18634 </w:instrText>
      </w:r>
      <w:r>
        <w:rPr>
          <w:rFonts w:hint="eastAsia" w:ascii="宋体" w:hAnsi="宋体" w:cs="宋体"/>
          <w:bCs/>
          <w:color w:val="auto"/>
          <w:szCs w:val="21"/>
          <w:highlight w:val="none"/>
          <w:lang w:val="zh-CN"/>
        </w:rPr>
        <w:fldChar w:fldCharType="separate"/>
      </w:r>
      <w:r>
        <w:rPr>
          <w:rFonts w:hint="eastAsia" w:ascii="宋体" w:hAnsi="宋体" w:cs="宋体"/>
          <w:bCs w:val="0"/>
          <w:color w:val="auto"/>
          <w:highlight w:val="none"/>
        </w:rPr>
        <w:t>第八章  工程量清单计量规则</w:t>
      </w:r>
      <w:r>
        <w:rPr>
          <w:color w:val="auto"/>
          <w:highlight w:val="none"/>
        </w:rPr>
        <w:tab/>
      </w:r>
      <w:r>
        <w:rPr>
          <w:color w:val="auto"/>
          <w:highlight w:val="none"/>
        </w:rPr>
        <w:fldChar w:fldCharType="begin"/>
      </w:r>
      <w:r>
        <w:rPr>
          <w:color w:val="auto"/>
          <w:highlight w:val="none"/>
        </w:rPr>
        <w:instrText xml:space="preserve"> PAGEREF _Toc18634 \h </w:instrText>
      </w:r>
      <w:r>
        <w:rPr>
          <w:color w:val="auto"/>
          <w:highlight w:val="none"/>
        </w:rPr>
        <w:fldChar w:fldCharType="separate"/>
      </w:r>
      <w:r>
        <w:rPr>
          <w:color w:val="auto"/>
          <w:highlight w:val="none"/>
        </w:rPr>
        <w:t>108</w:t>
      </w:r>
      <w:r>
        <w:rPr>
          <w:color w:val="auto"/>
          <w:highlight w:val="none"/>
        </w:rPr>
        <w:fldChar w:fldCharType="end"/>
      </w:r>
      <w:r>
        <w:rPr>
          <w:rFonts w:hint="eastAsia" w:ascii="宋体" w:hAnsi="宋体" w:cs="宋体"/>
          <w:bCs/>
          <w:color w:val="auto"/>
          <w:szCs w:val="21"/>
          <w:highlight w:val="none"/>
          <w:lang w:val="zh-CN"/>
        </w:rPr>
        <w:fldChar w:fldCharType="end"/>
      </w:r>
    </w:p>
    <w:p w14:paraId="6F7210A6">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_Toc6179 </w:instrText>
      </w:r>
      <w:r>
        <w:rPr>
          <w:rFonts w:hint="eastAsia" w:ascii="宋体" w:hAnsi="宋体" w:cs="宋体"/>
          <w:bCs/>
          <w:color w:val="auto"/>
          <w:szCs w:val="21"/>
          <w:highlight w:val="none"/>
          <w:lang w:val="zh-CN"/>
        </w:rPr>
        <w:fldChar w:fldCharType="separate"/>
      </w:r>
      <w:r>
        <w:rPr>
          <w:rFonts w:hint="eastAsia" w:ascii="宋体" w:hAnsi="宋体" w:cs="宋体"/>
          <w:color w:val="auto"/>
          <w:szCs w:val="52"/>
          <w:highlight w:val="none"/>
        </w:rPr>
        <w:t>第 四 卷</w:t>
      </w:r>
      <w:r>
        <w:rPr>
          <w:color w:val="auto"/>
          <w:highlight w:val="none"/>
        </w:rPr>
        <w:tab/>
      </w:r>
      <w:r>
        <w:rPr>
          <w:color w:val="auto"/>
          <w:highlight w:val="none"/>
        </w:rPr>
        <w:fldChar w:fldCharType="begin"/>
      </w:r>
      <w:r>
        <w:rPr>
          <w:color w:val="auto"/>
          <w:highlight w:val="none"/>
        </w:rPr>
        <w:instrText xml:space="preserve"> PAGEREF _Toc6179 \h </w:instrText>
      </w:r>
      <w:r>
        <w:rPr>
          <w:color w:val="auto"/>
          <w:highlight w:val="none"/>
        </w:rPr>
        <w:fldChar w:fldCharType="separate"/>
      </w:r>
      <w:r>
        <w:rPr>
          <w:color w:val="auto"/>
          <w:highlight w:val="none"/>
        </w:rPr>
        <w:t>109</w:t>
      </w:r>
      <w:r>
        <w:rPr>
          <w:color w:val="auto"/>
          <w:highlight w:val="none"/>
        </w:rPr>
        <w:fldChar w:fldCharType="end"/>
      </w:r>
      <w:r>
        <w:rPr>
          <w:rFonts w:hint="eastAsia" w:ascii="宋体" w:hAnsi="宋体" w:cs="宋体"/>
          <w:bCs/>
          <w:color w:val="auto"/>
          <w:szCs w:val="21"/>
          <w:highlight w:val="none"/>
          <w:lang w:val="zh-CN"/>
        </w:rPr>
        <w:fldChar w:fldCharType="end"/>
      </w:r>
    </w:p>
    <w:p w14:paraId="43075DAD">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_Toc15726 </w:instrText>
      </w:r>
      <w:r>
        <w:rPr>
          <w:rFonts w:hint="eastAsia" w:ascii="宋体" w:hAnsi="宋体" w:cs="宋体"/>
          <w:bCs/>
          <w:color w:val="auto"/>
          <w:szCs w:val="21"/>
          <w:highlight w:val="none"/>
          <w:lang w:val="zh-CN"/>
        </w:rPr>
        <w:fldChar w:fldCharType="separate"/>
      </w:r>
      <w:r>
        <w:rPr>
          <w:rFonts w:hint="eastAsia" w:ascii="宋体" w:hAnsi="宋体" w:cs="宋体"/>
          <w:bCs w:val="0"/>
          <w:color w:val="auto"/>
          <w:highlight w:val="none"/>
        </w:rPr>
        <w:t xml:space="preserve">第九章  </w:t>
      </w:r>
      <w:r>
        <w:rPr>
          <w:rFonts w:hint="eastAsia" w:ascii="宋体" w:hAnsi="宋体" w:cs="宋体"/>
          <w:bCs w:val="0"/>
          <w:color w:val="auto"/>
          <w:highlight w:val="none"/>
          <w:lang w:eastAsia="zh-CN"/>
        </w:rPr>
        <w:t>响应文件</w:t>
      </w:r>
      <w:r>
        <w:rPr>
          <w:rFonts w:hint="eastAsia" w:ascii="宋体" w:hAnsi="宋体" w:cs="宋体"/>
          <w:bCs w:val="0"/>
          <w:color w:val="auto"/>
          <w:highlight w:val="none"/>
        </w:rPr>
        <w:t>格式</w:t>
      </w:r>
      <w:r>
        <w:rPr>
          <w:color w:val="auto"/>
          <w:highlight w:val="none"/>
        </w:rPr>
        <w:tab/>
      </w:r>
      <w:r>
        <w:rPr>
          <w:color w:val="auto"/>
          <w:highlight w:val="none"/>
        </w:rPr>
        <w:fldChar w:fldCharType="begin"/>
      </w:r>
      <w:r>
        <w:rPr>
          <w:color w:val="auto"/>
          <w:highlight w:val="none"/>
        </w:rPr>
        <w:instrText xml:space="preserve"> PAGEREF _Toc15726 \h </w:instrText>
      </w:r>
      <w:r>
        <w:rPr>
          <w:color w:val="auto"/>
          <w:highlight w:val="none"/>
        </w:rPr>
        <w:fldChar w:fldCharType="separate"/>
      </w:r>
      <w:r>
        <w:rPr>
          <w:color w:val="auto"/>
          <w:highlight w:val="none"/>
        </w:rPr>
        <w:t>110</w:t>
      </w:r>
      <w:r>
        <w:rPr>
          <w:color w:val="auto"/>
          <w:highlight w:val="none"/>
        </w:rPr>
        <w:fldChar w:fldCharType="end"/>
      </w:r>
      <w:r>
        <w:rPr>
          <w:rFonts w:hint="eastAsia" w:ascii="宋体" w:hAnsi="宋体" w:cs="宋体"/>
          <w:bCs/>
          <w:color w:val="auto"/>
          <w:szCs w:val="21"/>
          <w:highlight w:val="none"/>
          <w:lang w:val="zh-CN"/>
        </w:rPr>
        <w:fldChar w:fldCharType="end"/>
      </w:r>
    </w:p>
    <w:p w14:paraId="6786FDCB">
      <w:pPr>
        <w:pStyle w:val="16"/>
        <w:tabs>
          <w:tab w:val="right" w:leader="dot" w:pos="9469"/>
        </w:tabs>
        <w:rPr>
          <w:color w:val="auto"/>
          <w:highlight w:val="none"/>
        </w:rPr>
      </w:pPr>
    </w:p>
    <w:p w14:paraId="44595BEE">
      <w:pPr>
        <w:spacing w:line="400" w:lineRule="exact"/>
        <w:rPr>
          <w:rFonts w:ascii="宋体" w:hAnsi="宋体" w:cs="宋体"/>
          <w:color w:val="auto"/>
          <w:highlight w:val="none"/>
        </w:rPr>
      </w:pPr>
      <w:r>
        <w:rPr>
          <w:rFonts w:hint="eastAsia" w:ascii="宋体" w:hAnsi="宋体" w:cs="宋体"/>
          <w:bCs/>
          <w:color w:val="auto"/>
          <w:szCs w:val="21"/>
          <w:highlight w:val="none"/>
          <w:lang w:val="zh-CN"/>
        </w:rPr>
        <w:fldChar w:fldCharType="end"/>
      </w:r>
    </w:p>
    <w:p w14:paraId="0BA33428">
      <w:pPr>
        <w:spacing w:line="20" w:lineRule="exact"/>
        <w:jc w:val="left"/>
        <w:rPr>
          <w:rFonts w:ascii="宋体" w:hAnsi="宋体" w:cs="宋体"/>
          <w:color w:val="auto"/>
          <w:highlight w:val="none"/>
        </w:rPr>
        <w:sectPr>
          <w:footerReference r:id="rId4" w:type="default"/>
          <w:pgSz w:w="11907" w:h="16840"/>
          <w:pgMar w:top="1304" w:right="1134" w:bottom="1304" w:left="1304" w:header="851" w:footer="992" w:gutter="0"/>
          <w:pgNumType w:start="1"/>
          <w:cols w:space="720" w:num="1"/>
          <w:docGrid w:linePitch="312" w:charSpace="0"/>
        </w:sectPr>
      </w:pPr>
    </w:p>
    <w:bookmarkEnd w:id="10"/>
    <w:p w14:paraId="6CF75962">
      <w:pPr>
        <w:rPr>
          <w:rFonts w:ascii="宋体" w:hAnsi="宋体" w:cs="宋体"/>
          <w:color w:val="auto"/>
          <w:highlight w:val="none"/>
        </w:rPr>
      </w:pPr>
      <w:bookmarkStart w:id="11" w:name="_Toc509218690"/>
    </w:p>
    <w:p w14:paraId="4AA1EF12">
      <w:pPr>
        <w:pStyle w:val="3"/>
        <w:spacing w:before="0" w:after="0" w:line="480" w:lineRule="auto"/>
        <w:jc w:val="center"/>
        <w:rPr>
          <w:rFonts w:ascii="宋体" w:hAnsi="宋体" w:cs="宋体"/>
          <w:b w:val="0"/>
          <w:bCs w:val="0"/>
          <w:color w:val="auto"/>
          <w:sz w:val="56"/>
          <w:szCs w:val="56"/>
          <w:highlight w:val="none"/>
        </w:rPr>
      </w:pPr>
      <w:bookmarkStart w:id="12" w:name="_Toc20159"/>
      <w:bookmarkStart w:id="13" w:name="_Toc29973"/>
      <w:bookmarkStart w:id="14" w:name="_Toc3542"/>
      <w:bookmarkStart w:id="15" w:name="_Toc23939"/>
      <w:r>
        <w:rPr>
          <w:rFonts w:hint="eastAsia" w:ascii="宋体" w:hAnsi="宋体" w:cs="宋体"/>
          <w:color w:val="auto"/>
          <w:sz w:val="52"/>
          <w:szCs w:val="52"/>
          <w:highlight w:val="none"/>
        </w:rPr>
        <w:t>第 一 卷</w:t>
      </w:r>
      <w:bookmarkEnd w:id="11"/>
      <w:bookmarkEnd w:id="12"/>
      <w:bookmarkEnd w:id="13"/>
      <w:bookmarkEnd w:id="14"/>
      <w:bookmarkEnd w:id="15"/>
    </w:p>
    <w:p w14:paraId="5A9A5781">
      <w:pPr>
        <w:pStyle w:val="3"/>
        <w:spacing w:line="360" w:lineRule="auto"/>
        <w:jc w:val="center"/>
        <w:rPr>
          <w:rFonts w:hint="eastAsia" w:ascii="宋体" w:hAnsi="宋体" w:eastAsia="宋体" w:cs="宋体"/>
          <w:b w:val="0"/>
          <w:bCs w:val="0"/>
          <w:snapToGrid w:val="0"/>
          <w:color w:val="auto"/>
          <w:kern w:val="0"/>
          <w:highlight w:val="none"/>
          <w:lang w:eastAsia="zh-CN"/>
        </w:rPr>
      </w:pPr>
      <w:bookmarkStart w:id="16" w:name="_Toc287620666"/>
      <w:bookmarkStart w:id="17" w:name="_Toc224103298"/>
      <w:bookmarkStart w:id="18" w:name="_Toc277082535"/>
      <w:bookmarkStart w:id="19" w:name="_Toc509218691"/>
      <w:bookmarkStart w:id="20" w:name="_Toc287607727"/>
      <w:bookmarkStart w:id="21" w:name="_Toc430530415"/>
      <w:r>
        <w:rPr>
          <w:rFonts w:hint="eastAsia" w:ascii="宋体" w:hAnsi="宋体" w:cs="宋体"/>
          <w:snapToGrid w:val="0"/>
          <w:color w:val="auto"/>
          <w:kern w:val="0"/>
          <w:highlight w:val="none"/>
        </w:rPr>
        <w:br w:type="page"/>
      </w:r>
      <w:bookmarkStart w:id="22" w:name="_Toc18667"/>
      <w:bookmarkStart w:id="23" w:name="_Toc18754"/>
      <w:bookmarkStart w:id="24" w:name="_Toc12405"/>
      <w:bookmarkStart w:id="25" w:name="_Toc19860"/>
      <w:r>
        <w:rPr>
          <w:rFonts w:hint="eastAsia" w:ascii="宋体" w:hAnsi="宋体" w:cs="宋体"/>
          <w:snapToGrid w:val="0"/>
          <w:color w:val="auto"/>
          <w:kern w:val="0"/>
          <w:highlight w:val="none"/>
        </w:rPr>
        <w:t xml:space="preserve">第一章  </w:t>
      </w:r>
      <w:bookmarkEnd w:id="16"/>
      <w:bookmarkEnd w:id="17"/>
      <w:bookmarkEnd w:id="18"/>
      <w:bookmarkEnd w:id="19"/>
      <w:bookmarkEnd w:id="20"/>
      <w:bookmarkEnd w:id="21"/>
      <w:bookmarkEnd w:id="22"/>
      <w:bookmarkEnd w:id="23"/>
      <w:bookmarkEnd w:id="24"/>
      <w:r>
        <w:rPr>
          <w:rFonts w:hint="eastAsia" w:ascii="宋体" w:hAnsi="宋体" w:cs="宋体"/>
          <w:snapToGrid w:val="0"/>
          <w:color w:val="auto"/>
          <w:kern w:val="0"/>
          <w:highlight w:val="none"/>
          <w:lang w:eastAsia="zh-CN"/>
        </w:rPr>
        <w:t>竞争性比选公告</w:t>
      </w:r>
      <w:bookmarkEnd w:id="25"/>
    </w:p>
    <w:p w14:paraId="571BD8D0">
      <w:pPr>
        <w:autoSpaceDE w:val="0"/>
        <w:autoSpaceDN w:val="0"/>
        <w:adjustRightInd w:val="0"/>
        <w:snapToGrid w:val="0"/>
        <w:spacing w:line="360" w:lineRule="auto"/>
        <w:jc w:val="center"/>
        <w:rPr>
          <w:rFonts w:hint="eastAsia" w:ascii="宋体" w:hAnsi="宋体" w:cs="宋体"/>
          <w:snapToGrid w:val="0"/>
          <w:color w:val="auto"/>
          <w:kern w:val="0"/>
          <w:sz w:val="28"/>
          <w:szCs w:val="28"/>
          <w:highlight w:val="none"/>
          <w:u w:val="none"/>
          <w:lang w:eastAsia="zh-CN"/>
        </w:rPr>
      </w:pPr>
      <w:r>
        <w:rPr>
          <w:rFonts w:hint="eastAsia" w:ascii="宋体" w:hAnsi="宋体" w:cs="宋体"/>
          <w:snapToGrid w:val="0"/>
          <w:color w:val="auto"/>
          <w:kern w:val="0"/>
          <w:sz w:val="28"/>
          <w:szCs w:val="28"/>
          <w:highlight w:val="none"/>
          <w:u w:val="none"/>
          <w:lang w:eastAsia="zh-CN"/>
        </w:rPr>
        <w:t>成渝改扩建机电工程监控、通信设施保通及路由管道劳务采购</w:t>
      </w:r>
    </w:p>
    <w:p w14:paraId="1BA02089">
      <w:pPr>
        <w:autoSpaceDE w:val="0"/>
        <w:autoSpaceDN w:val="0"/>
        <w:adjustRightInd w:val="0"/>
        <w:snapToGrid w:val="0"/>
        <w:spacing w:line="360" w:lineRule="auto"/>
        <w:jc w:val="center"/>
        <w:rPr>
          <w:rFonts w:hint="eastAsia" w:ascii="宋体" w:hAnsi="宋体" w:eastAsia="宋体" w:cs="宋体"/>
          <w:snapToGrid w:val="0"/>
          <w:color w:val="auto"/>
          <w:kern w:val="0"/>
          <w:sz w:val="10"/>
          <w:szCs w:val="10"/>
          <w:highlight w:val="none"/>
          <w:lang w:eastAsia="zh-CN"/>
        </w:rPr>
      </w:pPr>
      <w:r>
        <w:rPr>
          <w:rFonts w:hint="eastAsia" w:ascii="宋体" w:hAnsi="宋体" w:cs="宋体"/>
          <w:snapToGrid w:val="0"/>
          <w:color w:val="auto"/>
          <w:w w:val="99"/>
          <w:kern w:val="0"/>
          <w:sz w:val="28"/>
          <w:szCs w:val="28"/>
          <w:highlight w:val="none"/>
          <w:u w:val="none"/>
          <w:lang w:eastAsia="zh-CN"/>
        </w:rPr>
        <w:t>竞争性比选公告</w:t>
      </w:r>
    </w:p>
    <w:p w14:paraId="054AAA65">
      <w:pPr>
        <w:pStyle w:val="4"/>
        <w:adjustRightInd w:val="0"/>
        <w:snapToGrid w:val="0"/>
        <w:spacing w:before="0" w:after="0" w:line="360" w:lineRule="auto"/>
        <w:rPr>
          <w:rFonts w:ascii="宋体" w:hAnsi="宋体" w:cs="宋体"/>
          <w:bCs w:val="0"/>
          <w:snapToGrid w:val="0"/>
          <w:color w:val="auto"/>
          <w:sz w:val="24"/>
          <w:szCs w:val="24"/>
          <w:highlight w:val="none"/>
        </w:rPr>
      </w:pPr>
      <w:bookmarkStart w:id="26" w:name="_Toc23128"/>
      <w:bookmarkStart w:id="27" w:name="_Toc287620667"/>
      <w:bookmarkStart w:id="28" w:name="_Toc287607728"/>
      <w:bookmarkStart w:id="29" w:name="_Toc20161"/>
      <w:bookmarkStart w:id="30" w:name="_Toc277082536"/>
      <w:bookmarkStart w:id="31" w:name="_Toc430530416"/>
      <w:bookmarkStart w:id="32" w:name="_Toc17503"/>
      <w:bookmarkStart w:id="33" w:name="_Toc224103299"/>
      <w:bookmarkStart w:id="34" w:name="_Toc200359238"/>
      <w:bookmarkStart w:id="35" w:name="_Toc509218692"/>
      <w:bookmarkStart w:id="36" w:name="_Toc6110"/>
      <w:bookmarkStart w:id="37" w:name="_Toc200359427"/>
      <w:r>
        <w:rPr>
          <w:rFonts w:hint="eastAsia" w:ascii="宋体" w:hAnsi="宋体" w:cs="宋体"/>
          <w:bCs w:val="0"/>
          <w:snapToGrid w:val="0"/>
          <w:color w:val="auto"/>
          <w:sz w:val="24"/>
          <w:szCs w:val="24"/>
          <w:highlight w:val="none"/>
        </w:rPr>
        <w:t xml:space="preserve">1. </w:t>
      </w:r>
      <w:r>
        <w:rPr>
          <w:rFonts w:hint="eastAsia" w:ascii="宋体" w:hAnsi="宋体" w:cs="宋体"/>
          <w:bCs w:val="0"/>
          <w:snapToGrid w:val="0"/>
          <w:color w:val="auto"/>
          <w:sz w:val="24"/>
          <w:szCs w:val="24"/>
          <w:highlight w:val="none"/>
          <w:lang w:val="en-US" w:eastAsia="zh-CN"/>
        </w:rPr>
        <w:t>采购</w:t>
      </w:r>
      <w:r>
        <w:rPr>
          <w:rFonts w:hint="eastAsia" w:ascii="宋体" w:hAnsi="宋体" w:cs="宋体"/>
          <w:bCs w:val="0"/>
          <w:snapToGrid w:val="0"/>
          <w:color w:val="auto"/>
          <w:sz w:val="24"/>
          <w:szCs w:val="24"/>
          <w:highlight w:val="none"/>
        </w:rPr>
        <w:t>条件</w:t>
      </w:r>
      <w:bookmarkEnd w:id="26"/>
      <w:bookmarkEnd w:id="27"/>
      <w:bookmarkEnd w:id="28"/>
      <w:bookmarkEnd w:id="29"/>
      <w:bookmarkEnd w:id="30"/>
      <w:bookmarkEnd w:id="31"/>
      <w:bookmarkEnd w:id="32"/>
      <w:bookmarkEnd w:id="33"/>
      <w:bookmarkEnd w:id="34"/>
      <w:bookmarkEnd w:id="35"/>
      <w:bookmarkEnd w:id="36"/>
      <w:bookmarkEnd w:id="37"/>
    </w:p>
    <w:p w14:paraId="5486908E">
      <w:pPr>
        <w:tabs>
          <w:tab w:val="left" w:pos="3315"/>
          <w:tab w:val="left" w:pos="3390"/>
          <w:tab w:val="left" w:pos="6120"/>
          <w:tab w:val="left" w:pos="8850"/>
        </w:tabs>
        <w:autoSpaceDE w:val="0"/>
        <w:autoSpaceDN w:val="0"/>
        <w:adjustRightInd w:val="0"/>
        <w:snapToGrid w:val="0"/>
        <w:spacing w:line="360" w:lineRule="auto"/>
        <w:ind w:firstLine="420"/>
        <w:jc w:val="left"/>
        <w:rPr>
          <w:rFonts w:ascii="宋体" w:hAnsi="宋体" w:cs="宋体"/>
          <w:color w:val="auto"/>
          <w:szCs w:val="21"/>
          <w:highlight w:val="none"/>
        </w:rPr>
      </w:pPr>
      <w:bookmarkStart w:id="38" w:name="_Toc287607729"/>
      <w:bookmarkStart w:id="39" w:name="_Toc224103300"/>
      <w:bookmarkStart w:id="40" w:name="_Toc430530417"/>
      <w:bookmarkStart w:id="41" w:name="_Toc509218693"/>
      <w:bookmarkStart w:id="42" w:name="_Toc200359239"/>
      <w:bookmarkStart w:id="43" w:name="_Toc287620668"/>
      <w:bookmarkStart w:id="44" w:name="_Toc200359428"/>
      <w:bookmarkStart w:id="45" w:name="_Toc277082537"/>
      <w:r>
        <w:rPr>
          <w:rFonts w:hint="eastAsia" w:ascii="宋体" w:hAnsi="宋体" w:cs="宋体"/>
          <w:snapToGrid w:val="0"/>
          <w:color w:val="auto"/>
          <w:kern w:val="0"/>
          <w:szCs w:val="21"/>
          <w:highlight w:val="none"/>
        </w:rPr>
        <w:t>本</w:t>
      </w:r>
      <w:r>
        <w:rPr>
          <w:rFonts w:hint="eastAsia" w:ascii="宋体" w:hAnsi="宋体" w:cs="宋体"/>
          <w:snapToGrid w:val="0"/>
          <w:color w:val="auto"/>
          <w:kern w:val="0"/>
          <w:szCs w:val="21"/>
          <w:highlight w:val="none"/>
          <w:lang w:eastAsia="zh-CN"/>
        </w:rPr>
        <w:t>比选项目</w:t>
      </w:r>
      <w:r>
        <w:rPr>
          <w:rFonts w:hint="eastAsia" w:ascii="宋体" w:hAnsi="宋体" w:cs="宋体"/>
          <w:snapToGrid w:val="0"/>
          <w:color w:val="auto"/>
          <w:kern w:val="0"/>
          <w:szCs w:val="21"/>
          <w:highlight w:val="none"/>
          <w:u w:val="single"/>
          <w:lang w:eastAsia="zh-CN"/>
        </w:rPr>
        <w:t>成渝改扩建机电工程监控、通信设施保通及路由管道劳务采购</w:t>
      </w:r>
      <w:r>
        <w:rPr>
          <w:rFonts w:hint="eastAsia" w:ascii="宋体" w:hAnsi="宋体" w:cs="宋体"/>
          <w:snapToGrid w:val="0"/>
          <w:color w:val="auto"/>
          <w:kern w:val="0"/>
          <w:szCs w:val="21"/>
          <w:highlight w:val="none"/>
        </w:rPr>
        <w:t>已具备采购条件，</w:t>
      </w:r>
      <w:r>
        <w:rPr>
          <w:rFonts w:hint="eastAsia" w:ascii="宋体" w:hAnsi="宋体" w:eastAsia="宋体" w:cs="宋体"/>
          <w:snapToGrid w:val="0"/>
          <w:color w:val="auto"/>
          <w:kern w:val="0"/>
          <w:szCs w:val="21"/>
          <w:highlight w:val="none"/>
          <w:u w:val="single"/>
        </w:rPr>
        <w:t>项目建设单位重庆成渝垫丰武高速公路有限公司</w:t>
      </w:r>
      <w:r>
        <w:rPr>
          <w:rFonts w:hint="eastAsia" w:ascii="宋体" w:hAnsi="宋体" w:cs="宋体"/>
          <w:snapToGrid w:val="0"/>
          <w:color w:val="auto"/>
          <w:kern w:val="0"/>
          <w:szCs w:val="21"/>
          <w:highlight w:val="none"/>
          <w:u w:val="single"/>
          <w:lang w:eastAsia="zh-CN"/>
        </w:rPr>
        <w:t>、</w:t>
      </w:r>
      <w:r>
        <w:rPr>
          <w:rFonts w:hint="eastAsia" w:ascii="宋体" w:hAnsi="宋体" w:eastAsia="宋体" w:cs="宋体"/>
          <w:snapToGrid w:val="0"/>
          <w:color w:val="auto"/>
          <w:kern w:val="0"/>
          <w:szCs w:val="21"/>
          <w:highlight w:val="none"/>
          <w:u w:val="single"/>
        </w:rPr>
        <w:t>发包人成渝改扩建工程建设管理有限公司</w:t>
      </w:r>
      <w:r>
        <w:rPr>
          <w:rFonts w:hint="eastAsia" w:ascii="宋体" w:hAnsi="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项目</w:t>
      </w:r>
      <w:r>
        <w:rPr>
          <w:rFonts w:hint="eastAsia" w:ascii="宋体" w:hAnsi="宋体" w:eastAsia="宋体" w:cs="宋体"/>
          <w:snapToGrid w:val="0"/>
          <w:color w:val="auto"/>
          <w:kern w:val="0"/>
          <w:szCs w:val="21"/>
          <w:highlight w:val="none"/>
        </w:rPr>
        <w:t>资金</w:t>
      </w:r>
      <w:r>
        <w:rPr>
          <w:rFonts w:hint="eastAsia" w:ascii="宋体" w:hAnsi="宋体" w:cs="宋体"/>
          <w:snapToGrid w:val="0"/>
          <w:color w:val="auto"/>
          <w:kern w:val="0"/>
          <w:szCs w:val="21"/>
          <w:highlight w:val="none"/>
          <w:lang w:val="en-US" w:eastAsia="zh-CN"/>
        </w:rPr>
        <w:t>已落实</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采购人</w:t>
      </w:r>
      <w:r>
        <w:rPr>
          <w:rFonts w:hint="eastAsia" w:ascii="宋体" w:hAnsi="宋体" w:eastAsia="宋体" w:cs="宋体"/>
          <w:snapToGrid w:val="0"/>
          <w:color w:val="auto"/>
          <w:kern w:val="0"/>
          <w:position w:val="0"/>
          <w:szCs w:val="21"/>
          <w:highlight w:val="none"/>
        </w:rPr>
        <w:t>为</w:t>
      </w:r>
      <w:r>
        <w:rPr>
          <w:rFonts w:hint="eastAsia" w:ascii="宋体" w:hAnsi="宋体" w:eastAsia="宋体" w:cs="宋体"/>
          <w:snapToGrid w:val="0"/>
          <w:color w:val="auto"/>
          <w:kern w:val="0"/>
          <w:sz w:val="21"/>
          <w:szCs w:val="21"/>
          <w:highlight w:val="none"/>
          <w:lang w:val="en-US" w:eastAsia="zh-CN"/>
        </w:rPr>
        <w:t>渝改扩建项目机电工程项目</w:t>
      </w:r>
      <w:r>
        <w:rPr>
          <w:rFonts w:hint="eastAsia" w:ascii="宋体" w:hAnsi="宋体" w:eastAsia="宋体" w:cs="宋体"/>
          <w:snapToGrid w:val="0"/>
          <w:color w:val="auto"/>
          <w:kern w:val="0"/>
          <w:position w:val="0"/>
          <w:szCs w:val="21"/>
          <w:highlight w:val="none"/>
        </w:rPr>
        <w:t>施工总承包</w:t>
      </w:r>
      <w:r>
        <w:rPr>
          <w:rFonts w:hint="eastAsia" w:ascii="宋体" w:hAnsi="宋体" w:eastAsia="宋体" w:cs="宋体"/>
          <w:snapToGrid w:val="0"/>
          <w:color w:val="auto"/>
          <w:kern w:val="0"/>
          <w:position w:val="0"/>
          <w:szCs w:val="21"/>
          <w:highlight w:val="none"/>
          <w:lang w:val="en-US" w:eastAsia="zh-CN"/>
        </w:rPr>
        <w:t>单位</w:t>
      </w:r>
      <w:r>
        <w:rPr>
          <w:rFonts w:hint="eastAsia" w:ascii="宋体" w:hAnsi="宋体" w:eastAsia="宋体" w:cs="宋体"/>
          <w:snapToGrid w:val="0"/>
          <w:color w:val="auto"/>
          <w:kern w:val="0"/>
          <w:szCs w:val="21"/>
          <w:highlight w:val="none"/>
          <w:u w:val="single"/>
          <w:lang w:val="en-US" w:eastAsia="zh-CN"/>
        </w:rPr>
        <w:t>重庆首讯科技股份有限公司</w:t>
      </w:r>
      <w:r>
        <w:rPr>
          <w:rFonts w:hint="eastAsia" w:ascii="宋体" w:hAnsi="宋体" w:cs="宋体"/>
          <w:snapToGrid w:val="0"/>
          <w:color w:val="auto"/>
          <w:kern w:val="0"/>
          <w:position w:val="-2"/>
          <w:szCs w:val="21"/>
          <w:highlight w:val="none"/>
        </w:rPr>
        <w:t>。项目已具备</w:t>
      </w:r>
      <w:r>
        <w:rPr>
          <w:rFonts w:hint="eastAsia" w:ascii="宋体" w:hAnsi="宋体" w:cs="宋体"/>
          <w:snapToGrid w:val="0"/>
          <w:color w:val="auto"/>
          <w:kern w:val="0"/>
          <w:position w:val="-2"/>
          <w:szCs w:val="21"/>
          <w:highlight w:val="none"/>
          <w:lang w:val="en-US" w:eastAsia="zh-CN"/>
        </w:rPr>
        <w:t>比选</w:t>
      </w:r>
      <w:r>
        <w:rPr>
          <w:rFonts w:hint="eastAsia" w:ascii="宋体" w:hAnsi="宋体" w:cs="宋体"/>
          <w:snapToGrid w:val="0"/>
          <w:color w:val="auto"/>
          <w:kern w:val="0"/>
          <w:position w:val="-2"/>
          <w:szCs w:val="21"/>
          <w:highlight w:val="none"/>
        </w:rPr>
        <w:t>条件，</w:t>
      </w:r>
      <w:r>
        <w:rPr>
          <w:rFonts w:hint="eastAsia" w:ascii="宋体" w:hAnsi="宋体" w:eastAsia="宋体" w:cs="宋体"/>
          <w:snapToGrid w:val="0"/>
          <w:color w:val="auto"/>
          <w:kern w:val="0"/>
          <w:szCs w:val="21"/>
          <w:highlight w:val="none"/>
        </w:rPr>
        <w:t>现对本项目进行公开</w:t>
      </w:r>
      <w:r>
        <w:rPr>
          <w:rFonts w:hint="eastAsia" w:ascii="宋体" w:hAnsi="宋体" w:eastAsia="宋体" w:cs="宋体"/>
          <w:snapToGrid w:val="0"/>
          <w:color w:val="auto"/>
          <w:kern w:val="0"/>
          <w:szCs w:val="21"/>
          <w:highlight w:val="none"/>
          <w:lang w:eastAsia="zh-CN"/>
        </w:rPr>
        <w:t>竞争性</w:t>
      </w:r>
      <w:r>
        <w:rPr>
          <w:rFonts w:hint="eastAsia" w:ascii="宋体" w:hAnsi="宋体" w:eastAsia="宋体" w:cs="宋体"/>
          <w:snapToGrid w:val="0"/>
          <w:color w:val="auto"/>
          <w:kern w:val="0"/>
          <w:szCs w:val="21"/>
          <w:highlight w:val="none"/>
        </w:rPr>
        <w:t>比选</w:t>
      </w:r>
      <w:r>
        <w:rPr>
          <w:rFonts w:hint="eastAsia" w:ascii="宋体" w:hAnsi="宋体" w:cs="宋体"/>
          <w:snapToGrid w:val="0"/>
          <w:color w:val="auto"/>
          <w:kern w:val="0"/>
          <w:szCs w:val="21"/>
          <w:highlight w:val="none"/>
          <w:lang w:eastAsia="zh-CN"/>
        </w:rPr>
        <w:t>，</w:t>
      </w:r>
      <w:r>
        <w:rPr>
          <w:rFonts w:hint="eastAsia" w:ascii="宋体" w:hAnsi="宋体" w:cs="宋体"/>
          <w:snapToGrid w:val="0"/>
          <w:color w:val="auto"/>
          <w:kern w:val="0"/>
          <w:position w:val="-2"/>
          <w:szCs w:val="21"/>
          <w:highlight w:val="none"/>
          <w:lang w:val="en-US" w:eastAsia="zh-CN"/>
        </w:rPr>
        <w:t>评审办法采用综合评估法</w:t>
      </w:r>
      <w:r>
        <w:rPr>
          <w:rFonts w:hint="eastAsia" w:ascii="宋体" w:hAnsi="宋体" w:cs="宋体"/>
          <w:snapToGrid w:val="0"/>
          <w:color w:val="auto"/>
          <w:kern w:val="0"/>
          <w:position w:val="-2"/>
          <w:szCs w:val="21"/>
          <w:highlight w:val="none"/>
        </w:rPr>
        <w:t>。</w:t>
      </w:r>
    </w:p>
    <w:p w14:paraId="2426BDBC">
      <w:pPr>
        <w:pStyle w:val="4"/>
        <w:adjustRightInd w:val="0"/>
        <w:snapToGrid w:val="0"/>
        <w:spacing w:before="0" w:after="0" w:line="360" w:lineRule="auto"/>
        <w:rPr>
          <w:rFonts w:hint="eastAsia" w:ascii="宋体" w:hAnsi="宋体" w:eastAsia="宋体" w:cs="宋体"/>
          <w:bCs w:val="0"/>
          <w:snapToGrid w:val="0"/>
          <w:color w:val="auto"/>
          <w:sz w:val="24"/>
          <w:szCs w:val="24"/>
          <w:highlight w:val="none"/>
          <w:lang w:eastAsia="zh-CN"/>
        </w:rPr>
      </w:pPr>
      <w:bookmarkStart w:id="46" w:name="_Toc17867"/>
      <w:bookmarkStart w:id="47" w:name="_Toc17812"/>
      <w:bookmarkStart w:id="48" w:name="_Toc6490"/>
      <w:bookmarkStart w:id="49" w:name="_Toc21766"/>
      <w:r>
        <w:rPr>
          <w:rFonts w:hint="eastAsia" w:ascii="宋体" w:hAnsi="宋体" w:cs="宋体"/>
          <w:bCs w:val="0"/>
          <w:snapToGrid w:val="0"/>
          <w:color w:val="auto"/>
          <w:sz w:val="24"/>
          <w:szCs w:val="24"/>
          <w:highlight w:val="none"/>
        </w:rPr>
        <w:t>2. 项目概况与</w:t>
      </w:r>
      <w:bookmarkEnd w:id="38"/>
      <w:bookmarkEnd w:id="39"/>
      <w:bookmarkEnd w:id="40"/>
      <w:bookmarkEnd w:id="41"/>
      <w:bookmarkEnd w:id="42"/>
      <w:bookmarkEnd w:id="43"/>
      <w:bookmarkEnd w:id="44"/>
      <w:bookmarkEnd w:id="45"/>
      <w:bookmarkEnd w:id="46"/>
      <w:bookmarkEnd w:id="47"/>
      <w:bookmarkEnd w:id="48"/>
      <w:bookmarkStart w:id="50" w:name="_Toc287607730"/>
      <w:bookmarkStart w:id="51" w:name="_Toc224103301"/>
      <w:bookmarkStart w:id="52" w:name="_Toc200359240"/>
      <w:bookmarkStart w:id="53" w:name="_Toc509218694"/>
      <w:bookmarkStart w:id="54" w:name="_Toc200359429"/>
      <w:bookmarkStart w:id="55" w:name="_Toc430530418"/>
      <w:bookmarkStart w:id="56" w:name="_Toc277082538"/>
      <w:bookmarkStart w:id="57" w:name="_Toc287620669"/>
      <w:r>
        <w:rPr>
          <w:rFonts w:hint="eastAsia" w:ascii="宋体" w:hAnsi="宋体" w:cs="宋体"/>
          <w:bCs w:val="0"/>
          <w:snapToGrid w:val="0"/>
          <w:color w:val="auto"/>
          <w:sz w:val="24"/>
          <w:szCs w:val="24"/>
          <w:highlight w:val="none"/>
          <w:lang w:eastAsia="zh-CN"/>
        </w:rPr>
        <w:t>比选范围</w:t>
      </w:r>
      <w:bookmarkEnd w:id="49"/>
    </w:p>
    <w:p w14:paraId="24423A82">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u w:val="single"/>
        </w:rPr>
      </w:pPr>
      <w:r>
        <w:rPr>
          <w:rFonts w:hint="eastAsia" w:ascii="宋体" w:hAnsi="宋体" w:cs="宋体"/>
          <w:snapToGrid w:val="0"/>
          <w:color w:val="auto"/>
          <w:kern w:val="0"/>
          <w:szCs w:val="21"/>
          <w:highlight w:val="none"/>
        </w:rPr>
        <w:t>2.1 建设地点：</w:t>
      </w:r>
      <w:r>
        <w:rPr>
          <w:rFonts w:hint="eastAsia" w:ascii="宋体" w:hAnsi="宋体" w:cs="宋体"/>
          <w:snapToGrid w:val="0"/>
          <w:color w:val="auto"/>
          <w:kern w:val="0"/>
          <w:szCs w:val="21"/>
          <w:highlight w:val="none"/>
          <w:u w:val="single"/>
        </w:rPr>
        <w:t>重庆市。</w:t>
      </w:r>
    </w:p>
    <w:p w14:paraId="25AB389C">
      <w:pPr>
        <w:tabs>
          <w:tab w:val="left" w:pos="3840"/>
          <w:tab w:val="left" w:pos="5300"/>
        </w:tabs>
        <w:autoSpaceDE w:val="0"/>
        <w:autoSpaceDN w:val="0"/>
        <w:adjustRightInd w:val="0"/>
        <w:snapToGrid w:val="0"/>
        <w:spacing w:line="360" w:lineRule="auto"/>
        <w:ind w:firstLine="420" w:firstLineChars="200"/>
        <w:jc w:val="left"/>
        <w:rPr>
          <w:rFonts w:hint="eastAsia" w:ascii="宋体" w:hAnsi="宋体" w:eastAsia="宋体" w:cs="宋体"/>
          <w:snapToGrid w:val="0"/>
          <w:color w:val="auto"/>
          <w:kern w:val="0"/>
          <w:szCs w:val="21"/>
          <w:highlight w:val="none"/>
        </w:rPr>
      </w:pPr>
      <w:r>
        <w:rPr>
          <w:rFonts w:hint="eastAsia" w:ascii="宋体" w:hAnsi="宋体" w:cs="宋体"/>
          <w:snapToGrid w:val="0"/>
          <w:color w:val="auto"/>
          <w:kern w:val="0"/>
          <w:szCs w:val="21"/>
          <w:highlight w:val="none"/>
        </w:rPr>
        <w:t>2.2 项目概况与建设规模： G85银昆高速、G93成渝地区环线高速重庆高新区至荣昌区(川渝界)段改扩建工程(以下简称成渝改扩建项目)</w:t>
      </w:r>
      <w:r>
        <w:rPr>
          <w:rFonts w:hint="eastAsia" w:ascii="宋体" w:hAnsi="宋体" w:cs="宋体"/>
          <w:snapToGrid w:val="0"/>
          <w:color w:val="auto"/>
          <w:kern w:val="0"/>
          <w:szCs w:val="21"/>
          <w:highlight w:val="none"/>
          <w:lang w:eastAsia="zh-CN"/>
        </w:rPr>
        <w:t>，</w:t>
      </w:r>
      <w:r>
        <w:rPr>
          <w:rFonts w:hint="eastAsia" w:ascii="宋体" w:hAnsi="宋体" w:cs="宋体"/>
          <w:snapToGrid w:val="0"/>
          <w:color w:val="auto"/>
          <w:kern w:val="0"/>
          <w:szCs w:val="21"/>
          <w:highlight w:val="none"/>
        </w:rPr>
        <w:t>成渝改扩建项目全长100.205公里，其中原路加宽64.953公里，新建线路35.252公里。</w:t>
      </w:r>
      <w:r>
        <w:rPr>
          <w:rFonts w:hint="eastAsia" w:ascii="宋体" w:hAnsi="宋体" w:cs="宋体"/>
          <w:snapToGrid w:val="0"/>
          <w:color w:val="auto"/>
          <w:kern w:val="0"/>
          <w:szCs w:val="21"/>
          <w:highlight w:val="none"/>
          <w:lang w:eastAsia="zh-CN"/>
        </w:rPr>
        <w:t>成</w:t>
      </w:r>
      <w:r>
        <w:rPr>
          <w:rFonts w:hint="eastAsia" w:ascii="宋体" w:hAnsi="宋体" w:cs="宋体"/>
          <w:snapToGrid w:val="0"/>
          <w:color w:val="auto"/>
          <w:kern w:val="0"/>
          <w:szCs w:val="21"/>
          <w:highlight w:val="none"/>
        </w:rPr>
        <w:t>渝改扩建项目机电工程项目合同，划分为两个合同段，其中CYJD1合同段（K2+385.418至K49+953.56），CYJD2合同段（K49+953.56至K102+703.752）。</w:t>
      </w:r>
      <w:r>
        <w:rPr>
          <w:rFonts w:hint="eastAsia" w:ascii="宋体" w:hAnsi="宋体" w:eastAsia="宋体" w:cs="宋体"/>
          <w:snapToGrid w:val="0"/>
          <w:color w:val="auto"/>
          <w:kern w:val="0"/>
          <w:szCs w:val="21"/>
          <w:highlight w:val="none"/>
        </w:rPr>
        <w:t>我司负责机电设施及智慧高速工程的施工及缺陷修复，包括但不限于全线监控(含隧道监控)系统、通信系统、收费系统及全线隧道机电(含通风、照明、消防、供配电)设备材料及软件系统的供货运输、交付、安装、测试、开通、调试、试运行、培训、验收(完工和交工)和缺陷责任期的服务等。</w:t>
      </w:r>
    </w:p>
    <w:p w14:paraId="0DABC477">
      <w:pPr>
        <w:tabs>
          <w:tab w:val="left" w:pos="3840"/>
          <w:tab w:val="left" w:pos="5300"/>
        </w:tabs>
        <w:autoSpaceDE w:val="0"/>
        <w:autoSpaceDN w:val="0"/>
        <w:adjustRightInd w:val="0"/>
        <w:snapToGrid w:val="0"/>
        <w:spacing w:line="360" w:lineRule="auto"/>
        <w:ind w:firstLine="420" w:firstLineChars="200"/>
        <w:jc w:val="left"/>
        <w:rPr>
          <w:rFonts w:hint="eastAsia" w:ascii="宋体" w:hAnsi="宋体" w:eastAsia="宋体" w:cs="宋体"/>
          <w:snapToGrid w:val="0"/>
          <w:color w:val="auto"/>
          <w:kern w:val="0"/>
          <w:sz w:val="21"/>
          <w:szCs w:val="21"/>
          <w:highlight w:val="none"/>
          <w:lang w:val="en-US" w:eastAsia="zh-CN" w:bidi="ar"/>
        </w:rPr>
      </w:pPr>
      <w:r>
        <w:rPr>
          <w:rFonts w:hint="eastAsia" w:ascii="宋体" w:hAnsi="宋体" w:eastAsia="宋体" w:cs="宋体"/>
          <w:snapToGrid w:val="0"/>
          <w:color w:val="auto"/>
          <w:kern w:val="0"/>
          <w:szCs w:val="21"/>
          <w:highlight w:val="none"/>
        </w:rPr>
        <w:t>根据现场施工进度及业主工期要求，现拟选择具备能力的劳务单位进场开展对土建施工存在影响的营运类光电缆、相关设施，以及中分带国防光缆的临时迁改保通施工</w:t>
      </w:r>
      <w:r>
        <w:rPr>
          <w:rFonts w:hint="eastAsia" w:ascii="宋体" w:hAnsi="宋体" w:eastAsia="宋体" w:cs="宋体"/>
          <w:snapToGrid w:val="0"/>
          <w:color w:val="auto"/>
          <w:kern w:val="0"/>
          <w:szCs w:val="21"/>
          <w:highlight w:val="none"/>
          <w:lang w:eastAsia="zh-CN"/>
        </w:rPr>
        <w:t>。</w:t>
      </w:r>
    </w:p>
    <w:p w14:paraId="1ED89093">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2.3 本次</w:t>
      </w:r>
      <w:r>
        <w:rPr>
          <w:rFonts w:hint="eastAsia" w:ascii="宋体" w:hAnsi="宋体" w:cs="宋体"/>
          <w:snapToGrid w:val="0"/>
          <w:color w:val="auto"/>
          <w:kern w:val="0"/>
          <w:szCs w:val="21"/>
          <w:highlight w:val="none"/>
          <w:lang w:eastAsia="zh-CN"/>
        </w:rPr>
        <w:t>比选项目</w:t>
      </w:r>
      <w:r>
        <w:rPr>
          <w:rFonts w:hint="eastAsia" w:ascii="宋体" w:hAnsi="宋体" w:cs="宋体"/>
          <w:snapToGrid w:val="0"/>
          <w:color w:val="auto"/>
          <w:kern w:val="0"/>
          <w:szCs w:val="21"/>
          <w:highlight w:val="none"/>
        </w:rPr>
        <w:t>合</w:t>
      </w:r>
      <w:r>
        <w:rPr>
          <w:rFonts w:hint="eastAsia" w:ascii="宋体" w:hAnsi="宋体" w:eastAsia="宋体" w:cs="宋体"/>
          <w:snapToGrid w:val="0"/>
          <w:color w:val="auto"/>
          <w:kern w:val="0"/>
          <w:szCs w:val="21"/>
          <w:highlight w:val="none"/>
        </w:rPr>
        <w:t>同估算金额：</w:t>
      </w:r>
      <w:r>
        <w:rPr>
          <w:rFonts w:hint="eastAsia" w:ascii="宋体" w:hAnsi="宋体" w:eastAsia="宋体" w:cs="宋体"/>
          <w:snapToGrid w:val="0"/>
          <w:color w:val="auto"/>
          <w:kern w:val="0"/>
          <w:sz w:val="21"/>
          <w:szCs w:val="21"/>
          <w:highlight w:val="none"/>
          <w:lang w:val="en-US" w:eastAsia="zh-CN"/>
        </w:rPr>
        <w:t>1123</w:t>
      </w:r>
      <w:r>
        <w:rPr>
          <w:rFonts w:hint="eastAsia" w:ascii="宋体" w:hAnsi="宋体" w:cs="宋体"/>
          <w:snapToGrid w:val="0"/>
          <w:color w:val="auto"/>
          <w:kern w:val="0"/>
          <w:sz w:val="21"/>
          <w:szCs w:val="21"/>
          <w:highlight w:val="none"/>
          <w:lang w:val="en-US" w:eastAsia="zh-CN"/>
        </w:rPr>
        <w:t>.</w:t>
      </w:r>
      <w:r>
        <w:rPr>
          <w:rFonts w:hint="eastAsia" w:ascii="宋体" w:hAnsi="宋体" w:eastAsia="宋体" w:cs="宋体"/>
          <w:snapToGrid w:val="0"/>
          <w:color w:val="auto"/>
          <w:kern w:val="0"/>
          <w:sz w:val="21"/>
          <w:szCs w:val="21"/>
          <w:highlight w:val="none"/>
          <w:lang w:val="en-US" w:eastAsia="zh-CN"/>
        </w:rPr>
        <w:t>769354</w:t>
      </w:r>
      <w:r>
        <w:rPr>
          <w:rFonts w:hint="eastAsia" w:ascii="宋体" w:hAnsi="宋体" w:eastAsia="宋体" w:cs="宋体"/>
          <w:snapToGrid w:val="0"/>
          <w:color w:val="auto"/>
          <w:kern w:val="0"/>
          <w:szCs w:val="21"/>
          <w:highlight w:val="none"/>
          <w:u w:val="none"/>
        </w:rPr>
        <w:t>万元。</w:t>
      </w:r>
    </w:p>
    <w:p w14:paraId="5D7DF941">
      <w:pPr>
        <w:adjustRightInd w:val="0"/>
        <w:snapToGrid w:val="0"/>
        <w:spacing w:line="360" w:lineRule="auto"/>
        <w:ind w:firstLine="420" w:firstLineChars="200"/>
        <w:rPr>
          <w:rFonts w:ascii="宋体" w:hAnsi="宋体" w:cs="宋体"/>
          <w:snapToGrid w:val="0"/>
          <w:color w:val="auto"/>
          <w:kern w:val="0"/>
          <w:szCs w:val="21"/>
          <w:highlight w:val="none"/>
          <w:u w:val="single"/>
        </w:rPr>
      </w:pPr>
      <w:r>
        <w:rPr>
          <w:rFonts w:hint="eastAsia" w:ascii="宋体" w:hAnsi="宋体" w:cs="宋体"/>
          <w:snapToGrid w:val="0"/>
          <w:color w:val="auto"/>
          <w:kern w:val="0"/>
          <w:szCs w:val="21"/>
          <w:highlight w:val="none"/>
        </w:rPr>
        <w:t xml:space="preserve">2.4 </w:t>
      </w:r>
      <w:r>
        <w:rPr>
          <w:rFonts w:hint="eastAsia" w:ascii="宋体" w:hAnsi="宋体" w:cs="宋体"/>
          <w:snapToGrid w:val="0"/>
          <w:color w:val="auto"/>
          <w:kern w:val="0"/>
          <w:szCs w:val="21"/>
          <w:highlight w:val="none"/>
          <w:lang w:eastAsia="zh-CN"/>
        </w:rPr>
        <w:t>比选范围</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lang w:eastAsia="zh-CN"/>
        </w:rPr>
        <w:t>包</w:t>
      </w:r>
      <w:r>
        <w:rPr>
          <w:rFonts w:hint="eastAsia" w:ascii="宋体" w:hAnsi="宋体" w:eastAsia="宋体" w:cs="宋体"/>
          <w:snapToGrid w:val="0"/>
          <w:color w:val="auto"/>
          <w:kern w:val="0"/>
          <w:szCs w:val="21"/>
          <w:highlight w:val="none"/>
          <w:lang w:eastAsia="zh-CN"/>
        </w:rPr>
        <w:t>括</w:t>
      </w:r>
      <w:r>
        <w:rPr>
          <w:rFonts w:hint="eastAsia" w:ascii="宋体" w:hAnsi="宋体" w:eastAsia="宋体" w:cs="宋体"/>
          <w:snapToGrid w:val="0"/>
          <w:color w:val="auto"/>
          <w:kern w:val="0"/>
          <w:sz w:val="21"/>
          <w:szCs w:val="21"/>
          <w:highlight w:val="none"/>
        </w:rPr>
        <w:t>光缆</w:t>
      </w:r>
      <w:r>
        <w:rPr>
          <w:rFonts w:hint="eastAsia" w:ascii="宋体" w:hAnsi="宋体" w:eastAsia="宋体" w:cs="宋体"/>
          <w:snapToGrid w:val="0"/>
          <w:color w:val="auto"/>
          <w:kern w:val="0"/>
          <w:sz w:val="21"/>
          <w:szCs w:val="21"/>
          <w:highlight w:val="none"/>
          <w:lang w:val="en-US" w:eastAsia="zh-CN"/>
        </w:rPr>
        <w:t>割接</w:t>
      </w:r>
      <w:r>
        <w:rPr>
          <w:rFonts w:hint="eastAsia" w:ascii="宋体" w:hAnsi="宋体" w:eastAsia="宋体" w:cs="宋体"/>
          <w:snapToGrid w:val="0"/>
          <w:color w:val="auto"/>
          <w:kern w:val="0"/>
          <w:sz w:val="21"/>
          <w:szCs w:val="21"/>
          <w:highlight w:val="none"/>
          <w:lang w:eastAsia="zh-CN"/>
        </w:rPr>
        <w:t>，</w:t>
      </w:r>
      <w:r>
        <w:rPr>
          <w:rFonts w:hint="eastAsia" w:ascii="宋体" w:hAnsi="宋体" w:eastAsia="宋体" w:cs="宋体"/>
          <w:snapToGrid w:val="0"/>
          <w:color w:val="auto"/>
          <w:kern w:val="0"/>
          <w:sz w:val="21"/>
          <w:szCs w:val="21"/>
          <w:highlight w:val="none"/>
        </w:rPr>
        <w:t>监控设备</w:t>
      </w:r>
      <w:r>
        <w:rPr>
          <w:rFonts w:hint="eastAsia" w:ascii="宋体" w:hAnsi="宋体" w:eastAsia="宋体" w:cs="宋体"/>
          <w:snapToGrid w:val="0"/>
          <w:color w:val="auto"/>
          <w:kern w:val="0"/>
          <w:sz w:val="21"/>
          <w:szCs w:val="21"/>
          <w:highlight w:val="none"/>
          <w:lang w:eastAsia="zh-CN"/>
        </w:rPr>
        <w:t>、</w:t>
      </w:r>
      <w:r>
        <w:rPr>
          <w:rFonts w:hint="eastAsia" w:ascii="宋体" w:hAnsi="宋体" w:eastAsia="宋体" w:cs="宋体"/>
          <w:snapToGrid w:val="0"/>
          <w:color w:val="auto"/>
          <w:kern w:val="0"/>
          <w:sz w:val="21"/>
          <w:szCs w:val="21"/>
          <w:highlight w:val="none"/>
        </w:rPr>
        <w:t>情报板</w:t>
      </w:r>
      <w:r>
        <w:rPr>
          <w:rFonts w:hint="eastAsia" w:ascii="宋体" w:hAnsi="宋体" w:eastAsia="宋体" w:cs="宋体"/>
          <w:snapToGrid w:val="0"/>
          <w:color w:val="auto"/>
          <w:kern w:val="0"/>
          <w:sz w:val="21"/>
          <w:szCs w:val="21"/>
          <w:highlight w:val="none"/>
          <w:lang w:eastAsia="zh-CN"/>
        </w:rPr>
        <w:t>、ETC门架</w:t>
      </w:r>
      <w:r>
        <w:rPr>
          <w:rFonts w:hint="eastAsia" w:ascii="宋体" w:hAnsi="宋体" w:eastAsia="宋体" w:cs="宋体"/>
          <w:snapToGrid w:val="0"/>
          <w:color w:val="auto"/>
          <w:kern w:val="0"/>
          <w:sz w:val="21"/>
          <w:szCs w:val="21"/>
          <w:highlight w:val="none"/>
        </w:rPr>
        <w:t>拆除及转运</w:t>
      </w:r>
      <w:r>
        <w:rPr>
          <w:rFonts w:hint="eastAsia" w:ascii="宋体" w:hAnsi="宋体" w:eastAsia="宋体" w:cs="宋体"/>
          <w:snapToGrid w:val="0"/>
          <w:color w:val="auto"/>
          <w:kern w:val="0"/>
          <w:sz w:val="21"/>
          <w:szCs w:val="21"/>
          <w:highlight w:val="none"/>
          <w:lang w:eastAsia="zh-CN"/>
        </w:rPr>
        <w:t>，</w:t>
      </w:r>
      <w:r>
        <w:rPr>
          <w:rFonts w:hint="eastAsia" w:ascii="宋体" w:hAnsi="宋体" w:eastAsia="宋体" w:cs="宋体"/>
          <w:snapToGrid w:val="0"/>
          <w:color w:val="auto"/>
          <w:kern w:val="0"/>
          <w:sz w:val="21"/>
          <w:szCs w:val="21"/>
          <w:highlight w:val="none"/>
          <w:lang w:val="en-US" w:eastAsia="zh-CN"/>
        </w:rPr>
        <w:t>电线杆基础开挖、立杆及回填，</w:t>
      </w:r>
      <w:r>
        <w:rPr>
          <w:rFonts w:hint="eastAsia" w:ascii="宋体" w:hAnsi="宋体" w:eastAsia="宋体" w:cs="宋体"/>
          <w:snapToGrid w:val="0"/>
          <w:color w:val="auto"/>
          <w:kern w:val="0"/>
          <w:sz w:val="21"/>
          <w:szCs w:val="21"/>
          <w:highlight w:val="none"/>
        </w:rPr>
        <w:t>配套手孔井、人孔井的施工</w:t>
      </w:r>
      <w:r>
        <w:rPr>
          <w:rFonts w:hint="eastAsia" w:ascii="宋体" w:hAnsi="宋体" w:eastAsia="宋体" w:cs="宋体"/>
          <w:snapToGrid w:val="0"/>
          <w:color w:val="auto"/>
          <w:kern w:val="0"/>
          <w:sz w:val="21"/>
          <w:szCs w:val="21"/>
          <w:highlight w:val="none"/>
          <w:lang w:eastAsia="zh-CN"/>
        </w:rPr>
        <w:t>，</w:t>
      </w:r>
      <w:r>
        <w:rPr>
          <w:rFonts w:hint="eastAsia" w:ascii="宋体" w:hAnsi="宋体" w:eastAsia="宋体" w:cs="宋体"/>
          <w:snapToGrid w:val="0"/>
          <w:color w:val="auto"/>
          <w:kern w:val="0"/>
          <w:sz w:val="21"/>
          <w:szCs w:val="21"/>
          <w:highlight w:val="none"/>
        </w:rPr>
        <w:t>硅芯管、钢管以及光缆的敷设，以及</w:t>
      </w:r>
      <w:r>
        <w:rPr>
          <w:rFonts w:hint="eastAsia" w:ascii="宋体" w:hAnsi="宋体" w:eastAsia="宋体" w:cs="宋体"/>
          <w:snapToGrid w:val="0"/>
          <w:color w:val="auto"/>
          <w:kern w:val="0"/>
          <w:sz w:val="21"/>
          <w:szCs w:val="21"/>
          <w:highlight w:val="none"/>
          <w:lang w:val="en-US" w:eastAsia="zh-CN"/>
        </w:rPr>
        <w:t>管道的开挖回填</w:t>
      </w:r>
      <w:r>
        <w:rPr>
          <w:rFonts w:hint="eastAsia" w:ascii="宋体" w:hAnsi="宋体" w:eastAsia="宋体" w:cs="宋体"/>
          <w:snapToGrid w:val="0"/>
          <w:color w:val="auto"/>
          <w:kern w:val="0"/>
          <w:sz w:val="21"/>
          <w:szCs w:val="21"/>
          <w:highlight w:val="none"/>
        </w:rPr>
        <w:t>等工作内容。</w:t>
      </w:r>
    </w:p>
    <w:p w14:paraId="4B749B2E">
      <w:pPr>
        <w:adjustRightInd w:val="0"/>
        <w:snapToGrid w:val="0"/>
        <w:spacing w:line="360" w:lineRule="auto"/>
        <w:ind w:firstLine="420" w:firstLineChars="200"/>
        <w:rPr>
          <w:rFonts w:hint="eastAsia" w:ascii="宋体" w:hAnsi="宋体" w:eastAsia="宋体" w:cs="宋体"/>
          <w:snapToGrid w:val="0"/>
          <w:color w:val="auto"/>
          <w:kern w:val="0"/>
          <w:szCs w:val="21"/>
          <w:highlight w:val="none"/>
          <w:u w:val="none"/>
          <w:lang w:val="en-US" w:eastAsia="zh-CN"/>
        </w:rPr>
      </w:pPr>
      <w:r>
        <w:rPr>
          <w:rFonts w:hint="eastAsia" w:ascii="宋体" w:hAnsi="宋体" w:cs="宋体"/>
          <w:snapToGrid w:val="0"/>
          <w:color w:val="auto"/>
          <w:kern w:val="0"/>
          <w:szCs w:val="21"/>
          <w:highlight w:val="none"/>
        </w:rPr>
        <w:t>2.5 工期要求：</w:t>
      </w:r>
      <w:r>
        <w:rPr>
          <w:rFonts w:hint="eastAsia" w:ascii="宋体" w:hAnsi="宋体" w:cs="宋体"/>
          <w:snapToGrid w:val="0"/>
          <w:color w:val="auto"/>
          <w:kern w:val="0"/>
          <w:szCs w:val="21"/>
          <w:highlight w:val="none"/>
          <w:lang w:val="en-US" w:eastAsia="zh-CN"/>
        </w:rPr>
        <w:t>29</w:t>
      </w:r>
      <w:r>
        <w:rPr>
          <w:rFonts w:hint="eastAsia" w:ascii="宋体" w:hAnsi="宋体" w:cs="宋体"/>
          <w:snapToGrid w:val="0"/>
          <w:color w:val="auto"/>
          <w:kern w:val="0"/>
          <w:szCs w:val="21"/>
          <w:highlight w:val="none"/>
          <w:u w:val="none"/>
          <w:lang w:val="en-US" w:eastAsia="zh-CN"/>
        </w:rPr>
        <w:t>个月。</w:t>
      </w:r>
    </w:p>
    <w:p w14:paraId="3D956D37">
      <w:pPr>
        <w:adjustRightInd w:val="0"/>
        <w:snapToGrid w:val="0"/>
        <w:spacing w:line="360" w:lineRule="auto"/>
        <w:ind w:firstLine="420" w:firstLineChars="200"/>
        <w:rPr>
          <w:rFonts w:hint="eastAsia" w:ascii="宋体" w:hAnsi="宋体" w:cs="宋体"/>
          <w:snapToGrid w:val="0"/>
          <w:color w:val="auto"/>
          <w:kern w:val="0"/>
          <w:szCs w:val="21"/>
          <w:highlight w:val="none"/>
          <w:u w:val="none"/>
          <w:lang w:val="en-US" w:eastAsia="zh-CN"/>
        </w:rPr>
      </w:pPr>
      <w:r>
        <w:rPr>
          <w:rFonts w:hint="eastAsia" w:ascii="宋体" w:hAnsi="宋体" w:cs="宋体"/>
          <w:snapToGrid w:val="0"/>
          <w:color w:val="auto"/>
          <w:kern w:val="0"/>
          <w:szCs w:val="21"/>
          <w:highlight w:val="none"/>
          <w:u w:val="none"/>
          <w:lang w:val="en-US" w:eastAsia="zh-CN"/>
        </w:rPr>
        <w:t>计划开工日期：中选通知书下发之后，具体以甲方实际下达的开工通知为准。</w:t>
      </w:r>
    </w:p>
    <w:p w14:paraId="36B39A5C">
      <w:pPr>
        <w:adjustRightInd w:val="0"/>
        <w:snapToGrid w:val="0"/>
        <w:spacing w:line="360" w:lineRule="auto"/>
        <w:ind w:firstLine="420" w:firstLineChars="200"/>
        <w:rPr>
          <w:rFonts w:hint="eastAsia" w:ascii="宋体" w:hAnsi="宋体" w:cs="宋体"/>
          <w:color w:val="auto"/>
          <w:kern w:val="0"/>
          <w:szCs w:val="21"/>
          <w:highlight w:val="none"/>
          <w:u w:val="none"/>
        </w:rPr>
      </w:pPr>
      <w:r>
        <w:rPr>
          <w:rFonts w:hint="eastAsia" w:ascii="宋体" w:hAnsi="宋体" w:cs="宋体"/>
          <w:snapToGrid w:val="0"/>
          <w:color w:val="auto"/>
          <w:kern w:val="0"/>
          <w:szCs w:val="21"/>
          <w:highlight w:val="none"/>
          <w:u w:val="none"/>
          <w:lang w:val="en-US" w:eastAsia="zh-CN"/>
        </w:rPr>
        <w:t>计划完工日期：2028年11月，</w:t>
      </w:r>
      <w:r>
        <w:rPr>
          <w:rFonts w:hint="eastAsia" w:ascii="宋体" w:hAnsi="宋体" w:cs="宋体"/>
          <w:color w:val="auto"/>
          <w:kern w:val="0"/>
          <w:szCs w:val="21"/>
          <w:highlight w:val="none"/>
          <w:u w:val="none"/>
          <w:lang w:val="en-US" w:eastAsia="zh-CN"/>
        </w:rPr>
        <w:t>具体以甲方要求为准</w:t>
      </w:r>
      <w:r>
        <w:rPr>
          <w:rFonts w:hint="eastAsia" w:ascii="宋体" w:hAnsi="宋体" w:cs="宋体"/>
          <w:color w:val="auto"/>
          <w:kern w:val="0"/>
          <w:szCs w:val="21"/>
          <w:highlight w:val="none"/>
          <w:u w:val="none"/>
        </w:rPr>
        <w:t xml:space="preserve">。       </w:t>
      </w:r>
    </w:p>
    <w:p w14:paraId="109686CF">
      <w:pPr>
        <w:adjustRightInd w:val="0"/>
        <w:snapToGrid w:val="0"/>
        <w:spacing w:line="360" w:lineRule="auto"/>
        <w:ind w:firstLine="420" w:firstLineChars="200"/>
        <w:rPr>
          <w:rFonts w:ascii="宋体" w:hAnsi="宋体" w:cs="宋体"/>
          <w:snapToGrid w:val="0"/>
          <w:color w:val="auto"/>
          <w:kern w:val="0"/>
          <w:szCs w:val="21"/>
          <w:highlight w:val="none"/>
        </w:rPr>
      </w:pPr>
      <w:r>
        <w:rPr>
          <w:rFonts w:hint="eastAsia" w:ascii="宋体" w:hAnsi="宋体" w:cs="宋体"/>
          <w:color w:val="auto"/>
          <w:kern w:val="0"/>
          <w:szCs w:val="21"/>
          <w:highlight w:val="none"/>
          <w:u w:val="none"/>
        </w:rPr>
        <w:t>缺陷责任期： 24个月</w:t>
      </w:r>
    </w:p>
    <w:p w14:paraId="4D3E24D6">
      <w:pPr>
        <w:pStyle w:val="2"/>
        <w:adjustRightInd w:val="0"/>
        <w:snapToGrid w:val="0"/>
        <w:spacing w:after="0" w:line="360" w:lineRule="auto"/>
        <w:rPr>
          <w:rFonts w:hint="default" w:eastAsia="宋体"/>
          <w:color w:val="auto"/>
          <w:highlight w:val="none"/>
          <w:lang w:val="en-US" w:eastAsia="zh-CN"/>
        </w:rPr>
      </w:pPr>
      <w:r>
        <w:rPr>
          <w:rFonts w:hint="eastAsia" w:ascii="宋体" w:hAnsi="宋体" w:cs="宋体"/>
          <w:snapToGrid w:val="0"/>
          <w:color w:val="auto"/>
          <w:kern w:val="0"/>
          <w:szCs w:val="21"/>
          <w:highlight w:val="none"/>
          <w:u w:val="none"/>
          <w:lang w:val="en-US" w:eastAsia="zh-CN"/>
        </w:rPr>
        <w:t xml:space="preserve">    2.6标段划分：/。</w:t>
      </w:r>
    </w:p>
    <w:p w14:paraId="7536824E">
      <w:pPr>
        <w:pStyle w:val="4"/>
        <w:adjustRightInd w:val="0"/>
        <w:snapToGrid w:val="0"/>
        <w:spacing w:before="0" w:after="0" w:line="360" w:lineRule="auto"/>
        <w:rPr>
          <w:rFonts w:ascii="宋体" w:hAnsi="宋体" w:cs="宋体"/>
          <w:bCs w:val="0"/>
          <w:snapToGrid w:val="0"/>
          <w:color w:val="auto"/>
          <w:sz w:val="24"/>
          <w:szCs w:val="24"/>
          <w:highlight w:val="none"/>
        </w:rPr>
      </w:pPr>
      <w:bookmarkStart w:id="58" w:name="_Toc16117"/>
      <w:bookmarkStart w:id="59" w:name="_Toc14785"/>
      <w:bookmarkStart w:id="60" w:name="_Toc13115"/>
      <w:bookmarkStart w:id="61" w:name="_Toc8123"/>
      <w:r>
        <w:rPr>
          <w:rFonts w:hint="eastAsia" w:ascii="宋体" w:hAnsi="宋体" w:cs="宋体"/>
          <w:bCs w:val="0"/>
          <w:snapToGrid w:val="0"/>
          <w:color w:val="auto"/>
          <w:sz w:val="24"/>
          <w:szCs w:val="24"/>
          <w:highlight w:val="none"/>
        </w:rPr>
        <w:t xml:space="preserve">3. </w:t>
      </w:r>
      <w:r>
        <w:rPr>
          <w:rFonts w:hint="eastAsia" w:ascii="宋体" w:hAnsi="宋体" w:cs="宋体"/>
          <w:bCs w:val="0"/>
          <w:snapToGrid w:val="0"/>
          <w:color w:val="auto"/>
          <w:sz w:val="24"/>
          <w:szCs w:val="24"/>
          <w:highlight w:val="none"/>
          <w:lang w:eastAsia="zh-CN"/>
        </w:rPr>
        <w:t>供应商</w:t>
      </w:r>
      <w:r>
        <w:rPr>
          <w:rFonts w:hint="eastAsia" w:ascii="宋体" w:hAnsi="宋体" w:cs="宋体"/>
          <w:bCs w:val="0"/>
          <w:snapToGrid w:val="0"/>
          <w:color w:val="auto"/>
          <w:sz w:val="24"/>
          <w:szCs w:val="24"/>
          <w:highlight w:val="none"/>
        </w:rPr>
        <w:t>资格要求</w:t>
      </w:r>
      <w:bookmarkEnd w:id="50"/>
      <w:bookmarkEnd w:id="51"/>
      <w:bookmarkEnd w:id="52"/>
      <w:bookmarkEnd w:id="53"/>
      <w:bookmarkEnd w:id="54"/>
      <w:bookmarkEnd w:id="55"/>
      <w:bookmarkEnd w:id="56"/>
      <w:bookmarkEnd w:id="57"/>
      <w:bookmarkEnd w:id="58"/>
      <w:bookmarkEnd w:id="59"/>
      <w:bookmarkEnd w:id="60"/>
      <w:bookmarkEnd w:id="61"/>
    </w:p>
    <w:p w14:paraId="157E077F">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3.1 本次</w:t>
      </w:r>
      <w:r>
        <w:rPr>
          <w:rFonts w:hint="eastAsia" w:ascii="宋体" w:hAnsi="宋体" w:cs="宋体"/>
          <w:snapToGrid w:val="0"/>
          <w:color w:val="auto"/>
          <w:kern w:val="0"/>
          <w:szCs w:val="21"/>
          <w:highlight w:val="none"/>
          <w:lang w:val="en-US" w:eastAsia="zh-CN"/>
        </w:rPr>
        <w:t>比选</w:t>
      </w:r>
      <w:r>
        <w:rPr>
          <w:rFonts w:hint="eastAsia" w:ascii="宋体" w:hAnsi="宋体" w:cs="宋体"/>
          <w:snapToGrid w:val="0"/>
          <w:color w:val="auto"/>
          <w:kern w:val="0"/>
          <w:szCs w:val="21"/>
          <w:highlight w:val="none"/>
        </w:rPr>
        <w:t>要求</w:t>
      </w:r>
      <w:r>
        <w:rPr>
          <w:rFonts w:hint="eastAsia" w:ascii="宋体" w:hAnsi="宋体" w:cs="宋体"/>
          <w:snapToGrid w:val="0"/>
          <w:color w:val="auto"/>
          <w:kern w:val="0"/>
          <w:szCs w:val="21"/>
          <w:highlight w:val="none"/>
          <w:lang w:eastAsia="zh-CN"/>
        </w:rPr>
        <w:t>供应商</w:t>
      </w:r>
      <w:r>
        <w:rPr>
          <w:rFonts w:hint="eastAsia" w:ascii="宋体" w:hAnsi="宋体" w:cs="宋体"/>
          <w:snapToGrid w:val="0"/>
          <w:color w:val="auto"/>
          <w:kern w:val="0"/>
          <w:szCs w:val="21"/>
          <w:highlight w:val="none"/>
        </w:rPr>
        <w:t>须具备以下条件：</w:t>
      </w:r>
    </w:p>
    <w:p w14:paraId="387C9E02">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3.1.1 本次</w:t>
      </w:r>
      <w:r>
        <w:rPr>
          <w:rFonts w:hint="eastAsia" w:ascii="宋体" w:hAnsi="宋体" w:cs="宋体"/>
          <w:snapToGrid w:val="0"/>
          <w:color w:val="auto"/>
          <w:kern w:val="0"/>
          <w:szCs w:val="21"/>
          <w:highlight w:val="none"/>
          <w:lang w:val="en-US" w:eastAsia="zh-CN"/>
        </w:rPr>
        <w:t>比选</w:t>
      </w:r>
      <w:r>
        <w:rPr>
          <w:rFonts w:hint="eastAsia" w:ascii="宋体" w:hAnsi="宋体" w:cs="宋体"/>
          <w:snapToGrid w:val="0"/>
          <w:color w:val="auto"/>
          <w:kern w:val="0"/>
          <w:szCs w:val="21"/>
          <w:highlight w:val="none"/>
        </w:rPr>
        <w:t>要求</w:t>
      </w:r>
      <w:r>
        <w:rPr>
          <w:rFonts w:hint="eastAsia" w:ascii="宋体" w:hAnsi="宋体" w:cs="宋体"/>
          <w:snapToGrid w:val="0"/>
          <w:color w:val="auto"/>
          <w:kern w:val="0"/>
          <w:szCs w:val="21"/>
          <w:highlight w:val="none"/>
          <w:lang w:eastAsia="zh-CN"/>
        </w:rPr>
        <w:t>供应商</w:t>
      </w:r>
      <w:r>
        <w:rPr>
          <w:rFonts w:hint="eastAsia" w:ascii="宋体" w:hAnsi="宋体" w:cs="宋体"/>
          <w:snapToGrid w:val="0"/>
          <w:color w:val="auto"/>
          <w:kern w:val="0"/>
          <w:szCs w:val="21"/>
          <w:highlight w:val="none"/>
        </w:rPr>
        <w:t>具备的资质条件：</w:t>
      </w:r>
    </w:p>
    <w:p w14:paraId="753B9697">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u w:val="none"/>
        </w:rPr>
      </w:pPr>
      <w:r>
        <w:rPr>
          <w:rFonts w:hint="eastAsia" w:ascii="宋体" w:hAnsi="宋体" w:cs="宋体"/>
          <w:snapToGrid w:val="0"/>
          <w:color w:val="auto"/>
          <w:kern w:val="0"/>
          <w:szCs w:val="21"/>
          <w:highlight w:val="none"/>
          <w:u w:val="none"/>
        </w:rPr>
        <w:t>（1）具有独立法人资格；</w:t>
      </w:r>
    </w:p>
    <w:p w14:paraId="50DB82FD">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u w:val="none"/>
        </w:rPr>
      </w:pPr>
      <w:r>
        <w:rPr>
          <w:rFonts w:hint="eastAsia" w:ascii="宋体" w:hAnsi="宋体" w:cs="宋体"/>
          <w:snapToGrid w:val="0"/>
          <w:color w:val="auto"/>
          <w:kern w:val="0"/>
          <w:szCs w:val="21"/>
          <w:highlight w:val="none"/>
          <w:u w:val="none"/>
        </w:rPr>
        <w:t>（</w:t>
      </w:r>
      <w:r>
        <w:rPr>
          <w:rFonts w:hint="eastAsia" w:ascii="宋体" w:hAnsi="宋体" w:cs="宋体"/>
          <w:snapToGrid w:val="0"/>
          <w:color w:val="auto"/>
          <w:kern w:val="0"/>
          <w:szCs w:val="21"/>
          <w:highlight w:val="none"/>
          <w:u w:val="none"/>
          <w:lang w:val="en-US" w:eastAsia="zh-CN"/>
        </w:rPr>
        <w:t>2</w:t>
      </w:r>
      <w:r>
        <w:rPr>
          <w:rFonts w:hint="eastAsia" w:ascii="宋体" w:hAnsi="宋体" w:cs="宋体"/>
          <w:snapToGrid w:val="0"/>
          <w:color w:val="auto"/>
          <w:kern w:val="0"/>
          <w:szCs w:val="21"/>
          <w:highlight w:val="none"/>
          <w:u w:val="none"/>
        </w:rPr>
        <w:t>）具备建设行政主管部门颁发的有效的劳务施工不分等级资质；</w:t>
      </w:r>
    </w:p>
    <w:p w14:paraId="75BFB90E">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u w:val="none"/>
        </w:rPr>
        <w:t>（</w:t>
      </w:r>
      <w:r>
        <w:rPr>
          <w:rFonts w:hint="eastAsia" w:ascii="宋体" w:hAnsi="宋体" w:cs="宋体"/>
          <w:snapToGrid w:val="0"/>
          <w:color w:val="auto"/>
          <w:kern w:val="0"/>
          <w:szCs w:val="21"/>
          <w:highlight w:val="none"/>
          <w:u w:val="none"/>
          <w:lang w:val="en-US" w:eastAsia="zh-CN"/>
        </w:rPr>
        <w:t>3</w:t>
      </w:r>
      <w:r>
        <w:rPr>
          <w:rFonts w:hint="eastAsia" w:ascii="宋体" w:hAnsi="宋体" w:cs="宋体"/>
          <w:snapToGrid w:val="0"/>
          <w:color w:val="auto"/>
          <w:kern w:val="0"/>
          <w:szCs w:val="21"/>
          <w:highlight w:val="none"/>
          <w:u w:val="none"/>
        </w:rPr>
        <w:t>）具有有效的安全生产许可证。</w:t>
      </w:r>
    </w:p>
    <w:p w14:paraId="1E97A623">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3.1.2 本次</w:t>
      </w:r>
      <w:r>
        <w:rPr>
          <w:rFonts w:hint="eastAsia" w:ascii="宋体" w:hAnsi="宋体" w:cs="宋体"/>
          <w:snapToGrid w:val="0"/>
          <w:color w:val="auto"/>
          <w:kern w:val="0"/>
          <w:szCs w:val="21"/>
          <w:highlight w:val="none"/>
          <w:lang w:val="en-US" w:eastAsia="zh-CN"/>
        </w:rPr>
        <w:t>比选</w:t>
      </w:r>
      <w:r>
        <w:rPr>
          <w:rFonts w:hint="eastAsia" w:ascii="宋体" w:hAnsi="宋体" w:cs="宋体"/>
          <w:snapToGrid w:val="0"/>
          <w:color w:val="auto"/>
          <w:kern w:val="0"/>
          <w:szCs w:val="21"/>
          <w:highlight w:val="none"/>
        </w:rPr>
        <w:t>要求</w:t>
      </w:r>
      <w:r>
        <w:rPr>
          <w:rFonts w:hint="eastAsia" w:ascii="宋体" w:hAnsi="宋体" w:cs="宋体"/>
          <w:snapToGrid w:val="0"/>
          <w:color w:val="auto"/>
          <w:kern w:val="0"/>
          <w:szCs w:val="21"/>
          <w:highlight w:val="none"/>
          <w:lang w:eastAsia="zh-CN"/>
        </w:rPr>
        <w:t>供应商</w:t>
      </w:r>
      <w:r>
        <w:rPr>
          <w:rFonts w:hint="eastAsia" w:ascii="宋体" w:hAnsi="宋体" w:cs="宋体"/>
          <w:snapToGrid w:val="0"/>
          <w:color w:val="auto"/>
          <w:kern w:val="0"/>
          <w:szCs w:val="21"/>
          <w:highlight w:val="none"/>
        </w:rPr>
        <w:t>具备的业绩条件：</w:t>
      </w:r>
    </w:p>
    <w:p w14:paraId="5DF8CA45">
      <w:pPr>
        <w:tabs>
          <w:tab w:val="left" w:pos="3840"/>
          <w:tab w:val="left" w:pos="5300"/>
        </w:tabs>
        <w:autoSpaceDE w:val="0"/>
        <w:autoSpaceDN w:val="0"/>
        <w:adjustRightInd w:val="0"/>
        <w:snapToGrid w:val="0"/>
        <w:spacing w:line="360" w:lineRule="auto"/>
        <w:ind w:firstLine="420" w:firstLineChars="200"/>
        <w:jc w:val="left"/>
        <w:rPr>
          <w:rFonts w:ascii="宋体" w:hAnsi="宋体" w:cs="宋体"/>
          <w:i/>
          <w:color w:val="auto"/>
          <w:szCs w:val="21"/>
          <w:highlight w:val="none"/>
        </w:rPr>
      </w:pPr>
      <w:r>
        <w:rPr>
          <w:rFonts w:hint="eastAsia" w:ascii="宋体" w:hAnsi="宋体" w:cs="宋体"/>
          <w:snapToGrid w:val="0"/>
          <w:color w:val="auto"/>
          <w:kern w:val="0"/>
          <w:szCs w:val="21"/>
          <w:highlight w:val="none"/>
          <w:u w:val="none"/>
          <w:lang w:eastAsia="zh-CN"/>
        </w:rPr>
        <w:t>供应商</w:t>
      </w:r>
      <w:r>
        <w:rPr>
          <w:rFonts w:hint="eastAsia" w:ascii="宋体" w:hAnsi="宋体" w:cs="宋体"/>
          <w:snapToGrid w:val="0"/>
          <w:color w:val="auto"/>
          <w:kern w:val="0"/>
          <w:szCs w:val="21"/>
          <w:highlight w:val="none"/>
          <w:u w:val="none"/>
        </w:rPr>
        <w:t>20</w:t>
      </w:r>
      <w:r>
        <w:rPr>
          <w:rFonts w:hint="eastAsia" w:ascii="宋体" w:hAnsi="宋体" w:cs="宋体"/>
          <w:snapToGrid w:val="0"/>
          <w:color w:val="auto"/>
          <w:kern w:val="0"/>
          <w:szCs w:val="21"/>
          <w:highlight w:val="none"/>
          <w:u w:val="none"/>
          <w:lang w:val="en-US" w:eastAsia="zh-CN"/>
        </w:rPr>
        <w:t>23</w:t>
      </w:r>
      <w:r>
        <w:rPr>
          <w:rFonts w:hint="eastAsia" w:ascii="宋体" w:hAnsi="宋体" w:cs="宋体"/>
          <w:snapToGrid w:val="0"/>
          <w:color w:val="auto"/>
          <w:kern w:val="0"/>
          <w:szCs w:val="21"/>
          <w:highlight w:val="none"/>
          <w:u w:val="none"/>
        </w:rPr>
        <w:t>年</w:t>
      </w:r>
      <w:r>
        <w:rPr>
          <w:rFonts w:hint="eastAsia" w:ascii="宋体" w:hAnsi="宋体" w:cs="宋体"/>
          <w:snapToGrid w:val="0"/>
          <w:color w:val="auto"/>
          <w:kern w:val="0"/>
          <w:szCs w:val="21"/>
          <w:highlight w:val="none"/>
          <w:u w:val="none"/>
          <w:lang w:val="en-US" w:eastAsia="zh-CN"/>
        </w:rPr>
        <w:t>1</w:t>
      </w:r>
      <w:r>
        <w:rPr>
          <w:rFonts w:hint="eastAsia" w:ascii="宋体" w:hAnsi="宋体" w:cs="宋体"/>
          <w:snapToGrid w:val="0"/>
          <w:color w:val="auto"/>
          <w:kern w:val="0"/>
          <w:szCs w:val="21"/>
          <w:highlight w:val="none"/>
          <w:u w:val="none"/>
        </w:rPr>
        <w:t>月1日至</w:t>
      </w:r>
      <w:r>
        <w:rPr>
          <w:rFonts w:hint="eastAsia" w:ascii="宋体" w:hAnsi="宋体" w:cs="宋体"/>
          <w:snapToGrid w:val="0"/>
          <w:color w:val="auto"/>
          <w:kern w:val="0"/>
          <w:szCs w:val="21"/>
          <w:highlight w:val="none"/>
          <w:u w:val="none"/>
          <w:lang w:eastAsia="zh-CN"/>
        </w:rPr>
        <w:t>比选截止日</w:t>
      </w:r>
      <w:r>
        <w:rPr>
          <w:rFonts w:hint="eastAsia" w:ascii="宋体" w:hAnsi="宋体" w:cs="宋体"/>
          <w:snapToGrid w:val="0"/>
          <w:color w:val="auto"/>
          <w:kern w:val="0"/>
          <w:szCs w:val="21"/>
          <w:highlight w:val="none"/>
          <w:u w:val="none"/>
        </w:rPr>
        <w:t>（</w:t>
      </w:r>
      <w:r>
        <w:rPr>
          <w:rFonts w:hint="eastAsia" w:ascii="宋体" w:hAnsi="宋体" w:cs="宋体"/>
          <w:snapToGrid w:val="0"/>
          <w:color w:val="auto"/>
          <w:kern w:val="0"/>
          <w:szCs w:val="21"/>
          <w:highlight w:val="none"/>
          <w:u w:val="none"/>
          <w:lang w:val="en-US" w:eastAsia="zh-CN"/>
        </w:rPr>
        <w:t>以</w:t>
      </w:r>
      <w:r>
        <w:rPr>
          <w:rFonts w:hint="eastAsia" w:ascii="宋体" w:hAnsi="宋体" w:cs="宋体"/>
          <w:snapToGrid w:val="0"/>
          <w:color w:val="auto"/>
          <w:kern w:val="0"/>
          <w:szCs w:val="21"/>
          <w:highlight w:val="none"/>
          <w:u w:val="none"/>
        </w:rPr>
        <w:t>合同签订时间为准）具有一</w:t>
      </w:r>
      <w:r>
        <w:rPr>
          <w:rFonts w:hint="eastAsia" w:ascii="宋体" w:hAnsi="宋体" w:eastAsia="宋体" w:cs="宋体"/>
          <w:snapToGrid w:val="0"/>
          <w:color w:val="auto"/>
          <w:kern w:val="0"/>
          <w:szCs w:val="21"/>
          <w:highlight w:val="none"/>
          <w:u w:val="none"/>
        </w:rPr>
        <w:t>个合同金额</w:t>
      </w:r>
      <w:r>
        <w:rPr>
          <w:rFonts w:hint="eastAsia" w:ascii="宋体" w:hAnsi="宋体" w:eastAsia="宋体" w:cs="宋体"/>
          <w:snapToGrid w:val="0"/>
          <w:color w:val="auto"/>
          <w:kern w:val="0"/>
          <w:szCs w:val="21"/>
          <w:highlight w:val="none"/>
          <w:u w:val="none"/>
          <w:lang w:val="en-US" w:eastAsia="zh-CN"/>
        </w:rPr>
        <w:t>100</w:t>
      </w:r>
      <w:r>
        <w:rPr>
          <w:rFonts w:hint="eastAsia" w:ascii="宋体" w:hAnsi="宋体" w:eastAsia="宋体" w:cs="宋体"/>
          <w:snapToGrid w:val="0"/>
          <w:color w:val="auto"/>
          <w:kern w:val="0"/>
          <w:szCs w:val="21"/>
          <w:highlight w:val="none"/>
          <w:u w:val="none"/>
        </w:rPr>
        <w:t>万元</w:t>
      </w:r>
      <w:r>
        <w:rPr>
          <w:rFonts w:hint="eastAsia" w:ascii="宋体" w:hAnsi="宋体" w:eastAsia="宋体" w:cs="宋体"/>
          <w:snapToGrid w:val="0"/>
          <w:color w:val="auto"/>
          <w:kern w:val="0"/>
          <w:sz w:val="21"/>
          <w:szCs w:val="21"/>
          <w:highlight w:val="none"/>
          <w:u w:val="none"/>
        </w:rPr>
        <w:t>及以上的公路</w:t>
      </w:r>
      <w:r>
        <w:rPr>
          <w:rFonts w:hint="eastAsia" w:ascii="宋体" w:hAnsi="宋体" w:eastAsia="宋体" w:cs="宋体"/>
          <w:snapToGrid w:val="0"/>
          <w:color w:val="auto"/>
          <w:kern w:val="0"/>
          <w:sz w:val="21"/>
          <w:szCs w:val="21"/>
          <w:highlight w:val="none"/>
          <w:u w:val="none"/>
          <w:lang w:val="en-US" w:eastAsia="zh-CN"/>
        </w:rPr>
        <w:t>行业</w:t>
      </w:r>
      <w:r>
        <w:rPr>
          <w:rFonts w:hint="eastAsia" w:ascii="宋体" w:hAnsi="宋体" w:eastAsia="宋体" w:cs="宋体"/>
          <w:snapToGrid w:val="0"/>
          <w:color w:val="auto"/>
          <w:kern w:val="0"/>
          <w:sz w:val="21"/>
          <w:szCs w:val="21"/>
          <w:highlight w:val="none"/>
          <w:u w:val="none"/>
        </w:rPr>
        <w:t>机电工程劳务施工或维护业绩</w:t>
      </w:r>
      <w:r>
        <w:rPr>
          <w:rFonts w:hint="eastAsia" w:ascii="宋体" w:hAnsi="宋体" w:eastAsia="宋体" w:cs="宋体"/>
          <w:snapToGrid w:val="0"/>
          <w:color w:val="auto"/>
          <w:kern w:val="0"/>
          <w:szCs w:val="21"/>
          <w:highlight w:val="none"/>
          <w:u w:val="none"/>
        </w:rPr>
        <w:t>。</w:t>
      </w:r>
    </w:p>
    <w:p w14:paraId="7FC8EB18">
      <w:pPr>
        <w:pStyle w:val="2"/>
        <w:adjustRightInd w:val="0"/>
        <w:snapToGrid w:val="0"/>
        <w:spacing w:after="0" w:line="360" w:lineRule="auto"/>
        <w:ind w:firstLine="420" w:firstLineChars="200"/>
        <w:rPr>
          <w:rFonts w:ascii="宋体" w:hAnsi="宋体" w:cs="宋体"/>
          <w:color w:val="auto"/>
          <w:highlight w:val="none"/>
        </w:rPr>
      </w:pPr>
      <w:r>
        <w:rPr>
          <w:rFonts w:hint="eastAsia" w:ascii="宋体" w:hAnsi="宋体" w:cs="宋体"/>
          <w:snapToGrid w:val="0"/>
          <w:color w:val="auto"/>
          <w:kern w:val="0"/>
          <w:highlight w:val="none"/>
        </w:rPr>
        <w:t xml:space="preserve">3.1.3 </w:t>
      </w:r>
      <w:r>
        <w:rPr>
          <w:rFonts w:hint="eastAsia" w:ascii="宋体" w:hAnsi="宋体" w:cs="宋体"/>
          <w:snapToGrid w:val="0"/>
          <w:color w:val="auto"/>
          <w:kern w:val="0"/>
          <w:highlight w:val="none"/>
          <w:lang w:eastAsia="zh-CN"/>
        </w:rPr>
        <w:t>供应商</w:t>
      </w:r>
      <w:r>
        <w:rPr>
          <w:rFonts w:hint="eastAsia" w:ascii="宋体" w:hAnsi="宋体" w:cs="宋体"/>
          <w:snapToGrid w:val="0"/>
          <w:color w:val="auto"/>
          <w:kern w:val="0"/>
          <w:highlight w:val="none"/>
        </w:rPr>
        <w:t>还应在人员、设备、资金等方面具有相应的施工能力，详见</w:t>
      </w:r>
      <w:r>
        <w:rPr>
          <w:rFonts w:hint="eastAsia" w:ascii="宋体" w:hAnsi="宋体" w:cs="宋体"/>
          <w:snapToGrid w:val="0"/>
          <w:color w:val="auto"/>
          <w:kern w:val="0"/>
          <w:highlight w:val="none"/>
          <w:lang w:eastAsia="zh-CN"/>
        </w:rPr>
        <w:t>比选文件</w:t>
      </w:r>
      <w:r>
        <w:rPr>
          <w:rFonts w:hint="eastAsia" w:ascii="宋体" w:hAnsi="宋体" w:cs="宋体"/>
          <w:snapToGrid w:val="0"/>
          <w:color w:val="auto"/>
          <w:kern w:val="0"/>
          <w:highlight w:val="none"/>
        </w:rPr>
        <w:t>第二章</w:t>
      </w:r>
      <w:r>
        <w:rPr>
          <w:rFonts w:hint="eastAsia" w:ascii="宋体" w:hAnsi="宋体" w:cs="宋体"/>
          <w:snapToGrid w:val="0"/>
          <w:color w:val="auto"/>
          <w:kern w:val="0"/>
          <w:highlight w:val="none"/>
          <w:lang w:eastAsia="zh-CN"/>
        </w:rPr>
        <w:t>供应商</w:t>
      </w:r>
      <w:r>
        <w:rPr>
          <w:rFonts w:hint="eastAsia" w:ascii="宋体" w:hAnsi="宋体" w:cs="宋体"/>
          <w:snapToGrid w:val="0"/>
          <w:color w:val="auto"/>
          <w:kern w:val="0"/>
          <w:highlight w:val="none"/>
        </w:rPr>
        <w:t>须知前附表第1.4.1项内容。</w:t>
      </w:r>
    </w:p>
    <w:p w14:paraId="035C6EF0">
      <w:pPr>
        <w:pStyle w:val="2"/>
        <w:adjustRightInd w:val="0"/>
        <w:snapToGrid w:val="0"/>
        <w:spacing w:after="0" w:line="360" w:lineRule="auto"/>
        <w:ind w:firstLine="420" w:firstLineChars="200"/>
        <w:rPr>
          <w:rFonts w:hint="eastAsia" w:ascii="宋体" w:hAnsi="宋体" w:cs="宋体"/>
          <w:snapToGrid w:val="0"/>
          <w:color w:val="auto"/>
          <w:kern w:val="0"/>
          <w:highlight w:val="none"/>
        </w:rPr>
      </w:pPr>
      <w:r>
        <w:rPr>
          <w:rFonts w:hint="eastAsia" w:ascii="宋体" w:hAnsi="宋体" w:cs="宋体"/>
          <w:snapToGrid w:val="0"/>
          <w:color w:val="auto"/>
          <w:kern w:val="0"/>
          <w:highlight w:val="none"/>
        </w:rPr>
        <w:t>3.2 本次</w:t>
      </w:r>
      <w:r>
        <w:rPr>
          <w:rFonts w:hint="eastAsia" w:ascii="宋体" w:hAnsi="宋体" w:cs="宋体"/>
          <w:snapToGrid w:val="0"/>
          <w:color w:val="auto"/>
          <w:kern w:val="0"/>
          <w:highlight w:val="none"/>
          <w:lang w:val="en-US" w:eastAsia="zh-CN"/>
        </w:rPr>
        <w:t>比选</w:t>
      </w:r>
      <w:r>
        <w:rPr>
          <w:rFonts w:hint="eastAsia" w:ascii="宋体" w:hAnsi="宋体" w:cs="宋体"/>
          <w:snapToGrid w:val="0"/>
          <w:color w:val="auto"/>
          <w:kern w:val="0"/>
          <w:highlight w:val="none"/>
        </w:rPr>
        <w:t>不接受联合体。</w:t>
      </w:r>
    </w:p>
    <w:p w14:paraId="2F8C50BA">
      <w:pPr>
        <w:pStyle w:val="4"/>
        <w:adjustRightInd w:val="0"/>
        <w:snapToGrid w:val="0"/>
        <w:spacing w:before="0" w:after="0" w:line="360" w:lineRule="auto"/>
        <w:rPr>
          <w:rFonts w:ascii="宋体" w:hAnsi="宋体" w:cs="宋体"/>
          <w:bCs w:val="0"/>
          <w:snapToGrid w:val="0"/>
          <w:color w:val="auto"/>
          <w:sz w:val="24"/>
          <w:szCs w:val="24"/>
          <w:highlight w:val="none"/>
        </w:rPr>
      </w:pPr>
      <w:bookmarkStart w:id="62" w:name="_Toc277082539"/>
      <w:bookmarkStart w:id="63" w:name="_Toc287607731"/>
      <w:bookmarkStart w:id="64" w:name="_Toc224103302"/>
      <w:bookmarkStart w:id="65" w:name="_Toc287620670"/>
      <w:bookmarkStart w:id="66" w:name="_Toc23115"/>
      <w:bookmarkStart w:id="67" w:name="_Toc509218695"/>
      <w:bookmarkStart w:id="68" w:name="_Toc430530419"/>
      <w:bookmarkStart w:id="69" w:name="_Toc200359430"/>
      <w:bookmarkStart w:id="70" w:name="_Toc24943"/>
      <w:bookmarkStart w:id="71" w:name="_Toc12657"/>
      <w:bookmarkStart w:id="72" w:name="_Toc200359241"/>
      <w:bookmarkStart w:id="73" w:name="_Toc2265"/>
      <w:r>
        <w:rPr>
          <w:rFonts w:hint="eastAsia" w:ascii="宋体" w:hAnsi="宋体" w:cs="宋体"/>
          <w:bCs w:val="0"/>
          <w:snapToGrid w:val="0"/>
          <w:color w:val="auto"/>
          <w:sz w:val="24"/>
          <w:szCs w:val="24"/>
          <w:highlight w:val="none"/>
          <w:lang w:val="en-US" w:eastAsia="zh-CN"/>
        </w:rPr>
        <w:t>4</w:t>
      </w:r>
      <w:r>
        <w:rPr>
          <w:rFonts w:hint="eastAsia" w:ascii="宋体" w:hAnsi="宋体" w:cs="宋体"/>
          <w:bCs w:val="0"/>
          <w:snapToGrid w:val="0"/>
          <w:color w:val="auto"/>
          <w:sz w:val="24"/>
          <w:szCs w:val="24"/>
          <w:highlight w:val="none"/>
        </w:rPr>
        <w:t>.</w:t>
      </w:r>
      <w:r>
        <w:rPr>
          <w:rFonts w:hint="eastAsia" w:ascii="宋体" w:hAnsi="宋体" w:cs="宋体"/>
          <w:bCs w:val="0"/>
          <w:snapToGrid w:val="0"/>
          <w:color w:val="auto"/>
          <w:sz w:val="24"/>
          <w:szCs w:val="24"/>
          <w:highlight w:val="none"/>
          <w:lang w:eastAsia="zh-CN"/>
        </w:rPr>
        <w:t>比选文件</w:t>
      </w:r>
      <w:r>
        <w:rPr>
          <w:rFonts w:hint="eastAsia" w:ascii="宋体" w:hAnsi="宋体" w:cs="宋体"/>
          <w:bCs w:val="0"/>
          <w:snapToGrid w:val="0"/>
          <w:color w:val="auto"/>
          <w:sz w:val="24"/>
          <w:szCs w:val="24"/>
          <w:highlight w:val="none"/>
        </w:rPr>
        <w:t>的获取</w:t>
      </w:r>
      <w:bookmarkEnd w:id="62"/>
      <w:bookmarkEnd w:id="63"/>
      <w:bookmarkEnd w:id="64"/>
      <w:bookmarkEnd w:id="65"/>
      <w:bookmarkEnd w:id="66"/>
      <w:bookmarkEnd w:id="67"/>
      <w:bookmarkEnd w:id="68"/>
      <w:bookmarkEnd w:id="69"/>
      <w:bookmarkEnd w:id="70"/>
      <w:bookmarkEnd w:id="71"/>
      <w:bookmarkEnd w:id="72"/>
      <w:bookmarkEnd w:id="73"/>
    </w:p>
    <w:p w14:paraId="25A63A24">
      <w:pPr>
        <w:wordWrap w:val="0"/>
        <w:autoSpaceDE w:val="0"/>
        <w:autoSpaceDN w:val="0"/>
        <w:adjustRightInd w:val="0"/>
        <w:snapToGrid w:val="0"/>
        <w:spacing w:line="360" w:lineRule="auto"/>
        <w:ind w:firstLine="420" w:firstLineChars="200"/>
        <w:rPr>
          <w:rFonts w:ascii="宋体" w:hAnsi="宋体" w:cs="宋体"/>
          <w:color w:val="auto"/>
          <w:kern w:val="0"/>
          <w:szCs w:val="21"/>
          <w:highlight w:val="none"/>
        </w:rPr>
      </w:pPr>
      <w:bookmarkStart w:id="74" w:name="_Toc287607732"/>
      <w:bookmarkStart w:id="75" w:name="_Toc430530420"/>
      <w:bookmarkStart w:id="76" w:name="_Toc224103303"/>
      <w:bookmarkStart w:id="77" w:name="_Toc277082540"/>
      <w:bookmarkStart w:id="78" w:name="_Toc287620671"/>
      <w:bookmarkStart w:id="79" w:name="_Toc200359242"/>
      <w:bookmarkStart w:id="80" w:name="_Toc200359431"/>
      <w:bookmarkStart w:id="81" w:name="_Toc5682"/>
      <w:bookmarkStart w:id="82" w:name="_Toc509218696"/>
      <w:r>
        <w:rPr>
          <w:rFonts w:hint="eastAsia" w:ascii="宋体" w:hAnsi="宋体" w:cs="宋体"/>
          <w:color w:val="auto"/>
          <w:kern w:val="0"/>
          <w:szCs w:val="21"/>
          <w:highlight w:val="none"/>
          <w:lang w:val="en-US" w:eastAsia="zh-CN" w:bidi="ar"/>
        </w:rPr>
        <w:t>4.1</w:t>
      </w:r>
      <w:r>
        <w:rPr>
          <w:rFonts w:hint="eastAsia" w:ascii="宋体" w:hAnsi="宋体" w:cs="宋体"/>
          <w:color w:val="auto"/>
          <w:kern w:val="0"/>
          <w:szCs w:val="21"/>
          <w:highlight w:val="none"/>
          <w:lang w:bidi="ar"/>
        </w:rPr>
        <w:t>凡有意参加</w:t>
      </w:r>
      <w:r>
        <w:rPr>
          <w:rFonts w:hint="eastAsia" w:ascii="宋体" w:hAnsi="宋体" w:cs="宋体"/>
          <w:color w:val="auto"/>
          <w:kern w:val="0"/>
          <w:szCs w:val="21"/>
          <w:highlight w:val="none"/>
          <w:lang w:eastAsia="zh-CN" w:bidi="ar"/>
        </w:rPr>
        <w:t>比选</w:t>
      </w:r>
      <w:r>
        <w:rPr>
          <w:rFonts w:hint="eastAsia" w:ascii="宋体" w:hAnsi="宋体" w:cs="宋体"/>
          <w:color w:val="auto"/>
          <w:kern w:val="0"/>
          <w:szCs w:val="21"/>
          <w:highlight w:val="none"/>
          <w:lang w:bidi="ar"/>
        </w:rPr>
        <w:t>者，请于</w:t>
      </w:r>
      <w:r>
        <w:rPr>
          <w:rFonts w:hint="eastAsia" w:ascii="宋体" w:hAnsi="宋体" w:cs="宋体"/>
          <w:color w:val="auto"/>
          <w:kern w:val="0"/>
          <w:szCs w:val="21"/>
          <w:highlight w:val="none"/>
          <w:lang w:eastAsia="zh-CN" w:bidi="ar"/>
        </w:rPr>
        <w:t>比选截止时间</w:t>
      </w:r>
      <w:r>
        <w:rPr>
          <w:rFonts w:hint="eastAsia" w:ascii="宋体" w:hAnsi="宋体" w:cs="宋体"/>
          <w:color w:val="auto"/>
          <w:kern w:val="0"/>
          <w:szCs w:val="21"/>
          <w:highlight w:val="none"/>
          <w:lang w:bidi="ar"/>
        </w:rPr>
        <w:t>前在</w:t>
      </w:r>
      <w:r>
        <w:rPr>
          <w:rFonts w:hint="eastAsia" w:ascii="宋体" w:hAnsi="宋体" w:cs="宋体"/>
          <w:color w:val="auto"/>
          <w:kern w:val="0"/>
          <w:szCs w:val="21"/>
          <w:highlight w:val="none"/>
          <w:u w:val="single"/>
          <w:lang w:bidi="ar"/>
        </w:rPr>
        <w:t>重</w:t>
      </w:r>
      <w:r>
        <w:rPr>
          <w:rFonts w:hint="eastAsia" w:ascii="宋体" w:hAnsi="宋体" w:cs="宋体"/>
          <w:snapToGrid w:val="0"/>
          <w:color w:val="auto"/>
          <w:kern w:val="0"/>
          <w:szCs w:val="21"/>
          <w:highlight w:val="none"/>
          <w:u w:val="single"/>
        </w:rPr>
        <w:t>庆高速集团官网（https://www.cegc.com.cn/html/col1810480.html）</w:t>
      </w:r>
      <w:r>
        <w:rPr>
          <w:rFonts w:hint="eastAsia" w:ascii="宋体" w:hAnsi="宋体" w:cs="宋体"/>
          <w:color w:val="auto"/>
          <w:kern w:val="0"/>
          <w:szCs w:val="21"/>
          <w:highlight w:val="none"/>
          <w:lang w:bidi="ar"/>
        </w:rPr>
        <w:t>下载</w:t>
      </w:r>
      <w:r>
        <w:rPr>
          <w:rFonts w:hint="eastAsia" w:ascii="宋体" w:hAnsi="宋体" w:cs="宋体"/>
          <w:color w:val="auto"/>
          <w:kern w:val="0"/>
          <w:szCs w:val="21"/>
          <w:highlight w:val="none"/>
          <w:lang w:eastAsia="zh-CN" w:bidi="ar"/>
        </w:rPr>
        <w:t>比选文件</w:t>
      </w:r>
      <w:r>
        <w:rPr>
          <w:rFonts w:hint="eastAsia" w:ascii="宋体" w:hAnsi="宋体" w:cs="宋体"/>
          <w:color w:val="auto"/>
          <w:kern w:val="0"/>
          <w:szCs w:val="21"/>
          <w:highlight w:val="none"/>
          <w:lang w:bidi="ar"/>
        </w:rPr>
        <w:t>、清单、澄清、修改、补充通知、最高限价通知等全部内容。不管下载与否都视为潜在</w:t>
      </w:r>
      <w:r>
        <w:rPr>
          <w:rFonts w:hint="eastAsia" w:ascii="宋体" w:hAnsi="宋体" w:cs="宋体"/>
          <w:color w:val="auto"/>
          <w:kern w:val="0"/>
          <w:szCs w:val="21"/>
          <w:highlight w:val="none"/>
          <w:lang w:eastAsia="zh-CN" w:bidi="ar"/>
        </w:rPr>
        <w:t>供应商</w:t>
      </w:r>
      <w:r>
        <w:rPr>
          <w:rFonts w:hint="eastAsia" w:ascii="宋体" w:hAnsi="宋体" w:cs="宋体"/>
          <w:color w:val="auto"/>
          <w:kern w:val="0"/>
          <w:szCs w:val="21"/>
          <w:highlight w:val="none"/>
          <w:lang w:bidi="ar"/>
        </w:rPr>
        <w:t>全部知晓有关</w:t>
      </w:r>
      <w:r>
        <w:rPr>
          <w:rFonts w:hint="eastAsia" w:ascii="宋体" w:hAnsi="宋体" w:cs="宋体"/>
          <w:color w:val="auto"/>
          <w:kern w:val="0"/>
          <w:szCs w:val="21"/>
          <w:highlight w:val="none"/>
          <w:lang w:val="en-US" w:eastAsia="zh-CN" w:bidi="ar"/>
        </w:rPr>
        <w:t>比选</w:t>
      </w:r>
      <w:r>
        <w:rPr>
          <w:rFonts w:hint="eastAsia" w:ascii="宋体" w:hAnsi="宋体" w:cs="宋体"/>
          <w:color w:val="auto"/>
          <w:kern w:val="0"/>
          <w:szCs w:val="21"/>
          <w:highlight w:val="none"/>
          <w:lang w:bidi="ar"/>
        </w:rPr>
        <w:t>过程和全部内容。</w:t>
      </w:r>
      <w:r>
        <w:rPr>
          <w:rFonts w:hint="eastAsia" w:ascii="宋体" w:hAnsi="宋体" w:cs="宋体"/>
          <w:color w:val="auto"/>
          <w:szCs w:val="21"/>
          <w:highlight w:val="none"/>
          <w:lang w:bidi="ar"/>
        </w:rPr>
        <w:t>本项目不需要报名，直接</w:t>
      </w:r>
      <w:r>
        <w:rPr>
          <w:rFonts w:hint="eastAsia" w:ascii="宋体" w:hAnsi="宋体" w:cs="宋体"/>
          <w:color w:val="auto"/>
          <w:szCs w:val="21"/>
          <w:highlight w:val="none"/>
          <w:lang w:val="en-US" w:eastAsia="zh-CN" w:bidi="ar"/>
        </w:rPr>
        <w:t>比选</w:t>
      </w:r>
      <w:r>
        <w:rPr>
          <w:rFonts w:hint="eastAsia" w:ascii="宋体" w:hAnsi="宋体" w:cs="宋体"/>
          <w:color w:val="auto"/>
          <w:szCs w:val="21"/>
          <w:highlight w:val="none"/>
          <w:lang w:bidi="ar"/>
        </w:rPr>
        <w:t>。</w:t>
      </w:r>
    </w:p>
    <w:p w14:paraId="3D93E42E">
      <w:pPr>
        <w:autoSpaceDE w:val="0"/>
        <w:autoSpaceDN w:val="0"/>
        <w:adjustRightInd w:val="0"/>
        <w:snapToGrid w:val="0"/>
        <w:spacing w:line="360" w:lineRule="auto"/>
        <w:ind w:firstLine="420"/>
        <w:rPr>
          <w:rFonts w:ascii="宋体" w:hAnsi="宋体" w:cs="宋体"/>
          <w:color w:val="auto"/>
          <w:kern w:val="0"/>
          <w:szCs w:val="21"/>
          <w:highlight w:val="none"/>
        </w:rPr>
      </w:pPr>
      <w:r>
        <w:rPr>
          <w:rFonts w:hint="eastAsia" w:ascii="宋体" w:hAnsi="宋体" w:cs="宋体"/>
          <w:color w:val="auto"/>
          <w:kern w:val="0"/>
          <w:szCs w:val="21"/>
          <w:highlight w:val="none"/>
          <w:lang w:val="en-US" w:eastAsia="zh-CN" w:bidi="ar"/>
        </w:rPr>
        <w:t>4</w:t>
      </w:r>
      <w:r>
        <w:rPr>
          <w:rFonts w:hint="eastAsia" w:ascii="宋体" w:hAnsi="宋体" w:cs="宋体"/>
          <w:color w:val="auto"/>
          <w:kern w:val="0"/>
          <w:szCs w:val="21"/>
          <w:highlight w:val="none"/>
          <w:lang w:bidi="ar"/>
        </w:rPr>
        <w:t xml:space="preserve">.2  </w:t>
      </w:r>
      <w:r>
        <w:rPr>
          <w:rFonts w:hint="eastAsia" w:ascii="宋体" w:hAnsi="宋体" w:cs="宋体"/>
          <w:color w:val="auto"/>
          <w:kern w:val="0"/>
          <w:szCs w:val="21"/>
          <w:highlight w:val="none"/>
          <w:lang w:eastAsia="zh-CN" w:bidi="ar"/>
        </w:rPr>
        <w:t>供应商</w:t>
      </w:r>
      <w:r>
        <w:rPr>
          <w:rFonts w:hint="eastAsia" w:ascii="宋体" w:hAnsi="宋体" w:cs="宋体"/>
          <w:color w:val="auto"/>
          <w:kern w:val="0"/>
          <w:szCs w:val="21"/>
          <w:highlight w:val="none"/>
          <w:lang w:bidi="ar"/>
        </w:rPr>
        <w:t>可以电子邮件形式对本项目提出疑问，提问方式为向</w:t>
      </w:r>
      <w:r>
        <w:rPr>
          <w:rFonts w:hint="eastAsia" w:ascii="宋体" w:hAnsi="宋体" w:cs="宋体"/>
          <w:color w:val="auto"/>
          <w:kern w:val="0"/>
          <w:szCs w:val="21"/>
          <w:highlight w:val="none"/>
          <w:lang w:eastAsia="zh-CN" w:bidi="ar"/>
        </w:rPr>
        <w:t>代理机构</w:t>
      </w:r>
      <w:r>
        <w:rPr>
          <w:rFonts w:hint="eastAsia" w:ascii="宋体" w:hAnsi="宋体" w:cs="宋体"/>
          <w:color w:val="auto"/>
          <w:kern w:val="0"/>
          <w:szCs w:val="21"/>
          <w:highlight w:val="none"/>
          <w:lang w:bidi="ar"/>
        </w:rPr>
        <w:t>及</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邮箱发送提问文件</w:t>
      </w:r>
      <w:r>
        <w:rPr>
          <w:rFonts w:hint="eastAsia" w:ascii="宋体" w:hAnsi="宋体" w:cs="宋体"/>
          <w:color w:val="auto"/>
          <w:kern w:val="0"/>
          <w:szCs w:val="21"/>
          <w:highlight w:val="none"/>
          <w:lang w:eastAsia="zh-CN" w:bidi="ar"/>
        </w:rPr>
        <w:t>复印件</w:t>
      </w:r>
      <w:r>
        <w:rPr>
          <w:rFonts w:hint="eastAsia" w:ascii="宋体" w:hAnsi="宋体" w:cs="宋体"/>
          <w:color w:val="auto"/>
          <w:kern w:val="0"/>
          <w:szCs w:val="21"/>
          <w:highlight w:val="none"/>
          <w:lang w:bidi="ar"/>
        </w:rPr>
        <w:t>（需盖单位法人章）和可编辑电子文档，提问时间从本公告发布至</w:t>
      </w:r>
      <w:r>
        <w:rPr>
          <w:rFonts w:hint="eastAsia" w:ascii="宋体" w:hAnsi="宋体" w:cs="宋体"/>
          <w:b/>
          <w:color w:val="auto"/>
          <w:kern w:val="0"/>
          <w:szCs w:val="21"/>
          <w:highlight w:val="none"/>
          <w:u w:val="single"/>
          <w:lang w:bidi="ar"/>
        </w:rPr>
        <w:t>202</w:t>
      </w:r>
      <w:r>
        <w:rPr>
          <w:rFonts w:hint="eastAsia" w:ascii="宋体" w:hAnsi="宋体" w:cs="宋体"/>
          <w:b/>
          <w:color w:val="auto"/>
          <w:kern w:val="0"/>
          <w:szCs w:val="21"/>
          <w:highlight w:val="none"/>
          <w:u w:val="single"/>
          <w:lang w:val="en-US" w:eastAsia="zh-CN" w:bidi="ar"/>
        </w:rPr>
        <w:t>6</w:t>
      </w:r>
      <w:r>
        <w:rPr>
          <w:rFonts w:hint="eastAsia" w:ascii="宋体" w:hAnsi="宋体" w:cs="宋体"/>
          <w:b/>
          <w:color w:val="auto"/>
          <w:kern w:val="0"/>
          <w:szCs w:val="21"/>
          <w:highlight w:val="none"/>
          <w:lang w:bidi="ar"/>
        </w:rPr>
        <w:t>年</w:t>
      </w:r>
      <w:r>
        <w:rPr>
          <w:rFonts w:hint="eastAsia" w:ascii="宋体" w:hAnsi="宋体" w:cs="宋体"/>
          <w:b/>
          <w:color w:val="auto"/>
          <w:kern w:val="0"/>
          <w:szCs w:val="21"/>
          <w:highlight w:val="none"/>
          <w:u w:val="single"/>
          <w:lang w:val="en-US" w:eastAsia="zh-CN" w:bidi="ar"/>
        </w:rPr>
        <w:t>6</w:t>
      </w:r>
      <w:r>
        <w:rPr>
          <w:rFonts w:hint="eastAsia" w:ascii="宋体" w:hAnsi="宋体" w:cs="宋体"/>
          <w:b/>
          <w:color w:val="auto"/>
          <w:kern w:val="0"/>
          <w:szCs w:val="21"/>
          <w:highlight w:val="none"/>
          <w:lang w:bidi="ar"/>
        </w:rPr>
        <w:t>月</w:t>
      </w:r>
      <w:r>
        <w:rPr>
          <w:rFonts w:hint="eastAsia" w:ascii="宋体" w:hAnsi="宋体" w:cs="宋体"/>
          <w:b/>
          <w:color w:val="auto"/>
          <w:kern w:val="0"/>
          <w:szCs w:val="21"/>
          <w:highlight w:val="none"/>
          <w:u w:val="single"/>
          <w:lang w:val="en-US" w:eastAsia="zh-CN" w:bidi="ar"/>
        </w:rPr>
        <w:t>8</w:t>
      </w:r>
      <w:r>
        <w:rPr>
          <w:rFonts w:hint="eastAsia" w:ascii="宋体" w:hAnsi="宋体" w:cs="宋体"/>
          <w:b/>
          <w:color w:val="auto"/>
          <w:kern w:val="0"/>
          <w:szCs w:val="21"/>
          <w:highlight w:val="none"/>
          <w:lang w:bidi="ar"/>
        </w:rPr>
        <w:t>日</w:t>
      </w:r>
      <w:r>
        <w:rPr>
          <w:rFonts w:hint="eastAsia" w:ascii="宋体" w:hAnsi="宋体" w:cs="宋体"/>
          <w:b/>
          <w:color w:val="auto"/>
          <w:kern w:val="0"/>
          <w:szCs w:val="21"/>
          <w:highlight w:val="none"/>
          <w:u w:val="single"/>
          <w:lang w:val="en-US" w:eastAsia="zh-CN" w:bidi="ar"/>
        </w:rPr>
        <w:t>17</w:t>
      </w:r>
      <w:r>
        <w:rPr>
          <w:rFonts w:hint="eastAsia" w:ascii="宋体" w:hAnsi="宋体" w:cs="宋体"/>
          <w:b/>
          <w:color w:val="auto"/>
          <w:szCs w:val="21"/>
          <w:highlight w:val="none"/>
          <w:lang w:bidi="ar"/>
        </w:rPr>
        <w:t>时</w:t>
      </w:r>
      <w:r>
        <w:rPr>
          <w:rFonts w:hint="eastAsia" w:ascii="宋体" w:hAnsi="宋体" w:cs="宋体"/>
          <w:b/>
          <w:color w:val="auto"/>
          <w:kern w:val="0"/>
          <w:szCs w:val="21"/>
          <w:highlight w:val="none"/>
          <w:u w:val="single"/>
          <w:lang w:bidi="ar"/>
        </w:rPr>
        <w:t>00</w:t>
      </w:r>
      <w:r>
        <w:rPr>
          <w:rFonts w:hint="eastAsia" w:ascii="宋体" w:hAnsi="宋体" w:cs="宋体"/>
          <w:b/>
          <w:color w:val="auto"/>
          <w:szCs w:val="21"/>
          <w:highlight w:val="none"/>
          <w:lang w:bidi="ar"/>
        </w:rPr>
        <w:t>分</w:t>
      </w:r>
      <w:r>
        <w:rPr>
          <w:rFonts w:hint="eastAsia" w:ascii="宋体" w:hAnsi="宋体" w:cs="宋体"/>
          <w:color w:val="auto"/>
          <w:kern w:val="0"/>
          <w:szCs w:val="21"/>
          <w:highlight w:val="none"/>
          <w:lang w:bidi="ar"/>
        </w:rPr>
        <w:t>（北京时间）前。</w:t>
      </w:r>
    </w:p>
    <w:p w14:paraId="742125F9">
      <w:pPr>
        <w:autoSpaceDE w:val="0"/>
        <w:autoSpaceDN w:val="0"/>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lang w:val="en-US" w:eastAsia="zh-CN" w:bidi="ar"/>
        </w:rPr>
        <w:t>4</w:t>
      </w:r>
      <w:r>
        <w:rPr>
          <w:rFonts w:hint="eastAsia" w:ascii="宋体" w:hAnsi="宋体" w:cs="宋体"/>
          <w:color w:val="auto"/>
          <w:kern w:val="0"/>
          <w:szCs w:val="21"/>
          <w:highlight w:val="none"/>
          <w:lang w:bidi="ar"/>
        </w:rPr>
        <w:t xml:space="preserve">.3  </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应于</w:t>
      </w:r>
      <w:r>
        <w:rPr>
          <w:rFonts w:hint="eastAsia" w:ascii="宋体" w:hAnsi="宋体" w:cs="宋体"/>
          <w:b/>
          <w:color w:val="auto"/>
          <w:kern w:val="0"/>
          <w:szCs w:val="21"/>
          <w:highlight w:val="none"/>
          <w:u w:val="single"/>
          <w:lang w:bidi="ar"/>
        </w:rPr>
        <w:t>202</w:t>
      </w:r>
      <w:r>
        <w:rPr>
          <w:rFonts w:hint="eastAsia" w:ascii="宋体" w:hAnsi="宋体" w:cs="宋体"/>
          <w:b/>
          <w:color w:val="auto"/>
          <w:kern w:val="0"/>
          <w:szCs w:val="21"/>
          <w:highlight w:val="none"/>
          <w:u w:val="single"/>
          <w:lang w:val="en-US" w:eastAsia="zh-CN" w:bidi="ar"/>
        </w:rPr>
        <w:t>6</w:t>
      </w:r>
      <w:r>
        <w:rPr>
          <w:rFonts w:hint="eastAsia" w:ascii="宋体" w:hAnsi="宋体" w:cs="宋体"/>
          <w:b/>
          <w:color w:val="auto"/>
          <w:kern w:val="0"/>
          <w:szCs w:val="21"/>
          <w:highlight w:val="none"/>
          <w:lang w:bidi="ar"/>
        </w:rPr>
        <w:t>年</w:t>
      </w:r>
      <w:r>
        <w:rPr>
          <w:rFonts w:hint="eastAsia" w:ascii="宋体" w:hAnsi="宋体" w:cs="宋体"/>
          <w:b/>
          <w:color w:val="auto"/>
          <w:kern w:val="0"/>
          <w:szCs w:val="21"/>
          <w:highlight w:val="none"/>
          <w:u w:val="single"/>
          <w:lang w:val="en-US" w:eastAsia="zh-CN" w:bidi="ar"/>
        </w:rPr>
        <w:t>6</w:t>
      </w:r>
      <w:r>
        <w:rPr>
          <w:rFonts w:hint="eastAsia" w:ascii="宋体" w:hAnsi="宋体" w:cs="宋体"/>
          <w:b/>
          <w:color w:val="auto"/>
          <w:kern w:val="0"/>
          <w:szCs w:val="21"/>
          <w:highlight w:val="none"/>
          <w:lang w:bidi="ar"/>
        </w:rPr>
        <w:t>月</w:t>
      </w:r>
      <w:r>
        <w:rPr>
          <w:rFonts w:hint="eastAsia" w:ascii="宋体" w:hAnsi="宋体" w:cs="宋体"/>
          <w:b/>
          <w:color w:val="auto"/>
          <w:kern w:val="0"/>
          <w:szCs w:val="21"/>
          <w:highlight w:val="none"/>
          <w:u w:val="single"/>
          <w:lang w:val="en-US" w:eastAsia="zh-CN" w:bidi="ar"/>
        </w:rPr>
        <w:t>9</w:t>
      </w:r>
      <w:r>
        <w:rPr>
          <w:rFonts w:hint="eastAsia" w:ascii="宋体" w:hAnsi="宋体" w:cs="宋体"/>
          <w:b/>
          <w:color w:val="auto"/>
          <w:kern w:val="0"/>
          <w:szCs w:val="21"/>
          <w:highlight w:val="none"/>
          <w:lang w:bidi="ar"/>
        </w:rPr>
        <w:t>日</w:t>
      </w:r>
      <w:r>
        <w:rPr>
          <w:rFonts w:hint="eastAsia" w:ascii="宋体" w:hAnsi="宋体" w:cs="宋体"/>
          <w:b/>
          <w:color w:val="auto"/>
          <w:kern w:val="0"/>
          <w:szCs w:val="21"/>
          <w:highlight w:val="none"/>
          <w:u w:val="single"/>
          <w:lang w:val="en-US" w:eastAsia="zh-CN" w:bidi="ar"/>
        </w:rPr>
        <w:t>18</w:t>
      </w:r>
      <w:r>
        <w:rPr>
          <w:rFonts w:hint="eastAsia" w:ascii="宋体" w:hAnsi="宋体" w:cs="宋体"/>
          <w:b/>
          <w:color w:val="auto"/>
          <w:szCs w:val="21"/>
          <w:highlight w:val="none"/>
          <w:lang w:bidi="ar"/>
        </w:rPr>
        <w:t>时</w:t>
      </w:r>
      <w:r>
        <w:rPr>
          <w:rFonts w:hint="eastAsia" w:ascii="宋体" w:hAnsi="宋体" w:cs="宋体"/>
          <w:b/>
          <w:color w:val="auto"/>
          <w:kern w:val="0"/>
          <w:szCs w:val="21"/>
          <w:highlight w:val="none"/>
          <w:u w:val="single"/>
          <w:lang w:bidi="ar"/>
        </w:rPr>
        <w:t>00</w:t>
      </w:r>
      <w:r>
        <w:rPr>
          <w:rFonts w:hint="eastAsia" w:ascii="宋体" w:hAnsi="宋体" w:cs="宋体"/>
          <w:b/>
          <w:color w:val="auto"/>
          <w:szCs w:val="21"/>
          <w:highlight w:val="none"/>
          <w:lang w:bidi="ar"/>
        </w:rPr>
        <w:t>分</w:t>
      </w:r>
      <w:r>
        <w:rPr>
          <w:rFonts w:hint="eastAsia" w:ascii="宋体" w:hAnsi="宋体" w:cs="宋体"/>
          <w:color w:val="auto"/>
          <w:kern w:val="0"/>
          <w:szCs w:val="21"/>
          <w:highlight w:val="none"/>
          <w:lang w:bidi="ar"/>
        </w:rPr>
        <w:t>（北京时间）前在</w:t>
      </w:r>
      <w:r>
        <w:rPr>
          <w:rFonts w:hint="eastAsia" w:ascii="宋体" w:hAnsi="宋体" w:cs="宋体"/>
          <w:color w:val="auto"/>
          <w:kern w:val="0"/>
          <w:szCs w:val="21"/>
          <w:highlight w:val="none"/>
          <w:u w:val="single"/>
          <w:lang w:bidi="ar"/>
        </w:rPr>
        <w:t>重</w:t>
      </w:r>
      <w:r>
        <w:rPr>
          <w:rFonts w:hint="eastAsia" w:ascii="宋体" w:hAnsi="宋体" w:cs="宋体"/>
          <w:snapToGrid w:val="0"/>
          <w:color w:val="auto"/>
          <w:kern w:val="0"/>
          <w:szCs w:val="21"/>
          <w:highlight w:val="none"/>
          <w:u w:val="single"/>
        </w:rPr>
        <w:t>庆高速集团官网（https://www.cegc.com.cn/html/col1810480.html）</w:t>
      </w:r>
      <w:r>
        <w:rPr>
          <w:rFonts w:hint="eastAsia" w:ascii="宋体" w:hAnsi="宋体" w:cs="宋体"/>
          <w:color w:val="auto"/>
          <w:kern w:val="0"/>
          <w:szCs w:val="21"/>
          <w:highlight w:val="none"/>
          <w:lang w:bidi="ar"/>
        </w:rPr>
        <w:t>发布澄清。</w:t>
      </w:r>
    </w:p>
    <w:p w14:paraId="1D865B8C">
      <w:pPr>
        <w:pStyle w:val="4"/>
        <w:adjustRightInd w:val="0"/>
        <w:snapToGrid w:val="0"/>
        <w:spacing w:before="0" w:after="0" w:line="360" w:lineRule="auto"/>
        <w:rPr>
          <w:rFonts w:ascii="宋体" w:hAnsi="宋体" w:cs="宋体"/>
          <w:bCs w:val="0"/>
          <w:snapToGrid w:val="0"/>
          <w:color w:val="auto"/>
          <w:sz w:val="24"/>
          <w:szCs w:val="24"/>
          <w:highlight w:val="none"/>
        </w:rPr>
      </w:pPr>
      <w:bookmarkStart w:id="83" w:name="_Toc1282"/>
      <w:bookmarkStart w:id="84" w:name="_Toc24259"/>
      <w:bookmarkStart w:id="85" w:name="_Toc23230"/>
      <w:r>
        <w:rPr>
          <w:rFonts w:hint="eastAsia" w:ascii="宋体" w:hAnsi="宋体" w:cs="宋体"/>
          <w:bCs w:val="0"/>
          <w:snapToGrid w:val="0"/>
          <w:color w:val="auto"/>
          <w:sz w:val="24"/>
          <w:szCs w:val="24"/>
          <w:highlight w:val="none"/>
          <w:lang w:val="en-US" w:eastAsia="zh-CN"/>
        </w:rPr>
        <w:t>5</w:t>
      </w:r>
      <w:r>
        <w:rPr>
          <w:rFonts w:hint="eastAsia" w:ascii="宋体" w:hAnsi="宋体" w:cs="宋体"/>
          <w:bCs w:val="0"/>
          <w:snapToGrid w:val="0"/>
          <w:color w:val="auto"/>
          <w:sz w:val="24"/>
          <w:szCs w:val="24"/>
          <w:highlight w:val="none"/>
        </w:rPr>
        <w:t xml:space="preserve">. </w:t>
      </w:r>
      <w:r>
        <w:rPr>
          <w:rFonts w:hint="eastAsia" w:ascii="宋体" w:hAnsi="宋体" w:cs="宋体"/>
          <w:bCs w:val="0"/>
          <w:snapToGrid w:val="0"/>
          <w:color w:val="auto"/>
          <w:sz w:val="24"/>
          <w:szCs w:val="24"/>
          <w:highlight w:val="none"/>
          <w:lang w:eastAsia="zh-CN"/>
        </w:rPr>
        <w:t>响应文件</w:t>
      </w:r>
      <w:r>
        <w:rPr>
          <w:rFonts w:hint="eastAsia" w:ascii="宋体" w:hAnsi="宋体" w:cs="宋体"/>
          <w:bCs w:val="0"/>
          <w:snapToGrid w:val="0"/>
          <w:color w:val="auto"/>
          <w:sz w:val="24"/>
          <w:szCs w:val="24"/>
          <w:highlight w:val="none"/>
        </w:rPr>
        <w:t>的递交</w:t>
      </w:r>
      <w:bookmarkEnd w:id="74"/>
      <w:bookmarkEnd w:id="75"/>
      <w:bookmarkEnd w:id="76"/>
      <w:bookmarkEnd w:id="77"/>
      <w:bookmarkEnd w:id="78"/>
      <w:bookmarkEnd w:id="79"/>
      <w:bookmarkEnd w:id="80"/>
      <w:bookmarkEnd w:id="81"/>
      <w:bookmarkEnd w:id="82"/>
      <w:bookmarkEnd w:id="83"/>
      <w:bookmarkEnd w:id="84"/>
      <w:bookmarkEnd w:id="85"/>
    </w:p>
    <w:p w14:paraId="78FBF691">
      <w:pPr>
        <w:adjustRightInd w:val="0"/>
        <w:snapToGrid w:val="0"/>
        <w:spacing w:line="360" w:lineRule="auto"/>
        <w:ind w:firstLine="420" w:firstLineChars="200"/>
        <w:rPr>
          <w:rFonts w:ascii="宋体" w:hAnsi="宋体" w:cs="宋体"/>
          <w:color w:val="auto"/>
          <w:szCs w:val="21"/>
          <w:highlight w:val="none"/>
        </w:rPr>
      </w:pPr>
      <w:bookmarkStart w:id="86" w:name="_Toc509218697"/>
      <w:bookmarkStart w:id="87" w:name="_Toc14420"/>
      <w:bookmarkStart w:id="88" w:name="_Toc277082541"/>
      <w:bookmarkStart w:id="89" w:name="_Toc200359243"/>
      <w:bookmarkStart w:id="90" w:name="_Toc287607733"/>
      <w:bookmarkStart w:id="91" w:name="_Toc430530421"/>
      <w:bookmarkStart w:id="92" w:name="_Toc224103304"/>
      <w:bookmarkStart w:id="93" w:name="_Toc287620672"/>
      <w:bookmarkStart w:id="94" w:name="_Toc200359432"/>
      <w:r>
        <w:rPr>
          <w:rFonts w:hint="eastAsia" w:ascii="宋体" w:hAnsi="宋体" w:cs="宋体"/>
          <w:color w:val="auto"/>
          <w:szCs w:val="21"/>
          <w:highlight w:val="none"/>
          <w:lang w:val="en-US" w:eastAsia="zh-CN" w:bidi="ar"/>
        </w:rPr>
        <w:t>5</w:t>
      </w:r>
      <w:r>
        <w:rPr>
          <w:rFonts w:hint="eastAsia" w:ascii="宋体" w:hAnsi="宋体" w:cs="宋体"/>
          <w:color w:val="auto"/>
          <w:szCs w:val="21"/>
          <w:highlight w:val="none"/>
          <w:lang w:bidi="ar"/>
        </w:rPr>
        <w:t>.1</w:t>
      </w:r>
      <w:r>
        <w:rPr>
          <w:rFonts w:hint="eastAsia" w:ascii="宋体" w:hAnsi="宋体" w:cs="宋体"/>
          <w:color w:val="auto"/>
          <w:szCs w:val="21"/>
          <w:highlight w:val="none"/>
          <w:lang w:val="en-US" w:eastAsia="zh-CN" w:bidi="ar"/>
        </w:rPr>
        <w:t xml:space="preserve"> 比选</w:t>
      </w:r>
      <w:r>
        <w:rPr>
          <w:rFonts w:hint="eastAsia" w:ascii="宋体" w:hAnsi="宋体" w:cs="宋体"/>
          <w:color w:val="auto"/>
          <w:szCs w:val="21"/>
          <w:highlight w:val="none"/>
          <w:lang w:bidi="ar"/>
        </w:rPr>
        <w:t>截止时间和</w:t>
      </w:r>
      <w:r>
        <w:rPr>
          <w:rFonts w:hint="eastAsia" w:ascii="宋体" w:hAnsi="宋体" w:cs="宋体"/>
          <w:color w:val="auto"/>
          <w:szCs w:val="21"/>
          <w:highlight w:val="none"/>
          <w:lang w:val="en-US" w:eastAsia="zh-CN" w:bidi="ar"/>
        </w:rPr>
        <w:t>比选</w:t>
      </w:r>
      <w:r>
        <w:rPr>
          <w:rFonts w:hint="eastAsia" w:ascii="宋体" w:hAnsi="宋体" w:cs="宋体"/>
          <w:color w:val="auto"/>
          <w:szCs w:val="21"/>
          <w:highlight w:val="none"/>
          <w:lang w:bidi="ar"/>
        </w:rPr>
        <w:t>时间：</w:t>
      </w:r>
      <w:r>
        <w:rPr>
          <w:rFonts w:hint="eastAsia" w:ascii="宋体" w:hAnsi="宋体" w:cs="宋体"/>
          <w:b/>
          <w:bCs/>
          <w:color w:val="auto"/>
          <w:szCs w:val="21"/>
          <w:highlight w:val="none"/>
          <w:u w:val="single"/>
          <w:lang w:bidi="ar"/>
        </w:rPr>
        <w:t>202</w:t>
      </w:r>
      <w:r>
        <w:rPr>
          <w:rFonts w:hint="eastAsia" w:ascii="宋体" w:hAnsi="宋体" w:cs="宋体"/>
          <w:b/>
          <w:bCs/>
          <w:color w:val="auto"/>
          <w:szCs w:val="21"/>
          <w:highlight w:val="none"/>
          <w:u w:val="single"/>
          <w:lang w:val="en-US" w:eastAsia="zh-CN" w:bidi="ar"/>
        </w:rPr>
        <w:t>6</w:t>
      </w:r>
      <w:r>
        <w:rPr>
          <w:rFonts w:hint="eastAsia" w:ascii="宋体" w:hAnsi="宋体" w:cs="宋体"/>
          <w:b/>
          <w:bCs/>
          <w:color w:val="auto"/>
          <w:szCs w:val="21"/>
          <w:highlight w:val="none"/>
          <w:lang w:bidi="ar"/>
        </w:rPr>
        <w:t>年</w:t>
      </w:r>
      <w:r>
        <w:rPr>
          <w:rFonts w:hint="eastAsia" w:ascii="宋体" w:hAnsi="宋体" w:cs="宋体"/>
          <w:b/>
          <w:bCs/>
          <w:color w:val="auto"/>
          <w:szCs w:val="21"/>
          <w:highlight w:val="none"/>
          <w:u w:val="single"/>
          <w:lang w:val="en-US" w:eastAsia="zh-CN" w:bidi="ar"/>
        </w:rPr>
        <w:t>6</w:t>
      </w:r>
      <w:r>
        <w:rPr>
          <w:rFonts w:hint="eastAsia" w:ascii="宋体" w:hAnsi="宋体" w:cs="宋体"/>
          <w:b/>
          <w:bCs/>
          <w:color w:val="auto"/>
          <w:szCs w:val="21"/>
          <w:highlight w:val="none"/>
          <w:lang w:bidi="ar"/>
        </w:rPr>
        <w:t>月</w:t>
      </w:r>
      <w:r>
        <w:rPr>
          <w:rFonts w:hint="eastAsia" w:ascii="宋体" w:hAnsi="宋体" w:cs="宋体"/>
          <w:b/>
          <w:bCs/>
          <w:color w:val="auto"/>
          <w:szCs w:val="21"/>
          <w:highlight w:val="none"/>
          <w:u w:val="single"/>
          <w:lang w:val="en-US" w:eastAsia="zh-CN" w:bidi="ar"/>
        </w:rPr>
        <w:t>12</w:t>
      </w:r>
      <w:r>
        <w:rPr>
          <w:rFonts w:hint="eastAsia" w:ascii="宋体" w:hAnsi="宋体" w:cs="宋体"/>
          <w:b/>
          <w:bCs/>
          <w:color w:val="auto"/>
          <w:szCs w:val="21"/>
          <w:highlight w:val="none"/>
          <w:lang w:bidi="ar"/>
        </w:rPr>
        <w:t>日</w:t>
      </w:r>
      <w:r>
        <w:rPr>
          <w:rFonts w:hint="eastAsia" w:ascii="宋体" w:hAnsi="宋体" w:cs="宋体"/>
          <w:b/>
          <w:bCs/>
          <w:color w:val="auto"/>
          <w:szCs w:val="21"/>
          <w:highlight w:val="none"/>
          <w:u w:val="single"/>
          <w:lang w:val="en-US" w:eastAsia="zh-CN" w:bidi="ar"/>
        </w:rPr>
        <w:t>10</w:t>
      </w:r>
      <w:r>
        <w:rPr>
          <w:rFonts w:hint="eastAsia" w:ascii="宋体" w:hAnsi="宋体" w:cs="宋体"/>
          <w:b/>
          <w:bCs/>
          <w:color w:val="auto"/>
          <w:szCs w:val="21"/>
          <w:highlight w:val="none"/>
          <w:lang w:bidi="ar"/>
        </w:rPr>
        <w:t>时</w:t>
      </w:r>
      <w:r>
        <w:rPr>
          <w:rFonts w:hint="eastAsia" w:ascii="宋体" w:hAnsi="宋体" w:cs="宋体"/>
          <w:b/>
          <w:bCs/>
          <w:color w:val="auto"/>
          <w:szCs w:val="21"/>
          <w:highlight w:val="none"/>
          <w:u w:val="single"/>
          <w:lang w:val="en-US" w:eastAsia="zh-CN" w:bidi="ar"/>
        </w:rPr>
        <w:t>30</w:t>
      </w:r>
      <w:r>
        <w:rPr>
          <w:rFonts w:hint="eastAsia" w:ascii="宋体" w:hAnsi="宋体" w:cs="宋体"/>
          <w:b/>
          <w:bCs/>
          <w:color w:val="auto"/>
          <w:szCs w:val="21"/>
          <w:highlight w:val="none"/>
          <w:lang w:bidi="ar"/>
        </w:rPr>
        <w:t>分</w:t>
      </w:r>
      <w:r>
        <w:rPr>
          <w:rFonts w:hint="eastAsia" w:ascii="宋体" w:hAnsi="宋体" w:cs="宋体"/>
          <w:color w:val="auto"/>
          <w:szCs w:val="21"/>
          <w:highlight w:val="none"/>
          <w:lang w:bidi="ar"/>
        </w:rPr>
        <w:t>（北京时间）。</w:t>
      </w:r>
    </w:p>
    <w:p w14:paraId="2C1475A9">
      <w:pPr>
        <w:adjustRightInd w:val="0"/>
        <w:snapToGrid w:val="0"/>
        <w:spacing w:line="360" w:lineRule="auto"/>
        <w:ind w:firstLine="420" w:firstLineChars="200"/>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5</w:t>
      </w:r>
      <w:r>
        <w:rPr>
          <w:rFonts w:hint="eastAsia" w:ascii="宋体" w:hAnsi="宋体" w:cs="宋体"/>
          <w:color w:val="auto"/>
          <w:szCs w:val="21"/>
          <w:highlight w:val="none"/>
          <w:lang w:bidi="ar"/>
        </w:rPr>
        <w:t>.2</w:t>
      </w:r>
      <w:r>
        <w:rPr>
          <w:rFonts w:hint="eastAsia" w:ascii="宋体" w:hAnsi="宋体" w:cs="宋体"/>
          <w:color w:val="auto"/>
          <w:szCs w:val="21"/>
          <w:highlight w:val="none"/>
          <w:lang w:val="en-US" w:eastAsia="zh-CN" w:bidi="ar"/>
        </w:rPr>
        <w:t xml:space="preserve"> 比选</w:t>
      </w:r>
      <w:r>
        <w:rPr>
          <w:rFonts w:hint="eastAsia" w:ascii="宋体" w:hAnsi="宋体" w:cs="宋体"/>
          <w:color w:val="auto"/>
          <w:szCs w:val="21"/>
          <w:highlight w:val="none"/>
          <w:lang w:bidi="ar"/>
        </w:rPr>
        <w:t>地点：重庆市</w:t>
      </w:r>
      <w:r>
        <w:rPr>
          <w:rFonts w:hint="default" w:ascii="Times New Roman" w:hAnsi="Times New Roman" w:cs="Times New Roman"/>
          <w:snapToGrid/>
          <w:color w:val="auto"/>
          <w:kern w:val="2"/>
          <w:szCs w:val="24"/>
          <w:highlight w:val="none"/>
          <w:lang w:val="en-US" w:eastAsia="zh-CN"/>
        </w:rPr>
        <w:t>两江新区</w:t>
      </w:r>
      <w:r>
        <w:rPr>
          <w:rFonts w:hint="eastAsia" w:ascii="宋体" w:hAnsi="宋体" w:cs="宋体"/>
          <w:color w:val="auto"/>
          <w:szCs w:val="21"/>
          <w:highlight w:val="none"/>
          <w:lang w:bidi="ar"/>
        </w:rPr>
        <w:t>五简路2号重庆咨询大厦A座负一楼开标厅</w:t>
      </w:r>
      <w:r>
        <w:rPr>
          <w:rFonts w:hint="eastAsia" w:ascii="宋体" w:hAnsi="宋体" w:cs="宋体"/>
          <w:color w:val="auto"/>
          <w:szCs w:val="21"/>
          <w:highlight w:val="none"/>
          <w:lang w:eastAsia="zh-CN" w:bidi="ar"/>
        </w:rPr>
        <w:t>，具体安排详见重庆咨询大厦A座负一楼当日电子显示屏。</w:t>
      </w:r>
    </w:p>
    <w:p w14:paraId="3E6388C1">
      <w:pPr>
        <w:tabs>
          <w:tab w:val="left" w:pos="355"/>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bidi="ar"/>
        </w:rPr>
        <w:t>5</w:t>
      </w:r>
      <w:r>
        <w:rPr>
          <w:rFonts w:hint="eastAsia" w:ascii="宋体" w:hAnsi="宋体" w:cs="宋体"/>
          <w:color w:val="auto"/>
          <w:szCs w:val="21"/>
          <w:highlight w:val="none"/>
          <w:lang w:bidi="ar"/>
        </w:rPr>
        <w:t>.3</w:t>
      </w:r>
      <w:r>
        <w:rPr>
          <w:rFonts w:hint="eastAsia" w:ascii="宋体" w:hAnsi="宋体" w:cs="宋体"/>
          <w:color w:val="auto"/>
          <w:szCs w:val="21"/>
          <w:highlight w:val="none"/>
          <w:lang w:val="en-US" w:eastAsia="zh-CN" w:bidi="ar"/>
        </w:rPr>
        <w:t xml:space="preserve"> </w:t>
      </w:r>
      <w:r>
        <w:rPr>
          <w:rFonts w:hint="eastAsia" w:ascii="宋体" w:hAnsi="宋体" w:cs="宋体"/>
          <w:color w:val="auto"/>
          <w:szCs w:val="21"/>
          <w:highlight w:val="none"/>
          <w:lang w:bidi="ar"/>
        </w:rPr>
        <w:t>逾期送达、或未送达指定地点、或未按</w:t>
      </w:r>
      <w:r>
        <w:rPr>
          <w:rFonts w:hint="eastAsia" w:ascii="宋体" w:hAnsi="宋体" w:cs="宋体"/>
          <w:color w:val="auto"/>
          <w:szCs w:val="21"/>
          <w:highlight w:val="none"/>
          <w:lang w:eastAsia="zh-CN" w:bidi="ar"/>
        </w:rPr>
        <w:t>比选文件</w:t>
      </w:r>
      <w:r>
        <w:rPr>
          <w:rFonts w:hint="eastAsia" w:ascii="宋体" w:hAnsi="宋体" w:cs="宋体"/>
          <w:color w:val="auto"/>
          <w:szCs w:val="21"/>
          <w:highlight w:val="none"/>
          <w:lang w:bidi="ar"/>
        </w:rPr>
        <w:t>要求密封的</w:t>
      </w:r>
      <w:r>
        <w:rPr>
          <w:rFonts w:hint="eastAsia" w:ascii="宋体" w:hAnsi="宋体" w:cs="宋体"/>
          <w:color w:val="auto"/>
          <w:szCs w:val="21"/>
          <w:highlight w:val="none"/>
          <w:lang w:eastAsia="zh-CN" w:bidi="ar"/>
        </w:rPr>
        <w:t>响应文件</w:t>
      </w:r>
      <w:r>
        <w:rPr>
          <w:rFonts w:hint="eastAsia" w:ascii="宋体" w:hAnsi="宋体" w:cs="宋体"/>
          <w:color w:val="auto"/>
          <w:szCs w:val="21"/>
          <w:highlight w:val="none"/>
          <w:lang w:bidi="ar"/>
        </w:rPr>
        <w:t>，</w:t>
      </w:r>
      <w:r>
        <w:rPr>
          <w:rFonts w:hint="eastAsia" w:ascii="宋体" w:hAnsi="宋体" w:cs="宋体"/>
          <w:color w:val="auto"/>
          <w:szCs w:val="21"/>
          <w:highlight w:val="none"/>
          <w:lang w:eastAsia="zh-CN" w:bidi="ar"/>
        </w:rPr>
        <w:t>采购人</w:t>
      </w:r>
      <w:r>
        <w:rPr>
          <w:rFonts w:hint="eastAsia" w:ascii="宋体" w:hAnsi="宋体" w:cs="宋体"/>
          <w:color w:val="auto"/>
          <w:szCs w:val="21"/>
          <w:highlight w:val="none"/>
          <w:lang w:bidi="ar"/>
        </w:rPr>
        <w:t>将予以拒收。</w:t>
      </w:r>
    </w:p>
    <w:p w14:paraId="2311D661">
      <w:pPr>
        <w:pStyle w:val="4"/>
        <w:adjustRightInd w:val="0"/>
        <w:snapToGrid w:val="0"/>
        <w:spacing w:before="0" w:after="0" w:line="360" w:lineRule="auto"/>
        <w:rPr>
          <w:rFonts w:ascii="宋体" w:hAnsi="宋体" w:cs="宋体"/>
          <w:bCs w:val="0"/>
          <w:snapToGrid w:val="0"/>
          <w:color w:val="auto"/>
          <w:sz w:val="24"/>
          <w:szCs w:val="24"/>
          <w:highlight w:val="none"/>
        </w:rPr>
      </w:pPr>
      <w:bookmarkStart w:id="95" w:name="_Toc20841"/>
      <w:bookmarkStart w:id="96" w:name="_Toc2157"/>
      <w:bookmarkStart w:id="97" w:name="_Toc1906"/>
      <w:r>
        <w:rPr>
          <w:rFonts w:hint="eastAsia" w:ascii="宋体" w:hAnsi="宋体" w:cs="宋体"/>
          <w:bCs w:val="0"/>
          <w:snapToGrid w:val="0"/>
          <w:color w:val="auto"/>
          <w:sz w:val="24"/>
          <w:szCs w:val="24"/>
          <w:highlight w:val="none"/>
          <w:lang w:val="en-US" w:eastAsia="zh-CN"/>
        </w:rPr>
        <w:t>6</w:t>
      </w:r>
      <w:r>
        <w:rPr>
          <w:rFonts w:hint="eastAsia" w:ascii="宋体" w:hAnsi="宋体" w:cs="宋体"/>
          <w:bCs w:val="0"/>
          <w:snapToGrid w:val="0"/>
          <w:color w:val="auto"/>
          <w:sz w:val="24"/>
          <w:szCs w:val="24"/>
          <w:highlight w:val="none"/>
        </w:rPr>
        <w:t>. 发布公告的媒介</w:t>
      </w:r>
      <w:bookmarkEnd w:id="86"/>
      <w:bookmarkEnd w:id="87"/>
      <w:bookmarkEnd w:id="88"/>
      <w:bookmarkEnd w:id="89"/>
      <w:bookmarkEnd w:id="90"/>
      <w:bookmarkEnd w:id="91"/>
      <w:bookmarkEnd w:id="92"/>
      <w:bookmarkEnd w:id="93"/>
      <w:bookmarkEnd w:id="94"/>
      <w:bookmarkEnd w:id="95"/>
      <w:bookmarkEnd w:id="96"/>
      <w:bookmarkEnd w:id="97"/>
    </w:p>
    <w:p w14:paraId="0882C88D">
      <w:pPr>
        <w:autoSpaceDE w:val="0"/>
        <w:autoSpaceDN w:val="0"/>
        <w:adjustRightInd w:val="0"/>
        <w:snapToGrid w:val="0"/>
        <w:spacing w:line="360" w:lineRule="auto"/>
        <w:ind w:firstLine="420" w:firstLineChars="200"/>
        <w:rPr>
          <w:rFonts w:ascii="宋体" w:hAnsi="宋体" w:cs="宋体"/>
          <w:color w:val="auto"/>
          <w:kern w:val="0"/>
          <w:szCs w:val="21"/>
          <w:highlight w:val="none"/>
        </w:rPr>
      </w:pPr>
      <w:bookmarkStart w:id="98" w:name="_Toc23858"/>
      <w:bookmarkEnd w:id="98"/>
      <w:bookmarkStart w:id="99" w:name="_Toc31214"/>
      <w:bookmarkEnd w:id="99"/>
      <w:bookmarkStart w:id="100" w:name="_Toc7472"/>
      <w:bookmarkStart w:id="101" w:name="_Toc287607735"/>
      <w:bookmarkStart w:id="102" w:name="_Toc430530423"/>
      <w:bookmarkStart w:id="103" w:name="_Toc287620674"/>
      <w:bookmarkStart w:id="104" w:name="_Toc224103306"/>
      <w:r>
        <w:rPr>
          <w:rFonts w:hint="eastAsia" w:ascii="宋体" w:hAnsi="宋体" w:cs="宋体"/>
          <w:color w:val="auto"/>
          <w:kern w:val="0"/>
          <w:szCs w:val="21"/>
          <w:highlight w:val="none"/>
          <w:lang w:bidi="ar"/>
        </w:rPr>
        <w:t>本次</w:t>
      </w:r>
      <w:r>
        <w:rPr>
          <w:rFonts w:hint="eastAsia" w:ascii="宋体" w:hAnsi="宋体" w:cs="宋体"/>
          <w:color w:val="auto"/>
          <w:kern w:val="0"/>
          <w:szCs w:val="21"/>
          <w:highlight w:val="none"/>
          <w:lang w:eastAsia="zh-CN" w:bidi="ar"/>
        </w:rPr>
        <w:t>竞争性比选公告</w:t>
      </w:r>
      <w:r>
        <w:rPr>
          <w:rFonts w:hint="eastAsia" w:ascii="宋体" w:hAnsi="宋体" w:cs="宋体"/>
          <w:color w:val="auto"/>
          <w:kern w:val="0"/>
          <w:szCs w:val="21"/>
          <w:highlight w:val="none"/>
          <w:lang w:bidi="ar"/>
        </w:rPr>
        <w:t>同时在</w:t>
      </w:r>
      <w:r>
        <w:rPr>
          <w:rFonts w:hint="eastAsia" w:ascii="宋体" w:hAnsi="宋体" w:cs="宋体"/>
          <w:color w:val="auto"/>
          <w:kern w:val="0"/>
          <w:szCs w:val="21"/>
          <w:highlight w:val="none"/>
          <w:u w:val="single"/>
          <w:lang w:eastAsia="zh-CN" w:bidi="ar"/>
        </w:rPr>
        <w:t>中国招标投标公共服务平台</w:t>
      </w:r>
      <w:r>
        <w:rPr>
          <w:rFonts w:hint="eastAsia" w:ascii="宋体" w:hAnsi="宋体" w:cs="宋体"/>
          <w:color w:val="auto"/>
          <w:kern w:val="0"/>
          <w:szCs w:val="21"/>
          <w:highlight w:val="none"/>
          <w:u w:val="single"/>
          <w:lang w:bidi="ar"/>
        </w:rPr>
        <w:t>（http://www.cebpubservice.com/）</w:t>
      </w:r>
      <w:r>
        <w:rPr>
          <w:rFonts w:hint="eastAsia" w:ascii="宋体" w:hAnsi="宋体" w:cs="宋体"/>
          <w:color w:val="auto"/>
          <w:szCs w:val="21"/>
          <w:highlight w:val="none"/>
          <w:u w:val="single"/>
          <w:lang w:bidi="ar"/>
        </w:rPr>
        <w:t>和重庆高速集团官网（https://www.cegc.com.cn/html/col1810480.html）</w:t>
      </w:r>
      <w:r>
        <w:rPr>
          <w:rFonts w:hint="eastAsia" w:ascii="宋体" w:hAnsi="宋体" w:cs="宋体"/>
          <w:color w:val="auto"/>
          <w:kern w:val="0"/>
          <w:szCs w:val="21"/>
          <w:highlight w:val="none"/>
          <w:lang w:bidi="ar"/>
        </w:rPr>
        <w:t>上发布。</w:t>
      </w:r>
    </w:p>
    <w:p w14:paraId="7C095C32">
      <w:pPr>
        <w:pStyle w:val="4"/>
        <w:adjustRightInd w:val="0"/>
        <w:snapToGrid w:val="0"/>
        <w:spacing w:before="0" w:after="0" w:line="360" w:lineRule="auto"/>
        <w:rPr>
          <w:rFonts w:ascii="宋体" w:hAnsi="宋体" w:cs="宋体"/>
          <w:bCs w:val="0"/>
          <w:snapToGrid w:val="0"/>
          <w:color w:val="auto"/>
          <w:sz w:val="24"/>
          <w:szCs w:val="24"/>
          <w:highlight w:val="none"/>
        </w:rPr>
      </w:pPr>
      <w:bookmarkStart w:id="105" w:name="_Toc638"/>
      <w:bookmarkStart w:id="106" w:name="_Toc24078"/>
      <w:bookmarkStart w:id="107" w:name="_Toc21375"/>
      <w:r>
        <w:rPr>
          <w:rFonts w:hint="eastAsia" w:ascii="宋体" w:hAnsi="宋体" w:cs="宋体"/>
          <w:bCs w:val="0"/>
          <w:snapToGrid w:val="0"/>
          <w:color w:val="auto"/>
          <w:sz w:val="24"/>
          <w:szCs w:val="24"/>
          <w:highlight w:val="none"/>
          <w:lang w:val="en-US" w:eastAsia="zh-CN"/>
        </w:rPr>
        <w:t>7</w:t>
      </w:r>
      <w:r>
        <w:rPr>
          <w:rFonts w:hint="eastAsia" w:ascii="宋体" w:hAnsi="宋体" w:cs="宋体"/>
          <w:bCs w:val="0"/>
          <w:snapToGrid w:val="0"/>
          <w:color w:val="auto"/>
          <w:sz w:val="24"/>
          <w:szCs w:val="24"/>
          <w:highlight w:val="none"/>
        </w:rPr>
        <w:t>.联系方式</w:t>
      </w:r>
      <w:bookmarkEnd w:id="100"/>
      <w:bookmarkEnd w:id="105"/>
      <w:bookmarkEnd w:id="106"/>
      <w:bookmarkEnd w:id="107"/>
    </w:p>
    <w:p w14:paraId="118358C4">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Cs w:val="21"/>
          <w:highlight w:val="none"/>
          <w:lang w:eastAsia="zh-CN"/>
        </w:rPr>
      </w:pPr>
      <w:r>
        <w:rPr>
          <w:rFonts w:hint="eastAsia" w:ascii="宋体" w:hAnsi="宋体" w:cs="宋体"/>
          <w:snapToGrid w:val="0"/>
          <w:color w:val="auto"/>
          <w:spacing w:val="52"/>
          <w:kern w:val="0"/>
          <w:szCs w:val="21"/>
          <w:highlight w:val="none"/>
          <w:fitText w:val="840" w:id="598694179"/>
          <w:lang w:val="en-US" w:eastAsia="zh-CN"/>
        </w:rPr>
        <w:t>采购</w:t>
      </w:r>
      <w:r>
        <w:rPr>
          <w:rFonts w:hint="eastAsia" w:ascii="宋体" w:hAnsi="宋体" w:cs="宋体"/>
          <w:snapToGrid w:val="0"/>
          <w:color w:val="auto"/>
          <w:spacing w:val="1"/>
          <w:kern w:val="0"/>
          <w:szCs w:val="21"/>
          <w:highlight w:val="none"/>
          <w:fitText w:val="840" w:id="598694179"/>
          <w:lang w:val="en-US" w:eastAsia="zh-CN"/>
        </w:rPr>
        <w:t>人</w:t>
      </w:r>
      <w:r>
        <w:rPr>
          <w:rFonts w:hint="eastAsia" w:ascii="宋体" w:hAnsi="宋体" w:eastAsia="宋体" w:cs="宋体"/>
          <w:snapToGrid w:val="0"/>
          <w:color w:val="auto"/>
          <w:kern w:val="0"/>
          <w:szCs w:val="21"/>
          <w:highlight w:val="none"/>
        </w:rPr>
        <w:t>：</w:t>
      </w:r>
      <w:r>
        <w:rPr>
          <w:rFonts w:hint="eastAsia" w:ascii="宋体" w:hAnsi="宋体" w:cs="宋体"/>
          <w:snapToGrid w:val="0"/>
          <w:color w:val="auto"/>
          <w:kern w:val="0"/>
          <w:szCs w:val="21"/>
          <w:highlight w:val="none"/>
          <w:lang w:eastAsia="zh-CN"/>
        </w:rPr>
        <w:t>重庆首讯科技股份有限公司</w:t>
      </w:r>
    </w:p>
    <w:p w14:paraId="195E0501">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spacing w:val="52"/>
          <w:kern w:val="0"/>
          <w:szCs w:val="21"/>
          <w:highlight w:val="none"/>
          <w:fitText w:val="840" w:id="40326308"/>
        </w:rPr>
        <w:t>地　</w:t>
      </w:r>
      <w:r>
        <w:rPr>
          <w:rFonts w:hint="eastAsia" w:ascii="宋体" w:hAnsi="宋体" w:eastAsia="宋体" w:cs="宋体"/>
          <w:snapToGrid w:val="0"/>
          <w:color w:val="auto"/>
          <w:spacing w:val="1"/>
          <w:kern w:val="0"/>
          <w:szCs w:val="21"/>
          <w:highlight w:val="none"/>
          <w:fitText w:val="840" w:id="40326308"/>
        </w:rPr>
        <w:t>址</w:t>
      </w:r>
      <w:r>
        <w:rPr>
          <w:rFonts w:hint="eastAsia" w:ascii="宋体" w:hAnsi="宋体" w:eastAsia="宋体" w:cs="宋体"/>
          <w:snapToGrid w:val="0"/>
          <w:color w:val="auto"/>
          <w:kern w:val="0"/>
          <w:szCs w:val="21"/>
          <w:highlight w:val="none"/>
        </w:rPr>
        <w:t>：</w:t>
      </w:r>
      <w:bookmarkStart w:id="108" w:name="OLE_LINK8"/>
      <w:r>
        <w:rPr>
          <w:rFonts w:hint="eastAsia" w:ascii="宋体" w:hAnsi="宋体" w:eastAsia="宋体" w:cs="宋体"/>
          <w:snapToGrid w:val="0"/>
          <w:color w:val="auto"/>
          <w:kern w:val="0"/>
          <w:szCs w:val="21"/>
          <w:highlight w:val="none"/>
          <w:u w:val="none"/>
          <w:lang w:val="en-US" w:eastAsia="zh-CN"/>
        </w:rPr>
        <w:t>重庆市</w:t>
      </w:r>
      <w:r>
        <w:rPr>
          <w:rFonts w:hint="default" w:ascii="Times New Roman" w:hAnsi="Times New Roman" w:cs="Times New Roman"/>
          <w:snapToGrid/>
          <w:color w:val="auto"/>
          <w:kern w:val="2"/>
          <w:szCs w:val="24"/>
          <w:highlight w:val="none"/>
          <w:lang w:val="en-US" w:eastAsia="zh-CN"/>
        </w:rPr>
        <w:t>两江新区</w:t>
      </w:r>
      <w:r>
        <w:rPr>
          <w:rFonts w:hint="eastAsia" w:ascii="宋体" w:hAnsi="宋体" w:eastAsia="宋体" w:cs="宋体"/>
          <w:snapToGrid w:val="0"/>
          <w:color w:val="auto"/>
          <w:kern w:val="0"/>
          <w:szCs w:val="21"/>
          <w:highlight w:val="none"/>
          <w:u w:val="none"/>
          <w:lang w:val="en-US" w:eastAsia="zh-CN"/>
        </w:rPr>
        <w:t>龙溪街道新南路52号</w:t>
      </w:r>
      <w:bookmarkEnd w:id="108"/>
    </w:p>
    <w:p w14:paraId="3578699B">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default"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spacing w:val="0"/>
          <w:kern w:val="0"/>
          <w:szCs w:val="21"/>
          <w:highlight w:val="none"/>
          <w:lang w:val="en-US" w:eastAsia="zh-CN"/>
        </w:rPr>
        <w:t>项目</w:t>
      </w:r>
      <w:r>
        <w:rPr>
          <w:rFonts w:hint="eastAsia" w:ascii="宋体" w:hAnsi="宋体" w:eastAsia="宋体" w:cs="宋体"/>
          <w:snapToGrid w:val="0"/>
          <w:color w:val="auto"/>
          <w:kern w:val="0"/>
          <w:szCs w:val="21"/>
          <w:highlight w:val="none"/>
          <w:lang w:val="en-US" w:eastAsia="zh-CN"/>
        </w:rPr>
        <w:t>负责人</w:t>
      </w:r>
      <w:r>
        <w:rPr>
          <w:rFonts w:hint="eastAsia" w:ascii="宋体" w:hAnsi="宋体" w:eastAsia="宋体" w:cs="宋体"/>
          <w:snapToGrid w:val="0"/>
          <w:color w:val="auto"/>
          <w:kern w:val="0"/>
          <w:szCs w:val="21"/>
          <w:highlight w:val="none"/>
        </w:rPr>
        <w:t>：</w:t>
      </w:r>
      <w:bookmarkStart w:id="109" w:name="OLE_LINK45"/>
      <w:r>
        <w:rPr>
          <w:rFonts w:hint="eastAsia" w:ascii="宋体" w:hAnsi="宋体" w:cs="宋体"/>
          <w:snapToGrid w:val="0"/>
          <w:color w:val="auto"/>
          <w:kern w:val="0"/>
          <w:szCs w:val="21"/>
          <w:highlight w:val="none"/>
          <w:lang w:eastAsia="zh-CN"/>
        </w:rPr>
        <w:t>毕老师</w:t>
      </w:r>
      <w:r>
        <w:rPr>
          <w:rFonts w:hint="eastAsia" w:ascii="宋体" w:hAnsi="宋体" w:cs="宋体"/>
          <w:snapToGrid w:val="0"/>
          <w:color w:val="auto"/>
          <w:kern w:val="0"/>
          <w:szCs w:val="21"/>
          <w:highlight w:val="none"/>
          <w:lang w:val="en-US" w:eastAsia="zh-CN"/>
        </w:rPr>
        <w:t xml:space="preserve"> </w:t>
      </w:r>
    </w:p>
    <w:p w14:paraId="07223C6D">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default"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spacing w:val="35"/>
          <w:kern w:val="0"/>
          <w:szCs w:val="21"/>
          <w:highlight w:val="none"/>
          <w:fitText w:val="840" w:id="1493114854"/>
        </w:rPr>
        <w:t>电</w:t>
      </w:r>
      <w:r>
        <w:rPr>
          <w:rFonts w:hint="eastAsia" w:ascii="宋体" w:hAnsi="宋体" w:eastAsia="宋体" w:cs="宋体"/>
          <w:snapToGrid w:val="0"/>
          <w:color w:val="auto"/>
          <w:spacing w:val="35"/>
          <w:kern w:val="0"/>
          <w:szCs w:val="21"/>
          <w:highlight w:val="none"/>
          <w:fitText w:val="840" w:id="1493114854"/>
          <w:lang w:val="en-US" w:eastAsia="zh-CN"/>
        </w:rPr>
        <w:t xml:space="preserve">  </w:t>
      </w:r>
      <w:r>
        <w:rPr>
          <w:rFonts w:hint="eastAsia" w:ascii="宋体" w:hAnsi="宋体" w:eastAsia="宋体" w:cs="宋体"/>
          <w:snapToGrid w:val="0"/>
          <w:color w:val="auto"/>
          <w:spacing w:val="0"/>
          <w:kern w:val="0"/>
          <w:szCs w:val="21"/>
          <w:highlight w:val="none"/>
          <w:fitText w:val="840" w:id="1493114854"/>
        </w:rPr>
        <w:t>话</w:t>
      </w:r>
      <w:r>
        <w:rPr>
          <w:rFonts w:hint="eastAsia" w:ascii="宋体" w:hAnsi="宋体" w:eastAsia="宋体" w:cs="宋体"/>
          <w:snapToGrid w:val="0"/>
          <w:color w:val="auto"/>
          <w:kern w:val="0"/>
          <w:szCs w:val="21"/>
          <w:highlight w:val="none"/>
        </w:rPr>
        <w:t>：023-63131274</w:t>
      </w:r>
    </w:p>
    <w:p w14:paraId="4E0AC825">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u w:val="none"/>
        </w:rPr>
        <w:t>电子邮件：bilang1029@dingtalk.com</w:t>
      </w:r>
    </w:p>
    <w:bookmarkEnd w:id="109"/>
    <w:p w14:paraId="24E16F7E">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Cs w:val="21"/>
          <w:highlight w:val="none"/>
        </w:rPr>
      </w:pPr>
    </w:p>
    <w:p w14:paraId="05A4E9CD">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spacing w:val="1"/>
          <w:w w:val="95"/>
          <w:kern w:val="0"/>
          <w:szCs w:val="21"/>
          <w:highlight w:val="none"/>
          <w:fitText w:val="800" w:id="98314019"/>
        </w:rPr>
        <w:t>代理机</w:t>
      </w:r>
      <w:r>
        <w:rPr>
          <w:rFonts w:hint="eastAsia" w:ascii="宋体" w:hAnsi="宋体" w:eastAsia="宋体" w:cs="宋体"/>
          <w:snapToGrid w:val="0"/>
          <w:color w:val="auto"/>
          <w:spacing w:val="0"/>
          <w:w w:val="95"/>
          <w:kern w:val="0"/>
          <w:szCs w:val="21"/>
          <w:highlight w:val="none"/>
          <w:fitText w:val="800" w:id="98314019"/>
        </w:rPr>
        <w:t>构</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eastAsia="zh-CN"/>
        </w:rPr>
        <w:t>重庆市投资咨询有限公司</w:t>
      </w:r>
    </w:p>
    <w:p w14:paraId="435603CA">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default" w:ascii="Times New Roman" w:hAnsi="Times New Roman" w:eastAsia="宋体" w:cs="Times New Roman"/>
          <w:snapToGrid/>
          <w:color w:val="auto"/>
          <w:kern w:val="2"/>
          <w:szCs w:val="24"/>
          <w:highlight w:val="none"/>
          <w:lang w:val="en-US" w:eastAsia="zh-CN"/>
        </w:rPr>
      </w:pPr>
      <w:r>
        <w:rPr>
          <w:rFonts w:hint="default" w:ascii="Times New Roman" w:hAnsi="Times New Roman" w:eastAsia="宋体" w:cs="Times New Roman"/>
          <w:snapToGrid/>
          <w:color w:val="auto"/>
          <w:spacing w:val="190"/>
          <w:kern w:val="0"/>
          <w:szCs w:val="24"/>
          <w:highlight w:val="none"/>
          <w:fitText w:val="800" w:id="1238380021"/>
        </w:rPr>
        <w:t>地</w:t>
      </w:r>
      <w:r>
        <w:rPr>
          <w:rFonts w:hint="default" w:ascii="Times New Roman" w:hAnsi="Times New Roman" w:eastAsia="宋体" w:cs="Times New Roman"/>
          <w:snapToGrid/>
          <w:color w:val="auto"/>
          <w:spacing w:val="0"/>
          <w:kern w:val="0"/>
          <w:szCs w:val="24"/>
          <w:highlight w:val="none"/>
          <w:fitText w:val="800" w:id="1238380021"/>
        </w:rPr>
        <w:t>址</w:t>
      </w:r>
      <w:r>
        <w:rPr>
          <w:rFonts w:hint="default" w:ascii="Times New Roman" w:hAnsi="Times New Roman" w:eastAsia="宋体" w:cs="Times New Roman"/>
          <w:snapToGrid/>
          <w:color w:val="auto"/>
          <w:kern w:val="2"/>
          <w:szCs w:val="24"/>
          <w:highlight w:val="none"/>
        </w:rPr>
        <w:t>：重庆市</w:t>
      </w:r>
      <w:r>
        <w:rPr>
          <w:rFonts w:hint="default" w:ascii="Times New Roman" w:hAnsi="Times New Roman" w:cs="Times New Roman"/>
          <w:snapToGrid/>
          <w:color w:val="auto"/>
          <w:kern w:val="2"/>
          <w:szCs w:val="24"/>
          <w:highlight w:val="none"/>
          <w:lang w:val="en-US" w:eastAsia="zh-CN"/>
        </w:rPr>
        <w:t>两江新区</w:t>
      </w:r>
      <w:r>
        <w:rPr>
          <w:rFonts w:hint="default" w:ascii="Times New Roman" w:hAnsi="Times New Roman" w:eastAsia="宋体" w:cs="Times New Roman"/>
          <w:snapToGrid/>
          <w:color w:val="auto"/>
          <w:kern w:val="2"/>
          <w:szCs w:val="24"/>
          <w:highlight w:val="none"/>
        </w:rPr>
        <w:t>五简路2号重庆咨询大厦A栋</w:t>
      </w:r>
      <w:r>
        <w:rPr>
          <w:rFonts w:hint="default" w:ascii="Times New Roman" w:hAnsi="Times New Roman" w:eastAsia="宋体" w:cs="Times New Roman"/>
          <w:snapToGrid/>
          <w:color w:val="auto"/>
          <w:kern w:val="2"/>
          <w:szCs w:val="24"/>
          <w:highlight w:val="none"/>
          <w:lang w:val="en-US" w:eastAsia="zh-CN"/>
        </w:rPr>
        <w:t>707</w:t>
      </w:r>
    </w:p>
    <w:p w14:paraId="5E626E3F">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 w:val="21"/>
          <w:szCs w:val="21"/>
          <w:highlight w:val="none"/>
          <w:u w:val="none"/>
          <w:lang w:val="en-US" w:eastAsia="zh-CN"/>
        </w:rPr>
      </w:pPr>
      <w:bookmarkStart w:id="110" w:name="OLE_LINK1"/>
      <w:r>
        <w:rPr>
          <w:rFonts w:hint="eastAsia" w:ascii="宋体" w:hAnsi="宋体" w:eastAsia="宋体" w:cs="宋体"/>
          <w:snapToGrid w:val="0"/>
          <w:color w:val="auto"/>
          <w:spacing w:val="0"/>
          <w:kern w:val="0"/>
          <w:szCs w:val="21"/>
          <w:highlight w:val="none"/>
          <w:lang w:val="en-US" w:eastAsia="zh-CN"/>
        </w:rPr>
        <w:t>项目</w:t>
      </w:r>
      <w:r>
        <w:rPr>
          <w:rFonts w:hint="eastAsia" w:ascii="宋体" w:hAnsi="宋体" w:eastAsia="宋体" w:cs="宋体"/>
          <w:snapToGrid w:val="0"/>
          <w:color w:val="auto"/>
          <w:kern w:val="0"/>
          <w:szCs w:val="21"/>
          <w:highlight w:val="none"/>
          <w:lang w:val="en-US" w:eastAsia="zh-CN"/>
        </w:rPr>
        <w:t>负责人</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 xml:space="preserve">杨莉萍     </w:t>
      </w:r>
      <w:bookmarkEnd w:id="110"/>
      <w:r>
        <w:rPr>
          <w:rFonts w:hint="eastAsia" w:ascii="宋体" w:hAnsi="宋体" w:eastAsia="宋体" w:cs="宋体"/>
          <w:snapToGrid w:val="0"/>
          <w:color w:val="auto"/>
          <w:kern w:val="0"/>
          <w:szCs w:val="21"/>
          <w:highlight w:val="none"/>
          <w:lang w:val="en-US" w:eastAsia="zh-CN"/>
        </w:rPr>
        <w:t xml:space="preserve"> </w:t>
      </w:r>
    </w:p>
    <w:p w14:paraId="113AB06B">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 w:val="21"/>
          <w:szCs w:val="21"/>
          <w:highlight w:val="none"/>
          <w:u w:val="none"/>
          <w:lang w:val="en-US" w:eastAsia="zh-CN"/>
        </w:rPr>
      </w:pPr>
      <w:r>
        <w:rPr>
          <w:rFonts w:hint="eastAsia" w:ascii="宋体" w:hAnsi="宋体" w:eastAsia="宋体" w:cs="宋体"/>
          <w:snapToGrid w:val="0"/>
          <w:color w:val="auto"/>
          <w:kern w:val="0"/>
          <w:sz w:val="21"/>
          <w:szCs w:val="21"/>
          <w:highlight w:val="none"/>
          <w:u w:val="none"/>
        </w:rPr>
        <w:t>电    话：023-</w:t>
      </w:r>
      <w:r>
        <w:rPr>
          <w:rFonts w:hint="eastAsia" w:ascii="宋体" w:hAnsi="宋体" w:eastAsia="宋体" w:cs="宋体"/>
          <w:snapToGrid w:val="0"/>
          <w:color w:val="auto"/>
          <w:kern w:val="0"/>
          <w:sz w:val="21"/>
          <w:szCs w:val="21"/>
          <w:highlight w:val="none"/>
          <w:u w:val="none"/>
          <w:lang w:val="en-US" w:eastAsia="zh-CN"/>
        </w:rPr>
        <w:t>63875872</w:t>
      </w:r>
    </w:p>
    <w:p w14:paraId="53B86708">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 w:val="21"/>
          <w:szCs w:val="21"/>
          <w:highlight w:val="none"/>
          <w:u w:val="none"/>
          <w:lang w:val="en-US" w:eastAsia="zh-CN"/>
        </w:rPr>
      </w:pPr>
      <w:r>
        <w:rPr>
          <w:rFonts w:hint="eastAsia" w:ascii="宋体" w:hAnsi="宋体" w:eastAsia="宋体" w:cs="宋体"/>
          <w:snapToGrid w:val="0"/>
          <w:color w:val="auto"/>
          <w:kern w:val="0"/>
          <w:sz w:val="21"/>
          <w:szCs w:val="21"/>
          <w:highlight w:val="none"/>
          <w:u w:val="none"/>
        </w:rPr>
        <w:t>电子邮件：</w:t>
      </w:r>
      <w:r>
        <w:rPr>
          <w:rFonts w:hint="eastAsia" w:ascii="宋体" w:hAnsi="宋体" w:eastAsia="宋体" w:cs="宋体"/>
          <w:snapToGrid w:val="0"/>
          <w:color w:val="auto"/>
          <w:kern w:val="0"/>
          <w:sz w:val="21"/>
          <w:szCs w:val="21"/>
          <w:highlight w:val="none"/>
          <w:u w:val="none"/>
          <w:lang w:val="en-US" w:eastAsia="zh-CN"/>
        </w:rPr>
        <w:t>541479255@qq.com</w:t>
      </w:r>
    </w:p>
    <w:p w14:paraId="651E7543">
      <w:pPr>
        <w:adjustRightInd w:val="0"/>
        <w:snapToGrid w:val="0"/>
        <w:spacing w:line="360" w:lineRule="auto"/>
        <w:rPr>
          <w:rFonts w:ascii="宋体" w:hAnsi="宋体" w:cs="宋体"/>
          <w:color w:val="auto"/>
          <w:szCs w:val="21"/>
          <w:highlight w:val="none"/>
        </w:rPr>
      </w:pPr>
    </w:p>
    <w:p w14:paraId="313C487E">
      <w:pPr>
        <w:autoSpaceDE w:val="0"/>
        <w:autoSpaceDN w:val="0"/>
        <w:adjustRightInd w:val="0"/>
        <w:snapToGrid w:val="0"/>
        <w:spacing w:line="440" w:lineRule="exact"/>
        <w:ind w:firstLine="3906" w:firstLineChars="1860"/>
        <w:jc w:val="right"/>
        <w:rPr>
          <w:rFonts w:ascii="宋体" w:hAnsi="宋体" w:cs="宋体"/>
          <w:snapToGrid w:val="0"/>
          <w:color w:val="auto"/>
          <w:kern w:val="0"/>
          <w:sz w:val="20"/>
          <w:szCs w:val="20"/>
          <w:highlight w:val="none"/>
        </w:rPr>
      </w:pPr>
      <w:r>
        <w:rPr>
          <w:rFonts w:hint="eastAsia" w:ascii="宋体" w:hAnsi="宋体" w:cs="宋体"/>
          <w:snapToGrid w:val="0"/>
          <w:color w:val="auto"/>
          <w:kern w:val="0"/>
          <w:szCs w:val="21"/>
          <w:highlight w:val="none"/>
        </w:rPr>
        <w:t xml:space="preserve"> </w:t>
      </w:r>
    </w:p>
    <w:p w14:paraId="35887EB4">
      <w:pPr>
        <w:rPr>
          <w:rFonts w:ascii="宋体" w:hAnsi="宋体" w:cs="宋体"/>
          <w:color w:val="auto"/>
          <w:highlight w:val="none"/>
        </w:rPr>
      </w:pPr>
      <w:r>
        <w:rPr>
          <w:rFonts w:hint="eastAsia" w:ascii="宋体" w:hAnsi="宋体" w:cs="宋体"/>
          <w:color w:val="auto"/>
          <w:highlight w:val="none"/>
        </w:rPr>
        <w:br w:type="page"/>
      </w:r>
    </w:p>
    <w:bookmarkEnd w:id="101"/>
    <w:bookmarkEnd w:id="102"/>
    <w:bookmarkEnd w:id="103"/>
    <w:bookmarkEnd w:id="104"/>
    <w:p w14:paraId="0FD79574">
      <w:pPr>
        <w:pStyle w:val="3"/>
        <w:spacing w:line="360" w:lineRule="auto"/>
        <w:ind w:firstLine="883"/>
        <w:jc w:val="center"/>
        <w:rPr>
          <w:rFonts w:ascii="宋体" w:hAnsi="宋体" w:cs="宋体"/>
          <w:bCs w:val="0"/>
          <w:snapToGrid w:val="0"/>
          <w:color w:val="auto"/>
          <w:kern w:val="0"/>
          <w:highlight w:val="none"/>
        </w:rPr>
      </w:pPr>
      <w:bookmarkStart w:id="111" w:name="_Toc287607744"/>
      <w:bookmarkStart w:id="112" w:name="_Toc6019"/>
      <w:bookmarkStart w:id="113" w:name="_Toc6754"/>
      <w:bookmarkStart w:id="114" w:name="_Toc224103315"/>
      <w:bookmarkStart w:id="115" w:name="_Toc287620683"/>
      <w:bookmarkStart w:id="116" w:name="_Toc22924"/>
      <w:bookmarkStart w:id="117" w:name="_Toc430530432"/>
      <w:bookmarkStart w:id="118" w:name="_Toc4144"/>
      <w:r>
        <w:rPr>
          <w:rFonts w:hint="eastAsia" w:ascii="宋体" w:hAnsi="宋体" w:cs="宋体"/>
          <w:bCs w:val="0"/>
          <w:snapToGrid w:val="0"/>
          <w:color w:val="auto"/>
          <w:highlight w:val="none"/>
        </w:rPr>
        <w:t xml:space="preserve">第二章  </w:t>
      </w:r>
      <w:r>
        <w:rPr>
          <w:rFonts w:hint="eastAsia" w:ascii="宋体" w:hAnsi="宋体" w:cs="宋体"/>
          <w:bCs w:val="0"/>
          <w:snapToGrid w:val="0"/>
          <w:color w:val="auto"/>
          <w:highlight w:val="none"/>
          <w:lang w:eastAsia="zh-CN"/>
        </w:rPr>
        <w:t>供应商</w:t>
      </w:r>
      <w:r>
        <w:rPr>
          <w:rFonts w:hint="eastAsia" w:ascii="宋体" w:hAnsi="宋体" w:cs="宋体"/>
          <w:bCs w:val="0"/>
          <w:snapToGrid w:val="0"/>
          <w:color w:val="auto"/>
          <w:highlight w:val="none"/>
        </w:rPr>
        <w:t>须知</w:t>
      </w:r>
      <w:bookmarkEnd w:id="111"/>
      <w:bookmarkEnd w:id="112"/>
      <w:bookmarkEnd w:id="113"/>
      <w:bookmarkEnd w:id="114"/>
      <w:bookmarkEnd w:id="115"/>
      <w:bookmarkEnd w:id="116"/>
      <w:bookmarkEnd w:id="117"/>
      <w:bookmarkEnd w:id="118"/>
      <w:bookmarkStart w:id="119" w:name="_Toc430530433"/>
      <w:bookmarkStart w:id="120" w:name="_Toc287620684"/>
      <w:bookmarkStart w:id="121" w:name="_Toc277082551"/>
      <w:bookmarkStart w:id="122" w:name="_Toc224103316"/>
      <w:bookmarkStart w:id="123" w:name="_Toc287607745"/>
    </w:p>
    <w:p w14:paraId="0EC9308D">
      <w:pPr>
        <w:pStyle w:val="4"/>
        <w:spacing w:before="0" w:after="0" w:line="360" w:lineRule="auto"/>
        <w:rPr>
          <w:rFonts w:ascii="宋体" w:hAnsi="宋体" w:cs="宋体"/>
          <w:bCs w:val="0"/>
          <w:color w:val="auto"/>
          <w:sz w:val="28"/>
          <w:szCs w:val="28"/>
          <w:highlight w:val="none"/>
        </w:rPr>
      </w:pPr>
      <w:bookmarkStart w:id="124" w:name="_Toc21019"/>
      <w:bookmarkStart w:id="125" w:name="_Toc7142"/>
      <w:bookmarkStart w:id="126" w:name="_Toc8221"/>
      <w:bookmarkStart w:id="127" w:name="_Toc509218708"/>
      <w:bookmarkStart w:id="128" w:name="_Toc19909"/>
      <w:r>
        <w:rPr>
          <w:rFonts w:hint="eastAsia" w:ascii="宋体" w:hAnsi="宋体" w:cs="宋体"/>
          <w:bCs w:val="0"/>
          <w:color w:val="auto"/>
          <w:sz w:val="28"/>
          <w:szCs w:val="28"/>
          <w:highlight w:val="none"/>
          <w:lang w:eastAsia="zh-CN"/>
        </w:rPr>
        <w:t>供应商</w:t>
      </w:r>
      <w:r>
        <w:rPr>
          <w:rFonts w:hint="eastAsia" w:ascii="宋体" w:hAnsi="宋体" w:cs="宋体"/>
          <w:bCs w:val="0"/>
          <w:color w:val="auto"/>
          <w:sz w:val="28"/>
          <w:szCs w:val="28"/>
          <w:highlight w:val="none"/>
        </w:rPr>
        <w:t>须知前附表</w:t>
      </w:r>
      <w:bookmarkEnd w:id="119"/>
      <w:bookmarkEnd w:id="120"/>
      <w:bookmarkEnd w:id="121"/>
      <w:bookmarkEnd w:id="122"/>
      <w:bookmarkEnd w:id="123"/>
      <w:bookmarkEnd w:id="124"/>
      <w:bookmarkEnd w:id="125"/>
      <w:bookmarkEnd w:id="126"/>
      <w:bookmarkEnd w:id="127"/>
      <w:bookmarkEnd w:id="128"/>
    </w:p>
    <w:p w14:paraId="106E169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正文内容不允许修改。若</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须知前附表与正文不一致的地方，以</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须知前附表为准。</w:t>
      </w:r>
    </w:p>
    <w:p w14:paraId="2E6E14A9">
      <w:pPr>
        <w:adjustRightInd w:val="0"/>
        <w:snapToGrid w:val="0"/>
        <w:spacing w:line="360" w:lineRule="auto"/>
        <w:jc w:val="left"/>
        <w:rPr>
          <w:rFonts w:hint="eastAsia" w:ascii="宋体" w:hAnsi="宋体" w:cs="宋体"/>
          <w:b/>
          <w:color w:val="auto"/>
          <w:szCs w:val="21"/>
          <w:highlight w:val="none"/>
        </w:rPr>
      </w:pPr>
      <w:r>
        <w:rPr>
          <w:rFonts w:hint="eastAsia" w:ascii="宋体" w:hAnsi="宋体" w:cs="宋体"/>
          <w:b/>
          <w:bCs/>
          <w:color w:val="auto"/>
          <w:sz w:val="28"/>
          <w:szCs w:val="28"/>
          <w:highlight w:val="none"/>
        </w:rPr>
        <w:t xml:space="preserve"> </w:t>
      </w:r>
    </w:p>
    <w:tbl>
      <w:tblPr>
        <w:tblStyle w:val="34"/>
        <w:tblW w:w="4992"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126"/>
        <w:gridCol w:w="1880"/>
        <w:gridCol w:w="6663"/>
      </w:tblGrid>
      <w:tr w14:paraId="0F5EDF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82" w:type="pct"/>
            <w:vAlign w:val="center"/>
          </w:tcPr>
          <w:p w14:paraId="605D0ED1">
            <w:pPr>
              <w:adjustRightInd w:val="0"/>
              <w:snapToGrid w:val="0"/>
              <w:spacing w:beforeLines="0" w:afterLines="0" w:line="400" w:lineRule="exact"/>
              <w:jc w:val="center"/>
              <w:rPr>
                <w:rFonts w:ascii="宋体" w:hAnsi="宋体" w:cs="宋体"/>
                <w:b/>
                <w:color w:val="auto"/>
                <w:kern w:val="0"/>
                <w:szCs w:val="21"/>
                <w:highlight w:val="none"/>
              </w:rPr>
            </w:pPr>
            <w:r>
              <w:rPr>
                <w:rFonts w:hint="eastAsia" w:ascii="宋体" w:hAnsi="宋体" w:cs="宋体"/>
                <w:b/>
                <w:color w:val="auto"/>
                <w:kern w:val="0"/>
                <w:szCs w:val="21"/>
                <w:highlight w:val="none"/>
              </w:rPr>
              <w:t>条 款 号</w:t>
            </w:r>
          </w:p>
        </w:tc>
        <w:tc>
          <w:tcPr>
            <w:tcW w:w="972" w:type="pct"/>
            <w:vAlign w:val="center"/>
          </w:tcPr>
          <w:p w14:paraId="6948391D">
            <w:pPr>
              <w:adjustRightInd w:val="0"/>
              <w:snapToGrid w:val="0"/>
              <w:spacing w:beforeLines="0" w:afterLines="0" w:line="400" w:lineRule="exact"/>
              <w:jc w:val="center"/>
              <w:rPr>
                <w:rFonts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3445" w:type="pct"/>
            <w:vAlign w:val="center"/>
          </w:tcPr>
          <w:p w14:paraId="168699E3">
            <w:pPr>
              <w:adjustRightInd w:val="0"/>
              <w:snapToGrid w:val="0"/>
              <w:spacing w:beforeLines="0" w:afterLines="0" w:line="400" w:lineRule="exact"/>
              <w:jc w:val="center"/>
              <w:rPr>
                <w:rFonts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14:paraId="37F65E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31C92CE5">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1.1.2</w:t>
            </w:r>
          </w:p>
        </w:tc>
        <w:tc>
          <w:tcPr>
            <w:tcW w:w="972" w:type="pct"/>
            <w:vAlign w:val="center"/>
          </w:tcPr>
          <w:p w14:paraId="61EADF77">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eastAsia="zh-CN"/>
              </w:rPr>
              <w:t>采购人</w:t>
            </w:r>
          </w:p>
        </w:tc>
        <w:tc>
          <w:tcPr>
            <w:tcW w:w="3445" w:type="pct"/>
            <w:vAlign w:val="center"/>
          </w:tcPr>
          <w:p w14:paraId="70D252EC">
            <w:pPr>
              <w:keepNext w:val="0"/>
              <w:keepLines w:val="0"/>
              <w:pageBreakBefore w:val="0"/>
              <w:widowControl/>
              <w:tabs>
                <w:tab w:val="left" w:pos="630"/>
              </w:tabs>
              <w:kinsoku/>
              <w:wordWrap/>
              <w:overflowPunct/>
              <w:topLinePunct w:val="0"/>
              <w:bidi w:val="0"/>
              <w:adjustRightInd w:val="0"/>
              <w:snapToGrid w:val="0"/>
              <w:spacing w:beforeLines="0" w:afterLines="0" w:line="400" w:lineRule="exact"/>
              <w:jc w:val="left"/>
              <w:textAlignment w:val="auto"/>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spacing w:val="0"/>
                <w:kern w:val="0"/>
                <w:szCs w:val="21"/>
                <w:highlight w:val="none"/>
                <w:fitText w:val="630" w:id="1436177858"/>
                <w:lang w:eastAsia="zh-CN"/>
              </w:rPr>
              <w:t>名  称</w:t>
            </w:r>
            <w:r>
              <w:rPr>
                <w:rFonts w:hint="eastAsia" w:ascii="宋体" w:hAnsi="宋体" w:eastAsia="宋体" w:cs="宋体"/>
                <w:snapToGrid w:val="0"/>
                <w:color w:val="auto"/>
                <w:kern w:val="0"/>
                <w:szCs w:val="21"/>
                <w:highlight w:val="none"/>
                <w:lang w:eastAsia="zh-CN"/>
              </w:rPr>
              <w:t>：</w:t>
            </w:r>
            <w:r>
              <w:rPr>
                <w:rFonts w:hint="eastAsia" w:ascii="宋体" w:hAnsi="宋体" w:cs="宋体"/>
                <w:snapToGrid w:val="0"/>
                <w:color w:val="auto"/>
                <w:kern w:val="0"/>
                <w:szCs w:val="21"/>
                <w:highlight w:val="none"/>
                <w:lang w:eastAsia="zh-CN"/>
              </w:rPr>
              <w:t>重庆首讯科技股份有限公司</w:t>
            </w:r>
          </w:p>
          <w:p w14:paraId="03F6CEC1">
            <w:pPr>
              <w:keepNext w:val="0"/>
              <w:keepLines w:val="0"/>
              <w:pageBreakBefore w:val="0"/>
              <w:widowControl/>
              <w:tabs>
                <w:tab w:val="left" w:pos="630"/>
              </w:tabs>
              <w:kinsoku/>
              <w:wordWrap/>
              <w:overflowPunct/>
              <w:topLinePunct w:val="0"/>
              <w:bidi w:val="0"/>
              <w:adjustRightInd w:val="0"/>
              <w:snapToGrid w:val="0"/>
              <w:spacing w:beforeLines="0" w:afterLines="0" w:line="400" w:lineRule="exact"/>
              <w:jc w:val="left"/>
              <w:textAlignment w:val="auto"/>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spacing w:val="0"/>
                <w:kern w:val="0"/>
                <w:szCs w:val="21"/>
                <w:highlight w:val="none"/>
                <w:fitText w:val="630" w:id="625695355"/>
                <w:lang w:eastAsia="zh-CN"/>
              </w:rPr>
              <w:t>地　址</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u w:val="none"/>
                <w:lang w:val="en-US" w:eastAsia="zh-CN"/>
              </w:rPr>
              <w:t>重庆市</w:t>
            </w:r>
            <w:r>
              <w:rPr>
                <w:rFonts w:hint="default" w:ascii="Times New Roman" w:hAnsi="Times New Roman" w:cs="Times New Roman"/>
                <w:snapToGrid/>
                <w:color w:val="auto"/>
                <w:kern w:val="2"/>
                <w:szCs w:val="24"/>
                <w:highlight w:val="none"/>
                <w:lang w:val="en-US" w:eastAsia="zh-CN"/>
              </w:rPr>
              <w:t>两江新区</w:t>
            </w:r>
            <w:r>
              <w:rPr>
                <w:rFonts w:hint="eastAsia" w:ascii="宋体" w:hAnsi="宋体" w:eastAsia="宋体" w:cs="宋体"/>
                <w:snapToGrid w:val="0"/>
                <w:color w:val="auto"/>
                <w:kern w:val="0"/>
                <w:szCs w:val="21"/>
                <w:highlight w:val="none"/>
                <w:u w:val="none"/>
                <w:lang w:val="en-US" w:eastAsia="zh-CN"/>
              </w:rPr>
              <w:t>龙溪街道新南路52号</w:t>
            </w:r>
          </w:p>
          <w:p w14:paraId="263E96E9">
            <w:pPr>
              <w:keepNext w:val="0"/>
              <w:keepLines w:val="0"/>
              <w:pageBreakBefore w:val="0"/>
              <w:widowControl/>
              <w:tabs>
                <w:tab w:val="left" w:pos="630"/>
              </w:tabs>
              <w:kinsoku/>
              <w:wordWrap/>
              <w:overflowPunct/>
              <w:topLinePunct w:val="0"/>
              <w:bidi w:val="0"/>
              <w:adjustRightInd w:val="0"/>
              <w:snapToGrid w:val="0"/>
              <w:spacing w:beforeLines="0" w:afterLines="0" w:line="400" w:lineRule="exact"/>
              <w:ind w:left="0" w:leftChars="0"/>
              <w:jc w:val="left"/>
              <w:textAlignment w:val="auto"/>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color w:val="auto"/>
                <w:spacing w:val="0"/>
                <w:kern w:val="0"/>
                <w:szCs w:val="21"/>
                <w:highlight w:val="none"/>
                <w:lang w:val="en-US" w:eastAsia="zh-CN"/>
              </w:rPr>
              <w:t>项目</w:t>
            </w:r>
            <w:r>
              <w:rPr>
                <w:rFonts w:hint="eastAsia" w:ascii="宋体" w:hAnsi="宋体" w:eastAsia="宋体" w:cs="宋体"/>
                <w:snapToGrid/>
                <w:color w:val="auto"/>
                <w:kern w:val="0"/>
                <w:szCs w:val="21"/>
                <w:highlight w:val="none"/>
                <w:lang w:val="en-US" w:eastAsia="zh-CN"/>
              </w:rPr>
              <w:t>负责人</w:t>
            </w:r>
            <w:r>
              <w:rPr>
                <w:rFonts w:hint="eastAsia" w:ascii="宋体" w:hAnsi="宋体" w:eastAsia="宋体" w:cs="宋体"/>
                <w:snapToGrid/>
                <w:color w:val="auto"/>
                <w:kern w:val="0"/>
                <w:szCs w:val="21"/>
                <w:highlight w:val="none"/>
              </w:rPr>
              <w:t>：</w:t>
            </w:r>
            <w:r>
              <w:rPr>
                <w:rFonts w:hint="eastAsia" w:ascii="宋体" w:hAnsi="宋体" w:cs="宋体"/>
                <w:snapToGrid w:val="0"/>
                <w:color w:val="auto"/>
                <w:kern w:val="0"/>
                <w:szCs w:val="21"/>
                <w:highlight w:val="none"/>
                <w:lang w:val="en-US" w:eastAsia="zh-CN"/>
              </w:rPr>
              <w:t>毕老师</w:t>
            </w:r>
            <w:r>
              <w:rPr>
                <w:rFonts w:hint="eastAsia" w:ascii="宋体" w:hAnsi="宋体" w:eastAsia="宋体" w:cs="宋体"/>
                <w:snapToGrid/>
                <w:color w:val="auto"/>
                <w:kern w:val="0"/>
                <w:szCs w:val="21"/>
                <w:highlight w:val="none"/>
                <w:lang w:val="en-US" w:eastAsia="zh-CN"/>
              </w:rPr>
              <w:t xml:space="preserve"> </w:t>
            </w:r>
          </w:p>
          <w:p w14:paraId="4938ECB1">
            <w:pPr>
              <w:keepNext w:val="0"/>
              <w:keepLines w:val="0"/>
              <w:pageBreakBefore w:val="0"/>
              <w:widowControl/>
              <w:tabs>
                <w:tab w:val="left" w:pos="630"/>
              </w:tabs>
              <w:kinsoku/>
              <w:wordWrap/>
              <w:overflowPunct/>
              <w:topLinePunct w:val="0"/>
              <w:bidi w:val="0"/>
              <w:adjustRightInd w:val="0"/>
              <w:snapToGrid w:val="0"/>
              <w:spacing w:beforeLines="0" w:afterLines="0" w:line="400" w:lineRule="exact"/>
              <w:jc w:val="left"/>
              <w:textAlignment w:val="auto"/>
              <w:rPr>
                <w:rFonts w:ascii="宋体" w:hAnsi="宋体" w:cs="宋体"/>
                <w:color w:val="auto"/>
                <w:kern w:val="0"/>
                <w:szCs w:val="21"/>
                <w:highlight w:val="none"/>
              </w:rPr>
            </w:pPr>
            <w:r>
              <w:rPr>
                <w:rFonts w:hint="eastAsia" w:ascii="宋体" w:hAnsi="宋体" w:eastAsia="宋体" w:cs="宋体"/>
                <w:snapToGrid w:val="0"/>
                <w:color w:val="auto"/>
                <w:spacing w:val="0"/>
                <w:kern w:val="0"/>
                <w:szCs w:val="21"/>
                <w:highlight w:val="none"/>
              </w:rPr>
              <w:t>电  话</w:t>
            </w:r>
            <w:r>
              <w:rPr>
                <w:rFonts w:hint="eastAsia" w:ascii="宋体" w:hAnsi="宋体" w:eastAsia="宋体" w:cs="宋体"/>
                <w:snapToGrid w:val="0"/>
                <w:color w:val="auto"/>
                <w:kern w:val="0"/>
                <w:szCs w:val="21"/>
                <w:highlight w:val="none"/>
              </w:rPr>
              <w:t>：</w:t>
            </w:r>
            <w:r>
              <w:rPr>
                <w:rFonts w:hint="eastAsia" w:ascii="宋体" w:hAnsi="宋体" w:cs="宋体"/>
                <w:snapToGrid w:val="0"/>
                <w:color w:val="auto"/>
                <w:kern w:val="0"/>
                <w:szCs w:val="21"/>
                <w:highlight w:val="none"/>
                <w:lang w:val="en-US" w:eastAsia="zh-CN"/>
              </w:rPr>
              <w:t xml:space="preserve">023-63131274 </w:t>
            </w:r>
          </w:p>
        </w:tc>
      </w:tr>
      <w:tr w14:paraId="24A1A8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3A53DF7A">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1.1.3</w:t>
            </w:r>
          </w:p>
        </w:tc>
        <w:tc>
          <w:tcPr>
            <w:tcW w:w="972" w:type="pct"/>
            <w:vAlign w:val="center"/>
          </w:tcPr>
          <w:p w14:paraId="09CAD438">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eastAsia="zh-CN"/>
              </w:rPr>
              <w:t>代理机构</w:t>
            </w:r>
          </w:p>
        </w:tc>
        <w:tc>
          <w:tcPr>
            <w:tcW w:w="3445" w:type="pct"/>
            <w:vAlign w:val="center"/>
          </w:tcPr>
          <w:p w14:paraId="184F2370">
            <w:pPr>
              <w:keepNext w:val="0"/>
              <w:keepLines w:val="0"/>
              <w:pageBreakBefore w:val="0"/>
              <w:widowControl/>
              <w:kinsoku/>
              <w:wordWrap/>
              <w:overflowPunct/>
              <w:topLinePunct w:val="0"/>
              <w:bidi w:val="0"/>
              <w:adjustRightInd w:val="0"/>
              <w:snapToGrid w:val="0"/>
              <w:spacing w:beforeLines="0" w:afterLines="0" w:line="400" w:lineRule="exact"/>
              <w:jc w:val="left"/>
              <w:textAlignment w:val="auto"/>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名  称：</w:t>
            </w:r>
            <w:r>
              <w:rPr>
                <w:rFonts w:hint="eastAsia" w:ascii="宋体" w:hAnsi="宋体" w:eastAsia="宋体" w:cs="宋体"/>
                <w:snapToGrid w:val="0"/>
                <w:color w:val="auto"/>
                <w:kern w:val="0"/>
                <w:szCs w:val="21"/>
                <w:highlight w:val="none"/>
                <w:lang w:eastAsia="zh-CN"/>
              </w:rPr>
              <w:t>重庆市投资咨询有限公司</w:t>
            </w:r>
          </w:p>
          <w:p w14:paraId="7CEDFE66">
            <w:pPr>
              <w:keepNext w:val="0"/>
              <w:keepLines w:val="0"/>
              <w:pageBreakBefore w:val="0"/>
              <w:widowControl/>
              <w:kinsoku/>
              <w:wordWrap/>
              <w:overflowPunct/>
              <w:topLinePunct w:val="0"/>
              <w:bidi w:val="0"/>
              <w:adjustRightInd w:val="0"/>
              <w:snapToGrid w:val="0"/>
              <w:spacing w:beforeLines="0" w:afterLines="0" w:line="400" w:lineRule="exact"/>
              <w:jc w:val="left"/>
              <w:textAlignment w:val="auto"/>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rPr>
              <w:t>地　址：重庆市</w:t>
            </w:r>
            <w:r>
              <w:rPr>
                <w:rFonts w:hint="eastAsia" w:ascii="宋体" w:hAnsi="宋体" w:eastAsia="宋体" w:cs="宋体"/>
                <w:snapToGrid w:val="0"/>
                <w:color w:val="auto"/>
                <w:kern w:val="0"/>
                <w:szCs w:val="21"/>
                <w:highlight w:val="none"/>
                <w:lang w:val="en-US" w:eastAsia="zh-CN"/>
              </w:rPr>
              <w:t>两江新区</w:t>
            </w:r>
            <w:r>
              <w:rPr>
                <w:rFonts w:hint="eastAsia" w:ascii="宋体" w:hAnsi="宋体" w:eastAsia="宋体" w:cs="宋体"/>
                <w:snapToGrid w:val="0"/>
                <w:color w:val="auto"/>
                <w:kern w:val="0"/>
                <w:szCs w:val="21"/>
                <w:highlight w:val="none"/>
              </w:rPr>
              <w:t>五简路2号重庆咨询大厦A栋</w:t>
            </w:r>
            <w:r>
              <w:rPr>
                <w:rFonts w:hint="eastAsia" w:ascii="宋体" w:hAnsi="宋体" w:eastAsia="宋体" w:cs="宋体"/>
                <w:snapToGrid w:val="0"/>
                <w:color w:val="auto"/>
                <w:kern w:val="0"/>
                <w:szCs w:val="21"/>
                <w:highlight w:val="none"/>
                <w:lang w:val="en-US" w:eastAsia="zh-CN"/>
              </w:rPr>
              <w:t>707</w:t>
            </w:r>
          </w:p>
          <w:p w14:paraId="3CD17FD3">
            <w:pPr>
              <w:pageBreakBefore w:val="0"/>
              <w:widowControl/>
              <w:kinsoku/>
              <w:wordWrap/>
              <w:overflowPunct/>
              <w:topLinePunct w:val="0"/>
              <w:bidi w:val="0"/>
              <w:adjustRightInd w:val="0"/>
              <w:snapToGrid w:val="0"/>
              <w:spacing w:beforeLines="0" w:afterLines="0" w:line="400" w:lineRule="exact"/>
              <w:ind w:left="0" w:leftChars="0" w:firstLine="0" w:firstLineChars="0"/>
              <w:jc w:val="left"/>
              <w:textAlignment w:val="auto"/>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spacing w:val="0"/>
                <w:kern w:val="0"/>
                <w:szCs w:val="21"/>
                <w:highlight w:val="none"/>
                <w:lang w:val="en-US" w:eastAsia="zh-CN"/>
              </w:rPr>
              <w:t>项目</w:t>
            </w:r>
            <w:r>
              <w:rPr>
                <w:rFonts w:hint="eastAsia" w:ascii="宋体" w:hAnsi="宋体" w:eastAsia="宋体" w:cs="宋体"/>
                <w:snapToGrid w:val="0"/>
                <w:color w:val="auto"/>
                <w:kern w:val="0"/>
                <w:szCs w:val="21"/>
                <w:highlight w:val="none"/>
                <w:lang w:val="en-US" w:eastAsia="zh-CN"/>
              </w:rPr>
              <w:t>负责人</w:t>
            </w:r>
            <w:r>
              <w:rPr>
                <w:rFonts w:hint="default" w:ascii="Times New Roman" w:hAnsi="Times New Roman" w:eastAsia="宋体" w:cs="Times New Roman"/>
                <w:snapToGrid/>
                <w:color w:val="auto"/>
                <w:kern w:val="2"/>
                <w:szCs w:val="24"/>
                <w:highlight w:val="none"/>
              </w:rPr>
              <w:t>：</w:t>
            </w:r>
            <w:r>
              <w:rPr>
                <w:rFonts w:hint="eastAsia" w:ascii="宋体" w:hAnsi="宋体" w:eastAsia="宋体" w:cs="宋体"/>
                <w:snapToGrid w:val="0"/>
                <w:color w:val="auto"/>
                <w:kern w:val="0"/>
                <w:szCs w:val="21"/>
                <w:highlight w:val="none"/>
                <w:lang w:val="en-US" w:eastAsia="zh-CN"/>
              </w:rPr>
              <w:t xml:space="preserve">杨莉萍  </w:t>
            </w:r>
          </w:p>
          <w:p w14:paraId="4BC2AF87">
            <w:pPr>
              <w:keepNext w:val="0"/>
              <w:keepLines w:val="0"/>
              <w:pageBreakBefore w:val="0"/>
              <w:widowControl/>
              <w:kinsoku/>
              <w:wordWrap/>
              <w:overflowPunct/>
              <w:topLinePunct w:val="0"/>
              <w:bidi w:val="0"/>
              <w:adjustRightInd w:val="0"/>
              <w:snapToGrid w:val="0"/>
              <w:spacing w:beforeLines="0" w:afterLines="0" w:line="400" w:lineRule="exact"/>
              <w:jc w:val="left"/>
              <w:textAlignment w:val="auto"/>
              <w:rPr>
                <w:rFonts w:ascii="宋体" w:hAnsi="宋体" w:cs="宋体"/>
                <w:color w:val="auto"/>
                <w:kern w:val="0"/>
                <w:szCs w:val="21"/>
                <w:highlight w:val="none"/>
              </w:rPr>
            </w:pPr>
            <w:r>
              <w:rPr>
                <w:rFonts w:hint="eastAsia" w:ascii="宋体" w:hAnsi="宋体" w:eastAsia="宋体" w:cs="宋体"/>
                <w:snapToGrid w:val="0"/>
                <w:color w:val="auto"/>
                <w:spacing w:val="0"/>
                <w:kern w:val="0"/>
                <w:szCs w:val="21"/>
                <w:highlight w:val="none"/>
              </w:rPr>
              <w:t>电  话</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shd w:val="clear" w:color="auto" w:fill="auto"/>
              </w:rPr>
              <w:t>023-</w:t>
            </w:r>
            <w:r>
              <w:rPr>
                <w:rFonts w:hint="eastAsia" w:ascii="宋体" w:hAnsi="宋体" w:eastAsia="宋体" w:cs="宋体"/>
                <w:snapToGrid w:val="0"/>
                <w:color w:val="auto"/>
                <w:kern w:val="0"/>
                <w:szCs w:val="21"/>
                <w:highlight w:val="none"/>
                <w:shd w:val="clear" w:color="auto" w:fill="auto"/>
                <w:lang w:val="en-US" w:eastAsia="zh-CN"/>
              </w:rPr>
              <w:t>63875872</w:t>
            </w:r>
          </w:p>
        </w:tc>
      </w:tr>
      <w:tr w14:paraId="74EF5C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2B3CAC0">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1.1.4</w:t>
            </w:r>
          </w:p>
        </w:tc>
        <w:tc>
          <w:tcPr>
            <w:tcW w:w="972" w:type="pct"/>
            <w:vAlign w:val="center"/>
          </w:tcPr>
          <w:p w14:paraId="2B6955FF">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bidi="ar"/>
              </w:rPr>
              <w:t>比选项目</w:t>
            </w:r>
            <w:r>
              <w:rPr>
                <w:rFonts w:hint="eastAsia" w:ascii="宋体" w:hAnsi="宋体" w:cs="宋体"/>
                <w:color w:val="auto"/>
                <w:kern w:val="0"/>
                <w:szCs w:val="21"/>
                <w:highlight w:val="none"/>
                <w:lang w:bidi="ar"/>
              </w:rPr>
              <w:t>名称</w:t>
            </w:r>
          </w:p>
        </w:tc>
        <w:tc>
          <w:tcPr>
            <w:tcW w:w="3445" w:type="pct"/>
            <w:vAlign w:val="center"/>
          </w:tcPr>
          <w:p w14:paraId="45993494">
            <w:pPr>
              <w:adjustRightInd w:val="0"/>
              <w:snapToGrid w:val="0"/>
              <w:spacing w:beforeLines="0" w:afterLines="0" w:line="400" w:lineRule="exact"/>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bidi="ar"/>
              </w:rPr>
              <w:t>成渝改扩建机电工程监控、通信设施保通及路由管道劳务采购</w:t>
            </w:r>
          </w:p>
        </w:tc>
      </w:tr>
      <w:tr w14:paraId="02B38F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EBF2AF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1.1.5</w:t>
            </w:r>
          </w:p>
        </w:tc>
        <w:tc>
          <w:tcPr>
            <w:tcW w:w="972" w:type="pct"/>
            <w:vAlign w:val="center"/>
          </w:tcPr>
          <w:p w14:paraId="1F928AD3">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建设地点</w:t>
            </w:r>
          </w:p>
        </w:tc>
        <w:tc>
          <w:tcPr>
            <w:tcW w:w="3445" w:type="pct"/>
            <w:vAlign w:val="center"/>
          </w:tcPr>
          <w:p w14:paraId="1A8DE9F9">
            <w:pPr>
              <w:adjustRightInd w:val="0"/>
              <w:snapToGrid w:val="0"/>
              <w:spacing w:beforeLines="0" w:afterLines="0" w:line="400" w:lineRule="exact"/>
              <w:jc w:val="left"/>
              <w:rPr>
                <w:rFonts w:ascii="宋体" w:hAnsi="宋体" w:cs="宋体"/>
                <w:color w:val="auto"/>
                <w:szCs w:val="21"/>
                <w:highlight w:val="none"/>
              </w:rPr>
            </w:pPr>
            <w:r>
              <w:rPr>
                <w:rFonts w:hint="eastAsia" w:ascii="宋体" w:hAnsi="宋体" w:cs="宋体"/>
                <w:color w:val="auto"/>
                <w:szCs w:val="21"/>
                <w:highlight w:val="none"/>
              </w:rPr>
              <w:t>重庆市</w:t>
            </w:r>
          </w:p>
        </w:tc>
      </w:tr>
      <w:tr w14:paraId="7877A3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76D981F2">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1.2.1</w:t>
            </w:r>
          </w:p>
        </w:tc>
        <w:tc>
          <w:tcPr>
            <w:tcW w:w="972" w:type="pct"/>
            <w:vAlign w:val="center"/>
          </w:tcPr>
          <w:p w14:paraId="7F39BDD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资金来源及比例</w:t>
            </w:r>
          </w:p>
        </w:tc>
        <w:tc>
          <w:tcPr>
            <w:tcW w:w="3445" w:type="pct"/>
            <w:vAlign w:val="center"/>
          </w:tcPr>
          <w:p w14:paraId="7C47F0D3">
            <w:pPr>
              <w:adjustRightInd w:val="0"/>
              <w:snapToGrid w:val="0"/>
              <w:spacing w:beforeLines="0" w:afterLines="0" w:line="400" w:lineRule="exact"/>
              <w:rPr>
                <w:rFonts w:ascii="宋体" w:hAnsi="宋体" w:cs="宋体"/>
                <w:color w:val="auto"/>
                <w:szCs w:val="21"/>
                <w:highlight w:val="none"/>
              </w:rPr>
            </w:pPr>
            <w:r>
              <w:rPr>
                <w:rFonts w:hint="eastAsia" w:ascii="宋体" w:hAnsi="宋体" w:cs="宋体"/>
                <w:color w:val="auto"/>
                <w:kern w:val="0"/>
                <w:szCs w:val="21"/>
                <w:highlight w:val="none"/>
                <w:lang w:bidi="ar"/>
              </w:rPr>
              <w:t>100%</w:t>
            </w:r>
          </w:p>
        </w:tc>
      </w:tr>
      <w:tr w14:paraId="026A6E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D87306C">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1.2.2</w:t>
            </w:r>
          </w:p>
        </w:tc>
        <w:tc>
          <w:tcPr>
            <w:tcW w:w="972" w:type="pct"/>
            <w:vAlign w:val="center"/>
          </w:tcPr>
          <w:p w14:paraId="7A003502">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资金落实情况</w:t>
            </w:r>
          </w:p>
        </w:tc>
        <w:tc>
          <w:tcPr>
            <w:tcW w:w="3445" w:type="pct"/>
            <w:vAlign w:val="center"/>
          </w:tcPr>
          <w:p w14:paraId="4ACA135B">
            <w:pPr>
              <w:adjustRightInd w:val="0"/>
              <w:snapToGrid w:val="0"/>
              <w:spacing w:beforeLines="0" w:afterLines="0" w:line="400" w:lineRule="exact"/>
              <w:rPr>
                <w:rFonts w:ascii="宋体" w:hAnsi="宋体" w:cs="宋体"/>
                <w:color w:val="auto"/>
                <w:szCs w:val="21"/>
                <w:highlight w:val="none"/>
              </w:rPr>
            </w:pPr>
            <w:r>
              <w:rPr>
                <w:rFonts w:hint="eastAsia" w:ascii="宋体" w:hAnsi="宋体" w:cs="宋体"/>
                <w:color w:val="auto"/>
                <w:szCs w:val="21"/>
                <w:highlight w:val="none"/>
              </w:rPr>
              <w:t>已落实</w:t>
            </w:r>
          </w:p>
        </w:tc>
      </w:tr>
      <w:tr w14:paraId="45352A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79C38E5">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1.3.1</w:t>
            </w:r>
          </w:p>
        </w:tc>
        <w:tc>
          <w:tcPr>
            <w:tcW w:w="972" w:type="pct"/>
            <w:vAlign w:val="center"/>
          </w:tcPr>
          <w:p w14:paraId="6C3F034F">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eastAsia="zh-CN"/>
              </w:rPr>
              <w:t>比选范围</w:t>
            </w:r>
          </w:p>
        </w:tc>
        <w:tc>
          <w:tcPr>
            <w:tcW w:w="3445" w:type="pct"/>
            <w:vAlign w:val="center"/>
          </w:tcPr>
          <w:p w14:paraId="0ACC20A1">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snapToGrid w:val="0"/>
                <w:color w:val="auto"/>
                <w:kern w:val="0"/>
                <w:szCs w:val="21"/>
                <w:highlight w:val="none"/>
                <w:lang w:eastAsia="zh-CN"/>
              </w:rPr>
              <w:t>包</w:t>
            </w:r>
            <w:r>
              <w:rPr>
                <w:rFonts w:hint="eastAsia" w:ascii="宋体" w:hAnsi="宋体" w:eastAsia="宋体" w:cs="宋体"/>
                <w:snapToGrid w:val="0"/>
                <w:color w:val="auto"/>
                <w:kern w:val="0"/>
                <w:szCs w:val="21"/>
                <w:highlight w:val="none"/>
                <w:lang w:eastAsia="zh-CN"/>
              </w:rPr>
              <w:t>括</w:t>
            </w:r>
            <w:r>
              <w:rPr>
                <w:rFonts w:hint="eastAsia" w:ascii="宋体" w:hAnsi="宋体" w:eastAsia="宋体" w:cs="宋体"/>
                <w:snapToGrid w:val="0"/>
                <w:color w:val="auto"/>
                <w:kern w:val="0"/>
                <w:sz w:val="21"/>
                <w:szCs w:val="21"/>
                <w:highlight w:val="none"/>
              </w:rPr>
              <w:t>光缆</w:t>
            </w:r>
            <w:r>
              <w:rPr>
                <w:rFonts w:hint="eastAsia" w:ascii="宋体" w:hAnsi="宋体" w:eastAsia="宋体" w:cs="宋体"/>
                <w:snapToGrid w:val="0"/>
                <w:color w:val="auto"/>
                <w:kern w:val="0"/>
                <w:sz w:val="21"/>
                <w:szCs w:val="21"/>
                <w:highlight w:val="none"/>
                <w:lang w:val="en-US" w:eastAsia="zh-CN"/>
              </w:rPr>
              <w:t>割接</w:t>
            </w:r>
            <w:r>
              <w:rPr>
                <w:rFonts w:hint="eastAsia" w:ascii="宋体" w:hAnsi="宋体" w:eastAsia="宋体" w:cs="宋体"/>
                <w:snapToGrid w:val="0"/>
                <w:color w:val="auto"/>
                <w:kern w:val="0"/>
                <w:sz w:val="21"/>
                <w:szCs w:val="21"/>
                <w:highlight w:val="none"/>
                <w:lang w:eastAsia="zh-CN"/>
              </w:rPr>
              <w:t>，</w:t>
            </w:r>
            <w:r>
              <w:rPr>
                <w:rFonts w:hint="eastAsia" w:ascii="宋体" w:hAnsi="宋体" w:eastAsia="宋体" w:cs="宋体"/>
                <w:snapToGrid w:val="0"/>
                <w:color w:val="auto"/>
                <w:kern w:val="0"/>
                <w:sz w:val="21"/>
                <w:szCs w:val="21"/>
                <w:highlight w:val="none"/>
              </w:rPr>
              <w:t>监控设备</w:t>
            </w:r>
            <w:r>
              <w:rPr>
                <w:rFonts w:hint="eastAsia" w:ascii="宋体" w:hAnsi="宋体" w:eastAsia="宋体" w:cs="宋体"/>
                <w:snapToGrid w:val="0"/>
                <w:color w:val="auto"/>
                <w:kern w:val="0"/>
                <w:sz w:val="21"/>
                <w:szCs w:val="21"/>
                <w:highlight w:val="none"/>
                <w:lang w:eastAsia="zh-CN"/>
              </w:rPr>
              <w:t>、</w:t>
            </w:r>
            <w:r>
              <w:rPr>
                <w:rFonts w:hint="eastAsia" w:ascii="宋体" w:hAnsi="宋体" w:eastAsia="宋体" w:cs="宋体"/>
                <w:snapToGrid w:val="0"/>
                <w:color w:val="auto"/>
                <w:kern w:val="0"/>
                <w:sz w:val="21"/>
                <w:szCs w:val="21"/>
                <w:highlight w:val="none"/>
              </w:rPr>
              <w:t>情报板</w:t>
            </w:r>
            <w:r>
              <w:rPr>
                <w:rFonts w:hint="eastAsia" w:ascii="宋体" w:hAnsi="宋体" w:eastAsia="宋体" w:cs="宋体"/>
                <w:snapToGrid w:val="0"/>
                <w:color w:val="auto"/>
                <w:kern w:val="0"/>
                <w:sz w:val="21"/>
                <w:szCs w:val="21"/>
                <w:highlight w:val="none"/>
                <w:lang w:eastAsia="zh-CN"/>
              </w:rPr>
              <w:t>、ETC门架</w:t>
            </w:r>
            <w:r>
              <w:rPr>
                <w:rFonts w:hint="eastAsia" w:ascii="宋体" w:hAnsi="宋体" w:eastAsia="宋体" w:cs="宋体"/>
                <w:snapToGrid w:val="0"/>
                <w:color w:val="auto"/>
                <w:kern w:val="0"/>
                <w:sz w:val="21"/>
                <w:szCs w:val="21"/>
                <w:highlight w:val="none"/>
              </w:rPr>
              <w:t>拆除及转运</w:t>
            </w:r>
            <w:r>
              <w:rPr>
                <w:rFonts w:hint="eastAsia" w:ascii="宋体" w:hAnsi="宋体" w:eastAsia="宋体" w:cs="宋体"/>
                <w:snapToGrid w:val="0"/>
                <w:color w:val="auto"/>
                <w:kern w:val="0"/>
                <w:sz w:val="21"/>
                <w:szCs w:val="21"/>
                <w:highlight w:val="none"/>
                <w:lang w:eastAsia="zh-CN"/>
              </w:rPr>
              <w:t>，</w:t>
            </w:r>
            <w:r>
              <w:rPr>
                <w:rFonts w:hint="eastAsia" w:ascii="宋体" w:hAnsi="宋体" w:eastAsia="宋体" w:cs="宋体"/>
                <w:snapToGrid w:val="0"/>
                <w:color w:val="auto"/>
                <w:kern w:val="0"/>
                <w:sz w:val="21"/>
                <w:szCs w:val="21"/>
                <w:highlight w:val="none"/>
                <w:lang w:val="en-US" w:eastAsia="zh-CN"/>
              </w:rPr>
              <w:t>电线杆基础开挖、立杆及回填，</w:t>
            </w:r>
            <w:r>
              <w:rPr>
                <w:rFonts w:hint="eastAsia" w:ascii="宋体" w:hAnsi="宋体" w:eastAsia="宋体" w:cs="宋体"/>
                <w:snapToGrid w:val="0"/>
                <w:color w:val="auto"/>
                <w:kern w:val="0"/>
                <w:sz w:val="21"/>
                <w:szCs w:val="21"/>
                <w:highlight w:val="none"/>
              </w:rPr>
              <w:t>配套手孔井、人孔井的施工</w:t>
            </w:r>
            <w:r>
              <w:rPr>
                <w:rFonts w:hint="eastAsia" w:ascii="宋体" w:hAnsi="宋体" w:eastAsia="宋体" w:cs="宋体"/>
                <w:snapToGrid w:val="0"/>
                <w:color w:val="auto"/>
                <w:kern w:val="0"/>
                <w:sz w:val="21"/>
                <w:szCs w:val="21"/>
                <w:highlight w:val="none"/>
                <w:lang w:eastAsia="zh-CN"/>
              </w:rPr>
              <w:t>，</w:t>
            </w:r>
            <w:r>
              <w:rPr>
                <w:rFonts w:hint="eastAsia" w:ascii="宋体" w:hAnsi="宋体" w:eastAsia="宋体" w:cs="宋体"/>
                <w:snapToGrid w:val="0"/>
                <w:color w:val="auto"/>
                <w:kern w:val="0"/>
                <w:sz w:val="21"/>
                <w:szCs w:val="21"/>
                <w:highlight w:val="none"/>
              </w:rPr>
              <w:t>硅芯管、钢管以及光缆的敷设，以及</w:t>
            </w:r>
            <w:r>
              <w:rPr>
                <w:rFonts w:hint="eastAsia" w:ascii="宋体" w:hAnsi="宋体" w:eastAsia="宋体" w:cs="宋体"/>
                <w:snapToGrid w:val="0"/>
                <w:color w:val="auto"/>
                <w:kern w:val="0"/>
                <w:sz w:val="21"/>
                <w:szCs w:val="21"/>
                <w:highlight w:val="none"/>
                <w:lang w:val="en-US" w:eastAsia="zh-CN"/>
              </w:rPr>
              <w:t>管道的开挖回填</w:t>
            </w:r>
            <w:r>
              <w:rPr>
                <w:rFonts w:hint="eastAsia" w:ascii="宋体" w:hAnsi="宋体" w:eastAsia="宋体" w:cs="宋体"/>
                <w:snapToGrid w:val="0"/>
                <w:color w:val="auto"/>
                <w:kern w:val="0"/>
                <w:sz w:val="21"/>
                <w:szCs w:val="21"/>
                <w:highlight w:val="none"/>
              </w:rPr>
              <w:t>等工作内容。</w:t>
            </w:r>
          </w:p>
        </w:tc>
      </w:tr>
      <w:tr w14:paraId="6336B4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2" w:type="pct"/>
            <w:vAlign w:val="center"/>
          </w:tcPr>
          <w:p w14:paraId="7BD01040">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1.3.2</w:t>
            </w:r>
          </w:p>
        </w:tc>
        <w:tc>
          <w:tcPr>
            <w:tcW w:w="972" w:type="pct"/>
            <w:vAlign w:val="center"/>
          </w:tcPr>
          <w:p w14:paraId="0530A201">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计划工期</w:t>
            </w:r>
          </w:p>
          <w:p w14:paraId="50C378BA">
            <w:pPr>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szCs w:val="21"/>
                <w:highlight w:val="none"/>
              </w:rPr>
              <w:t>缺陷责任期</w:t>
            </w:r>
          </w:p>
        </w:tc>
        <w:tc>
          <w:tcPr>
            <w:tcW w:w="3445" w:type="pct"/>
            <w:vAlign w:val="center"/>
          </w:tcPr>
          <w:p w14:paraId="1781C7C9">
            <w:pPr>
              <w:adjustRightInd w:val="0"/>
              <w:snapToGrid w:val="0"/>
              <w:spacing w:beforeLines="0" w:afterLines="0" w:line="400" w:lineRule="exact"/>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rPr>
              <w:t>工期：</w:t>
            </w:r>
            <w:r>
              <w:rPr>
                <w:rFonts w:hint="eastAsia" w:ascii="宋体" w:hAnsi="宋体" w:cs="宋体"/>
                <w:snapToGrid w:val="0"/>
                <w:color w:val="auto"/>
                <w:kern w:val="0"/>
                <w:szCs w:val="21"/>
                <w:highlight w:val="none"/>
                <w:lang w:val="en-US" w:eastAsia="zh-CN"/>
              </w:rPr>
              <w:t>29个月</w:t>
            </w:r>
          </w:p>
          <w:p w14:paraId="3B45BE1B">
            <w:pPr>
              <w:adjustRightInd w:val="0"/>
              <w:snapToGrid w:val="0"/>
              <w:spacing w:beforeLines="0" w:afterLines="0" w:line="400" w:lineRule="exact"/>
              <w:rPr>
                <w:rFonts w:ascii="宋体" w:hAnsi="宋体" w:cs="宋体"/>
                <w:color w:val="auto"/>
                <w:kern w:val="0"/>
                <w:szCs w:val="21"/>
                <w:highlight w:val="none"/>
              </w:rPr>
            </w:pPr>
            <w:r>
              <w:rPr>
                <w:rFonts w:hint="eastAsia" w:ascii="宋体" w:hAnsi="宋体" w:cs="宋体"/>
                <w:color w:val="auto"/>
                <w:kern w:val="0"/>
                <w:szCs w:val="21"/>
                <w:highlight w:val="none"/>
              </w:rPr>
              <w:t>计划开工日期：</w:t>
            </w:r>
            <w:r>
              <w:rPr>
                <w:rFonts w:hint="eastAsia" w:ascii="宋体" w:hAnsi="宋体" w:cs="宋体"/>
                <w:color w:val="auto"/>
                <w:kern w:val="0"/>
                <w:szCs w:val="21"/>
                <w:highlight w:val="none"/>
                <w:u w:val="single"/>
                <w:lang w:eastAsia="zh-CN"/>
              </w:rPr>
              <w:t>中选</w:t>
            </w:r>
            <w:r>
              <w:rPr>
                <w:rFonts w:hint="eastAsia" w:ascii="宋体" w:hAnsi="宋体" w:cs="宋体"/>
                <w:color w:val="auto"/>
                <w:kern w:val="0"/>
                <w:szCs w:val="21"/>
                <w:highlight w:val="none"/>
                <w:u w:val="single"/>
              </w:rPr>
              <w:t>通知书下发之后，具体</w:t>
            </w:r>
            <w:r>
              <w:rPr>
                <w:rFonts w:hint="eastAsia" w:ascii="宋体" w:hAnsi="宋体" w:cs="宋体"/>
                <w:snapToGrid w:val="0"/>
                <w:color w:val="auto"/>
                <w:kern w:val="0"/>
                <w:szCs w:val="21"/>
                <w:highlight w:val="none"/>
                <w:u w:val="single"/>
              </w:rPr>
              <w:t>以甲方实际下达的开工通知为准。</w:t>
            </w:r>
          </w:p>
          <w:p w14:paraId="6B64E0DB">
            <w:pPr>
              <w:adjustRightInd w:val="0"/>
              <w:snapToGrid w:val="0"/>
              <w:spacing w:beforeLines="0" w:afterLines="0" w:line="400" w:lineRule="exact"/>
              <w:rPr>
                <w:rFonts w:ascii="宋体" w:hAnsi="宋体" w:cs="宋体"/>
                <w:color w:val="auto"/>
                <w:kern w:val="0"/>
                <w:szCs w:val="21"/>
                <w:highlight w:val="none"/>
              </w:rPr>
            </w:pPr>
            <w:r>
              <w:rPr>
                <w:rFonts w:hint="eastAsia" w:ascii="宋体" w:hAnsi="宋体" w:cs="宋体"/>
                <w:color w:val="auto"/>
                <w:kern w:val="0"/>
                <w:szCs w:val="21"/>
                <w:highlight w:val="none"/>
              </w:rPr>
              <w:t>计划完工日期：</w:t>
            </w:r>
            <w:r>
              <w:rPr>
                <w:rFonts w:hint="eastAsia" w:ascii="宋体" w:hAnsi="宋体" w:cs="宋体"/>
                <w:color w:val="auto"/>
                <w:kern w:val="0"/>
                <w:szCs w:val="21"/>
                <w:highlight w:val="none"/>
                <w:u w:val="single"/>
                <w:lang w:eastAsia="zh-CN"/>
              </w:rPr>
              <w:t>202</w:t>
            </w:r>
            <w:r>
              <w:rPr>
                <w:rFonts w:hint="eastAsia" w:ascii="宋体" w:hAnsi="宋体" w:cs="宋体"/>
                <w:color w:val="auto"/>
                <w:kern w:val="0"/>
                <w:szCs w:val="21"/>
                <w:highlight w:val="none"/>
                <w:u w:val="single"/>
                <w:lang w:val="en-US" w:eastAsia="zh-CN"/>
              </w:rPr>
              <w:t>8</w:t>
            </w:r>
            <w:r>
              <w:rPr>
                <w:rFonts w:hint="eastAsia" w:ascii="宋体" w:hAnsi="宋体" w:cs="宋体"/>
                <w:color w:val="auto"/>
                <w:kern w:val="0"/>
                <w:szCs w:val="21"/>
                <w:highlight w:val="none"/>
                <w:u w:val="single"/>
                <w:lang w:eastAsia="zh-CN"/>
              </w:rPr>
              <w:t>年</w:t>
            </w:r>
            <w:r>
              <w:rPr>
                <w:rFonts w:hint="eastAsia" w:ascii="宋体" w:hAnsi="宋体" w:cs="宋体"/>
                <w:color w:val="auto"/>
                <w:kern w:val="0"/>
                <w:szCs w:val="21"/>
                <w:highlight w:val="none"/>
                <w:u w:val="single"/>
                <w:lang w:val="en-US" w:eastAsia="zh-CN"/>
              </w:rPr>
              <w:t>11</w:t>
            </w:r>
            <w:r>
              <w:rPr>
                <w:rFonts w:hint="eastAsia" w:ascii="宋体" w:hAnsi="宋体" w:cs="宋体"/>
                <w:color w:val="auto"/>
                <w:kern w:val="0"/>
                <w:szCs w:val="21"/>
                <w:highlight w:val="none"/>
                <w:u w:val="single"/>
                <w:lang w:eastAsia="zh-CN"/>
              </w:rPr>
              <w:t>月，具体以甲方要求为准</w:t>
            </w:r>
            <w:r>
              <w:rPr>
                <w:rFonts w:hint="eastAsia" w:ascii="宋体" w:hAnsi="宋体" w:cs="宋体"/>
                <w:snapToGrid w:val="0"/>
                <w:color w:val="auto"/>
                <w:kern w:val="0"/>
                <w:szCs w:val="21"/>
                <w:highlight w:val="none"/>
                <w:u w:val="single"/>
              </w:rPr>
              <w:t>。</w:t>
            </w:r>
            <w:r>
              <w:rPr>
                <w:rFonts w:hint="eastAsia" w:ascii="宋体" w:hAnsi="宋体" w:cs="宋体"/>
                <w:color w:val="auto"/>
                <w:kern w:val="0"/>
                <w:szCs w:val="21"/>
                <w:highlight w:val="none"/>
              </w:rPr>
              <w:t xml:space="preserve">       </w:t>
            </w:r>
          </w:p>
          <w:p w14:paraId="2E4FE964">
            <w:pPr>
              <w:adjustRightInd w:val="0"/>
              <w:snapToGrid w:val="0"/>
              <w:spacing w:beforeLines="0" w:afterLines="0" w:line="400" w:lineRule="exact"/>
              <w:rPr>
                <w:rFonts w:ascii="宋体" w:hAnsi="宋体" w:cs="宋体"/>
                <w:color w:val="auto"/>
                <w:kern w:val="0"/>
                <w:szCs w:val="21"/>
                <w:highlight w:val="none"/>
              </w:rPr>
            </w:pPr>
            <w:r>
              <w:rPr>
                <w:rFonts w:hint="eastAsia" w:ascii="宋体" w:hAnsi="宋体" w:cs="宋体"/>
                <w:color w:val="auto"/>
                <w:kern w:val="0"/>
                <w:szCs w:val="21"/>
                <w:highlight w:val="none"/>
              </w:rPr>
              <w:t>缺陷责任期：</w:t>
            </w:r>
            <w:r>
              <w:rPr>
                <w:rFonts w:hint="eastAsia" w:ascii="宋体" w:hAnsi="宋体" w:cs="宋体"/>
                <w:color w:val="auto"/>
                <w:kern w:val="0"/>
                <w:szCs w:val="21"/>
                <w:highlight w:val="none"/>
                <w:u w:val="single"/>
              </w:rPr>
              <w:t xml:space="preserve"> 24个月</w:t>
            </w:r>
          </w:p>
        </w:tc>
      </w:tr>
      <w:tr w14:paraId="19AB06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9245C5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1.3.3</w:t>
            </w:r>
          </w:p>
        </w:tc>
        <w:tc>
          <w:tcPr>
            <w:tcW w:w="972" w:type="pct"/>
            <w:vAlign w:val="center"/>
          </w:tcPr>
          <w:p w14:paraId="0250CB88">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质量要求</w:t>
            </w:r>
          </w:p>
        </w:tc>
        <w:tc>
          <w:tcPr>
            <w:tcW w:w="3445" w:type="pct"/>
            <w:vAlign w:val="center"/>
          </w:tcPr>
          <w:p w14:paraId="01BE97C1">
            <w:pPr>
              <w:adjustRightInd w:val="0"/>
              <w:snapToGrid w:val="0"/>
              <w:spacing w:beforeLines="0" w:afterLines="0" w:line="400" w:lineRule="exact"/>
              <w:ind w:firstLine="0" w:firstLineChars="0"/>
              <w:rPr>
                <w:rFonts w:ascii="宋体" w:hAnsi="宋体" w:cs="宋体"/>
                <w:color w:val="auto"/>
                <w:szCs w:val="21"/>
                <w:highlight w:val="none"/>
              </w:rPr>
            </w:pPr>
            <w:r>
              <w:rPr>
                <w:rFonts w:hint="eastAsia" w:ascii="宋体" w:hAnsi="宋体" w:cs="宋体"/>
                <w:color w:val="auto"/>
                <w:szCs w:val="21"/>
                <w:highlight w:val="none"/>
              </w:rPr>
              <w:t>工程交工验收的质量评定：</w:t>
            </w:r>
            <w:r>
              <w:rPr>
                <w:rFonts w:hint="eastAsia" w:ascii="宋体" w:hAnsi="宋体" w:cs="宋体"/>
                <w:color w:val="auto"/>
                <w:szCs w:val="21"/>
                <w:highlight w:val="none"/>
                <w:u w:val="single"/>
              </w:rPr>
              <w:t>合格，年度一次性抽检合格率不低于97%。</w:t>
            </w:r>
          </w:p>
          <w:p w14:paraId="65F88127">
            <w:pPr>
              <w:adjustRightInd w:val="0"/>
              <w:snapToGrid w:val="0"/>
              <w:spacing w:beforeLines="0" w:afterLines="0" w:line="400" w:lineRule="exact"/>
              <w:ind w:firstLine="0" w:firstLineChars="0"/>
              <w:rPr>
                <w:rFonts w:ascii="宋体" w:hAnsi="宋体" w:cs="宋体"/>
                <w:i/>
                <w:color w:val="auto"/>
                <w:szCs w:val="21"/>
                <w:highlight w:val="none"/>
              </w:rPr>
            </w:pPr>
            <w:r>
              <w:rPr>
                <w:rFonts w:hint="eastAsia" w:ascii="宋体" w:hAnsi="宋体" w:cs="宋体"/>
                <w:color w:val="auto"/>
                <w:szCs w:val="21"/>
                <w:highlight w:val="none"/>
              </w:rPr>
              <w:t>工程竣工验收的质量评定：</w:t>
            </w:r>
            <w:r>
              <w:rPr>
                <w:rFonts w:hint="eastAsia" w:ascii="宋体" w:hAnsi="宋体" w:cs="宋体"/>
                <w:color w:val="auto"/>
                <w:szCs w:val="21"/>
                <w:highlight w:val="none"/>
                <w:u w:val="single"/>
              </w:rPr>
              <w:t>合格，年度一次性抽检合格率不低于97% 。</w:t>
            </w:r>
          </w:p>
        </w:tc>
      </w:tr>
      <w:tr w14:paraId="25572D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560B48C">
            <w:pPr>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szCs w:val="21"/>
                <w:highlight w:val="none"/>
              </w:rPr>
              <w:t>1.3.4</w:t>
            </w:r>
          </w:p>
        </w:tc>
        <w:tc>
          <w:tcPr>
            <w:tcW w:w="972" w:type="pct"/>
            <w:vAlign w:val="center"/>
          </w:tcPr>
          <w:p w14:paraId="0D83D09A">
            <w:pPr>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szCs w:val="21"/>
                <w:highlight w:val="none"/>
              </w:rPr>
              <w:t>安全目标</w:t>
            </w:r>
          </w:p>
        </w:tc>
        <w:tc>
          <w:tcPr>
            <w:tcW w:w="3445" w:type="pct"/>
            <w:vAlign w:val="center"/>
          </w:tcPr>
          <w:p w14:paraId="5813E2FD">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不发生较大及以上安全生产责任事故，项目责任事故死亡指标为0。</w:t>
            </w:r>
          </w:p>
        </w:tc>
      </w:tr>
      <w:tr w14:paraId="08D65C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3CB36A93">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1.4.1</w:t>
            </w:r>
          </w:p>
        </w:tc>
        <w:tc>
          <w:tcPr>
            <w:tcW w:w="972" w:type="pct"/>
            <w:vAlign w:val="center"/>
          </w:tcPr>
          <w:p w14:paraId="39C74E3C">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资质条件、能力和信誉</w:t>
            </w:r>
          </w:p>
        </w:tc>
        <w:tc>
          <w:tcPr>
            <w:tcW w:w="3445" w:type="pct"/>
            <w:vAlign w:val="center"/>
          </w:tcPr>
          <w:p w14:paraId="5783399C">
            <w:pPr>
              <w:autoSpaceDE/>
              <w:autoSpaceDN/>
              <w:adjustRightInd w:val="0"/>
              <w:snapToGrid w:val="0"/>
              <w:spacing w:beforeLines="0" w:afterLines="0" w:line="400" w:lineRule="exact"/>
              <w:ind w:firstLine="422" w:firstLineChars="200"/>
              <w:rPr>
                <w:rFonts w:ascii="宋体" w:hAnsi="宋体" w:cs="宋体"/>
                <w:b/>
                <w:color w:val="auto"/>
                <w:kern w:val="0"/>
                <w:szCs w:val="21"/>
                <w:highlight w:val="none"/>
                <w:lang w:bidi="ar"/>
              </w:rPr>
            </w:pPr>
            <w:r>
              <w:rPr>
                <w:rFonts w:hint="eastAsia" w:ascii="宋体" w:hAnsi="宋体" w:cs="宋体"/>
                <w:b/>
                <w:color w:val="auto"/>
                <w:kern w:val="0"/>
                <w:szCs w:val="21"/>
                <w:highlight w:val="none"/>
                <w:lang w:bidi="ar"/>
              </w:rPr>
              <w:t>1、资质条件、</w:t>
            </w:r>
            <w:r>
              <w:rPr>
                <w:rFonts w:hint="eastAsia" w:ascii="宋体" w:hAnsi="宋体" w:cs="宋体"/>
                <w:b/>
                <w:color w:val="auto"/>
                <w:kern w:val="0"/>
                <w:szCs w:val="21"/>
                <w:highlight w:val="none"/>
                <w:lang w:eastAsia="zh-CN" w:bidi="ar"/>
              </w:rPr>
              <w:t>独立法人资格</w:t>
            </w:r>
            <w:r>
              <w:rPr>
                <w:rFonts w:hint="eastAsia" w:ascii="宋体" w:hAnsi="宋体" w:cs="宋体"/>
                <w:b/>
                <w:color w:val="auto"/>
                <w:kern w:val="0"/>
                <w:szCs w:val="21"/>
                <w:highlight w:val="none"/>
                <w:lang w:bidi="ar"/>
              </w:rPr>
              <w:t>及安全生产条件</w:t>
            </w:r>
          </w:p>
          <w:p w14:paraId="48727092">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）具备建设行政主管部门颁发的有效的劳务施工不分等级资质。</w:t>
            </w:r>
          </w:p>
          <w:p w14:paraId="0BE2928D">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有效的资质证书复印件。</w:t>
            </w:r>
          </w:p>
          <w:p w14:paraId="778ABA3A">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）具有独立法人资格。</w:t>
            </w:r>
          </w:p>
          <w:p w14:paraId="42921A62">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有效的营业</w:t>
            </w:r>
            <w:r>
              <w:rPr>
                <w:rFonts w:hint="eastAsia" w:ascii="宋体" w:hAnsi="宋体" w:eastAsia="宋体" w:cs="宋体"/>
                <w:color w:val="auto"/>
                <w:szCs w:val="21"/>
                <w:highlight w:val="none"/>
              </w:rPr>
              <w:t>执照</w:t>
            </w:r>
            <w:r>
              <w:rPr>
                <w:rFonts w:hint="eastAsia" w:ascii="宋体" w:hAnsi="宋体" w:eastAsia="宋体" w:cs="宋体"/>
                <w:color w:val="auto"/>
                <w:szCs w:val="21"/>
                <w:highlight w:val="none"/>
                <w:lang w:val="en-US" w:eastAsia="zh-CN"/>
              </w:rPr>
              <w:t>或</w:t>
            </w:r>
            <w:r>
              <w:rPr>
                <w:rFonts w:hint="eastAsia" w:ascii="宋体" w:hAnsi="宋体" w:eastAsia="宋体" w:cs="宋体"/>
                <w:color w:val="auto"/>
                <w:sz w:val="21"/>
                <w:szCs w:val="21"/>
                <w:highlight w:val="none"/>
                <w:lang w:eastAsia="zh-CN"/>
              </w:rPr>
              <w:t>事业单位法人证书</w:t>
            </w:r>
            <w:r>
              <w:rPr>
                <w:rFonts w:hint="eastAsia" w:ascii="宋体" w:hAnsi="宋体" w:eastAsia="宋体" w:cs="宋体"/>
                <w:color w:val="auto"/>
                <w:szCs w:val="21"/>
                <w:highlight w:val="none"/>
              </w:rPr>
              <w:t>复印</w:t>
            </w:r>
            <w:r>
              <w:rPr>
                <w:rFonts w:hint="eastAsia" w:ascii="宋体" w:hAnsi="宋体" w:cs="宋体"/>
                <w:color w:val="auto"/>
                <w:szCs w:val="21"/>
                <w:highlight w:val="none"/>
              </w:rPr>
              <w:t>件。</w:t>
            </w:r>
          </w:p>
          <w:p w14:paraId="6740C9FF">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）具备建设行政主管部门颁发的安全生产许可证</w:t>
            </w:r>
            <w:r>
              <w:rPr>
                <w:rFonts w:hint="eastAsia" w:ascii="宋体" w:hAnsi="宋体" w:cs="宋体"/>
                <w:color w:val="auto"/>
                <w:spacing w:val="2"/>
                <w:szCs w:val="21"/>
                <w:highlight w:val="none"/>
              </w:rPr>
              <w:t>,</w:t>
            </w:r>
            <w:r>
              <w:rPr>
                <w:rFonts w:hint="eastAsia" w:ascii="宋体" w:hAnsi="宋体" w:cs="宋体"/>
                <w:color w:val="auto"/>
                <w:szCs w:val="21"/>
                <w:highlight w:val="none"/>
              </w:rPr>
              <w:t xml:space="preserve"> </w:t>
            </w:r>
            <w:r>
              <w:rPr>
                <w:rFonts w:hint="eastAsia" w:ascii="宋体" w:hAnsi="宋体" w:cs="宋体"/>
                <w:color w:val="auto"/>
                <w:spacing w:val="2"/>
                <w:szCs w:val="21"/>
                <w:highlight w:val="none"/>
              </w:rPr>
              <w:t>企业主要负责人具备相应的由交通行政主管部门或建设主管部门颁发的有效的安全生产考核合格证书</w:t>
            </w:r>
            <w:r>
              <w:rPr>
                <w:rFonts w:hint="eastAsia" w:ascii="宋体" w:hAnsi="宋体" w:cs="宋体"/>
                <w:color w:val="auto"/>
                <w:szCs w:val="21"/>
                <w:highlight w:val="none"/>
              </w:rPr>
              <w:t>。</w:t>
            </w:r>
          </w:p>
          <w:p w14:paraId="2B5003E8">
            <w:pPr>
              <w:autoSpaceDE/>
              <w:autoSpaceDN/>
              <w:adjustRightInd w:val="0"/>
              <w:snapToGrid w:val="0"/>
              <w:spacing w:beforeLines="0" w:afterLines="0" w:line="400" w:lineRule="exact"/>
              <w:ind w:firstLine="428" w:firstLineChars="200"/>
              <w:rPr>
                <w:rFonts w:ascii="宋体" w:hAnsi="宋体" w:cs="宋体"/>
                <w:color w:val="auto"/>
                <w:szCs w:val="21"/>
                <w:highlight w:val="none"/>
              </w:rPr>
            </w:pPr>
            <w:r>
              <w:rPr>
                <w:rFonts w:hint="eastAsia" w:ascii="宋体" w:hAnsi="宋体" w:cs="宋体"/>
                <w:color w:val="auto"/>
                <w:spacing w:val="2"/>
                <w:szCs w:val="21"/>
                <w:highlight w:val="none"/>
              </w:rPr>
              <w:t>提供</w:t>
            </w:r>
            <w:r>
              <w:rPr>
                <w:rFonts w:hint="eastAsia" w:ascii="宋体" w:hAnsi="宋体" w:cs="宋体"/>
                <w:color w:val="auto"/>
                <w:spacing w:val="2"/>
                <w:szCs w:val="21"/>
                <w:highlight w:val="none"/>
                <w:lang w:eastAsia="zh-CN"/>
              </w:rPr>
              <w:t>：</w:t>
            </w:r>
            <w:r>
              <w:rPr>
                <w:rFonts w:hint="eastAsia" w:ascii="宋体" w:hAnsi="宋体" w:cs="宋体"/>
                <w:color w:val="auto"/>
                <w:spacing w:val="2"/>
                <w:szCs w:val="21"/>
                <w:highlight w:val="none"/>
              </w:rPr>
              <w:t>有效的安全生产许可证</w:t>
            </w:r>
            <w:r>
              <w:rPr>
                <w:rFonts w:hint="eastAsia" w:ascii="宋体" w:hAnsi="宋体" w:cs="宋体"/>
                <w:color w:val="auto"/>
                <w:szCs w:val="21"/>
                <w:highlight w:val="none"/>
              </w:rPr>
              <w:t>及安全生产考核合格证书复印件</w:t>
            </w:r>
            <w:r>
              <w:rPr>
                <w:rFonts w:hint="eastAsia" w:ascii="宋体" w:hAnsi="宋体" w:cs="宋体"/>
                <w:color w:val="auto"/>
                <w:spacing w:val="2"/>
                <w:szCs w:val="21"/>
                <w:highlight w:val="none"/>
              </w:rPr>
              <w:t>。</w:t>
            </w:r>
          </w:p>
          <w:p w14:paraId="1F50A969">
            <w:pPr>
              <w:autoSpaceDE/>
              <w:autoSpaceDN/>
              <w:adjustRightInd w:val="0"/>
              <w:snapToGrid w:val="0"/>
              <w:spacing w:beforeLines="0" w:afterLines="0" w:line="400" w:lineRule="exact"/>
              <w:ind w:firstLine="422" w:firstLineChars="200"/>
              <w:rPr>
                <w:rFonts w:ascii="宋体" w:hAnsi="宋体" w:cs="宋体"/>
                <w:b/>
                <w:color w:val="auto"/>
                <w:kern w:val="0"/>
                <w:szCs w:val="21"/>
                <w:highlight w:val="none"/>
                <w:lang w:bidi="ar"/>
              </w:rPr>
            </w:pPr>
            <w:r>
              <w:rPr>
                <w:rFonts w:hint="eastAsia" w:ascii="宋体" w:hAnsi="宋体" w:cs="宋体"/>
                <w:b/>
                <w:color w:val="auto"/>
                <w:szCs w:val="21"/>
                <w:highlight w:val="none"/>
              </w:rPr>
              <w:t>2</w:t>
            </w:r>
            <w:r>
              <w:rPr>
                <w:rFonts w:hint="eastAsia" w:ascii="宋体" w:hAnsi="宋体" w:cs="宋体"/>
                <w:b/>
                <w:color w:val="auto"/>
                <w:kern w:val="0"/>
                <w:szCs w:val="21"/>
                <w:highlight w:val="none"/>
                <w:lang w:bidi="ar"/>
              </w:rPr>
              <w:t>、业绩要求</w:t>
            </w:r>
          </w:p>
          <w:p w14:paraId="791C23A4">
            <w:pPr>
              <w:tabs>
                <w:tab w:val="left" w:pos="3840"/>
                <w:tab w:val="left" w:pos="5300"/>
              </w:tabs>
              <w:autoSpaceDE w:val="0"/>
              <w:autoSpaceDN w:val="0"/>
              <w:adjustRightInd w:val="0"/>
              <w:snapToGrid w:val="0"/>
              <w:spacing w:beforeLines="0" w:afterLines="0" w:line="400" w:lineRule="exact"/>
              <w:ind w:firstLine="420" w:firstLineChars="200"/>
              <w:jc w:val="left"/>
              <w:rPr>
                <w:rFonts w:ascii="宋体" w:hAnsi="宋体" w:cs="宋体"/>
                <w:i/>
                <w:color w:val="auto"/>
                <w:szCs w:val="21"/>
                <w:highlight w:val="none"/>
              </w:rPr>
            </w:pPr>
            <w:r>
              <w:rPr>
                <w:rFonts w:hint="eastAsia" w:ascii="宋体" w:hAnsi="宋体" w:cs="宋体"/>
                <w:snapToGrid w:val="0"/>
                <w:color w:val="auto"/>
                <w:kern w:val="0"/>
                <w:szCs w:val="21"/>
                <w:highlight w:val="none"/>
                <w:u w:val="none"/>
                <w:lang w:eastAsia="zh-CN"/>
              </w:rPr>
              <w:t>供应商</w:t>
            </w:r>
            <w:r>
              <w:rPr>
                <w:rFonts w:hint="eastAsia" w:ascii="宋体" w:hAnsi="宋体" w:cs="宋体"/>
                <w:snapToGrid w:val="0"/>
                <w:color w:val="auto"/>
                <w:kern w:val="0"/>
                <w:szCs w:val="21"/>
                <w:highlight w:val="none"/>
                <w:u w:val="none"/>
              </w:rPr>
              <w:t>20</w:t>
            </w:r>
            <w:r>
              <w:rPr>
                <w:rFonts w:hint="eastAsia" w:ascii="宋体" w:hAnsi="宋体" w:cs="宋体"/>
                <w:snapToGrid w:val="0"/>
                <w:color w:val="auto"/>
                <w:kern w:val="0"/>
                <w:szCs w:val="21"/>
                <w:highlight w:val="none"/>
                <w:u w:val="none"/>
                <w:lang w:val="en-US" w:eastAsia="zh-CN"/>
              </w:rPr>
              <w:t>23</w:t>
            </w:r>
            <w:r>
              <w:rPr>
                <w:rFonts w:hint="eastAsia" w:ascii="宋体" w:hAnsi="宋体" w:cs="宋体"/>
                <w:snapToGrid w:val="0"/>
                <w:color w:val="auto"/>
                <w:kern w:val="0"/>
                <w:szCs w:val="21"/>
                <w:highlight w:val="none"/>
                <w:u w:val="none"/>
              </w:rPr>
              <w:t>年</w:t>
            </w:r>
            <w:r>
              <w:rPr>
                <w:rFonts w:hint="eastAsia" w:ascii="宋体" w:hAnsi="宋体" w:cs="宋体"/>
                <w:snapToGrid w:val="0"/>
                <w:color w:val="auto"/>
                <w:kern w:val="0"/>
                <w:szCs w:val="21"/>
                <w:highlight w:val="none"/>
                <w:u w:val="none"/>
                <w:lang w:val="en-US" w:eastAsia="zh-CN"/>
              </w:rPr>
              <w:t>1</w:t>
            </w:r>
            <w:r>
              <w:rPr>
                <w:rFonts w:hint="eastAsia" w:ascii="宋体" w:hAnsi="宋体" w:cs="宋体"/>
                <w:snapToGrid w:val="0"/>
                <w:color w:val="auto"/>
                <w:kern w:val="0"/>
                <w:szCs w:val="21"/>
                <w:highlight w:val="none"/>
                <w:u w:val="none"/>
              </w:rPr>
              <w:t>月1日至</w:t>
            </w:r>
            <w:r>
              <w:rPr>
                <w:rFonts w:hint="eastAsia" w:ascii="宋体" w:hAnsi="宋体" w:cs="宋体"/>
                <w:snapToGrid w:val="0"/>
                <w:color w:val="auto"/>
                <w:kern w:val="0"/>
                <w:szCs w:val="21"/>
                <w:highlight w:val="none"/>
                <w:u w:val="none"/>
                <w:lang w:eastAsia="zh-CN"/>
              </w:rPr>
              <w:t>比选截止日</w:t>
            </w:r>
            <w:r>
              <w:rPr>
                <w:rFonts w:hint="eastAsia" w:ascii="宋体" w:hAnsi="宋体" w:cs="宋体"/>
                <w:snapToGrid w:val="0"/>
                <w:color w:val="auto"/>
                <w:kern w:val="0"/>
                <w:szCs w:val="21"/>
                <w:highlight w:val="none"/>
                <w:u w:val="none"/>
              </w:rPr>
              <w:t>（</w:t>
            </w:r>
            <w:r>
              <w:rPr>
                <w:rFonts w:hint="eastAsia" w:ascii="宋体" w:hAnsi="宋体" w:cs="宋体"/>
                <w:snapToGrid w:val="0"/>
                <w:color w:val="auto"/>
                <w:kern w:val="0"/>
                <w:szCs w:val="21"/>
                <w:highlight w:val="none"/>
                <w:u w:val="none"/>
                <w:lang w:val="en-US" w:eastAsia="zh-CN"/>
              </w:rPr>
              <w:t>以</w:t>
            </w:r>
            <w:r>
              <w:rPr>
                <w:rFonts w:hint="eastAsia" w:ascii="宋体" w:hAnsi="宋体" w:cs="宋体"/>
                <w:snapToGrid w:val="0"/>
                <w:color w:val="auto"/>
                <w:kern w:val="0"/>
                <w:szCs w:val="21"/>
                <w:highlight w:val="none"/>
                <w:u w:val="none"/>
              </w:rPr>
              <w:t>合同签订时间为准）具有一</w:t>
            </w:r>
            <w:r>
              <w:rPr>
                <w:rFonts w:hint="eastAsia" w:ascii="宋体" w:hAnsi="宋体" w:eastAsia="宋体" w:cs="宋体"/>
                <w:snapToGrid w:val="0"/>
                <w:color w:val="auto"/>
                <w:kern w:val="0"/>
                <w:szCs w:val="21"/>
                <w:highlight w:val="none"/>
                <w:u w:val="none"/>
              </w:rPr>
              <w:t>个合同金额</w:t>
            </w:r>
            <w:r>
              <w:rPr>
                <w:rFonts w:hint="eastAsia" w:ascii="宋体" w:hAnsi="宋体" w:eastAsia="宋体" w:cs="宋体"/>
                <w:snapToGrid w:val="0"/>
                <w:color w:val="auto"/>
                <w:kern w:val="0"/>
                <w:szCs w:val="21"/>
                <w:highlight w:val="none"/>
                <w:u w:val="none"/>
                <w:lang w:val="en-US" w:eastAsia="zh-CN"/>
              </w:rPr>
              <w:t>100</w:t>
            </w:r>
            <w:r>
              <w:rPr>
                <w:rFonts w:hint="eastAsia" w:ascii="宋体" w:hAnsi="宋体" w:eastAsia="宋体" w:cs="宋体"/>
                <w:snapToGrid w:val="0"/>
                <w:color w:val="auto"/>
                <w:kern w:val="0"/>
                <w:szCs w:val="21"/>
                <w:highlight w:val="none"/>
                <w:u w:val="none"/>
              </w:rPr>
              <w:t>万元</w:t>
            </w:r>
            <w:r>
              <w:rPr>
                <w:rFonts w:hint="eastAsia" w:ascii="宋体" w:hAnsi="宋体" w:eastAsia="宋体" w:cs="宋体"/>
                <w:snapToGrid w:val="0"/>
                <w:color w:val="auto"/>
                <w:kern w:val="0"/>
                <w:sz w:val="21"/>
                <w:szCs w:val="21"/>
                <w:highlight w:val="none"/>
                <w:u w:val="none"/>
              </w:rPr>
              <w:t>及以上的公路</w:t>
            </w:r>
            <w:r>
              <w:rPr>
                <w:rFonts w:hint="eastAsia" w:ascii="宋体" w:hAnsi="宋体" w:eastAsia="宋体" w:cs="宋体"/>
                <w:snapToGrid w:val="0"/>
                <w:color w:val="auto"/>
                <w:kern w:val="0"/>
                <w:sz w:val="21"/>
                <w:szCs w:val="21"/>
                <w:highlight w:val="none"/>
                <w:u w:val="none"/>
                <w:lang w:val="en-US" w:eastAsia="zh-CN"/>
              </w:rPr>
              <w:t>行业</w:t>
            </w:r>
            <w:r>
              <w:rPr>
                <w:rFonts w:hint="eastAsia" w:ascii="宋体" w:hAnsi="宋体" w:eastAsia="宋体" w:cs="宋体"/>
                <w:snapToGrid w:val="0"/>
                <w:color w:val="auto"/>
                <w:kern w:val="0"/>
                <w:sz w:val="21"/>
                <w:szCs w:val="21"/>
                <w:highlight w:val="none"/>
                <w:u w:val="none"/>
              </w:rPr>
              <w:t>机电工程劳务施工或维护业绩</w:t>
            </w:r>
            <w:r>
              <w:rPr>
                <w:rFonts w:hint="eastAsia" w:ascii="宋体" w:hAnsi="宋体" w:eastAsia="宋体" w:cs="宋体"/>
                <w:snapToGrid w:val="0"/>
                <w:color w:val="auto"/>
                <w:kern w:val="0"/>
                <w:szCs w:val="21"/>
                <w:highlight w:val="none"/>
                <w:u w:val="none"/>
              </w:rPr>
              <w:t>。</w:t>
            </w:r>
          </w:p>
          <w:p w14:paraId="672F9E25">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snapToGrid w:val="0"/>
                <w:color w:val="auto"/>
                <w:kern w:val="0"/>
                <w:szCs w:val="21"/>
                <w:highlight w:val="none"/>
              </w:rPr>
              <w:t>提供</w:t>
            </w:r>
            <w:r>
              <w:rPr>
                <w:rFonts w:hint="eastAsia" w:ascii="宋体" w:hAnsi="宋体" w:cs="宋体"/>
                <w:snapToGrid w:val="0"/>
                <w:color w:val="auto"/>
                <w:kern w:val="0"/>
                <w:szCs w:val="21"/>
                <w:highlight w:val="none"/>
                <w:lang w:eastAsia="zh-CN"/>
              </w:rPr>
              <w:t>：</w:t>
            </w:r>
            <w:r>
              <w:rPr>
                <w:rFonts w:hint="eastAsia" w:ascii="宋体" w:hAnsi="宋体" w:cs="宋体"/>
                <w:snapToGrid w:val="0"/>
                <w:color w:val="auto"/>
                <w:kern w:val="0"/>
                <w:szCs w:val="21"/>
                <w:highlight w:val="none"/>
              </w:rPr>
              <w:t>业绩合同复印件</w:t>
            </w:r>
            <w:r>
              <w:rPr>
                <w:rFonts w:hint="eastAsia" w:ascii="宋体" w:hAnsi="宋体" w:cs="宋体"/>
                <w:snapToGrid w:val="0"/>
                <w:color w:val="auto"/>
                <w:kern w:val="0"/>
                <w:szCs w:val="21"/>
                <w:highlight w:val="none"/>
                <w:lang w:eastAsia="zh-CN"/>
              </w:rPr>
              <w:t>，合同提供关键页即可，</w:t>
            </w:r>
            <w:r>
              <w:rPr>
                <w:rFonts w:hint="eastAsia" w:ascii="宋体" w:hAnsi="宋体" w:eastAsia="宋体" w:cs="宋体"/>
                <w:color w:val="auto"/>
                <w:kern w:val="0"/>
                <w:sz w:val="21"/>
                <w:szCs w:val="21"/>
                <w:highlight w:val="none"/>
              </w:rPr>
              <w:t>合同需清晰反映上述业绩要求的主要内容，包括但不限于合同首尾页、签章页、金额页</w:t>
            </w:r>
            <w:r>
              <w:rPr>
                <w:rFonts w:hint="eastAsia" w:ascii="宋体" w:hAnsi="宋体" w:eastAsia="宋体" w:cs="宋体"/>
                <w:color w:val="auto"/>
                <w:kern w:val="0"/>
                <w:sz w:val="21"/>
                <w:szCs w:val="21"/>
                <w:highlight w:val="none"/>
                <w:lang w:val="en-US" w:eastAsia="zh-CN"/>
              </w:rPr>
              <w:t>等</w:t>
            </w:r>
            <w:r>
              <w:rPr>
                <w:rFonts w:hint="eastAsia" w:ascii="宋体" w:hAnsi="宋体" w:eastAsia="宋体" w:cs="宋体"/>
                <w:color w:val="auto"/>
                <w:kern w:val="0"/>
                <w:sz w:val="21"/>
                <w:szCs w:val="21"/>
                <w:highlight w:val="none"/>
              </w:rPr>
              <w:t>，需能充分体现以上业绩要求各项要素。</w:t>
            </w:r>
          </w:p>
          <w:p w14:paraId="10746855">
            <w:pPr>
              <w:autoSpaceDE/>
              <w:autoSpaceDN/>
              <w:adjustRightInd w:val="0"/>
              <w:snapToGrid w:val="0"/>
              <w:spacing w:beforeLines="0" w:afterLines="0" w:line="400" w:lineRule="exact"/>
              <w:ind w:firstLine="422" w:firstLineChars="200"/>
              <w:rPr>
                <w:rFonts w:ascii="宋体" w:hAnsi="宋体" w:cs="宋体"/>
                <w:b/>
                <w:color w:val="auto"/>
                <w:kern w:val="0"/>
                <w:szCs w:val="21"/>
                <w:highlight w:val="none"/>
                <w:lang w:bidi="ar"/>
              </w:rPr>
            </w:pPr>
            <w:r>
              <w:rPr>
                <w:rFonts w:hint="eastAsia" w:ascii="宋体" w:hAnsi="宋体" w:cs="宋体"/>
                <w:b/>
                <w:color w:val="auto"/>
                <w:kern w:val="0"/>
                <w:szCs w:val="21"/>
                <w:highlight w:val="none"/>
                <w:lang w:bidi="ar"/>
              </w:rPr>
              <w:t>4、</w:t>
            </w:r>
            <w:r>
              <w:rPr>
                <w:rFonts w:hint="eastAsia" w:ascii="宋体" w:hAnsi="宋体" w:cs="宋体"/>
                <w:b/>
                <w:color w:val="auto"/>
                <w:kern w:val="0"/>
                <w:szCs w:val="21"/>
                <w:highlight w:val="none"/>
                <w:lang w:eastAsia="zh-CN" w:bidi="ar"/>
              </w:rPr>
              <w:t>比选截止日</w:t>
            </w:r>
            <w:r>
              <w:rPr>
                <w:rFonts w:hint="eastAsia" w:ascii="宋体" w:hAnsi="宋体" w:cs="宋体"/>
                <w:b/>
                <w:color w:val="auto"/>
                <w:kern w:val="0"/>
                <w:szCs w:val="21"/>
                <w:highlight w:val="none"/>
                <w:lang w:bidi="ar"/>
              </w:rPr>
              <w:t>投标资格情况要求</w:t>
            </w:r>
          </w:p>
          <w:p w14:paraId="41E35452">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不得存在下列情形之一：</w:t>
            </w:r>
          </w:p>
          <w:p w14:paraId="5297B3B1">
            <w:pPr>
              <w:keepNext w:val="0"/>
              <w:keepLines w:val="0"/>
              <w:pageBreakBefore w:val="0"/>
              <w:kinsoku/>
              <w:wordWrap/>
              <w:overflowPunct/>
              <w:topLinePunct w:val="0"/>
              <w:bidi w:val="0"/>
              <w:adjustRightInd w:val="0"/>
              <w:snapToGrid w:val="0"/>
              <w:spacing w:beforeLines="0" w:afterLines="0" w:line="400" w:lineRule="exact"/>
              <w:ind w:firstLine="420" w:firstLineChars="200"/>
              <w:jc w:val="left"/>
              <w:textAlignment w:val="auto"/>
              <w:rPr>
                <w:rFonts w:ascii="宋体" w:hAnsi="宋体"/>
                <w:color w:val="auto"/>
                <w:szCs w:val="21"/>
                <w:highlight w:val="none"/>
              </w:rPr>
            </w:pPr>
            <w:r>
              <w:rPr>
                <w:rFonts w:hint="eastAsia" w:ascii="宋体" w:hAnsi="宋体"/>
                <w:color w:val="auto"/>
                <w:szCs w:val="21"/>
                <w:highlight w:val="none"/>
              </w:rPr>
              <w:t>（1）被人民法院列入失信被执行人名单且在被执行期内；</w:t>
            </w:r>
          </w:p>
          <w:p w14:paraId="6B15485D">
            <w:pPr>
              <w:keepNext w:val="0"/>
              <w:keepLines w:val="0"/>
              <w:pageBreakBefore w:val="0"/>
              <w:kinsoku/>
              <w:wordWrap/>
              <w:overflowPunct/>
              <w:topLinePunct w:val="0"/>
              <w:bidi w:val="0"/>
              <w:adjustRightInd w:val="0"/>
              <w:snapToGrid w:val="0"/>
              <w:spacing w:beforeLines="0" w:afterLines="0" w:line="400" w:lineRule="exact"/>
              <w:ind w:firstLine="420" w:firstLineChars="200"/>
              <w:textAlignment w:val="auto"/>
              <w:rPr>
                <w:rFonts w:hint="eastAsia" w:ascii="宋体" w:hAnsi="宋体" w:eastAsia="宋体"/>
                <w:color w:val="auto"/>
                <w:szCs w:val="21"/>
                <w:highlight w:val="none"/>
                <w:lang w:eastAsia="zh-CN"/>
              </w:rPr>
            </w:pPr>
            <w:r>
              <w:rPr>
                <w:rFonts w:hint="eastAsia" w:ascii="宋体" w:hAnsi="宋体"/>
                <w:color w:val="auto"/>
                <w:szCs w:val="21"/>
                <w:highlight w:val="none"/>
              </w:rPr>
              <w:t>（2）被国家、重庆市（含市或任意区县）有关行政部门处以</w:t>
            </w:r>
            <w:r>
              <w:rPr>
                <w:rFonts w:hint="eastAsia" w:cs="Times New Roman"/>
                <w:color w:val="auto"/>
                <w:sz w:val="21"/>
                <w:szCs w:val="21"/>
                <w:highlight w:val="none"/>
                <w:lang w:eastAsia="zh-CN"/>
              </w:rPr>
              <w:t>暂停投标资格处罚或禁止从业处罚，且在处罚期限内</w:t>
            </w:r>
            <w:r>
              <w:rPr>
                <w:rFonts w:hint="eastAsia" w:ascii="宋体" w:hAnsi="宋体"/>
                <w:color w:val="auto"/>
                <w:szCs w:val="21"/>
                <w:highlight w:val="none"/>
                <w:lang w:eastAsia="zh-CN"/>
              </w:rPr>
              <w:t>；</w:t>
            </w:r>
          </w:p>
          <w:p w14:paraId="2E968D79">
            <w:pPr>
              <w:keepNext w:val="0"/>
              <w:keepLines w:val="0"/>
              <w:pageBreakBefore w:val="0"/>
              <w:kinsoku/>
              <w:wordWrap/>
              <w:overflowPunct/>
              <w:topLinePunct w:val="0"/>
              <w:bidi w:val="0"/>
              <w:adjustRightInd w:val="0"/>
              <w:snapToGrid w:val="0"/>
              <w:spacing w:beforeLines="0" w:afterLines="0" w:line="400" w:lineRule="exact"/>
              <w:ind w:firstLine="420" w:firstLineChars="200"/>
              <w:textAlignment w:val="auto"/>
              <w:rPr>
                <w:rFonts w:ascii="宋体" w:hAnsi="宋体"/>
                <w:color w:val="auto"/>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lang w:eastAsia="zh-CN"/>
              </w:rPr>
              <w:t>）</w:t>
            </w:r>
            <w:r>
              <w:rPr>
                <w:rFonts w:hint="eastAsia" w:ascii="宋体" w:hAnsi="宋体" w:eastAsia="宋体" w:cs="宋体"/>
                <w:color w:val="auto"/>
                <w:kern w:val="0"/>
                <w:highlight w:val="none"/>
              </w:rPr>
              <w:t>第二章“</w:t>
            </w:r>
            <w:r>
              <w:rPr>
                <w:rFonts w:hint="eastAsia" w:ascii="宋体" w:hAnsi="宋体" w:eastAsia="宋体" w:cs="宋体"/>
                <w:color w:val="auto"/>
                <w:kern w:val="0"/>
                <w:highlight w:val="none"/>
                <w:lang w:eastAsia="zh-CN"/>
              </w:rPr>
              <w:t>供应商</w:t>
            </w:r>
            <w:r>
              <w:rPr>
                <w:rFonts w:hint="eastAsia" w:ascii="宋体" w:hAnsi="宋体" w:eastAsia="宋体" w:cs="宋体"/>
                <w:color w:val="auto"/>
                <w:kern w:val="0"/>
                <w:highlight w:val="none"/>
              </w:rPr>
              <w:t>须知”第1.4.3项规定</w:t>
            </w:r>
            <w:r>
              <w:rPr>
                <w:rFonts w:hint="eastAsia" w:ascii="宋体" w:hAnsi="宋体" w:eastAsia="宋体" w:cs="宋体"/>
                <w:color w:val="auto"/>
                <w:kern w:val="0"/>
                <w:highlight w:val="none"/>
                <w:lang w:val="en-US" w:eastAsia="zh-CN"/>
              </w:rPr>
              <w:t>的情形之一</w:t>
            </w:r>
            <w:r>
              <w:rPr>
                <w:rFonts w:hint="eastAsia" w:ascii="宋体" w:hAnsi="宋体" w:eastAsia="宋体" w:cs="宋体"/>
                <w:color w:val="auto"/>
                <w:kern w:val="0"/>
                <w:highlight w:val="none"/>
                <w:lang w:eastAsia="zh-CN"/>
              </w:rPr>
              <w:t>；</w:t>
            </w:r>
            <w:r>
              <w:rPr>
                <w:rFonts w:hint="eastAsia" w:ascii="宋体" w:hAnsi="宋体" w:eastAsia="宋体" w:cs="宋体"/>
                <w:color w:val="auto"/>
                <w:kern w:val="0"/>
                <w:highlight w:val="none"/>
                <w:lang w:val="en-US" w:eastAsia="zh-CN"/>
              </w:rPr>
              <w:t>第二章“供应商须知”第9.2款规定的情形之一</w:t>
            </w:r>
            <w:r>
              <w:rPr>
                <w:rFonts w:hint="eastAsia" w:ascii="宋体" w:hAnsi="宋体"/>
                <w:color w:val="auto"/>
                <w:szCs w:val="21"/>
                <w:highlight w:val="none"/>
              </w:rPr>
              <w:t>。</w:t>
            </w:r>
          </w:p>
          <w:p w14:paraId="1F8E6D48">
            <w:pPr>
              <w:adjustRightInd w:val="0"/>
              <w:snapToGrid w:val="0"/>
              <w:spacing w:beforeLines="0" w:afterLines="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（4）被国家企业信用信息公示系统（http://www.gsxt.gov.cn/）中列入严重违法失信企业名单（黑名单）信息。</w:t>
            </w:r>
          </w:p>
          <w:p w14:paraId="75E5576C">
            <w:pPr>
              <w:adjustRightInd w:val="0"/>
              <w:snapToGrid w:val="0"/>
              <w:spacing w:beforeLines="0" w:afterLines="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（5）被“信用中国”网站（http://www.creditchina.gov.cn/）列入严重失信主体名单。</w:t>
            </w:r>
          </w:p>
          <w:p w14:paraId="28C21303">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承诺（格式见第九章</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格式）。</w:t>
            </w:r>
          </w:p>
          <w:p w14:paraId="26B41A4C">
            <w:pPr>
              <w:autoSpaceDE/>
              <w:autoSpaceDN/>
              <w:adjustRightInd w:val="0"/>
              <w:snapToGrid w:val="0"/>
              <w:spacing w:beforeLines="0" w:afterLines="0" w:line="400" w:lineRule="exact"/>
              <w:ind w:firstLine="422" w:firstLineChars="200"/>
              <w:rPr>
                <w:rFonts w:hint="default" w:ascii="宋体" w:hAnsi="宋体" w:eastAsia="宋体" w:cs="宋体"/>
                <w:b/>
                <w:color w:val="auto"/>
                <w:kern w:val="0"/>
                <w:szCs w:val="21"/>
                <w:highlight w:val="none"/>
                <w:lang w:val="en-US" w:eastAsia="zh-CN" w:bidi="ar"/>
              </w:rPr>
            </w:pPr>
            <w:r>
              <w:rPr>
                <w:rFonts w:hint="eastAsia" w:ascii="宋体" w:hAnsi="宋体" w:cs="宋体"/>
                <w:b/>
                <w:color w:val="auto"/>
                <w:kern w:val="0"/>
                <w:szCs w:val="21"/>
                <w:highlight w:val="none"/>
                <w:lang w:bidi="ar"/>
              </w:rPr>
              <w:t>5、项目经理、项目总工、</w:t>
            </w:r>
            <w:r>
              <w:rPr>
                <w:rFonts w:hint="eastAsia" w:ascii="宋体" w:hAnsi="宋体" w:cs="宋体"/>
                <w:b/>
                <w:color w:val="auto"/>
                <w:kern w:val="0"/>
                <w:szCs w:val="21"/>
                <w:highlight w:val="none"/>
                <w:lang w:val="en-US" w:eastAsia="zh-CN" w:bidi="ar"/>
              </w:rPr>
              <w:t>安全负责人</w:t>
            </w:r>
          </w:p>
          <w:p w14:paraId="5878FC4E">
            <w:pPr>
              <w:adjustRightInd w:val="0"/>
              <w:snapToGrid w:val="0"/>
              <w:spacing w:beforeLines="0" w:afterLines="0" w:line="400" w:lineRule="exact"/>
              <w:ind w:firstLine="420" w:firstLineChars="200"/>
              <w:rPr>
                <w:rFonts w:ascii="宋体" w:hAnsi="宋体" w:cs="宋体"/>
                <w:bCs/>
                <w:snapToGrid w:val="0"/>
                <w:color w:val="auto"/>
                <w:szCs w:val="21"/>
                <w:highlight w:val="none"/>
              </w:rPr>
            </w:pPr>
            <w:r>
              <w:rPr>
                <w:rFonts w:hint="eastAsia" w:ascii="宋体" w:hAnsi="宋体" w:cs="宋体"/>
                <w:color w:val="auto"/>
                <w:szCs w:val="21"/>
                <w:highlight w:val="none"/>
              </w:rPr>
              <w:t>5.1</w:t>
            </w:r>
            <w:r>
              <w:rPr>
                <w:rFonts w:hint="eastAsia" w:ascii="宋体" w:hAnsi="宋体" w:cs="宋体"/>
                <w:bCs/>
                <w:snapToGrid w:val="0"/>
                <w:color w:val="auto"/>
                <w:szCs w:val="21"/>
                <w:highlight w:val="none"/>
              </w:rPr>
              <w:t>项目经理：1 人。</w:t>
            </w:r>
          </w:p>
          <w:p w14:paraId="01C74FEE">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5.1.1</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拟派的项目经理须</w:t>
            </w:r>
            <w:r>
              <w:rPr>
                <w:rFonts w:hint="eastAsia" w:ascii="宋体" w:hAnsi="宋体" w:cs="宋体"/>
                <w:color w:val="auto"/>
                <w:szCs w:val="21"/>
                <w:highlight w:val="none"/>
                <w:lang w:val="en-US" w:eastAsia="zh-CN"/>
              </w:rPr>
              <w:t>是</w:t>
            </w:r>
            <w:r>
              <w:rPr>
                <w:rFonts w:hint="eastAsia"/>
                <w:color w:val="auto"/>
                <w:szCs w:val="21"/>
                <w:highlight w:val="none"/>
                <w:lang w:val="en-US" w:eastAsia="zh-CN"/>
              </w:rPr>
              <w:t>供应商单位人员，</w:t>
            </w:r>
            <w:r>
              <w:rPr>
                <w:color w:val="auto"/>
                <w:szCs w:val="21"/>
                <w:highlight w:val="none"/>
              </w:rPr>
              <w:t>应</w:t>
            </w:r>
            <w:r>
              <w:rPr>
                <w:rFonts w:hint="eastAsia"/>
                <w:color w:val="auto"/>
                <w:szCs w:val="21"/>
                <w:highlight w:val="none"/>
                <w:lang w:val="en-US" w:eastAsia="zh-CN"/>
              </w:rPr>
              <w:t>具备</w:t>
            </w:r>
            <w:r>
              <w:rPr>
                <w:rFonts w:hint="eastAsia" w:ascii="宋体" w:hAnsi="宋体" w:cs="宋体"/>
                <w:color w:val="auto"/>
                <w:szCs w:val="21"/>
                <w:highlight w:val="none"/>
              </w:rPr>
              <w:t>机电工程专业</w:t>
            </w:r>
            <w:r>
              <w:rPr>
                <w:rFonts w:hint="eastAsia" w:ascii="宋体" w:hAnsi="宋体" w:cs="宋体"/>
                <w:color w:val="auto"/>
                <w:szCs w:val="21"/>
                <w:highlight w:val="none"/>
                <w:lang w:eastAsia="zh-CN"/>
              </w:rPr>
              <w:t>二</w:t>
            </w:r>
            <w:r>
              <w:rPr>
                <w:rFonts w:hint="eastAsia" w:ascii="宋体" w:hAnsi="宋体" w:cs="宋体"/>
                <w:color w:val="auto"/>
                <w:szCs w:val="21"/>
                <w:highlight w:val="none"/>
              </w:rPr>
              <w:t>级</w:t>
            </w:r>
            <w:r>
              <w:rPr>
                <w:rFonts w:hint="eastAsia" w:ascii="宋体" w:hAnsi="宋体" w:cs="宋体"/>
                <w:color w:val="auto"/>
                <w:szCs w:val="21"/>
                <w:highlight w:val="none"/>
                <w:lang w:eastAsia="zh-CN"/>
              </w:rPr>
              <w:t>及以上</w:t>
            </w:r>
            <w:r>
              <w:rPr>
                <w:rFonts w:hint="eastAsia" w:ascii="宋体" w:hAnsi="宋体" w:cs="宋体"/>
                <w:color w:val="auto"/>
                <w:szCs w:val="21"/>
                <w:highlight w:val="none"/>
              </w:rPr>
              <w:t>注册建造师执业资格</w:t>
            </w:r>
            <w:r>
              <w:rPr>
                <w:rFonts w:hint="eastAsia" w:ascii="宋体" w:hAnsi="宋体"/>
                <w:color w:val="auto"/>
                <w:szCs w:val="21"/>
                <w:highlight w:val="none"/>
                <w:lang w:val="en-US" w:eastAsia="zh-CN"/>
              </w:rPr>
              <w:t>并在供应商单位注册</w:t>
            </w:r>
            <w:r>
              <w:rPr>
                <w:rFonts w:hint="eastAsia" w:ascii="宋体" w:hAnsi="宋体" w:cs="宋体"/>
                <w:color w:val="auto"/>
                <w:szCs w:val="21"/>
                <w:highlight w:val="none"/>
              </w:rPr>
              <w:t>，并具有省级及以上交通行政主管部门或建设主管部门颁发的安全生产考核合格证书（B类）。</w:t>
            </w:r>
          </w:p>
          <w:p w14:paraId="1CAEF588">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5.1.2项目经理要求：</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须承诺拟派项目经理按注册建造师的相关规定到岗履职和未被禁止参与投标。</w:t>
            </w:r>
          </w:p>
          <w:p w14:paraId="312FFBF5">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5.1.2.1到岗履职要求：承诺拟派项目经理</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后在本项目任职，签订合同时拟派的项目经理必须与</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中的项目经理一致，并满足办理施工许可手续的相关要求。不能按承诺到岗履约的，按合同相关条款处罚，给</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造成损失的，</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依法承担违约赔偿责任。拟派项目经理</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后不得随意更换。</w:t>
            </w:r>
          </w:p>
          <w:p w14:paraId="53070546">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5.1.2.2未被禁止参与投标要求：</w:t>
            </w:r>
            <w:r>
              <w:rPr>
                <w:rFonts w:hint="eastAsia" w:ascii="宋体" w:hAnsi="宋体"/>
                <w:color w:val="auto"/>
                <w:szCs w:val="21"/>
                <w:highlight w:val="none"/>
              </w:rPr>
              <w:t>承诺拟派项目经理</w:t>
            </w:r>
            <w:r>
              <w:rPr>
                <w:rFonts w:hint="eastAsia" w:ascii="宋体" w:hAnsi="宋体"/>
                <w:color w:val="auto"/>
                <w:szCs w:val="21"/>
                <w:highlight w:val="none"/>
                <w:lang w:eastAsia="zh-CN"/>
              </w:rPr>
              <w:t>中选</w:t>
            </w:r>
            <w:r>
              <w:rPr>
                <w:rFonts w:hint="eastAsia" w:ascii="宋体" w:hAnsi="宋体"/>
                <w:color w:val="auto"/>
                <w:szCs w:val="21"/>
                <w:highlight w:val="none"/>
              </w:rPr>
              <w:t>后在本项目任职，签订合同时拟派的项目经理必须与</w:t>
            </w:r>
            <w:r>
              <w:rPr>
                <w:rFonts w:hint="eastAsia" w:ascii="宋体" w:hAnsi="宋体"/>
                <w:color w:val="auto"/>
                <w:szCs w:val="21"/>
                <w:highlight w:val="none"/>
                <w:lang w:eastAsia="zh-CN"/>
              </w:rPr>
              <w:t>响应文件</w:t>
            </w:r>
            <w:r>
              <w:rPr>
                <w:rFonts w:hint="eastAsia" w:ascii="宋体" w:hAnsi="宋体"/>
                <w:color w:val="auto"/>
                <w:szCs w:val="21"/>
                <w:highlight w:val="none"/>
              </w:rPr>
              <w:t>中的项目经理一致，并满足办理施工许可手续的相关要求。不能按承诺到岗</w:t>
            </w:r>
            <w:r>
              <w:rPr>
                <w:rFonts w:hint="eastAsia" w:ascii="宋体" w:hAnsi="宋体"/>
                <w:color w:val="auto"/>
                <w:szCs w:val="21"/>
                <w:highlight w:val="none"/>
                <w:lang w:eastAsia="zh-CN"/>
              </w:rPr>
              <w:t>履职</w:t>
            </w:r>
            <w:r>
              <w:rPr>
                <w:rFonts w:hint="eastAsia" w:ascii="宋体" w:hAnsi="宋体"/>
                <w:color w:val="auto"/>
                <w:szCs w:val="21"/>
                <w:highlight w:val="none"/>
              </w:rPr>
              <w:t>的，</w:t>
            </w:r>
            <w:r>
              <w:rPr>
                <w:rFonts w:hint="eastAsia" w:ascii="宋体" w:hAnsi="宋体"/>
                <w:color w:val="auto"/>
                <w:szCs w:val="21"/>
                <w:highlight w:val="none"/>
                <w:lang w:eastAsia="zh-CN"/>
              </w:rPr>
              <w:t>采购人</w:t>
            </w:r>
            <w:r>
              <w:rPr>
                <w:rFonts w:hint="eastAsia" w:ascii="宋体" w:hAnsi="宋体"/>
                <w:color w:val="auto"/>
                <w:szCs w:val="21"/>
                <w:highlight w:val="none"/>
              </w:rPr>
              <w:t>按合同相关条款</w:t>
            </w:r>
            <w:r>
              <w:rPr>
                <w:rFonts w:hint="eastAsia" w:ascii="宋体" w:hAnsi="宋体"/>
                <w:color w:val="auto"/>
                <w:szCs w:val="21"/>
                <w:highlight w:val="none"/>
                <w:lang w:eastAsia="zh-CN"/>
              </w:rPr>
              <w:t>要求供应商承担责任</w:t>
            </w:r>
            <w:r>
              <w:rPr>
                <w:rFonts w:hint="eastAsia" w:ascii="宋体" w:hAnsi="宋体"/>
                <w:color w:val="auto"/>
                <w:szCs w:val="21"/>
                <w:highlight w:val="none"/>
              </w:rPr>
              <w:t>并上报行政主管部门，给</w:t>
            </w:r>
            <w:r>
              <w:rPr>
                <w:rFonts w:hint="eastAsia" w:ascii="宋体" w:hAnsi="宋体"/>
                <w:color w:val="auto"/>
                <w:szCs w:val="21"/>
                <w:highlight w:val="none"/>
                <w:lang w:eastAsia="zh-CN"/>
              </w:rPr>
              <w:t>采购人</w:t>
            </w:r>
            <w:r>
              <w:rPr>
                <w:rFonts w:hint="eastAsia" w:ascii="宋体" w:hAnsi="宋体"/>
                <w:color w:val="auto"/>
                <w:szCs w:val="21"/>
                <w:highlight w:val="none"/>
              </w:rPr>
              <w:t>造成损失的，</w:t>
            </w:r>
            <w:r>
              <w:rPr>
                <w:rFonts w:hint="eastAsia" w:ascii="宋体" w:hAnsi="宋体"/>
                <w:color w:val="auto"/>
                <w:szCs w:val="21"/>
                <w:highlight w:val="none"/>
                <w:lang w:eastAsia="zh-CN"/>
              </w:rPr>
              <w:t>供应商</w:t>
            </w:r>
            <w:r>
              <w:rPr>
                <w:rFonts w:hint="eastAsia" w:ascii="宋体" w:hAnsi="宋体"/>
                <w:color w:val="auto"/>
                <w:szCs w:val="21"/>
                <w:highlight w:val="none"/>
              </w:rPr>
              <w:t>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。拟派项目经理</w:t>
            </w:r>
            <w:r>
              <w:rPr>
                <w:rFonts w:hint="eastAsia" w:ascii="宋体" w:hAnsi="宋体"/>
                <w:color w:val="auto"/>
                <w:szCs w:val="21"/>
                <w:highlight w:val="none"/>
                <w:lang w:eastAsia="zh-CN"/>
              </w:rPr>
              <w:t>中选</w:t>
            </w:r>
            <w:r>
              <w:rPr>
                <w:rFonts w:hint="eastAsia" w:ascii="宋体" w:hAnsi="宋体"/>
                <w:color w:val="auto"/>
                <w:szCs w:val="21"/>
                <w:highlight w:val="none"/>
              </w:rPr>
              <w:t>后不得随意更换。</w:t>
            </w:r>
          </w:p>
          <w:p w14:paraId="69E939FE">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5.1.2.3为保证</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拟派的项目经理到本项目到岗履职，</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还需承诺：</w:t>
            </w:r>
          </w:p>
          <w:p w14:paraId="0A291AFA">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若</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拟派本项目的项目经理有在其他项目任职的情形的（或有在其他项目</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的情形的），应在收到</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通知书后</w:t>
            </w:r>
            <w:r>
              <w:rPr>
                <w:rFonts w:hint="eastAsia" w:ascii="宋体" w:hAnsi="宋体" w:cs="宋体"/>
                <w:color w:val="auto"/>
                <w:szCs w:val="21"/>
                <w:highlight w:val="none"/>
                <w:u w:val="single"/>
              </w:rPr>
              <w:t xml:space="preserve"> 14 </w:t>
            </w:r>
            <w:r>
              <w:rPr>
                <w:rFonts w:hint="eastAsia" w:ascii="宋体" w:hAnsi="宋体" w:cs="宋体"/>
                <w:color w:val="auto"/>
                <w:szCs w:val="21"/>
                <w:highlight w:val="none"/>
              </w:rPr>
              <w:t>日内，办理完成放弃在其他项目任职的手续（或办理完成放弃在其他项目</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的手续），</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在合同签订前有权对</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拟派项目经理在其他项目的任职情形（或在其他项目的</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情形）进行核查，若与</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承诺内容不符或</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未在上述时间内按照</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规定递交放弃在其他项目任职、</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的相关资料，视为</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资格，</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不退还其</w:t>
            </w:r>
            <w:r>
              <w:rPr>
                <w:rFonts w:hint="eastAsia" w:ascii="宋体" w:hAnsi="宋体" w:cs="宋体"/>
                <w:color w:val="auto"/>
                <w:szCs w:val="21"/>
                <w:highlight w:val="none"/>
                <w:lang w:eastAsia="zh-CN"/>
              </w:rPr>
              <w:t>比选保证金</w:t>
            </w:r>
            <w:r>
              <w:rPr>
                <w:rFonts w:hint="eastAsia" w:ascii="宋体" w:hAnsi="宋体" w:cs="宋体"/>
                <w:color w:val="auto"/>
                <w:szCs w:val="21"/>
                <w:highlight w:val="none"/>
              </w:rPr>
              <w:t>。在合同签订时，</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需确保拟派项目经理符合《建筑施工企业项目经理资质管理办法》规定的项目经理任职条件，否则视为</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资格，</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不退还其</w:t>
            </w:r>
            <w:r>
              <w:rPr>
                <w:rFonts w:hint="eastAsia" w:ascii="宋体" w:hAnsi="宋体" w:cs="宋体"/>
                <w:color w:val="auto"/>
                <w:szCs w:val="21"/>
                <w:highlight w:val="none"/>
                <w:lang w:eastAsia="zh-CN"/>
              </w:rPr>
              <w:t>比选保证金</w:t>
            </w:r>
            <w:r>
              <w:rPr>
                <w:rFonts w:hint="eastAsia" w:ascii="宋体" w:hAnsi="宋体" w:cs="宋体"/>
                <w:color w:val="auto"/>
                <w:szCs w:val="21"/>
                <w:highlight w:val="none"/>
              </w:rPr>
              <w:t>。</w:t>
            </w:r>
          </w:p>
          <w:p w14:paraId="16E30C69">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放弃在其他项目任职的需提供：①经业主或建设单位同意任职变更的文件；②负责项目监管的行业行政主管部门出具同意任职变更的证明材料。</w:t>
            </w:r>
          </w:p>
          <w:p w14:paraId="02948106">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放弃在其他项目</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的需提供：①经</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的其他项目建设单位同意的放弃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函。</w:t>
            </w:r>
          </w:p>
          <w:p w14:paraId="1072B325">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拟派项目经理有效的身份证、建造师注册证、安全生产考核合格证书（B类）、</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为其交纳的养老保险证明材料、承诺（承诺格式见第九章</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格式）。</w:t>
            </w:r>
          </w:p>
          <w:p w14:paraId="4C9B413A">
            <w:pPr>
              <w:adjustRightInd w:val="0"/>
              <w:snapToGrid w:val="0"/>
              <w:spacing w:beforeLines="0" w:afterLines="0"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注：（1）提供拟派的项目经理为一级建造师或重庆市二级建造师注册人员的，必须提供建造师电子注册证书，且该建造师电子注册证书须由建造师本人在个人签名处手写本人签名。</w:t>
            </w:r>
          </w:p>
          <w:p w14:paraId="0C88759D">
            <w:pPr>
              <w:adjustRightInd w:val="0"/>
              <w:snapToGrid w:val="0"/>
              <w:spacing w:beforeLines="0" w:afterLines="0"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（2）重庆市以外的省级住房城乡建设主管部门对二级建造师电子注册证书使用有明确规定的，从其规定。未规定使用电子注册证书的，可提供纸质证书</w:t>
            </w:r>
            <w:r>
              <w:rPr>
                <w:rFonts w:hint="eastAsia" w:ascii="宋体" w:hAnsi="宋体" w:cs="宋体"/>
                <w:color w:val="auto"/>
                <w:kern w:val="0"/>
                <w:szCs w:val="21"/>
                <w:highlight w:val="none"/>
                <w:lang w:eastAsia="zh-CN"/>
              </w:rPr>
              <w:t>复印件</w:t>
            </w:r>
            <w:r>
              <w:rPr>
                <w:rFonts w:hint="eastAsia" w:ascii="宋体" w:hAnsi="宋体" w:cs="宋体"/>
                <w:color w:val="auto"/>
                <w:kern w:val="0"/>
                <w:szCs w:val="21"/>
                <w:highlight w:val="none"/>
              </w:rPr>
              <w:t>。</w:t>
            </w:r>
          </w:p>
          <w:p w14:paraId="717E11FD">
            <w:pPr>
              <w:autoSpaceDE/>
              <w:autoSpaceDN/>
              <w:adjustRightInd w:val="0"/>
              <w:snapToGrid w:val="0"/>
              <w:spacing w:beforeLines="0" w:afterLines="0"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（3）建造师电子注册证书本人手写签名与签名图像笔迹是否一致不作为否决的情形。</w:t>
            </w:r>
          </w:p>
          <w:p w14:paraId="136F1F53">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bCs/>
                <w:snapToGrid w:val="0"/>
                <w:color w:val="auto"/>
                <w:szCs w:val="21"/>
                <w:highlight w:val="none"/>
              </w:rPr>
              <w:t>5.2项目总工：1人。</w:t>
            </w:r>
          </w:p>
          <w:p w14:paraId="4771BCB8">
            <w:pPr>
              <w:adjustRightInd w:val="0"/>
              <w:snapToGrid w:val="0"/>
              <w:spacing w:beforeLines="0" w:afterLines="0" w:line="400" w:lineRule="exact"/>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5.2.1</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拟派的项目总工应具有机电相关专业</w:t>
            </w:r>
            <w:r>
              <w:rPr>
                <w:rFonts w:hint="eastAsia" w:ascii="宋体" w:hAnsi="宋体" w:cs="宋体"/>
                <w:iCs/>
                <w:color w:val="auto"/>
                <w:szCs w:val="21"/>
                <w:highlight w:val="none"/>
                <w:u w:val="single"/>
                <w:lang w:eastAsia="zh-CN"/>
              </w:rPr>
              <w:t>中</w:t>
            </w:r>
            <w:r>
              <w:rPr>
                <w:rFonts w:hint="eastAsia" w:ascii="宋体" w:hAnsi="宋体" w:cs="宋体"/>
                <w:iCs/>
                <w:color w:val="auto"/>
                <w:szCs w:val="21"/>
                <w:highlight w:val="none"/>
                <w:u w:val="single"/>
              </w:rPr>
              <w:t>级工程师及</w:t>
            </w:r>
            <w:r>
              <w:rPr>
                <w:rFonts w:hint="eastAsia" w:ascii="宋体" w:hAnsi="宋体" w:cs="宋体"/>
                <w:color w:val="auto"/>
                <w:szCs w:val="21"/>
                <w:highlight w:val="none"/>
                <w:u w:val="single"/>
              </w:rPr>
              <w:t>以</w:t>
            </w:r>
            <w:r>
              <w:rPr>
                <w:rFonts w:hint="eastAsia" w:ascii="宋体" w:hAnsi="宋体" w:cs="宋体"/>
                <w:color w:val="auto"/>
                <w:szCs w:val="21"/>
                <w:highlight w:val="none"/>
              </w:rPr>
              <w:t>上职称。</w:t>
            </w:r>
          </w:p>
          <w:p w14:paraId="6CE28B19">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5.2.2项目总工要求：</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须承诺拟派项目总工按相关规定到岗履职和未被禁止参与投标。</w:t>
            </w:r>
          </w:p>
          <w:p w14:paraId="1610821D">
            <w:pPr>
              <w:keepNext w:val="0"/>
              <w:keepLines w:val="0"/>
              <w:pageBreakBefore w:val="0"/>
              <w:kinsoku/>
              <w:wordWrap/>
              <w:overflowPunct/>
              <w:topLinePunct w:val="0"/>
              <w:bidi w:val="0"/>
              <w:adjustRightInd w:val="0"/>
              <w:snapToGrid w:val="0"/>
              <w:spacing w:beforeLines="0" w:afterLines="0" w:line="400" w:lineRule="exact"/>
              <w:ind w:firstLine="420" w:firstLineChars="200"/>
              <w:textAlignment w:val="auto"/>
              <w:rPr>
                <w:rFonts w:hint="eastAsia" w:ascii="宋体" w:hAnsi="宋体"/>
                <w:color w:val="auto"/>
                <w:szCs w:val="21"/>
                <w:highlight w:val="none"/>
              </w:rPr>
            </w:pPr>
            <w:r>
              <w:rPr>
                <w:rFonts w:hint="eastAsia" w:ascii="宋体" w:hAnsi="宋体" w:cs="宋体"/>
                <w:color w:val="auto"/>
                <w:szCs w:val="21"/>
                <w:highlight w:val="none"/>
              </w:rPr>
              <w:t>5.2.2.1到岗履职要求：</w:t>
            </w:r>
            <w:r>
              <w:rPr>
                <w:rFonts w:hint="eastAsia" w:ascii="宋体" w:hAnsi="宋体"/>
                <w:color w:val="auto"/>
                <w:szCs w:val="21"/>
                <w:highlight w:val="none"/>
              </w:rPr>
              <w:t>承诺拟派项目总工</w:t>
            </w:r>
            <w:r>
              <w:rPr>
                <w:rFonts w:hint="eastAsia" w:ascii="宋体" w:hAnsi="宋体"/>
                <w:color w:val="auto"/>
                <w:szCs w:val="21"/>
                <w:highlight w:val="none"/>
                <w:lang w:eastAsia="zh-CN"/>
              </w:rPr>
              <w:t>中选</w:t>
            </w:r>
            <w:r>
              <w:rPr>
                <w:rFonts w:hint="eastAsia" w:ascii="宋体" w:hAnsi="宋体"/>
                <w:color w:val="auto"/>
                <w:szCs w:val="21"/>
                <w:highlight w:val="none"/>
              </w:rPr>
              <w:t>后</w:t>
            </w:r>
            <w:r>
              <w:rPr>
                <w:rFonts w:hint="eastAsia" w:ascii="宋体" w:hAnsi="宋体"/>
                <w:color w:val="auto"/>
                <w:szCs w:val="21"/>
                <w:highlight w:val="none"/>
                <w:lang w:val="en-US" w:eastAsia="zh-CN"/>
              </w:rPr>
              <w:t>只能</w:t>
            </w:r>
            <w:r>
              <w:rPr>
                <w:rFonts w:hint="eastAsia" w:ascii="宋体" w:hAnsi="宋体"/>
                <w:color w:val="auto"/>
                <w:szCs w:val="21"/>
                <w:highlight w:val="none"/>
              </w:rPr>
              <w:t>在本项目任职，签订合同时拟派的项目总工必须与</w:t>
            </w:r>
            <w:r>
              <w:rPr>
                <w:rFonts w:hint="eastAsia" w:ascii="宋体" w:hAnsi="宋体"/>
                <w:color w:val="auto"/>
                <w:szCs w:val="21"/>
                <w:highlight w:val="none"/>
                <w:lang w:eastAsia="zh-CN"/>
              </w:rPr>
              <w:t>响应文件</w:t>
            </w:r>
            <w:r>
              <w:rPr>
                <w:rFonts w:hint="eastAsia" w:ascii="宋体" w:hAnsi="宋体"/>
                <w:color w:val="auto"/>
                <w:szCs w:val="21"/>
                <w:highlight w:val="none"/>
              </w:rPr>
              <w:t>中的项目总工一致，并满足办理施工许可手续的相关要求。不能按承诺到岗</w:t>
            </w:r>
            <w:r>
              <w:rPr>
                <w:rFonts w:hint="eastAsia" w:ascii="宋体" w:hAnsi="宋体"/>
                <w:color w:val="auto"/>
                <w:szCs w:val="21"/>
                <w:highlight w:val="none"/>
                <w:lang w:eastAsia="zh-CN"/>
              </w:rPr>
              <w:t>履职</w:t>
            </w:r>
            <w:r>
              <w:rPr>
                <w:rFonts w:hint="eastAsia" w:ascii="宋体" w:hAnsi="宋体"/>
                <w:color w:val="auto"/>
                <w:szCs w:val="21"/>
                <w:highlight w:val="none"/>
              </w:rPr>
              <w:t>的，</w:t>
            </w:r>
            <w:r>
              <w:rPr>
                <w:rFonts w:hint="eastAsia" w:ascii="宋体" w:hAnsi="宋体"/>
                <w:color w:val="auto"/>
                <w:szCs w:val="21"/>
                <w:highlight w:val="none"/>
                <w:lang w:eastAsia="zh-CN"/>
              </w:rPr>
              <w:t>采购人</w:t>
            </w:r>
            <w:r>
              <w:rPr>
                <w:rFonts w:hint="eastAsia" w:ascii="宋体" w:hAnsi="宋体"/>
                <w:color w:val="auto"/>
                <w:szCs w:val="21"/>
                <w:highlight w:val="none"/>
              </w:rPr>
              <w:t>按合同相关条款</w:t>
            </w:r>
            <w:r>
              <w:rPr>
                <w:rFonts w:hint="eastAsia" w:ascii="宋体" w:hAnsi="宋体"/>
                <w:color w:val="auto"/>
                <w:szCs w:val="21"/>
                <w:highlight w:val="none"/>
                <w:lang w:eastAsia="zh-CN"/>
              </w:rPr>
              <w:t>要求供应商承担责任</w:t>
            </w:r>
            <w:r>
              <w:rPr>
                <w:rFonts w:hint="eastAsia" w:ascii="宋体" w:hAnsi="宋体"/>
                <w:color w:val="auto"/>
                <w:szCs w:val="21"/>
                <w:highlight w:val="none"/>
              </w:rPr>
              <w:t>并上报行政主管部门，给</w:t>
            </w:r>
            <w:r>
              <w:rPr>
                <w:rFonts w:hint="eastAsia" w:ascii="宋体" w:hAnsi="宋体"/>
                <w:color w:val="auto"/>
                <w:szCs w:val="21"/>
                <w:highlight w:val="none"/>
                <w:lang w:eastAsia="zh-CN"/>
              </w:rPr>
              <w:t>采购人</w:t>
            </w:r>
            <w:r>
              <w:rPr>
                <w:rFonts w:hint="eastAsia" w:ascii="宋体" w:hAnsi="宋体"/>
                <w:color w:val="auto"/>
                <w:szCs w:val="21"/>
                <w:highlight w:val="none"/>
              </w:rPr>
              <w:t>造成损失的，</w:t>
            </w:r>
            <w:r>
              <w:rPr>
                <w:rFonts w:hint="eastAsia" w:ascii="宋体" w:hAnsi="宋体"/>
                <w:color w:val="auto"/>
                <w:szCs w:val="21"/>
                <w:highlight w:val="none"/>
                <w:lang w:eastAsia="zh-CN"/>
              </w:rPr>
              <w:t>供应商</w:t>
            </w:r>
            <w:r>
              <w:rPr>
                <w:rFonts w:hint="eastAsia" w:ascii="宋体" w:hAnsi="宋体"/>
                <w:color w:val="auto"/>
                <w:szCs w:val="21"/>
                <w:highlight w:val="none"/>
              </w:rPr>
              <w:t>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。拟派项目总工</w:t>
            </w:r>
            <w:r>
              <w:rPr>
                <w:rFonts w:hint="eastAsia" w:ascii="宋体" w:hAnsi="宋体"/>
                <w:color w:val="auto"/>
                <w:szCs w:val="21"/>
                <w:highlight w:val="none"/>
                <w:lang w:eastAsia="zh-CN"/>
              </w:rPr>
              <w:t>中选</w:t>
            </w:r>
            <w:r>
              <w:rPr>
                <w:rFonts w:hint="eastAsia" w:ascii="宋体" w:hAnsi="宋体"/>
                <w:color w:val="auto"/>
                <w:szCs w:val="21"/>
                <w:highlight w:val="none"/>
              </w:rPr>
              <w:t>后不得随意更换。</w:t>
            </w:r>
          </w:p>
          <w:p w14:paraId="7D5E9C3A">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5.2.2.2未被禁止参与</w:t>
            </w:r>
            <w:r>
              <w:rPr>
                <w:rFonts w:hint="default" w:ascii="宋体" w:hAnsi="宋体" w:cs="宋体"/>
                <w:color w:val="auto"/>
                <w:szCs w:val="21"/>
                <w:highlight w:val="none"/>
                <w:lang w:val="en-US"/>
              </w:rPr>
              <w:t>投标</w:t>
            </w:r>
            <w:r>
              <w:rPr>
                <w:rFonts w:hint="eastAsia" w:ascii="宋体" w:hAnsi="宋体" w:cs="宋体"/>
                <w:color w:val="auto"/>
                <w:szCs w:val="21"/>
                <w:highlight w:val="none"/>
              </w:rPr>
              <w:t>要求：</w:t>
            </w:r>
            <w:r>
              <w:rPr>
                <w:rFonts w:hint="eastAsia" w:ascii="宋体" w:hAnsi="宋体"/>
                <w:color w:val="auto"/>
                <w:szCs w:val="21"/>
                <w:highlight w:val="none"/>
              </w:rPr>
              <w:t>承诺拟派项目总工未被</w:t>
            </w:r>
            <w:r>
              <w:rPr>
                <w:rFonts w:hint="eastAsia" w:ascii="宋体" w:hAnsi="宋体"/>
                <w:color w:val="auto"/>
                <w:szCs w:val="21"/>
                <w:highlight w:val="none"/>
                <w:lang w:val="en-US" w:eastAsia="zh-CN"/>
              </w:rPr>
              <w:t>有关</w:t>
            </w:r>
            <w:r>
              <w:rPr>
                <w:rFonts w:hint="eastAsia" w:ascii="宋体" w:hAnsi="宋体"/>
                <w:color w:val="auto"/>
                <w:szCs w:val="21"/>
                <w:highlight w:val="none"/>
              </w:rPr>
              <w:t>部门</w:t>
            </w:r>
            <w:r>
              <w:rPr>
                <w:rFonts w:hint="eastAsia" w:cs="Times New Roman"/>
                <w:color w:val="auto"/>
                <w:sz w:val="21"/>
                <w:szCs w:val="21"/>
                <w:highlight w:val="none"/>
                <w:lang w:eastAsia="zh-CN"/>
              </w:rPr>
              <w:t>暂停投标资格或禁止从业</w:t>
            </w:r>
            <w:r>
              <w:rPr>
                <w:rFonts w:hint="eastAsia" w:ascii="宋体" w:hAnsi="宋体"/>
                <w:color w:val="auto"/>
                <w:szCs w:val="21"/>
                <w:highlight w:val="none"/>
              </w:rPr>
              <w:t>。若</w:t>
            </w:r>
            <w:r>
              <w:rPr>
                <w:rFonts w:hint="eastAsia" w:ascii="宋体" w:hAnsi="宋体"/>
                <w:color w:val="auto"/>
                <w:szCs w:val="21"/>
                <w:highlight w:val="none"/>
                <w:lang w:eastAsia="zh-CN"/>
              </w:rPr>
              <w:t>其</w:t>
            </w:r>
            <w:r>
              <w:rPr>
                <w:rFonts w:hint="eastAsia" w:ascii="宋体" w:hAnsi="宋体"/>
                <w:color w:val="auto"/>
                <w:szCs w:val="21"/>
                <w:highlight w:val="none"/>
              </w:rPr>
              <w:t>被暂停</w:t>
            </w:r>
            <w:r>
              <w:rPr>
                <w:rFonts w:hint="eastAsia" w:cs="Times New Roman"/>
                <w:color w:val="auto"/>
                <w:sz w:val="21"/>
                <w:szCs w:val="21"/>
                <w:highlight w:val="none"/>
                <w:lang w:eastAsia="zh-CN"/>
              </w:rPr>
              <w:t>投标资格或禁止从业</w:t>
            </w:r>
            <w:r>
              <w:rPr>
                <w:rFonts w:hint="eastAsia" w:ascii="宋体" w:hAnsi="宋体"/>
                <w:color w:val="auto"/>
                <w:szCs w:val="21"/>
                <w:highlight w:val="none"/>
              </w:rPr>
              <w:t>但仍参加</w:t>
            </w:r>
            <w:r>
              <w:rPr>
                <w:rFonts w:hint="eastAsia" w:ascii="宋体" w:hAnsi="宋体"/>
                <w:color w:val="auto"/>
                <w:szCs w:val="21"/>
                <w:highlight w:val="none"/>
                <w:lang w:eastAsia="zh-CN"/>
              </w:rPr>
              <w:t>比选</w:t>
            </w:r>
            <w:r>
              <w:rPr>
                <w:rFonts w:hint="eastAsia" w:ascii="宋体" w:hAnsi="宋体"/>
                <w:color w:val="auto"/>
                <w:szCs w:val="21"/>
                <w:highlight w:val="none"/>
              </w:rPr>
              <w:t>，将被否决；已取得</w:t>
            </w:r>
            <w:r>
              <w:rPr>
                <w:rFonts w:hint="eastAsia" w:ascii="宋体" w:hAnsi="宋体"/>
                <w:color w:val="auto"/>
                <w:szCs w:val="21"/>
                <w:highlight w:val="none"/>
                <w:lang w:eastAsia="zh-CN"/>
              </w:rPr>
              <w:t>中选</w:t>
            </w:r>
            <w:r>
              <w:rPr>
                <w:rFonts w:hint="eastAsia" w:ascii="宋体" w:hAnsi="宋体"/>
                <w:color w:val="auto"/>
                <w:szCs w:val="21"/>
                <w:highlight w:val="none"/>
              </w:rPr>
              <w:t>候选人资格或</w:t>
            </w:r>
            <w:r>
              <w:rPr>
                <w:rFonts w:hint="eastAsia" w:ascii="宋体" w:hAnsi="宋体"/>
                <w:color w:val="auto"/>
                <w:szCs w:val="21"/>
                <w:highlight w:val="none"/>
                <w:lang w:eastAsia="zh-CN"/>
              </w:rPr>
              <w:t>中选</w:t>
            </w:r>
            <w:r>
              <w:rPr>
                <w:rFonts w:hint="eastAsia" w:ascii="宋体" w:hAnsi="宋体"/>
                <w:color w:val="auto"/>
                <w:szCs w:val="21"/>
                <w:highlight w:val="none"/>
              </w:rPr>
              <w:t>资格的，</w:t>
            </w:r>
            <w:r>
              <w:rPr>
                <w:rFonts w:hint="eastAsia" w:ascii="宋体" w:hAnsi="宋体"/>
                <w:color w:val="auto"/>
                <w:szCs w:val="21"/>
                <w:highlight w:val="none"/>
                <w:lang w:eastAsia="zh-CN"/>
              </w:rPr>
              <w:t>采购人</w:t>
            </w:r>
            <w:r>
              <w:rPr>
                <w:rFonts w:hint="eastAsia" w:ascii="宋体" w:hAnsi="宋体"/>
                <w:color w:val="auto"/>
                <w:szCs w:val="21"/>
                <w:highlight w:val="none"/>
              </w:rPr>
              <w:t>有权取消</w:t>
            </w:r>
            <w:r>
              <w:rPr>
                <w:rFonts w:hint="eastAsia" w:ascii="宋体" w:hAnsi="宋体"/>
                <w:color w:val="auto"/>
                <w:szCs w:val="21"/>
                <w:highlight w:val="none"/>
                <w:lang w:eastAsia="zh-CN"/>
              </w:rPr>
              <w:t>供应商</w:t>
            </w:r>
            <w:r>
              <w:rPr>
                <w:rFonts w:hint="eastAsia" w:ascii="宋体" w:hAnsi="宋体"/>
                <w:color w:val="auto"/>
                <w:szCs w:val="21"/>
                <w:highlight w:val="none"/>
                <w:lang w:val="en-US" w:eastAsia="zh-CN"/>
              </w:rPr>
              <w:t>的</w:t>
            </w:r>
            <w:r>
              <w:rPr>
                <w:rFonts w:hint="eastAsia" w:ascii="宋体" w:hAnsi="宋体"/>
                <w:color w:val="auto"/>
                <w:szCs w:val="21"/>
                <w:highlight w:val="none"/>
                <w:lang w:eastAsia="zh-CN"/>
              </w:rPr>
              <w:t>中选</w:t>
            </w:r>
            <w:r>
              <w:rPr>
                <w:rFonts w:hint="eastAsia" w:ascii="宋体" w:hAnsi="宋体"/>
                <w:color w:val="auto"/>
                <w:szCs w:val="21"/>
                <w:highlight w:val="none"/>
              </w:rPr>
              <w:t>候选人资格或</w:t>
            </w:r>
            <w:r>
              <w:rPr>
                <w:rFonts w:hint="eastAsia" w:ascii="宋体" w:hAnsi="宋体"/>
                <w:color w:val="auto"/>
                <w:szCs w:val="21"/>
                <w:highlight w:val="none"/>
                <w:lang w:eastAsia="zh-CN"/>
              </w:rPr>
              <w:t>中选</w:t>
            </w:r>
            <w:r>
              <w:rPr>
                <w:rFonts w:hint="eastAsia" w:ascii="宋体" w:hAnsi="宋体"/>
                <w:color w:val="auto"/>
                <w:szCs w:val="21"/>
                <w:highlight w:val="none"/>
              </w:rPr>
              <w:t>资格；给</w:t>
            </w:r>
            <w:r>
              <w:rPr>
                <w:rFonts w:hint="eastAsia" w:ascii="宋体" w:hAnsi="宋体"/>
                <w:color w:val="auto"/>
                <w:szCs w:val="21"/>
                <w:highlight w:val="none"/>
                <w:lang w:eastAsia="zh-CN"/>
              </w:rPr>
              <w:t>采购人</w:t>
            </w:r>
            <w:r>
              <w:rPr>
                <w:rFonts w:hint="eastAsia" w:ascii="宋体" w:hAnsi="宋体"/>
                <w:color w:val="auto"/>
                <w:szCs w:val="21"/>
                <w:highlight w:val="none"/>
              </w:rPr>
              <w:t>造成损失的，</w:t>
            </w:r>
            <w:r>
              <w:rPr>
                <w:rFonts w:hint="eastAsia" w:ascii="宋体" w:hAnsi="宋体"/>
                <w:color w:val="auto"/>
                <w:szCs w:val="21"/>
                <w:highlight w:val="none"/>
                <w:lang w:eastAsia="zh-CN"/>
              </w:rPr>
              <w:t>供应商</w:t>
            </w:r>
            <w:r>
              <w:rPr>
                <w:rFonts w:hint="eastAsia" w:ascii="宋体" w:hAnsi="宋体"/>
                <w:color w:val="auto"/>
                <w:szCs w:val="21"/>
                <w:highlight w:val="none"/>
              </w:rPr>
              <w:t>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w:t>
            </w:r>
          </w:p>
          <w:p w14:paraId="0761A48F">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拟派项目总工有效的身份证、职称证、</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为其交纳的养老保险证明材料复印件，承诺（承诺格式见第九章</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格式）。</w:t>
            </w:r>
          </w:p>
          <w:p w14:paraId="3DA6A04C">
            <w:pPr>
              <w:adjustRightInd w:val="0"/>
              <w:snapToGrid w:val="0"/>
              <w:spacing w:beforeLines="0" w:afterLines="0" w:line="400" w:lineRule="exact"/>
              <w:ind w:firstLine="420" w:firstLineChars="200"/>
              <w:rPr>
                <w:rFonts w:ascii="宋体" w:hAnsi="宋体" w:cs="宋体"/>
                <w:bCs/>
                <w:snapToGrid w:val="0"/>
                <w:color w:val="auto"/>
                <w:szCs w:val="21"/>
                <w:highlight w:val="none"/>
              </w:rPr>
            </w:pPr>
            <w:r>
              <w:rPr>
                <w:rFonts w:hint="eastAsia" w:ascii="宋体" w:hAnsi="宋体" w:cs="宋体"/>
                <w:bCs/>
                <w:snapToGrid w:val="0"/>
                <w:color w:val="auto"/>
                <w:szCs w:val="21"/>
                <w:highlight w:val="none"/>
              </w:rPr>
              <w:t>5.4 安全</w:t>
            </w:r>
            <w:r>
              <w:rPr>
                <w:rFonts w:hint="eastAsia" w:ascii="宋体" w:hAnsi="宋体" w:cs="宋体"/>
                <w:bCs/>
                <w:snapToGrid w:val="0"/>
                <w:color w:val="auto"/>
                <w:szCs w:val="21"/>
                <w:highlight w:val="none"/>
                <w:lang w:val="en-US" w:eastAsia="zh-CN"/>
              </w:rPr>
              <w:t>负责人</w:t>
            </w:r>
            <w:r>
              <w:rPr>
                <w:rFonts w:hint="eastAsia" w:ascii="宋体" w:hAnsi="宋体" w:cs="宋体"/>
                <w:bCs/>
                <w:snapToGrid w:val="0"/>
                <w:color w:val="auto"/>
                <w:szCs w:val="21"/>
                <w:highlight w:val="none"/>
              </w:rPr>
              <w:t>：</w:t>
            </w:r>
            <w:r>
              <w:rPr>
                <w:rFonts w:hint="eastAsia" w:ascii="宋体" w:hAnsi="宋体" w:cs="宋体"/>
                <w:bCs/>
                <w:snapToGrid w:val="0"/>
                <w:color w:val="auto"/>
                <w:szCs w:val="21"/>
                <w:highlight w:val="none"/>
                <w:lang w:val="en-US" w:eastAsia="zh-CN"/>
              </w:rPr>
              <w:t>1</w:t>
            </w:r>
            <w:r>
              <w:rPr>
                <w:rFonts w:hint="eastAsia" w:ascii="宋体" w:hAnsi="宋体" w:cs="宋体"/>
                <w:bCs/>
                <w:snapToGrid w:val="0"/>
                <w:color w:val="auto"/>
                <w:szCs w:val="21"/>
                <w:highlight w:val="none"/>
              </w:rPr>
              <w:t>人</w:t>
            </w:r>
          </w:p>
          <w:p w14:paraId="63076AA8">
            <w:pPr>
              <w:adjustRightInd w:val="0"/>
              <w:snapToGrid w:val="0"/>
              <w:spacing w:beforeLines="0" w:afterLines="0" w:line="400" w:lineRule="exact"/>
              <w:ind w:firstLine="420" w:firstLineChars="200"/>
              <w:rPr>
                <w:rFonts w:ascii="宋体" w:hAnsi="宋体" w:cs="宋体"/>
                <w:bCs/>
                <w:snapToGrid w:val="0"/>
                <w:color w:val="auto"/>
                <w:szCs w:val="21"/>
                <w:highlight w:val="none"/>
              </w:rPr>
            </w:pPr>
            <w:r>
              <w:rPr>
                <w:rFonts w:hint="eastAsia" w:ascii="宋体" w:hAnsi="宋体" w:cs="宋体"/>
                <w:bCs/>
                <w:snapToGrid w:val="0"/>
                <w:color w:val="auto"/>
                <w:szCs w:val="21"/>
                <w:highlight w:val="none"/>
              </w:rPr>
              <w:t>5.4.1</w:t>
            </w:r>
            <w:r>
              <w:rPr>
                <w:rFonts w:hint="eastAsia" w:ascii="宋体" w:hAnsi="宋体" w:cs="宋体"/>
                <w:bCs/>
                <w:snapToGrid w:val="0"/>
                <w:color w:val="auto"/>
                <w:szCs w:val="21"/>
                <w:highlight w:val="none"/>
                <w:lang w:eastAsia="zh-CN"/>
              </w:rPr>
              <w:t>供应商</w:t>
            </w:r>
            <w:r>
              <w:rPr>
                <w:rFonts w:hint="eastAsia" w:ascii="宋体" w:hAnsi="宋体" w:cs="宋体"/>
                <w:bCs/>
                <w:snapToGrid w:val="0"/>
                <w:color w:val="auto"/>
                <w:szCs w:val="21"/>
                <w:highlight w:val="none"/>
              </w:rPr>
              <w:t>拟派的</w:t>
            </w:r>
            <w:r>
              <w:rPr>
                <w:rFonts w:hint="eastAsia" w:ascii="宋体" w:hAnsi="宋体" w:cs="宋体"/>
                <w:bCs/>
                <w:snapToGrid w:val="0"/>
                <w:color w:val="auto"/>
                <w:szCs w:val="21"/>
                <w:highlight w:val="none"/>
                <w:lang w:val="en-US" w:eastAsia="zh-CN"/>
              </w:rPr>
              <w:t>安全负责人</w:t>
            </w:r>
            <w:r>
              <w:rPr>
                <w:rFonts w:hint="eastAsia" w:ascii="宋体" w:hAnsi="宋体" w:cs="宋体"/>
                <w:bCs/>
                <w:snapToGrid w:val="0"/>
                <w:color w:val="auto"/>
                <w:szCs w:val="21"/>
                <w:highlight w:val="none"/>
              </w:rPr>
              <w:t>应具有省级及以上交通行政主管部门或建设主管部门颁发的安全生产考核合格证书（</w:t>
            </w:r>
            <w:r>
              <w:rPr>
                <w:rFonts w:hint="eastAsia" w:ascii="宋体" w:hAnsi="宋体" w:cs="宋体"/>
                <w:bCs/>
                <w:snapToGrid w:val="0"/>
                <w:color w:val="auto"/>
                <w:szCs w:val="21"/>
                <w:highlight w:val="none"/>
                <w:lang w:val="en-US" w:eastAsia="zh-CN"/>
              </w:rPr>
              <w:t>C</w:t>
            </w:r>
            <w:r>
              <w:rPr>
                <w:rFonts w:hint="eastAsia" w:ascii="宋体" w:hAnsi="宋体" w:cs="宋体"/>
                <w:bCs/>
                <w:snapToGrid w:val="0"/>
                <w:color w:val="auto"/>
                <w:szCs w:val="21"/>
                <w:highlight w:val="none"/>
              </w:rPr>
              <w:t>类）。</w:t>
            </w:r>
          </w:p>
          <w:p w14:paraId="7799AF2E">
            <w:pPr>
              <w:adjustRightInd w:val="0"/>
              <w:snapToGrid w:val="0"/>
              <w:spacing w:beforeLines="0" w:afterLines="0" w:line="400" w:lineRule="exact"/>
              <w:ind w:firstLine="420" w:firstLineChars="200"/>
              <w:rPr>
                <w:rFonts w:ascii="宋体" w:hAnsi="宋体" w:cs="宋体"/>
                <w:bCs/>
                <w:snapToGrid w:val="0"/>
                <w:color w:val="auto"/>
                <w:szCs w:val="21"/>
                <w:highlight w:val="none"/>
              </w:rPr>
            </w:pPr>
            <w:r>
              <w:rPr>
                <w:rFonts w:hint="eastAsia" w:ascii="宋体" w:hAnsi="宋体" w:cs="宋体"/>
                <w:bCs/>
                <w:snapToGrid w:val="0"/>
                <w:color w:val="auto"/>
                <w:szCs w:val="21"/>
                <w:highlight w:val="none"/>
              </w:rPr>
              <w:t>5.4.2</w:t>
            </w:r>
            <w:r>
              <w:rPr>
                <w:rFonts w:hint="eastAsia" w:ascii="宋体" w:hAnsi="宋体" w:cs="宋体"/>
                <w:color w:val="auto"/>
                <w:szCs w:val="21"/>
                <w:highlight w:val="none"/>
              </w:rPr>
              <w:t>到岗履职要求：承诺拟派项目</w:t>
            </w:r>
            <w:r>
              <w:rPr>
                <w:rFonts w:hint="eastAsia" w:ascii="宋体" w:hAnsi="宋体" w:cs="宋体"/>
                <w:bCs/>
                <w:snapToGrid w:val="0"/>
                <w:color w:val="auto"/>
                <w:szCs w:val="21"/>
                <w:highlight w:val="none"/>
                <w:lang w:val="en-US" w:eastAsia="zh-CN"/>
              </w:rPr>
              <w:t>安全负责人</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后只能在本项目任职，签订合同时拟派的项目</w:t>
            </w:r>
            <w:r>
              <w:rPr>
                <w:rFonts w:hint="eastAsia" w:ascii="宋体" w:hAnsi="宋体" w:cs="宋体"/>
                <w:bCs/>
                <w:snapToGrid w:val="0"/>
                <w:color w:val="auto"/>
                <w:szCs w:val="21"/>
                <w:highlight w:val="none"/>
                <w:lang w:val="en-US" w:eastAsia="zh-CN"/>
              </w:rPr>
              <w:t>安全负责人</w:t>
            </w:r>
            <w:r>
              <w:rPr>
                <w:rFonts w:hint="eastAsia" w:ascii="宋体" w:hAnsi="宋体" w:cs="宋体"/>
                <w:color w:val="auto"/>
                <w:szCs w:val="21"/>
                <w:highlight w:val="none"/>
              </w:rPr>
              <w:t>必须与</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中的项目</w:t>
            </w:r>
            <w:r>
              <w:rPr>
                <w:rFonts w:hint="eastAsia" w:ascii="宋体" w:hAnsi="宋体" w:cs="宋体"/>
                <w:bCs/>
                <w:snapToGrid w:val="0"/>
                <w:color w:val="auto"/>
                <w:szCs w:val="21"/>
                <w:highlight w:val="none"/>
                <w:lang w:val="en-US" w:eastAsia="zh-CN"/>
              </w:rPr>
              <w:t>安全负责人</w:t>
            </w:r>
            <w:r>
              <w:rPr>
                <w:rFonts w:hint="eastAsia" w:ascii="宋体" w:hAnsi="宋体" w:cs="宋体"/>
                <w:color w:val="auto"/>
                <w:szCs w:val="21"/>
                <w:highlight w:val="none"/>
              </w:rPr>
              <w:t>一致。</w:t>
            </w:r>
            <w:r>
              <w:rPr>
                <w:rFonts w:hint="eastAsia" w:ascii="宋体" w:hAnsi="宋体"/>
                <w:color w:val="auto"/>
                <w:szCs w:val="21"/>
                <w:highlight w:val="none"/>
              </w:rPr>
              <w:t>不能按承诺到岗</w:t>
            </w:r>
            <w:r>
              <w:rPr>
                <w:rFonts w:hint="eastAsia" w:ascii="宋体" w:hAnsi="宋体"/>
                <w:color w:val="auto"/>
                <w:szCs w:val="21"/>
                <w:highlight w:val="none"/>
                <w:lang w:eastAsia="zh-CN"/>
              </w:rPr>
              <w:t>履职</w:t>
            </w:r>
            <w:r>
              <w:rPr>
                <w:rFonts w:hint="eastAsia" w:ascii="宋体" w:hAnsi="宋体"/>
                <w:color w:val="auto"/>
                <w:szCs w:val="21"/>
                <w:highlight w:val="none"/>
              </w:rPr>
              <w:t>的，</w:t>
            </w:r>
            <w:r>
              <w:rPr>
                <w:rFonts w:hint="eastAsia" w:ascii="宋体" w:hAnsi="宋体"/>
                <w:color w:val="auto"/>
                <w:szCs w:val="21"/>
                <w:highlight w:val="none"/>
                <w:lang w:eastAsia="zh-CN"/>
              </w:rPr>
              <w:t>采购人</w:t>
            </w:r>
            <w:r>
              <w:rPr>
                <w:rFonts w:hint="eastAsia" w:ascii="宋体" w:hAnsi="宋体"/>
                <w:color w:val="auto"/>
                <w:szCs w:val="21"/>
                <w:highlight w:val="none"/>
              </w:rPr>
              <w:t>按合同相关条款</w:t>
            </w:r>
            <w:r>
              <w:rPr>
                <w:rFonts w:hint="eastAsia" w:ascii="宋体" w:hAnsi="宋体"/>
                <w:color w:val="auto"/>
                <w:szCs w:val="21"/>
                <w:highlight w:val="none"/>
                <w:lang w:eastAsia="zh-CN"/>
              </w:rPr>
              <w:t>要求供应商承担责任</w:t>
            </w:r>
            <w:r>
              <w:rPr>
                <w:rFonts w:hint="eastAsia" w:ascii="宋体" w:hAnsi="宋体"/>
                <w:color w:val="auto"/>
                <w:szCs w:val="21"/>
                <w:highlight w:val="none"/>
              </w:rPr>
              <w:t>并上报行政主管部门，给</w:t>
            </w:r>
            <w:r>
              <w:rPr>
                <w:rFonts w:hint="eastAsia" w:ascii="宋体" w:hAnsi="宋体"/>
                <w:color w:val="auto"/>
                <w:szCs w:val="21"/>
                <w:highlight w:val="none"/>
                <w:lang w:eastAsia="zh-CN"/>
              </w:rPr>
              <w:t>采购人</w:t>
            </w:r>
            <w:r>
              <w:rPr>
                <w:rFonts w:hint="eastAsia" w:ascii="宋体" w:hAnsi="宋体"/>
                <w:color w:val="auto"/>
                <w:szCs w:val="21"/>
                <w:highlight w:val="none"/>
              </w:rPr>
              <w:t>造成损失的，</w:t>
            </w:r>
            <w:r>
              <w:rPr>
                <w:rFonts w:hint="eastAsia" w:ascii="宋体" w:hAnsi="宋体"/>
                <w:color w:val="auto"/>
                <w:szCs w:val="21"/>
                <w:highlight w:val="none"/>
                <w:lang w:eastAsia="zh-CN"/>
              </w:rPr>
              <w:t>供应商</w:t>
            </w:r>
            <w:r>
              <w:rPr>
                <w:rFonts w:hint="eastAsia" w:ascii="宋体" w:hAnsi="宋体"/>
                <w:color w:val="auto"/>
                <w:szCs w:val="21"/>
                <w:highlight w:val="none"/>
              </w:rPr>
              <w:t>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w:t>
            </w:r>
          </w:p>
          <w:p w14:paraId="139D56DB">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拟派安全</w:t>
            </w:r>
            <w:r>
              <w:rPr>
                <w:rFonts w:hint="eastAsia" w:ascii="宋体" w:hAnsi="宋体" w:cs="宋体"/>
                <w:color w:val="auto"/>
                <w:szCs w:val="21"/>
                <w:highlight w:val="none"/>
                <w:lang w:val="en-US" w:eastAsia="zh-CN"/>
              </w:rPr>
              <w:t>负责人</w:t>
            </w:r>
            <w:r>
              <w:rPr>
                <w:rFonts w:hint="eastAsia" w:ascii="宋体" w:hAnsi="宋体" w:cs="宋体"/>
                <w:color w:val="auto"/>
                <w:szCs w:val="21"/>
                <w:highlight w:val="none"/>
              </w:rPr>
              <w:t>有效的身份证、安全生产考核合格证书（</w:t>
            </w:r>
            <w:r>
              <w:rPr>
                <w:rFonts w:hint="eastAsia" w:ascii="宋体" w:hAnsi="宋体" w:cs="宋体"/>
                <w:color w:val="auto"/>
                <w:szCs w:val="21"/>
                <w:highlight w:val="none"/>
                <w:lang w:val="en-US" w:eastAsia="zh-CN"/>
              </w:rPr>
              <w:t>C</w:t>
            </w:r>
            <w:r>
              <w:rPr>
                <w:rFonts w:hint="eastAsia" w:ascii="宋体" w:hAnsi="宋体" w:cs="宋体"/>
                <w:color w:val="auto"/>
                <w:szCs w:val="21"/>
                <w:highlight w:val="none"/>
              </w:rPr>
              <w:t>类）、</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为其交纳的养老保险证明材料复印件，承诺（承诺格式见第九章</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格式）。</w:t>
            </w:r>
          </w:p>
          <w:p w14:paraId="64FA6FC4">
            <w:pPr>
              <w:keepNext w:val="0"/>
              <w:keepLines w:val="0"/>
              <w:pageBreakBefore w:val="0"/>
              <w:kinsoku/>
              <w:wordWrap/>
              <w:overflowPunct/>
              <w:topLinePunct w:val="0"/>
              <w:autoSpaceDE w:val="0"/>
              <w:autoSpaceDN w:val="0"/>
              <w:bidi w:val="0"/>
              <w:adjustRightInd w:val="0"/>
              <w:snapToGrid w:val="0"/>
              <w:spacing w:afterLines="0" w:line="400" w:lineRule="exact"/>
              <w:ind w:firstLine="422" w:firstLineChars="200"/>
              <w:textAlignment w:val="auto"/>
              <w:rPr>
                <w:rFonts w:ascii="宋体" w:hAnsi="宋体" w:cs="宋体"/>
                <w:b/>
                <w:color w:val="auto"/>
                <w:kern w:val="0"/>
                <w:szCs w:val="21"/>
                <w:highlight w:val="none"/>
                <w:lang w:bidi="ar"/>
              </w:rPr>
            </w:pPr>
            <w:r>
              <w:rPr>
                <w:rFonts w:hint="eastAsia" w:ascii="宋体" w:hAnsi="宋体" w:cs="宋体"/>
                <w:b/>
                <w:color w:val="auto"/>
                <w:kern w:val="0"/>
                <w:szCs w:val="21"/>
                <w:highlight w:val="none"/>
                <w:lang w:bidi="ar"/>
              </w:rPr>
              <w:t>6、其他管理和技术人员要求</w:t>
            </w:r>
          </w:p>
          <w:p w14:paraId="1922793E">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供应商</w:t>
            </w:r>
            <w:r>
              <w:rPr>
                <w:rFonts w:hint="eastAsia" w:ascii="宋体" w:hAnsi="宋体" w:cs="宋体"/>
                <w:color w:val="auto"/>
                <w:szCs w:val="21"/>
                <w:highlight w:val="none"/>
              </w:rPr>
              <w:t>须自行承诺合同谈判阶段按照</w:t>
            </w:r>
            <w:r>
              <w:rPr>
                <w:rFonts w:hint="eastAsia" w:ascii="宋体" w:hAnsi="宋体" w:cs="宋体"/>
                <w:color w:val="auto"/>
                <w:szCs w:val="21"/>
                <w:highlight w:val="none"/>
                <w:lang w:val="en-US" w:eastAsia="zh-CN"/>
              </w:rPr>
              <w:t>采购人</w:t>
            </w:r>
            <w:r>
              <w:rPr>
                <w:rFonts w:hint="eastAsia" w:ascii="宋体" w:hAnsi="宋体" w:cs="宋体"/>
                <w:color w:val="auto"/>
                <w:szCs w:val="21"/>
                <w:highlight w:val="none"/>
              </w:rPr>
              <w:t>要求提供人员名单及相关证明材料。劳务作业人员要求</w:t>
            </w:r>
            <w:r>
              <w:rPr>
                <w:rFonts w:hint="eastAsia" w:ascii="宋体" w:hAnsi="宋体" w:cs="宋体"/>
                <w:color w:val="auto"/>
                <w:szCs w:val="21"/>
                <w:highlight w:val="none"/>
                <w:lang w:eastAsia="zh-CN"/>
              </w:rPr>
              <w:t>如下</w:t>
            </w:r>
            <w:r>
              <w:rPr>
                <w:rFonts w:hint="eastAsia" w:ascii="宋体" w:hAnsi="宋体" w:cs="宋体"/>
                <w:color w:val="auto"/>
                <w:szCs w:val="21"/>
                <w:highlight w:val="none"/>
              </w:rPr>
              <w:t>：</w:t>
            </w:r>
          </w:p>
          <w:p w14:paraId="58054004">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lang w:eastAsia="zh-CN"/>
              </w:rPr>
              <w:t>）</w:t>
            </w:r>
            <w:r>
              <w:rPr>
                <w:rFonts w:hint="eastAsia" w:ascii="宋体" w:hAnsi="宋体" w:cs="宋体"/>
                <w:color w:val="auto"/>
                <w:szCs w:val="21"/>
                <w:highlight w:val="none"/>
              </w:rPr>
              <w:t>CYJD1段：保通班组1个，班组不少于20人</w:t>
            </w:r>
            <w:r>
              <w:rPr>
                <w:rFonts w:hint="eastAsia" w:ascii="宋体" w:hAnsi="宋体" w:cs="宋体"/>
                <w:color w:val="auto"/>
                <w:szCs w:val="21"/>
                <w:highlight w:val="none"/>
                <w:lang w:eastAsia="zh-CN"/>
              </w:rPr>
              <w:t>；</w:t>
            </w:r>
          </w:p>
          <w:p w14:paraId="294A4BE2">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宋体" w:hAnsi="宋体" w:eastAsia="宋体" w:cs="宋体"/>
                <w:color w:val="auto"/>
                <w:szCs w:val="21"/>
                <w:highlight w:val="none"/>
                <w:u w:val="single"/>
                <w:lang w:eastAsia="zh-CN"/>
              </w:rPr>
            </w:pP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lang w:eastAsia="zh-CN"/>
              </w:rPr>
              <w:t>）</w:t>
            </w:r>
            <w:r>
              <w:rPr>
                <w:rFonts w:hint="eastAsia" w:ascii="宋体" w:hAnsi="宋体" w:cs="宋体"/>
                <w:color w:val="auto"/>
                <w:szCs w:val="21"/>
                <w:highlight w:val="none"/>
              </w:rPr>
              <w:t>CYJD2段：保通班组1个，班组不少于20人</w:t>
            </w:r>
            <w:r>
              <w:rPr>
                <w:rFonts w:hint="eastAsia" w:ascii="宋体" w:hAnsi="宋体" w:cs="宋体"/>
                <w:color w:val="auto"/>
                <w:szCs w:val="21"/>
                <w:highlight w:val="none"/>
                <w:lang w:eastAsia="zh-CN"/>
              </w:rPr>
              <w:t>；</w:t>
            </w:r>
          </w:p>
          <w:p w14:paraId="13589151">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注：</w:t>
            </w:r>
            <w:r>
              <w:rPr>
                <w:rFonts w:hint="eastAsia" w:ascii="宋体" w:hAnsi="宋体" w:cs="宋体"/>
                <w:color w:val="auto"/>
                <w:szCs w:val="21"/>
                <w:highlight w:val="none"/>
              </w:rPr>
              <w:t>以上要求为最低要求，后续根据界面提交情况及项目部要求追加人员，满足工程进度需要。</w:t>
            </w:r>
          </w:p>
          <w:p w14:paraId="5B65C9DA">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拟投入其他管理和技术人员承诺</w:t>
            </w:r>
            <w:r>
              <w:rPr>
                <w:rFonts w:hint="eastAsia"/>
                <w:color w:val="auto"/>
                <w:highlight w:val="none"/>
              </w:rPr>
              <w:t>（格式见第九章</w:t>
            </w:r>
            <w:r>
              <w:rPr>
                <w:rFonts w:hint="eastAsia"/>
                <w:color w:val="auto"/>
                <w:highlight w:val="none"/>
                <w:lang w:val="en-US" w:eastAsia="zh-CN"/>
              </w:rPr>
              <w:t>响应文件</w:t>
            </w:r>
            <w:r>
              <w:rPr>
                <w:rFonts w:hint="eastAsia"/>
                <w:color w:val="auto"/>
                <w:highlight w:val="none"/>
              </w:rPr>
              <w:t>文件格式）</w:t>
            </w:r>
            <w:r>
              <w:rPr>
                <w:rFonts w:hint="eastAsia" w:ascii="宋体" w:hAnsi="宋体" w:cs="宋体"/>
                <w:color w:val="auto"/>
                <w:szCs w:val="21"/>
                <w:highlight w:val="none"/>
              </w:rPr>
              <w:t>。</w:t>
            </w:r>
          </w:p>
          <w:p w14:paraId="3AFB1ECB">
            <w:pPr>
              <w:keepNext w:val="0"/>
              <w:keepLines w:val="0"/>
              <w:pageBreakBefore w:val="0"/>
              <w:kinsoku/>
              <w:wordWrap/>
              <w:overflowPunct/>
              <w:topLinePunct w:val="0"/>
              <w:bidi w:val="0"/>
              <w:spacing w:afterLines="0" w:line="400" w:lineRule="exact"/>
              <w:ind w:firstLine="422" w:firstLineChars="200"/>
              <w:textAlignment w:val="auto"/>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t>7、主要机械设备和试验检测设备要求</w:t>
            </w:r>
          </w:p>
          <w:p w14:paraId="7AF12960">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供应商</w:t>
            </w:r>
            <w:r>
              <w:rPr>
                <w:rFonts w:hint="eastAsia" w:ascii="宋体" w:hAnsi="宋体" w:cs="宋体"/>
                <w:color w:val="auto"/>
                <w:szCs w:val="21"/>
                <w:highlight w:val="none"/>
              </w:rPr>
              <w:t>须自行承诺合同谈判阶段按照</w:t>
            </w:r>
            <w:r>
              <w:rPr>
                <w:rFonts w:hint="eastAsia" w:ascii="宋体" w:hAnsi="宋体" w:cs="宋体"/>
                <w:color w:val="auto"/>
                <w:szCs w:val="21"/>
                <w:highlight w:val="none"/>
                <w:lang w:val="en-US" w:eastAsia="zh-CN"/>
              </w:rPr>
              <w:t>采购人</w:t>
            </w:r>
            <w:r>
              <w:rPr>
                <w:rFonts w:hint="eastAsia" w:ascii="宋体" w:hAnsi="宋体" w:cs="宋体"/>
                <w:color w:val="auto"/>
                <w:szCs w:val="21"/>
                <w:highlight w:val="none"/>
              </w:rPr>
              <w:t>要求提供主要设备进场清单，并在合同履行阶段按清单投入主要设备。主要车辆机械要求</w:t>
            </w:r>
            <w:r>
              <w:rPr>
                <w:rFonts w:hint="eastAsia" w:ascii="宋体" w:hAnsi="宋体" w:cs="宋体"/>
                <w:color w:val="auto"/>
                <w:szCs w:val="21"/>
                <w:highlight w:val="none"/>
                <w:lang w:eastAsia="zh-CN"/>
              </w:rPr>
              <w:t>如下</w:t>
            </w:r>
            <w:r>
              <w:rPr>
                <w:rFonts w:hint="eastAsia" w:ascii="宋体" w:hAnsi="宋体" w:cs="宋体"/>
                <w:color w:val="auto"/>
                <w:szCs w:val="21"/>
                <w:highlight w:val="none"/>
              </w:rPr>
              <w:t>：</w:t>
            </w:r>
          </w:p>
          <w:p w14:paraId="3067EE3C">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u w:val="single"/>
              </w:rPr>
            </w:pP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lang w:val="en-US" w:eastAsia="zh-CN"/>
              </w:rPr>
              <w:t>1</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rPr>
              <w:t>CYJD1段：</w:t>
            </w:r>
          </w:p>
          <w:p w14:paraId="6798B5F3">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u w:val="single"/>
              </w:rPr>
            </w:pPr>
            <w:r>
              <w:rPr>
                <w:rFonts w:hint="eastAsia" w:ascii="宋体" w:hAnsi="宋体" w:cs="宋体"/>
                <w:color w:val="auto"/>
                <w:szCs w:val="21"/>
                <w:highlight w:val="none"/>
                <w:u w:val="single"/>
                <w:lang w:eastAsia="zh-CN"/>
              </w:rPr>
              <w:t>①</w:t>
            </w:r>
            <w:r>
              <w:rPr>
                <w:rFonts w:hint="eastAsia" w:ascii="宋体" w:hAnsi="宋体" w:cs="宋体"/>
                <w:color w:val="auto"/>
                <w:szCs w:val="21"/>
                <w:highlight w:val="none"/>
                <w:u w:val="single"/>
              </w:rPr>
              <w:t>高架车至少3台，货车至少2辆；</w:t>
            </w:r>
          </w:p>
          <w:p w14:paraId="01FB547F">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u w:val="single"/>
              </w:rPr>
            </w:pPr>
            <w:r>
              <w:rPr>
                <w:rFonts w:hint="eastAsia" w:ascii="宋体" w:hAnsi="宋体" w:cs="宋体"/>
                <w:color w:val="auto"/>
                <w:szCs w:val="21"/>
                <w:highlight w:val="none"/>
                <w:u w:val="single"/>
                <w:lang w:eastAsia="zh-CN"/>
              </w:rPr>
              <w:t>②</w:t>
            </w:r>
            <w:r>
              <w:rPr>
                <w:rFonts w:hint="eastAsia" w:ascii="宋体" w:hAnsi="宋体" w:cs="宋体"/>
                <w:color w:val="auto"/>
                <w:szCs w:val="21"/>
                <w:highlight w:val="none"/>
                <w:u w:val="single"/>
              </w:rPr>
              <w:t>吊车至少3台，挖掘机至少2台；</w:t>
            </w:r>
          </w:p>
          <w:p w14:paraId="37E0E4D5">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u w:val="single"/>
              </w:rPr>
            </w:pPr>
            <w:r>
              <w:rPr>
                <w:rFonts w:hint="eastAsia" w:ascii="宋体" w:hAnsi="宋体" w:cs="宋体"/>
                <w:color w:val="auto"/>
                <w:szCs w:val="21"/>
                <w:highlight w:val="none"/>
                <w:u w:val="single"/>
                <w:lang w:eastAsia="zh-CN"/>
              </w:rPr>
              <w:t>③</w:t>
            </w:r>
            <w:r>
              <w:rPr>
                <w:rFonts w:hint="eastAsia" w:ascii="宋体" w:hAnsi="宋体" w:cs="宋体"/>
                <w:color w:val="auto"/>
                <w:szCs w:val="21"/>
                <w:highlight w:val="none"/>
                <w:u w:val="single"/>
              </w:rPr>
              <w:t>10kW以上柴油发电机不少于3台；</w:t>
            </w:r>
          </w:p>
          <w:p w14:paraId="29F05C16">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u w:val="single"/>
              </w:rPr>
            </w:pP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lang w:val="en-US" w:eastAsia="zh-CN"/>
              </w:rPr>
              <w:t>2</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rPr>
              <w:t>CYJD2段：</w:t>
            </w:r>
          </w:p>
          <w:p w14:paraId="784BCCEB">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u w:val="single"/>
              </w:rPr>
            </w:pPr>
            <w:r>
              <w:rPr>
                <w:rFonts w:hint="eastAsia" w:ascii="宋体" w:hAnsi="宋体" w:cs="宋体"/>
                <w:color w:val="auto"/>
                <w:szCs w:val="21"/>
                <w:highlight w:val="none"/>
                <w:u w:val="single"/>
                <w:lang w:eastAsia="zh-CN"/>
              </w:rPr>
              <w:t>①</w:t>
            </w:r>
            <w:r>
              <w:rPr>
                <w:rFonts w:hint="eastAsia" w:ascii="宋体" w:hAnsi="宋体" w:cs="宋体"/>
                <w:color w:val="auto"/>
                <w:szCs w:val="21"/>
                <w:highlight w:val="none"/>
                <w:u w:val="single"/>
              </w:rPr>
              <w:t>高架车至少3台，货车至少2辆；</w:t>
            </w:r>
          </w:p>
          <w:p w14:paraId="0A5E0639">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u w:val="single"/>
              </w:rPr>
            </w:pPr>
            <w:r>
              <w:rPr>
                <w:rFonts w:hint="eastAsia" w:ascii="宋体" w:hAnsi="宋体" w:cs="宋体"/>
                <w:color w:val="auto"/>
                <w:szCs w:val="21"/>
                <w:highlight w:val="none"/>
                <w:u w:val="single"/>
                <w:lang w:eastAsia="zh-CN"/>
              </w:rPr>
              <w:t>②</w:t>
            </w:r>
            <w:r>
              <w:rPr>
                <w:rFonts w:hint="eastAsia" w:ascii="宋体" w:hAnsi="宋体" w:cs="宋体"/>
                <w:color w:val="auto"/>
                <w:szCs w:val="21"/>
                <w:highlight w:val="none"/>
                <w:u w:val="single"/>
              </w:rPr>
              <w:t>吊车至少3台，挖掘机至少2台；</w:t>
            </w:r>
          </w:p>
          <w:p w14:paraId="08CD8B4A">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u w:val="single"/>
                <w:lang w:eastAsia="zh-CN"/>
              </w:rPr>
              <w:t>③</w:t>
            </w:r>
            <w:r>
              <w:rPr>
                <w:rFonts w:hint="eastAsia" w:ascii="宋体" w:hAnsi="宋体" w:cs="宋体"/>
                <w:color w:val="auto"/>
                <w:szCs w:val="21"/>
                <w:highlight w:val="none"/>
                <w:u w:val="single"/>
              </w:rPr>
              <w:t>10kW以上柴油发电机不少于3台；</w:t>
            </w:r>
          </w:p>
          <w:p w14:paraId="356C6BBB">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注：</w:t>
            </w:r>
            <w:r>
              <w:rPr>
                <w:rFonts w:hint="eastAsia" w:ascii="宋体" w:hAnsi="宋体" w:cs="宋体"/>
                <w:color w:val="auto"/>
                <w:szCs w:val="21"/>
                <w:highlight w:val="none"/>
              </w:rPr>
              <w:t>以上要求为最低要求，后续根据界面提交情况及项目部要求追加人员，满足工程进度需要。</w:t>
            </w:r>
          </w:p>
          <w:p w14:paraId="1D55542A">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拟投入主要机械设备和试验检测设备承诺</w:t>
            </w:r>
            <w:r>
              <w:rPr>
                <w:rFonts w:hint="eastAsia"/>
                <w:color w:val="auto"/>
                <w:highlight w:val="none"/>
              </w:rPr>
              <w:t>（格式见第九章</w:t>
            </w:r>
            <w:r>
              <w:rPr>
                <w:rFonts w:hint="eastAsia"/>
                <w:color w:val="auto"/>
                <w:highlight w:val="none"/>
                <w:lang w:val="en-US" w:eastAsia="zh-CN"/>
              </w:rPr>
              <w:t>响应</w:t>
            </w:r>
            <w:r>
              <w:rPr>
                <w:rFonts w:hint="eastAsia"/>
                <w:color w:val="auto"/>
                <w:highlight w:val="none"/>
              </w:rPr>
              <w:t>文件格式）</w:t>
            </w:r>
            <w:r>
              <w:rPr>
                <w:rFonts w:hint="eastAsia" w:ascii="宋体" w:hAnsi="宋体" w:cs="宋体"/>
                <w:color w:val="auto"/>
                <w:szCs w:val="21"/>
                <w:highlight w:val="none"/>
              </w:rPr>
              <w:t>。</w:t>
            </w:r>
          </w:p>
          <w:p w14:paraId="59B9C4ED">
            <w:pPr>
              <w:keepNext w:val="0"/>
              <w:keepLines w:val="0"/>
              <w:pageBreakBefore w:val="0"/>
              <w:kinsoku/>
              <w:wordWrap/>
              <w:overflowPunct/>
              <w:topLinePunct w:val="0"/>
              <w:autoSpaceDE/>
              <w:autoSpaceDN/>
              <w:bidi w:val="0"/>
              <w:adjustRightInd w:val="0"/>
              <w:snapToGrid w:val="0"/>
              <w:spacing w:beforeLines="0" w:afterLines="0" w:line="400" w:lineRule="exact"/>
              <w:ind w:firstLine="422" w:firstLineChars="200"/>
              <w:textAlignment w:val="auto"/>
              <w:rPr>
                <w:rFonts w:hint="eastAsia" w:ascii="宋体" w:hAnsi="宋体" w:cs="宋体"/>
                <w:b/>
                <w:color w:val="auto"/>
                <w:kern w:val="0"/>
                <w:szCs w:val="21"/>
                <w:highlight w:val="none"/>
                <w:lang w:val="en-US" w:eastAsia="zh-CN" w:bidi="ar"/>
              </w:rPr>
            </w:pPr>
            <w:r>
              <w:rPr>
                <w:rFonts w:hint="eastAsia" w:ascii="宋体" w:hAnsi="宋体" w:cs="宋体"/>
                <w:b/>
                <w:color w:val="auto"/>
                <w:kern w:val="0"/>
                <w:szCs w:val="21"/>
                <w:highlight w:val="none"/>
                <w:lang w:val="en-US" w:eastAsia="zh-CN" w:bidi="ar"/>
              </w:rPr>
              <w:t>8</w:t>
            </w:r>
            <w:r>
              <w:rPr>
                <w:rFonts w:hint="eastAsia" w:ascii="宋体" w:hAnsi="宋体" w:cs="宋体"/>
                <w:b/>
                <w:color w:val="auto"/>
                <w:kern w:val="0"/>
                <w:szCs w:val="21"/>
                <w:highlight w:val="none"/>
                <w:lang w:bidi="ar"/>
              </w:rPr>
              <w:t>、</w:t>
            </w:r>
            <w:r>
              <w:rPr>
                <w:rFonts w:hint="eastAsia" w:ascii="宋体" w:hAnsi="宋体" w:cs="宋体"/>
                <w:b/>
                <w:color w:val="auto"/>
                <w:kern w:val="0"/>
                <w:szCs w:val="21"/>
                <w:highlight w:val="none"/>
                <w:lang w:val="en-US" w:eastAsia="zh-CN" w:bidi="ar"/>
              </w:rPr>
              <w:t>其他要求</w:t>
            </w:r>
          </w:p>
          <w:p w14:paraId="31847D43">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textAlignment w:val="auto"/>
              <w:rPr>
                <w:rFonts w:ascii="宋体" w:hAnsi="宋体" w:cs="宋体"/>
                <w:b w:val="0"/>
                <w:color w:val="auto"/>
                <w:kern w:val="0"/>
                <w:szCs w:val="21"/>
                <w:highlight w:val="none"/>
                <w:lang w:bidi="ar"/>
              </w:rPr>
            </w:pPr>
            <w:r>
              <w:rPr>
                <w:rFonts w:hint="eastAsia" w:ascii="宋体" w:hAnsi="宋体"/>
                <w:b w:val="0"/>
                <w:bCs w:val="0"/>
                <w:color w:val="auto"/>
                <w:kern w:val="0"/>
                <w:szCs w:val="21"/>
                <w:highlight w:val="none"/>
                <w:lang w:val="en-US" w:eastAsia="zh-CN"/>
              </w:rPr>
              <w:t>（1）法定代表人或</w:t>
            </w:r>
            <w:r>
              <w:rPr>
                <w:rFonts w:hint="eastAsia" w:ascii="宋体" w:hAnsi="宋体" w:cs="宋体"/>
                <w:b w:val="0"/>
                <w:color w:val="auto"/>
                <w:kern w:val="0"/>
                <w:szCs w:val="21"/>
                <w:highlight w:val="none"/>
                <w:lang w:bidi="ar"/>
              </w:rPr>
              <w:t>委托代理人：</w:t>
            </w:r>
          </w:p>
          <w:p w14:paraId="72E6DC33">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textAlignment w:val="auto"/>
              <w:rPr>
                <w:rFonts w:hint="eastAsia" w:ascii="宋体" w:hAnsi="宋体" w:eastAsia="宋体"/>
                <w:color w:val="auto"/>
                <w:kern w:val="0"/>
                <w:szCs w:val="21"/>
                <w:highlight w:val="none"/>
                <w:lang w:val="en-US" w:eastAsia="zh-CN"/>
              </w:rPr>
            </w:pPr>
            <w:r>
              <w:rPr>
                <w:rFonts w:hint="eastAsia" w:ascii="宋体" w:hAnsi="宋体"/>
                <w:color w:val="auto"/>
                <w:kern w:val="0"/>
                <w:szCs w:val="21"/>
                <w:highlight w:val="none"/>
                <w:lang w:val="en-US" w:eastAsia="zh-CN"/>
              </w:rPr>
              <w:t>法定代表人或</w:t>
            </w:r>
            <w:r>
              <w:rPr>
                <w:rFonts w:hint="eastAsia" w:ascii="宋体" w:hAnsi="宋体"/>
                <w:i w:val="0"/>
                <w:iCs/>
                <w:color w:val="auto"/>
                <w:kern w:val="0"/>
                <w:szCs w:val="21"/>
                <w:highlight w:val="none"/>
              </w:rPr>
              <w:t>委托代理人</w:t>
            </w:r>
            <w:r>
              <w:rPr>
                <w:rFonts w:hint="eastAsia" w:ascii="宋体" w:hAnsi="宋体"/>
                <w:i w:val="0"/>
                <w:iCs/>
                <w:color w:val="auto"/>
                <w:kern w:val="0"/>
                <w:szCs w:val="21"/>
                <w:highlight w:val="none"/>
                <w:lang w:val="en-US" w:eastAsia="zh-CN"/>
              </w:rPr>
              <w:t>代表</w:t>
            </w:r>
            <w:r>
              <w:rPr>
                <w:rFonts w:hint="eastAsia" w:ascii="宋体" w:hAnsi="宋体"/>
                <w:i w:val="0"/>
                <w:iCs/>
                <w:color w:val="auto"/>
                <w:kern w:val="0"/>
                <w:szCs w:val="21"/>
                <w:highlight w:val="none"/>
                <w:lang w:eastAsia="zh-CN"/>
              </w:rPr>
              <w:t>供应商</w:t>
            </w:r>
            <w:r>
              <w:rPr>
                <w:rFonts w:hint="eastAsia" w:ascii="宋体" w:hAnsi="宋体"/>
                <w:i w:val="0"/>
                <w:iCs/>
                <w:color w:val="auto"/>
                <w:kern w:val="0"/>
                <w:szCs w:val="21"/>
                <w:highlight w:val="none"/>
              </w:rPr>
              <w:t>签署、澄清、说明、补正、递交、撤回、修改本项目</w:t>
            </w:r>
            <w:r>
              <w:rPr>
                <w:rFonts w:hint="eastAsia" w:ascii="宋体" w:hAnsi="宋体"/>
                <w:i w:val="0"/>
                <w:iCs/>
                <w:color w:val="auto"/>
                <w:kern w:val="0"/>
                <w:szCs w:val="21"/>
                <w:highlight w:val="none"/>
                <w:lang w:eastAsia="zh-CN"/>
              </w:rPr>
              <w:t>响应文件</w:t>
            </w:r>
            <w:r>
              <w:rPr>
                <w:rFonts w:hint="eastAsia" w:ascii="宋体" w:hAnsi="宋体"/>
                <w:i w:val="0"/>
                <w:iCs/>
                <w:color w:val="auto"/>
                <w:kern w:val="0"/>
                <w:szCs w:val="21"/>
                <w:highlight w:val="none"/>
              </w:rPr>
              <w:t>、签订合同和处理有关事宜，其法律后果由</w:t>
            </w:r>
            <w:r>
              <w:rPr>
                <w:rFonts w:hint="eastAsia" w:ascii="宋体" w:hAnsi="宋体"/>
                <w:i w:val="0"/>
                <w:iCs/>
                <w:color w:val="auto"/>
                <w:kern w:val="0"/>
                <w:szCs w:val="21"/>
                <w:highlight w:val="none"/>
                <w:lang w:eastAsia="zh-CN"/>
              </w:rPr>
              <w:t>供应商</w:t>
            </w:r>
            <w:r>
              <w:rPr>
                <w:rFonts w:hint="eastAsia" w:ascii="宋体" w:hAnsi="宋体"/>
                <w:i w:val="0"/>
                <w:iCs/>
                <w:color w:val="auto"/>
                <w:kern w:val="0"/>
                <w:szCs w:val="21"/>
                <w:highlight w:val="none"/>
              </w:rPr>
              <w:t>承担。</w:t>
            </w:r>
            <w:r>
              <w:rPr>
                <w:rFonts w:ascii="宋体" w:hAnsi="宋体"/>
                <w:color w:val="auto"/>
                <w:kern w:val="0"/>
                <w:szCs w:val="21"/>
                <w:highlight w:val="none"/>
              </w:rPr>
              <w:t>委托代理人</w:t>
            </w:r>
            <w:r>
              <w:rPr>
                <w:rFonts w:hint="eastAsia" w:ascii="宋体" w:hAnsi="宋体"/>
                <w:color w:val="auto"/>
                <w:kern w:val="0"/>
                <w:szCs w:val="21"/>
                <w:highlight w:val="none"/>
                <w:lang w:val="en-US" w:eastAsia="zh-CN"/>
              </w:rPr>
              <w:t>须是供应商</w:t>
            </w:r>
            <w:r>
              <w:rPr>
                <w:rFonts w:ascii="宋体" w:hAnsi="宋体"/>
                <w:color w:val="auto"/>
                <w:kern w:val="0"/>
                <w:szCs w:val="21"/>
                <w:highlight w:val="none"/>
              </w:rPr>
              <w:t>单位</w:t>
            </w:r>
            <w:r>
              <w:rPr>
                <w:rFonts w:hint="eastAsia" w:ascii="宋体" w:hAnsi="宋体"/>
                <w:color w:val="auto"/>
                <w:kern w:val="0"/>
                <w:szCs w:val="21"/>
                <w:highlight w:val="none"/>
              </w:rPr>
              <w:t>人员</w:t>
            </w:r>
            <w:r>
              <w:rPr>
                <w:rFonts w:hint="eastAsia" w:ascii="宋体" w:hAnsi="宋体"/>
                <w:color w:val="auto"/>
                <w:kern w:val="0"/>
                <w:szCs w:val="21"/>
                <w:highlight w:val="none"/>
                <w:lang w:eastAsia="zh-CN"/>
              </w:rPr>
              <w:t>。</w:t>
            </w:r>
          </w:p>
          <w:p w14:paraId="5780BA4A">
            <w:pPr>
              <w:keepNext w:val="0"/>
              <w:keepLines w:val="0"/>
              <w:pageBreakBefore w:val="0"/>
              <w:kinsoku/>
              <w:wordWrap/>
              <w:overflowPunct/>
              <w:topLinePunct w:val="0"/>
              <w:bidi w:val="0"/>
              <w:adjustRightInd w:val="0"/>
              <w:snapToGrid w:val="0"/>
              <w:spacing w:beforeLines="0" w:afterLines="0" w:line="400" w:lineRule="exact"/>
              <w:ind w:firstLine="420" w:firstLineChars="200"/>
              <w:textAlignment w:val="auto"/>
              <w:rPr>
                <w:rFonts w:ascii="宋体" w:hAnsi="宋体" w:cs="宋体"/>
                <w:color w:val="auto"/>
                <w:szCs w:val="21"/>
                <w:highlight w:val="none"/>
              </w:rPr>
            </w:pPr>
            <w:r>
              <w:rPr>
                <w:rFonts w:hint="eastAsia" w:ascii="宋体" w:hAnsi="宋体"/>
                <w:color w:val="auto"/>
                <w:kern w:val="0"/>
                <w:szCs w:val="21"/>
                <w:highlight w:val="none"/>
                <w:lang w:val="en-US" w:eastAsia="zh-CN"/>
              </w:rPr>
              <w:t>提供：</w:t>
            </w:r>
            <w:r>
              <w:rPr>
                <w:rFonts w:hint="eastAsia" w:ascii="宋体" w:hAnsi="宋体"/>
                <w:color w:val="auto"/>
                <w:kern w:val="0"/>
                <w:szCs w:val="21"/>
                <w:highlight w:val="none"/>
              </w:rPr>
              <w:t>法定代表人身份证明</w:t>
            </w:r>
            <w:r>
              <w:rPr>
                <w:rFonts w:hint="eastAsia" w:ascii="宋体" w:hAnsi="宋体"/>
                <w:color w:val="auto"/>
                <w:szCs w:val="21"/>
                <w:highlight w:val="none"/>
              </w:rPr>
              <w:t>（格式见第</w:t>
            </w:r>
            <w:r>
              <w:rPr>
                <w:rFonts w:hint="eastAsia" w:ascii="宋体" w:hAnsi="宋体"/>
                <w:color w:val="auto"/>
                <w:szCs w:val="21"/>
                <w:highlight w:val="none"/>
                <w:lang w:val="en-US" w:eastAsia="zh-CN"/>
              </w:rPr>
              <w:t>九</w:t>
            </w:r>
            <w:r>
              <w:rPr>
                <w:rFonts w:hint="eastAsia" w:ascii="宋体" w:hAnsi="宋体"/>
                <w:color w:val="auto"/>
                <w:szCs w:val="21"/>
                <w:highlight w:val="none"/>
              </w:rPr>
              <w:t>章</w:t>
            </w:r>
            <w:r>
              <w:rPr>
                <w:rFonts w:hint="eastAsia" w:ascii="宋体" w:hAnsi="宋体"/>
                <w:color w:val="auto"/>
                <w:szCs w:val="21"/>
                <w:highlight w:val="none"/>
                <w:lang w:eastAsia="zh-CN"/>
              </w:rPr>
              <w:t>响应文件</w:t>
            </w:r>
            <w:r>
              <w:rPr>
                <w:rFonts w:hint="eastAsia" w:ascii="宋体" w:hAnsi="宋体"/>
                <w:color w:val="auto"/>
                <w:szCs w:val="21"/>
                <w:highlight w:val="none"/>
              </w:rPr>
              <w:t>格式）</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法定代表人委托代理人比选的，还须提供</w:t>
            </w:r>
            <w:r>
              <w:rPr>
                <w:rFonts w:hint="eastAsia" w:ascii="宋体" w:hAnsi="宋体"/>
                <w:color w:val="auto"/>
                <w:kern w:val="0"/>
                <w:szCs w:val="21"/>
                <w:highlight w:val="none"/>
              </w:rPr>
              <w:t>授权委托书</w:t>
            </w:r>
            <w:r>
              <w:rPr>
                <w:rFonts w:hint="eastAsia" w:ascii="宋体" w:hAnsi="宋体"/>
                <w:color w:val="auto"/>
                <w:szCs w:val="21"/>
                <w:highlight w:val="none"/>
              </w:rPr>
              <w:t>（格式见第</w:t>
            </w:r>
            <w:r>
              <w:rPr>
                <w:rFonts w:hint="eastAsia" w:ascii="宋体" w:hAnsi="宋体"/>
                <w:color w:val="auto"/>
                <w:szCs w:val="21"/>
                <w:highlight w:val="none"/>
                <w:lang w:val="en-US" w:eastAsia="zh-CN"/>
              </w:rPr>
              <w:t>九</w:t>
            </w:r>
            <w:r>
              <w:rPr>
                <w:rFonts w:hint="eastAsia" w:ascii="宋体" w:hAnsi="宋体"/>
                <w:color w:val="auto"/>
                <w:szCs w:val="21"/>
                <w:highlight w:val="none"/>
              </w:rPr>
              <w:t>章</w:t>
            </w:r>
            <w:r>
              <w:rPr>
                <w:rFonts w:hint="eastAsia" w:ascii="宋体" w:hAnsi="宋体"/>
                <w:color w:val="auto"/>
                <w:szCs w:val="21"/>
                <w:highlight w:val="none"/>
                <w:lang w:eastAsia="zh-CN"/>
              </w:rPr>
              <w:t>响应文件</w:t>
            </w:r>
            <w:r>
              <w:rPr>
                <w:rFonts w:hint="eastAsia" w:ascii="宋体" w:hAnsi="宋体"/>
                <w:color w:val="auto"/>
                <w:szCs w:val="21"/>
                <w:highlight w:val="none"/>
              </w:rPr>
              <w:t>格式）</w:t>
            </w:r>
            <w:r>
              <w:rPr>
                <w:rFonts w:hint="eastAsia" w:ascii="宋体" w:hAnsi="宋体"/>
                <w:color w:val="auto"/>
                <w:kern w:val="0"/>
                <w:szCs w:val="21"/>
                <w:highlight w:val="none"/>
                <w:lang w:eastAsia="zh-CN"/>
              </w:rPr>
              <w:t>、供应商</w:t>
            </w:r>
            <w:r>
              <w:rPr>
                <w:rFonts w:hint="eastAsia" w:ascii="宋体" w:hAnsi="宋体"/>
                <w:color w:val="auto"/>
                <w:kern w:val="0"/>
                <w:szCs w:val="21"/>
                <w:highlight w:val="none"/>
              </w:rPr>
              <w:t>为该</w:t>
            </w:r>
            <w:r>
              <w:rPr>
                <w:rFonts w:ascii="宋体" w:hAnsi="宋体"/>
                <w:color w:val="auto"/>
                <w:kern w:val="0"/>
                <w:szCs w:val="21"/>
                <w:highlight w:val="none"/>
              </w:rPr>
              <w:t>委托代理人</w:t>
            </w:r>
            <w:r>
              <w:rPr>
                <w:rFonts w:hint="eastAsia" w:ascii="宋体" w:hAnsi="宋体"/>
                <w:color w:val="auto"/>
                <w:kern w:val="0"/>
                <w:szCs w:val="21"/>
                <w:highlight w:val="none"/>
              </w:rPr>
              <w:t>缴纳的养老保险证明</w:t>
            </w:r>
            <w:r>
              <w:rPr>
                <w:rFonts w:hint="eastAsia" w:ascii="宋体" w:hAnsi="宋体" w:cs="宋体"/>
                <w:color w:val="auto"/>
                <w:szCs w:val="21"/>
                <w:highlight w:val="none"/>
              </w:rPr>
              <w:t>。</w:t>
            </w:r>
          </w:p>
          <w:p w14:paraId="603537F7">
            <w:pPr>
              <w:keepNext w:val="0"/>
              <w:keepLines w:val="0"/>
              <w:pageBreakBefore w:val="0"/>
              <w:kinsoku/>
              <w:wordWrap/>
              <w:overflowPunct/>
              <w:topLinePunct w:val="0"/>
              <w:autoSpaceDE/>
              <w:autoSpaceDN/>
              <w:bidi w:val="0"/>
              <w:adjustRightInd w:val="0"/>
              <w:snapToGrid w:val="0"/>
              <w:spacing w:beforeLines="0" w:afterLines="0" w:line="400" w:lineRule="exact"/>
              <w:ind w:firstLine="420" w:firstLineChars="200"/>
              <w:textAlignment w:val="auto"/>
              <w:rPr>
                <w:rFonts w:hint="eastAsia" w:ascii="宋体" w:hAnsi="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（2）响应文件真实性：</w:t>
            </w:r>
          </w:p>
          <w:p w14:paraId="38E255D6">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中的所有内容</w:t>
            </w:r>
            <w:r>
              <w:rPr>
                <w:rFonts w:hint="eastAsia" w:asciiTheme="minorEastAsia" w:hAnsiTheme="minorEastAsia" w:eastAsiaTheme="minorEastAsia" w:cstheme="minorEastAsia"/>
                <w:color w:val="auto"/>
                <w:kern w:val="0"/>
                <w:szCs w:val="21"/>
                <w:highlight w:val="none"/>
                <w:lang w:val="en-US" w:eastAsia="zh-CN"/>
              </w:rPr>
              <w:t>须</w:t>
            </w:r>
            <w:r>
              <w:rPr>
                <w:rFonts w:hint="eastAsia" w:asciiTheme="minorEastAsia" w:hAnsiTheme="minorEastAsia" w:eastAsiaTheme="minorEastAsia" w:cstheme="minorEastAsia"/>
                <w:color w:val="auto"/>
                <w:kern w:val="0"/>
                <w:szCs w:val="21"/>
                <w:highlight w:val="none"/>
              </w:rPr>
              <w:t>真实有效，不存在弄虚作假情形。</w:t>
            </w:r>
          </w:p>
          <w:p w14:paraId="6B043F40">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提供</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承诺（</w:t>
            </w:r>
            <w:r>
              <w:rPr>
                <w:rFonts w:hint="eastAsia" w:asciiTheme="minorEastAsia" w:hAnsiTheme="minorEastAsia" w:eastAsiaTheme="minorEastAsia" w:cstheme="minorEastAsia"/>
                <w:color w:val="auto"/>
                <w:szCs w:val="21"/>
                <w:highlight w:val="none"/>
              </w:rPr>
              <w:t>格式见第</w:t>
            </w:r>
            <w:r>
              <w:rPr>
                <w:rFonts w:hint="eastAsia" w:asciiTheme="minorEastAsia" w:hAnsiTheme="minorEastAsia" w:eastAsiaTheme="minorEastAsia" w:cstheme="minorEastAsia"/>
                <w:color w:val="auto"/>
                <w:szCs w:val="21"/>
                <w:highlight w:val="none"/>
                <w:lang w:val="en-US" w:eastAsia="zh-CN"/>
              </w:rPr>
              <w:t>九</w:t>
            </w:r>
            <w:r>
              <w:rPr>
                <w:rFonts w:hint="eastAsia" w:asciiTheme="minorEastAsia" w:hAnsiTheme="minorEastAsia" w:eastAsiaTheme="minorEastAsia" w:cstheme="minorEastAsia"/>
                <w:color w:val="auto"/>
                <w:szCs w:val="21"/>
                <w:highlight w:val="none"/>
              </w:rPr>
              <w:t>章</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格式</w:t>
            </w:r>
            <w:r>
              <w:rPr>
                <w:rFonts w:hint="eastAsia" w:asciiTheme="minorEastAsia" w:hAnsiTheme="minorEastAsia" w:eastAsiaTheme="minorEastAsia" w:cstheme="minorEastAsia"/>
                <w:color w:val="auto"/>
                <w:kern w:val="0"/>
                <w:szCs w:val="21"/>
                <w:highlight w:val="none"/>
              </w:rPr>
              <w:t>）。</w:t>
            </w:r>
          </w:p>
          <w:p w14:paraId="2B0275BF">
            <w:pPr>
              <w:adjustRightInd w:val="0"/>
              <w:snapToGrid w:val="0"/>
              <w:spacing w:beforeLines="0" w:afterLines="0" w:line="400" w:lineRule="exact"/>
              <w:ind w:firstLine="420" w:firstLineChars="200"/>
              <w:rPr>
                <w:rFonts w:ascii="宋体" w:hAnsi="宋体" w:cs="宋体"/>
                <w:color w:val="auto"/>
                <w:szCs w:val="21"/>
                <w:highlight w:val="none"/>
              </w:rPr>
            </w:pPr>
          </w:p>
          <w:p w14:paraId="1B102654">
            <w:pPr>
              <w:autoSpaceDE/>
              <w:autoSpaceDN/>
              <w:adjustRightInd w:val="0"/>
              <w:snapToGrid w:val="0"/>
              <w:spacing w:beforeLines="0" w:afterLines="0" w:line="400" w:lineRule="exact"/>
              <w:ind w:firstLine="422" w:firstLineChars="200"/>
              <w:rPr>
                <w:rFonts w:ascii="宋体" w:hAnsi="宋体" w:cs="宋体"/>
                <w:b/>
                <w:color w:val="auto"/>
                <w:szCs w:val="21"/>
                <w:highlight w:val="none"/>
              </w:rPr>
            </w:pPr>
            <w:r>
              <w:rPr>
                <w:rFonts w:hint="eastAsia" w:ascii="宋体" w:hAnsi="宋体" w:cs="宋体"/>
                <w:b/>
                <w:color w:val="auto"/>
                <w:szCs w:val="21"/>
                <w:highlight w:val="none"/>
              </w:rPr>
              <w:t>特别说明：</w:t>
            </w:r>
          </w:p>
          <w:p w14:paraId="36ACFCF6">
            <w:pPr>
              <w:autoSpaceDE/>
              <w:autoSpaceDN/>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szCs w:val="21"/>
                <w:highlight w:val="none"/>
              </w:rPr>
              <w:t>（1）上述要求须提交的相关证明材料复印件须清晰可辨，且均应加盖</w:t>
            </w:r>
            <w:r>
              <w:rPr>
                <w:rFonts w:hint="eastAsia" w:ascii="宋体" w:hAnsi="宋体" w:cs="宋体"/>
                <w:color w:val="auto"/>
                <w:szCs w:val="21"/>
                <w:highlight w:val="none"/>
                <w:lang w:eastAsia="zh-CN"/>
              </w:rPr>
              <w:t>供应商单位</w:t>
            </w:r>
            <w:r>
              <w:rPr>
                <w:rFonts w:hint="eastAsia" w:ascii="宋体" w:hAnsi="宋体" w:cs="宋体"/>
                <w:color w:val="auto"/>
                <w:szCs w:val="21"/>
                <w:highlight w:val="none"/>
              </w:rPr>
              <w:t>法人章并装入</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。上述要求，有一条不满足则</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由</w:t>
            </w:r>
            <w:r>
              <w:rPr>
                <w:rFonts w:hint="eastAsia" w:ascii="宋体" w:hAnsi="宋体" w:cs="宋体"/>
                <w:color w:val="auto"/>
                <w:szCs w:val="21"/>
                <w:highlight w:val="none"/>
                <w:lang w:eastAsia="zh-CN"/>
              </w:rPr>
              <w:t>评审委员会</w:t>
            </w:r>
            <w:r>
              <w:rPr>
                <w:rFonts w:hint="eastAsia" w:ascii="宋体" w:hAnsi="宋体" w:cs="宋体"/>
                <w:color w:val="auto"/>
                <w:szCs w:val="21"/>
                <w:highlight w:val="none"/>
              </w:rPr>
              <w:t>作否决处理</w:t>
            </w:r>
            <w:r>
              <w:rPr>
                <w:rFonts w:hint="eastAsia" w:ascii="宋体" w:hAnsi="宋体" w:cs="宋体"/>
                <w:color w:val="auto"/>
                <w:kern w:val="0"/>
                <w:szCs w:val="21"/>
                <w:highlight w:val="none"/>
              </w:rPr>
              <w:t>。</w:t>
            </w:r>
          </w:p>
          <w:p w14:paraId="5855FA92">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u w:val="none"/>
                <w:lang w:eastAsia="zh-CN"/>
              </w:rPr>
              <w:t>采购人</w:t>
            </w:r>
            <w:r>
              <w:rPr>
                <w:rFonts w:hint="eastAsia" w:ascii="宋体" w:hAnsi="宋体" w:cs="宋体"/>
                <w:color w:val="auto"/>
                <w:szCs w:val="21"/>
                <w:highlight w:val="none"/>
                <w:u w:val="none"/>
              </w:rPr>
              <w:t>有权对</w:t>
            </w:r>
            <w:r>
              <w:rPr>
                <w:rFonts w:hint="eastAsia" w:ascii="宋体" w:hAnsi="宋体" w:cs="宋体"/>
                <w:color w:val="auto"/>
                <w:szCs w:val="21"/>
                <w:highlight w:val="none"/>
                <w:u w:val="none"/>
                <w:lang w:eastAsia="zh-CN"/>
              </w:rPr>
              <w:t>供应商</w:t>
            </w:r>
            <w:r>
              <w:rPr>
                <w:rFonts w:hint="eastAsia" w:ascii="宋体" w:hAnsi="宋体" w:cs="宋体"/>
                <w:color w:val="auto"/>
                <w:szCs w:val="21"/>
                <w:highlight w:val="none"/>
                <w:u w:val="none"/>
              </w:rPr>
              <w:t>提供的资料进行核实，若发现弄虚作假，</w:t>
            </w:r>
            <w:r>
              <w:rPr>
                <w:rFonts w:hint="eastAsia" w:ascii="宋体" w:hAnsi="宋体" w:cs="宋体"/>
                <w:color w:val="auto"/>
                <w:szCs w:val="21"/>
                <w:highlight w:val="none"/>
                <w:u w:val="none"/>
                <w:lang w:val="en-US" w:eastAsia="zh-CN"/>
              </w:rPr>
              <w:t>按相关规定</w:t>
            </w:r>
            <w:r>
              <w:rPr>
                <w:rFonts w:hint="eastAsia" w:ascii="宋体" w:hAnsi="宋体" w:cs="宋体"/>
                <w:color w:val="auto"/>
                <w:szCs w:val="21"/>
                <w:highlight w:val="none"/>
                <w:u w:val="none"/>
              </w:rPr>
              <w:t>取消其</w:t>
            </w:r>
            <w:r>
              <w:rPr>
                <w:rFonts w:hint="eastAsia" w:ascii="宋体" w:hAnsi="宋体" w:cs="宋体"/>
                <w:color w:val="auto"/>
                <w:szCs w:val="21"/>
                <w:highlight w:val="none"/>
                <w:u w:val="none"/>
                <w:lang w:eastAsia="zh-CN"/>
              </w:rPr>
              <w:t>中选</w:t>
            </w:r>
            <w:r>
              <w:rPr>
                <w:rFonts w:hint="eastAsia" w:ascii="宋体" w:hAnsi="宋体" w:cs="宋体"/>
                <w:color w:val="auto"/>
                <w:szCs w:val="21"/>
                <w:highlight w:val="none"/>
                <w:u w:val="none"/>
              </w:rPr>
              <w:t>资格，并按相关法律法规报招标投标监督部门，其</w:t>
            </w:r>
            <w:r>
              <w:rPr>
                <w:rFonts w:hint="eastAsia" w:ascii="宋体" w:hAnsi="宋体" w:cs="宋体"/>
                <w:color w:val="auto"/>
                <w:szCs w:val="21"/>
                <w:highlight w:val="none"/>
                <w:u w:val="none"/>
                <w:lang w:eastAsia="zh-CN"/>
              </w:rPr>
              <w:t>比选保证金</w:t>
            </w:r>
            <w:r>
              <w:rPr>
                <w:rFonts w:hint="eastAsia" w:asciiTheme="minorEastAsia" w:hAnsiTheme="minorEastAsia" w:eastAsiaTheme="minorEastAsia" w:cstheme="minorEastAsia"/>
                <w:color w:val="auto"/>
                <w:szCs w:val="21"/>
                <w:highlight w:val="none"/>
                <w:u w:val="none"/>
                <w:lang w:val="en-US" w:eastAsia="zh-CN"/>
              </w:rPr>
              <w:t>以现金形式交纳的</w:t>
            </w:r>
            <w:r>
              <w:rPr>
                <w:rFonts w:hint="eastAsia" w:ascii="宋体" w:hAnsi="宋体" w:cs="宋体"/>
                <w:color w:val="auto"/>
                <w:szCs w:val="21"/>
                <w:highlight w:val="none"/>
                <w:u w:val="none"/>
              </w:rPr>
              <w:t>不予退还</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none"/>
              </w:rPr>
              <w:t>以保函形式交纳的由保函开立人支付保函担保的与</w:t>
            </w:r>
            <w:r>
              <w:rPr>
                <w:rFonts w:hint="eastAsia" w:asciiTheme="minorEastAsia" w:hAnsiTheme="minorEastAsia" w:eastAsiaTheme="minorEastAsia" w:cstheme="minorEastAsia"/>
                <w:color w:val="auto"/>
                <w:szCs w:val="21"/>
                <w:highlight w:val="none"/>
                <w:u w:val="none"/>
                <w:lang w:eastAsia="zh-CN"/>
              </w:rPr>
              <w:t>比选保证金</w:t>
            </w:r>
            <w:r>
              <w:rPr>
                <w:rFonts w:hint="eastAsia" w:asciiTheme="minorEastAsia" w:hAnsiTheme="minorEastAsia" w:eastAsiaTheme="minorEastAsia" w:cstheme="minorEastAsia"/>
                <w:color w:val="auto"/>
                <w:szCs w:val="21"/>
                <w:highlight w:val="none"/>
                <w:u w:val="none"/>
              </w:rPr>
              <w:t>等额的款项</w:t>
            </w:r>
            <w:r>
              <w:rPr>
                <w:rFonts w:hint="eastAsia" w:ascii="宋体" w:hAnsi="宋体" w:cs="宋体"/>
                <w:color w:val="auto"/>
                <w:szCs w:val="21"/>
                <w:highlight w:val="none"/>
                <w:u w:val="none"/>
              </w:rPr>
              <w:t>，</w:t>
            </w:r>
            <w:r>
              <w:rPr>
                <w:rFonts w:hint="eastAsia" w:ascii="宋体" w:hAnsi="宋体" w:cs="宋体"/>
                <w:color w:val="auto"/>
                <w:szCs w:val="21"/>
                <w:highlight w:val="none"/>
                <w:u w:val="none"/>
                <w:lang w:eastAsia="zh-CN"/>
              </w:rPr>
              <w:t>供应商</w:t>
            </w:r>
            <w:r>
              <w:rPr>
                <w:rFonts w:hint="eastAsia" w:ascii="宋体" w:hAnsi="宋体" w:cs="宋体"/>
                <w:color w:val="auto"/>
                <w:szCs w:val="21"/>
                <w:highlight w:val="none"/>
                <w:u w:val="none"/>
              </w:rPr>
              <w:t>承担因此造成的相关责任并赔偿相应损失</w:t>
            </w:r>
            <w:r>
              <w:rPr>
                <w:rFonts w:hint="eastAsia" w:ascii="宋体" w:hAnsi="宋体" w:cs="宋体"/>
                <w:color w:val="auto"/>
                <w:szCs w:val="21"/>
                <w:highlight w:val="none"/>
              </w:rPr>
              <w:t>。</w:t>
            </w:r>
          </w:p>
          <w:p w14:paraId="4D0D0AA7">
            <w:pPr>
              <w:adjustRightInd w:val="0"/>
              <w:snapToGrid w:val="0"/>
              <w:spacing w:beforeLines="0" w:afterLines="0" w:line="400" w:lineRule="exact"/>
              <w:ind w:firstLine="420" w:firstLineChars="200"/>
              <w:rPr>
                <w:rFonts w:ascii="宋体" w:hAnsi="宋体" w:cs="宋体"/>
                <w:bCs/>
                <w:color w:val="auto"/>
                <w:kern w:val="0"/>
                <w:szCs w:val="21"/>
                <w:highlight w:val="none"/>
              </w:rPr>
            </w:pPr>
            <w:r>
              <w:rPr>
                <w:rFonts w:hint="eastAsia" w:ascii="宋体" w:hAnsi="宋体" w:cs="宋体"/>
                <w:bCs/>
                <w:color w:val="auto"/>
                <w:kern w:val="0"/>
                <w:szCs w:val="21"/>
                <w:highlight w:val="none"/>
              </w:rPr>
              <w:t>（3）本</w:t>
            </w:r>
            <w:r>
              <w:rPr>
                <w:rFonts w:hint="eastAsia" w:ascii="宋体" w:hAnsi="宋体" w:cs="宋体"/>
                <w:bCs/>
                <w:color w:val="auto"/>
                <w:kern w:val="0"/>
                <w:szCs w:val="21"/>
                <w:highlight w:val="none"/>
                <w:lang w:eastAsia="zh-CN"/>
              </w:rPr>
              <w:t>比选文件</w:t>
            </w:r>
            <w:r>
              <w:rPr>
                <w:rFonts w:hint="eastAsia" w:ascii="宋体" w:hAnsi="宋体" w:cs="宋体"/>
                <w:bCs/>
                <w:color w:val="auto"/>
                <w:kern w:val="0"/>
                <w:szCs w:val="21"/>
                <w:highlight w:val="none"/>
              </w:rPr>
              <w:t>中所要求的人员养老保险证明要求如下：</w:t>
            </w:r>
          </w:p>
          <w:p w14:paraId="53A7EDD6">
            <w:pPr>
              <w:adjustRightInd w:val="0"/>
              <w:snapToGrid w:val="0"/>
              <w:spacing w:beforeLines="0" w:afterLines="0" w:line="400" w:lineRule="exact"/>
              <w:ind w:firstLine="420" w:firstLineChars="200"/>
              <w:rPr>
                <w:rFonts w:ascii="宋体" w:hAnsi="宋体" w:cs="宋体"/>
                <w:bCs/>
                <w:color w:val="auto"/>
                <w:kern w:val="0"/>
                <w:szCs w:val="21"/>
                <w:highlight w:val="none"/>
              </w:rPr>
            </w:pPr>
            <w:r>
              <w:rPr>
                <w:rFonts w:hint="eastAsia" w:ascii="宋体" w:hAnsi="宋体" w:cs="宋体"/>
                <w:bCs/>
                <w:color w:val="auto"/>
                <w:kern w:val="0"/>
                <w:szCs w:val="21"/>
                <w:highlight w:val="none"/>
              </w:rPr>
              <w:t>①企业提供养老保险证明，事业单位提供养老保险证明或行政主管部门在编证明。</w:t>
            </w:r>
          </w:p>
          <w:p w14:paraId="06E57B5B">
            <w:pPr>
              <w:adjustRightInd w:val="0"/>
              <w:snapToGrid w:val="0"/>
              <w:spacing w:beforeLines="0" w:afterLines="0" w:line="400" w:lineRule="exact"/>
              <w:ind w:firstLine="420" w:firstLineChars="200"/>
              <w:rPr>
                <w:rFonts w:ascii="宋体" w:hAnsi="宋体" w:cs="宋体"/>
                <w:b/>
                <w:bCs/>
                <w:snapToGrid w:val="0"/>
                <w:color w:val="auto"/>
                <w:kern w:val="0"/>
                <w:szCs w:val="21"/>
                <w:highlight w:val="none"/>
              </w:rPr>
            </w:pPr>
            <w:r>
              <w:rPr>
                <w:rFonts w:hint="eastAsia" w:ascii="宋体" w:hAnsi="宋体" w:cs="宋体"/>
                <w:bCs/>
                <w:color w:val="auto"/>
                <w:kern w:val="0"/>
                <w:szCs w:val="21"/>
                <w:highlight w:val="none"/>
              </w:rPr>
              <w:t>②</w:t>
            </w:r>
            <w:r>
              <w:rPr>
                <w:rFonts w:hint="eastAsia" w:ascii="宋体" w:hAnsi="宋体" w:cs="宋体"/>
                <w:bCs/>
                <w:snapToGrid w:val="0"/>
                <w:color w:val="auto"/>
                <w:kern w:val="0"/>
                <w:szCs w:val="21"/>
                <w:highlight w:val="none"/>
                <w:lang w:val="en-US" w:eastAsia="zh-CN"/>
              </w:rPr>
              <w:t>拟派人员在供应商单位</w:t>
            </w:r>
            <w:r>
              <w:rPr>
                <w:rFonts w:hint="eastAsia" w:ascii="宋体" w:hAnsi="宋体" w:cs="宋体"/>
                <w:bCs/>
                <w:snapToGrid w:val="0"/>
                <w:color w:val="auto"/>
                <w:kern w:val="0"/>
                <w:szCs w:val="21"/>
                <w:highlight w:val="none"/>
              </w:rPr>
              <w:t>的</w:t>
            </w:r>
            <w:r>
              <w:rPr>
                <w:rFonts w:hint="eastAsia" w:ascii="宋体" w:hAnsi="宋体" w:cs="宋体"/>
                <w:bCs/>
                <w:snapToGrid w:val="0"/>
                <w:color w:val="auto"/>
                <w:kern w:val="0"/>
                <w:szCs w:val="21"/>
                <w:highlight w:val="none"/>
                <w:lang w:val="en-US" w:eastAsia="zh-CN"/>
              </w:rPr>
              <w:t>连续</w:t>
            </w:r>
            <w:r>
              <w:rPr>
                <w:rFonts w:hint="eastAsia" w:ascii="宋体" w:hAnsi="宋体" w:cs="宋体"/>
                <w:bCs/>
                <w:snapToGrid w:val="0"/>
                <w:color w:val="auto"/>
                <w:kern w:val="0"/>
                <w:szCs w:val="21"/>
                <w:highlight w:val="none"/>
              </w:rPr>
              <w:t>养老保险证明期限</w:t>
            </w:r>
            <w:r>
              <w:rPr>
                <w:rFonts w:hint="eastAsia" w:ascii="宋体" w:hAnsi="宋体" w:cs="宋体"/>
                <w:bCs/>
                <w:snapToGrid w:val="0"/>
                <w:color w:val="auto"/>
                <w:kern w:val="0"/>
                <w:szCs w:val="21"/>
                <w:highlight w:val="none"/>
                <w:lang w:val="en-US" w:eastAsia="zh-CN"/>
              </w:rPr>
              <w:t>须包含</w:t>
            </w:r>
            <w:r>
              <w:rPr>
                <w:rFonts w:hint="eastAsia" w:ascii="宋体" w:hAnsi="宋体" w:cs="宋体"/>
                <w:bCs/>
                <w:snapToGrid w:val="0"/>
                <w:color w:val="auto"/>
                <w:kern w:val="0"/>
                <w:szCs w:val="21"/>
                <w:highlight w:val="none"/>
                <w:u w:val="single"/>
                <w:lang w:val="en-US" w:eastAsia="zh-CN"/>
              </w:rPr>
              <w:t>2025</w:t>
            </w:r>
            <w:r>
              <w:rPr>
                <w:rFonts w:hint="eastAsia" w:ascii="宋体" w:hAnsi="宋体" w:cs="宋体"/>
                <w:bCs/>
                <w:snapToGrid w:val="0"/>
                <w:color w:val="auto"/>
                <w:kern w:val="0"/>
                <w:szCs w:val="21"/>
                <w:highlight w:val="none"/>
              </w:rPr>
              <w:t>年</w:t>
            </w:r>
            <w:r>
              <w:rPr>
                <w:rFonts w:hint="eastAsia" w:ascii="宋体" w:hAnsi="宋体" w:cs="宋体"/>
                <w:bCs/>
                <w:snapToGrid w:val="0"/>
                <w:color w:val="auto"/>
                <w:kern w:val="0"/>
                <w:szCs w:val="21"/>
                <w:highlight w:val="none"/>
                <w:lang w:val="en-US" w:eastAsia="zh-CN"/>
              </w:rPr>
              <w:t>11</w:t>
            </w:r>
            <w:r>
              <w:rPr>
                <w:rFonts w:hint="eastAsia" w:ascii="宋体" w:hAnsi="宋体" w:cs="宋体"/>
                <w:bCs/>
                <w:snapToGrid w:val="0"/>
                <w:color w:val="auto"/>
                <w:kern w:val="0"/>
                <w:szCs w:val="21"/>
                <w:highlight w:val="none"/>
              </w:rPr>
              <w:t>月至</w:t>
            </w:r>
            <w:r>
              <w:rPr>
                <w:rFonts w:hint="eastAsia" w:ascii="宋体" w:hAnsi="宋体" w:cs="宋体"/>
                <w:bCs/>
                <w:snapToGrid w:val="0"/>
                <w:color w:val="auto"/>
                <w:kern w:val="0"/>
                <w:szCs w:val="21"/>
                <w:highlight w:val="none"/>
                <w:u w:val="single"/>
                <w:lang w:val="en-US" w:eastAsia="zh-CN"/>
              </w:rPr>
              <w:t>2026</w:t>
            </w:r>
            <w:r>
              <w:rPr>
                <w:rFonts w:hint="eastAsia" w:ascii="宋体" w:hAnsi="宋体" w:cs="宋体"/>
                <w:bCs/>
                <w:snapToGrid w:val="0"/>
                <w:color w:val="auto"/>
                <w:kern w:val="0"/>
                <w:szCs w:val="21"/>
                <w:highlight w:val="none"/>
              </w:rPr>
              <w:t>年</w:t>
            </w:r>
            <w:r>
              <w:rPr>
                <w:rFonts w:hint="eastAsia" w:ascii="宋体" w:hAnsi="宋体" w:cs="宋体"/>
                <w:bCs/>
                <w:snapToGrid w:val="0"/>
                <w:color w:val="auto"/>
                <w:kern w:val="0"/>
                <w:szCs w:val="21"/>
                <w:highlight w:val="none"/>
                <w:u w:val="single"/>
                <w:lang w:val="en-US" w:eastAsia="zh-CN"/>
              </w:rPr>
              <w:t>4</w:t>
            </w:r>
            <w:r>
              <w:rPr>
                <w:rFonts w:hint="eastAsia" w:ascii="宋体" w:hAnsi="宋体" w:cs="宋体"/>
                <w:bCs/>
                <w:snapToGrid w:val="0"/>
                <w:color w:val="auto"/>
                <w:kern w:val="0"/>
                <w:szCs w:val="21"/>
                <w:highlight w:val="none"/>
              </w:rPr>
              <w:t>月</w:t>
            </w:r>
            <w:r>
              <w:rPr>
                <w:rFonts w:hint="eastAsia" w:ascii="宋体" w:hAnsi="宋体" w:cs="宋体"/>
                <w:bCs/>
                <w:color w:val="auto"/>
                <w:szCs w:val="21"/>
                <w:highlight w:val="none"/>
              </w:rPr>
              <w:t>。提供的养老保险参保证明</w:t>
            </w:r>
            <w:r>
              <w:rPr>
                <w:rFonts w:hint="eastAsia" w:ascii="宋体" w:hAnsi="宋体"/>
                <w:bCs/>
                <w:color w:val="auto"/>
                <w:szCs w:val="21"/>
                <w:highlight w:val="none"/>
              </w:rPr>
              <w:t>须体现上述人员的姓名、身份证号（或社保号）、单位名称、</w:t>
            </w:r>
            <w:r>
              <w:rPr>
                <w:rFonts w:hint="eastAsia" w:ascii="宋体" w:hAnsi="宋体"/>
                <w:bCs/>
                <w:color w:val="auto"/>
                <w:szCs w:val="21"/>
                <w:highlight w:val="none"/>
                <w:lang w:val="en-US" w:eastAsia="zh-CN"/>
              </w:rPr>
              <w:t>在供应商单位</w:t>
            </w:r>
            <w:r>
              <w:rPr>
                <w:rFonts w:hint="eastAsia" w:ascii="宋体" w:hAnsi="宋体"/>
                <w:bCs/>
                <w:color w:val="auto"/>
                <w:szCs w:val="21"/>
                <w:highlight w:val="none"/>
              </w:rPr>
              <w:t>参保时间（或起始参保时间）</w:t>
            </w:r>
            <w:r>
              <w:rPr>
                <w:rFonts w:hint="eastAsia" w:ascii="宋体" w:hAnsi="宋体" w:cs="宋体"/>
                <w:bCs/>
                <w:color w:val="auto"/>
                <w:szCs w:val="21"/>
                <w:highlight w:val="none"/>
              </w:rPr>
              <w:t>，并带有社保部门公章或社保部门的有效电子印章。</w:t>
            </w:r>
          </w:p>
        </w:tc>
      </w:tr>
      <w:tr w14:paraId="7EA30C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D796EA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1.4.2</w:t>
            </w:r>
          </w:p>
        </w:tc>
        <w:tc>
          <w:tcPr>
            <w:tcW w:w="972" w:type="pct"/>
            <w:vAlign w:val="center"/>
          </w:tcPr>
          <w:p w14:paraId="22EB74D9">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是否接受联合体</w:t>
            </w:r>
            <w:r>
              <w:rPr>
                <w:rFonts w:hint="eastAsia" w:ascii="宋体" w:hAnsi="宋体" w:cs="宋体"/>
                <w:color w:val="auto"/>
                <w:kern w:val="0"/>
                <w:szCs w:val="21"/>
                <w:highlight w:val="none"/>
                <w:lang w:eastAsia="zh-CN"/>
              </w:rPr>
              <w:t>比选</w:t>
            </w:r>
          </w:p>
        </w:tc>
        <w:tc>
          <w:tcPr>
            <w:tcW w:w="3445" w:type="pct"/>
            <w:vAlign w:val="center"/>
          </w:tcPr>
          <w:p w14:paraId="3F0673AE">
            <w:pPr>
              <w:adjustRightInd w:val="0"/>
              <w:snapToGrid w:val="0"/>
              <w:spacing w:beforeLines="0" w:afterLines="0" w:line="400" w:lineRule="exact"/>
              <w:ind w:firstLine="420" w:firstLineChars="200"/>
              <w:rPr>
                <w:rFonts w:ascii="宋体" w:hAnsi="宋体" w:cs="宋体"/>
                <w:bCs/>
                <w:color w:val="auto"/>
                <w:szCs w:val="21"/>
                <w:highlight w:val="none"/>
              </w:rPr>
            </w:pPr>
            <w:r>
              <w:rPr>
                <w:rFonts w:hint="eastAsia" w:ascii="宋体" w:hAnsi="宋体" w:cs="宋体"/>
                <w:color w:val="auto"/>
                <w:kern w:val="0"/>
                <w:szCs w:val="21"/>
                <w:highlight w:val="none"/>
              </w:rPr>
              <w:t>不接受</w:t>
            </w:r>
          </w:p>
        </w:tc>
      </w:tr>
      <w:tr w14:paraId="02417F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F8DD1E0">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1.4.3</w:t>
            </w:r>
          </w:p>
        </w:tc>
        <w:tc>
          <w:tcPr>
            <w:tcW w:w="972" w:type="pct"/>
            <w:vAlign w:val="center"/>
          </w:tcPr>
          <w:p w14:paraId="78E9CD2E">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不得存在的其他关联情形</w:t>
            </w:r>
          </w:p>
        </w:tc>
        <w:tc>
          <w:tcPr>
            <w:tcW w:w="3445" w:type="pct"/>
            <w:vAlign w:val="center"/>
          </w:tcPr>
          <w:p w14:paraId="01A66BDE">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szCs w:val="21"/>
                <w:highlight w:val="none"/>
                <w:lang w:bidi="ar"/>
              </w:rPr>
              <w:t>单位负责人为同一人或者存在控股、管理关系的不同单位，不得同时参加报价，否则相关报价均无效。</w:t>
            </w:r>
          </w:p>
        </w:tc>
      </w:tr>
      <w:tr w14:paraId="4DB34E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F3384E9">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1.11.1</w:t>
            </w:r>
          </w:p>
        </w:tc>
        <w:tc>
          <w:tcPr>
            <w:tcW w:w="972" w:type="pct"/>
            <w:vAlign w:val="center"/>
          </w:tcPr>
          <w:p w14:paraId="34FB5D4C">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分包</w:t>
            </w:r>
          </w:p>
        </w:tc>
        <w:tc>
          <w:tcPr>
            <w:tcW w:w="3445" w:type="pct"/>
            <w:vAlign w:val="center"/>
          </w:tcPr>
          <w:p w14:paraId="4F4930F3">
            <w:pPr>
              <w:adjustRightInd w:val="0"/>
              <w:snapToGrid w:val="0"/>
              <w:spacing w:beforeLines="0" w:afterLines="0" w:line="400" w:lineRule="exact"/>
              <w:ind w:firstLine="420" w:firstLineChars="200"/>
              <w:rPr>
                <w:rFonts w:hint="eastAsia" w:ascii="宋体" w:hAnsi="宋体" w:eastAsia="宋体" w:cs="宋体"/>
                <w:bCs/>
                <w:color w:val="auto"/>
                <w:szCs w:val="21"/>
                <w:highlight w:val="none"/>
                <w:lang w:eastAsia="zh-CN"/>
              </w:rPr>
            </w:pPr>
            <w:r>
              <w:rPr>
                <w:rFonts w:hint="eastAsia" w:ascii="宋体" w:hAnsi="宋体" w:cs="宋体"/>
                <w:bCs/>
                <w:color w:val="auto"/>
                <w:szCs w:val="21"/>
                <w:highlight w:val="none"/>
                <w:u w:val="single"/>
                <w:lang w:val="en-US" w:eastAsia="zh-CN"/>
              </w:rPr>
              <w:t>不允许。</w:t>
            </w:r>
          </w:p>
        </w:tc>
      </w:tr>
      <w:tr w14:paraId="6FBA50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6556494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2.1</w:t>
            </w:r>
          </w:p>
        </w:tc>
        <w:tc>
          <w:tcPr>
            <w:tcW w:w="972" w:type="pct"/>
            <w:vAlign w:val="center"/>
          </w:tcPr>
          <w:p w14:paraId="3B7F2E78">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构成</w:t>
            </w:r>
            <w:r>
              <w:rPr>
                <w:rFonts w:hint="eastAsia" w:ascii="宋体" w:hAnsi="宋体" w:cs="宋体"/>
                <w:color w:val="auto"/>
                <w:kern w:val="0"/>
                <w:szCs w:val="21"/>
                <w:highlight w:val="none"/>
                <w:lang w:eastAsia="zh-CN"/>
              </w:rPr>
              <w:t>比选文件</w:t>
            </w:r>
            <w:r>
              <w:rPr>
                <w:rFonts w:hint="eastAsia" w:ascii="宋体" w:hAnsi="宋体" w:cs="宋体"/>
                <w:color w:val="auto"/>
                <w:kern w:val="0"/>
                <w:szCs w:val="21"/>
                <w:highlight w:val="none"/>
              </w:rPr>
              <w:t>的其他材料</w:t>
            </w:r>
          </w:p>
        </w:tc>
        <w:tc>
          <w:tcPr>
            <w:tcW w:w="3445" w:type="pct"/>
            <w:vAlign w:val="center"/>
          </w:tcPr>
          <w:p w14:paraId="2AAE1AE0">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发出的澄清及修改</w:t>
            </w:r>
          </w:p>
        </w:tc>
      </w:tr>
      <w:tr w14:paraId="71932C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2F4EF3A9">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2.2.1</w:t>
            </w:r>
          </w:p>
        </w:tc>
        <w:tc>
          <w:tcPr>
            <w:tcW w:w="972" w:type="pct"/>
            <w:vAlign w:val="center"/>
          </w:tcPr>
          <w:p w14:paraId="5A2A723F">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对</w:t>
            </w:r>
            <w:r>
              <w:rPr>
                <w:rFonts w:hint="eastAsia" w:ascii="宋体" w:hAnsi="宋体" w:cs="宋体"/>
                <w:color w:val="auto"/>
                <w:kern w:val="0"/>
                <w:szCs w:val="21"/>
                <w:highlight w:val="none"/>
                <w:lang w:eastAsia="zh-CN"/>
              </w:rPr>
              <w:t>比选文件</w:t>
            </w:r>
            <w:r>
              <w:rPr>
                <w:rFonts w:hint="eastAsia" w:ascii="宋体" w:hAnsi="宋体" w:cs="宋体"/>
                <w:color w:val="auto"/>
                <w:kern w:val="0"/>
                <w:szCs w:val="21"/>
                <w:highlight w:val="none"/>
              </w:rPr>
              <w:t>提出疑问的截止时间</w:t>
            </w:r>
          </w:p>
        </w:tc>
        <w:tc>
          <w:tcPr>
            <w:tcW w:w="3445" w:type="pct"/>
            <w:vAlign w:val="center"/>
          </w:tcPr>
          <w:p w14:paraId="187F75A3">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应仔细阅读</w:t>
            </w:r>
            <w:r>
              <w:rPr>
                <w:rFonts w:hint="eastAsia" w:ascii="宋体" w:hAnsi="宋体" w:cs="宋体"/>
                <w:color w:val="auto"/>
                <w:kern w:val="0"/>
                <w:szCs w:val="21"/>
                <w:highlight w:val="none"/>
                <w:lang w:eastAsia="zh-CN"/>
              </w:rPr>
              <w:t>比选文件</w:t>
            </w:r>
            <w:r>
              <w:rPr>
                <w:rFonts w:hint="eastAsia" w:ascii="宋体" w:hAnsi="宋体" w:cs="宋体"/>
                <w:color w:val="auto"/>
                <w:kern w:val="0"/>
                <w:szCs w:val="21"/>
                <w:highlight w:val="none"/>
              </w:rPr>
              <w:t>及附件的所有内容，如有文字表述不清，图纸尺寸标注不明以及存在错、漏、缺、概念模糊和有可能出现歧义或理解上的偏差的内容等应在</w:t>
            </w:r>
            <w:r>
              <w:rPr>
                <w:rFonts w:hint="eastAsia" w:ascii="宋体" w:hAnsi="宋体" w:cs="宋体"/>
                <w:color w:val="auto"/>
                <w:kern w:val="0"/>
                <w:szCs w:val="21"/>
                <w:highlight w:val="none"/>
                <w:lang w:eastAsia="zh-CN"/>
              </w:rPr>
              <w:t>竞争性比选公告</w:t>
            </w:r>
            <w:r>
              <w:rPr>
                <w:rFonts w:hint="eastAsia" w:ascii="宋体" w:hAnsi="宋体" w:cs="宋体"/>
                <w:color w:val="auto"/>
                <w:kern w:val="0"/>
                <w:szCs w:val="21"/>
                <w:highlight w:val="none"/>
              </w:rPr>
              <w:t>规定的时间前以电子邮件形式提交提问。</w:t>
            </w:r>
          </w:p>
        </w:tc>
      </w:tr>
      <w:tr w14:paraId="57C1DC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Merge w:val="restart"/>
            <w:vAlign w:val="center"/>
          </w:tcPr>
          <w:p w14:paraId="362CEDD6">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2.2.2</w:t>
            </w:r>
          </w:p>
        </w:tc>
        <w:tc>
          <w:tcPr>
            <w:tcW w:w="972" w:type="pct"/>
            <w:vAlign w:val="center"/>
          </w:tcPr>
          <w:p w14:paraId="60D2E75B">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对</w:t>
            </w:r>
            <w:r>
              <w:rPr>
                <w:rFonts w:hint="eastAsia" w:ascii="宋体" w:hAnsi="宋体" w:cs="宋体"/>
                <w:color w:val="auto"/>
                <w:kern w:val="0"/>
                <w:szCs w:val="21"/>
                <w:highlight w:val="none"/>
                <w:lang w:eastAsia="zh-CN"/>
              </w:rPr>
              <w:t>比选文件</w:t>
            </w:r>
            <w:r>
              <w:rPr>
                <w:rFonts w:hint="eastAsia" w:ascii="宋体" w:hAnsi="宋体" w:cs="宋体"/>
                <w:color w:val="auto"/>
                <w:kern w:val="0"/>
                <w:szCs w:val="21"/>
                <w:highlight w:val="none"/>
              </w:rPr>
              <w:t>澄清的截止时间</w:t>
            </w:r>
          </w:p>
        </w:tc>
        <w:tc>
          <w:tcPr>
            <w:tcW w:w="3445" w:type="pct"/>
            <w:vAlign w:val="center"/>
          </w:tcPr>
          <w:p w14:paraId="41FDE24C">
            <w:pPr>
              <w:adjustRightInd w:val="0"/>
              <w:snapToGrid w:val="0"/>
              <w:spacing w:beforeLines="0" w:afterLines="0" w:line="400" w:lineRule="exact"/>
              <w:ind w:firstLine="420" w:firstLineChars="200"/>
              <w:rPr>
                <w:rFonts w:ascii="宋体" w:hAnsi="宋体" w:cs="宋体"/>
                <w:color w:val="auto"/>
                <w:kern w:val="0"/>
                <w:szCs w:val="21"/>
                <w:highlight w:val="none"/>
                <w:u w:val="single"/>
              </w:rPr>
            </w:pP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应在</w:t>
            </w:r>
            <w:r>
              <w:rPr>
                <w:rFonts w:hint="eastAsia" w:ascii="宋体" w:hAnsi="宋体" w:cs="宋体"/>
                <w:color w:val="auto"/>
                <w:szCs w:val="21"/>
                <w:highlight w:val="none"/>
                <w:lang w:eastAsia="zh-CN"/>
              </w:rPr>
              <w:t>竞争性比选公告</w:t>
            </w:r>
            <w:r>
              <w:rPr>
                <w:rFonts w:hint="eastAsia" w:ascii="宋体" w:hAnsi="宋体" w:cs="宋体"/>
                <w:color w:val="auto"/>
                <w:szCs w:val="21"/>
                <w:highlight w:val="none"/>
              </w:rPr>
              <w:t>规定的时间前，</w:t>
            </w:r>
            <w:r>
              <w:rPr>
                <w:rFonts w:hint="eastAsia" w:ascii="宋体" w:hAnsi="宋体" w:cs="宋体"/>
                <w:color w:val="auto"/>
                <w:kern w:val="0"/>
                <w:szCs w:val="21"/>
                <w:highlight w:val="none"/>
              </w:rPr>
              <w:t>在</w:t>
            </w:r>
            <w:r>
              <w:rPr>
                <w:rFonts w:hint="eastAsia" w:ascii="宋体" w:hAnsi="宋体" w:cs="宋体"/>
                <w:snapToGrid w:val="0"/>
                <w:color w:val="auto"/>
                <w:kern w:val="0"/>
                <w:szCs w:val="21"/>
                <w:highlight w:val="none"/>
                <w:u w:val="single"/>
              </w:rPr>
              <w:t>重庆高速集团官网（https://www.cegc.com.cn/html/col1810480.html）</w:t>
            </w:r>
            <w:r>
              <w:rPr>
                <w:rFonts w:hint="eastAsia" w:ascii="宋体" w:hAnsi="宋体" w:cs="宋体"/>
                <w:color w:val="auto"/>
                <w:kern w:val="0"/>
                <w:szCs w:val="21"/>
                <w:highlight w:val="none"/>
              </w:rPr>
              <w:t>发布澄清。</w:t>
            </w:r>
          </w:p>
        </w:tc>
      </w:tr>
      <w:tr w14:paraId="117BCF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Merge w:val="continue"/>
            <w:vAlign w:val="center"/>
          </w:tcPr>
          <w:p w14:paraId="32AD0761">
            <w:pPr>
              <w:adjustRightInd w:val="0"/>
              <w:snapToGrid w:val="0"/>
              <w:spacing w:beforeLines="0" w:afterLines="0" w:line="400" w:lineRule="exact"/>
              <w:jc w:val="center"/>
              <w:rPr>
                <w:rFonts w:ascii="宋体" w:hAnsi="宋体" w:cs="宋体"/>
                <w:color w:val="auto"/>
                <w:kern w:val="0"/>
                <w:szCs w:val="21"/>
                <w:highlight w:val="none"/>
              </w:rPr>
            </w:pPr>
          </w:p>
        </w:tc>
        <w:tc>
          <w:tcPr>
            <w:tcW w:w="972" w:type="pct"/>
            <w:vAlign w:val="center"/>
          </w:tcPr>
          <w:p w14:paraId="3FB53756">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截止时间</w:t>
            </w:r>
          </w:p>
        </w:tc>
        <w:tc>
          <w:tcPr>
            <w:tcW w:w="3445" w:type="pct"/>
            <w:vAlign w:val="center"/>
          </w:tcPr>
          <w:p w14:paraId="07321157">
            <w:pPr>
              <w:adjustRightInd w:val="0"/>
              <w:snapToGrid w:val="0"/>
              <w:spacing w:beforeLines="0" w:afterLines="0" w:line="400" w:lineRule="exact"/>
              <w:ind w:firstLine="420" w:firstLineChars="200"/>
              <w:rPr>
                <w:rFonts w:ascii="宋体" w:hAnsi="宋体" w:cs="宋体"/>
                <w:color w:val="auto"/>
                <w:szCs w:val="21"/>
                <w:highlight w:val="none"/>
                <w:u w:val="single"/>
              </w:rPr>
            </w:pPr>
            <w:r>
              <w:rPr>
                <w:rFonts w:hint="eastAsia" w:ascii="宋体" w:hAnsi="宋体" w:cs="宋体"/>
                <w:color w:val="auto"/>
                <w:szCs w:val="21"/>
                <w:highlight w:val="none"/>
                <w:u w:val="single"/>
              </w:rPr>
              <w:t>详见</w:t>
            </w:r>
            <w:r>
              <w:rPr>
                <w:rFonts w:hint="eastAsia" w:ascii="宋体" w:hAnsi="宋体" w:cs="宋体"/>
                <w:color w:val="auto"/>
                <w:szCs w:val="21"/>
                <w:highlight w:val="none"/>
                <w:u w:val="single"/>
                <w:lang w:eastAsia="zh-CN"/>
              </w:rPr>
              <w:t>竞争性比选公告</w:t>
            </w:r>
            <w:r>
              <w:rPr>
                <w:rFonts w:hint="eastAsia" w:ascii="宋体" w:hAnsi="宋体" w:cs="宋体"/>
                <w:color w:val="auto"/>
                <w:szCs w:val="21"/>
                <w:highlight w:val="none"/>
                <w:u w:val="single"/>
              </w:rPr>
              <w:t>规定的</w:t>
            </w:r>
            <w:r>
              <w:rPr>
                <w:rFonts w:hint="eastAsia" w:ascii="宋体" w:hAnsi="宋体" w:cs="宋体"/>
                <w:color w:val="auto"/>
                <w:szCs w:val="21"/>
                <w:highlight w:val="none"/>
                <w:u w:val="single"/>
                <w:lang w:eastAsia="zh-CN"/>
              </w:rPr>
              <w:t>比选</w:t>
            </w:r>
            <w:r>
              <w:rPr>
                <w:rFonts w:hint="eastAsia" w:ascii="宋体" w:hAnsi="宋体" w:cs="宋体"/>
                <w:color w:val="auto"/>
                <w:szCs w:val="21"/>
                <w:highlight w:val="none"/>
                <w:u w:val="single"/>
              </w:rPr>
              <w:t>截止时间。</w:t>
            </w:r>
          </w:p>
        </w:tc>
      </w:tr>
      <w:tr w14:paraId="5D3129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F8913A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2.2.3</w:t>
            </w:r>
          </w:p>
        </w:tc>
        <w:tc>
          <w:tcPr>
            <w:tcW w:w="972" w:type="pct"/>
            <w:vAlign w:val="center"/>
          </w:tcPr>
          <w:p w14:paraId="3F25F017">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对</w:t>
            </w:r>
            <w:r>
              <w:rPr>
                <w:rFonts w:hint="eastAsia" w:ascii="宋体" w:hAnsi="宋体" w:cs="宋体"/>
                <w:color w:val="auto"/>
                <w:kern w:val="0"/>
                <w:szCs w:val="21"/>
                <w:highlight w:val="none"/>
                <w:lang w:eastAsia="zh-CN"/>
              </w:rPr>
              <w:t>比选文件</w:t>
            </w:r>
            <w:r>
              <w:rPr>
                <w:rFonts w:hint="eastAsia" w:ascii="宋体" w:hAnsi="宋体" w:cs="宋体"/>
                <w:color w:val="auto"/>
                <w:kern w:val="0"/>
                <w:szCs w:val="21"/>
                <w:highlight w:val="none"/>
              </w:rPr>
              <w:t>进行修改的时间</w:t>
            </w:r>
          </w:p>
        </w:tc>
        <w:tc>
          <w:tcPr>
            <w:tcW w:w="3445" w:type="pct"/>
            <w:vAlign w:val="center"/>
          </w:tcPr>
          <w:p w14:paraId="220F35C9">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snapToGrid w:val="0"/>
                <w:color w:val="auto"/>
                <w:kern w:val="0"/>
                <w:szCs w:val="21"/>
                <w:highlight w:val="none"/>
                <w:lang w:eastAsia="zh-CN"/>
              </w:rPr>
              <w:t>采购人</w:t>
            </w:r>
            <w:r>
              <w:rPr>
                <w:rFonts w:hint="eastAsia" w:ascii="宋体" w:hAnsi="宋体" w:cs="宋体"/>
                <w:snapToGrid w:val="0"/>
                <w:color w:val="auto"/>
                <w:kern w:val="0"/>
                <w:szCs w:val="21"/>
                <w:highlight w:val="none"/>
              </w:rPr>
              <w:t>应在</w:t>
            </w:r>
            <w:r>
              <w:rPr>
                <w:rFonts w:hint="eastAsia" w:ascii="宋体" w:hAnsi="宋体" w:cs="宋体"/>
                <w:snapToGrid w:val="0"/>
                <w:color w:val="auto"/>
                <w:kern w:val="0"/>
                <w:szCs w:val="21"/>
                <w:highlight w:val="none"/>
                <w:lang w:eastAsia="zh-CN"/>
              </w:rPr>
              <w:t>竞争性比选公告</w:t>
            </w:r>
            <w:r>
              <w:rPr>
                <w:rFonts w:hint="eastAsia" w:ascii="宋体" w:hAnsi="宋体" w:cs="宋体"/>
                <w:snapToGrid w:val="0"/>
                <w:color w:val="auto"/>
                <w:kern w:val="0"/>
                <w:szCs w:val="21"/>
                <w:highlight w:val="none"/>
              </w:rPr>
              <w:t>规定的时间前，在</w:t>
            </w:r>
            <w:r>
              <w:rPr>
                <w:rFonts w:hint="eastAsia" w:ascii="宋体" w:hAnsi="宋体" w:cs="宋体"/>
                <w:snapToGrid w:val="0"/>
                <w:color w:val="auto"/>
                <w:kern w:val="0"/>
                <w:szCs w:val="21"/>
                <w:highlight w:val="none"/>
                <w:u w:val="single"/>
              </w:rPr>
              <w:t>重庆高速集团官网（https://www.cegc.com.cn/html/col1810480.html）</w:t>
            </w:r>
            <w:r>
              <w:rPr>
                <w:rFonts w:hint="eastAsia" w:ascii="宋体" w:hAnsi="宋体" w:cs="宋体"/>
                <w:snapToGrid w:val="0"/>
                <w:color w:val="auto"/>
                <w:kern w:val="0"/>
                <w:szCs w:val="21"/>
                <w:highlight w:val="none"/>
              </w:rPr>
              <w:t>发布修改。</w:t>
            </w:r>
          </w:p>
        </w:tc>
      </w:tr>
      <w:tr w14:paraId="01EDA8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6BF498A6">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3.1.1</w:t>
            </w:r>
          </w:p>
        </w:tc>
        <w:tc>
          <w:tcPr>
            <w:tcW w:w="972" w:type="pct"/>
            <w:vAlign w:val="center"/>
          </w:tcPr>
          <w:p w14:paraId="52D916F2">
            <w:pPr>
              <w:widowControl/>
              <w:adjustRightInd w:val="0"/>
              <w:snapToGrid w:val="0"/>
              <w:spacing w:beforeLines="0" w:afterLines="0" w:line="400" w:lineRule="exact"/>
              <w:jc w:val="center"/>
              <w:rPr>
                <w:rFonts w:ascii="宋体" w:hAnsi="宋体" w:cs="宋体"/>
                <w:color w:val="auto"/>
                <w:kern w:val="0"/>
                <w:szCs w:val="21"/>
                <w:highlight w:val="none"/>
                <w:lang w:bidi="ar"/>
              </w:rPr>
            </w:pPr>
            <w:r>
              <w:rPr>
                <w:rFonts w:hint="eastAsia" w:ascii="宋体" w:hAnsi="宋体" w:cs="宋体"/>
                <w:color w:val="auto"/>
                <w:spacing w:val="-1"/>
                <w:szCs w:val="21"/>
                <w:highlight w:val="none"/>
              </w:rPr>
              <w:t>构成</w:t>
            </w:r>
            <w:r>
              <w:rPr>
                <w:rFonts w:hint="eastAsia" w:ascii="宋体" w:hAnsi="宋体" w:cs="宋体"/>
                <w:color w:val="auto"/>
                <w:spacing w:val="-1"/>
                <w:szCs w:val="21"/>
                <w:highlight w:val="none"/>
                <w:lang w:eastAsia="zh-CN"/>
              </w:rPr>
              <w:t>响应文件</w:t>
            </w:r>
            <w:r>
              <w:rPr>
                <w:rFonts w:hint="eastAsia" w:ascii="宋体" w:hAnsi="宋体" w:cs="宋体"/>
                <w:color w:val="auto"/>
                <w:spacing w:val="-1"/>
                <w:szCs w:val="21"/>
                <w:highlight w:val="none"/>
              </w:rPr>
              <w:t>的其他资料</w:t>
            </w:r>
          </w:p>
        </w:tc>
        <w:tc>
          <w:tcPr>
            <w:tcW w:w="3445" w:type="pct"/>
            <w:vAlign w:val="center"/>
          </w:tcPr>
          <w:p w14:paraId="0E616D4E">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的书面澄清、说明和补正（但不得改变</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的实质性内容）</w:t>
            </w:r>
          </w:p>
        </w:tc>
      </w:tr>
      <w:tr w14:paraId="2B393C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9A89299">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3.2.1</w:t>
            </w:r>
          </w:p>
        </w:tc>
        <w:tc>
          <w:tcPr>
            <w:tcW w:w="972" w:type="pct"/>
            <w:vAlign w:val="center"/>
          </w:tcPr>
          <w:p w14:paraId="1DDE61A0">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增值税税金的计算方法</w:t>
            </w:r>
          </w:p>
        </w:tc>
        <w:tc>
          <w:tcPr>
            <w:tcW w:w="3445" w:type="pct"/>
            <w:vAlign w:val="center"/>
          </w:tcPr>
          <w:p w14:paraId="7E77A4C3">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税率3%。</w:t>
            </w:r>
          </w:p>
        </w:tc>
      </w:tr>
      <w:tr w14:paraId="35357D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6DB5D81">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3.2.3</w:t>
            </w:r>
          </w:p>
        </w:tc>
        <w:tc>
          <w:tcPr>
            <w:tcW w:w="972" w:type="pct"/>
            <w:vAlign w:val="center"/>
          </w:tcPr>
          <w:p w14:paraId="5030C608">
            <w:pPr>
              <w:widowControl/>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kern w:val="0"/>
                <w:szCs w:val="21"/>
                <w:highlight w:val="none"/>
                <w:lang w:bidi="ar"/>
              </w:rPr>
              <w:t>报价方式</w:t>
            </w:r>
          </w:p>
        </w:tc>
        <w:tc>
          <w:tcPr>
            <w:tcW w:w="3445" w:type="pct"/>
            <w:vAlign w:val="center"/>
          </w:tcPr>
          <w:p w14:paraId="2B4153B6">
            <w:pPr>
              <w:widowControl/>
              <w:adjustRightInd w:val="0"/>
              <w:snapToGrid w:val="0"/>
              <w:spacing w:beforeLines="0" w:afterLines="0" w:line="400" w:lineRule="exact"/>
              <w:ind w:firstLine="420" w:firstLineChars="200"/>
              <w:jc w:val="left"/>
              <w:rPr>
                <w:rFonts w:hint="eastAsia" w:ascii="宋体" w:hAnsi="宋体" w:eastAsia="宋体" w:cs="宋体"/>
                <w:b/>
                <w:color w:val="auto"/>
                <w:szCs w:val="21"/>
                <w:highlight w:val="none"/>
              </w:rPr>
            </w:pPr>
            <w:r>
              <w:rPr>
                <w:rFonts w:hint="eastAsia" w:ascii="宋体" w:hAnsi="宋体" w:eastAsia="宋体" w:cs="宋体"/>
                <w:color w:val="auto"/>
                <w:kern w:val="0"/>
                <w:szCs w:val="21"/>
                <w:highlight w:val="none"/>
                <w:lang w:bidi="ar"/>
              </w:rPr>
              <w:t>单价</w:t>
            </w:r>
          </w:p>
        </w:tc>
      </w:tr>
      <w:tr w14:paraId="4A939D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04670E6">
            <w:pPr>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szCs w:val="21"/>
                <w:highlight w:val="none"/>
              </w:rPr>
              <w:t>3.2.5</w:t>
            </w:r>
          </w:p>
        </w:tc>
        <w:tc>
          <w:tcPr>
            <w:tcW w:w="972" w:type="pct"/>
            <w:vAlign w:val="center"/>
          </w:tcPr>
          <w:p w14:paraId="5B63D140">
            <w:pPr>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szCs w:val="21"/>
                <w:highlight w:val="none"/>
              </w:rPr>
              <w:t>安全生产费</w:t>
            </w:r>
          </w:p>
        </w:tc>
        <w:tc>
          <w:tcPr>
            <w:tcW w:w="3445" w:type="pct"/>
          </w:tcPr>
          <w:p w14:paraId="04711E2D">
            <w:pPr>
              <w:pStyle w:val="44"/>
              <w:adjustRightInd w:val="0"/>
              <w:snapToGrid w:val="0"/>
              <w:spacing w:beforeLines="0" w:afterLines="0" w:line="400" w:lineRule="exact"/>
              <w:ind w:firstLine="420" w:firstLineChars="200"/>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1.按建筑安装工程费的2%计算；</w:t>
            </w:r>
          </w:p>
          <w:p w14:paraId="5C0BCF3D">
            <w:pPr>
              <w:pStyle w:val="44"/>
              <w:adjustRightInd w:val="0"/>
              <w:snapToGrid w:val="0"/>
              <w:spacing w:beforeLines="0" w:afterLines="0" w:line="400" w:lineRule="exact"/>
              <w:ind w:firstLine="420" w:firstLineChars="200"/>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2.结算时据实结算。</w:t>
            </w:r>
          </w:p>
        </w:tc>
      </w:tr>
      <w:tr w14:paraId="28DB09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BD22345">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3.2.6</w:t>
            </w:r>
          </w:p>
        </w:tc>
        <w:tc>
          <w:tcPr>
            <w:tcW w:w="972" w:type="pct"/>
            <w:vAlign w:val="center"/>
          </w:tcPr>
          <w:p w14:paraId="5CD67043">
            <w:pPr>
              <w:widowControl/>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kern w:val="0"/>
                <w:szCs w:val="21"/>
                <w:highlight w:val="none"/>
                <w:lang w:bidi="ar"/>
              </w:rPr>
              <w:t>是否接受调价函</w:t>
            </w:r>
          </w:p>
        </w:tc>
        <w:tc>
          <w:tcPr>
            <w:tcW w:w="3445" w:type="pct"/>
            <w:vAlign w:val="center"/>
          </w:tcPr>
          <w:p w14:paraId="5B7976AF">
            <w:pPr>
              <w:widowControl/>
              <w:adjustRightInd w:val="0"/>
              <w:snapToGrid w:val="0"/>
              <w:spacing w:beforeLines="0" w:afterLines="0" w:line="400" w:lineRule="exact"/>
              <w:ind w:firstLine="420" w:firstLineChars="20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否</w:t>
            </w:r>
          </w:p>
        </w:tc>
      </w:tr>
      <w:tr w14:paraId="1CB5FA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7BD3A1C">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3.2.8</w:t>
            </w:r>
          </w:p>
        </w:tc>
        <w:tc>
          <w:tcPr>
            <w:tcW w:w="972" w:type="pct"/>
            <w:vAlign w:val="center"/>
          </w:tcPr>
          <w:p w14:paraId="69F2D782">
            <w:pPr>
              <w:widowControl/>
              <w:adjustRightInd w:val="0"/>
              <w:snapToGrid w:val="0"/>
              <w:spacing w:beforeLines="0" w:afterLines="0" w:line="400" w:lineRule="exact"/>
              <w:jc w:val="center"/>
              <w:rPr>
                <w:rFonts w:ascii="宋体" w:hAnsi="宋体" w:cs="宋体"/>
                <w:b/>
                <w:color w:val="auto"/>
                <w:kern w:val="0"/>
                <w:szCs w:val="21"/>
                <w:highlight w:val="none"/>
              </w:rPr>
            </w:pPr>
            <w:r>
              <w:rPr>
                <w:rFonts w:hint="eastAsia" w:ascii="宋体" w:hAnsi="宋体" w:cs="宋体"/>
                <w:color w:val="auto"/>
                <w:kern w:val="0"/>
                <w:szCs w:val="21"/>
                <w:highlight w:val="none"/>
                <w:lang w:bidi="ar"/>
              </w:rPr>
              <w:t>最高</w:t>
            </w:r>
            <w:r>
              <w:rPr>
                <w:rFonts w:hint="eastAsia" w:ascii="宋体" w:hAnsi="宋体" w:cs="宋体"/>
                <w:color w:val="auto"/>
                <w:kern w:val="0"/>
                <w:szCs w:val="21"/>
                <w:highlight w:val="none"/>
                <w:lang w:eastAsia="zh-CN" w:bidi="ar"/>
              </w:rPr>
              <w:t>比选</w:t>
            </w:r>
            <w:r>
              <w:rPr>
                <w:rFonts w:hint="eastAsia" w:ascii="宋体" w:hAnsi="宋体" w:cs="宋体"/>
                <w:color w:val="auto"/>
                <w:kern w:val="0"/>
                <w:szCs w:val="21"/>
                <w:highlight w:val="none"/>
                <w:lang w:bidi="ar"/>
              </w:rPr>
              <w:t>限价</w:t>
            </w:r>
          </w:p>
        </w:tc>
        <w:tc>
          <w:tcPr>
            <w:tcW w:w="3445" w:type="pct"/>
            <w:vAlign w:val="center"/>
          </w:tcPr>
          <w:p w14:paraId="7FE4136B">
            <w:pPr>
              <w:widowControl/>
              <w:adjustRightInd w:val="0"/>
              <w:snapToGrid w:val="0"/>
              <w:spacing w:beforeLines="0" w:afterLines="0" w:line="400" w:lineRule="exact"/>
              <w:ind w:firstLine="420" w:firstLineChars="200"/>
              <w:jc w:val="left"/>
              <w:rPr>
                <w:rFonts w:hint="eastAsia" w:ascii="宋体" w:hAnsi="宋体" w:eastAsia="宋体" w:cs="宋体"/>
                <w:color w:val="auto"/>
                <w:highlight w:val="none"/>
                <w:lang w:eastAsia="zh-CN"/>
              </w:rPr>
            </w:pPr>
            <w:r>
              <w:rPr>
                <w:rFonts w:hint="eastAsia" w:ascii="宋体" w:hAnsi="宋体" w:cs="宋体"/>
                <w:color w:val="auto"/>
                <w:highlight w:val="none"/>
                <w:lang w:eastAsia="zh-CN"/>
              </w:rPr>
              <w:t>比选总报价</w:t>
            </w:r>
            <w:r>
              <w:rPr>
                <w:rFonts w:hint="eastAsia" w:ascii="宋体" w:hAnsi="宋体" w:cs="宋体"/>
                <w:color w:val="auto"/>
                <w:highlight w:val="none"/>
              </w:rPr>
              <w:t>最高限价</w:t>
            </w:r>
            <w:r>
              <w:rPr>
                <w:rFonts w:hint="eastAsia" w:ascii="宋体" w:hAnsi="宋体" w:cs="宋体"/>
                <w:color w:val="auto"/>
                <w:highlight w:val="none"/>
                <w:lang w:val="en-US" w:eastAsia="zh-CN"/>
              </w:rPr>
              <w:t>为</w:t>
            </w:r>
            <w:r>
              <w:rPr>
                <w:rFonts w:hint="eastAsia" w:ascii="宋体" w:hAnsi="宋体" w:cs="宋体"/>
                <w:b/>
                <w:bCs/>
                <w:color w:val="auto"/>
                <w:highlight w:val="none"/>
                <w:lang w:val="en-US" w:eastAsia="zh-CN"/>
              </w:rPr>
              <w:t>壹仟壹佰贰拾叁万柒仟陆佰玖拾叁元伍角肆分（¥</w:t>
            </w:r>
            <w:r>
              <w:rPr>
                <w:rFonts w:hint="default" w:ascii="宋体" w:hAnsi="宋体" w:cs="宋体"/>
                <w:b/>
                <w:bCs/>
                <w:color w:val="auto"/>
                <w:highlight w:val="none"/>
              </w:rPr>
              <w:t>11237693.54</w:t>
            </w:r>
            <w:r>
              <w:rPr>
                <w:rFonts w:hint="eastAsia" w:ascii="宋体" w:hAnsi="宋体" w:cs="宋体"/>
                <w:b/>
                <w:bCs/>
                <w:color w:val="auto"/>
                <w:highlight w:val="none"/>
                <w:lang w:val="en-US" w:eastAsia="zh-CN"/>
              </w:rPr>
              <w:t>）</w:t>
            </w:r>
            <w:r>
              <w:rPr>
                <w:rFonts w:hint="eastAsia" w:ascii="宋体" w:hAnsi="宋体" w:cs="宋体"/>
                <w:color w:val="auto"/>
                <w:highlight w:val="none"/>
                <w:lang w:val="en-US" w:eastAsia="zh-CN"/>
              </w:rPr>
              <w:t>，</w:t>
            </w:r>
            <w:r>
              <w:rPr>
                <w:rFonts w:hint="eastAsia" w:ascii="宋体" w:hAnsi="宋体" w:cs="宋体"/>
                <w:color w:val="auto"/>
                <w:highlight w:val="none"/>
              </w:rPr>
              <w:t>各清单子目单价最高限价</w:t>
            </w:r>
            <w:r>
              <w:rPr>
                <w:rFonts w:hint="eastAsia" w:ascii="宋体" w:hAnsi="宋体" w:cs="宋体"/>
                <w:color w:val="auto"/>
                <w:highlight w:val="none"/>
                <w:lang w:val="en-US" w:eastAsia="zh-CN"/>
              </w:rPr>
              <w:t>详见附件。</w:t>
            </w:r>
          </w:p>
        </w:tc>
      </w:tr>
      <w:tr w14:paraId="18C480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2B6C4E3B">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3.2.9</w:t>
            </w:r>
          </w:p>
        </w:tc>
        <w:tc>
          <w:tcPr>
            <w:tcW w:w="972" w:type="pct"/>
            <w:vAlign w:val="center"/>
          </w:tcPr>
          <w:p w14:paraId="2D25EF58">
            <w:pPr>
              <w:widowControl/>
              <w:adjustRightInd w:val="0"/>
              <w:snapToGrid w:val="0"/>
              <w:spacing w:beforeLines="0" w:afterLines="0" w:line="400" w:lineRule="exact"/>
              <w:jc w:val="center"/>
              <w:rPr>
                <w:rFonts w:ascii="宋体" w:hAnsi="宋体" w:cs="宋体"/>
                <w:b/>
                <w:color w:val="auto"/>
                <w:kern w:val="0"/>
                <w:szCs w:val="21"/>
                <w:highlight w:val="none"/>
              </w:rPr>
            </w:pPr>
            <w:r>
              <w:rPr>
                <w:rFonts w:hint="eastAsia" w:ascii="宋体" w:hAnsi="宋体" w:cs="宋体"/>
                <w:color w:val="auto"/>
                <w:kern w:val="0"/>
                <w:szCs w:val="21"/>
                <w:highlight w:val="none"/>
                <w:lang w:eastAsia="zh-CN" w:bidi="ar"/>
              </w:rPr>
              <w:t>比选报价</w:t>
            </w:r>
            <w:r>
              <w:rPr>
                <w:rFonts w:hint="eastAsia" w:ascii="宋体" w:hAnsi="宋体" w:cs="宋体"/>
                <w:color w:val="auto"/>
                <w:kern w:val="0"/>
                <w:szCs w:val="21"/>
                <w:highlight w:val="none"/>
                <w:lang w:bidi="ar"/>
              </w:rPr>
              <w:t>的其他要求</w:t>
            </w:r>
          </w:p>
        </w:tc>
        <w:tc>
          <w:tcPr>
            <w:tcW w:w="3445" w:type="pct"/>
            <w:vAlign w:val="center"/>
          </w:tcPr>
          <w:p w14:paraId="101E3A88">
            <w:pPr>
              <w:pStyle w:val="2"/>
              <w:adjustRightInd w:val="0"/>
              <w:snapToGrid w:val="0"/>
              <w:spacing w:beforeLines="0" w:after="0" w:afterLines="0" w:line="400" w:lineRule="exact"/>
              <w:ind w:firstLine="420" w:firstLineChars="200"/>
              <w:rPr>
                <w:rFonts w:hint="eastAsia" w:ascii="宋体" w:hAnsi="宋体" w:cs="宋体"/>
                <w:color w:val="auto"/>
                <w:szCs w:val="21"/>
                <w:highlight w:val="none"/>
                <w:lang w:eastAsia="zh-CN"/>
              </w:rPr>
            </w:pPr>
            <w:r>
              <w:rPr>
                <w:rFonts w:hint="eastAsia" w:ascii="宋体" w:hAnsi="宋体" w:cs="宋体"/>
                <w:color w:val="auto"/>
                <w:highlight w:val="none"/>
                <w:lang w:val="en-US" w:eastAsia="zh-CN"/>
              </w:rPr>
              <w:t>1.</w:t>
            </w:r>
            <w:r>
              <w:rPr>
                <w:rFonts w:hint="eastAsia" w:ascii="宋体" w:hAnsi="宋体" w:cs="宋体"/>
                <w:color w:val="auto"/>
                <w:highlight w:val="none"/>
                <w:lang w:eastAsia="zh-CN"/>
              </w:rPr>
              <w:t>采购人</w:t>
            </w:r>
            <w:r>
              <w:rPr>
                <w:rFonts w:hint="eastAsia" w:ascii="宋体" w:hAnsi="宋体" w:cs="宋体"/>
                <w:color w:val="auto"/>
                <w:highlight w:val="none"/>
              </w:rPr>
              <w:t>将公布</w:t>
            </w:r>
            <w:r>
              <w:rPr>
                <w:rFonts w:hint="eastAsia" w:ascii="宋体" w:hAnsi="宋体" w:cs="宋体"/>
                <w:color w:val="auto"/>
                <w:highlight w:val="none"/>
                <w:lang w:eastAsia="zh-CN"/>
              </w:rPr>
              <w:t>比选总报价</w:t>
            </w:r>
            <w:r>
              <w:rPr>
                <w:rFonts w:hint="eastAsia" w:ascii="宋体" w:hAnsi="宋体" w:cs="宋体"/>
                <w:color w:val="auto"/>
                <w:highlight w:val="none"/>
              </w:rPr>
              <w:t>最高限价及各清单子目单价最高限价。</w:t>
            </w:r>
            <w:r>
              <w:rPr>
                <w:rFonts w:hint="eastAsia" w:ascii="宋体" w:hAnsi="宋体" w:cs="宋体"/>
                <w:color w:val="auto"/>
                <w:highlight w:val="none"/>
                <w:lang w:eastAsia="zh-CN"/>
              </w:rPr>
              <w:t>供应商</w:t>
            </w:r>
            <w:r>
              <w:rPr>
                <w:rFonts w:hint="eastAsia" w:ascii="宋体" w:hAnsi="宋体" w:cs="宋体"/>
                <w:color w:val="auto"/>
                <w:highlight w:val="none"/>
              </w:rPr>
              <w:t>的</w:t>
            </w:r>
            <w:r>
              <w:rPr>
                <w:rFonts w:hint="eastAsia" w:ascii="宋体" w:hAnsi="宋体" w:cs="宋体"/>
                <w:color w:val="auto"/>
                <w:highlight w:val="none"/>
                <w:lang w:eastAsia="zh-CN"/>
              </w:rPr>
              <w:t>比选总报价</w:t>
            </w:r>
            <w:r>
              <w:rPr>
                <w:rFonts w:hint="eastAsia" w:ascii="宋体" w:hAnsi="宋体" w:cs="宋体"/>
                <w:color w:val="auto"/>
                <w:highlight w:val="none"/>
                <w:lang w:val="en-US" w:eastAsia="zh-CN"/>
              </w:rPr>
              <w:t>及</w:t>
            </w:r>
            <w:r>
              <w:rPr>
                <w:rFonts w:hint="eastAsia" w:ascii="宋体" w:hAnsi="宋体" w:cs="宋体"/>
                <w:color w:val="auto"/>
                <w:highlight w:val="none"/>
              </w:rPr>
              <w:t>各清单子目单价</w:t>
            </w:r>
            <w:r>
              <w:rPr>
                <w:rFonts w:hint="eastAsia" w:ascii="宋体" w:hAnsi="宋体" w:cs="宋体"/>
                <w:color w:val="auto"/>
                <w:highlight w:val="none"/>
                <w:lang w:val="en-US" w:eastAsia="zh-CN"/>
              </w:rPr>
              <w:t>报价</w:t>
            </w:r>
            <w:r>
              <w:rPr>
                <w:rFonts w:hint="eastAsia" w:ascii="宋体" w:hAnsi="宋体" w:cs="宋体"/>
                <w:color w:val="auto"/>
                <w:highlight w:val="none"/>
              </w:rPr>
              <w:t>不应高于</w:t>
            </w:r>
            <w:r>
              <w:rPr>
                <w:rFonts w:hint="eastAsia" w:ascii="宋体" w:hAnsi="宋体" w:cs="宋体"/>
                <w:color w:val="auto"/>
                <w:highlight w:val="none"/>
                <w:lang w:eastAsia="zh-CN"/>
              </w:rPr>
              <w:t>比选总报价</w:t>
            </w:r>
            <w:r>
              <w:rPr>
                <w:rFonts w:hint="eastAsia" w:ascii="宋体" w:hAnsi="宋体" w:cs="宋体"/>
                <w:color w:val="auto"/>
                <w:highlight w:val="none"/>
                <w:lang w:val="en-US" w:eastAsia="zh-CN"/>
              </w:rPr>
              <w:t>及</w:t>
            </w:r>
            <w:r>
              <w:rPr>
                <w:rFonts w:hint="eastAsia" w:ascii="宋体" w:hAnsi="宋体" w:cs="宋体"/>
                <w:color w:val="auto"/>
                <w:highlight w:val="none"/>
              </w:rPr>
              <w:t>各清单子目单价最高限价，否则由</w:t>
            </w:r>
            <w:r>
              <w:rPr>
                <w:rFonts w:hint="eastAsia" w:ascii="宋体" w:hAnsi="宋体" w:cs="宋体"/>
                <w:color w:val="auto"/>
                <w:highlight w:val="none"/>
                <w:lang w:eastAsia="zh-CN"/>
              </w:rPr>
              <w:t>评审委员会</w:t>
            </w:r>
            <w:r>
              <w:rPr>
                <w:rFonts w:hint="eastAsia" w:ascii="宋体" w:hAnsi="宋体" w:cs="宋体"/>
                <w:color w:val="auto"/>
                <w:highlight w:val="none"/>
              </w:rPr>
              <w:t>作否决处理；</w:t>
            </w:r>
            <w:r>
              <w:rPr>
                <w:rFonts w:hint="eastAsia" w:ascii="宋体" w:hAnsi="宋体" w:cs="宋体"/>
                <w:color w:val="auto"/>
                <w:szCs w:val="21"/>
                <w:highlight w:val="none"/>
                <w:lang w:eastAsia="zh-CN"/>
              </w:rPr>
              <w:t>比选函</w:t>
            </w:r>
            <w:r>
              <w:rPr>
                <w:rFonts w:hint="eastAsia" w:ascii="宋体" w:hAnsi="宋体" w:cs="宋体"/>
                <w:color w:val="auto"/>
                <w:szCs w:val="21"/>
                <w:highlight w:val="none"/>
              </w:rPr>
              <w:t>中的总报价必须与已标价工程量清单总报价一致，否则由</w:t>
            </w:r>
            <w:r>
              <w:rPr>
                <w:rFonts w:hint="eastAsia" w:ascii="宋体" w:hAnsi="宋体" w:cs="宋体"/>
                <w:color w:val="auto"/>
                <w:szCs w:val="21"/>
                <w:highlight w:val="none"/>
                <w:lang w:eastAsia="zh-CN"/>
              </w:rPr>
              <w:t>评审委员会</w:t>
            </w:r>
            <w:r>
              <w:rPr>
                <w:rFonts w:hint="eastAsia" w:ascii="宋体" w:hAnsi="宋体" w:cs="宋体"/>
                <w:color w:val="auto"/>
                <w:szCs w:val="21"/>
                <w:highlight w:val="none"/>
              </w:rPr>
              <w:t>作</w:t>
            </w:r>
            <w:r>
              <w:rPr>
                <w:rFonts w:hint="eastAsia" w:ascii="宋体" w:hAnsi="宋体" w:cs="宋体"/>
                <w:color w:val="auto"/>
                <w:szCs w:val="21"/>
                <w:highlight w:val="none"/>
                <w:lang w:eastAsia="zh-CN"/>
              </w:rPr>
              <w:t>否决处理。</w:t>
            </w:r>
          </w:p>
          <w:p w14:paraId="6225C0A1">
            <w:pPr>
              <w:pStyle w:val="2"/>
              <w:adjustRightInd w:val="0"/>
              <w:snapToGrid w:val="0"/>
              <w:spacing w:beforeLines="0" w:after="0" w:afterLines="0" w:line="400" w:lineRule="exact"/>
              <w:ind w:firstLine="420" w:firstLineChars="200"/>
              <w:rPr>
                <w:rFonts w:hint="default" w:ascii="宋体" w:hAnsi="宋体" w:cs="宋体"/>
                <w:color w:val="auto"/>
                <w:highlight w:val="none"/>
                <w:lang w:val="en-US"/>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lang w:eastAsia="zh-CN"/>
              </w:rPr>
              <w:t>安全生产费、暂列金等暂定金额为不可竞争性费用，按采购人给定的金额填报。结算时据实结算。</w:t>
            </w:r>
          </w:p>
        </w:tc>
      </w:tr>
      <w:tr w14:paraId="45506F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0EDA564">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3.3.1</w:t>
            </w:r>
          </w:p>
        </w:tc>
        <w:tc>
          <w:tcPr>
            <w:tcW w:w="972" w:type="pct"/>
            <w:vAlign w:val="center"/>
          </w:tcPr>
          <w:p w14:paraId="491714E7">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eastAsia="zh-CN"/>
              </w:rPr>
              <w:t>比选有效期</w:t>
            </w:r>
          </w:p>
        </w:tc>
        <w:tc>
          <w:tcPr>
            <w:tcW w:w="3445" w:type="pct"/>
            <w:vAlign w:val="center"/>
          </w:tcPr>
          <w:p w14:paraId="5AB46F05">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bidi="ar"/>
              </w:rPr>
              <w:t>90</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日历天（从提交</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截止日起计算）</w:t>
            </w:r>
          </w:p>
        </w:tc>
      </w:tr>
      <w:tr w14:paraId="301D69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6A9255FA">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3.4.1</w:t>
            </w:r>
          </w:p>
        </w:tc>
        <w:tc>
          <w:tcPr>
            <w:tcW w:w="972" w:type="pct"/>
            <w:vAlign w:val="center"/>
          </w:tcPr>
          <w:p w14:paraId="4CD7376A">
            <w:pPr>
              <w:widowControl/>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eastAsia="zh-CN"/>
              </w:rPr>
              <w:t>比选保证金</w:t>
            </w:r>
          </w:p>
        </w:tc>
        <w:tc>
          <w:tcPr>
            <w:tcW w:w="3445" w:type="pct"/>
            <w:vAlign w:val="center"/>
          </w:tcPr>
          <w:p w14:paraId="126475C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比选保证金的交纳方式：供应商可选择以下二种方式之一。</w:t>
            </w:r>
          </w:p>
          <w:p w14:paraId="24482EE9">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方式一</w:t>
            </w:r>
          </w:p>
          <w:p w14:paraId="2A75314D">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一、比选保证金的交纳</w:t>
            </w:r>
          </w:p>
          <w:p w14:paraId="66FF6062">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1.本项目比选保证金为:</w:t>
            </w:r>
            <w:r>
              <w:rPr>
                <w:rFonts w:hint="eastAsia" w:ascii="宋体" w:hAnsi="宋体" w:cs="宋体"/>
                <w:color w:val="auto"/>
                <w:szCs w:val="21"/>
                <w:highlight w:val="none"/>
                <w:u w:val="single"/>
                <w:lang w:val="en-US" w:eastAsia="zh-CN"/>
              </w:rPr>
              <w:t>10</w:t>
            </w:r>
            <w:r>
              <w:rPr>
                <w:rFonts w:hint="eastAsia" w:ascii="宋体" w:hAnsi="宋体" w:eastAsia="宋体" w:cs="宋体"/>
                <w:color w:val="auto"/>
                <w:szCs w:val="21"/>
                <w:highlight w:val="none"/>
                <w:lang w:eastAsia="zh-CN"/>
              </w:rPr>
              <w:t>万元（大写：</w:t>
            </w:r>
            <w:r>
              <w:rPr>
                <w:rFonts w:hint="eastAsia" w:ascii="宋体" w:hAnsi="宋体" w:cs="宋体"/>
                <w:color w:val="auto"/>
                <w:szCs w:val="21"/>
                <w:highlight w:val="none"/>
                <w:u w:val="single"/>
                <w:lang w:val="en-US" w:eastAsia="zh-CN"/>
              </w:rPr>
              <w:t>壹拾万</w:t>
            </w:r>
            <w:r>
              <w:rPr>
                <w:rFonts w:hint="eastAsia" w:ascii="宋体" w:hAnsi="宋体" w:cs="宋体"/>
                <w:color w:val="auto"/>
                <w:szCs w:val="21"/>
                <w:highlight w:val="none"/>
                <w:lang w:val="en-US" w:eastAsia="zh-CN"/>
              </w:rPr>
              <w:t>元整</w:t>
            </w:r>
            <w:r>
              <w:rPr>
                <w:rFonts w:hint="eastAsia" w:ascii="宋体" w:hAnsi="宋体" w:eastAsia="宋体" w:cs="宋体"/>
                <w:color w:val="auto"/>
                <w:szCs w:val="21"/>
                <w:highlight w:val="none"/>
                <w:lang w:eastAsia="zh-CN"/>
              </w:rPr>
              <w:t>）。</w:t>
            </w:r>
          </w:p>
          <w:p w14:paraId="134C2AA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2.比选保证金提交方式：以银行转账或银行电汇形式提交，</w:t>
            </w:r>
            <w:r>
              <w:rPr>
                <w:rFonts w:hint="eastAsia" w:ascii="宋体" w:hAnsi="宋体" w:eastAsia="宋体" w:cs="宋体"/>
                <w:color w:val="auto"/>
                <w:szCs w:val="21"/>
                <w:highlight w:val="none"/>
                <w:lang w:val="en-US" w:eastAsia="zh-CN"/>
              </w:rPr>
              <w:t>比选</w:t>
            </w:r>
            <w:r>
              <w:rPr>
                <w:rFonts w:hint="eastAsia" w:ascii="宋体" w:hAnsi="宋体" w:eastAsia="宋体" w:cs="宋体"/>
                <w:color w:val="auto"/>
                <w:szCs w:val="21"/>
                <w:highlight w:val="none"/>
                <w:lang w:eastAsia="zh-CN"/>
              </w:rPr>
              <w:t>可任选一种。</w:t>
            </w:r>
          </w:p>
          <w:p w14:paraId="6E0502D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3.提交时间和方式：比选保证金必须从供应商单位基本账户直接转（汇）入</w:t>
            </w:r>
            <w:r>
              <w:rPr>
                <w:rFonts w:hint="eastAsia" w:ascii="宋体" w:hAnsi="宋体" w:eastAsia="宋体" w:cs="宋体"/>
                <w:b/>
                <w:bCs/>
                <w:color w:val="auto"/>
                <w:szCs w:val="21"/>
                <w:highlight w:val="none"/>
                <w:lang w:eastAsia="zh-CN"/>
              </w:rPr>
              <w:t>重庆市投资咨询有限公司</w:t>
            </w:r>
            <w:r>
              <w:rPr>
                <w:rFonts w:hint="eastAsia" w:ascii="宋体" w:hAnsi="宋体" w:eastAsia="宋体" w:cs="宋体"/>
                <w:color w:val="auto"/>
                <w:szCs w:val="21"/>
                <w:highlight w:val="none"/>
                <w:lang w:eastAsia="zh-CN"/>
              </w:rPr>
              <w:t>指定的专用银行账户，其转（汇）款到账截止时间</w:t>
            </w:r>
            <w:r>
              <w:rPr>
                <w:rFonts w:hint="eastAsia" w:ascii="宋体" w:hAnsi="宋体" w:cs="宋体"/>
                <w:color w:val="auto"/>
                <w:szCs w:val="21"/>
                <w:highlight w:val="none"/>
                <w:lang w:val="en-US" w:eastAsia="zh-CN"/>
              </w:rPr>
              <w:t>与</w:t>
            </w:r>
            <w:r>
              <w:rPr>
                <w:rFonts w:hint="eastAsia" w:ascii="宋体" w:hAnsi="宋体" w:eastAsia="宋体" w:cs="宋体"/>
                <w:color w:val="auto"/>
                <w:szCs w:val="21"/>
                <w:highlight w:val="none"/>
                <w:lang w:eastAsia="zh-CN"/>
              </w:rPr>
              <w:t>比选截止时间</w:t>
            </w:r>
            <w:r>
              <w:rPr>
                <w:rFonts w:hint="eastAsia" w:ascii="宋体" w:hAnsi="宋体" w:cs="宋体"/>
                <w:color w:val="auto"/>
                <w:szCs w:val="21"/>
                <w:highlight w:val="none"/>
                <w:lang w:val="en-US" w:eastAsia="zh-CN"/>
              </w:rPr>
              <w:t>一致</w:t>
            </w:r>
            <w:r>
              <w:rPr>
                <w:rFonts w:hint="eastAsia" w:ascii="宋体" w:hAnsi="宋体" w:eastAsia="宋体" w:cs="宋体"/>
                <w:color w:val="auto"/>
                <w:szCs w:val="21"/>
                <w:highlight w:val="none"/>
                <w:lang w:eastAsia="zh-CN"/>
              </w:rPr>
              <w:t>，若本比选文件规定的响应文件递交截止时间顺延，则比选保证金到账截止时间相应顺延。迟到的比选保证金将导致评委会对其作否决处理。</w:t>
            </w:r>
          </w:p>
          <w:p w14:paraId="089A1DF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各供应商递交的比选保证金，如果不是从其基本账户汇出，或者不是汇到上述指定专用账户；将导致评审委员会对其作否决处理。</w:t>
            </w:r>
          </w:p>
          <w:p w14:paraId="475B8A22">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比选保证金指定账户如下：</w:t>
            </w:r>
          </w:p>
          <w:p w14:paraId="20EE7A35">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单位全称：重庆市投资咨询有限公司</w:t>
            </w:r>
          </w:p>
          <w:p w14:paraId="556715FF">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 xml:space="preserve">开 户 行：兴业银行重庆分行营业部 </w:t>
            </w:r>
          </w:p>
          <w:p w14:paraId="2C70B397">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账    号：</w:t>
            </w:r>
            <w:r>
              <w:rPr>
                <w:rFonts w:hint="eastAsia" w:ascii="宋体" w:hAnsi="宋体" w:eastAsia="宋体" w:cs="宋体"/>
                <w:b/>
                <w:bCs/>
                <w:i w:val="0"/>
                <w:iCs w:val="0"/>
                <w:caps w:val="0"/>
                <w:color w:val="auto"/>
                <w:spacing w:val="0"/>
                <w:kern w:val="2"/>
                <w:sz w:val="21"/>
                <w:szCs w:val="21"/>
                <w:highlight w:val="none"/>
                <w:shd w:val="clear"/>
                <w:lang w:val="en-US" w:eastAsia="zh-CN" w:bidi="ar"/>
              </w:rPr>
              <w:t>346010100105354662010036</w:t>
            </w:r>
          </w:p>
          <w:p w14:paraId="2F2496F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4.特别提示：请供应商务必仔细阅读下列条款：</w:t>
            </w:r>
          </w:p>
          <w:p w14:paraId="4B65880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（1）供应商必须在付款凭证备注栏中注明“项目名称”（可简写）保证金；</w:t>
            </w:r>
          </w:p>
          <w:p w14:paraId="79A3F1E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各供应商在银行转账（电汇）时，须充分考虑银行转账（电汇）的时间差风险，如同城转账、异地转账、跨行转账或电汇等所需的时间。比选保证金未在到账截止时间前汇入比选文件指定账户的风险由供应商自行承担。</w:t>
            </w:r>
          </w:p>
          <w:p w14:paraId="6C8185B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5. 比选保证金的退还</w:t>
            </w:r>
          </w:p>
          <w:p w14:paraId="3568EE0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非中选人的比选保证金的退还：采购人应当在法定时间内确定中选人，通报代理机构并向中选人发出中选通知书，同时代理机构5日内将除中选人以外的供应商的比选保证金及银行同期活期存款利息退还至其银行基本账户。</w:t>
            </w:r>
          </w:p>
          <w:p w14:paraId="2A25E35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中选人的比选保证金的退还：在采购人与中选人签订合同后5日内，由代理机构将比选保证金及银行同期活期存款利息退还至其银行基本账户。</w:t>
            </w:r>
          </w:p>
          <w:p w14:paraId="4A192CD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方式二</w:t>
            </w:r>
          </w:p>
          <w:p w14:paraId="669F1C8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一、以纸质投标保函形式交纳比选保证金</w:t>
            </w:r>
          </w:p>
          <w:p w14:paraId="0691EC4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 纸质投标保函交纳形式及要求：</w:t>
            </w:r>
          </w:p>
          <w:p w14:paraId="1D1F7EC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（1）缴纳形式：纸质投标保函包括银行保函、保证保险和担保保函，其示范文本详见响应文件格式。供应商提交的纸质投标保函应严格执行其示范文本，不得对示范文本中的实质性内容进行修改。</w:t>
            </w:r>
          </w:p>
          <w:p w14:paraId="1099976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具体要求：纸质投标保函的开立人应当是具有相应资格的银行、保险机构、融资担保公司，其信用资质、履约能力、担保能力、赔付流程、安全保密等应符合工程保函业务条件。纸质投标保函应合法合规，符合招投标行政监督部门、行业主管部门和金融监管部门的相关规定，满足比选文件约定要求。供应商应选择在渝依法设立总部或者设有分支机构的金融机构开具纸质投标保函。供应商对所提交的纸质投标保函的真实性、合法性、有效性负责。</w:t>
            </w:r>
          </w:p>
          <w:p w14:paraId="668BFE7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供应商须在响应文件“其他资料”中提供纸质投标保函</w:t>
            </w:r>
            <w:r>
              <w:rPr>
                <w:rFonts w:hint="eastAsia" w:ascii="宋体" w:hAnsi="宋体" w:cs="宋体"/>
                <w:color w:val="auto"/>
                <w:szCs w:val="21"/>
                <w:highlight w:val="none"/>
                <w:lang w:eastAsia="zh-CN"/>
              </w:rPr>
              <w:t>复印件</w:t>
            </w:r>
            <w:r>
              <w:rPr>
                <w:rFonts w:hint="eastAsia" w:ascii="宋体" w:hAnsi="宋体" w:eastAsia="宋体" w:cs="宋体"/>
                <w:color w:val="auto"/>
                <w:szCs w:val="21"/>
                <w:highlight w:val="none"/>
                <w:lang w:eastAsia="zh-CN"/>
              </w:rPr>
              <w:t>，纸质投标保函原件应当于比选截止时间前在</w:t>
            </w:r>
            <w:r>
              <w:rPr>
                <w:rFonts w:hint="eastAsia" w:ascii="宋体" w:hAnsi="宋体" w:eastAsia="宋体" w:cs="宋体"/>
                <w:color w:val="auto"/>
                <w:szCs w:val="21"/>
                <w:highlight w:val="none"/>
                <w:lang w:val="en-US" w:eastAsia="zh-CN"/>
              </w:rPr>
              <w:t>比选</w:t>
            </w:r>
            <w:r>
              <w:rPr>
                <w:rFonts w:hint="eastAsia" w:ascii="宋体" w:hAnsi="宋体" w:eastAsia="宋体" w:cs="宋体"/>
                <w:color w:val="auto"/>
                <w:szCs w:val="21"/>
                <w:highlight w:val="none"/>
                <w:lang w:eastAsia="zh-CN"/>
              </w:rPr>
              <w:t>现场递交采购人保管。</w:t>
            </w:r>
          </w:p>
          <w:p w14:paraId="5D8B07E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若比选截止时间延期，则纸质投标保函递交的截止时间和比选截止时间保持一致。</w:t>
            </w:r>
          </w:p>
          <w:p w14:paraId="0A2D62F5">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宋体" w:hAnsi="宋体" w:eastAsia="宋体" w:cs="宋体"/>
                <w:color w:val="auto"/>
                <w:szCs w:val="21"/>
                <w:highlight w:val="none"/>
                <w:lang w:eastAsia="zh-CN"/>
              </w:rPr>
              <w:t>不满足上述要求的纸质投标保函无效。</w:t>
            </w:r>
          </w:p>
          <w:p w14:paraId="0A0A4234">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 以纸质投标保函形式担保的比选保证金的金额：</w:t>
            </w:r>
            <w:r>
              <w:rPr>
                <w:rFonts w:hint="eastAsia" w:ascii="宋体" w:hAnsi="宋体" w:cs="宋体"/>
                <w:color w:val="auto"/>
                <w:szCs w:val="21"/>
                <w:highlight w:val="none"/>
                <w:u w:val="single"/>
                <w:lang w:val="en-US" w:eastAsia="zh-CN"/>
              </w:rPr>
              <w:t>10</w:t>
            </w:r>
            <w:r>
              <w:rPr>
                <w:rFonts w:hint="eastAsia" w:ascii="宋体" w:hAnsi="宋体" w:eastAsia="宋体" w:cs="宋体"/>
                <w:color w:val="auto"/>
                <w:szCs w:val="21"/>
                <w:highlight w:val="none"/>
                <w:lang w:eastAsia="zh-CN"/>
              </w:rPr>
              <w:t>万元（大写：</w:t>
            </w:r>
            <w:r>
              <w:rPr>
                <w:rFonts w:hint="eastAsia" w:ascii="宋体" w:hAnsi="宋体" w:cs="宋体"/>
                <w:color w:val="auto"/>
                <w:szCs w:val="21"/>
                <w:highlight w:val="none"/>
                <w:u w:val="single"/>
                <w:lang w:val="en-US" w:eastAsia="zh-CN"/>
              </w:rPr>
              <w:t>壹拾万</w:t>
            </w:r>
            <w:r>
              <w:rPr>
                <w:rFonts w:hint="eastAsia" w:ascii="宋体" w:hAnsi="宋体" w:cs="宋体"/>
                <w:color w:val="auto"/>
                <w:szCs w:val="21"/>
                <w:highlight w:val="none"/>
                <w:lang w:val="en-US" w:eastAsia="zh-CN"/>
              </w:rPr>
              <w:t>元整</w:t>
            </w:r>
            <w:r>
              <w:rPr>
                <w:rFonts w:hint="eastAsia" w:ascii="宋体" w:hAnsi="宋体" w:eastAsia="宋体" w:cs="宋体"/>
                <w:color w:val="auto"/>
                <w:szCs w:val="21"/>
                <w:highlight w:val="none"/>
                <w:lang w:eastAsia="zh-CN"/>
              </w:rPr>
              <w:t>）</w:t>
            </w:r>
            <w:r>
              <w:rPr>
                <w:rFonts w:hint="eastAsia" w:ascii="宋体" w:hAnsi="宋体" w:eastAsia="宋体" w:cs="宋体"/>
                <w:color w:val="auto"/>
                <w:highlight w:val="none"/>
                <w:lang w:eastAsia="zh-CN"/>
              </w:rPr>
              <w:t>。</w:t>
            </w:r>
          </w:p>
          <w:p w14:paraId="1A94C01C">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 供应商须在纸质投标保函中注明在重庆市辖区范围内的核验地址和核验方式，并确保其递交的纸质投标保函能在开立人在渝的总部或者分支机构进行核验。</w:t>
            </w:r>
          </w:p>
          <w:p w14:paraId="6C7D8963">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4. 供应商递交的纸质投标保函原件应与响应文件中提供的纸质投标保函复印件一致，否则由评审委员会作否决处理。</w:t>
            </w:r>
          </w:p>
          <w:p w14:paraId="24A2E610">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5. 在发出中选通知书前，采购人应当对供应商（至少中选候选人或中选人）递交的纸质投标保函的真实性、合法性、有效性进行核验，对核验不合格或无法按纸质投标保函注明的核验地点、核验方式进行核验的，视为供应商未提交纸质投标保函，对已取得中选候选人资格或中选资格的供应商，按相关规定取消中选候选人资格或中选资格，给采购人造成损失的，供应商依法承担赔偿责任。供应商提交的纸质投标保函涉及弄虚作假或其他违法违规情形的，移送相关部门处理。</w:t>
            </w:r>
          </w:p>
          <w:p w14:paraId="1E4598B4">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二、纸质投标保函的退还、注销</w:t>
            </w:r>
          </w:p>
          <w:p w14:paraId="61DE6CA2">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采购人应当在法定时间内确定中选人，向中选人发出中选通知书，同时向除中选人以外的其他供应商退还纸质投标保函并书面通知相关金融机构本项目准予提前注销纸质投标保函。具体注销事宜由供应商与金融机构协商。</w:t>
            </w:r>
          </w:p>
          <w:p w14:paraId="3AD31174">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color w:val="auto"/>
                <w:highlight w:val="none"/>
                <w:lang w:eastAsia="zh-CN"/>
              </w:rPr>
              <w:t>采购人应在法定时间内和中选人签订合同，并同时书面通知相关金融机构向中选人注销纸质投标保函。具体注销事宜由供应商与金融机构协商。</w:t>
            </w:r>
          </w:p>
          <w:p w14:paraId="4E6E8D84">
            <w:pPr>
              <w:adjustRightInd w:val="0"/>
              <w:snapToGrid w:val="0"/>
              <w:spacing w:beforeLines="0" w:afterLines="0" w:line="400" w:lineRule="exact"/>
              <w:ind w:firstLine="422" w:firstLineChars="200"/>
              <w:rPr>
                <w:rFonts w:ascii="宋体" w:hAnsi="宋体" w:cs="宋体"/>
                <w:color w:val="auto"/>
                <w:kern w:val="0"/>
                <w:szCs w:val="21"/>
                <w:highlight w:val="none"/>
              </w:rPr>
            </w:pPr>
            <w:r>
              <w:rPr>
                <w:rFonts w:hint="eastAsia" w:ascii="宋体" w:hAnsi="宋体" w:eastAsia="宋体" w:cs="宋体"/>
                <w:b/>
                <w:bCs/>
                <w:color w:val="auto"/>
                <w:szCs w:val="21"/>
                <w:highlight w:val="none"/>
                <w:lang w:eastAsia="zh-CN"/>
              </w:rPr>
              <w:t>注：</w:t>
            </w:r>
            <w:r>
              <w:rPr>
                <w:rFonts w:hint="eastAsia" w:ascii="宋体" w:hAnsi="宋体" w:eastAsia="宋体" w:cs="宋体"/>
                <w:b/>
                <w:bCs/>
                <w:color w:val="auto"/>
                <w:szCs w:val="21"/>
                <w:highlight w:val="none"/>
              </w:rPr>
              <w:t>根据</w:t>
            </w:r>
            <w:r>
              <w:rPr>
                <w:rFonts w:hint="eastAsia" w:ascii="宋体" w:hAnsi="宋体" w:eastAsia="宋体" w:cs="宋体"/>
                <w:b/>
                <w:bCs/>
                <w:color w:val="auto"/>
                <w:szCs w:val="21"/>
                <w:highlight w:val="none"/>
                <w:lang w:eastAsia="zh-CN"/>
              </w:rPr>
              <w:t>采购人</w:t>
            </w:r>
            <w:r>
              <w:rPr>
                <w:rFonts w:hint="eastAsia" w:ascii="宋体" w:hAnsi="宋体" w:eastAsia="宋体" w:cs="宋体"/>
                <w:b/>
                <w:bCs/>
                <w:color w:val="auto"/>
                <w:szCs w:val="21"/>
                <w:highlight w:val="none"/>
              </w:rPr>
              <w:t>《合格供方库管理办法》，符合免交</w:t>
            </w:r>
            <w:r>
              <w:rPr>
                <w:rFonts w:hint="eastAsia" w:ascii="宋体" w:hAnsi="宋体" w:eastAsia="宋体" w:cs="宋体"/>
                <w:b/>
                <w:bCs/>
                <w:color w:val="auto"/>
                <w:szCs w:val="21"/>
                <w:highlight w:val="none"/>
                <w:lang w:eastAsia="zh-CN"/>
              </w:rPr>
              <w:t>比选保证金</w:t>
            </w:r>
            <w:r>
              <w:rPr>
                <w:rFonts w:hint="eastAsia" w:ascii="宋体" w:hAnsi="宋体" w:eastAsia="宋体" w:cs="宋体"/>
                <w:b/>
                <w:bCs/>
                <w:color w:val="auto"/>
                <w:szCs w:val="21"/>
                <w:highlight w:val="none"/>
              </w:rPr>
              <w:t>资格的</w:t>
            </w:r>
            <w:r>
              <w:rPr>
                <w:rFonts w:hint="eastAsia" w:ascii="宋体" w:hAnsi="宋体" w:eastAsia="宋体" w:cs="宋体"/>
                <w:b/>
                <w:bCs/>
                <w:color w:val="auto"/>
                <w:szCs w:val="21"/>
                <w:highlight w:val="none"/>
                <w:lang w:eastAsia="zh-CN"/>
              </w:rPr>
              <w:t>供应商</w:t>
            </w:r>
            <w:r>
              <w:rPr>
                <w:rFonts w:hint="eastAsia" w:ascii="宋体" w:hAnsi="宋体" w:eastAsia="宋体" w:cs="宋体"/>
                <w:b/>
                <w:bCs/>
                <w:color w:val="auto"/>
                <w:szCs w:val="21"/>
                <w:highlight w:val="none"/>
              </w:rPr>
              <w:t>，可提交经</w:t>
            </w:r>
            <w:r>
              <w:rPr>
                <w:rFonts w:hint="eastAsia" w:ascii="宋体" w:hAnsi="宋体" w:eastAsia="宋体" w:cs="宋体"/>
                <w:b/>
                <w:bCs/>
                <w:color w:val="auto"/>
                <w:szCs w:val="21"/>
                <w:highlight w:val="none"/>
                <w:lang w:eastAsia="zh-CN"/>
              </w:rPr>
              <w:t>采购人</w:t>
            </w:r>
            <w:r>
              <w:rPr>
                <w:rFonts w:hint="eastAsia" w:ascii="宋体" w:hAnsi="宋体" w:eastAsia="宋体" w:cs="宋体"/>
                <w:b/>
                <w:bCs/>
                <w:color w:val="auto"/>
                <w:szCs w:val="21"/>
                <w:highlight w:val="none"/>
              </w:rPr>
              <w:t>审批通过并加盖</w:t>
            </w:r>
            <w:r>
              <w:rPr>
                <w:rFonts w:hint="eastAsia" w:ascii="宋体" w:hAnsi="宋体" w:eastAsia="宋体" w:cs="宋体"/>
                <w:b/>
                <w:bCs/>
                <w:color w:val="auto"/>
                <w:szCs w:val="21"/>
                <w:highlight w:val="none"/>
                <w:lang w:eastAsia="zh-CN"/>
              </w:rPr>
              <w:t>采购人</w:t>
            </w:r>
            <w:r>
              <w:rPr>
                <w:rFonts w:hint="eastAsia" w:ascii="宋体" w:hAnsi="宋体" w:eastAsia="宋体" w:cs="宋体"/>
                <w:b/>
                <w:bCs/>
                <w:color w:val="auto"/>
                <w:szCs w:val="21"/>
                <w:highlight w:val="none"/>
              </w:rPr>
              <w:t>单位公章的《免交投标担保及履约担保审批表》代替相关</w:t>
            </w:r>
            <w:r>
              <w:rPr>
                <w:rFonts w:hint="eastAsia" w:ascii="宋体" w:hAnsi="宋体" w:eastAsia="宋体" w:cs="宋体"/>
                <w:b/>
                <w:bCs/>
                <w:color w:val="auto"/>
                <w:szCs w:val="21"/>
                <w:highlight w:val="none"/>
                <w:lang w:eastAsia="zh-CN"/>
              </w:rPr>
              <w:t>比选保证金</w:t>
            </w:r>
            <w:r>
              <w:rPr>
                <w:rFonts w:hint="eastAsia" w:ascii="宋体" w:hAnsi="宋体" w:eastAsia="宋体" w:cs="宋体"/>
                <w:b/>
                <w:bCs/>
                <w:color w:val="auto"/>
                <w:szCs w:val="21"/>
                <w:highlight w:val="none"/>
              </w:rPr>
              <w:t>凭证。《免交投标担保及履约担保审批表》须在有效期内</w:t>
            </w:r>
            <w:r>
              <w:rPr>
                <w:rFonts w:hint="eastAsia" w:ascii="宋体" w:hAnsi="宋体" w:eastAsia="宋体" w:cs="宋体"/>
                <w:b/>
                <w:bCs/>
                <w:color w:val="auto"/>
                <w:szCs w:val="21"/>
                <w:highlight w:val="none"/>
                <w:lang w:eastAsia="zh-CN"/>
              </w:rPr>
              <w:t>，资料复印件</w:t>
            </w:r>
            <w:r>
              <w:rPr>
                <w:rFonts w:hint="eastAsia" w:ascii="宋体" w:hAnsi="宋体" w:eastAsia="宋体" w:cs="宋体"/>
                <w:b/>
                <w:bCs/>
                <w:color w:val="auto"/>
                <w:szCs w:val="21"/>
                <w:highlight w:val="none"/>
              </w:rPr>
              <w:t>加盖</w:t>
            </w:r>
            <w:r>
              <w:rPr>
                <w:rFonts w:hint="eastAsia" w:ascii="宋体" w:hAnsi="宋体" w:cs="宋体"/>
                <w:b/>
                <w:bCs/>
                <w:color w:val="auto"/>
                <w:szCs w:val="21"/>
                <w:highlight w:val="none"/>
                <w:lang w:eastAsia="zh-CN"/>
              </w:rPr>
              <w:t>供应商单位</w:t>
            </w:r>
            <w:r>
              <w:rPr>
                <w:rFonts w:hint="eastAsia" w:ascii="宋体" w:hAnsi="宋体" w:eastAsia="宋体" w:cs="宋体"/>
                <w:b/>
                <w:bCs/>
                <w:color w:val="auto"/>
                <w:szCs w:val="21"/>
                <w:highlight w:val="none"/>
              </w:rPr>
              <w:t>法人章并装入</w:t>
            </w:r>
            <w:r>
              <w:rPr>
                <w:rFonts w:hint="eastAsia" w:ascii="宋体" w:hAnsi="宋体" w:eastAsia="宋体" w:cs="宋体"/>
                <w:b/>
                <w:bCs/>
                <w:color w:val="auto"/>
                <w:szCs w:val="21"/>
                <w:highlight w:val="none"/>
                <w:lang w:eastAsia="zh-CN"/>
              </w:rPr>
              <w:t>响应文件中。</w:t>
            </w:r>
          </w:p>
        </w:tc>
      </w:tr>
      <w:tr w14:paraId="0C4F28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E4C914F">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color w:val="auto"/>
                <w:szCs w:val="21"/>
                <w:highlight w:val="none"/>
              </w:rPr>
              <w:t>3.4.4</w:t>
            </w:r>
          </w:p>
        </w:tc>
        <w:tc>
          <w:tcPr>
            <w:tcW w:w="972" w:type="pct"/>
            <w:vAlign w:val="center"/>
          </w:tcPr>
          <w:p w14:paraId="59FCC03C">
            <w:pPr>
              <w:widowControl/>
              <w:adjustRightInd w:val="0"/>
              <w:snapToGrid w:val="0"/>
              <w:spacing w:beforeLines="0" w:afterLines="0" w:line="400" w:lineRule="exact"/>
              <w:jc w:val="center"/>
              <w:rPr>
                <w:rFonts w:ascii="宋体" w:hAnsi="宋体" w:cs="宋体"/>
                <w:color w:val="auto"/>
                <w:spacing w:val="-1"/>
                <w:szCs w:val="21"/>
                <w:highlight w:val="none"/>
              </w:rPr>
            </w:pPr>
            <w:r>
              <w:rPr>
                <w:rFonts w:hint="eastAsia" w:ascii="宋体" w:hAnsi="宋体" w:cs="宋体"/>
                <w:color w:val="auto"/>
                <w:kern w:val="0"/>
                <w:szCs w:val="21"/>
                <w:highlight w:val="none"/>
                <w:lang w:bidi="ar"/>
              </w:rPr>
              <w:t>其他可以不予退还</w:t>
            </w:r>
            <w:r>
              <w:rPr>
                <w:rFonts w:hint="eastAsia" w:ascii="宋体" w:hAnsi="宋体" w:cs="宋体"/>
                <w:color w:val="auto"/>
                <w:kern w:val="0"/>
                <w:szCs w:val="21"/>
                <w:highlight w:val="none"/>
                <w:lang w:eastAsia="zh-CN" w:bidi="ar"/>
              </w:rPr>
              <w:t>比选保证金</w:t>
            </w:r>
            <w:r>
              <w:rPr>
                <w:rFonts w:hint="eastAsia" w:ascii="宋体" w:hAnsi="宋体" w:cs="宋体"/>
                <w:color w:val="auto"/>
                <w:kern w:val="0"/>
                <w:szCs w:val="21"/>
                <w:highlight w:val="none"/>
                <w:lang w:bidi="ar"/>
              </w:rPr>
              <w:t>的情形</w:t>
            </w:r>
          </w:p>
        </w:tc>
        <w:tc>
          <w:tcPr>
            <w:tcW w:w="3445" w:type="pct"/>
            <w:vAlign w:val="center"/>
          </w:tcPr>
          <w:p w14:paraId="500D79A9">
            <w:pPr>
              <w:widowControl/>
              <w:adjustRightInd w:val="0"/>
              <w:snapToGrid w:val="0"/>
              <w:spacing w:beforeLines="0" w:afterLines="0" w:line="400" w:lineRule="exact"/>
              <w:ind w:firstLine="420" w:firstLineChars="200"/>
              <w:jc w:val="left"/>
              <w:rPr>
                <w:rFonts w:ascii="宋体" w:hAnsi="宋体" w:cs="宋体"/>
                <w:color w:val="auto"/>
                <w:kern w:val="0"/>
                <w:szCs w:val="21"/>
                <w:highlight w:val="none"/>
              </w:rPr>
            </w:pPr>
            <w:r>
              <w:rPr>
                <w:rFonts w:hint="eastAsia" w:ascii="宋体" w:hAnsi="宋体" w:cs="宋体"/>
                <w:i w:val="0"/>
                <w:color w:val="auto"/>
                <w:kern w:val="0"/>
                <w:szCs w:val="21"/>
                <w:highlight w:val="none"/>
                <w:lang w:bidi="ar"/>
              </w:rPr>
              <w:t>无</w:t>
            </w:r>
          </w:p>
        </w:tc>
      </w:tr>
      <w:tr w14:paraId="706271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3D65394A">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3.5</w:t>
            </w:r>
          </w:p>
        </w:tc>
        <w:tc>
          <w:tcPr>
            <w:tcW w:w="972" w:type="pct"/>
            <w:vAlign w:val="center"/>
          </w:tcPr>
          <w:p w14:paraId="060DF0A1">
            <w:pPr>
              <w:widowControl/>
              <w:adjustRightInd w:val="0"/>
              <w:snapToGrid w:val="0"/>
              <w:spacing w:beforeLines="0" w:afterLines="0" w:line="400" w:lineRule="exact"/>
              <w:jc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资格审查资料的特殊要求</w:t>
            </w:r>
          </w:p>
        </w:tc>
        <w:tc>
          <w:tcPr>
            <w:tcW w:w="3445" w:type="pct"/>
            <w:vAlign w:val="center"/>
          </w:tcPr>
          <w:p w14:paraId="609B911E">
            <w:pPr>
              <w:widowControl/>
              <w:adjustRightInd w:val="0"/>
              <w:snapToGrid w:val="0"/>
              <w:spacing w:beforeLines="0" w:afterLines="0" w:line="40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lang w:bidi="ar"/>
              </w:rPr>
              <w:t>无</w:t>
            </w:r>
          </w:p>
        </w:tc>
      </w:tr>
      <w:tr w14:paraId="5649AB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487D9EF">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3.6.1</w:t>
            </w:r>
          </w:p>
        </w:tc>
        <w:tc>
          <w:tcPr>
            <w:tcW w:w="972" w:type="pct"/>
            <w:vAlign w:val="center"/>
          </w:tcPr>
          <w:p w14:paraId="42C36BB0">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是否允许递交</w:t>
            </w:r>
          </w:p>
          <w:p w14:paraId="7A748655">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备选</w:t>
            </w: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方案</w:t>
            </w:r>
          </w:p>
        </w:tc>
        <w:tc>
          <w:tcPr>
            <w:tcW w:w="3445" w:type="pct"/>
            <w:vAlign w:val="center"/>
          </w:tcPr>
          <w:p w14:paraId="03964F82">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不允许</w:t>
            </w:r>
          </w:p>
        </w:tc>
      </w:tr>
      <w:tr w14:paraId="0E7200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29430989">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3.7.1</w:t>
            </w:r>
          </w:p>
        </w:tc>
        <w:tc>
          <w:tcPr>
            <w:tcW w:w="972" w:type="pct"/>
            <w:vAlign w:val="center"/>
          </w:tcPr>
          <w:p w14:paraId="4E6A1B15">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格式要求</w:t>
            </w:r>
          </w:p>
        </w:tc>
        <w:tc>
          <w:tcPr>
            <w:tcW w:w="3445" w:type="pct"/>
            <w:vAlign w:val="center"/>
          </w:tcPr>
          <w:p w14:paraId="18ED5AA8">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编制</w:t>
            </w: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时不得对第九章“</w:t>
            </w: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格式”的相应要素作实质性修改，否则视为重大偏差，由</w:t>
            </w:r>
            <w:r>
              <w:rPr>
                <w:rFonts w:hint="eastAsia" w:ascii="宋体" w:hAnsi="宋体" w:cs="宋体"/>
                <w:color w:val="auto"/>
                <w:kern w:val="0"/>
                <w:szCs w:val="21"/>
                <w:highlight w:val="none"/>
                <w:lang w:eastAsia="zh-CN"/>
              </w:rPr>
              <w:t>评审委员会</w:t>
            </w:r>
            <w:r>
              <w:rPr>
                <w:rFonts w:hint="eastAsia" w:ascii="宋体" w:hAnsi="宋体" w:cs="宋体"/>
                <w:color w:val="auto"/>
                <w:kern w:val="0"/>
                <w:szCs w:val="21"/>
                <w:highlight w:val="none"/>
              </w:rPr>
              <w:t>作</w:t>
            </w:r>
            <w:r>
              <w:rPr>
                <w:rFonts w:hint="eastAsia" w:ascii="宋体" w:hAnsi="宋体" w:cs="宋体"/>
                <w:color w:val="auto"/>
                <w:kern w:val="0"/>
                <w:szCs w:val="21"/>
                <w:highlight w:val="none"/>
                <w:lang w:eastAsia="zh-CN"/>
              </w:rPr>
              <w:t>否决处理</w:t>
            </w:r>
            <w:r>
              <w:rPr>
                <w:rFonts w:hint="eastAsia" w:ascii="宋体" w:hAnsi="宋体" w:cs="宋体"/>
                <w:color w:val="auto"/>
                <w:kern w:val="0"/>
                <w:szCs w:val="21"/>
                <w:highlight w:val="none"/>
              </w:rPr>
              <w:t>。</w:t>
            </w:r>
          </w:p>
        </w:tc>
      </w:tr>
      <w:tr w14:paraId="796A9E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2" w:type="pct"/>
            <w:vAlign w:val="center"/>
          </w:tcPr>
          <w:p w14:paraId="2F0CCA07">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3.7.3</w:t>
            </w:r>
          </w:p>
        </w:tc>
        <w:tc>
          <w:tcPr>
            <w:tcW w:w="972" w:type="pct"/>
            <w:vAlign w:val="center"/>
          </w:tcPr>
          <w:p w14:paraId="4DFE2180">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签名盖章要求</w:t>
            </w:r>
          </w:p>
        </w:tc>
        <w:tc>
          <w:tcPr>
            <w:tcW w:w="3445" w:type="pct"/>
            <w:vAlign w:val="center"/>
          </w:tcPr>
          <w:p w14:paraId="339D4829">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应用不褪色的材料书写或打印，并由</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的法定代表人或其委托代理人在</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规定的位置按</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要求签名或盖章、盖单位法人章。委托代理人签名的，</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应附法定代表人签署的授权委托书。</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应尽量避免涂改、行间插字或删除。如果出现上述情况，改动之处应加盖单位法人章或由</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的法定代表人或其授权的代理人签名确认。</w:t>
            </w:r>
          </w:p>
          <w:p w14:paraId="2A9D5461">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未按上述规定执行的，交由</w:t>
            </w:r>
            <w:r>
              <w:rPr>
                <w:rFonts w:hint="eastAsia" w:ascii="宋体" w:hAnsi="宋体" w:cs="宋体"/>
                <w:color w:val="auto"/>
                <w:szCs w:val="21"/>
                <w:highlight w:val="none"/>
                <w:lang w:eastAsia="zh-CN"/>
              </w:rPr>
              <w:t>评审委员会</w:t>
            </w:r>
            <w:r>
              <w:rPr>
                <w:rFonts w:hint="eastAsia" w:ascii="宋体" w:hAnsi="宋体" w:cs="宋体"/>
                <w:color w:val="auto"/>
                <w:szCs w:val="21"/>
                <w:highlight w:val="none"/>
              </w:rPr>
              <w:t>作</w:t>
            </w:r>
            <w:r>
              <w:rPr>
                <w:rFonts w:hint="eastAsia" w:ascii="宋体" w:hAnsi="宋体" w:cs="宋体"/>
                <w:color w:val="auto"/>
                <w:szCs w:val="21"/>
                <w:highlight w:val="none"/>
                <w:lang w:eastAsia="zh-CN"/>
              </w:rPr>
              <w:t>否决处理</w:t>
            </w:r>
            <w:r>
              <w:rPr>
                <w:rFonts w:hint="eastAsia" w:ascii="宋体" w:hAnsi="宋体" w:cs="宋体"/>
                <w:color w:val="auto"/>
                <w:szCs w:val="21"/>
                <w:highlight w:val="none"/>
              </w:rPr>
              <w:t>。</w:t>
            </w:r>
          </w:p>
        </w:tc>
      </w:tr>
      <w:tr w14:paraId="6EE656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FF65A6A">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3.7.4</w:t>
            </w:r>
          </w:p>
        </w:tc>
        <w:tc>
          <w:tcPr>
            <w:tcW w:w="972" w:type="pct"/>
            <w:vAlign w:val="center"/>
          </w:tcPr>
          <w:p w14:paraId="224E6253">
            <w:pPr>
              <w:adjustRightInd w:val="0"/>
              <w:snapToGrid w:val="0"/>
              <w:spacing w:beforeLines="0" w:afterLines="0" w:line="400" w:lineRule="exact"/>
              <w:rPr>
                <w:rFonts w:ascii="宋体" w:hAnsi="宋体" w:cs="宋体"/>
                <w:color w:val="auto"/>
                <w:spacing w:val="-6"/>
                <w:kern w:val="0"/>
                <w:szCs w:val="21"/>
                <w:highlight w:val="none"/>
              </w:rPr>
            </w:pPr>
            <w:r>
              <w:rPr>
                <w:rFonts w:hint="eastAsia" w:ascii="宋体" w:hAnsi="宋体" w:cs="宋体"/>
                <w:color w:val="auto"/>
                <w:spacing w:val="-6"/>
                <w:kern w:val="0"/>
                <w:szCs w:val="21"/>
                <w:highlight w:val="none"/>
                <w:lang w:eastAsia="zh-CN"/>
              </w:rPr>
              <w:t>响应文件</w:t>
            </w:r>
            <w:r>
              <w:rPr>
                <w:rFonts w:hint="eastAsia" w:ascii="宋体" w:hAnsi="宋体" w:cs="宋体"/>
                <w:color w:val="auto"/>
                <w:spacing w:val="-6"/>
                <w:kern w:val="0"/>
                <w:szCs w:val="21"/>
                <w:highlight w:val="none"/>
              </w:rPr>
              <w:t>的份数</w:t>
            </w:r>
          </w:p>
        </w:tc>
        <w:tc>
          <w:tcPr>
            <w:tcW w:w="3445" w:type="pct"/>
            <w:vAlign w:val="center"/>
          </w:tcPr>
          <w:p w14:paraId="0A4684EB">
            <w:pPr>
              <w:autoSpaceDE w:val="0"/>
              <w:autoSpaceDN w:val="0"/>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正本1份、副本1份，</w:t>
            </w:r>
            <w:r>
              <w:rPr>
                <w:rFonts w:hint="eastAsia" w:ascii="宋体" w:hAnsi="宋体" w:cs="宋体"/>
                <w:color w:val="auto"/>
                <w:szCs w:val="21"/>
                <w:highlight w:val="none"/>
              </w:rPr>
              <w:t>电子文档</w:t>
            </w:r>
            <w:r>
              <w:rPr>
                <w:rFonts w:hint="eastAsia" w:ascii="宋体" w:hAnsi="宋体" w:cs="宋体"/>
                <w:color w:val="auto"/>
                <w:kern w:val="0"/>
                <w:szCs w:val="21"/>
                <w:highlight w:val="none"/>
              </w:rPr>
              <w:t>（U盘</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包括</w:t>
            </w:r>
            <w:r>
              <w:rPr>
                <w:rFonts w:hint="eastAsia" w:ascii="宋体" w:hAnsi="宋体" w:eastAsia="宋体" w:cs="宋体"/>
                <w:color w:val="auto"/>
                <w:szCs w:val="21"/>
                <w:highlight w:val="none"/>
                <w:u w:val="none"/>
                <w:lang w:eastAsia="zh-CN"/>
              </w:rPr>
              <w:t>签名</w:t>
            </w:r>
            <w:r>
              <w:rPr>
                <w:rFonts w:hint="eastAsia" w:ascii="宋体" w:hAnsi="宋体" w:eastAsia="宋体" w:cs="宋体"/>
                <w:color w:val="auto"/>
                <w:szCs w:val="21"/>
                <w:highlight w:val="none"/>
                <w:u w:val="none"/>
              </w:rPr>
              <w:t>盖章齐全的</w:t>
            </w:r>
            <w:r>
              <w:rPr>
                <w:rFonts w:hint="eastAsia" w:ascii="宋体" w:hAnsi="宋体" w:eastAsia="宋体" w:cs="宋体"/>
                <w:color w:val="auto"/>
                <w:szCs w:val="21"/>
                <w:highlight w:val="none"/>
                <w:u w:val="none"/>
                <w:lang w:val="en-US" w:eastAsia="zh-CN"/>
              </w:rPr>
              <w:t>响应文件</w:t>
            </w:r>
            <w:r>
              <w:rPr>
                <w:rFonts w:hint="eastAsia" w:ascii="宋体" w:hAnsi="宋体" w:eastAsia="宋体" w:cs="宋体"/>
                <w:color w:val="auto"/>
                <w:szCs w:val="21"/>
                <w:highlight w:val="none"/>
                <w:u w:val="none"/>
              </w:rPr>
              <w:t>PDF格式</w:t>
            </w:r>
            <w:r>
              <w:rPr>
                <w:rFonts w:hint="eastAsia" w:ascii="宋体" w:hAnsi="宋体" w:eastAsia="宋体" w:cs="宋体"/>
                <w:color w:val="auto"/>
                <w:szCs w:val="21"/>
                <w:highlight w:val="none"/>
                <w:u w:val="none"/>
                <w:lang w:val="en-US" w:eastAsia="zh-CN"/>
              </w:rPr>
              <w:t>、清单EXCEL格式</w:t>
            </w:r>
            <w:r>
              <w:rPr>
                <w:rFonts w:hint="eastAsia" w:ascii="宋体" w:hAnsi="宋体" w:cs="宋体"/>
                <w:color w:val="auto"/>
                <w:kern w:val="0"/>
                <w:szCs w:val="21"/>
                <w:highlight w:val="none"/>
              </w:rPr>
              <w:t>）1份。当副本和正本不一致时，以正本为准。否则由</w:t>
            </w:r>
            <w:r>
              <w:rPr>
                <w:rFonts w:hint="eastAsia" w:ascii="宋体" w:hAnsi="宋体" w:cs="宋体"/>
                <w:color w:val="auto"/>
                <w:kern w:val="0"/>
                <w:szCs w:val="21"/>
                <w:highlight w:val="none"/>
                <w:lang w:eastAsia="zh-CN"/>
              </w:rPr>
              <w:t>评审委员会</w:t>
            </w:r>
            <w:r>
              <w:rPr>
                <w:rFonts w:hint="eastAsia" w:ascii="宋体" w:hAnsi="宋体" w:cs="宋体"/>
                <w:color w:val="auto"/>
                <w:kern w:val="0"/>
                <w:szCs w:val="21"/>
                <w:highlight w:val="none"/>
              </w:rPr>
              <w:t>作</w:t>
            </w:r>
            <w:r>
              <w:rPr>
                <w:rFonts w:hint="eastAsia" w:ascii="宋体" w:hAnsi="宋体" w:cs="宋体"/>
                <w:color w:val="auto"/>
                <w:kern w:val="0"/>
                <w:szCs w:val="21"/>
                <w:highlight w:val="none"/>
                <w:lang w:eastAsia="zh-CN"/>
              </w:rPr>
              <w:t>否决处理</w:t>
            </w:r>
            <w:r>
              <w:rPr>
                <w:rFonts w:hint="eastAsia" w:ascii="宋体" w:hAnsi="宋体" w:cs="宋体"/>
                <w:color w:val="auto"/>
                <w:kern w:val="0"/>
                <w:szCs w:val="21"/>
                <w:highlight w:val="none"/>
              </w:rPr>
              <w:t>。</w:t>
            </w:r>
          </w:p>
        </w:tc>
      </w:tr>
      <w:tr w14:paraId="4B8B7E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30161896">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3.7.5</w:t>
            </w:r>
          </w:p>
        </w:tc>
        <w:tc>
          <w:tcPr>
            <w:tcW w:w="972" w:type="pct"/>
            <w:vAlign w:val="center"/>
          </w:tcPr>
          <w:p w14:paraId="0DFFCACB">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编制要求</w:t>
            </w:r>
          </w:p>
        </w:tc>
        <w:tc>
          <w:tcPr>
            <w:tcW w:w="3445" w:type="pct"/>
            <w:vAlign w:val="center"/>
          </w:tcPr>
          <w:p w14:paraId="370A3935">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1、本项目的</w:t>
            </w:r>
            <w:r>
              <w:rPr>
                <w:rFonts w:hint="eastAsia" w:ascii="宋体" w:hAnsi="宋体" w:cs="宋体"/>
                <w:color w:val="auto"/>
                <w:szCs w:val="21"/>
                <w:highlight w:val="none"/>
                <w:lang w:eastAsia="zh-CN"/>
              </w:rPr>
              <w:t>比选函</w:t>
            </w:r>
            <w:r>
              <w:rPr>
                <w:rFonts w:hint="eastAsia" w:ascii="宋体" w:hAnsi="宋体" w:cs="宋体"/>
                <w:color w:val="auto"/>
                <w:szCs w:val="21"/>
                <w:highlight w:val="none"/>
              </w:rPr>
              <w:t>部分、</w:t>
            </w:r>
            <w:r>
              <w:rPr>
                <w:rFonts w:hint="eastAsia" w:ascii="宋体" w:hAnsi="宋体" w:cs="宋体"/>
                <w:color w:val="auto"/>
                <w:szCs w:val="21"/>
                <w:highlight w:val="none"/>
                <w:lang w:eastAsia="zh-CN"/>
              </w:rPr>
              <w:t>报价部分、</w:t>
            </w:r>
            <w:r>
              <w:rPr>
                <w:rFonts w:hint="eastAsia" w:ascii="宋体" w:hAnsi="宋体" w:cs="宋体"/>
                <w:color w:val="auto"/>
                <w:szCs w:val="21"/>
                <w:highlight w:val="none"/>
              </w:rPr>
              <w:t>资格审查部分、技术部分（如有）可以共同装订成一册，也可各自分别装订成册。所有</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不论使用任何方式进行装订，必须保证</w:t>
            </w:r>
            <w:r>
              <w:rPr>
                <w:rFonts w:hint="eastAsia" w:ascii="宋体" w:hAnsi="宋体" w:cs="宋体"/>
                <w:color w:val="auto"/>
                <w:szCs w:val="21"/>
                <w:highlight w:val="none"/>
                <w:lang w:val="en-US" w:eastAsia="zh-CN"/>
              </w:rPr>
              <w:t>响应文件</w:t>
            </w:r>
            <w:r>
              <w:rPr>
                <w:rFonts w:hint="eastAsia" w:ascii="宋体" w:hAnsi="宋体" w:cs="宋体"/>
                <w:color w:val="auto"/>
                <w:szCs w:val="21"/>
                <w:highlight w:val="none"/>
              </w:rPr>
              <w:t>装订牢固，否则，</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对由于</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装订松散而造成的丢失或其他后果不承担任何责任。</w:t>
            </w:r>
          </w:p>
          <w:p w14:paraId="5BAA8CB2">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2、装订</w:t>
            </w:r>
          </w:p>
          <w:p w14:paraId="11D4C38F">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比选函</w:t>
            </w:r>
            <w:r>
              <w:rPr>
                <w:rFonts w:hint="eastAsia" w:ascii="宋体" w:hAnsi="宋体" w:cs="宋体"/>
                <w:color w:val="auto"/>
                <w:szCs w:val="21"/>
                <w:highlight w:val="none"/>
              </w:rPr>
              <w:t>部分的装订要求</w:t>
            </w:r>
          </w:p>
          <w:p w14:paraId="600625ED">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应按照第九章规定格式装订成册，原则上并应编制目录（但不得将目录编制作为评审因素），标注页码。</w:t>
            </w:r>
          </w:p>
          <w:p w14:paraId="09A1C4E6">
            <w:pPr>
              <w:adjustRightInd w:val="0"/>
              <w:snapToGrid w:val="0"/>
              <w:spacing w:beforeLines="0" w:afterLines="0" w:line="400" w:lineRule="exact"/>
              <w:ind w:firstLine="420" w:firstLineChars="2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eastAsia="zh-CN"/>
              </w:rPr>
              <w:t>报价部分</w:t>
            </w:r>
          </w:p>
          <w:p w14:paraId="02801AC0">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应按照第九章规定格式排版，</w:t>
            </w:r>
            <w:r>
              <w:rPr>
                <w:rFonts w:hint="eastAsia" w:asciiTheme="minorEastAsia" w:hAnsiTheme="minorEastAsia" w:eastAsiaTheme="minorEastAsia" w:cstheme="minorEastAsia"/>
                <w:color w:val="auto"/>
                <w:szCs w:val="21"/>
                <w:highlight w:val="none"/>
              </w:rPr>
              <w:t>原则上</w:t>
            </w:r>
            <w:r>
              <w:rPr>
                <w:rFonts w:hint="eastAsia" w:ascii="宋体" w:hAnsi="宋体" w:cs="宋体"/>
                <w:color w:val="auto"/>
                <w:szCs w:val="21"/>
                <w:highlight w:val="none"/>
              </w:rPr>
              <w:t>应编制目录</w:t>
            </w:r>
            <w:r>
              <w:rPr>
                <w:rFonts w:hint="eastAsia" w:asciiTheme="minorEastAsia" w:hAnsiTheme="minorEastAsia" w:eastAsiaTheme="minorEastAsia" w:cstheme="minorEastAsia"/>
                <w:color w:val="auto"/>
                <w:szCs w:val="21"/>
                <w:highlight w:val="none"/>
              </w:rPr>
              <w:t>，但不得将目录编制作为评审因素</w:t>
            </w:r>
            <w:r>
              <w:rPr>
                <w:rFonts w:hint="eastAsia" w:ascii="宋体" w:hAnsi="宋体" w:cs="宋体"/>
                <w:color w:val="auto"/>
                <w:szCs w:val="21"/>
                <w:highlight w:val="none"/>
              </w:rPr>
              <w:t>。</w:t>
            </w:r>
          </w:p>
          <w:p w14:paraId="12C19A2A">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（3）资格审查部分的装订要求</w:t>
            </w:r>
          </w:p>
          <w:p w14:paraId="7AE68E57">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应按照第九章规定格式装订成册，并原则上并应编制目录（但不得将目录编制作为评审因素），标注页码。</w:t>
            </w:r>
          </w:p>
          <w:p w14:paraId="6AE0AEC5">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（4）技术部分（如有）的装订要求</w:t>
            </w:r>
          </w:p>
          <w:p w14:paraId="6D8D50C4">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应按照第九章规定格式装订成册，原则上并应编制目录（但不得将目录编制作为评审因素），标注页码。</w:t>
            </w:r>
          </w:p>
        </w:tc>
      </w:tr>
      <w:tr w14:paraId="0C8A36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091B7CA">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4.1.1</w:t>
            </w:r>
          </w:p>
        </w:tc>
        <w:tc>
          <w:tcPr>
            <w:tcW w:w="972" w:type="pct"/>
            <w:vAlign w:val="center"/>
          </w:tcPr>
          <w:p w14:paraId="74B05E44">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spacing w:val="-6"/>
                <w:kern w:val="0"/>
                <w:szCs w:val="21"/>
                <w:highlight w:val="none"/>
                <w:lang w:eastAsia="zh-CN"/>
              </w:rPr>
              <w:t>响应文件</w:t>
            </w:r>
            <w:r>
              <w:rPr>
                <w:rFonts w:hint="eastAsia" w:ascii="宋体" w:hAnsi="宋体" w:cs="宋体"/>
                <w:color w:val="auto"/>
                <w:spacing w:val="-6"/>
                <w:kern w:val="0"/>
                <w:szCs w:val="21"/>
                <w:highlight w:val="none"/>
              </w:rPr>
              <w:t>的密封</w:t>
            </w:r>
          </w:p>
        </w:tc>
        <w:tc>
          <w:tcPr>
            <w:tcW w:w="3445" w:type="pct"/>
            <w:vAlign w:val="center"/>
          </w:tcPr>
          <w:p w14:paraId="11BB111F">
            <w:pPr>
              <w:pStyle w:val="44"/>
              <w:adjustRightInd w:val="0"/>
              <w:snapToGrid w:val="0"/>
              <w:spacing w:beforeLines="0" w:afterLines="0" w:line="400" w:lineRule="exact"/>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1、电子文档（</w:t>
            </w:r>
            <w:r>
              <w:rPr>
                <w:rFonts w:hint="eastAsia" w:ascii="宋体" w:hAnsi="宋体" w:eastAsia="宋体" w:cs="宋体"/>
                <w:color w:val="auto"/>
                <w:sz w:val="21"/>
                <w:szCs w:val="21"/>
                <w:highlight w:val="none"/>
                <w:lang w:val="en-US"/>
              </w:rPr>
              <w:t>U盘</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rPr>
              <w:t>1</w:t>
            </w:r>
            <w:r>
              <w:rPr>
                <w:rFonts w:hint="eastAsia" w:ascii="宋体" w:hAnsi="宋体" w:eastAsia="宋体" w:cs="宋体"/>
                <w:color w:val="auto"/>
                <w:sz w:val="21"/>
                <w:szCs w:val="21"/>
                <w:highlight w:val="none"/>
              </w:rPr>
              <w:t>份，U盘上注明项目名称和</w:t>
            </w:r>
            <w:r>
              <w:rPr>
                <w:rFonts w:hint="eastAsia" w:ascii="宋体" w:hAnsi="宋体" w:eastAsia="宋体" w:cs="宋体"/>
                <w:color w:val="auto"/>
                <w:sz w:val="21"/>
                <w:szCs w:val="21"/>
                <w:highlight w:val="none"/>
                <w:lang w:eastAsia="zh-CN"/>
              </w:rPr>
              <w:t>供应商单位</w:t>
            </w:r>
            <w:r>
              <w:rPr>
                <w:rFonts w:hint="eastAsia" w:ascii="宋体" w:hAnsi="宋体" w:eastAsia="宋体" w:cs="宋体"/>
                <w:color w:val="auto"/>
                <w:sz w:val="21"/>
                <w:szCs w:val="21"/>
                <w:highlight w:val="none"/>
              </w:rPr>
              <w:t>名称并加盖</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 xml:space="preserve">单位法人章，装入“电子文档袋”。 </w:t>
            </w:r>
          </w:p>
          <w:p w14:paraId="0729F8D4">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2、所有</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（含电子文档）等装入“</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”大袋中，密封并在大袋上加盖</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单位法人章，同时“</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”袋应按本表第4.1.2项的规定写明相应内容。一个大袋装不下的，可使用多个大袋分册封装。大袋未按要求密封的，</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或代理机构应</w:t>
            </w:r>
            <w:r>
              <w:rPr>
                <w:rFonts w:hint="eastAsia" w:ascii="宋体" w:hAnsi="宋体" w:cs="宋体"/>
                <w:color w:val="auto"/>
                <w:szCs w:val="21"/>
                <w:highlight w:val="none"/>
                <w:lang w:val="en-US" w:eastAsia="zh-CN"/>
              </w:rPr>
              <w:t>当</w:t>
            </w:r>
            <w:r>
              <w:rPr>
                <w:rFonts w:hint="eastAsia" w:ascii="宋体" w:hAnsi="宋体" w:cs="宋体"/>
                <w:color w:val="auto"/>
                <w:szCs w:val="21"/>
                <w:highlight w:val="none"/>
              </w:rPr>
              <w:t>拒收。</w:t>
            </w:r>
          </w:p>
        </w:tc>
      </w:tr>
      <w:tr w14:paraId="550E0D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9512BF3">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4.1.2</w:t>
            </w:r>
          </w:p>
        </w:tc>
        <w:tc>
          <w:tcPr>
            <w:tcW w:w="972" w:type="pct"/>
            <w:vAlign w:val="center"/>
          </w:tcPr>
          <w:p w14:paraId="4E9D09D8">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封套上写明</w:t>
            </w:r>
          </w:p>
        </w:tc>
        <w:tc>
          <w:tcPr>
            <w:tcW w:w="3445" w:type="pct"/>
            <w:vAlign w:val="center"/>
          </w:tcPr>
          <w:p w14:paraId="42D703D1">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应在</w:t>
            </w:r>
            <w:r>
              <w:rPr>
                <w:rFonts w:hint="eastAsia" w:ascii="宋体" w:hAnsi="宋体" w:cs="宋体"/>
                <w:color w:val="auto"/>
                <w:szCs w:val="21"/>
                <w:highlight w:val="none"/>
              </w:rPr>
              <w:t xml:space="preserve"> </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”袋封套上写明如下内容：</w:t>
            </w:r>
          </w:p>
          <w:p w14:paraId="2E4E7447">
            <w:pPr>
              <w:adjustRightInd w:val="0"/>
              <w:snapToGrid w:val="0"/>
              <w:spacing w:beforeLines="0" w:afterLines="0" w:line="400" w:lineRule="exact"/>
              <w:ind w:firstLine="420" w:firstLineChars="200"/>
              <w:rPr>
                <w:rFonts w:ascii="宋体" w:hAnsi="宋体" w:cs="宋体"/>
                <w:color w:val="auto"/>
                <w:kern w:val="0"/>
                <w:szCs w:val="21"/>
                <w:highlight w:val="none"/>
                <w:u w:val="singl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名称：</w:t>
            </w:r>
            <w:r>
              <w:rPr>
                <w:rFonts w:hint="eastAsia" w:ascii="宋体" w:hAnsi="宋体" w:cs="宋体"/>
                <w:color w:val="auto"/>
                <w:kern w:val="0"/>
                <w:szCs w:val="21"/>
                <w:highlight w:val="none"/>
                <w:u w:val="single"/>
              </w:rPr>
              <w:t xml:space="preserve">            </w:t>
            </w:r>
          </w:p>
          <w:p w14:paraId="304B6A3D">
            <w:pPr>
              <w:adjustRightInd w:val="0"/>
              <w:snapToGrid w:val="0"/>
              <w:spacing w:beforeLines="0" w:afterLines="0" w:line="400" w:lineRule="exact"/>
              <w:ind w:firstLine="420" w:firstLineChars="200"/>
              <w:rPr>
                <w:rFonts w:ascii="宋体" w:hAnsi="宋体" w:cs="宋体"/>
                <w:color w:val="auto"/>
                <w:kern w:val="0"/>
                <w:szCs w:val="21"/>
                <w:highlight w:val="none"/>
                <w:u w:val="singl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名称：</w:t>
            </w:r>
            <w:r>
              <w:rPr>
                <w:rFonts w:hint="eastAsia" w:ascii="宋体" w:hAnsi="宋体" w:cs="宋体"/>
                <w:color w:val="auto"/>
                <w:kern w:val="0"/>
                <w:szCs w:val="21"/>
                <w:highlight w:val="none"/>
                <w:u w:val="single"/>
              </w:rPr>
              <w:t xml:space="preserve">            </w:t>
            </w:r>
          </w:p>
          <w:p w14:paraId="1533F8D4">
            <w:pPr>
              <w:adjustRightInd w:val="0"/>
              <w:snapToGrid w:val="0"/>
              <w:spacing w:beforeLines="0" w:afterLines="0" w:line="400" w:lineRule="exact"/>
              <w:ind w:firstLine="420" w:firstLineChars="200"/>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u w:val="single"/>
                <w:lang w:eastAsia="zh-CN"/>
              </w:rPr>
              <w:t>成渝改扩建机电工程监控、通信设施保通及路由管道劳务采购</w:t>
            </w:r>
            <w:r>
              <w:rPr>
                <w:rFonts w:hint="eastAsia" w:ascii="宋体" w:hAnsi="宋体" w:cs="宋体"/>
                <w:color w:val="auto"/>
                <w:kern w:val="0"/>
                <w:szCs w:val="21"/>
                <w:highlight w:val="none"/>
                <w:lang w:eastAsia="zh-CN"/>
              </w:rPr>
              <w:t>响应文件</w:t>
            </w:r>
          </w:p>
          <w:p w14:paraId="72049274">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kern w:val="0"/>
                <w:szCs w:val="21"/>
                <w:highlight w:val="none"/>
              </w:rPr>
              <w:t>在</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分前不得开启</w:t>
            </w:r>
          </w:p>
        </w:tc>
      </w:tr>
      <w:tr w14:paraId="70C850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1D96E7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4.2.2</w:t>
            </w:r>
          </w:p>
        </w:tc>
        <w:tc>
          <w:tcPr>
            <w:tcW w:w="972" w:type="pct"/>
            <w:vAlign w:val="center"/>
          </w:tcPr>
          <w:p w14:paraId="774AE90C">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snapToGrid w:val="0"/>
                <w:color w:val="auto"/>
                <w:kern w:val="0"/>
                <w:szCs w:val="21"/>
                <w:highlight w:val="none"/>
                <w:lang w:eastAsia="zh-CN"/>
              </w:rPr>
              <w:t>供应商</w:t>
            </w:r>
            <w:r>
              <w:rPr>
                <w:rFonts w:hint="eastAsia" w:ascii="宋体" w:hAnsi="宋体" w:cs="宋体"/>
                <w:snapToGrid w:val="0"/>
                <w:color w:val="auto"/>
                <w:kern w:val="0"/>
                <w:szCs w:val="21"/>
                <w:highlight w:val="none"/>
              </w:rPr>
              <w:t>递交</w:t>
            </w:r>
            <w:r>
              <w:rPr>
                <w:rFonts w:hint="eastAsia" w:ascii="宋体" w:hAnsi="宋体" w:cs="宋体"/>
                <w:snapToGrid w:val="0"/>
                <w:color w:val="auto"/>
                <w:kern w:val="0"/>
                <w:szCs w:val="21"/>
                <w:highlight w:val="none"/>
                <w:lang w:eastAsia="zh-CN"/>
              </w:rPr>
              <w:t>响应文件</w:t>
            </w:r>
            <w:r>
              <w:rPr>
                <w:rFonts w:hint="eastAsia" w:ascii="宋体" w:hAnsi="宋体" w:cs="宋体"/>
                <w:snapToGrid w:val="0"/>
                <w:color w:val="auto"/>
                <w:kern w:val="0"/>
                <w:szCs w:val="21"/>
                <w:highlight w:val="none"/>
              </w:rPr>
              <w:t>的地点</w:t>
            </w:r>
          </w:p>
        </w:tc>
        <w:tc>
          <w:tcPr>
            <w:tcW w:w="3445" w:type="pct"/>
            <w:vAlign w:val="center"/>
          </w:tcPr>
          <w:p w14:paraId="17ECE528">
            <w:pPr>
              <w:adjustRightInd w:val="0"/>
              <w:snapToGrid w:val="0"/>
              <w:spacing w:beforeLines="0" w:afterLines="0" w:line="400" w:lineRule="exact"/>
              <w:rPr>
                <w:rFonts w:ascii="宋体" w:hAnsi="宋体" w:cs="宋体"/>
                <w:color w:val="auto"/>
                <w:szCs w:val="21"/>
                <w:highlight w:val="none"/>
              </w:rPr>
            </w:pPr>
            <w:r>
              <w:rPr>
                <w:rFonts w:hint="eastAsia" w:ascii="宋体" w:hAnsi="宋体" w:cs="宋体"/>
                <w:bCs/>
                <w:color w:val="auto"/>
                <w:szCs w:val="21"/>
                <w:highlight w:val="none"/>
              </w:rPr>
              <w:t>重庆市</w:t>
            </w:r>
            <w:r>
              <w:rPr>
                <w:rFonts w:hint="eastAsia" w:ascii="宋体" w:hAnsi="宋体" w:cs="宋体"/>
                <w:bCs/>
                <w:color w:val="auto"/>
                <w:szCs w:val="21"/>
                <w:highlight w:val="none"/>
                <w:lang w:eastAsia="zh-CN"/>
              </w:rPr>
              <w:t>两江新区</w:t>
            </w:r>
            <w:r>
              <w:rPr>
                <w:rFonts w:hint="eastAsia" w:ascii="宋体" w:hAnsi="宋体" w:cs="宋体"/>
                <w:bCs/>
                <w:color w:val="auto"/>
                <w:szCs w:val="21"/>
                <w:highlight w:val="none"/>
              </w:rPr>
              <w:t>五简路2号重庆咨询大厦A座负一楼开标厅</w:t>
            </w:r>
            <w:r>
              <w:rPr>
                <w:rFonts w:hint="eastAsia" w:ascii="宋体" w:hAnsi="宋体" w:cs="宋体"/>
                <w:bCs/>
                <w:color w:val="auto"/>
                <w:szCs w:val="21"/>
                <w:highlight w:val="none"/>
                <w:lang w:eastAsia="zh-CN"/>
              </w:rPr>
              <w:t>，具体安排详见重庆咨询大厦A座负一楼当日电子显示屏</w:t>
            </w:r>
            <w:r>
              <w:rPr>
                <w:rFonts w:hint="eastAsia" w:ascii="宋体" w:hAnsi="宋体" w:cs="宋体"/>
                <w:bCs/>
                <w:color w:val="auto"/>
                <w:szCs w:val="21"/>
                <w:highlight w:val="none"/>
              </w:rPr>
              <w:t>。</w:t>
            </w:r>
          </w:p>
        </w:tc>
      </w:tr>
      <w:tr w14:paraId="6E05E4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2" w:type="pct"/>
            <w:vAlign w:val="center"/>
          </w:tcPr>
          <w:p w14:paraId="4EB98DD6">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4.2.3</w:t>
            </w:r>
          </w:p>
        </w:tc>
        <w:tc>
          <w:tcPr>
            <w:tcW w:w="972" w:type="pct"/>
            <w:vAlign w:val="center"/>
          </w:tcPr>
          <w:p w14:paraId="782A04DB">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是否退还</w:t>
            </w:r>
            <w:r>
              <w:rPr>
                <w:rFonts w:hint="eastAsia" w:ascii="宋体" w:hAnsi="宋体" w:cs="宋体"/>
                <w:color w:val="auto"/>
                <w:kern w:val="0"/>
                <w:szCs w:val="21"/>
                <w:highlight w:val="none"/>
                <w:lang w:eastAsia="zh-CN"/>
              </w:rPr>
              <w:t>响应文件</w:t>
            </w:r>
          </w:p>
        </w:tc>
        <w:tc>
          <w:tcPr>
            <w:tcW w:w="3445" w:type="pct"/>
            <w:vAlign w:val="center"/>
          </w:tcPr>
          <w:p w14:paraId="02665318">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否</w:t>
            </w:r>
          </w:p>
        </w:tc>
      </w:tr>
      <w:tr w14:paraId="4F8579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66FD8BE">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5.1.1</w:t>
            </w:r>
          </w:p>
        </w:tc>
        <w:tc>
          <w:tcPr>
            <w:tcW w:w="972" w:type="pct"/>
            <w:vAlign w:val="center"/>
          </w:tcPr>
          <w:p w14:paraId="219C745F">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bCs/>
                <w:color w:val="auto"/>
                <w:szCs w:val="21"/>
                <w:highlight w:val="none"/>
                <w:lang w:val="en-US" w:eastAsia="zh-CN"/>
              </w:rPr>
              <w:t>比选</w:t>
            </w:r>
            <w:r>
              <w:rPr>
                <w:rFonts w:hint="eastAsia" w:ascii="宋体" w:hAnsi="宋体" w:cs="宋体"/>
                <w:color w:val="auto"/>
                <w:kern w:val="0"/>
                <w:szCs w:val="21"/>
                <w:highlight w:val="none"/>
              </w:rPr>
              <w:t>时间和</w:t>
            </w:r>
          </w:p>
          <w:p w14:paraId="1C4833C8">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地点</w:t>
            </w:r>
          </w:p>
        </w:tc>
        <w:tc>
          <w:tcPr>
            <w:tcW w:w="3445" w:type="pct"/>
            <w:vAlign w:val="center"/>
          </w:tcPr>
          <w:p w14:paraId="0DB643F1">
            <w:pPr>
              <w:adjustRightInd w:val="0"/>
              <w:snapToGrid w:val="0"/>
              <w:spacing w:beforeLines="0" w:afterLines="0" w:line="400" w:lineRule="exact"/>
              <w:rPr>
                <w:rFonts w:ascii="宋体" w:hAnsi="宋体" w:cs="宋体"/>
                <w:bCs/>
                <w:color w:val="auto"/>
                <w:szCs w:val="21"/>
                <w:highlight w:val="none"/>
              </w:rPr>
            </w:pPr>
            <w:r>
              <w:rPr>
                <w:rFonts w:hint="eastAsia" w:ascii="宋体" w:hAnsi="宋体" w:cs="宋体"/>
                <w:bCs/>
                <w:color w:val="auto"/>
                <w:szCs w:val="21"/>
                <w:highlight w:val="none"/>
                <w:lang w:val="en-US" w:eastAsia="zh-CN"/>
              </w:rPr>
              <w:t>比选</w:t>
            </w:r>
            <w:r>
              <w:rPr>
                <w:rFonts w:hint="eastAsia" w:ascii="宋体" w:hAnsi="宋体" w:cs="宋体"/>
                <w:bCs/>
                <w:color w:val="auto"/>
                <w:szCs w:val="21"/>
                <w:highlight w:val="none"/>
              </w:rPr>
              <w:t>时间：同</w:t>
            </w:r>
            <w:r>
              <w:rPr>
                <w:rFonts w:hint="eastAsia" w:ascii="宋体" w:hAnsi="宋体" w:cs="宋体"/>
                <w:bCs/>
                <w:color w:val="auto"/>
                <w:szCs w:val="21"/>
                <w:highlight w:val="none"/>
                <w:lang w:val="en-US" w:eastAsia="zh-CN"/>
              </w:rPr>
              <w:t>比选</w:t>
            </w:r>
            <w:r>
              <w:rPr>
                <w:rFonts w:hint="eastAsia" w:ascii="宋体" w:hAnsi="宋体" w:cs="宋体"/>
                <w:bCs/>
                <w:color w:val="auto"/>
                <w:szCs w:val="21"/>
                <w:highlight w:val="none"/>
              </w:rPr>
              <w:t xml:space="preserve">截止时间。 </w:t>
            </w:r>
          </w:p>
          <w:p w14:paraId="234D1657">
            <w:pPr>
              <w:adjustRightInd w:val="0"/>
              <w:snapToGrid w:val="0"/>
              <w:spacing w:beforeLines="0" w:afterLines="0" w:line="400" w:lineRule="exact"/>
              <w:rPr>
                <w:rFonts w:ascii="宋体" w:hAnsi="宋体" w:cs="宋体"/>
                <w:color w:val="auto"/>
                <w:kern w:val="0"/>
                <w:szCs w:val="21"/>
                <w:highlight w:val="none"/>
                <w:u w:val="single"/>
              </w:rPr>
            </w:pPr>
            <w:r>
              <w:rPr>
                <w:rFonts w:hint="eastAsia" w:ascii="宋体" w:hAnsi="宋体" w:cs="宋体"/>
                <w:bCs/>
                <w:color w:val="auto"/>
                <w:szCs w:val="21"/>
                <w:highlight w:val="none"/>
                <w:lang w:val="en-US" w:eastAsia="zh-CN"/>
              </w:rPr>
              <w:t>比选</w:t>
            </w:r>
            <w:r>
              <w:rPr>
                <w:rFonts w:hint="eastAsia" w:ascii="宋体" w:hAnsi="宋体" w:cs="宋体"/>
                <w:bCs/>
                <w:color w:val="auto"/>
                <w:szCs w:val="21"/>
                <w:highlight w:val="none"/>
              </w:rPr>
              <w:t>地点：重庆市</w:t>
            </w:r>
            <w:r>
              <w:rPr>
                <w:rFonts w:hint="eastAsia" w:ascii="宋体" w:hAnsi="宋体" w:cs="宋体"/>
                <w:bCs/>
                <w:color w:val="auto"/>
                <w:szCs w:val="21"/>
                <w:highlight w:val="none"/>
                <w:lang w:eastAsia="zh-CN"/>
              </w:rPr>
              <w:t>两江新区</w:t>
            </w:r>
            <w:r>
              <w:rPr>
                <w:rFonts w:hint="eastAsia" w:ascii="宋体" w:hAnsi="宋体" w:cs="宋体"/>
                <w:bCs/>
                <w:color w:val="auto"/>
                <w:szCs w:val="21"/>
                <w:highlight w:val="none"/>
              </w:rPr>
              <w:t>五简路2号重庆咨询大厦A座负一楼开标厅</w:t>
            </w:r>
            <w:r>
              <w:rPr>
                <w:rFonts w:hint="eastAsia" w:ascii="宋体" w:hAnsi="宋体" w:cs="宋体"/>
                <w:bCs/>
                <w:color w:val="auto"/>
                <w:szCs w:val="21"/>
                <w:highlight w:val="none"/>
                <w:lang w:eastAsia="zh-CN"/>
              </w:rPr>
              <w:t>，具体安排详见重庆咨询大厦A座负一楼当日电子显示屏</w:t>
            </w:r>
            <w:r>
              <w:rPr>
                <w:rFonts w:hint="eastAsia" w:ascii="宋体" w:hAnsi="宋体" w:cs="宋体"/>
                <w:bCs/>
                <w:color w:val="auto"/>
                <w:szCs w:val="21"/>
                <w:highlight w:val="none"/>
              </w:rPr>
              <w:t>。</w:t>
            </w:r>
          </w:p>
        </w:tc>
      </w:tr>
      <w:tr w14:paraId="73761C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458B181">
            <w:pPr>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szCs w:val="21"/>
                <w:highlight w:val="none"/>
              </w:rPr>
              <w:t>5.2</w:t>
            </w:r>
          </w:p>
        </w:tc>
        <w:tc>
          <w:tcPr>
            <w:tcW w:w="972" w:type="pct"/>
            <w:vAlign w:val="center"/>
          </w:tcPr>
          <w:p w14:paraId="625DB546">
            <w:pPr>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szCs w:val="21"/>
                <w:highlight w:val="none"/>
                <w:lang w:eastAsia="zh-CN"/>
              </w:rPr>
              <w:t>比选</w:t>
            </w:r>
            <w:r>
              <w:rPr>
                <w:rFonts w:hint="eastAsia" w:ascii="宋体" w:hAnsi="宋体" w:cs="宋体"/>
                <w:color w:val="auto"/>
                <w:szCs w:val="21"/>
                <w:highlight w:val="none"/>
              </w:rPr>
              <w:t>程序</w:t>
            </w:r>
          </w:p>
        </w:tc>
        <w:tc>
          <w:tcPr>
            <w:tcW w:w="3445" w:type="pct"/>
            <w:vAlign w:val="center"/>
          </w:tcPr>
          <w:p w14:paraId="6D19351D">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主持人按下</w:t>
            </w:r>
            <w:r>
              <w:rPr>
                <w:rFonts w:hint="eastAsia" w:ascii="宋体" w:hAnsi="宋体" w:eastAsia="宋体" w:cs="宋体"/>
                <w:color w:val="auto"/>
                <w:sz w:val="21"/>
                <w:szCs w:val="21"/>
                <w:highlight w:val="none"/>
              </w:rPr>
              <w:t>列程序进行</w:t>
            </w:r>
            <w:r>
              <w:rPr>
                <w:rFonts w:hint="eastAsia" w:ascii="宋体" w:hAnsi="宋体" w:eastAsia="宋体" w:cs="宋体"/>
                <w:bCs w:val="0"/>
                <w:color w:val="auto"/>
                <w:sz w:val="21"/>
                <w:szCs w:val="21"/>
                <w:highlight w:val="none"/>
                <w:lang w:val="en-US" w:eastAsia="zh-CN"/>
              </w:rPr>
              <w:t>比选</w:t>
            </w:r>
            <w:r>
              <w:rPr>
                <w:rFonts w:hint="eastAsia" w:ascii="宋体" w:hAnsi="宋体" w:eastAsia="宋体" w:cs="宋体"/>
                <w:color w:val="auto"/>
                <w:sz w:val="21"/>
                <w:szCs w:val="21"/>
                <w:highlight w:val="none"/>
              </w:rPr>
              <w:t>：</w:t>
            </w:r>
          </w:p>
          <w:p w14:paraId="11FACC8B">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eastAsia="zh-CN"/>
              </w:rPr>
              <w:t>供应</w:t>
            </w:r>
            <w:r>
              <w:rPr>
                <w:rFonts w:hint="eastAsia" w:ascii="宋体" w:hAnsi="宋体" w:eastAsia="宋体" w:cs="宋体"/>
                <w:color w:val="auto"/>
                <w:sz w:val="21"/>
                <w:szCs w:val="21"/>
                <w:highlight w:val="none"/>
                <w:lang w:eastAsia="zh-CN"/>
              </w:rPr>
              <w:t>商</w:t>
            </w:r>
            <w:r>
              <w:rPr>
                <w:rFonts w:hint="eastAsia" w:ascii="宋体" w:hAnsi="宋体" w:eastAsia="宋体" w:cs="宋体"/>
                <w:color w:val="auto"/>
                <w:sz w:val="21"/>
                <w:szCs w:val="21"/>
                <w:highlight w:val="none"/>
              </w:rPr>
              <w:t>法定代表人或委托代理人可自行选择是否参加</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rPr>
              <w:t>会，不参加</w:t>
            </w:r>
            <w:r>
              <w:rPr>
                <w:rFonts w:hint="eastAsia" w:ascii="宋体" w:hAnsi="宋体" w:eastAsia="宋体" w:cs="宋体"/>
                <w:bCs w:val="0"/>
                <w:color w:val="auto"/>
                <w:sz w:val="21"/>
                <w:szCs w:val="21"/>
                <w:highlight w:val="none"/>
                <w:lang w:val="en-US" w:eastAsia="zh-CN"/>
              </w:rPr>
              <w:t>比选</w:t>
            </w:r>
            <w:r>
              <w:rPr>
                <w:rFonts w:hint="eastAsia" w:ascii="宋体" w:hAnsi="宋体" w:eastAsia="宋体" w:cs="宋体"/>
                <w:color w:val="auto"/>
                <w:sz w:val="21"/>
                <w:szCs w:val="21"/>
                <w:highlight w:val="none"/>
              </w:rPr>
              <w:t>会的视为默认</w:t>
            </w:r>
            <w:r>
              <w:rPr>
                <w:rFonts w:hint="eastAsia" w:ascii="宋体" w:hAnsi="宋体" w:eastAsia="宋体" w:cs="宋体"/>
                <w:bCs w:val="0"/>
                <w:color w:val="auto"/>
                <w:sz w:val="21"/>
                <w:szCs w:val="21"/>
                <w:highlight w:val="none"/>
                <w:lang w:val="en-US" w:eastAsia="zh-CN"/>
              </w:rPr>
              <w:t>比选</w:t>
            </w:r>
            <w:r>
              <w:rPr>
                <w:rFonts w:hint="eastAsia" w:ascii="宋体" w:hAnsi="宋体" w:eastAsia="宋体" w:cs="宋体"/>
                <w:color w:val="auto"/>
                <w:sz w:val="21"/>
                <w:szCs w:val="21"/>
                <w:highlight w:val="none"/>
              </w:rPr>
              <w:t>结果。</w:t>
            </w:r>
          </w:p>
          <w:p w14:paraId="59F64BAE">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）公布在</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截止时间前递交</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w:t>
            </w:r>
            <w:r>
              <w:rPr>
                <w:rFonts w:hint="eastAsia" w:ascii="宋体" w:hAnsi="宋体" w:cs="宋体"/>
                <w:color w:val="auto"/>
                <w:sz w:val="21"/>
                <w:szCs w:val="21"/>
                <w:highlight w:val="none"/>
                <w:lang w:eastAsia="zh-CN"/>
              </w:rPr>
              <w:t>供应商</w:t>
            </w:r>
            <w:r>
              <w:rPr>
                <w:rFonts w:hint="eastAsia" w:ascii="宋体" w:hAnsi="宋体" w:cs="宋体"/>
                <w:color w:val="auto"/>
                <w:sz w:val="21"/>
                <w:szCs w:val="21"/>
                <w:highlight w:val="none"/>
              </w:rPr>
              <w:t>名称。</w:t>
            </w:r>
          </w:p>
          <w:p w14:paraId="12550C89">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rPr>
              <w:t>）</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的密封检查：</w:t>
            </w:r>
            <w:r>
              <w:rPr>
                <w:rFonts w:hint="eastAsia" w:ascii="宋体" w:hAnsi="宋体" w:cs="宋体"/>
                <w:color w:val="auto"/>
                <w:sz w:val="21"/>
                <w:szCs w:val="21"/>
                <w:highlight w:val="none"/>
                <w:lang w:eastAsia="zh-CN"/>
              </w:rPr>
              <w:t>供应商</w:t>
            </w:r>
            <w:r>
              <w:rPr>
                <w:rFonts w:hint="eastAsia" w:ascii="宋体" w:hAnsi="宋体" w:cs="宋体"/>
                <w:color w:val="auto"/>
                <w:sz w:val="21"/>
                <w:szCs w:val="21"/>
                <w:highlight w:val="none"/>
              </w:rPr>
              <w:t>可对自己的</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封装情况进行检查，以确认其</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密封完好。</w:t>
            </w:r>
          </w:p>
          <w:p w14:paraId="7196AB15">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rPr>
              <w:t>）汇总</w:t>
            </w:r>
            <w:r>
              <w:rPr>
                <w:rFonts w:hint="eastAsia" w:ascii="宋体" w:hAnsi="宋体" w:cs="宋体"/>
                <w:color w:val="auto"/>
                <w:sz w:val="21"/>
                <w:szCs w:val="21"/>
                <w:highlight w:val="none"/>
                <w:lang w:eastAsia="zh-CN"/>
              </w:rPr>
              <w:t>比选保证金</w:t>
            </w:r>
            <w:r>
              <w:rPr>
                <w:rFonts w:hint="eastAsia" w:ascii="宋体" w:hAnsi="宋体" w:cs="宋体"/>
                <w:color w:val="auto"/>
                <w:sz w:val="21"/>
                <w:szCs w:val="21"/>
                <w:highlight w:val="none"/>
              </w:rPr>
              <w:t>缴纳情况。</w:t>
            </w:r>
          </w:p>
          <w:p w14:paraId="03CAFEA4">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）设有最高限价的，公布最高限价。</w:t>
            </w:r>
          </w:p>
          <w:p w14:paraId="6F40CD75">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rPr>
              <w:t>）逐单位随机开启</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。公布</w:t>
            </w:r>
            <w:r>
              <w:rPr>
                <w:rFonts w:hint="eastAsia" w:ascii="宋体" w:hAnsi="宋体" w:cs="宋体"/>
                <w:color w:val="auto"/>
                <w:sz w:val="21"/>
                <w:szCs w:val="21"/>
                <w:highlight w:val="none"/>
                <w:lang w:eastAsia="zh-CN"/>
              </w:rPr>
              <w:t>供应商</w:t>
            </w:r>
            <w:r>
              <w:rPr>
                <w:rFonts w:hint="eastAsia" w:ascii="宋体" w:hAnsi="宋体" w:cs="宋体"/>
                <w:color w:val="auto"/>
                <w:sz w:val="21"/>
                <w:szCs w:val="21"/>
                <w:highlight w:val="none"/>
              </w:rPr>
              <w:t>名称、</w:t>
            </w:r>
            <w:r>
              <w:rPr>
                <w:rFonts w:hint="eastAsia" w:ascii="宋体" w:hAnsi="宋体" w:cs="宋体"/>
                <w:color w:val="auto"/>
                <w:sz w:val="21"/>
                <w:szCs w:val="21"/>
                <w:highlight w:val="none"/>
                <w:lang w:eastAsia="zh-CN"/>
              </w:rPr>
              <w:t>比选报价</w:t>
            </w:r>
            <w:r>
              <w:rPr>
                <w:rFonts w:hint="eastAsia" w:ascii="宋体" w:hAnsi="宋体" w:cs="宋体"/>
                <w:color w:val="auto"/>
                <w:sz w:val="21"/>
                <w:szCs w:val="21"/>
                <w:highlight w:val="none"/>
              </w:rPr>
              <w:t>、质量要求、工期及其他内容并记录在案。</w:t>
            </w:r>
          </w:p>
          <w:p w14:paraId="4618BEAC">
            <w:pPr>
              <w:pStyle w:val="56"/>
              <w:snapToGrid w:val="0"/>
              <w:spacing w:beforeLines="0" w:afterLines="0" w:line="400" w:lineRule="exact"/>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对</w:t>
            </w:r>
            <w:r>
              <w:rPr>
                <w:rFonts w:hint="eastAsia" w:ascii="宋体" w:hAnsi="宋体" w:eastAsia="宋体" w:cs="宋体"/>
                <w:color w:val="auto"/>
                <w:sz w:val="21"/>
                <w:szCs w:val="21"/>
                <w:highlight w:val="none"/>
                <w:lang w:eastAsia="zh-CN"/>
              </w:rPr>
              <w:t>比选</w:t>
            </w:r>
            <w:r>
              <w:rPr>
                <w:rFonts w:hint="eastAsia" w:ascii="宋体" w:hAnsi="宋体" w:eastAsia="宋体" w:cs="宋体"/>
                <w:color w:val="auto"/>
                <w:sz w:val="21"/>
                <w:szCs w:val="21"/>
                <w:highlight w:val="none"/>
              </w:rPr>
              <w:t>有异议的，应当场提出，由</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或代理机构当场答复，并记录到</w:t>
            </w:r>
            <w:r>
              <w:rPr>
                <w:rFonts w:hint="eastAsia" w:ascii="宋体" w:hAnsi="宋体" w:eastAsia="宋体" w:cs="宋体"/>
                <w:color w:val="auto"/>
                <w:sz w:val="21"/>
                <w:szCs w:val="21"/>
                <w:highlight w:val="none"/>
                <w:lang w:eastAsia="zh-CN"/>
              </w:rPr>
              <w:t>比选</w:t>
            </w:r>
            <w:r>
              <w:rPr>
                <w:rFonts w:hint="eastAsia" w:ascii="宋体" w:hAnsi="宋体" w:eastAsia="宋体" w:cs="宋体"/>
                <w:color w:val="auto"/>
                <w:sz w:val="21"/>
                <w:szCs w:val="21"/>
                <w:highlight w:val="none"/>
              </w:rPr>
              <w:t>记录表中。异议处理完毕后，汇总</w:t>
            </w:r>
            <w:r>
              <w:rPr>
                <w:rFonts w:hint="eastAsia" w:ascii="宋体" w:hAnsi="宋体" w:eastAsia="宋体" w:cs="宋体"/>
                <w:color w:val="auto"/>
                <w:sz w:val="21"/>
                <w:szCs w:val="21"/>
                <w:highlight w:val="none"/>
                <w:lang w:eastAsia="zh-CN"/>
              </w:rPr>
              <w:t>比选</w:t>
            </w:r>
            <w:r>
              <w:rPr>
                <w:rFonts w:hint="eastAsia" w:ascii="宋体" w:hAnsi="宋体" w:eastAsia="宋体" w:cs="宋体"/>
                <w:color w:val="auto"/>
                <w:sz w:val="21"/>
                <w:szCs w:val="21"/>
                <w:highlight w:val="none"/>
              </w:rPr>
              <w:t>情况，打印</w:t>
            </w:r>
            <w:r>
              <w:rPr>
                <w:rFonts w:hint="eastAsia" w:ascii="宋体" w:hAnsi="宋体" w:eastAsia="宋体" w:cs="宋体"/>
                <w:color w:val="auto"/>
                <w:sz w:val="21"/>
                <w:szCs w:val="21"/>
                <w:highlight w:val="none"/>
                <w:lang w:eastAsia="zh-CN"/>
              </w:rPr>
              <w:t>比选</w:t>
            </w:r>
            <w:r>
              <w:rPr>
                <w:rFonts w:hint="eastAsia" w:ascii="宋体" w:hAnsi="宋体" w:eastAsia="宋体" w:cs="宋体"/>
                <w:color w:val="auto"/>
                <w:sz w:val="21"/>
                <w:szCs w:val="21"/>
                <w:highlight w:val="none"/>
              </w:rPr>
              <w:t>记录表。</w:t>
            </w:r>
          </w:p>
          <w:p w14:paraId="4E8F9063">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代表、</w:t>
            </w:r>
            <w:r>
              <w:rPr>
                <w:rFonts w:hint="eastAsia" w:ascii="宋体" w:hAnsi="宋体" w:eastAsia="宋体" w:cs="宋体"/>
                <w:color w:val="auto"/>
                <w:sz w:val="21"/>
                <w:szCs w:val="21"/>
                <w:highlight w:val="none"/>
                <w:lang w:val="en-US" w:eastAsia="zh-CN"/>
              </w:rPr>
              <w:t>主持人、</w:t>
            </w:r>
            <w:r>
              <w:rPr>
                <w:rFonts w:hint="eastAsia" w:ascii="宋体" w:hAnsi="宋体" w:eastAsia="宋体" w:cs="宋体"/>
                <w:color w:val="auto"/>
                <w:sz w:val="21"/>
                <w:szCs w:val="21"/>
                <w:highlight w:val="none"/>
              </w:rPr>
              <w:t>记录人等有关人员在比选记录上签字确认。因其他原因</w:t>
            </w:r>
            <w:r>
              <w:rPr>
                <w:rFonts w:hint="eastAsia" w:ascii="宋体" w:hAnsi="宋体" w:cs="宋体"/>
                <w:color w:val="auto"/>
                <w:sz w:val="21"/>
                <w:szCs w:val="21"/>
                <w:highlight w:val="none"/>
              </w:rPr>
              <w:t>未能签名的，视为默认</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结果。</w:t>
            </w:r>
          </w:p>
          <w:p w14:paraId="50ADF31D">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9</w:t>
            </w:r>
            <w:r>
              <w:rPr>
                <w:rFonts w:hint="eastAsia" w:ascii="宋体" w:hAnsi="宋体" w:cs="宋体"/>
                <w:color w:val="auto"/>
                <w:szCs w:val="21"/>
                <w:highlight w:val="none"/>
              </w:rPr>
              <w:t>）</w:t>
            </w:r>
            <w:r>
              <w:rPr>
                <w:rFonts w:hint="eastAsia" w:ascii="宋体" w:hAnsi="宋体" w:cs="宋体"/>
                <w:color w:val="auto"/>
                <w:szCs w:val="21"/>
                <w:highlight w:val="none"/>
                <w:lang w:eastAsia="zh-CN"/>
              </w:rPr>
              <w:t>比选</w:t>
            </w:r>
            <w:r>
              <w:rPr>
                <w:rFonts w:hint="eastAsia" w:ascii="宋体" w:hAnsi="宋体" w:cs="宋体"/>
                <w:color w:val="auto"/>
                <w:szCs w:val="21"/>
                <w:highlight w:val="none"/>
              </w:rPr>
              <w:t>结束。</w:t>
            </w:r>
          </w:p>
        </w:tc>
      </w:tr>
      <w:tr w14:paraId="465F82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30FF5A3">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6.1.1</w:t>
            </w:r>
          </w:p>
        </w:tc>
        <w:tc>
          <w:tcPr>
            <w:tcW w:w="972" w:type="pct"/>
            <w:vAlign w:val="center"/>
          </w:tcPr>
          <w:p w14:paraId="4F3125F5">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评审委员会</w:t>
            </w:r>
            <w:r>
              <w:rPr>
                <w:rFonts w:hint="eastAsia" w:ascii="宋体" w:hAnsi="宋体" w:cs="宋体"/>
                <w:color w:val="auto"/>
                <w:kern w:val="0"/>
                <w:szCs w:val="21"/>
                <w:highlight w:val="none"/>
              </w:rPr>
              <w:t>的组建</w:t>
            </w:r>
          </w:p>
        </w:tc>
        <w:tc>
          <w:tcPr>
            <w:tcW w:w="3445" w:type="pct"/>
            <w:vAlign w:val="center"/>
          </w:tcPr>
          <w:p w14:paraId="632AA0CD">
            <w:pPr>
              <w:adjustRightInd w:val="0"/>
              <w:snapToGrid w:val="0"/>
              <w:spacing w:beforeLines="0" w:afterLines="0" w:line="400" w:lineRule="exact"/>
              <w:ind w:firstLine="436" w:firstLineChars="200"/>
              <w:rPr>
                <w:rFonts w:ascii="宋体" w:hAnsi="宋体" w:cs="宋体"/>
                <w:color w:val="auto"/>
                <w:kern w:val="0"/>
                <w:szCs w:val="21"/>
                <w:highlight w:val="none"/>
              </w:rPr>
            </w:pPr>
            <w:r>
              <w:rPr>
                <w:rFonts w:hint="eastAsia" w:ascii="宋体" w:hAnsi="宋体" w:eastAsia="宋体" w:cs="宋体"/>
                <w:color w:val="auto"/>
                <w:spacing w:val="4"/>
                <w:kern w:val="0"/>
                <w:szCs w:val="21"/>
                <w:highlight w:val="none"/>
              </w:rPr>
              <w:t>由</w:t>
            </w:r>
            <w:r>
              <w:rPr>
                <w:rFonts w:hint="eastAsia" w:ascii="宋体" w:hAnsi="宋体" w:eastAsia="宋体" w:cs="宋体"/>
                <w:color w:val="auto"/>
                <w:spacing w:val="4"/>
                <w:kern w:val="0"/>
                <w:szCs w:val="21"/>
                <w:highlight w:val="none"/>
                <w:lang w:eastAsia="zh-CN"/>
              </w:rPr>
              <w:t>采购人</w:t>
            </w:r>
            <w:r>
              <w:rPr>
                <w:rFonts w:hint="eastAsia" w:ascii="宋体" w:hAnsi="宋体" w:eastAsia="宋体" w:cs="宋体"/>
                <w:color w:val="auto"/>
                <w:spacing w:val="4"/>
                <w:kern w:val="0"/>
                <w:szCs w:val="21"/>
                <w:highlight w:val="none"/>
              </w:rPr>
              <w:t>按相关规定组建</w:t>
            </w:r>
            <w:r>
              <w:rPr>
                <w:rFonts w:hint="eastAsia" w:ascii="宋体" w:hAnsi="宋体" w:eastAsia="宋体" w:cs="宋体"/>
                <w:color w:val="auto"/>
                <w:spacing w:val="4"/>
                <w:kern w:val="0"/>
                <w:szCs w:val="21"/>
                <w:highlight w:val="none"/>
                <w:lang w:eastAsia="zh-CN"/>
              </w:rPr>
              <w:t>评审委员会</w:t>
            </w:r>
            <w:r>
              <w:rPr>
                <w:rFonts w:hint="eastAsia" w:ascii="宋体" w:hAnsi="宋体" w:eastAsia="宋体" w:cs="宋体"/>
                <w:color w:val="auto"/>
                <w:kern w:val="0"/>
                <w:szCs w:val="21"/>
                <w:highlight w:val="none"/>
              </w:rPr>
              <w:t>。</w:t>
            </w:r>
          </w:p>
        </w:tc>
      </w:tr>
      <w:tr w14:paraId="79ACE7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4D53464">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6.3.2</w:t>
            </w:r>
          </w:p>
        </w:tc>
        <w:tc>
          <w:tcPr>
            <w:tcW w:w="972" w:type="pct"/>
            <w:vAlign w:val="center"/>
          </w:tcPr>
          <w:p w14:paraId="3C6F07A3">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bidi="ar"/>
              </w:rPr>
              <w:t>评审委员会</w:t>
            </w:r>
            <w:r>
              <w:rPr>
                <w:rFonts w:hint="eastAsia" w:ascii="宋体" w:hAnsi="宋体" w:cs="宋体"/>
                <w:color w:val="auto"/>
                <w:kern w:val="0"/>
                <w:szCs w:val="21"/>
                <w:highlight w:val="none"/>
                <w:lang w:bidi="ar"/>
              </w:rPr>
              <w:t>推荐</w:t>
            </w:r>
            <w:r>
              <w:rPr>
                <w:rFonts w:hint="eastAsia" w:ascii="宋体" w:hAnsi="宋体" w:cs="宋体"/>
                <w:color w:val="auto"/>
                <w:kern w:val="0"/>
                <w:szCs w:val="21"/>
                <w:highlight w:val="none"/>
                <w:lang w:eastAsia="zh-CN" w:bidi="ar"/>
              </w:rPr>
              <w:t>中选</w:t>
            </w:r>
            <w:r>
              <w:rPr>
                <w:rFonts w:hint="eastAsia" w:ascii="宋体" w:hAnsi="宋体" w:cs="宋体"/>
                <w:color w:val="auto"/>
                <w:kern w:val="0"/>
                <w:szCs w:val="21"/>
                <w:highlight w:val="none"/>
                <w:lang w:bidi="ar"/>
              </w:rPr>
              <w:t>候选人的</w:t>
            </w:r>
            <w:r>
              <w:rPr>
                <w:rFonts w:hint="eastAsia" w:ascii="宋体" w:hAnsi="宋体" w:cs="宋体"/>
                <w:color w:val="auto"/>
                <w:kern w:val="0"/>
                <w:szCs w:val="21"/>
                <w:highlight w:val="none"/>
              </w:rPr>
              <w:t>人数</w:t>
            </w:r>
          </w:p>
        </w:tc>
        <w:tc>
          <w:tcPr>
            <w:tcW w:w="3445" w:type="pct"/>
            <w:vAlign w:val="center"/>
          </w:tcPr>
          <w:p w14:paraId="455120D5">
            <w:pPr>
              <w:adjustRightInd w:val="0"/>
              <w:snapToGrid w:val="0"/>
              <w:spacing w:beforeLines="0" w:afterLines="0" w:line="400" w:lineRule="exact"/>
              <w:ind w:firstLine="436" w:firstLineChars="200"/>
              <w:rPr>
                <w:rFonts w:ascii="宋体" w:hAnsi="宋体" w:cs="宋体"/>
                <w:color w:val="auto"/>
                <w:spacing w:val="4"/>
                <w:kern w:val="0"/>
                <w:szCs w:val="21"/>
                <w:highlight w:val="none"/>
              </w:rPr>
            </w:pPr>
            <w:r>
              <w:rPr>
                <w:rFonts w:hint="eastAsia" w:ascii="宋体" w:hAnsi="宋体" w:cs="宋体"/>
                <w:color w:val="auto"/>
                <w:spacing w:val="4"/>
                <w:kern w:val="0"/>
                <w:szCs w:val="21"/>
                <w:highlight w:val="none"/>
              </w:rPr>
              <w:t>2名</w:t>
            </w:r>
          </w:p>
        </w:tc>
      </w:tr>
      <w:tr w14:paraId="5BA47F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21C2B15C">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7.1</w:t>
            </w:r>
          </w:p>
        </w:tc>
        <w:tc>
          <w:tcPr>
            <w:tcW w:w="972" w:type="pct"/>
            <w:vAlign w:val="center"/>
          </w:tcPr>
          <w:p w14:paraId="6EF1BD3E">
            <w:pPr>
              <w:widowControl/>
              <w:adjustRightInd w:val="0"/>
              <w:snapToGrid w:val="0"/>
              <w:spacing w:beforeLines="0" w:afterLines="0" w:line="400" w:lineRule="exact"/>
              <w:jc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eastAsia="zh-CN" w:bidi="ar"/>
              </w:rPr>
              <w:t>中选</w:t>
            </w:r>
            <w:r>
              <w:rPr>
                <w:rFonts w:hint="eastAsia" w:ascii="宋体" w:hAnsi="宋体" w:cs="宋体"/>
                <w:color w:val="auto"/>
                <w:kern w:val="0"/>
                <w:szCs w:val="21"/>
                <w:highlight w:val="none"/>
                <w:lang w:bidi="ar"/>
              </w:rPr>
              <w:t>候选人公示</w:t>
            </w:r>
          </w:p>
        </w:tc>
        <w:tc>
          <w:tcPr>
            <w:tcW w:w="3445" w:type="pct"/>
            <w:vAlign w:val="center"/>
          </w:tcPr>
          <w:p w14:paraId="1690236D">
            <w:pPr>
              <w:adjustRightInd w:val="0"/>
              <w:snapToGrid w:val="0"/>
              <w:spacing w:beforeLines="0" w:afterLines="0" w:line="400" w:lineRule="exact"/>
              <w:ind w:firstLine="436" w:firstLineChars="200"/>
              <w:rPr>
                <w:rFonts w:ascii="宋体" w:hAnsi="宋体" w:cs="宋体"/>
                <w:color w:val="auto"/>
                <w:spacing w:val="4"/>
                <w:kern w:val="0"/>
                <w:szCs w:val="21"/>
                <w:highlight w:val="none"/>
              </w:rPr>
            </w:pPr>
            <w:r>
              <w:rPr>
                <w:rFonts w:hint="eastAsia" w:ascii="宋体" w:hAnsi="宋体" w:cs="宋体"/>
                <w:color w:val="auto"/>
                <w:spacing w:val="4"/>
                <w:kern w:val="0"/>
                <w:szCs w:val="21"/>
                <w:highlight w:val="none"/>
                <w:lang w:eastAsia="zh-CN"/>
              </w:rPr>
              <w:t>采购人</w:t>
            </w:r>
            <w:r>
              <w:rPr>
                <w:rFonts w:hint="eastAsia" w:ascii="宋体" w:hAnsi="宋体" w:cs="宋体"/>
                <w:color w:val="auto"/>
                <w:spacing w:val="4"/>
                <w:kern w:val="0"/>
                <w:szCs w:val="21"/>
                <w:highlight w:val="none"/>
              </w:rPr>
              <w:t>在收到</w:t>
            </w:r>
            <w:r>
              <w:rPr>
                <w:rFonts w:hint="eastAsia" w:ascii="宋体" w:hAnsi="宋体" w:cs="宋体"/>
                <w:color w:val="auto"/>
                <w:spacing w:val="4"/>
                <w:kern w:val="0"/>
                <w:szCs w:val="21"/>
                <w:highlight w:val="none"/>
                <w:lang w:eastAsia="zh-CN"/>
              </w:rPr>
              <w:t>评审</w:t>
            </w:r>
            <w:r>
              <w:rPr>
                <w:rFonts w:hint="eastAsia" w:ascii="宋体" w:hAnsi="宋体" w:cs="宋体"/>
                <w:color w:val="auto"/>
                <w:spacing w:val="4"/>
                <w:kern w:val="0"/>
                <w:szCs w:val="21"/>
                <w:highlight w:val="none"/>
              </w:rPr>
              <w:t>报告后3日内将</w:t>
            </w:r>
            <w:r>
              <w:rPr>
                <w:rFonts w:hint="eastAsia" w:ascii="宋体" w:hAnsi="宋体" w:cs="宋体"/>
                <w:color w:val="auto"/>
                <w:spacing w:val="4"/>
                <w:kern w:val="0"/>
                <w:szCs w:val="21"/>
                <w:highlight w:val="none"/>
                <w:lang w:eastAsia="zh-CN"/>
              </w:rPr>
              <w:t>评审</w:t>
            </w:r>
            <w:r>
              <w:rPr>
                <w:rFonts w:hint="eastAsia" w:ascii="宋体" w:hAnsi="宋体" w:cs="宋体"/>
                <w:color w:val="auto"/>
                <w:spacing w:val="4"/>
                <w:kern w:val="0"/>
                <w:szCs w:val="21"/>
                <w:highlight w:val="none"/>
              </w:rPr>
              <w:t>结果在</w:t>
            </w:r>
            <w:r>
              <w:rPr>
                <w:rFonts w:hint="eastAsia" w:ascii="宋体" w:hAnsi="宋体" w:cs="宋体"/>
                <w:snapToGrid w:val="0"/>
                <w:color w:val="auto"/>
                <w:kern w:val="0"/>
                <w:szCs w:val="21"/>
                <w:highlight w:val="none"/>
                <w:u w:val="single"/>
                <w:lang w:eastAsia="zh-CN"/>
              </w:rPr>
              <w:t>中国招标投标公共服务平台</w:t>
            </w:r>
            <w:r>
              <w:rPr>
                <w:rFonts w:hint="eastAsia" w:ascii="宋体" w:hAnsi="宋体" w:cs="宋体"/>
                <w:snapToGrid w:val="0"/>
                <w:color w:val="auto"/>
                <w:kern w:val="0"/>
                <w:szCs w:val="21"/>
                <w:highlight w:val="none"/>
                <w:u w:val="single"/>
              </w:rPr>
              <w:t>（http://www.cebpubservice.com/）、重庆高速集团官网（https://www.cegc.com.cn/html/col1810480.html）</w:t>
            </w:r>
            <w:r>
              <w:rPr>
                <w:rFonts w:hint="eastAsia" w:ascii="宋体" w:hAnsi="宋体" w:cs="宋体"/>
                <w:color w:val="auto"/>
                <w:spacing w:val="4"/>
                <w:kern w:val="0"/>
                <w:szCs w:val="21"/>
                <w:highlight w:val="none"/>
              </w:rPr>
              <w:t>上进行公示，公示期不少于3日。</w:t>
            </w:r>
          </w:p>
        </w:tc>
      </w:tr>
      <w:tr w14:paraId="44EC4C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DA5FC13">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7.4</w:t>
            </w:r>
          </w:p>
        </w:tc>
        <w:tc>
          <w:tcPr>
            <w:tcW w:w="972" w:type="pct"/>
            <w:vAlign w:val="center"/>
          </w:tcPr>
          <w:p w14:paraId="0D4D0BA6">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是否授权</w:t>
            </w:r>
            <w:r>
              <w:rPr>
                <w:rFonts w:hint="eastAsia" w:ascii="宋体" w:hAnsi="宋体" w:cs="宋体"/>
                <w:color w:val="auto"/>
                <w:kern w:val="0"/>
                <w:szCs w:val="21"/>
                <w:highlight w:val="none"/>
                <w:lang w:eastAsia="zh-CN"/>
              </w:rPr>
              <w:t>评审委员会</w:t>
            </w:r>
            <w:r>
              <w:rPr>
                <w:rFonts w:hint="eastAsia" w:ascii="宋体" w:hAnsi="宋体" w:cs="宋体"/>
                <w:color w:val="auto"/>
                <w:kern w:val="0"/>
                <w:szCs w:val="21"/>
                <w:highlight w:val="none"/>
              </w:rPr>
              <w:t>确定</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人</w:t>
            </w:r>
          </w:p>
        </w:tc>
        <w:tc>
          <w:tcPr>
            <w:tcW w:w="3445" w:type="pct"/>
            <w:vAlign w:val="center"/>
          </w:tcPr>
          <w:p w14:paraId="2A551293">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推荐经评审综合得分由高到低排名前</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名为</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候选人</w:t>
            </w:r>
            <w:r>
              <w:rPr>
                <w:rFonts w:hint="eastAsia" w:ascii="宋体" w:hAnsi="宋体"/>
                <w:color w:val="auto"/>
                <w:kern w:val="0"/>
                <w:szCs w:val="21"/>
                <w:highlight w:val="none"/>
              </w:rPr>
              <w:t>，若有效</w:t>
            </w:r>
            <w:r>
              <w:rPr>
                <w:rFonts w:hint="eastAsia" w:ascii="宋体" w:hAnsi="宋体"/>
                <w:color w:val="auto"/>
                <w:kern w:val="0"/>
                <w:szCs w:val="21"/>
                <w:highlight w:val="none"/>
                <w:lang w:eastAsia="zh-CN"/>
              </w:rPr>
              <w:t>供应商</w:t>
            </w:r>
            <w:r>
              <w:rPr>
                <w:rFonts w:hint="eastAsia" w:ascii="宋体" w:hAnsi="宋体"/>
                <w:color w:val="auto"/>
                <w:kern w:val="0"/>
                <w:szCs w:val="21"/>
                <w:highlight w:val="none"/>
              </w:rPr>
              <w:t>少于</w:t>
            </w:r>
            <w:r>
              <w:rPr>
                <w:rFonts w:hint="eastAsia" w:ascii="宋体" w:hAnsi="宋体"/>
                <w:color w:val="auto"/>
                <w:kern w:val="0"/>
                <w:szCs w:val="21"/>
                <w:highlight w:val="none"/>
                <w:u w:val="single"/>
                <w:lang w:val="en-US" w:eastAsia="zh-CN"/>
              </w:rPr>
              <w:t>2</w:t>
            </w:r>
            <w:r>
              <w:rPr>
                <w:rFonts w:hint="eastAsia" w:ascii="宋体" w:hAnsi="宋体"/>
                <w:color w:val="auto"/>
                <w:kern w:val="0"/>
                <w:szCs w:val="21"/>
                <w:highlight w:val="none"/>
              </w:rPr>
              <w:t>个的则按实际数量推荐</w:t>
            </w:r>
            <w:r>
              <w:rPr>
                <w:rFonts w:hint="eastAsia" w:ascii="宋体" w:hAnsi="宋体" w:cs="宋体"/>
                <w:color w:val="auto"/>
                <w:kern w:val="0"/>
                <w:szCs w:val="21"/>
                <w:highlight w:val="none"/>
              </w:rPr>
              <w:t>。</w:t>
            </w:r>
          </w:p>
        </w:tc>
      </w:tr>
      <w:tr w14:paraId="5F8694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74CF2847">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7.5</w:t>
            </w:r>
          </w:p>
        </w:tc>
        <w:tc>
          <w:tcPr>
            <w:tcW w:w="972" w:type="pct"/>
            <w:vAlign w:val="center"/>
          </w:tcPr>
          <w:p w14:paraId="6BE75E7F">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bidi="ar"/>
              </w:rPr>
              <w:t>中选</w:t>
            </w:r>
            <w:r>
              <w:rPr>
                <w:rFonts w:hint="eastAsia" w:ascii="宋体" w:hAnsi="宋体" w:cs="宋体"/>
                <w:color w:val="auto"/>
                <w:kern w:val="0"/>
                <w:szCs w:val="21"/>
                <w:highlight w:val="none"/>
                <w:lang w:bidi="ar"/>
              </w:rPr>
              <w:t>通知书和</w:t>
            </w:r>
            <w:r>
              <w:rPr>
                <w:rFonts w:hint="eastAsia" w:ascii="宋体" w:hAnsi="宋体" w:cs="宋体"/>
                <w:color w:val="auto"/>
                <w:kern w:val="0"/>
                <w:szCs w:val="21"/>
                <w:highlight w:val="none"/>
                <w:lang w:eastAsia="zh-CN" w:bidi="ar"/>
              </w:rPr>
              <w:t>中选</w:t>
            </w:r>
            <w:r>
              <w:rPr>
                <w:rFonts w:hint="eastAsia" w:ascii="宋体" w:hAnsi="宋体" w:cs="宋体"/>
                <w:color w:val="auto"/>
                <w:kern w:val="0"/>
                <w:szCs w:val="21"/>
                <w:highlight w:val="none"/>
                <w:lang w:bidi="ar"/>
              </w:rPr>
              <w:t>结果通知发出的形式</w:t>
            </w:r>
          </w:p>
        </w:tc>
        <w:tc>
          <w:tcPr>
            <w:tcW w:w="3445" w:type="pct"/>
            <w:vAlign w:val="center"/>
          </w:tcPr>
          <w:p w14:paraId="146CA8AB">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以书面的形式发出</w:t>
            </w:r>
          </w:p>
        </w:tc>
      </w:tr>
      <w:tr w14:paraId="5A8B96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EA8F539">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7.</w:t>
            </w:r>
            <w:r>
              <w:rPr>
                <w:rFonts w:hint="eastAsia" w:ascii="宋体" w:hAnsi="宋体" w:cs="宋体"/>
                <w:color w:val="auto"/>
                <w:kern w:val="0"/>
                <w:szCs w:val="21"/>
                <w:highlight w:val="none"/>
                <w:lang w:val="en-US" w:eastAsia="zh-CN"/>
              </w:rPr>
              <w:t>6</w:t>
            </w:r>
            <w:r>
              <w:rPr>
                <w:rFonts w:hint="eastAsia" w:ascii="宋体" w:hAnsi="宋体" w:cs="宋体"/>
                <w:color w:val="auto"/>
                <w:kern w:val="0"/>
                <w:szCs w:val="21"/>
                <w:highlight w:val="none"/>
              </w:rPr>
              <w:t>.1</w:t>
            </w:r>
          </w:p>
        </w:tc>
        <w:tc>
          <w:tcPr>
            <w:tcW w:w="972" w:type="pct"/>
            <w:vAlign w:val="center"/>
          </w:tcPr>
          <w:p w14:paraId="64850711">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履约保证金</w:t>
            </w:r>
          </w:p>
        </w:tc>
        <w:tc>
          <w:tcPr>
            <w:tcW w:w="3445" w:type="pct"/>
            <w:vAlign w:val="center"/>
          </w:tcPr>
          <w:p w14:paraId="4E921C51">
            <w:pPr>
              <w:adjustRightInd w:val="0"/>
              <w:snapToGrid w:val="0"/>
              <w:spacing w:beforeLines="0" w:afterLines="0" w:line="400" w:lineRule="exact"/>
              <w:ind w:firstLine="420" w:firstLineChars="200"/>
              <w:rPr>
                <w:color w:val="auto"/>
                <w:highlight w:val="none"/>
              </w:rPr>
            </w:pPr>
            <w:r>
              <w:rPr>
                <w:rFonts w:hint="eastAsia"/>
                <w:color w:val="auto"/>
                <w:highlight w:val="none"/>
              </w:rPr>
              <w:t>1、</w:t>
            </w:r>
            <w:r>
              <w:rPr>
                <w:rFonts w:hint="eastAsia"/>
                <w:color w:val="auto"/>
                <w:highlight w:val="none"/>
                <w:lang w:eastAsia="zh-CN"/>
              </w:rPr>
              <w:t>中选</w:t>
            </w:r>
            <w:r>
              <w:rPr>
                <w:rFonts w:hint="eastAsia"/>
                <w:color w:val="auto"/>
                <w:highlight w:val="none"/>
              </w:rPr>
              <w:t>人是否提供履约保证金：提供。</w:t>
            </w:r>
          </w:p>
          <w:p w14:paraId="5A8D806B">
            <w:pPr>
              <w:adjustRightInd w:val="0"/>
              <w:snapToGrid w:val="0"/>
              <w:spacing w:beforeLines="0" w:afterLines="0" w:line="400" w:lineRule="exact"/>
              <w:ind w:firstLine="420" w:firstLineChars="200"/>
              <w:rPr>
                <w:color w:val="auto"/>
                <w:highlight w:val="none"/>
              </w:rPr>
            </w:pPr>
            <w:r>
              <w:rPr>
                <w:rFonts w:hint="eastAsia"/>
                <w:color w:val="auto"/>
                <w:highlight w:val="none"/>
              </w:rPr>
              <w:t>2、</w:t>
            </w:r>
            <w:r>
              <w:rPr>
                <w:rFonts w:hint="eastAsia"/>
                <w:color w:val="auto"/>
                <w:highlight w:val="none"/>
                <w:lang w:eastAsia="zh-CN"/>
              </w:rPr>
              <w:t>中选</w:t>
            </w:r>
            <w:r>
              <w:rPr>
                <w:rFonts w:hint="eastAsia"/>
                <w:color w:val="auto"/>
                <w:highlight w:val="none"/>
              </w:rPr>
              <w:t>人提供履约担保的形式、金额及期限：</w:t>
            </w:r>
          </w:p>
          <w:p w14:paraId="4EA33216">
            <w:pPr>
              <w:adjustRightInd w:val="0"/>
              <w:snapToGrid w:val="0"/>
              <w:spacing w:beforeLines="0" w:afterLines="0" w:line="400" w:lineRule="exact"/>
              <w:ind w:firstLine="420" w:firstLineChars="200"/>
              <w:rPr>
                <w:color w:val="auto"/>
                <w:highlight w:val="none"/>
              </w:rPr>
            </w:pPr>
            <w:r>
              <w:rPr>
                <w:rFonts w:hint="eastAsia"/>
                <w:color w:val="auto"/>
                <w:highlight w:val="none"/>
              </w:rPr>
              <w:t>（1）履约担保的形式：现金或银行保函或现金+银行保函的组合；采用银行保函形式的，保函必须为不可撤销且见索即付；</w:t>
            </w:r>
          </w:p>
          <w:p w14:paraId="151BA098">
            <w:pPr>
              <w:adjustRightInd w:val="0"/>
              <w:snapToGrid w:val="0"/>
              <w:spacing w:beforeLines="0" w:afterLines="0" w:line="400" w:lineRule="exact"/>
              <w:ind w:firstLine="420" w:firstLineChars="200"/>
              <w:rPr>
                <w:color w:val="auto"/>
                <w:highlight w:val="none"/>
              </w:rPr>
            </w:pPr>
            <w:r>
              <w:rPr>
                <w:rFonts w:hint="eastAsia"/>
                <w:color w:val="auto"/>
                <w:highlight w:val="none"/>
              </w:rPr>
              <w:t>（2）</w:t>
            </w:r>
            <w:r>
              <w:rPr>
                <w:rFonts w:hint="eastAsia"/>
                <w:color w:val="auto"/>
                <w:highlight w:val="none"/>
                <w:lang w:eastAsia="zh-CN"/>
              </w:rPr>
              <w:t>履约担保的金额：中选合同金额的5%</w:t>
            </w:r>
            <w:r>
              <w:rPr>
                <w:rFonts w:hint="eastAsia"/>
                <w:color w:val="auto"/>
                <w:highlight w:val="none"/>
              </w:rPr>
              <w:t xml:space="preserve"> ，</w:t>
            </w:r>
          </w:p>
          <w:p w14:paraId="7C0AD0A2">
            <w:pPr>
              <w:adjustRightInd w:val="0"/>
              <w:snapToGrid w:val="0"/>
              <w:spacing w:beforeLines="0" w:afterLines="0" w:line="400" w:lineRule="exact"/>
              <w:ind w:firstLine="420" w:firstLineChars="200"/>
              <w:rPr>
                <w:color w:val="auto"/>
                <w:highlight w:val="none"/>
              </w:rPr>
            </w:pPr>
            <w:r>
              <w:rPr>
                <w:rFonts w:hint="eastAsia"/>
                <w:color w:val="auto"/>
                <w:highlight w:val="none"/>
              </w:rPr>
              <w:t>（3）</w:t>
            </w:r>
            <w:r>
              <w:rPr>
                <w:rFonts w:hint="eastAsia"/>
                <w:color w:val="auto"/>
                <w:highlight w:val="none"/>
                <w:lang w:eastAsia="zh-CN"/>
              </w:rPr>
              <w:t>履约担保的提交时间：中选人收到中选通知书后 10 日内提交</w:t>
            </w:r>
            <w:r>
              <w:rPr>
                <w:rFonts w:hint="eastAsia"/>
                <w:color w:val="auto"/>
                <w:highlight w:val="none"/>
              </w:rPr>
              <w:t>。</w:t>
            </w:r>
          </w:p>
          <w:p w14:paraId="27C21EEC">
            <w:pPr>
              <w:adjustRightInd w:val="0"/>
              <w:snapToGrid w:val="0"/>
              <w:spacing w:beforeLines="0" w:afterLines="0" w:line="400" w:lineRule="exact"/>
              <w:ind w:firstLine="420" w:firstLineChars="200"/>
              <w:rPr>
                <w:color w:val="auto"/>
                <w:highlight w:val="none"/>
              </w:rPr>
            </w:pPr>
            <w:r>
              <w:rPr>
                <w:rFonts w:hint="eastAsia"/>
                <w:color w:val="auto"/>
                <w:highlight w:val="none"/>
              </w:rPr>
              <w:t>（4）履约担保的期限：自提交履约担保之日起至项目完工之日止。</w:t>
            </w:r>
          </w:p>
          <w:p w14:paraId="03D8D5BB">
            <w:pPr>
              <w:adjustRightInd w:val="0"/>
              <w:snapToGrid w:val="0"/>
              <w:spacing w:beforeLines="0" w:afterLines="0" w:line="400" w:lineRule="exact"/>
              <w:ind w:firstLine="420" w:firstLineChars="200"/>
              <w:rPr>
                <w:color w:val="auto"/>
                <w:highlight w:val="none"/>
              </w:rPr>
            </w:pPr>
            <w:r>
              <w:rPr>
                <w:rFonts w:hint="eastAsia"/>
                <w:color w:val="auto"/>
                <w:highlight w:val="none"/>
              </w:rPr>
              <w:t>（5）履约担保的退还时间：采用现金担保的，合同工程完工证书颁发后28天内一次性退还；采用银行保函的，合同工程完工证书颁发后28天内内退还。</w:t>
            </w:r>
          </w:p>
          <w:p w14:paraId="5CCEA8B4">
            <w:pPr>
              <w:pStyle w:val="2"/>
              <w:adjustRightInd w:val="0"/>
              <w:snapToGrid w:val="0"/>
              <w:spacing w:beforeLines="0" w:after="0" w:afterLines="0" w:line="400" w:lineRule="exact"/>
              <w:ind w:firstLine="420" w:firstLineChars="200"/>
              <w:rPr>
                <w:color w:val="auto"/>
                <w:highlight w:val="none"/>
              </w:rPr>
            </w:pPr>
            <w:r>
              <w:rPr>
                <w:rFonts w:hint="eastAsia"/>
                <w:color w:val="auto"/>
                <w:szCs w:val="24"/>
                <w:highlight w:val="none"/>
              </w:rPr>
              <w:t>注：根据</w:t>
            </w:r>
            <w:r>
              <w:rPr>
                <w:rFonts w:hint="eastAsia"/>
                <w:color w:val="auto"/>
                <w:szCs w:val="24"/>
                <w:highlight w:val="none"/>
                <w:lang w:eastAsia="zh-CN"/>
              </w:rPr>
              <w:t>采购人</w:t>
            </w:r>
            <w:r>
              <w:rPr>
                <w:rFonts w:hint="eastAsia"/>
                <w:color w:val="auto"/>
                <w:szCs w:val="24"/>
                <w:highlight w:val="none"/>
              </w:rPr>
              <w:t>《合格供方库管理办法》，符合免交</w:t>
            </w:r>
            <w:r>
              <w:rPr>
                <w:rFonts w:hint="eastAsia"/>
                <w:color w:val="auto"/>
                <w:szCs w:val="24"/>
                <w:highlight w:val="none"/>
                <w:lang w:eastAsia="zh-CN"/>
              </w:rPr>
              <w:t>比选保证金</w:t>
            </w:r>
            <w:r>
              <w:rPr>
                <w:rFonts w:hint="eastAsia"/>
                <w:color w:val="auto"/>
                <w:szCs w:val="24"/>
                <w:highlight w:val="none"/>
              </w:rPr>
              <w:t>及履约保证金资格的</w:t>
            </w:r>
            <w:r>
              <w:rPr>
                <w:rFonts w:hint="eastAsia"/>
                <w:color w:val="auto"/>
                <w:szCs w:val="24"/>
                <w:highlight w:val="none"/>
                <w:lang w:eastAsia="zh-CN"/>
              </w:rPr>
              <w:t>供应商</w:t>
            </w:r>
            <w:r>
              <w:rPr>
                <w:rFonts w:hint="eastAsia"/>
                <w:color w:val="auto"/>
                <w:szCs w:val="24"/>
                <w:highlight w:val="none"/>
              </w:rPr>
              <w:t>，可提交经</w:t>
            </w:r>
            <w:r>
              <w:rPr>
                <w:rFonts w:hint="eastAsia"/>
                <w:color w:val="auto"/>
                <w:szCs w:val="24"/>
                <w:highlight w:val="none"/>
                <w:lang w:eastAsia="zh-CN"/>
              </w:rPr>
              <w:t>采购人</w:t>
            </w:r>
            <w:r>
              <w:rPr>
                <w:rFonts w:hint="eastAsia"/>
                <w:color w:val="auto"/>
                <w:szCs w:val="24"/>
                <w:highlight w:val="none"/>
              </w:rPr>
              <w:t>审批通过并加盖</w:t>
            </w:r>
            <w:r>
              <w:rPr>
                <w:rFonts w:hint="eastAsia"/>
                <w:color w:val="auto"/>
                <w:szCs w:val="24"/>
                <w:highlight w:val="none"/>
                <w:lang w:eastAsia="zh-CN"/>
              </w:rPr>
              <w:t>采购人</w:t>
            </w:r>
            <w:r>
              <w:rPr>
                <w:rFonts w:hint="eastAsia"/>
                <w:color w:val="auto"/>
                <w:szCs w:val="24"/>
                <w:highlight w:val="none"/>
              </w:rPr>
              <w:t>单位公章的《免交投标担保及履约担保审批表》代替相关投标（或履约）保证金凭证。《免交投标担保及履约担保审批表》须在有效期内。</w:t>
            </w:r>
          </w:p>
        </w:tc>
      </w:tr>
      <w:tr w14:paraId="56CE25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CA96F8F">
            <w:pPr>
              <w:keepNext w:val="0"/>
              <w:keepLines w:val="0"/>
              <w:pageBreakBefore w:val="0"/>
              <w:kinsoku/>
              <w:wordWrap/>
              <w:overflowPunct/>
              <w:topLinePunct w:val="0"/>
              <w:bidi w:val="0"/>
              <w:adjustRightInd w:val="0"/>
              <w:snapToGrid w:val="0"/>
              <w:spacing w:beforeLines="0" w:afterLines="0" w:line="400" w:lineRule="exact"/>
              <w:jc w:val="center"/>
              <w:textAlignment w:val="auto"/>
              <w:rPr>
                <w:rFonts w:ascii="宋体" w:hAnsi="宋体" w:cs="宋体"/>
                <w:color w:val="auto"/>
                <w:kern w:val="0"/>
                <w:szCs w:val="21"/>
                <w:highlight w:val="none"/>
              </w:rPr>
            </w:pPr>
            <w:r>
              <w:rPr>
                <w:rFonts w:hint="eastAsia" w:ascii="宋体" w:hAnsi="宋体" w:eastAsia="宋体" w:cs="宋体"/>
                <w:color w:val="auto"/>
                <w:kern w:val="0"/>
                <w:szCs w:val="21"/>
                <w:highlight w:val="none"/>
              </w:rPr>
              <w:t>8.1</w:t>
            </w:r>
          </w:p>
        </w:tc>
        <w:tc>
          <w:tcPr>
            <w:tcW w:w="972" w:type="pct"/>
            <w:vAlign w:val="center"/>
          </w:tcPr>
          <w:p w14:paraId="5FDB25A3">
            <w:pPr>
              <w:keepNext w:val="0"/>
              <w:keepLines w:val="0"/>
              <w:pageBreakBefore w:val="0"/>
              <w:kinsoku/>
              <w:wordWrap/>
              <w:overflowPunct/>
              <w:topLinePunct w:val="0"/>
              <w:bidi w:val="0"/>
              <w:adjustRightInd w:val="0"/>
              <w:snapToGrid w:val="0"/>
              <w:spacing w:beforeLines="0" w:afterLines="0" w:line="400" w:lineRule="exact"/>
              <w:jc w:val="center"/>
              <w:textAlignment w:val="auto"/>
              <w:rPr>
                <w:rFonts w:ascii="宋体" w:hAnsi="宋体" w:cs="宋体"/>
                <w:color w:val="auto"/>
                <w:kern w:val="0"/>
                <w:szCs w:val="21"/>
                <w:highlight w:val="none"/>
              </w:rPr>
            </w:pPr>
            <w:r>
              <w:rPr>
                <w:rFonts w:hint="eastAsia" w:ascii="宋体" w:hAnsi="宋体" w:eastAsia="宋体" w:cs="宋体"/>
                <w:color w:val="auto"/>
                <w:kern w:val="0"/>
                <w:szCs w:val="21"/>
                <w:highlight w:val="none"/>
              </w:rPr>
              <w:t>重新比选</w:t>
            </w:r>
          </w:p>
        </w:tc>
        <w:tc>
          <w:tcPr>
            <w:tcW w:w="3445" w:type="pct"/>
            <w:vAlign w:val="center"/>
          </w:tcPr>
          <w:p w14:paraId="6BDE875F">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jc w:val="left"/>
              <w:textAlignment w:val="auto"/>
              <w:rPr>
                <w:rFonts w:hint="eastAsia" w:ascii="宋体" w:hAnsi="宋体" w:eastAsia="宋体" w:cs="宋体"/>
                <w:snapToGrid/>
                <w:color w:val="auto"/>
                <w:kern w:val="2"/>
                <w:szCs w:val="21"/>
                <w:highlight w:val="none"/>
              </w:rPr>
            </w:pPr>
            <w:r>
              <w:rPr>
                <w:rFonts w:hint="eastAsia" w:ascii="宋体" w:hAnsi="宋体" w:eastAsia="宋体" w:cs="宋体"/>
                <w:snapToGrid/>
                <w:color w:val="auto"/>
                <w:kern w:val="2"/>
                <w:szCs w:val="21"/>
                <w:highlight w:val="none"/>
              </w:rPr>
              <w:t>1.比选截止时间止，</w:t>
            </w:r>
            <w:r>
              <w:rPr>
                <w:rFonts w:hint="eastAsia" w:ascii="宋体" w:hAnsi="宋体" w:eastAsia="宋体" w:cs="宋体"/>
                <w:snapToGrid/>
                <w:color w:val="auto"/>
                <w:kern w:val="2"/>
                <w:szCs w:val="21"/>
                <w:highlight w:val="none"/>
                <w:lang w:eastAsia="zh-CN"/>
              </w:rPr>
              <w:t>供应商</w:t>
            </w:r>
            <w:r>
              <w:rPr>
                <w:rFonts w:hint="eastAsia" w:ascii="宋体" w:hAnsi="宋体" w:eastAsia="宋体" w:cs="宋体"/>
                <w:snapToGrid/>
                <w:color w:val="auto"/>
                <w:kern w:val="2"/>
                <w:szCs w:val="21"/>
                <w:highlight w:val="none"/>
              </w:rPr>
              <w:t>少于 3 个的</w:t>
            </w:r>
            <w:r>
              <w:rPr>
                <w:rFonts w:hint="eastAsia" w:ascii="宋体" w:hAnsi="宋体" w:cs="宋体"/>
                <w:color w:val="auto"/>
                <w:kern w:val="0"/>
                <w:szCs w:val="21"/>
                <w:highlight w:val="none"/>
              </w:rPr>
              <w:t>（本款只适用于首次</w:t>
            </w:r>
            <w:r>
              <w:rPr>
                <w:rFonts w:hint="eastAsia" w:ascii="宋体" w:hAnsi="宋体" w:cs="宋体"/>
                <w:color w:val="auto"/>
                <w:kern w:val="0"/>
                <w:szCs w:val="21"/>
                <w:highlight w:val="none"/>
                <w:lang w:val="en-US" w:eastAsia="zh-CN"/>
              </w:rPr>
              <w:t>比选</w:t>
            </w:r>
            <w:r>
              <w:rPr>
                <w:rFonts w:hint="eastAsia" w:ascii="宋体" w:hAnsi="宋体" w:cs="宋体"/>
                <w:color w:val="auto"/>
                <w:kern w:val="0"/>
                <w:szCs w:val="21"/>
                <w:highlight w:val="none"/>
              </w:rPr>
              <w:t>）</w:t>
            </w:r>
            <w:r>
              <w:rPr>
                <w:rFonts w:hint="eastAsia" w:ascii="宋体" w:hAnsi="宋体" w:eastAsia="宋体" w:cs="宋体"/>
                <w:snapToGrid/>
                <w:color w:val="auto"/>
                <w:kern w:val="2"/>
                <w:szCs w:val="21"/>
                <w:highlight w:val="none"/>
              </w:rPr>
              <w:t>；</w:t>
            </w:r>
          </w:p>
          <w:p w14:paraId="357A6C84">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jc w:val="left"/>
              <w:textAlignment w:val="auto"/>
              <w:rPr>
                <w:rFonts w:hint="eastAsia" w:ascii="宋体" w:hAnsi="宋体" w:eastAsia="宋体" w:cs="宋体"/>
                <w:snapToGrid/>
                <w:color w:val="auto"/>
                <w:kern w:val="2"/>
                <w:szCs w:val="21"/>
                <w:highlight w:val="none"/>
              </w:rPr>
            </w:pPr>
            <w:r>
              <w:rPr>
                <w:rFonts w:hint="eastAsia" w:ascii="宋体" w:hAnsi="宋体" w:eastAsia="宋体" w:cs="宋体"/>
                <w:snapToGrid/>
                <w:color w:val="auto"/>
                <w:kern w:val="2"/>
                <w:szCs w:val="21"/>
                <w:highlight w:val="none"/>
              </w:rPr>
              <w:t>2.经评审委员会评审后否决所有</w:t>
            </w:r>
            <w:r>
              <w:rPr>
                <w:rFonts w:hint="eastAsia" w:ascii="宋体" w:hAnsi="宋体" w:eastAsia="宋体" w:cs="宋体"/>
                <w:snapToGrid/>
                <w:color w:val="auto"/>
                <w:kern w:val="2"/>
                <w:szCs w:val="21"/>
                <w:highlight w:val="none"/>
                <w:lang w:eastAsia="zh-CN"/>
              </w:rPr>
              <w:t>比选</w:t>
            </w:r>
            <w:r>
              <w:rPr>
                <w:rFonts w:hint="eastAsia" w:ascii="宋体" w:hAnsi="宋体" w:eastAsia="宋体" w:cs="宋体"/>
                <w:snapToGrid/>
                <w:color w:val="auto"/>
                <w:kern w:val="2"/>
                <w:szCs w:val="21"/>
                <w:highlight w:val="none"/>
              </w:rPr>
              <w:t>的；</w:t>
            </w:r>
          </w:p>
          <w:p w14:paraId="02314E79">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3.经评审委员会评审后部分比选被否决，</w:t>
            </w:r>
            <w:r>
              <w:rPr>
                <w:rFonts w:hint="eastAsia" w:ascii="宋体" w:hAnsi="宋体" w:eastAsia="宋体" w:cs="宋体"/>
                <w:color w:val="auto"/>
                <w:szCs w:val="21"/>
                <w:highlight w:val="none"/>
                <w:lang w:eastAsia="zh-CN"/>
              </w:rPr>
              <w:t>因有效</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lang w:eastAsia="zh-CN"/>
              </w:rPr>
              <w:t>不足三个使得</w:t>
            </w:r>
            <w:r>
              <w:rPr>
                <w:rFonts w:hint="eastAsia" w:ascii="宋体" w:hAnsi="宋体" w:eastAsia="宋体" w:cs="宋体"/>
                <w:color w:val="auto"/>
                <w:szCs w:val="21"/>
                <w:highlight w:val="none"/>
                <w:lang w:val="en-US" w:eastAsia="zh-CN"/>
              </w:rPr>
              <w:t>比选</w:t>
            </w:r>
            <w:r>
              <w:rPr>
                <w:rFonts w:hint="eastAsia" w:ascii="宋体" w:hAnsi="宋体" w:eastAsia="宋体" w:cs="宋体"/>
                <w:color w:val="auto"/>
                <w:szCs w:val="21"/>
                <w:highlight w:val="none"/>
                <w:lang w:eastAsia="zh-CN"/>
              </w:rPr>
              <w:t>明显缺乏竞争的</w:t>
            </w:r>
            <w:r>
              <w:rPr>
                <w:rFonts w:hint="eastAsia" w:ascii="宋体" w:hAnsi="宋体" w:cs="宋体"/>
                <w:color w:val="auto"/>
                <w:kern w:val="0"/>
                <w:szCs w:val="21"/>
                <w:highlight w:val="none"/>
              </w:rPr>
              <w:t>（本款只适用于首次</w:t>
            </w:r>
            <w:r>
              <w:rPr>
                <w:rFonts w:hint="eastAsia" w:ascii="宋体" w:hAnsi="宋体" w:cs="宋体"/>
                <w:color w:val="auto"/>
                <w:kern w:val="0"/>
                <w:szCs w:val="21"/>
                <w:highlight w:val="none"/>
                <w:lang w:val="en-US" w:eastAsia="zh-CN"/>
              </w:rPr>
              <w:t>比选</w:t>
            </w:r>
            <w:r>
              <w:rPr>
                <w:rFonts w:hint="eastAsia" w:ascii="宋体" w:hAnsi="宋体" w:cs="宋体"/>
                <w:color w:val="auto"/>
                <w:kern w:val="0"/>
                <w:szCs w:val="21"/>
                <w:highlight w:val="none"/>
              </w:rPr>
              <w:t>）</w:t>
            </w:r>
            <w:r>
              <w:rPr>
                <w:rFonts w:hint="eastAsia" w:ascii="宋体" w:hAnsi="宋体" w:eastAsia="宋体" w:cs="宋体"/>
                <w:color w:val="auto"/>
                <w:szCs w:val="21"/>
                <w:highlight w:val="none"/>
                <w:lang w:val="en-US" w:eastAsia="zh-CN"/>
              </w:rPr>
              <w:t>；</w:t>
            </w:r>
          </w:p>
          <w:p w14:paraId="784E39D5">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jc w:val="left"/>
              <w:textAlignment w:val="auto"/>
              <w:rPr>
                <w:rFonts w:ascii="宋体" w:hAnsi="宋体" w:cs="宋体"/>
                <w:color w:val="auto"/>
                <w:kern w:val="0"/>
                <w:szCs w:val="21"/>
                <w:highlight w:val="none"/>
              </w:rPr>
            </w:pPr>
            <w:r>
              <w:rPr>
                <w:rFonts w:hint="eastAsia" w:ascii="宋体" w:hAnsi="宋体" w:eastAsia="宋体" w:cs="宋体"/>
                <w:snapToGrid/>
                <w:color w:val="auto"/>
                <w:kern w:val="2"/>
                <w:szCs w:val="21"/>
                <w:highlight w:val="none"/>
                <w:lang w:val="en-US" w:eastAsia="zh-CN"/>
              </w:rPr>
              <w:t>4</w:t>
            </w:r>
            <w:r>
              <w:rPr>
                <w:rFonts w:hint="eastAsia" w:ascii="宋体" w:hAnsi="宋体" w:eastAsia="宋体" w:cs="宋体"/>
                <w:snapToGrid/>
                <w:color w:val="auto"/>
                <w:kern w:val="2"/>
                <w:szCs w:val="21"/>
                <w:highlight w:val="none"/>
              </w:rPr>
              <w:t>.</w:t>
            </w:r>
            <w:r>
              <w:rPr>
                <w:rFonts w:hint="eastAsia" w:ascii="宋体" w:hAnsi="宋体" w:eastAsia="宋体" w:cs="宋体"/>
                <w:color w:val="auto"/>
                <w:szCs w:val="21"/>
                <w:highlight w:val="none"/>
              </w:rPr>
              <w:t>法律法规规定的其他情形。</w:t>
            </w:r>
          </w:p>
        </w:tc>
      </w:tr>
      <w:tr w14:paraId="336B4B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49BFF95">
            <w:pPr>
              <w:keepNext w:val="0"/>
              <w:keepLines w:val="0"/>
              <w:pageBreakBefore w:val="0"/>
              <w:kinsoku/>
              <w:wordWrap/>
              <w:overflowPunct/>
              <w:topLinePunct w:val="0"/>
              <w:bidi w:val="0"/>
              <w:adjustRightInd w:val="0"/>
              <w:snapToGrid w:val="0"/>
              <w:spacing w:beforeLines="0" w:afterLines="0" w:line="400" w:lineRule="exact"/>
              <w:jc w:val="center"/>
              <w:textAlignment w:val="auto"/>
              <w:rPr>
                <w:rFonts w:ascii="宋体" w:hAnsi="宋体" w:cs="宋体"/>
                <w:color w:val="auto"/>
                <w:kern w:val="0"/>
                <w:szCs w:val="21"/>
                <w:highlight w:val="none"/>
              </w:rPr>
            </w:pPr>
            <w:r>
              <w:rPr>
                <w:rFonts w:hint="eastAsia" w:ascii="宋体" w:hAnsi="宋体" w:eastAsia="宋体" w:cs="宋体"/>
                <w:color w:val="auto"/>
                <w:kern w:val="0"/>
                <w:szCs w:val="21"/>
                <w:highlight w:val="none"/>
              </w:rPr>
              <w:t>8.2</w:t>
            </w:r>
          </w:p>
        </w:tc>
        <w:tc>
          <w:tcPr>
            <w:tcW w:w="972" w:type="pct"/>
            <w:vAlign w:val="center"/>
          </w:tcPr>
          <w:p w14:paraId="72F752C9">
            <w:pPr>
              <w:keepNext w:val="0"/>
              <w:keepLines w:val="0"/>
              <w:pageBreakBefore w:val="0"/>
              <w:kinsoku/>
              <w:wordWrap/>
              <w:overflowPunct/>
              <w:topLinePunct w:val="0"/>
              <w:bidi w:val="0"/>
              <w:adjustRightInd w:val="0"/>
              <w:snapToGrid w:val="0"/>
              <w:spacing w:beforeLines="0" w:afterLines="0" w:line="400" w:lineRule="exact"/>
              <w:jc w:val="center"/>
              <w:textAlignment w:val="auto"/>
              <w:rPr>
                <w:rFonts w:ascii="宋体" w:hAnsi="宋体" w:cs="宋体"/>
                <w:color w:val="auto"/>
                <w:kern w:val="0"/>
                <w:szCs w:val="21"/>
                <w:highlight w:val="none"/>
              </w:rPr>
            </w:pPr>
            <w:r>
              <w:rPr>
                <w:rFonts w:hint="eastAsia" w:ascii="宋体" w:hAnsi="宋体" w:eastAsia="宋体" w:cs="宋体"/>
                <w:color w:val="auto"/>
                <w:kern w:val="0"/>
                <w:szCs w:val="21"/>
                <w:highlight w:val="none"/>
              </w:rPr>
              <w:t>重新比选和不再比选</w:t>
            </w:r>
          </w:p>
        </w:tc>
        <w:tc>
          <w:tcPr>
            <w:tcW w:w="3445" w:type="pct"/>
            <w:vAlign w:val="center"/>
          </w:tcPr>
          <w:p w14:paraId="6828393C">
            <w:pPr>
              <w:keepNext w:val="0"/>
              <w:keepLines w:val="0"/>
              <w:pageBreakBefore w:val="0"/>
              <w:kinsoku/>
              <w:wordWrap/>
              <w:overflowPunct/>
              <w:topLinePunct w:val="0"/>
              <w:bidi w:val="0"/>
              <w:adjustRightInd w:val="0"/>
              <w:snapToGrid w:val="0"/>
              <w:spacing w:beforeLines="0" w:afterLines="0" w:line="400" w:lineRule="exact"/>
              <w:ind w:firstLine="420" w:firstLineChars="200"/>
              <w:textAlignment w:val="auto"/>
              <w:rPr>
                <w:rFonts w:ascii="宋体" w:hAnsi="宋体" w:cs="宋体"/>
                <w:color w:val="auto"/>
                <w:kern w:val="0"/>
                <w:szCs w:val="21"/>
                <w:highlight w:val="none"/>
              </w:rPr>
            </w:pPr>
            <w:r>
              <w:rPr>
                <w:rFonts w:hint="eastAsia" w:ascii="宋体" w:hAnsi="宋体" w:eastAsia="宋体" w:cs="宋体"/>
                <w:color w:val="auto"/>
                <w:kern w:val="0"/>
                <w:szCs w:val="21"/>
                <w:highlight w:val="none"/>
              </w:rPr>
              <w:t>重新比选后</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仍少于3个，按程序比选和评审，确定中选人。经评审无合格</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，属于必须审批或核准的工程建设项目，经原审批或核准部门批准后不再进行比选。</w:t>
            </w:r>
          </w:p>
        </w:tc>
      </w:tr>
      <w:tr w14:paraId="0263C6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0B4516B">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4417" w:type="pct"/>
            <w:gridSpan w:val="2"/>
            <w:vAlign w:val="center"/>
          </w:tcPr>
          <w:p w14:paraId="3A9C9E1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需要补充的其他内容</w:t>
            </w:r>
          </w:p>
        </w:tc>
      </w:tr>
      <w:tr w14:paraId="3D45C5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B72269F">
            <w:pPr>
              <w:keepNext w:val="0"/>
              <w:keepLines w:val="0"/>
              <w:pageBreakBefore w:val="0"/>
              <w:tabs>
                <w:tab w:val="left" w:pos="2000"/>
                <w:tab w:val="left" w:pos="5580"/>
                <w:tab w:val="left" w:pos="6220"/>
                <w:tab w:val="left" w:pos="6840"/>
                <w:tab w:val="left" w:pos="7460"/>
                <w:tab w:val="left" w:pos="8100"/>
              </w:tabs>
              <w:kinsoku/>
              <w:wordWrap/>
              <w:overflowPunct/>
              <w:topLinePunct w:val="0"/>
              <w:autoSpaceDE w:val="0"/>
              <w:autoSpaceDN w:val="0"/>
              <w:bidi w:val="0"/>
              <w:adjustRightInd w:val="0"/>
              <w:snapToGrid w:val="0"/>
              <w:spacing w:beforeLines="0" w:afterLines="0"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10.1</w:t>
            </w:r>
          </w:p>
        </w:tc>
        <w:tc>
          <w:tcPr>
            <w:tcW w:w="972" w:type="pct"/>
            <w:vAlign w:val="center"/>
          </w:tcPr>
          <w:p w14:paraId="7A2FC66E">
            <w:pPr>
              <w:keepNext w:val="0"/>
              <w:keepLines w:val="0"/>
              <w:pageBreakBefore w:val="0"/>
              <w:tabs>
                <w:tab w:val="left" w:pos="2032"/>
              </w:tabs>
              <w:kinsoku/>
              <w:wordWrap/>
              <w:overflowPunct/>
              <w:topLinePunct w:val="0"/>
              <w:autoSpaceDE w:val="0"/>
              <w:autoSpaceDN w:val="0"/>
              <w:bidi w:val="0"/>
              <w:adjustRightInd w:val="0"/>
              <w:snapToGrid w:val="0"/>
              <w:spacing w:beforeLines="0" w:afterLines="0" w:line="400" w:lineRule="exact"/>
              <w:ind w:right="-127" w:rightChars="0"/>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lang w:val="en-US" w:eastAsia="zh-CN"/>
              </w:rPr>
              <w:t>异议、</w:t>
            </w:r>
            <w:r>
              <w:rPr>
                <w:rFonts w:hint="eastAsia" w:ascii="宋体" w:hAnsi="宋体" w:cs="宋体"/>
                <w:color w:val="auto"/>
                <w:kern w:val="0"/>
                <w:szCs w:val="21"/>
                <w:highlight w:val="none"/>
              </w:rPr>
              <w:t>投诉处理</w:t>
            </w:r>
          </w:p>
        </w:tc>
        <w:tc>
          <w:tcPr>
            <w:tcW w:w="3445" w:type="pct"/>
            <w:vAlign w:val="center"/>
          </w:tcPr>
          <w:p w14:paraId="0910ECCB">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 </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或者其他利害关系人就本项目的</w:t>
            </w:r>
            <w:r>
              <w:rPr>
                <w:rFonts w:hint="eastAsia" w:ascii="宋体" w:hAnsi="宋体" w:eastAsia="宋体" w:cs="宋体"/>
                <w:color w:val="auto"/>
                <w:kern w:val="0"/>
                <w:szCs w:val="21"/>
                <w:highlight w:val="none"/>
                <w:lang w:eastAsia="zh-CN"/>
              </w:rPr>
              <w:t>比选文件</w:t>
            </w:r>
            <w:r>
              <w:rPr>
                <w:rFonts w:hint="eastAsia" w:ascii="宋体" w:hAnsi="宋体" w:eastAsia="宋体" w:cs="宋体"/>
                <w:color w:val="auto"/>
                <w:kern w:val="0"/>
                <w:szCs w:val="21"/>
                <w:highlight w:val="none"/>
              </w:rPr>
              <w:t>（含澄清修改）、</w:t>
            </w:r>
            <w:r>
              <w:rPr>
                <w:rFonts w:hint="eastAsia" w:ascii="宋体" w:hAnsi="宋体" w:eastAsia="宋体" w:cs="宋体"/>
                <w:color w:val="auto"/>
                <w:kern w:val="0"/>
                <w:szCs w:val="21"/>
                <w:highlight w:val="none"/>
                <w:lang w:val="en-US" w:eastAsia="zh-CN"/>
              </w:rPr>
              <w:t>比选</w:t>
            </w:r>
            <w:r>
              <w:rPr>
                <w:rFonts w:hint="eastAsia" w:ascii="宋体" w:hAnsi="宋体" w:eastAsia="宋体" w:cs="宋体"/>
                <w:color w:val="auto"/>
                <w:kern w:val="0"/>
                <w:szCs w:val="21"/>
                <w:highlight w:val="none"/>
              </w:rPr>
              <w:t>情况、</w:t>
            </w:r>
            <w:r>
              <w:rPr>
                <w:rFonts w:hint="eastAsia" w:ascii="宋体" w:hAnsi="宋体" w:eastAsia="宋体" w:cs="宋体"/>
                <w:color w:val="auto"/>
                <w:kern w:val="0"/>
                <w:szCs w:val="21"/>
                <w:highlight w:val="none"/>
                <w:lang w:eastAsia="zh-CN"/>
              </w:rPr>
              <w:t>评审结果</w:t>
            </w:r>
            <w:r>
              <w:rPr>
                <w:rFonts w:hint="eastAsia" w:ascii="宋体" w:hAnsi="宋体" w:eastAsia="宋体" w:cs="宋体"/>
                <w:color w:val="auto"/>
                <w:kern w:val="0"/>
                <w:szCs w:val="21"/>
                <w:highlight w:val="none"/>
              </w:rPr>
              <w:t>等事项提出投诉的，应当先向</w:t>
            </w:r>
            <w:r>
              <w:rPr>
                <w:rFonts w:hint="eastAsia" w:ascii="宋体" w:hAnsi="宋体" w:eastAsia="宋体" w:cs="宋体"/>
                <w:color w:val="auto"/>
                <w:kern w:val="0"/>
                <w:szCs w:val="21"/>
                <w:highlight w:val="none"/>
                <w:lang w:eastAsia="zh-CN"/>
              </w:rPr>
              <w:t>采购人</w:t>
            </w:r>
            <w:r>
              <w:rPr>
                <w:rFonts w:hint="eastAsia" w:ascii="宋体" w:hAnsi="宋体" w:eastAsia="宋体" w:cs="宋体"/>
                <w:color w:val="auto"/>
                <w:kern w:val="0"/>
                <w:szCs w:val="21"/>
                <w:highlight w:val="none"/>
                <w:lang w:val="en-US" w:eastAsia="zh-CN"/>
              </w:rPr>
              <w:t>采购部门</w:t>
            </w:r>
            <w:r>
              <w:rPr>
                <w:rFonts w:hint="eastAsia" w:ascii="宋体" w:hAnsi="宋体" w:eastAsia="宋体" w:cs="宋体"/>
                <w:color w:val="auto"/>
                <w:kern w:val="0"/>
                <w:szCs w:val="21"/>
                <w:highlight w:val="none"/>
              </w:rPr>
              <w:t>提出异议；</w:t>
            </w:r>
            <w:r>
              <w:rPr>
                <w:rFonts w:hint="eastAsia" w:ascii="宋体" w:hAnsi="宋体" w:eastAsia="宋体" w:cs="宋体"/>
                <w:color w:val="auto"/>
                <w:kern w:val="0"/>
                <w:szCs w:val="21"/>
                <w:highlight w:val="none"/>
                <w:lang w:eastAsia="zh-CN"/>
              </w:rPr>
              <w:t>采购人</w:t>
            </w:r>
            <w:r>
              <w:rPr>
                <w:rFonts w:hint="eastAsia" w:ascii="宋体" w:hAnsi="宋体" w:eastAsia="宋体" w:cs="宋体"/>
                <w:color w:val="auto"/>
                <w:kern w:val="0"/>
                <w:szCs w:val="21"/>
                <w:highlight w:val="none"/>
              </w:rPr>
              <w:t>应当在规定时间内答复；对</w:t>
            </w:r>
            <w:r>
              <w:rPr>
                <w:rFonts w:hint="eastAsia" w:ascii="宋体" w:hAnsi="宋体" w:eastAsia="宋体" w:cs="宋体"/>
                <w:color w:val="auto"/>
                <w:kern w:val="0"/>
                <w:szCs w:val="21"/>
                <w:highlight w:val="none"/>
                <w:lang w:eastAsia="zh-CN"/>
              </w:rPr>
              <w:t>采购人</w:t>
            </w:r>
            <w:r>
              <w:rPr>
                <w:rFonts w:hint="eastAsia" w:ascii="宋体" w:hAnsi="宋体" w:eastAsia="宋体" w:cs="宋体"/>
                <w:color w:val="auto"/>
                <w:kern w:val="0"/>
                <w:szCs w:val="21"/>
                <w:highlight w:val="none"/>
              </w:rPr>
              <w:t>的答复不满意，可向</w:t>
            </w:r>
            <w:r>
              <w:rPr>
                <w:rFonts w:hint="eastAsia" w:ascii="宋体" w:hAnsi="宋体" w:eastAsia="宋体" w:cs="宋体"/>
                <w:color w:val="auto"/>
                <w:kern w:val="0"/>
                <w:szCs w:val="21"/>
                <w:highlight w:val="none"/>
                <w:lang w:val="en-US" w:eastAsia="zh-CN"/>
              </w:rPr>
              <w:t>采购人</w:t>
            </w:r>
            <w:r>
              <w:rPr>
                <w:rFonts w:hint="eastAsia" w:ascii="宋体" w:hAnsi="宋体" w:eastAsia="宋体" w:cs="宋体"/>
                <w:color w:val="auto"/>
                <w:kern w:val="0"/>
                <w:szCs w:val="21"/>
                <w:highlight w:val="none"/>
              </w:rPr>
              <w:t>监督部门投诉。</w:t>
            </w:r>
          </w:p>
          <w:p w14:paraId="1D92EB16">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提出异议或投诉时应当包括下列内容：</w:t>
            </w:r>
          </w:p>
          <w:p w14:paraId="411F6A57">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（1）异议</w:t>
            </w:r>
            <w:r>
              <w:rPr>
                <w:rFonts w:hint="eastAsia" w:ascii="宋体" w:hAnsi="宋体" w:eastAsia="宋体" w:cs="宋体"/>
                <w:color w:val="auto"/>
                <w:kern w:val="0"/>
                <w:szCs w:val="21"/>
                <w:highlight w:val="none"/>
                <w:lang w:val="en-US" w:eastAsia="zh-CN"/>
              </w:rPr>
              <w:t>人</w:t>
            </w:r>
            <w:r>
              <w:rPr>
                <w:rFonts w:hint="eastAsia" w:ascii="宋体" w:hAnsi="宋体" w:eastAsia="宋体" w:cs="宋体"/>
                <w:color w:val="auto"/>
                <w:kern w:val="0"/>
                <w:szCs w:val="21"/>
                <w:highlight w:val="none"/>
              </w:rPr>
              <w:t>或投诉人的</w:t>
            </w:r>
            <w:r>
              <w:rPr>
                <w:rFonts w:hint="eastAsia" w:ascii="宋体" w:hAnsi="宋体" w:eastAsia="宋体" w:cs="宋体"/>
                <w:color w:val="auto"/>
                <w:kern w:val="0"/>
                <w:szCs w:val="21"/>
                <w:highlight w:val="none"/>
                <w:lang w:val="en-US" w:eastAsia="zh-CN"/>
              </w:rPr>
              <w:t>姓名/</w:t>
            </w:r>
            <w:r>
              <w:rPr>
                <w:rFonts w:hint="eastAsia" w:ascii="宋体" w:hAnsi="宋体" w:eastAsia="宋体" w:cs="宋体"/>
                <w:color w:val="auto"/>
                <w:kern w:val="0"/>
                <w:szCs w:val="21"/>
                <w:highlight w:val="none"/>
              </w:rPr>
              <w:t>名称、地址及有效联系方式；</w:t>
            </w:r>
          </w:p>
          <w:p w14:paraId="12CA540A">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（2）被异议</w:t>
            </w:r>
            <w:r>
              <w:rPr>
                <w:rFonts w:hint="eastAsia" w:ascii="宋体" w:hAnsi="宋体" w:eastAsia="宋体" w:cs="宋体"/>
                <w:color w:val="auto"/>
                <w:kern w:val="0"/>
                <w:szCs w:val="21"/>
                <w:highlight w:val="none"/>
                <w:lang w:val="en-US" w:eastAsia="zh-CN"/>
              </w:rPr>
              <w:t>人</w:t>
            </w:r>
            <w:r>
              <w:rPr>
                <w:rFonts w:hint="eastAsia" w:ascii="宋体" w:hAnsi="宋体" w:eastAsia="宋体" w:cs="宋体"/>
                <w:color w:val="auto"/>
                <w:kern w:val="0"/>
                <w:szCs w:val="21"/>
                <w:highlight w:val="none"/>
              </w:rPr>
              <w:t>或</w:t>
            </w:r>
            <w:r>
              <w:rPr>
                <w:rFonts w:hint="eastAsia" w:ascii="宋体" w:hAnsi="宋体" w:eastAsia="宋体" w:cs="宋体"/>
                <w:color w:val="auto"/>
                <w:kern w:val="0"/>
                <w:szCs w:val="21"/>
                <w:highlight w:val="none"/>
                <w:lang w:val="en-US" w:eastAsia="zh-CN"/>
              </w:rPr>
              <w:t>被</w:t>
            </w:r>
            <w:r>
              <w:rPr>
                <w:rFonts w:hint="eastAsia" w:ascii="宋体" w:hAnsi="宋体" w:eastAsia="宋体" w:cs="宋体"/>
                <w:color w:val="auto"/>
                <w:kern w:val="0"/>
                <w:szCs w:val="21"/>
                <w:highlight w:val="none"/>
              </w:rPr>
              <w:t>投诉人的名称、地址及有效联系方式；</w:t>
            </w:r>
          </w:p>
          <w:p w14:paraId="77632447">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（3）异议或投诉事项的基本事实；</w:t>
            </w:r>
          </w:p>
          <w:p w14:paraId="193B406F">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（4）请求及主张；</w:t>
            </w:r>
          </w:p>
          <w:p w14:paraId="6357D9F8">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（5）涉及事项的证据、证明材料。</w:t>
            </w:r>
          </w:p>
          <w:p w14:paraId="77EA757D">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328B4CB3">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w:t>
            </w:r>
            <w:r>
              <w:rPr>
                <w:rFonts w:hint="eastAsia" w:ascii="宋体" w:hAnsi="宋体" w:cs="宋体"/>
                <w:color w:val="auto"/>
                <w:kern w:val="0"/>
                <w:szCs w:val="21"/>
                <w:highlight w:val="none"/>
                <w:lang w:bidi="ar"/>
              </w:rPr>
              <w:t xml:space="preserve"> </w:t>
            </w:r>
            <w:r>
              <w:rPr>
                <w:rFonts w:hint="eastAsia" w:ascii="宋体" w:hAnsi="宋体" w:cs="宋体"/>
                <w:color w:val="auto"/>
                <w:kern w:val="0"/>
                <w:szCs w:val="21"/>
                <w:highlight w:val="none"/>
                <w:lang w:eastAsia="zh-CN" w:bidi="ar"/>
              </w:rPr>
              <w:t>供应商</w:t>
            </w:r>
            <w:r>
              <w:rPr>
                <w:rFonts w:hint="eastAsia" w:ascii="宋体" w:hAnsi="宋体" w:cs="宋体"/>
                <w:color w:val="auto"/>
                <w:kern w:val="0"/>
                <w:szCs w:val="21"/>
                <w:highlight w:val="none"/>
                <w:lang w:val="en-US" w:eastAsia="zh-CN" w:bidi="ar"/>
              </w:rPr>
              <w:t>不得</w:t>
            </w:r>
            <w:r>
              <w:rPr>
                <w:rFonts w:hint="eastAsia" w:ascii="宋体" w:hAnsi="宋体" w:cs="宋体"/>
                <w:color w:val="auto"/>
                <w:kern w:val="0"/>
                <w:szCs w:val="21"/>
                <w:highlight w:val="none"/>
                <w:lang w:bidi="ar"/>
              </w:rPr>
              <w:t>捏造事实、伪造材料，或者以非法手段获取证明材料进行质疑或者投诉；给他人造成损失的，依法承担赔偿责任。</w:t>
            </w:r>
          </w:p>
          <w:p w14:paraId="237A75C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bidi="ar"/>
              </w:rPr>
              <w:t>3.</w:t>
            </w:r>
            <w:r>
              <w:rPr>
                <w:rFonts w:hint="eastAsia" w:ascii="宋体" w:hAnsi="宋体" w:cs="宋体"/>
                <w:color w:val="auto"/>
                <w:szCs w:val="21"/>
                <w:highlight w:val="none"/>
                <w:lang w:bidi="ar"/>
              </w:rPr>
              <w:t xml:space="preserve"> </w:t>
            </w:r>
            <w:r>
              <w:rPr>
                <w:rFonts w:hint="eastAsia" w:ascii="宋体" w:hAnsi="宋体" w:eastAsia="宋体" w:cs="宋体"/>
                <w:color w:val="auto"/>
                <w:kern w:val="0"/>
                <w:szCs w:val="21"/>
                <w:highlight w:val="none"/>
              </w:rPr>
              <w:t>异议受理</w:t>
            </w:r>
            <w:r>
              <w:rPr>
                <w:rFonts w:hint="eastAsia" w:ascii="宋体" w:hAnsi="宋体" w:cs="宋体"/>
                <w:color w:val="auto"/>
                <w:kern w:val="0"/>
                <w:szCs w:val="21"/>
                <w:highlight w:val="none"/>
                <w:lang w:val="en-US" w:eastAsia="zh-CN"/>
              </w:rPr>
              <w:t>部门</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重庆首讯科技股份有限公司供应链管理部</w:t>
            </w:r>
          </w:p>
          <w:p w14:paraId="5A88057F">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联系电话：023-63131274</w:t>
            </w:r>
          </w:p>
          <w:p w14:paraId="5FFEDFE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投诉受理部门：</w:t>
            </w:r>
            <w:r>
              <w:rPr>
                <w:rFonts w:hint="eastAsia" w:ascii="宋体" w:hAnsi="宋体" w:eastAsia="宋体" w:cs="宋体"/>
                <w:color w:val="auto"/>
                <w:kern w:val="0"/>
                <w:szCs w:val="21"/>
                <w:highlight w:val="none"/>
                <w:lang w:val="en-US" w:eastAsia="zh-CN"/>
              </w:rPr>
              <w:t>重庆首讯科技股份有限公司</w:t>
            </w:r>
            <w:r>
              <w:rPr>
                <w:rFonts w:hint="eastAsia" w:ascii="宋体" w:hAnsi="宋体" w:cs="宋体"/>
                <w:color w:val="auto"/>
                <w:kern w:val="0"/>
                <w:szCs w:val="21"/>
                <w:highlight w:val="none"/>
                <w:lang w:val="en-US" w:eastAsia="zh-CN"/>
              </w:rPr>
              <w:t>合规监管</w:t>
            </w:r>
            <w:r>
              <w:rPr>
                <w:rFonts w:hint="eastAsia" w:ascii="宋体" w:hAnsi="宋体" w:eastAsia="宋体" w:cs="宋体"/>
                <w:color w:val="auto"/>
                <w:kern w:val="0"/>
                <w:szCs w:val="21"/>
                <w:highlight w:val="none"/>
                <w:lang w:val="en-US" w:eastAsia="zh-CN"/>
              </w:rPr>
              <w:t>部</w:t>
            </w:r>
          </w:p>
          <w:p w14:paraId="57123410">
            <w:pPr>
              <w:keepNext w:val="0"/>
              <w:keepLines w:val="0"/>
              <w:pageBreakBefore w:val="0"/>
              <w:kinsoku/>
              <w:wordWrap/>
              <w:overflowPunct/>
              <w:topLinePunct w:val="0"/>
              <w:bidi w:val="0"/>
              <w:adjustRightInd w:val="0"/>
              <w:snapToGrid w:val="0"/>
              <w:spacing w:beforeLines="0" w:afterLines="0" w:line="400" w:lineRule="exact"/>
              <w:ind w:left="-73" w:leftChars="0" w:firstLine="600" w:firstLineChars="0"/>
              <w:textAlignment w:val="auto"/>
              <w:rPr>
                <w:rFonts w:ascii="宋体" w:hAnsi="宋体" w:cs="宋体"/>
                <w:color w:val="auto"/>
                <w:kern w:val="0"/>
                <w:szCs w:val="21"/>
                <w:highlight w:val="none"/>
              </w:rPr>
            </w:pPr>
            <w:r>
              <w:rPr>
                <w:rFonts w:hint="eastAsia" w:ascii="宋体" w:hAnsi="宋体" w:eastAsia="宋体" w:cs="宋体"/>
                <w:color w:val="auto"/>
                <w:kern w:val="0"/>
                <w:szCs w:val="21"/>
                <w:highlight w:val="none"/>
              </w:rPr>
              <w:t>联系电话：023-63132246</w:t>
            </w:r>
          </w:p>
        </w:tc>
      </w:tr>
      <w:tr w14:paraId="358B51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36B48E2">
            <w:pPr>
              <w:keepNext w:val="0"/>
              <w:keepLines w:val="0"/>
              <w:suppressLineNumbers w:val="0"/>
              <w:adjustRightInd w:val="0"/>
              <w:snapToGrid w:val="0"/>
              <w:spacing w:before="0" w:beforeLines="0" w:beforeAutospacing="0" w:after="0" w:afterLines="0" w:afterAutospacing="0" w:line="400" w:lineRule="exact"/>
              <w:ind w:left="0" w:leftChars="0" w:right="0" w:rightChars="0"/>
              <w:jc w:val="center"/>
              <w:rPr>
                <w:rFonts w:ascii="宋体" w:hAnsi="宋体" w:cs="宋体"/>
                <w:color w:val="auto"/>
                <w:kern w:val="0"/>
                <w:szCs w:val="21"/>
                <w:highlight w:val="none"/>
              </w:rPr>
            </w:pPr>
            <w:r>
              <w:rPr>
                <w:rFonts w:hint="eastAsia" w:ascii="宋体" w:hAnsi="宋体" w:eastAsia="宋体" w:cs="宋体"/>
                <w:color w:val="auto"/>
                <w:kern w:val="0"/>
                <w:szCs w:val="21"/>
                <w:highlight w:val="none"/>
              </w:rPr>
              <w:t>10.</w:t>
            </w:r>
            <w:r>
              <w:rPr>
                <w:rFonts w:hint="eastAsia" w:ascii="宋体" w:hAnsi="宋体" w:eastAsia="宋体" w:cs="宋体"/>
                <w:color w:val="auto"/>
                <w:kern w:val="0"/>
                <w:szCs w:val="21"/>
                <w:highlight w:val="none"/>
                <w:lang w:val="en-US" w:eastAsia="zh-CN"/>
              </w:rPr>
              <w:t>2</w:t>
            </w:r>
          </w:p>
        </w:tc>
        <w:tc>
          <w:tcPr>
            <w:tcW w:w="972" w:type="pct"/>
            <w:vAlign w:val="center"/>
          </w:tcPr>
          <w:p w14:paraId="62B51CEF">
            <w:pPr>
              <w:keepNext w:val="0"/>
              <w:keepLines w:val="0"/>
              <w:suppressLineNumbers w:val="0"/>
              <w:adjustRightInd w:val="0"/>
              <w:snapToGrid w:val="0"/>
              <w:spacing w:before="0" w:beforeLines="0" w:beforeAutospacing="0" w:after="0" w:afterLines="0" w:afterAutospacing="0" w:line="400" w:lineRule="exact"/>
              <w:ind w:left="0" w:leftChars="0" w:right="0" w:rightChars="0"/>
              <w:jc w:val="center"/>
              <w:rPr>
                <w:rFonts w:ascii="宋体" w:hAnsi="宋体" w:cs="宋体"/>
                <w:color w:val="auto"/>
                <w:kern w:val="0"/>
                <w:szCs w:val="21"/>
                <w:highlight w:val="none"/>
              </w:rPr>
            </w:pPr>
            <w:r>
              <w:rPr>
                <w:rFonts w:hint="eastAsia" w:ascii="宋体" w:hAnsi="宋体" w:eastAsia="宋体" w:cs="宋体"/>
                <w:color w:val="auto"/>
                <w:kern w:val="0"/>
                <w:szCs w:val="21"/>
                <w:highlight w:val="none"/>
              </w:rPr>
              <w:t>关于对</w:t>
            </w:r>
            <w:r>
              <w:rPr>
                <w:rFonts w:hint="eastAsia" w:ascii="宋体" w:hAnsi="宋体" w:eastAsia="宋体" w:cs="宋体"/>
                <w:color w:val="auto"/>
                <w:kern w:val="0"/>
                <w:szCs w:val="21"/>
                <w:highlight w:val="none"/>
                <w:lang w:eastAsia="zh-CN"/>
              </w:rPr>
              <w:t>比选文件</w:t>
            </w:r>
            <w:r>
              <w:rPr>
                <w:rFonts w:hint="eastAsia" w:ascii="宋体" w:hAnsi="宋体" w:eastAsia="宋体" w:cs="宋体"/>
                <w:color w:val="auto"/>
                <w:kern w:val="0"/>
                <w:szCs w:val="21"/>
                <w:highlight w:val="none"/>
              </w:rPr>
              <w:t>及</w:t>
            </w:r>
            <w:r>
              <w:rPr>
                <w:rFonts w:hint="eastAsia" w:ascii="宋体" w:hAnsi="宋体" w:cs="宋体"/>
                <w:color w:val="auto"/>
                <w:kern w:val="0"/>
                <w:szCs w:val="21"/>
                <w:highlight w:val="none"/>
                <w:lang w:val="en-US" w:eastAsia="zh-CN"/>
              </w:rPr>
              <w:t>比选</w:t>
            </w:r>
            <w:r>
              <w:rPr>
                <w:rFonts w:hint="eastAsia" w:ascii="宋体" w:hAnsi="宋体" w:eastAsia="宋体" w:cs="宋体"/>
                <w:color w:val="auto"/>
                <w:kern w:val="0"/>
                <w:szCs w:val="21"/>
                <w:highlight w:val="none"/>
              </w:rPr>
              <w:t>争议的解释</w:t>
            </w:r>
          </w:p>
        </w:tc>
        <w:tc>
          <w:tcPr>
            <w:tcW w:w="3445" w:type="pct"/>
            <w:vAlign w:val="center"/>
          </w:tcPr>
          <w:p w14:paraId="21F48837">
            <w:pPr>
              <w:keepNext w:val="0"/>
              <w:keepLines w:val="0"/>
              <w:suppressLineNumbers w:val="0"/>
              <w:autoSpaceDE w:val="0"/>
              <w:autoSpaceDN w:val="0"/>
              <w:adjustRightInd w:val="0"/>
              <w:snapToGrid w:val="0"/>
              <w:spacing w:before="0" w:beforeLines="0" w:beforeAutospacing="0" w:after="0" w:afterLines="0" w:afterAutospacing="0" w:line="400" w:lineRule="exact"/>
              <w:ind w:left="0" w:leftChars="0" w:right="0" w:rightChars="0" w:firstLine="420" w:firstLineChars="200"/>
              <w:jc w:val="both"/>
              <w:rPr>
                <w:rFonts w:ascii="宋体" w:hAnsi="宋体" w:cs="宋体"/>
                <w:color w:val="auto"/>
                <w:kern w:val="0"/>
                <w:szCs w:val="21"/>
                <w:highlight w:val="none"/>
              </w:rPr>
            </w:pPr>
            <w:r>
              <w:rPr>
                <w:rFonts w:hint="eastAsia" w:ascii="宋体" w:hAnsi="宋体" w:eastAsia="宋体" w:cs="宋体"/>
                <w:color w:val="auto"/>
                <w:kern w:val="0"/>
                <w:szCs w:val="21"/>
                <w:highlight w:val="none"/>
              </w:rPr>
              <w:t>对资格预审文件或者</w:t>
            </w:r>
            <w:r>
              <w:rPr>
                <w:rFonts w:hint="eastAsia" w:ascii="宋体" w:hAnsi="宋体" w:eastAsia="宋体" w:cs="宋体"/>
                <w:color w:val="auto"/>
                <w:kern w:val="0"/>
                <w:szCs w:val="21"/>
                <w:highlight w:val="none"/>
                <w:lang w:eastAsia="zh-CN"/>
              </w:rPr>
              <w:t>比选文件</w:t>
            </w:r>
            <w:r>
              <w:rPr>
                <w:rFonts w:hint="eastAsia" w:ascii="宋体" w:hAnsi="宋体" w:eastAsia="宋体" w:cs="宋体"/>
                <w:color w:val="auto"/>
                <w:kern w:val="0"/>
                <w:szCs w:val="21"/>
                <w:highlight w:val="none"/>
              </w:rPr>
              <w:t>中的条款理解有争议的，应当作出不利于</w:t>
            </w:r>
            <w:r>
              <w:rPr>
                <w:rFonts w:hint="eastAsia" w:ascii="宋体" w:hAnsi="宋体" w:eastAsia="宋体" w:cs="宋体"/>
                <w:color w:val="auto"/>
                <w:kern w:val="0"/>
                <w:szCs w:val="21"/>
                <w:highlight w:val="none"/>
                <w:lang w:eastAsia="zh-CN"/>
              </w:rPr>
              <w:t>采购人</w:t>
            </w:r>
            <w:r>
              <w:rPr>
                <w:rFonts w:hint="eastAsia" w:ascii="宋体" w:hAnsi="宋体" w:eastAsia="宋体" w:cs="宋体"/>
                <w:color w:val="auto"/>
                <w:kern w:val="0"/>
                <w:szCs w:val="21"/>
                <w:highlight w:val="none"/>
              </w:rPr>
              <w:t>的解释；对</w:t>
            </w:r>
            <w:r>
              <w:rPr>
                <w:rFonts w:hint="eastAsia" w:ascii="宋体" w:hAnsi="宋体" w:eastAsia="宋体" w:cs="宋体"/>
                <w:color w:val="auto"/>
                <w:kern w:val="0"/>
                <w:szCs w:val="21"/>
                <w:highlight w:val="none"/>
                <w:lang w:eastAsia="zh-CN"/>
              </w:rPr>
              <w:t>响应文件</w:t>
            </w:r>
            <w:r>
              <w:rPr>
                <w:rFonts w:hint="eastAsia" w:ascii="宋体" w:hAnsi="宋体" w:eastAsia="宋体" w:cs="宋体"/>
                <w:color w:val="auto"/>
                <w:kern w:val="0"/>
                <w:szCs w:val="21"/>
                <w:highlight w:val="none"/>
              </w:rPr>
              <w:t>理解有争议的，应当作出不利于</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的解释。但是，违背国家利益、社会公共利益的除外。</w:t>
            </w:r>
          </w:p>
        </w:tc>
      </w:tr>
      <w:tr w14:paraId="6542CB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62A14A74">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10.</w:t>
            </w:r>
            <w:r>
              <w:rPr>
                <w:rFonts w:hint="eastAsia" w:ascii="宋体" w:hAnsi="宋体" w:cs="宋体"/>
                <w:color w:val="auto"/>
                <w:kern w:val="0"/>
                <w:szCs w:val="21"/>
                <w:highlight w:val="none"/>
                <w:lang w:val="en-US" w:eastAsia="zh-CN"/>
              </w:rPr>
              <w:t>3</w:t>
            </w:r>
          </w:p>
        </w:tc>
        <w:tc>
          <w:tcPr>
            <w:tcW w:w="972" w:type="pct"/>
            <w:vAlign w:val="center"/>
          </w:tcPr>
          <w:p w14:paraId="0CDC181F">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szCs w:val="21"/>
                <w:highlight w:val="none"/>
              </w:rPr>
              <w:t>代理服务费</w:t>
            </w:r>
          </w:p>
        </w:tc>
        <w:tc>
          <w:tcPr>
            <w:tcW w:w="3445" w:type="pct"/>
            <w:vAlign w:val="center"/>
          </w:tcPr>
          <w:p w14:paraId="6B34C6D2">
            <w:pPr>
              <w:autoSpaceDE w:val="0"/>
              <w:autoSpaceDN w:val="0"/>
              <w:adjustRightInd w:val="0"/>
              <w:snapToGrid w:val="0"/>
              <w:spacing w:beforeLines="0" w:afterLines="0" w:line="400" w:lineRule="exact"/>
              <w:ind w:firstLine="420"/>
              <w:rPr>
                <w:rFonts w:ascii="宋体" w:hAnsi="宋体" w:cs="宋体"/>
                <w:color w:val="auto"/>
                <w:kern w:val="0"/>
                <w:szCs w:val="21"/>
                <w:highlight w:val="none"/>
              </w:rPr>
            </w:pPr>
            <w:r>
              <w:rPr>
                <w:rFonts w:hint="eastAsia" w:ascii="宋体" w:hAnsi="宋体" w:cs="宋体"/>
                <w:color w:val="auto"/>
                <w:szCs w:val="21"/>
                <w:highlight w:val="none"/>
              </w:rPr>
              <w:t>代理服务费由</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人在领取</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通知书时向</w:t>
            </w:r>
            <w:r>
              <w:rPr>
                <w:rFonts w:hint="eastAsia" w:ascii="宋体" w:hAnsi="宋体" w:cs="宋体"/>
                <w:color w:val="auto"/>
                <w:szCs w:val="21"/>
                <w:highlight w:val="none"/>
                <w:lang w:eastAsia="zh-CN"/>
              </w:rPr>
              <w:t>代理机构</w:t>
            </w:r>
            <w:r>
              <w:rPr>
                <w:rFonts w:hint="eastAsia" w:ascii="宋体" w:hAnsi="宋体" w:cs="宋体"/>
                <w:color w:val="auto"/>
                <w:szCs w:val="21"/>
                <w:highlight w:val="none"/>
              </w:rPr>
              <w:t>缴纳。缴纳金额：</w:t>
            </w:r>
            <w:r>
              <w:rPr>
                <w:rFonts w:hint="eastAsia" w:ascii="宋体" w:hAnsi="宋体" w:cs="宋体"/>
                <w:color w:val="auto"/>
                <w:szCs w:val="21"/>
                <w:highlight w:val="none"/>
                <w:lang w:eastAsia="zh-CN" w:bidi="ar"/>
              </w:rPr>
              <w:t>中选</w:t>
            </w:r>
            <w:r>
              <w:rPr>
                <w:rFonts w:hint="eastAsia" w:ascii="宋体" w:hAnsi="宋体" w:cs="宋体"/>
                <w:color w:val="auto"/>
                <w:szCs w:val="21"/>
                <w:highlight w:val="none"/>
                <w:lang w:bidi="ar"/>
              </w:rPr>
              <w:t>金额1000万元以内</w:t>
            </w:r>
            <w:r>
              <w:rPr>
                <w:rFonts w:hint="eastAsia" w:ascii="宋体" w:hAnsi="宋体" w:cs="宋体"/>
                <w:color w:val="auto"/>
                <w:szCs w:val="21"/>
                <w:highlight w:val="none"/>
              </w:rPr>
              <w:t>招标</w:t>
            </w:r>
            <w:r>
              <w:rPr>
                <w:rFonts w:hint="eastAsia" w:ascii="宋体" w:hAnsi="宋体" w:cs="宋体"/>
                <w:color w:val="auto"/>
                <w:szCs w:val="21"/>
                <w:highlight w:val="none"/>
                <w:lang w:bidi="ar"/>
              </w:rPr>
              <w:t>代理费定额</w:t>
            </w: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55</w:t>
            </w:r>
            <w:r>
              <w:rPr>
                <w:rFonts w:hint="eastAsia" w:ascii="宋体" w:hAnsi="宋体" w:cs="宋体"/>
                <w:color w:val="auto"/>
                <w:szCs w:val="21"/>
                <w:highlight w:val="none"/>
              </w:rPr>
              <w:t>万元；</w:t>
            </w:r>
            <w:r>
              <w:rPr>
                <w:rFonts w:hint="eastAsia" w:ascii="宋体" w:hAnsi="宋体" w:cs="宋体"/>
                <w:color w:val="auto"/>
                <w:szCs w:val="21"/>
                <w:highlight w:val="none"/>
                <w:lang w:eastAsia="zh-CN" w:bidi="ar"/>
              </w:rPr>
              <w:t>中选</w:t>
            </w:r>
            <w:r>
              <w:rPr>
                <w:rFonts w:hint="eastAsia" w:ascii="宋体" w:hAnsi="宋体" w:cs="宋体"/>
                <w:color w:val="auto"/>
                <w:szCs w:val="21"/>
                <w:highlight w:val="none"/>
                <w:lang w:bidi="ar"/>
              </w:rPr>
              <w:t>金额1000万元至50000万元，</w:t>
            </w:r>
            <w:r>
              <w:rPr>
                <w:rFonts w:hint="eastAsia" w:ascii="宋体" w:hAnsi="宋体" w:cs="宋体"/>
                <w:color w:val="auto"/>
                <w:szCs w:val="21"/>
                <w:highlight w:val="none"/>
              </w:rPr>
              <w:t>招标</w:t>
            </w:r>
            <w:r>
              <w:rPr>
                <w:rFonts w:hint="eastAsia" w:ascii="宋体" w:hAnsi="宋体" w:cs="宋体"/>
                <w:color w:val="auto"/>
                <w:szCs w:val="21"/>
                <w:highlight w:val="none"/>
                <w:lang w:bidi="ar"/>
              </w:rPr>
              <w:t>代理费定额</w:t>
            </w:r>
            <w:r>
              <w:rPr>
                <w:rFonts w:hint="eastAsia" w:ascii="宋体" w:hAnsi="宋体" w:cs="宋体"/>
                <w:color w:val="auto"/>
                <w:szCs w:val="21"/>
                <w:highlight w:val="none"/>
              </w:rPr>
              <w:t>5.</w:t>
            </w:r>
            <w:r>
              <w:rPr>
                <w:rFonts w:hint="eastAsia" w:ascii="宋体" w:hAnsi="宋体" w:cs="宋体"/>
                <w:color w:val="auto"/>
                <w:szCs w:val="21"/>
                <w:highlight w:val="none"/>
                <w:lang w:val="en-US" w:eastAsia="zh-CN"/>
              </w:rPr>
              <w:t>16</w:t>
            </w:r>
            <w:r>
              <w:rPr>
                <w:rFonts w:hint="eastAsia" w:ascii="宋体" w:hAnsi="宋体" w:cs="宋体"/>
                <w:color w:val="auto"/>
                <w:szCs w:val="21"/>
                <w:highlight w:val="none"/>
              </w:rPr>
              <w:t>万元。</w:t>
            </w:r>
          </w:p>
        </w:tc>
      </w:tr>
      <w:tr w14:paraId="44435E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03DAEC1">
            <w:pPr>
              <w:adjustRightInd w:val="0"/>
              <w:snapToGrid w:val="0"/>
              <w:spacing w:beforeLines="0" w:afterLines="0" w:line="400" w:lineRule="exact"/>
              <w:jc w:val="center"/>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10.4</w:t>
            </w:r>
          </w:p>
        </w:tc>
        <w:tc>
          <w:tcPr>
            <w:tcW w:w="972" w:type="pct"/>
            <w:vAlign w:val="center"/>
          </w:tcPr>
          <w:p w14:paraId="18C118BB">
            <w:pPr>
              <w:pStyle w:val="56"/>
              <w:keepNext w:val="0"/>
              <w:keepLines w:val="0"/>
              <w:suppressLineNumbers w:val="0"/>
              <w:snapToGrid w:val="0"/>
              <w:spacing w:before="0" w:beforeLines="0" w:beforeAutospacing="0" w:after="0" w:afterLines="0" w:afterAutospacing="0" w:line="400" w:lineRule="exact"/>
              <w:ind w:left="0" w:leftChars="0" w:right="0" w:rightChars="0"/>
              <w:jc w:val="center"/>
              <w:rPr>
                <w:rFonts w:hint="eastAsia" w:ascii="宋体" w:hAnsi="宋体" w:cs="宋体"/>
                <w:color w:val="auto"/>
                <w:szCs w:val="21"/>
                <w:highlight w:val="none"/>
              </w:rPr>
            </w:pPr>
            <w:r>
              <w:rPr>
                <w:rFonts w:hint="eastAsia" w:ascii="宋体" w:hAnsi="宋体" w:eastAsia="宋体" w:cs="宋体"/>
                <w:color w:val="auto"/>
                <w:sz w:val="21"/>
                <w:szCs w:val="21"/>
                <w:highlight w:val="none"/>
                <w:lang w:val="en-US" w:eastAsia="zh-CN"/>
              </w:rPr>
              <w:t>其他</w:t>
            </w:r>
          </w:p>
        </w:tc>
        <w:tc>
          <w:tcPr>
            <w:tcW w:w="3445" w:type="pct"/>
            <w:vAlign w:val="center"/>
          </w:tcPr>
          <w:p w14:paraId="5F103DF4">
            <w:pPr>
              <w:pStyle w:val="2"/>
              <w:keepNext w:val="0"/>
              <w:keepLines w:val="0"/>
              <w:pageBreakBefore w:val="0"/>
              <w:kinsoku/>
              <w:wordWrap/>
              <w:overflowPunct/>
              <w:topLinePunct w:val="0"/>
              <w:bidi w:val="0"/>
              <w:adjustRightInd w:val="0"/>
              <w:snapToGrid w:val="0"/>
              <w:spacing w:beforeLines="0" w:afterLines="0" w:line="400" w:lineRule="exact"/>
              <w:ind w:firstLine="422" w:firstLineChars="200"/>
              <w:jc w:val="left"/>
              <w:textAlignment w:val="auto"/>
              <w:rPr>
                <w:rFonts w:hint="eastAsia" w:ascii="宋体" w:hAnsi="宋体" w:cs="宋体"/>
                <w:color w:val="auto"/>
                <w:szCs w:val="21"/>
                <w:highlight w:val="none"/>
              </w:rPr>
            </w:pPr>
            <w:r>
              <w:rPr>
                <w:rFonts w:hint="eastAsia" w:ascii="宋体" w:hAnsi="宋体" w:cs="宋体"/>
                <w:b/>
                <w:bCs/>
                <w:color w:val="auto"/>
                <w:szCs w:val="21"/>
                <w:highlight w:val="none"/>
                <w:lang w:val="en-US" w:eastAsia="zh-CN"/>
              </w:rPr>
              <w:t>供应商</w:t>
            </w:r>
            <w:r>
              <w:rPr>
                <w:rFonts w:hint="eastAsia" w:ascii="宋体" w:hAnsi="宋体" w:cs="宋体"/>
                <w:b/>
                <w:bCs/>
                <w:color w:val="auto"/>
                <w:szCs w:val="21"/>
                <w:highlight w:val="none"/>
              </w:rPr>
              <w:t>凡被列入采购人暂停、终止、永久取消合格供应商资格（列入诚信黑名单）名单内的单位，不得参与本次</w:t>
            </w:r>
            <w:r>
              <w:rPr>
                <w:rFonts w:hint="eastAsia" w:ascii="宋体" w:hAnsi="宋体" w:cs="宋体"/>
                <w:b/>
                <w:bCs/>
                <w:color w:val="auto"/>
                <w:szCs w:val="21"/>
                <w:highlight w:val="none"/>
                <w:lang w:val="en-US" w:eastAsia="zh-CN"/>
              </w:rPr>
              <w:t>比选</w:t>
            </w:r>
            <w:r>
              <w:rPr>
                <w:rFonts w:hint="eastAsia" w:ascii="宋体" w:hAnsi="宋体" w:cs="宋体"/>
                <w:b/>
                <w:bCs/>
                <w:color w:val="auto"/>
                <w:szCs w:val="21"/>
                <w:highlight w:val="none"/>
              </w:rPr>
              <w:t>。如发现有上述情况，其</w:t>
            </w:r>
            <w:r>
              <w:rPr>
                <w:rFonts w:hint="eastAsia" w:ascii="宋体" w:hAnsi="宋体" w:cs="宋体"/>
                <w:b/>
                <w:bCs/>
                <w:color w:val="auto"/>
                <w:szCs w:val="21"/>
                <w:highlight w:val="none"/>
                <w:lang w:val="en-US" w:eastAsia="zh-CN"/>
              </w:rPr>
              <w:t>比选</w:t>
            </w:r>
            <w:r>
              <w:rPr>
                <w:rFonts w:hint="eastAsia" w:ascii="宋体" w:hAnsi="宋体" w:cs="宋体"/>
                <w:b/>
                <w:bCs/>
                <w:color w:val="auto"/>
                <w:szCs w:val="21"/>
                <w:highlight w:val="none"/>
              </w:rPr>
              <w:t>将被</w:t>
            </w:r>
            <w:r>
              <w:rPr>
                <w:rFonts w:hint="eastAsia" w:ascii="宋体" w:hAnsi="宋体" w:cs="宋体"/>
                <w:b/>
                <w:bCs/>
                <w:color w:val="auto"/>
                <w:szCs w:val="21"/>
                <w:highlight w:val="none"/>
                <w:lang w:val="en-US" w:eastAsia="zh-CN"/>
              </w:rPr>
              <w:t>否决</w:t>
            </w:r>
            <w:r>
              <w:rPr>
                <w:rFonts w:hint="eastAsia" w:ascii="宋体" w:hAnsi="宋体" w:cs="宋体"/>
                <w:b/>
                <w:bCs/>
                <w:color w:val="auto"/>
                <w:szCs w:val="21"/>
                <w:highlight w:val="none"/>
              </w:rPr>
              <w:t>。</w:t>
            </w:r>
          </w:p>
        </w:tc>
      </w:tr>
    </w:tbl>
    <w:p w14:paraId="15D86337">
      <w:pPr>
        <w:adjustRightInd w:val="0"/>
        <w:snapToGrid w:val="0"/>
        <w:spacing w:line="360" w:lineRule="auto"/>
        <w:jc w:val="left"/>
        <w:rPr>
          <w:rFonts w:ascii="宋体" w:hAnsi="宋体" w:cs="宋体"/>
          <w:color w:val="auto"/>
          <w:szCs w:val="21"/>
          <w:highlight w:val="none"/>
        </w:rPr>
      </w:pPr>
      <w:r>
        <w:rPr>
          <w:rFonts w:hint="eastAsia" w:ascii="宋体" w:hAnsi="宋体" w:cs="宋体"/>
          <w:b/>
          <w:color w:val="auto"/>
          <w:szCs w:val="21"/>
          <w:highlight w:val="none"/>
        </w:rPr>
        <w:br w:type="page"/>
      </w:r>
      <w:r>
        <w:rPr>
          <w:rFonts w:hint="eastAsia" w:ascii="宋体" w:hAnsi="宋体" w:cs="宋体"/>
          <w:b/>
          <w:color w:val="auto"/>
          <w:szCs w:val="21"/>
          <w:highlight w:val="none"/>
        </w:rPr>
        <w:t>以下部分为</w:t>
      </w:r>
      <w:r>
        <w:rPr>
          <w:rFonts w:hint="eastAsia" w:ascii="宋体" w:hAnsi="宋体" w:cs="宋体"/>
          <w:b/>
          <w:color w:val="auto"/>
          <w:szCs w:val="21"/>
          <w:highlight w:val="none"/>
          <w:lang w:eastAsia="zh-CN"/>
        </w:rPr>
        <w:t>供应商</w:t>
      </w:r>
      <w:r>
        <w:rPr>
          <w:rFonts w:hint="eastAsia" w:ascii="宋体" w:hAnsi="宋体" w:cs="宋体"/>
          <w:b/>
          <w:color w:val="auto"/>
          <w:szCs w:val="21"/>
          <w:highlight w:val="none"/>
        </w:rPr>
        <w:t>须知正文。</w:t>
      </w:r>
    </w:p>
    <w:p w14:paraId="378017FA">
      <w:pPr>
        <w:pStyle w:val="4"/>
        <w:adjustRightInd w:val="0"/>
        <w:snapToGrid w:val="0"/>
        <w:spacing w:before="0" w:after="0" w:line="360" w:lineRule="auto"/>
        <w:rPr>
          <w:rFonts w:ascii="宋体" w:hAnsi="宋体" w:cs="宋体"/>
          <w:color w:val="auto"/>
          <w:sz w:val="28"/>
          <w:szCs w:val="28"/>
          <w:highlight w:val="none"/>
        </w:rPr>
      </w:pPr>
      <w:bookmarkStart w:id="129" w:name="_Toc7039"/>
      <w:bookmarkStart w:id="130" w:name="_Toc11012"/>
      <w:bookmarkStart w:id="131" w:name="_Toc14254"/>
      <w:bookmarkStart w:id="132" w:name="_Toc25803"/>
      <w:r>
        <w:rPr>
          <w:rFonts w:hint="eastAsia" w:ascii="宋体" w:hAnsi="宋体" w:cs="宋体"/>
          <w:color w:val="auto"/>
          <w:sz w:val="28"/>
          <w:szCs w:val="28"/>
          <w:highlight w:val="none"/>
        </w:rPr>
        <w:t>1. 总则</w:t>
      </w:r>
      <w:bookmarkEnd w:id="129"/>
      <w:bookmarkEnd w:id="130"/>
      <w:bookmarkEnd w:id="131"/>
      <w:bookmarkEnd w:id="132"/>
    </w:p>
    <w:p w14:paraId="6145978E">
      <w:pPr>
        <w:pStyle w:val="5"/>
        <w:adjustRightInd w:val="0"/>
        <w:snapToGrid w:val="0"/>
        <w:spacing w:before="0" w:after="0" w:line="360" w:lineRule="auto"/>
        <w:rPr>
          <w:rFonts w:ascii="宋体" w:hAnsi="宋体" w:cs="宋体"/>
          <w:color w:val="auto"/>
          <w:sz w:val="21"/>
          <w:szCs w:val="21"/>
          <w:highlight w:val="none"/>
        </w:rPr>
      </w:pPr>
      <w:bookmarkStart w:id="133" w:name="_Toc32748"/>
      <w:bookmarkStart w:id="134" w:name="_Toc9810"/>
      <w:bookmarkStart w:id="135" w:name="_Toc63"/>
      <w:bookmarkStart w:id="136" w:name="_Toc16406"/>
      <w:bookmarkStart w:id="137" w:name="_Toc17165"/>
      <w:r>
        <w:rPr>
          <w:rFonts w:hint="eastAsia" w:ascii="宋体" w:hAnsi="宋体" w:cs="宋体"/>
          <w:color w:val="auto"/>
          <w:sz w:val="21"/>
          <w:szCs w:val="21"/>
          <w:highlight w:val="none"/>
        </w:rPr>
        <w:t>1.1 项目概况</w:t>
      </w:r>
      <w:bookmarkEnd w:id="133"/>
      <w:bookmarkEnd w:id="134"/>
      <w:bookmarkEnd w:id="135"/>
      <w:bookmarkEnd w:id="136"/>
      <w:bookmarkEnd w:id="137"/>
    </w:p>
    <w:p w14:paraId="298FE38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1.1.1 </w:t>
      </w:r>
      <w:r>
        <w:rPr>
          <w:rFonts w:hint="eastAsia" w:ascii="宋体" w:hAnsi="宋体" w:eastAsia="宋体" w:cs="宋体"/>
          <w:color w:val="auto"/>
          <w:spacing w:val="-1"/>
          <w:sz w:val="21"/>
          <w:szCs w:val="21"/>
          <w:highlight w:val="none"/>
          <w:lang w:val="en-US" w:eastAsia="zh-CN"/>
        </w:rPr>
        <w:t>参照</w:t>
      </w:r>
      <w:r>
        <w:rPr>
          <w:rFonts w:hint="eastAsia" w:ascii="宋体" w:hAnsi="宋体" w:eastAsia="宋体" w:cs="宋体"/>
          <w:color w:val="auto"/>
          <w:spacing w:val="-1"/>
          <w:sz w:val="21"/>
          <w:szCs w:val="21"/>
          <w:highlight w:val="none"/>
          <w:lang w:eastAsia="zh-CN"/>
        </w:rPr>
        <w:t>《中华人民</w:t>
      </w:r>
      <w:r>
        <w:rPr>
          <w:rFonts w:hint="eastAsia" w:ascii="宋体" w:hAnsi="宋体" w:eastAsia="宋体" w:cs="宋体"/>
          <w:color w:val="auto"/>
          <w:sz w:val="21"/>
          <w:szCs w:val="21"/>
          <w:highlight w:val="none"/>
          <w:lang w:eastAsia="zh-CN"/>
        </w:rPr>
        <w:t>共和国招标投标法》《中华人民共和国招标投标法实施条例》《公路工程建设项目招标投标管理办法》等有关法律、法规和规章的规定，本比选项目已具备的招标条件见供应商须知前附表，现对</w:t>
      </w:r>
      <w:r>
        <w:rPr>
          <w:rFonts w:hint="eastAsia" w:ascii="宋体" w:hAnsi="宋体" w:eastAsia="宋体" w:cs="宋体"/>
          <w:color w:val="auto"/>
          <w:sz w:val="21"/>
          <w:szCs w:val="21"/>
          <w:highlight w:val="none"/>
          <w:lang w:val="en-US" w:eastAsia="zh-CN"/>
        </w:rPr>
        <w:t>本项目</w:t>
      </w:r>
      <w:r>
        <w:rPr>
          <w:rFonts w:hint="eastAsia" w:ascii="宋体" w:hAnsi="宋体" w:eastAsia="宋体" w:cs="宋体"/>
          <w:color w:val="auto"/>
          <w:sz w:val="21"/>
          <w:szCs w:val="21"/>
          <w:highlight w:val="none"/>
          <w:lang w:eastAsia="zh-CN"/>
        </w:rPr>
        <w:t>进行</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w:t>
      </w:r>
    </w:p>
    <w:p w14:paraId="07A45CC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 本比选项目采购人：见供应商须知前附表。</w:t>
      </w:r>
    </w:p>
    <w:p w14:paraId="7ABFC99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1.1.3 本</w:t>
      </w:r>
      <w:r>
        <w:rPr>
          <w:rFonts w:hint="eastAsia" w:ascii="宋体" w:hAnsi="宋体" w:eastAsia="宋体" w:cs="宋体"/>
          <w:color w:val="auto"/>
          <w:sz w:val="21"/>
          <w:szCs w:val="21"/>
          <w:highlight w:val="none"/>
          <w:lang w:val="en-US" w:eastAsia="zh-CN"/>
        </w:rPr>
        <w:t>比选项目</w:t>
      </w:r>
      <w:r>
        <w:rPr>
          <w:rFonts w:hint="eastAsia" w:ascii="宋体" w:hAnsi="宋体" w:eastAsia="宋体" w:cs="宋体"/>
          <w:color w:val="auto"/>
          <w:sz w:val="21"/>
          <w:szCs w:val="21"/>
          <w:highlight w:val="none"/>
          <w:lang w:eastAsia="zh-CN"/>
        </w:rPr>
        <w:t>代理机构：见供应商须知前附表。</w:t>
      </w:r>
    </w:p>
    <w:p w14:paraId="37E1EF4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1.1.4 本比选项目名称：见供应商须知前附表。</w:t>
      </w:r>
    </w:p>
    <w:p w14:paraId="7C83DF4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1.1.5 本</w:t>
      </w:r>
      <w:r>
        <w:rPr>
          <w:rFonts w:hint="eastAsia" w:ascii="宋体" w:hAnsi="宋体" w:eastAsia="宋体" w:cs="宋体"/>
          <w:color w:val="auto"/>
          <w:sz w:val="21"/>
          <w:szCs w:val="21"/>
          <w:highlight w:val="none"/>
          <w:lang w:val="en-US" w:eastAsia="zh-CN"/>
        </w:rPr>
        <w:t>比选项目</w:t>
      </w:r>
      <w:r>
        <w:rPr>
          <w:rFonts w:hint="eastAsia" w:ascii="宋体" w:hAnsi="宋体" w:eastAsia="宋体" w:cs="宋体"/>
          <w:color w:val="auto"/>
          <w:sz w:val="21"/>
          <w:szCs w:val="21"/>
          <w:highlight w:val="none"/>
          <w:lang w:eastAsia="zh-CN"/>
        </w:rPr>
        <w:t>建设地点：见供应商须知前附表。</w:t>
      </w:r>
    </w:p>
    <w:p w14:paraId="2B5842B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1.1.6 本</w:t>
      </w:r>
      <w:r>
        <w:rPr>
          <w:rFonts w:hint="eastAsia" w:ascii="宋体" w:hAnsi="宋体" w:eastAsia="宋体" w:cs="宋体"/>
          <w:color w:val="auto"/>
          <w:sz w:val="21"/>
          <w:szCs w:val="21"/>
          <w:highlight w:val="none"/>
          <w:lang w:val="en-US" w:eastAsia="zh-CN"/>
        </w:rPr>
        <w:t>比选项目</w:t>
      </w:r>
      <w:r>
        <w:rPr>
          <w:rFonts w:hint="eastAsia" w:ascii="宋体" w:hAnsi="宋体" w:eastAsia="宋体" w:cs="宋体"/>
          <w:color w:val="auto"/>
          <w:sz w:val="21"/>
          <w:szCs w:val="21"/>
          <w:highlight w:val="none"/>
          <w:lang w:eastAsia="zh-CN"/>
        </w:rPr>
        <w:t>相关单位：见供应商须知前附表。</w:t>
      </w:r>
    </w:p>
    <w:p w14:paraId="3F7BF063">
      <w:pPr>
        <w:pStyle w:val="5"/>
        <w:adjustRightInd w:val="0"/>
        <w:snapToGrid w:val="0"/>
        <w:spacing w:before="0" w:after="0" w:line="360" w:lineRule="auto"/>
        <w:rPr>
          <w:rFonts w:ascii="宋体" w:hAnsi="宋体" w:cs="宋体"/>
          <w:color w:val="auto"/>
          <w:sz w:val="21"/>
          <w:szCs w:val="21"/>
          <w:highlight w:val="none"/>
        </w:rPr>
      </w:pPr>
      <w:bookmarkStart w:id="138" w:name="_Toc18919"/>
      <w:bookmarkStart w:id="139" w:name="_Toc7873"/>
      <w:bookmarkStart w:id="140" w:name="_Toc18005"/>
      <w:bookmarkStart w:id="141" w:name="_Toc10961"/>
      <w:bookmarkStart w:id="142" w:name="_Toc4217"/>
      <w:r>
        <w:rPr>
          <w:rFonts w:hint="eastAsia" w:ascii="宋体" w:hAnsi="宋体" w:cs="宋体"/>
          <w:color w:val="auto"/>
          <w:sz w:val="21"/>
          <w:szCs w:val="21"/>
          <w:highlight w:val="none"/>
        </w:rPr>
        <w:t xml:space="preserve">1.2 </w:t>
      </w:r>
      <w:r>
        <w:rPr>
          <w:rFonts w:hint="eastAsia" w:ascii="宋体" w:hAnsi="宋体" w:cs="宋体"/>
          <w:color w:val="auto"/>
          <w:sz w:val="21"/>
          <w:szCs w:val="21"/>
          <w:highlight w:val="none"/>
          <w:lang w:eastAsia="zh-CN"/>
        </w:rPr>
        <w:t>比选项目</w:t>
      </w:r>
      <w:r>
        <w:rPr>
          <w:rFonts w:hint="eastAsia" w:ascii="宋体" w:hAnsi="宋体" w:cs="宋体"/>
          <w:color w:val="auto"/>
          <w:sz w:val="21"/>
          <w:szCs w:val="21"/>
          <w:highlight w:val="none"/>
        </w:rPr>
        <w:t>的资金来源和落实情况</w:t>
      </w:r>
      <w:bookmarkEnd w:id="138"/>
      <w:bookmarkEnd w:id="139"/>
      <w:bookmarkEnd w:id="140"/>
      <w:bookmarkEnd w:id="141"/>
      <w:bookmarkEnd w:id="142"/>
    </w:p>
    <w:p w14:paraId="4564930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1.2.1 资金来源及比例：见供应商须知前附表。</w:t>
      </w:r>
    </w:p>
    <w:p w14:paraId="2C3CEE0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1.2.2 资金落实情况：见供应商须知前附表。</w:t>
      </w:r>
    </w:p>
    <w:p w14:paraId="0B14B6F5">
      <w:pPr>
        <w:pStyle w:val="5"/>
        <w:adjustRightInd w:val="0"/>
        <w:snapToGrid w:val="0"/>
        <w:spacing w:before="0" w:after="0" w:line="360" w:lineRule="auto"/>
        <w:rPr>
          <w:rFonts w:ascii="宋体" w:hAnsi="宋体" w:cs="宋体"/>
          <w:color w:val="auto"/>
          <w:sz w:val="21"/>
          <w:szCs w:val="21"/>
          <w:highlight w:val="none"/>
        </w:rPr>
      </w:pPr>
      <w:bookmarkStart w:id="143" w:name="_Toc15600"/>
      <w:bookmarkStart w:id="144" w:name="_Toc29767"/>
      <w:bookmarkStart w:id="145" w:name="_Toc8225"/>
      <w:bookmarkStart w:id="146" w:name="_Toc14727"/>
      <w:bookmarkStart w:id="147" w:name="_Toc22846"/>
      <w:r>
        <w:rPr>
          <w:rFonts w:hint="eastAsia" w:ascii="宋体" w:hAnsi="宋体" w:cs="宋体"/>
          <w:color w:val="auto"/>
          <w:sz w:val="21"/>
          <w:szCs w:val="21"/>
          <w:highlight w:val="none"/>
        </w:rPr>
        <w:t xml:space="preserve">1.3 </w:t>
      </w:r>
      <w:r>
        <w:rPr>
          <w:rFonts w:hint="eastAsia" w:ascii="宋体" w:hAnsi="宋体" w:cs="宋体"/>
          <w:color w:val="auto"/>
          <w:sz w:val="21"/>
          <w:szCs w:val="21"/>
          <w:highlight w:val="none"/>
          <w:lang w:eastAsia="zh-CN"/>
        </w:rPr>
        <w:t>比选范围</w:t>
      </w:r>
      <w:r>
        <w:rPr>
          <w:rFonts w:hint="eastAsia" w:ascii="宋体" w:hAnsi="宋体" w:cs="宋体"/>
          <w:color w:val="auto"/>
          <w:sz w:val="21"/>
          <w:szCs w:val="21"/>
          <w:highlight w:val="none"/>
        </w:rPr>
        <w:t>、计划工期、质量要求和安全目标</w:t>
      </w:r>
      <w:bookmarkEnd w:id="143"/>
      <w:bookmarkEnd w:id="144"/>
      <w:bookmarkEnd w:id="145"/>
      <w:bookmarkEnd w:id="146"/>
      <w:bookmarkEnd w:id="147"/>
    </w:p>
    <w:p w14:paraId="213FF5FF">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1.3.1 比选范围：见供应商须知前附表。</w:t>
      </w:r>
    </w:p>
    <w:p w14:paraId="1418695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1.3.2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计划工期：见供应商须知前附表。</w:t>
      </w:r>
    </w:p>
    <w:p w14:paraId="0839D47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1.3.3 质量要求：</w:t>
      </w:r>
      <w:r>
        <w:rPr>
          <w:rFonts w:hint="eastAsia" w:ascii="宋体" w:hAnsi="宋体" w:eastAsia="宋体" w:cs="宋体"/>
          <w:color w:val="auto"/>
          <w:sz w:val="21"/>
          <w:szCs w:val="21"/>
          <w:highlight w:val="none"/>
          <w:lang w:eastAsia="zh-CN"/>
        </w:rPr>
        <w:t>见供应商须知前附表。</w:t>
      </w:r>
    </w:p>
    <w:p w14:paraId="0EAD233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1.3.4 安全目标：</w:t>
      </w:r>
      <w:r>
        <w:rPr>
          <w:rFonts w:hint="eastAsia" w:ascii="宋体" w:hAnsi="宋体" w:eastAsia="宋体" w:cs="宋体"/>
          <w:color w:val="auto"/>
          <w:sz w:val="21"/>
          <w:szCs w:val="21"/>
          <w:highlight w:val="none"/>
          <w:lang w:eastAsia="zh-CN"/>
        </w:rPr>
        <w:t>见供应商须知前附表。</w:t>
      </w:r>
    </w:p>
    <w:p w14:paraId="619D2E76">
      <w:pPr>
        <w:pStyle w:val="5"/>
        <w:adjustRightInd w:val="0"/>
        <w:snapToGrid w:val="0"/>
        <w:spacing w:before="0" w:after="0" w:line="360" w:lineRule="auto"/>
        <w:rPr>
          <w:rFonts w:ascii="宋体" w:hAnsi="宋体" w:cs="宋体"/>
          <w:color w:val="auto"/>
          <w:sz w:val="21"/>
          <w:szCs w:val="21"/>
          <w:highlight w:val="none"/>
        </w:rPr>
      </w:pPr>
      <w:bookmarkStart w:id="148" w:name="_Toc29746"/>
      <w:bookmarkStart w:id="149" w:name="_Toc11491"/>
      <w:bookmarkStart w:id="150" w:name="_Toc27625"/>
      <w:bookmarkStart w:id="151" w:name="_Toc11803"/>
      <w:bookmarkStart w:id="152" w:name="_Toc21914"/>
      <w:r>
        <w:rPr>
          <w:rFonts w:hint="eastAsia" w:ascii="宋体" w:hAnsi="宋体" w:cs="宋体"/>
          <w:color w:val="auto"/>
          <w:sz w:val="21"/>
          <w:szCs w:val="21"/>
          <w:highlight w:val="none"/>
        </w:rPr>
        <w:t xml:space="preserve">1.4 </w:t>
      </w:r>
      <w:r>
        <w:rPr>
          <w:rFonts w:hint="eastAsia" w:ascii="宋体" w:hAnsi="宋体" w:cs="宋体"/>
          <w:color w:val="auto"/>
          <w:sz w:val="21"/>
          <w:szCs w:val="21"/>
          <w:highlight w:val="none"/>
          <w:lang w:eastAsia="zh-CN"/>
        </w:rPr>
        <w:t>供应商</w:t>
      </w:r>
      <w:r>
        <w:rPr>
          <w:rFonts w:hint="eastAsia" w:ascii="宋体" w:hAnsi="宋体" w:cs="宋体"/>
          <w:color w:val="auto"/>
          <w:sz w:val="21"/>
          <w:szCs w:val="21"/>
          <w:highlight w:val="none"/>
        </w:rPr>
        <w:t>资格要求</w:t>
      </w:r>
      <w:bookmarkEnd w:id="148"/>
      <w:bookmarkEnd w:id="149"/>
      <w:bookmarkEnd w:id="150"/>
      <w:bookmarkEnd w:id="151"/>
      <w:bookmarkEnd w:id="152"/>
    </w:p>
    <w:p w14:paraId="1E2B7FB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1.4.1 供应商应具备承担本项目施工的资质条件、能力和信誉。</w:t>
      </w:r>
    </w:p>
    <w:p w14:paraId="5CBF73A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见供应商须知前附表。</w:t>
      </w:r>
    </w:p>
    <w:p w14:paraId="4EB5A0B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1.4.2 供应商须知前附表规定接受联合体</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的，联合体应当符合本</w:t>
      </w:r>
      <w:r>
        <w:rPr>
          <w:rFonts w:hint="eastAsia" w:ascii="宋体" w:hAnsi="宋体" w:eastAsia="宋体" w:cs="宋体"/>
          <w:color w:val="auto"/>
          <w:sz w:val="21"/>
          <w:szCs w:val="21"/>
          <w:highlight w:val="none"/>
          <w:lang w:val="en-US" w:eastAsia="zh-CN"/>
        </w:rPr>
        <w:t>章第</w:t>
      </w:r>
      <w:r>
        <w:rPr>
          <w:rFonts w:hint="eastAsia" w:ascii="宋体" w:hAnsi="宋体" w:eastAsia="宋体" w:cs="宋体"/>
          <w:color w:val="auto"/>
          <w:sz w:val="21"/>
          <w:szCs w:val="21"/>
          <w:highlight w:val="none"/>
          <w:lang w:eastAsia="zh-CN"/>
        </w:rPr>
        <w:t>1.4.1 项和供应商须知前附表的要求外，还应遵守以下规定：</w:t>
      </w:r>
    </w:p>
    <w:p w14:paraId="0B9D8A4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（1）联合体各方应按比选文件提供的格式签订共同投标协议，明确联合体牵头人和各方权利义务 ，并承诺就中选项目向采购人承担连带责任；</w:t>
      </w:r>
    </w:p>
    <w:p w14:paraId="56D7382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（2）由同一专业的单位组成的联合体，按照资质等级较低的单位确定资质等级；</w:t>
      </w:r>
    </w:p>
    <w:p w14:paraId="2681770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（3）联合体各方不得再以自己名义单独或参加其他联合体在同一标段中比选；</w:t>
      </w:r>
    </w:p>
    <w:p w14:paraId="4EB467D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联合体各方应分别按照本比选文件的要求，填写响应文件中的相应表格，并由联合体牵头人负责对联合体各成员的资料进行统一汇总后一并提交给采购人；联合体牵头人所提交的响应文件应认为已代表了联合体各成员的真实情况；</w:t>
      </w:r>
    </w:p>
    <w:p w14:paraId="3FCA305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（5）尽管委任了联合体牵头人，但联合体各成员在比选、签约与履约合同过程中，仍负有连带的和各自的法律责任。</w:t>
      </w:r>
    </w:p>
    <w:p w14:paraId="3B111A8B">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 xml:space="preserve">1.4.3 </w:t>
      </w:r>
      <w:r>
        <w:rPr>
          <w:rFonts w:hint="eastAsia" w:ascii="宋体" w:hAnsi="宋体" w:eastAsia="宋体" w:cs="宋体"/>
          <w:color w:val="auto"/>
          <w:sz w:val="21"/>
          <w:szCs w:val="21"/>
          <w:highlight w:val="none"/>
          <w:lang w:eastAsia="zh-CN"/>
        </w:rPr>
        <w:t>供应商（包括联合体各成员）不得与本标段相关单位存在下列关联关系：</w:t>
      </w:r>
    </w:p>
    <w:p w14:paraId="58BD738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（1）为采购人不具有独立法人资格的附属机构（单位）；</w:t>
      </w:r>
    </w:p>
    <w:p w14:paraId="309ADA5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（2）与采购人存在利害关系且可能影响招标公正性；</w:t>
      </w:r>
    </w:p>
    <w:p w14:paraId="2193118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（3）与本标段的其他供应商同为一个单位负责人；</w:t>
      </w:r>
    </w:p>
    <w:p w14:paraId="17D934D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（4）与本标段的其他供应商存在控股、管理关系；</w:t>
      </w:r>
    </w:p>
    <w:p w14:paraId="7FB75EE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（5）为本标段前期准备提供设计或咨询服务的法人或其任何附属机构（单位）；</w:t>
      </w:r>
    </w:p>
    <w:p w14:paraId="748476D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（6）为本标段的监理人；</w:t>
      </w:r>
    </w:p>
    <w:p w14:paraId="57B6D38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（7）为本标段的代建人；</w:t>
      </w:r>
    </w:p>
    <w:p w14:paraId="538B267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（8）为本标段的代理机构；</w:t>
      </w:r>
    </w:p>
    <w:p w14:paraId="5A09581F">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）与本标段的监理人或代建人或代理机构同为一个法定代表人；</w:t>
      </w:r>
    </w:p>
    <w:p w14:paraId="6A769F56">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（10）与本标段的监理人或代建人或代理机构存在控股或参股关系；</w:t>
      </w:r>
    </w:p>
    <w:p w14:paraId="79A7C44F">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lang w:eastAsia="zh-CN"/>
        </w:rPr>
        <w:t>）被责令停产停业、暂扣或者吊销许可证、暂扣或者吊销执照；</w:t>
      </w:r>
    </w:p>
    <w:p w14:paraId="18B02A58">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12</w:t>
      </w:r>
      <w:r>
        <w:rPr>
          <w:rFonts w:hint="eastAsia" w:ascii="宋体" w:hAnsi="宋体" w:eastAsia="宋体" w:cs="宋体"/>
          <w:color w:val="auto"/>
          <w:sz w:val="21"/>
          <w:szCs w:val="21"/>
          <w:highlight w:val="none"/>
          <w:lang w:eastAsia="zh-CN"/>
        </w:rPr>
        <w:t>）被国家、重庆市（含市或任意区县）有关行政部门处以暂停投标资格行政处罚，且在处罚期限内的；</w:t>
      </w:r>
    </w:p>
    <w:p w14:paraId="677AC0B8">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lang w:eastAsia="zh-CN"/>
        </w:rPr>
        <w:t>）进入清算程序，或被宣告破产，或其他丧失履约能力的情形；</w:t>
      </w:r>
    </w:p>
    <w:p w14:paraId="481090CF">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14</w:t>
      </w:r>
      <w:r>
        <w:rPr>
          <w:rFonts w:hint="eastAsia" w:ascii="宋体" w:hAnsi="宋体" w:eastAsia="宋体" w:cs="宋体"/>
          <w:color w:val="auto"/>
          <w:sz w:val="21"/>
          <w:szCs w:val="21"/>
          <w:highlight w:val="none"/>
          <w:lang w:eastAsia="zh-CN"/>
        </w:rPr>
        <w:t>）被市场监督管理机关在全国企业信用信息公示系统中列入严重违法失信企业名单；</w:t>
      </w:r>
    </w:p>
    <w:p w14:paraId="226165F6">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15</w:t>
      </w:r>
      <w:r>
        <w:rPr>
          <w:rFonts w:hint="eastAsia" w:ascii="宋体" w:hAnsi="宋体" w:eastAsia="宋体" w:cs="宋体"/>
          <w:color w:val="auto"/>
          <w:sz w:val="21"/>
          <w:szCs w:val="21"/>
          <w:highlight w:val="none"/>
          <w:lang w:eastAsia="zh-CN"/>
        </w:rPr>
        <w:t>）单位负责人为同一人或者存在控股、管理关系的不同单位，不得在同一标段中同时比选；</w:t>
      </w:r>
    </w:p>
    <w:p w14:paraId="141DD2B6">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16</w:t>
      </w:r>
      <w:r>
        <w:rPr>
          <w:rFonts w:hint="eastAsia" w:ascii="宋体" w:hAnsi="宋体" w:eastAsia="宋体" w:cs="宋体"/>
          <w:color w:val="auto"/>
          <w:sz w:val="21"/>
          <w:szCs w:val="21"/>
          <w:highlight w:val="none"/>
          <w:lang w:eastAsia="zh-CN"/>
        </w:rPr>
        <w:t>）供应商或其法定代表人、拟委任的项目经理在近两年内有行贿犯罪行为的；</w:t>
      </w:r>
    </w:p>
    <w:p w14:paraId="1CABAE9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17</w:t>
      </w:r>
      <w:r>
        <w:rPr>
          <w:rFonts w:hint="eastAsia" w:ascii="宋体" w:hAnsi="宋体" w:eastAsia="宋体" w:cs="宋体"/>
          <w:color w:val="auto"/>
          <w:sz w:val="21"/>
          <w:szCs w:val="21"/>
          <w:highlight w:val="none"/>
          <w:lang w:eastAsia="zh-CN"/>
        </w:rPr>
        <w:t>）法律法规或供应商须知前附表规定的其他情形。</w:t>
      </w:r>
    </w:p>
    <w:p w14:paraId="3C413C49">
      <w:pPr>
        <w:pStyle w:val="5"/>
        <w:adjustRightInd w:val="0"/>
        <w:snapToGrid w:val="0"/>
        <w:spacing w:before="0" w:after="0" w:line="360" w:lineRule="auto"/>
        <w:rPr>
          <w:rFonts w:ascii="宋体" w:hAnsi="宋体" w:cs="宋体"/>
          <w:color w:val="auto"/>
          <w:sz w:val="21"/>
          <w:szCs w:val="21"/>
          <w:highlight w:val="none"/>
        </w:rPr>
      </w:pPr>
      <w:bookmarkStart w:id="153" w:name="_Toc18821"/>
      <w:bookmarkStart w:id="154" w:name="_Toc28598"/>
      <w:bookmarkStart w:id="155" w:name="_Toc20729"/>
      <w:bookmarkStart w:id="156" w:name="_Toc5410"/>
      <w:bookmarkStart w:id="157" w:name="_Toc31791"/>
      <w:r>
        <w:rPr>
          <w:rFonts w:hint="eastAsia" w:ascii="宋体" w:hAnsi="宋体" w:cs="宋体"/>
          <w:color w:val="auto"/>
          <w:sz w:val="21"/>
          <w:szCs w:val="21"/>
          <w:highlight w:val="none"/>
        </w:rPr>
        <w:t>1.5 费用承担</w:t>
      </w:r>
      <w:bookmarkEnd w:id="153"/>
      <w:bookmarkEnd w:id="154"/>
      <w:bookmarkEnd w:id="155"/>
      <w:bookmarkEnd w:id="156"/>
      <w:bookmarkEnd w:id="157"/>
    </w:p>
    <w:p w14:paraId="02F4D48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供应商准备和参加比选活动发生的费用自理。</w:t>
      </w:r>
    </w:p>
    <w:p w14:paraId="412E1FEA">
      <w:pPr>
        <w:pStyle w:val="5"/>
        <w:adjustRightInd w:val="0"/>
        <w:snapToGrid w:val="0"/>
        <w:spacing w:before="0" w:after="0" w:line="360" w:lineRule="auto"/>
        <w:rPr>
          <w:rFonts w:ascii="宋体" w:hAnsi="宋体" w:cs="宋体"/>
          <w:color w:val="auto"/>
          <w:sz w:val="21"/>
          <w:szCs w:val="21"/>
          <w:highlight w:val="none"/>
        </w:rPr>
      </w:pPr>
      <w:bookmarkStart w:id="158" w:name="_Toc23840"/>
      <w:bookmarkStart w:id="159" w:name="_Toc7398"/>
      <w:bookmarkStart w:id="160" w:name="_Toc29103"/>
      <w:bookmarkStart w:id="161" w:name="_Toc25612"/>
      <w:bookmarkStart w:id="162" w:name="_Toc30330"/>
      <w:r>
        <w:rPr>
          <w:rFonts w:hint="eastAsia" w:ascii="宋体" w:hAnsi="宋体" w:cs="宋体"/>
          <w:color w:val="auto"/>
          <w:sz w:val="21"/>
          <w:szCs w:val="21"/>
          <w:highlight w:val="none"/>
        </w:rPr>
        <w:t>1.6 保密</w:t>
      </w:r>
      <w:bookmarkEnd w:id="158"/>
      <w:bookmarkEnd w:id="159"/>
      <w:bookmarkEnd w:id="160"/>
      <w:bookmarkEnd w:id="161"/>
      <w:bookmarkEnd w:id="162"/>
    </w:p>
    <w:p w14:paraId="775CF8F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参与比选活动的各方应对比选文件和响应文件中的商业和技术等秘密保密，否则应承担相应的法律责任。</w:t>
      </w:r>
    </w:p>
    <w:p w14:paraId="19DC909C">
      <w:pPr>
        <w:pStyle w:val="5"/>
        <w:adjustRightInd w:val="0"/>
        <w:snapToGrid w:val="0"/>
        <w:spacing w:before="0" w:after="0" w:line="360" w:lineRule="auto"/>
        <w:rPr>
          <w:rFonts w:ascii="宋体" w:hAnsi="宋体" w:cs="宋体"/>
          <w:color w:val="auto"/>
          <w:sz w:val="21"/>
          <w:szCs w:val="21"/>
          <w:highlight w:val="none"/>
        </w:rPr>
      </w:pPr>
      <w:bookmarkStart w:id="163" w:name="_Toc16917"/>
      <w:bookmarkStart w:id="164" w:name="_Toc20662"/>
      <w:bookmarkStart w:id="165" w:name="_Toc17852"/>
      <w:bookmarkStart w:id="166" w:name="_Toc25405"/>
      <w:bookmarkStart w:id="167" w:name="_Toc8650"/>
      <w:r>
        <w:rPr>
          <w:rFonts w:hint="eastAsia" w:ascii="宋体" w:hAnsi="宋体" w:cs="宋体"/>
          <w:color w:val="auto"/>
          <w:sz w:val="21"/>
          <w:szCs w:val="21"/>
          <w:highlight w:val="none"/>
        </w:rPr>
        <w:t>1.7 语言文字</w:t>
      </w:r>
      <w:bookmarkEnd w:id="163"/>
      <w:bookmarkEnd w:id="164"/>
      <w:bookmarkEnd w:id="165"/>
      <w:bookmarkEnd w:id="166"/>
      <w:bookmarkEnd w:id="167"/>
    </w:p>
    <w:p w14:paraId="3EDF8CA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招标响应文件使用的语言文字为中文。专用术语使用外文的，应附有中文注释。</w:t>
      </w:r>
    </w:p>
    <w:p w14:paraId="4C78EB3E">
      <w:pPr>
        <w:pStyle w:val="5"/>
        <w:adjustRightInd w:val="0"/>
        <w:snapToGrid w:val="0"/>
        <w:spacing w:before="0" w:after="0" w:line="360" w:lineRule="auto"/>
        <w:rPr>
          <w:rFonts w:ascii="宋体" w:hAnsi="宋体" w:cs="宋体"/>
          <w:color w:val="auto"/>
          <w:sz w:val="21"/>
          <w:szCs w:val="21"/>
          <w:highlight w:val="none"/>
        </w:rPr>
      </w:pPr>
      <w:bookmarkStart w:id="168" w:name="_Toc21964"/>
      <w:bookmarkStart w:id="169" w:name="_Toc3557"/>
      <w:bookmarkStart w:id="170" w:name="_Toc7795"/>
      <w:bookmarkStart w:id="171" w:name="_Toc27344"/>
      <w:bookmarkStart w:id="172" w:name="_Toc14707"/>
      <w:r>
        <w:rPr>
          <w:rFonts w:hint="eastAsia" w:ascii="宋体" w:hAnsi="宋体" w:cs="宋体"/>
          <w:color w:val="auto"/>
          <w:sz w:val="21"/>
          <w:szCs w:val="21"/>
          <w:highlight w:val="none"/>
        </w:rPr>
        <w:t>1.8 计量单位</w:t>
      </w:r>
      <w:bookmarkEnd w:id="168"/>
      <w:bookmarkEnd w:id="169"/>
      <w:bookmarkEnd w:id="170"/>
      <w:bookmarkEnd w:id="171"/>
      <w:bookmarkEnd w:id="172"/>
    </w:p>
    <w:p w14:paraId="21856D8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所有计量均采用中华人民共和国法定计量单位。</w:t>
      </w:r>
    </w:p>
    <w:p w14:paraId="77843907">
      <w:pPr>
        <w:pStyle w:val="5"/>
        <w:adjustRightInd w:val="0"/>
        <w:snapToGrid w:val="0"/>
        <w:spacing w:before="0" w:after="0" w:line="360" w:lineRule="auto"/>
        <w:rPr>
          <w:rFonts w:ascii="宋体" w:hAnsi="宋体" w:cs="宋体"/>
          <w:color w:val="auto"/>
          <w:sz w:val="21"/>
          <w:szCs w:val="21"/>
          <w:highlight w:val="none"/>
        </w:rPr>
      </w:pPr>
      <w:bookmarkStart w:id="173" w:name="_Toc15575"/>
      <w:bookmarkStart w:id="174" w:name="_Toc1303"/>
      <w:bookmarkStart w:id="175" w:name="_Toc29597"/>
      <w:bookmarkStart w:id="176" w:name="_Toc22621"/>
      <w:bookmarkStart w:id="177" w:name="_Toc20961"/>
      <w:r>
        <w:rPr>
          <w:rFonts w:hint="eastAsia" w:ascii="宋体" w:hAnsi="宋体" w:cs="宋体"/>
          <w:color w:val="auto"/>
          <w:sz w:val="21"/>
          <w:szCs w:val="21"/>
          <w:highlight w:val="none"/>
        </w:rPr>
        <w:t>1.9 踏勘现场</w:t>
      </w:r>
      <w:bookmarkEnd w:id="173"/>
      <w:bookmarkEnd w:id="174"/>
      <w:bookmarkEnd w:id="175"/>
      <w:bookmarkEnd w:id="176"/>
      <w:bookmarkEnd w:id="177"/>
    </w:p>
    <w:p w14:paraId="31433BA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1.9.1供应商须知前附表规定组织踏勘现场的，采购人按供应商须知前附表规定的时间、地点组织供应商踏勘项目现场。</w:t>
      </w:r>
    </w:p>
    <w:p w14:paraId="3362BA5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1.9.2供应商踏勘现场发生的费用自理。</w:t>
      </w:r>
    </w:p>
    <w:p w14:paraId="779D53C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1.9.3除采购人的原因外，供应商自行负责在踏勘现场中所发生的人员伤亡和财产损失。</w:t>
      </w:r>
    </w:p>
    <w:p w14:paraId="23056DB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1.9.4采购人提供的本合同工程的水文、地质、气象和料场分布、取土场、弃土场位置等参考资料，并不构成合同文件的组成部分，供应商应对自己就上述资料的解释、推论和应用负责，采购人不对供应商据此作出的判断和决策承担任何责任。</w:t>
      </w:r>
    </w:p>
    <w:p w14:paraId="7356D53B">
      <w:pPr>
        <w:pStyle w:val="5"/>
        <w:adjustRightInd w:val="0"/>
        <w:snapToGrid w:val="0"/>
        <w:spacing w:before="0" w:after="0" w:line="360" w:lineRule="auto"/>
        <w:rPr>
          <w:rFonts w:ascii="宋体" w:hAnsi="宋体" w:cs="宋体"/>
          <w:color w:val="auto"/>
          <w:sz w:val="21"/>
          <w:szCs w:val="21"/>
          <w:highlight w:val="none"/>
        </w:rPr>
      </w:pPr>
      <w:bookmarkStart w:id="178" w:name="_Toc25576"/>
      <w:bookmarkStart w:id="179" w:name="_Toc9836"/>
      <w:bookmarkStart w:id="180" w:name="_Toc29187"/>
      <w:bookmarkStart w:id="181" w:name="_Toc13078"/>
      <w:bookmarkStart w:id="182" w:name="_Toc18204"/>
      <w:r>
        <w:rPr>
          <w:rFonts w:hint="eastAsia" w:ascii="宋体" w:hAnsi="宋体" w:cs="宋体"/>
          <w:color w:val="auto"/>
          <w:sz w:val="21"/>
          <w:szCs w:val="21"/>
          <w:highlight w:val="none"/>
        </w:rPr>
        <w:t xml:space="preserve">1.10 </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预备会</w:t>
      </w:r>
      <w:bookmarkEnd w:id="178"/>
      <w:bookmarkEnd w:id="179"/>
      <w:bookmarkEnd w:id="180"/>
      <w:bookmarkEnd w:id="181"/>
      <w:bookmarkEnd w:id="182"/>
    </w:p>
    <w:p w14:paraId="70BAB1A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1.10.1 供应商须知前附表规定召开比选预备会的，采购人按供应商须知前附表规定的时间和地点召开比选预备会，澄清供应商提出的问题。</w:t>
      </w:r>
    </w:p>
    <w:p w14:paraId="2979DDF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1.10.2 供应商应在供应商须知前附表规定的时间前，以书面形式将提出的问题送达采购人，以便采购人在会议期间澄清。</w:t>
      </w:r>
    </w:p>
    <w:p w14:paraId="0A27F2A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1.10.3 比选预备会后，采购人在供应商须知前附表规定的时间内，将对供应商所提问题的澄清，以供应商须知前附表规定的形式通知所有供应商。该澄清内容为比选文件的组成部分。</w:t>
      </w:r>
    </w:p>
    <w:p w14:paraId="7DDB1561">
      <w:pPr>
        <w:pStyle w:val="5"/>
        <w:adjustRightInd w:val="0"/>
        <w:snapToGrid w:val="0"/>
        <w:spacing w:before="0" w:after="0" w:line="360" w:lineRule="auto"/>
        <w:rPr>
          <w:rFonts w:ascii="宋体" w:hAnsi="宋体" w:cs="宋体"/>
          <w:color w:val="auto"/>
          <w:sz w:val="21"/>
          <w:szCs w:val="21"/>
          <w:highlight w:val="none"/>
        </w:rPr>
      </w:pPr>
      <w:bookmarkStart w:id="183" w:name="_Toc26796"/>
      <w:bookmarkStart w:id="184" w:name="_Toc18427"/>
      <w:bookmarkStart w:id="185" w:name="_Toc13430"/>
      <w:bookmarkStart w:id="186" w:name="_Toc25553"/>
      <w:bookmarkStart w:id="187" w:name="_Toc25772"/>
      <w:r>
        <w:rPr>
          <w:rFonts w:hint="eastAsia" w:ascii="宋体" w:hAnsi="宋体" w:cs="宋体"/>
          <w:color w:val="auto"/>
          <w:sz w:val="21"/>
          <w:szCs w:val="21"/>
          <w:highlight w:val="none"/>
        </w:rPr>
        <w:t>1.11 分包</w:t>
      </w:r>
      <w:bookmarkEnd w:id="183"/>
      <w:bookmarkEnd w:id="184"/>
      <w:bookmarkEnd w:id="185"/>
      <w:bookmarkEnd w:id="186"/>
      <w:bookmarkEnd w:id="187"/>
    </w:p>
    <w:p w14:paraId="71B4CE2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1.11.1 供应商拟在中选后将中选项目的部分非主体、非关键性工作进行分包的，应符合以下规定：</w:t>
      </w:r>
    </w:p>
    <w:p w14:paraId="2AD25A0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（1）分包内容要求：允许分包的工程范围仅限于非关键性工程或适合专业化队伍施工的专项工程。采购人允许分包或不允许分包的专项工程（如有）应在供应商须知前附表中载明。</w:t>
      </w:r>
    </w:p>
    <w:p w14:paraId="2A608EF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（2）接受分包的第三人资格要求：分包人的资格能力应与其分包工程的标准和规模相适应，且具备供应商须知前附表中规定的资格条件。</w:t>
      </w:r>
    </w:p>
    <w:p w14:paraId="4E28440B">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（3）其他要求：供应商如有分包计划，应按第九章“响应文件格式”的要求填写“拟分包项目情况表”，明确拟分包的工程及规模，且供应商中选后的分包应满足合同条款第 4.3 款的相关要求。</w:t>
      </w:r>
    </w:p>
    <w:p w14:paraId="0A5DD75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1.11.2 中选人不得向他人转让中选项目，接受分包的人不得再次分包。中选人应就分包项目向采购人负责，接受分包的人就分包项目承担连带责任。</w:t>
      </w:r>
    </w:p>
    <w:p w14:paraId="323FF794">
      <w:pPr>
        <w:pStyle w:val="5"/>
        <w:adjustRightInd w:val="0"/>
        <w:snapToGrid w:val="0"/>
        <w:spacing w:before="0" w:after="0" w:line="360" w:lineRule="auto"/>
        <w:rPr>
          <w:rFonts w:ascii="宋体" w:hAnsi="宋体" w:cs="宋体"/>
          <w:color w:val="auto"/>
          <w:sz w:val="21"/>
          <w:szCs w:val="21"/>
          <w:highlight w:val="none"/>
        </w:rPr>
      </w:pPr>
      <w:bookmarkStart w:id="188" w:name="_Toc19608"/>
      <w:bookmarkStart w:id="189" w:name="_Toc29244"/>
      <w:bookmarkStart w:id="190" w:name="_Toc3257"/>
      <w:bookmarkStart w:id="191" w:name="_Toc25883"/>
      <w:bookmarkStart w:id="192" w:name="_Toc23037"/>
      <w:r>
        <w:rPr>
          <w:rFonts w:hint="eastAsia" w:ascii="宋体" w:hAnsi="宋体" w:cs="宋体"/>
          <w:color w:val="auto"/>
          <w:sz w:val="21"/>
          <w:szCs w:val="21"/>
          <w:highlight w:val="none"/>
        </w:rPr>
        <w:t>1.12 响应和偏差</w:t>
      </w:r>
      <w:bookmarkEnd w:id="188"/>
      <w:bookmarkEnd w:id="189"/>
      <w:bookmarkEnd w:id="190"/>
      <w:bookmarkEnd w:id="191"/>
      <w:bookmarkEnd w:id="192"/>
    </w:p>
    <w:p w14:paraId="53B1D5D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1.12.1 响应文件偏离比选文件某些要求，视为响应文件存在偏差。偏差包括重大偏差和细微偏差。</w:t>
      </w:r>
    </w:p>
    <w:p w14:paraId="7EB7A7C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1.12.2 响应文件应对比选文件的实质性要求和条件作出满足性或更有利于采购人的响应，否则，视为响应文件存在重大偏差，供应商的比选将被否决。</w:t>
      </w:r>
    </w:p>
    <w:p w14:paraId="69DF299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响应文件存在第三章“评审办法”中所列任一否决情形的，均属于存在重大偏差。</w:t>
      </w:r>
    </w:p>
    <w:p w14:paraId="1316279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1.12.3 响应文件中的下列偏差为细微偏差：</w:t>
      </w:r>
    </w:p>
    <w:p w14:paraId="02C4AA1F">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在按照第三章“评审办法”的规定对比选</w:t>
      </w:r>
      <w:r>
        <w:rPr>
          <w:rFonts w:hint="eastAsia" w:ascii="宋体" w:hAnsi="宋体" w:eastAsia="宋体" w:cs="宋体"/>
          <w:color w:val="auto"/>
          <w:sz w:val="21"/>
          <w:szCs w:val="21"/>
          <w:highlight w:val="none"/>
          <w:lang w:val="en-US" w:eastAsia="zh-CN"/>
        </w:rPr>
        <w:t>报</w:t>
      </w:r>
      <w:r>
        <w:rPr>
          <w:rFonts w:hint="eastAsia" w:ascii="宋体" w:hAnsi="宋体" w:eastAsia="宋体" w:cs="宋体"/>
          <w:color w:val="auto"/>
          <w:sz w:val="21"/>
          <w:szCs w:val="21"/>
          <w:highlight w:val="none"/>
          <w:lang w:eastAsia="zh-CN"/>
        </w:rPr>
        <w:t>价进行算术性错误修正及其他错误修正后，最终比选报价未超过最高</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限价（如有）的情况下，出现第三章“评审办法”规定的算术性错误和比选报价的其他错误；</w:t>
      </w:r>
    </w:p>
    <w:p w14:paraId="23FC4D4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1.12.4 评审委员会对响应文件中的细微偏差按如下规定处理：</w:t>
      </w:r>
    </w:p>
    <w:p w14:paraId="7C564C3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对于本章第 1.12.3 项所述的细微偏差，按照第三章“评审办法”的规定予以修正并要求供应商进行澄清；</w:t>
      </w:r>
    </w:p>
    <w:p w14:paraId="73794EA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1.12.5 供应商应根据比选文件的要求提供施工组织设计等内容以对比选文件作出响应。</w:t>
      </w:r>
    </w:p>
    <w:p w14:paraId="03B0406C">
      <w:pPr>
        <w:pStyle w:val="4"/>
        <w:adjustRightInd w:val="0"/>
        <w:snapToGrid w:val="0"/>
        <w:spacing w:before="0" w:after="0" w:line="360" w:lineRule="auto"/>
        <w:rPr>
          <w:rFonts w:hint="eastAsia" w:ascii="宋体" w:hAnsi="宋体" w:eastAsia="宋体" w:cs="宋体"/>
          <w:color w:val="auto"/>
          <w:sz w:val="28"/>
          <w:szCs w:val="28"/>
          <w:highlight w:val="none"/>
          <w:lang w:eastAsia="zh-CN"/>
        </w:rPr>
      </w:pPr>
      <w:bookmarkStart w:id="193" w:name="_Toc7258"/>
      <w:bookmarkStart w:id="194" w:name="_Toc10883"/>
      <w:bookmarkStart w:id="195" w:name="_Toc29894"/>
      <w:bookmarkStart w:id="196" w:name="_Toc20619"/>
      <w:r>
        <w:rPr>
          <w:rFonts w:hint="eastAsia" w:ascii="宋体" w:hAnsi="宋体" w:cs="宋体"/>
          <w:color w:val="auto"/>
          <w:sz w:val="28"/>
          <w:szCs w:val="28"/>
          <w:highlight w:val="none"/>
        </w:rPr>
        <w:t xml:space="preserve">2. </w:t>
      </w:r>
      <w:bookmarkEnd w:id="193"/>
      <w:bookmarkEnd w:id="194"/>
      <w:bookmarkEnd w:id="195"/>
      <w:r>
        <w:rPr>
          <w:rFonts w:hint="eastAsia" w:ascii="宋体" w:hAnsi="宋体" w:cs="宋体"/>
          <w:color w:val="auto"/>
          <w:sz w:val="28"/>
          <w:szCs w:val="28"/>
          <w:highlight w:val="none"/>
          <w:lang w:eastAsia="zh-CN"/>
        </w:rPr>
        <w:t>比选文件</w:t>
      </w:r>
      <w:bookmarkEnd w:id="196"/>
    </w:p>
    <w:p w14:paraId="3F184CEF">
      <w:pPr>
        <w:pStyle w:val="5"/>
        <w:adjustRightInd w:val="0"/>
        <w:snapToGrid w:val="0"/>
        <w:spacing w:before="0" w:after="0" w:line="360" w:lineRule="auto"/>
        <w:rPr>
          <w:rFonts w:ascii="宋体" w:hAnsi="宋体" w:cs="宋体"/>
          <w:color w:val="auto"/>
          <w:sz w:val="21"/>
          <w:szCs w:val="21"/>
          <w:highlight w:val="none"/>
        </w:rPr>
      </w:pPr>
      <w:bookmarkStart w:id="197" w:name="_Toc4482"/>
      <w:bookmarkStart w:id="198" w:name="_Toc30743"/>
      <w:bookmarkStart w:id="199" w:name="_Toc24380"/>
      <w:bookmarkStart w:id="200" w:name="_Toc29926"/>
      <w:bookmarkStart w:id="201" w:name="_Toc8594"/>
      <w:r>
        <w:rPr>
          <w:rFonts w:hint="eastAsia" w:ascii="宋体" w:hAnsi="宋体" w:cs="宋体"/>
          <w:color w:val="auto"/>
          <w:sz w:val="21"/>
          <w:szCs w:val="21"/>
          <w:highlight w:val="none"/>
        </w:rPr>
        <w:t xml:space="preserve">2.1 </w:t>
      </w:r>
      <w:r>
        <w:rPr>
          <w:rFonts w:hint="eastAsia" w:ascii="宋体" w:hAnsi="宋体" w:cs="宋体"/>
          <w:color w:val="auto"/>
          <w:sz w:val="21"/>
          <w:szCs w:val="21"/>
          <w:highlight w:val="none"/>
          <w:lang w:eastAsia="zh-CN"/>
        </w:rPr>
        <w:t>比选文件</w:t>
      </w:r>
      <w:r>
        <w:rPr>
          <w:rFonts w:hint="eastAsia" w:ascii="宋体" w:hAnsi="宋体" w:cs="宋体"/>
          <w:color w:val="auto"/>
          <w:sz w:val="21"/>
          <w:szCs w:val="21"/>
          <w:highlight w:val="none"/>
        </w:rPr>
        <w:t>的组成</w:t>
      </w:r>
      <w:bookmarkEnd w:id="197"/>
      <w:bookmarkEnd w:id="198"/>
      <w:bookmarkEnd w:id="199"/>
      <w:bookmarkEnd w:id="200"/>
      <w:bookmarkEnd w:id="201"/>
    </w:p>
    <w:p w14:paraId="7C93A0C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本比选文件包括：</w:t>
      </w:r>
    </w:p>
    <w:p w14:paraId="5471B08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（1）竞争性比选公告（或投标邀请书）；</w:t>
      </w:r>
    </w:p>
    <w:p w14:paraId="05196A0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（2）供应商须知；</w:t>
      </w:r>
    </w:p>
    <w:p w14:paraId="4B32611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（3）评审办法；</w:t>
      </w:r>
    </w:p>
    <w:p w14:paraId="4EB27DE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（4）合同条款及格式；</w:t>
      </w:r>
    </w:p>
    <w:p w14:paraId="2293D80F">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（5）工程量清单；</w:t>
      </w:r>
    </w:p>
    <w:p w14:paraId="7A46BF1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（6）图纸；</w:t>
      </w:r>
    </w:p>
    <w:p w14:paraId="6DAC53E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（7）技术规范；</w:t>
      </w:r>
    </w:p>
    <w:p w14:paraId="7BDD8F8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（8）工程量清单计量规则；</w:t>
      </w:r>
    </w:p>
    <w:p w14:paraId="1A24954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（9）响应文件格式；</w:t>
      </w:r>
    </w:p>
    <w:p w14:paraId="661AD84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（10）供应商须知前附表规定的其他资料。</w:t>
      </w:r>
    </w:p>
    <w:p w14:paraId="665181D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根据本章第1.10 款、第2.2 款和第2.3 款对比选文件所作的澄清、修改，构成比选文件的组成部分。</w:t>
      </w:r>
    </w:p>
    <w:p w14:paraId="31D16C4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当比选文件、比选文件的澄清或修改等在同一内容的表述上不一致时，以最后发出的书面文件为准。当对比选文件的理解有争议的，应当作出不利于采购人的解释，但违背国家利益、社会公共利益的除外。</w:t>
      </w:r>
    </w:p>
    <w:p w14:paraId="3AEE1D2E">
      <w:pPr>
        <w:pStyle w:val="5"/>
        <w:adjustRightInd w:val="0"/>
        <w:snapToGrid w:val="0"/>
        <w:spacing w:before="0" w:after="0" w:line="360" w:lineRule="auto"/>
        <w:rPr>
          <w:rFonts w:ascii="宋体" w:hAnsi="宋体" w:cs="宋体"/>
          <w:color w:val="auto"/>
          <w:sz w:val="21"/>
          <w:szCs w:val="21"/>
          <w:highlight w:val="none"/>
        </w:rPr>
      </w:pPr>
      <w:bookmarkStart w:id="202" w:name="_Toc27894"/>
      <w:bookmarkStart w:id="203" w:name="_Toc16050"/>
      <w:bookmarkStart w:id="204" w:name="_Toc29476"/>
      <w:bookmarkStart w:id="205" w:name="_Toc14974"/>
      <w:bookmarkStart w:id="206" w:name="_Toc6262"/>
      <w:r>
        <w:rPr>
          <w:rFonts w:hint="eastAsia" w:ascii="宋体" w:hAnsi="宋体" w:cs="宋体"/>
          <w:color w:val="auto"/>
          <w:sz w:val="21"/>
          <w:szCs w:val="21"/>
          <w:highlight w:val="none"/>
        </w:rPr>
        <w:t xml:space="preserve">2.2 </w:t>
      </w:r>
      <w:r>
        <w:rPr>
          <w:rFonts w:hint="eastAsia" w:ascii="宋体" w:hAnsi="宋体" w:cs="宋体"/>
          <w:color w:val="auto"/>
          <w:sz w:val="21"/>
          <w:szCs w:val="21"/>
          <w:highlight w:val="none"/>
          <w:lang w:eastAsia="zh-CN"/>
        </w:rPr>
        <w:t>比选文件</w:t>
      </w:r>
      <w:r>
        <w:rPr>
          <w:rFonts w:hint="eastAsia" w:ascii="宋体" w:hAnsi="宋体" w:cs="宋体"/>
          <w:color w:val="auto"/>
          <w:sz w:val="21"/>
          <w:szCs w:val="21"/>
          <w:highlight w:val="none"/>
        </w:rPr>
        <w:t>的澄清</w:t>
      </w:r>
      <w:bookmarkEnd w:id="202"/>
      <w:bookmarkEnd w:id="203"/>
      <w:bookmarkEnd w:id="204"/>
      <w:bookmarkEnd w:id="205"/>
      <w:bookmarkEnd w:id="206"/>
    </w:p>
    <w:p w14:paraId="1994D200">
      <w:pPr>
        <w:pStyle w:val="73"/>
        <w:adjustRightInd w:val="0"/>
        <w:snapToGrid w:val="0"/>
        <w:spacing w:before="0" w:after="0" w:line="360" w:lineRule="auto"/>
        <w:ind w:firstLine="420" w:firstLineChars="200"/>
        <w:jc w:val="left"/>
        <w:rPr>
          <w:rFonts w:ascii="宋体" w:hAnsi="宋体" w:eastAsia="宋体" w:cs="宋体"/>
          <w:snapToGrid w:val="0"/>
          <w:color w:val="auto"/>
          <w:sz w:val="21"/>
          <w:szCs w:val="21"/>
          <w:highlight w:val="none"/>
          <w:lang w:eastAsia="zh-CN"/>
        </w:rPr>
      </w:pPr>
      <w:r>
        <w:rPr>
          <w:rFonts w:hint="eastAsia" w:ascii="宋体" w:hAnsi="宋体" w:eastAsia="宋体" w:cs="宋体"/>
          <w:snapToGrid w:val="0"/>
          <w:color w:val="auto"/>
          <w:sz w:val="21"/>
          <w:szCs w:val="21"/>
          <w:highlight w:val="none"/>
          <w:lang w:eastAsia="zh-CN"/>
        </w:rPr>
        <w:t>2.2.1 供应商应仔细阅读和检查比选文件的全部内容。如发现缺页或附件不全，应及时向采购人提出，以便补齐。如有疑问，应在供应商须知前附表规定的时间前</w:t>
      </w:r>
      <w:r>
        <w:rPr>
          <w:rFonts w:hint="eastAsia" w:ascii="宋体" w:hAnsi="宋体" w:eastAsia="宋体" w:cs="宋体"/>
          <w:color w:val="auto"/>
          <w:sz w:val="21"/>
          <w:szCs w:val="21"/>
          <w:highlight w:val="none"/>
          <w:lang w:eastAsia="zh-CN"/>
        </w:rPr>
        <w:t>在相应法定网站提问</w:t>
      </w:r>
      <w:r>
        <w:rPr>
          <w:rFonts w:hint="eastAsia" w:ascii="宋体" w:hAnsi="宋体" w:eastAsia="宋体" w:cs="宋体"/>
          <w:snapToGrid w:val="0"/>
          <w:color w:val="auto"/>
          <w:sz w:val="21"/>
          <w:szCs w:val="21"/>
          <w:highlight w:val="none"/>
          <w:lang w:eastAsia="zh-CN"/>
        </w:rPr>
        <w:t>，要求采购人对比选文件予以澄清。</w:t>
      </w:r>
    </w:p>
    <w:p w14:paraId="79D6EDF1">
      <w:pPr>
        <w:pStyle w:val="5"/>
        <w:adjustRightInd w:val="0"/>
        <w:snapToGrid w:val="0"/>
        <w:spacing w:before="0" w:after="0" w:line="360" w:lineRule="auto"/>
        <w:rPr>
          <w:rFonts w:ascii="宋体" w:hAnsi="宋体" w:cs="宋体"/>
          <w:color w:val="auto"/>
          <w:sz w:val="21"/>
          <w:szCs w:val="21"/>
          <w:highlight w:val="none"/>
        </w:rPr>
      </w:pPr>
      <w:bookmarkStart w:id="207" w:name="_Toc5532"/>
      <w:bookmarkStart w:id="208" w:name="_Toc11369"/>
      <w:bookmarkStart w:id="209" w:name="_Toc19944"/>
      <w:bookmarkStart w:id="210" w:name="_Toc25158"/>
      <w:bookmarkStart w:id="211" w:name="_Toc27612"/>
      <w:r>
        <w:rPr>
          <w:rFonts w:hint="eastAsia" w:ascii="宋体" w:hAnsi="宋体" w:cs="宋体"/>
          <w:color w:val="auto"/>
          <w:sz w:val="21"/>
          <w:szCs w:val="21"/>
          <w:highlight w:val="none"/>
        </w:rPr>
        <w:t xml:space="preserve">2.3 </w:t>
      </w:r>
      <w:r>
        <w:rPr>
          <w:rFonts w:hint="eastAsia" w:ascii="宋体" w:hAnsi="宋体" w:cs="宋体"/>
          <w:color w:val="auto"/>
          <w:sz w:val="21"/>
          <w:szCs w:val="21"/>
          <w:highlight w:val="none"/>
          <w:lang w:eastAsia="zh-CN"/>
        </w:rPr>
        <w:t>比选文件</w:t>
      </w:r>
      <w:r>
        <w:rPr>
          <w:rFonts w:hint="eastAsia" w:ascii="宋体" w:hAnsi="宋体" w:cs="宋体"/>
          <w:color w:val="auto"/>
          <w:sz w:val="21"/>
          <w:szCs w:val="21"/>
          <w:highlight w:val="none"/>
        </w:rPr>
        <w:t>的修改</w:t>
      </w:r>
      <w:bookmarkEnd w:id="207"/>
      <w:bookmarkEnd w:id="208"/>
      <w:bookmarkEnd w:id="209"/>
      <w:bookmarkEnd w:id="210"/>
      <w:bookmarkEnd w:id="211"/>
    </w:p>
    <w:p w14:paraId="10CD24A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按照本章第2.2款比选文件的澄清相关内容及方式执行。</w:t>
      </w:r>
    </w:p>
    <w:p w14:paraId="1F2D9312">
      <w:pPr>
        <w:pStyle w:val="4"/>
        <w:adjustRightInd w:val="0"/>
        <w:snapToGrid w:val="0"/>
        <w:spacing w:before="0" w:after="0" w:line="360" w:lineRule="auto"/>
        <w:rPr>
          <w:rFonts w:hint="eastAsia" w:ascii="宋体" w:hAnsi="宋体" w:eastAsia="宋体" w:cs="宋体"/>
          <w:color w:val="auto"/>
          <w:sz w:val="28"/>
          <w:szCs w:val="28"/>
          <w:highlight w:val="none"/>
          <w:lang w:eastAsia="zh-CN"/>
        </w:rPr>
      </w:pPr>
      <w:bookmarkStart w:id="212" w:name="_Toc1115"/>
      <w:bookmarkStart w:id="213" w:name="_Toc29803"/>
      <w:bookmarkStart w:id="214" w:name="_Toc29433"/>
      <w:bookmarkStart w:id="215" w:name="_Toc12937"/>
      <w:r>
        <w:rPr>
          <w:rFonts w:hint="eastAsia" w:ascii="宋体" w:hAnsi="宋体" w:cs="宋体"/>
          <w:color w:val="auto"/>
          <w:sz w:val="28"/>
          <w:szCs w:val="28"/>
          <w:highlight w:val="none"/>
        </w:rPr>
        <w:t xml:space="preserve">3. </w:t>
      </w:r>
      <w:bookmarkEnd w:id="212"/>
      <w:bookmarkEnd w:id="213"/>
      <w:bookmarkEnd w:id="214"/>
      <w:r>
        <w:rPr>
          <w:rFonts w:hint="eastAsia" w:ascii="宋体" w:hAnsi="宋体" w:cs="宋体"/>
          <w:color w:val="auto"/>
          <w:sz w:val="28"/>
          <w:szCs w:val="28"/>
          <w:highlight w:val="none"/>
          <w:lang w:eastAsia="zh-CN"/>
        </w:rPr>
        <w:t>响应文件</w:t>
      </w:r>
      <w:bookmarkEnd w:id="215"/>
    </w:p>
    <w:p w14:paraId="5F03B35D">
      <w:pPr>
        <w:pStyle w:val="5"/>
        <w:adjustRightInd w:val="0"/>
        <w:snapToGrid w:val="0"/>
        <w:spacing w:before="0" w:after="0" w:line="360" w:lineRule="auto"/>
        <w:rPr>
          <w:rFonts w:ascii="宋体" w:hAnsi="宋体" w:cs="宋体"/>
          <w:color w:val="auto"/>
          <w:sz w:val="21"/>
          <w:szCs w:val="21"/>
          <w:highlight w:val="none"/>
        </w:rPr>
      </w:pPr>
      <w:bookmarkStart w:id="216" w:name="_Toc21010"/>
      <w:bookmarkStart w:id="217" w:name="_Toc24942"/>
      <w:bookmarkStart w:id="218" w:name="_Toc4489"/>
      <w:bookmarkStart w:id="219" w:name="_Toc27048"/>
      <w:bookmarkStart w:id="220" w:name="_Toc15549"/>
      <w:r>
        <w:rPr>
          <w:rFonts w:hint="eastAsia" w:ascii="宋体" w:hAnsi="宋体" w:cs="宋体"/>
          <w:color w:val="auto"/>
          <w:sz w:val="21"/>
          <w:szCs w:val="21"/>
          <w:highlight w:val="none"/>
        </w:rPr>
        <w:t>3.1</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的组成</w:t>
      </w:r>
      <w:bookmarkEnd w:id="216"/>
      <w:bookmarkEnd w:id="217"/>
      <w:bookmarkEnd w:id="218"/>
      <w:bookmarkEnd w:id="219"/>
      <w:bookmarkEnd w:id="220"/>
    </w:p>
    <w:p w14:paraId="1E63AC4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3.1.1 响应文件应包括下列内容：</w:t>
      </w:r>
    </w:p>
    <w:p w14:paraId="58008630">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宋体" w:hAnsi="宋体" w:cs="宋体"/>
          <w:color w:val="auto"/>
          <w:kern w:val="0"/>
          <w:szCs w:val="21"/>
          <w:highlight w:val="none"/>
          <w:lang w:val="ru-RU"/>
        </w:rPr>
        <w:t>3.1.1.1</w:t>
      </w:r>
      <w:r>
        <w:rPr>
          <w:rFonts w:hint="eastAsia" w:ascii="宋体" w:hAnsi="宋体" w:cs="宋体"/>
          <w:color w:val="auto"/>
          <w:kern w:val="0"/>
          <w:szCs w:val="21"/>
          <w:highlight w:val="none"/>
          <w:lang w:val="ru-RU" w:eastAsia="zh-CN"/>
        </w:rPr>
        <w:t>比选函</w:t>
      </w:r>
      <w:r>
        <w:rPr>
          <w:rFonts w:hint="eastAsia" w:ascii="宋体" w:hAnsi="宋体" w:cs="宋体"/>
          <w:color w:val="auto"/>
          <w:kern w:val="0"/>
          <w:szCs w:val="21"/>
          <w:highlight w:val="none"/>
          <w:lang w:val="ru-RU"/>
        </w:rPr>
        <w:t>部分</w:t>
      </w:r>
    </w:p>
    <w:p w14:paraId="0BBAF98D">
      <w:pPr>
        <w:adjustRightInd w:val="0"/>
        <w:snapToGrid w:val="0"/>
        <w:spacing w:line="360" w:lineRule="auto"/>
        <w:ind w:firstLine="420" w:firstLineChars="200"/>
        <w:rPr>
          <w:rFonts w:hint="eastAsia" w:ascii="宋体" w:hAnsi="宋体" w:eastAsia="宋体" w:cs="宋体"/>
          <w:color w:val="auto"/>
          <w:kern w:val="0"/>
          <w:szCs w:val="21"/>
          <w:highlight w:val="none"/>
          <w:lang w:val="ru-RU" w:eastAsia="zh-CN"/>
        </w:rPr>
      </w:pPr>
      <w:r>
        <w:rPr>
          <w:rFonts w:hint="eastAsia" w:ascii="宋体" w:hAnsi="宋体" w:cs="宋体"/>
          <w:color w:val="auto"/>
          <w:kern w:val="0"/>
          <w:szCs w:val="21"/>
          <w:highlight w:val="none"/>
          <w:lang w:val="ru-RU"/>
        </w:rPr>
        <w:t>（1）</w:t>
      </w:r>
      <w:r>
        <w:rPr>
          <w:rFonts w:hint="eastAsia" w:ascii="宋体" w:hAnsi="宋体" w:cs="宋体"/>
          <w:color w:val="auto"/>
          <w:kern w:val="0"/>
          <w:szCs w:val="21"/>
          <w:highlight w:val="none"/>
          <w:lang w:val="ru-RU" w:eastAsia="zh-CN"/>
        </w:rPr>
        <w:t>比选函</w:t>
      </w:r>
    </w:p>
    <w:p w14:paraId="037DEEBD">
      <w:pPr>
        <w:adjustRightInd w:val="0"/>
        <w:snapToGrid w:val="0"/>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（2）</w:t>
      </w:r>
      <w:r>
        <w:rPr>
          <w:rFonts w:hint="eastAsia" w:ascii="宋体" w:hAnsi="宋体" w:cs="宋体"/>
          <w:color w:val="auto"/>
          <w:kern w:val="0"/>
          <w:szCs w:val="21"/>
          <w:highlight w:val="none"/>
          <w:lang w:val="ru-RU" w:eastAsia="zh-CN"/>
        </w:rPr>
        <w:t>比选函</w:t>
      </w:r>
      <w:r>
        <w:rPr>
          <w:rFonts w:hint="eastAsia" w:ascii="宋体" w:hAnsi="宋体" w:cs="宋体"/>
          <w:color w:val="auto"/>
          <w:kern w:val="0"/>
          <w:szCs w:val="21"/>
          <w:highlight w:val="none"/>
          <w:lang w:val="ru-RU"/>
        </w:rPr>
        <w:t>附录</w:t>
      </w:r>
    </w:p>
    <w:p w14:paraId="4FF17C06">
      <w:pPr>
        <w:adjustRightInd w:val="0"/>
        <w:snapToGrid w:val="0"/>
        <w:spacing w:line="360" w:lineRule="auto"/>
        <w:ind w:firstLine="420" w:firstLineChars="200"/>
        <w:rPr>
          <w:rFonts w:hint="eastAsia" w:ascii="宋体" w:hAnsi="宋体" w:cs="宋体"/>
          <w:color w:val="auto"/>
          <w:kern w:val="0"/>
          <w:szCs w:val="21"/>
          <w:highlight w:val="none"/>
          <w:lang w:val="ru-RU"/>
        </w:rPr>
      </w:pPr>
      <w:r>
        <w:rPr>
          <w:rFonts w:hint="eastAsia" w:ascii="宋体" w:hAnsi="宋体" w:eastAsia="宋体" w:cs="宋体"/>
          <w:color w:val="auto"/>
          <w:kern w:val="0"/>
          <w:sz w:val="21"/>
          <w:szCs w:val="21"/>
          <w:highlight w:val="none"/>
          <w:lang w:val="ru-RU"/>
        </w:rPr>
        <w:t>（</w:t>
      </w:r>
      <w:r>
        <w:rPr>
          <w:rFonts w:hint="eastAsia" w:ascii="宋体" w:hAnsi="宋体" w:eastAsia="宋体" w:cs="宋体"/>
          <w:color w:val="auto"/>
          <w:kern w:val="0"/>
          <w:sz w:val="21"/>
          <w:szCs w:val="21"/>
          <w:highlight w:val="none"/>
          <w:lang w:val="ru-RU" w:eastAsia="zh-CN"/>
        </w:rPr>
        <w:t>3</w:t>
      </w:r>
      <w:r>
        <w:rPr>
          <w:rFonts w:hint="eastAsia" w:ascii="宋体" w:hAnsi="宋体" w:eastAsia="宋体" w:cs="宋体"/>
          <w:color w:val="auto"/>
          <w:kern w:val="0"/>
          <w:sz w:val="21"/>
          <w:szCs w:val="21"/>
          <w:highlight w:val="none"/>
          <w:lang w:val="ru-RU"/>
        </w:rPr>
        <w:t>）</w:t>
      </w:r>
      <w:r>
        <w:rPr>
          <w:rFonts w:hint="eastAsia" w:ascii="宋体" w:hAnsi="宋体" w:cs="宋体"/>
          <w:color w:val="auto"/>
          <w:kern w:val="0"/>
          <w:szCs w:val="21"/>
          <w:highlight w:val="none"/>
          <w:lang w:val="ru-RU"/>
        </w:rPr>
        <w:t>法定代表人身份证明或附有法定代表人身份证明的授权委托书</w:t>
      </w:r>
    </w:p>
    <w:p w14:paraId="065E4633">
      <w:pPr>
        <w:adjustRightInd w:val="0"/>
        <w:snapToGrid w:val="0"/>
        <w:spacing w:line="360" w:lineRule="auto"/>
        <w:ind w:firstLine="420" w:firstLineChars="200"/>
        <w:rPr>
          <w:rFonts w:hint="eastAsia" w:ascii="宋体" w:hAnsi="宋体" w:eastAsia="宋体" w:cs="宋体"/>
          <w:color w:val="auto"/>
          <w:highlight w:val="none"/>
          <w:lang w:val="ru-RU" w:eastAsia="zh-CN"/>
        </w:rPr>
      </w:pPr>
      <w:r>
        <w:rPr>
          <w:rFonts w:hint="eastAsia" w:ascii="宋体" w:hAnsi="宋体" w:cs="宋体"/>
          <w:color w:val="auto"/>
          <w:kern w:val="0"/>
          <w:szCs w:val="21"/>
          <w:highlight w:val="none"/>
          <w:lang w:val="ru-RU"/>
        </w:rPr>
        <w:t>3.1.1.</w:t>
      </w:r>
      <w:r>
        <w:rPr>
          <w:rFonts w:hint="eastAsia" w:ascii="宋体" w:hAnsi="宋体" w:cs="宋体"/>
          <w:color w:val="auto"/>
          <w:kern w:val="0"/>
          <w:szCs w:val="21"/>
          <w:highlight w:val="none"/>
        </w:rPr>
        <w:t>2</w:t>
      </w:r>
      <w:r>
        <w:rPr>
          <w:rFonts w:hint="eastAsia" w:ascii="宋体" w:hAnsi="宋体" w:cs="宋体"/>
          <w:color w:val="auto"/>
          <w:kern w:val="0"/>
          <w:szCs w:val="21"/>
          <w:highlight w:val="none"/>
          <w:lang w:eastAsia="zh-CN"/>
        </w:rPr>
        <w:t>报价部分</w:t>
      </w:r>
    </w:p>
    <w:p w14:paraId="732A4B0A">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宋体" w:hAnsi="宋体" w:cs="宋体"/>
          <w:color w:val="auto"/>
          <w:kern w:val="0"/>
          <w:szCs w:val="21"/>
          <w:highlight w:val="none"/>
          <w:lang w:val="ru-RU"/>
        </w:rPr>
        <w:t>（</w:t>
      </w: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ru-RU"/>
        </w:rPr>
        <w:t>）已标价工程量清单</w:t>
      </w:r>
    </w:p>
    <w:p w14:paraId="473CEE7B">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宋体" w:hAnsi="宋体" w:cs="宋体"/>
          <w:color w:val="auto"/>
          <w:kern w:val="0"/>
          <w:szCs w:val="21"/>
          <w:highlight w:val="none"/>
          <w:lang w:val="ru-RU"/>
        </w:rPr>
        <w:t>3.1.1.</w:t>
      </w:r>
      <w:r>
        <w:rPr>
          <w:rFonts w:hint="eastAsia" w:ascii="宋体" w:hAnsi="宋体" w:cs="宋体"/>
          <w:color w:val="auto"/>
          <w:kern w:val="0"/>
          <w:szCs w:val="21"/>
          <w:highlight w:val="none"/>
        </w:rPr>
        <w:t>3</w:t>
      </w:r>
      <w:r>
        <w:rPr>
          <w:rFonts w:hint="eastAsia" w:ascii="宋体" w:hAnsi="宋体" w:cs="宋体"/>
          <w:color w:val="auto"/>
          <w:kern w:val="0"/>
          <w:szCs w:val="21"/>
          <w:highlight w:val="none"/>
          <w:lang w:val="ru-RU"/>
        </w:rPr>
        <w:t>技术部分</w:t>
      </w:r>
    </w:p>
    <w:p w14:paraId="0B03EA83">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宋体" w:hAnsi="宋体" w:cs="宋体"/>
          <w:color w:val="auto"/>
          <w:kern w:val="0"/>
          <w:szCs w:val="21"/>
          <w:highlight w:val="none"/>
          <w:lang w:val="ru-RU"/>
        </w:rPr>
        <w:t>3.1.1.</w:t>
      </w:r>
      <w:r>
        <w:rPr>
          <w:rFonts w:hint="eastAsia" w:ascii="宋体" w:hAnsi="宋体" w:cs="宋体"/>
          <w:color w:val="auto"/>
          <w:kern w:val="0"/>
          <w:szCs w:val="21"/>
          <w:highlight w:val="none"/>
          <w:lang w:val="en-US" w:eastAsia="zh-CN"/>
        </w:rPr>
        <w:t>4</w:t>
      </w:r>
      <w:r>
        <w:rPr>
          <w:rFonts w:hint="eastAsia" w:ascii="宋体" w:hAnsi="宋体" w:cs="宋体"/>
          <w:color w:val="auto"/>
          <w:kern w:val="0"/>
          <w:szCs w:val="21"/>
          <w:highlight w:val="none"/>
          <w:lang w:val="ru-RU"/>
        </w:rPr>
        <w:t>资格审查部分</w:t>
      </w:r>
    </w:p>
    <w:p w14:paraId="7179FA8A">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宋体" w:hAnsi="宋体" w:cs="宋体"/>
          <w:color w:val="auto"/>
          <w:kern w:val="0"/>
          <w:szCs w:val="21"/>
          <w:highlight w:val="none"/>
          <w:lang w:val="ru-RU"/>
        </w:rPr>
        <w:t>（1）法定代表人身份证明或附有法定代表人身份证明的授权委托书</w:t>
      </w:r>
    </w:p>
    <w:p w14:paraId="25A6E660">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宋体" w:hAnsi="宋体" w:cs="宋体"/>
          <w:color w:val="auto"/>
          <w:kern w:val="0"/>
          <w:szCs w:val="21"/>
          <w:highlight w:val="none"/>
          <w:lang w:val="ru-RU"/>
        </w:rPr>
        <w:t>（2）</w:t>
      </w:r>
      <w:r>
        <w:rPr>
          <w:rFonts w:hint="eastAsia" w:ascii="宋体" w:hAnsi="宋体" w:cs="宋体"/>
          <w:color w:val="auto"/>
          <w:kern w:val="0"/>
          <w:szCs w:val="21"/>
          <w:highlight w:val="none"/>
        </w:rPr>
        <w:t>承诺</w:t>
      </w:r>
    </w:p>
    <w:p w14:paraId="74547149">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宋体" w:hAnsi="宋体" w:cs="宋体"/>
          <w:color w:val="auto"/>
          <w:kern w:val="0"/>
          <w:szCs w:val="21"/>
          <w:highlight w:val="none"/>
          <w:lang w:val="ru-RU"/>
        </w:rPr>
        <w:t>（</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lang w:val="ru-RU"/>
        </w:rPr>
        <w:t>）其他资料</w:t>
      </w:r>
    </w:p>
    <w:p w14:paraId="6CBB837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供应商在</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过程中作出的符合法律法规和比选文件规定的澄清确认，构成响应文件的组成部分。</w:t>
      </w:r>
    </w:p>
    <w:p w14:paraId="6D6D8BB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3.1.2供应商须知前附表规定不接受联合体比选的，或供应商没有组成联合体的，响应文件不包括共同投标协议。</w:t>
      </w:r>
    </w:p>
    <w:p w14:paraId="4ACB650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3.1.3 供应商须知前附表未要求提交比选保证金的，响应文件不包括比选保证金。</w:t>
      </w:r>
    </w:p>
    <w:p w14:paraId="4BC05F23">
      <w:pPr>
        <w:pStyle w:val="5"/>
        <w:adjustRightInd w:val="0"/>
        <w:snapToGrid w:val="0"/>
        <w:spacing w:before="0" w:after="0" w:line="360" w:lineRule="auto"/>
        <w:rPr>
          <w:rFonts w:hint="eastAsia" w:ascii="宋体" w:hAnsi="宋体" w:eastAsia="宋体" w:cs="宋体"/>
          <w:color w:val="auto"/>
          <w:sz w:val="21"/>
          <w:szCs w:val="21"/>
          <w:highlight w:val="none"/>
          <w:lang w:eastAsia="zh-CN"/>
        </w:rPr>
      </w:pPr>
      <w:bookmarkStart w:id="221" w:name="_Toc8450"/>
      <w:bookmarkStart w:id="222" w:name="_Toc24308"/>
      <w:bookmarkStart w:id="223" w:name="_Toc10284"/>
      <w:bookmarkStart w:id="224" w:name="_Toc29109"/>
      <w:bookmarkStart w:id="225" w:name="_Toc30666"/>
      <w:r>
        <w:rPr>
          <w:rFonts w:hint="eastAsia" w:ascii="宋体" w:hAnsi="宋体" w:cs="宋体"/>
          <w:color w:val="auto"/>
          <w:sz w:val="21"/>
          <w:szCs w:val="21"/>
          <w:highlight w:val="none"/>
        </w:rPr>
        <w:t xml:space="preserve">3.2 </w:t>
      </w:r>
      <w:bookmarkEnd w:id="221"/>
      <w:bookmarkEnd w:id="222"/>
      <w:bookmarkEnd w:id="223"/>
      <w:bookmarkEnd w:id="224"/>
      <w:r>
        <w:rPr>
          <w:rFonts w:hint="eastAsia" w:ascii="宋体" w:hAnsi="宋体" w:cs="宋体"/>
          <w:color w:val="auto"/>
          <w:sz w:val="21"/>
          <w:szCs w:val="21"/>
          <w:highlight w:val="none"/>
          <w:lang w:eastAsia="zh-CN"/>
        </w:rPr>
        <w:t>比选报价</w:t>
      </w:r>
      <w:bookmarkEnd w:id="225"/>
    </w:p>
    <w:p w14:paraId="44D00DA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3.2.1 比选报价应包括国家规定的增值税税金，除供应商须知前附表另有规定外，增值税税金按一般计税方法计算。供应商应按第九章“响应文件格式”的要求在比选函中进行报价并填写工程量清单相应表格。</w:t>
      </w:r>
    </w:p>
    <w:p w14:paraId="776371B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3.2.2 供应商应充分了解本项目的总体情况以及影响比选报价的其他要素。</w:t>
      </w:r>
    </w:p>
    <w:p w14:paraId="016BD58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3.2.3 本项目的报价方式见供应商须知前附表。供应商在比选截止时间前修改比选函中的比选总报价，应同时修改响应文件“已标价工程量清单”中的相应报价。此修改须符合本章第 4.3 款的有关要求。</w:t>
      </w:r>
    </w:p>
    <w:p w14:paraId="6967F1E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3.2.4 供应商如果发现工程量清单中的数量与图纸中数量不一致时，应立即通知采购人核查，除非采购人按照本章第2.2 款或2.3 款的有关要求，以比选文件澄清或修改的方式予以更正，否则，应以工程量清单中列出的数量为准。</w:t>
      </w:r>
    </w:p>
    <w:p w14:paraId="4F0CDD6F">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eastAsia="zh-CN"/>
        </w:rPr>
        <w:t xml:space="preserve"> 比选报价的其他要求见供应商须知前附表。</w:t>
      </w:r>
    </w:p>
    <w:p w14:paraId="39696000">
      <w:pPr>
        <w:pStyle w:val="5"/>
        <w:adjustRightInd w:val="0"/>
        <w:snapToGrid w:val="0"/>
        <w:spacing w:before="0" w:after="0" w:line="360" w:lineRule="auto"/>
        <w:rPr>
          <w:rFonts w:hint="eastAsia" w:ascii="宋体" w:hAnsi="宋体" w:eastAsia="宋体" w:cs="宋体"/>
          <w:color w:val="auto"/>
          <w:sz w:val="21"/>
          <w:szCs w:val="21"/>
          <w:highlight w:val="none"/>
          <w:lang w:eastAsia="zh-CN"/>
        </w:rPr>
      </w:pPr>
      <w:bookmarkStart w:id="226" w:name="_Toc27745"/>
      <w:bookmarkStart w:id="227" w:name="_Toc29656"/>
      <w:bookmarkStart w:id="228" w:name="_Toc23688"/>
      <w:bookmarkStart w:id="229" w:name="_Toc12845"/>
      <w:bookmarkStart w:id="230" w:name="_Toc8685"/>
      <w:r>
        <w:rPr>
          <w:rFonts w:hint="eastAsia" w:ascii="宋体" w:hAnsi="宋体" w:cs="宋体"/>
          <w:color w:val="auto"/>
          <w:sz w:val="21"/>
          <w:szCs w:val="21"/>
          <w:highlight w:val="none"/>
        </w:rPr>
        <w:t>3.3</w:t>
      </w:r>
      <w:bookmarkEnd w:id="226"/>
      <w:bookmarkEnd w:id="227"/>
      <w:bookmarkEnd w:id="228"/>
      <w:bookmarkEnd w:id="229"/>
      <w:bookmarkEnd w:id="230"/>
      <w:r>
        <w:rPr>
          <w:rFonts w:hint="eastAsia" w:ascii="宋体" w:hAnsi="宋体" w:cs="宋体"/>
          <w:color w:val="auto"/>
          <w:sz w:val="21"/>
          <w:szCs w:val="21"/>
          <w:highlight w:val="none"/>
          <w:lang w:eastAsia="zh-CN"/>
        </w:rPr>
        <w:t>比选有效期</w:t>
      </w:r>
    </w:p>
    <w:p w14:paraId="113358E3">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3.3.1  在供应商须知前附表规定的比选有效期内，供应商不得要求撤销或修改其响应文件。</w:t>
      </w:r>
    </w:p>
    <w:p w14:paraId="59A0ACE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3.3.2  出现特殊情况需要延长比选有效期的，采购人以书面形式通知所有供应商延长比选有效期。供应商同意延长的，但不得要求或被允许修改或撤销其响应文件；供应商拒绝延长的，其比选失效，但供应商有权收回其比选保证金。</w:t>
      </w:r>
    </w:p>
    <w:p w14:paraId="15285E3A">
      <w:pPr>
        <w:pStyle w:val="5"/>
        <w:adjustRightInd w:val="0"/>
        <w:snapToGrid w:val="0"/>
        <w:spacing w:before="0" w:after="0" w:line="360" w:lineRule="auto"/>
        <w:rPr>
          <w:rFonts w:hint="eastAsia" w:ascii="宋体" w:hAnsi="宋体" w:eastAsia="宋体" w:cs="宋体"/>
          <w:color w:val="auto"/>
          <w:sz w:val="21"/>
          <w:szCs w:val="21"/>
          <w:highlight w:val="none"/>
          <w:lang w:eastAsia="zh-CN"/>
        </w:rPr>
      </w:pPr>
      <w:bookmarkStart w:id="231" w:name="_Toc20690"/>
      <w:bookmarkStart w:id="232" w:name="_Toc30489"/>
      <w:bookmarkStart w:id="233" w:name="_Toc5031"/>
      <w:bookmarkStart w:id="234" w:name="_Toc21020"/>
      <w:bookmarkStart w:id="235" w:name="_Toc2429"/>
      <w:r>
        <w:rPr>
          <w:rFonts w:hint="eastAsia" w:ascii="宋体" w:hAnsi="宋体" w:cs="宋体"/>
          <w:color w:val="auto"/>
          <w:sz w:val="21"/>
          <w:szCs w:val="21"/>
          <w:highlight w:val="none"/>
        </w:rPr>
        <w:t xml:space="preserve">3.4 </w:t>
      </w:r>
      <w:bookmarkEnd w:id="231"/>
      <w:bookmarkEnd w:id="232"/>
      <w:bookmarkEnd w:id="233"/>
      <w:bookmarkEnd w:id="234"/>
      <w:r>
        <w:rPr>
          <w:rFonts w:hint="eastAsia" w:ascii="宋体" w:hAnsi="宋体" w:cs="宋体"/>
          <w:color w:val="auto"/>
          <w:sz w:val="21"/>
          <w:szCs w:val="21"/>
          <w:highlight w:val="none"/>
          <w:lang w:eastAsia="zh-CN"/>
        </w:rPr>
        <w:t>比选保证金</w:t>
      </w:r>
      <w:bookmarkEnd w:id="235"/>
    </w:p>
    <w:p w14:paraId="29FD369A">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3.4.1  供应商在递交响应文件的同时，应按供应商须知前附表规定的金额、担保形式规定的比选保证金格式递交比选保证金，并作为其响应文件的组成部分。</w:t>
      </w:r>
    </w:p>
    <w:p w14:paraId="682DD3F7">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3.4.2  供应商不按供应商须知前附表第 3.4 项要求提交比选保证金的，其响应文件按否决处理。</w:t>
      </w:r>
    </w:p>
    <w:p w14:paraId="209B475C">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3.4.3  比选保证金退还：见供应商须知前附表。</w:t>
      </w:r>
    </w:p>
    <w:p w14:paraId="68530D59">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3.4.4  有下列情形之一的，比选保证金将不予退还：</w:t>
      </w:r>
    </w:p>
    <w:p w14:paraId="0DF87B0F">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（1）供应商在规定的比选有效期内撤销或修改其响应文件；</w:t>
      </w:r>
    </w:p>
    <w:p w14:paraId="792D4825">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（2）中选人在收到中选通知书后，无正当理由拒签合同协议书，在签订合同时向采购人提出附加条件，或未按竞争性比选文件规定提交履约担保；</w:t>
      </w:r>
    </w:p>
    <w:p w14:paraId="0504E882">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（3）违反供应商须知第9.2款对供应商的纪律要求的；</w:t>
      </w:r>
    </w:p>
    <w:p w14:paraId="0FF787AB">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（4）法律法规和竞争性比选文件规定的其他情形。</w:t>
      </w:r>
    </w:p>
    <w:p w14:paraId="21101CB0">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3.4.5 其它说明</w:t>
      </w:r>
    </w:p>
    <w:p w14:paraId="4DA26922">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（1）比选保证金为无条件担保；</w:t>
      </w:r>
    </w:p>
    <w:p w14:paraId="4BAADAC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（2）比选保证金的受益人为采购人。</w:t>
      </w:r>
    </w:p>
    <w:p w14:paraId="5538CAB1">
      <w:pPr>
        <w:pStyle w:val="5"/>
        <w:adjustRightInd w:val="0"/>
        <w:snapToGrid w:val="0"/>
        <w:spacing w:before="0" w:after="0" w:line="360" w:lineRule="auto"/>
        <w:rPr>
          <w:rFonts w:ascii="宋体" w:hAnsi="宋体" w:cs="宋体"/>
          <w:color w:val="auto"/>
          <w:sz w:val="21"/>
          <w:szCs w:val="21"/>
          <w:highlight w:val="none"/>
        </w:rPr>
      </w:pPr>
      <w:bookmarkStart w:id="236" w:name="_Toc15712"/>
      <w:bookmarkStart w:id="237" w:name="_Toc15177"/>
      <w:bookmarkStart w:id="238" w:name="_Toc5412"/>
      <w:bookmarkStart w:id="239" w:name="_Toc27513"/>
      <w:bookmarkStart w:id="240" w:name="_Toc6811"/>
      <w:r>
        <w:rPr>
          <w:rFonts w:hint="eastAsia" w:ascii="宋体" w:hAnsi="宋体" w:cs="宋体"/>
          <w:color w:val="auto"/>
          <w:sz w:val="21"/>
          <w:szCs w:val="21"/>
          <w:highlight w:val="none"/>
        </w:rPr>
        <w:t>3.5资格审查资料</w:t>
      </w:r>
      <w:bookmarkEnd w:id="236"/>
      <w:bookmarkEnd w:id="237"/>
      <w:bookmarkEnd w:id="238"/>
      <w:bookmarkEnd w:id="239"/>
      <w:bookmarkEnd w:id="240"/>
    </w:p>
    <w:p w14:paraId="0B108404">
      <w:pPr>
        <w:pStyle w:val="73"/>
        <w:adjustRightInd w:val="0"/>
        <w:snapToGrid w:val="0"/>
        <w:spacing w:before="0" w:after="0" w:line="360" w:lineRule="auto"/>
        <w:ind w:firstLine="44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Cs w:val="21"/>
          <w:highlight w:val="none"/>
          <w:lang w:val="en-US" w:eastAsia="zh-CN"/>
        </w:rPr>
        <w:t>按</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须知前附表1.4.1项要求提供的资料提供。</w:t>
      </w:r>
    </w:p>
    <w:p w14:paraId="46B8DE9F">
      <w:pPr>
        <w:pStyle w:val="5"/>
        <w:adjustRightInd w:val="0"/>
        <w:snapToGrid w:val="0"/>
        <w:spacing w:before="0" w:after="0" w:line="360" w:lineRule="auto"/>
        <w:rPr>
          <w:rFonts w:ascii="宋体" w:hAnsi="宋体" w:cs="宋体"/>
          <w:color w:val="auto"/>
          <w:sz w:val="21"/>
          <w:szCs w:val="21"/>
          <w:highlight w:val="none"/>
        </w:rPr>
      </w:pPr>
      <w:bookmarkStart w:id="241" w:name="_Toc18798"/>
      <w:bookmarkStart w:id="242" w:name="_Toc19376"/>
      <w:bookmarkStart w:id="243" w:name="_Toc30021"/>
      <w:bookmarkStart w:id="244" w:name="_Toc1288"/>
      <w:bookmarkStart w:id="245" w:name="_Toc29143"/>
      <w:r>
        <w:rPr>
          <w:rFonts w:hint="eastAsia" w:ascii="宋体" w:hAnsi="宋体" w:cs="宋体"/>
          <w:color w:val="auto"/>
          <w:sz w:val="21"/>
          <w:szCs w:val="21"/>
          <w:highlight w:val="none"/>
        </w:rPr>
        <w:t>3.6 备选</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方案</w:t>
      </w:r>
      <w:bookmarkEnd w:id="241"/>
      <w:bookmarkEnd w:id="242"/>
      <w:bookmarkEnd w:id="243"/>
      <w:bookmarkEnd w:id="244"/>
      <w:bookmarkEnd w:id="245"/>
    </w:p>
    <w:p w14:paraId="4904566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3.6.1 除供应商须知前附表规定允许外，供应商不得递交备选</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方案，否则其</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将被否决。</w:t>
      </w:r>
    </w:p>
    <w:p w14:paraId="235FABCF">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3.6.2 允许供应商递交备选</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方案的，只有中选人所递交的备选</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方案方可予以考虑。评审委员会认为中选人的备选</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方案优于其按照比选文件要求编制的</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方案的，采购人可以接受该备选</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方案。</w:t>
      </w:r>
    </w:p>
    <w:p w14:paraId="4456164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3.6.3 供应商提供两个或两个以上比选报价，或在响应文件中提供一个报价，但同时提供两个或两个以上施工组织设计的，视为提供备选方案。</w:t>
      </w:r>
    </w:p>
    <w:p w14:paraId="37F36D48">
      <w:pPr>
        <w:pStyle w:val="5"/>
        <w:adjustRightInd w:val="0"/>
        <w:snapToGrid w:val="0"/>
        <w:spacing w:before="0" w:after="0" w:line="360" w:lineRule="auto"/>
        <w:rPr>
          <w:rFonts w:ascii="宋体" w:hAnsi="宋体" w:cs="宋体"/>
          <w:color w:val="auto"/>
          <w:sz w:val="21"/>
          <w:szCs w:val="21"/>
          <w:highlight w:val="none"/>
        </w:rPr>
      </w:pPr>
      <w:bookmarkStart w:id="246" w:name="_Toc2543"/>
      <w:bookmarkStart w:id="247" w:name="_Toc7452"/>
      <w:bookmarkStart w:id="248" w:name="_Toc8746"/>
      <w:bookmarkStart w:id="249" w:name="_Toc17687"/>
      <w:bookmarkStart w:id="250" w:name="_Toc25381"/>
      <w:r>
        <w:rPr>
          <w:rFonts w:hint="eastAsia" w:ascii="宋体" w:hAnsi="宋体" w:cs="宋体"/>
          <w:color w:val="auto"/>
          <w:sz w:val="21"/>
          <w:szCs w:val="21"/>
          <w:highlight w:val="none"/>
        </w:rPr>
        <w:t xml:space="preserve">3.7 </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的编制</w:t>
      </w:r>
      <w:bookmarkEnd w:id="246"/>
      <w:bookmarkEnd w:id="247"/>
      <w:bookmarkEnd w:id="248"/>
      <w:bookmarkEnd w:id="249"/>
      <w:bookmarkEnd w:id="250"/>
    </w:p>
    <w:p w14:paraId="7121561B">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3.7.1 响应文件应按第九章“响应文件格式”进行编写，如有必要，可以增加附页，作为响应文件的组成部分。其中，比选函附录在满足比选文件实质性要求的基础上，可以提出比比选文件要求更有利于采购人的承诺。</w:t>
      </w:r>
    </w:p>
    <w:p w14:paraId="533FD24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3.7.2 响应文件应对比选文件有关工期、比选有效期、质量要求、安全目标、技术标准和要求、比选范围等实质性内容作出响应。</w:t>
      </w:r>
    </w:p>
    <w:p w14:paraId="35FFCE4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3.7.3 响应文件的签名盖章要求：按本章供应商须知前附表第3.7.3项执行。</w:t>
      </w:r>
    </w:p>
    <w:p w14:paraId="08BBE2E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3.7.4 响应文件份数：见供应商须知前附表。</w:t>
      </w:r>
    </w:p>
    <w:p w14:paraId="1709543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3.7.5 响应文件应按规定格式排版，并编制目录，具体编制要求见供应商须知前附表规定。</w:t>
      </w:r>
    </w:p>
    <w:p w14:paraId="2DBB6B6B">
      <w:pPr>
        <w:pStyle w:val="4"/>
        <w:adjustRightInd w:val="0"/>
        <w:snapToGrid w:val="0"/>
        <w:spacing w:before="0" w:after="0" w:line="360" w:lineRule="auto"/>
        <w:rPr>
          <w:rFonts w:hint="eastAsia" w:ascii="宋体" w:hAnsi="宋体" w:eastAsia="宋体" w:cs="宋体"/>
          <w:color w:val="auto"/>
          <w:sz w:val="28"/>
          <w:szCs w:val="28"/>
          <w:highlight w:val="none"/>
          <w:lang w:eastAsia="zh-CN"/>
        </w:rPr>
      </w:pPr>
      <w:bookmarkStart w:id="251" w:name="_Toc15598"/>
      <w:bookmarkStart w:id="252" w:name="_Toc26412"/>
      <w:bookmarkStart w:id="253" w:name="_Toc24813"/>
      <w:bookmarkStart w:id="254" w:name="_Toc26466"/>
      <w:r>
        <w:rPr>
          <w:rFonts w:hint="eastAsia" w:ascii="宋体" w:hAnsi="宋体" w:cs="宋体"/>
          <w:color w:val="auto"/>
          <w:sz w:val="28"/>
          <w:szCs w:val="28"/>
          <w:highlight w:val="none"/>
        </w:rPr>
        <w:t xml:space="preserve">4. </w:t>
      </w:r>
      <w:bookmarkEnd w:id="251"/>
      <w:bookmarkEnd w:id="252"/>
      <w:bookmarkEnd w:id="253"/>
      <w:bookmarkEnd w:id="254"/>
      <w:r>
        <w:rPr>
          <w:rFonts w:hint="eastAsia" w:ascii="宋体" w:hAnsi="宋体" w:cs="宋体"/>
          <w:color w:val="auto"/>
          <w:sz w:val="28"/>
          <w:szCs w:val="28"/>
          <w:highlight w:val="none"/>
          <w:lang w:val="en-US" w:eastAsia="zh-CN"/>
        </w:rPr>
        <w:t>参</w:t>
      </w:r>
      <w:r>
        <w:rPr>
          <w:rFonts w:hint="eastAsia" w:ascii="宋体" w:hAnsi="宋体" w:cs="宋体"/>
          <w:color w:val="auto"/>
          <w:sz w:val="28"/>
          <w:szCs w:val="28"/>
          <w:highlight w:val="none"/>
          <w:lang w:eastAsia="zh-CN"/>
        </w:rPr>
        <w:t>选</w:t>
      </w:r>
    </w:p>
    <w:p w14:paraId="74E2F110">
      <w:pPr>
        <w:pStyle w:val="5"/>
        <w:adjustRightInd w:val="0"/>
        <w:snapToGrid w:val="0"/>
        <w:spacing w:before="0" w:after="0" w:line="360" w:lineRule="auto"/>
        <w:rPr>
          <w:rFonts w:ascii="宋体" w:hAnsi="宋体" w:cs="宋体"/>
          <w:color w:val="auto"/>
          <w:sz w:val="21"/>
          <w:szCs w:val="21"/>
          <w:highlight w:val="none"/>
        </w:rPr>
      </w:pPr>
      <w:bookmarkStart w:id="255" w:name="_Toc18206"/>
      <w:bookmarkStart w:id="256" w:name="_Toc30384"/>
      <w:bookmarkStart w:id="257" w:name="_Toc29707"/>
      <w:bookmarkStart w:id="258" w:name="_Toc189"/>
      <w:bookmarkStart w:id="259" w:name="_Toc27996"/>
      <w:r>
        <w:rPr>
          <w:rFonts w:hint="eastAsia" w:ascii="宋体" w:hAnsi="宋体" w:cs="宋体"/>
          <w:color w:val="auto"/>
          <w:sz w:val="21"/>
          <w:szCs w:val="21"/>
          <w:highlight w:val="none"/>
        </w:rPr>
        <w:t xml:space="preserve">4.1 </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的密封和标识</w:t>
      </w:r>
      <w:bookmarkEnd w:id="255"/>
      <w:bookmarkEnd w:id="256"/>
      <w:bookmarkEnd w:id="257"/>
      <w:bookmarkEnd w:id="258"/>
      <w:bookmarkEnd w:id="259"/>
    </w:p>
    <w:p w14:paraId="6DC78FA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4.1.1 响应文件的密封：见供应商须知前附表。</w:t>
      </w:r>
    </w:p>
    <w:p w14:paraId="37B8F91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4.1.2 响应文件</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lang w:eastAsia="zh-CN"/>
        </w:rPr>
        <w:t>封套上应写明的内容：见供应商须知前附表。</w:t>
      </w:r>
    </w:p>
    <w:p w14:paraId="6D0F18AB">
      <w:pPr>
        <w:pStyle w:val="5"/>
        <w:adjustRightInd w:val="0"/>
        <w:snapToGrid w:val="0"/>
        <w:spacing w:before="0" w:after="0" w:line="360" w:lineRule="auto"/>
        <w:rPr>
          <w:rFonts w:ascii="宋体" w:hAnsi="宋体" w:cs="宋体"/>
          <w:color w:val="auto"/>
          <w:sz w:val="21"/>
          <w:szCs w:val="21"/>
          <w:highlight w:val="none"/>
        </w:rPr>
      </w:pPr>
      <w:bookmarkStart w:id="260" w:name="_Toc22682"/>
      <w:bookmarkStart w:id="261" w:name="_Toc17181"/>
      <w:bookmarkStart w:id="262" w:name="_Toc29837"/>
      <w:bookmarkStart w:id="263" w:name="_Toc31468"/>
      <w:bookmarkStart w:id="264" w:name="_Toc18944"/>
      <w:r>
        <w:rPr>
          <w:rFonts w:hint="eastAsia" w:ascii="宋体" w:hAnsi="宋体" w:cs="宋体"/>
          <w:color w:val="auto"/>
          <w:sz w:val="21"/>
          <w:szCs w:val="21"/>
          <w:highlight w:val="none"/>
        </w:rPr>
        <w:t>4.2</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的递交</w:t>
      </w:r>
      <w:bookmarkEnd w:id="260"/>
      <w:bookmarkEnd w:id="261"/>
      <w:bookmarkEnd w:id="262"/>
      <w:bookmarkEnd w:id="263"/>
      <w:bookmarkEnd w:id="264"/>
    </w:p>
    <w:p w14:paraId="5695682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4.2.1 供应商应在供应商须知前附表第 2.2.2 项规定的比选截止时间前递交响应文件。</w:t>
      </w:r>
    </w:p>
    <w:p w14:paraId="613CC21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4.2.2 供应商递交响应文件的地点：见供应商须知前附表。</w:t>
      </w:r>
    </w:p>
    <w:p w14:paraId="52C851F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4.2.3 除供应商须知前附表另有规定外，供应商所递交的响应文件不予退还。</w:t>
      </w:r>
    </w:p>
    <w:p w14:paraId="1DE1326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4.2.4逾期送达的或者未送达指定地点的响应文件，采购人不予受理。</w:t>
      </w:r>
    </w:p>
    <w:p w14:paraId="61291E53">
      <w:pPr>
        <w:pStyle w:val="5"/>
        <w:adjustRightInd w:val="0"/>
        <w:snapToGrid w:val="0"/>
        <w:spacing w:before="0" w:after="0" w:line="360" w:lineRule="auto"/>
        <w:rPr>
          <w:rFonts w:ascii="宋体" w:hAnsi="宋体" w:cs="宋体"/>
          <w:color w:val="auto"/>
          <w:sz w:val="21"/>
          <w:szCs w:val="21"/>
          <w:highlight w:val="none"/>
        </w:rPr>
      </w:pPr>
      <w:bookmarkStart w:id="265" w:name="_Toc10929"/>
      <w:bookmarkStart w:id="266" w:name="_Toc25799"/>
      <w:bookmarkStart w:id="267" w:name="_Toc24234"/>
      <w:bookmarkStart w:id="268" w:name="_Toc2209"/>
      <w:bookmarkStart w:id="269" w:name="_Toc22470"/>
      <w:r>
        <w:rPr>
          <w:rFonts w:hint="eastAsia" w:ascii="宋体" w:hAnsi="宋体" w:cs="宋体"/>
          <w:color w:val="auto"/>
          <w:sz w:val="21"/>
          <w:szCs w:val="21"/>
          <w:highlight w:val="none"/>
        </w:rPr>
        <w:t xml:space="preserve">4.3 </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的修改与撤回</w:t>
      </w:r>
      <w:bookmarkEnd w:id="265"/>
      <w:bookmarkEnd w:id="266"/>
      <w:bookmarkEnd w:id="267"/>
      <w:bookmarkEnd w:id="268"/>
      <w:bookmarkEnd w:id="269"/>
    </w:p>
    <w:p w14:paraId="3288126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4.3.1 </w:t>
      </w:r>
      <w:r>
        <w:rPr>
          <w:rFonts w:hint="eastAsia" w:ascii="宋体" w:hAnsi="宋体" w:eastAsia="宋体" w:cs="宋体"/>
          <w:snapToGrid w:val="0"/>
          <w:color w:val="auto"/>
          <w:sz w:val="21"/>
          <w:szCs w:val="21"/>
          <w:highlight w:val="none"/>
          <w:lang w:eastAsia="zh-CN"/>
        </w:rPr>
        <w:t>在供应商须知前附表第2.2.2项规定的比选截止时间前</w:t>
      </w:r>
      <w:r>
        <w:rPr>
          <w:rFonts w:hint="eastAsia" w:ascii="宋体" w:hAnsi="宋体" w:eastAsia="宋体" w:cs="宋体"/>
          <w:color w:val="auto"/>
          <w:sz w:val="21"/>
          <w:szCs w:val="21"/>
          <w:highlight w:val="none"/>
          <w:lang w:eastAsia="zh-CN"/>
        </w:rPr>
        <w:t>，供应商可以修改或撤回已递交的响应文件。</w:t>
      </w:r>
    </w:p>
    <w:p w14:paraId="4ACAB282">
      <w:pPr>
        <w:pStyle w:val="4"/>
        <w:adjustRightInd w:val="0"/>
        <w:snapToGrid w:val="0"/>
        <w:spacing w:before="0" w:after="0" w:line="360" w:lineRule="auto"/>
        <w:rPr>
          <w:rFonts w:hint="eastAsia" w:ascii="宋体" w:hAnsi="宋体" w:eastAsia="宋体" w:cs="宋体"/>
          <w:color w:val="auto"/>
          <w:sz w:val="28"/>
          <w:szCs w:val="28"/>
          <w:highlight w:val="none"/>
          <w:lang w:eastAsia="zh-CN"/>
        </w:rPr>
      </w:pPr>
      <w:bookmarkStart w:id="270" w:name="_Toc19741"/>
      <w:bookmarkStart w:id="271" w:name="_Toc12687"/>
      <w:bookmarkStart w:id="272" w:name="_Toc31725"/>
      <w:bookmarkStart w:id="273" w:name="_Toc31980"/>
      <w:r>
        <w:rPr>
          <w:rFonts w:hint="eastAsia" w:ascii="宋体" w:hAnsi="宋体" w:cs="宋体"/>
          <w:color w:val="auto"/>
          <w:sz w:val="28"/>
          <w:szCs w:val="28"/>
          <w:highlight w:val="none"/>
        </w:rPr>
        <w:t xml:space="preserve">5. </w:t>
      </w:r>
      <w:bookmarkEnd w:id="270"/>
      <w:bookmarkEnd w:id="271"/>
      <w:bookmarkEnd w:id="272"/>
      <w:bookmarkEnd w:id="273"/>
      <w:r>
        <w:rPr>
          <w:rFonts w:hint="eastAsia" w:ascii="宋体" w:hAnsi="宋体" w:cs="宋体"/>
          <w:color w:val="auto"/>
          <w:sz w:val="28"/>
          <w:szCs w:val="28"/>
          <w:highlight w:val="none"/>
          <w:lang w:eastAsia="zh-CN"/>
        </w:rPr>
        <w:t>比选</w:t>
      </w:r>
    </w:p>
    <w:p w14:paraId="347C278B">
      <w:pPr>
        <w:pStyle w:val="5"/>
        <w:adjustRightInd w:val="0"/>
        <w:snapToGrid w:val="0"/>
        <w:spacing w:before="0" w:after="0" w:line="360" w:lineRule="auto"/>
        <w:rPr>
          <w:rFonts w:ascii="宋体" w:hAnsi="宋体" w:cs="宋体"/>
          <w:color w:val="auto"/>
          <w:sz w:val="21"/>
          <w:szCs w:val="21"/>
          <w:highlight w:val="none"/>
        </w:rPr>
      </w:pPr>
      <w:bookmarkStart w:id="274" w:name="_Toc28095"/>
      <w:bookmarkStart w:id="275" w:name="_Toc7045"/>
      <w:bookmarkStart w:id="276" w:name="_Toc19954"/>
      <w:bookmarkStart w:id="277" w:name="_Toc28397"/>
      <w:bookmarkStart w:id="278" w:name="_Toc16710"/>
      <w:r>
        <w:rPr>
          <w:rFonts w:hint="eastAsia" w:ascii="宋体" w:hAnsi="宋体" w:cs="宋体"/>
          <w:color w:val="auto"/>
          <w:sz w:val="21"/>
          <w:szCs w:val="21"/>
          <w:highlight w:val="none"/>
        </w:rPr>
        <w:t xml:space="preserve">5.1 </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时间和地点</w:t>
      </w:r>
      <w:bookmarkEnd w:id="274"/>
      <w:bookmarkEnd w:id="275"/>
      <w:bookmarkEnd w:id="276"/>
      <w:bookmarkEnd w:id="277"/>
      <w:bookmarkEnd w:id="278"/>
    </w:p>
    <w:p w14:paraId="1B56898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5.1.1</w:t>
      </w:r>
      <w:r>
        <w:rPr>
          <w:rFonts w:hint="eastAsia" w:ascii="宋体" w:hAnsi="宋体" w:eastAsia="宋体" w:cs="宋体"/>
          <w:color w:val="auto"/>
          <w:sz w:val="21"/>
          <w:szCs w:val="21"/>
          <w:highlight w:val="none"/>
          <w:lang w:eastAsia="zh-CN"/>
        </w:rPr>
        <w:t>采购人在本章第 4.2.1 项规定的比选截止时间（比选时间）和供应商须知前附表规定的地点对收到的响应文件公开比选，并邀请所有供应商的法定代表人或其委托代理人准时参加。</w:t>
      </w:r>
    </w:p>
    <w:p w14:paraId="50C7AD8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供应商若未派法定代表人或委托代理人出席比选活动，视为该供应商默认比选结果。</w:t>
      </w:r>
    </w:p>
    <w:p w14:paraId="59E1CCE3">
      <w:pPr>
        <w:pStyle w:val="5"/>
        <w:adjustRightInd w:val="0"/>
        <w:snapToGrid w:val="0"/>
        <w:spacing w:before="0" w:after="0" w:line="360" w:lineRule="auto"/>
        <w:rPr>
          <w:rFonts w:ascii="宋体" w:hAnsi="宋体" w:cs="宋体"/>
          <w:color w:val="auto"/>
          <w:sz w:val="21"/>
          <w:szCs w:val="21"/>
          <w:highlight w:val="none"/>
        </w:rPr>
      </w:pPr>
      <w:bookmarkStart w:id="279" w:name="_Toc12957"/>
      <w:bookmarkStart w:id="280" w:name="_Toc25006"/>
      <w:bookmarkStart w:id="281" w:name="_Toc6072"/>
      <w:bookmarkStart w:id="282" w:name="_Toc16343"/>
      <w:bookmarkStart w:id="283" w:name="_Toc11733"/>
      <w:r>
        <w:rPr>
          <w:rFonts w:hint="eastAsia" w:ascii="宋体" w:hAnsi="宋体" w:cs="宋体"/>
          <w:color w:val="auto"/>
          <w:sz w:val="21"/>
          <w:szCs w:val="21"/>
          <w:highlight w:val="none"/>
        </w:rPr>
        <w:t>5.2</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程序</w:t>
      </w:r>
      <w:bookmarkEnd w:id="279"/>
      <w:bookmarkEnd w:id="280"/>
      <w:bookmarkEnd w:id="281"/>
      <w:bookmarkEnd w:id="282"/>
      <w:bookmarkEnd w:id="283"/>
    </w:p>
    <w:p w14:paraId="103A001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详见供应商须知前附表第5.2款比选程序。</w:t>
      </w:r>
    </w:p>
    <w:p w14:paraId="6F4B9510">
      <w:pPr>
        <w:pStyle w:val="5"/>
        <w:adjustRightInd w:val="0"/>
        <w:snapToGrid w:val="0"/>
        <w:spacing w:before="0" w:after="0" w:line="360" w:lineRule="auto"/>
        <w:rPr>
          <w:rFonts w:ascii="宋体" w:hAnsi="宋体" w:cs="宋体"/>
          <w:color w:val="auto"/>
          <w:sz w:val="21"/>
          <w:szCs w:val="21"/>
          <w:highlight w:val="none"/>
        </w:rPr>
      </w:pPr>
      <w:bookmarkStart w:id="284" w:name="_Toc30493"/>
      <w:bookmarkStart w:id="285" w:name="_Toc22570"/>
      <w:bookmarkStart w:id="286" w:name="_Toc32151"/>
      <w:bookmarkStart w:id="287" w:name="_Toc16204"/>
      <w:bookmarkStart w:id="288" w:name="_Toc3151"/>
      <w:r>
        <w:rPr>
          <w:rFonts w:hint="eastAsia" w:ascii="宋体" w:hAnsi="宋体" w:cs="宋体"/>
          <w:color w:val="auto"/>
          <w:sz w:val="21"/>
          <w:szCs w:val="21"/>
          <w:highlight w:val="none"/>
        </w:rPr>
        <w:t xml:space="preserve">5.3 </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异议</w:t>
      </w:r>
      <w:bookmarkEnd w:id="284"/>
      <w:bookmarkEnd w:id="285"/>
      <w:bookmarkEnd w:id="286"/>
      <w:bookmarkEnd w:id="287"/>
      <w:bookmarkEnd w:id="288"/>
    </w:p>
    <w:p w14:paraId="63EDF68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对比选有异议的，应在比选现场提出，比选现场提出异议的，应出示法定代表人身份证明或附有法定代表人身份证明的授权委托书。采购人当场作出答复，并制作记录，有异议的供应商代表、采购人代表、记录人等有关人员在记录上签名确认。</w:t>
      </w:r>
    </w:p>
    <w:p w14:paraId="498F223D">
      <w:pPr>
        <w:pStyle w:val="4"/>
        <w:adjustRightInd w:val="0"/>
        <w:snapToGrid w:val="0"/>
        <w:spacing w:before="0" w:after="0" w:line="360" w:lineRule="auto"/>
        <w:rPr>
          <w:rFonts w:hint="eastAsia" w:ascii="宋体" w:hAnsi="宋体" w:eastAsia="宋体" w:cs="宋体"/>
          <w:color w:val="auto"/>
          <w:sz w:val="28"/>
          <w:szCs w:val="28"/>
          <w:highlight w:val="none"/>
          <w:lang w:eastAsia="zh-CN"/>
        </w:rPr>
      </w:pPr>
      <w:bookmarkStart w:id="289" w:name="_Toc21962"/>
      <w:bookmarkStart w:id="290" w:name="_Toc21689"/>
      <w:bookmarkStart w:id="291" w:name="_Toc32340"/>
      <w:bookmarkStart w:id="292" w:name="_Toc7861"/>
      <w:r>
        <w:rPr>
          <w:rFonts w:hint="eastAsia" w:ascii="宋体" w:hAnsi="宋体" w:cs="宋体"/>
          <w:color w:val="auto"/>
          <w:sz w:val="28"/>
          <w:szCs w:val="28"/>
          <w:highlight w:val="none"/>
        </w:rPr>
        <w:t xml:space="preserve">6. </w:t>
      </w:r>
      <w:bookmarkEnd w:id="289"/>
      <w:bookmarkEnd w:id="290"/>
      <w:bookmarkEnd w:id="291"/>
      <w:bookmarkEnd w:id="292"/>
      <w:r>
        <w:rPr>
          <w:rFonts w:hint="eastAsia" w:ascii="宋体" w:hAnsi="宋体" w:cs="宋体"/>
          <w:color w:val="auto"/>
          <w:sz w:val="28"/>
          <w:szCs w:val="28"/>
          <w:highlight w:val="none"/>
          <w:lang w:val="en-US" w:eastAsia="zh-CN"/>
        </w:rPr>
        <w:t>评审</w:t>
      </w:r>
    </w:p>
    <w:p w14:paraId="521FBA4D">
      <w:pPr>
        <w:pStyle w:val="5"/>
        <w:adjustRightInd w:val="0"/>
        <w:snapToGrid w:val="0"/>
        <w:spacing w:before="0" w:after="0" w:line="360" w:lineRule="auto"/>
        <w:rPr>
          <w:rFonts w:hint="eastAsia" w:ascii="宋体" w:hAnsi="宋体" w:eastAsia="宋体" w:cs="宋体"/>
          <w:color w:val="auto"/>
          <w:sz w:val="21"/>
          <w:szCs w:val="21"/>
          <w:highlight w:val="none"/>
          <w:lang w:eastAsia="zh-CN"/>
        </w:rPr>
      </w:pPr>
      <w:bookmarkStart w:id="293" w:name="_Toc3962"/>
      <w:bookmarkStart w:id="294" w:name="_Toc12741"/>
      <w:bookmarkStart w:id="295" w:name="_Toc24525"/>
      <w:bookmarkStart w:id="296" w:name="_Toc17606"/>
      <w:bookmarkStart w:id="297" w:name="_Toc7964"/>
      <w:r>
        <w:rPr>
          <w:rFonts w:hint="eastAsia" w:ascii="宋体" w:hAnsi="宋体" w:cs="宋体"/>
          <w:color w:val="auto"/>
          <w:sz w:val="21"/>
          <w:szCs w:val="21"/>
          <w:highlight w:val="none"/>
        </w:rPr>
        <w:t xml:space="preserve">6.1 </w:t>
      </w:r>
      <w:bookmarkEnd w:id="293"/>
      <w:bookmarkEnd w:id="294"/>
      <w:bookmarkEnd w:id="295"/>
      <w:bookmarkEnd w:id="296"/>
      <w:r>
        <w:rPr>
          <w:rFonts w:hint="eastAsia" w:ascii="宋体" w:hAnsi="宋体" w:cs="宋体"/>
          <w:color w:val="auto"/>
          <w:sz w:val="21"/>
          <w:szCs w:val="21"/>
          <w:highlight w:val="none"/>
          <w:lang w:eastAsia="zh-CN"/>
        </w:rPr>
        <w:t>评审委员会</w:t>
      </w:r>
      <w:bookmarkEnd w:id="297"/>
    </w:p>
    <w:p w14:paraId="4C4A003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6.1.1</w:t>
      </w:r>
      <w:r>
        <w:rPr>
          <w:rFonts w:hint="eastAsia" w:ascii="宋体" w:hAnsi="宋体" w:eastAsia="宋体" w:cs="宋体"/>
          <w:color w:val="auto"/>
          <w:sz w:val="21"/>
          <w:szCs w:val="21"/>
          <w:highlight w:val="none"/>
          <w:lang w:val="en-US" w:eastAsia="zh-CN"/>
        </w:rPr>
        <w:t>评审委员会的组建：</w:t>
      </w:r>
      <w:r>
        <w:rPr>
          <w:rFonts w:hint="eastAsia" w:ascii="宋体" w:hAnsi="宋体" w:eastAsia="宋体" w:cs="宋体"/>
          <w:color w:val="auto"/>
          <w:sz w:val="21"/>
          <w:szCs w:val="21"/>
          <w:highlight w:val="none"/>
          <w:lang w:eastAsia="zh-CN"/>
        </w:rPr>
        <w:t>见供应商须知前附表。</w:t>
      </w:r>
    </w:p>
    <w:p w14:paraId="76B4E4E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6.1.2 评审委员会成员有下列情形之一的，应主动提出回避：</w:t>
      </w:r>
    </w:p>
    <w:p w14:paraId="3FB3E64B">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（1）为负责</w:t>
      </w:r>
      <w:r>
        <w:rPr>
          <w:rFonts w:hint="eastAsia" w:ascii="宋体" w:hAnsi="宋体" w:cs="宋体"/>
          <w:color w:val="auto"/>
          <w:szCs w:val="21"/>
          <w:highlight w:val="none"/>
          <w:lang w:eastAsia="zh-CN"/>
        </w:rPr>
        <w:t>比选项目</w:t>
      </w:r>
      <w:r>
        <w:rPr>
          <w:rFonts w:hint="eastAsia" w:ascii="宋体" w:hAnsi="宋体" w:cs="宋体"/>
          <w:color w:val="auto"/>
          <w:szCs w:val="21"/>
          <w:highlight w:val="none"/>
        </w:rPr>
        <w:t>监督管理的交通运输主管部门的工作人员，或</w:t>
      </w:r>
      <w:r>
        <w:rPr>
          <w:rFonts w:hint="eastAsia" w:ascii="宋体" w:hAnsi="宋体" w:cs="宋体"/>
          <w:color w:val="auto"/>
          <w:szCs w:val="21"/>
          <w:highlight w:val="none"/>
          <w:lang w:eastAsia="zh-CN"/>
        </w:rPr>
        <w:t>比选项目</w:t>
      </w:r>
      <w:r>
        <w:rPr>
          <w:rFonts w:hint="eastAsia" w:ascii="宋体" w:hAnsi="宋体" w:cs="宋体"/>
          <w:color w:val="auto"/>
          <w:szCs w:val="21"/>
          <w:highlight w:val="none"/>
        </w:rPr>
        <w:t>的主管部门的工作人员，或对该项目有监督职责的行政监督部门的工作人员；</w:t>
      </w:r>
    </w:p>
    <w:p w14:paraId="0734C7A6">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或</w:t>
      </w:r>
      <w:r>
        <w:rPr>
          <w:rFonts w:hint="eastAsia" w:ascii="宋体" w:hAnsi="宋体" w:cs="宋体"/>
          <w:color w:val="auto"/>
          <w:szCs w:val="21"/>
          <w:highlight w:val="none"/>
          <w:lang w:eastAsia="zh-CN"/>
        </w:rPr>
        <w:t>代理机构</w:t>
      </w:r>
      <w:r>
        <w:rPr>
          <w:rFonts w:hint="eastAsia" w:ascii="宋体" w:hAnsi="宋体" w:cs="宋体"/>
          <w:color w:val="auto"/>
          <w:szCs w:val="21"/>
          <w:highlight w:val="none"/>
        </w:rPr>
        <w:t>主要负责人的近亲属，或与</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法定代表人或其委托代理人有近亲属关系；</w:t>
      </w:r>
    </w:p>
    <w:p w14:paraId="2FAB8479">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（3）为</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的工作人员或退休人员；</w:t>
      </w:r>
    </w:p>
    <w:p w14:paraId="16C2A7E9">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（4）与</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有其他利害关系，可能影响</w:t>
      </w:r>
      <w:r>
        <w:rPr>
          <w:rFonts w:hint="eastAsia" w:ascii="宋体" w:hAnsi="宋体" w:cs="宋体"/>
          <w:color w:val="auto"/>
          <w:szCs w:val="21"/>
          <w:highlight w:val="none"/>
          <w:lang w:eastAsia="zh-CN"/>
        </w:rPr>
        <w:t>评审活动</w:t>
      </w:r>
      <w:r>
        <w:rPr>
          <w:rFonts w:hint="eastAsia" w:ascii="宋体" w:hAnsi="宋体" w:cs="宋体"/>
          <w:color w:val="auto"/>
          <w:szCs w:val="21"/>
          <w:highlight w:val="none"/>
        </w:rPr>
        <w:t>公正性；</w:t>
      </w:r>
    </w:p>
    <w:p w14:paraId="7C5EBC38">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（5）在与</w:t>
      </w:r>
      <w:r>
        <w:rPr>
          <w:rFonts w:hint="default" w:ascii="宋体" w:hAnsi="宋体" w:cs="宋体"/>
          <w:color w:val="auto"/>
          <w:szCs w:val="21"/>
          <w:highlight w:val="none"/>
          <w:lang w:val="en-US"/>
        </w:rPr>
        <w:t>招标投标</w:t>
      </w:r>
      <w:r>
        <w:rPr>
          <w:rFonts w:hint="eastAsia" w:ascii="宋体" w:hAnsi="宋体" w:cs="宋体"/>
          <w:color w:val="auto"/>
          <w:szCs w:val="21"/>
          <w:highlight w:val="none"/>
        </w:rPr>
        <w:t>有关的活动中有过违法违规行为、曾受过行政处罚或刑事处罚；</w:t>
      </w:r>
    </w:p>
    <w:p w14:paraId="538DCD73">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（6）</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及其子公司、</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的上级主管部门或者控股公司、</w:t>
      </w:r>
      <w:r>
        <w:rPr>
          <w:rFonts w:hint="eastAsia" w:ascii="宋体" w:hAnsi="宋体" w:cs="宋体"/>
          <w:color w:val="auto"/>
          <w:szCs w:val="21"/>
          <w:highlight w:val="none"/>
          <w:lang w:eastAsia="zh-CN"/>
        </w:rPr>
        <w:t>代理机构</w:t>
      </w:r>
      <w:r>
        <w:rPr>
          <w:rFonts w:hint="eastAsia" w:ascii="宋体" w:hAnsi="宋体" w:cs="宋体"/>
          <w:color w:val="auto"/>
          <w:szCs w:val="21"/>
          <w:highlight w:val="none"/>
        </w:rPr>
        <w:t>的工作人员或者退休人员；</w:t>
      </w:r>
    </w:p>
    <w:p w14:paraId="23F396F0">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（7）近3年在</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或</w:t>
      </w:r>
      <w:r>
        <w:rPr>
          <w:rFonts w:hint="eastAsia" w:ascii="宋体" w:hAnsi="宋体" w:cs="宋体"/>
          <w:color w:val="auto"/>
          <w:szCs w:val="21"/>
          <w:highlight w:val="none"/>
          <w:lang w:eastAsia="zh-CN"/>
        </w:rPr>
        <w:t>代理机构</w:t>
      </w:r>
      <w:r>
        <w:rPr>
          <w:rFonts w:hint="eastAsia" w:ascii="宋体" w:hAnsi="宋体" w:cs="宋体"/>
          <w:color w:val="auto"/>
          <w:szCs w:val="21"/>
          <w:highlight w:val="none"/>
        </w:rPr>
        <w:t>工作过的人员。</w:t>
      </w:r>
    </w:p>
    <w:p w14:paraId="5BCCF46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6.1.3</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过程中，评审委员会成员有回避事由、擅离职守或者因健康等原因不能继续</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的，应当及时更换。被更换的评审委员会成员作出的评审结论无效，由更换后的评审委员会成员重新进行评审。</w:t>
      </w:r>
    </w:p>
    <w:p w14:paraId="5A78DD72">
      <w:pPr>
        <w:pStyle w:val="5"/>
        <w:adjustRightInd w:val="0"/>
        <w:snapToGrid w:val="0"/>
        <w:spacing w:before="0" w:after="0" w:line="360" w:lineRule="auto"/>
        <w:rPr>
          <w:rFonts w:ascii="宋体" w:hAnsi="宋体" w:cs="宋体"/>
          <w:color w:val="auto"/>
          <w:sz w:val="21"/>
          <w:szCs w:val="21"/>
          <w:highlight w:val="none"/>
        </w:rPr>
      </w:pPr>
      <w:bookmarkStart w:id="298" w:name="_Toc24310"/>
      <w:bookmarkStart w:id="299" w:name="_Toc13889"/>
      <w:bookmarkStart w:id="300" w:name="_Toc28889"/>
      <w:bookmarkStart w:id="301" w:name="_Toc31865"/>
      <w:bookmarkStart w:id="302" w:name="_Toc21121"/>
      <w:r>
        <w:rPr>
          <w:rFonts w:hint="eastAsia" w:ascii="宋体" w:hAnsi="宋体" w:cs="宋体"/>
          <w:color w:val="auto"/>
          <w:sz w:val="21"/>
          <w:szCs w:val="21"/>
          <w:highlight w:val="none"/>
        </w:rPr>
        <w:t xml:space="preserve">6.2 </w:t>
      </w:r>
      <w:r>
        <w:rPr>
          <w:rFonts w:hint="eastAsia" w:ascii="宋体" w:hAnsi="宋体" w:cs="宋体"/>
          <w:color w:val="auto"/>
          <w:sz w:val="21"/>
          <w:szCs w:val="21"/>
          <w:highlight w:val="none"/>
          <w:lang w:val="en-US" w:eastAsia="zh-CN"/>
        </w:rPr>
        <w:t>评审</w:t>
      </w:r>
      <w:r>
        <w:rPr>
          <w:rFonts w:hint="eastAsia" w:ascii="宋体" w:hAnsi="宋体" w:cs="宋体"/>
          <w:color w:val="auto"/>
          <w:sz w:val="21"/>
          <w:szCs w:val="21"/>
          <w:highlight w:val="none"/>
        </w:rPr>
        <w:t>原则</w:t>
      </w:r>
      <w:bookmarkEnd w:id="298"/>
      <w:bookmarkEnd w:id="299"/>
      <w:bookmarkEnd w:id="300"/>
      <w:bookmarkEnd w:id="301"/>
      <w:bookmarkEnd w:id="302"/>
    </w:p>
    <w:p w14:paraId="3D3EA82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评审活动遵循公平、公正、科学和择优的原则。</w:t>
      </w:r>
    </w:p>
    <w:p w14:paraId="25A06184">
      <w:pPr>
        <w:pStyle w:val="5"/>
        <w:adjustRightInd w:val="0"/>
        <w:snapToGrid w:val="0"/>
        <w:spacing w:before="0" w:after="0" w:line="360" w:lineRule="auto"/>
        <w:rPr>
          <w:rFonts w:hint="eastAsia" w:ascii="宋体" w:hAnsi="宋体" w:eastAsia="宋体" w:cs="宋体"/>
          <w:color w:val="auto"/>
          <w:sz w:val="21"/>
          <w:szCs w:val="21"/>
          <w:highlight w:val="none"/>
          <w:lang w:eastAsia="zh-CN"/>
        </w:rPr>
      </w:pPr>
      <w:bookmarkStart w:id="303" w:name="_Toc622"/>
      <w:bookmarkStart w:id="304" w:name="_Toc4220"/>
      <w:bookmarkStart w:id="305" w:name="_Toc18520"/>
      <w:bookmarkStart w:id="306" w:name="_Toc20384"/>
      <w:bookmarkStart w:id="307" w:name="_Toc10451"/>
      <w:r>
        <w:rPr>
          <w:rFonts w:hint="eastAsia" w:ascii="宋体" w:hAnsi="宋体" w:cs="宋体"/>
          <w:color w:val="auto"/>
          <w:sz w:val="21"/>
          <w:szCs w:val="21"/>
          <w:highlight w:val="none"/>
        </w:rPr>
        <w:t xml:space="preserve">6.3 </w:t>
      </w:r>
      <w:bookmarkEnd w:id="303"/>
      <w:bookmarkEnd w:id="304"/>
      <w:bookmarkEnd w:id="305"/>
      <w:bookmarkEnd w:id="306"/>
      <w:bookmarkEnd w:id="307"/>
      <w:r>
        <w:rPr>
          <w:rFonts w:hint="eastAsia" w:ascii="宋体" w:hAnsi="宋体" w:cs="宋体"/>
          <w:color w:val="auto"/>
          <w:sz w:val="21"/>
          <w:szCs w:val="21"/>
          <w:highlight w:val="none"/>
          <w:lang w:val="en-US" w:eastAsia="zh-CN"/>
        </w:rPr>
        <w:t>评审</w:t>
      </w:r>
    </w:p>
    <w:p w14:paraId="28A1344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6.3.1</w:t>
      </w:r>
      <w:r>
        <w:rPr>
          <w:rFonts w:hint="eastAsia" w:ascii="宋体" w:hAnsi="宋体" w:eastAsia="宋体" w:cs="宋体"/>
          <w:color w:val="auto"/>
          <w:sz w:val="21"/>
          <w:szCs w:val="21"/>
          <w:highlight w:val="none"/>
          <w:lang w:eastAsia="zh-CN"/>
        </w:rPr>
        <w:t>评审委员会按照第三章“评审办法”规定的方法、评审因素、标准和程序对响应文件进行评审。第三章“评审办法”没有规定的方法、评审因素和标准，不作为</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依据。</w:t>
      </w:r>
    </w:p>
    <w:p w14:paraId="4EF417E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6.3.2评审</w:t>
      </w:r>
      <w:r>
        <w:rPr>
          <w:rFonts w:hint="eastAsia" w:ascii="宋体" w:hAnsi="宋体" w:eastAsia="宋体" w:cs="宋体"/>
          <w:color w:val="auto"/>
          <w:sz w:val="21"/>
          <w:szCs w:val="21"/>
          <w:highlight w:val="none"/>
          <w:lang w:eastAsia="zh-CN"/>
        </w:rPr>
        <w:t>完成后，评审委员会应向采购人提交书面</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报告和中选候选人名单。评审委员会推荐中选候选人的人数见供应商须知前附表。</w:t>
      </w:r>
    </w:p>
    <w:p w14:paraId="7653572B">
      <w:pPr>
        <w:pStyle w:val="4"/>
        <w:adjustRightInd w:val="0"/>
        <w:snapToGrid w:val="0"/>
        <w:spacing w:before="0" w:after="0" w:line="360" w:lineRule="auto"/>
        <w:rPr>
          <w:rFonts w:ascii="宋体" w:hAnsi="宋体" w:cs="宋体"/>
          <w:color w:val="auto"/>
          <w:sz w:val="28"/>
          <w:szCs w:val="28"/>
          <w:highlight w:val="none"/>
        </w:rPr>
      </w:pPr>
      <w:bookmarkStart w:id="308" w:name="_Toc2978"/>
      <w:bookmarkStart w:id="309" w:name="_Toc15991"/>
      <w:bookmarkStart w:id="310" w:name="_Toc8115"/>
      <w:bookmarkStart w:id="311" w:name="_Toc4304"/>
      <w:r>
        <w:rPr>
          <w:rFonts w:hint="eastAsia" w:ascii="宋体" w:hAnsi="宋体" w:cs="宋体"/>
          <w:color w:val="auto"/>
          <w:sz w:val="28"/>
          <w:szCs w:val="28"/>
          <w:highlight w:val="none"/>
        </w:rPr>
        <w:t>7. 合同授予</w:t>
      </w:r>
      <w:bookmarkEnd w:id="308"/>
      <w:bookmarkEnd w:id="309"/>
      <w:bookmarkEnd w:id="310"/>
      <w:bookmarkEnd w:id="311"/>
    </w:p>
    <w:p w14:paraId="701109FC">
      <w:pPr>
        <w:pStyle w:val="5"/>
        <w:adjustRightInd w:val="0"/>
        <w:snapToGrid w:val="0"/>
        <w:spacing w:before="0" w:after="0" w:line="360" w:lineRule="auto"/>
        <w:rPr>
          <w:rFonts w:ascii="宋体" w:hAnsi="宋体" w:cs="宋体"/>
          <w:color w:val="auto"/>
          <w:sz w:val="21"/>
          <w:szCs w:val="21"/>
          <w:highlight w:val="none"/>
        </w:rPr>
      </w:pPr>
      <w:bookmarkStart w:id="312" w:name="_Toc16931"/>
      <w:bookmarkStart w:id="313" w:name="_Toc28237"/>
      <w:bookmarkStart w:id="314" w:name="_Toc30753"/>
      <w:bookmarkStart w:id="315" w:name="_Toc6000"/>
      <w:bookmarkStart w:id="316" w:name="_Toc15921"/>
      <w:r>
        <w:rPr>
          <w:rFonts w:hint="eastAsia" w:ascii="宋体" w:hAnsi="宋体" w:cs="宋体"/>
          <w:color w:val="auto"/>
          <w:sz w:val="21"/>
          <w:szCs w:val="21"/>
          <w:highlight w:val="none"/>
        </w:rPr>
        <w:t xml:space="preserve">7.1 </w:t>
      </w:r>
      <w:r>
        <w:rPr>
          <w:rFonts w:hint="eastAsia" w:ascii="宋体" w:hAnsi="宋体" w:cs="宋体"/>
          <w:color w:val="auto"/>
          <w:sz w:val="21"/>
          <w:szCs w:val="21"/>
          <w:highlight w:val="none"/>
          <w:lang w:eastAsia="zh-CN"/>
        </w:rPr>
        <w:t>中选</w:t>
      </w:r>
      <w:r>
        <w:rPr>
          <w:rFonts w:hint="eastAsia" w:ascii="宋体" w:hAnsi="宋体" w:cs="宋体"/>
          <w:color w:val="auto"/>
          <w:sz w:val="21"/>
          <w:szCs w:val="21"/>
          <w:highlight w:val="none"/>
        </w:rPr>
        <w:t>候选人公示</w:t>
      </w:r>
      <w:bookmarkEnd w:id="312"/>
      <w:bookmarkEnd w:id="313"/>
      <w:bookmarkEnd w:id="314"/>
      <w:bookmarkEnd w:id="315"/>
      <w:bookmarkEnd w:id="316"/>
    </w:p>
    <w:p w14:paraId="4FF6333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采购人在收到评审报告之日起3日内，按照供应商须知前附表规定的公示媒介和期限公示中选候选人，公示期不得少于3天。</w:t>
      </w:r>
    </w:p>
    <w:p w14:paraId="62D1D633">
      <w:pPr>
        <w:pStyle w:val="5"/>
        <w:adjustRightInd w:val="0"/>
        <w:snapToGrid w:val="0"/>
        <w:spacing w:before="0" w:after="0" w:line="360" w:lineRule="auto"/>
        <w:rPr>
          <w:rFonts w:ascii="宋体" w:hAnsi="宋体" w:cs="宋体"/>
          <w:color w:val="auto"/>
          <w:sz w:val="21"/>
          <w:szCs w:val="21"/>
          <w:highlight w:val="none"/>
        </w:rPr>
      </w:pPr>
      <w:bookmarkStart w:id="317" w:name="_Toc26419"/>
      <w:bookmarkStart w:id="318" w:name="_Toc31282"/>
      <w:bookmarkStart w:id="319" w:name="_Toc8944"/>
      <w:bookmarkStart w:id="320" w:name="_Toc23641"/>
      <w:bookmarkStart w:id="321" w:name="_Toc12672"/>
      <w:r>
        <w:rPr>
          <w:rFonts w:hint="eastAsia" w:ascii="宋体" w:hAnsi="宋体" w:cs="宋体"/>
          <w:color w:val="auto"/>
          <w:sz w:val="21"/>
          <w:szCs w:val="21"/>
          <w:highlight w:val="none"/>
        </w:rPr>
        <w:t xml:space="preserve">7.2 </w:t>
      </w:r>
      <w:r>
        <w:rPr>
          <w:rFonts w:hint="eastAsia" w:ascii="宋体" w:hAnsi="宋体" w:cs="宋体"/>
          <w:color w:val="auto"/>
          <w:sz w:val="21"/>
          <w:szCs w:val="21"/>
          <w:highlight w:val="none"/>
          <w:lang w:eastAsia="zh-CN"/>
        </w:rPr>
        <w:t>评审结果</w:t>
      </w:r>
      <w:r>
        <w:rPr>
          <w:rFonts w:hint="eastAsia" w:ascii="宋体" w:hAnsi="宋体" w:cs="宋体"/>
          <w:color w:val="auto"/>
          <w:sz w:val="21"/>
          <w:szCs w:val="21"/>
          <w:highlight w:val="none"/>
        </w:rPr>
        <w:t>异议</w:t>
      </w:r>
      <w:bookmarkEnd w:id="317"/>
      <w:bookmarkEnd w:id="318"/>
      <w:bookmarkEnd w:id="319"/>
      <w:bookmarkEnd w:id="320"/>
      <w:bookmarkEnd w:id="321"/>
    </w:p>
    <w:p w14:paraId="2BEC991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供应商或其他利害关系人对依法必须进行招标的项目的评审结果有异议的，应在中选候选人公示期间提出。采购人将在收到异议之日起 3 日内作出答复；作出答复前，将暂停</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活动。</w:t>
      </w:r>
    </w:p>
    <w:p w14:paraId="113D98A7">
      <w:pPr>
        <w:pStyle w:val="5"/>
        <w:adjustRightInd w:val="0"/>
        <w:snapToGrid w:val="0"/>
        <w:spacing w:before="0" w:after="0" w:line="360" w:lineRule="auto"/>
        <w:rPr>
          <w:rFonts w:ascii="宋体" w:hAnsi="宋体" w:cs="宋体"/>
          <w:color w:val="auto"/>
          <w:sz w:val="21"/>
          <w:szCs w:val="21"/>
          <w:highlight w:val="none"/>
        </w:rPr>
      </w:pPr>
      <w:bookmarkStart w:id="322" w:name="_Toc8296"/>
      <w:bookmarkStart w:id="323" w:name="_Toc1562"/>
      <w:bookmarkStart w:id="324" w:name="_Toc831"/>
      <w:bookmarkStart w:id="325" w:name="_Toc17880"/>
      <w:bookmarkStart w:id="326" w:name="_Toc27150"/>
      <w:r>
        <w:rPr>
          <w:rFonts w:hint="eastAsia" w:ascii="宋体" w:hAnsi="宋体" w:cs="宋体"/>
          <w:color w:val="auto"/>
          <w:sz w:val="21"/>
          <w:szCs w:val="21"/>
          <w:highlight w:val="none"/>
        </w:rPr>
        <w:t xml:space="preserve">7.3 </w:t>
      </w:r>
      <w:r>
        <w:rPr>
          <w:rFonts w:hint="eastAsia" w:ascii="宋体" w:hAnsi="宋体" w:cs="宋体"/>
          <w:color w:val="auto"/>
          <w:sz w:val="21"/>
          <w:szCs w:val="21"/>
          <w:highlight w:val="none"/>
          <w:lang w:eastAsia="zh-CN"/>
        </w:rPr>
        <w:t>中选</w:t>
      </w:r>
      <w:r>
        <w:rPr>
          <w:rFonts w:hint="eastAsia" w:ascii="宋体" w:hAnsi="宋体" w:cs="宋体"/>
          <w:color w:val="auto"/>
          <w:sz w:val="21"/>
          <w:szCs w:val="21"/>
          <w:highlight w:val="none"/>
        </w:rPr>
        <w:t>候选人履约能力审查</w:t>
      </w:r>
      <w:bookmarkEnd w:id="322"/>
      <w:bookmarkEnd w:id="323"/>
      <w:bookmarkEnd w:id="324"/>
      <w:bookmarkEnd w:id="325"/>
      <w:bookmarkEnd w:id="326"/>
    </w:p>
    <w:p w14:paraId="7289900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中选候选人的经营、财务状况发生较大变化或存在违法行为，采购人认为可能影响其履约能力的，将在发出中选通知书前提请原评审委员会按照比选文件规定的标准和方法进行审查确认。</w:t>
      </w:r>
    </w:p>
    <w:p w14:paraId="11D1801F">
      <w:pPr>
        <w:pStyle w:val="5"/>
        <w:adjustRightInd w:val="0"/>
        <w:snapToGrid w:val="0"/>
        <w:spacing w:before="0" w:after="0" w:line="360" w:lineRule="auto"/>
        <w:rPr>
          <w:rFonts w:ascii="宋体" w:hAnsi="宋体" w:cs="宋体"/>
          <w:color w:val="auto"/>
          <w:sz w:val="21"/>
          <w:szCs w:val="21"/>
          <w:highlight w:val="none"/>
        </w:rPr>
      </w:pPr>
      <w:bookmarkStart w:id="327" w:name="_Toc25884"/>
      <w:bookmarkStart w:id="328" w:name="_Toc12502"/>
      <w:bookmarkStart w:id="329" w:name="_Toc26245"/>
      <w:bookmarkStart w:id="330" w:name="_Toc3159"/>
      <w:bookmarkStart w:id="331" w:name="_Toc5533"/>
      <w:r>
        <w:rPr>
          <w:rFonts w:hint="eastAsia" w:ascii="宋体" w:hAnsi="宋体" w:cs="宋体"/>
          <w:color w:val="auto"/>
          <w:sz w:val="21"/>
          <w:szCs w:val="21"/>
          <w:highlight w:val="none"/>
        </w:rPr>
        <w:t>7.4 定标</w:t>
      </w:r>
      <w:bookmarkEnd w:id="327"/>
      <w:bookmarkEnd w:id="328"/>
      <w:bookmarkEnd w:id="329"/>
      <w:bookmarkEnd w:id="330"/>
      <w:bookmarkEnd w:id="331"/>
    </w:p>
    <w:p w14:paraId="6BF34A7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按照供应商须知前附表的规定，采购人或采购人授权的评审委员会依法确定中选人。</w:t>
      </w:r>
    </w:p>
    <w:p w14:paraId="7E24EC30">
      <w:pPr>
        <w:pStyle w:val="5"/>
        <w:adjustRightInd w:val="0"/>
        <w:snapToGrid w:val="0"/>
        <w:spacing w:before="0" w:after="0" w:line="360" w:lineRule="auto"/>
        <w:rPr>
          <w:rFonts w:ascii="宋体" w:hAnsi="宋体" w:cs="宋体"/>
          <w:color w:val="auto"/>
          <w:sz w:val="21"/>
          <w:szCs w:val="21"/>
          <w:highlight w:val="none"/>
        </w:rPr>
      </w:pPr>
      <w:bookmarkStart w:id="332" w:name="_Toc15714"/>
      <w:bookmarkStart w:id="333" w:name="_Toc23205"/>
      <w:bookmarkStart w:id="334" w:name="_Toc9117"/>
      <w:bookmarkStart w:id="335" w:name="_Toc2085"/>
      <w:bookmarkStart w:id="336" w:name="_Toc2674"/>
      <w:r>
        <w:rPr>
          <w:rFonts w:hint="eastAsia" w:ascii="宋体" w:hAnsi="宋体" w:cs="宋体"/>
          <w:color w:val="auto"/>
          <w:sz w:val="21"/>
          <w:szCs w:val="21"/>
          <w:highlight w:val="none"/>
        </w:rPr>
        <w:t xml:space="preserve">7.5 </w:t>
      </w:r>
      <w:r>
        <w:rPr>
          <w:rFonts w:hint="eastAsia" w:ascii="宋体" w:hAnsi="宋体" w:cs="宋体"/>
          <w:color w:val="auto"/>
          <w:sz w:val="21"/>
          <w:szCs w:val="21"/>
          <w:highlight w:val="none"/>
          <w:lang w:eastAsia="zh-CN"/>
        </w:rPr>
        <w:t>中选</w:t>
      </w:r>
      <w:r>
        <w:rPr>
          <w:rFonts w:hint="eastAsia" w:ascii="宋体" w:hAnsi="宋体" w:cs="宋体"/>
          <w:color w:val="auto"/>
          <w:sz w:val="21"/>
          <w:szCs w:val="21"/>
          <w:highlight w:val="none"/>
        </w:rPr>
        <w:t>通知</w:t>
      </w:r>
      <w:bookmarkEnd w:id="332"/>
      <w:bookmarkEnd w:id="333"/>
      <w:bookmarkEnd w:id="334"/>
      <w:bookmarkEnd w:id="335"/>
      <w:bookmarkEnd w:id="336"/>
    </w:p>
    <w:p w14:paraId="4770768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在本章第 3.3 款规定的比选有效期内，采购人以供应商须知前附表规定的形式向中选人发出中选通知书，同时将中选结果通知未中选的供应商。</w:t>
      </w:r>
    </w:p>
    <w:p w14:paraId="7566ECBC">
      <w:pPr>
        <w:pStyle w:val="5"/>
        <w:adjustRightInd w:val="0"/>
        <w:snapToGrid w:val="0"/>
        <w:spacing w:before="0" w:after="0" w:line="360" w:lineRule="auto"/>
        <w:rPr>
          <w:rFonts w:ascii="宋体" w:hAnsi="宋体" w:cs="宋体"/>
          <w:color w:val="auto"/>
          <w:sz w:val="21"/>
          <w:szCs w:val="21"/>
          <w:highlight w:val="none"/>
        </w:rPr>
      </w:pPr>
      <w:bookmarkStart w:id="337" w:name="_Toc17204"/>
      <w:bookmarkStart w:id="338" w:name="_Toc11296"/>
      <w:bookmarkStart w:id="339" w:name="_Toc10803"/>
      <w:bookmarkStart w:id="340" w:name="_Toc6603"/>
      <w:bookmarkStart w:id="341" w:name="_Toc22039"/>
      <w:r>
        <w:rPr>
          <w:rFonts w:hint="eastAsia" w:ascii="宋体" w:hAnsi="宋体" w:cs="宋体"/>
          <w:color w:val="auto"/>
          <w:sz w:val="21"/>
          <w:szCs w:val="21"/>
          <w:highlight w:val="none"/>
        </w:rPr>
        <w:t>7.</w:t>
      </w: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rPr>
        <w:t xml:space="preserve"> 履约保证金</w:t>
      </w:r>
      <w:bookmarkEnd w:id="337"/>
      <w:bookmarkEnd w:id="338"/>
      <w:bookmarkEnd w:id="339"/>
      <w:bookmarkEnd w:id="340"/>
      <w:bookmarkEnd w:id="341"/>
    </w:p>
    <w:p w14:paraId="3FE2DED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.1 在签订合同前，中选人应按供应商须知前附表规定的形式、金额和比选文件第四章“合同条款及格式”规定的或事先经过采购人书面认可的履约保证金格式向采购人提交履约保证金。除供应商须知前附表另有规定外，履约保证金为签约合同价的5%。联合体中选的，其履约保证金以联合体各方或联合体中牵头人的名义提交。</w:t>
      </w:r>
    </w:p>
    <w:p w14:paraId="5AD9D40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采用银行保函时，应由符合供应商须知前附表规定级别的银行开具，所需的费用由中选人承担，中选人应保证银行保函有效。</w:t>
      </w:r>
    </w:p>
    <w:p w14:paraId="49F9D6D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.2 中选人不能按本章第 7.</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.1 项要求提交履约保证金的，视为放弃中选，其比选保证金</w:t>
      </w:r>
      <w:r>
        <w:rPr>
          <w:rFonts w:hint="eastAsia" w:ascii="宋体" w:hAnsi="宋体" w:eastAsia="宋体" w:cs="宋体"/>
          <w:snapToGrid w:val="0"/>
          <w:color w:val="auto"/>
          <w:kern w:val="0"/>
          <w:sz w:val="21"/>
          <w:szCs w:val="21"/>
          <w:highlight w:val="none"/>
        </w:rPr>
        <w:t>以现金形式</w:t>
      </w:r>
      <w:r>
        <w:rPr>
          <w:rFonts w:hint="eastAsia" w:ascii="宋体" w:hAnsi="宋体" w:eastAsia="宋体" w:cs="宋体"/>
          <w:snapToGrid w:val="0"/>
          <w:color w:val="auto"/>
          <w:kern w:val="0"/>
          <w:sz w:val="21"/>
          <w:szCs w:val="21"/>
          <w:highlight w:val="none"/>
          <w:lang w:eastAsia="zh-CN"/>
        </w:rPr>
        <w:t>交纳</w:t>
      </w:r>
      <w:r>
        <w:rPr>
          <w:rFonts w:hint="eastAsia" w:ascii="宋体" w:hAnsi="宋体" w:eastAsia="宋体" w:cs="宋体"/>
          <w:snapToGrid w:val="0"/>
          <w:color w:val="auto"/>
          <w:kern w:val="0"/>
          <w:sz w:val="21"/>
          <w:szCs w:val="21"/>
          <w:highlight w:val="none"/>
        </w:rPr>
        <w:t>的</w:t>
      </w:r>
      <w:r>
        <w:rPr>
          <w:rFonts w:hint="eastAsia" w:ascii="宋体" w:hAnsi="宋体" w:eastAsia="宋体" w:cs="宋体"/>
          <w:color w:val="auto"/>
          <w:sz w:val="21"/>
          <w:szCs w:val="21"/>
          <w:highlight w:val="none"/>
          <w:lang w:eastAsia="zh-CN"/>
        </w:rPr>
        <w:t>不予退还</w:t>
      </w:r>
      <w:r>
        <w:rPr>
          <w:rFonts w:hint="eastAsia" w:ascii="宋体" w:hAnsi="宋体" w:eastAsia="宋体" w:cs="宋体"/>
          <w:snapToGrid w:val="0"/>
          <w:color w:val="auto"/>
          <w:kern w:val="0"/>
          <w:sz w:val="21"/>
          <w:szCs w:val="21"/>
          <w:highlight w:val="none"/>
        </w:rPr>
        <w:t>，以保函形式</w:t>
      </w:r>
      <w:r>
        <w:rPr>
          <w:rFonts w:hint="eastAsia" w:ascii="宋体" w:hAnsi="宋体" w:eastAsia="宋体" w:cs="宋体"/>
          <w:snapToGrid w:val="0"/>
          <w:color w:val="auto"/>
          <w:kern w:val="0"/>
          <w:sz w:val="21"/>
          <w:szCs w:val="21"/>
          <w:highlight w:val="none"/>
          <w:lang w:eastAsia="zh-CN"/>
        </w:rPr>
        <w:t>交纳</w:t>
      </w:r>
      <w:r>
        <w:rPr>
          <w:rFonts w:hint="eastAsia" w:ascii="宋体" w:hAnsi="宋体" w:eastAsia="宋体" w:cs="宋体"/>
          <w:snapToGrid w:val="0"/>
          <w:color w:val="auto"/>
          <w:kern w:val="0"/>
          <w:sz w:val="21"/>
          <w:szCs w:val="21"/>
          <w:highlight w:val="none"/>
        </w:rPr>
        <w:t>的由保函开立人支付保函担保的与</w:t>
      </w:r>
      <w:r>
        <w:rPr>
          <w:rFonts w:hint="eastAsia" w:ascii="宋体" w:hAnsi="宋体" w:eastAsia="宋体" w:cs="宋体"/>
          <w:snapToGrid w:val="0"/>
          <w:color w:val="auto"/>
          <w:kern w:val="0"/>
          <w:sz w:val="21"/>
          <w:szCs w:val="21"/>
          <w:highlight w:val="none"/>
          <w:lang w:val="en-US" w:eastAsia="zh-CN"/>
        </w:rPr>
        <w:t>比选</w:t>
      </w:r>
      <w:r>
        <w:rPr>
          <w:rFonts w:hint="eastAsia" w:ascii="宋体" w:hAnsi="宋体" w:eastAsia="宋体" w:cs="宋体"/>
          <w:snapToGrid w:val="0"/>
          <w:color w:val="auto"/>
          <w:kern w:val="0"/>
          <w:sz w:val="21"/>
          <w:szCs w:val="21"/>
          <w:highlight w:val="none"/>
        </w:rPr>
        <w:t>保证金等额的款项</w:t>
      </w:r>
      <w:r>
        <w:rPr>
          <w:rFonts w:hint="eastAsia" w:ascii="宋体" w:hAnsi="宋体" w:eastAsia="宋体" w:cs="宋体"/>
          <w:color w:val="auto"/>
          <w:sz w:val="21"/>
          <w:szCs w:val="21"/>
          <w:highlight w:val="none"/>
          <w:lang w:eastAsia="zh-CN"/>
        </w:rPr>
        <w:t>，给采购人造成的损失超过比选保证金数额的，中选人还应对超过部分予以赔偿。</w:t>
      </w:r>
    </w:p>
    <w:p w14:paraId="2696A427">
      <w:pPr>
        <w:pStyle w:val="5"/>
        <w:adjustRightInd w:val="0"/>
        <w:snapToGrid w:val="0"/>
        <w:spacing w:before="0" w:after="0" w:line="360" w:lineRule="auto"/>
        <w:rPr>
          <w:rFonts w:ascii="宋体" w:hAnsi="宋体" w:cs="宋体"/>
          <w:color w:val="auto"/>
          <w:sz w:val="21"/>
          <w:szCs w:val="21"/>
          <w:highlight w:val="none"/>
        </w:rPr>
      </w:pPr>
      <w:bookmarkStart w:id="342" w:name="_Toc12966"/>
      <w:bookmarkStart w:id="343" w:name="_Toc2685"/>
      <w:bookmarkStart w:id="344" w:name="_Toc11236"/>
      <w:bookmarkStart w:id="345" w:name="_Toc26430"/>
      <w:bookmarkStart w:id="346" w:name="_Toc32056"/>
      <w:r>
        <w:rPr>
          <w:rFonts w:hint="eastAsia" w:ascii="宋体" w:hAnsi="宋体" w:cs="宋体"/>
          <w:color w:val="auto"/>
          <w:sz w:val="21"/>
          <w:szCs w:val="21"/>
          <w:highlight w:val="none"/>
        </w:rPr>
        <w:t>7.</w:t>
      </w:r>
      <w:r>
        <w:rPr>
          <w:rFonts w:hint="eastAsia" w:ascii="宋体" w:hAnsi="宋体" w:cs="宋体"/>
          <w:color w:val="auto"/>
          <w:sz w:val="21"/>
          <w:szCs w:val="21"/>
          <w:highlight w:val="none"/>
          <w:lang w:val="en-US" w:eastAsia="zh-CN"/>
        </w:rPr>
        <w:t>7</w:t>
      </w:r>
      <w:r>
        <w:rPr>
          <w:rFonts w:hint="eastAsia" w:ascii="宋体" w:hAnsi="宋体" w:cs="宋体"/>
          <w:color w:val="auto"/>
          <w:sz w:val="21"/>
          <w:szCs w:val="21"/>
          <w:highlight w:val="none"/>
        </w:rPr>
        <w:t xml:space="preserve"> 签订合同</w:t>
      </w:r>
      <w:bookmarkEnd w:id="342"/>
      <w:bookmarkEnd w:id="343"/>
      <w:bookmarkEnd w:id="344"/>
      <w:bookmarkEnd w:id="345"/>
      <w:bookmarkEnd w:id="346"/>
    </w:p>
    <w:p w14:paraId="402D6E1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 xml:space="preserve">.1 采购人和中选人应在中选通知书发出之日起 </w:t>
      </w:r>
      <w:r>
        <w:rPr>
          <w:rFonts w:hint="eastAsia" w:ascii="宋体" w:hAnsi="宋体" w:eastAsia="宋体" w:cs="宋体"/>
          <w:color w:val="auto"/>
          <w:sz w:val="21"/>
          <w:szCs w:val="21"/>
          <w:highlight w:val="none"/>
          <w:lang w:val="en-US" w:eastAsia="zh-CN"/>
        </w:rPr>
        <w:t>28</w:t>
      </w:r>
      <w:r>
        <w:rPr>
          <w:rFonts w:hint="eastAsia" w:ascii="宋体" w:hAnsi="宋体" w:eastAsia="宋体" w:cs="宋体"/>
          <w:color w:val="auto"/>
          <w:sz w:val="21"/>
          <w:szCs w:val="21"/>
          <w:highlight w:val="none"/>
          <w:lang w:eastAsia="zh-CN"/>
        </w:rPr>
        <w:t xml:space="preserve"> 日内，根据比选文件和中选人的响应文件订立书面合同。中选人放弃中选项目，无正当理由拒签合同，在签订合同时向采购人提出附加条件或者更改合同实质性内容，或不按照比选文件要求提交履约保证金的，采购人取消其中选资格，其比选保证金</w:t>
      </w:r>
      <w:r>
        <w:rPr>
          <w:rFonts w:hint="eastAsia" w:ascii="宋体" w:hAnsi="宋体" w:eastAsia="宋体" w:cs="宋体"/>
          <w:snapToGrid w:val="0"/>
          <w:color w:val="auto"/>
          <w:kern w:val="0"/>
          <w:sz w:val="21"/>
          <w:szCs w:val="21"/>
          <w:highlight w:val="none"/>
        </w:rPr>
        <w:t>以现金形式</w:t>
      </w:r>
      <w:r>
        <w:rPr>
          <w:rFonts w:hint="eastAsia" w:ascii="宋体" w:hAnsi="宋体" w:eastAsia="宋体" w:cs="宋体"/>
          <w:snapToGrid w:val="0"/>
          <w:color w:val="auto"/>
          <w:kern w:val="0"/>
          <w:sz w:val="21"/>
          <w:szCs w:val="21"/>
          <w:highlight w:val="none"/>
          <w:lang w:eastAsia="zh-CN"/>
        </w:rPr>
        <w:t>交纳</w:t>
      </w:r>
      <w:r>
        <w:rPr>
          <w:rFonts w:hint="eastAsia" w:ascii="宋体" w:hAnsi="宋体" w:eastAsia="宋体" w:cs="宋体"/>
          <w:snapToGrid w:val="0"/>
          <w:color w:val="auto"/>
          <w:kern w:val="0"/>
          <w:sz w:val="21"/>
          <w:szCs w:val="21"/>
          <w:highlight w:val="none"/>
        </w:rPr>
        <w:t>的</w:t>
      </w:r>
      <w:r>
        <w:rPr>
          <w:rFonts w:hint="eastAsia" w:ascii="宋体" w:hAnsi="宋体" w:eastAsia="宋体" w:cs="宋体"/>
          <w:color w:val="auto"/>
          <w:sz w:val="21"/>
          <w:szCs w:val="21"/>
          <w:highlight w:val="none"/>
          <w:lang w:eastAsia="zh-CN"/>
        </w:rPr>
        <w:t>不予退还</w:t>
      </w:r>
      <w:r>
        <w:rPr>
          <w:rFonts w:hint="eastAsia" w:ascii="宋体" w:hAnsi="宋体" w:eastAsia="宋体" w:cs="宋体"/>
          <w:snapToGrid w:val="0"/>
          <w:color w:val="auto"/>
          <w:kern w:val="0"/>
          <w:sz w:val="21"/>
          <w:szCs w:val="21"/>
          <w:highlight w:val="none"/>
        </w:rPr>
        <w:t>，以保函形式</w:t>
      </w:r>
      <w:r>
        <w:rPr>
          <w:rFonts w:hint="eastAsia" w:ascii="宋体" w:hAnsi="宋体" w:eastAsia="宋体" w:cs="宋体"/>
          <w:snapToGrid w:val="0"/>
          <w:color w:val="auto"/>
          <w:kern w:val="0"/>
          <w:sz w:val="21"/>
          <w:szCs w:val="21"/>
          <w:highlight w:val="none"/>
          <w:lang w:eastAsia="zh-CN"/>
        </w:rPr>
        <w:t>交纳</w:t>
      </w:r>
      <w:r>
        <w:rPr>
          <w:rFonts w:hint="eastAsia" w:ascii="宋体" w:hAnsi="宋体" w:eastAsia="宋体" w:cs="宋体"/>
          <w:snapToGrid w:val="0"/>
          <w:color w:val="auto"/>
          <w:kern w:val="0"/>
          <w:sz w:val="21"/>
          <w:szCs w:val="21"/>
          <w:highlight w:val="none"/>
        </w:rPr>
        <w:t>的由保函开立人支付保函担保的与</w:t>
      </w:r>
      <w:r>
        <w:rPr>
          <w:rFonts w:hint="eastAsia" w:ascii="宋体" w:hAnsi="宋体" w:eastAsia="宋体" w:cs="宋体"/>
          <w:snapToGrid w:val="0"/>
          <w:color w:val="auto"/>
          <w:kern w:val="0"/>
          <w:sz w:val="21"/>
          <w:szCs w:val="21"/>
          <w:highlight w:val="none"/>
          <w:lang w:val="en-US" w:eastAsia="zh-CN"/>
        </w:rPr>
        <w:t>比选</w:t>
      </w:r>
      <w:r>
        <w:rPr>
          <w:rFonts w:hint="eastAsia" w:ascii="宋体" w:hAnsi="宋体" w:eastAsia="宋体" w:cs="宋体"/>
          <w:snapToGrid w:val="0"/>
          <w:color w:val="auto"/>
          <w:kern w:val="0"/>
          <w:sz w:val="21"/>
          <w:szCs w:val="21"/>
          <w:highlight w:val="none"/>
        </w:rPr>
        <w:t>保证金等额的款项</w:t>
      </w:r>
      <w:r>
        <w:rPr>
          <w:rFonts w:hint="eastAsia" w:ascii="宋体" w:hAnsi="宋体" w:eastAsia="宋体" w:cs="宋体"/>
          <w:color w:val="auto"/>
          <w:sz w:val="21"/>
          <w:szCs w:val="21"/>
          <w:highlight w:val="none"/>
          <w:lang w:eastAsia="zh-CN"/>
        </w:rPr>
        <w:t>；给采购人造成的损失超过比选保证金数额的，中选人还应对超过部分予以赔偿。</w:t>
      </w:r>
    </w:p>
    <w:p w14:paraId="672B3AC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.2 发出中选通知书后，采购人无正当理由拒签合同，或在签订合同时向中选人提出附加条件的，采购人向中选人退还比选保证金；给中选人造成损失的，还应赔偿损失。</w:t>
      </w:r>
    </w:p>
    <w:p w14:paraId="1FC4157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.3 签约合同价的确定原则如下：</w:t>
      </w:r>
    </w:p>
    <w:p w14:paraId="0E3A848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（1）按照评审办法规定对比选报价进行修正后，若修正后的最终比选报价小于比选时的比选函大写金额报价，则签订合同时以修正后的最终比选报价为准；</w:t>
      </w:r>
    </w:p>
    <w:p w14:paraId="10B9D12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（2）按照评审办法规定对比选报价进行修正后，若修正后的最终比选报价大于比选时的比选函大写金额报价，则签订合同时以比选时的比选函大写金额报价为准，同时按比例修正相应子目的单价或合价。</w:t>
      </w:r>
    </w:p>
    <w:p w14:paraId="669F49AB">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.4 联合体中选的，联合体各方应共同与采购人签订合同，就中选项目向采购人承担连带责任。</w:t>
      </w:r>
    </w:p>
    <w:p w14:paraId="2FCB41A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.5 采购人和中选人在签订合同协议书的同时，须按照本比选文件规定的格式和要求签订廉政合同及安全生产合同，明确双方在廉政建设和安全生产方面的权利和义务以及应承担的违约责任。</w:t>
      </w:r>
    </w:p>
    <w:p w14:paraId="26C629F1">
      <w:pPr>
        <w:pStyle w:val="4"/>
        <w:spacing w:before="0" w:after="0" w:line="360" w:lineRule="auto"/>
        <w:rPr>
          <w:rFonts w:hint="eastAsia" w:ascii="宋体" w:hAnsi="宋体" w:eastAsia="宋体" w:cs="宋体"/>
          <w:color w:val="auto"/>
          <w:sz w:val="28"/>
          <w:szCs w:val="28"/>
          <w:highlight w:val="none"/>
          <w:lang w:eastAsia="zh-CN"/>
        </w:rPr>
      </w:pPr>
      <w:bookmarkStart w:id="347" w:name="_Toc6839"/>
      <w:bookmarkStart w:id="348" w:name="_Toc7210"/>
      <w:bookmarkStart w:id="349" w:name="_Toc17696"/>
      <w:bookmarkStart w:id="350" w:name="_Toc19302"/>
      <w:bookmarkStart w:id="351" w:name="_Toc7200"/>
      <w:r>
        <w:rPr>
          <w:rFonts w:hint="eastAsia" w:ascii="宋体" w:hAnsi="宋体" w:eastAsia="宋体" w:cs="宋体"/>
          <w:color w:val="auto"/>
          <w:sz w:val="28"/>
          <w:szCs w:val="28"/>
          <w:highlight w:val="none"/>
        </w:rPr>
        <w:t xml:space="preserve">8. </w:t>
      </w:r>
      <w:bookmarkEnd w:id="347"/>
      <w:r>
        <w:rPr>
          <w:rFonts w:hint="eastAsia" w:ascii="宋体" w:hAnsi="宋体" w:cs="宋体"/>
          <w:color w:val="auto"/>
          <w:sz w:val="28"/>
          <w:szCs w:val="28"/>
          <w:highlight w:val="none"/>
        </w:rPr>
        <w:t>重新</w:t>
      </w:r>
      <w:r>
        <w:rPr>
          <w:rFonts w:hint="eastAsia" w:ascii="宋体" w:hAnsi="宋体" w:cs="宋体"/>
          <w:color w:val="auto"/>
          <w:sz w:val="28"/>
          <w:szCs w:val="28"/>
          <w:highlight w:val="none"/>
          <w:lang w:val="en-US" w:eastAsia="zh-CN"/>
        </w:rPr>
        <w:t>比选</w:t>
      </w:r>
      <w:r>
        <w:rPr>
          <w:rFonts w:hint="eastAsia" w:ascii="宋体" w:hAnsi="宋体" w:cs="宋体"/>
          <w:color w:val="auto"/>
          <w:sz w:val="28"/>
          <w:szCs w:val="28"/>
          <w:highlight w:val="none"/>
        </w:rPr>
        <w:t>和不再</w:t>
      </w:r>
      <w:bookmarkEnd w:id="348"/>
      <w:r>
        <w:rPr>
          <w:rFonts w:hint="eastAsia" w:ascii="宋体" w:hAnsi="宋体" w:cs="宋体"/>
          <w:color w:val="auto"/>
          <w:sz w:val="28"/>
          <w:szCs w:val="28"/>
          <w:highlight w:val="none"/>
          <w:lang w:val="en-US" w:eastAsia="zh-CN"/>
        </w:rPr>
        <w:t>比选</w:t>
      </w:r>
    </w:p>
    <w:p w14:paraId="073FF98A">
      <w:pPr>
        <w:pStyle w:val="5"/>
        <w:spacing w:before="0" w:after="0" w:line="360" w:lineRule="auto"/>
        <w:rPr>
          <w:rFonts w:hint="eastAsia" w:ascii="宋体" w:hAnsi="宋体" w:eastAsia="宋体" w:cs="宋体"/>
          <w:color w:val="auto"/>
          <w:sz w:val="21"/>
          <w:szCs w:val="21"/>
          <w:highlight w:val="none"/>
        </w:rPr>
      </w:pPr>
      <w:bookmarkStart w:id="352" w:name="_Toc16841"/>
      <w:bookmarkStart w:id="353" w:name="_Toc13020"/>
      <w:r>
        <w:rPr>
          <w:rFonts w:hint="eastAsia" w:ascii="宋体" w:hAnsi="宋体" w:eastAsia="宋体" w:cs="宋体"/>
          <w:color w:val="auto"/>
          <w:sz w:val="21"/>
          <w:szCs w:val="21"/>
          <w:highlight w:val="none"/>
        </w:rPr>
        <w:t xml:space="preserve">8.1 </w:t>
      </w:r>
      <w:r>
        <w:rPr>
          <w:rFonts w:hint="eastAsia" w:ascii="宋体" w:hAnsi="宋体" w:cs="宋体"/>
          <w:color w:val="auto"/>
          <w:sz w:val="21"/>
          <w:szCs w:val="21"/>
          <w:highlight w:val="none"/>
        </w:rPr>
        <w:t>重新</w:t>
      </w:r>
      <w:r>
        <w:rPr>
          <w:rFonts w:hint="eastAsia" w:ascii="宋体" w:hAnsi="宋体" w:cs="宋体"/>
          <w:color w:val="auto"/>
          <w:sz w:val="21"/>
          <w:szCs w:val="21"/>
          <w:highlight w:val="none"/>
          <w:lang w:val="en-US" w:eastAsia="zh-CN"/>
        </w:rPr>
        <w:t>比选</w:t>
      </w:r>
      <w:r>
        <w:rPr>
          <w:rFonts w:hint="eastAsia" w:ascii="宋体" w:hAnsi="宋体" w:cs="宋体"/>
          <w:color w:val="auto"/>
          <w:sz w:val="21"/>
          <w:szCs w:val="21"/>
          <w:highlight w:val="none"/>
        </w:rPr>
        <w:t>的情形</w:t>
      </w:r>
      <w:bookmarkEnd w:id="352"/>
      <w:bookmarkEnd w:id="353"/>
    </w:p>
    <w:p w14:paraId="5B44169B">
      <w:pPr>
        <w:pStyle w:val="73"/>
        <w:adjustRightInd w:val="0"/>
        <w:snapToGrid w:val="0"/>
        <w:spacing w:before="0" w:beforeLines="-2147483648" w:after="0" w:afterLines="-2147483648"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snapToGrid/>
          <w:color w:val="auto"/>
          <w:kern w:val="0"/>
          <w:sz w:val="21"/>
          <w:szCs w:val="21"/>
          <w:highlight w:val="none"/>
          <w:lang w:eastAsia="zh-CN"/>
        </w:rPr>
        <w:t>重新</w:t>
      </w:r>
      <w:r>
        <w:rPr>
          <w:rFonts w:hint="eastAsia" w:ascii="宋体" w:hAnsi="宋体" w:eastAsia="宋体" w:cs="宋体"/>
          <w:snapToGrid/>
          <w:color w:val="auto"/>
          <w:kern w:val="0"/>
          <w:sz w:val="21"/>
          <w:szCs w:val="21"/>
          <w:highlight w:val="none"/>
          <w:lang w:val="en-US" w:eastAsia="zh-CN"/>
        </w:rPr>
        <w:t>比选</w:t>
      </w:r>
      <w:r>
        <w:rPr>
          <w:rFonts w:hint="eastAsia" w:ascii="宋体" w:hAnsi="宋体" w:eastAsia="宋体" w:cs="宋体"/>
          <w:snapToGrid/>
          <w:color w:val="auto"/>
          <w:kern w:val="0"/>
          <w:sz w:val="21"/>
          <w:szCs w:val="21"/>
          <w:highlight w:val="none"/>
          <w:lang w:eastAsia="zh-CN"/>
        </w:rPr>
        <w:t>的情形：见供应商须知前附表。</w:t>
      </w:r>
    </w:p>
    <w:p w14:paraId="700FD2A9">
      <w:pPr>
        <w:pStyle w:val="5"/>
        <w:spacing w:before="0" w:after="0" w:line="360" w:lineRule="auto"/>
        <w:rPr>
          <w:rFonts w:hint="default" w:ascii="宋体" w:hAnsi="宋体" w:eastAsia="宋体" w:cs="宋体"/>
          <w:color w:val="auto"/>
          <w:sz w:val="21"/>
          <w:szCs w:val="21"/>
          <w:highlight w:val="none"/>
          <w:lang w:val="en-US" w:eastAsia="zh-CN"/>
        </w:rPr>
      </w:pPr>
      <w:bookmarkStart w:id="354" w:name="_Toc10050"/>
      <w:bookmarkStart w:id="355" w:name="_Toc16531"/>
      <w:r>
        <w:rPr>
          <w:rFonts w:hint="eastAsia" w:ascii="宋体" w:hAnsi="宋体" w:eastAsia="宋体" w:cs="宋体"/>
          <w:color w:val="auto"/>
          <w:sz w:val="21"/>
          <w:szCs w:val="21"/>
          <w:highlight w:val="none"/>
        </w:rPr>
        <w:t>8.</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rPr>
        <w:t>重新</w:t>
      </w:r>
      <w:r>
        <w:rPr>
          <w:rFonts w:hint="eastAsia" w:ascii="宋体" w:hAnsi="宋体" w:cs="宋体"/>
          <w:color w:val="auto"/>
          <w:sz w:val="21"/>
          <w:szCs w:val="21"/>
          <w:highlight w:val="none"/>
          <w:lang w:val="en-US" w:eastAsia="zh-CN"/>
        </w:rPr>
        <w:t>比选和不再</w:t>
      </w:r>
      <w:bookmarkEnd w:id="354"/>
      <w:bookmarkEnd w:id="355"/>
      <w:r>
        <w:rPr>
          <w:rFonts w:hint="eastAsia" w:ascii="宋体" w:hAnsi="宋体" w:cs="宋体"/>
          <w:color w:val="auto"/>
          <w:sz w:val="21"/>
          <w:szCs w:val="21"/>
          <w:highlight w:val="none"/>
          <w:lang w:val="en-US" w:eastAsia="zh-CN"/>
        </w:rPr>
        <w:t>比选</w:t>
      </w:r>
    </w:p>
    <w:p w14:paraId="025FE305">
      <w:pPr>
        <w:pStyle w:val="73"/>
        <w:adjustRightInd w:val="0"/>
        <w:snapToGrid w:val="0"/>
        <w:spacing w:before="0" w:beforeLines="-2147483648" w:after="0" w:afterLines="-2147483648"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kern w:val="0"/>
          <w:sz w:val="21"/>
          <w:szCs w:val="21"/>
          <w:highlight w:val="none"/>
          <w:lang w:eastAsia="zh-CN"/>
        </w:rPr>
        <w:t>重新比选后供应商仍少于3个，按程序比选和评审，确定中选人。经评审无合格供应商，属于必须审批或核准的工程建设项目，经原审批或核准部门批准后不再进行比选。</w:t>
      </w:r>
    </w:p>
    <w:p w14:paraId="6A731F25">
      <w:pPr>
        <w:pStyle w:val="4"/>
        <w:adjustRightInd w:val="0"/>
        <w:snapToGrid w:val="0"/>
        <w:spacing w:before="0" w:after="0" w:line="360" w:lineRule="auto"/>
        <w:rPr>
          <w:rFonts w:ascii="宋体" w:hAnsi="宋体" w:cs="宋体"/>
          <w:color w:val="auto"/>
          <w:sz w:val="28"/>
          <w:szCs w:val="28"/>
          <w:highlight w:val="none"/>
        </w:rPr>
      </w:pPr>
      <w:bookmarkStart w:id="356" w:name="_Toc2938"/>
      <w:r>
        <w:rPr>
          <w:rFonts w:hint="eastAsia" w:ascii="宋体" w:hAnsi="宋体" w:cs="宋体"/>
          <w:color w:val="auto"/>
          <w:sz w:val="28"/>
          <w:szCs w:val="28"/>
          <w:highlight w:val="none"/>
          <w:lang w:val="en-US" w:eastAsia="zh-CN"/>
        </w:rPr>
        <w:t>9</w:t>
      </w:r>
      <w:r>
        <w:rPr>
          <w:rFonts w:hint="eastAsia" w:ascii="宋体" w:hAnsi="宋体" w:cs="宋体"/>
          <w:color w:val="auto"/>
          <w:sz w:val="28"/>
          <w:szCs w:val="28"/>
          <w:highlight w:val="none"/>
        </w:rPr>
        <w:t>. 纪律和监督</w:t>
      </w:r>
      <w:bookmarkEnd w:id="349"/>
      <w:bookmarkEnd w:id="350"/>
      <w:bookmarkEnd w:id="351"/>
      <w:bookmarkEnd w:id="356"/>
    </w:p>
    <w:p w14:paraId="6340C7AB">
      <w:pPr>
        <w:pStyle w:val="5"/>
        <w:adjustRightInd w:val="0"/>
        <w:snapToGrid w:val="0"/>
        <w:spacing w:before="0" w:after="0" w:line="360" w:lineRule="auto"/>
        <w:rPr>
          <w:rFonts w:ascii="宋体" w:hAnsi="宋体" w:cs="宋体"/>
          <w:color w:val="auto"/>
          <w:sz w:val="21"/>
          <w:szCs w:val="21"/>
          <w:highlight w:val="none"/>
        </w:rPr>
      </w:pPr>
      <w:bookmarkStart w:id="357" w:name="_Toc9068"/>
      <w:bookmarkStart w:id="358" w:name="_Toc22851"/>
      <w:bookmarkStart w:id="359" w:name="_Toc14964"/>
      <w:bookmarkStart w:id="360" w:name="_Toc21070"/>
      <w:bookmarkStart w:id="361" w:name="_Toc25519"/>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rPr>
        <w:t>.1 对</w:t>
      </w:r>
      <w:r>
        <w:rPr>
          <w:rFonts w:hint="eastAsia" w:ascii="宋体" w:hAnsi="宋体" w:cs="宋体"/>
          <w:color w:val="auto"/>
          <w:sz w:val="21"/>
          <w:szCs w:val="21"/>
          <w:highlight w:val="none"/>
          <w:lang w:eastAsia="zh-CN"/>
        </w:rPr>
        <w:t>采购人</w:t>
      </w:r>
      <w:r>
        <w:rPr>
          <w:rFonts w:hint="eastAsia" w:ascii="宋体" w:hAnsi="宋体" w:cs="宋体"/>
          <w:color w:val="auto"/>
          <w:sz w:val="21"/>
          <w:szCs w:val="21"/>
          <w:highlight w:val="none"/>
        </w:rPr>
        <w:t>的纪律要求</w:t>
      </w:r>
      <w:bookmarkEnd w:id="357"/>
      <w:bookmarkEnd w:id="358"/>
      <w:bookmarkEnd w:id="359"/>
      <w:bookmarkEnd w:id="360"/>
      <w:bookmarkEnd w:id="361"/>
    </w:p>
    <w:p w14:paraId="3806F63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采购人不得泄露</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活动中应保密的情况和资料，不得与供应商串通损害国家利益、社会公共利益或他人合法权益。</w:t>
      </w:r>
    </w:p>
    <w:p w14:paraId="72629A34">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有下列情形之一的，属于采购人与供应商串通比选：</w:t>
      </w:r>
    </w:p>
    <w:p w14:paraId="54CC500A">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（1）采购人在比选前开启响应文件并将有关信息泄露给其他供应商；</w:t>
      </w:r>
    </w:p>
    <w:p w14:paraId="761DD30A">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（2）采购人直接或者间接向供应商泄露标底、评审委员会成员等信息；</w:t>
      </w:r>
    </w:p>
    <w:p w14:paraId="031853A3">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（3）采购人明示或者暗示供应商压低或者抬高比选报价；</w:t>
      </w:r>
    </w:p>
    <w:p w14:paraId="1FBA945D">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（4）采购人授意供应商撤换、修改响应文件；</w:t>
      </w:r>
    </w:p>
    <w:p w14:paraId="2242B7BA">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（5）采购人明示或者暗示供应商为特定供应商中选提供方便；</w:t>
      </w:r>
    </w:p>
    <w:p w14:paraId="1A3B210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（6）采购人与供应商为谋求特定供应商中选而采取的其他串通行为。</w:t>
      </w:r>
    </w:p>
    <w:p w14:paraId="49876495">
      <w:pPr>
        <w:pStyle w:val="5"/>
        <w:adjustRightInd w:val="0"/>
        <w:snapToGrid w:val="0"/>
        <w:spacing w:before="0" w:after="0" w:line="360" w:lineRule="auto"/>
        <w:rPr>
          <w:rFonts w:ascii="宋体" w:hAnsi="宋体" w:cs="宋体"/>
          <w:color w:val="auto"/>
          <w:sz w:val="21"/>
          <w:szCs w:val="21"/>
          <w:highlight w:val="none"/>
        </w:rPr>
      </w:pPr>
      <w:bookmarkStart w:id="362" w:name="_Toc13331"/>
      <w:bookmarkStart w:id="363" w:name="_Toc2159"/>
      <w:bookmarkStart w:id="364" w:name="_Toc14766"/>
      <w:bookmarkStart w:id="365" w:name="_Toc32472"/>
      <w:bookmarkStart w:id="366" w:name="_Toc15401"/>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rPr>
        <w:t>.2 对</w:t>
      </w:r>
      <w:r>
        <w:rPr>
          <w:rFonts w:hint="eastAsia" w:ascii="宋体" w:hAnsi="宋体" w:cs="宋体"/>
          <w:color w:val="auto"/>
          <w:sz w:val="21"/>
          <w:szCs w:val="21"/>
          <w:highlight w:val="none"/>
          <w:lang w:eastAsia="zh-CN"/>
        </w:rPr>
        <w:t>供应商</w:t>
      </w:r>
      <w:r>
        <w:rPr>
          <w:rFonts w:hint="eastAsia" w:ascii="宋体" w:hAnsi="宋体" w:cs="宋体"/>
          <w:color w:val="auto"/>
          <w:sz w:val="21"/>
          <w:szCs w:val="21"/>
          <w:highlight w:val="none"/>
        </w:rPr>
        <w:t>的纪律要求</w:t>
      </w:r>
      <w:bookmarkEnd w:id="362"/>
      <w:bookmarkEnd w:id="363"/>
      <w:bookmarkEnd w:id="364"/>
      <w:bookmarkEnd w:id="365"/>
      <w:bookmarkEnd w:id="366"/>
    </w:p>
    <w:p w14:paraId="7F78CFB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供应商不得相互串通比选或与采购人串通比选，不得向采购人或评审委员会成员行贿谋取中选，不得以他人名义比选或以其他方式弄虚作假骗取中选；供应商不得以任何方式干扰、影响评审工作。</w:t>
      </w:r>
    </w:p>
    <w:p w14:paraId="0E1AE23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.2.1 有下列情形之一的，属于供应商相互串通比选：</w:t>
      </w:r>
    </w:p>
    <w:p w14:paraId="326E184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（1）供应商之间协商比选报价等响应文件的实质性内容；</w:t>
      </w:r>
    </w:p>
    <w:p w14:paraId="72CB1E6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（2）供应商之间约定中选人；</w:t>
      </w:r>
    </w:p>
    <w:p w14:paraId="6235D74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（3）供应商之间约定部分供应商放弃比选或者中选；</w:t>
      </w:r>
    </w:p>
    <w:p w14:paraId="0C67372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（4）属于同一集团、协会、商会等组织成员的供应商按照该组织要求协同比选；</w:t>
      </w:r>
    </w:p>
    <w:p w14:paraId="4784210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（5）供应商之间为谋取中选或者排斥特定供应商而采取的其他联合行动。</w:t>
      </w:r>
    </w:p>
    <w:p w14:paraId="05356DD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.2.2 有下列情形之一的，视为供应商相互串通比选：</w:t>
      </w:r>
    </w:p>
    <w:p w14:paraId="0B1C9F4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（1）不同供应商的响应文件由同一单位或者个人编制；</w:t>
      </w:r>
    </w:p>
    <w:p w14:paraId="317C2A8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（2）不同供应商委托同一单位或者个人办理比选事宜；</w:t>
      </w:r>
    </w:p>
    <w:p w14:paraId="1F11575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（3）不同供应商的响应文件载明的项目管理成员为同一人；</w:t>
      </w:r>
    </w:p>
    <w:p w14:paraId="60090A6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（4）不同供应商的响应文件异常一致或者比选报价呈规律性差异；</w:t>
      </w:r>
    </w:p>
    <w:p w14:paraId="26DC951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（5）不同供应商的响应文件相互混装；</w:t>
      </w:r>
    </w:p>
    <w:p w14:paraId="36FB014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（6）不同供应商的比选保证金</w:t>
      </w:r>
      <w:r>
        <w:rPr>
          <w:rFonts w:hint="eastAsia" w:ascii="宋体" w:hAnsi="宋体" w:eastAsia="宋体" w:cs="宋体"/>
          <w:color w:val="auto"/>
          <w:sz w:val="21"/>
          <w:szCs w:val="21"/>
          <w:highlight w:val="none"/>
        </w:rPr>
        <w:t>虽然经由</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自己的基本账户转出，但所需资金来自同一单位或者个人的账户；</w:t>
      </w:r>
    </w:p>
    <w:p w14:paraId="61BA0F0F">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）参加</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活动的人员为同一标段或者未划分标段的同一</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项目的其他</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lang w:eastAsia="zh-CN"/>
        </w:rPr>
        <w:t>的在职人员；</w:t>
      </w:r>
    </w:p>
    <w:p w14:paraId="1D4F5DE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lang w:eastAsia="zh-CN"/>
        </w:rPr>
        <w:t>）法律、法规规定的其他情形。</w:t>
      </w:r>
    </w:p>
    <w:p w14:paraId="13B11BB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.2.3 使用通过受让或者租借等方式获取的资格、资质证书比选的，属于以他人名义比选。</w:t>
      </w:r>
    </w:p>
    <w:p w14:paraId="14D944A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.2.4 供应商有下列情形之一的，属于以其他方式弄虚作假的行为：</w:t>
      </w:r>
    </w:p>
    <w:p w14:paraId="6AD813E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（1）使用伪造、变造的许可证件；</w:t>
      </w:r>
    </w:p>
    <w:p w14:paraId="5E1F28D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（2）提供虚假的财务状况或者业绩；</w:t>
      </w:r>
    </w:p>
    <w:p w14:paraId="72118F7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（3）提供虚假的项目负责人或者主要技术人员简历、劳动关系证明；</w:t>
      </w:r>
    </w:p>
    <w:p w14:paraId="60FA7C4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（4）提供虚假的信用状况；</w:t>
      </w:r>
    </w:p>
    <w:p w14:paraId="5CB921B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（5）其他弄虚作假的行为。</w:t>
      </w:r>
    </w:p>
    <w:p w14:paraId="777DE5A6">
      <w:pPr>
        <w:pStyle w:val="5"/>
        <w:adjustRightInd w:val="0"/>
        <w:snapToGrid w:val="0"/>
        <w:spacing w:before="0" w:after="0" w:line="360" w:lineRule="auto"/>
        <w:rPr>
          <w:rFonts w:ascii="宋体" w:hAnsi="宋体" w:cs="宋体"/>
          <w:color w:val="auto"/>
          <w:sz w:val="21"/>
          <w:szCs w:val="21"/>
          <w:highlight w:val="none"/>
        </w:rPr>
      </w:pPr>
      <w:bookmarkStart w:id="367" w:name="_Toc31642"/>
      <w:bookmarkStart w:id="368" w:name="_Toc141"/>
      <w:bookmarkStart w:id="369" w:name="_Toc12332"/>
      <w:bookmarkStart w:id="370" w:name="_Toc25795"/>
      <w:bookmarkStart w:id="371" w:name="_Toc4444"/>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rPr>
        <w:t>.3 对</w:t>
      </w:r>
      <w:r>
        <w:rPr>
          <w:rFonts w:hint="eastAsia" w:ascii="宋体" w:hAnsi="宋体" w:cs="宋体"/>
          <w:color w:val="auto"/>
          <w:sz w:val="21"/>
          <w:szCs w:val="21"/>
          <w:highlight w:val="none"/>
          <w:lang w:eastAsia="zh-CN"/>
        </w:rPr>
        <w:t>评审委员会</w:t>
      </w:r>
      <w:r>
        <w:rPr>
          <w:rFonts w:hint="eastAsia" w:ascii="宋体" w:hAnsi="宋体" w:cs="宋体"/>
          <w:color w:val="auto"/>
          <w:sz w:val="21"/>
          <w:szCs w:val="21"/>
          <w:highlight w:val="none"/>
        </w:rPr>
        <w:t>成员的纪律要求</w:t>
      </w:r>
      <w:bookmarkEnd w:id="367"/>
      <w:bookmarkEnd w:id="368"/>
      <w:bookmarkEnd w:id="369"/>
      <w:bookmarkEnd w:id="370"/>
      <w:bookmarkEnd w:id="371"/>
    </w:p>
    <w:p w14:paraId="5F8481C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评审委员会成员不得收受他人的财物或其他好处，不得向他人透露对响应文件的评审和比较、中选候选人的推荐情况以及</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有关的其他情况。在</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活动中，评审委员会成员应客观、公正地履行职责，遵守职业道德，不得擅离职守，影响</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程序正常进行，不得使用第三章“评审办法”没有规定的评审因素和标准进行</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。不得对比选文件中《否决情况一览表》以外的内容予以否决，否则对评审委员会成员按《重庆市综合评标专家库和评标专家管理暂行办法》进行处理。</w:t>
      </w:r>
    </w:p>
    <w:p w14:paraId="6C12BBAD">
      <w:pPr>
        <w:pStyle w:val="5"/>
        <w:adjustRightInd w:val="0"/>
        <w:snapToGrid w:val="0"/>
        <w:spacing w:before="0" w:after="0" w:line="360" w:lineRule="auto"/>
        <w:rPr>
          <w:rFonts w:ascii="宋体" w:hAnsi="宋体" w:cs="宋体"/>
          <w:color w:val="auto"/>
          <w:sz w:val="21"/>
          <w:szCs w:val="21"/>
          <w:highlight w:val="none"/>
        </w:rPr>
      </w:pPr>
      <w:bookmarkStart w:id="372" w:name="_Toc5345"/>
      <w:bookmarkStart w:id="373" w:name="_Toc3248"/>
      <w:bookmarkStart w:id="374" w:name="_Toc17457"/>
      <w:bookmarkStart w:id="375" w:name="_Toc32757"/>
      <w:bookmarkStart w:id="376" w:name="_Toc28991"/>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rPr>
        <w:t>.4 对与</w:t>
      </w:r>
      <w:r>
        <w:rPr>
          <w:rFonts w:hint="eastAsia" w:ascii="宋体" w:hAnsi="宋体" w:cs="宋体"/>
          <w:color w:val="auto"/>
          <w:sz w:val="21"/>
          <w:szCs w:val="21"/>
          <w:highlight w:val="none"/>
          <w:lang w:eastAsia="zh-CN"/>
        </w:rPr>
        <w:t>评审活动</w:t>
      </w:r>
      <w:r>
        <w:rPr>
          <w:rFonts w:hint="eastAsia" w:ascii="宋体" w:hAnsi="宋体" w:cs="宋体"/>
          <w:color w:val="auto"/>
          <w:sz w:val="21"/>
          <w:szCs w:val="21"/>
          <w:highlight w:val="none"/>
        </w:rPr>
        <w:t>有关的工作人员的纪律要求</w:t>
      </w:r>
      <w:bookmarkEnd w:id="372"/>
      <w:bookmarkEnd w:id="373"/>
      <w:bookmarkEnd w:id="374"/>
      <w:bookmarkEnd w:id="375"/>
      <w:bookmarkEnd w:id="376"/>
    </w:p>
    <w:p w14:paraId="38EB1E2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与评审活动有关的工作人员不得收受他人的财物或其他好处，不得向他人透露对响应文件的评审和比较、中选候选人的推荐情况以及评审有关的其他情况。在评审活动中，与评审活动有关的工作人员不得擅离职守，影响评审程序正常进行。</w:t>
      </w:r>
    </w:p>
    <w:p w14:paraId="20AD02BC">
      <w:pPr>
        <w:pStyle w:val="5"/>
        <w:adjustRightInd w:val="0"/>
        <w:snapToGrid w:val="0"/>
        <w:spacing w:before="0" w:after="0" w:line="360" w:lineRule="auto"/>
        <w:rPr>
          <w:rFonts w:ascii="宋体" w:hAnsi="宋体" w:cs="宋体"/>
          <w:color w:val="auto"/>
          <w:sz w:val="21"/>
          <w:szCs w:val="21"/>
          <w:highlight w:val="none"/>
        </w:rPr>
      </w:pPr>
      <w:bookmarkStart w:id="377" w:name="_Toc259"/>
      <w:bookmarkStart w:id="378" w:name="_Toc20716"/>
      <w:bookmarkStart w:id="379" w:name="_Toc24935"/>
      <w:bookmarkStart w:id="380" w:name="_Toc14782"/>
      <w:bookmarkStart w:id="381" w:name="_Toc12663"/>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rPr>
        <w:t>.5 投诉</w:t>
      </w:r>
      <w:bookmarkEnd w:id="377"/>
      <w:bookmarkEnd w:id="378"/>
      <w:bookmarkEnd w:id="379"/>
      <w:bookmarkEnd w:id="380"/>
      <w:bookmarkEnd w:id="381"/>
    </w:p>
    <w:p w14:paraId="5FE1354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.5.1 供应商或其他利害关系人认为</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活动不符合法律、行政法规规定的，可以自知道或应当知道之日起 10 日内向有关行政监督部门投诉。投诉应有明确的请求和必要的证明材料。</w:t>
      </w:r>
    </w:p>
    <w:p w14:paraId="429683BB">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监督部门的联系方式见供应商须知前附表。</w:t>
      </w:r>
    </w:p>
    <w:p w14:paraId="5298B9F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 xml:space="preserve">.5.2 供应商或其他利害关系人对比选文件、比选和评审结果提出投诉的，应按照本章第 2.2 款、第 5.3 款和第 7.2 款的规定先向采购人提出异议。异议答复期间不计算在第 </w:t>
      </w: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.5.1 项规定的期限内。</w:t>
      </w:r>
    </w:p>
    <w:p w14:paraId="7C49BB96">
      <w:pPr>
        <w:pStyle w:val="4"/>
        <w:adjustRightInd w:val="0"/>
        <w:snapToGrid w:val="0"/>
        <w:spacing w:before="0" w:after="0" w:line="360" w:lineRule="auto"/>
        <w:rPr>
          <w:rFonts w:ascii="宋体" w:hAnsi="宋体" w:cs="宋体"/>
          <w:color w:val="auto"/>
          <w:sz w:val="28"/>
          <w:szCs w:val="28"/>
          <w:highlight w:val="none"/>
        </w:rPr>
      </w:pPr>
      <w:bookmarkStart w:id="382" w:name="_Toc11896"/>
      <w:bookmarkStart w:id="383" w:name="_Toc19342"/>
      <w:bookmarkStart w:id="384" w:name="_Toc5334"/>
      <w:bookmarkStart w:id="385" w:name="_Toc2055"/>
      <w:r>
        <w:rPr>
          <w:rFonts w:hint="eastAsia" w:ascii="宋体" w:hAnsi="宋体" w:cs="宋体"/>
          <w:color w:val="auto"/>
          <w:sz w:val="28"/>
          <w:szCs w:val="28"/>
          <w:highlight w:val="none"/>
        </w:rPr>
        <w:t>10. 需要补充的其他内容</w:t>
      </w:r>
      <w:bookmarkEnd w:id="382"/>
      <w:bookmarkEnd w:id="383"/>
      <w:bookmarkEnd w:id="384"/>
      <w:bookmarkEnd w:id="385"/>
    </w:p>
    <w:p w14:paraId="7E36909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需要补充的其他内容：见供应商须知前附表。</w:t>
      </w:r>
    </w:p>
    <w:p w14:paraId="6F6167B4">
      <w:pPr>
        <w:autoSpaceDE w:val="0"/>
        <w:autoSpaceDN w:val="0"/>
        <w:adjustRightInd w:val="0"/>
        <w:snapToGrid w:val="0"/>
        <w:spacing w:line="360" w:lineRule="auto"/>
        <w:ind w:firstLine="420"/>
        <w:jc w:val="left"/>
        <w:rPr>
          <w:rFonts w:ascii="宋体" w:hAnsi="宋体" w:cs="宋体"/>
          <w:snapToGrid w:val="0"/>
          <w:color w:val="auto"/>
          <w:kern w:val="0"/>
          <w:szCs w:val="21"/>
          <w:highlight w:val="none"/>
          <w:lang w:val="ru-RU"/>
        </w:rPr>
        <w:sectPr>
          <w:footerReference r:id="rId5" w:type="default"/>
          <w:pgSz w:w="11906" w:h="16838"/>
          <w:pgMar w:top="1304" w:right="1134" w:bottom="1304" w:left="1304" w:header="851" w:footer="992" w:gutter="0"/>
          <w:cols w:space="720" w:num="1"/>
          <w:docGrid w:type="lines" w:linePitch="312" w:charSpace="0"/>
        </w:sectPr>
      </w:pPr>
    </w:p>
    <w:p w14:paraId="5568B494">
      <w:pPr>
        <w:autoSpaceDE w:val="0"/>
        <w:autoSpaceDN w:val="0"/>
        <w:adjustRightInd w:val="0"/>
        <w:snapToGrid w:val="0"/>
        <w:spacing w:line="360" w:lineRule="auto"/>
        <w:jc w:val="left"/>
        <w:rPr>
          <w:rFonts w:ascii="宋体" w:hAnsi="宋体" w:cs="宋体"/>
          <w:b/>
          <w:snapToGrid w:val="0"/>
          <w:color w:val="auto"/>
          <w:kern w:val="0"/>
          <w:highlight w:val="none"/>
        </w:rPr>
      </w:pPr>
      <w:r>
        <w:rPr>
          <w:rFonts w:hint="eastAsia" w:ascii="宋体" w:hAnsi="宋体" w:cs="宋体"/>
          <w:b/>
          <w:snapToGrid w:val="0"/>
          <w:color w:val="auto"/>
          <w:kern w:val="0"/>
          <w:highlight w:val="none"/>
        </w:rPr>
        <w:t>附表一：</w:t>
      </w:r>
      <w:r>
        <w:rPr>
          <w:rFonts w:hint="eastAsia" w:ascii="宋体" w:hAnsi="宋体" w:cs="宋体"/>
          <w:b/>
          <w:snapToGrid w:val="0"/>
          <w:color w:val="auto"/>
          <w:kern w:val="0"/>
          <w:highlight w:val="none"/>
          <w:lang w:eastAsia="zh-CN"/>
        </w:rPr>
        <w:t>比选</w:t>
      </w:r>
      <w:r>
        <w:rPr>
          <w:rFonts w:hint="eastAsia" w:ascii="宋体" w:hAnsi="宋体" w:cs="宋体"/>
          <w:b/>
          <w:snapToGrid w:val="0"/>
          <w:color w:val="auto"/>
          <w:kern w:val="0"/>
          <w:highlight w:val="none"/>
        </w:rPr>
        <w:t>记录表</w:t>
      </w:r>
    </w:p>
    <w:p w14:paraId="76A325B8">
      <w:pPr>
        <w:autoSpaceDE w:val="0"/>
        <w:autoSpaceDN w:val="0"/>
        <w:adjustRightInd w:val="0"/>
        <w:snapToGrid w:val="0"/>
        <w:spacing w:line="360" w:lineRule="auto"/>
        <w:jc w:val="left"/>
        <w:rPr>
          <w:rFonts w:ascii="宋体" w:hAnsi="宋体" w:cs="宋体"/>
          <w:b/>
          <w:snapToGrid w:val="0"/>
          <w:color w:val="auto"/>
          <w:kern w:val="0"/>
          <w:highlight w:val="none"/>
        </w:rPr>
      </w:pPr>
    </w:p>
    <w:p w14:paraId="7823182A">
      <w:pPr>
        <w:tabs>
          <w:tab w:val="left" w:pos="3529"/>
          <w:tab w:val="left" w:pos="5060"/>
        </w:tabs>
        <w:autoSpaceDE w:val="0"/>
        <w:autoSpaceDN w:val="0"/>
        <w:adjustRightInd w:val="0"/>
        <w:snapToGrid w:val="0"/>
        <w:spacing w:line="360" w:lineRule="auto"/>
        <w:jc w:val="center"/>
        <w:rPr>
          <w:rFonts w:ascii="宋体" w:hAnsi="宋体" w:cs="宋体"/>
          <w:b/>
          <w:snapToGrid w:val="0"/>
          <w:color w:val="auto"/>
          <w:kern w:val="0"/>
          <w:sz w:val="28"/>
          <w:szCs w:val="28"/>
          <w:highlight w:val="none"/>
        </w:rPr>
      </w:pPr>
      <w:r>
        <w:rPr>
          <w:rFonts w:hint="eastAsia" w:ascii="宋体" w:hAnsi="宋体" w:cs="宋体"/>
          <w:b/>
          <w:snapToGrid w:val="0"/>
          <w:color w:val="auto"/>
          <w:w w:val="99"/>
          <w:kern w:val="0"/>
          <w:sz w:val="28"/>
          <w:szCs w:val="28"/>
          <w:highlight w:val="none"/>
          <w:u w:val="single"/>
          <w:lang w:eastAsia="zh-CN"/>
        </w:rPr>
        <w:t>成渝改扩建机电工程监控、通信设施保通及路由管道劳务采购</w:t>
      </w:r>
      <w:r>
        <w:rPr>
          <w:rFonts w:hint="eastAsia" w:ascii="宋体" w:hAnsi="宋体" w:cs="宋体"/>
          <w:b/>
          <w:snapToGrid w:val="0"/>
          <w:color w:val="auto"/>
          <w:w w:val="99"/>
          <w:kern w:val="0"/>
          <w:sz w:val="28"/>
          <w:szCs w:val="28"/>
          <w:highlight w:val="none"/>
          <w:lang w:eastAsia="zh-CN"/>
        </w:rPr>
        <w:t>比选</w:t>
      </w:r>
      <w:r>
        <w:rPr>
          <w:rFonts w:hint="eastAsia" w:ascii="宋体" w:hAnsi="宋体" w:cs="宋体"/>
          <w:b/>
          <w:snapToGrid w:val="0"/>
          <w:color w:val="auto"/>
          <w:w w:val="99"/>
          <w:kern w:val="0"/>
          <w:sz w:val="28"/>
          <w:szCs w:val="28"/>
          <w:highlight w:val="none"/>
        </w:rPr>
        <w:t>记录表</w:t>
      </w:r>
    </w:p>
    <w:p w14:paraId="749FB7D1">
      <w:pPr>
        <w:tabs>
          <w:tab w:val="left" w:pos="2260"/>
          <w:tab w:val="left" w:pos="5060"/>
        </w:tabs>
        <w:autoSpaceDE w:val="0"/>
        <w:autoSpaceDN w:val="0"/>
        <w:adjustRightInd w:val="0"/>
        <w:snapToGrid w:val="0"/>
        <w:spacing w:line="360" w:lineRule="auto"/>
        <w:jc w:val="right"/>
        <w:rPr>
          <w:rFonts w:ascii="宋体" w:hAnsi="宋体" w:cs="宋体"/>
          <w:snapToGrid w:val="0"/>
          <w:color w:val="auto"/>
          <w:kern w:val="0"/>
          <w:szCs w:val="21"/>
          <w:highlight w:val="none"/>
        </w:rPr>
      </w:pPr>
      <w:r>
        <w:rPr>
          <w:rFonts w:hint="eastAsia" w:ascii="宋体" w:hAnsi="宋体" w:cs="宋体"/>
          <w:b/>
          <w:snapToGrid w:val="0"/>
          <w:color w:val="auto"/>
          <w:kern w:val="0"/>
          <w:sz w:val="28"/>
          <w:szCs w:val="28"/>
          <w:highlight w:val="none"/>
        </w:rPr>
        <w:t xml:space="preserve">                             </w:t>
      </w:r>
      <w:r>
        <w:rPr>
          <w:rFonts w:hint="eastAsia" w:ascii="宋体" w:hAnsi="宋体" w:cs="宋体"/>
          <w:snapToGrid w:val="0"/>
          <w:color w:val="auto"/>
          <w:kern w:val="0"/>
          <w:szCs w:val="21"/>
          <w:highlight w:val="none"/>
          <w:lang w:eastAsia="zh-CN"/>
        </w:rPr>
        <w:t>比选</w:t>
      </w:r>
      <w:r>
        <w:rPr>
          <w:rFonts w:hint="eastAsia" w:ascii="宋体" w:hAnsi="宋体" w:cs="宋体"/>
          <w:snapToGrid w:val="0"/>
          <w:color w:val="auto"/>
          <w:kern w:val="0"/>
          <w:szCs w:val="21"/>
          <w:highlight w:val="none"/>
        </w:rPr>
        <w:t>时间：</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rPr>
        <w:t>年</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月</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日</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时</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分</w:t>
      </w:r>
    </w:p>
    <w:tbl>
      <w:tblPr>
        <w:tblStyle w:val="34"/>
        <w:tblW w:w="13721"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597"/>
        <w:gridCol w:w="3827"/>
        <w:gridCol w:w="1033"/>
        <w:gridCol w:w="1033"/>
        <w:gridCol w:w="1033"/>
        <w:gridCol w:w="1033"/>
        <w:gridCol w:w="1033"/>
        <w:gridCol w:w="1033"/>
        <w:gridCol w:w="1033"/>
        <w:gridCol w:w="1033"/>
        <w:gridCol w:w="1033"/>
      </w:tblGrid>
      <w:tr w14:paraId="2206FCF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jc w:val="center"/>
        </w:trPr>
        <w:tc>
          <w:tcPr>
            <w:tcW w:w="597" w:type="dxa"/>
            <w:vAlign w:val="center"/>
          </w:tcPr>
          <w:p w14:paraId="385D2509">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序号</w:t>
            </w:r>
          </w:p>
        </w:tc>
        <w:tc>
          <w:tcPr>
            <w:tcW w:w="3827" w:type="dxa"/>
            <w:vAlign w:val="center"/>
          </w:tcPr>
          <w:p w14:paraId="542AE0B2">
            <w:pPr>
              <w:autoSpaceDE w:val="0"/>
              <w:autoSpaceDN w:val="0"/>
              <w:adjustRightInd w:val="0"/>
              <w:snapToGrid w:val="0"/>
              <w:jc w:val="center"/>
              <w:rPr>
                <w:rFonts w:hint="eastAsia" w:ascii="宋体" w:hAnsi="宋体" w:eastAsia="宋体" w:cs="宋体"/>
                <w:snapToGrid w:val="0"/>
                <w:color w:val="auto"/>
                <w:kern w:val="0"/>
                <w:szCs w:val="21"/>
                <w:highlight w:val="none"/>
                <w:lang w:eastAsia="zh-CN"/>
              </w:rPr>
            </w:pPr>
            <w:r>
              <w:rPr>
                <w:rFonts w:hint="eastAsia" w:ascii="宋体" w:hAnsi="宋体" w:cs="宋体"/>
                <w:snapToGrid w:val="0"/>
                <w:color w:val="auto"/>
                <w:kern w:val="0"/>
                <w:szCs w:val="21"/>
                <w:highlight w:val="none"/>
                <w:lang w:eastAsia="zh-CN"/>
              </w:rPr>
              <w:t>供应商</w:t>
            </w:r>
          </w:p>
        </w:tc>
        <w:tc>
          <w:tcPr>
            <w:tcW w:w="1033" w:type="dxa"/>
            <w:tcBorders>
              <w:right w:val="single" w:color="auto" w:sz="4" w:space="0"/>
            </w:tcBorders>
            <w:vAlign w:val="center"/>
          </w:tcPr>
          <w:p w14:paraId="5A7442AF">
            <w:pPr>
              <w:autoSpaceDE w:val="0"/>
              <w:autoSpaceDN w:val="0"/>
              <w:adjustRightInd w:val="0"/>
              <w:snapToGrid w:val="0"/>
              <w:jc w:val="center"/>
              <w:rPr>
                <w:rFonts w:hint="eastAsia" w:ascii="宋体" w:hAnsi="宋体" w:eastAsia="宋体" w:cs="宋体"/>
                <w:snapToGrid w:val="0"/>
                <w:color w:val="auto"/>
                <w:kern w:val="0"/>
                <w:szCs w:val="21"/>
                <w:highlight w:val="none"/>
                <w:lang w:eastAsia="zh-CN"/>
              </w:rPr>
            </w:pPr>
            <w:r>
              <w:rPr>
                <w:rFonts w:hint="eastAsia" w:ascii="宋体" w:hAnsi="宋体" w:cs="宋体"/>
                <w:snapToGrid w:val="0"/>
                <w:color w:val="auto"/>
                <w:kern w:val="0"/>
                <w:szCs w:val="21"/>
                <w:highlight w:val="none"/>
                <w:lang w:eastAsia="zh-CN"/>
              </w:rPr>
              <w:t>比选保证金</w:t>
            </w:r>
          </w:p>
        </w:tc>
        <w:tc>
          <w:tcPr>
            <w:tcW w:w="1033" w:type="dxa"/>
            <w:tcBorders>
              <w:left w:val="single" w:color="auto" w:sz="4" w:space="0"/>
            </w:tcBorders>
            <w:vAlign w:val="center"/>
          </w:tcPr>
          <w:p w14:paraId="459A1DF8">
            <w:pPr>
              <w:autoSpaceDE w:val="0"/>
              <w:autoSpaceDN w:val="0"/>
              <w:adjustRightInd w:val="0"/>
              <w:snapToGrid w:val="0"/>
              <w:jc w:val="center"/>
              <w:rPr>
                <w:rFonts w:hint="default" w:ascii="宋体" w:hAnsi="宋体" w:cs="宋体"/>
                <w:snapToGrid w:val="0"/>
                <w:color w:val="auto"/>
                <w:kern w:val="0"/>
                <w:szCs w:val="21"/>
                <w:highlight w:val="none"/>
                <w:lang w:val="en-US" w:eastAsia="zh-CN"/>
              </w:rPr>
            </w:pPr>
            <w:r>
              <w:rPr>
                <w:rFonts w:hint="eastAsia" w:ascii="宋体" w:hAnsi="宋体" w:cs="宋体"/>
                <w:snapToGrid w:val="0"/>
                <w:color w:val="auto"/>
                <w:kern w:val="0"/>
                <w:szCs w:val="21"/>
                <w:highlight w:val="none"/>
                <w:lang w:val="en-US" w:eastAsia="zh-CN"/>
              </w:rPr>
              <w:t>密封情况</w:t>
            </w:r>
          </w:p>
        </w:tc>
        <w:tc>
          <w:tcPr>
            <w:tcW w:w="1033" w:type="dxa"/>
            <w:vAlign w:val="center"/>
          </w:tcPr>
          <w:p w14:paraId="1770ECB2">
            <w:pPr>
              <w:autoSpaceDE w:val="0"/>
              <w:autoSpaceDN w:val="0"/>
              <w:adjustRightInd w:val="0"/>
              <w:snapToGrid w:val="0"/>
              <w:jc w:val="center"/>
              <w:rPr>
                <w:rFonts w:hint="eastAsia" w:ascii="宋体" w:hAnsi="宋体" w:eastAsia="宋体" w:cs="宋体"/>
                <w:snapToGrid w:val="0"/>
                <w:color w:val="auto"/>
                <w:kern w:val="0"/>
                <w:szCs w:val="21"/>
                <w:highlight w:val="none"/>
                <w:lang w:eastAsia="zh-CN"/>
              </w:rPr>
            </w:pPr>
            <w:r>
              <w:rPr>
                <w:rFonts w:hint="eastAsia" w:ascii="宋体" w:hAnsi="宋体" w:cs="宋体"/>
                <w:snapToGrid w:val="0"/>
                <w:color w:val="auto"/>
                <w:kern w:val="0"/>
                <w:szCs w:val="21"/>
                <w:highlight w:val="none"/>
                <w:lang w:eastAsia="zh-CN"/>
              </w:rPr>
              <w:t>比选总报价</w:t>
            </w:r>
          </w:p>
        </w:tc>
        <w:tc>
          <w:tcPr>
            <w:tcW w:w="1033" w:type="dxa"/>
            <w:vAlign w:val="center"/>
          </w:tcPr>
          <w:p w14:paraId="70B2DEBA">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质量目标</w:t>
            </w:r>
          </w:p>
        </w:tc>
        <w:tc>
          <w:tcPr>
            <w:tcW w:w="1033" w:type="dxa"/>
            <w:vAlign w:val="center"/>
          </w:tcPr>
          <w:p w14:paraId="28E9C2C1">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工期</w:t>
            </w:r>
          </w:p>
        </w:tc>
        <w:tc>
          <w:tcPr>
            <w:tcW w:w="1033" w:type="dxa"/>
            <w:vAlign w:val="center"/>
          </w:tcPr>
          <w:p w14:paraId="561479AD">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项目经理</w:t>
            </w:r>
          </w:p>
        </w:tc>
        <w:tc>
          <w:tcPr>
            <w:tcW w:w="1033" w:type="dxa"/>
            <w:tcBorders>
              <w:right w:val="single" w:color="auto" w:sz="4" w:space="0"/>
            </w:tcBorders>
            <w:vAlign w:val="center"/>
          </w:tcPr>
          <w:p w14:paraId="4D63151A">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项目总工</w:t>
            </w:r>
          </w:p>
        </w:tc>
        <w:tc>
          <w:tcPr>
            <w:tcW w:w="1033" w:type="dxa"/>
            <w:tcBorders>
              <w:left w:val="single" w:color="auto" w:sz="4" w:space="0"/>
            </w:tcBorders>
            <w:vAlign w:val="center"/>
          </w:tcPr>
          <w:p w14:paraId="341DD64A">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备注</w:t>
            </w:r>
          </w:p>
        </w:tc>
        <w:tc>
          <w:tcPr>
            <w:tcW w:w="1033" w:type="dxa"/>
            <w:vAlign w:val="center"/>
          </w:tcPr>
          <w:p w14:paraId="524F4973">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签名</w:t>
            </w:r>
          </w:p>
        </w:tc>
      </w:tr>
      <w:tr w14:paraId="04167A9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7C06F51B">
            <w:pPr>
              <w:autoSpaceDE w:val="0"/>
              <w:autoSpaceDN w:val="0"/>
              <w:adjustRightInd w:val="0"/>
              <w:snapToGrid w:val="0"/>
              <w:jc w:val="left"/>
              <w:rPr>
                <w:rFonts w:ascii="宋体" w:hAnsi="宋体" w:cs="宋体"/>
                <w:snapToGrid w:val="0"/>
                <w:color w:val="auto"/>
                <w:kern w:val="0"/>
                <w:sz w:val="28"/>
                <w:szCs w:val="28"/>
                <w:highlight w:val="none"/>
              </w:rPr>
            </w:pPr>
          </w:p>
        </w:tc>
        <w:tc>
          <w:tcPr>
            <w:tcW w:w="3827" w:type="dxa"/>
            <w:vAlign w:val="center"/>
          </w:tcPr>
          <w:p w14:paraId="10E0C81B">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2EF3DCAF">
            <w:pPr>
              <w:autoSpaceDE w:val="0"/>
              <w:autoSpaceDN w:val="0"/>
              <w:adjustRightInd w:val="0"/>
              <w:snapToGrid w:val="0"/>
              <w:jc w:val="left"/>
              <w:rPr>
                <w:rFonts w:ascii="宋体" w:hAnsi="宋体" w:cs="宋体"/>
                <w:snapToGrid w:val="0"/>
                <w:color w:val="auto"/>
                <w:kern w:val="0"/>
                <w:szCs w:val="21"/>
                <w:highlight w:val="none"/>
              </w:rPr>
            </w:pPr>
          </w:p>
        </w:tc>
        <w:tc>
          <w:tcPr>
            <w:tcW w:w="1033" w:type="dxa"/>
            <w:tcBorders>
              <w:left w:val="single" w:color="auto" w:sz="4" w:space="0"/>
            </w:tcBorders>
            <w:vAlign w:val="center"/>
          </w:tcPr>
          <w:p w14:paraId="0C6FCFCC">
            <w:pPr>
              <w:autoSpaceDE w:val="0"/>
              <w:autoSpaceDN w:val="0"/>
              <w:adjustRightInd w:val="0"/>
              <w:snapToGrid w:val="0"/>
              <w:jc w:val="left"/>
              <w:rPr>
                <w:rFonts w:ascii="宋体" w:hAnsi="宋体" w:cs="宋体"/>
                <w:snapToGrid w:val="0"/>
                <w:color w:val="auto"/>
                <w:kern w:val="0"/>
                <w:szCs w:val="21"/>
                <w:highlight w:val="none"/>
              </w:rPr>
            </w:pPr>
          </w:p>
        </w:tc>
        <w:tc>
          <w:tcPr>
            <w:tcW w:w="1033" w:type="dxa"/>
            <w:vAlign w:val="center"/>
          </w:tcPr>
          <w:p w14:paraId="137CA6F1">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610EF4E6">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16830916">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04941637">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4F26013D">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07F4DDDC">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51ACF70B">
            <w:pPr>
              <w:autoSpaceDE w:val="0"/>
              <w:autoSpaceDN w:val="0"/>
              <w:adjustRightInd w:val="0"/>
              <w:snapToGrid w:val="0"/>
              <w:jc w:val="left"/>
              <w:rPr>
                <w:rFonts w:ascii="宋体" w:hAnsi="宋体" w:cs="宋体"/>
                <w:snapToGrid w:val="0"/>
                <w:color w:val="auto"/>
                <w:kern w:val="0"/>
                <w:sz w:val="28"/>
                <w:szCs w:val="28"/>
                <w:highlight w:val="none"/>
              </w:rPr>
            </w:pPr>
          </w:p>
        </w:tc>
      </w:tr>
      <w:tr w14:paraId="1179217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2C9C4C77">
            <w:pPr>
              <w:autoSpaceDE w:val="0"/>
              <w:autoSpaceDN w:val="0"/>
              <w:adjustRightInd w:val="0"/>
              <w:snapToGrid w:val="0"/>
              <w:jc w:val="left"/>
              <w:rPr>
                <w:rFonts w:ascii="宋体" w:hAnsi="宋体" w:cs="宋体"/>
                <w:snapToGrid w:val="0"/>
                <w:color w:val="auto"/>
                <w:kern w:val="0"/>
                <w:sz w:val="28"/>
                <w:szCs w:val="28"/>
                <w:highlight w:val="none"/>
              </w:rPr>
            </w:pPr>
          </w:p>
        </w:tc>
        <w:tc>
          <w:tcPr>
            <w:tcW w:w="3827" w:type="dxa"/>
            <w:vAlign w:val="center"/>
          </w:tcPr>
          <w:p w14:paraId="2BF2A2F3">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5C2FECEA">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1C05C257">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65A31DB5">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142BD0DF">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1C10FB24">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2FF764C7">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6A19103B">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6231F244">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5BBE67BD">
            <w:pPr>
              <w:autoSpaceDE w:val="0"/>
              <w:autoSpaceDN w:val="0"/>
              <w:adjustRightInd w:val="0"/>
              <w:snapToGrid w:val="0"/>
              <w:jc w:val="left"/>
              <w:rPr>
                <w:rFonts w:ascii="宋体" w:hAnsi="宋体" w:cs="宋体"/>
                <w:snapToGrid w:val="0"/>
                <w:color w:val="auto"/>
                <w:kern w:val="0"/>
                <w:sz w:val="28"/>
                <w:szCs w:val="28"/>
                <w:highlight w:val="none"/>
              </w:rPr>
            </w:pPr>
          </w:p>
        </w:tc>
      </w:tr>
      <w:tr w14:paraId="2D9340B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34AFE1CA">
            <w:pPr>
              <w:autoSpaceDE w:val="0"/>
              <w:autoSpaceDN w:val="0"/>
              <w:adjustRightInd w:val="0"/>
              <w:snapToGrid w:val="0"/>
              <w:jc w:val="left"/>
              <w:rPr>
                <w:rFonts w:ascii="宋体" w:hAnsi="宋体" w:cs="宋体"/>
                <w:snapToGrid w:val="0"/>
                <w:color w:val="auto"/>
                <w:kern w:val="0"/>
                <w:sz w:val="28"/>
                <w:szCs w:val="28"/>
                <w:highlight w:val="none"/>
              </w:rPr>
            </w:pPr>
          </w:p>
        </w:tc>
        <w:tc>
          <w:tcPr>
            <w:tcW w:w="3827" w:type="dxa"/>
            <w:vAlign w:val="center"/>
          </w:tcPr>
          <w:p w14:paraId="3700EB44">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5B76CAAA">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677731AC">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31094E5B">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46A7E8B1">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295DDCA2">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7BAA54DD">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71F3D8FD">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024A5FC6">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24C9A45F">
            <w:pPr>
              <w:autoSpaceDE w:val="0"/>
              <w:autoSpaceDN w:val="0"/>
              <w:adjustRightInd w:val="0"/>
              <w:snapToGrid w:val="0"/>
              <w:jc w:val="left"/>
              <w:rPr>
                <w:rFonts w:ascii="宋体" w:hAnsi="宋体" w:cs="宋体"/>
                <w:snapToGrid w:val="0"/>
                <w:color w:val="auto"/>
                <w:kern w:val="0"/>
                <w:sz w:val="28"/>
                <w:szCs w:val="28"/>
                <w:highlight w:val="none"/>
              </w:rPr>
            </w:pPr>
          </w:p>
        </w:tc>
      </w:tr>
      <w:tr w14:paraId="0E9A428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45E54C2D">
            <w:pPr>
              <w:autoSpaceDE w:val="0"/>
              <w:autoSpaceDN w:val="0"/>
              <w:adjustRightInd w:val="0"/>
              <w:snapToGrid w:val="0"/>
              <w:jc w:val="left"/>
              <w:rPr>
                <w:rFonts w:ascii="宋体" w:hAnsi="宋体" w:cs="宋体"/>
                <w:snapToGrid w:val="0"/>
                <w:color w:val="auto"/>
                <w:kern w:val="0"/>
                <w:sz w:val="28"/>
                <w:szCs w:val="28"/>
                <w:highlight w:val="none"/>
              </w:rPr>
            </w:pPr>
          </w:p>
        </w:tc>
        <w:tc>
          <w:tcPr>
            <w:tcW w:w="3827" w:type="dxa"/>
            <w:vAlign w:val="center"/>
          </w:tcPr>
          <w:p w14:paraId="10D1D267">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259FA988">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7E5895FE">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31A2FE0A">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7D12EA21">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53B5A8D0">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1740784B">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196F5B84">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6C7B0DD6">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4D80EB71">
            <w:pPr>
              <w:autoSpaceDE w:val="0"/>
              <w:autoSpaceDN w:val="0"/>
              <w:adjustRightInd w:val="0"/>
              <w:snapToGrid w:val="0"/>
              <w:jc w:val="left"/>
              <w:rPr>
                <w:rFonts w:ascii="宋体" w:hAnsi="宋体" w:cs="宋体"/>
                <w:snapToGrid w:val="0"/>
                <w:color w:val="auto"/>
                <w:kern w:val="0"/>
                <w:sz w:val="28"/>
                <w:szCs w:val="28"/>
                <w:highlight w:val="none"/>
              </w:rPr>
            </w:pPr>
          </w:p>
        </w:tc>
      </w:tr>
      <w:tr w14:paraId="4B294C8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5BD2BD5C">
            <w:pPr>
              <w:autoSpaceDE w:val="0"/>
              <w:autoSpaceDN w:val="0"/>
              <w:adjustRightInd w:val="0"/>
              <w:snapToGrid w:val="0"/>
              <w:jc w:val="left"/>
              <w:rPr>
                <w:rFonts w:ascii="宋体" w:hAnsi="宋体" w:cs="宋体"/>
                <w:snapToGrid w:val="0"/>
                <w:color w:val="auto"/>
                <w:kern w:val="0"/>
                <w:sz w:val="28"/>
                <w:szCs w:val="28"/>
                <w:highlight w:val="none"/>
              </w:rPr>
            </w:pPr>
          </w:p>
        </w:tc>
        <w:tc>
          <w:tcPr>
            <w:tcW w:w="3827" w:type="dxa"/>
            <w:vAlign w:val="center"/>
          </w:tcPr>
          <w:p w14:paraId="38735108">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234D5030">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2258B7C2">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37EEB613">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6A6A5AD9">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6A672D69">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1838BCC7">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53E7C9E7">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22BF600C">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5CC222EA">
            <w:pPr>
              <w:autoSpaceDE w:val="0"/>
              <w:autoSpaceDN w:val="0"/>
              <w:adjustRightInd w:val="0"/>
              <w:snapToGrid w:val="0"/>
              <w:jc w:val="left"/>
              <w:rPr>
                <w:rFonts w:ascii="宋体" w:hAnsi="宋体" w:cs="宋体"/>
                <w:snapToGrid w:val="0"/>
                <w:color w:val="auto"/>
                <w:kern w:val="0"/>
                <w:sz w:val="28"/>
                <w:szCs w:val="28"/>
                <w:highlight w:val="none"/>
              </w:rPr>
            </w:pPr>
          </w:p>
        </w:tc>
      </w:tr>
      <w:tr w14:paraId="2FA5888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79" w:hRule="atLeast"/>
          <w:jc w:val="center"/>
        </w:trPr>
        <w:tc>
          <w:tcPr>
            <w:tcW w:w="4424" w:type="dxa"/>
            <w:gridSpan w:val="2"/>
            <w:vAlign w:val="center"/>
          </w:tcPr>
          <w:p w14:paraId="536660EA">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最高限价</w:t>
            </w:r>
          </w:p>
        </w:tc>
        <w:tc>
          <w:tcPr>
            <w:tcW w:w="9297" w:type="dxa"/>
            <w:gridSpan w:val="9"/>
            <w:vAlign w:val="center"/>
          </w:tcPr>
          <w:p w14:paraId="2AA3BC3A">
            <w:pPr>
              <w:autoSpaceDE w:val="0"/>
              <w:autoSpaceDN w:val="0"/>
              <w:adjustRightInd w:val="0"/>
              <w:snapToGrid w:val="0"/>
              <w:jc w:val="left"/>
              <w:rPr>
                <w:rFonts w:ascii="宋体" w:hAnsi="宋体" w:cs="宋体"/>
                <w:snapToGrid w:val="0"/>
                <w:color w:val="auto"/>
                <w:kern w:val="0"/>
                <w:szCs w:val="21"/>
                <w:highlight w:val="none"/>
              </w:rPr>
            </w:pPr>
          </w:p>
        </w:tc>
      </w:tr>
      <w:tr w14:paraId="6BD225E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4424" w:type="dxa"/>
            <w:gridSpan w:val="2"/>
            <w:vAlign w:val="center"/>
          </w:tcPr>
          <w:p w14:paraId="2241F0B6">
            <w:pPr>
              <w:autoSpaceDE w:val="0"/>
              <w:autoSpaceDN w:val="0"/>
              <w:adjustRightInd w:val="0"/>
              <w:snapToGrid w:val="0"/>
              <w:jc w:val="center"/>
              <w:rPr>
                <w:rFonts w:ascii="宋体" w:hAnsi="宋体" w:cs="宋体"/>
                <w:color w:val="auto"/>
                <w:szCs w:val="21"/>
                <w:highlight w:val="none"/>
              </w:rPr>
            </w:pPr>
            <w:r>
              <w:rPr>
                <w:rFonts w:hint="eastAsia" w:ascii="宋体" w:hAnsi="宋体" w:cs="宋体"/>
                <w:color w:val="auto"/>
                <w:szCs w:val="21"/>
                <w:highlight w:val="none"/>
              </w:rPr>
              <w:t>异常情况</w:t>
            </w:r>
          </w:p>
        </w:tc>
        <w:tc>
          <w:tcPr>
            <w:tcW w:w="9297" w:type="dxa"/>
            <w:gridSpan w:val="9"/>
            <w:vAlign w:val="center"/>
          </w:tcPr>
          <w:p w14:paraId="662EEF26">
            <w:pPr>
              <w:autoSpaceDE w:val="0"/>
              <w:autoSpaceDN w:val="0"/>
              <w:adjustRightInd w:val="0"/>
              <w:snapToGrid w:val="0"/>
              <w:ind w:firstLine="420" w:firstLineChars="200"/>
              <w:jc w:val="left"/>
              <w:rPr>
                <w:rFonts w:ascii="宋体" w:hAnsi="宋体" w:cs="宋体"/>
                <w:i/>
                <w:color w:val="auto"/>
                <w:kern w:val="0"/>
                <w:szCs w:val="21"/>
                <w:highlight w:val="none"/>
              </w:rPr>
            </w:pPr>
          </w:p>
        </w:tc>
      </w:tr>
    </w:tbl>
    <w:p w14:paraId="603971CD">
      <w:pPr>
        <w:tabs>
          <w:tab w:val="left" w:pos="2740"/>
          <w:tab w:val="left" w:pos="4940"/>
          <w:tab w:val="left" w:pos="7140"/>
        </w:tabs>
        <w:autoSpaceDE w:val="0"/>
        <w:autoSpaceDN w:val="0"/>
        <w:adjustRightInd w:val="0"/>
        <w:snapToGrid w:val="0"/>
        <w:spacing w:line="360" w:lineRule="auto"/>
        <w:jc w:val="left"/>
        <w:rPr>
          <w:rFonts w:ascii="宋体" w:hAnsi="宋体" w:cs="宋体"/>
          <w:snapToGrid w:val="0"/>
          <w:color w:val="auto"/>
          <w:kern w:val="0"/>
          <w:szCs w:val="21"/>
          <w:highlight w:val="none"/>
        </w:rPr>
      </w:pPr>
    </w:p>
    <w:p w14:paraId="1AC5EC2C">
      <w:pPr>
        <w:tabs>
          <w:tab w:val="left" w:pos="2740"/>
          <w:tab w:val="left" w:pos="4940"/>
          <w:tab w:val="left" w:pos="6930"/>
        </w:tabs>
        <w:autoSpaceDE w:val="0"/>
        <w:autoSpaceDN w:val="0"/>
        <w:adjustRightInd w:val="0"/>
        <w:snapToGrid w:val="0"/>
        <w:spacing w:beforeLines="0" w:after="0" w:line="360" w:lineRule="auto"/>
        <w:ind w:firstLine="420" w:firstLineChars="200"/>
        <w:jc w:val="left"/>
        <w:rPr>
          <w:rFonts w:hint="eastAsia" w:ascii="宋体" w:hAnsi="宋体" w:cs="宋体"/>
          <w:snapToGrid w:val="0"/>
          <w:color w:val="auto"/>
          <w:w w:val="200"/>
          <w:kern w:val="0"/>
          <w:szCs w:val="21"/>
          <w:highlight w:val="none"/>
        </w:rPr>
      </w:pPr>
      <w:r>
        <w:rPr>
          <w:rFonts w:hint="eastAsia" w:ascii="宋体" w:hAnsi="宋体" w:cs="宋体"/>
          <w:snapToGrid w:val="0"/>
          <w:color w:val="auto"/>
          <w:kern w:val="0"/>
          <w:szCs w:val="21"/>
          <w:highlight w:val="none"/>
          <w:lang w:eastAsia="zh-CN"/>
        </w:rPr>
        <w:t>采购人</w:t>
      </w:r>
      <w:r>
        <w:rPr>
          <w:rFonts w:hint="eastAsia" w:ascii="宋体" w:hAnsi="宋体" w:cs="宋体"/>
          <w:snapToGrid w:val="0"/>
          <w:color w:val="auto"/>
          <w:kern w:val="0"/>
          <w:szCs w:val="21"/>
          <w:highlight w:val="none"/>
        </w:rPr>
        <w:t>：</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w w:val="200"/>
          <w:kern w:val="0"/>
          <w:szCs w:val="21"/>
          <w:highlight w:val="none"/>
        </w:rPr>
        <w:t xml:space="preserve">      </w:t>
      </w:r>
      <w:r>
        <w:rPr>
          <w:rFonts w:hint="eastAsia" w:ascii="宋体" w:hAnsi="宋体" w:cs="宋体"/>
          <w:snapToGrid w:val="0"/>
          <w:color w:val="auto"/>
          <w:kern w:val="0"/>
          <w:szCs w:val="21"/>
          <w:highlight w:val="none"/>
          <w:lang w:val="en-US" w:eastAsia="zh-CN"/>
        </w:rPr>
        <w:t>代理机构</w:t>
      </w:r>
      <w:r>
        <w:rPr>
          <w:rFonts w:hint="eastAsia" w:ascii="宋体" w:hAnsi="宋体" w:cs="宋体"/>
          <w:snapToGrid w:val="0"/>
          <w:color w:val="auto"/>
          <w:kern w:val="0"/>
          <w:szCs w:val="21"/>
          <w:highlight w:val="none"/>
        </w:rPr>
        <w:t>：</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w w:val="200"/>
          <w:kern w:val="0"/>
          <w:szCs w:val="21"/>
          <w:highlight w:val="none"/>
        </w:rPr>
        <w:t xml:space="preserve">      </w:t>
      </w:r>
    </w:p>
    <w:p w14:paraId="51D63793">
      <w:pPr>
        <w:tabs>
          <w:tab w:val="left" w:pos="2740"/>
          <w:tab w:val="left" w:pos="4940"/>
          <w:tab w:val="left" w:pos="6930"/>
        </w:tabs>
        <w:autoSpaceDE w:val="0"/>
        <w:autoSpaceDN w:val="0"/>
        <w:adjustRightInd w:val="0"/>
        <w:snapToGrid w:val="0"/>
        <w:spacing w:line="360" w:lineRule="auto"/>
        <w:ind w:firstLine="420"/>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主持人：</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w w:val="200"/>
          <w:kern w:val="0"/>
          <w:szCs w:val="21"/>
          <w:highlight w:val="none"/>
        </w:rPr>
        <w:t xml:space="preserve">      </w:t>
      </w:r>
      <w:r>
        <w:rPr>
          <w:rFonts w:hint="eastAsia" w:ascii="宋体" w:hAnsi="宋体" w:cs="宋体"/>
          <w:snapToGrid w:val="0"/>
          <w:color w:val="auto"/>
          <w:kern w:val="0"/>
          <w:szCs w:val="21"/>
          <w:highlight w:val="none"/>
        </w:rPr>
        <w:t>记录人：</w:t>
      </w:r>
      <w:r>
        <w:rPr>
          <w:rFonts w:hint="eastAsia" w:ascii="宋体" w:hAnsi="宋体" w:cs="宋体"/>
          <w:snapToGrid w:val="0"/>
          <w:color w:val="auto"/>
          <w:w w:val="200"/>
          <w:kern w:val="0"/>
          <w:szCs w:val="21"/>
          <w:highlight w:val="none"/>
          <w:u w:val="single"/>
        </w:rPr>
        <w:t xml:space="preserve">      </w:t>
      </w:r>
    </w:p>
    <w:p w14:paraId="160F86A3">
      <w:pPr>
        <w:autoSpaceDE w:val="0"/>
        <w:autoSpaceDN w:val="0"/>
        <w:adjustRightInd w:val="0"/>
        <w:snapToGrid w:val="0"/>
        <w:spacing w:before="62" w:beforeLines="20" w:line="360" w:lineRule="auto"/>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                                       </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年</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月</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日</w:t>
      </w:r>
    </w:p>
    <w:p w14:paraId="76560B1F">
      <w:pPr>
        <w:autoSpaceDE/>
        <w:autoSpaceDN/>
        <w:adjustRightInd/>
        <w:snapToGrid/>
        <w:spacing w:before="0" w:beforeLines="-2147483648" w:line="240" w:lineRule="auto"/>
        <w:rPr>
          <w:rFonts w:hint="eastAsia" w:ascii="宋体" w:hAnsi="宋体" w:cs="宋体"/>
          <w:snapToGrid w:val="0"/>
          <w:color w:val="auto"/>
          <w:kern w:val="0"/>
          <w:szCs w:val="21"/>
          <w:highlight w:val="none"/>
        </w:rPr>
      </w:pPr>
    </w:p>
    <w:p w14:paraId="07C59938">
      <w:pPr>
        <w:autoSpaceDE/>
        <w:autoSpaceDN/>
        <w:adjustRightInd/>
        <w:snapToGrid/>
        <w:spacing w:before="0" w:beforeLines="-2147483648" w:line="24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br w:type="page"/>
      </w:r>
    </w:p>
    <w:p w14:paraId="06DF7DF5">
      <w:pPr>
        <w:autoSpaceDE w:val="0"/>
        <w:autoSpaceDN w:val="0"/>
        <w:adjustRightInd w:val="0"/>
        <w:snapToGrid w:val="0"/>
        <w:spacing w:before="62" w:beforeLines="20" w:line="360" w:lineRule="auto"/>
        <w:jc w:val="both"/>
        <w:rPr>
          <w:rFonts w:ascii="宋体" w:hAnsi="宋体"/>
          <w:snapToGrid w:val="0"/>
          <w:color w:val="auto"/>
          <w:kern w:val="0"/>
          <w:sz w:val="24"/>
          <w:highlight w:val="none"/>
        </w:rPr>
      </w:pP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二</w:t>
      </w:r>
      <w:r>
        <w:rPr>
          <w:rFonts w:ascii="宋体" w:hAnsi="宋体"/>
          <w:b/>
          <w:snapToGrid w:val="0"/>
          <w:color w:val="auto"/>
          <w:kern w:val="0"/>
          <w:highlight w:val="none"/>
        </w:rPr>
        <w:t>：</w:t>
      </w:r>
      <w:r>
        <w:rPr>
          <w:rFonts w:hint="default" w:ascii="宋体" w:hAnsi="宋体"/>
          <w:b/>
          <w:snapToGrid w:val="0"/>
          <w:color w:val="auto"/>
          <w:w w:val="100"/>
          <w:kern w:val="0"/>
          <w:sz w:val="21"/>
          <w:szCs w:val="24"/>
          <w:highlight w:val="none"/>
          <w:u w:val="none"/>
          <w:lang w:val="en-US" w:eastAsia="zh-CN"/>
        </w:rPr>
        <w:t>纸质投标保函递交情况一览表（如有）</w:t>
      </w:r>
    </w:p>
    <w:p w14:paraId="2737D4BA">
      <w:pPr>
        <w:autoSpaceDE w:val="0"/>
        <w:autoSpaceDN w:val="0"/>
        <w:adjustRightInd w:val="0"/>
        <w:snapToGrid w:val="0"/>
        <w:spacing w:before="62" w:beforeLines="20" w:line="360" w:lineRule="auto"/>
        <w:jc w:val="center"/>
        <w:rPr>
          <w:rFonts w:hint="eastAsia" w:ascii="宋体" w:hAnsi="宋体"/>
          <w:color w:val="auto"/>
          <w:szCs w:val="21"/>
          <w:highlight w:val="none"/>
          <w:lang w:val="en-US" w:eastAsia="zh-CN"/>
        </w:rPr>
      </w:pPr>
      <w:r>
        <w:rPr>
          <w:rFonts w:hint="eastAsia" w:ascii="宋体" w:hAnsi="宋体" w:cs="宋体"/>
          <w:b/>
          <w:snapToGrid w:val="0"/>
          <w:color w:val="auto"/>
          <w:w w:val="99"/>
          <w:kern w:val="0"/>
          <w:sz w:val="28"/>
          <w:szCs w:val="28"/>
          <w:highlight w:val="none"/>
          <w:u w:val="single"/>
          <w:lang w:eastAsia="zh-CN"/>
        </w:rPr>
        <w:t>成渝改扩建机电工程监控、通信设施保通及路由管道劳务采购</w:t>
      </w:r>
      <w:r>
        <w:rPr>
          <w:rFonts w:hint="default" w:ascii="宋体" w:hAnsi="宋体"/>
          <w:b/>
          <w:snapToGrid w:val="0"/>
          <w:color w:val="auto"/>
          <w:w w:val="99"/>
          <w:kern w:val="0"/>
          <w:sz w:val="28"/>
          <w:szCs w:val="28"/>
          <w:highlight w:val="none"/>
          <w:u w:val="single"/>
          <w:lang w:val="en-US" w:eastAsia="zh-CN"/>
        </w:rPr>
        <w:t>纸质投标保函</w:t>
      </w:r>
      <w:r>
        <w:rPr>
          <w:rFonts w:hint="eastAsia" w:ascii="宋体" w:hAnsi="宋体"/>
          <w:b/>
          <w:snapToGrid w:val="0"/>
          <w:color w:val="auto"/>
          <w:w w:val="99"/>
          <w:kern w:val="0"/>
          <w:sz w:val="28"/>
          <w:szCs w:val="28"/>
          <w:highlight w:val="none"/>
          <w:u w:val="single"/>
          <w:lang w:val="en-US" w:eastAsia="zh-CN"/>
        </w:rPr>
        <w:t>递交</w:t>
      </w:r>
      <w:r>
        <w:rPr>
          <w:rFonts w:hint="default" w:ascii="宋体" w:hAnsi="宋体"/>
          <w:b/>
          <w:snapToGrid w:val="0"/>
          <w:color w:val="auto"/>
          <w:w w:val="99"/>
          <w:kern w:val="0"/>
          <w:sz w:val="28"/>
          <w:szCs w:val="28"/>
          <w:highlight w:val="none"/>
          <w:u w:val="single"/>
          <w:lang w:val="en-US" w:eastAsia="zh-CN"/>
        </w:rPr>
        <w:t>情况一览表</w:t>
      </w:r>
    </w:p>
    <w:p w14:paraId="208D4486">
      <w:pPr>
        <w:autoSpaceDE w:val="0"/>
        <w:autoSpaceDN w:val="0"/>
        <w:adjustRightInd w:val="0"/>
        <w:snapToGrid w:val="0"/>
        <w:spacing w:before="62" w:beforeLines="20" w:line="360" w:lineRule="auto"/>
        <w:ind w:firstLine="8610" w:firstLineChars="4100"/>
        <w:jc w:val="both"/>
        <w:rPr>
          <w:rFonts w:hint="eastAsia" w:ascii="宋体" w:hAnsi="宋体"/>
          <w:color w:val="auto"/>
          <w:szCs w:val="21"/>
          <w:highlight w:val="none"/>
          <w:lang w:val="en-US" w:eastAsia="zh-CN"/>
        </w:rPr>
      </w:pPr>
      <w:r>
        <w:rPr>
          <w:rFonts w:hint="eastAsia" w:ascii="宋体" w:hAnsi="宋体"/>
          <w:snapToGrid w:val="0"/>
          <w:color w:val="auto"/>
          <w:kern w:val="0"/>
          <w:szCs w:val="21"/>
          <w:highlight w:val="none"/>
          <w:lang w:val="en-US" w:eastAsia="zh-CN"/>
        </w:rPr>
        <w:t>比选截止时间</w:t>
      </w:r>
      <w:r>
        <w:rPr>
          <w:rFonts w:ascii="宋体" w:hAnsi="宋体"/>
          <w:snapToGrid w:val="0"/>
          <w:color w:val="auto"/>
          <w:kern w:val="0"/>
          <w:szCs w:val="21"/>
          <w:highlight w:val="none"/>
        </w:rPr>
        <w:t>：</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分</w:t>
      </w:r>
    </w:p>
    <w:tbl>
      <w:tblPr>
        <w:tblStyle w:val="34"/>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2264"/>
        <w:gridCol w:w="2881"/>
        <w:gridCol w:w="2103"/>
        <w:gridCol w:w="2987"/>
        <w:gridCol w:w="3175"/>
      </w:tblGrid>
      <w:tr w14:paraId="3213C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40190E27">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rPr>
              <w:t>序号</w:t>
            </w:r>
          </w:p>
        </w:tc>
        <w:tc>
          <w:tcPr>
            <w:tcW w:w="2264" w:type="dxa"/>
            <w:vAlign w:val="center"/>
          </w:tcPr>
          <w:p w14:paraId="34349B92">
            <w:pPr>
              <w:autoSpaceDE w:val="0"/>
              <w:autoSpaceDN w:val="0"/>
              <w:adjustRightInd w:val="0"/>
              <w:snapToGrid w:val="0"/>
              <w:spacing w:before="0" w:beforeLines="0" w:line="400" w:lineRule="exact"/>
              <w:jc w:val="center"/>
              <w:rPr>
                <w:rFonts w:hint="eastAsia" w:ascii="宋体" w:hAnsi="宋体" w:eastAsia="宋体"/>
                <w:color w:val="auto"/>
                <w:szCs w:val="21"/>
                <w:highlight w:val="none"/>
                <w:lang w:eastAsia="zh-CN"/>
              </w:rPr>
            </w:pPr>
            <w:r>
              <w:rPr>
                <w:rFonts w:hint="eastAsia" w:ascii="宋体" w:hAnsi="宋体"/>
                <w:color w:val="auto"/>
                <w:szCs w:val="21"/>
                <w:highlight w:val="none"/>
                <w:lang w:val="en-US" w:eastAsia="zh-CN"/>
              </w:rPr>
              <w:t>供应商</w:t>
            </w:r>
          </w:p>
        </w:tc>
        <w:tc>
          <w:tcPr>
            <w:tcW w:w="2881" w:type="dxa"/>
            <w:vAlign w:val="center"/>
          </w:tcPr>
          <w:p w14:paraId="4FCD8AB7">
            <w:pPr>
              <w:autoSpaceDE w:val="0"/>
              <w:autoSpaceDN w:val="0"/>
              <w:adjustRightInd w:val="0"/>
              <w:snapToGrid w:val="0"/>
              <w:spacing w:before="0" w:beforeLines="0" w:line="400" w:lineRule="exact"/>
              <w:jc w:val="center"/>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保函开具机构</w:t>
            </w:r>
          </w:p>
        </w:tc>
        <w:tc>
          <w:tcPr>
            <w:tcW w:w="2103" w:type="dxa"/>
            <w:vAlign w:val="center"/>
          </w:tcPr>
          <w:p w14:paraId="4B11F27A">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rPr>
              <w:t>金额（元）</w:t>
            </w:r>
          </w:p>
        </w:tc>
        <w:tc>
          <w:tcPr>
            <w:tcW w:w="2987" w:type="dxa"/>
            <w:vAlign w:val="center"/>
          </w:tcPr>
          <w:p w14:paraId="6A6F52DA">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rPr>
              <w:t>递交时间</w:t>
            </w:r>
          </w:p>
        </w:tc>
        <w:tc>
          <w:tcPr>
            <w:tcW w:w="3175" w:type="dxa"/>
            <w:vAlign w:val="center"/>
          </w:tcPr>
          <w:p w14:paraId="389F3A04">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rPr>
              <w:t>备注</w:t>
            </w:r>
          </w:p>
        </w:tc>
      </w:tr>
      <w:tr w14:paraId="54428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05ABD94E">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46E6E99E">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63D338E7">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49C5CC47">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772CBF13">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lang w:val="en-US" w:eastAsia="zh-CN"/>
              </w:rPr>
              <w:t>比选截止时间前</w:t>
            </w:r>
          </w:p>
        </w:tc>
        <w:tc>
          <w:tcPr>
            <w:tcW w:w="3175" w:type="dxa"/>
            <w:vAlign w:val="center"/>
          </w:tcPr>
          <w:p w14:paraId="5B9711BF">
            <w:pPr>
              <w:autoSpaceDE w:val="0"/>
              <w:autoSpaceDN w:val="0"/>
              <w:adjustRightInd w:val="0"/>
              <w:snapToGrid w:val="0"/>
              <w:spacing w:before="0" w:beforeLines="0" w:line="400" w:lineRule="exact"/>
              <w:jc w:val="center"/>
              <w:rPr>
                <w:rFonts w:ascii="宋体" w:hAnsi="宋体"/>
                <w:color w:val="auto"/>
                <w:szCs w:val="21"/>
                <w:highlight w:val="none"/>
              </w:rPr>
            </w:pPr>
          </w:p>
        </w:tc>
      </w:tr>
      <w:tr w14:paraId="5638D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06D2AEBB">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2F7D8773">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76DE5067">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59FC1644">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13C26360">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100620A3">
            <w:pPr>
              <w:autoSpaceDE w:val="0"/>
              <w:autoSpaceDN w:val="0"/>
              <w:adjustRightInd w:val="0"/>
              <w:snapToGrid w:val="0"/>
              <w:spacing w:before="0" w:beforeLines="0" w:line="400" w:lineRule="exact"/>
              <w:jc w:val="center"/>
              <w:rPr>
                <w:rFonts w:ascii="宋体" w:hAnsi="宋体"/>
                <w:color w:val="auto"/>
                <w:szCs w:val="21"/>
                <w:highlight w:val="none"/>
              </w:rPr>
            </w:pPr>
          </w:p>
        </w:tc>
      </w:tr>
      <w:tr w14:paraId="1D5D2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2E24621B">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6775E882">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387251A9">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18D8CB77">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42170258">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1C9477D2">
            <w:pPr>
              <w:autoSpaceDE w:val="0"/>
              <w:autoSpaceDN w:val="0"/>
              <w:adjustRightInd w:val="0"/>
              <w:snapToGrid w:val="0"/>
              <w:spacing w:before="0" w:beforeLines="0" w:line="400" w:lineRule="exact"/>
              <w:jc w:val="center"/>
              <w:rPr>
                <w:rFonts w:ascii="宋体" w:hAnsi="宋体"/>
                <w:color w:val="auto"/>
                <w:szCs w:val="21"/>
                <w:highlight w:val="none"/>
              </w:rPr>
            </w:pPr>
          </w:p>
        </w:tc>
      </w:tr>
      <w:tr w14:paraId="31794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0CD1F861">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0B3F7904">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5691D604">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6B90AC66">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51B86E4D">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0400FF56">
            <w:pPr>
              <w:autoSpaceDE w:val="0"/>
              <w:autoSpaceDN w:val="0"/>
              <w:adjustRightInd w:val="0"/>
              <w:snapToGrid w:val="0"/>
              <w:spacing w:before="0" w:beforeLines="0" w:line="400" w:lineRule="exact"/>
              <w:jc w:val="center"/>
              <w:rPr>
                <w:rFonts w:ascii="宋体" w:hAnsi="宋体"/>
                <w:color w:val="auto"/>
                <w:szCs w:val="21"/>
                <w:highlight w:val="none"/>
              </w:rPr>
            </w:pPr>
          </w:p>
        </w:tc>
      </w:tr>
      <w:tr w14:paraId="5D7C6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3DE842C4">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5D1AC928">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5056ED4E">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6C252A0A">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63634A29">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4949BFD9">
            <w:pPr>
              <w:autoSpaceDE w:val="0"/>
              <w:autoSpaceDN w:val="0"/>
              <w:adjustRightInd w:val="0"/>
              <w:snapToGrid w:val="0"/>
              <w:spacing w:before="0" w:beforeLines="0" w:line="400" w:lineRule="exact"/>
              <w:jc w:val="center"/>
              <w:rPr>
                <w:rFonts w:ascii="宋体" w:hAnsi="宋体"/>
                <w:color w:val="auto"/>
                <w:szCs w:val="21"/>
                <w:highlight w:val="none"/>
              </w:rPr>
            </w:pPr>
          </w:p>
        </w:tc>
      </w:tr>
      <w:tr w14:paraId="61319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4D357F0B">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035057FA">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3571B24B">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0AE63264">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06900433">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6FA631E0">
            <w:pPr>
              <w:autoSpaceDE w:val="0"/>
              <w:autoSpaceDN w:val="0"/>
              <w:adjustRightInd w:val="0"/>
              <w:snapToGrid w:val="0"/>
              <w:spacing w:before="0" w:beforeLines="0" w:line="400" w:lineRule="exact"/>
              <w:jc w:val="center"/>
              <w:rPr>
                <w:rFonts w:ascii="宋体" w:hAnsi="宋体"/>
                <w:color w:val="auto"/>
                <w:szCs w:val="21"/>
                <w:highlight w:val="none"/>
              </w:rPr>
            </w:pPr>
          </w:p>
        </w:tc>
      </w:tr>
      <w:tr w14:paraId="15F8A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0573238C">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3BFD997D">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6127A5EB">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135D8515">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0B9D6AEB">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473A7232">
            <w:pPr>
              <w:autoSpaceDE w:val="0"/>
              <w:autoSpaceDN w:val="0"/>
              <w:adjustRightInd w:val="0"/>
              <w:snapToGrid w:val="0"/>
              <w:spacing w:before="0" w:beforeLines="0" w:line="400" w:lineRule="exact"/>
              <w:jc w:val="center"/>
              <w:rPr>
                <w:rFonts w:ascii="宋体" w:hAnsi="宋体"/>
                <w:color w:val="auto"/>
                <w:szCs w:val="21"/>
                <w:highlight w:val="none"/>
              </w:rPr>
            </w:pPr>
          </w:p>
        </w:tc>
      </w:tr>
      <w:tr w14:paraId="02AB8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343A78F4">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54738717">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3A10499A">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36CE22A2">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627406DF">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21442AC3">
            <w:pPr>
              <w:autoSpaceDE w:val="0"/>
              <w:autoSpaceDN w:val="0"/>
              <w:adjustRightInd w:val="0"/>
              <w:snapToGrid w:val="0"/>
              <w:spacing w:before="0" w:beforeLines="0" w:line="400" w:lineRule="exact"/>
              <w:jc w:val="center"/>
              <w:rPr>
                <w:rFonts w:ascii="宋体" w:hAnsi="宋体"/>
                <w:color w:val="auto"/>
                <w:szCs w:val="21"/>
                <w:highlight w:val="none"/>
              </w:rPr>
            </w:pPr>
          </w:p>
        </w:tc>
      </w:tr>
      <w:tr w14:paraId="68CA2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2281C5FE">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03A3EF6F">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7BA63B5F">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29499BED">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622DF0C5">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57446F1B">
            <w:pPr>
              <w:autoSpaceDE w:val="0"/>
              <w:autoSpaceDN w:val="0"/>
              <w:adjustRightInd w:val="0"/>
              <w:snapToGrid w:val="0"/>
              <w:spacing w:before="0" w:beforeLines="0" w:line="400" w:lineRule="exact"/>
              <w:jc w:val="center"/>
              <w:rPr>
                <w:rFonts w:ascii="宋体" w:hAnsi="宋体"/>
                <w:color w:val="auto"/>
                <w:szCs w:val="21"/>
                <w:highlight w:val="none"/>
              </w:rPr>
            </w:pPr>
          </w:p>
        </w:tc>
      </w:tr>
      <w:tr w14:paraId="3CA18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0EFCDDD0">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1F0C32C5">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3F0FA31D">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18B7F9AB">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73B7D0E9">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48061DC7">
            <w:pPr>
              <w:autoSpaceDE w:val="0"/>
              <w:autoSpaceDN w:val="0"/>
              <w:adjustRightInd w:val="0"/>
              <w:snapToGrid w:val="0"/>
              <w:spacing w:before="0" w:beforeLines="0" w:line="400" w:lineRule="exact"/>
              <w:jc w:val="center"/>
              <w:rPr>
                <w:rFonts w:ascii="宋体" w:hAnsi="宋体"/>
                <w:color w:val="auto"/>
                <w:szCs w:val="21"/>
                <w:highlight w:val="none"/>
              </w:rPr>
            </w:pPr>
          </w:p>
        </w:tc>
      </w:tr>
    </w:tbl>
    <w:p w14:paraId="71B05DAD">
      <w:pPr>
        <w:tabs>
          <w:tab w:val="left" w:pos="2740"/>
          <w:tab w:val="left" w:pos="4940"/>
          <w:tab w:val="left" w:pos="6930"/>
        </w:tabs>
        <w:autoSpaceDE w:val="0"/>
        <w:autoSpaceDN w:val="0"/>
        <w:adjustRightInd w:val="0"/>
        <w:snapToGrid w:val="0"/>
        <w:spacing w:line="360" w:lineRule="auto"/>
        <w:ind w:firstLine="480" w:firstLineChars="200"/>
        <w:jc w:val="left"/>
        <w:rPr>
          <w:rFonts w:hint="eastAsia" w:ascii="宋体" w:hAnsi="宋体" w:cs="宋体"/>
          <w:snapToGrid w:val="0"/>
          <w:color w:val="auto"/>
          <w:kern w:val="0"/>
          <w:szCs w:val="21"/>
          <w:highlight w:val="none"/>
        </w:rPr>
      </w:pPr>
      <w:r>
        <w:rPr>
          <w:rFonts w:hint="eastAsia" w:ascii="宋体" w:hAnsi="宋体" w:cs="宋体"/>
          <w:snapToGrid w:val="0"/>
          <w:color w:val="auto"/>
          <w:kern w:val="0"/>
          <w:sz w:val="24"/>
          <w:highlight w:val="none"/>
          <w:lang w:val="en-US" w:eastAsia="zh-CN"/>
        </w:rPr>
        <w:t>（注：</w:t>
      </w:r>
      <w:r>
        <w:rPr>
          <w:rFonts w:hint="eastAsia" w:ascii="宋体" w:hAnsi="宋体" w:cs="宋体"/>
          <w:snapToGrid w:val="0"/>
          <w:color w:val="auto"/>
          <w:kern w:val="0"/>
          <w:szCs w:val="21"/>
          <w:highlight w:val="none"/>
          <w:lang w:eastAsia="zh-CN"/>
        </w:rPr>
        <w:t>采购人</w:t>
      </w:r>
      <w:r>
        <w:rPr>
          <w:rFonts w:hint="eastAsia" w:ascii="宋体" w:hAnsi="宋体" w:cs="宋体"/>
          <w:snapToGrid w:val="0"/>
          <w:color w:val="auto"/>
          <w:kern w:val="0"/>
          <w:szCs w:val="21"/>
          <w:highlight w:val="none"/>
          <w:lang w:val="en-US" w:eastAsia="zh-CN"/>
        </w:rPr>
        <w:t>栏显示单位名称，</w:t>
      </w:r>
      <w:r>
        <w:rPr>
          <w:rFonts w:hint="eastAsia" w:ascii="宋体" w:hAnsi="宋体" w:cs="宋体"/>
          <w:snapToGrid w:val="0"/>
          <w:color w:val="auto"/>
          <w:kern w:val="0"/>
          <w:szCs w:val="21"/>
          <w:highlight w:val="none"/>
        </w:rPr>
        <w:t>记录人</w:t>
      </w:r>
      <w:r>
        <w:rPr>
          <w:rFonts w:hint="eastAsia" w:ascii="宋体" w:hAnsi="宋体" w:cs="宋体"/>
          <w:snapToGrid w:val="0"/>
          <w:color w:val="auto"/>
          <w:kern w:val="0"/>
          <w:szCs w:val="21"/>
          <w:highlight w:val="none"/>
          <w:lang w:val="en-US" w:eastAsia="zh-CN"/>
        </w:rPr>
        <w:t>栏显示人名。</w:t>
      </w:r>
      <w:r>
        <w:rPr>
          <w:rFonts w:hint="eastAsia" w:ascii="宋体" w:hAnsi="宋体" w:cs="宋体"/>
          <w:snapToGrid w:val="0"/>
          <w:color w:val="auto"/>
          <w:kern w:val="0"/>
          <w:sz w:val="24"/>
          <w:highlight w:val="none"/>
          <w:lang w:val="en-US" w:eastAsia="zh-CN"/>
        </w:rPr>
        <w:t>）</w:t>
      </w:r>
    </w:p>
    <w:p w14:paraId="5AC0FBCD">
      <w:pPr>
        <w:tabs>
          <w:tab w:val="left" w:pos="2740"/>
          <w:tab w:val="left" w:pos="4940"/>
          <w:tab w:val="left" w:pos="6930"/>
        </w:tabs>
        <w:autoSpaceDE w:val="0"/>
        <w:autoSpaceDN w:val="0"/>
        <w:adjustRightInd w:val="0"/>
        <w:snapToGrid w:val="0"/>
        <w:spacing w:line="360" w:lineRule="auto"/>
        <w:ind w:firstLine="420" w:firstLineChars="200"/>
        <w:jc w:val="left"/>
        <w:rPr>
          <w:rFonts w:ascii="宋体" w:hAnsi="宋体" w:cs="MingLiU"/>
          <w:snapToGrid w:val="0"/>
          <w:color w:val="auto"/>
          <w:w w:val="200"/>
          <w:kern w:val="0"/>
          <w:szCs w:val="21"/>
          <w:highlight w:val="none"/>
          <w:u w:val="single"/>
        </w:rPr>
      </w:pPr>
      <w:r>
        <w:rPr>
          <w:rFonts w:hint="eastAsia" w:ascii="宋体" w:hAnsi="宋体" w:cs="宋体"/>
          <w:snapToGrid w:val="0"/>
          <w:color w:val="auto"/>
          <w:kern w:val="0"/>
          <w:szCs w:val="21"/>
          <w:highlight w:val="none"/>
          <w:lang w:eastAsia="zh-CN"/>
        </w:rPr>
        <w:t>采购人</w:t>
      </w:r>
      <w:r>
        <w:rPr>
          <w:rFonts w:hint="eastAsia" w:ascii="宋体" w:hAnsi="宋体" w:cs="宋体"/>
          <w:snapToGrid w:val="0"/>
          <w:color w:val="auto"/>
          <w:kern w:val="0"/>
          <w:szCs w:val="21"/>
          <w:highlight w:val="none"/>
        </w:rPr>
        <w:t>：</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w w:val="200"/>
          <w:kern w:val="0"/>
          <w:szCs w:val="21"/>
          <w:highlight w:val="none"/>
        </w:rPr>
        <w:t xml:space="preserve">     </w:t>
      </w:r>
      <w:r>
        <w:rPr>
          <w:rFonts w:hint="eastAsia" w:ascii="宋体" w:hAnsi="宋体" w:cs="宋体"/>
          <w:snapToGrid w:val="0"/>
          <w:color w:val="auto"/>
          <w:w w:val="200"/>
          <w:kern w:val="0"/>
          <w:szCs w:val="21"/>
          <w:highlight w:val="none"/>
          <w:u w:val="none"/>
        </w:rPr>
        <w:t xml:space="preserve">    </w:t>
      </w:r>
      <w:r>
        <w:rPr>
          <w:rFonts w:hint="eastAsia" w:ascii="宋体" w:hAnsi="宋体" w:cs="宋体"/>
          <w:snapToGrid w:val="0"/>
          <w:color w:val="auto"/>
          <w:w w:val="200"/>
          <w:kern w:val="0"/>
          <w:szCs w:val="21"/>
          <w:highlight w:val="none"/>
        </w:rPr>
        <w:t xml:space="preserve">      </w:t>
      </w:r>
      <w:r>
        <w:rPr>
          <w:rFonts w:hint="eastAsia" w:ascii="宋体" w:hAnsi="宋体" w:cs="宋体"/>
          <w:snapToGrid w:val="0"/>
          <w:color w:val="auto"/>
          <w:kern w:val="0"/>
          <w:szCs w:val="21"/>
          <w:highlight w:val="none"/>
        </w:rPr>
        <w:t>记录人：</w:t>
      </w:r>
      <w:r>
        <w:rPr>
          <w:rFonts w:hint="eastAsia" w:ascii="宋体" w:hAnsi="宋体" w:cs="宋体"/>
          <w:snapToGrid w:val="0"/>
          <w:color w:val="auto"/>
          <w:w w:val="200"/>
          <w:kern w:val="0"/>
          <w:szCs w:val="21"/>
          <w:highlight w:val="none"/>
          <w:u w:val="single"/>
        </w:rPr>
        <w:t xml:space="preserve">      </w:t>
      </w:r>
    </w:p>
    <w:p w14:paraId="248A8E56">
      <w:pPr>
        <w:autoSpaceDE w:val="0"/>
        <w:autoSpaceDN w:val="0"/>
        <w:adjustRightInd w:val="0"/>
        <w:snapToGrid w:val="0"/>
        <w:spacing w:before="62" w:beforeLines="20" w:line="360" w:lineRule="auto"/>
        <w:jc w:val="right"/>
        <w:rPr>
          <w:rFonts w:ascii="宋体" w:hAnsi="宋体" w:cs="宋体"/>
          <w:color w:val="auto"/>
          <w:highlight w:val="none"/>
        </w:rPr>
      </w:pP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年</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月</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日</w:t>
      </w:r>
    </w:p>
    <w:p w14:paraId="39661F48">
      <w:pPr>
        <w:autoSpaceDE w:val="0"/>
        <w:autoSpaceDN w:val="0"/>
        <w:adjustRightInd w:val="0"/>
        <w:snapToGrid w:val="0"/>
        <w:spacing w:line="360" w:lineRule="auto"/>
        <w:jc w:val="left"/>
        <w:rPr>
          <w:rFonts w:hint="eastAsia" w:ascii="宋体" w:hAnsi="宋体" w:cs="宋体"/>
          <w:b/>
          <w:snapToGrid w:val="0"/>
          <w:color w:val="auto"/>
          <w:kern w:val="0"/>
          <w:highlight w:val="none"/>
        </w:rPr>
        <w:sectPr>
          <w:headerReference r:id="rId6" w:type="default"/>
          <w:footerReference r:id="rId7" w:type="default"/>
          <w:pgSz w:w="16838" w:h="11906" w:orient="landscape"/>
          <w:pgMar w:top="1134" w:right="1134" w:bottom="1134" w:left="1134" w:header="851" w:footer="992" w:gutter="0"/>
          <w:cols w:space="0" w:num="1"/>
          <w:rtlGutter w:val="0"/>
          <w:docGrid w:type="lines" w:linePitch="332" w:charSpace="0"/>
        </w:sectPr>
      </w:pPr>
    </w:p>
    <w:p w14:paraId="5284985F">
      <w:pPr>
        <w:autoSpaceDE w:val="0"/>
        <w:autoSpaceDN w:val="0"/>
        <w:adjustRightInd w:val="0"/>
        <w:snapToGrid w:val="0"/>
        <w:spacing w:line="360" w:lineRule="auto"/>
        <w:jc w:val="left"/>
        <w:rPr>
          <w:rFonts w:ascii="宋体" w:hAnsi="宋体" w:cs="宋体"/>
          <w:b/>
          <w:snapToGrid w:val="0"/>
          <w:color w:val="auto"/>
          <w:kern w:val="0"/>
          <w:highlight w:val="none"/>
        </w:rPr>
      </w:pPr>
      <w:r>
        <w:rPr>
          <w:rFonts w:hint="eastAsia" w:ascii="宋体" w:hAnsi="宋体" w:cs="宋体"/>
          <w:b/>
          <w:snapToGrid w:val="0"/>
          <w:color w:val="auto"/>
          <w:kern w:val="0"/>
          <w:highlight w:val="none"/>
        </w:rPr>
        <w:t>附表</w:t>
      </w:r>
      <w:r>
        <w:rPr>
          <w:rFonts w:hint="eastAsia" w:ascii="宋体" w:hAnsi="宋体" w:cs="宋体"/>
          <w:b/>
          <w:snapToGrid w:val="0"/>
          <w:color w:val="auto"/>
          <w:kern w:val="0"/>
          <w:highlight w:val="none"/>
          <w:lang w:eastAsia="zh-CN"/>
        </w:rPr>
        <w:t>二</w:t>
      </w:r>
      <w:r>
        <w:rPr>
          <w:rFonts w:hint="eastAsia" w:ascii="宋体" w:hAnsi="宋体" w:cs="宋体"/>
          <w:b/>
          <w:snapToGrid w:val="0"/>
          <w:color w:val="auto"/>
          <w:kern w:val="0"/>
          <w:highlight w:val="none"/>
        </w:rPr>
        <w:t>：问题澄清通知</w:t>
      </w:r>
    </w:p>
    <w:p w14:paraId="12CDE49F">
      <w:pPr>
        <w:pStyle w:val="2"/>
        <w:rPr>
          <w:rFonts w:ascii="宋体" w:hAnsi="宋体" w:cs="宋体"/>
          <w:color w:val="auto"/>
          <w:highlight w:val="none"/>
        </w:rPr>
      </w:pPr>
    </w:p>
    <w:p w14:paraId="22BCE44E">
      <w:pPr>
        <w:autoSpaceDE w:val="0"/>
        <w:autoSpaceDN w:val="0"/>
        <w:adjustRightInd w:val="0"/>
        <w:snapToGrid w:val="0"/>
        <w:spacing w:line="360" w:lineRule="auto"/>
        <w:jc w:val="center"/>
        <w:rPr>
          <w:rFonts w:ascii="宋体" w:hAnsi="宋体" w:cs="宋体"/>
          <w:b/>
          <w:snapToGrid w:val="0"/>
          <w:color w:val="auto"/>
          <w:kern w:val="0"/>
          <w:sz w:val="32"/>
          <w:szCs w:val="32"/>
          <w:highlight w:val="none"/>
        </w:rPr>
      </w:pPr>
      <w:r>
        <w:rPr>
          <w:rFonts w:hint="eastAsia" w:ascii="宋体" w:hAnsi="宋体" w:cs="宋体"/>
          <w:b/>
          <w:snapToGrid w:val="0"/>
          <w:color w:val="auto"/>
          <w:w w:val="99"/>
          <w:kern w:val="0"/>
          <w:sz w:val="32"/>
          <w:szCs w:val="32"/>
          <w:highlight w:val="none"/>
        </w:rPr>
        <w:t>问题澄清通知</w:t>
      </w:r>
    </w:p>
    <w:p w14:paraId="37E32787">
      <w:pPr>
        <w:autoSpaceDE w:val="0"/>
        <w:autoSpaceDN w:val="0"/>
        <w:adjustRightInd w:val="0"/>
        <w:snapToGrid w:val="0"/>
        <w:spacing w:line="360" w:lineRule="auto"/>
        <w:ind w:firstLine="3255" w:firstLineChars="1550"/>
        <w:jc w:val="left"/>
        <w:rPr>
          <w:rFonts w:ascii="宋体" w:hAnsi="宋体" w:cs="宋体"/>
          <w:snapToGrid w:val="0"/>
          <w:color w:val="auto"/>
          <w:kern w:val="0"/>
          <w:szCs w:val="21"/>
          <w:highlight w:val="none"/>
        </w:rPr>
      </w:pPr>
    </w:p>
    <w:p w14:paraId="5E18B637">
      <w:pPr>
        <w:autoSpaceDE w:val="0"/>
        <w:autoSpaceDN w:val="0"/>
        <w:adjustRightInd w:val="0"/>
        <w:snapToGrid w:val="0"/>
        <w:spacing w:line="360" w:lineRule="auto"/>
        <w:ind w:firstLine="3255" w:firstLineChars="1550"/>
        <w:jc w:val="left"/>
        <w:rPr>
          <w:rFonts w:ascii="宋体" w:hAnsi="宋体" w:cs="宋体"/>
          <w:snapToGrid w:val="0"/>
          <w:color w:val="auto"/>
          <w:kern w:val="0"/>
          <w:szCs w:val="21"/>
          <w:highlight w:val="none"/>
          <w:u w:val="single"/>
        </w:rPr>
      </w:pPr>
      <w:r>
        <w:rPr>
          <w:rFonts w:hint="eastAsia" w:ascii="宋体" w:hAnsi="宋体" w:cs="宋体"/>
          <w:snapToGrid w:val="0"/>
          <w:color w:val="auto"/>
          <w:kern w:val="0"/>
          <w:szCs w:val="21"/>
          <w:highlight w:val="none"/>
        </w:rPr>
        <w:t>编号：</w:t>
      </w:r>
      <w:r>
        <w:rPr>
          <w:rFonts w:hint="eastAsia" w:ascii="宋体" w:hAnsi="宋体" w:cs="宋体"/>
          <w:snapToGrid w:val="0"/>
          <w:color w:val="auto"/>
          <w:kern w:val="0"/>
          <w:szCs w:val="21"/>
          <w:highlight w:val="none"/>
          <w:u w:val="single"/>
        </w:rPr>
        <w:t xml:space="preserve">                     </w:t>
      </w:r>
    </w:p>
    <w:p w14:paraId="07F40AF8">
      <w:pPr>
        <w:autoSpaceDE w:val="0"/>
        <w:autoSpaceDN w:val="0"/>
        <w:adjustRightInd w:val="0"/>
        <w:snapToGrid w:val="0"/>
        <w:spacing w:line="360" w:lineRule="auto"/>
        <w:jc w:val="left"/>
        <w:rPr>
          <w:rFonts w:ascii="宋体" w:hAnsi="宋体" w:cs="宋体"/>
          <w:b/>
          <w:snapToGrid w:val="0"/>
          <w:color w:val="auto"/>
          <w:kern w:val="0"/>
          <w:sz w:val="24"/>
          <w:highlight w:val="none"/>
        </w:rPr>
      </w:pPr>
    </w:p>
    <w:p w14:paraId="61D0BC94">
      <w:pPr>
        <w:autoSpaceDE w:val="0"/>
        <w:autoSpaceDN w:val="0"/>
        <w:adjustRightInd w:val="0"/>
        <w:snapToGrid w:val="0"/>
        <w:spacing w:line="360" w:lineRule="auto"/>
        <w:rPr>
          <w:rFonts w:ascii="宋体" w:hAnsi="宋体" w:cs="宋体"/>
          <w:snapToGrid w:val="0"/>
          <w:color w:val="auto"/>
          <w:kern w:val="0"/>
          <w:sz w:val="28"/>
          <w:szCs w:val="28"/>
          <w:highlight w:val="none"/>
        </w:rPr>
      </w:pPr>
    </w:p>
    <w:p w14:paraId="351D0871">
      <w:pPr>
        <w:tabs>
          <w:tab w:val="left" w:pos="1580"/>
        </w:tabs>
        <w:autoSpaceDE w:val="0"/>
        <w:autoSpaceDN w:val="0"/>
        <w:adjustRightInd w:val="0"/>
        <w:snapToGrid w:val="0"/>
        <w:spacing w:line="480" w:lineRule="auto"/>
        <w:jc w:val="left"/>
        <w:rPr>
          <w:rFonts w:ascii="宋体" w:hAnsi="宋体" w:cs="宋体"/>
          <w:snapToGrid w:val="0"/>
          <w:color w:val="auto"/>
          <w:kern w:val="0"/>
          <w:szCs w:val="21"/>
          <w:highlight w:val="none"/>
        </w:rPr>
      </w:pP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w:t>
      </w:r>
      <w:r>
        <w:rPr>
          <w:rFonts w:hint="eastAsia" w:ascii="宋体" w:hAnsi="宋体" w:cs="宋体"/>
          <w:snapToGrid w:val="0"/>
          <w:color w:val="auto"/>
          <w:kern w:val="0"/>
          <w:szCs w:val="21"/>
          <w:highlight w:val="none"/>
          <w:u w:val="single"/>
          <w:lang w:eastAsia="zh-CN"/>
        </w:rPr>
        <w:t>供应商</w:t>
      </w:r>
      <w:r>
        <w:rPr>
          <w:rFonts w:hint="eastAsia" w:ascii="宋体" w:hAnsi="宋体" w:cs="宋体"/>
          <w:snapToGrid w:val="0"/>
          <w:color w:val="auto"/>
          <w:kern w:val="0"/>
          <w:szCs w:val="21"/>
          <w:highlight w:val="none"/>
          <w:u w:val="single"/>
        </w:rPr>
        <w:t>名称）</w:t>
      </w:r>
      <w:r>
        <w:rPr>
          <w:rFonts w:hint="eastAsia" w:ascii="宋体" w:hAnsi="宋体" w:cs="宋体"/>
          <w:snapToGrid w:val="0"/>
          <w:color w:val="auto"/>
          <w:kern w:val="0"/>
          <w:szCs w:val="21"/>
          <w:highlight w:val="none"/>
        </w:rPr>
        <w:t>：</w:t>
      </w:r>
    </w:p>
    <w:p w14:paraId="701AC4C9">
      <w:pPr>
        <w:tabs>
          <w:tab w:val="left" w:pos="2320"/>
          <w:tab w:val="left" w:pos="4460"/>
        </w:tabs>
        <w:autoSpaceDE w:val="0"/>
        <w:autoSpaceDN w:val="0"/>
        <w:adjustRightInd w:val="0"/>
        <w:snapToGrid w:val="0"/>
        <w:spacing w:line="480" w:lineRule="auto"/>
        <w:ind w:firstLine="212" w:firstLineChars="101"/>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lang w:eastAsia="zh-CN"/>
        </w:rPr>
        <w:t>成渝改扩建机电工程监控、通信设施保通及路由管道劳务采购</w:t>
      </w:r>
      <w:r>
        <w:rPr>
          <w:rFonts w:hint="eastAsia" w:ascii="宋体" w:hAnsi="宋体" w:cs="宋体"/>
          <w:snapToGrid w:val="0"/>
          <w:color w:val="auto"/>
          <w:kern w:val="0"/>
          <w:szCs w:val="21"/>
          <w:highlight w:val="none"/>
        </w:rPr>
        <w:t>招标的</w:t>
      </w:r>
      <w:r>
        <w:rPr>
          <w:rFonts w:hint="eastAsia" w:ascii="宋体" w:hAnsi="宋体" w:cs="宋体"/>
          <w:snapToGrid w:val="0"/>
          <w:color w:val="auto"/>
          <w:kern w:val="0"/>
          <w:szCs w:val="21"/>
          <w:highlight w:val="none"/>
          <w:lang w:eastAsia="zh-CN"/>
        </w:rPr>
        <w:t>评审委员会</w:t>
      </w:r>
      <w:r>
        <w:rPr>
          <w:rFonts w:hint="eastAsia" w:ascii="宋体" w:hAnsi="宋体" w:cs="宋体"/>
          <w:snapToGrid w:val="0"/>
          <w:color w:val="auto"/>
          <w:kern w:val="0"/>
          <w:szCs w:val="21"/>
          <w:highlight w:val="none"/>
        </w:rPr>
        <w:t>，对你方的</w:t>
      </w:r>
      <w:r>
        <w:rPr>
          <w:rFonts w:hint="eastAsia" w:ascii="宋体" w:hAnsi="宋体" w:cs="宋体"/>
          <w:snapToGrid w:val="0"/>
          <w:color w:val="auto"/>
          <w:kern w:val="0"/>
          <w:szCs w:val="21"/>
          <w:highlight w:val="none"/>
          <w:lang w:eastAsia="zh-CN"/>
        </w:rPr>
        <w:t>响应文件</w:t>
      </w:r>
      <w:r>
        <w:rPr>
          <w:rFonts w:hint="eastAsia" w:ascii="宋体" w:hAnsi="宋体" w:cs="宋体"/>
          <w:snapToGrid w:val="0"/>
          <w:color w:val="auto"/>
          <w:kern w:val="0"/>
          <w:szCs w:val="21"/>
          <w:highlight w:val="none"/>
        </w:rPr>
        <w:t>进行了仔细的审查，现需你方对下列问题予以澄清：</w:t>
      </w:r>
    </w:p>
    <w:p w14:paraId="3B59ABB9">
      <w:pPr>
        <w:autoSpaceDE w:val="0"/>
        <w:autoSpaceDN w:val="0"/>
        <w:adjustRightInd w:val="0"/>
        <w:snapToGrid w:val="0"/>
        <w:spacing w:line="360" w:lineRule="auto"/>
        <w:jc w:val="left"/>
        <w:rPr>
          <w:rFonts w:ascii="宋体" w:hAnsi="宋体" w:cs="宋体"/>
          <w:snapToGrid w:val="0"/>
          <w:color w:val="auto"/>
          <w:kern w:val="0"/>
          <w:sz w:val="24"/>
          <w:highlight w:val="none"/>
        </w:rPr>
      </w:pPr>
    </w:p>
    <w:p w14:paraId="7B4A08C9">
      <w:pPr>
        <w:autoSpaceDE w:val="0"/>
        <w:autoSpaceDN w:val="0"/>
        <w:adjustRightInd w:val="0"/>
        <w:snapToGrid w:val="0"/>
        <w:spacing w:line="360" w:lineRule="auto"/>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1. </w:t>
      </w:r>
    </w:p>
    <w:p w14:paraId="357FAE7C">
      <w:pPr>
        <w:autoSpaceDE w:val="0"/>
        <w:autoSpaceDN w:val="0"/>
        <w:adjustRightInd w:val="0"/>
        <w:snapToGrid w:val="0"/>
        <w:spacing w:line="360" w:lineRule="auto"/>
        <w:jc w:val="left"/>
        <w:rPr>
          <w:rFonts w:ascii="宋体" w:hAnsi="宋体" w:cs="宋体"/>
          <w:snapToGrid w:val="0"/>
          <w:color w:val="auto"/>
          <w:kern w:val="0"/>
          <w:szCs w:val="21"/>
          <w:highlight w:val="none"/>
        </w:rPr>
      </w:pPr>
    </w:p>
    <w:p w14:paraId="6A0CF7C7">
      <w:pPr>
        <w:autoSpaceDE w:val="0"/>
        <w:autoSpaceDN w:val="0"/>
        <w:adjustRightInd w:val="0"/>
        <w:snapToGrid w:val="0"/>
        <w:spacing w:line="360" w:lineRule="auto"/>
        <w:jc w:val="left"/>
        <w:rPr>
          <w:rFonts w:ascii="宋体" w:hAnsi="宋体" w:cs="宋体"/>
          <w:snapToGrid w:val="0"/>
          <w:color w:val="auto"/>
          <w:kern w:val="0"/>
          <w:szCs w:val="21"/>
          <w:highlight w:val="none"/>
        </w:rPr>
      </w:pPr>
    </w:p>
    <w:p w14:paraId="50C3F463">
      <w:pPr>
        <w:autoSpaceDE w:val="0"/>
        <w:autoSpaceDN w:val="0"/>
        <w:adjustRightInd w:val="0"/>
        <w:snapToGrid w:val="0"/>
        <w:spacing w:line="360" w:lineRule="auto"/>
        <w:jc w:val="left"/>
        <w:rPr>
          <w:rFonts w:ascii="宋体" w:hAnsi="宋体" w:cs="宋体"/>
          <w:snapToGrid w:val="0"/>
          <w:color w:val="auto"/>
          <w:kern w:val="0"/>
          <w:szCs w:val="21"/>
          <w:highlight w:val="none"/>
        </w:rPr>
      </w:pPr>
    </w:p>
    <w:p w14:paraId="1A574109">
      <w:pPr>
        <w:autoSpaceDE w:val="0"/>
        <w:autoSpaceDN w:val="0"/>
        <w:adjustRightInd w:val="0"/>
        <w:snapToGrid w:val="0"/>
        <w:spacing w:line="360" w:lineRule="auto"/>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2. </w:t>
      </w:r>
    </w:p>
    <w:p w14:paraId="6C8923FE">
      <w:pPr>
        <w:autoSpaceDE w:val="0"/>
        <w:autoSpaceDN w:val="0"/>
        <w:adjustRightInd w:val="0"/>
        <w:snapToGrid w:val="0"/>
        <w:spacing w:line="360" w:lineRule="auto"/>
        <w:jc w:val="left"/>
        <w:rPr>
          <w:rFonts w:ascii="宋体" w:hAnsi="宋体" w:cs="宋体"/>
          <w:snapToGrid w:val="0"/>
          <w:color w:val="auto"/>
          <w:kern w:val="0"/>
          <w:sz w:val="18"/>
          <w:szCs w:val="18"/>
          <w:highlight w:val="none"/>
        </w:rPr>
      </w:pPr>
    </w:p>
    <w:p w14:paraId="76A63F2F">
      <w:pPr>
        <w:autoSpaceDE w:val="0"/>
        <w:autoSpaceDN w:val="0"/>
        <w:adjustRightInd w:val="0"/>
        <w:snapToGrid w:val="0"/>
        <w:spacing w:line="360" w:lineRule="auto"/>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w:t>
      </w:r>
    </w:p>
    <w:p w14:paraId="3E15EF4F">
      <w:pPr>
        <w:autoSpaceDE w:val="0"/>
        <w:autoSpaceDN w:val="0"/>
        <w:adjustRightInd w:val="0"/>
        <w:snapToGrid w:val="0"/>
        <w:spacing w:line="360" w:lineRule="auto"/>
        <w:jc w:val="left"/>
        <w:rPr>
          <w:rFonts w:ascii="宋体" w:hAnsi="宋体" w:cs="宋体"/>
          <w:snapToGrid w:val="0"/>
          <w:color w:val="auto"/>
          <w:kern w:val="0"/>
          <w:sz w:val="14"/>
          <w:szCs w:val="14"/>
          <w:highlight w:val="none"/>
        </w:rPr>
      </w:pPr>
    </w:p>
    <w:p w14:paraId="743B5A54">
      <w:pPr>
        <w:autoSpaceDE w:val="0"/>
        <w:autoSpaceDN w:val="0"/>
        <w:adjustRightInd w:val="0"/>
        <w:snapToGrid w:val="0"/>
        <w:spacing w:line="360" w:lineRule="auto"/>
        <w:jc w:val="left"/>
        <w:rPr>
          <w:rFonts w:ascii="宋体" w:hAnsi="宋体" w:cs="宋体"/>
          <w:snapToGrid w:val="0"/>
          <w:color w:val="auto"/>
          <w:kern w:val="0"/>
          <w:sz w:val="14"/>
          <w:szCs w:val="14"/>
          <w:highlight w:val="none"/>
        </w:rPr>
      </w:pPr>
    </w:p>
    <w:p w14:paraId="0745573B">
      <w:pPr>
        <w:autoSpaceDE w:val="0"/>
        <w:autoSpaceDN w:val="0"/>
        <w:adjustRightInd w:val="0"/>
        <w:snapToGrid w:val="0"/>
        <w:spacing w:line="360" w:lineRule="auto"/>
        <w:jc w:val="left"/>
        <w:rPr>
          <w:rFonts w:ascii="宋体" w:hAnsi="宋体" w:cs="宋体"/>
          <w:snapToGrid w:val="0"/>
          <w:color w:val="auto"/>
          <w:kern w:val="0"/>
          <w:sz w:val="14"/>
          <w:szCs w:val="14"/>
          <w:highlight w:val="none"/>
        </w:rPr>
      </w:pPr>
    </w:p>
    <w:p w14:paraId="0D1A0CBC">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772B2654">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请将上述问题的澄清于</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年</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月</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日</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时前提交。</w:t>
      </w:r>
    </w:p>
    <w:p w14:paraId="0646D4B6">
      <w:pPr>
        <w:pStyle w:val="2"/>
        <w:rPr>
          <w:rFonts w:ascii="宋体" w:hAnsi="宋体" w:cs="宋体"/>
          <w:color w:val="auto"/>
          <w:highlight w:val="none"/>
        </w:rPr>
      </w:pPr>
    </w:p>
    <w:p w14:paraId="623C1E04">
      <w:pPr>
        <w:tabs>
          <w:tab w:val="left" w:pos="6400"/>
        </w:tabs>
        <w:autoSpaceDE w:val="0"/>
        <w:autoSpaceDN w:val="0"/>
        <w:adjustRightInd w:val="0"/>
        <w:snapToGrid w:val="0"/>
        <w:spacing w:line="360" w:lineRule="auto"/>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                             </w:t>
      </w:r>
      <w:r>
        <w:rPr>
          <w:rFonts w:hint="eastAsia" w:ascii="宋体" w:hAnsi="宋体" w:cs="宋体"/>
          <w:snapToGrid w:val="0"/>
          <w:color w:val="auto"/>
          <w:kern w:val="0"/>
          <w:szCs w:val="21"/>
          <w:highlight w:val="none"/>
          <w:lang w:eastAsia="zh-CN"/>
        </w:rPr>
        <w:t>评审委员会</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（签名）</w:t>
      </w:r>
    </w:p>
    <w:p w14:paraId="5296A101">
      <w:pPr>
        <w:autoSpaceDE w:val="0"/>
        <w:autoSpaceDN w:val="0"/>
        <w:adjustRightInd w:val="0"/>
        <w:snapToGrid w:val="0"/>
        <w:spacing w:line="360" w:lineRule="auto"/>
        <w:ind w:firstLine="315" w:firstLineChars="150"/>
        <w:jc w:val="right"/>
        <w:rPr>
          <w:rFonts w:ascii="宋体" w:hAnsi="宋体" w:cs="宋体"/>
          <w:snapToGrid w:val="0"/>
          <w:color w:val="auto"/>
          <w:kern w:val="0"/>
          <w:szCs w:val="21"/>
          <w:highlight w:val="none"/>
        </w:rPr>
      </w:pPr>
    </w:p>
    <w:p w14:paraId="1C25700A">
      <w:pPr>
        <w:wordWrap w:val="0"/>
        <w:autoSpaceDE w:val="0"/>
        <w:autoSpaceDN w:val="0"/>
        <w:adjustRightInd w:val="0"/>
        <w:snapToGrid w:val="0"/>
        <w:spacing w:line="360" w:lineRule="auto"/>
        <w:ind w:firstLine="850" w:firstLineChars="405"/>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                             </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年</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月</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日</w:t>
      </w:r>
    </w:p>
    <w:p w14:paraId="27B9363B">
      <w:pPr>
        <w:autoSpaceDE w:val="0"/>
        <w:autoSpaceDN w:val="0"/>
        <w:adjustRightInd w:val="0"/>
        <w:snapToGrid w:val="0"/>
        <w:spacing w:line="360" w:lineRule="auto"/>
        <w:jc w:val="left"/>
        <w:rPr>
          <w:rFonts w:ascii="宋体" w:hAnsi="宋体" w:cs="宋体"/>
          <w:b/>
          <w:snapToGrid w:val="0"/>
          <w:color w:val="auto"/>
          <w:kern w:val="0"/>
          <w:highlight w:val="none"/>
        </w:rPr>
      </w:pPr>
      <w:r>
        <w:rPr>
          <w:rFonts w:hint="eastAsia" w:ascii="宋体" w:hAnsi="宋体" w:cs="宋体"/>
          <w:b/>
          <w:snapToGrid w:val="0"/>
          <w:color w:val="auto"/>
          <w:kern w:val="0"/>
          <w:highlight w:val="none"/>
        </w:rPr>
        <w:br w:type="page"/>
      </w:r>
      <w:r>
        <w:rPr>
          <w:rFonts w:hint="eastAsia" w:ascii="宋体" w:hAnsi="宋体" w:cs="宋体"/>
          <w:b/>
          <w:snapToGrid w:val="0"/>
          <w:color w:val="auto"/>
          <w:kern w:val="0"/>
          <w:highlight w:val="none"/>
        </w:rPr>
        <w:t>附表</w:t>
      </w:r>
      <w:r>
        <w:rPr>
          <w:rFonts w:hint="eastAsia" w:ascii="宋体" w:hAnsi="宋体" w:cs="宋体"/>
          <w:b/>
          <w:snapToGrid w:val="0"/>
          <w:color w:val="auto"/>
          <w:kern w:val="0"/>
          <w:highlight w:val="none"/>
          <w:lang w:eastAsia="zh-CN"/>
        </w:rPr>
        <w:t>三</w:t>
      </w:r>
      <w:r>
        <w:rPr>
          <w:rFonts w:hint="eastAsia" w:ascii="宋体" w:hAnsi="宋体" w:cs="宋体"/>
          <w:b/>
          <w:snapToGrid w:val="0"/>
          <w:color w:val="auto"/>
          <w:kern w:val="0"/>
          <w:highlight w:val="none"/>
        </w:rPr>
        <w:t>：问题的澄清</w:t>
      </w:r>
    </w:p>
    <w:p w14:paraId="306321B3">
      <w:pPr>
        <w:autoSpaceDE w:val="0"/>
        <w:autoSpaceDN w:val="0"/>
        <w:adjustRightInd w:val="0"/>
        <w:snapToGrid w:val="0"/>
        <w:spacing w:line="360" w:lineRule="auto"/>
        <w:jc w:val="left"/>
        <w:rPr>
          <w:rFonts w:ascii="宋体" w:hAnsi="宋体" w:cs="宋体"/>
          <w:b/>
          <w:snapToGrid w:val="0"/>
          <w:color w:val="auto"/>
          <w:kern w:val="0"/>
          <w:sz w:val="10"/>
          <w:szCs w:val="10"/>
          <w:highlight w:val="none"/>
        </w:rPr>
      </w:pPr>
    </w:p>
    <w:p w14:paraId="6F62CA68">
      <w:pPr>
        <w:autoSpaceDE w:val="0"/>
        <w:autoSpaceDN w:val="0"/>
        <w:adjustRightInd w:val="0"/>
        <w:snapToGrid w:val="0"/>
        <w:spacing w:line="360" w:lineRule="auto"/>
        <w:rPr>
          <w:rFonts w:ascii="宋体" w:hAnsi="宋体" w:cs="宋体"/>
          <w:b/>
          <w:snapToGrid w:val="0"/>
          <w:color w:val="auto"/>
          <w:w w:val="99"/>
          <w:kern w:val="0"/>
          <w:sz w:val="32"/>
          <w:szCs w:val="32"/>
          <w:highlight w:val="none"/>
        </w:rPr>
      </w:pPr>
    </w:p>
    <w:p w14:paraId="44FB5D4F">
      <w:pPr>
        <w:autoSpaceDE w:val="0"/>
        <w:autoSpaceDN w:val="0"/>
        <w:adjustRightInd w:val="0"/>
        <w:snapToGrid w:val="0"/>
        <w:spacing w:line="360" w:lineRule="auto"/>
        <w:jc w:val="center"/>
        <w:rPr>
          <w:rFonts w:ascii="宋体" w:hAnsi="宋体" w:cs="宋体"/>
          <w:b/>
          <w:snapToGrid w:val="0"/>
          <w:color w:val="auto"/>
          <w:kern w:val="0"/>
          <w:sz w:val="32"/>
          <w:szCs w:val="32"/>
          <w:highlight w:val="none"/>
        </w:rPr>
      </w:pPr>
      <w:r>
        <w:rPr>
          <w:rFonts w:hint="eastAsia" w:ascii="宋体" w:hAnsi="宋体" w:cs="宋体"/>
          <w:b/>
          <w:snapToGrid w:val="0"/>
          <w:color w:val="auto"/>
          <w:w w:val="99"/>
          <w:kern w:val="0"/>
          <w:sz w:val="32"/>
          <w:szCs w:val="32"/>
          <w:highlight w:val="none"/>
        </w:rPr>
        <w:t>问题的澄清</w:t>
      </w:r>
    </w:p>
    <w:p w14:paraId="6A381B8B">
      <w:pPr>
        <w:autoSpaceDE w:val="0"/>
        <w:autoSpaceDN w:val="0"/>
        <w:adjustRightInd w:val="0"/>
        <w:snapToGrid w:val="0"/>
        <w:spacing w:line="360" w:lineRule="auto"/>
        <w:jc w:val="left"/>
        <w:rPr>
          <w:rFonts w:ascii="宋体" w:hAnsi="宋体" w:cs="宋体"/>
          <w:snapToGrid w:val="0"/>
          <w:color w:val="auto"/>
          <w:kern w:val="0"/>
          <w:szCs w:val="21"/>
          <w:highlight w:val="none"/>
        </w:rPr>
      </w:pPr>
    </w:p>
    <w:p w14:paraId="6DB6FDDB">
      <w:pPr>
        <w:autoSpaceDE w:val="0"/>
        <w:autoSpaceDN w:val="0"/>
        <w:adjustRightInd w:val="0"/>
        <w:snapToGrid w:val="0"/>
        <w:spacing w:line="360" w:lineRule="auto"/>
        <w:ind w:firstLine="3255" w:firstLineChars="1550"/>
        <w:jc w:val="left"/>
        <w:rPr>
          <w:rFonts w:ascii="宋体" w:hAnsi="宋体" w:cs="宋体"/>
          <w:snapToGrid w:val="0"/>
          <w:color w:val="auto"/>
          <w:kern w:val="0"/>
          <w:szCs w:val="21"/>
          <w:highlight w:val="none"/>
          <w:u w:val="single"/>
        </w:rPr>
      </w:pPr>
      <w:r>
        <w:rPr>
          <w:rFonts w:hint="eastAsia" w:ascii="宋体" w:hAnsi="宋体" w:cs="宋体"/>
          <w:snapToGrid w:val="0"/>
          <w:color w:val="auto"/>
          <w:kern w:val="0"/>
          <w:szCs w:val="21"/>
          <w:highlight w:val="none"/>
        </w:rPr>
        <w:t>编号：</w:t>
      </w:r>
      <w:r>
        <w:rPr>
          <w:rFonts w:hint="eastAsia" w:ascii="宋体" w:hAnsi="宋体" w:cs="宋体"/>
          <w:snapToGrid w:val="0"/>
          <w:color w:val="auto"/>
          <w:kern w:val="0"/>
          <w:szCs w:val="21"/>
          <w:highlight w:val="none"/>
          <w:u w:val="single"/>
        </w:rPr>
        <w:t xml:space="preserve">                     </w:t>
      </w:r>
    </w:p>
    <w:p w14:paraId="6DCFC006">
      <w:pPr>
        <w:autoSpaceDE w:val="0"/>
        <w:autoSpaceDN w:val="0"/>
        <w:adjustRightInd w:val="0"/>
        <w:snapToGrid w:val="0"/>
        <w:spacing w:line="360" w:lineRule="auto"/>
        <w:rPr>
          <w:rFonts w:ascii="宋体" w:hAnsi="宋体" w:cs="宋体"/>
          <w:snapToGrid w:val="0"/>
          <w:color w:val="auto"/>
          <w:kern w:val="0"/>
          <w:szCs w:val="21"/>
          <w:highlight w:val="none"/>
        </w:rPr>
      </w:pPr>
    </w:p>
    <w:p w14:paraId="653EA80D">
      <w:pPr>
        <w:autoSpaceDE w:val="0"/>
        <w:autoSpaceDN w:val="0"/>
        <w:adjustRightInd w:val="0"/>
        <w:snapToGrid w:val="0"/>
        <w:spacing w:line="360" w:lineRule="auto"/>
        <w:rPr>
          <w:rFonts w:ascii="宋体" w:hAnsi="宋体" w:cs="宋体"/>
          <w:snapToGrid w:val="0"/>
          <w:color w:val="auto"/>
          <w:kern w:val="0"/>
          <w:szCs w:val="21"/>
          <w:highlight w:val="none"/>
        </w:rPr>
      </w:pPr>
    </w:p>
    <w:p w14:paraId="74979974">
      <w:pPr>
        <w:tabs>
          <w:tab w:val="left" w:pos="2415"/>
          <w:tab w:val="left" w:pos="3480"/>
          <w:tab w:val="left" w:pos="4200"/>
        </w:tabs>
        <w:autoSpaceDE w:val="0"/>
        <w:autoSpaceDN w:val="0"/>
        <w:adjustRightInd w:val="0"/>
        <w:snapToGrid w:val="0"/>
        <w:spacing w:line="480" w:lineRule="auto"/>
        <w:jc w:val="left"/>
        <w:rPr>
          <w:rFonts w:ascii="宋体" w:hAnsi="宋体" w:cs="宋体"/>
          <w:snapToGrid w:val="0"/>
          <w:color w:val="auto"/>
          <w:kern w:val="0"/>
          <w:szCs w:val="21"/>
          <w:highlight w:val="none"/>
        </w:rPr>
      </w:pP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lang w:eastAsia="zh-CN"/>
        </w:rPr>
        <w:t>成渝改扩建机电工程监控、通信设施保通及路由管道劳务采购</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lang w:eastAsia="zh-CN"/>
        </w:rPr>
        <w:t>评审委员会</w:t>
      </w:r>
      <w:r>
        <w:rPr>
          <w:rFonts w:hint="eastAsia" w:ascii="宋体" w:hAnsi="宋体" w:cs="宋体"/>
          <w:snapToGrid w:val="0"/>
          <w:color w:val="auto"/>
          <w:kern w:val="0"/>
          <w:szCs w:val="21"/>
          <w:highlight w:val="none"/>
        </w:rPr>
        <w:t>：</w:t>
      </w:r>
    </w:p>
    <w:p w14:paraId="1CCDE81A">
      <w:pPr>
        <w:tabs>
          <w:tab w:val="left" w:pos="2000"/>
          <w:tab w:val="left" w:pos="3480"/>
          <w:tab w:val="left" w:pos="4200"/>
        </w:tabs>
        <w:autoSpaceDE w:val="0"/>
        <w:autoSpaceDN w:val="0"/>
        <w:adjustRightInd w:val="0"/>
        <w:snapToGrid w:val="0"/>
        <w:spacing w:line="480" w:lineRule="auto"/>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问题澄清通知（编号：</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rPr>
        <w:t>）已收悉，现澄清如下：</w:t>
      </w:r>
    </w:p>
    <w:p w14:paraId="0BDE249B">
      <w:pPr>
        <w:tabs>
          <w:tab w:val="left" w:pos="2000"/>
          <w:tab w:val="left" w:pos="3480"/>
          <w:tab w:val="left" w:pos="4200"/>
        </w:tabs>
        <w:autoSpaceDE w:val="0"/>
        <w:autoSpaceDN w:val="0"/>
        <w:adjustRightInd w:val="0"/>
        <w:snapToGrid w:val="0"/>
        <w:spacing w:line="360" w:lineRule="auto"/>
        <w:jc w:val="left"/>
        <w:rPr>
          <w:rFonts w:ascii="宋体" w:hAnsi="宋体" w:cs="宋体"/>
          <w:snapToGrid w:val="0"/>
          <w:color w:val="auto"/>
          <w:kern w:val="0"/>
          <w:szCs w:val="21"/>
          <w:highlight w:val="none"/>
        </w:rPr>
      </w:pPr>
    </w:p>
    <w:p w14:paraId="1603192D">
      <w:pPr>
        <w:tabs>
          <w:tab w:val="left" w:pos="2000"/>
          <w:tab w:val="left" w:pos="3480"/>
          <w:tab w:val="left" w:pos="4200"/>
        </w:tabs>
        <w:autoSpaceDE w:val="0"/>
        <w:autoSpaceDN w:val="0"/>
        <w:adjustRightInd w:val="0"/>
        <w:snapToGrid w:val="0"/>
        <w:spacing w:line="360" w:lineRule="auto"/>
        <w:jc w:val="left"/>
        <w:rPr>
          <w:rFonts w:ascii="宋体" w:hAnsi="宋体" w:cs="宋体"/>
          <w:snapToGrid w:val="0"/>
          <w:color w:val="auto"/>
          <w:kern w:val="0"/>
          <w:szCs w:val="21"/>
          <w:highlight w:val="none"/>
        </w:rPr>
      </w:pPr>
    </w:p>
    <w:p w14:paraId="54CDC1A5">
      <w:pPr>
        <w:autoSpaceDE w:val="0"/>
        <w:autoSpaceDN w:val="0"/>
        <w:adjustRightInd w:val="0"/>
        <w:snapToGrid w:val="0"/>
        <w:spacing w:line="360" w:lineRule="auto"/>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1. </w:t>
      </w:r>
    </w:p>
    <w:p w14:paraId="27D41C64">
      <w:pPr>
        <w:autoSpaceDE w:val="0"/>
        <w:autoSpaceDN w:val="0"/>
        <w:adjustRightInd w:val="0"/>
        <w:snapToGrid w:val="0"/>
        <w:spacing w:line="360" w:lineRule="auto"/>
        <w:jc w:val="left"/>
        <w:rPr>
          <w:rFonts w:ascii="宋体" w:hAnsi="宋体" w:cs="宋体"/>
          <w:snapToGrid w:val="0"/>
          <w:color w:val="auto"/>
          <w:kern w:val="0"/>
          <w:sz w:val="18"/>
          <w:szCs w:val="18"/>
          <w:highlight w:val="none"/>
        </w:rPr>
      </w:pPr>
    </w:p>
    <w:p w14:paraId="164B036C">
      <w:pPr>
        <w:autoSpaceDE w:val="0"/>
        <w:autoSpaceDN w:val="0"/>
        <w:adjustRightInd w:val="0"/>
        <w:snapToGrid w:val="0"/>
        <w:spacing w:line="360" w:lineRule="auto"/>
        <w:jc w:val="left"/>
        <w:rPr>
          <w:rFonts w:ascii="宋体" w:hAnsi="宋体" w:cs="宋体"/>
          <w:snapToGrid w:val="0"/>
          <w:color w:val="auto"/>
          <w:kern w:val="0"/>
          <w:sz w:val="18"/>
          <w:szCs w:val="18"/>
          <w:highlight w:val="none"/>
        </w:rPr>
      </w:pPr>
    </w:p>
    <w:p w14:paraId="79E2F0A2">
      <w:pPr>
        <w:autoSpaceDE w:val="0"/>
        <w:autoSpaceDN w:val="0"/>
        <w:adjustRightInd w:val="0"/>
        <w:snapToGrid w:val="0"/>
        <w:spacing w:line="360" w:lineRule="auto"/>
        <w:jc w:val="left"/>
        <w:rPr>
          <w:rFonts w:ascii="宋体" w:hAnsi="宋体" w:cs="宋体"/>
          <w:snapToGrid w:val="0"/>
          <w:color w:val="auto"/>
          <w:kern w:val="0"/>
          <w:sz w:val="18"/>
          <w:szCs w:val="18"/>
          <w:highlight w:val="none"/>
        </w:rPr>
      </w:pPr>
    </w:p>
    <w:p w14:paraId="1A8D3040">
      <w:pPr>
        <w:autoSpaceDE w:val="0"/>
        <w:autoSpaceDN w:val="0"/>
        <w:adjustRightInd w:val="0"/>
        <w:snapToGrid w:val="0"/>
        <w:spacing w:line="360" w:lineRule="auto"/>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2. </w:t>
      </w:r>
    </w:p>
    <w:p w14:paraId="3DC0C693">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6564C124">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4A766673">
      <w:pPr>
        <w:autoSpaceDE w:val="0"/>
        <w:autoSpaceDN w:val="0"/>
        <w:adjustRightInd w:val="0"/>
        <w:snapToGrid w:val="0"/>
        <w:spacing w:line="360" w:lineRule="auto"/>
        <w:jc w:val="left"/>
        <w:rPr>
          <w:rFonts w:ascii="宋体" w:hAnsi="宋体" w:cs="宋体"/>
          <w:snapToGrid w:val="0"/>
          <w:color w:val="auto"/>
          <w:kern w:val="0"/>
          <w:sz w:val="22"/>
          <w:szCs w:val="22"/>
          <w:highlight w:val="none"/>
        </w:rPr>
      </w:pPr>
    </w:p>
    <w:p w14:paraId="6A7C23D9">
      <w:pPr>
        <w:autoSpaceDE w:val="0"/>
        <w:autoSpaceDN w:val="0"/>
        <w:adjustRightInd w:val="0"/>
        <w:snapToGrid w:val="0"/>
        <w:spacing w:line="360" w:lineRule="auto"/>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w:t>
      </w:r>
    </w:p>
    <w:p w14:paraId="693C33C3">
      <w:pPr>
        <w:autoSpaceDE w:val="0"/>
        <w:autoSpaceDN w:val="0"/>
        <w:adjustRightInd w:val="0"/>
        <w:snapToGrid w:val="0"/>
        <w:spacing w:line="360" w:lineRule="auto"/>
        <w:jc w:val="left"/>
        <w:rPr>
          <w:rFonts w:ascii="宋体" w:hAnsi="宋体" w:cs="宋体"/>
          <w:snapToGrid w:val="0"/>
          <w:color w:val="auto"/>
          <w:kern w:val="0"/>
          <w:sz w:val="18"/>
          <w:szCs w:val="18"/>
          <w:highlight w:val="none"/>
        </w:rPr>
      </w:pPr>
    </w:p>
    <w:p w14:paraId="71287DFA">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4FB616B1">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1B0B0FD1">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0EEA5FD8">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3E53FE70">
      <w:pPr>
        <w:tabs>
          <w:tab w:val="left" w:pos="7035"/>
        </w:tabs>
        <w:autoSpaceDE w:val="0"/>
        <w:autoSpaceDN w:val="0"/>
        <w:adjustRightInd w:val="0"/>
        <w:snapToGrid w:val="0"/>
        <w:spacing w:line="480" w:lineRule="auto"/>
        <w:ind w:firstLine="2551" w:firstLineChars="1215"/>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 </w:t>
      </w:r>
    </w:p>
    <w:p w14:paraId="77092328">
      <w:pPr>
        <w:tabs>
          <w:tab w:val="left" w:pos="6620"/>
          <w:tab w:val="left" w:pos="7040"/>
        </w:tabs>
        <w:autoSpaceDE w:val="0"/>
        <w:autoSpaceDN w:val="0"/>
        <w:adjustRightInd w:val="0"/>
        <w:snapToGrid w:val="0"/>
        <w:spacing w:line="480" w:lineRule="auto"/>
        <w:ind w:firstLine="2551" w:firstLineChars="1215"/>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法定代表人或其委托代理人：</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rPr>
        <w:t>（签名或盖章）</w:t>
      </w:r>
    </w:p>
    <w:p w14:paraId="363A2677">
      <w:pPr>
        <w:autoSpaceDE w:val="0"/>
        <w:autoSpaceDN w:val="0"/>
        <w:adjustRightInd w:val="0"/>
        <w:snapToGrid w:val="0"/>
        <w:spacing w:line="360" w:lineRule="auto"/>
        <w:jc w:val="right"/>
        <w:rPr>
          <w:rFonts w:ascii="宋体" w:hAnsi="宋体" w:cs="宋体"/>
          <w:snapToGrid w:val="0"/>
          <w:color w:val="auto"/>
          <w:kern w:val="0"/>
          <w:sz w:val="20"/>
          <w:szCs w:val="20"/>
          <w:highlight w:val="none"/>
        </w:rPr>
      </w:pPr>
    </w:p>
    <w:p w14:paraId="6220E01C">
      <w:pPr>
        <w:wordWrap w:val="0"/>
        <w:autoSpaceDE w:val="0"/>
        <w:autoSpaceDN w:val="0"/>
        <w:adjustRightInd w:val="0"/>
        <w:snapToGrid w:val="0"/>
        <w:spacing w:line="360" w:lineRule="auto"/>
        <w:ind w:firstLine="315" w:firstLineChars="150"/>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                                          </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年</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月</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日</w:t>
      </w:r>
    </w:p>
    <w:p w14:paraId="0C3D09F6">
      <w:pPr>
        <w:autoSpaceDE w:val="0"/>
        <w:autoSpaceDN w:val="0"/>
        <w:adjustRightInd w:val="0"/>
        <w:snapToGrid w:val="0"/>
        <w:spacing w:line="360" w:lineRule="auto"/>
        <w:jc w:val="left"/>
        <w:rPr>
          <w:rFonts w:ascii="宋体" w:hAnsi="宋体" w:cs="宋体"/>
          <w:snapToGrid w:val="0"/>
          <w:color w:val="auto"/>
          <w:kern w:val="0"/>
          <w:sz w:val="20"/>
          <w:szCs w:val="20"/>
          <w:highlight w:val="none"/>
        </w:rPr>
      </w:pPr>
      <w:r>
        <w:rPr>
          <w:rFonts w:hint="eastAsia" w:ascii="宋体" w:hAnsi="宋体" w:cs="宋体"/>
          <w:b/>
          <w:snapToGrid w:val="0"/>
          <w:color w:val="auto"/>
          <w:kern w:val="0"/>
          <w:highlight w:val="none"/>
        </w:rPr>
        <w:br w:type="page"/>
      </w:r>
      <w:r>
        <w:rPr>
          <w:rFonts w:hint="eastAsia" w:ascii="宋体" w:hAnsi="宋体" w:cs="宋体"/>
          <w:b/>
          <w:snapToGrid w:val="0"/>
          <w:color w:val="auto"/>
          <w:kern w:val="0"/>
          <w:highlight w:val="none"/>
        </w:rPr>
        <w:t>附表</w:t>
      </w:r>
      <w:r>
        <w:rPr>
          <w:rFonts w:hint="eastAsia" w:ascii="宋体" w:hAnsi="宋体" w:cs="宋体"/>
          <w:b/>
          <w:snapToGrid w:val="0"/>
          <w:color w:val="auto"/>
          <w:kern w:val="0"/>
          <w:highlight w:val="none"/>
          <w:lang w:eastAsia="zh-CN"/>
        </w:rPr>
        <w:t>四</w:t>
      </w:r>
      <w:r>
        <w:rPr>
          <w:rFonts w:hint="eastAsia" w:ascii="宋体" w:hAnsi="宋体" w:cs="宋体"/>
          <w:b/>
          <w:snapToGrid w:val="0"/>
          <w:color w:val="auto"/>
          <w:kern w:val="0"/>
          <w:highlight w:val="none"/>
        </w:rPr>
        <w:t>：</w:t>
      </w:r>
      <w:r>
        <w:rPr>
          <w:rFonts w:hint="eastAsia" w:ascii="宋体" w:hAnsi="宋体" w:cs="宋体"/>
          <w:b/>
          <w:snapToGrid w:val="0"/>
          <w:color w:val="auto"/>
          <w:kern w:val="0"/>
          <w:highlight w:val="none"/>
          <w:lang w:eastAsia="zh-CN"/>
        </w:rPr>
        <w:t>中选</w:t>
      </w:r>
      <w:r>
        <w:rPr>
          <w:rFonts w:hint="eastAsia" w:ascii="宋体" w:hAnsi="宋体" w:cs="宋体"/>
          <w:b/>
          <w:snapToGrid w:val="0"/>
          <w:color w:val="auto"/>
          <w:kern w:val="0"/>
          <w:highlight w:val="none"/>
        </w:rPr>
        <w:t>通知书</w:t>
      </w:r>
    </w:p>
    <w:p w14:paraId="32D3E923">
      <w:pPr>
        <w:autoSpaceDE w:val="0"/>
        <w:autoSpaceDN w:val="0"/>
        <w:adjustRightInd w:val="0"/>
        <w:spacing w:line="360" w:lineRule="auto"/>
        <w:jc w:val="left"/>
        <w:rPr>
          <w:rFonts w:ascii="宋体" w:hAnsi="宋体" w:cs="宋体"/>
          <w:snapToGrid w:val="0"/>
          <w:color w:val="auto"/>
          <w:kern w:val="0"/>
          <w:sz w:val="20"/>
          <w:szCs w:val="20"/>
          <w:highlight w:val="none"/>
        </w:rPr>
      </w:pPr>
    </w:p>
    <w:p w14:paraId="35F45D03">
      <w:pPr>
        <w:widowControl/>
        <w:spacing w:before="100" w:beforeAutospacing="1" w:after="100" w:afterAutospacing="1" w:line="360" w:lineRule="auto"/>
        <w:jc w:val="center"/>
        <w:rPr>
          <w:rFonts w:ascii="宋体" w:hAnsi="宋体" w:cs="宋体"/>
          <w:b/>
          <w:color w:val="auto"/>
          <w:kern w:val="0"/>
          <w:sz w:val="32"/>
          <w:szCs w:val="32"/>
          <w:highlight w:val="none"/>
        </w:rPr>
      </w:pPr>
      <w:r>
        <w:rPr>
          <w:rFonts w:hint="eastAsia" w:ascii="宋体" w:hAnsi="宋体" w:cs="宋体"/>
          <w:b/>
          <w:bCs/>
          <w:color w:val="auto"/>
          <w:kern w:val="0"/>
          <w:sz w:val="32"/>
          <w:szCs w:val="32"/>
          <w:highlight w:val="none"/>
          <w:lang w:eastAsia="zh-CN"/>
        </w:rPr>
        <w:t>中选</w:t>
      </w:r>
      <w:r>
        <w:rPr>
          <w:rFonts w:hint="eastAsia" w:ascii="宋体" w:hAnsi="宋体" w:cs="宋体"/>
          <w:b/>
          <w:bCs/>
          <w:color w:val="auto"/>
          <w:kern w:val="0"/>
          <w:sz w:val="32"/>
          <w:szCs w:val="32"/>
          <w:highlight w:val="none"/>
        </w:rPr>
        <w:t>通知书</w:t>
      </w:r>
    </w:p>
    <w:p w14:paraId="3F81EA21">
      <w:pPr>
        <w:spacing w:line="360" w:lineRule="auto"/>
        <w:rPr>
          <w:rFonts w:ascii="宋体" w:hAnsi="宋体" w:cs="宋体"/>
          <w:bCs/>
          <w:color w:val="auto"/>
          <w:kern w:val="0"/>
          <w:szCs w:val="21"/>
          <w:highlight w:val="none"/>
          <w:u w:val="single"/>
        </w:rPr>
      </w:pPr>
      <w:r>
        <w:rPr>
          <w:rFonts w:hint="eastAsia" w:ascii="宋体" w:hAnsi="宋体" w:cs="宋体"/>
          <w:bCs/>
          <w:color w:val="auto"/>
          <w:kern w:val="0"/>
          <w:sz w:val="24"/>
          <w:highlight w:val="none"/>
          <w:u w:val="single"/>
        </w:rPr>
        <w:t xml:space="preserve"> </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u w:val="single"/>
          <w:lang w:eastAsia="zh-CN"/>
        </w:rPr>
        <w:t>中选</w:t>
      </w:r>
      <w:r>
        <w:rPr>
          <w:rFonts w:hint="eastAsia" w:ascii="宋体" w:hAnsi="宋体" w:cs="宋体"/>
          <w:color w:val="auto"/>
          <w:kern w:val="0"/>
          <w:szCs w:val="21"/>
          <w:highlight w:val="none"/>
          <w:u w:val="single"/>
        </w:rPr>
        <w:t>单位</w:t>
      </w:r>
      <w:r>
        <w:rPr>
          <w:rFonts w:hint="eastAsia" w:ascii="宋体" w:hAnsi="宋体" w:cs="宋体"/>
          <w:bCs/>
          <w:color w:val="auto"/>
          <w:kern w:val="0"/>
          <w:sz w:val="24"/>
          <w:highlight w:val="none"/>
          <w:u w:val="single"/>
        </w:rPr>
        <w:t xml:space="preserve"> </w:t>
      </w:r>
      <w:r>
        <w:rPr>
          <w:rFonts w:hint="eastAsia" w:ascii="宋体" w:hAnsi="宋体" w:cs="宋体"/>
          <w:bCs/>
          <w:color w:val="auto"/>
          <w:kern w:val="0"/>
          <w:szCs w:val="21"/>
          <w:highlight w:val="none"/>
          <w:u w:val="single"/>
        </w:rPr>
        <w:t xml:space="preserve">        </w:t>
      </w:r>
      <w:r>
        <w:rPr>
          <w:rFonts w:hint="eastAsia" w:ascii="宋体" w:hAnsi="宋体" w:cs="宋体"/>
          <w:bCs/>
          <w:color w:val="auto"/>
          <w:kern w:val="0"/>
          <w:szCs w:val="21"/>
          <w:highlight w:val="none"/>
        </w:rPr>
        <w:t>：</w:t>
      </w:r>
    </w:p>
    <w:p w14:paraId="3E2AC2F5">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我单位拟建的</w:t>
      </w:r>
      <w:r>
        <w:rPr>
          <w:rFonts w:hint="eastAsia" w:ascii="宋体" w:hAnsi="宋体" w:cs="宋体"/>
          <w:bCs/>
          <w:color w:val="auto"/>
          <w:kern w:val="0"/>
          <w:szCs w:val="21"/>
          <w:highlight w:val="none"/>
          <w:u w:val="single"/>
          <w:lang w:eastAsia="zh-CN"/>
        </w:rPr>
        <w:t>成渝改扩建机电工程监控、通信设施保通及路由管道劳务采购</w:t>
      </w:r>
      <w:r>
        <w:rPr>
          <w:rFonts w:hint="eastAsia" w:ascii="宋体" w:hAnsi="宋体" w:cs="宋体"/>
          <w:color w:val="auto"/>
          <w:kern w:val="0"/>
          <w:szCs w:val="21"/>
          <w:highlight w:val="none"/>
        </w:rPr>
        <w:t>于</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，经</w:t>
      </w:r>
      <w:r>
        <w:rPr>
          <w:rFonts w:hint="eastAsia" w:ascii="宋体" w:hAnsi="宋体" w:cs="宋体"/>
          <w:color w:val="auto"/>
          <w:kern w:val="0"/>
          <w:szCs w:val="21"/>
          <w:highlight w:val="none"/>
          <w:lang w:eastAsia="zh-CN"/>
        </w:rPr>
        <w:t>评审委员会</w:t>
      </w:r>
      <w:r>
        <w:rPr>
          <w:rFonts w:hint="eastAsia" w:ascii="宋体" w:hAnsi="宋体" w:cs="宋体"/>
          <w:color w:val="auto"/>
          <w:kern w:val="0"/>
          <w:szCs w:val="21"/>
          <w:highlight w:val="none"/>
        </w:rPr>
        <w:t>评定，确定你单位为</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人，</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额为（大写）</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工程范围：</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 xml:space="preserve">工期 </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u w:val="single"/>
        </w:rPr>
        <w:t>日历天</w:t>
      </w:r>
      <w:r>
        <w:rPr>
          <w:rFonts w:hint="eastAsia" w:ascii="宋体" w:hAnsi="宋体" w:cs="宋体"/>
          <w:color w:val="auto"/>
          <w:kern w:val="0"/>
          <w:szCs w:val="21"/>
          <w:highlight w:val="none"/>
        </w:rPr>
        <w:t>，工程质量要求：</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，工程安全目标：</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，项目经理由</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担任，项目总工由</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担任。</w:t>
      </w:r>
    </w:p>
    <w:p w14:paraId="129E7E89">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你单位收到</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 xml:space="preserve">通知书后，在 </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日内到我单位签订承发包合同。</w:t>
      </w:r>
      <w:r>
        <w:rPr>
          <w:rFonts w:hint="eastAsia" w:ascii="宋体" w:hAnsi="宋体" w:cs="宋体"/>
          <w:color w:val="auto"/>
          <w:szCs w:val="21"/>
          <w:highlight w:val="none"/>
        </w:rPr>
        <w:t>在此之前按</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第二章“</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须知”第7.</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款规定向我方提交履约担保。</w:t>
      </w:r>
    </w:p>
    <w:p w14:paraId="2E120C38">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特此通知。</w:t>
      </w:r>
    </w:p>
    <w:p w14:paraId="23F6BF48">
      <w:pPr>
        <w:spacing w:line="480" w:lineRule="auto"/>
        <w:rPr>
          <w:rFonts w:ascii="宋体" w:hAnsi="宋体" w:cs="宋体"/>
          <w:color w:val="auto"/>
          <w:kern w:val="0"/>
          <w:szCs w:val="21"/>
          <w:highlight w:val="none"/>
        </w:rPr>
      </w:pPr>
    </w:p>
    <w:p w14:paraId="05345CDD">
      <w:pPr>
        <w:spacing w:line="480" w:lineRule="auto"/>
        <w:rPr>
          <w:rFonts w:ascii="宋体" w:hAnsi="宋体" w:cs="宋体"/>
          <w:color w:val="auto"/>
          <w:kern w:val="0"/>
          <w:sz w:val="24"/>
          <w:highlight w:val="none"/>
        </w:rPr>
      </w:pPr>
    </w:p>
    <w:p w14:paraId="37F62D78">
      <w:pPr>
        <w:spacing w:line="480" w:lineRule="auto"/>
        <w:rPr>
          <w:rFonts w:ascii="宋体" w:hAnsi="宋体" w:cs="宋体"/>
          <w:color w:val="auto"/>
          <w:kern w:val="0"/>
          <w:sz w:val="24"/>
          <w:highlight w:val="none"/>
        </w:rPr>
      </w:pPr>
    </w:p>
    <w:p w14:paraId="0D8D75CA">
      <w:pPr>
        <w:spacing w:line="480" w:lineRule="auto"/>
        <w:jc w:val="left"/>
        <w:rPr>
          <w:rFonts w:ascii="宋体" w:hAnsi="宋体" w:cs="宋体"/>
          <w:color w:val="auto"/>
          <w:kern w:val="0"/>
          <w:szCs w:val="21"/>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Cs w:val="21"/>
          <w:highlight w:val="none"/>
          <w:lang w:eastAsia="zh-CN"/>
        </w:rPr>
        <w:t>采购人</w:t>
      </w:r>
      <w:r>
        <w:rPr>
          <w:rFonts w:hint="eastAsia" w:ascii="宋体" w:hAnsi="宋体" w:cs="宋体"/>
          <w:snapToGrid w:val="0"/>
          <w:color w:val="auto"/>
          <w:kern w:val="0"/>
          <w:szCs w:val="21"/>
          <w:highlight w:val="none"/>
        </w:rPr>
        <w:t>：</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snapToGrid w:val="0"/>
          <w:color w:val="auto"/>
          <w:kern w:val="0"/>
          <w:szCs w:val="21"/>
          <w:highlight w:val="none"/>
        </w:rPr>
        <w:t>盖单位法人章</w:t>
      </w:r>
      <w:r>
        <w:rPr>
          <w:rFonts w:hint="eastAsia" w:ascii="宋体" w:hAnsi="宋体" w:cs="宋体"/>
          <w:color w:val="auto"/>
          <w:kern w:val="0"/>
          <w:szCs w:val="21"/>
          <w:highlight w:val="none"/>
        </w:rPr>
        <w:t>）</w:t>
      </w:r>
    </w:p>
    <w:p w14:paraId="4EDC5F22">
      <w:pPr>
        <w:spacing w:line="480" w:lineRule="auto"/>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 xml:space="preserve">                                 联系人</w:t>
      </w:r>
      <w:r>
        <w:rPr>
          <w:rFonts w:hint="eastAsia" w:ascii="宋体" w:hAnsi="宋体" w:cs="宋体"/>
          <w:snapToGrid w:val="0"/>
          <w:color w:val="auto"/>
          <w:kern w:val="0"/>
          <w:szCs w:val="21"/>
          <w:highlight w:val="none"/>
        </w:rPr>
        <w:t>：</w:t>
      </w:r>
      <w:r>
        <w:rPr>
          <w:rFonts w:hint="eastAsia" w:ascii="宋体" w:hAnsi="宋体" w:cs="宋体"/>
          <w:color w:val="auto"/>
          <w:kern w:val="0"/>
          <w:szCs w:val="21"/>
          <w:highlight w:val="none"/>
          <w:u w:val="single"/>
        </w:rPr>
        <w:t xml:space="preserve">                          </w:t>
      </w:r>
    </w:p>
    <w:p w14:paraId="61BEE7EF">
      <w:pPr>
        <w:spacing w:line="48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 xml:space="preserve">                                 联系电话</w:t>
      </w:r>
      <w:r>
        <w:rPr>
          <w:rFonts w:hint="eastAsia" w:ascii="宋体" w:hAnsi="宋体" w:cs="宋体"/>
          <w:snapToGrid w:val="0"/>
          <w:color w:val="auto"/>
          <w:kern w:val="0"/>
          <w:szCs w:val="21"/>
          <w:highlight w:val="none"/>
        </w:rPr>
        <w:t>：</w:t>
      </w:r>
      <w:r>
        <w:rPr>
          <w:rFonts w:hint="eastAsia" w:ascii="宋体" w:hAnsi="宋体" w:cs="宋体"/>
          <w:color w:val="auto"/>
          <w:kern w:val="0"/>
          <w:szCs w:val="21"/>
          <w:highlight w:val="none"/>
          <w:u w:val="single"/>
        </w:rPr>
        <w:t xml:space="preserve">                        </w:t>
      </w:r>
    </w:p>
    <w:p w14:paraId="08FA27EA">
      <w:pPr>
        <w:spacing w:line="480" w:lineRule="auto"/>
        <w:jc w:val="right"/>
        <w:rPr>
          <w:rFonts w:ascii="宋体" w:hAnsi="宋体" w:cs="宋体"/>
          <w:color w:val="auto"/>
          <w:kern w:val="0"/>
          <w:szCs w:val="21"/>
          <w:highlight w:val="none"/>
        </w:rPr>
      </w:pPr>
    </w:p>
    <w:p w14:paraId="18D0AA47">
      <w:pPr>
        <w:spacing w:line="480" w:lineRule="auto"/>
        <w:jc w:val="right"/>
        <w:rPr>
          <w:rFonts w:ascii="宋体" w:hAnsi="宋体" w:cs="宋体"/>
          <w:color w:val="auto"/>
          <w:kern w:val="0"/>
          <w:szCs w:val="21"/>
          <w:highlight w:val="none"/>
        </w:rPr>
      </w:pPr>
    </w:p>
    <w:p w14:paraId="1B4CD7D3">
      <w:pPr>
        <w:spacing w:line="480" w:lineRule="auto"/>
        <w:jc w:val="right"/>
        <w:rPr>
          <w:rFonts w:ascii="宋体" w:hAnsi="宋体" w:cs="宋体"/>
          <w:color w:val="auto"/>
          <w:kern w:val="0"/>
          <w:szCs w:val="21"/>
          <w:highlight w:val="none"/>
        </w:rPr>
      </w:pPr>
      <w:r>
        <w:rPr>
          <w:rFonts w:hint="eastAsia" w:ascii="宋体" w:hAnsi="宋体" w:cs="宋体"/>
          <w:color w:val="auto"/>
          <w:kern w:val="0"/>
          <w:szCs w:val="21"/>
          <w:highlight w:val="none"/>
        </w:rPr>
        <w:t xml:space="preserve">                   签发日期</w:t>
      </w:r>
      <w:r>
        <w:rPr>
          <w:rFonts w:hint="eastAsia" w:ascii="宋体" w:hAnsi="宋体" w:cs="宋体"/>
          <w:snapToGrid w:val="0"/>
          <w:color w:val="auto"/>
          <w:kern w:val="0"/>
          <w:szCs w:val="21"/>
          <w:highlight w:val="none"/>
        </w:rPr>
        <w:t>：</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73B180A9">
      <w:pPr>
        <w:spacing w:line="200" w:lineRule="exact"/>
        <w:rPr>
          <w:rFonts w:ascii="宋体" w:hAnsi="宋体" w:cs="宋体"/>
          <w:color w:val="auto"/>
          <w:kern w:val="0"/>
          <w:highlight w:val="none"/>
        </w:rPr>
      </w:pPr>
      <w:r>
        <w:rPr>
          <w:rFonts w:hint="eastAsia" w:ascii="宋体" w:hAnsi="宋体" w:cs="宋体"/>
          <w:snapToGrid w:val="0"/>
          <w:color w:val="auto"/>
          <w:kern w:val="0"/>
          <w:highlight w:val="none"/>
        </w:rPr>
        <w:br w:type="page"/>
      </w:r>
      <w:bookmarkStart w:id="386" w:name="_Toc224103370"/>
    </w:p>
    <w:bookmarkEnd w:id="386"/>
    <w:p w14:paraId="6FFB9ABB">
      <w:pPr>
        <w:pStyle w:val="3"/>
        <w:spacing w:line="360" w:lineRule="auto"/>
        <w:jc w:val="center"/>
        <w:rPr>
          <w:rFonts w:ascii="宋体" w:hAnsi="宋体"/>
          <w:b w:val="0"/>
          <w:bCs w:val="0"/>
          <w:color w:val="auto"/>
          <w:highlight w:val="none"/>
        </w:rPr>
      </w:pPr>
      <w:bookmarkStart w:id="387" w:name="招标文件03章02评标办法综合评估法"/>
      <w:bookmarkEnd w:id="387"/>
      <w:bookmarkStart w:id="388" w:name="招标文件03章02评标办法综合评估法00"/>
      <w:bookmarkEnd w:id="388"/>
      <w:bookmarkStart w:id="389" w:name="_Toc13022"/>
      <w:bookmarkStart w:id="390" w:name="_Toc10671"/>
      <w:bookmarkStart w:id="391" w:name="_Toc16258"/>
      <w:bookmarkStart w:id="392" w:name="_Toc14767"/>
      <w:bookmarkStart w:id="393" w:name="_Toc277082608"/>
      <w:bookmarkStart w:id="394" w:name="_Toc224103373"/>
      <w:bookmarkStart w:id="395" w:name="_Toc509218763"/>
      <w:bookmarkStart w:id="396" w:name="_Toc287607812"/>
      <w:bookmarkStart w:id="397" w:name="_Toc287607801"/>
      <w:bookmarkStart w:id="398" w:name="_Toc224103384"/>
      <w:bookmarkStart w:id="399" w:name="_Toc287620740"/>
      <w:bookmarkStart w:id="400" w:name="_Toc509218774"/>
      <w:bookmarkStart w:id="401" w:name="_Toc21151"/>
      <w:bookmarkStart w:id="402" w:name="_Toc209605549"/>
      <w:bookmarkStart w:id="403" w:name="_Toc277082618"/>
      <w:bookmarkStart w:id="404" w:name="_Toc287620751"/>
      <w:bookmarkStart w:id="405" w:name="_Toc57795916"/>
      <w:bookmarkStart w:id="406" w:name="_Toc434"/>
      <w:bookmarkStart w:id="407" w:name="_Toc200513198"/>
      <w:bookmarkStart w:id="408" w:name="_Toc430530500"/>
      <w:r>
        <w:rPr>
          <w:rFonts w:ascii="宋体" w:hAnsi="宋体"/>
          <w:color w:val="auto"/>
          <w:highlight w:val="none"/>
        </w:rPr>
        <w:t>第三章</w:t>
      </w:r>
      <w:r>
        <w:rPr>
          <w:rFonts w:hint="eastAsia" w:ascii="宋体" w:hAnsi="宋体"/>
          <w:color w:val="auto"/>
          <w:highlight w:val="none"/>
        </w:rPr>
        <w:t xml:space="preserve">  </w:t>
      </w:r>
      <w:r>
        <w:rPr>
          <w:rFonts w:hint="eastAsia" w:ascii="宋体" w:hAnsi="宋体"/>
          <w:color w:val="auto"/>
          <w:highlight w:val="none"/>
          <w:lang w:eastAsia="zh-CN"/>
        </w:rPr>
        <w:t>评审办法</w:t>
      </w:r>
      <w:r>
        <w:rPr>
          <w:rFonts w:ascii="宋体" w:hAnsi="宋体"/>
          <w:color w:val="auto"/>
          <w:highlight w:val="none"/>
        </w:rPr>
        <w:t>（综合评估法）</w:t>
      </w:r>
      <w:bookmarkEnd w:id="389"/>
      <w:bookmarkEnd w:id="390"/>
      <w:bookmarkEnd w:id="391"/>
      <w:bookmarkStart w:id="409" w:name="_Toc224103383"/>
      <w:bookmarkStart w:id="410" w:name="_Toc287620750"/>
      <w:bookmarkStart w:id="411" w:name="_Toc277082617"/>
      <w:bookmarkStart w:id="412" w:name="_Toc287607811"/>
      <w:bookmarkStart w:id="413" w:name="_Toc430530499"/>
    </w:p>
    <w:bookmarkEnd w:id="409"/>
    <w:bookmarkEnd w:id="410"/>
    <w:bookmarkEnd w:id="411"/>
    <w:bookmarkEnd w:id="412"/>
    <w:bookmarkEnd w:id="413"/>
    <w:p w14:paraId="4DBFC3E3">
      <w:pPr>
        <w:pStyle w:val="4"/>
        <w:spacing w:before="100" w:after="100" w:line="360" w:lineRule="auto"/>
        <w:rPr>
          <w:rFonts w:hint="eastAsia" w:ascii="宋体" w:hAnsi="宋体" w:cs="宋体"/>
          <w:bCs w:val="0"/>
          <w:color w:val="auto"/>
          <w:sz w:val="28"/>
          <w:szCs w:val="28"/>
          <w:highlight w:val="none"/>
        </w:rPr>
      </w:pPr>
      <w:bookmarkStart w:id="414" w:name="_Toc7464"/>
      <w:bookmarkStart w:id="415" w:name="_Toc147"/>
      <w:bookmarkStart w:id="416" w:name="_Toc8458"/>
      <w:r>
        <w:rPr>
          <w:rFonts w:hint="eastAsia" w:ascii="宋体" w:hAnsi="宋体" w:cs="宋体"/>
          <w:bCs w:val="0"/>
          <w:color w:val="auto"/>
          <w:sz w:val="28"/>
          <w:szCs w:val="28"/>
          <w:highlight w:val="none"/>
          <w:lang w:eastAsia="zh-CN"/>
        </w:rPr>
        <w:t>评审办法</w:t>
      </w:r>
      <w:r>
        <w:rPr>
          <w:rFonts w:hint="eastAsia" w:ascii="宋体" w:hAnsi="宋体" w:cs="宋体"/>
          <w:bCs w:val="0"/>
          <w:color w:val="auto"/>
          <w:sz w:val="28"/>
          <w:szCs w:val="28"/>
          <w:highlight w:val="none"/>
        </w:rPr>
        <w:t>前附表</w:t>
      </w:r>
      <w:bookmarkEnd w:id="414"/>
      <w:bookmarkEnd w:id="415"/>
      <w:bookmarkEnd w:id="416"/>
    </w:p>
    <w:p w14:paraId="0FA94AC2">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eastAsia="zh-CN"/>
        </w:rPr>
        <w:t>评审办法</w:t>
      </w:r>
      <w:r>
        <w:rPr>
          <w:rFonts w:ascii="宋体" w:hAnsi="宋体"/>
          <w:color w:val="auto"/>
          <w:szCs w:val="21"/>
          <w:highlight w:val="none"/>
        </w:rPr>
        <w:t>中的评审内容必须和</w:t>
      </w:r>
      <w:r>
        <w:rPr>
          <w:rFonts w:hint="eastAsia" w:ascii="宋体" w:hAnsi="宋体"/>
          <w:color w:val="auto"/>
          <w:szCs w:val="21"/>
          <w:highlight w:val="none"/>
          <w:lang w:eastAsia="zh-CN"/>
        </w:rPr>
        <w:t>供应商</w:t>
      </w:r>
      <w:r>
        <w:rPr>
          <w:rFonts w:ascii="宋体" w:hAnsi="宋体"/>
          <w:color w:val="auto"/>
          <w:szCs w:val="21"/>
          <w:highlight w:val="none"/>
        </w:rPr>
        <w:t>须知中的对应内容一致，若</w:t>
      </w:r>
      <w:r>
        <w:rPr>
          <w:rFonts w:hint="eastAsia" w:ascii="宋体" w:hAnsi="宋体"/>
          <w:color w:val="auto"/>
          <w:szCs w:val="21"/>
          <w:highlight w:val="none"/>
          <w:lang w:eastAsia="zh-CN"/>
        </w:rPr>
        <w:t>供应商</w:t>
      </w:r>
      <w:r>
        <w:rPr>
          <w:rFonts w:ascii="宋体" w:hAnsi="宋体"/>
          <w:color w:val="auto"/>
          <w:szCs w:val="21"/>
          <w:highlight w:val="none"/>
        </w:rPr>
        <w:t>须知中未作要求的内容，不得列入</w:t>
      </w:r>
      <w:r>
        <w:rPr>
          <w:rFonts w:hint="eastAsia" w:ascii="宋体" w:hAnsi="宋体"/>
          <w:color w:val="auto"/>
          <w:szCs w:val="21"/>
          <w:highlight w:val="none"/>
          <w:lang w:eastAsia="zh-CN"/>
        </w:rPr>
        <w:t>评审办法</w:t>
      </w:r>
      <w:r>
        <w:rPr>
          <w:rFonts w:ascii="宋体" w:hAnsi="宋体"/>
          <w:color w:val="auto"/>
          <w:szCs w:val="21"/>
          <w:highlight w:val="none"/>
        </w:rPr>
        <w:t>作为评定依据。</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99"/>
        <w:gridCol w:w="705"/>
        <w:gridCol w:w="1650"/>
        <w:gridCol w:w="5048"/>
      </w:tblGrid>
      <w:tr w14:paraId="14EFC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7FDCA874">
            <w:pPr>
              <w:adjustRightInd w:val="0"/>
              <w:snapToGrid w:val="0"/>
              <w:spacing w:afterLines="0" w:line="400" w:lineRule="exact"/>
              <w:jc w:val="center"/>
              <w:rPr>
                <w:rFonts w:hint="eastAsia" w:ascii="宋体" w:hAnsi="宋体" w:cs="宋体"/>
                <w:b/>
                <w:color w:val="auto"/>
                <w:highlight w:val="none"/>
              </w:rPr>
            </w:pPr>
            <w:r>
              <w:rPr>
                <w:rFonts w:hint="eastAsia" w:ascii="宋体" w:hAnsi="宋体" w:cs="宋体"/>
                <w:b/>
                <w:color w:val="auto"/>
                <w:highlight w:val="none"/>
              </w:rPr>
              <w:t>条款号</w:t>
            </w:r>
          </w:p>
        </w:tc>
        <w:tc>
          <w:tcPr>
            <w:tcW w:w="1599" w:type="dxa"/>
            <w:tcBorders>
              <w:top w:val="single" w:color="auto" w:sz="4" w:space="0"/>
              <w:left w:val="single" w:color="auto" w:sz="4" w:space="0"/>
              <w:bottom w:val="single" w:color="auto" w:sz="4" w:space="0"/>
              <w:right w:val="single" w:color="auto" w:sz="4" w:space="0"/>
            </w:tcBorders>
            <w:vAlign w:val="center"/>
          </w:tcPr>
          <w:p w14:paraId="222BE711">
            <w:pPr>
              <w:adjustRightInd w:val="0"/>
              <w:snapToGrid w:val="0"/>
              <w:spacing w:afterLines="0" w:line="400" w:lineRule="exact"/>
              <w:jc w:val="center"/>
              <w:rPr>
                <w:rFonts w:hint="eastAsia" w:ascii="宋体" w:hAnsi="宋体" w:cs="宋体"/>
                <w:b/>
                <w:color w:val="auto"/>
                <w:highlight w:val="none"/>
              </w:rPr>
            </w:pPr>
            <w:r>
              <w:rPr>
                <w:rFonts w:hint="eastAsia" w:ascii="宋体" w:hAnsi="宋体" w:cs="宋体"/>
                <w:b/>
                <w:color w:val="auto"/>
                <w:highlight w:val="none"/>
              </w:rPr>
              <w:t>评审因素</w:t>
            </w:r>
          </w:p>
        </w:tc>
        <w:tc>
          <w:tcPr>
            <w:tcW w:w="7403" w:type="dxa"/>
            <w:gridSpan w:val="3"/>
            <w:tcBorders>
              <w:top w:val="single" w:color="auto" w:sz="4" w:space="0"/>
              <w:left w:val="single" w:color="auto" w:sz="4" w:space="0"/>
              <w:bottom w:val="single" w:color="auto" w:sz="4" w:space="0"/>
              <w:right w:val="single" w:color="auto" w:sz="4" w:space="0"/>
            </w:tcBorders>
            <w:vAlign w:val="center"/>
          </w:tcPr>
          <w:p w14:paraId="358F9B1A">
            <w:pPr>
              <w:adjustRightInd w:val="0"/>
              <w:snapToGrid w:val="0"/>
              <w:spacing w:afterLines="0" w:line="400" w:lineRule="exact"/>
              <w:ind w:firstLine="420"/>
              <w:jc w:val="center"/>
              <w:rPr>
                <w:rFonts w:hint="eastAsia" w:ascii="宋体" w:hAnsi="宋体" w:cs="宋体"/>
                <w:b/>
                <w:color w:val="auto"/>
                <w:highlight w:val="none"/>
              </w:rPr>
            </w:pPr>
            <w:r>
              <w:rPr>
                <w:rFonts w:hint="eastAsia" w:ascii="宋体" w:hAnsi="宋体" w:cs="宋体"/>
                <w:b/>
                <w:color w:val="auto"/>
                <w:highlight w:val="none"/>
              </w:rPr>
              <w:t>评审标准</w:t>
            </w:r>
          </w:p>
        </w:tc>
      </w:tr>
      <w:tr w14:paraId="71ACB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restart"/>
            <w:tcBorders>
              <w:top w:val="single" w:color="auto" w:sz="4" w:space="0"/>
              <w:left w:val="single" w:color="auto" w:sz="4" w:space="0"/>
              <w:right w:val="single" w:color="auto" w:sz="4" w:space="0"/>
            </w:tcBorders>
            <w:vAlign w:val="center"/>
          </w:tcPr>
          <w:p w14:paraId="3795EFEB">
            <w:pPr>
              <w:adjustRightInd w:val="0"/>
              <w:snapToGrid w:val="0"/>
              <w:spacing w:afterLines="0" w:line="400" w:lineRule="exact"/>
              <w:jc w:val="center"/>
              <w:rPr>
                <w:rFonts w:hint="eastAsia" w:ascii="宋体" w:hAnsi="宋体" w:cs="宋体"/>
                <w:color w:val="auto"/>
                <w:highlight w:val="none"/>
              </w:rPr>
            </w:pPr>
            <w:r>
              <w:rPr>
                <w:rFonts w:ascii="宋体" w:hAnsi="宋体"/>
                <w:color w:val="auto"/>
                <w:kern w:val="0"/>
                <w:highlight w:val="none"/>
              </w:rPr>
              <w:t>2.</w:t>
            </w:r>
            <w:r>
              <w:rPr>
                <w:rFonts w:hint="eastAsia" w:ascii="宋体" w:hAnsi="宋体"/>
                <w:color w:val="auto"/>
                <w:kern w:val="0"/>
                <w:highlight w:val="none"/>
              </w:rPr>
              <w:t>1</w:t>
            </w:r>
            <w:r>
              <w:rPr>
                <w:rFonts w:ascii="宋体" w:hAnsi="宋体"/>
                <w:color w:val="auto"/>
                <w:kern w:val="0"/>
                <w:highlight w:val="none"/>
              </w:rPr>
              <w:t>.</w:t>
            </w:r>
            <w:r>
              <w:rPr>
                <w:rFonts w:hint="eastAsia" w:ascii="宋体" w:hAnsi="宋体"/>
                <w:color w:val="auto"/>
                <w:kern w:val="0"/>
                <w:highlight w:val="none"/>
              </w:rPr>
              <w:t>1</w:t>
            </w:r>
          </w:p>
        </w:tc>
        <w:tc>
          <w:tcPr>
            <w:tcW w:w="1599" w:type="dxa"/>
            <w:vMerge w:val="restart"/>
            <w:tcBorders>
              <w:top w:val="single" w:color="auto" w:sz="4" w:space="0"/>
              <w:left w:val="single" w:color="auto" w:sz="4" w:space="0"/>
              <w:right w:val="single" w:color="auto" w:sz="4" w:space="0"/>
            </w:tcBorders>
            <w:vAlign w:val="center"/>
          </w:tcPr>
          <w:p w14:paraId="1B2FBA35">
            <w:pPr>
              <w:adjustRightInd w:val="0"/>
              <w:snapToGrid w:val="0"/>
              <w:spacing w:afterLines="0" w:line="400" w:lineRule="exact"/>
              <w:jc w:val="center"/>
              <w:rPr>
                <w:rFonts w:hint="eastAsia" w:ascii="宋体" w:hAnsi="宋体" w:cs="宋体"/>
                <w:color w:val="auto"/>
                <w:highlight w:val="none"/>
              </w:rPr>
            </w:pPr>
            <w:r>
              <w:rPr>
                <w:rFonts w:hint="eastAsia" w:ascii="宋体" w:hAnsi="宋体"/>
                <w:color w:val="auto"/>
                <w:kern w:val="0"/>
                <w:highlight w:val="none"/>
              </w:rPr>
              <w:t>资格评审标准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7CEBC9D6">
            <w:pPr>
              <w:adjustRightInd w:val="0"/>
              <w:snapToGrid w:val="0"/>
              <w:spacing w:afterLines="0" w:line="400" w:lineRule="exact"/>
              <w:jc w:val="left"/>
              <w:rPr>
                <w:rFonts w:hint="eastAsia" w:ascii="宋体" w:hAnsi="宋体"/>
                <w:i/>
                <w:color w:val="auto"/>
                <w:spacing w:val="4"/>
                <w:kern w:val="0"/>
                <w:szCs w:val="21"/>
                <w:highlight w:val="none"/>
              </w:rPr>
            </w:pPr>
            <w:r>
              <w:rPr>
                <w:rFonts w:hint="eastAsia" w:ascii="宋体" w:hAnsi="宋体"/>
                <w:color w:val="auto"/>
                <w:kern w:val="0"/>
                <w:highlight w:val="none"/>
              </w:rPr>
              <w:t>资质条件</w:t>
            </w:r>
          </w:p>
        </w:tc>
        <w:tc>
          <w:tcPr>
            <w:tcW w:w="5048" w:type="dxa"/>
            <w:tcBorders>
              <w:top w:val="single" w:color="auto" w:sz="4" w:space="0"/>
              <w:left w:val="single" w:color="auto" w:sz="4" w:space="0"/>
              <w:bottom w:val="single" w:color="auto" w:sz="4" w:space="0"/>
              <w:right w:val="single" w:color="auto" w:sz="4" w:space="0"/>
            </w:tcBorders>
            <w:vAlign w:val="center"/>
          </w:tcPr>
          <w:p w14:paraId="0B10F11B">
            <w:pPr>
              <w:adjustRightInd w:val="0"/>
              <w:snapToGrid w:val="0"/>
              <w:spacing w:afterLines="0" w:line="400" w:lineRule="exact"/>
              <w:ind w:firstLine="420" w:firstLineChars="200"/>
              <w:jc w:val="left"/>
              <w:rPr>
                <w:rFonts w:hint="eastAsia" w:ascii="宋体" w:hAnsi="宋体" w:eastAsia="宋体"/>
                <w:i/>
                <w:color w:val="auto"/>
                <w:spacing w:val="4"/>
                <w:kern w:val="0"/>
                <w:szCs w:val="21"/>
                <w:highlight w:val="none"/>
                <w:lang w:eastAsia="zh-CN"/>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297B1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3485D3EC">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5715CC66">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799FD16C">
            <w:pPr>
              <w:adjustRightInd w:val="0"/>
              <w:snapToGrid w:val="0"/>
              <w:spacing w:afterLines="0" w:line="400" w:lineRule="exact"/>
              <w:jc w:val="left"/>
              <w:rPr>
                <w:rFonts w:hint="eastAsia" w:ascii="宋体" w:hAnsi="宋体" w:eastAsia="宋体"/>
                <w:i/>
                <w:color w:val="auto"/>
                <w:spacing w:val="4"/>
                <w:kern w:val="0"/>
                <w:szCs w:val="21"/>
                <w:highlight w:val="none"/>
                <w:lang w:eastAsia="zh-CN"/>
              </w:rPr>
            </w:pPr>
            <w:r>
              <w:rPr>
                <w:rFonts w:hint="eastAsia" w:ascii="宋体" w:hAnsi="宋体"/>
                <w:color w:val="auto"/>
                <w:kern w:val="0"/>
                <w:highlight w:val="none"/>
                <w:lang w:eastAsia="zh-CN"/>
              </w:rPr>
              <w:t>独立法人资格</w:t>
            </w:r>
          </w:p>
        </w:tc>
        <w:tc>
          <w:tcPr>
            <w:tcW w:w="5048" w:type="dxa"/>
            <w:tcBorders>
              <w:top w:val="single" w:color="auto" w:sz="4" w:space="0"/>
              <w:left w:val="single" w:color="auto" w:sz="4" w:space="0"/>
              <w:bottom w:val="single" w:color="auto" w:sz="4" w:space="0"/>
              <w:right w:val="single" w:color="auto" w:sz="4" w:space="0"/>
            </w:tcBorders>
            <w:vAlign w:val="center"/>
          </w:tcPr>
          <w:p w14:paraId="47D1E8F7">
            <w:pPr>
              <w:adjustRightInd w:val="0"/>
              <w:snapToGrid w:val="0"/>
              <w:spacing w:afterLines="0" w:line="400" w:lineRule="exact"/>
              <w:ind w:firstLine="420" w:firstLineChars="200"/>
              <w:jc w:val="left"/>
              <w:rPr>
                <w:rFonts w:hint="eastAsia" w:ascii="宋体" w:hAnsi="宋体" w:eastAsia="宋体"/>
                <w:i/>
                <w:color w:val="auto"/>
                <w:spacing w:val="4"/>
                <w:kern w:val="0"/>
                <w:szCs w:val="21"/>
                <w:highlight w:val="none"/>
                <w:lang w:eastAsia="zh-CN"/>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00CDB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74526903">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7A3166C2">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094B6DF7">
            <w:pPr>
              <w:adjustRightInd w:val="0"/>
              <w:snapToGrid w:val="0"/>
              <w:spacing w:afterLines="0" w:line="400" w:lineRule="exact"/>
              <w:jc w:val="left"/>
              <w:rPr>
                <w:rFonts w:hint="eastAsia" w:ascii="宋体" w:hAnsi="宋体"/>
                <w:i/>
                <w:color w:val="auto"/>
                <w:spacing w:val="4"/>
                <w:kern w:val="0"/>
                <w:szCs w:val="21"/>
                <w:highlight w:val="none"/>
              </w:rPr>
            </w:pPr>
            <w:r>
              <w:rPr>
                <w:rFonts w:hint="eastAsia" w:ascii="宋体" w:hAnsi="宋体"/>
                <w:color w:val="auto"/>
                <w:kern w:val="0"/>
                <w:highlight w:val="none"/>
              </w:rPr>
              <w:t>安全生产条件</w:t>
            </w:r>
          </w:p>
        </w:tc>
        <w:tc>
          <w:tcPr>
            <w:tcW w:w="5048" w:type="dxa"/>
            <w:tcBorders>
              <w:top w:val="single" w:color="auto" w:sz="4" w:space="0"/>
              <w:left w:val="single" w:color="auto" w:sz="4" w:space="0"/>
              <w:bottom w:val="single" w:color="auto" w:sz="4" w:space="0"/>
              <w:right w:val="single" w:color="auto" w:sz="4" w:space="0"/>
            </w:tcBorders>
            <w:vAlign w:val="center"/>
          </w:tcPr>
          <w:p w14:paraId="398AD34C">
            <w:pPr>
              <w:adjustRightInd w:val="0"/>
              <w:snapToGrid w:val="0"/>
              <w:spacing w:afterLines="0" w:line="400" w:lineRule="exact"/>
              <w:ind w:firstLine="420" w:firstLineChars="200"/>
              <w:jc w:val="left"/>
              <w:rPr>
                <w:rFonts w:hint="eastAsia" w:ascii="宋体" w:hAnsi="宋体" w:eastAsia="宋体"/>
                <w:i/>
                <w:color w:val="auto"/>
                <w:spacing w:val="4"/>
                <w:kern w:val="0"/>
                <w:szCs w:val="21"/>
                <w:highlight w:val="none"/>
                <w:lang w:eastAsia="zh-CN"/>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7C9A4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0DC27258">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336AEBB4">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3517F1F4">
            <w:pPr>
              <w:adjustRightInd w:val="0"/>
              <w:snapToGrid w:val="0"/>
              <w:spacing w:afterLines="0" w:line="400" w:lineRule="exact"/>
              <w:jc w:val="left"/>
              <w:rPr>
                <w:rFonts w:hint="eastAsia" w:ascii="宋体" w:hAnsi="宋体"/>
                <w:i/>
                <w:color w:val="auto"/>
                <w:spacing w:val="4"/>
                <w:kern w:val="0"/>
                <w:szCs w:val="21"/>
                <w:highlight w:val="none"/>
              </w:rPr>
            </w:pPr>
            <w:r>
              <w:rPr>
                <w:rFonts w:hint="eastAsia" w:ascii="宋体" w:hAnsi="宋体"/>
                <w:color w:val="auto"/>
                <w:kern w:val="0"/>
                <w:highlight w:val="none"/>
              </w:rPr>
              <w:t>业绩要求</w:t>
            </w:r>
          </w:p>
        </w:tc>
        <w:tc>
          <w:tcPr>
            <w:tcW w:w="5048" w:type="dxa"/>
            <w:tcBorders>
              <w:top w:val="single" w:color="auto" w:sz="4" w:space="0"/>
              <w:left w:val="single" w:color="auto" w:sz="4" w:space="0"/>
              <w:bottom w:val="single" w:color="auto" w:sz="4" w:space="0"/>
              <w:right w:val="single" w:color="auto" w:sz="4" w:space="0"/>
            </w:tcBorders>
            <w:vAlign w:val="center"/>
          </w:tcPr>
          <w:p w14:paraId="0C978D4F">
            <w:pPr>
              <w:adjustRightInd w:val="0"/>
              <w:snapToGrid w:val="0"/>
              <w:spacing w:afterLines="0" w:line="400" w:lineRule="exact"/>
              <w:ind w:firstLine="420" w:firstLineChars="200"/>
              <w:jc w:val="left"/>
              <w:rPr>
                <w:rFonts w:hint="eastAsia" w:ascii="宋体" w:hAnsi="宋体" w:eastAsia="宋体"/>
                <w:i/>
                <w:color w:val="auto"/>
                <w:spacing w:val="4"/>
                <w:kern w:val="0"/>
                <w:szCs w:val="21"/>
                <w:highlight w:val="none"/>
                <w:lang w:eastAsia="zh-CN"/>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1BF54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2C6ABC97">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68C64F02">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35F7599C">
            <w:pPr>
              <w:adjustRightInd w:val="0"/>
              <w:snapToGrid w:val="0"/>
              <w:spacing w:afterLines="0" w:line="400" w:lineRule="exact"/>
              <w:jc w:val="left"/>
              <w:rPr>
                <w:rFonts w:hint="eastAsia" w:ascii="宋体" w:hAnsi="宋体"/>
                <w:i/>
                <w:color w:val="auto"/>
                <w:spacing w:val="4"/>
                <w:kern w:val="0"/>
                <w:szCs w:val="21"/>
                <w:highlight w:val="none"/>
              </w:rPr>
            </w:pPr>
            <w:r>
              <w:rPr>
                <w:rFonts w:hint="eastAsia" w:ascii="宋体" w:hAnsi="宋体"/>
                <w:color w:val="auto"/>
                <w:szCs w:val="21"/>
                <w:highlight w:val="none"/>
                <w:lang w:val="en-US" w:eastAsia="zh-CN"/>
              </w:rPr>
              <w:t>比选</w:t>
            </w:r>
            <w:r>
              <w:rPr>
                <w:rFonts w:hint="eastAsia" w:ascii="宋体" w:hAnsi="宋体"/>
                <w:color w:val="auto"/>
                <w:szCs w:val="21"/>
                <w:highlight w:val="none"/>
              </w:rPr>
              <w:t>截止日投标资格情况</w:t>
            </w:r>
          </w:p>
        </w:tc>
        <w:tc>
          <w:tcPr>
            <w:tcW w:w="5048" w:type="dxa"/>
            <w:tcBorders>
              <w:top w:val="single" w:color="auto" w:sz="4" w:space="0"/>
              <w:left w:val="single" w:color="auto" w:sz="4" w:space="0"/>
              <w:bottom w:val="single" w:color="auto" w:sz="4" w:space="0"/>
              <w:right w:val="single" w:color="auto" w:sz="4" w:space="0"/>
            </w:tcBorders>
            <w:vAlign w:val="center"/>
          </w:tcPr>
          <w:p w14:paraId="38BC8246">
            <w:pPr>
              <w:adjustRightInd w:val="0"/>
              <w:snapToGrid w:val="0"/>
              <w:spacing w:afterLines="0" w:line="400" w:lineRule="exact"/>
              <w:ind w:firstLine="420" w:firstLineChars="200"/>
              <w:jc w:val="left"/>
              <w:rPr>
                <w:rFonts w:hint="eastAsia" w:ascii="宋体" w:hAnsi="宋体" w:eastAsia="宋体"/>
                <w:i/>
                <w:color w:val="auto"/>
                <w:spacing w:val="4"/>
                <w:kern w:val="0"/>
                <w:szCs w:val="21"/>
                <w:highlight w:val="none"/>
                <w:lang w:eastAsia="zh-CN"/>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05B08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74BA9E73">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64919254">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4793CD00">
            <w:pPr>
              <w:adjustRightInd w:val="0"/>
              <w:snapToGrid w:val="0"/>
              <w:spacing w:afterLines="0" w:line="400" w:lineRule="exact"/>
              <w:jc w:val="left"/>
              <w:rPr>
                <w:rFonts w:hint="eastAsia" w:ascii="宋体" w:hAnsi="宋体"/>
                <w:i/>
                <w:color w:val="auto"/>
                <w:spacing w:val="4"/>
                <w:kern w:val="0"/>
                <w:szCs w:val="21"/>
                <w:highlight w:val="none"/>
              </w:rPr>
            </w:pPr>
            <w:r>
              <w:rPr>
                <w:rFonts w:ascii="宋体" w:hAnsi="宋体"/>
                <w:color w:val="auto"/>
                <w:kern w:val="0"/>
                <w:highlight w:val="none"/>
              </w:rPr>
              <w:t>项目经理资格</w:t>
            </w:r>
            <w:r>
              <w:rPr>
                <w:rFonts w:hint="eastAsia" w:ascii="宋体" w:hAnsi="宋体"/>
                <w:color w:val="auto"/>
                <w:kern w:val="0"/>
                <w:highlight w:val="none"/>
              </w:rPr>
              <w:t>要求</w:t>
            </w:r>
          </w:p>
        </w:tc>
        <w:tc>
          <w:tcPr>
            <w:tcW w:w="5048" w:type="dxa"/>
            <w:tcBorders>
              <w:top w:val="single" w:color="auto" w:sz="4" w:space="0"/>
              <w:left w:val="single" w:color="auto" w:sz="4" w:space="0"/>
              <w:bottom w:val="single" w:color="auto" w:sz="4" w:space="0"/>
              <w:right w:val="single" w:color="auto" w:sz="4" w:space="0"/>
            </w:tcBorders>
            <w:vAlign w:val="center"/>
          </w:tcPr>
          <w:p w14:paraId="3AEA3BB7">
            <w:pPr>
              <w:adjustRightInd w:val="0"/>
              <w:snapToGrid w:val="0"/>
              <w:spacing w:afterLines="0" w:line="400" w:lineRule="exact"/>
              <w:ind w:firstLine="420" w:firstLineChars="200"/>
              <w:jc w:val="left"/>
              <w:rPr>
                <w:rFonts w:hint="eastAsia" w:ascii="宋体" w:hAnsi="宋体" w:eastAsia="宋体"/>
                <w:i/>
                <w:color w:val="auto"/>
                <w:spacing w:val="4"/>
                <w:kern w:val="0"/>
                <w:szCs w:val="21"/>
                <w:highlight w:val="none"/>
                <w:lang w:eastAsia="zh-CN"/>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36879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7615E4A4">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3A1C530B">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0F62059A">
            <w:pPr>
              <w:adjustRightInd w:val="0"/>
              <w:snapToGrid w:val="0"/>
              <w:spacing w:afterLines="0" w:line="400" w:lineRule="exact"/>
              <w:jc w:val="left"/>
              <w:rPr>
                <w:rFonts w:hint="eastAsia" w:ascii="宋体" w:hAnsi="宋体"/>
                <w:color w:val="auto"/>
                <w:kern w:val="0"/>
                <w:highlight w:val="none"/>
              </w:rPr>
            </w:pPr>
            <w:r>
              <w:rPr>
                <w:rFonts w:hint="eastAsia" w:ascii="宋体" w:hAnsi="宋体"/>
                <w:color w:val="auto"/>
                <w:kern w:val="0"/>
                <w:highlight w:val="none"/>
              </w:rPr>
              <w:t>项目总工资格要求</w:t>
            </w:r>
          </w:p>
        </w:tc>
        <w:tc>
          <w:tcPr>
            <w:tcW w:w="5048" w:type="dxa"/>
            <w:tcBorders>
              <w:top w:val="single" w:color="auto" w:sz="4" w:space="0"/>
              <w:left w:val="single" w:color="auto" w:sz="4" w:space="0"/>
              <w:bottom w:val="single" w:color="auto" w:sz="4" w:space="0"/>
              <w:right w:val="single" w:color="auto" w:sz="4" w:space="0"/>
            </w:tcBorders>
            <w:vAlign w:val="center"/>
          </w:tcPr>
          <w:p w14:paraId="5E6DB02C">
            <w:pPr>
              <w:adjustRightInd w:val="0"/>
              <w:snapToGrid w:val="0"/>
              <w:spacing w:afterLines="0" w:line="400" w:lineRule="exact"/>
              <w:ind w:firstLine="420" w:firstLineChars="200"/>
              <w:jc w:val="left"/>
              <w:rPr>
                <w:rFonts w:hint="eastAsia" w:ascii="宋体" w:hAnsi="宋体" w:eastAsia="宋体"/>
                <w:color w:val="auto"/>
                <w:kern w:val="0"/>
                <w:highlight w:val="none"/>
                <w:lang w:eastAsia="zh-CN"/>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66F76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78200988">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4DFBF4A9">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4F28CAAD">
            <w:pPr>
              <w:adjustRightInd w:val="0"/>
              <w:snapToGrid w:val="0"/>
              <w:spacing w:afterLines="0" w:line="400" w:lineRule="exact"/>
              <w:jc w:val="left"/>
              <w:rPr>
                <w:rFonts w:hint="eastAsia" w:ascii="宋体" w:hAnsi="宋体"/>
                <w:color w:val="auto"/>
                <w:kern w:val="0"/>
                <w:highlight w:val="none"/>
              </w:rPr>
            </w:pPr>
            <w:r>
              <w:rPr>
                <w:rFonts w:hint="eastAsia" w:ascii="宋体" w:hAnsi="宋体"/>
                <w:color w:val="auto"/>
                <w:kern w:val="0"/>
                <w:highlight w:val="none"/>
                <w:lang w:val="en-US" w:eastAsia="zh-CN"/>
              </w:rPr>
              <w:t>安全负责人</w:t>
            </w:r>
            <w:r>
              <w:rPr>
                <w:rFonts w:hint="eastAsia" w:ascii="宋体" w:hAnsi="宋体"/>
                <w:color w:val="auto"/>
                <w:kern w:val="0"/>
                <w:highlight w:val="none"/>
              </w:rPr>
              <w:t>资格要求</w:t>
            </w:r>
          </w:p>
        </w:tc>
        <w:tc>
          <w:tcPr>
            <w:tcW w:w="5048" w:type="dxa"/>
            <w:tcBorders>
              <w:top w:val="single" w:color="auto" w:sz="4" w:space="0"/>
              <w:left w:val="single" w:color="auto" w:sz="4" w:space="0"/>
              <w:bottom w:val="single" w:color="auto" w:sz="4" w:space="0"/>
              <w:right w:val="single" w:color="auto" w:sz="4" w:space="0"/>
            </w:tcBorders>
            <w:vAlign w:val="center"/>
          </w:tcPr>
          <w:p w14:paraId="60163C96">
            <w:pPr>
              <w:adjustRightInd w:val="0"/>
              <w:snapToGrid w:val="0"/>
              <w:spacing w:afterLines="0" w:line="400" w:lineRule="exact"/>
              <w:ind w:firstLine="420" w:firstLineChars="200"/>
              <w:jc w:val="left"/>
              <w:rPr>
                <w:rFonts w:hint="eastAsia" w:ascii="宋体" w:hAnsi="宋体" w:eastAsia="宋体"/>
                <w:color w:val="auto"/>
                <w:kern w:val="0"/>
                <w:highlight w:val="none"/>
                <w:lang w:eastAsia="zh-CN"/>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73E95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7A955411">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6C4D0E6B">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2EAB291A">
            <w:pPr>
              <w:adjustRightInd w:val="0"/>
              <w:snapToGrid w:val="0"/>
              <w:spacing w:afterLines="0" w:line="400" w:lineRule="exact"/>
              <w:jc w:val="left"/>
              <w:rPr>
                <w:rFonts w:hint="eastAsia" w:ascii="宋体" w:hAnsi="宋体"/>
                <w:color w:val="auto"/>
                <w:kern w:val="0"/>
                <w:highlight w:val="none"/>
              </w:rPr>
            </w:pPr>
            <w:r>
              <w:rPr>
                <w:rFonts w:hint="eastAsia" w:ascii="宋体" w:hAnsi="宋体" w:cs="Times New Roman"/>
                <w:b w:val="0"/>
                <w:color w:val="auto"/>
                <w:kern w:val="0"/>
                <w:szCs w:val="24"/>
                <w:highlight w:val="none"/>
                <w:lang w:bidi="ar"/>
              </w:rPr>
              <w:t>其他管理和技术人员要求</w:t>
            </w:r>
          </w:p>
        </w:tc>
        <w:tc>
          <w:tcPr>
            <w:tcW w:w="5048" w:type="dxa"/>
            <w:tcBorders>
              <w:top w:val="single" w:color="auto" w:sz="4" w:space="0"/>
              <w:left w:val="single" w:color="auto" w:sz="4" w:space="0"/>
              <w:bottom w:val="single" w:color="auto" w:sz="4" w:space="0"/>
              <w:right w:val="single" w:color="auto" w:sz="4" w:space="0"/>
            </w:tcBorders>
            <w:vAlign w:val="center"/>
          </w:tcPr>
          <w:p w14:paraId="21E6AA9E">
            <w:pPr>
              <w:adjustRightInd w:val="0"/>
              <w:snapToGrid w:val="0"/>
              <w:spacing w:afterLines="0"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09DDE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4DB0465C">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2DBDE110">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0C6483AD">
            <w:pPr>
              <w:adjustRightInd w:val="0"/>
              <w:snapToGrid w:val="0"/>
              <w:spacing w:afterLines="0" w:line="400" w:lineRule="exact"/>
              <w:jc w:val="left"/>
              <w:rPr>
                <w:rFonts w:hint="eastAsia" w:ascii="宋体" w:hAnsi="宋体"/>
                <w:color w:val="auto"/>
                <w:kern w:val="0"/>
                <w:highlight w:val="none"/>
              </w:rPr>
            </w:pPr>
            <w:r>
              <w:rPr>
                <w:rFonts w:hint="eastAsia" w:ascii="宋体" w:hAnsi="宋体" w:cs="Times New Roman"/>
                <w:b w:val="0"/>
                <w:color w:val="auto"/>
                <w:kern w:val="0"/>
                <w:szCs w:val="24"/>
                <w:highlight w:val="none"/>
                <w:lang w:bidi="ar"/>
              </w:rPr>
              <w:t>主要机械设备和试验检测设备要求</w:t>
            </w:r>
          </w:p>
        </w:tc>
        <w:tc>
          <w:tcPr>
            <w:tcW w:w="5048" w:type="dxa"/>
            <w:tcBorders>
              <w:top w:val="single" w:color="auto" w:sz="4" w:space="0"/>
              <w:left w:val="single" w:color="auto" w:sz="4" w:space="0"/>
              <w:bottom w:val="single" w:color="auto" w:sz="4" w:space="0"/>
              <w:right w:val="single" w:color="auto" w:sz="4" w:space="0"/>
            </w:tcBorders>
            <w:vAlign w:val="center"/>
          </w:tcPr>
          <w:p w14:paraId="785838CC">
            <w:pPr>
              <w:adjustRightInd w:val="0"/>
              <w:snapToGrid w:val="0"/>
              <w:spacing w:afterLines="0"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55733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1EA8C2A1">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15B46C0E">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30D991DD">
            <w:pPr>
              <w:adjustRightInd w:val="0"/>
              <w:snapToGrid w:val="0"/>
              <w:spacing w:afterLines="0" w:line="400" w:lineRule="exact"/>
              <w:jc w:val="left"/>
              <w:rPr>
                <w:rFonts w:hint="eastAsia" w:ascii="宋体" w:hAnsi="宋体"/>
                <w:i/>
                <w:color w:val="auto"/>
                <w:spacing w:val="4"/>
                <w:kern w:val="0"/>
                <w:szCs w:val="21"/>
                <w:highlight w:val="none"/>
              </w:rPr>
            </w:pPr>
            <w:r>
              <w:rPr>
                <w:rFonts w:ascii="宋体" w:hAnsi="宋体"/>
                <w:color w:val="auto"/>
                <w:kern w:val="0"/>
                <w:highlight w:val="none"/>
              </w:rPr>
              <w:t>其他要求</w:t>
            </w:r>
          </w:p>
        </w:tc>
        <w:tc>
          <w:tcPr>
            <w:tcW w:w="5048" w:type="dxa"/>
            <w:tcBorders>
              <w:top w:val="single" w:color="auto" w:sz="4" w:space="0"/>
              <w:left w:val="single" w:color="auto" w:sz="4" w:space="0"/>
              <w:bottom w:val="single" w:color="auto" w:sz="4" w:space="0"/>
              <w:right w:val="single" w:color="auto" w:sz="4" w:space="0"/>
            </w:tcBorders>
            <w:vAlign w:val="center"/>
          </w:tcPr>
          <w:p w14:paraId="52FBC9DA">
            <w:pPr>
              <w:adjustRightInd w:val="0"/>
              <w:snapToGrid w:val="0"/>
              <w:spacing w:afterLines="0" w:line="400" w:lineRule="exact"/>
              <w:ind w:firstLine="420" w:firstLineChars="200"/>
              <w:jc w:val="left"/>
              <w:rPr>
                <w:rFonts w:hint="eastAsia" w:ascii="宋体" w:hAnsi="宋体" w:eastAsia="宋体"/>
                <w:i/>
                <w:color w:val="auto"/>
                <w:spacing w:val="4"/>
                <w:kern w:val="0"/>
                <w:szCs w:val="21"/>
                <w:highlight w:val="none"/>
                <w:lang w:eastAsia="zh-CN"/>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2A7B0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restart"/>
            <w:tcBorders>
              <w:left w:val="single" w:color="auto" w:sz="4" w:space="0"/>
              <w:right w:val="single" w:color="auto" w:sz="4" w:space="0"/>
            </w:tcBorders>
            <w:vAlign w:val="center"/>
          </w:tcPr>
          <w:p w14:paraId="7634D5DE">
            <w:pPr>
              <w:adjustRightInd w:val="0"/>
              <w:snapToGrid w:val="0"/>
              <w:spacing w:afterLines="0" w:line="400" w:lineRule="exact"/>
              <w:jc w:val="center"/>
              <w:rPr>
                <w:rFonts w:hint="eastAsia" w:ascii="宋体" w:hAnsi="宋体" w:cs="宋体"/>
                <w:color w:val="auto"/>
                <w:highlight w:val="none"/>
              </w:rPr>
            </w:pPr>
            <w:r>
              <w:rPr>
                <w:rFonts w:ascii="宋体" w:hAnsi="宋体"/>
                <w:color w:val="auto"/>
                <w:kern w:val="0"/>
                <w:highlight w:val="none"/>
              </w:rPr>
              <w:t>2.1.</w:t>
            </w:r>
            <w:r>
              <w:rPr>
                <w:rFonts w:hint="eastAsia" w:ascii="宋体" w:hAnsi="宋体"/>
                <w:color w:val="auto"/>
                <w:kern w:val="0"/>
                <w:highlight w:val="none"/>
              </w:rPr>
              <w:t>2</w:t>
            </w:r>
          </w:p>
        </w:tc>
        <w:tc>
          <w:tcPr>
            <w:tcW w:w="1599" w:type="dxa"/>
            <w:vMerge w:val="restart"/>
            <w:tcBorders>
              <w:left w:val="single" w:color="auto" w:sz="4" w:space="0"/>
              <w:right w:val="single" w:color="auto" w:sz="4" w:space="0"/>
            </w:tcBorders>
            <w:vAlign w:val="center"/>
          </w:tcPr>
          <w:p w14:paraId="46446656">
            <w:pPr>
              <w:adjustRightInd w:val="0"/>
              <w:snapToGrid w:val="0"/>
              <w:spacing w:afterLines="0" w:line="400" w:lineRule="exact"/>
              <w:jc w:val="center"/>
              <w:rPr>
                <w:rFonts w:hint="eastAsia" w:ascii="宋体" w:hAnsi="宋体" w:cs="宋体"/>
                <w:color w:val="auto"/>
                <w:highlight w:val="none"/>
              </w:rPr>
            </w:pPr>
            <w:r>
              <w:rPr>
                <w:rFonts w:hint="eastAsia" w:ascii="宋体" w:hAnsi="宋体"/>
                <w:color w:val="auto"/>
                <w:kern w:val="0"/>
                <w:highlight w:val="none"/>
              </w:rPr>
              <w:t>形式评审标准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E3DDA50">
            <w:pPr>
              <w:adjustRightInd w:val="0"/>
              <w:snapToGrid w:val="0"/>
              <w:spacing w:afterLines="0" w:line="400" w:lineRule="exact"/>
              <w:jc w:val="left"/>
              <w:rPr>
                <w:rFonts w:hint="eastAsia" w:ascii="宋体" w:hAnsi="宋体" w:cs="宋体"/>
                <w:color w:val="auto"/>
                <w:kern w:val="0"/>
                <w:highlight w:val="none"/>
              </w:rPr>
            </w:pPr>
            <w:r>
              <w:rPr>
                <w:rFonts w:hint="eastAsia" w:ascii="宋体" w:hAnsi="宋体"/>
                <w:color w:val="auto"/>
                <w:kern w:val="0"/>
                <w:highlight w:val="none"/>
                <w:lang w:eastAsia="zh-CN"/>
              </w:rPr>
              <w:t>供应商</w:t>
            </w:r>
            <w:r>
              <w:rPr>
                <w:rFonts w:ascii="宋体" w:hAnsi="宋体"/>
                <w:color w:val="auto"/>
                <w:kern w:val="0"/>
                <w:highlight w:val="none"/>
              </w:rPr>
              <w:t>名称</w:t>
            </w:r>
          </w:p>
        </w:tc>
        <w:tc>
          <w:tcPr>
            <w:tcW w:w="5048" w:type="dxa"/>
            <w:tcBorders>
              <w:top w:val="single" w:color="auto" w:sz="4" w:space="0"/>
              <w:left w:val="single" w:color="auto" w:sz="4" w:space="0"/>
              <w:bottom w:val="single" w:color="auto" w:sz="4" w:space="0"/>
              <w:right w:val="single" w:color="auto" w:sz="4" w:space="0"/>
            </w:tcBorders>
            <w:vAlign w:val="center"/>
          </w:tcPr>
          <w:p w14:paraId="115720C4">
            <w:pPr>
              <w:adjustRightInd w:val="0"/>
              <w:snapToGrid w:val="0"/>
              <w:spacing w:afterLines="0" w:line="400" w:lineRule="exact"/>
              <w:ind w:firstLine="420" w:firstLineChars="200"/>
              <w:rPr>
                <w:rFonts w:ascii="宋体" w:hAnsi="宋体"/>
                <w:color w:val="auto"/>
                <w:kern w:val="0"/>
                <w:highlight w:val="none"/>
              </w:rPr>
            </w:pPr>
            <w:r>
              <w:rPr>
                <w:rFonts w:ascii="宋体" w:hAnsi="宋体"/>
                <w:color w:val="auto"/>
                <w:kern w:val="0"/>
                <w:highlight w:val="none"/>
              </w:rPr>
              <w:t>与营业执</w:t>
            </w:r>
            <w:r>
              <w:rPr>
                <w:rFonts w:ascii="宋体" w:hAnsi="宋体" w:eastAsia="宋体" w:cs="Times New Roman"/>
                <w:color w:val="auto"/>
                <w:kern w:val="0"/>
                <w:highlight w:val="none"/>
              </w:rPr>
              <w:t>照</w:t>
            </w:r>
            <w:r>
              <w:rPr>
                <w:rFonts w:hint="default" w:ascii="宋体" w:hAnsi="宋体" w:eastAsia="宋体" w:cs="Times New Roman"/>
                <w:color w:val="auto"/>
                <w:kern w:val="0"/>
                <w:highlight w:val="none"/>
                <w:lang w:eastAsia="zh-CN"/>
              </w:rPr>
              <w:t>（</w:t>
            </w:r>
            <w:r>
              <w:rPr>
                <w:rFonts w:hint="default" w:ascii="宋体" w:hAnsi="宋体" w:eastAsia="宋体" w:cs="Times New Roman"/>
                <w:color w:val="auto"/>
                <w:kern w:val="0"/>
                <w:highlight w:val="none"/>
                <w:lang w:val="en-US" w:eastAsia="zh-CN"/>
              </w:rPr>
              <w:t>或</w:t>
            </w:r>
            <w:r>
              <w:rPr>
                <w:rFonts w:hint="default" w:ascii="宋体" w:hAnsi="宋体" w:eastAsia="宋体" w:cs="Times New Roman"/>
                <w:color w:val="auto"/>
                <w:kern w:val="0"/>
                <w:sz w:val="21"/>
                <w:szCs w:val="24"/>
                <w:highlight w:val="none"/>
                <w:lang w:eastAsia="zh-CN"/>
              </w:rPr>
              <w:t>事业单位法人证书</w:t>
            </w:r>
            <w:r>
              <w:rPr>
                <w:rFonts w:hint="default" w:ascii="宋体" w:hAnsi="宋体" w:eastAsia="宋体" w:cs="Times New Roman"/>
                <w:color w:val="auto"/>
                <w:kern w:val="0"/>
                <w:highlight w:val="none"/>
                <w:lang w:eastAsia="zh-CN"/>
              </w:rPr>
              <w:t>）</w:t>
            </w:r>
            <w:r>
              <w:rPr>
                <w:rFonts w:ascii="宋体" w:hAnsi="宋体"/>
                <w:color w:val="auto"/>
                <w:kern w:val="0"/>
                <w:highlight w:val="none"/>
              </w:rPr>
              <w:t>、资质证书、安全生产许可证一致。</w:t>
            </w:r>
          </w:p>
        </w:tc>
      </w:tr>
      <w:tr w14:paraId="384F7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33BEF9D7">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5AABE3BB">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BE37027">
            <w:pPr>
              <w:adjustRightInd w:val="0"/>
              <w:snapToGrid w:val="0"/>
              <w:spacing w:afterLines="0" w:line="400" w:lineRule="exact"/>
              <w:jc w:val="left"/>
              <w:rPr>
                <w:rFonts w:hint="eastAsia" w:ascii="宋体" w:hAnsi="宋体" w:cs="宋体"/>
                <w:color w:val="auto"/>
                <w:kern w:val="0"/>
                <w:highlight w:val="none"/>
              </w:rPr>
            </w:pPr>
            <w:r>
              <w:rPr>
                <w:rFonts w:hint="eastAsia" w:ascii="宋体" w:hAnsi="宋体"/>
                <w:color w:val="auto"/>
                <w:kern w:val="0"/>
                <w:highlight w:val="none"/>
                <w:lang w:eastAsia="zh-CN"/>
              </w:rPr>
              <w:t>响应文件</w:t>
            </w:r>
            <w:r>
              <w:rPr>
                <w:rFonts w:ascii="宋体" w:hAnsi="宋体"/>
                <w:color w:val="auto"/>
                <w:kern w:val="0"/>
                <w:highlight w:val="none"/>
              </w:rPr>
              <w:t>格式</w:t>
            </w:r>
          </w:p>
        </w:tc>
        <w:tc>
          <w:tcPr>
            <w:tcW w:w="5048" w:type="dxa"/>
            <w:tcBorders>
              <w:top w:val="single" w:color="auto" w:sz="4" w:space="0"/>
              <w:left w:val="single" w:color="auto" w:sz="4" w:space="0"/>
              <w:bottom w:val="single" w:color="auto" w:sz="4" w:space="0"/>
              <w:right w:val="single" w:color="auto" w:sz="4" w:space="0"/>
            </w:tcBorders>
            <w:vAlign w:val="center"/>
          </w:tcPr>
          <w:p w14:paraId="6A823A9B">
            <w:pPr>
              <w:adjustRightInd w:val="0"/>
              <w:snapToGrid w:val="0"/>
              <w:spacing w:afterLines="0" w:line="400" w:lineRule="exact"/>
              <w:ind w:firstLine="420" w:firstLineChars="200"/>
              <w:rPr>
                <w:rFonts w:ascii="宋体" w:hAnsi="宋体"/>
                <w:color w:val="auto"/>
                <w:kern w:val="0"/>
                <w:highlight w:val="none"/>
              </w:rPr>
            </w:pPr>
            <w:r>
              <w:rPr>
                <w:rFonts w:ascii="宋体" w:hAnsi="宋体"/>
                <w:color w:val="auto"/>
                <w:kern w:val="0"/>
                <w:highlight w:val="none"/>
              </w:rPr>
              <w:t>符合第</w:t>
            </w:r>
            <w:r>
              <w:rPr>
                <w:rFonts w:hint="eastAsia" w:ascii="宋体" w:hAnsi="宋体"/>
                <w:color w:val="auto"/>
                <w:kern w:val="0"/>
                <w:highlight w:val="none"/>
              </w:rPr>
              <w:t>二</w:t>
            </w:r>
            <w:r>
              <w:rPr>
                <w:rFonts w:ascii="宋体" w:hAnsi="宋体"/>
                <w:color w:val="auto"/>
                <w:kern w:val="0"/>
                <w:highlight w:val="none"/>
              </w:rPr>
              <w:t>章“</w:t>
            </w:r>
            <w:r>
              <w:rPr>
                <w:rFonts w:hint="eastAsia" w:ascii="宋体" w:hAnsi="宋体"/>
                <w:color w:val="auto"/>
                <w:kern w:val="0"/>
                <w:highlight w:val="none"/>
                <w:lang w:eastAsia="zh-CN"/>
              </w:rPr>
              <w:t>供应商</w:t>
            </w:r>
            <w:r>
              <w:rPr>
                <w:rFonts w:hint="eastAsia" w:ascii="宋体" w:hAnsi="宋体"/>
                <w:color w:val="auto"/>
                <w:kern w:val="0"/>
                <w:highlight w:val="none"/>
              </w:rPr>
              <w:t>须知</w:t>
            </w:r>
            <w:r>
              <w:rPr>
                <w:rFonts w:ascii="宋体" w:hAnsi="宋体"/>
                <w:color w:val="auto"/>
                <w:kern w:val="0"/>
                <w:highlight w:val="none"/>
              </w:rPr>
              <w:t>”</w:t>
            </w:r>
            <w:r>
              <w:rPr>
                <w:rFonts w:hint="eastAsia" w:ascii="宋体" w:hAnsi="宋体"/>
                <w:color w:val="auto"/>
                <w:kern w:val="0"/>
                <w:highlight w:val="none"/>
              </w:rPr>
              <w:t>第3.7款</w:t>
            </w:r>
            <w:r>
              <w:rPr>
                <w:rFonts w:ascii="宋体" w:hAnsi="宋体"/>
                <w:color w:val="auto"/>
                <w:kern w:val="0"/>
                <w:highlight w:val="none"/>
              </w:rPr>
              <w:t>的要求</w:t>
            </w:r>
            <w:r>
              <w:rPr>
                <w:rFonts w:hint="eastAsia" w:ascii="宋体" w:hAnsi="宋体"/>
                <w:color w:val="auto"/>
                <w:kern w:val="0"/>
                <w:highlight w:val="none"/>
              </w:rPr>
              <w:t>（不含</w:t>
            </w:r>
            <w:r>
              <w:rPr>
                <w:rFonts w:hint="eastAsia" w:ascii="宋体" w:hAnsi="宋体"/>
                <w:color w:val="auto"/>
                <w:kern w:val="0"/>
                <w:highlight w:val="none"/>
                <w:lang w:eastAsia="zh-CN"/>
              </w:rPr>
              <w:t>比选函</w:t>
            </w:r>
            <w:r>
              <w:rPr>
                <w:rFonts w:hint="eastAsia" w:ascii="宋体" w:hAnsi="宋体"/>
                <w:color w:val="auto"/>
                <w:kern w:val="0"/>
                <w:highlight w:val="none"/>
              </w:rPr>
              <w:t>部分）</w:t>
            </w:r>
            <w:r>
              <w:rPr>
                <w:rFonts w:ascii="宋体" w:hAnsi="宋体"/>
                <w:color w:val="auto"/>
                <w:kern w:val="0"/>
                <w:highlight w:val="none"/>
              </w:rPr>
              <w:t>。</w:t>
            </w:r>
          </w:p>
          <w:p w14:paraId="76C25C6B">
            <w:pPr>
              <w:adjustRightInd w:val="0"/>
              <w:snapToGrid w:val="0"/>
              <w:spacing w:afterLines="0" w:line="400" w:lineRule="exact"/>
              <w:ind w:firstLine="420" w:firstLineChars="200"/>
              <w:rPr>
                <w:rFonts w:ascii="宋体" w:hAnsi="宋体"/>
                <w:color w:val="auto"/>
                <w:kern w:val="0"/>
                <w:highlight w:val="none"/>
              </w:rPr>
            </w:pPr>
            <w:r>
              <w:rPr>
                <w:rFonts w:hint="eastAsia" w:ascii="宋体" w:hAnsi="宋体" w:cs="宋体"/>
                <w:color w:val="auto"/>
                <w:szCs w:val="21"/>
                <w:highlight w:val="none"/>
              </w:rPr>
              <w:t>编制</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时</w:t>
            </w:r>
            <w:r>
              <w:rPr>
                <w:rFonts w:hint="eastAsia" w:ascii="宋体" w:hAnsi="宋体" w:cs="宋体"/>
                <w:color w:val="auto"/>
                <w:szCs w:val="21"/>
                <w:highlight w:val="none"/>
                <w:lang w:val="en-US" w:eastAsia="zh-CN"/>
              </w:rPr>
              <w:t>不得</w:t>
            </w:r>
            <w:r>
              <w:rPr>
                <w:rFonts w:hint="eastAsia" w:ascii="宋体" w:hAnsi="宋体" w:cs="宋体"/>
                <w:color w:val="auto"/>
                <w:szCs w:val="21"/>
                <w:highlight w:val="none"/>
              </w:rPr>
              <w:t>对第</w:t>
            </w:r>
            <w:r>
              <w:rPr>
                <w:rFonts w:hint="eastAsia" w:ascii="宋体" w:hAnsi="宋体" w:cs="宋体"/>
                <w:color w:val="auto"/>
                <w:szCs w:val="21"/>
                <w:highlight w:val="none"/>
                <w:lang w:val="en-US" w:eastAsia="zh-CN"/>
              </w:rPr>
              <w:t>九</w:t>
            </w:r>
            <w:r>
              <w:rPr>
                <w:rFonts w:hint="eastAsia" w:ascii="宋体" w:hAnsi="宋体" w:cs="宋体"/>
                <w:color w:val="auto"/>
                <w:szCs w:val="21"/>
                <w:highlight w:val="none"/>
              </w:rPr>
              <w:t>章“</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格式”的相应要素作实质性修改</w:t>
            </w:r>
            <w:r>
              <w:rPr>
                <w:rFonts w:hint="eastAsia" w:ascii="宋体" w:hAnsi="宋体" w:cs="宋体"/>
                <w:color w:val="auto"/>
                <w:szCs w:val="21"/>
                <w:highlight w:val="none"/>
                <w:lang w:eastAsia="zh-CN"/>
              </w:rPr>
              <w:t>。</w:t>
            </w:r>
          </w:p>
        </w:tc>
      </w:tr>
      <w:tr w14:paraId="1FD8F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3D96F303">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164DB799">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6193D6F0">
            <w:pPr>
              <w:adjustRightInd w:val="0"/>
              <w:snapToGrid w:val="0"/>
              <w:spacing w:afterLines="0" w:line="400" w:lineRule="exact"/>
              <w:jc w:val="left"/>
              <w:rPr>
                <w:rFonts w:hint="eastAsia" w:ascii="宋体" w:hAnsi="宋体" w:cs="宋体"/>
                <w:color w:val="auto"/>
                <w:kern w:val="0"/>
                <w:highlight w:val="none"/>
              </w:rPr>
            </w:pPr>
            <w:r>
              <w:rPr>
                <w:rFonts w:hint="eastAsia" w:ascii="宋体" w:hAnsi="宋体"/>
                <w:color w:val="auto"/>
                <w:kern w:val="0"/>
                <w:highlight w:val="none"/>
                <w:lang w:eastAsia="zh-CN"/>
              </w:rPr>
              <w:t>响应文件</w:t>
            </w:r>
            <w:r>
              <w:rPr>
                <w:rFonts w:ascii="宋体" w:hAnsi="宋体"/>
                <w:color w:val="auto"/>
                <w:kern w:val="0"/>
                <w:highlight w:val="none"/>
              </w:rPr>
              <w:t>的签署</w:t>
            </w:r>
          </w:p>
        </w:tc>
        <w:tc>
          <w:tcPr>
            <w:tcW w:w="5048" w:type="dxa"/>
            <w:tcBorders>
              <w:top w:val="single" w:color="auto" w:sz="4" w:space="0"/>
              <w:left w:val="single" w:color="auto" w:sz="4" w:space="0"/>
              <w:bottom w:val="single" w:color="auto" w:sz="4" w:space="0"/>
              <w:right w:val="single" w:color="auto" w:sz="4" w:space="0"/>
            </w:tcBorders>
            <w:vAlign w:val="center"/>
          </w:tcPr>
          <w:p w14:paraId="16E81CA5">
            <w:pPr>
              <w:adjustRightInd w:val="0"/>
              <w:snapToGrid w:val="0"/>
              <w:spacing w:afterLines="0" w:line="400" w:lineRule="exact"/>
              <w:ind w:firstLine="420" w:firstLineChars="200"/>
              <w:rPr>
                <w:rFonts w:ascii="宋体" w:hAnsi="宋体"/>
                <w:color w:val="auto"/>
                <w:kern w:val="0"/>
                <w:highlight w:val="none"/>
              </w:rPr>
            </w:pPr>
            <w:r>
              <w:rPr>
                <w:rFonts w:hint="eastAsia" w:ascii="宋体" w:hAnsi="宋体"/>
                <w:color w:val="auto"/>
                <w:kern w:val="0"/>
                <w:highlight w:val="none"/>
              </w:rPr>
              <w:t xml:space="preserve">第九章 </w:t>
            </w:r>
            <w:r>
              <w:rPr>
                <w:rFonts w:hint="eastAsia" w:ascii="宋体" w:hAnsi="宋体"/>
                <w:color w:val="auto"/>
                <w:kern w:val="0"/>
                <w:highlight w:val="none"/>
                <w:lang w:eastAsia="zh-CN"/>
              </w:rPr>
              <w:t>响应文件</w:t>
            </w:r>
            <w:r>
              <w:rPr>
                <w:rFonts w:hint="eastAsia" w:ascii="宋体" w:hAnsi="宋体"/>
                <w:color w:val="auto"/>
                <w:kern w:val="0"/>
                <w:highlight w:val="none"/>
              </w:rPr>
              <w:t>格式（不含</w:t>
            </w:r>
            <w:r>
              <w:rPr>
                <w:rFonts w:hint="eastAsia" w:ascii="宋体" w:hAnsi="宋体"/>
                <w:color w:val="auto"/>
                <w:kern w:val="0"/>
                <w:highlight w:val="none"/>
                <w:lang w:eastAsia="zh-CN"/>
              </w:rPr>
              <w:t>比选函</w:t>
            </w:r>
            <w:r>
              <w:rPr>
                <w:rFonts w:hint="eastAsia" w:ascii="宋体" w:hAnsi="宋体"/>
                <w:color w:val="auto"/>
                <w:kern w:val="0"/>
                <w:highlight w:val="none"/>
              </w:rPr>
              <w:t>部分）要求</w:t>
            </w:r>
            <w:r>
              <w:rPr>
                <w:rFonts w:ascii="宋体" w:hAnsi="宋体"/>
                <w:color w:val="auto"/>
                <w:kern w:val="0"/>
                <w:highlight w:val="none"/>
              </w:rPr>
              <w:t>法定代表人</w:t>
            </w:r>
            <w:r>
              <w:rPr>
                <w:rFonts w:hint="eastAsia" w:ascii="宋体" w:hAnsi="宋体"/>
                <w:color w:val="auto"/>
                <w:kern w:val="0"/>
                <w:highlight w:val="none"/>
                <w:lang w:eastAsia="zh-CN"/>
              </w:rPr>
              <w:t>（</w:t>
            </w:r>
            <w:r>
              <w:rPr>
                <w:rFonts w:ascii="宋体" w:hAnsi="宋体"/>
                <w:color w:val="auto"/>
                <w:kern w:val="0"/>
                <w:highlight w:val="none"/>
              </w:rPr>
              <w:t>或其委托代理人</w:t>
            </w:r>
            <w:r>
              <w:rPr>
                <w:rFonts w:hint="eastAsia" w:ascii="宋体" w:hAnsi="宋体"/>
                <w:color w:val="auto"/>
                <w:kern w:val="0"/>
                <w:highlight w:val="none"/>
                <w:lang w:eastAsia="zh-CN"/>
              </w:rPr>
              <w:t>）签名</w:t>
            </w:r>
            <w:r>
              <w:rPr>
                <w:rFonts w:ascii="宋体" w:hAnsi="宋体"/>
                <w:color w:val="auto"/>
                <w:kern w:val="0"/>
                <w:highlight w:val="none"/>
              </w:rPr>
              <w:t>（或盖章）</w:t>
            </w:r>
            <w:r>
              <w:rPr>
                <w:rFonts w:hint="eastAsia" w:ascii="宋体" w:hAnsi="宋体"/>
                <w:color w:val="auto"/>
                <w:kern w:val="0"/>
                <w:highlight w:val="none"/>
              </w:rPr>
              <w:t>的须</w:t>
            </w:r>
            <w:r>
              <w:rPr>
                <w:rFonts w:ascii="宋体" w:hAnsi="宋体"/>
                <w:color w:val="auto"/>
                <w:kern w:val="0"/>
                <w:highlight w:val="none"/>
              </w:rPr>
              <w:t>齐全</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签名采用手写签名或签章均可</w:t>
            </w:r>
            <w:r>
              <w:rPr>
                <w:rFonts w:ascii="宋体" w:hAnsi="宋体"/>
                <w:color w:val="auto"/>
                <w:kern w:val="0"/>
                <w:highlight w:val="none"/>
              </w:rPr>
              <w:t>。</w:t>
            </w:r>
          </w:p>
          <w:p w14:paraId="50CC3AB6">
            <w:pPr>
              <w:autoSpaceDE w:val="0"/>
              <w:autoSpaceDN w:val="0"/>
              <w:adjustRightInd w:val="0"/>
              <w:snapToGrid w:val="0"/>
              <w:spacing w:afterLines="0" w:line="400" w:lineRule="exact"/>
              <w:ind w:firstLine="420" w:firstLineChars="200"/>
              <w:rPr>
                <w:rFonts w:ascii="宋体" w:hAnsi="宋体"/>
                <w:color w:val="auto"/>
                <w:kern w:val="0"/>
                <w:highlight w:val="none"/>
              </w:rPr>
            </w:pPr>
            <w:r>
              <w:rPr>
                <w:rFonts w:hint="eastAsia" w:ascii="宋体" w:hAnsi="宋体"/>
                <w:color w:val="auto"/>
                <w:kern w:val="0"/>
                <w:highlight w:val="none"/>
              </w:rPr>
              <w:t xml:space="preserve">第九章 </w:t>
            </w:r>
            <w:r>
              <w:rPr>
                <w:rFonts w:hint="eastAsia" w:ascii="宋体" w:hAnsi="宋体"/>
                <w:color w:val="auto"/>
                <w:kern w:val="0"/>
                <w:highlight w:val="none"/>
                <w:lang w:eastAsia="zh-CN"/>
              </w:rPr>
              <w:t>响应文件</w:t>
            </w:r>
            <w:r>
              <w:rPr>
                <w:rFonts w:hint="eastAsia" w:ascii="宋体" w:hAnsi="宋体"/>
                <w:color w:val="auto"/>
                <w:kern w:val="0"/>
                <w:highlight w:val="none"/>
              </w:rPr>
              <w:t>格式（不含</w:t>
            </w:r>
            <w:r>
              <w:rPr>
                <w:rFonts w:hint="eastAsia" w:ascii="宋体" w:hAnsi="宋体"/>
                <w:color w:val="auto"/>
                <w:kern w:val="0"/>
                <w:highlight w:val="none"/>
                <w:lang w:eastAsia="zh-CN"/>
              </w:rPr>
              <w:t>比选函</w:t>
            </w:r>
            <w:r>
              <w:rPr>
                <w:rFonts w:hint="eastAsia" w:ascii="宋体" w:hAnsi="宋体"/>
                <w:color w:val="auto"/>
                <w:kern w:val="0"/>
                <w:highlight w:val="none"/>
              </w:rPr>
              <w:t>部分）要求加盖单位法人章的，应加盖</w:t>
            </w:r>
            <w:r>
              <w:rPr>
                <w:rFonts w:hint="eastAsia" w:ascii="宋体" w:hAnsi="宋体"/>
                <w:color w:val="auto"/>
                <w:kern w:val="0"/>
                <w:highlight w:val="none"/>
                <w:lang w:eastAsia="zh-CN"/>
              </w:rPr>
              <w:t>供应商</w:t>
            </w:r>
            <w:r>
              <w:rPr>
                <w:rFonts w:hint="eastAsia" w:ascii="宋体" w:hAnsi="宋体"/>
                <w:color w:val="auto"/>
                <w:kern w:val="0"/>
                <w:highlight w:val="none"/>
              </w:rPr>
              <w:t>单位法人章</w:t>
            </w:r>
            <w:r>
              <w:rPr>
                <w:rFonts w:ascii="宋体" w:hAnsi="宋体"/>
                <w:color w:val="auto"/>
                <w:kern w:val="0"/>
                <w:highlight w:val="none"/>
              </w:rPr>
              <w:t>。</w:t>
            </w:r>
          </w:p>
        </w:tc>
      </w:tr>
      <w:tr w14:paraId="48F13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Merge w:val="continue"/>
            <w:tcBorders>
              <w:left w:val="single" w:color="auto" w:sz="4" w:space="0"/>
              <w:bottom w:val="single" w:color="auto" w:sz="4" w:space="0"/>
              <w:right w:val="single" w:color="auto" w:sz="4" w:space="0"/>
            </w:tcBorders>
            <w:vAlign w:val="center"/>
          </w:tcPr>
          <w:p w14:paraId="2A6CF50D">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bottom w:val="single" w:color="auto" w:sz="4" w:space="0"/>
              <w:right w:val="single" w:color="auto" w:sz="4" w:space="0"/>
            </w:tcBorders>
            <w:vAlign w:val="center"/>
          </w:tcPr>
          <w:p w14:paraId="7555622D">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66494166">
            <w:pPr>
              <w:adjustRightInd w:val="0"/>
              <w:snapToGrid w:val="0"/>
              <w:spacing w:afterLines="0" w:line="400" w:lineRule="exact"/>
              <w:jc w:val="left"/>
              <w:rPr>
                <w:rFonts w:hint="eastAsia" w:ascii="宋体" w:hAnsi="宋体" w:cs="宋体"/>
                <w:color w:val="auto"/>
                <w:kern w:val="0"/>
                <w:highlight w:val="none"/>
              </w:rPr>
            </w:pPr>
            <w:r>
              <w:rPr>
                <w:rFonts w:ascii="宋体" w:hAnsi="宋体"/>
                <w:color w:val="auto"/>
                <w:kern w:val="0"/>
                <w:highlight w:val="none"/>
              </w:rPr>
              <w:t>委托代理人</w:t>
            </w:r>
          </w:p>
        </w:tc>
        <w:tc>
          <w:tcPr>
            <w:tcW w:w="5048" w:type="dxa"/>
            <w:tcBorders>
              <w:top w:val="single" w:color="auto" w:sz="4" w:space="0"/>
              <w:left w:val="single" w:color="auto" w:sz="4" w:space="0"/>
              <w:bottom w:val="single" w:color="auto" w:sz="4" w:space="0"/>
              <w:right w:val="single" w:color="auto" w:sz="4" w:space="0"/>
            </w:tcBorders>
            <w:vAlign w:val="center"/>
          </w:tcPr>
          <w:p w14:paraId="2DB89672">
            <w:pPr>
              <w:adjustRightInd w:val="0"/>
              <w:snapToGrid w:val="0"/>
              <w:spacing w:afterLines="0" w:line="400" w:lineRule="exact"/>
              <w:ind w:firstLine="420" w:firstLineChars="200"/>
              <w:rPr>
                <w:rFonts w:ascii="宋体" w:hAnsi="宋体"/>
                <w:color w:val="auto"/>
                <w:kern w:val="0"/>
                <w:highlight w:val="none"/>
              </w:rPr>
            </w:pPr>
            <w:r>
              <w:rPr>
                <w:rFonts w:hint="eastAsia" w:ascii="宋体" w:hAnsi="宋体"/>
                <w:color w:val="auto"/>
                <w:kern w:val="0"/>
                <w:highlight w:val="none"/>
                <w:lang w:eastAsia="zh-CN"/>
              </w:rPr>
              <w:t>供应商</w:t>
            </w:r>
            <w:r>
              <w:rPr>
                <w:rFonts w:ascii="宋体" w:hAnsi="宋体"/>
                <w:color w:val="auto"/>
                <w:kern w:val="0"/>
                <w:highlight w:val="none"/>
              </w:rPr>
              <w:t>法定代表人的委托代理人有法定代表人签署的授权委托书</w:t>
            </w:r>
            <w:r>
              <w:rPr>
                <w:rFonts w:hint="eastAsia" w:ascii="宋体" w:hAnsi="宋体"/>
                <w:color w:val="auto"/>
                <w:kern w:val="0"/>
                <w:highlight w:val="none"/>
              </w:rPr>
              <w:t>和</w:t>
            </w:r>
            <w:r>
              <w:rPr>
                <w:rFonts w:hint="eastAsia" w:ascii="宋体" w:hAnsi="宋体"/>
                <w:color w:val="auto"/>
                <w:kern w:val="0"/>
                <w:highlight w:val="none"/>
                <w:lang w:eastAsia="zh-CN"/>
              </w:rPr>
              <w:t>供应商</w:t>
            </w:r>
            <w:r>
              <w:rPr>
                <w:rFonts w:hint="eastAsia" w:ascii="宋体" w:hAnsi="宋体"/>
                <w:color w:val="auto"/>
                <w:kern w:val="0"/>
                <w:highlight w:val="none"/>
              </w:rPr>
              <w:t>为其缴纳的养老保险</w:t>
            </w:r>
            <w:r>
              <w:rPr>
                <w:rFonts w:hint="eastAsia" w:ascii="宋体" w:hAnsi="宋体"/>
                <w:color w:val="auto"/>
                <w:kern w:val="0"/>
                <w:highlight w:val="none"/>
                <w:lang w:val="en-US" w:eastAsia="zh-CN"/>
              </w:rPr>
              <w:t>证明材料</w:t>
            </w:r>
            <w:r>
              <w:rPr>
                <w:rFonts w:hint="eastAsia" w:ascii="宋体" w:hAnsi="宋体"/>
                <w:color w:val="auto"/>
                <w:kern w:val="0"/>
                <w:highlight w:val="none"/>
              </w:rPr>
              <w:t>。</w:t>
            </w:r>
          </w:p>
        </w:tc>
      </w:tr>
      <w:tr w14:paraId="211C2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restart"/>
            <w:tcBorders>
              <w:left w:val="single" w:color="auto" w:sz="4" w:space="0"/>
              <w:right w:val="single" w:color="auto" w:sz="4" w:space="0"/>
            </w:tcBorders>
            <w:vAlign w:val="center"/>
          </w:tcPr>
          <w:p w14:paraId="43E77DFB">
            <w:pPr>
              <w:adjustRightInd w:val="0"/>
              <w:snapToGrid w:val="0"/>
              <w:spacing w:afterLines="0" w:line="400" w:lineRule="exact"/>
              <w:jc w:val="center"/>
              <w:rPr>
                <w:rFonts w:ascii="宋体" w:hAnsi="宋体" w:cs="宋体"/>
                <w:color w:val="auto"/>
                <w:highlight w:val="none"/>
              </w:rPr>
            </w:pPr>
            <w:r>
              <w:rPr>
                <w:rFonts w:hint="eastAsia" w:ascii="宋体" w:hAnsi="宋体" w:cs="宋体"/>
                <w:color w:val="auto"/>
                <w:highlight w:val="none"/>
              </w:rPr>
              <w:t>2.1.3</w:t>
            </w:r>
          </w:p>
        </w:tc>
        <w:tc>
          <w:tcPr>
            <w:tcW w:w="1599" w:type="dxa"/>
            <w:vMerge w:val="restart"/>
            <w:tcBorders>
              <w:left w:val="single" w:color="auto" w:sz="4" w:space="0"/>
              <w:right w:val="single" w:color="auto" w:sz="4" w:space="0"/>
            </w:tcBorders>
            <w:vAlign w:val="center"/>
          </w:tcPr>
          <w:p w14:paraId="504D36F5">
            <w:pPr>
              <w:adjustRightInd w:val="0"/>
              <w:snapToGrid w:val="0"/>
              <w:spacing w:afterLines="0" w:line="400" w:lineRule="exact"/>
              <w:jc w:val="center"/>
              <w:rPr>
                <w:rFonts w:hint="eastAsia" w:ascii="宋体" w:hAnsi="宋体" w:cs="宋体"/>
                <w:color w:val="auto"/>
                <w:highlight w:val="none"/>
              </w:rPr>
            </w:pPr>
            <w:r>
              <w:rPr>
                <w:rFonts w:ascii="宋体" w:hAnsi="宋体"/>
                <w:color w:val="auto"/>
                <w:kern w:val="0"/>
                <w:highlight w:val="none"/>
              </w:rPr>
              <w:t>响应性评审标准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11C01518">
            <w:pPr>
              <w:adjustRightInd w:val="0"/>
              <w:snapToGrid w:val="0"/>
              <w:spacing w:afterLines="0" w:line="400" w:lineRule="exact"/>
              <w:jc w:val="left"/>
              <w:rPr>
                <w:rFonts w:hint="eastAsia" w:ascii="宋体" w:hAnsi="宋体" w:eastAsia="宋体"/>
                <w:color w:val="auto"/>
                <w:kern w:val="0"/>
                <w:highlight w:val="none"/>
                <w:lang w:eastAsia="zh-CN"/>
              </w:rPr>
            </w:pPr>
            <w:r>
              <w:rPr>
                <w:rFonts w:hint="eastAsia" w:ascii="宋体" w:hAnsi="宋体"/>
                <w:color w:val="auto"/>
                <w:kern w:val="0"/>
                <w:highlight w:val="none"/>
                <w:lang w:eastAsia="zh-CN"/>
              </w:rPr>
              <w:t>比选内容</w:t>
            </w:r>
          </w:p>
        </w:tc>
        <w:tc>
          <w:tcPr>
            <w:tcW w:w="5048" w:type="dxa"/>
            <w:tcBorders>
              <w:top w:val="single" w:color="auto" w:sz="4" w:space="0"/>
              <w:left w:val="single" w:color="auto" w:sz="4" w:space="0"/>
              <w:bottom w:val="single" w:color="auto" w:sz="4" w:space="0"/>
              <w:right w:val="single" w:color="auto" w:sz="4" w:space="0"/>
            </w:tcBorders>
            <w:vAlign w:val="center"/>
          </w:tcPr>
          <w:p w14:paraId="64C1787C">
            <w:pPr>
              <w:adjustRightInd w:val="0"/>
              <w:snapToGrid w:val="0"/>
              <w:spacing w:afterLines="0" w:line="400" w:lineRule="exact"/>
              <w:ind w:firstLine="420" w:firstLineChars="200"/>
              <w:jc w:val="left"/>
              <w:rPr>
                <w:rFonts w:hint="eastAsia" w:ascii="宋体" w:hAnsi="宋体" w:eastAsia="宋体"/>
                <w:color w:val="auto"/>
                <w:kern w:val="0"/>
                <w:highlight w:val="none"/>
                <w:lang w:eastAsia="zh-CN"/>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第1.3.1项规定</w:t>
            </w:r>
            <w:r>
              <w:rPr>
                <w:rFonts w:hint="eastAsia" w:ascii="宋体" w:hAnsi="宋体"/>
                <w:color w:val="auto"/>
                <w:kern w:val="0"/>
                <w:highlight w:val="none"/>
                <w:lang w:eastAsia="zh-CN"/>
              </w:rPr>
              <w:t>。</w:t>
            </w:r>
          </w:p>
        </w:tc>
      </w:tr>
      <w:tr w14:paraId="09596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083BEFF9">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29B58C50">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420F01E0">
            <w:pPr>
              <w:adjustRightInd w:val="0"/>
              <w:snapToGrid w:val="0"/>
              <w:spacing w:afterLines="0" w:line="400" w:lineRule="exact"/>
              <w:jc w:val="left"/>
              <w:rPr>
                <w:rFonts w:hint="eastAsia" w:ascii="宋体" w:hAnsi="宋体" w:eastAsia="宋体"/>
                <w:color w:val="auto"/>
                <w:kern w:val="0"/>
                <w:highlight w:val="none"/>
                <w:lang w:eastAsia="zh-CN"/>
              </w:rPr>
            </w:pPr>
            <w:r>
              <w:rPr>
                <w:rFonts w:hint="eastAsia" w:ascii="宋体" w:hAnsi="宋体"/>
                <w:color w:val="auto"/>
                <w:kern w:val="0"/>
                <w:highlight w:val="none"/>
                <w:lang w:eastAsia="zh-CN"/>
              </w:rPr>
              <w:t>比选保证金</w:t>
            </w:r>
          </w:p>
        </w:tc>
        <w:tc>
          <w:tcPr>
            <w:tcW w:w="5048" w:type="dxa"/>
            <w:tcBorders>
              <w:top w:val="single" w:color="auto" w:sz="4" w:space="0"/>
              <w:left w:val="single" w:color="auto" w:sz="4" w:space="0"/>
              <w:bottom w:val="single" w:color="auto" w:sz="4" w:space="0"/>
              <w:right w:val="single" w:color="auto" w:sz="4" w:space="0"/>
            </w:tcBorders>
            <w:vAlign w:val="center"/>
          </w:tcPr>
          <w:p w14:paraId="2145128D">
            <w:pPr>
              <w:tabs>
                <w:tab w:val="left" w:pos="601"/>
                <w:tab w:val="left" w:pos="669"/>
              </w:tabs>
              <w:adjustRightInd w:val="0"/>
              <w:snapToGrid w:val="0"/>
              <w:spacing w:afterLines="0" w:line="400" w:lineRule="exact"/>
              <w:ind w:firstLine="420" w:firstLineChars="200"/>
              <w:rPr>
                <w:rFonts w:hint="eastAsia" w:ascii="宋体" w:hAnsi="宋体"/>
                <w:color w:val="auto"/>
                <w:kern w:val="0"/>
                <w:highlight w:val="none"/>
              </w:rPr>
            </w:pPr>
            <w:r>
              <w:rPr>
                <w:rFonts w:ascii="宋体" w:hAnsi="宋体"/>
                <w:color w:val="auto"/>
                <w:kern w:val="0"/>
                <w:szCs w:val="21"/>
                <w:highlight w:val="none"/>
              </w:rPr>
              <w:t>符合第二章</w:t>
            </w:r>
            <w:r>
              <w:rPr>
                <w:rFonts w:hint="eastAsia" w:ascii="宋体" w:hAnsi="宋体"/>
                <w:color w:val="auto"/>
                <w:kern w:val="0"/>
                <w:szCs w:val="21"/>
                <w:highlight w:val="none"/>
                <w:lang w:eastAsia="zh-CN"/>
              </w:rPr>
              <w:t>供应商</w:t>
            </w:r>
            <w:r>
              <w:rPr>
                <w:rFonts w:ascii="宋体" w:hAnsi="宋体"/>
                <w:color w:val="auto"/>
                <w:kern w:val="0"/>
                <w:szCs w:val="21"/>
                <w:highlight w:val="none"/>
              </w:rPr>
              <w:t>须知前附表第3.4</w:t>
            </w:r>
            <w:r>
              <w:rPr>
                <w:rFonts w:hint="eastAsia" w:ascii="宋体" w:hAnsi="宋体"/>
                <w:color w:val="auto"/>
                <w:kern w:val="0"/>
                <w:szCs w:val="21"/>
                <w:highlight w:val="none"/>
              </w:rPr>
              <w:t>款</w:t>
            </w:r>
            <w:r>
              <w:rPr>
                <w:rFonts w:ascii="宋体" w:hAnsi="宋体"/>
                <w:color w:val="auto"/>
                <w:kern w:val="0"/>
                <w:highlight w:val="none"/>
              </w:rPr>
              <w:t>规定</w:t>
            </w:r>
          </w:p>
        </w:tc>
      </w:tr>
      <w:tr w14:paraId="66C37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1296A4B3">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1A9DEA96">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7DD0EF1C">
            <w:pPr>
              <w:adjustRightInd w:val="0"/>
              <w:snapToGrid w:val="0"/>
              <w:spacing w:afterLines="0" w:line="400" w:lineRule="exact"/>
              <w:jc w:val="left"/>
              <w:rPr>
                <w:rFonts w:ascii="宋体" w:hAnsi="宋体"/>
                <w:color w:val="auto"/>
                <w:kern w:val="0"/>
                <w:highlight w:val="none"/>
              </w:rPr>
            </w:pPr>
            <w:r>
              <w:rPr>
                <w:rFonts w:ascii="宋体" w:hAnsi="宋体"/>
                <w:color w:val="auto"/>
                <w:kern w:val="0"/>
                <w:highlight w:val="none"/>
              </w:rPr>
              <w:t>权利义务</w:t>
            </w:r>
          </w:p>
        </w:tc>
        <w:tc>
          <w:tcPr>
            <w:tcW w:w="5048" w:type="dxa"/>
            <w:tcBorders>
              <w:top w:val="single" w:color="auto" w:sz="4" w:space="0"/>
              <w:left w:val="single" w:color="auto" w:sz="4" w:space="0"/>
              <w:bottom w:val="single" w:color="auto" w:sz="4" w:space="0"/>
              <w:right w:val="single" w:color="auto" w:sz="4" w:space="0"/>
            </w:tcBorders>
            <w:vAlign w:val="center"/>
          </w:tcPr>
          <w:p w14:paraId="47C3D599">
            <w:pPr>
              <w:adjustRightInd w:val="0"/>
              <w:snapToGrid w:val="0"/>
              <w:spacing w:after="0" w:afterLines="0" w:line="400" w:lineRule="exact"/>
              <w:ind w:firstLine="420" w:firstLineChars="200"/>
              <w:rPr>
                <w:rFonts w:hint="eastAsia" w:ascii="宋体" w:hAnsi="宋体"/>
                <w:color w:val="auto"/>
                <w:kern w:val="0"/>
                <w:highlight w:val="none"/>
              </w:rPr>
            </w:pPr>
            <w:r>
              <w:rPr>
                <w:rFonts w:ascii="宋体" w:hAnsi="宋体"/>
                <w:color w:val="auto"/>
                <w:kern w:val="0"/>
                <w:highlight w:val="none"/>
              </w:rPr>
              <w:t>符合第四章</w:t>
            </w:r>
            <w:r>
              <w:rPr>
                <w:rFonts w:hint="eastAsia" w:ascii="宋体" w:hAnsi="宋体"/>
                <w:color w:val="auto"/>
                <w:kern w:val="0"/>
                <w:highlight w:val="none"/>
              </w:rPr>
              <w:t>“</w:t>
            </w:r>
            <w:r>
              <w:rPr>
                <w:rFonts w:ascii="宋体" w:hAnsi="宋体"/>
                <w:color w:val="auto"/>
                <w:kern w:val="0"/>
                <w:highlight w:val="none"/>
              </w:rPr>
              <w:t>合同条款及格式</w:t>
            </w:r>
            <w:r>
              <w:rPr>
                <w:rFonts w:hint="eastAsia" w:ascii="宋体" w:hAnsi="宋体"/>
                <w:color w:val="auto"/>
                <w:kern w:val="0"/>
                <w:highlight w:val="none"/>
              </w:rPr>
              <w:t>”</w:t>
            </w:r>
            <w:r>
              <w:rPr>
                <w:rFonts w:ascii="宋体" w:hAnsi="宋体"/>
                <w:color w:val="auto"/>
                <w:kern w:val="0"/>
                <w:highlight w:val="none"/>
              </w:rPr>
              <w:t>规定，</w:t>
            </w:r>
            <w:r>
              <w:rPr>
                <w:rFonts w:hint="eastAsia" w:ascii="宋体" w:hAnsi="宋体"/>
                <w:color w:val="auto"/>
                <w:kern w:val="0"/>
                <w:highlight w:val="none"/>
                <w:lang w:eastAsia="zh-CN"/>
              </w:rPr>
              <w:t>响应文件</w:t>
            </w:r>
            <w:r>
              <w:rPr>
                <w:rFonts w:ascii="宋体" w:hAnsi="宋体"/>
                <w:color w:val="auto"/>
                <w:kern w:val="0"/>
                <w:highlight w:val="none"/>
              </w:rPr>
              <w:t>不应附有</w:t>
            </w:r>
            <w:r>
              <w:rPr>
                <w:rFonts w:hint="eastAsia" w:ascii="宋体" w:hAnsi="宋体"/>
                <w:color w:val="auto"/>
                <w:kern w:val="0"/>
                <w:highlight w:val="none"/>
                <w:lang w:eastAsia="zh-CN"/>
              </w:rPr>
              <w:t>采购人</w:t>
            </w:r>
            <w:r>
              <w:rPr>
                <w:rFonts w:ascii="宋体" w:hAnsi="宋体"/>
                <w:color w:val="auto"/>
                <w:kern w:val="0"/>
                <w:highlight w:val="none"/>
              </w:rPr>
              <w:t>不能接受的条件。</w:t>
            </w:r>
            <w:r>
              <w:rPr>
                <w:rFonts w:hint="eastAsia" w:ascii="宋体" w:hAnsi="宋体"/>
                <w:color w:val="auto"/>
                <w:kern w:val="0"/>
                <w:highlight w:val="none"/>
              </w:rPr>
              <w:t>（由</w:t>
            </w:r>
            <w:r>
              <w:rPr>
                <w:rFonts w:hint="eastAsia" w:ascii="宋体" w:hAnsi="宋体"/>
                <w:color w:val="auto"/>
                <w:kern w:val="0"/>
                <w:highlight w:val="none"/>
                <w:lang w:eastAsia="zh-CN"/>
              </w:rPr>
              <w:t>供应商</w:t>
            </w:r>
            <w:r>
              <w:rPr>
                <w:rFonts w:hint="eastAsia" w:ascii="宋体" w:hAnsi="宋体"/>
                <w:color w:val="auto"/>
                <w:kern w:val="0"/>
                <w:highlight w:val="none"/>
              </w:rPr>
              <w:t>承诺，承诺书格式详见第九章</w:t>
            </w:r>
            <w:r>
              <w:rPr>
                <w:rFonts w:hint="eastAsia" w:ascii="宋体" w:hAnsi="宋体"/>
                <w:color w:val="auto"/>
                <w:kern w:val="0"/>
                <w:highlight w:val="none"/>
                <w:lang w:eastAsia="zh-CN"/>
              </w:rPr>
              <w:t>响应文件</w:t>
            </w:r>
            <w:r>
              <w:rPr>
                <w:rFonts w:hint="eastAsia" w:ascii="宋体" w:hAnsi="宋体"/>
                <w:color w:val="auto"/>
                <w:kern w:val="0"/>
                <w:highlight w:val="none"/>
              </w:rPr>
              <w:t>格式。）</w:t>
            </w:r>
          </w:p>
        </w:tc>
      </w:tr>
      <w:tr w14:paraId="55D11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7EE5E12F">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3F897E98">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08B1D087">
            <w:pPr>
              <w:adjustRightInd w:val="0"/>
              <w:snapToGrid w:val="0"/>
              <w:spacing w:afterLines="0" w:line="400" w:lineRule="exact"/>
              <w:jc w:val="left"/>
              <w:rPr>
                <w:rFonts w:ascii="宋体" w:hAnsi="宋体"/>
                <w:color w:val="auto"/>
                <w:kern w:val="0"/>
                <w:highlight w:val="none"/>
              </w:rPr>
            </w:pPr>
            <w:r>
              <w:rPr>
                <w:rFonts w:ascii="宋体" w:hAnsi="宋体"/>
                <w:color w:val="auto"/>
                <w:kern w:val="0"/>
                <w:highlight w:val="none"/>
              </w:rPr>
              <w:t>技术标准和要求</w:t>
            </w:r>
          </w:p>
        </w:tc>
        <w:tc>
          <w:tcPr>
            <w:tcW w:w="5048" w:type="dxa"/>
            <w:tcBorders>
              <w:top w:val="single" w:color="auto" w:sz="4" w:space="0"/>
              <w:left w:val="single" w:color="auto" w:sz="4" w:space="0"/>
              <w:bottom w:val="single" w:color="auto" w:sz="4" w:space="0"/>
              <w:right w:val="single" w:color="auto" w:sz="4" w:space="0"/>
            </w:tcBorders>
            <w:vAlign w:val="center"/>
          </w:tcPr>
          <w:p w14:paraId="18096E8A">
            <w:pPr>
              <w:adjustRightInd w:val="0"/>
              <w:snapToGrid w:val="0"/>
              <w:spacing w:afterLines="0" w:line="400" w:lineRule="exact"/>
              <w:ind w:firstLine="420" w:firstLineChars="200"/>
              <w:rPr>
                <w:rFonts w:hint="eastAsia" w:ascii="宋体" w:hAnsi="宋体"/>
                <w:color w:val="auto"/>
                <w:kern w:val="0"/>
                <w:highlight w:val="none"/>
              </w:rPr>
            </w:pPr>
            <w:r>
              <w:rPr>
                <w:rFonts w:ascii="宋体" w:hAnsi="宋体"/>
                <w:color w:val="auto"/>
                <w:kern w:val="0"/>
                <w:highlight w:val="none"/>
              </w:rPr>
              <w:t>符合第七章</w:t>
            </w:r>
            <w:r>
              <w:rPr>
                <w:rFonts w:hint="eastAsia" w:ascii="宋体" w:hAnsi="宋体"/>
                <w:color w:val="auto"/>
                <w:kern w:val="0"/>
                <w:highlight w:val="none"/>
              </w:rPr>
              <w:t>“</w:t>
            </w:r>
            <w:r>
              <w:rPr>
                <w:rFonts w:ascii="宋体" w:hAnsi="宋体"/>
                <w:color w:val="auto"/>
                <w:kern w:val="0"/>
                <w:highlight w:val="none"/>
              </w:rPr>
              <w:t>技术标准和要求</w:t>
            </w:r>
            <w:r>
              <w:rPr>
                <w:rFonts w:hint="eastAsia" w:ascii="宋体" w:hAnsi="宋体"/>
                <w:color w:val="auto"/>
                <w:kern w:val="0"/>
                <w:highlight w:val="none"/>
              </w:rPr>
              <w:t>”</w:t>
            </w:r>
            <w:r>
              <w:rPr>
                <w:rFonts w:ascii="宋体" w:hAnsi="宋体"/>
                <w:color w:val="auto"/>
                <w:kern w:val="0"/>
                <w:highlight w:val="none"/>
              </w:rPr>
              <w:t>规定</w:t>
            </w:r>
            <w:r>
              <w:rPr>
                <w:rFonts w:hint="eastAsia" w:ascii="宋体" w:hAnsi="宋体"/>
                <w:color w:val="auto"/>
                <w:kern w:val="0"/>
                <w:highlight w:val="none"/>
              </w:rPr>
              <w:t>。（由</w:t>
            </w:r>
            <w:r>
              <w:rPr>
                <w:rFonts w:hint="eastAsia" w:ascii="宋体" w:hAnsi="宋体"/>
                <w:color w:val="auto"/>
                <w:kern w:val="0"/>
                <w:highlight w:val="none"/>
                <w:lang w:eastAsia="zh-CN"/>
              </w:rPr>
              <w:t>供应商</w:t>
            </w:r>
            <w:r>
              <w:rPr>
                <w:rFonts w:hint="eastAsia" w:ascii="宋体" w:hAnsi="宋体"/>
                <w:color w:val="auto"/>
                <w:kern w:val="0"/>
                <w:highlight w:val="none"/>
              </w:rPr>
              <w:t>承诺，承诺书格式详见第九章</w:t>
            </w:r>
            <w:r>
              <w:rPr>
                <w:rFonts w:hint="eastAsia" w:ascii="宋体" w:hAnsi="宋体"/>
                <w:color w:val="auto"/>
                <w:kern w:val="0"/>
                <w:highlight w:val="none"/>
                <w:lang w:eastAsia="zh-CN"/>
              </w:rPr>
              <w:t>响应文件</w:t>
            </w:r>
            <w:r>
              <w:rPr>
                <w:rFonts w:hint="eastAsia" w:ascii="宋体" w:hAnsi="宋体"/>
                <w:color w:val="auto"/>
                <w:kern w:val="0"/>
                <w:highlight w:val="none"/>
              </w:rPr>
              <w:t>格式。）</w:t>
            </w:r>
          </w:p>
        </w:tc>
      </w:tr>
      <w:tr w14:paraId="61467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bottom w:val="single" w:color="auto" w:sz="4" w:space="0"/>
              <w:right w:val="single" w:color="auto" w:sz="4" w:space="0"/>
            </w:tcBorders>
            <w:vAlign w:val="center"/>
          </w:tcPr>
          <w:p w14:paraId="53CC8C20">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bottom w:val="single" w:color="auto" w:sz="4" w:space="0"/>
              <w:right w:val="single" w:color="auto" w:sz="4" w:space="0"/>
            </w:tcBorders>
            <w:vAlign w:val="center"/>
          </w:tcPr>
          <w:p w14:paraId="648A19D1">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790FC07">
            <w:pPr>
              <w:adjustRightInd w:val="0"/>
              <w:snapToGrid w:val="0"/>
              <w:spacing w:afterLines="0" w:line="400" w:lineRule="exact"/>
              <w:jc w:val="left"/>
              <w:rPr>
                <w:rFonts w:ascii="宋体" w:hAnsi="宋体"/>
                <w:color w:val="auto"/>
                <w:kern w:val="0"/>
                <w:highlight w:val="none"/>
              </w:rPr>
            </w:pPr>
            <w:r>
              <w:rPr>
                <w:rFonts w:hint="eastAsia" w:ascii="宋体" w:hAnsi="宋体"/>
                <w:color w:val="auto"/>
                <w:kern w:val="0"/>
                <w:highlight w:val="none"/>
                <w:lang w:val="en-US" w:eastAsia="zh-CN"/>
              </w:rPr>
              <w:t>其他</w:t>
            </w:r>
            <w:r>
              <w:rPr>
                <w:rFonts w:ascii="宋体" w:hAnsi="宋体"/>
                <w:color w:val="auto"/>
                <w:kern w:val="0"/>
                <w:highlight w:val="none"/>
              </w:rPr>
              <w:t>实质性要求</w:t>
            </w:r>
          </w:p>
        </w:tc>
        <w:tc>
          <w:tcPr>
            <w:tcW w:w="5048" w:type="dxa"/>
            <w:tcBorders>
              <w:top w:val="single" w:color="auto" w:sz="4" w:space="0"/>
              <w:left w:val="single" w:color="auto" w:sz="4" w:space="0"/>
              <w:bottom w:val="single" w:color="auto" w:sz="4" w:space="0"/>
              <w:right w:val="single" w:color="auto" w:sz="4" w:space="0"/>
            </w:tcBorders>
            <w:vAlign w:val="center"/>
          </w:tcPr>
          <w:p w14:paraId="73FE5832">
            <w:pPr>
              <w:adjustRightInd w:val="0"/>
              <w:snapToGrid w:val="0"/>
              <w:spacing w:after="0" w:afterLines="0"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本次</w:t>
            </w:r>
            <w:r>
              <w:rPr>
                <w:rFonts w:hint="eastAsia" w:ascii="宋体" w:hAnsi="宋体"/>
                <w:color w:val="auto"/>
                <w:kern w:val="0"/>
                <w:highlight w:val="none"/>
                <w:lang w:eastAsia="zh-CN"/>
              </w:rPr>
              <w:t>比选</w:t>
            </w:r>
            <w:r>
              <w:rPr>
                <w:rFonts w:hint="eastAsia" w:ascii="宋体" w:hAnsi="宋体"/>
                <w:color w:val="auto"/>
                <w:kern w:val="0"/>
                <w:highlight w:val="none"/>
              </w:rPr>
              <w:t>不得</w:t>
            </w:r>
            <w:r>
              <w:rPr>
                <w:rFonts w:hint="eastAsia" w:ascii="宋体" w:hAnsi="宋体"/>
                <w:color w:val="auto"/>
                <w:kern w:val="0"/>
                <w:highlight w:val="none"/>
                <w:lang w:val="en-US" w:eastAsia="zh-CN"/>
              </w:rPr>
              <w:t>存在</w:t>
            </w:r>
            <w:r>
              <w:rPr>
                <w:rFonts w:ascii="宋体" w:hAnsi="宋体"/>
                <w:color w:val="auto"/>
                <w:kern w:val="0"/>
                <w:highlight w:val="none"/>
              </w:rPr>
              <w:t>弄虚作假等其他违反招投标相关法律、法规</w:t>
            </w:r>
            <w:r>
              <w:rPr>
                <w:rFonts w:hint="eastAsia" w:ascii="宋体" w:hAnsi="宋体"/>
                <w:color w:val="auto"/>
                <w:kern w:val="0"/>
                <w:highlight w:val="none"/>
                <w:lang w:val="en-US" w:eastAsia="zh-CN"/>
              </w:rPr>
              <w:t>的</w:t>
            </w:r>
            <w:r>
              <w:rPr>
                <w:rFonts w:ascii="宋体" w:hAnsi="宋体"/>
                <w:color w:val="auto"/>
                <w:kern w:val="0"/>
                <w:highlight w:val="none"/>
              </w:rPr>
              <w:t>行为。</w:t>
            </w:r>
          </w:p>
          <w:p w14:paraId="20C0DCF8">
            <w:pPr>
              <w:adjustRightInd w:val="0"/>
              <w:snapToGrid w:val="0"/>
              <w:spacing w:after="0" w:afterLines="0" w:line="400" w:lineRule="exact"/>
              <w:ind w:firstLine="420" w:firstLineChars="200"/>
              <w:rPr>
                <w:rFonts w:hint="eastAsia" w:ascii="宋体" w:hAnsi="宋体"/>
                <w:color w:val="auto"/>
                <w:kern w:val="0"/>
                <w:highlight w:val="none"/>
              </w:rPr>
            </w:pPr>
            <w:r>
              <w:rPr>
                <w:rFonts w:hint="eastAsia"/>
                <w:color w:val="auto"/>
                <w:highlight w:val="none"/>
              </w:rPr>
              <w:t>按</w:t>
            </w:r>
            <w:r>
              <w:rPr>
                <w:rFonts w:hint="eastAsia"/>
                <w:color w:val="auto"/>
                <w:highlight w:val="none"/>
                <w:lang w:eastAsia="zh-CN"/>
              </w:rPr>
              <w:t>评审委员会</w:t>
            </w:r>
            <w:r>
              <w:rPr>
                <w:rFonts w:hint="eastAsia"/>
                <w:color w:val="auto"/>
                <w:highlight w:val="none"/>
              </w:rPr>
              <w:t>要求澄清、说明或补正。</w:t>
            </w:r>
          </w:p>
        </w:tc>
      </w:tr>
      <w:tr w14:paraId="3F15F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3B171983">
            <w:pPr>
              <w:widowControl/>
              <w:adjustRightInd w:val="0"/>
              <w:snapToGrid w:val="0"/>
              <w:spacing w:afterLines="0" w:line="400" w:lineRule="exact"/>
              <w:jc w:val="center"/>
              <w:rPr>
                <w:rFonts w:ascii="宋体" w:hAnsi="宋体"/>
                <w:color w:val="auto"/>
                <w:kern w:val="0"/>
                <w:highlight w:val="none"/>
              </w:rPr>
            </w:pPr>
            <w:r>
              <w:rPr>
                <w:rFonts w:hint="eastAsia" w:ascii="宋体" w:hAnsi="宋体"/>
                <w:color w:val="auto"/>
                <w:kern w:val="0"/>
                <w:highlight w:val="none"/>
              </w:rPr>
              <w:t>2.2.1</w:t>
            </w:r>
          </w:p>
        </w:tc>
        <w:tc>
          <w:tcPr>
            <w:tcW w:w="1599" w:type="dxa"/>
            <w:tcBorders>
              <w:top w:val="single" w:color="auto" w:sz="4" w:space="0"/>
              <w:left w:val="single" w:color="auto" w:sz="4" w:space="0"/>
              <w:bottom w:val="single" w:color="auto" w:sz="4" w:space="0"/>
              <w:right w:val="single" w:color="auto" w:sz="4" w:space="0"/>
            </w:tcBorders>
            <w:vAlign w:val="center"/>
          </w:tcPr>
          <w:p w14:paraId="13CAAB5A">
            <w:pPr>
              <w:widowControl/>
              <w:adjustRightInd w:val="0"/>
              <w:snapToGrid w:val="0"/>
              <w:spacing w:afterLines="0" w:line="400" w:lineRule="exact"/>
              <w:jc w:val="center"/>
              <w:rPr>
                <w:rFonts w:hint="eastAsia" w:ascii="宋体" w:hAnsi="宋体"/>
                <w:color w:val="auto"/>
                <w:highlight w:val="none"/>
              </w:rPr>
            </w:pPr>
            <w:r>
              <w:rPr>
                <w:rFonts w:hint="eastAsia" w:ascii="宋体" w:hAnsi="宋体" w:cs="宋体"/>
                <w:color w:val="auto"/>
                <w:kern w:val="0"/>
                <w:szCs w:val="21"/>
                <w:highlight w:val="none"/>
                <w:lang w:bidi="ar"/>
              </w:rPr>
              <w:t xml:space="preserve">分值构成（总分 </w:t>
            </w:r>
            <w:r>
              <w:rPr>
                <w:rFonts w:ascii="宋体" w:hAnsi="宋体"/>
                <w:color w:val="auto"/>
                <w:kern w:val="0"/>
                <w:szCs w:val="21"/>
                <w:highlight w:val="none"/>
                <w:lang w:bidi="ar"/>
              </w:rPr>
              <w:t xml:space="preserve">100 </w:t>
            </w:r>
            <w:r>
              <w:rPr>
                <w:rFonts w:hint="eastAsia" w:ascii="宋体" w:hAnsi="宋体" w:cs="宋体"/>
                <w:color w:val="auto"/>
                <w:kern w:val="0"/>
                <w:szCs w:val="21"/>
                <w:highlight w:val="none"/>
                <w:lang w:bidi="ar"/>
              </w:rPr>
              <w:t>分）</w:t>
            </w:r>
          </w:p>
        </w:tc>
        <w:tc>
          <w:tcPr>
            <w:tcW w:w="7403" w:type="dxa"/>
            <w:gridSpan w:val="3"/>
            <w:tcBorders>
              <w:top w:val="single" w:color="auto" w:sz="4" w:space="0"/>
              <w:left w:val="single" w:color="auto" w:sz="4" w:space="0"/>
              <w:bottom w:val="single" w:color="auto" w:sz="4" w:space="0"/>
              <w:right w:val="single" w:color="auto" w:sz="4" w:space="0"/>
            </w:tcBorders>
            <w:vAlign w:val="center"/>
          </w:tcPr>
          <w:p w14:paraId="09C1093F">
            <w:pPr>
              <w:adjustRightInd w:val="0"/>
              <w:snapToGrid w:val="0"/>
              <w:spacing w:afterLines="0" w:line="400" w:lineRule="exact"/>
              <w:ind w:left="420"/>
              <w:rPr>
                <w:rFonts w:hint="eastAsia" w:ascii="宋体" w:hAnsi="宋体"/>
                <w:color w:val="auto"/>
                <w:kern w:val="0"/>
                <w:highlight w:val="none"/>
              </w:rPr>
            </w:pPr>
            <w:r>
              <w:rPr>
                <w:rFonts w:hint="eastAsia" w:ascii="宋体" w:hAnsi="宋体"/>
                <w:color w:val="auto"/>
                <w:kern w:val="0"/>
                <w:highlight w:val="none"/>
              </w:rPr>
              <w:t>1</w:t>
            </w:r>
            <w:r>
              <w:rPr>
                <w:rFonts w:ascii="宋体" w:hAnsi="宋体"/>
                <w:color w:val="auto"/>
                <w:kern w:val="0"/>
                <w:highlight w:val="none"/>
              </w:rPr>
              <w:t>.</w:t>
            </w:r>
            <w:r>
              <w:rPr>
                <w:rFonts w:hint="eastAsia" w:ascii="宋体" w:hAnsi="宋体"/>
                <w:color w:val="auto"/>
                <w:kern w:val="0"/>
                <w:highlight w:val="none"/>
              </w:rPr>
              <w:t>技术部分</w:t>
            </w:r>
            <w:r>
              <w:rPr>
                <w:rFonts w:hint="eastAsia" w:ascii="宋体" w:hAnsi="宋体"/>
                <w:color w:val="auto"/>
                <w:kern w:val="0"/>
                <w:highlight w:val="none"/>
                <w:u w:val="single"/>
                <w:lang w:val="en-US" w:eastAsia="zh-CN"/>
              </w:rPr>
              <w:t>10</w:t>
            </w:r>
            <w:r>
              <w:rPr>
                <w:rFonts w:ascii="宋体" w:hAnsi="宋体"/>
                <w:color w:val="auto"/>
                <w:kern w:val="0"/>
                <w:highlight w:val="none"/>
              </w:rPr>
              <w:t>分</w:t>
            </w:r>
            <w:r>
              <w:rPr>
                <w:rFonts w:hint="eastAsia" w:ascii="宋体" w:hAnsi="宋体"/>
                <w:color w:val="auto"/>
                <w:kern w:val="0"/>
                <w:highlight w:val="none"/>
              </w:rPr>
              <w:t>；</w:t>
            </w:r>
          </w:p>
          <w:p w14:paraId="4C7CE268">
            <w:pPr>
              <w:adjustRightInd w:val="0"/>
              <w:snapToGrid w:val="0"/>
              <w:spacing w:afterLines="0" w:line="400" w:lineRule="exact"/>
              <w:ind w:left="420"/>
              <w:rPr>
                <w:rFonts w:hint="eastAsia" w:ascii="宋体" w:hAnsi="宋体"/>
                <w:color w:val="auto"/>
                <w:kern w:val="0"/>
                <w:highlight w:val="none"/>
              </w:rPr>
            </w:pPr>
            <w:r>
              <w:rPr>
                <w:rFonts w:hint="eastAsia" w:ascii="宋体" w:hAnsi="宋体"/>
                <w:color w:val="auto"/>
                <w:kern w:val="0"/>
                <w:highlight w:val="none"/>
              </w:rPr>
              <w:t>2</w:t>
            </w:r>
            <w:r>
              <w:rPr>
                <w:rFonts w:ascii="宋体" w:hAnsi="宋体"/>
                <w:color w:val="auto"/>
                <w:kern w:val="0"/>
                <w:highlight w:val="none"/>
              </w:rPr>
              <w:t>.</w:t>
            </w:r>
            <w:r>
              <w:rPr>
                <w:rFonts w:hint="eastAsia" w:ascii="宋体" w:hAnsi="宋体"/>
                <w:color w:val="auto"/>
                <w:highlight w:val="none"/>
              </w:rPr>
              <w:t>商务部分</w:t>
            </w:r>
            <w:r>
              <w:rPr>
                <w:rFonts w:hint="eastAsia" w:ascii="宋体" w:hAnsi="宋体"/>
                <w:color w:val="auto"/>
                <w:kern w:val="0"/>
                <w:highlight w:val="none"/>
                <w:u w:val="single"/>
                <w:lang w:val="en-US" w:eastAsia="zh-CN"/>
              </w:rPr>
              <w:t>10</w:t>
            </w:r>
            <w:r>
              <w:rPr>
                <w:rFonts w:ascii="宋体" w:hAnsi="宋体"/>
                <w:color w:val="auto"/>
                <w:kern w:val="0"/>
                <w:highlight w:val="none"/>
              </w:rPr>
              <w:t>分</w:t>
            </w:r>
            <w:r>
              <w:rPr>
                <w:rFonts w:hint="eastAsia" w:ascii="宋体" w:hAnsi="宋体"/>
                <w:color w:val="auto"/>
                <w:kern w:val="0"/>
                <w:highlight w:val="none"/>
              </w:rPr>
              <w:t>；</w:t>
            </w:r>
          </w:p>
          <w:p w14:paraId="0EC43531">
            <w:pPr>
              <w:adjustRightInd w:val="0"/>
              <w:snapToGrid w:val="0"/>
              <w:spacing w:afterLines="0" w:line="400" w:lineRule="exact"/>
              <w:ind w:left="420" w:firstLine="0" w:firstLineChars="0"/>
              <w:rPr>
                <w:rFonts w:hint="eastAsia" w:ascii="宋体" w:hAnsi="宋体"/>
                <w:color w:val="auto"/>
                <w:kern w:val="0"/>
                <w:highlight w:val="none"/>
              </w:rPr>
            </w:pPr>
            <w:r>
              <w:rPr>
                <w:rFonts w:hint="eastAsia" w:ascii="宋体" w:hAnsi="宋体"/>
                <w:color w:val="auto"/>
                <w:kern w:val="0"/>
                <w:highlight w:val="none"/>
              </w:rPr>
              <w:t>3</w:t>
            </w:r>
            <w:r>
              <w:rPr>
                <w:rFonts w:ascii="宋体" w:hAnsi="宋体"/>
                <w:color w:val="auto"/>
                <w:kern w:val="0"/>
                <w:highlight w:val="none"/>
              </w:rPr>
              <w:t>.</w:t>
            </w:r>
            <w:r>
              <w:rPr>
                <w:rFonts w:hint="eastAsia" w:ascii="宋体" w:hAnsi="宋体"/>
                <w:color w:val="auto"/>
                <w:kern w:val="0"/>
                <w:highlight w:val="none"/>
                <w:lang w:val="en-US" w:eastAsia="zh-CN"/>
              </w:rPr>
              <w:t>报价部分</w:t>
            </w:r>
            <w:r>
              <w:rPr>
                <w:rFonts w:hint="eastAsia" w:ascii="宋体" w:hAnsi="宋体"/>
                <w:color w:val="auto"/>
                <w:kern w:val="0"/>
                <w:highlight w:val="none"/>
                <w:u w:val="single"/>
                <w:lang w:val="en-US" w:eastAsia="zh-CN"/>
              </w:rPr>
              <w:t>80</w:t>
            </w:r>
            <w:r>
              <w:rPr>
                <w:rFonts w:hint="eastAsia" w:ascii="宋体" w:hAnsi="宋体"/>
                <w:color w:val="auto"/>
                <w:kern w:val="0"/>
                <w:highlight w:val="none"/>
              </w:rPr>
              <w:t>分。</w:t>
            </w:r>
          </w:p>
        </w:tc>
      </w:tr>
      <w:tr w14:paraId="57DF8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restart"/>
            <w:tcBorders>
              <w:top w:val="single" w:color="auto" w:sz="4" w:space="0"/>
              <w:left w:val="single" w:color="auto" w:sz="4" w:space="0"/>
              <w:right w:val="single" w:color="auto" w:sz="4" w:space="0"/>
            </w:tcBorders>
            <w:vAlign w:val="center"/>
          </w:tcPr>
          <w:p w14:paraId="41E6FABB">
            <w:pPr>
              <w:pStyle w:val="2"/>
              <w:adjustRightInd w:val="0"/>
              <w:snapToGrid w:val="0"/>
              <w:spacing w:after="0" w:afterLines="0" w:line="400" w:lineRule="exact"/>
              <w:jc w:val="center"/>
              <w:rPr>
                <w:rFonts w:hint="eastAsia" w:ascii="宋体" w:hAnsi="宋体"/>
                <w:color w:val="auto"/>
                <w:kern w:val="0"/>
                <w:highlight w:val="none"/>
              </w:rPr>
            </w:pPr>
            <w:r>
              <w:rPr>
                <w:rFonts w:hint="eastAsia" w:ascii="宋体" w:hAnsi="宋体"/>
                <w:color w:val="auto"/>
                <w:kern w:val="0"/>
                <w:highlight w:val="none"/>
              </w:rPr>
              <w:t>2.2.2</w:t>
            </w:r>
          </w:p>
          <w:p w14:paraId="5729FB85">
            <w:pPr>
              <w:pStyle w:val="2"/>
              <w:adjustRightInd w:val="0"/>
              <w:snapToGrid w:val="0"/>
              <w:spacing w:after="0" w:afterLines="0" w:line="400" w:lineRule="exact"/>
              <w:jc w:val="center"/>
              <w:rPr>
                <w:rFonts w:hint="eastAsia"/>
                <w:color w:val="auto"/>
                <w:highlight w:val="none"/>
              </w:rPr>
            </w:pPr>
            <w:r>
              <w:rPr>
                <w:rFonts w:hint="eastAsia" w:ascii="宋体" w:hAnsi="宋体"/>
                <w:color w:val="auto"/>
                <w:kern w:val="0"/>
                <w:highlight w:val="none"/>
              </w:rPr>
              <w:t>（1）</w:t>
            </w:r>
          </w:p>
        </w:tc>
        <w:tc>
          <w:tcPr>
            <w:tcW w:w="1599" w:type="dxa"/>
            <w:vMerge w:val="restart"/>
            <w:tcBorders>
              <w:top w:val="single" w:color="auto" w:sz="4" w:space="0"/>
              <w:left w:val="single" w:color="auto" w:sz="4" w:space="0"/>
              <w:right w:val="single" w:color="auto" w:sz="4" w:space="0"/>
            </w:tcBorders>
            <w:vAlign w:val="center"/>
          </w:tcPr>
          <w:p w14:paraId="74D25007">
            <w:pPr>
              <w:widowControl/>
              <w:adjustRightInd w:val="0"/>
              <w:snapToGrid w:val="0"/>
              <w:spacing w:afterLines="0" w:line="400" w:lineRule="exact"/>
              <w:jc w:val="center"/>
              <w:rPr>
                <w:rFonts w:hint="eastAsia" w:ascii="宋体" w:hAnsi="宋体" w:eastAsia="宋体"/>
                <w:color w:val="auto"/>
                <w:kern w:val="0"/>
                <w:highlight w:val="none"/>
                <w:lang w:eastAsia="zh-CN"/>
              </w:rPr>
            </w:pPr>
            <w:r>
              <w:rPr>
                <w:rFonts w:hint="eastAsia" w:ascii="宋体" w:hAnsi="宋体"/>
                <w:color w:val="auto"/>
                <w:kern w:val="0"/>
                <w:highlight w:val="none"/>
              </w:rPr>
              <w:t>技术</w:t>
            </w:r>
            <w:r>
              <w:rPr>
                <w:rFonts w:hint="eastAsia" w:ascii="宋体" w:hAnsi="宋体"/>
                <w:color w:val="auto"/>
                <w:kern w:val="0"/>
                <w:highlight w:val="none"/>
                <w:lang w:val="en-US" w:eastAsia="zh-CN"/>
              </w:rPr>
              <w:t>评审</w:t>
            </w:r>
            <w:r>
              <w:rPr>
                <w:rFonts w:hint="eastAsia" w:ascii="宋体" w:hAnsi="宋体"/>
                <w:color w:val="auto"/>
                <w:kern w:val="0"/>
                <w:highlight w:val="none"/>
              </w:rPr>
              <w:t>标准</w:t>
            </w:r>
          </w:p>
        </w:tc>
        <w:tc>
          <w:tcPr>
            <w:tcW w:w="705" w:type="dxa"/>
            <w:vMerge w:val="restart"/>
            <w:tcBorders>
              <w:top w:val="single" w:color="auto" w:sz="4" w:space="0"/>
              <w:left w:val="single" w:color="auto" w:sz="4" w:space="0"/>
              <w:right w:val="single" w:color="auto" w:sz="4" w:space="0"/>
            </w:tcBorders>
            <w:vAlign w:val="center"/>
          </w:tcPr>
          <w:p w14:paraId="6B0C4353">
            <w:pPr>
              <w:pStyle w:val="2"/>
              <w:adjustRightInd w:val="0"/>
              <w:snapToGrid w:val="0"/>
              <w:spacing w:after="0" w:afterLines="0" w:line="400" w:lineRule="exact"/>
              <w:jc w:val="center"/>
              <w:rPr>
                <w:rFonts w:hint="eastAsia"/>
                <w:color w:val="auto"/>
                <w:highlight w:val="none"/>
              </w:rPr>
            </w:pPr>
            <w:r>
              <w:rPr>
                <w:rFonts w:hint="eastAsia"/>
                <w:color w:val="auto"/>
                <w:highlight w:val="none"/>
              </w:rPr>
              <w:t>技</w:t>
            </w:r>
          </w:p>
          <w:p w14:paraId="45567498">
            <w:pPr>
              <w:pStyle w:val="2"/>
              <w:adjustRightInd w:val="0"/>
              <w:snapToGrid w:val="0"/>
              <w:spacing w:after="0" w:afterLines="0" w:line="400" w:lineRule="exact"/>
              <w:jc w:val="center"/>
              <w:rPr>
                <w:rFonts w:hint="eastAsia"/>
                <w:color w:val="auto"/>
                <w:highlight w:val="none"/>
              </w:rPr>
            </w:pPr>
            <w:r>
              <w:rPr>
                <w:rFonts w:hint="eastAsia"/>
                <w:color w:val="auto"/>
                <w:highlight w:val="none"/>
              </w:rPr>
              <w:t>术</w:t>
            </w:r>
          </w:p>
          <w:p w14:paraId="147F56EE">
            <w:pPr>
              <w:pStyle w:val="2"/>
              <w:adjustRightInd w:val="0"/>
              <w:snapToGrid w:val="0"/>
              <w:spacing w:after="0" w:afterLines="0" w:line="400" w:lineRule="exact"/>
              <w:jc w:val="center"/>
              <w:rPr>
                <w:rFonts w:hint="eastAsia"/>
                <w:color w:val="auto"/>
                <w:highlight w:val="none"/>
              </w:rPr>
            </w:pPr>
            <w:r>
              <w:rPr>
                <w:rFonts w:hint="eastAsia"/>
                <w:color w:val="auto"/>
                <w:highlight w:val="none"/>
              </w:rPr>
              <w:t>方</w:t>
            </w:r>
          </w:p>
          <w:p w14:paraId="4136B7ED">
            <w:pPr>
              <w:pStyle w:val="2"/>
              <w:adjustRightInd w:val="0"/>
              <w:snapToGrid w:val="0"/>
              <w:spacing w:after="0" w:afterLines="0" w:line="400" w:lineRule="exact"/>
              <w:jc w:val="center"/>
              <w:rPr>
                <w:rFonts w:hint="eastAsia"/>
                <w:color w:val="auto"/>
                <w:highlight w:val="none"/>
              </w:rPr>
            </w:pPr>
            <w:r>
              <w:rPr>
                <w:rFonts w:hint="eastAsia"/>
                <w:color w:val="auto"/>
                <w:highlight w:val="none"/>
              </w:rPr>
              <w:t>案</w:t>
            </w:r>
          </w:p>
          <w:p w14:paraId="72B5A95A">
            <w:pPr>
              <w:pStyle w:val="2"/>
              <w:adjustRightInd w:val="0"/>
              <w:snapToGrid w:val="0"/>
              <w:spacing w:after="0" w:afterLines="0" w:line="400" w:lineRule="exact"/>
              <w:jc w:val="center"/>
              <w:rPr>
                <w:rFonts w:hint="eastAsia"/>
                <w:color w:val="auto"/>
                <w:highlight w:val="none"/>
              </w:rPr>
            </w:pPr>
            <w:r>
              <w:rPr>
                <w:rFonts w:hint="eastAsia"/>
                <w:color w:val="auto"/>
                <w:highlight w:val="none"/>
              </w:rPr>
              <w:t>评</w:t>
            </w:r>
          </w:p>
          <w:p w14:paraId="25AB4A17">
            <w:pPr>
              <w:pStyle w:val="2"/>
              <w:adjustRightInd w:val="0"/>
              <w:snapToGrid w:val="0"/>
              <w:spacing w:after="0" w:afterLines="0" w:line="400" w:lineRule="exact"/>
              <w:jc w:val="center"/>
              <w:rPr>
                <w:rFonts w:hint="eastAsia"/>
                <w:color w:val="auto"/>
                <w:highlight w:val="none"/>
              </w:rPr>
            </w:pPr>
            <w:r>
              <w:rPr>
                <w:rFonts w:hint="eastAsia"/>
                <w:color w:val="auto"/>
                <w:highlight w:val="none"/>
              </w:rPr>
              <w:t>审</w:t>
            </w:r>
          </w:p>
        </w:tc>
        <w:tc>
          <w:tcPr>
            <w:tcW w:w="1650" w:type="dxa"/>
            <w:tcBorders>
              <w:top w:val="single" w:color="auto" w:sz="4" w:space="0"/>
              <w:left w:val="single" w:color="auto" w:sz="4" w:space="0"/>
              <w:bottom w:val="single" w:color="auto" w:sz="4" w:space="0"/>
              <w:right w:val="single" w:color="auto" w:sz="4" w:space="0"/>
            </w:tcBorders>
            <w:vAlign w:val="center"/>
          </w:tcPr>
          <w:p w14:paraId="027336E0">
            <w:pPr>
              <w:pStyle w:val="2"/>
              <w:adjustRightInd w:val="0"/>
              <w:snapToGrid w:val="0"/>
              <w:spacing w:after="0" w:afterLines="0" w:line="400" w:lineRule="exact"/>
              <w:rPr>
                <w:rFonts w:hint="eastAsia"/>
                <w:color w:val="auto"/>
                <w:highlight w:val="none"/>
              </w:rPr>
            </w:pPr>
            <w:r>
              <w:rPr>
                <w:rFonts w:hint="eastAsia" w:ascii="宋体" w:hAnsi="宋体" w:cs="宋体"/>
                <w:color w:val="auto"/>
                <w:kern w:val="0"/>
                <w:highlight w:val="none"/>
                <w:lang w:val="en-US" w:eastAsia="zh-CN"/>
              </w:rPr>
              <w:t>总体要求</w:t>
            </w:r>
          </w:p>
        </w:tc>
        <w:tc>
          <w:tcPr>
            <w:tcW w:w="5048" w:type="dxa"/>
            <w:tcBorders>
              <w:top w:val="single" w:color="auto" w:sz="4" w:space="0"/>
              <w:left w:val="single" w:color="auto" w:sz="4" w:space="0"/>
              <w:bottom w:val="single" w:color="auto" w:sz="4" w:space="0"/>
              <w:right w:val="single" w:color="auto" w:sz="4" w:space="0"/>
            </w:tcBorders>
            <w:vAlign w:val="center"/>
          </w:tcPr>
          <w:p w14:paraId="6E1090F8">
            <w:pPr>
              <w:keepNext w:val="0"/>
              <w:keepLines w:val="0"/>
              <w:widowControl w:val="0"/>
              <w:suppressLineNumbers w:val="0"/>
              <w:autoSpaceDE w:val="0"/>
              <w:autoSpaceDN w:val="0"/>
              <w:adjustRightInd w:val="0"/>
              <w:snapToGrid w:val="0"/>
              <w:spacing w:before="0" w:beforeAutospacing="0" w:after="0" w:afterLines="0" w:afterAutospacing="0" w:line="400" w:lineRule="exact"/>
              <w:ind w:left="0" w:right="0" w:firstLine="420" w:firstLineChars="200"/>
              <w:jc w:val="both"/>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技术部分评分分为客观评分和主观评分。</w:t>
            </w:r>
          </w:p>
          <w:p w14:paraId="12034E4E">
            <w:pPr>
              <w:keepNext w:val="0"/>
              <w:keepLines w:val="0"/>
              <w:widowControl/>
              <w:suppressLineNumbers w:val="0"/>
              <w:autoSpaceDE/>
              <w:autoSpaceDN/>
              <w:adjustRightInd w:val="0"/>
              <w:snapToGrid w:val="0"/>
              <w:spacing w:before="0" w:beforeAutospacing="0" w:after="0" w:afterLines="0" w:afterAutospacing="0" w:line="400" w:lineRule="exact"/>
              <w:ind w:left="0" w:right="0" w:firstLine="420" w:firstLineChars="200"/>
              <w:jc w:val="left"/>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客观评分：评审委员会按以下各评审因素设定的分值进行评分且保证分值统一；主观评分：</w:t>
            </w:r>
            <w:r>
              <w:rPr>
                <w:rFonts w:hint="eastAsia" w:ascii="宋体" w:hAnsi="宋体"/>
                <w:snapToGrid w:val="0"/>
                <w:color w:val="auto"/>
                <w:kern w:val="0"/>
                <w:szCs w:val="21"/>
                <w:highlight w:val="none"/>
                <w:lang w:eastAsia="zh-CN"/>
              </w:rPr>
              <w:t>评审委员会</w:t>
            </w:r>
            <w:r>
              <w:rPr>
                <w:rFonts w:ascii="宋体" w:hAnsi="宋体"/>
                <w:snapToGrid w:val="0"/>
                <w:color w:val="auto"/>
                <w:kern w:val="0"/>
                <w:szCs w:val="21"/>
                <w:highlight w:val="none"/>
              </w:rPr>
              <w:t>成员为5人及以上时，所有评委</w:t>
            </w:r>
            <w:r>
              <w:rPr>
                <w:rFonts w:hint="eastAsia" w:ascii="宋体" w:hAnsi="宋体"/>
                <w:snapToGrid w:val="0"/>
                <w:color w:val="auto"/>
                <w:kern w:val="0"/>
                <w:szCs w:val="21"/>
                <w:highlight w:val="none"/>
                <w:lang w:eastAsia="zh-CN"/>
              </w:rPr>
              <w:t>评分</w:t>
            </w:r>
            <w:r>
              <w:rPr>
                <w:rFonts w:ascii="宋体" w:hAnsi="宋体"/>
                <w:snapToGrid w:val="0"/>
                <w:color w:val="auto"/>
                <w:kern w:val="0"/>
                <w:szCs w:val="21"/>
                <w:highlight w:val="none"/>
              </w:rPr>
              <w:t>中去掉一个最高和一个最低分，余下评委</w:t>
            </w:r>
            <w:r>
              <w:rPr>
                <w:rFonts w:hint="eastAsia" w:ascii="宋体" w:hAnsi="宋体"/>
                <w:snapToGrid w:val="0"/>
                <w:color w:val="auto"/>
                <w:kern w:val="0"/>
                <w:szCs w:val="21"/>
                <w:highlight w:val="none"/>
                <w:lang w:eastAsia="zh-CN"/>
              </w:rPr>
              <w:t>评分</w:t>
            </w:r>
            <w:r>
              <w:rPr>
                <w:rFonts w:ascii="宋体" w:hAnsi="宋体"/>
                <w:snapToGrid w:val="0"/>
                <w:color w:val="auto"/>
                <w:kern w:val="0"/>
                <w:szCs w:val="21"/>
                <w:highlight w:val="none"/>
              </w:rPr>
              <w:t>取算术平均值为该</w:t>
            </w:r>
            <w:r>
              <w:rPr>
                <w:rFonts w:hint="eastAsia" w:ascii="宋体" w:hAnsi="宋体"/>
                <w:snapToGrid w:val="0"/>
                <w:color w:val="auto"/>
                <w:kern w:val="0"/>
                <w:szCs w:val="21"/>
                <w:highlight w:val="none"/>
                <w:lang w:eastAsia="zh-CN"/>
              </w:rPr>
              <w:t>供应商</w:t>
            </w:r>
            <w:r>
              <w:rPr>
                <w:rFonts w:ascii="宋体" w:hAnsi="宋体"/>
                <w:snapToGrid w:val="0"/>
                <w:color w:val="auto"/>
                <w:kern w:val="0"/>
                <w:szCs w:val="21"/>
                <w:highlight w:val="none"/>
              </w:rPr>
              <w:t>技术方案得分。</w:t>
            </w:r>
          </w:p>
          <w:p w14:paraId="1BBBC9E2">
            <w:pPr>
              <w:adjustRightInd w:val="0"/>
              <w:snapToGrid w:val="0"/>
              <w:spacing w:afterLines="0" w:line="400" w:lineRule="exact"/>
              <w:ind w:firstLine="420" w:firstLineChars="200"/>
              <w:rPr>
                <w:rFonts w:hint="eastAsia" w:ascii="宋体" w:hAnsi="宋体"/>
                <w:color w:val="auto"/>
                <w:highlight w:val="none"/>
                <w:u w:val="single"/>
              </w:rPr>
            </w:pPr>
            <w:r>
              <w:rPr>
                <w:rFonts w:hint="eastAsia" w:ascii="宋体" w:hAnsi="宋体" w:eastAsia="宋体" w:cs="宋体"/>
                <w:bCs/>
                <w:color w:val="auto"/>
                <w:kern w:val="2"/>
                <w:sz w:val="21"/>
                <w:szCs w:val="21"/>
                <w:highlight w:val="none"/>
                <w:lang w:val="en-US" w:eastAsia="zh-CN" w:bidi="ar"/>
              </w:rPr>
              <w:t>技术部分得分的最终结果保留两位小数，小数点后第三位四舍五入。</w:t>
            </w:r>
          </w:p>
        </w:tc>
      </w:tr>
      <w:tr w14:paraId="07663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124B6A41">
            <w:pPr>
              <w:pStyle w:val="2"/>
              <w:adjustRightInd w:val="0"/>
              <w:snapToGrid w:val="0"/>
              <w:spacing w:after="0" w:afterLines="0"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23C0EA62">
            <w:pPr>
              <w:widowControl/>
              <w:adjustRightInd w:val="0"/>
              <w:snapToGrid w:val="0"/>
              <w:spacing w:afterLines="0" w:line="400" w:lineRule="exact"/>
              <w:jc w:val="center"/>
              <w:rPr>
                <w:rFonts w:hint="eastAsia" w:ascii="宋体" w:hAnsi="宋体"/>
                <w:color w:val="auto"/>
                <w:kern w:val="0"/>
                <w:highlight w:val="none"/>
              </w:rPr>
            </w:pPr>
          </w:p>
        </w:tc>
        <w:tc>
          <w:tcPr>
            <w:tcW w:w="705" w:type="dxa"/>
            <w:vMerge w:val="continue"/>
            <w:tcBorders>
              <w:left w:val="single" w:color="auto" w:sz="4" w:space="0"/>
              <w:right w:val="single" w:color="auto" w:sz="4" w:space="0"/>
            </w:tcBorders>
            <w:vAlign w:val="center"/>
          </w:tcPr>
          <w:p w14:paraId="55A0BEA2">
            <w:pPr>
              <w:pStyle w:val="2"/>
              <w:adjustRightInd w:val="0"/>
              <w:snapToGrid w:val="0"/>
              <w:spacing w:after="0" w:afterLines="0" w:line="400" w:lineRule="exact"/>
              <w:jc w:val="center"/>
              <w:rPr>
                <w:rFonts w:hint="eastAsia"/>
                <w:color w:val="auto"/>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14:paraId="4B40FFD0">
            <w:pPr>
              <w:keepNext w:val="0"/>
              <w:keepLines w:val="0"/>
              <w:widowControl w:val="0"/>
              <w:suppressLineNumbers w:val="0"/>
              <w:adjustRightInd w:val="0"/>
              <w:snapToGrid w:val="0"/>
              <w:spacing w:before="0" w:beforeAutospacing="0" w:after="0" w:afterLines="0" w:afterAutospacing="0" w:line="400" w:lineRule="exact"/>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项目施工方案</w:t>
            </w:r>
          </w:p>
          <w:p w14:paraId="0AF3C065">
            <w:pPr>
              <w:keepNext w:val="0"/>
              <w:keepLines w:val="0"/>
              <w:widowControl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cs="宋体"/>
                <w:color w:val="auto"/>
                <w:kern w:val="0"/>
                <w:szCs w:val="21"/>
                <w:highlight w:val="none"/>
                <w:lang w:bidi="ar"/>
              </w:rPr>
            </w:pPr>
            <w:r>
              <w:rPr>
                <w:rFonts w:hint="eastAsia" w:ascii="宋体" w:hAnsi="宋体" w:eastAsia="宋体" w:cs="宋体"/>
                <w:color w:val="auto"/>
                <w:kern w:val="2"/>
                <w:sz w:val="21"/>
                <w:szCs w:val="21"/>
                <w:highlight w:val="none"/>
                <w:lang w:val="en-US" w:eastAsia="zh-CN" w:bidi="ar"/>
              </w:rPr>
              <w:t>（10分）</w:t>
            </w:r>
          </w:p>
        </w:tc>
        <w:tc>
          <w:tcPr>
            <w:tcW w:w="5048" w:type="dxa"/>
            <w:tcBorders>
              <w:top w:val="single" w:color="auto" w:sz="4" w:space="0"/>
              <w:left w:val="single" w:color="auto" w:sz="4" w:space="0"/>
              <w:bottom w:val="single" w:color="auto" w:sz="4" w:space="0"/>
              <w:right w:val="single" w:color="auto" w:sz="4" w:space="0"/>
            </w:tcBorders>
            <w:vAlign w:val="center"/>
          </w:tcPr>
          <w:p w14:paraId="5DCCDF5A">
            <w:pPr>
              <w:keepNext w:val="0"/>
              <w:keepLines w:val="0"/>
              <w:widowControl w:val="0"/>
              <w:suppressLineNumbers w:val="0"/>
              <w:autoSpaceDE w:val="0"/>
              <w:autoSpaceDN/>
              <w:adjustRightInd w:val="0"/>
              <w:snapToGrid w:val="0"/>
              <w:spacing w:before="0" w:beforeAutospacing="0" w:after="0" w:afterLines="0" w:afterAutospacing="0" w:line="400" w:lineRule="exact"/>
              <w:ind w:left="0" w:leftChars="0" w:right="0" w:rightChars="0" w:firstLine="420" w:firstLineChars="200"/>
              <w:jc w:val="both"/>
              <w:rPr>
                <w:rFonts w:ascii="宋体" w:hAnsi="宋体"/>
                <w:color w:val="auto"/>
                <w:highlight w:val="none"/>
                <w:u w:val="single"/>
              </w:rPr>
            </w:pPr>
            <w:r>
              <w:rPr>
                <w:rFonts w:hint="eastAsia" w:ascii="宋体" w:hAnsi="宋体" w:cs="宋体"/>
                <w:color w:val="auto"/>
                <w:kern w:val="0"/>
                <w:szCs w:val="21"/>
                <w:highlight w:val="none"/>
                <w:lang w:bidi="ar"/>
              </w:rPr>
              <w:t>针对本项目编制施工方案，主要内容包括但不限于总体施工规划，人员、机具等资源配置、工期安排和资金保证措施、关键节点及施工难点分析、项目风险预测与防范等内容。详细内容需体现针对本项目机电、通信设施迁改保通工作中的复杂性和施工难度的掌握程度，以及如何保障工期、质量和安全目标的措施。方案编制合理，可实施性高的得8~10，方案编制较合理，可实施性较高的得6~8分，方案编制不合理，可实施性差的得0~6分。</w:t>
            </w:r>
          </w:p>
        </w:tc>
      </w:tr>
      <w:tr w14:paraId="30963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restart"/>
            <w:tcBorders>
              <w:left w:val="single" w:color="auto" w:sz="4" w:space="0"/>
              <w:right w:val="single" w:color="auto" w:sz="4" w:space="0"/>
            </w:tcBorders>
            <w:vAlign w:val="center"/>
          </w:tcPr>
          <w:p w14:paraId="322C5831">
            <w:pPr>
              <w:pStyle w:val="2"/>
              <w:adjustRightInd w:val="0"/>
              <w:snapToGrid w:val="0"/>
              <w:spacing w:after="0" w:afterLines="0" w:line="400" w:lineRule="exact"/>
              <w:jc w:val="center"/>
              <w:rPr>
                <w:rFonts w:hint="eastAsia" w:ascii="宋体" w:hAnsi="宋体"/>
                <w:color w:val="auto"/>
                <w:kern w:val="0"/>
                <w:highlight w:val="none"/>
              </w:rPr>
            </w:pPr>
            <w:r>
              <w:rPr>
                <w:rFonts w:hint="eastAsia" w:ascii="宋体" w:hAnsi="宋体"/>
                <w:color w:val="auto"/>
                <w:kern w:val="0"/>
                <w:highlight w:val="none"/>
              </w:rPr>
              <w:t>2.2.2</w:t>
            </w:r>
          </w:p>
          <w:p w14:paraId="5A4A6902">
            <w:pPr>
              <w:pStyle w:val="2"/>
              <w:adjustRightInd w:val="0"/>
              <w:snapToGrid w:val="0"/>
              <w:spacing w:after="0" w:afterLines="0" w:line="400" w:lineRule="exact"/>
              <w:jc w:val="center"/>
              <w:rPr>
                <w:color w:val="auto"/>
                <w:highlight w:val="none"/>
              </w:rPr>
            </w:pPr>
            <w:r>
              <w:rPr>
                <w:rFonts w:hint="eastAsia" w:ascii="宋体" w:hAnsi="宋体"/>
                <w:color w:val="auto"/>
                <w:kern w:val="0"/>
                <w:highlight w:val="none"/>
              </w:rPr>
              <w:t>（2）</w:t>
            </w:r>
          </w:p>
        </w:tc>
        <w:tc>
          <w:tcPr>
            <w:tcW w:w="1599" w:type="dxa"/>
            <w:vMerge w:val="restart"/>
            <w:tcBorders>
              <w:left w:val="single" w:color="auto" w:sz="4" w:space="0"/>
              <w:right w:val="single" w:color="auto" w:sz="4" w:space="0"/>
            </w:tcBorders>
            <w:vAlign w:val="center"/>
          </w:tcPr>
          <w:p w14:paraId="4F7A5E0D">
            <w:pPr>
              <w:widowControl/>
              <w:adjustRightInd w:val="0"/>
              <w:snapToGrid w:val="0"/>
              <w:spacing w:afterLines="0" w:line="400" w:lineRule="exact"/>
              <w:jc w:val="center"/>
              <w:rPr>
                <w:rFonts w:hint="default" w:ascii="宋体" w:hAnsi="宋体" w:eastAsia="宋体"/>
                <w:color w:val="auto"/>
                <w:kern w:val="0"/>
                <w:highlight w:val="none"/>
                <w:lang w:val="en-US" w:eastAsia="zh-CN"/>
              </w:rPr>
            </w:pPr>
            <w:r>
              <w:rPr>
                <w:rFonts w:hint="eastAsia" w:ascii="宋体" w:hAnsi="宋体"/>
                <w:color w:val="auto"/>
                <w:kern w:val="0"/>
                <w:highlight w:val="none"/>
              </w:rPr>
              <w:t>商务</w:t>
            </w:r>
            <w:r>
              <w:rPr>
                <w:rFonts w:hint="eastAsia" w:ascii="宋体" w:hAnsi="宋体"/>
                <w:color w:val="auto"/>
                <w:kern w:val="0"/>
                <w:highlight w:val="none"/>
                <w:lang w:val="en-US" w:eastAsia="zh-CN"/>
              </w:rPr>
              <w:t>评审</w:t>
            </w:r>
            <w:r>
              <w:rPr>
                <w:rFonts w:hint="eastAsia" w:ascii="宋体" w:hAnsi="宋体"/>
                <w:color w:val="auto"/>
                <w:kern w:val="0"/>
                <w:highlight w:val="none"/>
              </w:rPr>
              <w:t>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1058EB2">
            <w:pPr>
              <w:adjustRightInd w:val="0"/>
              <w:snapToGrid w:val="0"/>
              <w:spacing w:afterLines="0" w:line="400" w:lineRule="exact"/>
              <w:jc w:val="center"/>
              <w:rPr>
                <w:rFonts w:hint="eastAsia" w:ascii="宋体" w:hAnsi="宋体" w:cs="宋体"/>
                <w:color w:val="auto"/>
                <w:kern w:val="0"/>
                <w:highlight w:val="none"/>
              </w:rPr>
            </w:pPr>
            <w:r>
              <w:rPr>
                <w:rFonts w:hint="eastAsia" w:ascii="宋体" w:hAnsi="宋体" w:cs="宋体"/>
                <w:color w:val="auto"/>
                <w:kern w:val="0"/>
                <w:highlight w:val="none"/>
                <w:lang w:val="en-US" w:eastAsia="zh-CN"/>
              </w:rPr>
              <w:t>总体要求</w:t>
            </w:r>
          </w:p>
        </w:tc>
        <w:tc>
          <w:tcPr>
            <w:tcW w:w="5048" w:type="dxa"/>
            <w:tcBorders>
              <w:top w:val="single" w:color="auto" w:sz="4" w:space="0"/>
              <w:left w:val="single" w:color="auto" w:sz="4" w:space="0"/>
              <w:bottom w:val="single" w:color="auto" w:sz="4" w:space="0"/>
              <w:right w:val="single" w:color="auto" w:sz="4" w:space="0"/>
            </w:tcBorders>
            <w:vAlign w:val="center"/>
          </w:tcPr>
          <w:p w14:paraId="3FF35D75">
            <w:pPr>
              <w:keepNext w:val="0"/>
              <w:keepLines w:val="0"/>
              <w:widowControl w:val="0"/>
              <w:suppressLineNumbers w:val="0"/>
              <w:adjustRightInd w:val="0"/>
              <w:snapToGrid w:val="0"/>
              <w:spacing w:before="0" w:beforeAutospacing="0" w:after="0" w:afterLines="0" w:afterAutospacing="0" w:line="400" w:lineRule="exact"/>
              <w:ind w:left="0" w:right="0" w:firstLine="420" w:firstLineChars="0"/>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商务部分评分为客观评分，评审委员会按以下各评审因素设定的分值进行评分且保证分值统一。</w:t>
            </w:r>
          </w:p>
          <w:p w14:paraId="343F2F3C">
            <w:pPr>
              <w:widowControl/>
              <w:autoSpaceDE w:val="0"/>
              <w:autoSpaceDN w:val="0"/>
              <w:adjustRightInd w:val="0"/>
              <w:snapToGrid w:val="0"/>
              <w:spacing w:afterLines="0" w:line="400" w:lineRule="exact"/>
              <w:ind w:firstLine="415" w:firstLineChars="198"/>
              <w:jc w:val="left"/>
              <w:rPr>
                <w:rFonts w:hint="eastAsia" w:ascii="宋体" w:hAnsi="宋体" w:eastAsia="宋体"/>
                <w:color w:val="auto"/>
                <w:highlight w:val="none"/>
                <w:lang w:eastAsia="zh-CN"/>
              </w:rPr>
            </w:pPr>
            <w:r>
              <w:rPr>
                <w:rFonts w:hint="eastAsia" w:ascii="宋体" w:hAnsi="宋体" w:eastAsia="宋体" w:cs="宋体"/>
                <w:bCs/>
                <w:color w:val="auto"/>
                <w:kern w:val="2"/>
                <w:sz w:val="21"/>
                <w:szCs w:val="21"/>
                <w:highlight w:val="none"/>
                <w:lang w:val="en-US" w:eastAsia="zh-CN" w:bidi="ar"/>
              </w:rPr>
              <w:t>商务部分得分的最终结果保留两位小数，小数点后第三位四舍五入。</w:t>
            </w:r>
          </w:p>
        </w:tc>
      </w:tr>
      <w:tr w14:paraId="7861D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72988256">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370F3CA9">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794EDC25">
            <w:pPr>
              <w:keepNext w:val="0"/>
              <w:keepLines w:val="0"/>
              <w:widowControl w:val="0"/>
              <w:suppressLineNumbers w:val="0"/>
              <w:adjustRightInd w:val="0"/>
              <w:snapToGrid w:val="0"/>
              <w:spacing w:before="0" w:beforeAutospacing="0" w:after="0" w:afterLines="0" w:afterAutospacing="0" w:line="400" w:lineRule="exact"/>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供应商业绩</w:t>
            </w:r>
          </w:p>
          <w:p w14:paraId="0895FBEA">
            <w:pPr>
              <w:keepNext w:val="0"/>
              <w:keepLines w:val="0"/>
              <w:widowControl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cs="宋体"/>
                <w:color w:val="auto"/>
                <w:szCs w:val="21"/>
                <w:highlight w:val="none"/>
              </w:rPr>
            </w:pPr>
            <w:r>
              <w:rPr>
                <w:rFonts w:hint="eastAsia" w:ascii="宋体" w:hAnsi="宋体" w:eastAsia="宋体" w:cs="宋体"/>
                <w:color w:val="auto"/>
                <w:kern w:val="2"/>
                <w:sz w:val="21"/>
                <w:szCs w:val="21"/>
                <w:highlight w:val="none"/>
                <w:lang w:val="en-US" w:eastAsia="zh-CN" w:bidi="ar"/>
              </w:rPr>
              <w:t>（6分）</w:t>
            </w:r>
          </w:p>
        </w:tc>
        <w:tc>
          <w:tcPr>
            <w:tcW w:w="5048" w:type="dxa"/>
            <w:tcBorders>
              <w:top w:val="single" w:color="auto" w:sz="4" w:space="0"/>
              <w:left w:val="single" w:color="auto" w:sz="4" w:space="0"/>
              <w:bottom w:val="single" w:color="auto" w:sz="4" w:space="0"/>
              <w:right w:val="single" w:color="auto" w:sz="4" w:space="0"/>
            </w:tcBorders>
            <w:vAlign w:val="center"/>
          </w:tcPr>
          <w:p w14:paraId="32A2476C">
            <w:pPr>
              <w:adjustRightInd w:val="0"/>
              <w:snapToGrid w:val="0"/>
              <w:spacing w:afterLines="0" w:line="400" w:lineRule="exact"/>
              <w:ind w:firstLine="442"/>
              <w:jc w:val="both"/>
              <w:textAlignment w:val="baseline"/>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vertAlign w:val="baseline"/>
                <w:lang w:val="en-US" w:eastAsia="zh-CN" w:bidi="ar"/>
              </w:rPr>
              <w:t>（1）满足资格业绩条件要求得3.6分；</w:t>
            </w:r>
          </w:p>
          <w:p w14:paraId="7C0853CF">
            <w:pPr>
              <w:widowControl w:val="0"/>
              <w:spacing w:line="400" w:lineRule="exact"/>
              <w:ind w:firstLine="442"/>
              <w:jc w:val="both"/>
              <w:textAlignment w:val="baseline"/>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val="en-US" w:eastAsia="zh-CN" w:bidi="ar"/>
              </w:rPr>
              <w:t>在满足资格审查条件的基础</w:t>
            </w:r>
            <w:r>
              <w:rPr>
                <w:rFonts w:hint="eastAsia" w:ascii="宋体" w:hAnsi="宋体" w:eastAsia="宋体" w:cs="宋体"/>
                <w:color w:val="auto"/>
                <w:kern w:val="0"/>
                <w:sz w:val="21"/>
                <w:szCs w:val="21"/>
                <w:highlight w:val="none"/>
                <w:u w:val="none"/>
                <w:lang w:val="en-US" w:eastAsia="zh-CN" w:bidi="ar"/>
              </w:rPr>
              <w:t>上，供应商</w:t>
            </w:r>
            <w:r>
              <w:rPr>
                <w:rFonts w:hint="eastAsia" w:ascii="宋体" w:hAnsi="宋体" w:eastAsia="宋体" w:cs="宋体"/>
                <w:snapToGrid/>
                <w:color w:val="auto"/>
                <w:kern w:val="0"/>
                <w:szCs w:val="21"/>
                <w:highlight w:val="none"/>
                <w:u w:val="none"/>
                <w:lang w:bidi="ar"/>
              </w:rPr>
              <w:t>20</w:t>
            </w:r>
            <w:r>
              <w:rPr>
                <w:rFonts w:hint="eastAsia" w:ascii="宋体" w:hAnsi="宋体" w:eastAsia="宋体" w:cs="宋体"/>
                <w:snapToGrid/>
                <w:color w:val="auto"/>
                <w:kern w:val="0"/>
                <w:szCs w:val="21"/>
                <w:highlight w:val="none"/>
                <w:u w:val="none"/>
                <w:lang w:val="en-US" w:eastAsia="zh-CN" w:bidi="ar"/>
              </w:rPr>
              <w:t>23</w:t>
            </w:r>
            <w:r>
              <w:rPr>
                <w:rFonts w:hint="eastAsia" w:ascii="宋体" w:hAnsi="宋体" w:eastAsia="宋体" w:cs="宋体"/>
                <w:snapToGrid/>
                <w:color w:val="auto"/>
                <w:kern w:val="0"/>
                <w:szCs w:val="21"/>
                <w:highlight w:val="none"/>
                <w:u w:val="none"/>
                <w:lang w:bidi="ar"/>
              </w:rPr>
              <w:t>年</w:t>
            </w:r>
            <w:r>
              <w:rPr>
                <w:rFonts w:hint="eastAsia" w:ascii="宋体" w:hAnsi="宋体" w:eastAsia="宋体" w:cs="宋体"/>
                <w:snapToGrid/>
                <w:color w:val="auto"/>
                <w:kern w:val="0"/>
                <w:szCs w:val="21"/>
                <w:highlight w:val="none"/>
                <w:u w:val="none"/>
                <w:lang w:val="en-US" w:eastAsia="zh-CN" w:bidi="ar"/>
              </w:rPr>
              <w:t>1</w:t>
            </w:r>
            <w:r>
              <w:rPr>
                <w:rFonts w:hint="eastAsia" w:ascii="宋体" w:hAnsi="宋体" w:eastAsia="宋体" w:cs="宋体"/>
                <w:snapToGrid/>
                <w:color w:val="auto"/>
                <w:kern w:val="0"/>
                <w:szCs w:val="21"/>
                <w:highlight w:val="none"/>
                <w:u w:val="none"/>
                <w:lang w:bidi="ar"/>
              </w:rPr>
              <w:t>月1日至</w:t>
            </w:r>
            <w:r>
              <w:rPr>
                <w:rFonts w:hint="eastAsia" w:ascii="宋体" w:hAnsi="宋体" w:eastAsia="宋体" w:cs="宋体"/>
                <w:snapToGrid/>
                <w:color w:val="auto"/>
                <w:kern w:val="0"/>
                <w:szCs w:val="21"/>
                <w:highlight w:val="none"/>
                <w:u w:val="none"/>
                <w:lang w:eastAsia="zh-CN" w:bidi="ar"/>
              </w:rPr>
              <w:t>比选截止日</w:t>
            </w:r>
            <w:r>
              <w:rPr>
                <w:rFonts w:hint="eastAsia" w:ascii="宋体" w:hAnsi="宋体" w:eastAsia="宋体" w:cs="宋体"/>
                <w:snapToGrid/>
                <w:color w:val="auto"/>
                <w:kern w:val="0"/>
                <w:szCs w:val="21"/>
                <w:highlight w:val="none"/>
                <w:u w:val="none"/>
                <w:lang w:bidi="ar"/>
              </w:rPr>
              <w:t>（</w:t>
            </w:r>
            <w:r>
              <w:rPr>
                <w:rFonts w:hint="eastAsia" w:ascii="宋体" w:hAnsi="宋体" w:eastAsia="宋体" w:cs="宋体"/>
                <w:snapToGrid/>
                <w:color w:val="auto"/>
                <w:kern w:val="0"/>
                <w:szCs w:val="21"/>
                <w:highlight w:val="none"/>
                <w:u w:val="none"/>
                <w:lang w:val="en-US" w:eastAsia="zh-CN" w:bidi="ar"/>
              </w:rPr>
              <w:t>以</w:t>
            </w:r>
            <w:r>
              <w:rPr>
                <w:rFonts w:hint="eastAsia" w:ascii="宋体" w:hAnsi="宋体" w:eastAsia="宋体" w:cs="宋体"/>
                <w:snapToGrid/>
                <w:color w:val="auto"/>
                <w:kern w:val="0"/>
                <w:szCs w:val="21"/>
                <w:highlight w:val="none"/>
                <w:u w:val="none"/>
                <w:lang w:bidi="ar"/>
              </w:rPr>
              <w:t>合同签订时间为准）</w:t>
            </w:r>
            <w:r>
              <w:rPr>
                <w:rFonts w:hint="eastAsia" w:ascii="宋体" w:hAnsi="宋体" w:eastAsia="宋体" w:cs="宋体"/>
                <w:snapToGrid/>
                <w:color w:val="auto"/>
                <w:kern w:val="0"/>
                <w:szCs w:val="21"/>
                <w:highlight w:val="none"/>
                <w:u w:val="none"/>
                <w:lang w:val="en-US" w:eastAsia="zh-CN" w:bidi="ar"/>
              </w:rPr>
              <w:t>每额外</w:t>
            </w:r>
            <w:r>
              <w:rPr>
                <w:rFonts w:hint="eastAsia" w:ascii="宋体" w:hAnsi="宋体" w:eastAsia="宋体" w:cs="宋体"/>
                <w:snapToGrid/>
                <w:color w:val="auto"/>
                <w:kern w:val="0"/>
                <w:szCs w:val="21"/>
                <w:highlight w:val="none"/>
                <w:u w:val="none"/>
                <w:lang w:bidi="ar"/>
              </w:rPr>
              <w:t>具有一个合同金额</w:t>
            </w:r>
            <w:r>
              <w:rPr>
                <w:rFonts w:hint="eastAsia" w:ascii="宋体" w:hAnsi="宋体" w:eastAsia="宋体" w:cs="宋体"/>
                <w:snapToGrid/>
                <w:color w:val="auto"/>
                <w:kern w:val="0"/>
                <w:szCs w:val="21"/>
                <w:highlight w:val="none"/>
                <w:u w:val="none"/>
                <w:lang w:val="en-US" w:eastAsia="zh-CN" w:bidi="ar"/>
              </w:rPr>
              <w:t>100</w:t>
            </w:r>
            <w:r>
              <w:rPr>
                <w:rFonts w:hint="eastAsia" w:ascii="宋体" w:hAnsi="宋体" w:eastAsia="宋体" w:cs="宋体"/>
                <w:snapToGrid/>
                <w:color w:val="auto"/>
                <w:kern w:val="0"/>
                <w:szCs w:val="21"/>
                <w:highlight w:val="none"/>
                <w:u w:val="none"/>
                <w:lang w:bidi="ar"/>
              </w:rPr>
              <w:t>万元</w:t>
            </w:r>
            <w:r>
              <w:rPr>
                <w:rFonts w:hint="eastAsia" w:ascii="宋体" w:hAnsi="宋体" w:eastAsia="宋体" w:cs="宋体"/>
                <w:snapToGrid/>
                <w:color w:val="auto"/>
                <w:kern w:val="0"/>
                <w:sz w:val="21"/>
                <w:szCs w:val="21"/>
                <w:highlight w:val="none"/>
                <w:u w:val="none"/>
                <w:lang w:bidi="ar"/>
              </w:rPr>
              <w:t>及以上</w:t>
            </w:r>
            <w:r>
              <w:rPr>
                <w:rFonts w:hint="eastAsia" w:ascii="宋体" w:hAnsi="宋体" w:eastAsia="宋体" w:cs="宋体"/>
                <w:color w:val="auto"/>
                <w:kern w:val="0"/>
                <w:sz w:val="21"/>
                <w:szCs w:val="21"/>
                <w:highlight w:val="none"/>
                <w:u w:val="none"/>
                <w:lang w:val="en-US" w:eastAsia="zh-CN" w:bidi="ar"/>
              </w:rPr>
              <w:t>的高速公路行业营运路段机电工程劳务施工或维护业绩</w:t>
            </w:r>
            <w:r>
              <w:rPr>
                <w:rFonts w:hint="eastAsia" w:ascii="宋体" w:hAnsi="宋体" w:eastAsia="宋体" w:cs="宋体"/>
                <w:color w:val="auto"/>
                <w:kern w:val="0"/>
                <w:szCs w:val="21"/>
                <w:highlight w:val="none"/>
                <w:u w:val="none"/>
                <w:lang w:bidi="ar"/>
              </w:rPr>
              <w:t>（</w:t>
            </w:r>
            <w:r>
              <w:rPr>
                <w:rFonts w:hint="eastAsia" w:ascii="宋体" w:hAnsi="宋体" w:eastAsia="宋体" w:cs="宋体"/>
                <w:color w:val="auto"/>
                <w:kern w:val="0"/>
                <w:szCs w:val="21"/>
                <w:highlight w:val="none"/>
                <w:u w:val="none"/>
                <w:lang w:val="en-US" w:eastAsia="zh-CN" w:bidi="ar"/>
              </w:rPr>
              <w:t>合同</w:t>
            </w:r>
            <w:r>
              <w:rPr>
                <w:rFonts w:hint="eastAsia" w:ascii="宋体" w:hAnsi="宋体" w:cs="宋体"/>
                <w:color w:val="auto"/>
                <w:kern w:val="0"/>
                <w:szCs w:val="21"/>
                <w:highlight w:val="none"/>
                <w:u w:val="none"/>
                <w:lang w:val="en-US" w:eastAsia="zh-CN" w:bidi="ar"/>
              </w:rPr>
              <w:t>内</w:t>
            </w:r>
            <w:r>
              <w:rPr>
                <w:rFonts w:hint="eastAsia" w:ascii="宋体" w:hAnsi="宋体" w:eastAsia="宋体" w:cs="宋体"/>
                <w:color w:val="auto"/>
                <w:kern w:val="0"/>
                <w:szCs w:val="21"/>
                <w:highlight w:val="none"/>
                <w:u w:val="none"/>
                <w:lang w:val="en-US" w:eastAsia="zh-CN" w:bidi="ar"/>
              </w:rPr>
              <w:t>容至少</w:t>
            </w:r>
            <w:r>
              <w:rPr>
                <w:rFonts w:hint="eastAsia" w:ascii="宋体" w:hAnsi="宋体" w:eastAsia="宋体" w:cs="宋体"/>
                <w:color w:val="auto"/>
                <w:kern w:val="0"/>
                <w:szCs w:val="21"/>
                <w:highlight w:val="none"/>
                <w:u w:val="none"/>
                <w:lang w:bidi="ar"/>
              </w:rPr>
              <w:t>需包含通信</w:t>
            </w:r>
            <w:r>
              <w:rPr>
                <w:rFonts w:hint="eastAsia" w:ascii="宋体" w:hAnsi="宋体" w:eastAsia="宋体" w:cs="宋体"/>
                <w:color w:val="auto"/>
                <w:kern w:val="0"/>
                <w:szCs w:val="21"/>
                <w:highlight w:val="none"/>
                <w:u w:val="none"/>
                <w:lang w:eastAsia="zh-CN" w:bidi="ar"/>
              </w:rPr>
              <w:t>、</w:t>
            </w:r>
            <w:r>
              <w:rPr>
                <w:rFonts w:hint="eastAsia" w:ascii="宋体" w:hAnsi="宋体" w:eastAsia="宋体" w:cs="宋体"/>
                <w:color w:val="auto"/>
                <w:kern w:val="0"/>
                <w:szCs w:val="21"/>
                <w:highlight w:val="none"/>
                <w:u w:val="none"/>
                <w:lang w:val="en-US" w:eastAsia="zh-CN" w:bidi="ar"/>
              </w:rPr>
              <w:t>收费、监控</w:t>
            </w:r>
            <w:r>
              <w:rPr>
                <w:rFonts w:hint="eastAsia" w:ascii="宋体" w:hAnsi="宋体" w:eastAsia="宋体" w:cs="宋体"/>
                <w:color w:val="auto"/>
                <w:kern w:val="0"/>
                <w:szCs w:val="21"/>
                <w:highlight w:val="none"/>
                <w:u w:val="none"/>
                <w:lang w:bidi="ar"/>
              </w:rPr>
              <w:t>系统</w:t>
            </w:r>
            <w:r>
              <w:rPr>
                <w:rFonts w:hint="eastAsia" w:ascii="宋体" w:hAnsi="宋体" w:eastAsia="宋体" w:cs="宋体"/>
                <w:color w:val="auto"/>
                <w:kern w:val="0"/>
                <w:szCs w:val="21"/>
                <w:highlight w:val="none"/>
                <w:u w:val="none"/>
                <w:lang w:val="en-US" w:eastAsia="zh-CN" w:bidi="ar"/>
              </w:rPr>
              <w:t>其中一项</w:t>
            </w:r>
            <w:r>
              <w:rPr>
                <w:rFonts w:hint="eastAsia" w:ascii="宋体" w:hAnsi="宋体" w:eastAsia="宋体" w:cs="宋体"/>
                <w:color w:val="auto"/>
                <w:kern w:val="0"/>
                <w:szCs w:val="21"/>
                <w:highlight w:val="none"/>
                <w:u w:val="none"/>
                <w:lang w:bidi="ar"/>
              </w:rPr>
              <w:t>）</w:t>
            </w:r>
            <w:r>
              <w:rPr>
                <w:rFonts w:hint="eastAsia" w:ascii="宋体" w:hAnsi="宋体" w:eastAsia="宋体" w:cs="宋体"/>
                <w:color w:val="auto"/>
                <w:kern w:val="0"/>
                <w:sz w:val="21"/>
                <w:szCs w:val="21"/>
                <w:highlight w:val="none"/>
                <w:u w:val="none"/>
                <w:lang w:bidi="ar"/>
              </w:rPr>
              <w:t>得</w:t>
            </w:r>
            <w:r>
              <w:rPr>
                <w:rFonts w:hint="eastAsia" w:ascii="宋体" w:hAnsi="宋体" w:eastAsia="宋体" w:cs="宋体"/>
                <w:color w:val="auto"/>
                <w:kern w:val="0"/>
                <w:sz w:val="21"/>
                <w:szCs w:val="21"/>
                <w:highlight w:val="none"/>
                <w:lang w:val="en-US" w:eastAsia="zh-CN" w:bidi="ar"/>
              </w:rPr>
              <w:t>0.8</w:t>
            </w:r>
            <w:r>
              <w:rPr>
                <w:rFonts w:hint="eastAsia" w:ascii="宋体" w:hAnsi="宋体" w:eastAsia="宋体" w:cs="宋体"/>
                <w:color w:val="auto"/>
                <w:kern w:val="0"/>
                <w:sz w:val="21"/>
                <w:szCs w:val="21"/>
                <w:highlight w:val="none"/>
                <w:lang w:bidi="ar"/>
              </w:rPr>
              <w:t>分，满分</w:t>
            </w:r>
            <w:r>
              <w:rPr>
                <w:rFonts w:hint="eastAsia" w:ascii="宋体" w:hAnsi="宋体" w:eastAsia="宋体" w:cs="宋体"/>
                <w:color w:val="auto"/>
                <w:kern w:val="0"/>
                <w:sz w:val="21"/>
                <w:szCs w:val="21"/>
                <w:highlight w:val="none"/>
                <w:lang w:val="en-US" w:eastAsia="zh-CN" w:bidi="ar"/>
              </w:rPr>
              <w:t>2.4</w:t>
            </w:r>
            <w:r>
              <w:rPr>
                <w:rFonts w:hint="eastAsia" w:ascii="宋体" w:hAnsi="宋体" w:eastAsia="宋体" w:cs="宋体"/>
                <w:color w:val="auto"/>
                <w:kern w:val="0"/>
                <w:sz w:val="21"/>
                <w:szCs w:val="21"/>
                <w:highlight w:val="none"/>
                <w:lang w:bidi="ar"/>
              </w:rPr>
              <w:t>分。</w:t>
            </w:r>
          </w:p>
          <w:p w14:paraId="2E1EBB38">
            <w:pPr>
              <w:widowControl w:val="0"/>
              <w:spacing w:line="400" w:lineRule="exact"/>
              <w:ind w:firstLine="442"/>
              <w:jc w:val="both"/>
              <w:textAlignment w:val="baseline"/>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注：1.</w:t>
            </w:r>
            <w:r>
              <w:rPr>
                <w:rFonts w:hint="eastAsia" w:ascii="宋体" w:hAnsi="宋体" w:eastAsia="宋体" w:cs="宋体"/>
                <w:color w:val="auto"/>
                <w:kern w:val="0"/>
                <w:sz w:val="21"/>
                <w:szCs w:val="21"/>
                <w:highlight w:val="none"/>
                <w:lang w:val="en-US" w:eastAsia="zh-CN" w:bidi="ar"/>
              </w:rPr>
              <w:t>资格</w:t>
            </w:r>
            <w:r>
              <w:rPr>
                <w:rFonts w:hint="eastAsia" w:ascii="宋体" w:hAnsi="宋体" w:eastAsia="宋体" w:cs="宋体"/>
                <w:color w:val="auto"/>
                <w:kern w:val="0"/>
                <w:sz w:val="21"/>
                <w:szCs w:val="21"/>
                <w:highlight w:val="none"/>
                <w:lang w:bidi="ar"/>
              </w:rPr>
              <w:t>业绩不重复计算。</w:t>
            </w:r>
          </w:p>
          <w:p w14:paraId="48DDC43C">
            <w:pPr>
              <w:widowControl w:val="0"/>
              <w:spacing w:line="400" w:lineRule="exact"/>
              <w:ind w:firstLine="442"/>
              <w:jc w:val="both"/>
              <w:textAlignment w:val="baseline"/>
              <w:rPr>
                <w:rFonts w:hint="eastAsia" w:ascii="宋体" w:hAnsi="宋体"/>
                <w:color w:val="auto"/>
                <w:szCs w:val="21"/>
                <w:highlight w:val="none"/>
              </w:rPr>
            </w:pPr>
            <w:r>
              <w:rPr>
                <w:rFonts w:hint="eastAsia" w:ascii="宋体" w:hAnsi="宋体" w:eastAsia="宋体" w:cs="宋体"/>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bidi="ar"/>
              </w:rPr>
              <w:t>.</w:t>
            </w:r>
            <w:r>
              <w:rPr>
                <w:rFonts w:hint="eastAsia" w:ascii="宋体" w:hAnsi="宋体" w:eastAsia="宋体" w:cs="宋体"/>
                <w:color w:val="auto"/>
                <w:kern w:val="0"/>
                <w:sz w:val="21"/>
                <w:szCs w:val="21"/>
                <w:highlight w:val="none"/>
                <w:lang w:val="en-US" w:eastAsia="zh-CN" w:bidi="ar"/>
              </w:rPr>
              <w:t>提供</w:t>
            </w:r>
            <w:r>
              <w:rPr>
                <w:rFonts w:hint="eastAsia" w:ascii="宋体" w:hAnsi="宋体" w:eastAsia="宋体" w:cs="宋体"/>
                <w:color w:val="auto"/>
                <w:kern w:val="0"/>
                <w:sz w:val="21"/>
                <w:szCs w:val="21"/>
                <w:highlight w:val="none"/>
                <w:lang w:bidi="ar"/>
              </w:rPr>
              <w:t>合同复印件并加盖</w:t>
            </w:r>
            <w:r>
              <w:rPr>
                <w:rFonts w:hint="eastAsia" w:ascii="宋体" w:hAnsi="宋体" w:eastAsia="宋体" w:cs="宋体"/>
                <w:color w:val="auto"/>
                <w:kern w:val="0"/>
                <w:szCs w:val="21"/>
                <w:highlight w:val="none"/>
                <w:lang w:eastAsia="zh-CN" w:bidi="ar"/>
              </w:rPr>
              <w:t>供应商单位</w:t>
            </w:r>
            <w:r>
              <w:rPr>
                <w:rFonts w:hint="eastAsia" w:ascii="宋体" w:hAnsi="宋体" w:eastAsia="宋体" w:cs="宋体"/>
                <w:color w:val="auto"/>
                <w:kern w:val="0"/>
                <w:szCs w:val="21"/>
                <w:highlight w:val="none"/>
                <w:lang w:bidi="ar"/>
              </w:rPr>
              <w:t>法人章</w:t>
            </w:r>
            <w:r>
              <w:rPr>
                <w:rFonts w:hint="eastAsia" w:ascii="宋体" w:hAnsi="宋体" w:eastAsia="宋体" w:cs="宋体"/>
                <w:color w:val="auto"/>
                <w:kern w:val="0"/>
                <w:szCs w:val="21"/>
                <w:highlight w:val="none"/>
                <w:lang w:eastAsia="zh-CN" w:bidi="ar"/>
              </w:rPr>
              <w:t>，</w:t>
            </w:r>
            <w:r>
              <w:rPr>
                <w:rFonts w:hint="eastAsia" w:ascii="宋体" w:hAnsi="宋体" w:eastAsia="宋体" w:cs="宋体"/>
                <w:color w:val="auto"/>
                <w:kern w:val="0"/>
                <w:sz w:val="21"/>
                <w:szCs w:val="21"/>
                <w:highlight w:val="none"/>
                <w:lang w:bidi="ar"/>
              </w:rPr>
              <w:t>合同需清晰反映上述业绩要求的主要内容，包括但不限于合同首尾页、签章页、金额页</w:t>
            </w:r>
            <w:r>
              <w:rPr>
                <w:rFonts w:hint="eastAsia" w:ascii="宋体" w:hAnsi="宋体" w:eastAsia="宋体" w:cs="宋体"/>
                <w:color w:val="auto"/>
                <w:kern w:val="0"/>
                <w:sz w:val="21"/>
                <w:szCs w:val="21"/>
                <w:highlight w:val="none"/>
                <w:lang w:val="en-US" w:eastAsia="zh-CN" w:bidi="ar"/>
              </w:rPr>
              <w:t>等</w:t>
            </w:r>
            <w:r>
              <w:rPr>
                <w:rFonts w:hint="eastAsia" w:ascii="宋体" w:hAnsi="宋体" w:eastAsia="宋体" w:cs="宋体"/>
                <w:color w:val="auto"/>
                <w:kern w:val="0"/>
                <w:sz w:val="21"/>
                <w:szCs w:val="21"/>
                <w:highlight w:val="none"/>
                <w:lang w:bidi="ar"/>
              </w:rPr>
              <w:t>，需能充分体现以上业绩要求各项要素。</w:t>
            </w:r>
          </w:p>
        </w:tc>
      </w:tr>
      <w:tr w14:paraId="2154A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79223690">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512CD3F3">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1658AD43">
            <w:pPr>
              <w:keepNext w:val="0"/>
              <w:keepLines w:val="0"/>
              <w:widowControl w:val="0"/>
              <w:suppressLineNumbers w:val="0"/>
              <w:adjustRightInd w:val="0"/>
              <w:snapToGrid w:val="0"/>
              <w:spacing w:before="0" w:beforeAutospacing="0" w:after="0" w:afterLines="0" w:afterAutospacing="0" w:line="400" w:lineRule="exact"/>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人员业绩</w:t>
            </w:r>
          </w:p>
          <w:p w14:paraId="204A749C">
            <w:pPr>
              <w:keepNext w:val="0"/>
              <w:keepLines w:val="0"/>
              <w:widowControl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cs="宋体"/>
                <w:color w:val="auto"/>
                <w:kern w:val="0"/>
                <w:szCs w:val="21"/>
                <w:highlight w:val="none"/>
                <w:lang w:bidi="ar"/>
              </w:rPr>
            </w:pPr>
            <w:r>
              <w:rPr>
                <w:rFonts w:hint="eastAsia" w:ascii="宋体" w:hAnsi="宋体" w:eastAsia="宋体" w:cs="宋体"/>
                <w:color w:val="auto"/>
                <w:kern w:val="2"/>
                <w:sz w:val="21"/>
                <w:szCs w:val="21"/>
                <w:highlight w:val="none"/>
                <w:lang w:val="en-US" w:eastAsia="zh-CN" w:bidi="ar"/>
              </w:rPr>
              <w:t>（1分）</w:t>
            </w:r>
          </w:p>
        </w:tc>
        <w:tc>
          <w:tcPr>
            <w:tcW w:w="5048" w:type="dxa"/>
            <w:tcBorders>
              <w:top w:val="single" w:color="auto" w:sz="4" w:space="0"/>
              <w:left w:val="single" w:color="auto" w:sz="4" w:space="0"/>
              <w:bottom w:val="single" w:color="auto" w:sz="4" w:space="0"/>
              <w:right w:val="single" w:color="auto" w:sz="4" w:space="0"/>
            </w:tcBorders>
            <w:vAlign w:val="center"/>
          </w:tcPr>
          <w:p w14:paraId="03DC82E2">
            <w:pPr>
              <w:widowControl w:val="0"/>
              <w:adjustRightInd/>
              <w:snapToGrid/>
              <w:spacing w:line="400" w:lineRule="exact"/>
              <w:ind w:firstLine="442"/>
              <w:jc w:val="both"/>
              <w:textAlignment w:val="baseline"/>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val="en-US" w:eastAsia="zh-CN" w:bidi="ar"/>
              </w:rPr>
              <w:t>供应商拟派</w:t>
            </w:r>
            <w:r>
              <w:rPr>
                <w:rFonts w:hint="eastAsia" w:ascii="宋体" w:hAnsi="宋体" w:eastAsia="宋体" w:cs="宋体"/>
                <w:color w:val="auto"/>
                <w:kern w:val="0"/>
                <w:sz w:val="21"/>
                <w:szCs w:val="21"/>
                <w:highlight w:val="none"/>
                <w:lang w:bidi="ar"/>
              </w:rPr>
              <w:t>项目</w:t>
            </w:r>
            <w:r>
              <w:rPr>
                <w:rFonts w:hint="eastAsia" w:ascii="宋体" w:hAnsi="宋体" w:eastAsia="宋体" w:cs="宋体"/>
                <w:color w:val="auto"/>
                <w:kern w:val="0"/>
                <w:sz w:val="21"/>
                <w:szCs w:val="21"/>
                <w:highlight w:val="none"/>
                <w:lang w:val="en-US" w:eastAsia="zh-CN" w:bidi="ar"/>
              </w:rPr>
              <w:t>经理</w:t>
            </w:r>
            <w:r>
              <w:rPr>
                <w:rFonts w:hint="eastAsia" w:ascii="宋体" w:hAnsi="宋体" w:eastAsia="宋体" w:cs="宋体"/>
                <w:color w:val="auto"/>
                <w:kern w:val="0"/>
                <w:sz w:val="21"/>
                <w:szCs w:val="21"/>
                <w:highlight w:val="none"/>
                <w:lang w:bidi="ar"/>
              </w:rPr>
              <w:t>在202</w:t>
            </w:r>
            <w:r>
              <w:rPr>
                <w:rFonts w:hint="eastAsia" w:ascii="宋体" w:hAnsi="宋体" w:eastAsia="宋体" w:cs="宋体"/>
                <w:color w:val="auto"/>
                <w:kern w:val="0"/>
                <w:sz w:val="21"/>
                <w:szCs w:val="21"/>
                <w:highlight w:val="none"/>
                <w:lang w:val="en-US" w:eastAsia="zh-CN" w:bidi="ar"/>
              </w:rPr>
              <w:t>3</w:t>
            </w:r>
            <w:r>
              <w:rPr>
                <w:rFonts w:hint="eastAsia" w:ascii="宋体" w:hAnsi="宋体" w:eastAsia="宋体" w:cs="宋体"/>
                <w:color w:val="auto"/>
                <w:kern w:val="0"/>
                <w:sz w:val="21"/>
                <w:szCs w:val="21"/>
                <w:highlight w:val="none"/>
                <w:lang w:bidi="ar"/>
              </w:rPr>
              <w:t>年1月1日</w:t>
            </w:r>
            <w:r>
              <w:rPr>
                <w:rFonts w:hint="eastAsia" w:ascii="宋体" w:hAnsi="宋体" w:eastAsia="宋体" w:cs="宋体"/>
                <w:color w:val="auto"/>
                <w:kern w:val="0"/>
                <w:sz w:val="21"/>
                <w:szCs w:val="21"/>
                <w:highlight w:val="none"/>
                <w:u w:val="none"/>
                <w:lang w:bidi="ar"/>
              </w:rPr>
              <w:t>至</w:t>
            </w:r>
            <w:r>
              <w:rPr>
                <w:rFonts w:hint="eastAsia" w:ascii="宋体" w:hAnsi="宋体" w:eastAsia="宋体" w:cs="宋体"/>
                <w:snapToGrid/>
                <w:color w:val="auto"/>
                <w:kern w:val="0"/>
                <w:szCs w:val="21"/>
                <w:highlight w:val="none"/>
                <w:u w:val="none"/>
                <w:lang w:eastAsia="zh-CN" w:bidi="ar"/>
              </w:rPr>
              <w:t>比选截止日</w:t>
            </w:r>
            <w:r>
              <w:rPr>
                <w:rFonts w:hint="eastAsia" w:ascii="宋体" w:hAnsi="宋体" w:eastAsia="宋体" w:cs="宋体"/>
                <w:snapToGrid/>
                <w:color w:val="auto"/>
                <w:kern w:val="0"/>
                <w:szCs w:val="21"/>
                <w:highlight w:val="none"/>
                <w:u w:val="none"/>
                <w:lang w:bidi="ar"/>
              </w:rPr>
              <w:t>（</w:t>
            </w:r>
            <w:r>
              <w:rPr>
                <w:rFonts w:hint="eastAsia" w:ascii="宋体" w:hAnsi="宋体" w:eastAsia="宋体" w:cs="宋体"/>
                <w:snapToGrid/>
                <w:color w:val="auto"/>
                <w:kern w:val="0"/>
                <w:szCs w:val="21"/>
                <w:highlight w:val="none"/>
                <w:u w:val="none"/>
                <w:lang w:val="en-US" w:eastAsia="zh-CN" w:bidi="ar"/>
              </w:rPr>
              <w:t>以</w:t>
            </w:r>
            <w:r>
              <w:rPr>
                <w:rFonts w:hint="eastAsia" w:ascii="宋体" w:hAnsi="宋体" w:eastAsia="宋体" w:cs="宋体"/>
                <w:snapToGrid/>
                <w:color w:val="auto"/>
                <w:kern w:val="0"/>
                <w:szCs w:val="21"/>
                <w:highlight w:val="none"/>
                <w:u w:val="none"/>
                <w:lang w:bidi="ar"/>
              </w:rPr>
              <w:t>合同签订时间为准）</w:t>
            </w:r>
            <w:r>
              <w:rPr>
                <w:rFonts w:hint="eastAsia" w:ascii="宋体" w:hAnsi="宋体" w:eastAsia="宋体" w:cs="宋体"/>
                <w:color w:val="auto"/>
                <w:kern w:val="0"/>
                <w:sz w:val="21"/>
                <w:szCs w:val="21"/>
                <w:highlight w:val="none"/>
                <w:u w:val="none"/>
                <w:lang w:bidi="ar"/>
              </w:rPr>
              <w:t>作</w:t>
            </w:r>
            <w:r>
              <w:rPr>
                <w:rFonts w:hint="eastAsia" w:ascii="宋体" w:hAnsi="宋体" w:eastAsia="宋体" w:cs="宋体"/>
                <w:color w:val="auto"/>
                <w:kern w:val="0"/>
                <w:sz w:val="21"/>
                <w:szCs w:val="21"/>
                <w:highlight w:val="none"/>
                <w:lang w:bidi="ar"/>
              </w:rPr>
              <w:t>为项目负责人或技术负责人承担过一个合同金额10</w:t>
            </w:r>
            <w:r>
              <w:rPr>
                <w:rFonts w:hint="eastAsia" w:ascii="宋体" w:hAnsi="宋体" w:eastAsia="宋体" w:cs="宋体"/>
                <w:color w:val="auto"/>
                <w:kern w:val="0"/>
                <w:sz w:val="21"/>
                <w:szCs w:val="21"/>
                <w:highlight w:val="none"/>
                <w:lang w:val="en-US" w:eastAsia="zh-CN" w:bidi="ar"/>
              </w:rPr>
              <w:t>0</w:t>
            </w:r>
            <w:r>
              <w:rPr>
                <w:rFonts w:hint="eastAsia" w:ascii="宋体" w:hAnsi="宋体" w:eastAsia="宋体" w:cs="宋体"/>
                <w:color w:val="auto"/>
                <w:kern w:val="0"/>
                <w:sz w:val="21"/>
                <w:szCs w:val="21"/>
                <w:highlight w:val="none"/>
                <w:lang w:bidi="ar"/>
              </w:rPr>
              <w:t>万元以上的</w:t>
            </w:r>
            <w:r>
              <w:rPr>
                <w:rFonts w:hint="eastAsia" w:ascii="宋体" w:hAnsi="宋体" w:eastAsia="宋体" w:cs="宋体"/>
                <w:color w:val="auto"/>
                <w:kern w:val="0"/>
                <w:sz w:val="21"/>
                <w:szCs w:val="21"/>
                <w:highlight w:val="none"/>
                <w:lang w:val="en-US" w:eastAsia="zh-CN" w:bidi="ar"/>
              </w:rPr>
              <w:t>高速公路行业机电工程劳务施工或维护业绩</w:t>
            </w:r>
            <w:r>
              <w:rPr>
                <w:rFonts w:hint="eastAsia" w:ascii="宋体" w:hAnsi="宋体" w:eastAsia="宋体" w:cs="宋体"/>
                <w:color w:val="auto"/>
                <w:kern w:val="0"/>
                <w:sz w:val="21"/>
                <w:szCs w:val="21"/>
                <w:highlight w:val="none"/>
                <w:lang w:bidi="ar"/>
              </w:rPr>
              <w:t>的得1分,满分</w:t>
            </w:r>
            <w:r>
              <w:rPr>
                <w:rFonts w:hint="eastAsia" w:ascii="宋体" w:hAnsi="宋体" w:eastAsia="宋体" w:cs="宋体"/>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bidi="ar"/>
              </w:rPr>
              <w:t>分。</w:t>
            </w:r>
          </w:p>
          <w:p w14:paraId="7BFAAC8E">
            <w:pPr>
              <w:widowControl w:val="0"/>
              <w:adjustRightInd/>
              <w:snapToGrid/>
              <w:spacing w:line="400" w:lineRule="exact"/>
              <w:ind w:firstLine="442"/>
              <w:jc w:val="both"/>
              <w:textAlignment w:val="baseline"/>
              <w:rPr>
                <w:rFonts w:ascii="宋体" w:hAnsi="宋体"/>
                <w:i/>
                <w:color w:val="auto"/>
                <w:highlight w:val="none"/>
              </w:rPr>
            </w:pPr>
            <w:r>
              <w:rPr>
                <w:rFonts w:hint="eastAsia" w:ascii="宋体" w:hAnsi="宋体" w:eastAsia="宋体" w:cs="宋体"/>
                <w:color w:val="auto"/>
                <w:kern w:val="0"/>
                <w:sz w:val="21"/>
                <w:szCs w:val="21"/>
                <w:highlight w:val="none"/>
                <w:lang w:bidi="ar"/>
              </w:rPr>
              <w:t>注：</w:t>
            </w:r>
            <w:r>
              <w:rPr>
                <w:rFonts w:hint="eastAsia" w:ascii="宋体" w:hAnsi="宋体" w:eastAsia="宋体" w:cs="宋体"/>
                <w:color w:val="auto"/>
                <w:kern w:val="0"/>
                <w:sz w:val="21"/>
                <w:szCs w:val="21"/>
                <w:highlight w:val="none"/>
                <w:lang w:val="en-US" w:eastAsia="zh-CN" w:bidi="ar"/>
              </w:rPr>
              <w:t>提供</w:t>
            </w:r>
            <w:r>
              <w:rPr>
                <w:rFonts w:hint="eastAsia" w:ascii="宋体" w:hAnsi="宋体" w:eastAsia="宋体" w:cs="宋体"/>
                <w:color w:val="auto"/>
                <w:kern w:val="0"/>
                <w:sz w:val="21"/>
                <w:szCs w:val="21"/>
                <w:highlight w:val="none"/>
                <w:lang w:bidi="ar"/>
              </w:rPr>
              <w:t>合同复印件并加盖</w:t>
            </w:r>
            <w:r>
              <w:rPr>
                <w:rFonts w:hint="eastAsia" w:ascii="宋体" w:hAnsi="宋体" w:eastAsia="宋体" w:cs="宋体"/>
                <w:color w:val="auto"/>
                <w:kern w:val="0"/>
                <w:szCs w:val="21"/>
                <w:highlight w:val="none"/>
                <w:lang w:eastAsia="zh-CN" w:bidi="ar"/>
              </w:rPr>
              <w:t>供应商单位</w:t>
            </w:r>
            <w:r>
              <w:rPr>
                <w:rFonts w:hint="eastAsia" w:ascii="宋体" w:hAnsi="宋体" w:eastAsia="宋体" w:cs="宋体"/>
                <w:color w:val="auto"/>
                <w:kern w:val="0"/>
                <w:szCs w:val="21"/>
                <w:highlight w:val="none"/>
                <w:lang w:bidi="ar"/>
              </w:rPr>
              <w:t>法人章</w:t>
            </w:r>
            <w:r>
              <w:rPr>
                <w:rFonts w:hint="eastAsia" w:ascii="宋体" w:hAnsi="宋体" w:eastAsia="宋体" w:cs="宋体"/>
                <w:color w:val="auto"/>
                <w:kern w:val="0"/>
                <w:szCs w:val="21"/>
                <w:highlight w:val="none"/>
                <w:lang w:eastAsia="zh-CN" w:bidi="ar"/>
              </w:rPr>
              <w:t>，</w:t>
            </w:r>
            <w:r>
              <w:rPr>
                <w:rFonts w:hint="eastAsia" w:ascii="宋体" w:hAnsi="宋体" w:eastAsia="宋体" w:cs="宋体"/>
                <w:color w:val="auto"/>
                <w:kern w:val="0"/>
                <w:sz w:val="21"/>
                <w:szCs w:val="21"/>
                <w:highlight w:val="none"/>
                <w:lang w:bidi="ar"/>
              </w:rPr>
              <w:t>合同需清晰反映上述业绩要求的主要内容，包括但不限于合同首尾页、签章页、金额页、人员页</w:t>
            </w:r>
            <w:r>
              <w:rPr>
                <w:rFonts w:hint="eastAsia" w:ascii="宋体" w:hAnsi="宋体" w:eastAsia="宋体" w:cs="宋体"/>
                <w:color w:val="auto"/>
                <w:kern w:val="0"/>
                <w:sz w:val="21"/>
                <w:szCs w:val="21"/>
                <w:highlight w:val="none"/>
                <w:lang w:val="en-US" w:eastAsia="zh-CN" w:bidi="ar"/>
              </w:rPr>
              <w:t>等</w:t>
            </w:r>
            <w:r>
              <w:rPr>
                <w:rFonts w:hint="eastAsia" w:ascii="宋体" w:hAnsi="宋体" w:eastAsia="宋体" w:cs="宋体"/>
                <w:color w:val="auto"/>
                <w:kern w:val="0"/>
                <w:sz w:val="21"/>
                <w:szCs w:val="21"/>
                <w:highlight w:val="none"/>
                <w:lang w:bidi="ar"/>
              </w:rPr>
              <w:t>，需能充分体现以上业绩要求各项要素。</w:t>
            </w:r>
          </w:p>
        </w:tc>
      </w:tr>
      <w:tr w14:paraId="43DDE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1D71B4A9">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365C594C">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1A55408">
            <w:pPr>
              <w:keepNext w:val="0"/>
              <w:keepLines w:val="0"/>
              <w:widowControl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cs="宋体"/>
                <w:color w:val="auto"/>
                <w:kern w:val="0"/>
                <w:szCs w:val="21"/>
                <w:highlight w:val="none"/>
                <w:lang w:bidi="ar"/>
              </w:rPr>
            </w:pPr>
            <w:r>
              <w:rPr>
                <w:rFonts w:hint="eastAsia" w:ascii="宋体" w:hAnsi="宋体" w:eastAsia="宋体" w:cs="宋体"/>
                <w:color w:val="auto"/>
                <w:kern w:val="2"/>
                <w:sz w:val="21"/>
                <w:szCs w:val="21"/>
                <w:highlight w:val="none"/>
                <w:lang w:val="en-US" w:eastAsia="zh-CN" w:bidi="ar"/>
              </w:rPr>
              <w:t>企业资质（</w:t>
            </w:r>
            <w:r>
              <w:rPr>
                <w:rFonts w:hint="default" w:ascii="宋体" w:hAnsi="宋体" w:eastAsia="宋体" w:cs="宋体"/>
                <w:color w:val="auto"/>
                <w:kern w:val="2"/>
                <w:sz w:val="21"/>
                <w:szCs w:val="21"/>
                <w:highlight w:val="none"/>
                <w:lang w:eastAsia="zh-CN" w:bidi="ar"/>
              </w:rPr>
              <w:t>2</w:t>
            </w:r>
            <w:r>
              <w:rPr>
                <w:rFonts w:hint="eastAsia" w:ascii="宋体" w:hAnsi="宋体" w:eastAsia="宋体" w:cs="宋体"/>
                <w:color w:val="auto"/>
                <w:kern w:val="2"/>
                <w:sz w:val="21"/>
                <w:szCs w:val="21"/>
                <w:highlight w:val="none"/>
                <w:lang w:val="en-US" w:eastAsia="zh-CN" w:bidi="ar"/>
              </w:rPr>
              <w:t>分）</w:t>
            </w:r>
          </w:p>
        </w:tc>
        <w:tc>
          <w:tcPr>
            <w:tcW w:w="5048" w:type="dxa"/>
            <w:tcBorders>
              <w:top w:val="single" w:color="auto" w:sz="4" w:space="0"/>
              <w:left w:val="single" w:color="auto" w:sz="4" w:space="0"/>
              <w:bottom w:val="single" w:color="auto" w:sz="4" w:space="0"/>
              <w:right w:val="single" w:color="auto" w:sz="4" w:space="0"/>
            </w:tcBorders>
            <w:vAlign w:val="center"/>
          </w:tcPr>
          <w:p w14:paraId="6BC6C881">
            <w:pPr>
              <w:pStyle w:val="24"/>
              <w:widowControl/>
              <w:numPr>
                <w:ilvl w:val="0"/>
                <w:numId w:val="0"/>
              </w:numPr>
              <w:adjustRightInd w:val="0"/>
              <w:snapToGrid w:val="0"/>
              <w:spacing w:before="0" w:after="0" w:afterLines="0" w:line="400" w:lineRule="exact"/>
              <w:ind w:left="0" w:leftChars="0" w:right="0" w:rightChars="0" w:firstLine="420" w:firstLineChars="20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具备</w:t>
            </w:r>
            <w:r>
              <w:rPr>
                <w:rFonts w:hint="default" w:ascii="宋体" w:hAnsi="宋体" w:eastAsia="宋体" w:cs="宋体"/>
                <w:color w:val="auto"/>
                <w:kern w:val="0"/>
                <w:sz w:val="21"/>
                <w:szCs w:val="21"/>
                <w:highlight w:val="none"/>
              </w:rPr>
              <w:t>有效的</w:t>
            </w:r>
            <w:r>
              <w:rPr>
                <w:rFonts w:hint="eastAsia" w:ascii="宋体" w:hAnsi="宋体" w:eastAsia="宋体" w:cs="宋体"/>
                <w:color w:val="auto"/>
                <w:kern w:val="0"/>
                <w:sz w:val="21"/>
                <w:szCs w:val="21"/>
                <w:highlight w:val="none"/>
              </w:rPr>
              <w:t>公路交通工程（公路机电工程）专业承包壹级</w:t>
            </w:r>
            <w:r>
              <w:rPr>
                <w:rFonts w:hint="default" w:ascii="宋体" w:hAnsi="宋体" w:eastAsia="宋体" w:cs="宋体"/>
                <w:color w:val="auto"/>
                <w:kern w:val="0"/>
                <w:sz w:val="21"/>
                <w:szCs w:val="21"/>
                <w:highlight w:val="none"/>
              </w:rPr>
              <w:t>或建筑机电安装工程专业承包贰级及以上资质</w:t>
            </w:r>
            <w:r>
              <w:rPr>
                <w:rFonts w:hint="eastAsia" w:ascii="宋体" w:hAnsi="宋体" w:eastAsia="宋体" w:cs="宋体"/>
                <w:color w:val="auto"/>
                <w:kern w:val="0"/>
                <w:sz w:val="21"/>
                <w:szCs w:val="21"/>
                <w:highlight w:val="none"/>
                <w:lang w:val="en-US" w:eastAsia="zh-CN"/>
              </w:rPr>
              <w:t>得</w:t>
            </w:r>
            <w:r>
              <w:rPr>
                <w:rFonts w:hint="default" w:ascii="宋体" w:hAnsi="宋体" w:eastAsia="宋体" w:cs="宋体"/>
                <w:color w:val="auto"/>
                <w:kern w:val="0"/>
                <w:sz w:val="21"/>
                <w:szCs w:val="21"/>
                <w:highlight w:val="none"/>
                <w:lang w:eastAsia="zh-CN"/>
              </w:rPr>
              <w:t>2</w:t>
            </w:r>
            <w:r>
              <w:rPr>
                <w:rFonts w:hint="eastAsia" w:ascii="宋体" w:hAnsi="宋体" w:eastAsia="宋体" w:cs="宋体"/>
                <w:color w:val="auto"/>
                <w:kern w:val="0"/>
                <w:sz w:val="21"/>
                <w:szCs w:val="21"/>
                <w:highlight w:val="none"/>
                <w:lang w:val="en-US" w:eastAsia="zh-CN"/>
              </w:rPr>
              <w:t>分，满分</w:t>
            </w:r>
            <w:r>
              <w:rPr>
                <w:rFonts w:hint="default" w:ascii="宋体" w:hAnsi="宋体" w:eastAsia="宋体" w:cs="宋体"/>
                <w:color w:val="auto"/>
                <w:kern w:val="0"/>
                <w:sz w:val="21"/>
                <w:szCs w:val="21"/>
                <w:highlight w:val="none"/>
                <w:lang w:eastAsia="zh-CN"/>
              </w:rPr>
              <w:t>2</w:t>
            </w:r>
            <w:r>
              <w:rPr>
                <w:rFonts w:hint="eastAsia" w:ascii="宋体" w:hAnsi="宋体" w:eastAsia="宋体" w:cs="宋体"/>
                <w:color w:val="auto"/>
                <w:kern w:val="0"/>
                <w:sz w:val="21"/>
                <w:szCs w:val="21"/>
                <w:highlight w:val="none"/>
                <w:lang w:val="en-US" w:eastAsia="zh-CN"/>
              </w:rPr>
              <w:t>分。</w:t>
            </w:r>
          </w:p>
          <w:p w14:paraId="1EFD512D">
            <w:pPr>
              <w:adjustRightInd w:val="0"/>
              <w:snapToGrid w:val="0"/>
              <w:spacing w:afterLines="0" w:line="400" w:lineRule="exact"/>
              <w:ind w:firstLine="420" w:firstLineChars="200"/>
              <w:rPr>
                <w:rFonts w:hint="eastAsia" w:ascii="宋体" w:hAnsi="宋体"/>
                <w:color w:val="auto"/>
                <w:highlight w:val="none"/>
                <w:u w:val="single"/>
              </w:rPr>
            </w:pPr>
            <w:r>
              <w:rPr>
                <w:rFonts w:hint="eastAsia" w:ascii="宋体" w:hAnsi="宋体" w:eastAsia="宋体" w:cs="宋体"/>
                <w:color w:val="auto"/>
                <w:kern w:val="0"/>
                <w:sz w:val="21"/>
                <w:szCs w:val="21"/>
                <w:highlight w:val="none"/>
                <w:lang w:val="en-US" w:eastAsia="zh-CN"/>
              </w:rPr>
              <w:t>注：提供有效的资质证书复印件，并</w:t>
            </w:r>
            <w:r>
              <w:rPr>
                <w:rFonts w:hint="eastAsia" w:ascii="宋体" w:hAnsi="宋体" w:eastAsia="宋体" w:cs="宋体"/>
                <w:color w:val="auto"/>
                <w:kern w:val="0"/>
                <w:sz w:val="21"/>
                <w:szCs w:val="21"/>
                <w:highlight w:val="none"/>
              </w:rPr>
              <w:t>加盖</w:t>
            </w:r>
            <w:r>
              <w:rPr>
                <w:rFonts w:hint="eastAsia" w:ascii="宋体" w:hAnsi="宋体" w:cs="宋体"/>
                <w:color w:val="auto"/>
                <w:szCs w:val="21"/>
                <w:highlight w:val="none"/>
                <w:lang w:eastAsia="zh-CN"/>
              </w:rPr>
              <w:t>供应商单位</w:t>
            </w:r>
            <w:r>
              <w:rPr>
                <w:rFonts w:hint="eastAsia" w:ascii="宋体" w:hAnsi="宋体" w:cs="宋体"/>
                <w:color w:val="auto"/>
                <w:szCs w:val="21"/>
                <w:highlight w:val="none"/>
              </w:rPr>
              <w:t>法人章</w:t>
            </w:r>
            <w:r>
              <w:rPr>
                <w:rFonts w:hint="eastAsia" w:ascii="宋体" w:hAnsi="宋体" w:eastAsia="宋体" w:cs="宋体"/>
                <w:color w:val="auto"/>
                <w:kern w:val="0"/>
                <w:sz w:val="21"/>
                <w:szCs w:val="21"/>
                <w:highlight w:val="none"/>
                <w:lang w:val="en-US" w:eastAsia="zh-CN"/>
              </w:rPr>
              <w:t>。</w:t>
            </w:r>
          </w:p>
        </w:tc>
      </w:tr>
      <w:tr w14:paraId="44997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bottom w:val="single" w:color="auto" w:sz="4" w:space="0"/>
              <w:right w:val="single" w:color="auto" w:sz="4" w:space="0"/>
            </w:tcBorders>
            <w:vAlign w:val="center"/>
          </w:tcPr>
          <w:p w14:paraId="55938413">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tcBorders>
              <w:left w:val="single" w:color="auto" w:sz="4" w:space="0"/>
              <w:bottom w:val="single" w:color="auto" w:sz="4" w:space="0"/>
              <w:right w:val="single" w:color="auto" w:sz="4" w:space="0"/>
            </w:tcBorders>
            <w:vAlign w:val="center"/>
          </w:tcPr>
          <w:p w14:paraId="1A66144F">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8F209A5">
            <w:pPr>
              <w:keepNext w:val="0"/>
              <w:keepLines w:val="0"/>
              <w:widowControl w:val="0"/>
              <w:suppressLineNumbers w:val="0"/>
              <w:adjustRightInd w:val="0"/>
              <w:snapToGrid w:val="0"/>
              <w:spacing w:before="0" w:beforeAutospacing="0" w:after="0" w:afterLines="0" w:afterAutospacing="0" w:line="400" w:lineRule="exact"/>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财务</w:t>
            </w:r>
          </w:p>
          <w:p w14:paraId="07E784EE">
            <w:pPr>
              <w:keepNext w:val="0"/>
              <w:keepLines w:val="0"/>
              <w:widowControl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cs="宋体"/>
                <w:color w:val="auto"/>
                <w:kern w:val="0"/>
                <w:szCs w:val="21"/>
                <w:highlight w:val="none"/>
                <w:lang w:bidi="ar"/>
              </w:rPr>
            </w:pPr>
            <w:r>
              <w:rPr>
                <w:rFonts w:hint="eastAsia" w:ascii="宋体" w:hAnsi="宋体" w:eastAsia="宋体" w:cs="宋体"/>
                <w:color w:val="auto"/>
                <w:kern w:val="2"/>
                <w:sz w:val="21"/>
                <w:szCs w:val="21"/>
                <w:highlight w:val="none"/>
                <w:lang w:val="en-US" w:eastAsia="zh-CN" w:bidi="ar"/>
              </w:rPr>
              <w:t>（</w:t>
            </w:r>
            <w:r>
              <w:rPr>
                <w:rFonts w:hint="default" w:ascii="宋体" w:hAnsi="宋体" w:eastAsia="宋体" w:cs="宋体"/>
                <w:color w:val="auto"/>
                <w:kern w:val="2"/>
                <w:sz w:val="21"/>
                <w:szCs w:val="21"/>
                <w:highlight w:val="none"/>
                <w:lang w:eastAsia="zh-CN" w:bidi="ar"/>
              </w:rPr>
              <w:t>1</w:t>
            </w:r>
            <w:r>
              <w:rPr>
                <w:rFonts w:hint="eastAsia" w:ascii="宋体" w:hAnsi="宋体" w:eastAsia="宋体" w:cs="宋体"/>
                <w:color w:val="auto"/>
                <w:kern w:val="2"/>
                <w:sz w:val="21"/>
                <w:szCs w:val="21"/>
                <w:highlight w:val="none"/>
                <w:lang w:val="en-US" w:eastAsia="zh-CN" w:bidi="ar"/>
              </w:rPr>
              <w:t>分）</w:t>
            </w:r>
          </w:p>
        </w:tc>
        <w:tc>
          <w:tcPr>
            <w:tcW w:w="5048" w:type="dxa"/>
            <w:tcBorders>
              <w:top w:val="single" w:color="auto" w:sz="4" w:space="0"/>
              <w:left w:val="single" w:color="auto" w:sz="4" w:space="0"/>
              <w:bottom w:val="single" w:color="auto" w:sz="4" w:space="0"/>
              <w:right w:val="single" w:color="auto" w:sz="4" w:space="0"/>
            </w:tcBorders>
            <w:vAlign w:val="center"/>
          </w:tcPr>
          <w:p w14:paraId="33DA4403">
            <w:pPr>
              <w:keepNext w:val="0"/>
              <w:keepLines w:val="0"/>
              <w:widowControl w:val="0"/>
              <w:suppressLineNumbers w:val="0"/>
              <w:adjustRightInd w:val="0"/>
              <w:snapToGrid w:val="0"/>
              <w:spacing w:before="0" w:beforeAutospacing="0" w:after="0" w:afterLines="0" w:afterAutospacing="0" w:line="400" w:lineRule="exact"/>
              <w:ind w:left="0" w:right="0" w:firstLine="420" w:firstLineChars="2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202</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年、202</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年以及202</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年经营状况良好，3年均不亏损得</w:t>
            </w:r>
            <w:r>
              <w:rPr>
                <w:rFonts w:hint="default"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rPr>
              <w:t>分，其余情况不得分，满分</w:t>
            </w:r>
            <w:r>
              <w:rPr>
                <w:rFonts w:hint="default"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rPr>
              <w:t>分。</w:t>
            </w:r>
          </w:p>
          <w:p w14:paraId="0B354FF6">
            <w:pPr>
              <w:keepNext w:val="0"/>
              <w:keepLines w:val="0"/>
              <w:widowControl w:val="0"/>
              <w:suppressLineNumbers w:val="0"/>
              <w:adjustRightInd w:val="0"/>
              <w:snapToGrid w:val="0"/>
              <w:spacing w:before="0" w:beforeAutospacing="0" w:after="0" w:afterLines="0" w:afterAutospacing="0" w:line="400" w:lineRule="exact"/>
              <w:ind w:left="0" w:leftChars="0" w:right="0" w:rightChars="0" w:firstLine="420" w:firstLineChars="200"/>
              <w:jc w:val="both"/>
              <w:rPr>
                <w:rFonts w:hint="eastAsia" w:ascii="宋体" w:hAnsi="宋体"/>
                <w:color w:val="auto"/>
                <w:highlight w:val="none"/>
                <w:u w:val="single"/>
              </w:rPr>
            </w:pPr>
            <w:r>
              <w:rPr>
                <w:rFonts w:hint="eastAsia" w:ascii="宋体" w:hAnsi="宋体" w:eastAsia="宋体" w:cs="宋体"/>
                <w:color w:val="auto"/>
                <w:kern w:val="0"/>
                <w:sz w:val="21"/>
                <w:szCs w:val="21"/>
                <w:highlight w:val="none"/>
              </w:rPr>
              <w:t>注：提供第三方审计机构出具的审计报告复印件并加盖</w:t>
            </w:r>
            <w:r>
              <w:rPr>
                <w:rFonts w:hint="eastAsia" w:ascii="宋体" w:hAnsi="宋体" w:cs="宋体"/>
                <w:color w:val="auto"/>
                <w:szCs w:val="21"/>
                <w:highlight w:val="none"/>
                <w:lang w:eastAsia="zh-CN"/>
              </w:rPr>
              <w:t>供应商单位</w:t>
            </w:r>
            <w:r>
              <w:rPr>
                <w:rFonts w:hint="eastAsia" w:ascii="宋体" w:hAnsi="宋体" w:cs="宋体"/>
                <w:color w:val="auto"/>
                <w:szCs w:val="21"/>
                <w:highlight w:val="none"/>
              </w:rPr>
              <w:t>法人章</w:t>
            </w:r>
            <w:r>
              <w:rPr>
                <w:rFonts w:hint="eastAsia" w:ascii="宋体" w:hAnsi="宋体" w:eastAsia="宋体" w:cs="宋体"/>
                <w:color w:val="auto"/>
                <w:kern w:val="0"/>
                <w:sz w:val="21"/>
                <w:szCs w:val="21"/>
                <w:highlight w:val="none"/>
              </w:rPr>
              <w:t>。</w:t>
            </w:r>
          </w:p>
        </w:tc>
      </w:tr>
      <w:tr w14:paraId="324E8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restart"/>
            <w:tcBorders>
              <w:left w:val="single" w:color="auto" w:sz="4" w:space="0"/>
              <w:right w:val="single" w:color="auto" w:sz="4" w:space="0"/>
            </w:tcBorders>
            <w:vAlign w:val="center"/>
          </w:tcPr>
          <w:p w14:paraId="029E6F3D">
            <w:pPr>
              <w:widowControl/>
              <w:adjustRightInd w:val="0"/>
              <w:snapToGrid w:val="0"/>
              <w:spacing w:afterLines="0" w:line="400" w:lineRule="exact"/>
              <w:jc w:val="center"/>
              <w:rPr>
                <w:rFonts w:hint="eastAsia" w:ascii="宋体" w:hAnsi="宋体"/>
                <w:color w:val="auto"/>
                <w:kern w:val="0"/>
                <w:highlight w:val="none"/>
              </w:rPr>
            </w:pPr>
            <w:r>
              <w:rPr>
                <w:rFonts w:hint="eastAsia" w:ascii="宋体" w:hAnsi="宋体"/>
                <w:color w:val="auto"/>
                <w:kern w:val="0"/>
                <w:highlight w:val="none"/>
              </w:rPr>
              <w:t>2.2.2</w:t>
            </w:r>
          </w:p>
          <w:p w14:paraId="4A60A5E1">
            <w:pPr>
              <w:pStyle w:val="2"/>
              <w:adjustRightInd w:val="0"/>
              <w:snapToGrid w:val="0"/>
              <w:spacing w:after="0" w:afterLines="0" w:line="400" w:lineRule="exact"/>
              <w:jc w:val="center"/>
              <w:rPr>
                <w:color w:val="auto"/>
                <w:highlight w:val="none"/>
              </w:rPr>
            </w:pPr>
            <w:r>
              <w:rPr>
                <w:rFonts w:hint="eastAsia" w:ascii="宋体" w:hAnsi="宋体"/>
                <w:color w:val="auto"/>
                <w:highlight w:val="none"/>
              </w:rPr>
              <w:t>（3）</w:t>
            </w:r>
          </w:p>
        </w:tc>
        <w:tc>
          <w:tcPr>
            <w:tcW w:w="1599" w:type="dxa"/>
            <w:vMerge w:val="restart"/>
            <w:tcBorders>
              <w:left w:val="single" w:color="auto" w:sz="4" w:space="0"/>
              <w:right w:val="single" w:color="auto" w:sz="4" w:space="0"/>
            </w:tcBorders>
            <w:vAlign w:val="center"/>
          </w:tcPr>
          <w:p w14:paraId="5192B55D">
            <w:pPr>
              <w:widowControl/>
              <w:adjustRightInd w:val="0"/>
              <w:snapToGrid w:val="0"/>
              <w:spacing w:afterLines="0" w:line="400" w:lineRule="exact"/>
              <w:jc w:val="center"/>
              <w:rPr>
                <w:rFonts w:hint="eastAsia" w:ascii="宋体" w:hAnsi="宋体"/>
                <w:color w:val="auto"/>
                <w:kern w:val="0"/>
                <w:highlight w:val="none"/>
              </w:rPr>
            </w:pPr>
            <w:r>
              <w:rPr>
                <w:rFonts w:hint="eastAsia" w:ascii="宋体" w:hAnsi="宋体"/>
                <w:color w:val="auto"/>
                <w:kern w:val="0"/>
                <w:highlight w:val="none"/>
                <w:lang w:eastAsia="zh-CN"/>
              </w:rPr>
              <w:t>比选函</w:t>
            </w:r>
            <w:r>
              <w:rPr>
                <w:rFonts w:hint="eastAsia" w:ascii="宋体" w:hAnsi="宋体"/>
                <w:color w:val="auto"/>
                <w:kern w:val="0"/>
                <w:highlight w:val="none"/>
                <w:lang w:val="en-US" w:eastAsia="zh-CN"/>
              </w:rPr>
              <w:t>部分</w:t>
            </w:r>
            <w:r>
              <w:rPr>
                <w:rFonts w:hint="eastAsia" w:ascii="宋体" w:hAnsi="宋体"/>
                <w:color w:val="auto"/>
                <w:kern w:val="0"/>
                <w:highlight w:val="none"/>
              </w:rPr>
              <w:t>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55014CD">
            <w:pPr>
              <w:adjustRightInd w:val="0"/>
              <w:snapToGrid w:val="0"/>
              <w:spacing w:afterLines="0"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highlight w:val="none"/>
                <w:lang w:eastAsia="zh-CN"/>
              </w:rPr>
              <w:t>比选函</w:t>
            </w:r>
            <w:r>
              <w:rPr>
                <w:rFonts w:hint="eastAsia" w:ascii="宋体" w:hAnsi="宋体" w:cs="宋体"/>
                <w:color w:val="auto"/>
                <w:kern w:val="0"/>
                <w:highlight w:val="none"/>
              </w:rPr>
              <w:t>部分的</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盖章</w:t>
            </w:r>
          </w:p>
        </w:tc>
        <w:tc>
          <w:tcPr>
            <w:tcW w:w="5048" w:type="dxa"/>
            <w:tcBorders>
              <w:top w:val="single" w:color="auto" w:sz="4" w:space="0"/>
              <w:left w:val="single" w:color="auto" w:sz="4" w:space="0"/>
              <w:bottom w:val="single" w:color="auto" w:sz="4" w:space="0"/>
              <w:right w:val="single" w:color="auto" w:sz="4" w:space="0"/>
            </w:tcBorders>
            <w:vAlign w:val="center"/>
          </w:tcPr>
          <w:p w14:paraId="7C5F47C3">
            <w:pPr>
              <w:adjustRightInd w:val="0"/>
              <w:snapToGrid w:val="0"/>
              <w:spacing w:after="0" w:afterLines="0" w:line="400" w:lineRule="exact"/>
              <w:ind w:firstLine="420" w:firstLineChars="200"/>
              <w:rPr>
                <w:rFonts w:hint="eastAsia" w:ascii="宋体" w:hAnsi="宋体"/>
                <w:color w:val="auto"/>
                <w:highlight w:val="none"/>
                <w:u w:val="single"/>
              </w:rPr>
            </w:pPr>
            <w:r>
              <w:rPr>
                <w:rFonts w:hint="eastAsia" w:ascii="宋体" w:hAnsi="宋体" w:cs="宋体"/>
                <w:color w:val="auto"/>
                <w:kern w:val="0"/>
                <w:highlight w:val="none"/>
                <w:lang w:eastAsia="zh-CN"/>
              </w:rPr>
              <w:t>比选函</w:t>
            </w:r>
            <w:r>
              <w:rPr>
                <w:rFonts w:hint="eastAsia" w:ascii="宋体" w:hAnsi="宋体" w:cs="宋体"/>
                <w:color w:val="auto"/>
                <w:kern w:val="0"/>
                <w:highlight w:val="none"/>
              </w:rPr>
              <w:t>部分的格式要求法定代表人</w:t>
            </w:r>
            <w:r>
              <w:rPr>
                <w:rFonts w:hint="eastAsia" w:ascii="宋体" w:hAnsi="宋体" w:cs="宋体"/>
                <w:color w:val="auto"/>
                <w:kern w:val="0"/>
                <w:highlight w:val="none"/>
                <w:lang w:eastAsia="zh-CN"/>
              </w:rPr>
              <w:t>（</w:t>
            </w:r>
            <w:r>
              <w:rPr>
                <w:rFonts w:hint="eastAsia" w:ascii="宋体" w:hAnsi="宋体" w:cs="宋体"/>
                <w:color w:val="auto"/>
                <w:kern w:val="0"/>
                <w:highlight w:val="none"/>
              </w:rPr>
              <w:t>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（或盖章）的须齐全，</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签名采用手写签名或签章均可</w:t>
            </w:r>
            <w:r>
              <w:rPr>
                <w:rFonts w:hint="eastAsia" w:asciiTheme="minorEastAsia" w:hAnsiTheme="minorEastAsia" w:eastAsiaTheme="minorEastAsia" w:cstheme="minorEastAsia"/>
                <w:color w:val="auto"/>
                <w:kern w:val="0"/>
                <w:highlight w:val="none"/>
                <w:lang w:eastAsia="zh-CN"/>
              </w:rPr>
              <w:t>，</w:t>
            </w:r>
            <w:r>
              <w:rPr>
                <w:rFonts w:hint="eastAsia" w:ascii="宋体" w:hAnsi="宋体" w:cs="宋体"/>
                <w:color w:val="auto"/>
                <w:kern w:val="0"/>
                <w:highlight w:val="none"/>
              </w:rPr>
              <w:t>要求加盖单位法人章的，应加盖</w:t>
            </w:r>
            <w:r>
              <w:rPr>
                <w:rFonts w:hint="eastAsia" w:ascii="宋体" w:hAnsi="宋体" w:cs="宋体"/>
                <w:color w:val="auto"/>
                <w:kern w:val="0"/>
                <w:highlight w:val="none"/>
                <w:lang w:eastAsia="zh-CN"/>
              </w:rPr>
              <w:t>供应商</w:t>
            </w:r>
            <w:r>
              <w:rPr>
                <w:rFonts w:hint="eastAsia" w:ascii="宋体" w:hAnsi="宋体" w:cs="宋体"/>
                <w:color w:val="auto"/>
                <w:kern w:val="0"/>
                <w:highlight w:val="none"/>
              </w:rPr>
              <w:t>单位法人章。</w:t>
            </w:r>
          </w:p>
        </w:tc>
      </w:tr>
      <w:tr w14:paraId="14C0E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37182BB7">
            <w:pPr>
              <w:pStyle w:val="2"/>
              <w:adjustRightInd w:val="0"/>
              <w:snapToGrid w:val="0"/>
              <w:spacing w:after="0" w:afterLines="0" w:line="400" w:lineRule="exact"/>
              <w:jc w:val="center"/>
              <w:rPr>
                <w:rFonts w:hint="eastAsia" w:ascii="宋体" w:hAnsi="宋体"/>
                <w:color w:val="auto"/>
                <w:highlight w:val="none"/>
              </w:rPr>
            </w:pPr>
          </w:p>
        </w:tc>
        <w:tc>
          <w:tcPr>
            <w:tcW w:w="1599" w:type="dxa"/>
            <w:vMerge w:val="continue"/>
            <w:tcBorders>
              <w:left w:val="single" w:color="auto" w:sz="4" w:space="0"/>
              <w:right w:val="single" w:color="auto" w:sz="4" w:space="0"/>
            </w:tcBorders>
            <w:vAlign w:val="center"/>
          </w:tcPr>
          <w:p w14:paraId="4521A5AF">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B189F24">
            <w:pPr>
              <w:adjustRightInd w:val="0"/>
              <w:snapToGrid w:val="0"/>
              <w:spacing w:afterLines="0" w:line="400" w:lineRule="exact"/>
              <w:jc w:val="left"/>
              <w:rPr>
                <w:rFonts w:hint="eastAsia" w:ascii="宋体" w:hAnsi="宋体" w:cs="宋体"/>
                <w:color w:val="auto"/>
                <w:kern w:val="0"/>
                <w:highlight w:val="none"/>
              </w:rPr>
            </w:pPr>
            <w:r>
              <w:rPr>
                <w:rFonts w:hint="eastAsia" w:ascii="宋体" w:hAnsi="宋体" w:cs="宋体"/>
                <w:color w:val="auto"/>
                <w:kern w:val="0"/>
                <w:highlight w:val="none"/>
                <w:lang w:val="en-US" w:eastAsia="zh-CN"/>
              </w:rPr>
              <w:t>比选函附录</w:t>
            </w:r>
          </w:p>
        </w:tc>
        <w:tc>
          <w:tcPr>
            <w:tcW w:w="5048" w:type="dxa"/>
            <w:tcBorders>
              <w:top w:val="single" w:color="auto" w:sz="4" w:space="0"/>
              <w:left w:val="single" w:color="auto" w:sz="4" w:space="0"/>
              <w:bottom w:val="single" w:color="auto" w:sz="4" w:space="0"/>
              <w:right w:val="single" w:color="auto" w:sz="4" w:space="0"/>
            </w:tcBorders>
            <w:vAlign w:val="center"/>
          </w:tcPr>
          <w:p w14:paraId="2C64831B">
            <w:pPr>
              <w:adjustRightInd w:val="0"/>
              <w:snapToGrid w:val="0"/>
              <w:spacing w:after="0" w:afterLines="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lang w:eastAsia="zh-CN"/>
              </w:rPr>
              <w:t>比选函</w:t>
            </w:r>
            <w:r>
              <w:rPr>
                <w:rFonts w:hint="eastAsia" w:ascii="宋体" w:hAnsi="宋体" w:cs="宋体"/>
                <w:color w:val="auto"/>
                <w:kern w:val="0"/>
                <w:highlight w:val="none"/>
              </w:rPr>
              <w:t>附录的所有数据均符合</w:t>
            </w:r>
            <w:r>
              <w:rPr>
                <w:rFonts w:hint="eastAsia" w:ascii="宋体" w:hAnsi="宋体" w:cs="宋体"/>
                <w:color w:val="auto"/>
                <w:kern w:val="0"/>
                <w:highlight w:val="none"/>
                <w:lang w:eastAsia="zh-CN"/>
              </w:rPr>
              <w:t>比选文件</w:t>
            </w:r>
            <w:r>
              <w:rPr>
                <w:rFonts w:hint="eastAsia" w:ascii="宋体" w:hAnsi="宋体" w:cs="宋体"/>
                <w:color w:val="auto"/>
                <w:kern w:val="0"/>
                <w:highlight w:val="none"/>
              </w:rPr>
              <w:t>规定</w:t>
            </w:r>
            <w:r>
              <w:rPr>
                <w:rFonts w:hint="eastAsia" w:ascii="宋体" w:hAnsi="宋体" w:cs="宋体"/>
                <w:color w:val="auto"/>
                <w:kern w:val="0"/>
                <w:highlight w:val="none"/>
                <w:lang w:eastAsia="zh-CN"/>
              </w:rPr>
              <w:t>。</w:t>
            </w:r>
          </w:p>
        </w:tc>
      </w:tr>
      <w:tr w14:paraId="0D9FF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7C2EE1DA">
            <w:pPr>
              <w:pStyle w:val="2"/>
              <w:adjustRightInd w:val="0"/>
              <w:snapToGrid w:val="0"/>
              <w:spacing w:after="0" w:afterLines="0" w:line="400" w:lineRule="exact"/>
              <w:jc w:val="center"/>
              <w:rPr>
                <w:rFonts w:hint="eastAsia" w:ascii="宋体" w:hAnsi="宋体"/>
                <w:color w:val="auto"/>
                <w:highlight w:val="none"/>
              </w:rPr>
            </w:pPr>
          </w:p>
        </w:tc>
        <w:tc>
          <w:tcPr>
            <w:tcW w:w="1599" w:type="dxa"/>
            <w:vMerge w:val="continue"/>
            <w:tcBorders>
              <w:left w:val="single" w:color="auto" w:sz="4" w:space="0"/>
              <w:right w:val="single" w:color="auto" w:sz="4" w:space="0"/>
            </w:tcBorders>
            <w:vAlign w:val="center"/>
          </w:tcPr>
          <w:p w14:paraId="5BEC6CAB">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688729D5">
            <w:pPr>
              <w:adjustRightInd w:val="0"/>
              <w:snapToGrid w:val="0"/>
              <w:spacing w:afterLines="0" w:line="400" w:lineRule="exact"/>
              <w:jc w:val="left"/>
              <w:rPr>
                <w:rFonts w:hint="eastAsia" w:ascii="宋体" w:hAnsi="宋体" w:eastAsia="宋体" w:cs="宋体"/>
                <w:color w:val="auto"/>
                <w:kern w:val="0"/>
                <w:highlight w:val="none"/>
                <w:lang w:val="en-US" w:eastAsia="zh-CN"/>
              </w:rPr>
            </w:pPr>
            <w:r>
              <w:rPr>
                <w:rFonts w:hint="eastAsia" w:ascii="宋体" w:hAnsi="宋体" w:cs="宋体"/>
                <w:color w:val="auto"/>
                <w:kern w:val="0"/>
                <w:highlight w:val="none"/>
                <w:lang w:val="en-US" w:eastAsia="zh-CN"/>
              </w:rPr>
              <w:t>人员</w:t>
            </w:r>
          </w:p>
        </w:tc>
        <w:tc>
          <w:tcPr>
            <w:tcW w:w="5048" w:type="dxa"/>
            <w:tcBorders>
              <w:top w:val="single" w:color="auto" w:sz="4" w:space="0"/>
              <w:left w:val="single" w:color="auto" w:sz="4" w:space="0"/>
              <w:bottom w:val="single" w:color="auto" w:sz="4" w:space="0"/>
              <w:right w:val="single" w:color="auto" w:sz="4" w:space="0"/>
            </w:tcBorders>
            <w:vAlign w:val="center"/>
          </w:tcPr>
          <w:p w14:paraId="66E9B1A2">
            <w:pPr>
              <w:adjustRightInd w:val="0"/>
              <w:snapToGrid w:val="0"/>
              <w:spacing w:after="0" w:afterLines="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lang w:val="en-US" w:eastAsia="zh-CN"/>
              </w:rPr>
              <w:t>《比选函》中填写的项目经理、项目总工应与拟派项目经理、项目总工的信息一致。</w:t>
            </w:r>
          </w:p>
        </w:tc>
      </w:tr>
      <w:tr w14:paraId="45EBF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vAlign w:val="center"/>
          </w:tcPr>
          <w:p w14:paraId="6605F94C">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vAlign w:val="center"/>
          </w:tcPr>
          <w:p w14:paraId="36872F19">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vAlign w:val="center"/>
          </w:tcPr>
          <w:p w14:paraId="1BA712AA">
            <w:pPr>
              <w:adjustRightInd w:val="0"/>
              <w:snapToGrid w:val="0"/>
              <w:spacing w:afterLines="0"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highlight w:val="none"/>
              </w:rPr>
              <w:t>工期</w:t>
            </w:r>
          </w:p>
        </w:tc>
        <w:tc>
          <w:tcPr>
            <w:tcW w:w="5048" w:type="dxa"/>
            <w:vAlign w:val="center"/>
          </w:tcPr>
          <w:p w14:paraId="32BA0753">
            <w:pPr>
              <w:adjustRightInd w:val="0"/>
              <w:snapToGrid w:val="0"/>
              <w:spacing w:after="0" w:afterLines="0" w:line="400" w:lineRule="exact"/>
              <w:ind w:firstLine="420" w:firstLineChars="200"/>
              <w:rPr>
                <w:rFonts w:hint="eastAsia" w:ascii="宋体" w:hAnsi="宋体" w:eastAsia="宋体"/>
                <w:color w:val="auto"/>
                <w:highlight w:val="none"/>
                <w:lang w:eastAsia="zh-CN"/>
              </w:rPr>
            </w:pPr>
            <w:r>
              <w:rPr>
                <w:rFonts w:hint="eastAsia" w:ascii="宋体" w:hAnsi="宋体" w:cs="宋体"/>
                <w:color w:val="auto"/>
                <w:kern w:val="0"/>
                <w:highlight w:val="none"/>
              </w:rPr>
              <w:t>符合第二章“</w:t>
            </w:r>
            <w:r>
              <w:rPr>
                <w:rFonts w:hint="eastAsia" w:ascii="宋体" w:hAnsi="宋体" w:cs="宋体"/>
                <w:color w:val="auto"/>
                <w:kern w:val="0"/>
                <w:highlight w:val="none"/>
                <w:lang w:eastAsia="zh-CN"/>
              </w:rPr>
              <w:t>供应商</w:t>
            </w:r>
            <w:r>
              <w:rPr>
                <w:rFonts w:hint="eastAsia" w:ascii="宋体" w:hAnsi="宋体" w:cs="宋体"/>
                <w:color w:val="auto"/>
                <w:kern w:val="0"/>
                <w:highlight w:val="none"/>
              </w:rPr>
              <w:t>须知”第1.3.2项规定</w:t>
            </w:r>
            <w:r>
              <w:rPr>
                <w:rFonts w:hint="eastAsia" w:ascii="宋体" w:hAnsi="宋体" w:cs="宋体"/>
                <w:color w:val="auto"/>
                <w:kern w:val="0"/>
                <w:highlight w:val="none"/>
                <w:lang w:eastAsia="zh-CN"/>
              </w:rPr>
              <w:t>。</w:t>
            </w:r>
          </w:p>
        </w:tc>
      </w:tr>
      <w:tr w14:paraId="1A8FF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vAlign w:val="center"/>
          </w:tcPr>
          <w:p w14:paraId="2A6EA2AA">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vAlign w:val="center"/>
          </w:tcPr>
          <w:p w14:paraId="30B06A03">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vAlign w:val="center"/>
          </w:tcPr>
          <w:p w14:paraId="3ABF8E7E">
            <w:pPr>
              <w:adjustRightInd w:val="0"/>
              <w:snapToGrid w:val="0"/>
              <w:spacing w:afterLines="0"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highlight w:val="none"/>
              </w:rPr>
              <w:t>工程质量</w:t>
            </w:r>
          </w:p>
        </w:tc>
        <w:tc>
          <w:tcPr>
            <w:tcW w:w="5048" w:type="dxa"/>
            <w:vAlign w:val="center"/>
          </w:tcPr>
          <w:p w14:paraId="4C31B7F8">
            <w:pPr>
              <w:adjustRightInd w:val="0"/>
              <w:snapToGrid w:val="0"/>
              <w:spacing w:after="0" w:afterLines="0" w:line="400" w:lineRule="exact"/>
              <w:ind w:firstLine="420" w:firstLineChars="200"/>
              <w:rPr>
                <w:rFonts w:hint="eastAsia" w:ascii="宋体" w:hAnsi="宋体" w:eastAsia="宋体"/>
                <w:color w:val="auto"/>
                <w:highlight w:val="none"/>
                <w:lang w:eastAsia="zh-CN"/>
              </w:rPr>
            </w:pPr>
            <w:r>
              <w:rPr>
                <w:rFonts w:hint="eastAsia" w:ascii="宋体" w:hAnsi="宋体" w:cs="宋体"/>
                <w:color w:val="auto"/>
                <w:kern w:val="0"/>
                <w:highlight w:val="none"/>
              </w:rPr>
              <w:t>符合第二章“</w:t>
            </w:r>
            <w:r>
              <w:rPr>
                <w:rFonts w:hint="eastAsia" w:ascii="宋体" w:hAnsi="宋体" w:cs="宋体"/>
                <w:color w:val="auto"/>
                <w:kern w:val="0"/>
                <w:highlight w:val="none"/>
                <w:lang w:eastAsia="zh-CN"/>
              </w:rPr>
              <w:t>供应商</w:t>
            </w:r>
            <w:r>
              <w:rPr>
                <w:rFonts w:hint="eastAsia" w:ascii="宋体" w:hAnsi="宋体" w:cs="宋体"/>
                <w:color w:val="auto"/>
                <w:kern w:val="0"/>
                <w:highlight w:val="none"/>
              </w:rPr>
              <w:t>须知”第1.3.3项规定</w:t>
            </w:r>
            <w:r>
              <w:rPr>
                <w:rFonts w:hint="eastAsia" w:ascii="宋体" w:hAnsi="宋体" w:cs="宋体"/>
                <w:color w:val="auto"/>
                <w:kern w:val="0"/>
                <w:highlight w:val="none"/>
                <w:lang w:eastAsia="zh-CN"/>
              </w:rPr>
              <w:t>。</w:t>
            </w:r>
          </w:p>
        </w:tc>
      </w:tr>
      <w:tr w14:paraId="01066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vAlign w:val="center"/>
          </w:tcPr>
          <w:p w14:paraId="45743419">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vAlign w:val="center"/>
          </w:tcPr>
          <w:p w14:paraId="53004FBA">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vAlign w:val="center"/>
          </w:tcPr>
          <w:p w14:paraId="275DD3DC">
            <w:pPr>
              <w:adjustRightInd w:val="0"/>
              <w:snapToGrid w:val="0"/>
              <w:spacing w:afterLines="0" w:line="400" w:lineRule="exact"/>
              <w:jc w:val="left"/>
              <w:rPr>
                <w:rFonts w:hint="eastAsia" w:ascii="宋体" w:hAnsi="宋体" w:eastAsia="宋体" w:cs="宋体"/>
                <w:color w:val="auto"/>
                <w:kern w:val="0"/>
                <w:szCs w:val="21"/>
                <w:highlight w:val="none"/>
                <w:lang w:eastAsia="zh-CN" w:bidi="ar"/>
              </w:rPr>
            </w:pPr>
            <w:r>
              <w:rPr>
                <w:rFonts w:hint="eastAsia" w:ascii="宋体" w:hAnsi="宋体" w:cs="宋体"/>
                <w:color w:val="auto"/>
                <w:kern w:val="0"/>
                <w:highlight w:val="none"/>
                <w:lang w:eastAsia="zh-CN"/>
              </w:rPr>
              <w:t>比选有效期</w:t>
            </w:r>
          </w:p>
        </w:tc>
        <w:tc>
          <w:tcPr>
            <w:tcW w:w="5048" w:type="dxa"/>
            <w:vAlign w:val="center"/>
          </w:tcPr>
          <w:p w14:paraId="6003F6D2">
            <w:pPr>
              <w:adjustRightInd w:val="0"/>
              <w:snapToGrid w:val="0"/>
              <w:spacing w:after="0" w:afterLines="0" w:line="400" w:lineRule="exact"/>
              <w:ind w:firstLine="420" w:firstLineChars="200"/>
              <w:rPr>
                <w:rFonts w:hint="eastAsia" w:ascii="宋体" w:hAnsi="宋体" w:eastAsia="宋体"/>
                <w:color w:val="auto"/>
                <w:highlight w:val="none"/>
                <w:lang w:eastAsia="zh-CN"/>
              </w:rPr>
            </w:pPr>
            <w:r>
              <w:rPr>
                <w:rFonts w:hint="eastAsia" w:ascii="宋体" w:hAnsi="宋体" w:cs="宋体"/>
                <w:color w:val="auto"/>
                <w:kern w:val="0"/>
                <w:highlight w:val="none"/>
              </w:rPr>
              <w:t>符合第二章“</w:t>
            </w:r>
            <w:r>
              <w:rPr>
                <w:rFonts w:hint="eastAsia" w:ascii="宋体" w:hAnsi="宋体" w:cs="宋体"/>
                <w:color w:val="auto"/>
                <w:kern w:val="0"/>
                <w:highlight w:val="none"/>
                <w:lang w:eastAsia="zh-CN"/>
              </w:rPr>
              <w:t>供应商</w:t>
            </w:r>
            <w:r>
              <w:rPr>
                <w:rFonts w:hint="eastAsia" w:ascii="宋体" w:hAnsi="宋体" w:cs="宋体"/>
                <w:color w:val="auto"/>
                <w:kern w:val="0"/>
                <w:highlight w:val="none"/>
              </w:rPr>
              <w:t>须知”第3.3.1项规定</w:t>
            </w:r>
            <w:r>
              <w:rPr>
                <w:rFonts w:hint="eastAsia" w:ascii="宋体" w:hAnsi="宋体" w:cs="宋体"/>
                <w:color w:val="auto"/>
                <w:kern w:val="0"/>
                <w:highlight w:val="none"/>
                <w:lang w:eastAsia="zh-CN"/>
              </w:rPr>
              <w:t>。</w:t>
            </w:r>
          </w:p>
        </w:tc>
      </w:tr>
      <w:tr w14:paraId="656DB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6C6BA4FD">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083FA1A1">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04832ED5">
            <w:pPr>
              <w:adjustRightInd w:val="0"/>
              <w:snapToGrid w:val="0"/>
              <w:spacing w:afterLines="0" w:line="400" w:lineRule="exact"/>
              <w:jc w:val="left"/>
              <w:rPr>
                <w:rFonts w:hint="eastAsia" w:ascii="宋体" w:hAnsi="宋体" w:eastAsia="宋体" w:cs="宋体"/>
                <w:color w:val="auto"/>
                <w:kern w:val="0"/>
                <w:szCs w:val="21"/>
                <w:highlight w:val="none"/>
                <w:lang w:eastAsia="zh-CN" w:bidi="ar"/>
              </w:rPr>
            </w:pPr>
            <w:r>
              <w:rPr>
                <w:rFonts w:hint="eastAsia" w:ascii="宋体" w:hAnsi="宋体" w:cs="宋体"/>
                <w:color w:val="auto"/>
                <w:kern w:val="0"/>
                <w:szCs w:val="21"/>
                <w:highlight w:val="none"/>
                <w:lang w:eastAsia="zh-CN" w:bidi="ar"/>
              </w:rPr>
              <w:t>比选总报价</w:t>
            </w:r>
          </w:p>
        </w:tc>
        <w:tc>
          <w:tcPr>
            <w:tcW w:w="5048" w:type="dxa"/>
            <w:tcBorders>
              <w:top w:val="single" w:color="auto" w:sz="4" w:space="0"/>
              <w:left w:val="single" w:color="auto" w:sz="4" w:space="0"/>
              <w:bottom w:val="single" w:color="auto" w:sz="4" w:space="0"/>
              <w:right w:val="single" w:color="auto" w:sz="4" w:space="0"/>
            </w:tcBorders>
            <w:vAlign w:val="center"/>
          </w:tcPr>
          <w:p w14:paraId="4CE1CD77">
            <w:pPr>
              <w:adjustRightInd w:val="0"/>
              <w:snapToGrid w:val="0"/>
              <w:spacing w:afterLines="0" w:line="400" w:lineRule="exact"/>
              <w:ind w:firstLine="420" w:firstLineChars="200"/>
              <w:jc w:val="left"/>
              <w:rPr>
                <w:rFonts w:hint="eastAsia" w:ascii="宋体" w:hAnsi="宋体" w:eastAsia="宋体"/>
                <w:color w:val="auto"/>
                <w:highlight w:val="none"/>
                <w:u w:val="single"/>
                <w:lang w:eastAsia="zh-CN"/>
              </w:rPr>
            </w:pPr>
            <w:r>
              <w:rPr>
                <w:rFonts w:hint="eastAsia" w:ascii="宋体" w:hAnsi="宋体"/>
                <w:color w:val="auto"/>
                <w:highlight w:val="none"/>
                <w:lang w:eastAsia="zh-CN"/>
              </w:rPr>
              <w:t>比选总报价</w:t>
            </w:r>
            <w:r>
              <w:rPr>
                <w:rFonts w:hint="eastAsia" w:ascii="宋体" w:hAnsi="宋体"/>
                <w:color w:val="auto"/>
                <w:highlight w:val="none"/>
              </w:rPr>
              <w:t>不得高于</w:t>
            </w:r>
            <w:r>
              <w:rPr>
                <w:rFonts w:hint="eastAsia" w:ascii="宋体" w:hAnsi="宋体"/>
                <w:color w:val="auto"/>
                <w:highlight w:val="none"/>
                <w:lang w:eastAsia="zh-CN"/>
              </w:rPr>
              <w:t>采购人</w:t>
            </w:r>
            <w:r>
              <w:rPr>
                <w:rFonts w:hint="eastAsia" w:ascii="宋体" w:hAnsi="宋体"/>
                <w:color w:val="auto"/>
                <w:highlight w:val="none"/>
              </w:rPr>
              <w:t>公布的</w:t>
            </w:r>
            <w:r>
              <w:rPr>
                <w:rFonts w:hint="eastAsia" w:ascii="宋体" w:hAnsi="宋体"/>
                <w:color w:val="auto"/>
                <w:highlight w:val="none"/>
                <w:lang w:eastAsia="zh-CN"/>
              </w:rPr>
              <w:t>比选总报价</w:t>
            </w:r>
            <w:r>
              <w:rPr>
                <w:rFonts w:hint="eastAsia" w:ascii="宋体" w:hAnsi="宋体"/>
                <w:color w:val="auto"/>
                <w:highlight w:val="none"/>
              </w:rPr>
              <w:t>最高限价。</w:t>
            </w:r>
            <w:r>
              <w:rPr>
                <w:rFonts w:hint="eastAsia" w:ascii="宋体" w:hAnsi="宋体" w:cs="宋体"/>
                <w:color w:val="auto"/>
                <w:kern w:val="0"/>
                <w:highlight w:val="none"/>
                <w:lang w:eastAsia="zh-CN"/>
              </w:rPr>
              <w:t>比选函</w:t>
            </w:r>
            <w:r>
              <w:rPr>
                <w:rFonts w:hint="eastAsia" w:ascii="宋体" w:hAnsi="宋体" w:cs="宋体"/>
                <w:color w:val="auto"/>
                <w:kern w:val="0"/>
                <w:highlight w:val="none"/>
              </w:rPr>
              <w:t>中的总报价必须与已标价工程量清单中的</w:t>
            </w:r>
            <w:r>
              <w:rPr>
                <w:rFonts w:hint="eastAsia" w:ascii="宋体" w:hAnsi="宋体" w:cs="宋体"/>
                <w:color w:val="auto"/>
                <w:kern w:val="0"/>
                <w:highlight w:val="none"/>
                <w:lang w:eastAsia="zh-CN"/>
              </w:rPr>
              <w:t>比选总报价</w:t>
            </w:r>
            <w:r>
              <w:rPr>
                <w:rFonts w:hint="eastAsia" w:ascii="宋体" w:hAnsi="宋体" w:cs="宋体"/>
                <w:color w:val="auto"/>
                <w:kern w:val="0"/>
                <w:highlight w:val="none"/>
              </w:rPr>
              <w:t>一致</w:t>
            </w:r>
            <w:r>
              <w:rPr>
                <w:rFonts w:hint="eastAsia" w:ascii="宋体" w:hAnsi="宋体" w:cs="宋体"/>
                <w:color w:val="auto"/>
                <w:kern w:val="0"/>
                <w:highlight w:val="none"/>
                <w:lang w:eastAsia="zh-CN"/>
              </w:rPr>
              <w:t>。</w:t>
            </w:r>
          </w:p>
        </w:tc>
      </w:tr>
      <w:tr w14:paraId="58D4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11577110">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7F6661BA">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443E8A0B">
            <w:pPr>
              <w:adjustRightInd w:val="0"/>
              <w:snapToGrid w:val="0"/>
              <w:spacing w:afterLines="0" w:line="400" w:lineRule="exact"/>
              <w:jc w:val="left"/>
              <w:rPr>
                <w:rFonts w:hint="eastAsia" w:ascii="宋体" w:hAnsi="宋体" w:cs="宋体"/>
                <w:color w:val="auto"/>
                <w:kern w:val="0"/>
                <w:szCs w:val="21"/>
                <w:highlight w:val="none"/>
                <w:lang w:eastAsia="zh-CN" w:bidi="ar"/>
              </w:rPr>
            </w:pPr>
            <w:r>
              <w:rPr>
                <w:rFonts w:hint="eastAsia" w:ascii="宋体" w:hAnsi="宋体"/>
                <w:color w:val="auto"/>
                <w:kern w:val="0"/>
                <w:highlight w:val="none"/>
              </w:rPr>
              <w:t>暂定金额</w:t>
            </w:r>
          </w:p>
        </w:tc>
        <w:tc>
          <w:tcPr>
            <w:tcW w:w="5048" w:type="dxa"/>
            <w:tcBorders>
              <w:top w:val="single" w:color="auto" w:sz="4" w:space="0"/>
              <w:left w:val="single" w:color="auto" w:sz="4" w:space="0"/>
              <w:bottom w:val="single" w:color="auto" w:sz="4" w:space="0"/>
              <w:right w:val="single" w:color="auto" w:sz="4" w:space="0"/>
            </w:tcBorders>
            <w:vAlign w:val="center"/>
          </w:tcPr>
          <w:p w14:paraId="3597656A">
            <w:pPr>
              <w:adjustRightInd w:val="0"/>
              <w:snapToGrid w:val="0"/>
              <w:spacing w:afterLines="0" w:line="400" w:lineRule="exact"/>
              <w:ind w:firstLine="420" w:firstLineChars="200"/>
              <w:jc w:val="left"/>
              <w:rPr>
                <w:rFonts w:hint="eastAsia" w:ascii="宋体" w:hAnsi="宋体"/>
                <w:color w:val="auto"/>
                <w:highlight w:val="none"/>
                <w:lang w:eastAsia="zh-CN"/>
              </w:rPr>
            </w:pPr>
            <w:r>
              <w:rPr>
                <w:rFonts w:hint="eastAsia" w:ascii="宋体" w:hAnsi="宋体" w:cs="宋体"/>
                <w:color w:val="auto"/>
                <w:szCs w:val="21"/>
                <w:highlight w:val="none"/>
                <w:lang w:eastAsia="zh-CN"/>
              </w:rPr>
              <w:t>安全生产费、暂列金等暂定金额</w:t>
            </w:r>
            <w:r>
              <w:rPr>
                <w:rFonts w:hint="eastAsia" w:ascii="宋体" w:hAnsi="宋体"/>
                <w:color w:val="auto"/>
                <w:kern w:val="0"/>
                <w:highlight w:val="none"/>
              </w:rPr>
              <w:t>必须按照</w:t>
            </w:r>
            <w:r>
              <w:rPr>
                <w:rFonts w:hint="eastAsia" w:ascii="宋体" w:hAnsi="宋体"/>
                <w:color w:val="auto"/>
                <w:kern w:val="0"/>
                <w:highlight w:val="none"/>
                <w:lang w:eastAsia="zh-CN"/>
              </w:rPr>
              <w:t>采购人</w:t>
            </w:r>
            <w:r>
              <w:rPr>
                <w:rFonts w:hint="eastAsia" w:ascii="宋体" w:hAnsi="宋体"/>
                <w:color w:val="auto"/>
                <w:kern w:val="0"/>
                <w:highlight w:val="none"/>
              </w:rPr>
              <w:t>给定的金额填报</w:t>
            </w:r>
            <w:r>
              <w:rPr>
                <w:rFonts w:hint="eastAsia" w:ascii="宋体" w:hAnsi="宋体"/>
                <w:color w:val="auto"/>
                <w:kern w:val="0"/>
                <w:highlight w:val="none"/>
                <w:lang w:eastAsia="zh-CN"/>
              </w:rPr>
              <w:t>。</w:t>
            </w:r>
          </w:p>
        </w:tc>
      </w:tr>
      <w:tr w14:paraId="23D18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vAlign w:val="center"/>
          </w:tcPr>
          <w:p w14:paraId="06E5FC58">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vAlign w:val="center"/>
          </w:tcPr>
          <w:p w14:paraId="26D144E9">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vAlign w:val="center"/>
          </w:tcPr>
          <w:p w14:paraId="0F8C146D">
            <w:pPr>
              <w:adjustRightInd w:val="0"/>
              <w:snapToGrid w:val="0"/>
              <w:spacing w:afterLines="0"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报价唯一</w:t>
            </w:r>
          </w:p>
        </w:tc>
        <w:tc>
          <w:tcPr>
            <w:tcW w:w="5048" w:type="dxa"/>
            <w:vAlign w:val="center"/>
          </w:tcPr>
          <w:p w14:paraId="0A365D17">
            <w:pPr>
              <w:adjustRightInd w:val="0"/>
              <w:snapToGrid w:val="0"/>
              <w:spacing w:afterLines="0" w:line="400" w:lineRule="exact"/>
              <w:ind w:firstLine="420" w:firstLineChars="200"/>
              <w:jc w:val="left"/>
              <w:rPr>
                <w:rFonts w:hint="eastAsia" w:ascii="宋体" w:hAnsi="宋体"/>
                <w:color w:val="auto"/>
                <w:highlight w:val="none"/>
              </w:rPr>
            </w:pPr>
            <w:r>
              <w:rPr>
                <w:rFonts w:hint="eastAsia" w:ascii="宋体" w:hAnsi="宋体"/>
                <w:color w:val="auto"/>
                <w:highlight w:val="none"/>
              </w:rPr>
              <w:t>只能有一个有效报价，在</w:t>
            </w:r>
            <w:r>
              <w:rPr>
                <w:rFonts w:hint="eastAsia" w:ascii="宋体" w:hAnsi="宋体"/>
                <w:color w:val="auto"/>
                <w:highlight w:val="none"/>
                <w:lang w:eastAsia="zh-CN"/>
              </w:rPr>
              <w:t>比选文件</w:t>
            </w:r>
            <w:r>
              <w:rPr>
                <w:rFonts w:hint="eastAsia" w:ascii="宋体" w:hAnsi="宋体"/>
                <w:color w:val="auto"/>
                <w:highlight w:val="none"/>
              </w:rPr>
              <w:t>没有规定的情况下，不得提交选择性报价。</w:t>
            </w:r>
          </w:p>
        </w:tc>
      </w:tr>
      <w:tr w14:paraId="042C3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6AC513C8">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717069E7">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3A2D6319">
            <w:pPr>
              <w:adjustRightInd w:val="0"/>
              <w:snapToGrid w:val="0"/>
              <w:spacing w:afterLines="0"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已标价工程量清单</w:t>
            </w:r>
          </w:p>
        </w:tc>
        <w:tc>
          <w:tcPr>
            <w:tcW w:w="5048" w:type="dxa"/>
            <w:tcBorders>
              <w:top w:val="single" w:color="auto" w:sz="4" w:space="0"/>
              <w:left w:val="single" w:color="auto" w:sz="4" w:space="0"/>
              <w:bottom w:val="single" w:color="auto" w:sz="4" w:space="0"/>
              <w:right w:val="single" w:color="auto" w:sz="4" w:space="0"/>
            </w:tcBorders>
            <w:vAlign w:val="center"/>
          </w:tcPr>
          <w:p w14:paraId="6181AD2B">
            <w:pPr>
              <w:adjustRightInd w:val="0"/>
              <w:snapToGrid w:val="0"/>
              <w:spacing w:afterLines="0"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highlight w:val="none"/>
                <w:lang w:val="en-US" w:eastAsia="zh-CN"/>
              </w:rPr>
              <w:t>1.</w:t>
            </w:r>
            <w:r>
              <w:rPr>
                <w:rFonts w:hint="eastAsia" w:ascii="宋体" w:hAnsi="宋体" w:cs="宋体"/>
                <w:color w:val="auto"/>
                <w:highlight w:val="none"/>
              </w:rPr>
              <w:t>各清单子目单价</w:t>
            </w:r>
            <w:r>
              <w:rPr>
                <w:rFonts w:hint="eastAsia" w:ascii="宋体" w:hAnsi="宋体" w:cs="宋体"/>
                <w:color w:val="auto"/>
                <w:highlight w:val="none"/>
                <w:lang w:val="en-US" w:eastAsia="zh-CN"/>
              </w:rPr>
              <w:t>报价</w:t>
            </w:r>
            <w:r>
              <w:rPr>
                <w:rFonts w:hint="eastAsia" w:ascii="宋体" w:hAnsi="宋体" w:cs="宋体"/>
                <w:color w:val="auto"/>
                <w:highlight w:val="none"/>
              </w:rPr>
              <w:t>不应高于各清单子目单价最高限价</w:t>
            </w:r>
            <w:r>
              <w:rPr>
                <w:rFonts w:hint="eastAsia" w:ascii="宋体" w:hAnsi="宋体" w:cs="宋体"/>
                <w:color w:val="auto"/>
                <w:highlight w:val="none"/>
                <w:lang w:eastAsia="zh-CN"/>
              </w:rPr>
              <w:t>。</w:t>
            </w:r>
          </w:p>
          <w:p w14:paraId="53B1D89B">
            <w:pPr>
              <w:adjustRightInd w:val="0"/>
              <w:snapToGrid w:val="0"/>
              <w:spacing w:afterLines="0" w:line="400" w:lineRule="exact"/>
              <w:ind w:firstLine="420" w:firstLineChars="200"/>
              <w:jc w:val="left"/>
              <w:rPr>
                <w:rFonts w:hint="eastAsia" w:ascii="宋体" w:hAnsi="宋体"/>
                <w:color w:val="auto"/>
                <w:highlight w:val="none"/>
              </w:rPr>
            </w:pPr>
            <w:r>
              <w:rPr>
                <w:rFonts w:hint="eastAsia" w:ascii="宋体" w:hAnsi="宋体" w:cs="宋体"/>
                <w:color w:val="auto"/>
                <w:kern w:val="0"/>
                <w:highlight w:val="none"/>
                <w:lang w:val="en-US" w:eastAsia="zh-CN"/>
              </w:rPr>
              <w:t>2.</w:t>
            </w:r>
            <w:r>
              <w:rPr>
                <w:rFonts w:hint="eastAsia" w:ascii="宋体" w:hAnsi="宋体"/>
                <w:color w:val="auto"/>
                <w:kern w:val="0"/>
                <w:szCs w:val="21"/>
                <w:highlight w:val="none"/>
                <w:u w:val="none"/>
                <w:lang w:eastAsia="zh-CN"/>
              </w:rPr>
              <w:t>供应商</w:t>
            </w:r>
            <w:r>
              <w:rPr>
                <w:rFonts w:hint="default" w:ascii="宋体" w:hAnsi="宋体"/>
                <w:color w:val="auto"/>
                <w:kern w:val="0"/>
                <w:szCs w:val="21"/>
                <w:highlight w:val="none"/>
                <w:u w:val="none"/>
              </w:rPr>
              <w:t>的</w:t>
            </w:r>
            <w:r>
              <w:rPr>
                <w:rFonts w:hint="eastAsia" w:ascii="宋体" w:hAnsi="宋体"/>
                <w:color w:val="auto"/>
                <w:kern w:val="0"/>
                <w:szCs w:val="21"/>
                <w:highlight w:val="none"/>
                <w:u w:val="none"/>
                <w:lang w:val="en-US" w:eastAsia="zh-CN"/>
              </w:rPr>
              <w:t>工程量清单单项报价</w:t>
            </w:r>
            <w:r>
              <w:rPr>
                <w:rFonts w:hint="default" w:ascii="宋体" w:hAnsi="宋体"/>
                <w:color w:val="auto"/>
                <w:kern w:val="0"/>
                <w:szCs w:val="21"/>
                <w:highlight w:val="none"/>
                <w:u w:val="none"/>
              </w:rPr>
              <w:t>不得</w:t>
            </w:r>
            <w:r>
              <w:rPr>
                <w:rFonts w:hint="eastAsia" w:ascii="宋体" w:hAnsi="宋体"/>
                <w:color w:val="auto"/>
                <w:kern w:val="0"/>
                <w:szCs w:val="21"/>
                <w:highlight w:val="none"/>
                <w:u w:val="none"/>
                <w:lang w:val="en-US" w:eastAsia="zh-CN"/>
              </w:rPr>
              <w:t>为零报价（采购人提供的工程量清单单项最高限价中金额为零的除外）或者负数报价（如有）。</w:t>
            </w:r>
          </w:p>
        </w:tc>
      </w:tr>
      <w:tr w14:paraId="07045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continue"/>
            <w:tcBorders>
              <w:left w:val="single" w:color="auto" w:sz="4" w:space="0"/>
              <w:right w:val="single" w:color="auto" w:sz="4" w:space="0"/>
            </w:tcBorders>
            <w:vAlign w:val="center"/>
          </w:tcPr>
          <w:p w14:paraId="4AE96EDD">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6F7B8A23">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09AAD0E6">
            <w:pPr>
              <w:adjustRightInd w:val="0"/>
              <w:snapToGrid w:val="0"/>
              <w:spacing w:afterLines="0"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eastAsia="zh-CN" w:bidi="ar"/>
              </w:rPr>
              <w:t>比选报价</w:t>
            </w:r>
            <w:r>
              <w:rPr>
                <w:rFonts w:hint="eastAsia" w:ascii="宋体" w:hAnsi="宋体" w:cs="宋体"/>
                <w:color w:val="auto"/>
                <w:kern w:val="0"/>
                <w:szCs w:val="21"/>
                <w:highlight w:val="none"/>
                <w:lang w:val="en-US" w:eastAsia="zh-CN" w:bidi="ar"/>
              </w:rPr>
              <w:t>大小写不一致</w:t>
            </w:r>
            <w:r>
              <w:rPr>
                <w:rFonts w:hint="eastAsia" w:ascii="宋体" w:hAnsi="宋体" w:cs="宋体"/>
                <w:color w:val="auto"/>
                <w:kern w:val="0"/>
                <w:szCs w:val="21"/>
                <w:highlight w:val="none"/>
                <w:lang w:bidi="ar"/>
              </w:rPr>
              <w:t>修正</w:t>
            </w:r>
          </w:p>
        </w:tc>
        <w:tc>
          <w:tcPr>
            <w:tcW w:w="5048" w:type="dxa"/>
            <w:tcBorders>
              <w:top w:val="single" w:color="auto" w:sz="4" w:space="0"/>
              <w:left w:val="single" w:color="auto" w:sz="4" w:space="0"/>
              <w:bottom w:val="single" w:color="auto" w:sz="4" w:space="0"/>
              <w:right w:val="single" w:color="auto" w:sz="4" w:space="0"/>
            </w:tcBorders>
            <w:vAlign w:val="center"/>
          </w:tcPr>
          <w:p w14:paraId="66754B66">
            <w:pPr>
              <w:adjustRightInd w:val="0"/>
              <w:snapToGrid w:val="0"/>
              <w:spacing w:afterLines="0" w:line="400" w:lineRule="exact"/>
              <w:ind w:firstLine="420" w:firstLineChars="200"/>
              <w:jc w:val="left"/>
              <w:rPr>
                <w:rFonts w:hint="default" w:ascii="宋体" w:hAnsi="宋体"/>
                <w:color w:val="auto"/>
                <w:highlight w:val="none"/>
                <w:lang w:val="en-US"/>
              </w:rPr>
            </w:pPr>
            <w:r>
              <w:rPr>
                <w:rFonts w:hint="eastAsia" w:ascii="宋体" w:hAnsi="宋体"/>
                <w:color w:val="auto"/>
                <w:highlight w:val="none"/>
              </w:rPr>
              <w:t>符合第三章3.</w:t>
            </w:r>
            <w:r>
              <w:rPr>
                <w:rFonts w:hint="eastAsia" w:ascii="宋体" w:hAnsi="宋体"/>
                <w:color w:val="auto"/>
                <w:highlight w:val="none"/>
                <w:lang w:eastAsia="zh-CN"/>
              </w:rPr>
              <w:t>评审</w:t>
            </w:r>
            <w:r>
              <w:rPr>
                <w:rFonts w:hint="eastAsia" w:ascii="宋体" w:hAnsi="宋体"/>
                <w:color w:val="auto"/>
                <w:highlight w:val="none"/>
              </w:rPr>
              <w:t>程序第3.1.</w:t>
            </w:r>
            <w:r>
              <w:rPr>
                <w:rFonts w:hint="eastAsia" w:ascii="宋体" w:hAnsi="宋体"/>
                <w:color w:val="auto"/>
                <w:highlight w:val="none"/>
                <w:lang w:val="en-US" w:eastAsia="zh-CN"/>
              </w:rPr>
              <w:t>2</w:t>
            </w:r>
            <w:r>
              <w:rPr>
                <w:rFonts w:hint="eastAsia" w:ascii="宋体" w:hAnsi="宋体"/>
                <w:color w:val="auto"/>
                <w:highlight w:val="none"/>
              </w:rPr>
              <w:t>项规定</w:t>
            </w:r>
            <w:r>
              <w:rPr>
                <w:rFonts w:hint="eastAsia" w:ascii="宋体" w:hAnsi="宋体"/>
                <w:color w:val="auto"/>
                <w:highlight w:val="none"/>
                <w:lang w:eastAsia="zh-CN"/>
              </w:rPr>
              <w:t>。</w:t>
            </w:r>
          </w:p>
        </w:tc>
      </w:tr>
      <w:tr w14:paraId="00302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restart"/>
            <w:tcBorders>
              <w:top w:val="single" w:color="auto" w:sz="4" w:space="0"/>
              <w:left w:val="single" w:color="auto" w:sz="4" w:space="0"/>
              <w:right w:val="single" w:color="auto" w:sz="4" w:space="0"/>
            </w:tcBorders>
            <w:vAlign w:val="center"/>
          </w:tcPr>
          <w:p w14:paraId="554E1582">
            <w:pPr>
              <w:adjustRightInd w:val="0"/>
              <w:snapToGrid w:val="0"/>
              <w:spacing w:afterLines="0" w:line="400" w:lineRule="exact"/>
              <w:jc w:val="center"/>
              <w:rPr>
                <w:rFonts w:hint="eastAsia"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3</w:t>
            </w:r>
          </w:p>
        </w:tc>
        <w:tc>
          <w:tcPr>
            <w:tcW w:w="1599" w:type="dxa"/>
            <w:vMerge w:val="restart"/>
            <w:tcBorders>
              <w:top w:val="single" w:color="auto" w:sz="4" w:space="0"/>
              <w:left w:val="single" w:color="auto" w:sz="4" w:space="0"/>
              <w:right w:val="single" w:color="auto" w:sz="4" w:space="0"/>
            </w:tcBorders>
            <w:vAlign w:val="center"/>
          </w:tcPr>
          <w:p w14:paraId="163732D0">
            <w:pPr>
              <w:adjustRightInd w:val="0"/>
              <w:snapToGrid w:val="0"/>
              <w:spacing w:afterLines="0" w:line="400" w:lineRule="exact"/>
              <w:jc w:val="center"/>
              <w:rPr>
                <w:rFonts w:hint="eastAsia" w:ascii="宋体" w:hAnsi="宋体"/>
                <w:color w:val="auto"/>
                <w:kern w:val="0"/>
                <w:highlight w:val="none"/>
              </w:rPr>
            </w:pPr>
            <w:r>
              <w:rPr>
                <w:rFonts w:hint="eastAsia" w:ascii="宋体" w:hAnsi="宋体"/>
                <w:color w:val="auto"/>
                <w:kern w:val="0"/>
                <w:highlight w:val="none"/>
                <w:lang w:eastAsia="zh-CN"/>
              </w:rPr>
              <w:t>评审基准价</w:t>
            </w:r>
            <w:r>
              <w:rPr>
                <w:rFonts w:ascii="宋体" w:hAnsi="宋体"/>
                <w:color w:val="auto"/>
                <w:kern w:val="0"/>
                <w:highlight w:val="none"/>
              </w:rPr>
              <w:t>计算方法</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6808AEC">
            <w:pPr>
              <w:adjustRightInd w:val="0"/>
              <w:snapToGrid w:val="0"/>
              <w:spacing w:afterLines="0" w:line="400" w:lineRule="exact"/>
              <w:jc w:val="center"/>
              <w:rPr>
                <w:rFonts w:hint="eastAsia" w:ascii="宋体" w:hAnsi="宋体" w:eastAsia="宋体" w:cs="宋体"/>
                <w:color w:val="auto"/>
                <w:kern w:val="0"/>
                <w:szCs w:val="21"/>
                <w:highlight w:val="none"/>
                <w:lang w:eastAsia="zh-CN" w:bidi="ar"/>
              </w:rPr>
            </w:pPr>
            <w:r>
              <w:rPr>
                <w:rFonts w:hint="eastAsia" w:ascii="宋体" w:hAnsi="宋体"/>
                <w:color w:val="auto"/>
                <w:kern w:val="0"/>
                <w:highlight w:val="none"/>
                <w:lang w:eastAsia="zh-CN"/>
              </w:rPr>
              <w:t>比选总报价</w:t>
            </w:r>
          </w:p>
        </w:tc>
        <w:tc>
          <w:tcPr>
            <w:tcW w:w="5048" w:type="dxa"/>
            <w:tcBorders>
              <w:top w:val="single" w:color="auto" w:sz="4" w:space="0"/>
              <w:left w:val="single" w:color="auto" w:sz="4" w:space="0"/>
              <w:bottom w:val="single" w:color="auto" w:sz="4" w:space="0"/>
              <w:right w:val="single" w:color="auto" w:sz="4" w:space="0"/>
            </w:tcBorders>
            <w:vAlign w:val="top"/>
          </w:tcPr>
          <w:p w14:paraId="0B1C5A3D">
            <w:pPr>
              <w:adjustRightInd w:val="0"/>
              <w:snapToGrid w:val="0"/>
              <w:spacing w:afterLines="0" w:line="400" w:lineRule="exact"/>
              <w:ind w:firstLine="420" w:firstLineChars="200"/>
              <w:rPr>
                <w:rFonts w:hint="eastAsia" w:ascii="宋体" w:hAnsi="宋体" w:eastAsia="宋体" w:cs="宋体"/>
                <w:i w:val="0"/>
                <w:color w:val="auto"/>
                <w:kern w:val="0"/>
                <w:szCs w:val="21"/>
                <w:highlight w:val="none"/>
              </w:rPr>
            </w:pPr>
            <w:r>
              <w:rPr>
                <w:rFonts w:hint="eastAsia" w:ascii="宋体" w:hAnsi="宋体" w:cs="宋体"/>
                <w:color w:val="auto"/>
                <w:kern w:val="0"/>
                <w:szCs w:val="21"/>
                <w:highlight w:val="none"/>
                <w:lang w:eastAsia="zh-CN"/>
              </w:rPr>
              <w:t>进入报价评</w:t>
            </w:r>
            <w:r>
              <w:rPr>
                <w:rFonts w:hint="eastAsia" w:ascii="宋体" w:hAnsi="宋体" w:eastAsia="宋体" w:cs="宋体"/>
                <w:color w:val="auto"/>
                <w:kern w:val="0"/>
                <w:szCs w:val="21"/>
                <w:highlight w:val="none"/>
                <w:lang w:eastAsia="zh-CN"/>
              </w:rPr>
              <w:t>审</w:t>
            </w:r>
            <w:r>
              <w:rPr>
                <w:rFonts w:hint="eastAsia" w:ascii="宋体" w:hAnsi="宋体" w:eastAsia="宋体" w:cs="宋体"/>
                <w:color w:val="auto"/>
                <w:kern w:val="0"/>
                <w:szCs w:val="21"/>
                <w:highlight w:val="none"/>
                <w:lang w:val="en-US" w:eastAsia="zh-CN"/>
              </w:rPr>
              <w:t>且</w:t>
            </w:r>
            <w:r>
              <w:rPr>
                <w:rFonts w:hint="eastAsia" w:ascii="宋体" w:hAnsi="宋体" w:eastAsia="宋体" w:cs="宋体"/>
                <w:color w:val="auto"/>
                <w:kern w:val="0"/>
                <w:sz w:val="21"/>
                <w:szCs w:val="21"/>
                <w:highlight w:val="none"/>
              </w:rPr>
              <w:t>不低于最高限价85%</w:t>
            </w:r>
            <w:r>
              <w:rPr>
                <w:rFonts w:hint="eastAsia" w:ascii="宋体" w:hAnsi="宋体" w:eastAsia="宋体" w:cs="宋体"/>
                <w:color w:val="auto"/>
                <w:kern w:val="0"/>
                <w:sz w:val="21"/>
                <w:szCs w:val="21"/>
                <w:highlight w:val="none"/>
                <w:vertAlign w:val="baseline"/>
              </w:rPr>
              <w:t>的</w:t>
            </w:r>
            <w:r>
              <w:rPr>
                <w:rFonts w:hint="eastAsia" w:ascii="宋体" w:hAnsi="宋体" w:eastAsia="宋体" w:cs="宋体"/>
                <w:color w:val="auto"/>
                <w:kern w:val="0"/>
                <w:sz w:val="21"/>
                <w:szCs w:val="21"/>
                <w:highlight w:val="none"/>
                <w:vertAlign w:val="baseline"/>
                <w:lang w:val="en-US" w:eastAsia="zh-CN"/>
              </w:rPr>
              <w:t>比选总</w:t>
            </w:r>
            <w:r>
              <w:rPr>
                <w:rFonts w:hint="eastAsia" w:ascii="宋体" w:hAnsi="宋体" w:eastAsia="宋体" w:cs="宋体"/>
                <w:color w:val="auto"/>
                <w:kern w:val="0"/>
                <w:sz w:val="21"/>
                <w:szCs w:val="21"/>
                <w:highlight w:val="none"/>
                <w:vertAlign w:val="baseline"/>
              </w:rPr>
              <w:t>报价中</w:t>
            </w:r>
            <w:r>
              <w:rPr>
                <w:rFonts w:hint="eastAsia" w:ascii="宋体" w:hAnsi="宋体" w:eastAsia="宋体" w:cs="宋体"/>
                <w:color w:val="auto"/>
                <w:kern w:val="0"/>
                <w:szCs w:val="21"/>
                <w:highlight w:val="none"/>
              </w:rPr>
              <w:t>中去掉六分之一（不能整除的按小数点前整数取整，不足六家报价则不去掉）的最低价和相同家数的最高价后的算术平均值</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即为本项目的</w:t>
            </w:r>
            <w:r>
              <w:rPr>
                <w:rFonts w:hint="eastAsia" w:ascii="宋体" w:hAnsi="宋体" w:eastAsia="宋体" w:cs="宋体"/>
                <w:color w:val="auto"/>
                <w:kern w:val="0"/>
                <w:szCs w:val="21"/>
                <w:highlight w:val="none"/>
                <w:lang w:eastAsia="zh-CN"/>
              </w:rPr>
              <w:t>比选总报价</w:t>
            </w:r>
            <w:r>
              <w:rPr>
                <w:rFonts w:hint="eastAsia" w:ascii="宋体" w:hAnsi="宋体" w:eastAsia="宋体" w:cs="宋体"/>
                <w:color w:val="auto"/>
                <w:kern w:val="0"/>
                <w:szCs w:val="21"/>
                <w:highlight w:val="none"/>
              </w:rPr>
              <w:t>的</w:t>
            </w:r>
            <w:r>
              <w:rPr>
                <w:rFonts w:hint="eastAsia" w:ascii="宋体" w:hAnsi="宋体" w:eastAsia="宋体" w:cs="宋体"/>
                <w:color w:val="auto"/>
                <w:kern w:val="0"/>
                <w:szCs w:val="21"/>
                <w:highlight w:val="none"/>
                <w:lang w:eastAsia="zh-CN"/>
              </w:rPr>
              <w:t>评审基准价。</w:t>
            </w:r>
          </w:p>
          <w:p w14:paraId="0BD9D0B4">
            <w:pPr>
              <w:adjustRightInd w:val="0"/>
              <w:snapToGrid w:val="0"/>
              <w:spacing w:afterLines="0" w:line="400" w:lineRule="exact"/>
              <w:ind w:firstLine="420" w:firstLineChars="200"/>
              <w:rPr>
                <w:rFonts w:hint="eastAsia" w:ascii="宋体" w:hAnsi="宋体" w:cs="宋体"/>
                <w:color w:val="auto"/>
                <w:kern w:val="0"/>
                <w:szCs w:val="21"/>
                <w:highlight w:val="none"/>
                <w:lang w:bidi="ar"/>
              </w:rPr>
            </w:pPr>
            <w:r>
              <w:rPr>
                <w:rFonts w:hint="eastAsia" w:ascii="宋体" w:hAnsi="宋体" w:eastAsia="宋体" w:cs="宋体"/>
                <w:color w:val="auto"/>
                <w:kern w:val="0"/>
                <w:szCs w:val="21"/>
                <w:highlight w:val="none"/>
                <w:lang w:eastAsia="zh-CN"/>
              </w:rPr>
              <w:t>评审基准价</w:t>
            </w:r>
            <w:r>
              <w:rPr>
                <w:rFonts w:hint="eastAsia" w:ascii="宋体" w:hAnsi="宋体" w:eastAsia="宋体" w:cs="宋体"/>
                <w:color w:val="auto"/>
                <w:kern w:val="0"/>
                <w:szCs w:val="21"/>
                <w:highlight w:val="none"/>
              </w:rPr>
              <w:t>计算的最终结果取小数点后两位，</w:t>
            </w:r>
            <w:r>
              <w:rPr>
                <w:rFonts w:hint="eastAsia" w:ascii="宋体" w:hAnsi="宋体" w:eastAsia="宋体" w:cs="宋体"/>
                <w:color w:val="auto"/>
                <w:kern w:val="0"/>
                <w:szCs w:val="21"/>
                <w:highlight w:val="none"/>
                <w:lang w:val="en-US" w:eastAsia="zh-CN"/>
              </w:rPr>
              <w:t>小数点后</w:t>
            </w:r>
            <w:r>
              <w:rPr>
                <w:rFonts w:hint="eastAsia" w:ascii="宋体" w:hAnsi="宋体" w:eastAsia="宋体" w:cs="宋体"/>
                <w:color w:val="auto"/>
                <w:kern w:val="0"/>
                <w:szCs w:val="21"/>
                <w:highlight w:val="none"/>
              </w:rPr>
              <w:t>第三位四舍五入。</w:t>
            </w:r>
          </w:p>
        </w:tc>
      </w:tr>
      <w:tr w14:paraId="71709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7C7C7030">
            <w:pPr>
              <w:adjustRightInd w:val="0"/>
              <w:snapToGrid w:val="0"/>
              <w:spacing w:afterLines="0" w:line="400" w:lineRule="exact"/>
              <w:jc w:val="center"/>
              <w:rPr>
                <w:rFonts w:ascii="宋体" w:hAnsi="宋体"/>
                <w:color w:val="auto"/>
                <w:kern w:val="0"/>
                <w:highlight w:val="none"/>
              </w:rPr>
            </w:pPr>
            <w:r>
              <w:rPr>
                <w:rFonts w:hint="eastAsia" w:ascii="宋体" w:hAnsi="宋体"/>
                <w:color w:val="auto"/>
                <w:kern w:val="0"/>
                <w:highlight w:val="none"/>
              </w:rPr>
              <w:t>2.2.4</w:t>
            </w:r>
          </w:p>
        </w:tc>
        <w:tc>
          <w:tcPr>
            <w:tcW w:w="1599" w:type="dxa"/>
            <w:tcBorders>
              <w:top w:val="single" w:color="auto" w:sz="4" w:space="0"/>
              <w:left w:val="single" w:color="auto" w:sz="4" w:space="0"/>
              <w:bottom w:val="single" w:color="auto" w:sz="4" w:space="0"/>
              <w:right w:val="single" w:color="auto" w:sz="4" w:space="0"/>
            </w:tcBorders>
            <w:vAlign w:val="center"/>
          </w:tcPr>
          <w:p w14:paraId="276A6451">
            <w:pPr>
              <w:adjustRightInd w:val="0"/>
              <w:snapToGrid w:val="0"/>
              <w:spacing w:afterLines="0" w:line="400" w:lineRule="exact"/>
              <w:jc w:val="center"/>
              <w:rPr>
                <w:rFonts w:hint="eastAsia" w:ascii="宋体" w:hAnsi="宋体"/>
                <w:color w:val="auto"/>
                <w:kern w:val="0"/>
                <w:highlight w:val="none"/>
              </w:rPr>
            </w:pPr>
            <w:r>
              <w:rPr>
                <w:rFonts w:hint="eastAsia" w:ascii="宋体" w:hAnsi="宋体"/>
                <w:color w:val="auto"/>
                <w:kern w:val="0"/>
                <w:highlight w:val="none"/>
              </w:rPr>
              <w:t>偏差率计算</w:t>
            </w:r>
          </w:p>
        </w:tc>
        <w:tc>
          <w:tcPr>
            <w:tcW w:w="7403" w:type="dxa"/>
            <w:gridSpan w:val="3"/>
            <w:tcBorders>
              <w:top w:val="single" w:color="auto" w:sz="4" w:space="0"/>
              <w:left w:val="single" w:color="auto" w:sz="4" w:space="0"/>
              <w:bottom w:val="single" w:color="auto" w:sz="4" w:space="0"/>
              <w:right w:val="single" w:color="auto" w:sz="4" w:space="0"/>
            </w:tcBorders>
            <w:vAlign w:val="center"/>
          </w:tcPr>
          <w:p w14:paraId="75D50019">
            <w:pPr>
              <w:adjustRightInd w:val="0"/>
              <w:snapToGrid w:val="0"/>
              <w:spacing w:afterLines="0" w:line="400" w:lineRule="exact"/>
              <w:ind w:firstLine="420" w:firstLineChars="200"/>
              <w:jc w:val="left"/>
              <w:rPr>
                <w:rFonts w:ascii="宋体" w:hAnsi="宋体"/>
                <w:color w:val="auto"/>
                <w:kern w:val="0"/>
                <w:highlight w:val="none"/>
              </w:rPr>
            </w:pPr>
            <w:r>
              <w:rPr>
                <w:rFonts w:hint="eastAsia" w:ascii="宋体" w:hAnsi="宋体"/>
                <w:color w:val="auto"/>
                <w:kern w:val="0"/>
                <w:highlight w:val="none"/>
                <w:lang w:eastAsia="zh-CN"/>
              </w:rPr>
              <w:t>比选总报价</w:t>
            </w:r>
            <w:r>
              <w:rPr>
                <w:rFonts w:ascii="宋体" w:hAnsi="宋体"/>
                <w:color w:val="auto"/>
                <w:kern w:val="0"/>
                <w:highlight w:val="none"/>
              </w:rPr>
              <w:t>的偏差率计算公式</w:t>
            </w:r>
          </w:p>
          <w:p w14:paraId="45084A17">
            <w:pPr>
              <w:adjustRightInd w:val="0"/>
              <w:snapToGrid w:val="0"/>
              <w:spacing w:afterLines="0" w:line="400" w:lineRule="exact"/>
              <w:ind w:firstLine="420" w:firstLineChars="200"/>
              <w:jc w:val="left"/>
              <w:rPr>
                <w:rFonts w:hint="eastAsia" w:ascii="宋体" w:hAnsi="宋体" w:eastAsia="宋体"/>
                <w:color w:val="auto"/>
                <w:kern w:val="0"/>
                <w:highlight w:val="none"/>
                <w:lang w:eastAsia="zh-CN"/>
              </w:rPr>
            </w:pPr>
            <w:r>
              <w:rPr>
                <w:rFonts w:ascii="宋体" w:hAnsi="宋体"/>
                <w:color w:val="auto"/>
                <w:kern w:val="0"/>
                <w:highlight w:val="none"/>
              </w:rPr>
              <w:t>偏差率</w:t>
            </w:r>
            <w:r>
              <w:rPr>
                <w:rFonts w:ascii="宋体" w:hAnsi="宋体"/>
                <w:color w:val="auto"/>
                <w:kern w:val="0"/>
                <w:sz w:val="28"/>
                <w:szCs w:val="28"/>
                <w:highlight w:val="none"/>
              </w:rPr>
              <w:t>=</w:t>
            </w:r>
            <w:r>
              <w:rPr>
                <w:rFonts w:ascii="宋体" w:hAnsi="宋体"/>
                <w:color w:val="auto"/>
                <w:kern w:val="0"/>
                <w:highlight w:val="none"/>
              </w:rPr>
              <w:t>100％×（</w:t>
            </w:r>
            <w:r>
              <w:rPr>
                <w:rFonts w:hint="eastAsia" w:ascii="宋体" w:hAnsi="宋体"/>
                <w:color w:val="auto"/>
                <w:kern w:val="0"/>
                <w:highlight w:val="none"/>
                <w:lang w:eastAsia="zh-CN"/>
              </w:rPr>
              <w:t>供应商</w:t>
            </w:r>
            <w:r>
              <w:rPr>
                <w:rFonts w:ascii="宋体" w:hAnsi="宋体"/>
                <w:color w:val="auto"/>
                <w:kern w:val="0"/>
                <w:highlight w:val="none"/>
              </w:rPr>
              <w:t>报价一</w:t>
            </w:r>
            <w:r>
              <w:rPr>
                <w:rFonts w:hint="eastAsia" w:ascii="宋体" w:hAnsi="宋体"/>
                <w:color w:val="auto"/>
                <w:kern w:val="0"/>
                <w:highlight w:val="none"/>
                <w:lang w:eastAsia="zh-CN"/>
              </w:rPr>
              <w:t>评审基准价）</w:t>
            </w:r>
            <w:r>
              <w:rPr>
                <w:rFonts w:ascii="宋体" w:hAnsi="宋体"/>
                <w:color w:val="auto"/>
                <w:kern w:val="0"/>
                <w:highlight w:val="none"/>
              </w:rPr>
              <w:t>／</w:t>
            </w:r>
            <w:r>
              <w:rPr>
                <w:rFonts w:hint="eastAsia" w:ascii="宋体" w:hAnsi="宋体"/>
                <w:color w:val="auto"/>
                <w:kern w:val="0"/>
                <w:highlight w:val="none"/>
                <w:lang w:eastAsia="zh-CN"/>
              </w:rPr>
              <w:t>评审基准价</w:t>
            </w:r>
          </w:p>
          <w:p w14:paraId="2552D83B">
            <w:pPr>
              <w:adjustRightInd w:val="0"/>
              <w:snapToGrid w:val="0"/>
              <w:spacing w:afterLines="0" w:line="400" w:lineRule="exact"/>
              <w:ind w:firstLine="200"/>
              <w:rPr>
                <w:rFonts w:hint="eastAsia" w:ascii="宋体" w:hAnsi="宋体"/>
                <w:color w:val="auto"/>
                <w:kern w:val="0"/>
                <w:highlight w:val="none"/>
              </w:rPr>
            </w:pPr>
            <w:r>
              <w:rPr>
                <w:rFonts w:ascii="宋体" w:hAnsi="宋体"/>
                <w:color w:val="auto"/>
                <w:kern w:val="0"/>
                <w:highlight w:val="none"/>
              </w:rPr>
              <w:t xml:space="preserve">  </w:t>
            </w:r>
            <w:r>
              <w:rPr>
                <w:rFonts w:hint="eastAsia" w:ascii="宋体" w:hAnsi="宋体"/>
                <w:color w:val="auto"/>
                <w:kern w:val="0"/>
                <w:highlight w:val="none"/>
              </w:rPr>
              <w:t>偏差率计算的最终结果取小数点后两位</w:t>
            </w:r>
            <w:r>
              <w:rPr>
                <w:rFonts w:ascii="宋体" w:hAnsi="宋体"/>
                <w:color w:val="auto"/>
                <w:kern w:val="0"/>
                <w:szCs w:val="21"/>
                <w:highlight w:val="none"/>
              </w:rPr>
              <w:t>，小数点后第三位四舍五入。</w:t>
            </w:r>
          </w:p>
        </w:tc>
      </w:tr>
      <w:tr w14:paraId="50D45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229ED983">
            <w:pPr>
              <w:adjustRightInd w:val="0"/>
              <w:snapToGrid w:val="0"/>
              <w:spacing w:afterLines="0" w:line="400" w:lineRule="exact"/>
              <w:jc w:val="center"/>
              <w:rPr>
                <w:rFonts w:hint="eastAsia" w:ascii="宋体" w:hAnsi="宋体"/>
                <w:color w:val="auto"/>
                <w:kern w:val="0"/>
                <w:highlight w:val="none"/>
              </w:rPr>
            </w:pPr>
            <w:r>
              <w:rPr>
                <w:rFonts w:ascii="宋体" w:hAnsi="宋体"/>
                <w:color w:val="auto"/>
                <w:highlight w:val="none"/>
              </w:rPr>
              <w:t>3</w:t>
            </w:r>
          </w:p>
        </w:tc>
        <w:tc>
          <w:tcPr>
            <w:tcW w:w="1599" w:type="dxa"/>
            <w:tcBorders>
              <w:top w:val="single" w:color="auto" w:sz="4" w:space="0"/>
              <w:left w:val="single" w:color="auto" w:sz="4" w:space="0"/>
              <w:bottom w:val="single" w:color="auto" w:sz="4" w:space="0"/>
              <w:right w:val="single" w:color="auto" w:sz="4" w:space="0"/>
            </w:tcBorders>
            <w:vAlign w:val="center"/>
          </w:tcPr>
          <w:p w14:paraId="1F99B10B">
            <w:pPr>
              <w:adjustRightInd w:val="0"/>
              <w:snapToGrid w:val="0"/>
              <w:spacing w:afterLines="0" w:line="400" w:lineRule="exact"/>
              <w:jc w:val="center"/>
              <w:rPr>
                <w:rFonts w:hint="eastAsia" w:ascii="宋体" w:hAnsi="宋体"/>
                <w:color w:val="auto"/>
                <w:kern w:val="0"/>
                <w:highlight w:val="none"/>
              </w:rPr>
            </w:pPr>
            <w:r>
              <w:rPr>
                <w:rFonts w:hint="eastAsia" w:ascii="宋体" w:hAnsi="宋体"/>
                <w:color w:val="auto"/>
                <w:highlight w:val="none"/>
                <w:lang w:eastAsia="zh-CN"/>
              </w:rPr>
              <w:t>评审</w:t>
            </w:r>
            <w:r>
              <w:rPr>
                <w:rFonts w:hint="eastAsia" w:ascii="宋体" w:hAnsi="宋体"/>
                <w:color w:val="auto"/>
                <w:highlight w:val="none"/>
              </w:rPr>
              <w:t>程序</w:t>
            </w:r>
          </w:p>
        </w:tc>
        <w:tc>
          <w:tcPr>
            <w:tcW w:w="7403" w:type="dxa"/>
            <w:gridSpan w:val="3"/>
            <w:tcBorders>
              <w:top w:val="single" w:color="auto" w:sz="4" w:space="0"/>
              <w:left w:val="single" w:color="auto" w:sz="4" w:space="0"/>
              <w:bottom w:val="single" w:color="auto" w:sz="4" w:space="0"/>
              <w:right w:val="single" w:color="auto" w:sz="4" w:space="0"/>
            </w:tcBorders>
            <w:vAlign w:val="top"/>
          </w:tcPr>
          <w:p w14:paraId="4805BAE1">
            <w:pPr>
              <w:keepNext w:val="0"/>
              <w:keepLines w:val="0"/>
              <w:pageBreakBefore w:val="0"/>
              <w:widowControl/>
              <w:kinsoku/>
              <w:wordWrap/>
              <w:overflowPunct/>
              <w:topLinePunct w:val="0"/>
              <w:bidi w:val="0"/>
              <w:adjustRightInd w:val="0"/>
              <w:snapToGrid w:val="0"/>
              <w:spacing w:beforeAutospacing="0" w:afterLines="0" w:afterAutospacing="0" w:line="400" w:lineRule="exact"/>
              <w:ind w:firstLine="420" w:firstLineChars="200"/>
              <w:jc w:val="left"/>
              <w:textAlignment w:val="auto"/>
              <w:rPr>
                <w:rFonts w:hint="default" w:ascii="宋体" w:hAnsi="宋体" w:cs="宋体"/>
                <w:color w:val="auto"/>
                <w:szCs w:val="21"/>
                <w:highlight w:val="none"/>
                <w:lang w:val="en-US" w:eastAsia="zh-CN"/>
              </w:rPr>
            </w:pPr>
            <w:r>
              <w:rPr>
                <w:rFonts w:hint="eastAsia" w:ascii="宋体" w:hAnsi="宋体" w:cs="宋体"/>
                <w:color w:val="auto"/>
                <w:szCs w:val="21"/>
                <w:highlight w:val="none"/>
              </w:rPr>
              <w:t>全部评审方式</w:t>
            </w:r>
          </w:p>
          <w:p w14:paraId="3C3C776C">
            <w:pPr>
              <w:adjustRightInd w:val="0"/>
              <w:snapToGrid w:val="0"/>
              <w:spacing w:afterLines="0" w:line="400" w:lineRule="exact"/>
              <w:ind w:firstLine="420" w:firstLineChars="200"/>
              <w:jc w:val="left"/>
              <w:rPr>
                <w:rFonts w:ascii="宋体" w:hAnsi="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初步评审。</w:t>
            </w:r>
            <w:r>
              <w:rPr>
                <w:rFonts w:hint="eastAsia" w:ascii="宋体" w:hAnsi="宋体" w:cs="宋体"/>
                <w:color w:val="auto"/>
                <w:szCs w:val="21"/>
                <w:highlight w:val="none"/>
              </w:rPr>
              <w:t>按</w:t>
            </w:r>
            <w:r>
              <w:rPr>
                <w:rFonts w:hint="eastAsia" w:ascii="宋体" w:hAnsi="宋体" w:cs="宋体"/>
                <w:color w:val="auto"/>
                <w:szCs w:val="21"/>
                <w:highlight w:val="none"/>
                <w:lang w:val="en-US" w:eastAsia="zh-CN"/>
              </w:rPr>
              <w:t>照第2.1.1项至第2.1.3项的规定，对所有响应文件</w:t>
            </w:r>
            <w:r>
              <w:rPr>
                <w:rFonts w:hint="eastAsia" w:ascii="宋体" w:hAnsi="宋体" w:cs="宋体"/>
                <w:color w:val="auto"/>
                <w:szCs w:val="21"/>
                <w:highlight w:val="none"/>
              </w:rPr>
              <w:t>进行初步评审。未通过初步评审或</w:t>
            </w:r>
            <w:r>
              <w:rPr>
                <w:rFonts w:hint="eastAsia" w:ascii="宋体" w:hAnsi="宋体" w:cs="宋体"/>
                <w:color w:val="auto"/>
                <w:szCs w:val="21"/>
                <w:highlight w:val="none"/>
                <w:lang w:eastAsia="zh-CN"/>
              </w:rPr>
              <w:t>评审委员会</w:t>
            </w:r>
            <w:r>
              <w:rPr>
                <w:rFonts w:hint="eastAsia" w:ascii="宋体" w:hAnsi="宋体" w:cs="宋体"/>
                <w:color w:val="auto"/>
                <w:szCs w:val="21"/>
                <w:highlight w:val="none"/>
              </w:rPr>
              <w:t>认定为无效的</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的不再进行后续评审</w:t>
            </w:r>
            <w:r>
              <w:rPr>
                <w:rFonts w:hint="eastAsia" w:ascii="宋体" w:hAnsi="宋体"/>
                <w:color w:val="auto"/>
                <w:szCs w:val="21"/>
                <w:highlight w:val="none"/>
              </w:rPr>
              <w:t>。</w:t>
            </w:r>
          </w:p>
          <w:p w14:paraId="5CADDA96">
            <w:pPr>
              <w:adjustRightInd w:val="0"/>
              <w:snapToGrid w:val="0"/>
              <w:spacing w:afterLines="0" w:line="400" w:lineRule="exact"/>
              <w:ind w:firstLine="420" w:firstLineChars="200"/>
              <w:jc w:val="left"/>
              <w:rPr>
                <w:rFonts w:hint="eastAsia" w:ascii="宋体" w:hAnsi="宋体"/>
                <w:color w:val="auto"/>
                <w:szCs w:val="21"/>
                <w:highlight w:val="none"/>
              </w:rPr>
            </w:pPr>
            <w:r>
              <w:rPr>
                <w:rFonts w:hint="eastAsia" w:ascii="宋体" w:hAnsi="宋体" w:cs="宋体"/>
                <w:color w:val="auto"/>
                <w:szCs w:val="21"/>
                <w:highlight w:val="none"/>
                <w:lang w:val="en-US" w:eastAsia="zh-CN"/>
              </w:rPr>
              <w:t>2.技术评审。</w:t>
            </w:r>
            <w:r>
              <w:rPr>
                <w:rFonts w:hint="eastAsia" w:ascii="宋体" w:hAnsi="宋体" w:cs="宋体"/>
                <w:color w:val="auto"/>
                <w:szCs w:val="21"/>
                <w:highlight w:val="none"/>
              </w:rPr>
              <w:t>按</w:t>
            </w:r>
            <w:r>
              <w:rPr>
                <w:rFonts w:hint="eastAsia" w:ascii="宋体" w:hAnsi="宋体" w:cs="宋体"/>
                <w:color w:val="auto"/>
                <w:szCs w:val="21"/>
                <w:highlight w:val="none"/>
                <w:lang w:val="en-US" w:eastAsia="zh-CN"/>
              </w:rPr>
              <w:t>照</w:t>
            </w:r>
            <w:r>
              <w:rPr>
                <w:rFonts w:hint="eastAsia" w:ascii="宋体" w:hAnsi="宋体"/>
                <w:color w:val="auto"/>
                <w:szCs w:val="21"/>
                <w:highlight w:val="none"/>
              </w:rPr>
              <w:t>第2.2.2（1）目及第3.2.1（1）目的规定</w:t>
            </w:r>
            <w:r>
              <w:rPr>
                <w:rFonts w:hint="eastAsia" w:ascii="宋体" w:hAnsi="宋体"/>
                <w:color w:val="auto"/>
                <w:szCs w:val="21"/>
                <w:highlight w:val="none"/>
                <w:lang w:eastAsia="zh-CN"/>
              </w:rPr>
              <w:t>，</w:t>
            </w:r>
            <w:r>
              <w:rPr>
                <w:rFonts w:hint="eastAsia" w:ascii="宋体" w:hAnsi="宋体" w:cs="宋体"/>
                <w:color w:val="auto"/>
                <w:szCs w:val="21"/>
                <w:highlight w:val="none"/>
                <w:lang w:val="en-US" w:eastAsia="zh-CN"/>
              </w:rPr>
              <w:t>进行</w:t>
            </w:r>
            <w:r>
              <w:rPr>
                <w:rFonts w:hint="eastAsia" w:ascii="宋体" w:hAnsi="宋体" w:cs="宋体"/>
                <w:color w:val="auto"/>
                <w:szCs w:val="21"/>
                <w:highlight w:val="none"/>
              </w:rPr>
              <w:t>技术评审</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计算出技术得分A</w:t>
            </w:r>
            <w:r>
              <w:rPr>
                <w:rFonts w:hint="eastAsia" w:ascii="宋体" w:hAnsi="宋体"/>
                <w:color w:val="auto"/>
                <w:szCs w:val="21"/>
                <w:highlight w:val="none"/>
              </w:rPr>
              <w:t>。</w:t>
            </w:r>
          </w:p>
          <w:p w14:paraId="7B5F45A4">
            <w:pPr>
              <w:adjustRightInd w:val="0"/>
              <w:snapToGrid w:val="0"/>
              <w:spacing w:afterLines="0" w:line="400" w:lineRule="exact"/>
              <w:ind w:firstLine="420" w:firstLineChars="200"/>
              <w:jc w:val="left"/>
              <w:rPr>
                <w:rFonts w:ascii="宋体" w:hAnsi="宋体"/>
                <w:color w:val="auto"/>
                <w:szCs w:val="21"/>
                <w:highlight w:val="none"/>
              </w:rPr>
            </w:pPr>
            <w:r>
              <w:rPr>
                <w:rFonts w:hint="eastAsia" w:ascii="宋体" w:hAnsi="宋体" w:cs="宋体"/>
                <w:color w:val="auto"/>
                <w:szCs w:val="21"/>
                <w:highlight w:val="none"/>
                <w:lang w:val="en-US" w:eastAsia="zh-CN"/>
              </w:rPr>
              <w:t>3.商务评审。</w:t>
            </w:r>
            <w:r>
              <w:rPr>
                <w:rFonts w:hint="eastAsia" w:ascii="宋体" w:hAnsi="宋体" w:cs="宋体"/>
                <w:color w:val="auto"/>
                <w:szCs w:val="21"/>
                <w:highlight w:val="none"/>
              </w:rPr>
              <w:t>按</w:t>
            </w:r>
            <w:r>
              <w:rPr>
                <w:rFonts w:hint="eastAsia" w:ascii="宋体" w:hAnsi="宋体" w:cs="宋体"/>
                <w:color w:val="auto"/>
                <w:szCs w:val="21"/>
                <w:highlight w:val="none"/>
                <w:lang w:val="en-US" w:eastAsia="zh-CN"/>
              </w:rPr>
              <w:t>照</w:t>
            </w:r>
            <w:r>
              <w:rPr>
                <w:rFonts w:hint="eastAsia" w:ascii="宋体" w:hAnsi="宋体"/>
                <w:color w:val="auto"/>
                <w:szCs w:val="21"/>
                <w:highlight w:val="none"/>
              </w:rPr>
              <w:t>第2.2.2（</w:t>
            </w:r>
            <w:r>
              <w:rPr>
                <w:rFonts w:hint="eastAsia" w:ascii="宋体" w:hAnsi="宋体"/>
                <w:color w:val="auto"/>
                <w:szCs w:val="21"/>
                <w:highlight w:val="none"/>
                <w:lang w:val="en-US" w:eastAsia="zh-CN"/>
              </w:rPr>
              <w:t>2</w:t>
            </w:r>
            <w:r>
              <w:rPr>
                <w:rFonts w:hint="eastAsia" w:ascii="宋体" w:hAnsi="宋体"/>
                <w:color w:val="auto"/>
                <w:szCs w:val="21"/>
                <w:highlight w:val="none"/>
              </w:rPr>
              <w:t>）目及第3.2.1（</w:t>
            </w:r>
            <w:r>
              <w:rPr>
                <w:rFonts w:hint="eastAsia" w:ascii="宋体" w:hAnsi="宋体"/>
                <w:color w:val="auto"/>
                <w:szCs w:val="21"/>
                <w:highlight w:val="none"/>
                <w:lang w:val="en-US" w:eastAsia="zh-CN"/>
              </w:rPr>
              <w:t>2</w:t>
            </w:r>
            <w:r>
              <w:rPr>
                <w:rFonts w:hint="eastAsia" w:ascii="宋体" w:hAnsi="宋体"/>
                <w:color w:val="auto"/>
                <w:szCs w:val="21"/>
                <w:highlight w:val="none"/>
              </w:rPr>
              <w:t>）目的规定</w:t>
            </w:r>
            <w:r>
              <w:rPr>
                <w:rFonts w:hint="eastAsia" w:ascii="宋体" w:hAnsi="宋体"/>
                <w:color w:val="auto"/>
                <w:szCs w:val="21"/>
                <w:highlight w:val="none"/>
                <w:lang w:eastAsia="zh-CN"/>
              </w:rPr>
              <w:t>，</w:t>
            </w:r>
            <w:r>
              <w:rPr>
                <w:rFonts w:hint="eastAsia" w:ascii="宋体" w:hAnsi="宋体" w:cs="宋体"/>
                <w:color w:val="auto"/>
                <w:szCs w:val="21"/>
                <w:highlight w:val="none"/>
                <w:lang w:val="en-US" w:eastAsia="zh-CN"/>
              </w:rPr>
              <w:t>进行商务</w:t>
            </w:r>
            <w:r>
              <w:rPr>
                <w:rFonts w:hint="eastAsia" w:ascii="宋体" w:hAnsi="宋体" w:cs="宋体"/>
                <w:color w:val="auto"/>
                <w:szCs w:val="21"/>
                <w:highlight w:val="none"/>
              </w:rPr>
              <w:t>评审</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计算出商务得分B</w:t>
            </w:r>
            <w:r>
              <w:rPr>
                <w:rFonts w:hint="eastAsia" w:ascii="宋体" w:hAnsi="宋体"/>
                <w:color w:val="auto"/>
                <w:szCs w:val="21"/>
                <w:highlight w:val="none"/>
              </w:rPr>
              <w:t>。</w:t>
            </w:r>
          </w:p>
          <w:p w14:paraId="4153A83C">
            <w:pPr>
              <w:adjustRightInd w:val="0"/>
              <w:snapToGrid w:val="0"/>
              <w:spacing w:afterLines="0" w:line="400" w:lineRule="exact"/>
              <w:ind w:firstLine="420" w:firstLineChars="200"/>
              <w:jc w:val="left"/>
              <w:rPr>
                <w:rFonts w:ascii="宋体" w:hAnsi="宋体"/>
                <w:color w:val="auto"/>
                <w:szCs w:val="21"/>
                <w:highlight w:val="none"/>
              </w:rPr>
            </w:pPr>
            <w:r>
              <w:rPr>
                <w:rFonts w:hint="eastAsia" w:ascii="宋体" w:hAnsi="宋体" w:cs="宋体"/>
                <w:color w:val="auto"/>
                <w:szCs w:val="21"/>
                <w:highlight w:val="none"/>
                <w:lang w:val="en-US" w:eastAsia="zh-CN"/>
              </w:rPr>
              <w:t>4.比选函部分评审。</w:t>
            </w:r>
            <w:r>
              <w:rPr>
                <w:rFonts w:hint="eastAsia" w:ascii="宋体" w:hAnsi="宋体" w:cs="宋体"/>
                <w:color w:val="auto"/>
                <w:szCs w:val="21"/>
                <w:highlight w:val="none"/>
              </w:rPr>
              <w:t>按</w:t>
            </w:r>
            <w:r>
              <w:rPr>
                <w:rFonts w:hint="eastAsia" w:ascii="宋体" w:hAnsi="宋体" w:cs="宋体"/>
                <w:color w:val="auto"/>
                <w:szCs w:val="21"/>
                <w:highlight w:val="none"/>
                <w:lang w:val="en-US" w:eastAsia="zh-CN"/>
              </w:rPr>
              <w:t>照</w:t>
            </w:r>
            <w:r>
              <w:rPr>
                <w:rFonts w:hint="eastAsia" w:ascii="宋体" w:hAnsi="宋体" w:cs="宋体"/>
                <w:color w:val="auto"/>
                <w:szCs w:val="21"/>
                <w:highlight w:val="none"/>
              </w:rPr>
              <w:t>第2.2.2（</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）目的规定</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进行比选函部分</w:t>
            </w:r>
            <w:r>
              <w:rPr>
                <w:rFonts w:hint="eastAsia" w:ascii="宋体" w:hAnsi="宋体" w:cs="宋体"/>
                <w:color w:val="auto"/>
                <w:szCs w:val="21"/>
                <w:highlight w:val="none"/>
              </w:rPr>
              <w:t>评审，</w:t>
            </w:r>
            <w:r>
              <w:rPr>
                <w:rFonts w:hint="eastAsia" w:ascii="宋体" w:hAnsi="宋体" w:cs="宋体"/>
                <w:color w:val="auto"/>
                <w:szCs w:val="21"/>
                <w:highlight w:val="none"/>
                <w:lang w:eastAsia="zh-CN"/>
              </w:rPr>
              <w:t>未通过</w:t>
            </w:r>
            <w:r>
              <w:rPr>
                <w:rFonts w:hint="eastAsia" w:ascii="宋体" w:hAnsi="宋体" w:cs="宋体"/>
                <w:color w:val="auto"/>
                <w:szCs w:val="21"/>
                <w:highlight w:val="none"/>
                <w:lang w:val="en-US" w:eastAsia="zh-CN"/>
              </w:rPr>
              <w:t>比选函部分</w:t>
            </w:r>
            <w:r>
              <w:rPr>
                <w:rFonts w:hint="eastAsia" w:ascii="宋体" w:hAnsi="宋体" w:cs="宋体"/>
                <w:color w:val="auto"/>
                <w:szCs w:val="21"/>
                <w:highlight w:val="none"/>
              </w:rPr>
              <w:t>评审的</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不再</w:t>
            </w:r>
            <w:r>
              <w:rPr>
                <w:rFonts w:hint="eastAsia" w:ascii="宋体" w:hAnsi="宋体" w:cs="宋体"/>
                <w:color w:val="auto"/>
                <w:szCs w:val="21"/>
                <w:highlight w:val="none"/>
                <w:lang w:val="en-US" w:eastAsia="zh-CN"/>
              </w:rPr>
              <w:t>进行</w:t>
            </w:r>
            <w:r>
              <w:rPr>
                <w:rFonts w:hint="eastAsia" w:ascii="宋体" w:hAnsi="宋体" w:cs="宋体"/>
                <w:color w:val="auto"/>
                <w:szCs w:val="21"/>
                <w:highlight w:val="none"/>
              </w:rPr>
              <w:t>后续评审</w:t>
            </w:r>
            <w:r>
              <w:rPr>
                <w:rFonts w:hint="eastAsia" w:ascii="宋体" w:hAnsi="宋体"/>
                <w:color w:val="auto"/>
                <w:szCs w:val="21"/>
                <w:highlight w:val="none"/>
                <w:lang w:eastAsia="zh-CN"/>
              </w:rPr>
              <w:t>。</w:t>
            </w:r>
          </w:p>
          <w:p w14:paraId="04C9E939">
            <w:pPr>
              <w:adjustRightInd w:val="0"/>
              <w:snapToGrid w:val="0"/>
              <w:spacing w:afterLines="0" w:line="400" w:lineRule="exact"/>
              <w:ind w:firstLine="420" w:firstLineChars="200"/>
              <w:jc w:val="left"/>
              <w:rPr>
                <w:rFonts w:ascii="宋体" w:hAnsi="宋体"/>
                <w:color w:val="auto"/>
                <w:szCs w:val="21"/>
                <w:highlight w:val="none"/>
              </w:rPr>
            </w:pP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w:t>
            </w:r>
            <w:r>
              <w:rPr>
                <w:rFonts w:hint="eastAsia" w:ascii="宋体" w:hAnsi="宋体" w:cs="宋体"/>
                <w:color w:val="auto"/>
                <w:szCs w:val="21"/>
                <w:highlight w:val="none"/>
                <w:lang w:eastAsia="zh-CN"/>
              </w:rPr>
              <w:t>报价评审。</w:t>
            </w:r>
            <w:r>
              <w:rPr>
                <w:rFonts w:hint="eastAsia" w:ascii="宋体" w:hAnsi="宋体" w:cs="宋体"/>
                <w:color w:val="auto"/>
                <w:szCs w:val="21"/>
                <w:highlight w:val="none"/>
              </w:rPr>
              <w:t>按照</w:t>
            </w:r>
            <w:r>
              <w:rPr>
                <w:rFonts w:hint="eastAsia" w:ascii="宋体" w:hAnsi="宋体"/>
                <w:color w:val="auto"/>
                <w:szCs w:val="21"/>
                <w:highlight w:val="none"/>
              </w:rPr>
              <w:t>第2.2.3项</w:t>
            </w:r>
            <w:r>
              <w:rPr>
                <w:rFonts w:hint="eastAsia" w:ascii="宋体" w:hAnsi="宋体" w:cs="宋体"/>
                <w:color w:val="auto"/>
                <w:szCs w:val="21"/>
                <w:highlight w:val="none"/>
                <w:lang w:val="en-US" w:eastAsia="zh-CN"/>
              </w:rPr>
              <w:t>的规定，</w:t>
            </w:r>
            <w:r>
              <w:rPr>
                <w:rFonts w:hint="eastAsia" w:ascii="宋体" w:hAnsi="宋体" w:cs="宋体"/>
                <w:color w:val="auto"/>
                <w:szCs w:val="21"/>
                <w:highlight w:val="none"/>
              </w:rPr>
              <w:t>计算</w:t>
            </w:r>
            <w:r>
              <w:rPr>
                <w:rFonts w:hint="eastAsia" w:ascii="宋体" w:hAnsi="宋体" w:cs="宋体"/>
                <w:color w:val="auto"/>
                <w:szCs w:val="21"/>
                <w:highlight w:val="none"/>
                <w:lang w:eastAsia="zh-CN"/>
              </w:rPr>
              <w:t>评审基准价</w:t>
            </w:r>
            <w:r>
              <w:rPr>
                <w:rFonts w:hint="eastAsia" w:ascii="宋体" w:hAnsi="宋体"/>
                <w:color w:val="auto"/>
                <w:szCs w:val="21"/>
                <w:highlight w:val="none"/>
                <w:lang w:eastAsia="zh-CN"/>
              </w:rPr>
              <w:t>；</w:t>
            </w:r>
            <w:r>
              <w:rPr>
                <w:rFonts w:hint="eastAsia" w:ascii="宋体" w:hAnsi="宋体" w:cs="宋体"/>
                <w:color w:val="auto"/>
                <w:szCs w:val="21"/>
                <w:highlight w:val="none"/>
              </w:rPr>
              <w:t>并按</w:t>
            </w:r>
            <w:r>
              <w:rPr>
                <w:rFonts w:hint="eastAsia" w:ascii="宋体" w:hAnsi="宋体" w:cs="宋体"/>
                <w:color w:val="auto"/>
                <w:szCs w:val="21"/>
                <w:highlight w:val="none"/>
                <w:lang w:val="en-US" w:eastAsia="zh-CN"/>
              </w:rPr>
              <w:t>照</w:t>
            </w:r>
            <w:r>
              <w:rPr>
                <w:rFonts w:hint="eastAsia" w:ascii="宋体" w:hAnsi="宋体" w:cs="宋体"/>
                <w:color w:val="auto"/>
                <w:szCs w:val="21"/>
                <w:highlight w:val="none"/>
              </w:rPr>
              <w:t>第</w:t>
            </w:r>
            <w:r>
              <w:rPr>
                <w:rFonts w:hint="eastAsia" w:ascii="宋体" w:hAnsi="宋体"/>
                <w:color w:val="auto"/>
                <w:szCs w:val="21"/>
                <w:highlight w:val="none"/>
              </w:rPr>
              <w:t>3.2.1（</w:t>
            </w:r>
            <w:r>
              <w:rPr>
                <w:rFonts w:hint="eastAsia" w:ascii="宋体" w:hAnsi="宋体"/>
                <w:color w:val="auto"/>
                <w:szCs w:val="21"/>
                <w:highlight w:val="none"/>
                <w:lang w:val="en-US" w:eastAsia="zh-CN"/>
              </w:rPr>
              <w:t>3</w:t>
            </w:r>
            <w:r>
              <w:rPr>
                <w:rFonts w:hint="eastAsia" w:ascii="宋体" w:hAnsi="宋体"/>
                <w:color w:val="auto"/>
                <w:szCs w:val="21"/>
                <w:highlight w:val="none"/>
              </w:rPr>
              <w:t>）目</w:t>
            </w:r>
            <w:r>
              <w:rPr>
                <w:rFonts w:hint="eastAsia" w:ascii="宋体" w:hAnsi="宋体"/>
                <w:color w:val="auto"/>
                <w:szCs w:val="21"/>
                <w:highlight w:val="none"/>
                <w:lang w:val="en-US" w:eastAsia="zh-CN"/>
              </w:rPr>
              <w:t>的</w:t>
            </w:r>
            <w:r>
              <w:rPr>
                <w:rFonts w:hint="eastAsia" w:ascii="宋体" w:hAnsi="宋体"/>
                <w:color w:val="auto"/>
                <w:szCs w:val="21"/>
                <w:highlight w:val="none"/>
              </w:rPr>
              <w:t>规定</w:t>
            </w:r>
            <w:r>
              <w:rPr>
                <w:rFonts w:hint="eastAsia" w:ascii="宋体" w:hAnsi="宋体"/>
                <w:color w:val="auto"/>
                <w:szCs w:val="21"/>
                <w:highlight w:val="none"/>
                <w:lang w:eastAsia="zh-CN"/>
              </w:rPr>
              <w:t>，</w:t>
            </w:r>
            <w:r>
              <w:rPr>
                <w:rFonts w:hint="eastAsia" w:ascii="宋体" w:hAnsi="宋体" w:cs="宋体"/>
                <w:color w:val="auto"/>
                <w:szCs w:val="21"/>
                <w:highlight w:val="none"/>
              </w:rPr>
              <w:t>进行</w:t>
            </w:r>
            <w:r>
              <w:rPr>
                <w:rFonts w:hint="eastAsia" w:ascii="宋体" w:hAnsi="宋体" w:cs="宋体"/>
                <w:color w:val="auto"/>
                <w:szCs w:val="21"/>
                <w:highlight w:val="none"/>
                <w:lang w:val="en-US" w:eastAsia="zh-CN"/>
              </w:rPr>
              <w:t>报价评审，计算出报价得分C</w:t>
            </w:r>
            <w:r>
              <w:rPr>
                <w:rFonts w:hint="eastAsia" w:ascii="宋体" w:hAnsi="宋体"/>
                <w:color w:val="auto"/>
                <w:szCs w:val="21"/>
                <w:highlight w:val="none"/>
              </w:rPr>
              <w:t>。</w:t>
            </w:r>
          </w:p>
          <w:p w14:paraId="14B9B258">
            <w:pPr>
              <w:adjustRightInd w:val="0"/>
              <w:snapToGrid w:val="0"/>
              <w:spacing w:after="0" w:afterLines="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lang w:val="en-US" w:eastAsia="zh-CN"/>
              </w:rPr>
              <w:t>6.</w:t>
            </w:r>
            <w:r>
              <w:rPr>
                <w:rFonts w:hint="eastAsia" w:ascii="宋体" w:hAnsi="宋体" w:cs="宋体"/>
                <w:color w:val="auto"/>
                <w:szCs w:val="21"/>
                <w:highlight w:val="none"/>
                <w:lang w:eastAsia="zh-CN"/>
              </w:rPr>
              <w:t>汇总得分。</w:t>
            </w:r>
            <w:r>
              <w:rPr>
                <w:rFonts w:hint="eastAsia" w:ascii="宋体" w:hAnsi="宋体" w:cs="宋体"/>
                <w:color w:val="auto"/>
                <w:szCs w:val="21"/>
                <w:highlight w:val="none"/>
              </w:rPr>
              <w:t>对技术</w:t>
            </w:r>
            <w:r>
              <w:rPr>
                <w:rFonts w:hint="eastAsia" w:ascii="宋体" w:hAnsi="宋体" w:cs="宋体"/>
                <w:color w:val="auto"/>
                <w:szCs w:val="21"/>
                <w:highlight w:val="none"/>
                <w:lang w:val="en-US" w:eastAsia="zh-CN"/>
              </w:rPr>
              <w:t>得分A</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商务得分B</w:t>
            </w:r>
            <w:r>
              <w:rPr>
                <w:rFonts w:hint="eastAsia" w:ascii="宋体" w:hAnsi="宋体" w:cs="宋体"/>
                <w:color w:val="auto"/>
                <w:szCs w:val="21"/>
                <w:highlight w:val="none"/>
              </w:rPr>
              <w:t>、报价得分</w:t>
            </w:r>
            <w:r>
              <w:rPr>
                <w:rFonts w:hint="eastAsia" w:ascii="宋体" w:hAnsi="宋体" w:cs="宋体"/>
                <w:color w:val="auto"/>
                <w:szCs w:val="21"/>
                <w:highlight w:val="none"/>
                <w:lang w:val="en-US" w:eastAsia="zh-CN"/>
              </w:rPr>
              <w:t>C</w:t>
            </w:r>
            <w:r>
              <w:rPr>
                <w:rFonts w:hint="eastAsia" w:ascii="宋体" w:hAnsi="宋体" w:cs="宋体"/>
                <w:color w:val="auto"/>
                <w:szCs w:val="21"/>
                <w:highlight w:val="none"/>
              </w:rPr>
              <w:t>进行汇总</w:t>
            </w:r>
            <w:r>
              <w:rPr>
                <w:rFonts w:hint="eastAsia" w:ascii="宋体" w:hAnsi="宋体"/>
                <w:color w:val="auto"/>
                <w:szCs w:val="21"/>
                <w:highlight w:val="none"/>
              </w:rPr>
              <w:t>，确定得分由高至低前</w:t>
            </w:r>
            <w:r>
              <w:rPr>
                <w:rFonts w:hint="eastAsia" w:ascii="宋体" w:hAnsi="宋体"/>
                <w:color w:val="auto"/>
                <w:szCs w:val="21"/>
                <w:highlight w:val="none"/>
                <w:lang w:val="en-US" w:eastAsia="zh-CN"/>
              </w:rPr>
              <w:t>二</w:t>
            </w:r>
            <w:r>
              <w:rPr>
                <w:rFonts w:hint="eastAsia" w:ascii="宋体" w:hAnsi="宋体"/>
                <w:color w:val="auto"/>
                <w:szCs w:val="21"/>
                <w:highlight w:val="none"/>
              </w:rPr>
              <w:t>名</w:t>
            </w:r>
            <w:r>
              <w:rPr>
                <w:rFonts w:hint="eastAsia" w:ascii="宋体" w:hAnsi="宋体"/>
                <w:color w:val="auto"/>
                <w:szCs w:val="21"/>
                <w:highlight w:val="none"/>
                <w:lang w:eastAsia="zh-CN"/>
              </w:rPr>
              <w:t>供应商</w:t>
            </w:r>
            <w:r>
              <w:rPr>
                <w:rFonts w:hint="eastAsia" w:ascii="宋体" w:hAnsi="宋体"/>
                <w:color w:val="auto"/>
                <w:szCs w:val="21"/>
                <w:highlight w:val="none"/>
              </w:rPr>
              <w:t>为</w:t>
            </w:r>
            <w:r>
              <w:rPr>
                <w:rFonts w:hint="eastAsia" w:ascii="宋体" w:hAnsi="宋体"/>
                <w:color w:val="auto"/>
                <w:szCs w:val="21"/>
                <w:highlight w:val="none"/>
                <w:lang w:eastAsia="zh-CN"/>
              </w:rPr>
              <w:t>中选</w:t>
            </w:r>
            <w:r>
              <w:rPr>
                <w:rFonts w:hint="eastAsia" w:ascii="宋体" w:hAnsi="宋体"/>
                <w:color w:val="auto"/>
                <w:szCs w:val="21"/>
                <w:highlight w:val="none"/>
              </w:rPr>
              <w:t>候选人。</w:t>
            </w:r>
          </w:p>
          <w:p w14:paraId="199C7883">
            <w:pPr>
              <w:adjustRightInd w:val="0"/>
              <w:snapToGrid w:val="0"/>
              <w:spacing w:after="0" w:afterLines="0" w:line="400" w:lineRule="exact"/>
              <w:ind w:firstLine="420" w:firstLineChars="200"/>
              <w:jc w:val="left"/>
              <w:rPr>
                <w:rFonts w:hint="eastAsia" w:ascii="宋体" w:hAnsi="宋体"/>
                <w:color w:val="auto"/>
                <w:szCs w:val="21"/>
                <w:highlight w:val="none"/>
                <w:lang w:eastAsia="zh-CN"/>
              </w:rPr>
            </w:pPr>
            <w:r>
              <w:rPr>
                <w:rFonts w:hint="eastAsia" w:ascii="宋体" w:hAnsi="宋体"/>
                <w:color w:val="auto"/>
                <w:szCs w:val="21"/>
                <w:highlight w:val="none"/>
                <w:lang w:val="en-US" w:eastAsia="zh-CN"/>
              </w:rPr>
              <w:t>注：1</w:t>
            </w:r>
            <w:r>
              <w:rPr>
                <w:rFonts w:hint="eastAsia" w:ascii="宋体" w:hAnsi="宋体"/>
                <w:color w:val="auto"/>
                <w:szCs w:val="21"/>
                <w:highlight w:val="none"/>
              </w:rPr>
              <w:t>.因</w:t>
            </w:r>
            <w:r>
              <w:rPr>
                <w:rFonts w:hint="eastAsia" w:ascii="宋体" w:hAnsi="宋体"/>
                <w:color w:val="auto"/>
                <w:szCs w:val="21"/>
                <w:highlight w:val="none"/>
                <w:lang w:eastAsia="zh-CN"/>
              </w:rPr>
              <w:t>评审委员会</w:t>
            </w:r>
            <w:r>
              <w:rPr>
                <w:rFonts w:hint="eastAsia" w:ascii="宋体" w:hAnsi="宋体"/>
                <w:color w:val="auto"/>
                <w:szCs w:val="21"/>
                <w:highlight w:val="none"/>
              </w:rPr>
              <w:t>作否决处理导致有效</w:t>
            </w:r>
            <w:r>
              <w:rPr>
                <w:rFonts w:hint="eastAsia" w:ascii="宋体" w:hAnsi="宋体"/>
                <w:color w:val="auto"/>
                <w:szCs w:val="21"/>
                <w:highlight w:val="none"/>
                <w:lang w:eastAsia="zh-CN"/>
              </w:rPr>
              <w:t>供应商</w:t>
            </w:r>
            <w:r>
              <w:rPr>
                <w:rFonts w:hint="eastAsia" w:ascii="宋体" w:hAnsi="宋体"/>
                <w:color w:val="auto"/>
                <w:szCs w:val="21"/>
                <w:highlight w:val="none"/>
              </w:rPr>
              <w:t>不足三个的，</w:t>
            </w:r>
            <w:r>
              <w:rPr>
                <w:rFonts w:hint="eastAsia" w:ascii="宋体" w:hAnsi="宋体"/>
                <w:color w:val="auto"/>
                <w:szCs w:val="21"/>
                <w:highlight w:val="none"/>
                <w:lang w:eastAsia="zh-CN"/>
              </w:rPr>
              <w:t>评审委员会</w:t>
            </w:r>
            <w:r>
              <w:rPr>
                <w:rFonts w:hint="eastAsia" w:ascii="宋体" w:hAnsi="宋体"/>
                <w:color w:val="auto"/>
                <w:szCs w:val="21"/>
                <w:highlight w:val="none"/>
              </w:rPr>
              <w:t>应当</w:t>
            </w:r>
            <w:r>
              <w:rPr>
                <w:rFonts w:hint="eastAsia" w:ascii="宋体" w:hAnsi="宋体"/>
                <w:color w:val="auto"/>
                <w:spacing w:val="4"/>
                <w:kern w:val="0"/>
                <w:szCs w:val="21"/>
                <w:highlight w:val="none"/>
                <w:lang w:eastAsia="zh-CN"/>
              </w:rPr>
              <w:t>对有效供应商是否仍具有竞争性进行论证</w:t>
            </w:r>
            <w:r>
              <w:rPr>
                <w:rFonts w:hint="eastAsia" w:ascii="宋体" w:hAnsi="宋体"/>
                <w:color w:val="auto"/>
                <w:spacing w:val="4"/>
                <w:kern w:val="0"/>
                <w:szCs w:val="21"/>
                <w:highlight w:val="none"/>
              </w:rPr>
              <w:t>。</w:t>
            </w:r>
            <w:r>
              <w:rPr>
                <w:rFonts w:hint="eastAsia" w:ascii="宋体" w:hAnsi="宋体"/>
                <w:color w:val="auto"/>
                <w:spacing w:val="4"/>
                <w:kern w:val="0"/>
                <w:szCs w:val="21"/>
                <w:highlight w:val="none"/>
                <w:lang w:eastAsia="zh-CN"/>
              </w:rPr>
              <w:t>评审委员会认为</w:t>
            </w:r>
            <w:r>
              <w:rPr>
                <w:rFonts w:hint="eastAsia" w:ascii="宋体" w:hAnsi="宋体"/>
                <w:color w:val="auto"/>
                <w:szCs w:val="21"/>
                <w:highlight w:val="none"/>
              </w:rPr>
              <w:t>有效</w:t>
            </w:r>
            <w:r>
              <w:rPr>
                <w:rFonts w:hint="eastAsia" w:ascii="宋体" w:hAnsi="宋体"/>
                <w:color w:val="auto"/>
                <w:szCs w:val="21"/>
                <w:highlight w:val="none"/>
                <w:lang w:eastAsia="zh-CN"/>
              </w:rPr>
              <w:t>供应商</w:t>
            </w:r>
            <w:r>
              <w:rPr>
                <w:rFonts w:hint="eastAsia" w:ascii="宋体" w:hAnsi="宋体"/>
                <w:color w:val="auto"/>
                <w:szCs w:val="21"/>
                <w:highlight w:val="none"/>
              </w:rPr>
              <w:t>的经济、技术等指标仍然具有市场竞争力，能够满足</w:t>
            </w:r>
            <w:r>
              <w:rPr>
                <w:rFonts w:hint="eastAsia" w:ascii="宋体" w:hAnsi="宋体"/>
                <w:color w:val="auto"/>
                <w:szCs w:val="21"/>
                <w:highlight w:val="none"/>
                <w:lang w:eastAsia="zh-CN"/>
              </w:rPr>
              <w:t>比选文件</w:t>
            </w:r>
            <w:r>
              <w:rPr>
                <w:rFonts w:hint="eastAsia" w:ascii="宋体" w:hAnsi="宋体"/>
                <w:color w:val="auto"/>
                <w:szCs w:val="21"/>
                <w:highlight w:val="none"/>
              </w:rPr>
              <w:t>要求的，</w:t>
            </w:r>
            <w:r>
              <w:rPr>
                <w:rFonts w:hint="eastAsia" w:ascii="宋体" w:hAnsi="宋体"/>
                <w:color w:val="auto"/>
                <w:szCs w:val="21"/>
                <w:highlight w:val="none"/>
                <w:lang w:eastAsia="zh-CN"/>
              </w:rPr>
              <w:t>评审委员会</w:t>
            </w:r>
            <w:r>
              <w:rPr>
                <w:rFonts w:hint="eastAsia" w:ascii="宋体" w:hAnsi="宋体"/>
                <w:color w:val="auto"/>
                <w:szCs w:val="21"/>
                <w:highlight w:val="none"/>
              </w:rPr>
              <w:t>可以继续</w:t>
            </w:r>
            <w:r>
              <w:rPr>
                <w:rFonts w:hint="eastAsia" w:ascii="宋体" w:hAnsi="宋体"/>
                <w:color w:val="auto"/>
                <w:szCs w:val="21"/>
                <w:highlight w:val="none"/>
                <w:lang w:eastAsia="zh-CN"/>
              </w:rPr>
              <w:t>评审</w:t>
            </w:r>
            <w:r>
              <w:rPr>
                <w:rFonts w:hint="eastAsia" w:ascii="宋体" w:hAnsi="宋体"/>
                <w:color w:val="auto"/>
                <w:szCs w:val="21"/>
                <w:highlight w:val="none"/>
              </w:rPr>
              <w:t>并确定</w:t>
            </w:r>
            <w:r>
              <w:rPr>
                <w:rFonts w:hint="eastAsia" w:ascii="宋体" w:hAnsi="宋体"/>
                <w:color w:val="auto"/>
                <w:szCs w:val="21"/>
                <w:highlight w:val="none"/>
                <w:lang w:eastAsia="zh-CN"/>
              </w:rPr>
              <w:t>中选</w:t>
            </w:r>
            <w:r>
              <w:rPr>
                <w:rFonts w:hint="eastAsia" w:ascii="宋体" w:hAnsi="宋体"/>
                <w:color w:val="auto"/>
                <w:szCs w:val="21"/>
                <w:highlight w:val="none"/>
              </w:rPr>
              <w:t>候选人。</w:t>
            </w:r>
            <w:r>
              <w:rPr>
                <w:rFonts w:hint="eastAsia" w:asciiTheme="minorEastAsia" w:hAnsiTheme="minorEastAsia" w:eastAsiaTheme="minorEastAsia" w:cstheme="minorEastAsia"/>
                <w:i w:val="0"/>
                <w:iCs w:val="0"/>
                <w:color w:val="auto"/>
                <w:kern w:val="0"/>
                <w:szCs w:val="21"/>
                <w:highlight w:val="none"/>
                <w:lang w:val="en-US" w:eastAsia="zh-CN"/>
              </w:rPr>
              <w:t>（</w:t>
            </w:r>
            <w:r>
              <w:rPr>
                <w:rFonts w:hint="eastAsia" w:ascii="宋体" w:hAnsi="宋体" w:eastAsia="宋体" w:cs="宋体"/>
                <w:i w:val="0"/>
                <w:iCs w:val="0"/>
                <w:color w:val="auto"/>
                <w:kern w:val="0"/>
                <w:szCs w:val="21"/>
                <w:highlight w:val="none"/>
                <w:lang w:val="en-US" w:eastAsia="zh-CN"/>
              </w:rPr>
              <w:t>注：本款只适用于首次比选。</w:t>
            </w:r>
            <w:r>
              <w:rPr>
                <w:rFonts w:hint="eastAsia" w:asciiTheme="minorEastAsia" w:hAnsiTheme="minorEastAsia" w:eastAsiaTheme="minorEastAsia" w:cstheme="minorEastAsia"/>
                <w:i w:val="0"/>
                <w:iCs w:val="0"/>
                <w:color w:val="auto"/>
                <w:kern w:val="0"/>
                <w:szCs w:val="21"/>
                <w:highlight w:val="none"/>
                <w:lang w:val="en-US" w:eastAsia="zh-CN"/>
              </w:rPr>
              <w:t>）</w:t>
            </w:r>
          </w:p>
          <w:p w14:paraId="1AD696B9">
            <w:pPr>
              <w:adjustRightInd w:val="0"/>
              <w:snapToGrid w:val="0"/>
              <w:spacing w:afterLines="0" w:line="400" w:lineRule="exact"/>
              <w:ind w:firstLine="420" w:firstLineChars="200"/>
              <w:jc w:val="left"/>
              <w:rPr>
                <w:rFonts w:hint="eastAsia" w:ascii="宋体" w:hAnsi="宋体"/>
                <w:color w:val="auto"/>
                <w:szCs w:val="21"/>
                <w:highlight w:val="none"/>
              </w:rPr>
            </w:pPr>
            <w:r>
              <w:rPr>
                <w:rFonts w:hint="eastAsia" w:ascii="宋体" w:hAnsi="宋体"/>
                <w:color w:val="auto"/>
                <w:kern w:val="0"/>
                <w:szCs w:val="21"/>
                <w:highlight w:val="none"/>
                <w:lang w:val="en-US" w:eastAsia="zh-CN"/>
              </w:rPr>
              <w:t>2.综合评分</w:t>
            </w:r>
            <w:r>
              <w:rPr>
                <w:rFonts w:hint="eastAsia" w:ascii="宋体" w:hAnsi="宋体"/>
                <w:color w:val="auto"/>
                <w:kern w:val="0"/>
                <w:szCs w:val="21"/>
                <w:highlight w:val="none"/>
              </w:rPr>
              <w:t>相</w:t>
            </w:r>
            <w:r>
              <w:rPr>
                <w:rFonts w:hint="eastAsia" w:ascii="宋体" w:hAnsi="宋体"/>
                <w:color w:val="auto"/>
                <w:kern w:val="0"/>
                <w:szCs w:val="21"/>
                <w:highlight w:val="none"/>
                <w:lang w:eastAsia="zh-CN"/>
              </w:rPr>
              <w:t>等</w:t>
            </w:r>
            <w:r>
              <w:rPr>
                <w:rFonts w:hint="eastAsia" w:ascii="宋体" w:hAnsi="宋体"/>
                <w:color w:val="auto"/>
                <w:kern w:val="0"/>
                <w:szCs w:val="21"/>
                <w:highlight w:val="none"/>
              </w:rPr>
              <w:t>的，以</w:t>
            </w:r>
            <w:r>
              <w:rPr>
                <w:rFonts w:hint="eastAsia" w:ascii="宋体" w:hAnsi="宋体"/>
                <w:color w:val="auto"/>
                <w:kern w:val="0"/>
                <w:szCs w:val="21"/>
                <w:highlight w:val="none"/>
                <w:lang w:eastAsia="zh-CN"/>
              </w:rPr>
              <w:t>比选报价</w:t>
            </w:r>
            <w:r>
              <w:rPr>
                <w:rFonts w:hint="eastAsia" w:ascii="宋体" w:hAnsi="宋体"/>
                <w:color w:val="auto"/>
                <w:kern w:val="0"/>
                <w:szCs w:val="21"/>
                <w:highlight w:val="none"/>
              </w:rPr>
              <w:t>低的优先；</w:t>
            </w:r>
            <w:r>
              <w:rPr>
                <w:rFonts w:hint="eastAsia" w:ascii="宋体" w:hAnsi="宋体"/>
                <w:color w:val="auto"/>
                <w:kern w:val="0"/>
                <w:szCs w:val="21"/>
                <w:highlight w:val="none"/>
                <w:lang w:eastAsia="zh-CN"/>
              </w:rPr>
              <w:t>比选报价</w:t>
            </w:r>
            <w:r>
              <w:rPr>
                <w:rFonts w:hint="eastAsia" w:ascii="宋体" w:hAnsi="宋体"/>
                <w:color w:val="auto"/>
                <w:kern w:val="0"/>
                <w:szCs w:val="21"/>
                <w:highlight w:val="none"/>
              </w:rPr>
              <w:t>相</w:t>
            </w:r>
            <w:r>
              <w:rPr>
                <w:rFonts w:hint="eastAsia" w:ascii="宋体" w:hAnsi="宋体"/>
                <w:color w:val="auto"/>
                <w:kern w:val="0"/>
                <w:szCs w:val="21"/>
                <w:highlight w:val="none"/>
                <w:lang w:eastAsia="zh-CN"/>
              </w:rPr>
              <w:t>等</w:t>
            </w:r>
            <w:r>
              <w:rPr>
                <w:rFonts w:hint="eastAsia" w:ascii="宋体" w:hAnsi="宋体"/>
                <w:color w:val="auto"/>
                <w:kern w:val="0"/>
                <w:szCs w:val="21"/>
                <w:highlight w:val="none"/>
              </w:rPr>
              <w:t>的，以</w:t>
            </w:r>
            <w:r>
              <w:rPr>
                <w:rFonts w:hint="eastAsia" w:ascii="宋体" w:hAnsi="宋体" w:cs="宋体"/>
                <w:color w:val="auto"/>
                <w:spacing w:val="4"/>
                <w:kern w:val="0"/>
                <w:szCs w:val="21"/>
                <w:highlight w:val="none"/>
                <w:u w:val="single"/>
                <w:lang w:bidi="ar"/>
              </w:rPr>
              <w:t>优先高速集团内部单位的原则排序，若无，则按照优先免缴投标担保和履约担保单位的原则排序，若均为免缴单位，则以递交</w:t>
            </w:r>
            <w:r>
              <w:rPr>
                <w:rFonts w:hint="eastAsia" w:ascii="宋体" w:hAnsi="宋体" w:cs="宋体"/>
                <w:color w:val="auto"/>
                <w:spacing w:val="4"/>
                <w:kern w:val="0"/>
                <w:szCs w:val="21"/>
                <w:highlight w:val="none"/>
                <w:u w:val="single"/>
                <w:lang w:eastAsia="zh-CN" w:bidi="ar"/>
              </w:rPr>
              <w:t>响应文件</w:t>
            </w:r>
            <w:r>
              <w:rPr>
                <w:rFonts w:hint="eastAsia" w:ascii="宋体" w:hAnsi="宋体" w:cs="宋体"/>
                <w:color w:val="auto"/>
                <w:spacing w:val="4"/>
                <w:kern w:val="0"/>
                <w:szCs w:val="21"/>
                <w:highlight w:val="none"/>
                <w:u w:val="single"/>
                <w:lang w:bidi="ar"/>
              </w:rPr>
              <w:t>先后顺序，若均不为免缴单位，则以缴纳</w:t>
            </w:r>
            <w:r>
              <w:rPr>
                <w:rFonts w:hint="eastAsia" w:ascii="宋体" w:hAnsi="宋体" w:cs="宋体"/>
                <w:color w:val="auto"/>
                <w:spacing w:val="4"/>
                <w:kern w:val="0"/>
                <w:szCs w:val="21"/>
                <w:highlight w:val="none"/>
                <w:u w:val="single"/>
                <w:lang w:eastAsia="zh-CN" w:bidi="ar"/>
              </w:rPr>
              <w:t>比选保证金</w:t>
            </w:r>
            <w:r>
              <w:rPr>
                <w:rFonts w:hint="eastAsia" w:ascii="宋体" w:hAnsi="宋体"/>
                <w:color w:val="auto"/>
                <w:kern w:val="0"/>
                <w:szCs w:val="21"/>
                <w:highlight w:val="none"/>
                <w:u w:val="single"/>
                <w:lang w:val="en-US" w:eastAsia="zh-CN"/>
              </w:rPr>
              <w:t>优先</w:t>
            </w:r>
            <w:r>
              <w:rPr>
                <w:rFonts w:hint="eastAsia" w:ascii="宋体" w:hAnsi="宋体"/>
                <w:color w:val="auto"/>
                <w:spacing w:val="4"/>
                <w:kern w:val="0"/>
                <w:szCs w:val="21"/>
                <w:highlight w:val="none"/>
              </w:rPr>
              <w:t>排序。</w:t>
            </w:r>
          </w:p>
        </w:tc>
      </w:tr>
      <w:tr w14:paraId="26AF9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vMerge w:val="restart"/>
            <w:vAlign w:val="center"/>
          </w:tcPr>
          <w:p w14:paraId="3ED7E5B4">
            <w:pPr>
              <w:adjustRightInd w:val="0"/>
              <w:snapToGrid w:val="0"/>
              <w:spacing w:afterLines="0" w:line="400" w:lineRule="exact"/>
              <w:jc w:val="center"/>
              <w:rPr>
                <w:rFonts w:ascii="宋体" w:hAnsi="宋体"/>
                <w:color w:val="auto"/>
                <w:highlight w:val="none"/>
              </w:rPr>
            </w:pPr>
            <w:r>
              <w:rPr>
                <w:rFonts w:ascii="宋体" w:hAnsi="宋体"/>
                <w:color w:val="auto"/>
                <w:highlight w:val="none"/>
              </w:rPr>
              <w:t>3.2.1</w:t>
            </w:r>
          </w:p>
          <w:p w14:paraId="429DFDAA">
            <w:pPr>
              <w:adjustRightInd w:val="0"/>
              <w:snapToGrid w:val="0"/>
              <w:spacing w:afterLines="0" w:line="400" w:lineRule="exact"/>
              <w:jc w:val="center"/>
              <w:rPr>
                <w:rFonts w:ascii="宋体" w:hAnsi="宋体"/>
                <w:color w:val="auto"/>
                <w:highlight w:val="none"/>
              </w:rPr>
            </w:pPr>
            <w:r>
              <w:rPr>
                <w:rFonts w:ascii="宋体" w:hAnsi="宋体"/>
                <w:color w:val="auto"/>
                <w:highlight w:val="none"/>
              </w:rPr>
              <w:t>（</w:t>
            </w:r>
            <w:r>
              <w:rPr>
                <w:rFonts w:hint="eastAsia" w:ascii="宋体" w:hAnsi="宋体"/>
                <w:color w:val="auto"/>
                <w:highlight w:val="none"/>
              </w:rPr>
              <w:t>1</w:t>
            </w:r>
            <w:r>
              <w:rPr>
                <w:rFonts w:ascii="宋体" w:hAnsi="宋体"/>
                <w:color w:val="auto"/>
                <w:highlight w:val="none"/>
              </w:rPr>
              <w:t>）</w:t>
            </w:r>
          </w:p>
        </w:tc>
        <w:tc>
          <w:tcPr>
            <w:tcW w:w="1599" w:type="dxa"/>
            <w:vMerge w:val="restart"/>
            <w:vAlign w:val="center"/>
          </w:tcPr>
          <w:p w14:paraId="222D0998">
            <w:pPr>
              <w:adjustRightInd w:val="0"/>
              <w:snapToGrid w:val="0"/>
              <w:spacing w:afterLines="0" w:line="400" w:lineRule="exact"/>
              <w:jc w:val="center"/>
              <w:rPr>
                <w:rFonts w:hint="eastAsia" w:ascii="宋体" w:hAnsi="宋体"/>
                <w:color w:val="auto"/>
                <w:highlight w:val="none"/>
              </w:rPr>
            </w:pPr>
            <w:r>
              <w:rPr>
                <w:rFonts w:hint="eastAsia" w:ascii="宋体" w:hAnsi="宋体"/>
                <w:color w:val="auto"/>
                <w:highlight w:val="none"/>
              </w:rPr>
              <w:t>技术</w:t>
            </w:r>
            <w:r>
              <w:rPr>
                <w:rFonts w:hint="eastAsia" w:ascii="宋体" w:hAnsi="宋体"/>
                <w:color w:val="auto"/>
                <w:highlight w:val="none"/>
                <w:lang w:val="en-US" w:eastAsia="zh-CN"/>
              </w:rPr>
              <w:t>评审得分</w:t>
            </w:r>
            <w:r>
              <w:rPr>
                <w:rFonts w:ascii="宋体" w:hAnsi="宋体"/>
                <w:color w:val="auto"/>
                <w:spacing w:val="-4"/>
                <w:highlight w:val="none"/>
              </w:rPr>
              <w:t>（</w:t>
            </w:r>
            <w:r>
              <w:rPr>
                <w:rFonts w:hint="eastAsia" w:ascii="宋体" w:hAnsi="宋体"/>
                <w:color w:val="auto"/>
                <w:spacing w:val="-4"/>
                <w:highlight w:val="none"/>
              </w:rPr>
              <w:t>A）</w:t>
            </w:r>
          </w:p>
        </w:tc>
        <w:tc>
          <w:tcPr>
            <w:tcW w:w="2355" w:type="dxa"/>
            <w:gridSpan w:val="2"/>
            <w:vAlign w:val="center"/>
          </w:tcPr>
          <w:p w14:paraId="015CFBF0">
            <w:pPr>
              <w:widowControl w:val="0"/>
              <w:adjustRightInd w:val="0"/>
              <w:snapToGrid w:val="0"/>
              <w:spacing w:afterLines="0" w:line="400" w:lineRule="exact"/>
              <w:jc w:val="center"/>
              <w:rPr>
                <w:rFonts w:hint="eastAsia" w:ascii="宋体" w:hAnsi="宋体"/>
                <w:color w:val="auto"/>
                <w:kern w:val="0"/>
                <w:highlight w:val="none"/>
              </w:rPr>
            </w:pPr>
            <w:r>
              <w:rPr>
                <w:rFonts w:hint="eastAsia" w:ascii="宋体" w:hAnsi="宋体" w:eastAsia="宋体" w:cs="宋体"/>
                <w:color w:val="auto"/>
                <w:kern w:val="2"/>
                <w:sz w:val="21"/>
                <w:szCs w:val="21"/>
                <w:highlight w:val="none"/>
                <w:lang w:val="en-US" w:eastAsia="zh-CN" w:bidi="ar"/>
              </w:rPr>
              <w:t>项目施工方案</w:t>
            </w:r>
          </w:p>
        </w:tc>
        <w:tc>
          <w:tcPr>
            <w:tcW w:w="5048" w:type="dxa"/>
            <w:vAlign w:val="center"/>
          </w:tcPr>
          <w:p w14:paraId="6FCFA6AA">
            <w:pPr>
              <w:autoSpaceDE w:val="0"/>
              <w:autoSpaceDN w:val="0"/>
              <w:adjustRightInd w:val="0"/>
              <w:snapToGrid w:val="0"/>
              <w:spacing w:afterLines="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lang w:eastAsia="zh-CN"/>
              </w:rPr>
              <w:t>评审委员会</w:t>
            </w:r>
            <w:r>
              <w:rPr>
                <w:rFonts w:ascii="宋体" w:hAnsi="宋体"/>
                <w:color w:val="auto"/>
                <w:szCs w:val="21"/>
                <w:highlight w:val="none"/>
              </w:rPr>
              <w:t>按第2.2.</w:t>
            </w:r>
            <w:r>
              <w:rPr>
                <w:rFonts w:hint="eastAsia" w:ascii="宋体" w:hAnsi="宋体"/>
                <w:color w:val="auto"/>
                <w:szCs w:val="21"/>
                <w:highlight w:val="none"/>
              </w:rPr>
              <w:t>2（1）目</w:t>
            </w:r>
            <w:r>
              <w:rPr>
                <w:rFonts w:ascii="宋体" w:hAnsi="宋体"/>
                <w:color w:val="auto"/>
                <w:szCs w:val="21"/>
                <w:highlight w:val="none"/>
              </w:rPr>
              <w:t>各评审因素设定的分值评分。</w:t>
            </w:r>
          </w:p>
        </w:tc>
      </w:tr>
      <w:tr w14:paraId="66822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tcBorders>
              <w:left w:val="single" w:color="auto" w:sz="4" w:space="0"/>
              <w:bottom w:val="single" w:color="auto" w:sz="4" w:space="0"/>
              <w:right w:val="single" w:color="auto" w:sz="4" w:space="0"/>
            </w:tcBorders>
            <w:vAlign w:val="center"/>
          </w:tcPr>
          <w:p w14:paraId="771381FA">
            <w:pPr>
              <w:adjustRightInd w:val="0"/>
              <w:snapToGrid w:val="0"/>
              <w:spacing w:afterLines="0" w:line="400" w:lineRule="exact"/>
              <w:jc w:val="center"/>
              <w:rPr>
                <w:rFonts w:ascii="宋体" w:hAnsi="宋体"/>
                <w:color w:val="auto"/>
                <w:highlight w:val="none"/>
              </w:rPr>
            </w:pPr>
            <w:r>
              <w:rPr>
                <w:rFonts w:hint="eastAsia" w:ascii="宋体" w:hAnsi="宋体"/>
                <w:color w:val="auto"/>
                <w:highlight w:val="none"/>
              </w:rPr>
              <w:t>3.2.1（2）</w:t>
            </w:r>
          </w:p>
        </w:tc>
        <w:tc>
          <w:tcPr>
            <w:tcW w:w="1599" w:type="dxa"/>
            <w:tcBorders>
              <w:left w:val="single" w:color="auto" w:sz="4" w:space="0"/>
              <w:bottom w:val="single" w:color="auto" w:sz="4" w:space="0"/>
              <w:right w:val="single" w:color="auto" w:sz="4" w:space="0"/>
            </w:tcBorders>
            <w:vAlign w:val="center"/>
          </w:tcPr>
          <w:p w14:paraId="7C91F19E">
            <w:pPr>
              <w:adjustRightInd w:val="0"/>
              <w:snapToGrid w:val="0"/>
              <w:spacing w:afterLines="0" w:line="400" w:lineRule="exact"/>
              <w:jc w:val="center"/>
              <w:rPr>
                <w:rFonts w:hint="eastAsia" w:ascii="宋体" w:hAnsi="宋体"/>
                <w:color w:val="auto"/>
                <w:highlight w:val="none"/>
              </w:rPr>
            </w:pPr>
            <w:r>
              <w:rPr>
                <w:rFonts w:hint="eastAsia" w:ascii="宋体" w:hAnsi="宋体"/>
                <w:color w:val="auto"/>
                <w:highlight w:val="none"/>
              </w:rPr>
              <w:t>商务</w:t>
            </w:r>
            <w:r>
              <w:rPr>
                <w:rFonts w:hint="eastAsia" w:ascii="宋体" w:hAnsi="宋体"/>
                <w:color w:val="auto"/>
                <w:highlight w:val="none"/>
                <w:lang w:val="en-US" w:eastAsia="zh-CN"/>
              </w:rPr>
              <w:t>评审得分</w:t>
            </w:r>
            <w:r>
              <w:rPr>
                <w:rFonts w:hint="eastAsia" w:ascii="宋体" w:hAnsi="宋体"/>
                <w:color w:val="auto"/>
                <w:highlight w:val="none"/>
              </w:rPr>
              <w:t>（B）</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E6C96D4">
            <w:pPr>
              <w:adjustRightInd w:val="0"/>
              <w:snapToGrid w:val="0"/>
              <w:spacing w:afterLines="0" w:line="400" w:lineRule="exact"/>
              <w:jc w:val="center"/>
              <w:rPr>
                <w:rFonts w:hint="eastAsia" w:ascii="宋体" w:hAnsi="宋体"/>
                <w:color w:val="auto"/>
                <w:highlight w:val="none"/>
              </w:rPr>
            </w:pPr>
            <w:r>
              <w:rPr>
                <w:rFonts w:hint="eastAsia" w:ascii="宋体" w:hAnsi="宋体"/>
                <w:color w:val="auto"/>
                <w:highlight w:val="none"/>
                <w:lang w:eastAsia="zh-CN"/>
              </w:rPr>
              <w:t>评审</w:t>
            </w:r>
            <w:r>
              <w:rPr>
                <w:rFonts w:hint="eastAsia" w:ascii="宋体" w:hAnsi="宋体"/>
                <w:color w:val="auto"/>
                <w:highlight w:val="none"/>
              </w:rPr>
              <w:t>标准详见</w:t>
            </w:r>
          </w:p>
          <w:p w14:paraId="364369E5">
            <w:pPr>
              <w:adjustRightInd w:val="0"/>
              <w:snapToGrid w:val="0"/>
              <w:spacing w:afterLines="0" w:line="400" w:lineRule="exact"/>
              <w:jc w:val="center"/>
              <w:rPr>
                <w:rFonts w:hint="eastAsia" w:ascii="宋体" w:hAnsi="宋体" w:cs="宋体"/>
                <w:color w:val="auto"/>
                <w:kern w:val="0"/>
                <w:highlight w:val="none"/>
              </w:rPr>
            </w:pPr>
            <w:r>
              <w:rPr>
                <w:rFonts w:hint="eastAsia" w:ascii="宋体" w:hAnsi="宋体"/>
                <w:color w:val="auto"/>
                <w:highlight w:val="none"/>
              </w:rPr>
              <w:t>2.2.2（2）</w:t>
            </w:r>
          </w:p>
        </w:tc>
        <w:tc>
          <w:tcPr>
            <w:tcW w:w="5048" w:type="dxa"/>
            <w:tcBorders>
              <w:left w:val="single" w:color="auto" w:sz="4" w:space="0"/>
              <w:bottom w:val="single" w:color="auto" w:sz="4" w:space="0"/>
              <w:right w:val="single" w:color="auto" w:sz="4" w:space="0"/>
            </w:tcBorders>
            <w:vAlign w:val="top"/>
          </w:tcPr>
          <w:p w14:paraId="3288A176">
            <w:pPr>
              <w:adjustRightInd w:val="0"/>
              <w:snapToGrid w:val="0"/>
              <w:spacing w:after="0" w:afterLines="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商务</w:t>
            </w:r>
            <w:r>
              <w:rPr>
                <w:rFonts w:hint="eastAsia" w:ascii="宋体" w:hAnsi="宋体"/>
                <w:color w:val="auto"/>
                <w:szCs w:val="21"/>
                <w:highlight w:val="none"/>
                <w:lang w:val="en-US" w:eastAsia="zh-CN"/>
              </w:rPr>
              <w:t>评审</w:t>
            </w:r>
            <w:r>
              <w:rPr>
                <w:rFonts w:hint="eastAsia" w:ascii="宋体" w:hAnsi="宋体"/>
                <w:color w:val="auto"/>
                <w:szCs w:val="21"/>
                <w:highlight w:val="none"/>
              </w:rPr>
              <w:t>为客观评分，</w:t>
            </w:r>
            <w:r>
              <w:rPr>
                <w:rFonts w:hint="eastAsia" w:ascii="宋体" w:hAnsi="宋体"/>
                <w:color w:val="auto"/>
                <w:szCs w:val="21"/>
                <w:highlight w:val="none"/>
                <w:lang w:eastAsia="zh-CN"/>
              </w:rPr>
              <w:t>评审委员会</w:t>
            </w:r>
            <w:r>
              <w:rPr>
                <w:rFonts w:hint="eastAsia" w:ascii="宋体" w:hAnsi="宋体"/>
                <w:color w:val="auto"/>
                <w:szCs w:val="21"/>
                <w:highlight w:val="none"/>
              </w:rPr>
              <w:t>按第</w:t>
            </w:r>
            <w:r>
              <w:rPr>
                <w:rFonts w:ascii="宋体" w:hAnsi="宋体"/>
                <w:color w:val="auto"/>
                <w:szCs w:val="21"/>
                <w:highlight w:val="none"/>
              </w:rPr>
              <w:t>2.2.</w:t>
            </w:r>
            <w:r>
              <w:rPr>
                <w:rFonts w:hint="eastAsia" w:ascii="宋体" w:hAnsi="宋体"/>
                <w:color w:val="auto"/>
                <w:szCs w:val="21"/>
                <w:highlight w:val="none"/>
              </w:rPr>
              <w:t>2（2）目各评审因素设定的分值统一进行评分。商务评分的最终结果取小数点后两位，</w:t>
            </w:r>
            <w:r>
              <w:rPr>
                <w:rFonts w:hint="eastAsia" w:asciiTheme="minorEastAsia" w:hAnsiTheme="minorEastAsia" w:eastAsiaTheme="minorEastAsia" w:cstheme="minorEastAsia"/>
                <w:color w:val="auto"/>
                <w:kern w:val="0"/>
                <w:szCs w:val="21"/>
                <w:highlight w:val="none"/>
                <w:lang w:val="en-US" w:eastAsia="zh-CN"/>
              </w:rPr>
              <w:t>小数点后</w:t>
            </w:r>
            <w:r>
              <w:rPr>
                <w:rFonts w:hint="eastAsia" w:ascii="宋体" w:hAnsi="宋体"/>
                <w:color w:val="auto"/>
                <w:szCs w:val="21"/>
                <w:highlight w:val="none"/>
              </w:rPr>
              <w:t>第三位四舍五入。</w:t>
            </w:r>
          </w:p>
        </w:tc>
      </w:tr>
      <w:tr w14:paraId="3865A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tcBorders>
              <w:left w:val="single" w:color="auto" w:sz="4" w:space="0"/>
              <w:bottom w:val="single" w:color="auto" w:sz="4" w:space="0"/>
              <w:right w:val="single" w:color="auto" w:sz="4" w:space="0"/>
            </w:tcBorders>
            <w:vAlign w:val="center"/>
          </w:tcPr>
          <w:p w14:paraId="44A87054">
            <w:pPr>
              <w:adjustRightInd w:val="0"/>
              <w:snapToGrid w:val="0"/>
              <w:spacing w:afterLines="0" w:line="400" w:lineRule="exact"/>
              <w:jc w:val="center"/>
              <w:rPr>
                <w:rFonts w:ascii="宋体" w:hAnsi="宋体"/>
                <w:color w:val="auto"/>
                <w:highlight w:val="none"/>
              </w:rPr>
            </w:pPr>
            <w:r>
              <w:rPr>
                <w:rFonts w:ascii="宋体" w:hAnsi="宋体"/>
                <w:color w:val="auto"/>
                <w:highlight w:val="none"/>
              </w:rPr>
              <w:t>3.2.1（</w:t>
            </w:r>
            <w:r>
              <w:rPr>
                <w:rFonts w:hint="eastAsia" w:ascii="宋体" w:hAnsi="宋体"/>
                <w:color w:val="auto"/>
                <w:highlight w:val="none"/>
              </w:rPr>
              <w:t>3</w:t>
            </w:r>
            <w:r>
              <w:rPr>
                <w:rFonts w:ascii="宋体" w:hAnsi="宋体"/>
                <w:color w:val="auto"/>
                <w:highlight w:val="none"/>
              </w:rPr>
              <w:t>）</w:t>
            </w:r>
          </w:p>
        </w:tc>
        <w:tc>
          <w:tcPr>
            <w:tcW w:w="1599" w:type="dxa"/>
            <w:tcBorders>
              <w:left w:val="single" w:color="auto" w:sz="4" w:space="0"/>
              <w:bottom w:val="single" w:color="auto" w:sz="4" w:space="0"/>
              <w:right w:val="single" w:color="auto" w:sz="4" w:space="0"/>
            </w:tcBorders>
            <w:vAlign w:val="center"/>
          </w:tcPr>
          <w:p w14:paraId="51009A83">
            <w:pPr>
              <w:adjustRightInd w:val="0"/>
              <w:snapToGrid w:val="0"/>
              <w:spacing w:afterLines="0" w:line="400" w:lineRule="exact"/>
              <w:jc w:val="center"/>
              <w:rPr>
                <w:rFonts w:hint="eastAsia" w:ascii="宋体" w:hAnsi="宋体"/>
                <w:color w:val="auto"/>
                <w:highlight w:val="none"/>
              </w:rPr>
            </w:pPr>
            <w:r>
              <w:rPr>
                <w:rFonts w:hint="eastAsia" w:ascii="宋体" w:hAnsi="宋体"/>
                <w:color w:val="auto"/>
                <w:highlight w:val="none"/>
                <w:lang w:val="en-US" w:eastAsia="zh-CN"/>
              </w:rPr>
              <w:t>报价评审</w:t>
            </w:r>
            <w:r>
              <w:rPr>
                <w:rFonts w:ascii="宋体" w:hAnsi="宋体"/>
                <w:color w:val="auto"/>
                <w:kern w:val="0"/>
                <w:highlight w:val="none"/>
              </w:rPr>
              <w:t>得分</w:t>
            </w:r>
            <w:r>
              <w:rPr>
                <w:rFonts w:ascii="宋体" w:hAnsi="宋体"/>
                <w:color w:val="auto"/>
                <w:spacing w:val="-8"/>
                <w:highlight w:val="none"/>
              </w:rPr>
              <w:t>（</w:t>
            </w:r>
            <w:r>
              <w:rPr>
                <w:rFonts w:hint="eastAsia" w:ascii="宋体" w:hAnsi="宋体"/>
                <w:color w:val="auto"/>
                <w:spacing w:val="-8"/>
                <w:highlight w:val="none"/>
              </w:rPr>
              <w:t>C</w:t>
            </w:r>
            <w:r>
              <w:rPr>
                <w:rFonts w:ascii="宋体" w:hAnsi="宋体"/>
                <w:color w:val="auto"/>
                <w:spacing w:val="-8"/>
                <w:highlight w:val="none"/>
              </w:rPr>
              <w:t>）</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7E6BD52">
            <w:pPr>
              <w:adjustRightInd w:val="0"/>
              <w:snapToGrid w:val="0"/>
              <w:spacing w:afterLines="0" w:line="400" w:lineRule="exact"/>
              <w:jc w:val="center"/>
              <w:rPr>
                <w:rFonts w:hint="eastAsia" w:ascii="宋体" w:hAnsi="宋体" w:eastAsia="宋体" w:cs="宋体"/>
                <w:color w:val="auto"/>
                <w:kern w:val="0"/>
                <w:highlight w:val="none"/>
                <w:lang w:eastAsia="zh-CN"/>
              </w:rPr>
            </w:pPr>
            <w:r>
              <w:rPr>
                <w:rFonts w:hint="eastAsia" w:ascii="宋体" w:hAnsi="宋体"/>
                <w:color w:val="auto"/>
                <w:highlight w:val="none"/>
                <w:lang w:eastAsia="zh-CN"/>
              </w:rPr>
              <w:t>比选总报价</w:t>
            </w:r>
          </w:p>
        </w:tc>
        <w:tc>
          <w:tcPr>
            <w:tcW w:w="5048" w:type="dxa"/>
            <w:tcBorders>
              <w:left w:val="single" w:color="auto" w:sz="4" w:space="0"/>
              <w:bottom w:val="single" w:color="auto" w:sz="4" w:space="0"/>
              <w:right w:val="single" w:color="auto" w:sz="4" w:space="0"/>
            </w:tcBorders>
            <w:vAlign w:val="top"/>
          </w:tcPr>
          <w:p w14:paraId="00C62323">
            <w:pPr>
              <w:adjustRightInd w:val="0"/>
              <w:snapToGrid w:val="0"/>
              <w:spacing w:afterLines="0" w:line="400" w:lineRule="exact"/>
              <w:ind w:firstLine="420" w:firstLineChars="200"/>
              <w:rPr>
                <w:rFonts w:hint="eastAsia" w:ascii="宋体" w:hAnsi="宋体"/>
                <w:color w:val="auto"/>
                <w:szCs w:val="21"/>
                <w:highlight w:val="none"/>
              </w:rPr>
            </w:pPr>
            <w:r>
              <w:rPr>
                <w:rFonts w:hint="eastAsia" w:ascii="宋体" w:hAnsi="宋体" w:cs="宋体"/>
                <w:color w:val="auto"/>
                <w:kern w:val="0"/>
                <w:szCs w:val="21"/>
                <w:highlight w:val="none"/>
                <w:lang w:eastAsia="zh-CN"/>
              </w:rPr>
              <w:t>进入报价评审的</w:t>
            </w:r>
            <w:r>
              <w:rPr>
                <w:rFonts w:hint="eastAsia" w:ascii="宋体" w:hAnsi="宋体"/>
                <w:color w:val="auto"/>
                <w:kern w:val="0"/>
                <w:szCs w:val="21"/>
                <w:highlight w:val="none"/>
                <w:lang w:eastAsia="zh-CN"/>
              </w:rPr>
              <w:t>供应商</w:t>
            </w:r>
            <w:r>
              <w:rPr>
                <w:rFonts w:ascii="宋体" w:hAnsi="宋体"/>
                <w:color w:val="auto"/>
                <w:szCs w:val="21"/>
                <w:highlight w:val="none"/>
              </w:rPr>
              <w:t>的</w:t>
            </w:r>
            <w:r>
              <w:rPr>
                <w:rFonts w:hint="eastAsia" w:ascii="宋体" w:hAnsi="宋体"/>
                <w:color w:val="auto"/>
                <w:szCs w:val="21"/>
                <w:highlight w:val="none"/>
                <w:lang w:eastAsia="zh-CN"/>
              </w:rPr>
              <w:t>比选总报价</w:t>
            </w:r>
            <w:r>
              <w:rPr>
                <w:rFonts w:ascii="宋体" w:hAnsi="宋体"/>
                <w:color w:val="auto"/>
                <w:szCs w:val="21"/>
                <w:highlight w:val="none"/>
              </w:rPr>
              <w:t>得</w:t>
            </w:r>
            <w:r>
              <w:rPr>
                <w:rFonts w:ascii="宋体" w:hAnsi="宋体"/>
                <w:bCs/>
                <w:color w:val="auto"/>
                <w:szCs w:val="28"/>
                <w:highlight w:val="none"/>
              </w:rPr>
              <w:t>本附表第2.2.1项规定分值的满分</w:t>
            </w:r>
            <w:r>
              <w:rPr>
                <w:rFonts w:hint="eastAsia" w:ascii="宋体" w:hAnsi="宋体"/>
                <w:bCs/>
                <w:color w:val="auto"/>
                <w:szCs w:val="28"/>
                <w:highlight w:val="none"/>
                <w:u w:val="single"/>
                <w:lang w:val="en-US" w:eastAsia="zh-CN"/>
              </w:rPr>
              <w:t>80</w:t>
            </w:r>
            <w:r>
              <w:rPr>
                <w:rFonts w:ascii="宋体" w:hAnsi="宋体"/>
                <w:color w:val="auto"/>
                <w:szCs w:val="21"/>
                <w:highlight w:val="none"/>
              </w:rPr>
              <w:t>分。在此基础上，</w:t>
            </w:r>
            <w:r>
              <w:rPr>
                <w:rFonts w:hint="eastAsia" w:ascii="宋体" w:hAnsi="宋体"/>
                <w:color w:val="auto"/>
                <w:szCs w:val="21"/>
                <w:highlight w:val="none"/>
                <w:lang w:eastAsia="zh-CN"/>
              </w:rPr>
              <w:t>比选总报价</w:t>
            </w:r>
            <w:r>
              <w:rPr>
                <w:rFonts w:ascii="宋体" w:hAnsi="宋体"/>
                <w:color w:val="auto"/>
                <w:szCs w:val="21"/>
                <w:highlight w:val="none"/>
              </w:rPr>
              <w:t>与</w:t>
            </w:r>
            <w:r>
              <w:rPr>
                <w:rFonts w:hint="eastAsia" w:ascii="宋体" w:hAnsi="宋体"/>
                <w:color w:val="auto"/>
                <w:szCs w:val="21"/>
                <w:highlight w:val="none"/>
                <w:lang w:eastAsia="zh-CN"/>
              </w:rPr>
              <w:t>评审基准价</w:t>
            </w:r>
            <w:r>
              <w:rPr>
                <w:rFonts w:ascii="宋体" w:hAnsi="宋体"/>
                <w:color w:val="auto"/>
                <w:szCs w:val="21"/>
                <w:highlight w:val="none"/>
              </w:rPr>
              <w:t>相比，每增加1%扣</w:t>
            </w:r>
            <w:r>
              <w:rPr>
                <w:rFonts w:hint="eastAsia" w:ascii="宋体" w:hAnsi="宋体"/>
                <w:bCs/>
                <w:color w:val="auto"/>
                <w:szCs w:val="28"/>
                <w:highlight w:val="none"/>
                <w:u w:val="single"/>
                <w:lang w:val="en-US" w:eastAsia="zh-CN"/>
              </w:rPr>
              <w:t>1</w:t>
            </w:r>
            <w:r>
              <w:rPr>
                <w:rFonts w:ascii="宋体" w:hAnsi="宋体"/>
                <w:color w:val="auto"/>
                <w:szCs w:val="21"/>
                <w:highlight w:val="none"/>
              </w:rPr>
              <w:t>分，每减少1%扣</w:t>
            </w:r>
            <w:r>
              <w:rPr>
                <w:rFonts w:hint="eastAsia" w:ascii="宋体" w:hAnsi="宋体"/>
                <w:bCs/>
                <w:color w:val="auto"/>
                <w:szCs w:val="28"/>
                <w:highlight w:val="none"/>
                <w:u w:val="single"/>
                <w:lang w:val="en-US" w:eastAsia="zh-CN"/>
              </w:rPr>
              <w:t>0.5</w:t>
            </w:r>
            <w:r>
              <w:rPr>
                <w:rFonts w:ascii="宋体" w:hAnsi="宋体"/>
                <w:color w:val="auto"/>
                <w:szCs w:val="21"/>
                <w:highlight w:val="none"/>
              </w:rPr>
              <w:t>分</w:t>
            </w:r>
            <w:r>
              <w:rPr>
                <w:rFonts w:hint="eastAsia" w:ascii="宋体" w:hAnsi="宋体"/>
                <w:color w:val="auto"/>
                <w:szCs w:val="21"/>
                <w:highlight w:val="none"/>
                <w:lang w:eastAsia="zh-CN"/>
              </w:rPr>
              <w:t>，</w:t>
            </w:r>
            <w:r>
              <w:rPr>
                <w:rFonts w:hint="default" w:ascii="宋体" w:hAnsi="宋体" w:eastAsia="宋体" w:cs="宋体"/>
                <w:color w:val="auto"/>
                <w:kern w:val="0"/>
                <w:sz w:val="22"/>
                <w:szCs w:val="22"/>
                <w:highlight w:val="none"/>
                <w:vertAlign w:val="baseline"/>
              </w:rPr>
              <w:t>最</w:t>
            </w:r>
            <w:r>
              <w:rPr>
                <w:rFonts w:hint="eastAsia" w:ascii="宋体" w:hAnsi="宋体" w:eastAsia="宋体" w:cs="宋体"/>
                <w:color w:val="auto"/>
                <w:kern w:val="0"/>
                <w:sz w:val="22"/>
                <w:szCs w:val="22"/>
                <w:highlight w:val="none"/>
                <w:vertAlign w:val="baseline"/>
              </w:rPr>
              <w:t>多扣</w:t>
            </w:r>
            <w:r>
              <w:rPr>
                <w:rFonts w:hint="default" w:ascii="宋体" w:hAnsi="宋体" w:eastAsia="宋体" w:cs="宋体"/>
                <w:color w:val="auto"/>
                <w:kern w:val="0"/>
                <w:sz w:val="22"/>
                <w:szCs w:val="22"/>
                <w:highlight w:val="none"/>
                <w:vertAlign w:val="baseline"/>
              </w:rPr>
              <w:t>10</w:t>
            </w:r>
            <w:r>
              <w:rPr>
                <w:rFonts w:hint="eastAsia" w:ascii="宋体" w:hAnsi="宋体" w:eastAsia="宋体" w:cs="宋体"/>
                <w:color w:val="auto"/>
                <w:kern w:val="0"/>
                <w:sz w:val="22"/>
                <w:szCs w:val="22"/>
                <w:highlight w:val="none"/>
                <w:vertAlign w:val="baseline"/>
              </w:rPr>
              <w:t>分</w:t>
            </w:r>
            <w:r>
              <w:rPr>
                <w:rFonts w:ascii="宋体" w:hAnsi="宋体"/>
                <w:color w:val="auto"/>
                <w:szCs w:val="21"/>
                <w:highlight w:val="none"/>
              </w:rPr>
              <w:t>。按插入法计算得分。</w:t>
            </w:r>
          </w:p>
          <w:p w14:paraId="609DA273">
            <w:pPr>
              <w:adjustRightInd w:val="0"/>
              <w:snapToGrid w:val="0"/>
              <w:spacing w:afterLines="0" w:line="400" w:lineRule="exact"/>
              <w:ind w:firstLine="420" w:firstLineChars="200"/>
              <w:rPr>
                <w:rFonts w:ascii="宋体" w:hAnsi="宋体"/>
                <w:color w:val="auto"/>
                <w:szCs w:val="21"/>
                <w:highlight w:val="none"/>
              </w:rPr>
            </w:pPr>
            <w:r>
              <w:rPr>
                <w:rFonts w:hint="eastAsia" w:ascii="宋体" w:hAnsi="宋体"/>
                <w:color w:val="auto"/>
                <w:kern w:val="0"/>
                <w:szCs w:val="21"/>
                <w:highlight w:val="none"/>
              </w:rPr>
              <w:t>未参与</w:t>
            </w:r>
            <w:r>
              <w:rPr>
                <w:rFonts w:hint="eastAsia" w:ascii="宋体" w:hAnsi="宋体"/>
                <w:color w:val="auto"/>
                <w:kern w:val="0"/>
                <w:szCs w:val="21"/>
                <w:highlight w:val="none"/>
                <w:lang w:eastAsia="zh-CN"/>
              </w:rPr>
              <w:t>评审基准价</w:t>
            </w:r>
            <w:r>
              <w:rPr>
                <w:rFonts w:hint="eastAsia" w:ascii="宋体" w:hAnsi="宋体"/>
                <w:color w:val="auto"/>
                <w:kern w:val="0"/>
                <w:szCs w:val="21"/>
                <w:highlight w:val="none"/>
              </w:rPr>
              <w:t>计算的</w:t>
            </w:r>
            <w:r>
              <w:rPr>
                <w:rFonts w:hint="eastAsia" w:ascii="宋体" w:hAnsi="宋体"/>
                <w:color w:val="auto"/>
                <w:kern w:val="0"/>
                <w:szCs w:val="21"/>
                <w:highlight w:val="none"/>
                <w:lang w:eastAsia="zh-CN"/>
              </w:rPr>
              <w:t>比选报价</w:t>
            </w:r>
            <w:r>
              <w:rPr>
                <w:rFonts w:hint="eastAsia" w:ascii="宋体" w:hAnsi="宋体"/>
                <w:color w:val="auto"/>
                <w:kern w:val="0"/>
                <w:szCs w:val="21"/>
                <w:highlight w:val="none"/>
              </w:rPr>
              <w:t>，仍应参加计算相应分值。</w:t>
            </w:r>
          </w:p>
          <w:p w14:paraId="62DCD936">
            <w:pPr>
              <w:adjustRightInd w:val="0"/>
              <w:snapToGrid w:val="0"/>
              <w:spacing w:after="0" w:afterLines="0" w:line="400" w:lineRule="exact"/>
              <w:ind w:firstLine="420" w:firstLineChars="200"/>
              <w:jc w:val="left"/>
              <w:rPr>
                <w:rFonts w:hint="eastAsia" w:ascii="宋体" w:hAnsi="宋体"/>
                <w:color w:val="auto"/>
                <w:szCs w:val="21"/>
                <w:highlight w:val="none"/>
              </w:rPr>
            </w:pPr>
            <w:r>
              <w:rPr>
                <w:rFonts w:hint="eastAsia" w:ascii="宋体" w:hAnsi="宋体"/>
                <w:color w:val="auto"/>
                <w:kern w:val="0"/>
                <w:szCs w:val="21"/>
                <w:highlight w:val="none"/>
                <w:lang w:eastAsia="zh-CN"/>
              </w:rPr>
              <w:t>比选总报价</w:t>
            </w:r>
            <w:r>
              <w:rPr>
                <w:rFonts w:hint="eastAsia" w:ascii="宋体" w:hAnsi="宋体"/>
                <w:color w:val="auto"/>
                <w:kern w:val="0"/>
                <w:szCs w:val="21"/>
                <w:highlight w:val="none"/>
                <w:lang w:val="en-US" w:eastAsia="zh-CN"/>
              </w:rPr>
              <w:t>得分</w:t>
            </w:r>
            <w:r>
              <w:rPr>
                <w:rFonts w:hint="eastAsia" w:ascii="宋体" w:hAnsi="宋体"/>
                <w:color w:val="auto"/>
                <w:kern w:val="0"/>
                <w:szCs w:val="21"/>
                <w:highlight w:val="none"/>
              </w:rPr>
              <w:t>最终结果</w:t>
            </w:r>
            <w:r>
              <w:rPr>
                <w:rFonts w:ascii="宋体" w:hAnsi="宋体"/>
                <w:color w:val="auto"/>
                <w:kern w:val="0"/>
                <w:szCs w:val="21"/>
                <w:highlight w:val="none"/>
              </w:rPr>
              <w:t>取小数点后两位，</w:t>
            </w:r>
            <w:r>
              <w:rPr>
                <w:rFonts w:hint="eastAsia" w:asciiTheme="minorEastAsia" w:hAnsiTheme="minorEastAsia" w:eastAsiaTheme="minorEastAsia" w:cstheme="minorEastAsia"/>
                <w:color w:val="auto"/>
                <w:kern w:val="0"/>
                <w:szCs w:val="21"/>
                <w:highlight w:val="none"/>
                <w:lang w:val="en-US" w:eastAsia="zh-CN"/>
              </w:rPr>
              <w:t>小数点后</w:t>
            </w:r>
            <w:r>
              <w:rPr>
                <w:rFonts w:ascii="宋体" w:hAnsi="宋体"/>
                <w:color w:val="auto"/>
                <w:kern w:val="0"/>
                <w:szCs w:val="21"/>
                <w:highlight w:val="none"/>
              </w:rPr>
              <w:t>第三位四舍五入。</w:t>
            </w:r>
          </w:p>
        </w:tc>
      </w:tr>
      <w:tr w14:paraId="5DD46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0" w:type="dxa"/>
            <w:tcBorders>
              <w:left w:val="single" w:color="auto" w:sz="4" w:space="0"/>
              <w:bottom w:val="single" w:color="auto" w:sz="4" w:space="0"/>
              <w:right w:val="single" w:color="auto" w:sz="4" w:space="0"/>
            </w:tcBorders>
            <w:vAlign w:val="center"/>
          </w:tcPr>
          <w:p w14:paraId="5C1A8541">
            <w:pPr>
              <w:adjustRightInd w:val="0"/>
              <w:snapToGrid w:val="0"/>
              <w:spacing w:afterLines="0" w:line="400" w:lineRule="exact"/>
              <w:ind w:firstLine="18" w:firstLineChars="9"/>
              <w:jc w:val="center"/>
              <w:rPr>
                <w:rFonts w:hint="eastAsia" w:ascii="宋体" w:hAnsi="宋体"/>
                <w:color w:val="auto"/>
                <w:highlight w:val="none"/>
              </w:rPr>
            </w:pPr>
            <w:r>
              <w:rPr>
                <w:rFonts w:ascii="宋体" w:hAnsi="宋体"/>
                <w:color w:val="auto"/>
                <w:szCs w:val="21"/>
                <w:highlight w:val="none"/>
              </w:rPr>
              <w:t>3.2.3</w:t>
            </w:r>
          </w:p>
        </w:tc>
        <w:tc>
          <w:tcPr>
            <w:tcW w:w="1599" w:type="dxa"/>
            <w:tcBorders>
              <w:left w:val="single" w:color="auto" w:sz="4" w:space="0"/>
              <w:bottom w:val="single" w:color="auto" w:sz="4" w:space="0"/>
              <w:right w:val="single" w:color="auto" w:sz="4" w:space="0"/>
            </w:tcBorders>
            <w:vAlign w:val="center"/>
          </w:tcPr>
          <w:p w14:paraId="5E93CE01">
            <w:pPr>
              <w:adjustRightInd w:val="0"/>
              <w:snapToGrid w:val="0"/>
              <w:spacing w:afterLines="0" w:line="400" w:lineRule="exact"/>
              <w:jc w:val="center"/>
              <w:rPr>
                <w:rFonts w:ascii="宋体" w:hAnsi="宋体"/>
                <w:color w:val="auto"/>
                <w:highlight w:val="none"/>
              </w:rPr>
            </w:pPr>
            <w:r>
              <w:rPr>
                <w:rFonts w:hint="eastAsia" w:ascii="宋体" w:hAnsi="宋体"/>
                <w:color w:val="auto"/>
                <w:szCs w:val="21"/>
                <w:highlight w:val="none"/>
                <w:lang w:eastAsia="zh-CN"/>
              </w:rPr>
              <w:t>供应商</w:t>
            </w:r>
            <w:r>
              <w:rPr>
                <w:rFonts w:ascii="宋体" w:hAnsi="宋体"/>
                <w:color w:val="auto"/>
                <w:szCs w:val="21"/>
                <w:highlight w:val="none"/>
              </w:rPr>
              <w:t>得分</w:t>
            </w:r>
          </w:p>
        </w:tc>
        <w:tc>
          <w:tcPr>
            <w:tcW w:w="7403" w:type="dxa"/>
            <w:gridSpan w:val="3"/>
            <w:tcBorders>
              <w:left w:val="single" w:color="auto" w:sz="4" w:space="0"/>
              <w:bottom w:val="single" w:color="auto" w:sz="4" w:space="0"/>
              <w:right w:val="single" w:color="auto" w:sz="4" w:space="0"/>
            </w:tcBorders>
            <w:vAlign w:val="center"/>
          </w:tcPr>
          <w:p w14:paraId="655E6D87">
            <w:pPr>
              <w:adjustRightInd w:val="0"/>
              <w:snapToGrid w:val="0"/>
              <w:spacing w:afterLines="0" w:line="400" w:lineRule="exact"/>
              <w:ind w:firstLine="18" w:firstLineChars="9"/>
              <w:jc w:val="center"/>
              <w:rPr>
                <w:rFonts w:hint="eastAsia" w:ascii="宋体" w:hAnsi="宋体"/>
                <w:color w:val="auto"/>
                <w:kern w:val="0"/>
                <w:szCs w:val="21"/>
                <w:highlight w:val="none"/>
              </w:rPr>
            </w:pPr>
            <w:r>
              <w:rPr>
                <w:rFonts w:hint="eastAsia" w:ascii="宋体" w:hAnsi="宋体"/>
                <w:color w:val="auto"/>
                <w:szCs w:val="21"/>
                <w:highlight w:val="none"/>
                <w:lang w:eastAsia="zh-CN"/>
              </w:rPr>
              <w:t>供应商</w:t>
            </w:r>
            <w:r>
              <w:rPr>
                <w:rFonts w:ascii="宋体" w:hAnsi="宋体"/>
                <w:color w:val="auto"/>
                <w:szCs w:val="21"/>
                <w:highlight w:val="none"/>
              </w:rPr>
              <w:t>得分=A+B</w:t>
            </w:r>
            <w:r>
              <w:rPr>
                <w:rFonts w:hint="eastAsia" w:ascii="宋体" w:hAnsi="宋体"/>
                <w:color w:val="auto"/>
                <w:szCs w:val="21"/>
                <w:highlight w:val="none"/>
              </w:rPr>
              <w:t>+C</w:t>
            </w:r>
          </w:p>
        </w:tc>
      </w:tr>
    </w:tbl>
    <w:p w14:paraId="67683329">
      <w:pPr>
        <w:pStyle w:val="2"/>
        <w:rPr>
          <w:color w:val="auto"/>
          <w:highlight w:val="none"/>
        </w:rPr>
      </w:pPr>
    </w:p>
    <w:p w14:paraId="42F7DA07">
      <w:pPr>
        <w:pStyle w:val="4"/>
        <w:spacing w:before="0" w:after="0" w:line="360" w:lineRule="auto"/>
        <w:rPr>
          <w:rFonts w:ascii="宋体" w:hAnsi="宋体"/>
          <w:b w:val="0"/>
          <w:snapToGrid w:val="0"/>
          <w:color w:val="auto"/>
          <w:highlight w:val="none"/>
        </w:rPr>
      </w:pPr>
      <w:bookmarkStart w:id="417" w:name="_Toc33106452"/>
      <w:r>
        <w:rPr>
          <w:rFonts w:ascii="宋体" w:hAnsi="宋体"/>
          <w:b w:val="0"/>
          <w:snapToGrid w:val="0"/>
          <w:color w:val="auto"/>
          <w:highlight w:val="none"/>
        </w:rPr>
        <w:br w:type="page"/>
      </w:r>
      <w:bookmarkStart w:id="418" w:name="_Toc3203"/>
      <w:bookmarkStart w:id="419" w:name="_Toc7139"/>
      <w:bookmarkStart w:id="420" w:name="_Toc31699"/>
      <w:r>
        <w:rPr>
          <w:rFonts w:hint="eastAsia" w:ascii="宋体" w:hAnsi="宋体" w:cs="宋体"/>
          <w:color w:val="auto"/>
          <w:sz w:val="28"/>
          <w:szCs w:val="28"/>
          <w:highlight w:val="none"/>
        </w:rPr>
        <w:t xml:space="preserve">1. </w:t>
      </w:r>
      <w:r>
        <w:rPr>
          <w:rFonts w:hint="eastAsia" w:ascii="宋体" w:hAnsi="宋体" w:cs="宋体"/>
          <w:color w:val="auto"/>
          <w:sz w:val="28"/>
          <w:szCs w:val="28"/>
          <w:highlight w:val="none"/>
          <w:lang w:eastAsia="zh-CN"/>
        </w:rPr>
        <w:t>评审</w:t>
      </w:r>
      <w:r>
        <w:rPr>
          <w:rFonts w:hint="eastAsia" w:ascii="宋体" w:hAnsi="宋体" w:cs="宋体"/>
          <w:color w:val="auto"/>
          <w:sz w:val="28"/>
          <w:szCs w:val="28"/>
          <w:highlight w:val="none"/>
        </w:rPr>
        <w:t>方法</w:t>
      </w:r>
      <w:bookmarkEnd w:id="417"/>
      <w:bookmarkEnd w:id="418"/>
      <w:bookmarkEnd w:id="419"/>
      <w:bookmarkEnd w:id="420"/>
    </w:p>
    <w:p w14:paraId="0456C9D6">
      <w:pPr>
        <w:autoSpaceDE w:val="0"/>
        <w:autoSpaceDN w:val="0"/>
        <w:adjustRightInd w:val="0"/>
        <w:snapToGrid w:val="0"/>
        <w:spacing w:line="360" w:lineRule="auto"/>
        <w:ind w:firstLine="420"/>
        <w:rPr>
          <w:rFonts w:ascii="宋体" w:hAnsi="宋体"/>
          <w:color w:val="auto"/>
          <w:kern w:val="0"/>
          <w:szCs w:val="21"/>
          <w:highlight w:val="none"/>
        </w:rPr>
      </w:pPr>
      <w:r>
        <w:rPr>
          <w:rFonts w:ascii="宋体" w:hAnsi="宋体"/>
          <w:color w:val="auto"/>
          <w:kern w:val="0"/>
          <w:szCs w:val="21"/>
          <w:highlight w:val="none"/>
        </w:rPr>
        <w:t>本次</w:t>
      </w:r>
      <w:r>
        <w:rPr>
          <w:rFonts w:hint="eastAsia" w:ascii="宋体" w:hAnsi="宋体"/>
          <w:color w:val="auto"/>
          <w:kern w:val="0"/>
          <w:szCs w:val="21"/>
          <w:highlight w:val="none"/>
          <w:lang w:eastAsia="zh-CN"/>
        </w:rPr>
        <w:t>评审</w:t>
      </w:r>
      <w:r>
        <w:rPr>
          <w:rFonts w:ascii="宋体" w:hAnsi="宋体"/>
          <w:color w:val="auto"/>
          <w:kern w:val="0"/>
          <w:szCs w:val="21"/>
          <w:highlight w:val="none"/>
        </w:rPr>
        <w:t>采用</w:t>
      </w:r>
      <w:r>
        <w:rPr>
          <w:rFonts w:hint="eastAsia" w:ascii="宋体" w:hAnsi="宋体"/>
          <w:color w:val="auto"/>
          <w:kern w:val="0"/>
          <w:szCs w:val="21"/>
          <w:highlight w:val="none"/>
          <w:lang w:eastAsia="zh-CN"/>
        </w:rPr>
        <w:t>综合评估法</w:t>
      </w:r>
      <w:r>
        <w:rPr>
          <w:rFonts w:ascii="宋体" w:hAnsi="宋体"/>
          <w:color w:val="auto"/>
          <w:spacing w:val="-47"/>
          <w:kern w:val="0"/>
          <w:szCs w:val="21"/>
          <w:highlight w:val="none"/>
        </w:rPr>
        <w:t>。</w:t>
      </w:r>
      <w:r>
        <w:rPr>
          <w:rFonts w:hint="eastAsia" w:ascii="宋体" w:hAnsi="宋体"/>
          <w:color w:val="auto"/>
          <w:kern w:val="0"/>
          <w:szCs w:val="21"/>
          <w:highlight w:val="none"/>
          <w:lang w:eastAsia="zh-CN"/>
        </w:rPr>
        <w:t>评审委员会</w:t>
      </w:r>
      <w:r>
        <w:rPr>
          <w:rFonts w:hint="eastAsia" w:ascii="宋体" w:hAnsi="宋体"/>
          <w:color w:val="auto"/>
          <w:highlight w:val="none"/>
        </w:rPr>
        <w:t>对满足</w:t>
      </w:r>
      <w:r>
        <w:rPr>
          <w:rFonts w:hint="eastAsia" w:ascii="宋体" w:hAnsi="宋体"/>
          <w:color w:val="auto"/>
          <w:highlight w:val="none"/>
          <w:lang w:eastAsia="zh-CN"/>
        </w:rPr>
        <w:t>比选文件</w:t>
      </w:r>
      <w:r>
        <w:rPr>
          <w:rFonts w:hint="eastAsia" w:ascii="宋体" w:hAnsi="宋体"/>
          <w:color w:val="auto"/>
          <w:highlight w:val="none"/>
        </w:rPr>
        <w:t>实质要求的</w:t>
      </w:r>
      <w:r>
        <w:rPr>
          <w:rFonts w:hint="eastAsia" w:ascii="宋体" w:hAnsi="宋体"/>
          <w:color w:val="auto"/>
          <w:highlight w:val="none"/>
          <w:lang w:eastAsia="zh-CN"/>
        </w:rPr>
        <w:t>响应文件</w:t>
      </w:r>
      <w:r>
        <w:rPr>
          <w:rFonts w:hint="eastAsia" w:ascii="宋体" w:hAnsi="宋体"/>
          <w:color w:val="auto"/>
          <w:highlight w:val="none"/>
        </w:rPr>
        <w:t>，</w:t>
      </w:r>
      <w:r>
        <w:rPr>
          <w:rFonts w:ascii="宋体" w:hAnsi="宋体"/>
          <w:color w:val="auto"/>
          <w:kern w:val="0"/>
          <w:szCs w:val="21"/>
          <w:highlight w:val="none"/>
        </w:rPr>
        <w:t xml:space="preserve">按照本章第 </w:t>
      </w:r>
      <w:r>
        <w:rPr>
          <w:rFonts w:ascii="宋体" w:hAnsi="宋体"/>
          <w:color w:val="auto"/>
          <w:spacing w:val="1"/>
          <w:kern w:val="0"/>
          <w:szCs w:val="21"/>
          <w:highlight w:val="none"/>
        </w:rPr>
        <w:t>2</w:t>
      </w:r>
      <w:r>
        <w:rPr>
          <w:rFonts w:ascii="宋体" w:hAnsi="宋体"/>
          <w:color w:val="auto"/>
          <w:spacing w:val="-1"/>
          <w:kern w:val="0"/>
          <w:szCs w:val="21"/>
          <w:highlight w:val="none"/>
        </w:rPr>
        <w:t>.</w:t>
      </w:r>
      <w:r>
        <w:rPr>
          <w:rFonts w:ascii="宋体" w:hAnsi="宋体"/>
          <w:color w:val="auto"/>
          <w:kern w:val="0"/>
          <w:szCs w:val="21"/>
          <w:highlight w:val="none"/>
        </w:rPr>
        <w:t>2</w:t>
      </w:r>
      <w:r>
        <w:rPr>
          <w:rFonts w:ascii="宋体" w:hAnsi="宋体"/>
          <w:color w:val="auto"/>
          <w:spacing w:val="1"/>
          <w:kern w:val="0"/>
          <w:szCs w:val="21"/>
          <w:highlight w:val="none"/>
        </w:rPr>
        <w:t xml:space="preserve"> </w:t>
      </w:r>
      <w:r>
        <w:rPr>
          <w:rFonts w:ascii="宋体" w:hAnsi="宋体"/>
          <w:color w:val="auto"/>
          <w:kern w:val="0"/>
          <w:szCs w:val="21"/>
          <w:highlight w:val="none"/>
        </w:rPr>
        <w:t>款</w:t>
      </w:r>
      <w:r>
        <w:rPr>
          <w:rFonts w:ascii="宋体" w:hAnsi="宋体"/>
          <w:color w:val="auto"/>
          <w:spacing w:val="-1"/>
          <w:kern w:val="0"/>
          <w:szCs w:val="21"/>
          <w:highlight w:val="none"/>
        </w:rPr>
        <w:t>规</w:t>
      </w:r>
      <w:r>
        <w:rPr>
          <w:rFonts w:ascii="宋体" w:hAnsi="宋体"/>
          <w:color w:val="auto"/>
          <w:kern w:val="0"/>
          <w:szCs w:val="21"/>
          <w:highlight w:val="none"/>
        </w:rPr>
        <w:t>定的评分标准进行</w:t>
      </w:r>
      <w:r>
        <w:rPr>
          <w:rFonts w:hint="eastAsia" w:ascii="宋体" w:hAnsi="宋体"/>
          <w:color w:val="auto"/>
          <w:kern w:val="0"/>
          <w:szCs w:val="21"/>
          <w:highlight w:val="none"/>
          <w:lang w:eastAsia="zh-CN"/>
        </w:rPr>
        <w:t>评分</w:t>
      </w:r>
      <w:r>
        <w:rPr>
          <w:rFonts w:ascii="宋体" w:hAnsi="宋体"/>
          <w:color w:val="auto"/>
          <w:kern w:val="0"/>
          <w:szCs w:val="21"/>
          <w:highlight w:val="none"/>
        </w:rPr>
        <w:t>，按得分由高到低顺序推荐</w:t>
      </w:r>
      <w:r>
        <w:rPr>
          <w:rFonts w:hint="eastAsia" w:ascii="宋体" w:hAnsi="宋体"/>
          <w:color w:val="auto"/>
          <w:kern w:val="0"/>
          <w:szCs w:val="21"/>
          <w:highlight w:val="none"/>
          <w:lang w:eastAsia="zh-CN"/>
        </w:rPr>
        <w:t>中选</w:t>
      </w:r>
      <w:r>
        <w:rPr>
          <w:rFonts w:ascii="宋体" w:hAnsi="宋体"/>
          <w:color w:val="auto"/>
          <w:kern w:val="0"/>
          <w:szCs w:val="21"/>
          <w:highlight w:val="none"/>
        </w:rPr>
        <w:t>候选人</w:t>
      </w:r>
      <w:r>
        <w:rPr>
          <w:rFonts w:ascii="宋体" w:hAnsi="宋体"/>
          <w:color w:val="auto"/>
          <w:spacing w:val="-20"/>
          <w:kern w:val="0"/>
          <w:szCs w:val="21"/>
          <w:highlight w:val="none"/>
        </w:rPr>
        <w:t>，</w:t>
      </w:r>
      <w:r>
        <w:rPr>
          <w:rFonts w:ascii="宋体" w:hAnsi="宋体"/>
          <w:color w:val="auto"/>
          <w:kern w:val="0"/>
          <w:szCs w:val="21"/>
          <w:highlight w:val="none"/>
        </w:rPr>
        <w:t>或根据</w:t>
      </w:r>
      <w:r>
        <w:rPr>
          <w:rFonts w:hint="eastAsia" w:ascii="宋体" w:hAnsi="宋体"/>
          <w:color w:val="auto"/>
          <w:kern w:val="0"/>
          <w:szCs w:val="21"/>
          <w:highlight w:val="none"/>
          <w:lang w:eastAsia="zh-CN"/>
        </w:rPr>
        <w:t>采购人</w:t>
      </w:r>
      <w:r>
        <w:rPr>
          <w:rFonts w:ascii="宋体" w:hAnsi="宋体"/>
          <w:color w:val="auto"/>
          <w:kern w:val="0"/>
          <w:szCs w:val="21"/>
          <w:highlight w:val="none"/>
        </w:rPr>
        <w:t>授权直接确定</w:t>
      </w:r>
      <w:r>
        <w:rPr>
          <w:rFonts w:hint="eastAsia" w:ascii="宋体" w:hAnsi="宋体"/>
          <w:color w:val="auto"/>
          <w:kern w:val="0"/>
          <w:szCs w:val="21"/>
          <w:highlight w:val="none"/>
          <w:lang w:eastAsia="zh-CN"/>
        </w:rPr>
        <w:t>中选</w:t>
      </w:r>
      <w:r>
        <w:rPr>
          <w:rFonts w:ascii="宋体" w:hAnsi="宋体"/>
          <w:color w:val="auto"/>
          <w:kern w:val="0"/>
          <w:szCs w:val="21"/>
          <w:highlight w:val="none"/>
        </w:rPr>
        <w:t>人</w:t>
      </w:r>
      <w:r>
        <w:rPr>
          <w:rFonts w:hint="eastAsia" w:ascii="宋体" w:hAnsi="宋体"/>
          <w:color w:val="auto"/>
          <w:kern w:val="0"/>
          <w:szCs w:val="21"/>
          <w:highlight w:val="none"/>
        </w:rPr>
        <w:t>，若出现</w:t>
      </w:r>
      <w:r>
        <w:rPr>
          <w:rFonts w:hint="eastAsia" w:ascii="宋体" w:hAnsi="宋体"/>
          <w:color w:val="auto"/>
          <w:kern w:val="0"/>
          <w:szCs w:val="21"/>
          <w:highlight w:val="none"/>
          <w:lang w:eastAsia="zh-CN"/>
        </w:rPr>
        <w:t>供应商</w:t>
      </w:r>
      <w:r>
        <w:rPr>
          <w:rFonts w:hint="eastAsia" w:ascii="宋体" w:hAnsi="宋体"/>
          <w:color w:val="auto"/>
          <w:kern w:val="0"/>
          <w:szCs w:val="21"/>
          <w:highlight w:val="none"/>
        </w:rPr>
        <w:t>综合评分相等的，以</w:t>
      </w:r>
      <w:r>
        <w:rPr>
          <w:rFonts w:hint="eastAsia" w:ascii="宋体" w:hAnsi="宋体"/>
          <w:color w:val="auto"/>
          <w:kern w:val="0"/>
          <w:szCs w:val="21"/>
          <w:highlight w:val="none"/>
          <w:lang w:eastAsia="zh-CN"/>
        </w:rPr>
        <w:t>评审办法</w:t>
      </w:r>
      <w:r>
        <w:rPr>
          <w:rFonts w:hint="eastAsia" w:ascii="宋体" w:hAnsi="宋体"/>
          <w:color w:val="auto"/>
          <w:kern w:val="0"/>
          <w:szCs w:val="21"/>
          <w:highlight w:val="none"/>
        </w:rPr>
        <w:t>前附表约定的原则确定排序</w:t>
      </w:r>
      <w:r>
        <w:rPr>
          <w:rFonts w:ascii="宋体" w:hAnsi="宋体"/>
          <w:color w:val="auto"/>
          <w:spacing w:val="-31"/>
          <w:kern w:val="0"/>
          <w:szCs w:val="21"/>
          <w:highlight w:val="none"/>
        </w:rPr>
        <w:t>。</w:t>
      </w:r>
    </w:p>
    <w:p w14:paraId="0208A5DD">
      <w:pPr>
        <w:pStyle w:val="4"/>
        <w:spacing w:before="0" w:after="0" w:line="360" w:lineRule="auto"/>
        <w:rPr>
          <w:rFonts w:hint="eastAsia" w:ascii="宋体" w:hAnsi="宋体" w:cs="宋体"/>
          <w:color w:val="auto"/>
          <w:sz w:val="28"/>
          <w:szCs w:val="28"/>
          <w:highlight w:val="none"/>
        </w:rPr>
      </w:pPr>
      <w:bookmarkStart w:id="421" w:name="_Toc4588"/>
      <w:bookmarkStart w:id="422" w:name="_Toc277082619"/>
      <w:bookmarkStart w:id="423" w:name="_Toc2477"/>
      <w:bookmarkStart w:id="424" w:name="_Toc509218777"/>
      <w:bookmarkStart w:id="425" w:name="_Toc224103385"/>
      <w:bookmarkStart w:id="426" w:name="_Toc33106453"/>
      <w:bookmarkStart w:id="427" w:name="_Toc15630"/>
      <w:bookmarkStart w:id="428" w:name="_Toc200513199"/>
      <w:bookmarkStart w:id="429" w:name="_Toc287607813"/>
      <w:bookmarkStart w:id="430" w:name="_Toc287620752"/>
      <w:bookmarkStart w:id="431" w:name="_Toc430530501"/>
      <w:r>
        <w:rPr>
          <w:rFonts w:hint="eastAsia" w:ascii="宋体" w:hAnsi="宋体" w:cs="宋体"/>
          <w:color w:val="auto"/>
          <w:sz w:val="28"/>
          <w:szCs w:val="28"/>
          <w:highlight w:val="none"/>
        </w:rPr>
        <w:t>2. 评审标准</w:t>
      </w:r>
      <w:bookmarkEnd w:id="421"/>
      <w:bookmarkEnd w:id="422"/>
      <w:bookmarkEnd w:id="423"/>
      <w:bookmarkEnd w:id="424"/>
      <w:bookmarkEnd w:id="425"/>
      <w:bookmarkEnd w:id="426"/>
      <w:bookmarkEnd w:id="427"/>
      <w:bookmarkEnd w:id="428"/>
      <w:bookmarkEnd w:id="429"/>
      <w:bookmarkEnd w:id="430"/>
      <w:bookmarkEnd w:id="431"/>
    </w:p>
    <w:p w14:paraId="605D12BA">
      <w:pPr>
        <w:pStyle w:val="5"/>
        <w:spacing w:before="0" w:after="0" w:line="360" w:lineRule="auto"/>
        <w:rPr>
          <w:rFonts w:hint="eastAsia" w:ascii="宋体" w:hAnsi="宋体" w:cs="宋体"/>
          <w:color w:val="auto"/>
          <w:sz w:val="21"/>
          <w:szCs w:val="21"/>
          <w:highlight w:val="none"/>
        </w:rPr>
      </w:pPr>
      <w:bookmarkStart w:id="432" w:name="_Toc200513200"/>
      <w:bookmarkStart w:id="433" w:name="_Toc287620753"/>
      <w:bookmarkStart w:id="434" w:name="_Toc287607814"/>
      <w:bookmarkStart w:id="435" w:name="_Toc430530502"/>
      <w:bookmarkStart w:id="436" w:name="_Toc23494"/>
      <w:bookmarkStart w:id="437" w:name="_Toc33106454"/>
      <w:bookmarkStart w:id="438" w:name="_Toc28802"/>
      <w:bookmarkStart w:id="439" w:name="_Toc277082620"/>
      <w:bookmarkStart w:id="440" w:name="_Toc509218778"/>
      <w:bookmarkStart w:id="441" w:name="_Toc224103386"/>
      <w:bookmarkStart w:id="442" w:name="_Toc6143"/>
      <w:r>
        <w:rPr>
          <w:rFonts w:hint="eastAsia" w:ascii="宋体" w:hAnsi="宋体" w:cs="宋体"/>
          <w:color w:val="auto"/>
          <w:sz w:val="21"/>
          <w:szCs w:val="21"/>
          <w:highlight w:val="none"/>
        </w:rPr>
        <w:t>2.1 初步评审标准</w:t>
      </w:r>
      <w:bookmarkEnd w:id="432"/>
      <w:bookmarkEnd w:id="433"/>
      <w:bookmarkEnd w:id="434"/>
      <w:bookmarkEnd w:id="435"/>
      <w:bookmarkEnd w:id="436"/>
      <w:bookmarkEnd w:id="437"/>
      <w:bookmarkEnd w:id="438"/>
      <w:bookmarkEnd w:id="439"/>
      <w:bookmarkEnd w:id="440"/>
      <w:bookmarkEnd w:id="441"/>
      <w:bookmarkEnd w:id="442"/>
    </w:p>
    <w:p w14:paraId="05551D4D">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1</w:t>
      </w:r>
      <w:r>
        <w:rPr>
          <w:rFonts w:ascii="宋体" w:hAnsi="宋体"/>
          <w:color w:val="auto"/>
          <w:kern w:val="0"/>
          <w:szCs w:val="21"/>
          <w:highlight w:val="none"/>
        </w:rPr>
        <w:t xml:space="preserve"> 资格评审标准：见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p>
    <w:p w14:paraId="39E9E1D6">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2</w:t>
      </w:r>
      <w:r>
        <w:rPr>
          <w:rFonts w:ascii="宋体" w:hAnsi="宋体"/>
          <w:color w:val="auto"/>
          <w:kern w:val="0"/>
          <w:szCs w:val="21"/>
          <w:highlight w:val="none"/>
        </w:rPr>
        <w:t xml:space="preserve"> 形式评审标准：见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p>
    <w:p w14:paraId="6284E942">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2.1.3 响应性评审标准：见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p>
    <w:p w14:paraId="07A28D8F">
      <w:pPr>
        <w:pStyle w:val="5"/>
        <w:spacing w:before="0" w:after="0" w:line="360" w:lineRule="auto"/>
        <w:rPr>
          <w:rFonts w:hint="eastAsia" w:ascii="宋体" w:hAnsi="宋体" w:cs="宋体"/>
          <w:color w:val="auto"/>
          <w:sz w:val="21"/>
          <w:szCs w:val="21"/>
          <w:highlight w:val="none"/>
        </w:rPr>
      </w:pPr>
      <w:bookmarkStart w:id="443" w:name="_Toc33106455"/>
      <w:bookmarkStart w:id="444" w:name="_Toc7501"/>
      <w:bookmarkStart w:id="445" w:name="_Toc200513201"/>
      <w:bookmarkStart w:id="446" w:name="_Toc287620754"/>
      <w:bookmarkStart w:id="447" w:name="_Toc277082621"/>
      <w:bookmarkStart w:id="448" w:name="_Toc14702"/>
      <w:bookmarkStart w:id="449" w:name="_Toc509218779"/>
      <w:bookmarkStart w:id="450" w:name="_Toc224103387"/>
      <w:bookmarkStart w:id="451" w:name="_Toc287607815"/>
      <w:bookmarkStart w:id="452" w:name="_Toc10757"/>
      <w:bookmarkStart w:id="453" w:name="_Toc430530503"/>
      <w:r>
        <w:rPr>
          <w:rFonts w:hint="eastAsia" w:ascii="宋体" w:hAnsi="宋体" w:cs="宋体"/>
          <w:color w:val="auto"/>
          <w:sz w:val="21"/>
          <w:szCs w:val="21"/>
          <w:highlight w:val="none"/>
        </w:rPr>
        <w:t>2.2 分值构成与评分标准</w:t>
      </w:r>
      <w:bookmarkEnd w:id="443"/>
      <w:bookmarkEnd w:id="444"/>
      <w:bookmarkEnd w:id="445"/>
      <w:bookmarkEnd w:id="446"/>
      <w:bookmarkEnd w:id="447"/>
      <w:bookmarkEnd w:id="448"/>
      <w:bookmarkEnd w:id="449"/>
      <w:bookmarkEnd w:id="450"/>
      <w:bookmarkEnd w:id="451"/>
      <w:bookmarkEnd w:id="452"/>
      <w:bookmarkEnd w:id="453"/>
    </w:p>
    <w:p w14:paraId="4678B751">
      <w:pPr>
        <w:autoSpaceDE w:val="0"/>
        <w:autoSpaceDN w:val="0"/>
        <w:adjustRightInd w:val="0"/>
        <w:snapToGrid w:val="0"/>
        <w:spacing w:line="360" w:lineRule="auto"/>
        <w:ind w:firstLine="525" w:firstLineChars="250"/>
        <w:rPr>
          <w:rFonts w:ascii="宋体" w:hAnsi="宋体"/>
          <w:color w:val="auto"/>
          <w:kern w:val="0"/>
          <w:szCs w:val="21"/>
          <w:highlight w:val="none"/>
        </w:rPr>
      </w:pPr>
      <w:r>
        <w:rPr>
          <w:rFonts w:ascii="宋体" w:hAnsi="宋体"/>
          <w:color w:val="auto"/>
          <w:kern w:val="0"/>
          <w:szCs w:val="21"/>
          <w:highlight w:val="none"/>
        </w:rPr>
        <w:t>2.2.1 分值构成</w:t>
      </w:r>
    </w:p>
    <w:p w14:paraId="2C8EC803">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1</w:t>
      </w:r>
      <w:r>
        <w:rPr>
          <w:rFonts w:ascii="宋体" w:hAnsi="宋体"/>
          <w:color w:val="auto"/>
          <w:kern w:val="0"/>
          <w:szCs w:val="21"/>
          <w:highlight w:val="none"/>
        </w:rPr>
        <w:t>）技术</w:t>
      </w:r>
      <w:r>
        <w:rPr>
          <w:rFonts w:hint="eastAsia" w:ascii="宋体" w:hAnsi="宋体"/>
          <w:color w:val="auto"/>
          <w:kern w:val="0"/>
          <w:szCs w:val="21"/>
          <w:highlight w:val="none"/>
          <w:lang w:val="en-US" w:eastAsia="zh-CN"/>
        </w:rPr>
        <w:t>评审分值</w:t>
      </w:r>
      <w:r>
        <w:rPr>
          <w:rFonts w:ascii="宋体" w:hAnsi="宋体"/>
          <w:color w:val="auto"/>
          <w:kern w:val="0"/>
          <w:szCs w:val="21"/>
          <w:highlight w:val="none"/>
        </w:rPr>
        <w:t>：见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r>
        <w:rPr>
          <w:rFonts w:hint="eastAsia" w:ascii="宋体" w:hAnsi="宋体"/>
          <w:color w:val="auto"/>
          <w:kern w:val="0"/>
          <w:szCs w:val="21"/>
          <w:highlight w:val="none"/>
        </w:rPr>
        <w:t>；</w:t>
      </w:r>
    </w:p>
    <w:p w14:paraId="45985B59">
      <w:pPr>
        <w:pStyle w:val="2"/>
        <w:ind w:firstLine="420" w:firstLineChars="200"/>
        <w:rPr>
          <w:rFonts w:ascii="宋体" w:hAnsi="宋体"/>
          <w:color w:val="auto"/>
          <w:kern w:val="0"/>
          <w:szCs w:val="21"/>
          <w:highlight w:val="none"/>
        </w:rPr>
      </w:pPr>
      <w:r>
        <w:rPr>
          <w:rFonts w:hint="eastAsia" w:ascii="宋体" w:hAnsi="宋体"/>
          <w:color w:val="auto"/>
          <w:kern w:val="0"/>
          <w:szCs w:val="21"/>
          <w:highlight w:val="none"/>
        </w:rPr>
        <w:t>（2）商务</w:t>
      </w:r>
      <w:r>
        <w:rPr>
          <w:rFonts w:hint="eastAsia" w:ascii="宋体" w:hAnsi="宋体"/>
          <w:color w:val="auto"/>
          <w:kern w:val="0"/>
          <w:szCs w:val="21"/>
          <w:highlight w:val="none"/>
          <w:lang w:val="en-US" w:eastAsia="zh-CN"/>
        </w:rPr>
        <w:t>评审分值</w:t>
      </w:r>
      <w:r>
        <w:rPr>
          <w:rFonts w:hint="eastAsia" w:ascii="宋体" w:hAnsi="宋体"/>
          <w:color w:val="auto"/>
          <w:kern w:val="0"/>
          <w:szCs w:val="21"/>
          <w:highlight w:val="none"/>
        </w:rPr>
        <w:t>：</w:t>
      </w:r>
      <w:r>
        <w:rPr>
          <w:rFonts w:ascii="宋体" w:hAnsi="宋体"/>
          <w:color w:val="auto"/>
          <w:kern w:val="0"/>
          <w:szCs w:val="21"/>
          <w:highlight w:val="none"/>
        </w:rPr>
        <w:t>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r>
        <w:rPr>
          <w:rFonts w:hint="eastAsia" w:ascii="宋体" w:hAnsi="宋体"/>
          <w:color w:val="auto"/>
          <w:kern w:val="0"/>
          <w:szCs w:val="21"/>
          <w:highlight w:val="none"/>
        </w:rPr>
        <w:t>；</w:t>
      </w:r>
    </w:p>
    <w:p w14:paraId="4C4690D0">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3</w:t>
      </w:r>
      <w:r>
        <w:rPr>
          <w:rFonts w:ascii="宋体" w:hAnsi="宋体"/>
          <w:color w:val="auto"/>
          <w:kern w:val="0"/>
          <w:szCs w:val="21"/>
          <w:highlight w:val="none"/>
        </w:rPr>
        <w:t>）</w:t>
      </w:r>
      <w:r>
        <w:rPr>
          <w:rFonts w:hint="eastAsia" w:ascii="宋体" w:hAnsi="宋体"/>
          <w:color w:val="auto"/>
          <w:kern w:val="0"/>
          <w:szCs w:val="21"/>
          <w:highlight w:val="none"/>
          <w:lang w:val="en-US" w:eastAsia="zh-CN"/>
        </w:rPr>
        <w:t>报价评审分值</w:t>
      </w:r>
      <w:r>
        <w:rPr>
          <w:rFonts w:ascii="宋体" w:hAnsi="宋体"/>
          <w:color w:val="auto"/>
          <w:kern w:val="0"/>
          <w:szCs w:val="21"/>
          <w:highlight w:val="none"/>
        </w:rPr>
        <w:t>：见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r>
        <w:rPr>
          <w:rFonts w:hint="eastAsia" w:ascii="宋体" w:hAnsi="宋体"/>
          <w:color w:val="auto"/>
          <w:kern w:val="0"/>
          <w:szCs w:val="21"/>
          <w:highlight w:val="none"/>
        </w:rPr>
        <w:t>。</w:t>
      </w:r>
    </w:p>
    <w:p w14:paraId="65182680">
      <w:pPr>
        <w:autoSpaceDE w:val="0"/>
        <w:autoSpaceDN w:val="0"/>
        <w:adjustRightInd w:val="0"/>
        <w:snapToGrid w:val="0"/>
        <w:spacing w:line="360" w:lineRule="auto"/>
        <w:ind w:firstLine="525" w:firstLineChars="250"/>
        <w:rPr>
          <w:rFonts w:hint="eastAsia"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2 评审标准</w:t>
      </w:r>
    </w:p>
    <w:p w14:paraId="6509EC33">
      <w:pPr>
        <w:autoSpaceDE w:val="0"/>
        <w:autoSpaceDN w:val="0"/>
        <w:adjustRightInd w:val="0"/>
        <w:snapToGrid w:val="0"/>
        <w:spacing w:line="360" w:lineRule="auto"/>
        <w:ind w:firstLine="525" w:firstLineChars="250"/>
        <w:rPr>
          <w:rFonts w:hint="eastAsia" w:ascii="宋体" w:hAnsi="宋体" w:eastAsia="宋体"/>
          <w:color w:val="auto"/>
          <w:kern w:val="0"/>
          <w:szCs w:val="21"/>
          <w:highlight w:val="none"/>
          <w:lang w:eastAsia="zh-CN"/>
        </w:rPr>
      </w:pPr>
      <w:r>
        <w:rPr>
          <w:rFonts w:hint="eastAsia" w:ascii="宋体" w:hAnsi="宋体"/>
          <w:color w:val="auto"/>
          <w:kern w:val="0"/>
          <w:szCs w:val="21"/>
          <w:highlight w:val="none"/>
        </w:rPr>
        <w:t>（1）</w:t>
      </w:r>
      <w:r>
        <w:rPr>
          <w:rFonts w:ascii="宋体" w:hAnsi="宋体"/>
          <w:color w:val="auto"/>
          <w:kern w:val="0"/>
          <w:szCs w:val="21"/>
          <w:highlight w:val="none"/>
        </w:rPr>
        <w:t>技术</w:t>
      </w:r>
      <w:r>
        <w:rPr>
          <w:rFonts w:hint="eastAsia" w:ascii="宋体" w:hAnsi="宋体"/>
          <w:color w:val="auto"/>
          <w:kern w:val="0"/>
          <w:szCs w:val="21"/>
          <w:highlight w:val="none"/>
          <w:lang w:val="en-US" w:eastAsia="zh-CN"/>
        </w:rPr>
        <w:t>评审</w:t>
      </w:r>
      <w:r>
        <w:rPr>
          <w:rFonts w:ascii="宋体" w:hAnsi="宋体"/>
          <w:color w:val="auto"/>
          <w:kern w:val="0"/>
          <w:szCs w:val="21"/>
          <w:highlight w:val="none"/>
        </w:rPr>
        <w:t>标准：见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r>
        <w:rPr>
          <w:rFonts w:hint="eastAsia" w:ascii="宋体" w:hAnsi="宋体"/>
          <w:color w:val="auto"/>
          <w:kern w:val="0"/>
          <w:szCs w:val="21"/>
          <w:highlight w:val="none"/>
          <w:lang w:eastAsia="zh-CN"/>
        </w:rPr>
        <w:t>；</w:t>
      </w:r>
    </w:p>
    <w:p w14:paraId="70D438C1">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hint="eastAsia" w:ascii="宋体" w:hAnsi="宋体"/>
          <w:color w:val="auto"/>
          <w:kern w:val="0"/>
          <w:szCs w:val="21"/>
          <w:highlight w:val="none"/>
        </w:rPr>
        <w:t>（2）</w:t>
      </w:r>
      <w:r>
        <w:rPr>
          <w:rFonts w:hint="eastAsia" w:ascii="宋体" w:hAnsi="宋体"/>
          <w:color w:val="auto"/>
          <w:kern w:val="0"/>
          <w:szCs w:val="21"/>
          <w:highlight w:val="none"/>
          <w:lang w:val="en-US" w:eastAsia="zh-CN"/>
        </w:rPr>
        <w:t>商务评审</w:t>
      </w:r>
      <w:r>
        <w:rPr>
          <w:rFonts w:ascii="宋体" w:hAnsi="宋体"/>
          <w:color w:val="auto"/>
          <w:kern w:val="0"/>
          <w:szCs w:val="21"/>
          <w:highlight w:val="none"/>
        </w:rPr>
        <w:t>标准：见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p>
    <w:p w14:paraId="3DAD0EDF">
      <w:pPr>
        <w:autoSpaceDE w:val="0"/>
        <w:autoSpaceDN w:val="0"/>
        <w:adjustRightInd w:val="0"/>
        <w:snapToGrid w:val="0"/>
        <w:spacing w:line="360" w:lineRule="auto"/>
        <w:ind w:firstLine="535" w:firstLineChars="255"/>
        <w:rPr>
          <w:rFonts w:hint="eastAsia" w:ascii="宋体" w:hAnsi="宋体" w:eastAsia="宋体"/>
          <w:color w:val="auto"/>
          <w:kern w:val="0"/>
          <w:szCs w:val="21"/>
          <w:highlight w:val="none"/>
          <w:lang w:eastAsia="zh-CN"/>
        </w:rPr>
      </w:pPr>
      <w:r>
        <w:rPr>
          <w:rFonts w:hint="eastAsia" w:ascii="宋体" w:hAnsi="宋体"/>
          <w:color w:val="auto"/>
          <w:kern w:val="0"/>
          <w:szCs w:val="21"/>
          <w:highlight w:val="none"/>
        </w:rPr>
        <w:t>（3）</w:t>
      </w:r>
      <w:r>
        <w:rPr>
          <w:rFonts w:hint="eastAsia" w:ascii="宋体" w:hAnsi="宋体"/>
          <w:color w:val="auto"/>
          <w:kern w:val="0"/>
          <w:szCs w:val="21"/>
          <w:highlight w:val="none"/>
          <w:lang w:eastAsia="zh-CN"/>
        </w:rPr>
        <w:t>比选函</w:t>
      </w:r>
      <w:r>
        <w:rPr>
          <w:rFonts w:hint="eastAsia" w:ascii="宋体" w:hAnsi="宋体"/>
          <w:color w:val="auto"/>
          <w:kern w:val="0"/>
          <w:szCs w:val="21"/>
          <w:highlight w:val="none"/>
          <w:lang w:val="en-US" w:eastAsia="zh-CN"/>
        </w:rPr>
        <w:t>部分</w:t>
      </w:r>
      <w:r>
        <w:rPr>
          <w:rFonts w:hint="eastAsia" w:ascii="宋体" w:hAnsi="宋体"/>
          <w:color w:val="auto"/>
          <w:kern w:val="0"/>
          <w:szCs w:val="21"/>
          <w:highlight w:val="none"/>
        </w:rPr>
        <w:t>评审标准：见</w:t>
      </w:r>
      <w:r>
        <w:rPr>
          <w:rFonts w:hint="eastAsia" w:ascii="宋体" w:hAnsi="宋体"/>
          <w:color w:val="auto"/>
          <w:kern w:val="0"/>
          <w:szCs w:val="21"/>
          <w:highlight w:val="none"/>
          <w:lang w:eastAsia="zh-CN"/>
        </w:rPr>
        <w:t>评审办法</w:t>
      </w:r>
      <w:r>
        <w:rPr>
          <w:rFonts w:hint="eastAsia" w:ascii="宋体" w:hAnsi="宋体"/>
          <w:color w:val="auto"/>
          <w:kern w:val="0"/>
          <w:szCs w:val="21"/>
          <w:highlight w:val="none"/>
        </w:rPr>
        <w:t>前附表</w:t>
      </w:r>
      <w:r>
        <w:rPr>
          <w:rFonts w:hint="eastAsia" w:ascii="宋体" w:hAnsi="宋体"/>
          <w:color w:val="auto"/>
          <w:kern w:val="0"/>
          <w:szCs w:val="21"/>
          <w:highlight w:val="none"/>
          <w:lang w:eastAsia="zh-CN"/>
        </w:rPr>
        <w:t>。</w:t>
      </w:r>
    </w:p>
    <w:p w14:paraId="1728B643">
      <w:pPr>
        <w:autoSpaceDE w:val="0"/>
        <w:autoSpaceDN w:val="0"/>
        <w:adjustRightInd w:val="0"/>
        <w:snapToGrid w:val="0"/>
        <w:spacing w:line="360" w:lineRule="auto"/>
        <w:ind w:firstLine="535" w:firstLineChars="255"/>
        <w:rPr>
          <w:rFonts w:hint="eastAsia"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3</w:t>
      </w:r>
      <w:r>
        <w:rPr>
          <w:rFonts w:ascii="宋体" w:hAnsi="宋体"/>
          <w:color w:val="auto"/>
          <w:kern w:val="0"/>
          <w:szCs w:val="21"/>
          <w:highlight w:val="none"/>
        </w:rPr>
        <w:t xml:space="preserve"> </w:t>
      </w:r>
      <w:r>
        <w:rPr>
          <w:rFonts w:hint="eastAsia" w:ascii="宋体" w:hAnsi="宋体"/>
          <w:color w:val="auto"/>
          <w:kern w:val="0"/>
          <w:szCs w:val="21"/>
          <w:highlight w:val="none"/>
          <w:lang w:eastAsia="zh-CN"/>
        </w:rPr>
        <w:t>评审基准价</w:t>
      </w:r>
      <w:r>
        <w:rPr>
          <w:rFonts w:ascii="宋体" w:hAnsi="宋体"/>
          <w:color w:val="auto"/>
          <w:kern w:val="0"/>
          <w:szCs w:val="21"/>
          <w:highlight w:val="none"/>
        </w:rPr>
        <w:t>计算</w:t>
      </w:r>
    </w:p>
    <w:p w14:paraId="395EEA47">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hint="eastAsia" w:ascii="宋体" w:hAnsi="宋体"/>
          <w:color w:val="auto"/>
          <w:kern w:val="0"/>
          <w:szCs w:val="21"/>
          <w:highlight w:val="none"/>
          <w:lang w:eastAsia="zh-CN"/>
        </w:rPr>
        <w:t>评审基准价</w:t>
      </w:r>
      <w:r>
        <w:rPr>
          <w:rFonts w:hint="eastAsia" w:ascii="宋体" w:hAnsi="宋体"/>
          <w:color w:val="auto"/>
          <w:kern w:val="0"/>
          <w:szCs w:val="21"/>
          <w:highlight w:val="none"/>
        </w:rPr>
        <w:t>的计算方法：</w:t>
      </w:r>
      <w:r>
        <w:rPr>
          <w:rFonts w:ascii="宋体" w:hAnsi="宋体"/>
          <w:color w:val="auto"/>
          <w:kern w:val="0"/>
          <w:szCs w:val="21"/>
          <w:highlight w:val="none"/>
        </w:rPr>
        <w:t>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p>
    <w:p w14:paraId="20AC86B8">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4</w:t>
      </w:r>
      <w:r>
        <w:rPr>
          <w:rFonts w:ascii="宋体" w:hAnsi="宋体"/>
          <w:color w:val="auto"/>
          <w:kern w:val="0"/>
          <w:szCs w:val="21"/>
          <w:highlight w:val="none"/>
        </w:rPr>
        <w:t xml:space="preserve"> </w:t>
      </w:r>
      <w:r>
        <w:rPr>
          <w:rFonts w:hint="eastAsia" w:ascii="宋体" w:hAnsi="宋体"/>
          <w:color w:val="auto"/>
          <w:kern w:val="0"/>
          <w:szCs w:val="21"/>
          <w:highlight w:val="none"/>
          <w:lang w:eastAsia="zh-CN"/>
        </w:rPr>
        <w:t>比选报价</w:t>
      </w:r>
      <w:r>
        <w:rPr>
          <w:rFonts w:ascii="宋体" w:hAnsi="宋体"/>
          <w:color w:val="auto"/>
          <w:kern w:val="0"/>
          <w:szCs w:val="21"/>
          <w:highlight w:val="none"/>
        </w:rPr>
        <w:t>的偏差率计算</w:t>
      </w:r>
    </w:p>
    <w:p w14:paraId="5D7BD797">
      <w:pPr>
        <w:autoSpaceDE w:val="0"/>
        <w:autoSpaceDN w:val="0"/>
        <w:adjustRightInd w:val="0"/>
        <w:snapToGrid w:val="0"/>
        <w:spacing w:line="360" w:lineRule="auto"/>
        <w:ind w:firstLine="535" w:firstLineChars="255"/>
        <w:rPr>
          <w:rFonts w:hint="eastAsia" w:ascii="宋体" w:hAnsi="宋体"/>
          <w:color w:val="auto"/>
          <w:kern w:val="0"/>
          <w:szCs w:val="21"/>
          <w:highlight w:val="none"/>
        </w:rPr>
      </w:pPr>
      <w:r>
        <w:rPr>
          <w:rFonts w:hint="eastAsia" w:ascii="宋体" w:hAnsi="宋体"/>
          <w:color w:val="auto"/>
          <w:kern w:val="0"/>
          <w:szCs w:val="21"/>
          <w:highlight w:val="none"/>
          <w:lang w:eastAsia="zh-CN"/>
        </w:rPr>
        <w:t>比选报价</w:t>
      </w:r>
      <w:r>
        <w:rPr>
          <w:rFonts w:ascii="宋体" w:hAnsi="宋体"/>
          <w:color w:val="auto"/>
          <w:kern w:val="0"/>
          <w:szCs w:val="21"/>
          <w:highlight w:val="none"/>
        </w:rPr>
        <w:t>的偏差率计算公式：见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r>
        <w:rPr>
          <w:rFonts w:hint="eastAsia" w:ascii="宋体" w:hAnsi="宋体"/>
          <w:color w:val="auto"/>
          <w:kern w:val="0"/>
          <w:szCs w:val="21"/>
          <w:highlight w:val="none"/>
        </w:rPr>
        <w:t>。</w:t>
      </w:r>
    </w:p>
    <w:p w14:paraId="2704C91B">
      <w:pPr>
        <w:pStyle w:val="4"/>
        <w:spacing w:before="0" w:after="0" w:line="360" w:lineRule="auto"/>
        <w:rPr>
          <w:rFonts w:hint="eastAsia" w:ascii="宋体" w:hAnsi="宋体" w:cs="宋体"/>
          <w:color w:val="auto"/>
          <w:sz w:val="28"/>
          <w:szCs w:val="28"/>
          <w:highlight w:val="none"/>
        </w:rPr>
      </w:pPr>
      <w:bookmarkStart w:id="454" w:name="_Toc31676"/>
      <w:bookmarkStart w:id="455" w:name="_Toc287620755"/>
      <w:bookmarkStart w:id="456" w:name="_Toc224103388"/>
      <w:bookmarkStart w:id="457" w:name="_Toc200513202"/>
      <w:bookmarkStart w:id="458" w:name="_Toc509218780"/>
      <w:bookmarkStart w:id="459" w:name="_Toc430530504"/>
      <w:bookmarkStart w:id="460" w:name="_Toc13722"/>
      <w:bookmarkStart w:id="461" w:name="_Toc33106456"/>
      <w:bookmarkStart w:id="462" w:name="_Toc19905"/>
      <w:bookmarkStart w:id="463" w:name="_Toc287607816"/>
      <w:bookmarkStart w:id="464" w:name="_Toc277082622"/>
      <w:r>
        <w:rPr>
          <w:rFonts w:hint="eastAsia" w:ascii="宋体" w:hAnsi="宋体" w:cs="宋体"/>
          <w:color w:val="auto"/>
          <w:sz w:val="28"/>
          <w:szCs w:val="28"/>
          <w:highlight w:val="none"/>
        </w:rPr>
        <w:t xml:space="preserve">3. </w:t>
      </w:r>
      <w:r>
        <w:rPr>
          <w:rFonts w:hint="eastAsia" w:ascii="宋体" w:hAnsi="宋体" w:cs="宋体"/>
          <w:color w:val="auto"/>
          <w:sz w:val="28"/>
          <w:szCs w:val="28"/>
          <w:highlight w:val="none"/>
          <w:lang w:eastAsia="zh-CN"/>
        </w:rPr>
        <w:t>评审</w:t>
      </w:r>
      <w:r>
        <w:rPr>
          <w:rFonts w:hint="eastAsia" w:ascii="宋体" w:hAnsi="宋体" w:cs="宋体"/>
          <w:color w:val="auto"/>
          <w:sz w:val="28"/>
          <w:szCs w:val="28"/>
          <w:highlight w:val="none"/>
        </w:rPr>
        <w:t>程序</w:t>
      </w:r>
      <w:bookmarkEnd w:id="454"/>
      <w:bookmarkEnd w:id="455"/>
      <w:bookmarkEnd w:id="456"/>
      <w:bookmarkEnd w:id="457"/>
      <w:bookmarkEnd w:id="458"/>
      <w:bookmarkEnd w:id="459"/>
      <w:bookmarkEnd w:id="460"/>
      <w:bookmarkEnd w:id="461"/>
      <w:bookmarkEnd w:id="462"/>
      <w:bookmarkEnd w:id="463"/>
      <w:bookmarkEnd w:id="464"/>
    </w:p>
    <w:p w14:paraId="651516E7">
      <w:pPr>
        <w:pStyle w:val="5"/>
        <w:spacing w:before="0" w:after="0" w:line="360" w:lineRule="auto"/>
        <w:rPr>
          <w:rFonts w:hint="eastAsia" w:ascii="宋体" w:hAnsi="宋体" w:cs="宋体"/>
          <w:color w:val="auto"/>
          <w:sz w:val="21"/>
          <w:szCs w:val="21"/>
          <w:highlight w:val="none"/>
        </w:rPr>
      </w:pPr>
      <w:bookmarkStart w:id="465" w:name="_Toc22508"/>
      <w:bookmarkStart w:id="466" w:name="_Toc430530505"/>
      <w:bookmarkStart w:id="467" w:name="_Toc200513203"/>
      <w:bookmarkStart w:id="468" w:name="_Toc287620756"/>
      <w:bookmarkStart w:id="469" w:name="_Toc224103389"/>
      <w:bookmarkStart w:id="470" w:name="_Toc33106457"/>
      <w:bookmarkStart w:id="471" w:name="_Toc509218781"/>
      <w:bookmarkStart w:id="472" w:name="_Toc287607817"/>
      <w:bookmarkStart w:id="473" w:name="_Toc19986"/>
      <w:bookmarkStart w:id="474" w:name="_Toc27999"/>
      <w:bookmarkStart w:id="475" w:name="_Toc277082623"/>
      <w:r>
        <w:rPr>
          <w:rFonts w:hint="eastAsia" w:ascii="宋体" w:hAnsi="宋体" w:cs="宋体"/>
          <w:color w:val="auto"/>
          <w:sz w:val="21"/>
          <w:szCs w:val="21"/>
          <w:highlight w:val="none"/>
        </w:rPr>
        <w:t>3.1 初步评审</w:t>
      </w:r>
      <w:bookmarkEnd w:id="465"/>
      <w:bookmarkEnd w:id="466"/>
      <w:bookmarkEnd w:id="467"/>
      <w:bookmarkEnd w:id="468"/>
      <w:bookmarkEnd w:id="469"/>
      <w:bookmarkEnd w:id="470"/>
      <w:bookmarkEnd w:id="471"/>
      <w:bookmarkEnd w:id="472"/>
      <w:bookmarkEnd w:id="473"/>
      <w:bookmarkEnd w:id="474"/>
      <w:bookmarkEnd w:id="475"/>
    </w:p>
    <w:p w14:paraId="7314EA3F">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 xml:space="preserve">3.1.1 </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依据本章第 2.1 款规定的标准对</w:t>
      </w:r>
      <w:r>
        <w:rPr>
          <w:rFonts w:hint="eastAsia" w:ascii="宋体" w:hAnsi="宋体"/>
          <w:color w:val="auto"/>
          <w:kern w:val="0"/>
          <w:szCs w:val="21"/>
          <w:highlight w:val="none"/>
          <w:lang w:eastAsia="zh-CN"/>
        </w:rPr>
        <w:t>响应文件</w:t>
      </w:r>
      <w:r>
        <w:rPr>
          <w:rFonts w:ascii="宋体" w:hAnsi="宋体"/>
          <w:color w:val="auto"/>
          <w:kern w:val="0"/>
          <w:szCs w:val="21"/>
          <w:highlight w:val="none"/>
        </w:rPr>
        <w:t>进行初步评审。有一项不符合评审标准的，作否决处理。</w:t>
      </w:r>
    </w:p>
    <w:p w14:paraId="5185648A">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 xml:space="preserve">3.1.2 </w:t>
      </w:r>
      <w:r>
        <w:rPr>
          <w:rFonts w:hint="eastAsia" w:ascii="宋体" w:hAnsi="宋体"/>
          <w:color w:val="auto"/>
          <w:kern w:val="0"/>
          <w:szCs w:val="21"/>
          <w:highlight w:val="none"/>
          <w:lang w:eastAsia="zh-CN"/>
        </w:rPr>
        <w:t>响应文件</w:t>
      </w:r>
      <w:r>
        <w:rPr>
          <w:rFonts w:ascii="宋体" w:hAnsi="宋体"/>
          <w:color w:val="auto"/>
          <w:kern w:val="0"/>
          <w:szCs w:val="21"/>
          <w:highlight w:val="none"/>
        </w:rPr>
        <w:t>中的大写金额与小写金额不一致的，</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按</w:t>
      </w:r>
      <w:r>
        <w:rPr>
          <w:rFonts w:hint="eastAsia" w:ascii="宋体" w:hAnsi="宋体"/>
          <w:color w:val="auto"/>
          <w:kern w:val="0"/>
          <w:szCs w:val="21"/>
          <w:highlight w:val="none"/>
          <w:lang w:val="en-US" w:eastAsia="zh-CN"/>
        </w:rPr>
        <w:t>照以大写金额为准的</w:t>
      </w:r>
      <w:r>
        <w:rPr>
          <w:rFonts w:ascii="宋体" w:hAnsi="宋体"/>
          <w:color w:val="auto"/>
          <w:kern w:val="0"/>
          <w:szCs w:val="21"/>
          <w:highlight w:val="none"/>
        </w:rPr>
        <w:t>原则对</w:t>
      </w:r>
      <w:r>
        <w:rPr>
          <w:rFonts w:hint="eastAsia" w:ascii="宋体" w:hAnsi="宋体"/>
          <w:color w:val="auto"/>
          <w:kern w:val="0"/>
          <w:szCs w:val="21"/>
          <w:highlight w:val="none"/>
          <w:lang w:eastAsia="zh-CN"/>
        </w:rPr>
        <w:t>比选报价</w:t>
      </w:r>
      <w:r>
        <w:rPr>
          <w:rFonts w:ascii="宋体" w:hAnsi="宋体"/>
          <w:color w:val="auto"/>
          <w:kern w:val="0"/>
          <w:szCs w:val="21"/>
          <w:highlight w:val="none"/>
        </w:rPr>
        <w:t>进行修正，修正的价格经</w:t>
      </w:r>
      <w:r>
        <w:rPr>
          <w:rFonts w:hint="eastAsia" w:ascii="宋体" w:hAnsi="宋体"/>
          <w:color w:val="auto"/>
          <w:kern w:val="0"/>
          <w:szCs w:val="21"/>
          <w:highlight w:val="none"/>
          <w:lang w:eastAsia="zh-CN"/>
        </w:rPr>
        <w:t>供应商</w:t>
      </w:r>
      <w:r>
        <w:rPr>
          <w:rFonts w:ascii="宋体" w:hAnsi="宋体"/>
          <w:color w:val="auto"/>
          <w:kern w:val="0"/>
          <w:szCs w:val="21"/>
          <w:highlight w:val="none"/>
        </w:rPr>
        <w:t>书面确认后具有约束力。</w:t>
      </w:r>
    </w:p>
    <w:p w14:paraId="6D8037C3">
      <w:pPr>
        <w:pStyle w:val="5"/>
        <w:spacing w:before="0" w:after="0" w:line="360" w:lineRule="auto"/>
        <w:rPr>
          <w:rFonts w:hint="eastAsia" w:ascii="宋体" w:hAnsi="宋体" w:cs="宋体"/>
          <w:color w:val="auto"/>
          <w:sz w:val="21"/>
          <w:szCs w:val="21"/>
          <w:highlight w:val="none"/>
        </w:rPr>
      </w:pPr>
      <w:bookmarkStart w:id="476" w:name="_Toc287620757"/>
      <w:bookmarkStart w:id="477" w:name="_Toc430530506"/>
      <w:bookmarkStart w:id="478" w:name="_Toc509218782"/>
      <w:bookmarkStart w:id="479" w:name="_Toc33106458"/>
      <w:bookmarkStart w:id="480" w:name="_Toc1473"/>
      <w:bookmarkStart w:id="481" w:name="_Toc200513204"/>
      <w:bookmarkStart w:id="482" w:name="_Toc277082624"/>
      <w:bookmarkStart w:id="483" w:name="_Toc224103390"/>
      <w:bookmarkStart w:id="484" w:name="_Toc6182"/>
      <w:bookmarkStart w:id="485" w:name="_Toc287607818"/>
      <w:bookmarkStart w:id="486" w:name="_Toc11027"/>
      <w:r>
        <w:rPr>
          <w:rFonts w:hint="eastAsia" w:ascii="宋体" w:hAnsi="宋体" w:cs="宋体"/>
          <w:color w:val="auto"/>
          <w:sz w:val="21"/>
          <w:szCs w:val="21"/>
          <w:highlight w:val="none"/>
        </w:rPr>
        <w:t>3.2 详细评审</w:t>
      </w:r>
      <w:bookmarkEnd w:id="476"/>
      <w:bookmarkEnd w:id="477"/>
      <w:bookmarkEnd w:id="478"/>
      <w:bookmarkEnd w:id="479"/>
      <w:bookmarkEnd w:id="480"/>
      <w:bookmarkEnd w:id="481"/>
      <w:bookmarkEnd w:id="482"/>
      <w:bookmarkEnd w:id="483"/>
      <w:bookmarkEnd w:id="484"/>
      <w:bookmarkEnd w:id="485"/>
      <w:bookmarkEnd w:id="486"/>
    </w:p>
    <w:p w14:paraId="6A482EE5">
      <w:pPr>
        <w:autoSpaceDE w:val="0"/>
        <w:autoSpaceDN w:val="0"/>
        <w:adjustRightInd w:val="0"/>
        <w:snapToGrid w:val="0"/>
        <w:spacing w:line="360" w:lineRule="auto"/>
        <w:ind w:firstLine="420" w:firstLineChars="200"/>
        <w:rPr>
          <w:rFonts w:hint="eastAsia" w:ascii="宋体" w:hAnsi="宋体"/>
          <w:color w:val="auto"/>
          <w:kern w:val="0"/>
          <w:szCs w:val="21"/>
          <w:highlight w:val="none"/>
          <w:lang w:eastAsia="zh-CN"/>
        </w:rPr>
      </w:pPr>
      <w:r>
        <w:rPr>
          <w:rFonts w:ascii="宋体" w:hAnsi="宋体"/>
          <w:color w:val="auto"/>
          <w:kern w:val="0"/>
          <w:szCs w:val="21"/>
          <w:highlight w:val="none"/>
        </w:rPr>
        <w:t xml:space="preserve">3.2.1 </w:t>
      </w:r>
      <w:r>
        <w:rPr>
          <w:rFonts w:hint="eastAsia" w:ascii="宋体" w:hAnsi="宋体"/>
          <w:color w:val="auto"/>
          <w:kern w:val="0"/>
          <w:szCs w:val="21"/>
          <w:highlight w:val="none"/>
          <w:lang w:val="en-US" w:eastAsia="zh-CN"/>
        </w:rPr>
        <w:t xml:space="preserve"> </w:t>
      </w:r>
      <w:r>
        <w:rPr>
          <w:rFonts w:hint="eastAsia" w:ascii="宋体" w:hAnsi="宋体" w:cs="宋体"/>
          <w:color w:val="auto"/>
          <w:szCs w:val="22"/>
          <w:highlight w:val="none"/>
          <w:lang w:val="en-US" w:eastAsia="zh-CN"/>
        </w:rPr>
        <w:t>详细评审程序：</w:t>
      </w:r>
      <w:r>
        <w:rPr>
          <w:rFonts w:hint="eastAsia" w:ascii="宋体" w:hAnsi="宋体" w:eastAsia="宋体" w:cs="宋体"/>
          <w:color w:val="auto"/>
          <w:kern w:val="2"/>
          <w:szCs w:val="22"/>
          <w:highlight w:val="none"/>
        </w:rPr>
        <w:t>见</w:t>
      </w:r>
      <w:r>
        <w:rPr>
          <w:rFonts w:hint="eastAsia" w:ascii="宋体" w:hAnsi="宋体" w:eastAsia="宋体" w:cs="宋体"/>
          <w:color w:val="auto"/>
          <w:kern w:val="2"/>
          <w:szCs w:val="22"/>
          <w:highlight w:val="none"/>
          <w:lang w:eastAsia="zh-CN"/>
        </w:rPr>
        <w:t>评审办法</w:t>
      </w:r>
      <w:r>
        <w:rPr>
          <w:rFonts w:hint="eastAsia" w:ascii="宋体" w:hAnsi="宋体" w:eastAsia="宋体" w:cs="宋体"/>
          <w:color w:val="auto"/>
          <w:kern w:val="2"/>
          <w:szCs w:val="22"/>
          <w:highlight w:val="none"/>
        </w:rPr>
        <w:t>前附表</w:t>
      </w:r>
      <w:r>
        <w:rPr>
          <w:rFonts w:hint="eastAsia" w:ascii="宋体" w:hAnsi="宋体"/>
          <w:color w:val="auto"/>
          <w:kern w:val="0"/>
          <w:szCs w:val="21"/>
          <w:highlight w:val="none"/>
          <w:lang w:eastAsia="zh-CN"/>
        </w:rPr>
        <w:t>。</w:t>
      </w:r>
    </w:p>
    <w:p w14:paraId="0648000F">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 xml:space="preserve">3.2.2  </w:t>
      </w:r>
      <w:r>
        <w:rPr>
          <w:rFonts w:hint="eastAsia" w:ascii="宋体" w:hAnsi="宋体"/>
          <w:color w:val="auto"/>
          <w:kern w:val="0"/>
          <w:szCs w:val="21"/>
          <w:highlight w:val="none"/>
        </w:rPr>
        <w:t>各类</w:t>
      </w:r>
      <w:r>
        <w:rPr>
          <w:rFonts w:ascii="宋体" w:hAnsi="宋体"/>
          <w:color w:val="auto"/>
          <w:kern w:val="0"/>
          <w:szCs w:val="21"/>
          <w:highlight w:val="none"/>
        </w:rPr>
        <w:t>评分分值</w:t>
      </w:r>
      <w:r>
        <w:rPr>
          <w:rFonts w:hint="eastAsia" w:ascii="宋体" w:hAnsi="宋体"/>
          <w:color w:val="auto"/>
          <w:kern w:val="0"/>
          <w:szCs w:val="21"/>
          <w:highlight w:val="none"/>
        </w:rPr>
        <w:t>的最终</w:t>
      </w:r>
      <w:r>
        <w:rPr>
          <w:rFonts w:ascii="宋体" w:hAnsi="宋体"/>
          <w:color w:val="auto"/>
          <w:kern w:val="0"/>
          <w:szCs w:val="21"/>
          <w:highlight w:val="none"/>
        </w:rPr>
        <w:t>计算</w:t>
      </w:r>
      <w:r>
        <w:rPr>
          <w:rFonts w:hint="eastAsia" w:ascii="宋体" w:hAnsi="宋体"/>
          <w:color w:val="auto"/>
          <w:kern w:val="0"/>
          <w:szCs w:val="21"/>
          <w:highlight w:val="none"/>
        </w:rPr>
        <w:t>结果</w:t>
      </w:r>
      <w:r>
        <w:rPr>
          <w:rFonts w:ascii="宋体" w:hAnsi="宋体"/>
          <w:color w:val="auto"/>
          <w:kern w:val="0"/>
          <w:szCs w:val="21"/>
          <w:highlight w:val="none"/>
        </w:rPr>
        <w:t>保留小数点后两位，小数点后第三位</w:t>
      </w:r>
      <w:r>
        <w:rPr>
          <w:rFonts w:hint="eastAsia" w:ascii="宋体" w:hAnsi="宋体"/>
          <w:color w:val="auto"/>
          <w:kern w:val="0"/>
          <w:szCs w:val="21"/>
          <w:highlight w:val="none"/>
        </w:rPr>
        <w:t>“</w:t>
      </w:r>
      <w:r>
        <w:rPr>
          <w:rFonts w:ascii="宋体" w:hAnsi="宋体"/>
          <w:color w:val="auto"/>
          <w:kern w:val="0"/>
          <w:szCs w:val="21"/>
          <w:highlight w:val="none"/>
        </w:rPr>
        <w:t>四舍五入</w:t>
      </w:r>
      <w:r>
        <w:rPr>
          <w:rFonts w:hint="eastAsia" w:ascii="宋体" w:hAnsi="宋体"/>
          <w:color w:val="auto"/>
          <w:kern w:val="0"/>
          <w:szCs w:val="21"/>
          <w:highlight w:val="none"/>
        </w:rPr>
        <w:t>”</w:t>
      </w:r>
      <w:r>
        <w:rPr>
          <w:rFonts w:ascii="宋体" w:hAnsi="宋体"/>
          <w:color w:val="auto"/>
          <w:kern w:val="0"/>
          <w:szCs w:val="21"/>
          <w:highlight w:val="none"/>
        </w:rPr>
        <w:t>。</w:t>
      </w:r>
    </w:p>
    <w:p w14:paraId="66C36466">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 xml:space="preserve">3.2.3  </w:t>
      </w:r>
      <w:r>
        <w:rPr>
          <w:rFonts w:hint="eastAsia" w:ascii="宋体" w:hAnsi="宋体"/>
          <w:color w:val="auto"/>
          <w:kern w:val="0"/>
          <w:szCs w:val="21"/>
          <w:highlight w:val="none"/>
          <w:lang w:eastAsia="zh-CN"/>
        </w:rPr>
        <w:t>供应商</w:t>
      </w:r>
      <w:r>
        <w:rPr>
          <w:rFonts w:ascii="宋体" w:hAnsi="宋体"/>
          <w:color w:val="auto"/>
          <w:kern w:val="0"/>
          <w:szCs w:val="21"/>
          <w:highlight w:val="none"/>
        </w:rPr>
        <w:t>得分=A+B</w:t>
      </w:r>
      <w:r>
        <w:rPr>
          <w:rFonts w:hint="eastAsia" w:ascii="宋体" w:hAnsi="宋体"/>
          <w:color w:val="auto"/>
          <w:kern w:val="0"/>
          <w:szCs w:val="21"/>
          <w:highlight w:val="none"/>
        </w:rPr>
        <w:t>+C。</w:t>
      </w:r>
    </w:p>
    <w:p w14:paraId="67811F5B">
      <w:pPr>
        <w:pStyle w:val="5"/>
        <w:spacing w:before="0" w:after="0" w:line="360" w:lineRule="auto"/>
        <w:rPr>
          <w:rFonts w:hint="eastAsia" w:ascii="宋体" w:hAnsi="宋体" w:cs="宋体"/>
          <w:color w:val="auto"/>
          <w:sz w:val="21"/>
          <w:szCs w:val="21"/>
          <w:highlight w:val="none"/>
        </w:rPr>
      </w:pPr>
      <w:bookmarkStart w:id="487" w:name="_Toc287620758"/>
      <w:bookmarkStart w:id="488" w:name="_Toc33106459"/>
      <w:bookmarkStart w:id="489" w:name="_Toc23745"/>
      <w:bookmarkStart w:id="490" w:name="_Toc200513205"/>
      <w:bookmarkStart w:id="491" w:name="_Toc224103391"/>
      <w:bookmarkStart w:id="492" w:name="_Toc509218783"/>
      <w:bookmarkStart w:id="493" w:name="_Toc277082625"/>
      <w:bookmarkStart w:id="494" w:name="_Toc430530507"/>
      <w:bookmarkStart w:id="495" w:name="_Toc287607819"/>
      <w:bookmarkStart w:id="496" w:name="_Toc20458"/>
      <w:bookmarkStart w:id="497" w:name="_Toc833"/>
      <w:r>
        <w:rPr>
          <w:rFonts w:hint="eastAsia" w:ascii="宋体" w:hAnsi="宋体" w:cs="宋体"/>
          <w:color w:val="auto"/>
          <w:sz w:val="21"/>
          <w:szCs w:val="21"/>
          <w:highlight w:val="none"/>
        </w:rPr>
        <w:t xml:space="preserve">3.3 </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的澄清和补正</w:t>
      </w:r>
      <w:bookmarkEnd w:id="487"/>
      <w:bookmarkEnd w:id="488"/>
      <w:bookmarkEnd w:id="489"/>
      <w:bookmarkEnd w:id="490"/>
      <w:bookmarkEnd w:id="491"/>
      <w:bookmarkEnd w:id="492"/>
      <w:bookmarkEnd w:id="493"/>
      <w:bookmarkEnd w:id="494"/>
      <w:bookmarkEnd w:id="495"/>
      <w:bookmarkEnd w:id="496"/>
      <w:bookmarkEnd w:id="497"/>
    </w:p>
    <w:p w14:paraId="521AF6D7">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3.3.1 在</w:t>
      </w:r>
      <w:r>
        <w:rPr>
          <w:rFonts w:hint="eastAsia" w:ascii="宋体" w:hAnsi="宋体"/>
          <w:color w:val="auto"/>
          <w:kern w:val="0"/>
          <w:szCs w:val="21"/>
          <w:highlight w:val="none"/>
          <w:lang w:eastAsia="zh-CN"/>
        </w:rPr>
        <w:t>评审</w:t>
      </w:r>
      <w:r>
        <w:rPr>
          <w:rFonts w:ascii="宋体" w:hAnsi="宋体"/>
          <w:color w:val="auto"/>
          <w:kern w:val="0"/>
          <w:szCs w:val="21"/>
          <w:highlight w:val="none"/>
        </w:rPr>
        <w:t>过程中，</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可以书面形式要求</w:t>
      </w:r>
      <w:r>
        <w:rPr>
          <w:rFonts w:hint="eastAsia" w:ascii="宋体" w:hAnsi="宋体"/>
          <w:color w:val="auto"/>
          <w:kern w:val="0"/>
          <w:szCs w:val="21"/>
          <w:highlight w:val="none"/>
          <w:lang w:eastAsia="zh-CN"/>
        </w:rPr>
        <w:t>供应商</w:t>
      </w:r>
      <w:r>
        <w:rPr>
          <w:rFonts w:ascii="宋体" w:hAnsi="宋体"/>
          <w:color w:val="auto"/>
          <w:kern w:val="0"/>
          <w:szCs w:val="21"/>
          <w:highlight w:val="none"/>
        </w:rPr>
        <w:t>对所提交</w:t>
      </w:r>
      <w:r>
        <w:rPr>
          <w:rFonts w:hint="eastAsia" w:ascii="宋体" w:hAnsi="宋体"/>
          <w:color w:val="auto"/>
          <w:kern w:val="0"/>
          <w:szCs w:val="21"/>
          <w:highlight w:val="none"/>
          <w:lang w:eastAsia="zh-CN"/>
        </w:rPr>
        <w:t>响应文件</w:t>
      </w:r>
      <w:r>
        <w:rPr>
          <w:rFonts w:ascii="宋体" w:hAnsi="宋体"/>
          <w:color w:val="auto"/>
          <w:kern w:val="0"/>
          <w:szCs w:val="21"/>
          <w:highlight w:val="none"/>
        </w:rPr>
        <w:t>中不明确的内容进行书面澄清或说明，或者对细微偏差进行补正。</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不接受</w:t>
      </w:r>
      <w:r>
        <w:rPr>
          <w:rFonts w:hint="eastAsia" w:ascii="宋体" w:hAnsi="宋体"/>
          <w:color w:val="auto"/>
          <w:kern w:val="0"/>
          <w:szCs w:val="21"/>
          <w:highlight w:val="none"/>
          <w:lang w:eastAsia="zh-CN"/>
        </w:rPr>
        <w:t>供应商</w:t>
      </w:r>
      <w:r>
        <w:rPr>
          <w:rFonts w:ascii="宋体" w:hAnsi="宋体"/>
          <w:color w:val="auto"/>
          <w:kern w:val="0"/>
          <w:szCs w:val="21"/>
          <w:highlight w:val="none"/>
        </w:rPr>
        <w:t>主动提出的澄清、说明或补正。</w:t>
      </w:r>
    </w:p>
    <w:p w14:paraId="45696D4D">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3.3.2 澄清、说明和补正不得改变</w:t>
      </w:r>
      <w:r>
        <w:rPr>
          <w:rFonts w:hint="eastAsia" w:ascii="宋体" w:hAnsi="宋体"/>
          <w:color w:val="auto"/>
          <w:kern w:val="0"/>
          <w:szCs w:val="21"/>
          <w:highlight w:val="none"/>
          <w:lang w:eastAsia="zh-CN"/>
        </w:rPr>
        <w:t>响应文件</w:t>
      </w:r>
      <w:r>
        <w:rPr>
          <w:rFonts w:ascii="宋体" w:hAnsi="宋体"/>
          <w:color w:val="auto"/>
          <w:kern w:val="0"/>
          <w:szCs w:val="21"/>
          <w:highlight w:val="none"/>
        </w:rPr>
        <w:t>的实质性内容。</w:t>
      </w:r>
      <w:r>
        <w:rPr>
          <w:rFonts w:hint="eastAsia" w:ascii="宋体" w:hAnsi="宋体"/>
          <w:color w:val="auto"/>
          <w:kern w:val="0"/>
          <w:szCs w:val="21"/>
          <w:highlight w:val="none"/>
          <w:lang w:eastAsia="zh-CN"/>
        </w:rPr>
        <w:t>供应商</w:t>
      </w:r>
      <w:r>
        <w:rPr>
          <w:rFonts w:ascii="宋体" w:hAnsi="宋体"/>
          <w:color w:val="auto"/>
          <w:kern w:val="0"/>
          <w:szCs w:val="21"/>
          <w:highlight w:val="none"/>
        </w:rPr>
        <w:t>的书面澄清、说明和补正属于</w:t>
      </w:r>
      <w:r>
        <w:rPr>
          <w:rFonts w:hint="eastAsia" w:ascii="宋体" w:hAnsi="宋体"/>
          <w:color w:val="auto"/>
          <w:kern w:val="0"/>
          <w:szCs w:val="21"/>
          <w:highlight w:val="none"/>
          <w:lang w:eastAsia="zh-CN"/>
        </w:rPr>
        <w:t>响应文件</w:t>
      </w:r>
      <w:r>
        <w:rPr>
          <w:rFonts w:ascii="宋体" w:hAnsi="宋体"/>
          <w:color w:val="auto"/>
          <w:kern w:val="0"/>
          <w:szCs w:val="21"/>
          <w:highlight w:val="none"/>
        </w:rPr>
        <w:t>的组成部分。</w:t>
      </w:r>
    </w:p>
    <w:p w14:paraId="64442A60">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 xml:space="preserve">3.3.3 </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对</w:t>
      </w:r>
      <w:r>
        <w:rPr>
          <w:rFonts w:hint="eastAsia" w:ascii="宋体" w:hAnsi="宋体"/>
          <w:color w:val="auto"/>
          <w:kern w:val="0"/>
          <w:szCs w:val="21"/>
          <w:highlight w:val="none"/>
          <w:lang w:eastAsia="zh-CN"/>
        </w:rPr>
        <w:t>供应商</w:t>
      </w:r>
      <w:r>
        <w:rPr>
          <w:rFonts w:ascii="宋体" w:hAnsi="宋体"/>
          <w:color w:val="auto"/>
          <w:kern w:val="0"/>
          <w:szCs w:val="21"/>
          <w:highlight w:val="none"/>
        </w:rPr>
        <w:t>提交的澄清、说明或补正有疑问的，可以要求</w:t>
      </w:r>
      <w:r>
        <w:rPr>
          <w:rFonts w:hint="eastAsia" w:ascii="宋体" w:hAnsi="宋体"/>
          <w:color w:val="auto"/>
          <w:kern w:val="0"/>
          <w:szCs w:val="21"/>
          <w:highlight w:val="none"/>
          <w:lang w:eastAsia="zh-CN"/>
        </w:rPr>
        <w:t>供应商</w:t>
      </w:r>
      <w:r>
        <w:rPr>
          <w:rFonts w:ascii="宋体" w:hAnsi="宋体"/>
          <w:color w:val="auto"/>
          <w:kern w:val="0"/>
          <w:szCs w:val="21"/>
          <w:highlight w:val="none"/>
        </w:rPr>
        <w:t>进一步澄清、说明或补正，直至满足</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的要求。</w:t>
      </w:r>
    </w:p>
    <w:p w14:paraId="0349F806">
      <w:pPr>
        <w:pStyle w:val="5"/>
        <w:spacing w:before="0" w:after="0" w:line="360" w:lineRule="auto"/>
        <w:rPr>
          <w:rFonts w:hint="eastAsia" w:ascii="宋体" w:hAnsi="宋体" w:cs="宋体"/>
          <w:color w:val="auto"/>
          <w:sz w:val="21"/>
          <w:szCs w:val="21"/>
          <w:highlight w:val="none"/>
        </w:rPr>
      </w:pPr>
      <w:bookmarkStart w:id="498" w:name="_Toc33106460"/>
      <w:bookmarkStart w:id="499" w:name="_Toc287620759"/>
      <w:bookmarkStart w:id="500" w:name="_Toc17968"/>
      <w:bookmarkStart w:id="501" w:name="_Toc224103392"/>
      <w:bookmarkStart w:id="502" w:name="_Toc20110"/>
      <w:bookmarkStart w:id="503" w:name="_Toc29128"/>
      <w:bookmarkStart w:id="504" w:name="_Toc430530508"/>
      <w:bookmarkStart w:id="505" w:name="_Toc277082626"/>
      <w:bookmarkStart w:id="506" w:name="_Toc200513206"/>
      <w:bookmarkStart w:id="507" w:name="_Toc509218784"/>
      <w:bookmarkStart w:id="508" w:name="_Toc287607820"/>
      <w:r>
        <w:rPr>
          <w:rFonts w:hint="eastAsia" w:ascii="宋体" w:hAnsi="宋体" w:cs="宋体"/>
          <w:color w:val="auto"/>
          <w:sz w:val="21"/>
          <w:szCs w:val="21"/>
          <w:highlight w:val="none"/>
        </w:rPr>
        <w:t xml:space="preserve">3.4 </w:t>
      </w:r>
      <w:r>
        <w:rPr>
          <w:rFonts w:hint="eastAsia" w:ascii="宋体" w:hAnsi="宋体" w:cs="宋体"/>
          <w:color w:val="auto"/>
          <w:sz w:val="21"/>
          <w:szCs w:val="21"/>
          <w:highlight w:val="none"/>
          <w:lang w:eastAsia="zh-CN"/>
        </w:rPr>
        <w:t>评审</w:t>
      </w:r>
      <w:r>
        <w:rPr>
          <w:rFonts w:hint="eastAsia" w:ascii="宋体" w:hAnsi="宋体" w:cs="宋体"/>
          <w:color w:val="auto"/>
          <w:sz w:val="21"/>
          <w:szCs w:val="21"/>
          <w:highlight w:val="none"/>
        </w:rPr>
        <w:t>结果</w:t>
      </w:r>
      <w:bookmarkEnd w:id="498"/>
      <w:bookmarkEnd w:id="499"/>
      <w:bookmarkEnd w:id="500"/>
      <w:bookmarkEnd w:id="501"/>
      <w:bookmarkEnd w:id="502"/>
      <w:bookmarkEnd w:id="503"/>
      <w:bookmarkEnd w:id="504"/>
      <w:bookmarkEnd w:id="505"/>
      <w:bookmarkEnd w:id="506"/>
      <w:bookmarkEnd w:id="507"/>
      <w:bookmarkEnd w:id="508"/>
    </w:p>
    <w:p w14:paraId="078F51C6">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w:t>
      </w:r>
      <w:r>
        <w:rPr>
          <w:rFonts w:ascii="宋体" w:hAnsi="宋体"/>
          <w:color w:val="auto"/>
          <w:spacing w:val="-1"/>
          <w:kern w:val="0"/>
          <w:szCs w:val="21"/>
          <w:highlight w:val="none"/>
        </w:rPr>
        <w:t>4</w:t>
      </w:r>
      <w:r>
        <w:rPr>
          <w:rFonts w:ascii="宋体" w:hAnsi="宋体"/>
          <w:color w:val="auto"/>
          <w:kern w:val="0"/>
          <w:szCs w:val="21"/>
          <w:highlight w:val="none"/>
        </w:rPr>
        <w:t>.1 除第二章</w:t>
      </w:r>
      <w:r>
        <w:rPr>
          <w:rFonts w:hint="eastAsia" w:ascii="宋体" w:hAnsi="宋体"/>
          <w:color w:val="auto"/>
          <w:kern w:val="0"/>
          <w:szCs w:val="21"/>
          <w:highlight w:val="none"/>
        </w:rPr>
        <w:t>“</w:t>
      </w:r>
      <w:r>
        <w:rPr>
          <w:rFonts w:hint="eastAsia" w:ascii="宋体" w:hAnsi="宋体"/>
          <w:color w:val="auto"/>
          <w:kern w:val="0"/>
          <w:szCs w:val="21"/>
          <w:highlight w:val="none"/>
          <w:lang w:eastAsia="zh-CN"/>
        </w:rPr>
        <w:t>供应商</w:t>
      </w:r>
      <w:r>
        <w:rPr>
          <w:rFonts w:ascii="宋体" w:hAnsi="宋体"/>
          <w:color w:val="auto"/>
          <w:kern w:val="0"/>
          <w:szCs w:val="21"/>
          <w:highlight w:val="none"/>
        </w:rPr>
        <w:t>须知</w:t>
      </w:r>
      <w:r>
        <w:rPr>
          <w:rFonts w:hint="eastAsia" w:ascii="宋体" w:hAnsi="宋体"/>
          <w:color w:val="auto"/>
          <w:kern w:val="0"/>
          <w:szCs w:val="21"/>
          <w:highlight w:val="none"/>
        </w:rPr>
        <w:t>”</w:t>
      </w:r>
      <w:r>
        <w:rPr>
          <w:rFonts w:ascii="宋体" w:hAnsi="宋体"/>
          <w:color w:val="auto"/>
          <w:kern w:val="0"/>
          <w:szCs w:val="21"/>
          <w:highlight w:val="none"/>
        </w:rPr>
        <w:t>前</w:t>
      </w:r>
      <w:r>
        <w:rPr>
          <w:rFonts w:ascii="宋体" w:hAnsi="宋体"/>
          <w:color w:val="auto"/>
          <w:spacing w:val="1"/>
          <w:kern w:val="0"/>
          <w:szCs w:val="21"/>
          <w:highlight w:val="none"/>
        </w:rPr>
        <w:t>附</w:t>
      </w:r>
      <w:r>
        <w:rPr>
          <w:rFonts w:ascii="宋体" w:hAnsi="宋体"/>
          <w:color w:val="auto"/>
          <w:kern w:val="0"/>
          <w:szCs w:val="21"/>
          <w:highlight w:val="none"/>
        </w:rPr>
        <w:t>表授权直</w:t>
      </w:r>
      <w:r>
        <w:rPr>
          <w:rFonts w:ascii="宋体" w:hAnsi="宋体"/>
          <w:color w:val="auto"/>
          <w:spacing w:val="1"/>
          <w:kern w:val="0"/>
          <w:szCs w:val="21"/>
          <w:highlight w:val="none"/>
        </w:rPr>
        <w:t>接</w:t>
      </w:r>
      <w:r>
        <w:rPr>
          <w:rFonts w:ascii="宋体" w:hAnsi="宋体"/>
          <w:color w:val="auto"/>
          <w:kern w:val="0"/>
          <w:szCs w:val="21"/>
          <w:highlight w:val="none"/>
        </w:rPr>
        <w:t>确定</w:t>
      </w:r>
      <w:r>
        <w:rPr>
          <w:rFonts w:hint="eastAsia" w:ascii="宋体" w:hAnsi="宋体"/>
          <w:color w:val="auto"/>
          <w:kern w:val="0"/>
          <w:szCs w:val="21"/>
          <w:highlight w:val="none"/>
          <w:lang w:eastAsia="zh-CN"/>
        </w:rPr>
        <w:t>中选</w:t>
      </w:r>
      <w:r>
        <w:rPr>
          <w:rFonts w:ascii="宋体" w:hAnsi="宋体"/>
          <w:color w:val="auto"/>
          <w:spacing w:val="1"/>
          <w:kern w:val="0"/>
          <w:szCs w:val="21"/>
          <w:highlight w:val="none"/>
        </w:rPr>
        <w:t>人</w:t>
      </w:r>
      <w:r>
        <w:rPr>
          <w:rFonts w:ascii="宋体" w:hAnsi="宋体"/>
          <w:color w:val="auto"/>
          <w:kern w:val="0"/>
          <w:szCs w:val="21"/>
          <w:highlight w:val="none"/>
        </w:rPr>
        <w:t>外，</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按照</w:t>
      </w:r>
      <w:r>
        <w:rPr>
          <w:rFonts w:ascii="宋体" w:hAnsi="宋体"/>
          <w:color w:val="auto"/>
          <w:spacing w:val="1"/>
          <w:kern w:val="0"/>
          <w:szCs w:val="21"/>
          <w:highlight w:val="none"/>
        </w:rPr>
        <w:t>得分</w:t>
      </w:r>
      <w:r>
        <w:rPr>
          <w:rFonts w:ascii="宋体" w:hAnsi="宋体"/>
          <w:color w:val="auto"/>
          <w:kern w:val="0"/>
          <w:szCs w:val="21"/>
          <w:highlight w:val="none"/>
        </w:rPr>
        <w:t>由高到低的顺序推荐</w:t>
      </w:r>
      <w:r>
        <w:rPr>
          <w:rFonts w:hint="eastAsia" w:ascii="宋体" w:hAnsi="宋体"/>
          <w:color w:val="auto"/>
          <w:kern w:val="0"/>
          <w:szCs w:val="21"/>
          <w:highlight w:val="none"/>
          <w:lang w:eastAsia="zh-CN"/>
        </w:rPr>
        <w:t>中选</w:t>
      </w:r>
      <w:r>
        <w:rPr>
          <w:rFonts w:ascii="宋体" w:hAnsi="宋体"/>
          <w:color w:val="auto"/>
          <w:kern w:val="0"/>
          <w:szCs w:val="21"/>
          <w:highlight w:val="none"/>
        </w:rPr>
        <w:t>候选人。</w:t>
      </w:r>
    </w:p>
    <w:p w14:paraId="3546FE57">
      <w:pPr>
        <w:autoSpaceDE w:val="0"/>
        <w:autoSpaceDN w:val="0"/>
        <w:adjustRightInd w:val="0"/>
        <w:snapToGrid w:val="0"/>
        <w:spacing w:line="360" w:lineRule="auto"/>
        <w:ind w:firstLine="424" w:firstLineChars="200"/>
        <w:rPr>
          <w:rFonts w:ascii="宋体" w:hAnsi="宋体"/>
          <w:color w:val="auto"/>
          <w:kern w:val="0"/>
          <w:szCs w:val="21"/>
          <w:highlight w:val="none"/>
        </w:rPr>
      </w:pPr>
      <w:r>
        <w:rPr>
          <w:rFonts w:ascii="宋体" w:hAnsi="宋体"/>
          <w:color w:val="auto"/>
          <w:spacing w:val="1"/>
          <w:kern w:val="0"/>
          <w:szCs w:val="21"/>
          <w:highlight w:val="none"/>
        </w:rPr>
        <w:t>3</w:t>
      </w:r>
      <w:r>
        <w:rPr>
          <w:rFonts w:ascii="宋体" w:hAnsi="宋体"/>
          <w:color w:val="auto"/>
          <w:kern w:val="0"/>
          <w:szCs w:val="21"/>
          <w:highlight w:val="none"/>
        </w:rPr>
        <w:t xml:space="preserve">.4.2 </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完成</w:t>
      </w:r>
      <w:r>
        <w:rPr>
          <w:rFonts w:hint="eastAsia" w:ascii="宋体" w:hAnsi="宋体"/>
          <w:color w:val="auto"/>
          <w:kern w:val="0"/>
          <w:szCs w:val="21"/>
          <w:highlight w:val="none"/>
          <w:lang w:eastAsia="zh-CN"/>
        </w:rPr>
        <w:t>评审</w:t>
      </w:r>
      <w:r>
        <w:rPr>
          <w:rFonts w:ascii="宋体" w:hAnsi="宋体"/>
          <w:color w:val="auto"/>
          <w:kern w:val="0"/>
          <w:szCs w:val="21"/>
          <w:highlight w:val="none"/>
        </w:rPr>
        <w:t>后，应当向</w:t>
      </w:r>
      <w:r>
        <w:rPr>
          <w:rFonts w:hint="eastAsia" w:ascii="宋体" w:hAnsi="宋体"/>
          <w:color w:val="auto"/>
          <w:kern w:val="0"/>
          <w:szCs w:val="21"/>
          <w:highlight w:val="none"/>
          <w:lang w:eastAsia="zh-CN"/>
        </w:rPr>
        <w:t>采购人</w:t>
      </w:r>
      <w:r>
        <w:rPr>
          <w:rFonts w:ascii="宋体" w:hAnsi="宋体"/>
          <w:color w:val="auto"/>
          <w:kern w:val="0"/>
          <w:szCs w:val="21"/>
          <w:highlight w:val="none"/>
        </w:rPr>
        <w:t>提交书面</w:t>
      </w:r>
      <w:r>
        <w:rPr>
          <w:rFonts w:hint="eastAsia" w:ascii="宋体" w:hAnsi="宋体"/>
          <w:color w:val="auto"/>
          <w:kern w:val="0"/>
          <w:szCs w:val="21"/>
          <w:highlight w:val="none"/>
          <w:lang w:eastAsia="zh-CN"/>
        </w:rPr>
        <w:t>评审</w:t>
      </w:r>
      <w:r>
        <w:rPr>
          <w:rFonts w:ascii="宋体" w:hAnsi="宋体"/>
          <w:color w:val="auto"/>
          <w:kern w:val="0"/>
          <w:szCs w:val="21"/>
          <w:highlight w:val="none"/>
        </w:rPr>
        <w:t>报告</w:t>
      </w:r>
      <w:r>
        <w:rPr>
          <w:rFonts w:hint="eastAsia" w:ascii="宋体" w:hAnsi="宋体"/>
          <w:color w:val="auto"/>
          <w:kern w:val="0"/>
          <w:szCs w:val="21"/>
          <w:highlight w:val="none"/>
        </w:rPr>
        <w:t>和</w:t>
      </w:r>
      <w:r>
        <w:rPr>
          <w:rFonts w:hint="eastAsia" w:ascii="宋体" w:hAnsi="宋体"/>
          <w:color w:val="auto"/>
          <w:kern w:val="0"/>
          <w:szCs w:val="21"/>
          <w:highlight w:val="none"/>
          <w:lang w:eastAsia="zh-CN"/>
        </w:rPr>
        <w:t>中选</w:t>
      </w:r>
      <w:r>
        <w:rPr>
          <w:rFonts w:hint="eastAsia" w:ascii="宋体" w:hAnsi="宋体"/>
          <w:color w:val="auto"/>
          <w:kern w:val="0"/>
          <w:szCs w:val="21"/>
          <w:highlight w:val="none"/>
        </w:rPr>
        <w:t>候选人名单</w:t>
      </w:r>
      <w:r>
        <w:rPr>
          <w:rFonts w:ascii="宋体" w:hAnsi="宋体"/>
          <w:color w:val="auto"/>
          <w:kern w:val="0"/>
          <w:szCs w:val="21"/>
          <w:highlight w:val="none"/>
        </w:rPr>
        <w:t>。</w:t>
      </w:r>
    </w:p>
    <w:p w14:paraId="0AB08A5B">
      <w:pPr>
        <w:autoSpaceDE w:val="0"/>
        <w:autoSpaceDN w:val="0"/>
        <w:adjustRightInd w:val="0"/>
        <w:snapToGrid w:val="0"/>
        <w:spacing w:line="360" w:lineRule="auto"/>
        <w:ind w:firstLine="420" w:firstLineChars="200"/>
        <w:rPr>
          <w:rFonts w:ascii="宋体" w:hAnsi="宋体"/>
          <w:color w:val="auto"/>
          <w:kern w:val="0"/>
          <w:sz w:val="20"/>
          <w:szCs w:val="20"/>
          <w:highlight w:val="none"/>
        </w:rPr>
      </w:pPr>
      <w:r>
        <w:rPr>
          <w:rFonts w:hint="eastAsia" w:asciiTheme="minorEastAsia" w:hAnsiTheme="minorEastAsia" w:eastAsiaTheme="minorEastAsia"/>
          <w:color w:val="auto"/>
          <w:kern w:val="0"/>
          <w:szCs w:val="21"/>
          <w:highlight w:val="none"/>
          <w:lang w:val="en-US" w:eastAsia="zh-CN"/>
        </w:rPr>
        <w:t>3.4.3 有效供应商不足三个的，</w:t>
      </w:r>
      <w:r>
        <w:rPr>
          <w:rFonts w:hint="eastAsia" w:asciiTheme="minorEastAsia" w:hAnsiTheme="minorEastAsia" w:eastAsiaTheme="minorEastAsia"/>
          <w:color w:val="auto"/>
          <w:kern w:val="0"/>
          <w:szCs w:val="21"/>
          <w:highlight w:val="none"/>
          <w:lang w:eastAsia="zh-CN"/>
        </w:rPr>
        <w:t>评审委员会</w:t>
      </w:r>
      <w:r>
        <w:rPr>
          <w:rFonts w:hint="eastAsia" w:asciiTheme="minorEastAsia" w:hAnsiTheme="minorEastAsia" w:eastAsiaTheme="minorEastAsia"/>
          <w:color w:val="auto"/>
          <w:kern w:val="0"/>
          <w:szCs w:val="21"/>
          <w:highlight w:val="none"/>
        </w:rPr>
        <w:t>应当对有效</w:t>
      </w:r>
      <w:r>
        <w:rPr>
          <w:rFonts w:hint="eastAsia" w:asciiTheme="minorEastAsia" w:hAnsiTheme="minorEastAsia" w:eastAsiaTheme="minorEastAsia"/>
          <w:color w:val="auto"/>
          <w:kern w:val="0"/>
          <w:szCs w:val="21"/>
          <w:highlight w:val="none"/>
          <w:lang w:eastAsia="zh-CN"/>
        </w:rPr>
        <w:t>供应商</w:t>
      </w:r>
      <w:r>
        <w:rPr>
          <w:rFonts w:hint="eastAsia" w:asciiTheme="minorEastAsia" w:hAnsiTheme="minorEastAsia" w:eastAsiaTheme="minorEastAsia"/>
          <w:color w:val="auto"/>
          <w:kern w:val="0"/>
          <w:szCs w:val="21"/>
          <w:highlight w:val="none"/>
        </w:rPr>
        <w:t>是否仍具有竞争性进行论证</w:t>
      </w:r>
      <w:r>
        <w:rPr>
          <w:rFonts w:hint="eastAsia" w:asciiTheme="minorEastAsia" w:hAnsiTheme="minorEastAsia" w:eastAsiaTheme="minorEastAsia"/>
          <w:color w:val="auto"/>
          <w:kern w:val="0"/>
          <w:szCs w:val="21"/>
          <w:highlight w:val="none"/>
          <w:lang w:val="en-US" w:eastAsia="zh-CN"/>
        </w:rPr>
        <w:t>，并在评审报告中记载论证过程和结果。</w:t>
      </w:r>
    </w:p>
    <w:p w14:paraId="2114484F">
      <w:pPr>
        <w:pStyle w:val="26"/>
        <w:spacing w:line="360" w:lineRule="auto"/>
        <w:rPr>
          <w:rFonts w:ascii="宋体" w:hAnsi="宋体"/>
          <w:b/>
          <w:color w:val="auto"/>
          <w:sz w:val="28"/>
          <w:szCs w:val="28"/>
          <w:highlight w:val="none"/>
          <w:lang w:eastAsia="zh-CN"/>
        </w:rPr>
      </w:pPr>
      <w:r>
        <w:rPr>
          <w:rFonts w:ascii="宋体" w:hAnsi="宋体"/>
          <w:b/>
          <w:color w:val="auto"/>
          <w:sz w:val="28"/>
          <w:szCs w:val="28"/>
          <w:highlight w:val="none"/>
          <w:u w:val="none"/>
          <w:lang w:eastAsia="zh-CN"/>
        </w:rPr>
        <w:br w:type="page"/>
      </w:r>
    </w:p>
    <w:p w14:paraId="6A4882A0">
      <w:pPr>
        <w:pStyle w:val="26"/>
        <w:spacing w:line="360" w:lineRule="auto"/>
        <w:rPr>
          <w:rFonts w:hint="eastAsia" w:ascii="宋体" w:hAnsi="宋体"/>
          <w:b/>
          <w:color w:val="auto"/>
          <w:sz w:val="28"/>
          <w:szCs w:val="28"/>
          <w:highlight w:val="none"/>
          <w:u w:val="none"/>
          <w:lang w:eastAsia="zh-CN"/>
        </w:rPr>
      </w:pPr>
      <w:r>
        <w:rPr>
          <w:rFonts w:ascii="宋体" w:hAnsi="宋体"/>
          <w:b/>
          <w:color w:val="auto"/>
          <w:sz w:val="28"/>
          <w:szCs w:val="28"/>
          <w:highlight w:val="none"/>
          <w:u w:val="none"/>
          <w:lang w:eastAsia="zh-CN"/>
        </w:rPr>
        <w:t>附件A：综合评估法否决情况一览表</w:t>
      </w:r>
    </w:p>
    <w:p w14:paraId="70BD4B6E">
      <w:pPr>
        <w:pStyle w:val="26"/>
        <w:spacing w:line="360" w:lineRule="auto"/>
        <w:ind w:firstLine="420" w:firstLineChars="200"/>
        <w:jc w:val="both"/>
        <w:rPr>
          <w:rFonts w:ascii="宋体" w:hAnsi="宋体"/>
          <w:color w:val="auto"/>
          <w:sz w:val="21"/>
          <w:szCs w:val="21"/>
          <w:highlight w:val="none"/>
          <w:u w:val="none"/>
          <w:lang w:eastAsia="zh-CN"/>
        </w:rPr>
      </w:pPr>
      <w:r>
        <w:rPr>
          <w:rFonts w:hint="eastAsia" w:ascii="宋体" w:hAnsi="宋体"/>
          <w:color w:val="auto"/>
          <w:sz w:val="21"/>
          <w:szCs w:val="21"/>
          <w:highlight w:val="none"/>
          <w:u w:val="none"/>
          <w:lang w:eastAsia="zh-CN"/>
        </w:rPr>
        <w:t>响应文件存在本一览表下列情形之一的，响应文件视为重大偏差并作否决处理，否则，评审委员会不得视为重大偏差而否决供应商的响应文件</w:t>
      </w:r>
      <w:r>
        <w:rPr>
          <w:rFonts w:ascii="宋体" w:hAnsi="宋体"/>
          <w:color w:val="auto"/>
          <w:sz w:val="21"/>
          <w:szCs w:val="21"/>
          <w:highlight w:val="none"/>
          <w:u w:val="none"/>
          <w:lang w:eastAsia="zh-CN"/>
        </w:rPr>
        <w:t>。</w:t>
      </w:r>
    </w:p>
    <w:tbl>
      <w:tblPr>
        <w:tblStyle w:val="34"/>
        <w:tblW w:w="946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37"/>
        <w:gridCol w:w="1899"/>
        <w:gridCol w:w="6333"/>
      </w:tblGrid>
      <w:tr w14:paraId="7FF548B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4C384D97">
            <w:pPr>
              <w:spacing w:line="400" w:lineRule="exact"/>
              <w:jc w:val="center"/>
              <w:rPr>
                <w:rFonts w:ascii="宋体" w:hAnsi="宋体"/>
                <w:b/>
                <w:color w:val="auto"/>
                <w:szCs w:val="21"/>
                <w:highlight w:val="none"/>
              </w:rPr>
            </w:pPr>
            <w:r>
              <w:rPr>
                <w:rFonts w:ascii="宋体" w:hAnsi="宋体"/>
                <w:b/>
                <w:color w:val="auto"/>
                <w:szCs w:val="21"/>
                <w:highlight w:val="none"/>
              </w:rPr>
              <w:t>章节号</w:t>
            </w:r>
          </w:p>
        </w:tc>
        <w:tc>
          <w:tcPr>
            <w:tcW w:w="1899" w:type="dxa"/>
            <w:vAlign w:val="center"/>
          </w:tcPr>
          <w:p w14:paraId="351C19BA">
            <w:pPr>
              <w:spacing w:line="400" w:lineRule="exact"/>
              <w:jc w:val="center"/>
              <w:rPr>
                <w:rFonts w:ascii="宋体" w:hAnsi="宋体"/>
                <w:b/>
                <w:color w:val="auto"/>
                <w:szCs w:val="21"/>
                <w:highlight w:val="none"/>
              </w:rPr>
            </w:pPr>
            <w:r>
              <w:rPr>
                <w:rFonts w:ascii="宋体" w:hAnsi="宋体"/>
                <w:b/>
                <w:color w:val="auto"/>
                <w:szCs w:val="21"/>
                <w:highlight w:val="none"/>
              </w:rPr>
              <w:t>条款名称</w:t>
            </w:r>
          </w:p>
        </w:tc>
        <w:tc>
          <w:tcPr>
            <w:tcW w:w="6333" w:type="dxa"/>
            <w:vAlign w:val="center"/>
          </w:tcPr>
          <w:p w14:paraId="5C273B7F">
            <w:pPr>
              <w:spacing w:line="400" w:lineRule="exact"/>
              <w:jc w:val="center"/>
              <w:rPr>
                <w:rFonts w:ascii="宋体" w:hAnsi="宋体"/>
                <w:b/>
                <w:color w:val="auto"/>
                <w:szCs w:val="21"/>
                <w:highlight w:val="none"/>
              </w:rPr>
            </w:pPr>
            <w:r>
              <w:rPr>
                <w:rFonts w:ascii="宋体" w:hAnsi="宋体"/>
                <w:b/>
                <w:color w:val="auto"/>
                <w:szCs w:val="21"/>
                <w:highlight w:val="none"/>
              </w:rPr>
              <w:t>否决条件</w:t>
            </w:r>
          </w:p>
        </w:tc>
      </w:tr>
      <w:tr w14:paraId="658F13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restart"/>
            <w:vAlign w:val="center"/>
          </w:tcPr>
          <w:p w14:paraId="1A55617B">
            <w:pPr>
              <w:spacing w:line="400" w:lineRule="exact"/>
              <w:jc w:val="center"/>
              <w:rPr>
                <w:rFonts w:hint="eastAsia" w:ascii="宋体" w:hAnsi="宋体"/>
                <w:color w:val="auto"/>
                <w:szCs w:val="21"/>
                <w:highlight w:val="none"/>
              </w:rPr>
            </w:pPr>
            <w:r>
              <w:rPr>
                <w:rFonts w:hint="eastAsia" w:ascii="宋体" w:hAnsi="宋体"/>
                <w:color w:val="auto"/>
                <w:szCs w:val="21"/>
                <w:highlight w:val="none"/>
              </w:rPr>
              <w:t>第三章</w:t>
            </w:r>
          </w:p>
        </w:tc>
        <w:tc>
          <w:tcPr>
            <w:tcW w:w="1899" w:type="dxa"/>
            <w:vMerge w:val="restart"/>
            <w:vAlign w:val="center"/>
          </w:tcPr>
          <w:p w14:paraId="070F1271">
            <w:pPr>
              <w:spacing w:line="400" w:lineRule="exact"/>
              <w:jc w:val="center"/>
              <w:rPr>
                <w:rFonts w:hint="eastAsia" w:ascii="宋体" w:hAnsi="宋体"/>
                <w:color w:val="auto"/>
                <w:szCs w:val="21"/>
                <w:highlight w:val="none"/>
              </w:rPr>
            </w:pPr>
            <w:r>
              <w:rPr>
                <w:rFonts w:hint="eastAsia" w:ascii="宋体" w:hAnsi="宋体"/>
                <w:color w:val="auto"/>
                <w:szCs w:val="21"/>
                <w:highlight w:val="none"/>
              </w:rPr>
              <w:t>资格评审</w:t>
            </w:r>
          </w:p>
        </w:tc>
        <w:tc>
          <w:tcPr>
            <w:tcW w:w="6333" w:type="dxa"/>
            <w:vAlign w:val="center"/>
          </w:tcPr>
          <w:p w14:paraId="310B2AE1">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的资质条件、</w:t>
            </w:r>
            <w:r>
              <w:rPr>
                <w:rFonts w:hint="eastAsia" w:ascii="宋体" w:hAnsi="宋体"/>
                <w:color w:val="auto"/>
                <w:szCs w:val="21"/>
                <w:highlight w:val="none"/>
                <w:lang w:eastAsia="zh-CN"/>
              </w:rPr>
              <w:t>独立法人资格</w:t>
            </w:r>
            <w:r>
              <w:rPr>
                <w:rFonts w:hint="eastAsia" w:ascii="宋体" w:hAnsi="宋体"/>
                <w:color w:val="auto"/>
                <w:szCs w:val="21"/>
                <w:highlight w:val="none"/>
              </w:rPr>
              <w:t>及安全生产条件</w:t>
            </w:r>
            <w:r>
              <w:rPr>
                <w:rFonts w:hint="eastAsia" w:ascii="宋体" w:hAnsi="宋体"/>
                <w:color w:val="auto"/>
                <w:szCs w:val="21"/>
                <w:highlight w:val="none"/>
                <w:lang w:val="en-US" w:eastAsia="zh-CN"/>
              </w:rPr>
              <w:t>不</w:t>
            </w:r>
            <w:r>
              <w:rPr>
                <w:rFonts w:hint="eastAsia" w:ascii="宋体" w:hAnsi="宋体"/>
                <w:color w:val="auto"/>
                <w:szCs w:val="21"/>
                <w:highlight w:val="none"/>
              </w:rPr>
              <w:t>满足</w:t>
            </w:r>
            <w:r>
              <w:rPr>
                <w:rFonts w:hint="eastAsia" w:ascii="宋体" w:hAnsi="宋体"/>
                <w:color w:val="auto"/>
                <w:szCs w:val="21"/>
                <w:highlight w:val="none"/>
                <w:lang w:eastAsia="zh-CN"/>
              </w:rPr>
              <w:t>供应商</w:t>
            </w:r>
            <w:r>
              <w:rPr>
                <w:rFonts w:hint="eastAsia" w:ascii="宋体" w:hAnsi="宋体"/>
                <w:color w:val="auto"/>
                <w:szCs w:val="21"/>
                <w:highlight w:val="none"/>
              </w:rPr>
              <w:t>须知前附表</w:t>
            </w:r>
            <w:r>
              <w:rPr>
                <w:rFonts w:hint="eastAsia" w:ascii="宋体" w:hAnsi="宋体"/>
                <w:color w:val="auto"/>
                <w:szCs w:val="21"/>
                <w:highlight w:val="none"/>
                <w:lang w:val="en-US" w:eastAsia="zh-CN"/>
              </w:rPr>
              <w:t>第</w:t>
            </w:r>
            <w:r>
              <w:rPr>
                <w:rFonts w:hint="eastAsia" w:ascii="宋体" w:hAnsi="宋体"/>
                <w:color w:val="auto"/>
                <w:szCs w:val="21"/>
                <w:highlight w:val="none"/>
              </w:rPr>
              <w:t>1.4.1项的要求。</w:t>
            </w:r>
          </w:p>
        </w:tc>
      </w:tr>
      <w:tr w14:paraId="4DE67E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6A904641">
            <w:pPr>
              <w:spacing w:line="400" w:lineRule="exact"/>
              <w:jc w:val="center"/>
              <w:rPr>
                <w:rFonts w:hint="eastAsia" w:ascii="宋体" w:hAnsi="宋体"/>
                <w:color w:val="auto"/>
                <w:szCs w:val="21"/>
                <w:highlight w:val="none"/>
              </w:rPr>
            </w:pPr>
          </w:p>
        </w:tc>
        <w:tc>
          <w:tcPr>
            <w:tcW w:w="1899" w:type="dxa"/>
            <w:vMerge w:val="continue"/>
            <w:vAlign w:val="center"/>
          </w:tcPr>
          <w:p w14:paraId="16533EA7">
            <w:pPr>
              <w:spacing w:line="400" w:lineRule="exact"/>
              <w:jc w:val="center"/>
              <w:rPr>
                <w:rFonts w:hint="eastAsia" w:ascii="宋体" w:hAnsi="宋体"/>
                <w:color w:val="auto"/>
                <w:szCs w:val="21"/>
                <w:highlight w:val="none"/>
              </w:rPr>
            </w:pPr>
          </w:p>
        </w:tc>
        <w:tc>
          <w:tcPr>
            <w:tcW w:w="6333" w:type="dxa"/>
            <w:vAlign w:val="center"/>
          </w:tcPr>
          <w:p w14:paraId="1F58A3EA">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的业绩</w:t>
            </w:r>
            <w:r>
              <w:rPr>
                <w:rFonts w:hint="eastAsia" w:ascii="宋体" w:hAnsi="宋体"/>
                <w:color w:val="auto"/>
                <w:szCs w:val="21"/>
                <w:highlight w:val="none"/>
                <w:lang w:val="en-US" w:eastAsia="zh-CN"/>
              </w:rPr>
              <w:t>不</w:t>
            </w:r>
            <w:r>
              <w:rPr>
                <w:rFonts w:hint="eastAsia" w:ascii="宋体" w:hAnsi="宋体"/>
                <w:color w:val="auto"/>
                <w:szCs w:val="21"/>
                <w:highlight w:val="none"/>
              </w:rPr>
              <w:t>满足</w:t>
            </w:r>
            <w:r>
              <w:rPr>
                <w:rFonts w:hint="eastAsia" w:ascii="宋体" w:hAnsi="宋体"/>
                <w:color w:val="auto"/>
                <w:szCs w:val="21"/>
                <w:highlight w:val="none"/>
                <w:lang w:eastAsia="zh-CN"/>
              </w:rPr>
              <w:t>供应商</w:t>
            </w:r>
            <w:r>
              <w:rPr>
                <w:rFonts w:hint="eastAsia" w:ascii="宋体" w:hAnsi="宋体"/>
                <w:color w:val="auto"/>
                <w:szCs w:val="21"/>
                <w:highlight w:val="none"/>
              </w:rPr>
              <w:t>须知前附表1.4.1项的要求。</w:t>
            </w:r>
          </w:p>
        </w:tc>
      </w:tr>
      <w:tr w14:paraId="59BFF5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710AA575">
            <w:pPr>
              <w:spacing w:line="400" w:lineRule="exact"/>
              <w:jc w:val="center"/>
              <w:rPr>
                <w:rFonts w:hint="eastAsia" w:ascii="宋体" w:hAnsi="宋体"/>
                <w:color w:val="auto"/>
                <w:szCs w:val="21"/>
                <w:highlight w:val="none"/>
              </w:rPr>
            </w:pPr>
          </w:p>
        </w:tc>
        <w:tc>
          <w:tcPr>
            <w:tcW w:w="1899" w:type="dxa"/>
            <w:vMerge w:val="continue"/>
            <w:vAlign w:val="center"/>
          </w:tcPr>
          <w:p w14:paraId="787B1071">
            <w:pPr>
              <w:spacing w:line="400" w:lineRule="exact"/>
              <w:jc w:val="center"/>
              <w:rPr>
                <w:rFonts w:hint="eastAsia" w:ascii="宋体" w:hAnsi="宋体"/>
                <w:color w:val="auto"/>
                <w:szCs w:val="21"/>
                <w:highlight w:val="none"/>
              </w:rPr>
            </w:pPr>
          </w:p>
        </w:tc>
        <w:tc>
          <w:tcPr>
            <w:tcW w:w="6333" w:type="dxa"/>
            <w:vAlign w:val="center"/>
          </w:tcPr>
          <w:p w14:paraId="1EA2B540">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的</w:t>
            </w:r>
            <w:r>
              <w:rPr>
                <w:rFonts w:hint="eastAsia" w:ascii="宋体" w:hAnsi="宋体"/>
                <w:color w:val="auto"/>
                <w:szCs w:val="21"/>
                <w:highlight w:val="none"/>
                <w:lang w:eastAsia="zh-CN"/>
              </w:rPr>
              <w:t>比选截止日</w:t>
            </w:r>
            <w:r>
              <w:rPr>
                <w:rFonts w:hint="eastAsia" w:ascii="宋体" w:hAnsi="宋体"/>
                <w:color w:val="auto"/>
                <w:szCs w:val="21"/>
                <w:highlight w:val="none"/>
              </w:rPr>
              <w:t>投标资格情况</w:t>
            </w:r>
            <w:r>
              <w:rPr>
                <w:rFonts w:hint="eastAsia" w:ascii="宋体" w:hAnsi="宋体"/>
                <w:color w:val="auto"/>
                <w:szCs w:val="21"/>
                <w:highlight w:val="none"/>
                <w:lang w:val="en-US" w:eastAsia="zh-CN"/>
              </w:rPr>
              <w:t>不</w:t>
            </w:r>
            <w:r>
              <w:rPr>
                <w:rFonts w:hint="eastAsia" w:ascii="宋体" w:hAnsi="宋体"/>
                <w:color w:val="auto"/>
                <w:szCs w:val="21"/>
                <w:highlight w:val="none"/>
              </w:rPr>
              <w:t>满足</w:t>
            </w:r>
            <w:r>
              <w:rPr>
                <w:rFonts w:hint="eastAsia" w:ascii="宋体" w:hAnsi="宋体"/>
                <w:color w:val="auto"/>
                <w:szCs w:val="21"/>
                <w:highlight w:val="none"/>
                <w:lang w:eastAsia="zh-CN"/>
              </w:rPr>
              <w:t>供应商</w:t>
            </w:r>
            <w:r>
              <w:rPr>
                <w:rFonts w:hint="eastAsia" w:ascii="宋体" w:hAnsi="宋体"/>
                <w:color w:val="auto"/>
                <w:szCs w:val="21"/>
                <w:highlight w:val="none"/>
              </w:rPr>
              <w:t>须知前附表1.4.1项的要求。</w:t>
            </w:r>
          </w:p>
        </w:tc>
      </w:tr>
      <w:tr w14:paraId="5D864D2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7EDEB648">
            <w:pPr>
              <w:spacing w:line="400" w:lineRule="exact"/>
              <w:jc w:val="center"/>
              <w:rPr>
                <w:rFonts w:hint="eastAsia" w:ascii="宋体" w:hAnsi="宋体"/>
                <w:color w:val="auto"/>
                <w:szCs w:val="21"/>
                <w:highlight w:val="none"/>
              </w:rPr>
            </w:pPr>
          </w:p>
        </w:tc>
        <w:tc>
          <w:tcPr>
            <w:tcW w:w="1899" w:type="dxa"/>
            <w:vMerge w:val="continue"/>
            <w:vAlign w:val="center"/>
          </w:tcPr>
          <w:p w14:paraId="3817D2B5">
            <w:pPr>
              <w:spacing w:line="400" w:lineRule="exact"/>
              <w:jc w:val="center"/>
              <w:rPr>
                <w:rFonts w:hint="eastAsia" w:ascii="宋体" w:hAnsi="宋体"/>
                <w:color w:val="auto"/>
                <w:szCs w:val="21"/>
                <w:highlight w:val="none"/>
              </w:rPr>
            </w:pPr>
          </w:p>
        </w:tc>
        <w:tc>
          <w:tcPr>
            <w:tcW w:w="6333" w:type="dxa"/>
            <w:vAlign w:val="center"/>
          </w:tcPr>
          <w:p w14:paraId="0BC16096">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w:t>
            </w:r>
            <w:r>
              <w:rPr>
                <w:rFonts w:hint="eastAsia" w:ascii="宋体" w:hAnsi="宋体" w:eastAsia="宋体" w:cs="Times New Roman"/>
                <w:color w:val="auto"/>
                <w:szCs w:val="21"/>
                <w:highlight w:val="none"/>
                <w:lang w:eastAsia="zh-CN"/>
              </w:rPr>
              <w:t>商</w:t>
            </w:r>
            <w:r>
              <w:rPr>
                <w:rFonts w:hint="eastAsia" w:ascii="宋体" w:hAnsi="宋体" w:eastAsia="宋体" w:cs="Times New Roman"/>
                <w:color w:val="auto"/>
                <w:szCs w:val="21"/>
                <w:highlight w:val="none"/>
              </w:rPr>
              <w:t>的</w:t>
            </w:r>
            <w:r>
              <w:rPr>
                <w:rFonts w:hint="eastAsia" w:ascii="宋体" w:hAnsi="宋体" w:eastAsia="宋体" w:cs="Times New Roman"/>
                <w:b w:val="0"/>
                <w:color w:val="auto"/>
                <w:kern w:val="2"/>
                <w:szCs w:val="21"/>
                <w:highlight w:val="none"/>
                <w:lang w:bidi="ar"/>
              </w:rPr>
              <w:t>项目经理、项目总工、</w:t>
            </w:r>
            <w:r>
              <w:rPr>
                <w:rFonts w:hint="eastAsia" w:ascii="宋体" w:hAnsi="宋体" w:eastAsia="宋体" w:cs="Times New Roman"/>
                <w:b w:val="0"/>
                <w:color w:val="auto"/>
                <w:kern w:val="2"/>
                <w:szCs w:val="21"/>
                <w:highlight w:val="none"/>
                <w:lang w:val="en-US" w:eastAsia="zh-CN" w:bidi="ar"/>
              </w:rPr>
              <w:t>安全负责人</w:t>
            </w:r>
            <w:r>
              <w:rPr>
                <w:rFonts w:hint="eastAsia" w:ascii="宋体" w:hAnsi="宋体" w:eastAsia="宋体" w:cs="Times New Roman"/>
                <w:color w:val="auto"/>
                <w:szCs w:val="21"/>
                <w:highlight w:val="none"/>
              </w:rPr>
              <w:t>资格</w:t>
            </w:r>
            <w:r>
              <w:rPr>
                <w:rFonts w:hint="eastAsia" w:ascii="宋体" w:hAnsi="宋体" w:eastAsia="宋体" w:cs="Times New Roman"/>
                <w:color w:val="auto"/>
                <w:szCs w:val="21"/>
                <w:highlight w:val="none"/>
                <w:lang w:val="en-US" w:eastAsia="zh-CN"/>
              </w:rPr>
              <w:t>不</w:t>
            </w:r>
            <w:r>
              <w:rPr>
                <w:rFonts w:hint="eastAsia" w:ascii="宋体" w:hAnsi="宋体" w:eastAsia="宋体" w:cs="Times New Roman"/>
                <w:color w:val="auto"/>
                <w:szCs w:val="21"/>
                <w:highlight w:val="none"/>
              </w:rPr>
              <w:t>满</w:t>
            </w:r>
            <w:r>
              <w:rPr>
                <w:rFonts w:hint="eastAsia" w:ascii="宋体" w:hAnsi="宋体"/>
                <w:color w:val="auto"/>
                <w:szCs w:val="21"/>
                <w:highlight w:val="none"/>
              </w:rPr>
              <w:t>足</w:t>
            </w:r>
            <w:r>
              <w:rPr>
                <w:rFonts w:hint="eastAsia" w:ascii="宋体" w:hAnsi="宋体"/>
                <w:color w:val="auto"/>
                <w:szCs w:val="21"/>
                <w:highlight w:val="none"/>
                <w:lang w:eastAsia="zh-CN"/>
              </w:rPr>
              <w:t>供应商</w:t>
            </w:r>
            <w:r>
              <w:rPr>
                <w:rFonts w:hint="eastAsia" w:ascii="宋体" w:hAnsi="宋体"/>
                <w:color w:val="auto"/>
                <w:szCs w:val="21"/>
                <w:highlight w:val="none"/>
              </w:rPr>
              <w:t>须知前附表1.4.1项的要求。</w:t>
            </w:r>
          </w:p>
        </w:tc>
      </w:tr>
      <w:tr w14:paraId="7B7D7C4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086AF5D2">
            <w:pPr>
              <w:spacing w:line="400" w:lineRule="exact"/>
              <w:jc w:val="center"/>
              <w:rPr>
                <w:rFonts w:hint="eastAsia" w:ascii="宋体" w:hAnsi="宋体"/>
                <w:color w:val="auto"/>
                <w:szCs w:val="21"/>
                <w:highlight w:val="none"/>
              </w:rPr>
            </w:pPr>
          </w:p>
        </w:tc>
        <w:tc>
          <w:tcPr>
            <w:tcW w:w="1899" w:type="dxa"/>
            <w:vMerge w:val="continue"/>
            <w:vAlign w:val="center"/>
          </w:tcPr>
          <w:p w14:paraId="2D918D58">
            <w:pPr>
              <w:spacing w:line="400" w:lineRule="exact"/>
              <w:jc w:val="center"/>
              <w:rPr>
                <w:rFonts w:hint="eastAsia" w:ascii="宋体" w:hAnsi="宋体"/>
                <w:color w:val="auto"/>
                <w:szCs w:val="21"/>
                <w:highlight w:val="none"/>
              </w:rPr>
            </w:pPr>
          </w:p>
        </w:tc>
        <w:tc>
          <w:tcPr>
            <w:tcW w:w="6333" w:type="dxa"/>
            <w:vAlign w:val="center"/>
          </w:tcPr>
          <w:p w14:paraId="31C4F7C0">
            <w:pPr>
              <w:spacing w:line="400" w:lineRule="exact"/>
              <w:ind w:firstLine="420" w:firstLineChars="200"/>
              <w:rPr>
                <w:rFonts w:hint="eastAsia" w:ascii="宋体" w:hAnsi="宋体"/>
                <w:color w:val="auto"/>
                <w:szCs w:val="21"/>
                <w:highlight w:val="none"/>
                <w:lang w:eastAsia="zh-CN"/>
              </w:rPr>
            </w:pPr>
            <w:r>
              <w:rPr>
                <w:rFonts w:hint="eastAsia" w:ascii="宋体" w:hAnsi="宋体"/>
                <w:color w:val="auto"/>
                <w:szCs w:val="21"/>
                <w:highlight w:val="none"/>
                <w:lang w:val="en-US" w:eastAsia="zh-CN"/>
              </w:rPr>
              <w:t>供应商</w:t>
            </w:r>
            <w:r>
              <w:rPr>
                <w:rFonts w:hint="eastAsia" w:ascii="宋体" w:hAnsi="宋体"/>
                <w:color w:val="auto"/>
                <w:szCs w:val="21"/>
                <w:highlight w:val="none"/>
              </w:rPr>
              <w:t>的</w:t>
            </w:r>
            <w:r>
              <w:rPr>
                <w:rFonts w:hint="eastAsia" w:ascii="宋体" w:hAnsi="宋体"/>
                <w:color w:val="auto"/>
                <w:kern w:val="0"/>
                <w:highlight w:val="none"/>
              </w:rPr>
              <w:t>其他管理和技术人员最低要求</w:t>
            </w:r>
            <w:r>
              <w:rPr>
                <w:rFonts w:hint="eastAsia" w:ascii="宋体" w:hAnsi="宋体"/>
                <w:color w:val="auto"/>
                <w:szCs w:val="21"/>
                <w:highlight w:val="none"/>
                <w:lang w:val="en-US" w:eastAsia="zh-CN"/>
              </w:rPr>
              <w:t>不</w:t>
            </w:r>
            <w:r>
              <w:rPr>
                <w:rFonts w:hint="eastAsia" w:ascii="宋体" w:hAnsi="宋体"/>
                <w:color w:val="auto"/>
                <w:szCs w:val="21"/>
                <w:highlight w:val="none"/>
              </w:rPr>
              <w:t>满足</w:t>
            </w:r>
            <w:r>
              <w:rPr>
                <w:rFonts w:hint="eastAsia" w:ascii="宋体" w:hAnsi="宋体"/>
                <w:color w:val="auto"/>
                <w:szCs w:val="21"/>
                <w:highlight w:val="none"/>
                <w:lang w:val="en-US" w:eastAsia="zh-CN"/>
              </w:rPr>
              <w:t>供应商</w:t>
            </w:r>
            <w:r>
              <w:rPr>
                <w:rFonts w:hint="eastAsia" w:ascii="宋体" w:hAnsi="宋体"/>
                <w:color w:val="auto"/>
                <w:szCs w:val="21"/>
                <w:highlight w:val="none"/>
              </w:rPr>
              <w:t>须知前附表1.4.1项的要求。</w:t>
            </w:r>
          </w:p>
        </w:tc>
      </w:tr>
      <w:tr w14:paraId="15756CE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7D75F40F">
            <w:pPr>
              <w:spacing w:line="400" w:lineRule="exact"/>
              <w:jc w:val="center"/>
              <w:rPr>
                <w:rFonts w:hint="eastAsia" w:ascii="宋体" w:hAnsi="宋体"/>
                <w:color w:val="auto"/>
                <w:szCs w:val="21"/>
                <w:highlight w:val="none"/>
              </w:rPr>
            </w:pPr>
          </w:p>
        </w:tc>
        <w:tc>
          <w:tcPr>
            <w:tcW w:w="1899" w:type="dxa"/>
            <w:vMerge w:val="continue"/>
            <w:vAlign w:val="center"/>
          </w:tcPr>
          <w:p w14:paraId="1434D410">
            <w:pPr>
              <w:spacing w:line="400" w:lineRule="exact"/>
              <w:jc w:val="center"/>
              <w:rPr>
                <w:rFonts w:hint="eastAsia" w:ascii="宋体" w:hAnsi="宋体"/>
                <w:color w:val="auto"/>
                <w:szCs w:val="21"/>
                <w:highlight w:val="none"/>
              </w:rPr>
            </w:pPr>
          </w:p>
        </w:tc>
        <w:tc>
          <w:tcPr>
            <w:tcW w:w="6333" w:type="dxa"/>
            <w:vAlign w:val="center"/>
          </w:tcPr>
          <w:p w14:paraId="37D29ABE">
            <w:pPr>
              <w:spacing w:line="400" w:lineRule="exact"/>
              <w:ind w:firstLine="420" w:firstLineChars="200"/>
              <w:rPr>
                <w:rFonts w:hint="eastAsia" w:ascii="宋体" w:hAnsi="宋体"/>
                <w:color w:val="auto"/>
                <w:szCs w:val="21"/>
                <w:highlight w:val="none"/>
                <w:lang w:eastAsia="zh-CN"/>
              </w:rPr>
            </w:pPr>
            <w:r>
              <w:rPr>
                <w:rFonts w:hint="eastAsia" w:ascii="宋体" w:hAnsi="宋体"/>
                <w:color w:val="auto"/>
                <w:szCs w:val="21"/>
                <w:highlight w:val="none"/>
                <w:lang w:val="en-US" w:eastAsia="zh-CN"/>
              </w:rPr>
              <w:t>供应商</w:t>
            </w:r>
            <w:r>
              <w:rPr>
                <w:rFonts w:hint="eastAsia" w:ascii="宋体" w:hAnsi="宋体"/>
                <w:color w:val="auto"/>
                <w:szCs w:val="21"/>
                <w:highlight w:val="none"/>
              </w:rPr>
              <w:t>的</w:t>
            </w:r>
            <w:r>
              <w:rPr>
                <w:rFonts w:ascii="宋体" w:hAnsi="宋体"/>
                <w:color w:val="auto"/>
                <w:kern w:val="0"/>
                <w:highlight w:val="none"/>
              </w:rPr>
              <w:t>主要机械设备和试验检测设备最低要求</w:t>
            </w:r>
            <w:r>
              <w:rPr>
                <w:rFonts w:hint="eastAsia" w:ascii="宋体" w:hAnsi="宋体"/>
                <w:color w:val="auto"/>
                <w:szCs w:val="21"/>
                <w:highlight w:val="none"/>
                <w:lang w:val="en-US" w:eastAsia="zh-CN"/>
              </w:rPr>
              <w:t>不</w:t>
            </w:r>
            <w:r>
              <w:rPr>
                <w:rFonts w:hint="eastAsia" w:ascii="宋体" w:hAnsi="宋体"/>
                <w:color w:val="auto"/>
                <w:szCs w:val="21"/>
                <w:highlight w:val="none"/>
              </w:rPr>
              <w:t>满足</w:t>
            </w:r>
            <w:r>
              <w:rPr>
                <w:rFonts w:hint="eastAsia" w:ascii="宋体" w:hAnsi="宋体"/>
                <w:color w:val="auto"/>
                <w:szCs w:val="21"/>
                <w:highlight w:val="none"/>
                <w:lang w:val="en-US" w:eastAsia="zh-CN"/>
              </w:rPr>
              <w:t>供应商</w:t>
            </w:r>
            <w:r>
              <w:rPr>
                <w:rFonts w:hint="eastAsia" w:ascii="宋体" w:hAnsi="宋体"/>
                <w:color w:val="auto"/>
                <w:szCs w:val="21"/>
                <w:highlight w:val="none"/>
              </w:rPr>
              <w:t>须知前附表1.4.1项的要求（如有）。</w:t>
            </w:r>
          </w:p>
        </w:tc>
      </w:tr>
      <w:tr w14:paraId="098732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1831054B">
            <w:pPr>
              <w:spacing w:line="400" w:lineRule="exact"/>
              <w:jc w:val="center"/>
              <w:rPr>
                <w:rFonts w:hint="eastAsia" w:ascii="宋体" w:hAnsi="宋体"/>
                <w:color w:val="auto"/>
                <w:szCs w:val="21"/>
                <w:highlight w:val="none"/>
              </w:rPr>
            </w:pPr>
          </w:p>
        </w:tc>
        <w:tc>
          <w:tcPr>
            <w:tcW w:w="1899" w:type="dxa"/>
            <w:vMerge w:val="continue"/>
            <w:vAlign w:val="center"/>
          </w:tcPr>
          <w:p w14:paraId="5CA67161">
            <w:pPr>
              <w:spacing w:line="400" w:lineRule="exact"/>
              <w:jc w:val="center"/>
              <w:rPr>
                <w:rFonts w:hint="eastAsia" w:ascii="宋体" w:hAnsi="宋体"/>
                <w:color w:val="auto"/>
                <w:szCs w:val="21"/>
                <w:highlight w:val="none"/>
              </w:rPr>
            </w:pPr>
          </w:p>
        </w:tc>
        <w:tc>
          <w:tcPr>
            <w:tcW w:w="6333" w:type="dxa"/>
            <w:vAlign w:val="center"/>
          </w:tcPr>
          <w:p w14:paraId="0F8AAEEF">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的其他要求</w:t>
            </w:r>
            <w:r>
              <w:rPr>
                <w:rFonts w:hint="eastAsia" w:ascii="宋体" w:hAnsi="宋体"/>
                <w:color w:val="auto"/>
                <w:szCs w:val="21"/>
                <w:highlight w:val="none"/>
                <w:lang w:val="en-US" w:eastAsia="zh-CN"/>
              </w:rPr>
              <w:t>不</w:t>
            </w:r>
            <w:r>
              <w:rPr>
                <w:rFonts w:hint="eastAsia" w:ascii="宋体" w:hAnsi="宋体"/>
                <w:color w:val="auto"/>
                <w:szCs w:val="21"/>
                <w:highlight w:val="none"/>
              </w:rPr>
              <w:t>满足</w:t>
            </w:r>
            <w:r>
              <w:rPr>
                <w:rFonts w:hint="eastAsia" w:ascii="宋体" w:hAnsi="宋体"/>
                <w:color w:val="auto"/>
                <w:szCs w:val="21"/>
                <w:highlight w:val="none"/>
                <w:lang w:eastAsia="zh-CN"/>
              </w:rPr>
              <w:t>供应商</w:t>
            </w:r>
            <w:r>
              <w:rPr>
                <w:rFonts w:hint="eastAsia" w:ascii="宋体" w:hAnsi="宋体"/>
                <w:color w:val="auto"/>
                <w:szCs w:val="21"/>
                <w:highlight w:val="none"/>
              </w:rPr>
              <w:t>须知前附表1.4.1项的要求。</w:t>
            </w:r>
          </w:p>
        </w:tc>
      </w:tr>
      <w:tr w14:paraId="252FB25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2B3D3B6">
            <w:pPr>
              <w:spacing w:line="400" w:lineRule="exact"/>
              <w:jc w:val="center"/>
              <w:rPr>
                <w:rFonts w:hint="eastAsia" w:ascii="宋体" w:hAnsi="宋体"/>
                <w:color w:val="auto"/>
                <w:szCs w:val="21"/>
                <w:highlight w:val="none"/>
              </w:rPr>
            </w:pPr>
          </w:p>
        </w:tc>
        <w:tc>
          <w:tcPr>
            <w:tcW w:w="1899" w:type="dxa"/>
            <w:vMerge w:val="restart"/>
            <w:vAlign w:val="center"/>
          </w:tcPr>
          <w:p w14:paraId="20E7A245">
            <w:pPr>
              <w:spacing w:line="400" w:lineRule="exact"/>
              <w:jc w:val="center"/>
              <w:rPr>
                <w:rFonts w:hint="eastAsia" w:ascii="宋体" w:hAnsi="宋体"/>
                <w:color w:val="auto"/>
                <w:szCs w:val="21"/>
                <w:highlight w:val="none"/>
              </w:rPr>
            </w:pPr>
            <w:r>
              <w:rPr>
                <w:rFonts w:hint="eastAsia" w:ascii="宋体" w:hAnsi="宋体"/>
                <w:color w:val="auto"/>
                <w:szCs w:val="21"/>
                <w:highlight w:val="none"/>
              </w:rPr>
              <w:t>形式评审</w:t>
            </w:r>
          </w:p>
        </w:tc>
        <w:tc>
          <w:tcPr>
            <w:tcW w:w="6333" w:type="dxa"/>
            <w:vAlign w:val="top"/>
          </w:tcPr>
          <w:p w14:paraId="481A53DC">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名称与营业执照</w:t>
            </w:r>
            <w:r>
              <w:rPr>
                <w:rFonts w:hint="eastAsia" w:ascii="宋体" w:hAnsi="宋体"/>
                <w:color w:val="auto"/>
                <w:szCs w:val="21"/>
                <w:highlight w:val="none"/>
                <w:lang w:val="en-US" w:eastAsia="zh-CN"/>
              </w:rPr>
              <w:t>(</w:t>
            </w:r>
            <w:r>
              <w:rPr>
                <w:rFonts w:hint="eastAsia" w:ascii="宋体" w:hAnsi="宋体" w:eastAsia="宋体" w:cs="宋体"/>
                <w:color w:val="auto"/>
                <w:szCs w:val="21"/>
                <w:highlight w:val="none"/>
                <w:lang w:val="en-US" w:eastAsia="zh-CN"/>
              </w:rPr>
              <w:t>或</w:t>
            </w:r>
            <w:r>
              <w:rPr>
                <w:rFonts w:hint="eastAsia" w:ascii="宋体" w:hAnsi="宋体" w:eastAsia="宋体" w:cs="宋体"/>
                <w:color w:val="auto"/>
                <w:sz w:val="21"/>
                <w:szCs w:val="21"/>
                <w:highlight w:val="none"/>
                <w:lang w:eastAsia="zh-CN"/>
              </w:rPr>
              <w:t>事业单位法人证书</w:t>
            </w:r>
            <w:r>
              <w:rPr>
                <w:rFonts w:hint="eastAsia" w:ascii="宋体" w:hAnsi="宋体"/>
                <w:color w:val="auto"/>
                <w:szCs w:val="21"/>
                <w:highlight w:val="none"/>
                <w:lang w:val="en-US" w:eastAsia="zh-CN"/>
              </w:rPr>
              <w:t>)</w:t>
            </w:r>
            <w:r>
              <w:rPr>
                <w:rFonts w:hint="eastAsia" w:ascii="宋体" w:hAnsi="宋体"/>
                <w:color w:val="auto"/>
                <w:szCs w:val="21"/>
                <w:highlight w:val="none"/>
              </w:rPr>
              <w:t>、资质证书、安全生产许可证</w:t>
            </w:r>
            <w:r>
              <w:rPr>
                <w:rFonts w:hint="eastAsia" w:ascii="宋体" w:hAnsi="宋体"/>
                <w:color w:val="auto"/>
                <w:szCs w:val="21"/>
                <w:highlight w:val="none"/>
                <w:lang w:val="en-US" w:eastAsia="zh-CN"/>
              </w:rPr>
              <w:t>不</w:t>
            </w:r>
            <w:r>
              <w:rPr>
                <w:rFonts w:hint="eastAsia" w:ascii="宋体" w:hAnsi="宋体"/>
                <w:color w:val="auto"/>
                <w:szCs w:val="21"/>
                <w:highlight w:val="none"/>
              </w:rPr>
              <w:t>一致</w:t>
            </w:r>
            <w:r>
              <w:rPr>
                <w:rFonts w:ascii="宋体" w:hAnsi="宋体"/>
                <w:color w:val="auto"/>
                <w:szCs w:val="21"/>
                <w:highlight w:val="none"/>
              </w:rPr>
              <w:t>。</w:t>
            </w:r>
          </w:p>
        </w:tc>
      </w:tr>
      <w:tr w14:paraId="7AA1C38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0DCE919">
            <w:pPr>
              <w:spacing w:line="400" w:lineRule="exact"/>
              <w:jc w:val="center"/>
              <w:rPr>
                <w:rFonts w:hint="eastAsia" w:ascii="宋体" w:hAnsi="宋体"/>
                <w:color w:val="auto"/>
                <w:szCs w:val="21"/>
                <w:highlight w:val="none"/>
              </w:rPr>
            </w:pPr>
          </w:p>
        </w:tc>
        <w:tc>
          <w:tcPr>
            <w:tcW w:w="1899" w:type="dxa"/>
            <w:vMerge w:val="continue"/>
            <w:vAlign w:val="center"/>
          </w:tcPr>
          <w:p w14:paraId="68DBC640">
            <w:pPr>
              <w:spacing w:line="400" w:lineRule="exact"/>
              <w:jc w:val="center"/>
              <w:rPr>
                <w:rFonts w:hint="eastAsia" w:ascii="宋体" w:hAnsi="宋体"/>
                <w:color w:val="auto"/>
                <w:szCs w:val="21"/>
                <w:highlight w:val="none"/>
              </w:rPr>
            </w:pPr>
          </w:p>
        </w:tc>
        <w:tc>
          <w:tcPr>
            <w:tcW w:w="6333" w:type="dxa"/>
            <w:vAlign w:val="top"/>
          </w:tcPr>
          <w:p w14:paraId="271EC22C">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响应文件</w:t>
            </w:r>
            <w:r>
              <w:rPr>
                <w:rFonts w:hint="eastAsia" w:ascii="宋体" w:hAnsi="宋体"/>
                <w:color w:val="auto"/>
                <w:szCs w:val="21"/>
                <w:highlight w:val="none"/>
              </w:rPr>
              <w:t>格式（不含</w:t>
            </w:r>
            <w:r>
              <w:rPr>
                <w:rFonts w:hint="eastAsia" w:ascii="宋体" w:hAnsi="宋体"/>
                <w:color w:val="auto"/>
                <w:szCs w:val="21"/>
                <w:highlight w:val="none"/>
                <w:lang w:eastAsia="zh-CN"/>
              </w:rPr>
              <w:t>比选函</w:t>
            </w:r>
            <w:r>
              <w:rPr>
                <w:rFonts w:hint="eastAsia" w:ascii="宋体" w:hAnsi="宋体"/>
                <w:color w:val="auto"/>
                <w:szCs w:val="21"/>
                <w:highlight w:val="none"/>
              </w:rPr>
              <w:t>部分）</w:t>
            </w:r>
            <w:r>
              <w:rPr>
                <w:rFonts w:hint="eastAsia" w:ascii="宋体" w:hAnsi="宋体"/>
                <w:color w:val="auto"/>
                <w:szCs w:val="21"/>
                <w:highlight w:val="none"/>
                <w:lang w:val="en-US" w:eastAsia="zh-CN"/>
              </w:rPr>
              <w:t>不</w:t>
            </w:r>
            <w:r>
              <w:rPr>
                <w:rFonts w:hint="eastAsia" w:ascii="宋体" w:hAnsi="宋体"/>
                <w:color w:val="auto"/>
                <w:szCs w:val="21"/>
                <w:highlight w:val="none"/>
              </w:rPr>
              <w:t>符合第二章“</w:t>
            </w:r>
            <w:r>
              <w:rPr>
                <w:rFonts w:hint="eastAsia" w:ascii="宋体" w:hAnsi="宋体"/>
                <w:color w:val="auto"/>
                <w:szCs w:val="21"/>
                <w:highlight w:val="none"/>
                <w:lang w:eastAsia="zh-CN"/>
              </w:rPr>
              <w:t>供应商</w:t>
            </w:r>
            <w:r>
              <w:rPr>
                <w:rFonts w:hint="eastAsia" w:ascii="宋体" w:hAnsi="宋体"/>
                <w:color w:val="auto"/>
                <w:szCs w:val="21"/>
                <w:highlight w:val="none"/>
              </w:rPr>
              <w:t>须知”第3.7款的要求。</w:t>
            </w:r>
          </w:p>
          <w:p w14:paraId="3322A4D3">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编制</w:t>
            </w:r>
            <w:r>
              <w:rPr>
                <w:rFonts w:hint="eastAsia" w:ascii="宋体" w:hAnsi="宋体"/>
                <w:color w:val="auto"/>
                <w:szCs w:val="21"/>
                <w:highlight w:val="none"/>
                <w:lang w:eastAsia="zh-CN"/>
              </w:rPr>
              <w:t>响应文件</w:t>
            </w:r>
            <w:r>
              <w:rPr>
                <w:rFonts w:hint="eastAsia" w:ascii="宋体" w:hAnsi="宋体"/>
                <w:color w:val="auto"/>
                <w:szCs w:val="21"/>
                <w:highlight w:val="none"/>
              </w:rPr>
              <w:t>时对第九章“</w:t>
            </w:r>
            <w:r>
              <w:rPr>
                <w:rFonts w:hint="eastAsia" w:ascii="宋体" w:hAnsi="宋体"/>
                <w:color w:val="auto"/>
                <w:szCs w:val="21"/>
                <w:highlight w:val="none"/>
                <w:lang w:eastAsia="zh-CN"/>
              </w:rPr>
              <w:t>响应文件</w:t>
            </w:r>
            <w:r>
              <w:rPr>
                <w:rFonts w:hint="eastAsia" w:ascii="宋体" w:hAnsi="宋体"/>
                <w:color w:val="auto"/>
                <w:szCs w:val="21"/>
                <w:highlight w:val="none"/>
              </w:rPr>
              <w:t>格式”的相应要素作实质性修改。</w:t>
            </w:r>
          </w:p>
        </w:tc>
      </w:tr>
      <w:tr w14:paraId="167436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A3A296F">
            <w:pPr>
              <w:spacing w:line="400" w:lineRule="exact"/>
              <w:jc w:val="center"/>
              <w:rPr>
                <w:rFonts w:hint="eastAsia" w:ascii="宋体" w:hAnsi="宋体"/>
                <w:color w:val="auto"/>
                <w:szCs w:val="21"/>
                <w:highlight w:val="none"/>
              </w:rPr>
            </w:pPr>
          </w:p>
        </w:tc>
        <w:tc>
          <w:tcPr>
            <w:tcW w:w="1899" w:type="dxa"/>
            <w:vMerge w:val="continue"/>
            <w:vAlign w:val="center"/>
          </w:tcPr>
          <w:p w14:paraId="4BBC3E9E">
            <w:pPr>
              <w:spacing w:line="400" w:lineRule="exact"/>
              <w:jc w:val="center"/>
              <w:rPr>
                <w:rFonts w:hint="eastAsia" w:ascii="宋体" w:hAnsi="宋体"/>
                <w:color w:val="auto"/>
                <w:szCs w:val="21"/>
                <w:highlight w:val="none"/>
              </w:rPr>
            </w:pPr>
          </w:p>
        </w:tc>
        <w:tc>
          <w:tcPr>
            <w:tcW w:w="6333" w:type="dxa"/>
            <w:vAlign w:val="top"/>
          </w:tcPr>
          <w:p w14:paraId="08B25F20">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第九章 </w:t>
            </w:r>
            <w:r>
              <w:rPr>
                <w:rFonts w:hint="eastAsia" w:ascii="宋体" w:hAnsi="宋体"/>
                <w:color w:val="auto"/>
                <w:szCs w:val="21"/>
                <w:highlight w:val="none"/>
                <w:lang w:eastAsia="zh-CN"/>
              </w:rPr>
              <w:t>响应文件</w:t>
            </w:r>
            <w:r>
              <w:rPr>
                <w:rFonts w:hint="eastAsia" w:ascii="宋体" w:hAnsi="宋体"/>
                <w:color w:val="auto"/>
                <w:szCs w:val="21"/>
                <w:highlight w:val="none"/>
              </w:rPr>
              <w:t>格式（不含</w:t>
            </w:r>
            <w:r>
              <w:rPr>
                <w:rFonts w:hint="eastAsia" w:ascii="宋体" w:hAnsi="宋体"/>
                <w:color w:val="auto"/>
                <w:szCs w:val="21"/>
                <w:highlight w:val="none"/>
                <w:lang w:eastAsia="zh-CN"/>
              </w:rPr>
              <w:t>比选函</w:t>
            </w:r>
            <w:r>
              <w:rPr>
                <w:rFonts w:hint="eastAsia" w:ascii="宋体" w:hAnsi="宋体"/>
                <w:color w:val="auto"/>
                <w:szCs w:val="21"/>
                <w:highlight w:val="none"/>
              </w:rPr>
              <w:t>部分）要求法定代表人</w:t>
            </w:r>
            <w:r>
              <w:rPr>
                <w:rFonts w:hint="eastAsia" w:ascii="宋体" w:hAnsi="宋体"/>
                <w:color w:val="auto"/>
                <w:szCs w:val="21"/>
                <w:highlight w:val="none"/>
                <w:lang w:eastAsia="zh-CN"/>
              </w:rPr>
              <w:t>（</w:t>
            </w:r>
            <w:r>
              <w:rPr>
                <w:rFonts w:hint="eastAsia" w:ascii="宋体" w:hAnsi="宋体"/>
                <w:color w:val="auto"/>
                <w:szCs w:val="21"/>
                <w:highlight w:val="none"/>
              </w:rPr>
              <w:t>或其委托代理人</w:t>
            </w:r>
            <w:r>
              <w:rPr>
                <w:rFonts w:hint="eastAsia" w:ascii="宋体" w:hAnsi="宋体"/>
                <w:color w:val="auto"/>
                <w:szCs w:val="21"/>
                <w:highlight w:val="none"/>
                <w:lang w:eastAsia="zh-CN"/>
              </w:rPr>
              <w:t>）签名</w:t>
            </w:r>
            <w:r>
              <w:rPr>
                <w:rFonts w:hint="eastAsia" w:ascii="宋体" w:hAnsi="宋体"/>
                <w:color w:val="auto"/>
                <w:szCs w:val="21"/>
                <w:highlight w:val="none"/>
              </w:rPr>
              <w:t>（或盖章）的</w:t>
            </w:r>
            <w:r>
              <w:rPr>
                <w:rFonts w:hint="eastAsia" w:ascii="宋体" w:hAnsi="宋体"/>
                <w:color w:val="auto"/>
                <w:szCs w:val="21"/>
                <w:highlight w:val="none"/>
                <w:lang w:val="en-US" w:eastAsia="zh-CN"/>
              </w:rPr>
              <w:t>不</w:t>
            </w:r>
            <w:r>
              <w:rPr>
                <w:rFonts w:hint="eastAsia" w:ascii="宋体" w:hAnsi="宋体"/>
                <w:color w:val="auto"/>
                <w:szCs w:val="21"/>
                <w:highlight w:val="none"/>
              </w:rPr>
              <w:t>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w:t>
            </w:r>
            <w:r>
              <w:rPr>
                <w:rFonts w:hint="eastAsia" w:ascii="宋体" w:hAnsi="宋体"/>
                <w:color w:val="auto"/>
                <w:kern w:val="0"/>
                <w:highlight w:val="none"/>
                <w:lang w:val="en-US" w:eastAsia="zh-CN"/>
              </w:rPr>
              <w:t>未</w:t>
            </w:r>
            <w:r>
              <w:rPr>
                <w:rFonts w:hint="eastAsia" w:ascii="宋体" w:hAnsi="宋体"/>
                <w:color w:val="auto"/>
                <w:kern w:val="0"/>
                <w:highlight w:val="none"/>
              </w:rPr>
              <w:t>采用手写签名或</w:t>
            </w:r>
            <w:r>
              <w:rPr>
                <w:rFonts w:hint="eastAsia" w:ascii="宋体" w:hAnsi="宋体"/>
                <w:color w:val="auto"/>
                <w:kern w:val="0"/>
                <w:highlight w:val="none"/>
                <w:lang w:val="en-US" w:eastAsia="zh-CN"/>
              </w:rPr>
              <w:t>未</w:t>
            </w:r>
            <w:r>
              <w:rPr>
                <w:rFonts w:hint="eastAsia" w:ascii="宋体" w:hAnsi="宋体"/>
                <w:color w:val="auto"/>
                <w:kern w:val="0"/>
                <w:highlight w:val="none"/>
              </w:rPr>
              <w:t>签章</w:t>
            </w:r>
            <w:r>
              <w:rPr>
                <w:rFonts w:hint="eastAsia" w:ascii="宋体" w:hAnsi="宋体"/>
                <w:color w:val="auto"/>
                <w:szCs w:val="21"/>
                <w:highlight w:val="none"/>
              </w:rPr>
              <w:t>。</w:t>
            </w:r>
          </w:p>
          <w:p w14:paraId="3C4F1AD0">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第九章 </w:t>
            </w:r>
            <w:r>
              <w:rPr>
                <w:rFonts w:hint="eastAsia" w:ascii="宋体" w:hAnsi="宋体"/>
                <w:color w:val="auto"/>
                <w:szCs w:val="21"/>
                <w:highlight w:val="none"/>
                <w:lang w:eastAsia="zh-CN"/>
              </w:rPr>
              <w:t>响应文件</w:t>
            </w:r>
            <w:r>
              <w:rPr>
                <w:rFonts w:hint="eastAsia" w:ascii="宋体" w:hAnsi="宋体"/>
                <w:color w:val="auto"/>
                <w:szCs w:val="21"/>
                <w:highlight w:val="none"/>
              </w:rPr>
              <w:t>格式（不含</w:t>
            </w:r>
            <w:r>
              <w:rPr>
                <w:rFonts w:hint="eastAsia" w:ascii="宋体" w:hAnsi="宋体"/>
                <w:color w:val="auto"/>
                <w:szCs w:val="21"/>
                <w:highlight w:val="none"/>
                <w:lang w:eastAsia="zh-CN"/>
              </w:rPr>
              <w:t>比选函</w:t>
            </w:r>
            <w:r>
              <w:rPr>
                <w:rFonts w:hint="eastAsia" w:ascii="宋体" w:hAnsi="宋体"/>
                <w:color w:val="auto"/>
                <w:szCs w:val="21"/>
                <w:highlight w:val="none"/>
              </w:rPr>
              <w:t>部分）要求加盖单位法人章的，</w:t>
            </w:r>
            <w:r>
              <w:rPr>
                <w:rFonts w:hint="eastAsia" w:ascii="宋体" w:hAnsi="宋体"/>
                <w:color w:val="auto"/>
                <w:szCs w:val="21"/>
                <w:highlight w:val="none"/>
                <w:lang w:val="en-US" w:eastAsia="zh-CN"/>
              </w:rPr>
              <w:t>未</w:t>
            </w:r>
            <w:r>
              <w:rPr>
                <w:rFonts w:hint="eastAsia" w:ascii="宋体" w:hAnsi="宋体"/>
                <w:color w:val="auto"/>
                <w:szCs w:val="21"/>
                <w:highlight w:val="none"/>
              </w:rPr>
              <w:t>加盖</w:t>
            </w:r>
            <w:r>
              <w:rPr>
                <w:rFonts w:hint="eastAsia" w:ascii="宋体" w:hAnsi="宋体"/>
                <w:color w:val="auto"/>
                <w:szCs w:val="21"/>
                <w:highlight w:val="none"/>
                <w:lang w:eastAsia="zh-CN"/>
              </w:rPr>
              <w:t>供应商</w:t>
            </w:r>
            <w:r>
              <w:rPr>
                <w:rFonts w:hint="eastAsia" w:ascii="宋体" w:hAnsi="宋体"/>
                <w:color w:val="auto"/>
                <w:szCs w:val="21"/>
                <w:highlight w:val="none"/>
              </w:rPr>
              <w:t>单位法人章。</w:t>
            </w:r>
          </w:p>
        </w:tc>
      </w:tr>
      <w:tr w14:paraId="67D691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25EDC8F">
            <w:pPr>
              <w:spacing w:line="400" w:lineRule="exact"/>
              <w:jc w:val="center"/>
              <w:rPr>
                <w:rFonts w:hint="eastAsia" w:ascii="宋体" w:hAnsi="宋体"/>
                <w:color w:val="auto"/>
                <w:szCs w:val="21"/>
                <w:highlight w:val="none"/>
              </w:rPr>
            </w:pPr>
          </w:p>
        </w:tc>
        <w:tc>
          <w:tcPr>
            <w:tcW w:w="1899" w:type="dxa"/>
            <w:vMerge w:val="continue"/>
            <w:tcBorders>
              <w:bottom w:val="single" w:color="auto" w:sz="4" w:space="0"/>
            </w:tcBorders>
            <w:vAlign w:val="center"/>
          </w:tcPr>
          <w:p w14:paraId="5DFF7FAC">
            <w:pPr>
              <w:spacing w:line="400" w:lineRule="exact"/>
              <w:jc w:val="center"/>
              <w:rPr>
                <w:rFonts w:hint="eastAsia" w:ascii="宋体" w:hAnsi="宋体"/>
                <w:color w:val="auto"/>
                <w:szCs w:val="21"/>
                <w:highlight w:val="none"/>
              </w:rPr>
            </w:pPr>
          </w:p>
        </w:tc>
        <w:tc>
          <w:tcPr>
            <w:tcW w:w="6333" w:type="dxa"/>
            <w:vAlign w:val="top"/>
          </w:tcPr>
          <w:p w14:paraId="7B35421C">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法定代表人的委托代理人</w:t>
            </w:r>
            <w:r>
              <w:rPr>
                <w:rFonts w:hint="eastAsia" w:ascii="宋体" w:hAnsi="宋体"/>
                <w:color w:val="auto"/>
                <w:szCs w:val="21"/>
                <w:highlight w:val="none"/>
                <w:lang w:val="en-US" w:eastAsia="zh-CN"/>
              </w:rPr>
              <w:t>无</w:t>
            </w:r>
            <w:r>
              <w:rPr>
                <w:rFonts w:hint="eastAsia" w:ascii="宋体" w:hAnsi="宋体"/>
                <w:color w:val="auto"/>
                <w:szCs w:val="21"/>
                <w:highlight w:val="none"/>
              </w:rPr>
              <w:t>法定代表人签署的授权委托书</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或无</w:t>
            </w:r>
            <w:r>
              <w:rPr>
                <w:rFonts w:hint="eastAsia" w:ascii="宋体" w:hAnsi="宋体"/>
                <w:color w:val="auto"/>
                <w:szCs w:val="21"/>
                <w:highlight w:val="none"/>
                <w:lang w:eastAsia="zh-CN"/>
              </w:rPr>
              <w:t>供应商</w:t>
            </w:r>
            <w:r>
              <w:rPr>
                <w:rFonts w:hint="eastAsia" w:ascii="宋体" w:hAnsi="宋体"/>
                <w:color w:val="auto"/>
                <w:szCs w:val="21"/>
                <w:highlight w:val="none"/>
              </w:rPr>
              <w:t>为其缴纳的养老保险证明材料。</w:t>
            </w:r>
          </w:p>
        </w:tc>
      </w:tr>
      <w:tr w14:paraId="5BBA398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9D26CB0">
            <w:pPr>
              <w:spacing w:line="400" w:lineRule="exact"/>
              <w:jc w:val="center"/>
              <w:rPr>
                <w:rFonts w:hint="eastAsia" w:ascii="宋体" w:hAnsi="宋体"/>
                <w:color w:val="auto"/>
                <w:szCs w:val="21"/>
                <w:highlight w:val="none"/>
              </w:rPr>
            </w:pPr>
          </w:p>
        </w:tc>
        <w:tc>
          <w:tcPr>
            <w:tcW w:w="1899" w:type="dxa"/>
            <w:vMerge w:val="restart"/>
            <w:tcBorders>
              <w:top w:val="single" w:color="auto" w:sz="4" w:space="0"/>
            </w:tcBorders>
            <w:vAlign w:val="center"/>
          </w:tcPr>
          <w:p w14:paraId="3BB102D0">
            <w:pPr>
              <w:spacing w:line="400" w:lineRule="exact"/>
              <w:jc w:val="center"/>
              <w:rPr>
                <w:rFonts w:hint="eastAsia" w:ascii="宋体" w:hAnsi="宋体"/>
                <w:color w:val="auto"/>
                <w:szCs w:val="21"/>
                <w:highlight w:val="none"/>
              </w:rPr>
            </w:pPr>
            <w:r>
              <w:rPr>
                <w:rFonts w:hint="eastAsia" w:ascii="宋体" w:hAnsi="宋体"/>
                <w:color w:val="auto"/>
                <w:szCs w:val="21"/>
                <w:highlight w:val="none"/>
              </w:rPr>
              <w:t>响应性评审</w:t>
            </w:r>
          </w:p>
        </w:tc>
        <w:tc>
          <w:tcPr>
            <w:tcW w:w="6333" w:type="dxa"/>
            <w:vAlign w:val="center"/>
          </w:tcPr>
          <w:p w14:paraId="7F99C678">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比选内容</w:t>
            </w:r>
            <w:r>
              <w:rPr>
                <w:rFonts w:hint="eastAsia" w:ascii="宋体" w:hAnsi="宋体"/>
                <w:color w:val="auto"/>
                <w:szCs w:val="21"/>
                <w:highlight w:val="none"/>
                <w:lang w:val="en-US" w:eastAsia="zh-CN"/>
              </w:rPr>
              <w:t>不</w:t>
            </w:r>
            <w:r>
              <w:rPr>
                <w:rFonts w:hint="eastAsia" w:ascii="宋体" w:hAnsi="宋体"/>
                <w:color w:val="auto"/>
                <w:szCs w:val="21"/>
                <w:highlight w:val="none"/>
              </w:rPr>
              <w:t>符合第二章“</w:t>
            </w:r>
            <w:r>
              <w:rPr>
                <w:rFonts w:hint="eastAsia" w:ascii="宋体" w:hAnsi="宋体"/>
                <w:color w:val="auto"/>
                <w:szCs w:val="21"/>
                <w:highlight w:val="none"/>
                <w:lang w:eastAsia="zh-CN"/>
              </w:rPr>
              <w:t>供应商</w:t>
            </w:r>
            <w:r>
              <w:rPr>
                <w:rFonts w:hint="eastAsia" w:ascii="宋体" w:hAnsi="宋体"/>
                <w:color w:val="auto"/>
                <w:szCs w:val="21"/>
                <w:highlight w:val="none"/>
              </w:rPr>
              <w:t>须知”第1.3.1项规定。</w:t>
            </w:r>
          </w:p>
        </w:tc>
      </w:tr>
      <w:tr w14:paraId="6831C78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A7C9251">
            <w:pPr>
              <w:spacing w:line="400" w:lineRule="exact"/>
              <w:jc w:val="center"/>
              <w:rPr>
                <w:rFonts w:hint="eastAsia" w:ascii="宋体" w:hAnsi="宋体"/>
                <w:color w:val="auto"/>
                <w:szCs w:val="21"/>
                <w:highlight w:val="none"/>
              </w:rPr>
            </w:pPr>
          </w:p>
        </w:tc>
        <w:tc>
          <w:tcPr>
            <w:tcW w:w="1899" w:type="dxa"/>
            <w:vMerge w:val="continue"/>
            <w:vAlign w:val="center"/>
          </w:tcPr>
          <w:p w14:paraId="612E48D7">
            <w:pPr>
              <w:spacing w:line="400" w:lineRule="exact"/>
              <w:jc w:val="center"/>
              <w:rPr>
                <w:rFonts w:hint="eastAsia" w:ascii="宋体" w:hAnsi="宋体"/>
                <w:color w:val="auto"/>
                <w:szCs w:val="21"/>
                <w:highlight w:val="none"/>
              </w:rPr>
            </w:pPr>
          </w:p>
        </w:tc>
        <w:tc>
          <w:tcPr>
            <w:tcW w:w="6333" w:type="dxa"/>
            <w:vAlign w:val="center"/>
          </w:tcPr>
          <w:p w14:paraId="4AFCAEA7">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val="en-US" w:eastAsia="zh-CN"/>
              </w:rPr>
              <w:t>比选保证金不</w:t>
            </w:r>
            <w:r>
              <w:rPr>
                <w:rFonts w:hint="eastAsia" w:ascii="宋体" w:hAnsi="宋体" w:cs="宋体"/>
                <w:color w:val="auto"/>
                <w:kern w:val="0"/>
                <w:highlight w:val="none"/>
              </w:rPr>
              <w:t>符合第二章“</w:t>
            </w:r>
            <w:r>
              <w:rPr>
                <w:rFonts w:hint="eastAsia" w:ascii="宋体" w:hAnsi="宋体" w:cs="宋体"/>
                <w:color w:val="auto"/>
                <w:kern w:val="0"/>
                <w:highlight w:val="none"/>
                <w:lang w:eastAsia="zh-CN"/>
              </w:rPr>
              <w:t>供应商</w:t>
            </w:r>
            <w:r>
              <w:rPr>
                <w:rFonts w:hint="eastAsia" w:ascii="宋体" w:hAnsi="宋体" w:cs="宋体"/>
                <w:color w:val="auto"/>
                <w:kern w:val="0"/>
                <w:highlight w:val="none"/>
              </w:rPr>
              <w:t>须知前附表”第3.4款规定</w:t>
            </w:r>
            <w:r>
              <w:rPr>
                <w:rFonts w:hint="eastAsia" w:ascii="宋体" w:hAnsi="宋体"/>
                <w:color w:val="auto"/>
                <w:szCs w:val="21"/>
                <w:highlight w:val="none"/>
              </w:rPr>
              <w:t>。</w:t>
            </w:r>
          </w:p>
        </w:tc>
      </w:tr>
      <w:tr w14:paraId="3631EC2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BB8A400">
            <w:pPr>
              <w:spacing w:line="400" w:lineRule="exact"/>
              <w:jc w:val="center"/>
              <w:rPr>
                <w:rFonts w:hint="eastAsia" w:ascii="宋体" w:hAnsi="宋体"/>
                <w:color w:val="auto"/>
                <w:szCs w:val="21"/>
                <w:highlight w:val="none"/>
              </w:rPr>
            </w:pPr>
          </w:p>
        </w:tc>
        <w:tc>
          <w:tcPr>
            <w:tcW w:w="1899" w:type="dxa"/>
            <w:vMerge w:val="continue"/>
            <w:vAlign w:val="center"/>
          </w:tcPr>
          <w:p w14:paraId="270AE0BA">
            <w:pPr>
              <w:spacing w:line="400" w:lineRule="exact"/>
              <w:jc w:val="center"/>
              <w:rPr>
                <w:rFonts w:hint="eastAsia" w:ascii="宋体" w:hAnsi="宋体"/>
                <w:color w:val="auto"/>
                <w:szCs w:val="21"/>
                <w:highlight w:val="none"/>
              </w:rPr>
            </w:pPr>
          </w:p>
        </w:tc>
        <w:tc>
          <w:tcPr>
            <w:tcW w:w="6333" w:type="dxa"/>
            <w:vAlign w:val="center"/>
          </w:tcPr>
          <w:p w14:paraId="37ECA35F">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val="en-US" w:eastAsia="zh-CN"/>
              </w:rPr>
              <w:t>不</w:t>
            </w:r>
            <w:r>
              <w:rPr>
                <w:rFonts w:hint="eastAsia" w:ascii="宋体" w:hAnsi="宋体"/>
                <w:color w:val="auto"/>
                <w:szCs w:val="21"/>
                <w:highlight w:val="none"/>
              </w:rPr>
              <w:t>符合第四章“合同条款及格式”规定，</w:t>
            </w:r>
            <w:r>
              <w:rPr>
                <w:rFonts w:hint="eastAsia" w:ascii="宋体" w:hAnsi="宋体"/>
                <w:color w:val="auto"/>
                <w:szCs w:val="21"/>
                <w:highlight w:val="none"/>
                <w:lang w:eastAsia="zh-CN"/>
              </w:rPr>
              <w:t>响应文件</w:t>
            </w:r>
            <w:r>
              <w:rPr>
                <w:rFonts w:hint="eastAsia" w:ascii="宋体" w:hAnsi="宋体"/>
                <w:color w:val="auto"/>
                <w:szCs w:val="21"/>
                <w:highlight w:val="none"/>
              </w:rPr>
              <w:t>附有</w:t>
            </w:r>
            <w:r>
              <w:rPr>
                <w:rFonts w:hint="eastAsia" w:ascii="宋体" w:hAnsi="宋体"/>
                <w:color w:val="auto"/>
                <w:szCs w:val="21"/>
                <w:highlight w:val="none"/>
                <w:lang w:eastAsia="zh-CN"/>
              </w:rPr>
              <w:t>采购人</w:t>
            </w:r>
            <w:r>
              <w:rPr>
                <w:rFonts w:hint="eastAsia" w:ascii="宋体" w:hAnsi="宋体"/>
                <w:color w:val="auto"/>
                <w:szCs w:val="21"/>
                <w:highlight w:val="none"/>
              </w:rPr>
              <w:t>不能接受的条件。（由</w:t>
            </w:r>
            <w:r>
              <w:rPr>
                <w:rFonts w:hint="eastAsia" w:ascii="宋体" w:hAnsi="宋体"/>
                <w:color w:val="auto"/>
                <w:szCs w:val="21"/>
                <w:highlight w:val="none"/>
                <w:lang w:eastAsia="zh-CN"/>
              </w:rPr>
              <w:t>供应商</w:t>
            </w:r>
            <w:r>
              <w:rPr>
                <w:rFonts w:hint="eastAsia" w:ascii="宋体" w:hAnsi="宋体"/>
                <w:color w:val="auto"/>
                <w:szCs w:val="21"/>
                <w:highlight w:val="none"/>
              </w:rPr>
              <w:t>承诺，承诺书格式详见第九章</w:t>
            </w:r>
            <w:r>
              <w:rPr>
                <w:rFonts w:hint="eastAsia" w:ascii="宋体" w:hAnsi="宋体"/>
                <w:color w:val="auto"/>
                <w:szCs w:val="21"/>
                <w:highlight w:val="none"/>
                <w:lang w:eastAsia="zh-CN"/>
              </w:rPr>
              <w:t>响应文件</w:t>
            </w:r>
            <w:r>
              <w:rPr>
                <w:rFonts w:hint="eastAsia" w:ascii="宋体" w:hAnsi="宋体"/>
                <w:color w:val="auto"/>
                <w:szCs w:val="21"/>
                <w:highlight w:val="none"/>
              </w:rPr>
              <w:t>格式。）</w:t>
            </w:r>
          </w:p>
        </w:tc>
      </w:tr>
      <w:tr w14:paraId="0933F06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ED3A1BF">
            <w:pPr>
              <w:spacing w:line="400" w:lineRule="exact"/>
              <w:jc w:val="center"/>
              <w:rPr>
                <w:rFonts w:hint="eastAsia" w:ascii="宋体" w:hAnsi="宋体"/>
                <w:color w:val="auto"/>
                <w:szCs w:val="21"/>
                <w:highlight w:val="none"/>
              </w:rPr>
            </w:pPr>
          </w:p>
        </w:tc>
        <w:tc>
          <w:tcPr>
            <w:tcW w:w="1899" w:type="dxa"/>
            <w:vMerge w:val="continue"/>
            <w:vAlign w:val="center"/>
          </w:tcPr>
          <w:p w14:paraId="6BB0DD5C">
            <w:pPr>
              <w:spacing w:line="400" w:lineRule="exact"/>
              <w:jc w:val="center"/>
              <w:rPr>
                <w:rFonts w:hint="eastAsia" w:ascii="宋体" w:hAnsi="宋体"/>
                <w:color w:val="auto"/>
                <w:szCs w:val="21"/>
                <w:highlight w:val="none"/>
              </w:rPr>
            </w:pPr>
          </w:p>
        </w:tc>
        <w:tc>
          <w:tcPr>
            <w:tcW w:w="6333" w:type="dxa"/>
            <w:vAlign w:val="center"/>
          </w:tcPr>
          <w:p w14:paraId="209E36D7">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val="en-US" w:eastAsia="zh-CN"/>
              </w:rPr>
              <w:t>不</w:t>
            </w:r>
            <w:r>
              <w:rPr>
                <w:rFonts w:hint="eastAsia" w:ascii="宋体" w:hAnsi="宋体"/>
                <w:color w:val="auto"/>
                <w:szCs w:val="21"/>
                <w:highlight w:val="none"/>
              </w:rPr>
              <w:t>符合第七章“技术标准和要求”规定</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如有</w:t>
            </w:r>
            <w:r>
              <w:rPr>
                <w:rFonts w:hint="eastAsia" w:ascii="宋体" w:hAnsi="宋体"/>
                <w:color w:val="auto"/>
                <w:szCs w:val="21"/>
                <w:highlight w:val="none"/>
                <w:lang w:eastAsia="zh-CN"/>
              </w:rPr>
              <w:t>）</w:t>
            </w:r>
            <w:r>
              <w:rPr>
                <w:rFonts w:hint="eastAsia" w:ascii="宋体" w:hAnsi="宋体"/>
                <w:color w:val="auto"/>
                <w:szCs w:val="21"/>
                <w:highlight w:val="none"/>
              </w:rPr>
              <w:t>。（由</w:t>
            </w:r>
            <w:r>
              <w:rPr>
                <w:rFonts w:hint="eastAsia" w:ascii="宋体" w:hAnsi="宋体"/>
                <w:color w:val="auto"/>
                <w:szCs w:val="21"/>
                <w:highlight w:val="none"/>
                <w:lang w:eastAsia="zh-CN"/>
              </w:rPr>
              <w:t>供应商</w:t>
            </w:r>
            <w:r>
              <w:rPr>
                <w:rFonts w:hint="eastAsia" w:ascii="宋体" w:hAnsi="宋体"/>
                <w:color w:val="auto"/>
                <w:szCs w:val="21"/>
                <w:highlight w:val="none"/>
              </w:rPr>
              <w:t>承诺，承诺书格式详见第九章</w:t>
            </w:r>
            <w:r>
              <w:rPr>
                <w:rFonts w:hint="eastAsia" w:ascii="宋体" w:hAnsi="宋体"/>
                <w:color w:val="auto"/>
                <w:szCs w:val="21"/>
                <w:highlight w:val="none"/>
                <w:lang w:eastAsia="zh-CN"/>
              </w:rPr>
              <w:t>响应文件</w:t>
            </w:r>
            <w:r>
              <w:rPr>
                <w:rFonts w:hint="eastAsia" w:ascii="宋体" w:hAnsi="宋体"/>
                <w:color w:val="auto"/>
                <w:szCs w:val="21"/>
                <w:highlight w:val="none"/>
              </w:rPr>
              <w:t>格式。）</w:t>
            </w:r>
          </w:p>
        </w:tc>
      </w:tr>
      <w:tr w14:paraId="558A2A5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A01C323">
            <w:pPr>
              <w:spacing w:line="400" w:lineRule="exact"/>
              <w:jc w:val="center"/>
              <w:rPr>
                <w:rFonts w:hint="eastAsia" w:ascii="宋体" w:hAnsi="宋体"/>
                <w:color w:val="auto"/>
                <w:szCs w:val="21"/>
                <w:highlight w:val="none"/>
              </w:rPr>
            </w:pPr>
          </w:p>
        </w:tc>
        <w:tc>
          <w:tcPr>
            <w:tcW w:w="1899" w:type="dxa"/>
            <w:vMerge w:val="continue"/>
            <w:vAlign w:val="center"/>
          </w:tcPr>
          <w:p w14:paraId="5AF60174">
            <w:pPr>
              <w:spacing w:line="400" w:lineRule="exact"/>
              <w:jc w:val="center"/>
              <w:rPr>
                <w:rFonts w:hint="eastAsia" w:ascii="宋体" w:hAnsi="宋体"/>
                <w:color w:val="auto"/>
                <w:szCs w:val="21"/>
                <w:highlight w:val="none"/>
              </w:rPr>
            </w:pPr>
          </w:p>
        </w:tc>
        <w:tc>
          <w:tcPr>
            <w:tcW w:w="6333" w:type="dxa"/>
            <w:vAlign w:val="center"/>
          </w:tcPr>
          <w:p w14:paraId="2591D25E">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有以下情形之一的：</w:t>
            </w:r>
          </w:p>
          <w:p w14:paraId="629FC1A6">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val="en-US" w:eastAsia="zh-CN"/>
              </w:rPr>
              <w:t>1</w:t>
            </w:r>
            <w:r>
              <w:rPr>
                <w:rFonts w:hint="eastAsia" w:ascii="宋体" w:hAnsi="宋体"/>
                <w:color w:val="auto"/>
                <w:szCs w:val="21"/>
                <w:highlight w:val="none"/>
              </w:rPr>
              <w:t>.本次</w:t>
            </w:r>
            <w:r>
              <w:rPr>
                <w:rFonts w:hint="eastAsia" w:ascii="宋体" w:hAnsi="宋体"/>
                <w:color w:val="auto"/>
                <w:szCs w:val="21"/>
                <w:highlight w:val="none"/>
                <w:lang w:eastAsia="zh-CN"/>
              </w:rPr>
              <w:t>比选</w:t>
            </w:r>
            <w:r>
              <w:rPr>
                <w:rFonts w:hint="eastAsia" w:ascii="宋体" w:hAnsi="宋体"/>
                <w:color w:val="auto"/>
                <w:szCs w:val="21"/>
                <w:highlight w:val="none"/>
                <w:lang w:val="en-US" w:eastAsia="zh-CN"/>
              </w:rPr>
              <w:t>存在</w:t>
            </w:r>
            <w:r>
              <w:rPr>
                <w:rFonts w:hint="eastAsia" w:ascii="宋体" w:hAnsi="宋体"/>
                <w:color w:val="auto"/>
                <w:szCs w:val="21"/>
                <w:highlight w:val="none"/>
              </w:rPr>
              <w:t>弄虚作假等</w:t>
            </w:r>
            <w:r>
              <w:rPr>
                <w:rFonts w:hint="eastAsia" w:ascii="宋体" w:hAnsi="宋体"/>
                <w:color w:val="auto"/>
                <w:szCs w:val="21"/>
                <w:highlight w:val="none"/>
                <w:lang w:val="en-US" w:eastAsia="zh-CN"/>
              </w:rPr>
              <w:t>其他</w:t>
            </w:r>
            <w:r>
              <w:rPr>
                <w:rFonts w:hint="eastAsia" w:ascii="宋体" w:hAnsi="宋体"/>
                <w:color w:val="auto"/>
                <w:szCs w:val="21"/>
                <w:highlight w:val="none"/>
              </w:rPr>
              <w:t>违反招投标相关法律、法规的行为的；</w:t>
            </w:r>
          </w:p>
          <w:p w14:paraId="1623CC29">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val="en-US" w:eastAsia="zh-CN"/>
              </w:rPr>
              <w:t>2</w:t>
            </w:r>
            <w:r>
              <w:rPr>
                <w:rFonts w:hint="eastAsia" w:ascii="宋体" w:hAnsi="宋体"/>
                <w:color w:val="auto"/>
                <w:szCs w:val="21"/>
                <w:highlight w:val="none"/>
              </w:rPr>
              <w:t>.拒绝按</w:t>
            </w:r>
            <w:r>
              <w:rPr>
                <w:rFonts w:hint="eastAsia" w:ascii="宋体" w:hAnsi="宋体"/>
                <w:color w:val="auto"/>
                <w:szCs w:val="21"/>
                <w:highlight w:val="none"/>
                <w:lang w:eastAsia="zh-CN"/>
              </w:rPr>
              <w:t>评审委员会</w:t>
            </w:r>
            <w:r>
              <w:rPr>
                <w:rFonts w:hint="eastAsia" w:ascii="宋体" w:hAnsi="宋体"/>
                <w:color w:val="auto"/>
                <w:szCs w:val="21"/>
                <w:highlight w:val="none"/>
              </w:rPr>
              <w:t>要求澄清、说明或补正的。</w:t>
            </w:r>
          </w:p>
        </w:tc>
      </w:tr>
      <w:tr w14:paraId="1AE0049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FAF61ED">
            <w:pPr>
              <w:spacing w:line="400" w:lineRule="exact"/>
              <w:jc w:val="center"/>
              <w:rPr>
                <w:rFonts w:hint="eastAsia" w:ascii="宋体" w:hAnsi="宋体"/>
                <w:color w:val="auto"/>
                <w:szCs w:val="21"/>
                <w:highlight w:val="none"/>
              </w:rPr>
            </w:pPr>
          </w:p>
        </w:tc>
        <w:tc>
          <w:tcPr>
            <w:tcW w:w="1899" w:type="dxa"/>
            <w:vMerge w:val="restart"/>
            <w:vAlign w:val="center"/>
          </w:tcPr>
          <w:p w14:paraId="38C4BE41">
            <w:pPr>
              <w:spacing w:line="400" w:lineRule="exact"/>
              <w:jc w:val="center"/>
              <w:rPr>
                <w:rFonts w:hint="eastAsia" w:ascii="宋体" w:hAnsi="宋体"/>
                <w:color w:val="auto"/>
                <w:szCs w:val="21"/>
                <w:highlight w:val="none"/>
              </w:rPr>
            </w:pPr>
            <w:r>
              <w:rPr>
                <w:rFonts w:hint="eastAsia" w:ascii="宋体" w:hAnsi="宋体"/>
                <w:color w:val="auto"/>
                <w:szCs w:val="21"/>
                <w:highlight w:val="none"/>
                <w:lang w:eastAsia="zh-CN"/>
              </w:rPr>
              <w:t>比选函</w:t>
            </w:r>
            <w:r>
              <w:rPr>
                <w:rFonts w:hint="eastAsia" w:ascii="宋体" w:hAnsi="宋体"/>
                <w:color w:val="auto"/>
                <w:szCs w:val="21"/>
                <w:highlight w:val="none"/>
                <w:lang w:val="en-US" w:eastAsia="zh-CN"/>
              </w:rPr>
              <w:t>部分</w:t>
            </w:r>
            <w:r>
              <w:rPr>
                <w:rFonts w:hint="eastAsia" w:ascii="宋体" w:hAnsi="宋体"/>
                <w:color w:val="auto"/>
                <w:szCs w:val="21"/>
                <w:highlight w:val="none"/>
              </w:rPr>
              <w:t>评审</w:t>
            </w:r>
          </w:p>
        </w:tc>
        <w:tc>
          <w:tcPr>
            <w:tcW w:w="6333" w:type="dxa"/>
            <w:vAlign w:val="center"/>
          </w:tcPr>
          <w:p w14:paraId="1618B2A8">
            <w:pPr>
              <w:spacing w:line="400" w:lineRule="exact"/>
              <w:ind w:firstLine="420" w:firstLineChars="200"/>
              <w:rPr>
                <w:rFonts w:hint="eastAsia" w:ascii="宋体" w:hAnsi="宋体"/>
                <w:color w:val="auto"/>
                <w:szCs w:val="21"/>
                <w:highlight w:val="none"/>
              </w:rPr>
            </w:pPr>
            <w:r>
              <w:rPr>
                <w:rFonts w:hint="eastAsia" w:ascii="宋体" w:hAnsi="宋体" w:cs="宋体"/>
                <w:color w:val="auto"/>
                <w:kern w:val="0"/>
                <w:highlight w:val="none"/>
                <w:lang w:eastAsia="zh-CN"/>
              </w:rPr>
              <w:t>比选函</w:t>
            </w:r>
            <w:r>
              <w:rPr>
                <w:rFonts w:hint="eastAsia" w:ascii="宋体" w:hAnsi="宋体" w:cs="宋体"/>
                <w:color w:val="auto"/>
                <w:kern w:val="0"/>
                <w:highlight w:val="none"/>
              </w:rPr>
              <w:t>部分的格式要求法定代表人</w:t>
            </w:r>
            <w:r>
              <w:rPr>
                <w:rFonts w:hint="eastAsia" w:ascii="宋体" w:hAnsi="宋体" w:cs="宋体"/>
                <w:color w:val="auto"/>
                <w:kern w:val="0"/>
                <w:highlight w:val="none"/>
                <w:lang w:eastAsia="zh-CN"/>
              </w:rPr>
              <w:t>（</w:t>
            </w:r>
            <w:r>
              <w:rPr>
                <w:rFonts w:hint="eastAsia" w:ascii="宋体" w:hAnsi="宋体" w:cs="宋体"/>
                <w:color w:val="auto"/>
                <w:kern w:val="0"/>
                <w:highlight w:val="none"/>
              </w:rPr>
              <w:t>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w:t>
            </w:r>
            <w:r>
              <w:rPr>
                <w:rFonts w:hint="eastAsia" w:ascii="宋体" w:hAnsi="宋体" w:cs="宋体"/>
                <w:color w:val="auto"/>
                <w:kern w:val="0"/>
                <w:highlight w:val="none"/>
                <w:lang w:val="en-US" w:eastAsia="zh-CN"/>
              </w:rPr>
              <w:t>不</w:t>
            </w:r>
            <w:r>
              <w:rPr>
                <w:rFonts w:hint="eastAsia" w:ascii="宋体" w:hAnsi="宋体" w:cs="宋体"/>
                <w:color w:val="auto"/>
                <w:kern w:val="0"/>
                <w:highlight w:val="none"/>
              </w:rPr>
              <w:t>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w:t>
            </w:r>
            <w:r>
              <w:rPr>
                <w:rFonts w:hint="eastAsia" w:ascii="宋体" w:hAnsi="宋体"/>
                <w:color w:val="auto"/>
                <w:kern w:val="0"/>
                <w:highlight w:val="none"/>
                <w:lang w:val="en-US" w:eastAsia="zh-CN"/>
              </w:rPr>
              <w:t>未</w:t>
            </w:r>
            <w:r>
              <w:rPr>
                <w:rFonts w:hint="eastAsia" w:ascii="宋体" w:hAnsi="宋体"/>
                <w:color w:val="auto"/>
                <w:kern w:val="0"/>
                <w:highlight w:val="none"/>
              </w:rPr>
              <w:t>采用手写签名或</w:t>
            </w:r>
            <w:r>
              <w:rPr>
                <w:rFonts w:hint="eastAsia" w:ascii="宋体" w:hAnsi="宋体"/>
                <w:color w:val="auto"/>
                <w:kern w:val="0"/>
                <w:highlight w:val="none"/>
                <w:lang w:val="en-US" w:eastAsia="zh-CN"/>
              </w:rPr>
              <w:t>未</w:t>
            </w:r>
            <w:r>
              <w:rPr>
                <w:rFonts w:hint="eastAsia" w:ascii="宋体" w:hAnsi="宋体"/>
                <w:color w:val="auto"/>
                <w:kern w:val="0"/>
                <w:highlight w:val="none"/>
              </w:rPr>
              <w:t>签章</w:t>
            </w:r>
            <w:r>
              <w:rPr>
                <w:rFonts w:hint="eastAsia" w:ascii="宋体" w:hAnsi="宋体"/>
                <w:color w:val="auto"/>
                <w:kern w:val="0"/>
                <w:highlight w:val="none"/>
                <w:lang w:eastAsia="zh-CN"/>
              </w:rPr>
              <w:t>，</w:t>
            </w:r>
            <w:r>
              <w:rPr>
                <w:rFonts w:hint="eastAsia" w:ascii="宋体" w:hAnsi="宋体" w:cs="宋体"/>
                <w:color w:val="auto"/>
                <w:kern w:val="0"/>
                <w:highlight w:val="none"/>
              </w:rPr>
              <w:t>要求加盖单位法人章的，</w:t>
            </w:r>
            <w:r>
              <w:rPr>
                <w:rFonts w:hint="eastAsia" w:ascii="宋体" w:hAnsi="宋体" w:cs="宋体"/>
                <w:color w:val="auto"/>
                <w:kern w:val="0"/>
                <w:highlight w:val="none"/>
                <w:lang w:val="en-US" w:eastAsia="zh-CN"/>
              </w:rPr>
              <w:t>未</w:t>
            </w:r>
            <w:r>
              <w:rPr>
                <w:rFonts w:hint="eastAsia" w:ascii="宋体" w:hAnsi="宋体" w:cs="宋体"/>
                <w:color w:val="auto"/>
                <w:kern w:val="0"/>
                <w:highlight w:val="none"/>
              </w:rPr>
              <w:t>加盖</w:t>
            </w:r>
            <w:r>
              <w:rPr>
                <w:rFonts w:hint="eastAsia" w:ascii="宋体" w:hAnsi="宋体" w:cs="宋体"/>
                <w:color w:val="auto"/>
                <w:kern w:val="0"/>
                <w:highlight w:val="none"/>
                <w:lang w:eastAsia="zh-CN"/>
              </w:rPr>
              <w:t>供应商</w:t>
            </w:r>
            <w:r>
              <w:rPr>
                <w:rFonts w:hint="eastAsia" w:ascii="宋体" w:hAnsi="宋体"/>
                <w:color w:val="auto"/>
                <w:szCs w:val="21"/>
                <w:highlight w:val="none"/>
              </w:rPr>
              <w:t>单位法人章。</w:t>
            </w:r>
          </w:p>
        </w:tc>
      </w:tr>
      <w:tr w14:paraId="48AAF66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1FE69B3">
            <w:pPr>
              <w:spacing w:line="400" w:lineRule="exact"/>
              <w:jc w:val="center"/>
              <w:rPr>
                <w:rFonts w:hint="eastAsia" w:ascii="宋体" w:hAnsi="宋体"/>
                <w:color w:val="auto"/>
                <w:szCs w:val="21"/>
                <w:highlight w:val="none"/>
              </w:rPr>
            </w:pPr>
          </w:p>
        </w:tc>
        <w:tc>
          <w:tcPr>
            <w:tcW w:w="1899" w:type="dxa"/>
            <w:vMerge w:val="continue"/>
            <w:vAlign w:val="center"/>
          </w:tcPr>
          <w:p w14:paraId="6CD8B547">
            <w:pPr>
              <w:spacing w:line="400" w:lineRule="exact"/>
              <w:jc w:val="center"/>
              <w:rPr>
                <w:rFonts w:hint="eastAsia" w:ascii="宋体" w:hAnsi="宋体"/>
                <w:color w:val="auto"/>
                <w:szCs w:val="21"/>
                <w:highlight w:val="none"/>
              </w:rPr>
            </w:pPr>
          </w:p>
        </w:tc>
        <w:tc>
          <w:tcPr>
            <w:tcW w:w="6333" w:type="dxa"/>
            <w:vAlign w:val="center"/>
          </w:tcPr>
          <w:p w14:paraId="1CA54805">
            <w:pPr>
              <w:spacing w:line="400" w:lineRule="exact"/>
              <w:ind w:firstLine="420" w:firstLineChars="200"/>
              <w:rPr>
                <w:rFonts w:hint="eastAsia" w:ascii="宋体" w:hAnsi="宋体" w:cs="宋体"/>
                <w:color w:val="auto"/>
                <w:kern w:val="0"/>
                <w:highlight w:val="none"/>
              </w:rPr>
            </w:pPr>
            <w:r>
              <w:rPr>
                <w:rFonts w:hint="eastAsia" w:ascii="宋体" w:hAnsi="宋体"/>
                <w:color w:val="auto"/>
                <w:szCs w:val="21"/>
                <w:highlight w:val="none"/>
                <w:lang w:eastAsia="zh-CN"/>
              </w:rPr>
              <w:t>比选函</w:t>
            </w:r>
            <w:r>
              <w:rPr>
                <w:rFonts w:hint="eastAsia" w:ascii="宋体" w:hAnsi="宋体"/>
                <w:color w:val="auto"/>
                <w:szCs w:val="21"/>
                <w:highlight w:val="none"/>
              </w:rPr>
              <w:t>附录的数据</w:t>
            </w:r>
            <w:r>
              <w:rPr>
                <w:rFonts w:hint="eastAsia" w:ascii="宋体" w:hAnsi="宋体"/>
                <w:color w:val="auto"/>
                <w:szCs w:val="21"/>
                <w:highlight w:val="none"/>
                <w:lang w:val="en-US" w:eastAsia="zh-CN"/>
              </w:rPr>
              <w:t>不</w:t>
            </w:r>
            <w:r>
              <w:rPr>
                <w:rFonts w:hint="eastAsia" w:ascii="宋体" w:hAnsi="宋体"/>
                <w:color w:val="auto"/>
                <w:szCs w:val="21"/>
                <w:highlight w:val="none"/>
              </w:rPr>
              <w:t>符合</w:t>
            </w:r>
            <w:r>
              <w:rPr>
                <w:rFonts w:hint="eastAsia" w:ascii="宋体" w:hAnsi="宋体"/>
                <w:color w:val="auto"/>
                <w:szCs w:val="21"/>
                <w:highlight w:val="none"/>
                <w:lang w:eastAsia="zh-CN"/>
              </w:rPr>
              <w:t>比选文件</w:t>
            </w:r>
            <w:r>
              <w:rPr>
                <w:rFonts w:hint="eastAsia" w:ascii="宋体" w:hAnsi="宋体"/>
                <w:color w:val="auto"/>
                <w:szCs w:val="21"/>
                <w:highlight w:val="none"/>
              </w:rPr>
              <w:t>规定。</w:t>
            </w:r>
          </w:p>
        </w:tc>
      </w:tr>
      <w:tr w14:paraId="3AE7E2E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12EC221">
            <w:pPr>
              <w:spacing w:line="400" w:lineRule="exact"/>
              <w:jc w:val="center"/>
              <w:rPr>
                <w:rFonts w:hint="eastAsia" w:ascii="宋体" w:hAnsi="宋体"/>
                <w:color w:val="auto"/>
                <w:szCs w:val="21"/>
                <w:highlight w:val="none"/>
              </w:rPr>
            </w:pPr>
          </w:p>
        </w:tc>
        <w:tc>
          <w:tcPr>
            <w:tcW w:w="1899" w:type="dxa"/>
            <w:vMerge w:val="continue"/>
            <w:vAlign w:val="center"/>
          </w:tcPr>
          <w:p w14:paraId="61E22341">
            <w:pPr>
              <w:spacing w:line="400" w:lineRule="exact"/>
              <w:jc w:val="center"/>
              <w:rPr>
                <w:rFonts w:hint="eastAsia" w:ascii="宋体" w:hAnsi="宋体"/>
                <w:color w:val="auto"/>
                <w:szCs w:val="21"/>
                <w:highlight w:val="none"/>
              </w:rPr>
            </w:pPr>
          </w:p>
        </w:tc>
        <w:tc>
          <w:tcPr>
            <w:tcW w:w="6333" w:type="dxa"/>
            <w:vAlign w:val="center"/>
          </w:tcPr>
          <w:p w14:paraId="0566A26B">
            <w:pPr>
              <w:spacing w:line="400" w:lineRule="exact"/>
              <w:ind w:firstLine="420" w:firstLineChars="200"/>
              <w:rPr>
                <w:rFonts w:hint="eastAsia" w:ascii="宋体" w:hAnsi="宋体" w:eastAsia="宋体" w:cs="宋体"/>
                <w:color w:val="auto"/>
                <w:kern w:val="0"/>
                <w:highlight w:val="none"/>
                <w:lang w:val="en-US" w:eastAsia="zh-CN"/>
              </w:rPr>
            </w:pPr>
            <w:r>
              <w:rPr>
                <w:rFonts w:hint="eastAsia" w:ascii="宋体" w:hAnsi="宋体" w:cs="宋体"/>
                <w:color w:val="auto"/>
                <w:kern w:val="0"/>
                <w:highlight w:val="none"/>
                <w:lang w:val="en-US" w:eastAsia="zh-CN"/>
              </w:rPr>
              <w:t>《比选函》中填写的项目经理、项目总工与拟派项目经理、项目总工的信息不一致</w:t>
            </w:r>
            <w:r>
              <w:rPr>
                <w:rFonts w:hint="eastAsia" w:ascii="宋体" w:hAnsi="宋体"/>
                <w:color w:val="auto"/>
                <w:szCs w:val="21"/>
                <w:highlight w:val="none"/>
                <w:lang w:eastAsia="zh-CN"/>
              </w:rPr>
              <w:t>。</w:t>
            </w:r>
          </w:p>
        </w:tc>
      </w:tr>
      <w:tr w14:paraId="60AD3D9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2B03375">
            <w:pPr>
              <w:spacing w:line="400" w:lineRule="exact"/>
              <w:jc w:val="center"/>
              <w:rPr>
                <w:rFonts w:hint="eastAsia" w:ascii="宋体" w:hAnsi="宋体"/>
                <w:color w:val="auto"/>
                <w:szCs w:val="21"/>
                <w:highlight w:val="none"/>
              </w:rPr>
            </w:pPr>
          </w:p>
        </w:tc>
        <w:tc>
          <w:tcPr>
            <w:tcW w:w="1899" w:type="dxa"/>
            <w:vMerge w:val="continue"/>
            <w:vAlign w:val="center"/>
          </w:tcPr>
          <w:p w14:paraId="4214BAA0">
            <w:pPr>
              <w:spacing w:line="400" w:lineRule="exact"/>
              <w:jc w:val="center"/>
              <w:rPr>
                <w:rFonts w:hint="eastAsia" w:ascii="宋体" w:hAnsi="宋体"/>
                <w:color w:val="auto"/>
                <w:szCs w:val="21"/>
                <w:highlight w:val="none"/>
              </w:rPr>
            </w:pPr>
          </w:p>
        </w:tc>
        <w:tc>
          <w:tcPr>
            <w:tcW w:w="6333" w:type="dxa"/>
            <w:vAlign w:val="center"/>
          </w:tcPr>
          <w:p w14:paraId="7BB22869">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工期</w:t>
            </w:r>
            <w:r>
              <w:rPr>
                <w:rFonts w:hint="eastAsia" w:ascii="宋体" w:hAnsi="宋体"/>
                <w:color w:val="auto"/>
                <w:szCs w:val="21"/>
                <w:highlight w:val="none"/>
                <w:lang w:val="en-US" w:eastAsia="zh-CN"/>
              </w:rPr>
              <w:t>不</w:t>
            </w:r>
            <w:r>
              <w:rPr>
                <w:rFonts w:hint="eastAsia" w:ascii="宋体" w:hAnsi="宋体"/>
                <w:color w:val="auto"/>
                <w:szCs w:val="21"/>
                <w:highlight w:val="none"/>
              </w:rPr>
              <w:t>符合第二章“</w:t>
            </w:r>
            <w:r>
              <w:rPr>
                <w:rFonts w:hint="eastAsia" w:ascii="宋体" w:hAnsi="宋体"/>
                <w:color w:val="auto"/>
                <w:szCs w:val="21"/>
                <w:highlight w:val="none"/>
                <w:lang w:eastAsia="zh-CN"/>
              </w:rPr>
              <w:t>供应商</w:t>
            </w:r>
            <w:r>
              <w:rPr>
                <w:rFonts w:hint="eastAsia" w:ascii="宋体" w:hAnsi="宋体"/>
                <w:color w:val="auto"/>
                <w:szCs w:val="21"/>
                <w:highlight w:val="none"/>
              </w:rPr>
              <w:t>须知”第1.3.2项规定。</w:t>
            </w:r>
          </w:p>
        </w:tc>
      </w:tr>
      <w:tr w14:paraId="3691B66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B057C2E">
            <w:pPr>
              <w:spacing w:line="400" w:lineRule="exact"/>
              <w:jc w:val="center"/>
              <w:rPr>
                <w:rFonts w:hint="eastAsia" w:ascii="宋体" w:hAnsi="宋体"/>
                <w:color w:val="auto"/>
                <w:szCs w:val="21"/>
                <w:highlight w:val="none"/>
              </w:rPr>
            </w:pPr>
          </w:p>
        </w:tc>
        <w:tc>
          <w:tcPr>
            <w:tcW w:w="1899" w:type="dxa"/>
            <w:vMerge w:val="continue"/>
            <w:vAlign w:val="center"/>
          </w:tcPr>
          <w:p w14:paraId="2D5B0F2D">
            <w:pPr>
              <w:spacing w:line="400" w:lineRule="exact"/>
              <w:jc w:val="center"/>
              <w:rPr>
                <w:rFonts w:hint="eastAsia" w:ascii="宋体" w:hAnsi="宋体"/>
                <w:color w:val="auto"/>
                <w:szCs w:val="21"/>
                <w:highlight w:val="none"/>
              </w:rPr>
            </w:pPr>
          </w:p>
        </w:tc>
        <w:tc>
          <w:tcPr>
            <w:tcW w:w="6333" w:type="dxa"/>
            <w:vAlign w:val="center"/>
          </w:tcPr>
          <w:p w14:paraId="37B1BECF">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工程质量</w:t>
            </w:r>
            <w:r>
              <w:rPr>
                <w:rFonts w:hint="eastAsia" w:ascii="宋体" w:hAnsi="宋体"/>
                <w:color w:val="auto"/>
                <w:szCs w:val="21"/>
                <w:highlight w:val="none"/>
                <w:lang w:val="en-US" w:eastAsia="zh-CN"/>
              </w:rPr>
              <w:t>不</w:t>
            </w:r>
            <w:r>
              <w:rPr>
                <w:rFonts w:hint="eastAsia" w:ascii="宋体" w:hAnsi="宋体"/>
                <w:color w:val="auto"/>
                <w:szCs w:val="21"/>
                <w:highlight w:val="none"/>
              </w:rPr>
              <w:t>符合第二章“</w:t>
            </w:r>
            <w:r>
              <w:rPr>
                <w:rFonts w:hint="eastAsia" w:ascii="宋体" w:hAnsi="宋体"/>
                <w:color w:val="auto"/>
                <w:szCs w:val="21"/>
                <w:highlight w:val="none"/>
                <w:lang w:eastAsia="zh-CN"/>
              </w:rPr>
              <w:t>供应商</w:t>
            </w:r>
            <w:r>
              <w:rPr>
                <w:rFonts w:hint="eastAsia" w:ascii="宋体" w:hAnsi="宋体"/>
                <w:color w:val="auto"/>
                <w:szCs w:val="21"/>
                <w:highlight w:val="none"/>
              </w:rPr>
              <w:t>须知”第1.3.3项规定。</w:t>
            </w:r>
          </w:p>
        </w:tc>
      </w:tr>
      <w:tr w14:paraId="4EC66F2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A320A53">
            <w:pPr>
              <w:spacing w:line="400" w:lineRule="exact"/>
              <w:jc w:val="center"/>
              <w:rPr>
                <w:rFonts w:hint="eastAsia" w:ascii="宋体" w:hAnsi="宋体"/>
                <w:color w:val="auto"/>
                <w:szCs w:val="21"/>
                <w:highlight w:val="none"/>
              </w:rPr>
            </w:pPr>
          </w:p>
        </w:tc>
        <w:tc>
          <w:tcPr>
            <w:tcW w:w="1899" w:type="dxa"/>
            <w:vMerge w:val="continue"/>
            <w:vAlign w:val="center"/>
          </w:tcPr>
          <w:p w14:paraId="1D73ADD3">
            <w:pPr>
              <w:spacing w:line="400" w:lineRule="exact"/>
              <w:jc w:val="center"/>
              <w:rPr>
                <w:rFonts w:hint="eastAsia" w:ascii="宋体" w:hAnsi="宋体"/>
                <w:color w:val="auto"/>
                <w:szCs w:val="21"/>
                <w:highlight w:val="none"/>
              </w:rPr>
            </w:pPr>
          </w:p>
        </w:tc>
        <w:tc>
          <w:tcPr>
            <w:tcW w:w="6333" w:type="dxa"/>
            <w:vAlign w:val="center"/>
          </w:tcPr>
          <w:p w14:paraId="7634DA1E">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比选有效期</w:t>
            </w:r>
            <w:r>
              <w:rPr>
                <w:rFonts w:hint="eastAsia" w:ascii="宋体" w:hAnsi="宋体"/>
                <w:color w:val="auto"/>
                <w:szCs w:val="21"/>
                <w:highlight w:val="none"/>
                <w:lang w:val="en-US" w:eastAsia="zh-CN"/>
              </w:rPr>
              <w:t>不</w:t>
            </w:r>
            <w:r>
              <w:rPr>
                <w:rFonts w:hint="eastAsia" w:ascii="宋体" w:hAnsi="宋体"/>
                <w:color w:val="auto"/>
                <w:szCs w:val="21"/>
                <w:highlight w:val="none"/>
              </w:rPr>
              <w:t>符合第二章“</w:t>
            </w:r>
            <w:r>
              <w:rPr>
                <w:rFonts w:hint="eastAsia" w:ascii="宋体" w:hAnsi="宋体"/>
                <w:color w:val="auto"/>
                <w:szCs w:val="21"/>
                <w:highlight w:val="none"/>
                <w:lang w:eastAsia="zh-CN"/>
              </w:rPr>
              <w:t>供应商</w:t>
            </w:r>
            <w:r>
              <w:rPr>
                <w:rFonts w:hint="eastAsia" w:ascii="宋体" w:hAnsi="宋体"/>
                <w:color w:val="auto"/>
                <w:szCs w:val="21"/>
                <w:highlight w:val="none"/>
              </w:rPr>
              <w:t>须知”第3.3.1项规定。</w:t>
            </w:r>
          </w:p>
        </w:tc>
      </w:tr>
      <w:tr w14:paraId="0240B0F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3907BE3">
            <w:pPr>
              <w:spacing w:line="400" w:lineRule="exact"/>
              <w:jc w:val="center"/>
              <w:rPr>
                <w:rFonts w:hint="eastAsia" w:ascii="宋体" w:hAnsi="宋体"/>
                <w:color w:val="auto"/>
                <w:szCs w:val="21"/>
                <w:highlight w:val="none"/>
              </w:rPr>
            </w:pPr>
          </w:p>
        </w:tc>
        <w:tc>
          <w:tcPr>
            <w:tcW w:w="1899" w:type="dxa"/>
            <w:vMerge w:val="continue"/>
            <w:vAlign w:val="center"/>
          </w:tcPr>
          <w:p w14:paraId="67E41236">
            <w:pPr>
              <w:spacing w:line="400" w:lineRule="exact"/>
              <w:jc w:val="center"/>
              <w:rPr>
                <w:rFonts w:hint="eastAsia" w:ascii="宋体" w:hAnsi="宋体"/>
                <w:color w:val="auto"/>
                <w:szCs w:val="21"/>
                <w:highlight w:val="none"/>
              </w:rPr>
            </w:pPr>
          </w:p>
        </w:tc>
        <w:tc>
          <w:tcPr>
            <w:tcW w:w="6333" w:type="dxa"/>
            <w:vAlign w:val="center"/>
          </w:tcPr>
          <w:p w14:paraId="1D704A6B">
            <w:pPr>
              <w:spacing w:line="400" w:lineRule="exact"/>
              <w:ind w:firstLine="420" w:firstLineChars="200"/>
              <w:rPr>
                <w:rFonts w:hint="eastAsia" w:ascii="宋体" w:hAnsi="宋体" w:eastAsia="宋体"/>
                <w:color w:val="auto"/>
                <w:szCs w:val="21"/>
                <w:highlight w:val="none"/>
                <w:lang w:eastAsia="zh-CN"/>
              </w:rPr>
            </w:pPr>
            <w:r>
              <w:rPr>
                <w:rFonts w:hint="eastAsia" w:ascii="宋体" w:hAnsi="宋体"/>
                <w:color w:val="auto"/>
                <w:szCs w:val="21"/>
                <w:highlight w:val="none"/>
                <w:lang w:val="en-US" w:eastAsia="zh-CN"/>
              </w:rPr>
              <w:t>比选函中</w:t>
            </w:r>
            <w:r>
              <w:rPr>
                <w:rFonts w:hint="eastAsia" w:ascii="宋体" w:hAnsi="宋体"/>
                <w:color w:val="auto"/>
                <w:szCs w:val="21"/>
                <w:highlight w:val="none"/>
              </w:rPr>
              <w:t>的</w:t>
            </w:r>
            <w:r>
              <w:rPr>
                <w:rFonts w:hint="eastAsia" w:ascii="宋体" w:hAnsi="宋体"/>
                <w:color w:val="auto"/>
                <w:szCs w:val="21"/>
                <w:highlight w:val="none"/>
                <w:lang w:eastAsia="zh-CN"/>
              </w:rPr>
              <w:t>比选总报价</w:t>
            </w:r>
            <w:r>
              <w:rPr>
                <w:rFonts w:hint="eastAsia" w:ascii="宋体" w:hAnsi="宋体"/>
                <w:color w:val="auto"/>
                <w:szCs w:val="21"/>
                <w:highlight w:val="none"/>
              </w:rPr>
              <w:t>高于</w:t>
            </w:r>
            <w:r>
              <w:rPr>
                <w:rFonts w:hint="eastAsia" w:ascii="宋体" w:hAnsi="宋体"/>
                <w:color w:val="auto"/>
                <w:szCs w:val="21"/>
                <w:highlight w:val="none"/>
                <w:lang w:eastAsia="zh-CN"/>
              </w:rPr>
              <w:t>采购人</w:t>
            </w:r>
            <w:r>
              <w:rPr>
                <w:rFonts w:hint="eastAsia" w:ascii="宋体" w:hAnsi="宋体"/>
                <w:color w:val="auto"/>
                <w:szCs w:val="21"/>
                <w:highlight w:val="none"/>
              </w:rPr>
              <w:t>公布的</w:t>
            </w:r>
            <w:r>
              <w:rPr>
                <w:rFonts w:hint="eastAsia" w:ascii="宋体" w:hAnsi="宋体"/>
                <w:color w:val="auto"/>
                <w:szCs w:val="21"/>
                <w:highlight w:val="none"/>
                <w:lang w:eastAsia="zh-CN"/>
              </w:rPr>
              <w:t>比选总报价</w:t>
            </w:r>
            <w:r>
              <w:rPr>
                <w:rFonts w:hint="eastAsia" w:ascii="宋体" w:hAnsi="宋体"/>
                <w:color w:val="auto"/>
                <w:szCs w:val="21"/>
                <w:highlight w:val="none"/>
              </w:rPr>
              <w:t>最高限价。</w:t>
            </w:r>
            <w:r>
              <w:rPr>
                <w:rFonts w:hint="eastAsia" w:ascii="宋体" w:hAnsi="宋体" w:cs="宋体"/>
                <w:color w:val="auto"/>
                <w:kern w:val="0"/>
                <w:highlight w:val="none"/>
                <w:lang w:eastAsia="zh-CN"/>
              </w:rPr>
              <w:t>比选函</w:t>
            </w:r>
            <w:r>
              <w:rPr>
                <w:rFonts w:hint="eastAsia" w:ascii="宋体" w:hAnsi="宋体" w:cs="宋体"/>
                <w:color w:val="auto"/>
                <w:kern w:val="0"/>
                <w:highlight w:val="none"/>
              </w:rPr>
              <w:t>中的总报价与已标价工程量清单中的</w:t>
            </w:r>
            <w:r>
              <w:rPr>
                <w:rFonts w:hint="eastAsia" w:ascii="宋体" w:hAnsi="宋体" w:cs="宋体"/>
                <w:color w:val="auto"/>
                <w:kern w:val="0"/>
                <w:highlight w:val="none"/>
                <w:lang w:eastAsia="zh-CN"/>
              </w:rPr>
              <w:t>比选总报价</w:t>
            </w:r>
            <w:r>
              <w:rPr>
                <w:rFonts w:hint="eastAsia" w:ascii="宋体" w:hAnsi="宋体" w:cs="宋体"/>
                <w:color w:val="auto"/>
                <w:kern w:val="0"/>
                <w:highlight w:val="none"/>
                <w:lang w:val="en-US" w:eastAsia="zh-CN"/>
              </w:rPr>
              <w:t>不</w:t>
            </w:r>
            <w:r>
              <w:rPr>
                <w:rFonts w:hint="eastAsia" w:ascii="宋体" w:hAnsi="宋体" w:cs="宋体"/>
                <w:color w:val="auto"/>
                <w:kern w:val="0"/>
                <w:highlight w:val="none"/>
              </w:rPr>
              <w:t>一致</w:t>
            </w:r>
            <w:r>
              <w:rPr>
                <w:rFonts w:hint="eastAsia" w:ascii="宋体" w:hAnsi="宋体" w:cs="宋体"/>
                <w:color w:val="auto"/>
                <w:kern w:val="0"/>
                <w:highlight w:val="none"/>
                <w:lang w:eastAsia="zh-CN"/>
              </w:rPr>
              <w:t>。</w:t>
            </w:r>
          </w:p>
        </w:tc>
      </w:tr>
      <w:tr w14:paraId="25B39C6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E917557">
            <w:pPr>
              <w:spacing w:line="400" w:lineRule="exact"/>
              <w:jc w:val="center"/>
              <w:rPr>
                <w:rFonts w:hint="eastAsia" w:ascii="宋体" w:hAnsi="宋体"/>
                <w:color w:val="auto"/>
                <w:szCs w:val="21"/>
                <w:highlight w:val="none"/>
              </w:rPr>
            </w:pPr>
          </w:p>
        </w:tc>
        <w:tc>
          <w:tcPr>
            <w:tcW w:w="1899" w:type="dxa"/>
            <w:vMerge w:val="continue"/>
            <w:vAlign w:val="center"/>
          </w:tcPr>
          <w:p w14:paraId="27208BBD">
            <w:pPr>
              <w:spacing w:line="400" w:lineRule="exact"/>
              <w:jc w:val="center"/>
              <w:rPr>
                <w:rFonts w:hint="eastAsia" w:ascii="宋体" w:hAnsi="宋体"/>
                <w:color w:val="auto"/>
                <w:szCs w:val="21"/>
                <w:highlight w:val="none"/>
              </w:rPr>
            </w:pPr>
          </w:p>
        </w:tc>
        <w:tc>
          <w:tcPr>
            <w:tcW w:w="6333" w:type="dxa"/>
            <w:vAlign w:val="center"/>
          </w:tcPr>
          <w:p w14:paraId="6E434607">
            <w:pPr>
              <w:spacing w:line="400" w:lineRule="exact"/>
              <w:ind w:firstLine="420" w:firstLineChars="200"/>
              <w:rPr>
                <w:rFonts w:hint="eastAsia" w:ascii="宋体" w:hAnsi="宋体"/>
                <w:color w:val="auto"/>
                <w:szCs w:val="21"/>
                <w:highlight w:val="none"/>
              </w:rPr>
            </w:pPr>
            <w:r>
              <w:rPr>
                <w:rFonts w:hint="eastAsia" w:ascii="宋体" w:hAnsi="宋体" w:cs="宋体"/>
                <w:color w:val="auto"/>
                <w:szCs w:val="21"/>
                <w:highlight w:val="none"/>
                <w:lang w:eastAsia="zh-CN"/>
              </w:rPr>
              <w:t>安全生产费或暂列金等暂定金额</w:t>
            </w:r>
            <w:r>
              <w:rPr>
                <w:rFonts w:hint="eastAsia" w:ascii="宋体" w:hAnsi="宋体"/>
                <w:color w:val="auto"/>
                <w:kern w:val="0"/>
                <w:highlight w:val="none"/>
                <w:lang w:eastAsia="zh-CN"/>
              </w:rPr>
              <w:t>未</w:t>
            </w:r>
            <w:r>
              <w:rPr>
                <w:rFonts w:hint="eastAsia" w:ascii="宋体" w:hAnsi="宋体"/>
                <w:color w:val="auto"/>
                <w:kern w:val="0"/>
                <w:highlight w:val="none"/>
              </w:rPr>
              <w:t>按照</w:t>
            </w:r>
            <w:r>
              <w:rPr>
                <w:rFonts w:hint="eastAsia" w:ascii="宋体" w:hAnsi="宋体"/>
                <w:color w:val="auto"/>
                <w:kern w:val="0"/>
                <w:highlight w:val="none"/>
                <w:lang w:eastAsia="zh-CN"/>
              </w:rPr>
              <w:t>采购人</w:t>
            </w:r>
            <w:r>
              <w:rPr>
                <w:rFonts w:hint="eastAsia" w:ascii="宋体" w:hAnsi="宋体"/>
                <w:color w:val="auto"/>
                <w:kern w:val="0"/>
                <w:highlight w:val="none"/>
              </w:rPr>
              <w:t>给定的金额填报</w:t>
            </w:r>
            <w:r>
              <w:rPr>
                <w:rFonts w:hint="eastAsia" w:ascii="宋体" w:hAnsi="宋体"/>
                <w:color w:val="auto"/>
                <w:kern w:val="0"/>
                <w:highlight w:val="none"/>
                <w:lang w:eastAsia="zh-CN"/>
              </w:rPr>
              <w:t>。</w:t>
            </w:r>
          </w:p>
        </w:tc>
      </w:tr>
      <w:tr w14:paraId="62740E9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4672094">
            <w:pPr>
              <w:spacing w:line="400" w:lineRule="exact"/>
              <w:jc w:val="center"/>
              <w:rPr>
                <w:rFonts w:hint="eastAsia" w:ascii="宋体" w:hAnsi="宋体"/>
                <w:color w:val="auto"/>
                <w:szCs w:val="21"/>
                <w:highlight w:val="none"/>
              </w:rPr>
            </w:pPr>
          </w:p>
        </w:tc>
        <w:tc>
          <w:tcPr>
            <w:tcW w:w="1899" w:type="dxa"/>
            <w:vMerge w:val="continue"/>
            <w:vAlign w:val="center"/>
          </w:tcPr>
          <w:p w14:paraId="41A08835">
            <w:pPr>
              <w:spacing w:line="400" w:lineRule="exact"/>
              <w:jc w:val="center"/>
              <w:rPr>
                <w:rFonts w:hint="eastAsia" w:ascii="宋体" w:hAnsi="宋体"/>
                <w:color w:val="auto"/>
                <w:szCs w:val="21"/>
                <w:highlight w:val="none"/>
              </w:rPr>
            </w:pPr>
          </w:p>
        </w:tc>
        <w:tc>
          <w:tcPr>
            <w:tcW w:w="6333" w:type="dxa"/>
            <w:vAlign w:val="center"/>
          </w:tcPr>
          <w:p w14:paraId="250BD2F1">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有</w:t>
            </w:r>
            <w:r>
              <w:rPr>
                <w:rFonts w:hint="eastAsia" w:ascii="宋体" w:hAnsi="宋体"/>
                <w:color w:val="auto"/>
                <w:szCs w:val="21"/>
                <w:highlight w:val="none"/>
                <w:lang w:val="en-US" w:eastAsia="zh-CN"/>
              </w:rPr>
              <w:t>多</w:t>
            </w:r>
            <w:r>
              <w:rPr>
                <w:rFonts w:hint="eastAsia" w:ascii="宋体" w:hAnsi="宋体"/>
                <w:color w:val="auto"/>
                <w:szCs w:val="21"/>
                <w:highlight w:val="none"/>
              </w:rPr>
              <w:t>个有效报价。在</w:t>
            </w:r>
            <w:r>
              <w:rPr>
                <w:rFonts w:hint="eastAsia" w:ascii="宋体" w:hAnsi="宋体"/>
                <w:color w:val="auto"/>
                <w:szCs w:val="21"/>
                <w:highlight w:val="none"/>
                <w:lang w:eastAsia="zh-CN"/>
              </w:rPr>
              <w:t>比选文件</w:t>
            </w:r>
            <w:r>
              <w:rPr>
                <w:rFonts w:hint="eastAsia" w:ascii="宋体" w:hAnsi="宋体"/>
                <w:color w:val="auto"/>
                <w:szCs w:val="21"/>
                <w:highlight w:val="none"/>
              </w:rPr>
              <w:t>没有规定的情况下，提交选择性报价。</w:t>
            </w:r>
          </w:p>
        </w:tc>
      </w:tr>
      <w:tr w14:paraId="5E8844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78FA9E1">
            <w:pPr>
              <w:spacing w:line="400" w:lineRule="exact"/>
              <w:jc w:val="center"/>
              <w:rPr>
                <w:rFonts w:hint="eastAsia" w:ascii="宋体" w:hAnsi="宋体"/>
                <w:color w:val="auto"/>
                <w:szCs w:val="21"/>
                <w:highlight w:val="none"/>
              </w:rPr>
            </w:pPr>
          </w:p>
        </w:tc>
        <w:tc>
          <w:tcPr>
            <w:tcW w:w="1899" w:type="dxa"/>
            <w:vMerge w:val="continue"/>
            <w:vAlign w:val="center"/>
          </w:tcPr>
          <w:p w14:paraId="4E8D07B7">
            <w:pPr>
              <w:spacing w:line="400" w:lineRule="exact"/>
              <w:jc w:val="center"/>
              <w:rPr>
                <w:rFonts w:hint="eastAsia" w:ascii="宋体" w:hAnsi="宋体"/>
                <w:color w:val="auto"/>
                <w:szCs w:val="21"/>
                <w:highlight w:val="none"/>
              </w:rPr>
            </w:pPr>
          </w:p>
        </w:tc>
        <w:tc>
          <w:tcPr>
            <w:tcW w:w="6333" w:type="dxa"/>
            <w:vAlign w:val="center"/>
          </w:tcPr>
          <w:p w14:paraId="38203C5C">
            <w:pPr>
              <w:spacing w:line="400" w:lineRule="exact"/>
              <w:ind w:firstLine="420" w:firstLineChars="200"/>
              <w:rPr>
                <w:rFonts w:hint="eastAsia" w:ascii="宋体" w:hAnsi="宋体" w:eastAsia="宋体"/>
                <w:color w:val="auto"/>
                <w:szCs w:val="21"/>
                <w:highlight w:val="none"/>
                <w:lang w:eastAsia="zh-CN"/>
              </w:rPr>
            </w:pPr>
            <w:r>
              <w:rPr>
                <w:rFonts w:hint="eastAsia" w:ascii="宋体" w:hAnsi="宋体" w:cs="宋体"/>
                <w:color w:val="auto"/>
                <w:highlight w:val="none"/>
              </w:rPr>
              <w:t>各清单子目单价</w:t>
            </w:r>
            <w:r>
              <w:rPr>
                <w:rFonts w:hint="eastAsia" w:ascii="宋体" w:hAnsi="宋体" w:cs="宋体"/>
                <w:color w:val="auto"/>
                <w:highlight w:val="none"/>
                <w:lang w:val="en-US" w:eastAsia="zh-CN"/>
              </w:rPr>
              <w:t>报价</w:t>
            </w:r>
            <w:r>
              <w:rPr>
                <w:rFonts w:hint="eastAsia" w:ascii="宋体" w:hAnsi="宋体" w:cs="宋体"/>
                <w:color w:val="auto"/>
                <w:highlight w:val="none"/>
              </w:rPr>
              <w:t>高于</w:t>
            </w:r>
            <w:r>
              <w:rPr>
                <w:rFonts w:hint="eastAsia" w:ascii="宋体" w:hAnsi="宋体" w:cs="宋体"/>
                <w:color w:val="auto"/>
                <w:highlight w:val="none"/>
                <w:lang w:eastAsia="zh-CN"/>
              </w:rPr>
              <w:t>比选总报价</w:t>
            </w:r>
            <w:r>
              <w:rPr>
                <w:rFonts w:hint="eastAsia" w:ascii="宋体" w:hAnsi="宋体" w:cs="宋体"/>
                <w:color w:val="auto"/>
                <w:highlight w:val="none"/>
                <w:lang w:val="en-US" w:eastAsia="zh-CN"/>
              </w:rPr>
              <w:t>及</w:t>
            </w:r>
            <w:r>
              <w:rPr>
                <w:rFonts w:hint="eastAsia" w:ascii="宋体" w:hAnsi="宋体" w:cs="宋体"/>
                <w:color w:val="auto"/>
                <w:highlight w:val="none"/>
              </w:rPr>
              <w:t>各清单子目单价最高限价</w:t>
            </w:r>
            <w:r>
              <w:rPr>
                <w:rFonts w:hint="eastAsia" w:ascii="宋体" w:hAnsi="宋体" w:cs="宋体"/>
                <w:color w:val="auto"/>
                <w:highlight w:val="none"/>
                <w:lang w:eastAsia="zh-CN"/>
              </w:rPr>
              <w:t>。</w:t>
            </w:r>
          </w:p>
        </w:tc>
      </w:tr>
      <w:tr w14:paraId="463316E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67BD693">
            <w:pPr>
              <w:spacing w:line="400" w:lineRule="exact"/>
              <w:jc w:val="center"/>
              <w:rPr>
                <w:rFonts w:hint="eastAsia" w:ascii="宋体" w:hAnsi="宋体"/>
                <w:color w:val="auto"/>
                <w:szCs w:val="21"/>
                <w:highlight w:val="none"/>
              </w:rPr>
            </w:pPr>
          </w:p>
        </w:tc>
        <w:tc>
          <w:tcPr>
            <w:tcW w:w="1899" w:type="dxa"/>
            <w:vMerge w:val="continue"/>
            <w:vAlign w:val="center"/>
          </w:tcPr>
          <w:p w14:paraId="7DDFBEFD">
            <w:pPr>
              <w:spacing w:line="400" w:lineRule="exact"/>
              <w:jc w:val="center"/>
              <w:rPr>
                <w:rFonts w:hint="eastAsia" w:ascii="宋体" w:hAnsi="宋体"/>
                <w:color w:val="auto"/>
                <w:szCs w:val="21"/>
                <w:highlight w:val="none"/>
              </w:rPr>
            </w:pPr>
          </w:p>
        </w:tc>
        <w:tc>
          <w:tcPr>
            <w:tcW w:w="6333" w:type="dxa"/>
            <w:vAlign w:val="center"/>
          </w:tcPr>
          <w:p w14:paraId="5D692369">
            <w:pPr>
              <w:spacing w:line="400" w:lineRule="exact"/>
              <w:ind w:firstLine="420" w:firstLineChars="200"/>
              <w:rPr>
                <w:rFonts w:hint="default" w:ascii="宋体" w:hAnsi="宋体" w:eastAsia="宋体"/>
                <w:color w:val="auto"/>
                <w:szCs w:val="21"/>
                <w:highlight w:val="none"/>
                <w:lang w:val="en-US" w:eastAsia="zh-CN"/>
              </w:rPr>
            </w:pPr>
            <w:r>
              <w:rPr>
                <w:rFonts w:hint="eastAsia" w:ascii="宋体" w:hAnsi="宋体"/>
                <w:color w:val="auto"/>
                <w:kern w:val="0"/>
                <w:szCs w:val="21"/>
                <w:highlight w:val="none"/>
                <w:u w:val="none"/>
                <w:lang w:eastAsia="zh-CN"/>
              </w:rPr>
              <w:t>供应商</w:t>
            </w:r>
            <w:r>
              <w:rPr>
                <w:rFonts w:hint="default" w:ascii="宋体" w:hAnsi="宋体"/>
                <w:color w:val="auto"/>
                <w:kern w:val="0"/>
                <w:szCs w:val="21"/>
                <w:highlight w:val="none"/>
                <w:u w:val="none"/>
              </w:rPr>
              <w:t>的</w:t>
            </w:r>
            <w:r>
              <w:rPr>
                <w:rFonts w:hint="eastAsia" w:ascii="宋体" w:hAnsi="宋体"/>
                <w:color w:val="auto"/>
                <w:kern w:val="0"/>
                <w:szCs w:val="21"/>
                <w:highlight w:val="none"/>
                <w:u w:val="none"/>
                <w:lang w:val="en-US" w:eastAsia="zh-CN"/>
              </w:rPr>
              <w:t>工程量清单单项报价为零报价（采购人提供的工程量清单单项最高限价中金额为零的除外）或者负数报价（如有）。</w:t>
            </w:r>
          </w:p>
        </w:tc>
      </w:tr>
      <w:tr w14:paraId="34A7A7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53FF20D">
            <w:pPr>
              <w:spacing w:line="400" w:lineRule="exact"/>
              <w:jc w:val="center"/>
              <w:rPr>
                <w:rFonts w:hint="eastAsia" w:ascii="宋体" w:hAnsi="宋体"/>
                <w:color w:val="auto"/>
                <w:szCs w:val="21"/>
                <w:highlight w:val="none"/>
              </w:rPr>
            </w:pPr>
          </w:p>
        </w:tc>
        <w:tc>
          <w:tcPr>
            <w:tcW w:w="1899" w:type="dxa"/>
            <w:vMerge w:val="continue"/>
            <w:vAlign w:val="center"/>
          </w:tcPr>
          <w:p w14:paraId="707B3D53">
            <w:pPr>
              <w:spacing w:line="400" w:lineRule="exact"/>
              <w:jc w:val="center"/>
              <w:rPr>
                <w:rFonts w:hint="eastAsia" w:ascii="宋体" w:hAnsi="宋体"/>
                <w:color w:val="auto"/>
                <w:szCs w:val="21"/>
                <w:highlight w:val="none"/>
              </w:rPr>
            </w:pPr>
          </w:p>
        </w:tc>
        <w:tc>
          <w:tcPr>
            <w:tcW w:w="6333" w:type="dxa"/>
            <w:vAlign w:val="center"/>
          </w:tcPr>
          <w:p w14:paraId="1B623245">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比选报价</w:t>
            </w:r>
            <w:r>
              <w:rPr>
                <w:rFonts w:hint="eastAsia" w:ascii="宋体" w:hAnsi="宋体"/>
                <w:color w:val="auto"/>
                <w:szCs w:val="21"/>
                <w:highlight w:val="none"/>
              </w:rPr>
              <w:t>有</w:t>
            </w:r>
            <w:r>
              <w:rPr>
                <w:rFonts w:hint="eastAsia" w:ascii="宋体" w:hAnsi="宋体"/>
                <w:color w:val="auto"/>
                <w:szCs w:val="21"/>
                <w:highlight w:val="none"/>
                <w:lang w:val="en-US" w:eastAsia="zh-CN"/>
              </w:rPr>
              <w:t>大小写不一致</w:t>
            </w:r>
            <w:r>
              <w:rPr>
                <w:rFonts w:hint="eastAsia" w:ascii="宋体" w:hAnsi="宋体"/>
                <w:color w:val="auto"/>
                <w:szCs w:val="21"/>
                <w:highlight w:val="none"/>
              </w:rPr>
              <w:t>的，</w:t>
            </w:r>
            <w:r>
              <w:rPr>
                <w:rFonts w:hint="eastAsia" w:ascii="宋体" w:hAnsi="宋体"/>
                <w:color w:val="auto"/>
                <w:szCs w:val="21"/>
                <w:highlight w:val="none"/>
                <w:lang w:val="en-US" w:eastAsia="zh-CN"/>
              </w:rPr>
              <w:t>未</w:t>
            </w:r>
            <w:r>
              <w:rPr>
                <w:rFonts w:hint="eastAsia" w:ascii="宋体" w:hAnsi="宋体"/>
                <w:color w:val="auto"/>
                <w:szCs w:val="21"/>
                <w:highlight w:val="none"/>
              </w:rPr>
              <w:t>按照第三章3.</w:t>
            </w:r>
            <w:r>
              <w:rPr>
                <w:rFonts w:hint="eastAsia" w:ascii="宋体" w:hAnsi="宋体"/>
                <w:color w:val="auto"/>
                <w:szCs w:val="21"/>
                <w:highlight w:val="none"/>
                <w:lang w:eastAsia="zh-CN"/>
              </w:rPr>
              <w:t>评审</w:t>
            </w:r>
            <w:r>
              <w:rPr>
                <w:rFonts w:hint="eastAsia" w:ascii="宋体" w:hAnsi="宋体"/>
                <w:color w:val="auto"/>
                <w:szCs w:val="21"/>
                <w:highlight w:val="none"/>
              </w:rPr>
              <w:t>程序第3.1.</w:t>
            </w:r>
            <w:r>
              <w:rPr>
                <w:rFonts w:hint="eastAsia" w:ascii="宋体" w:hAnsi="宋体"/>
                <w:color w:val="auto"/>
                <w:szCs w:val="21"/>
                <w:highlight w:val="none"/>
                <w:lang w:val="en-US" w:eastAsia="zh-CN"/>
              </w:rPr>
              <w:t>2</w:t>
            </w:r>
            <w:r>
              <w:rPr>
                <w:rFonts w:hint="eastAsia" w:ascii="宋体" w:hAnsi="宋体"/>
                <w:color w:val="auto"/>
                <w:szCs w:val="21"/>
                <w:highlight w:val="none"/>
              </w:rPr>
              <w:t>项规定执行。</w:t>
            </w:r>
          </w:p>
        </w:tc>
      </w:tr>
      <w:tr w14:paraId="6ED07E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5CBDFC62">
            <w:pPr>
              <w:spacing w:line="400" w:lineRule="exact"/>
              <w:jc w:val="center"/>
              <w:rPr>
                <w:rFonts w:ascii="宋体" w:hAnsi="宋体"/>
                <w:color w:val="auto"/>
                <w:szCs w:val="21"/>
                <w:highlight w:val="none"/>
              </w:rPr>
            </w:pPr>
            <w:r>
              <w:rPr>
                <w:rFonts w:ascii="宋体" w:hAnsi="宋体"/>
                <w:color w:val="auto"/>
                <w:szCs w:val="21"/>
                <w:highlight w:val="none"/>
              </w:rPr>
              <w:t>其他</w:t>
            </w:r>
          </w:p>
        </w:tc>
        <w:tc>
          <w:tcPr>
            <w:tcW w:w="1899" w:type="dxa"/>
            <w:vAlign w:val="center"/>
          </w:tcPr>
          <w:p w14:paraId="10D5BC94">
            <w:pPr>
              <w:spacing w:line="400" w:lineRule="exact"/>
              <w:jc w:val="center"/>
              <w:rPr>
                <w:rFonts w:ascii="宋体" w:hAnsi="宋体"/>
                <w:color w:val="auto"/>
                <w:szCs w:val="21"/>
                <w:highlight w:val="none"/>
              </w:rPr>
            </w:pPr>
          </w:p>
        </w:tc>
        <w:tc>
          <w:tcPr>
            <w:tcW w:w="6333" w:type="dxa"/>
            <w:vAlign w:val="top"/>
          </w:tcPr>
          <w:p w14:paraId="3DF68239">
            <w:pPr>
              <w:spacing w:line="400" w:lineRule="exact"/>
              <w:ind w:firstLine="422" w:firstLineChars="200"/>
              <w:rPr>
                <w:rFonts w:ascii="宋体" w:hAnsi="宋体"/>
                <w:i/>
                <w:color w:val="auto"/>
                <w:szCs w:val="21"/>
                <w:highlight w:val="none"/>
              </w:rPr>
            </w:pPr>
            <w:r>
              <w:rPr>
                <w:rFonts w:hint="eastAsia" w:ascii="宋体" w:hAnsi="宋体" w:cs="宋体"/>
                <w:b/>
                <w:bCs/>
                <w:color w:val="auto"/>
                <w:szCs w:val="21"/>
                <w:highlight w:val="none"/>
                <w:lang w:val="en-US" w:eastAsia="zh-CN"/>
              </w:rPr>
              <w:t>供应商为</w:t>
            </w:r>
            <w:r>
              <w:rPr>
                <w:rFonts w:hint="eastAsia" w:ascii="宋体" w:hAnsi="宋体" w:cs="宋体"/>
                <w:b/>
                <w:bCs/>
                <w:color w:val="auto"/>
                <w:szCs w:val="21"/>
                <w:highlight w:val="none"/>
              </w:rPr>
              <w:t>被列入采购人暂停、终止、永久取消合格供应商资格（列入诚信黑名单）名单内的单位。</w:t>
            </w:r>
          </w:p>
        </w:tc>
      </w:tr>
    </w:tbl>
    <w:p w14:paraId="7A701722">
      <w:pPr>
        <w:pStyle w:val="26"/>
        <w:spacing w:line="360" w:lineRule="auto"/>
        <w:ind w:firstLine="420" w:firstLineChars="200"/>
        <w:jc w:val="both"/>
        <w:rPr>
          <w:rFonts w:ascii="宋体" w:hAnsi="宋体"/>
          <w:color w:val="auto"/>
          <w:sz w:val="21"/>
          <w:szCs w:val="21"/>
          <w:highlight w:val="none"/>
          <w:u w:val="none"/>
          <w:lang w:eastAsia="zh-CN"/>
        </w:rPr>
      </w:pPr>
    </w:p>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14:paraId="457721DD">
      <w:pPr>
        <w:pStyle w:val="26"/>
        <w:spacing w:line="360" w:lineRule="auto"/>
        <w:rPr>
          <w:rFonts w:ascii="宋体" w:hAnsi="宋体" w:cs="宋体"/>
          <w:color w:val="auto"/>
          <w:highlight w:val="none"/>
        </w:rPr>
      </w:pPr>
      <w:r>
        <w:rPr>
          <w:rFonts w:hint="eastAsia" w:ascii="宋体" w:hAnsi="宋体" w:cs="宋体"/>
          <w:color w:val="auto"/>
          <w:highlight w:val="none"/>
          <w:u w:val="none"/>
        </w:rPr>
        <w:t xml:space="preserve"> </w:t>
      </w:r>
    </w:p>
    <w:p w14:paraId="110A4C6A">
      <w:pPr>
        <w:rPr>
          <w:rFonts w:ascii="宋体" w:hAnsi="宋体" w:cs="宋体"/>
          <w:snapToGrid w:val="0"/>
          <w:color w:val="auto"/>
          <w:highlight w:val="none"/>
        </w:rPr>
      </w:pPr>
      <w:bookmarkStart w:id="509" w:name="_Toc3501"/>
      <w:bookmarkStart w:id="510" w:name="_Toc509218785"/>
      <w:bookmarkStart w:id="511" w:name="_Toc4273"/>
      <w:bookmarkStart w:id="512" w:name="_Toc27983309"/>
      <w:bookmarkStart w:id="513" w:name="_Toc430530509"/>
      <w:r>
        <w:rPr>
          <w:rFonts w:hint="eastAsia" w:ascii="宋体" w:hAnsi="宋体" w:cs="宋体"/>
          <w:snapToGrid w:val="0"/>
          <w:color w:val="auto"/>
          <w:highlight w:val="none"/>
        </w:rPr>
        <w:br w:type="page"/>
      </w:r>
    </w:p>
    <w:p w14:paraId="0BD83BBE">
      <w:pPr>
        <w:pStyle w:val="3"/>
        <w:spacing w:line="360" w:lineRule="auto"/>
        <w:ind w:firstLine="883"/>
        <w:jc w:val="center"/>
        <w:rPr>
          <w:rFonts w:ascii="宋体" w:hAnsi="宋体" w:cs="宋体"/>
          <w:bCs w:val="0"/>
          <w:snapToGrid w:val="0"/>
          <w:color w:val="auto"/>
          <w:highlight w:val="none"/>
          <w:lang w:val="zh-CN"/>
        </w:rPr>
      </w:pPr>
      <w:bookmarkStart w:id="514" w:name="_Toc13805"/>
      <w:bookmarkStart w:id="515" w:name="_Toc13073"/>
      <w:r>
        <w:rPr>
          <w:rFonts w:hint="eastAsia" w:ascii="宋体" w:hAnsi="宋体" w:cs="宋体"/>
          <w:bCs w:val="0"/>
          <w:snapToGrid w:val="0"/>
          <w:color w:val="auto"/>
          <w:highlight w:val="none"/>
        </w:rPr>
        <w:t>第四章  合同条款及格式</w:t>
      </w:r>
      <w:bookmarkEnd w:id="509"/>
      <w:bookmarkEnd w:id="510"/>
      <w:bookmarkEnd w:id="511"/>
      <w:bookmarkEnd w:id="512"/>
      <w:bookmarkEnd w:id="513"/>
      <w:bookmarkEnd w:id="514"/>
      <w:bookmarkEnd w:id="515"/>
    </w:p>
    <w:p w14:paraId="1883FA55">
      <w:pPr>
        <w:jc w:val="center"/>
        <w:rPr>
          <w:rFonts w:ascii="宋体" w:hAnsi="宋体" w:cs="宋体"/>
          <w:b/>
          <w:color w:val="auto"/>
          <w:sz w:val="52"/>
          <w:szCs w:val="52"/>
          <w:highlight w:val="none"/>
        </w:rPr>
      </w:pPr>
      <w:r>
        <w:rPr>
          <w:rFonts w:hint="eastAsia" w:ascii="宋体" w:hAnsi="宋体" w:cs="宋体"/>
          <w:b/>
          <w:color w:val="auto"/>
          <w:sz w:val="52"/>
          <w:szCs w:val="52"/>
          <w:highlight w:val="none"/>
        </w:rPr>
        <w:t xml:space="preserve">    </w:t>
      </w:r>
    </w:p>
    <w:p w14:paraId="55F4B507">
      <w:pPr>
        <w:jc w:val="left"/>
        <w:rPr>
          <w:rFonts w:ascii="宋体" w:hAnsi="宋体" w:cs="宋体"/>
          <w:b/>
          <w:color w:val="auto"/>
          <w:sz w:val="52"/>
          <w:szCs w:val="52"/>
          <w:highlight w:val="none"/>
        </w:rPr>
      </w:pPr>
      <w:r>
        <w:rPr>
          <w:rFonts w:hint="eastAsia" w:ascii="宋体" w:hAnsi="宋体" w:cs="宋体"/>
          <w:b/>
          <w:color w:val="auto"/>
          <w:sz w:val="52"/>
          <w:szCs w:val="52"/>
          <w:highlight w:val="none"/>
        </w:rPr>
        <w:br w:type="page"/>
      </w:r>
    </w:p>
    <w:p w14:paraId="205AD31A">
      <w:pPr>
        <w:jc w:val="left"/>
        <w:rPr>
          <w:rFonts w:ascii="宋体" w:hAnsi="宋体" w:cs="宋体"/>
          <w:color w:val="auto"/>
          <w:sz w:val="30"/>
          <w:szCs w:val="30"/>
          <w:highlight w:val="none"/>
        </w:rPr>
      </w:pPr>
      <w:r>
        <w:rPr>
          <w:rFonts w:hint="eastAsia" w:ascii="宋体" w:hAnsi="宋体" w:cs="宋体"/>
          <w:color w:val="auto"/>
          <w:sz w:val="30"/>
          <w:szCs w:val="30"/>
          <w:highlight w:val="none"/>
        </w:rPr>
        <w:t>合同编号：</w:t>
      </w:r>
    </w:p>
    <w:p w14:paraId="4EE475E9">
      <w:pPr>
        <w:jc w:val="left"/>
        <w:rPr>
          <w:rFonts w:ascii="宋体" w:hAnsi="宋体" w:cs="宋体"/>
          <w:color w:val="auto"/>
          <w:sz w:val="30"/>
          <w:szCs w:val="30"/>
          <w:highlight w:val="none"/>
        </w:rPr>
      </w:pPr>
      <w:bookmarkStart w:id="516" w:name="_Toc11641055"/>
      <w:bookmarkStart w:id="517" w:name="_Toc12789059"/>
      <w:r>
        <w:rPr>
          <w:rFonts w:hint="eastAsia" w:ascii="宋体" w:hAnsi="宋体" w:cs="宋体"/>
          <w:color w:val="auto"/>
          <w:sz w:val="30"/>
          <w:szCs w:val="30"/>
          <w:highlight w:val="none"/>
        </w:rPr>
        <w:t>合同编号：</w:t>
      </w:r>
    </w:p>
    <w:p w14:paraId="2B99EBEE">
      <w:pPr>
        <w:rPr>
          <w:rFonts w:ascii="宋体" w:hAnsi="宋体" w:cs="宋体"/>
          <w:color w:val="auto"/>
          <w:sz w:val="44"/>
          <w:szCs w:val="44"/>
          <w:highlight w:val="none"/>
        </w:rPr>
      </w:pPr>
    </w:p>
    <w:p w14:paraId="7F9D5DFD">
      <w:pPr>
        <w:ind w:firstLine="1300" w:firstLineChars="250"/>
        <w:rPr>
          <w:rFonts w:ascii="宋体" w:hAnsi="宋体" w:cs="宋体"/>
          <w:color w:val="auto"/>
          <w:sz w:val="52"/>
          <w:szCs w:val="44"/>
          <w:highlight w:val="none"/>
        </w:rPr>
      </w:pPr>
    </w:p>
    <w:p w14:paraId="1354005B">
      <w:pPr>
        <w:ind w:firstLine="1300" w:firstLineChars="250"/>
        <w:rPr>
          <w:rFonts w:ascii="宋体" w:hAnsi="宋体" w:cs="宋体"/>
          <w:color w:val="auto"/>
          <w:sz w:val="52"/>
          <w:szCs w:val="44"/>
          <w:highlight w:val="none"/>
        </w:rPr>
      </w:pPr>
    </w:p>
    <w:p w14:paraId="45607C22">
      <w:pPr>
        <w:jc w:val="center"/>
        <w:rPr>
          <w:rFonts w:ascii="宋体" w:hAnsi="宋体" w:cs="宋体"/>
          <w:b/>
          <w:color w:val="auto"/>
          <w:sz w:val="72"/>
          <w:szCs w:val="52"/>
          <w:highlight w:val="none"/>
        </w:rPr>
      </w:pPr>
    </w:p>
    <w:p w14:paraId="7ACDAD63">
      <w:pPr>
        <w:jc w:val="center"/>
        <w:rPr>
          <w:rFonts w:ascii="宋体" w:hAnsi="宋体" w:cs="宋体"/>
          <w:b/>
          <w:color w:val="auto"/>
          <w:sz w:val="72"/>
          <w:szCs w:val="52"/>
          <w:highlight w:val="none"/>
        </w:rPr>
      </w:pPr>
      <w:r>
        <w:rPr>
          <w:rFonts w:hint="eastAsia" w:ascii="宋体" w:hAnsi="宋体" w:cs="宋体"/>
          <w:b/>
          <w:color w:val="auto"/>
          <w:sz w:val="72"/>
          <w:szCs w:val="52"/>
          <w:highlight w:val="none"/>
        </w:rPr>
        <w:t>建设工程施工劳务分包</w:t>
      </w:r>
    </w:p>
    <w:p w14:paraId="38B6A478">
      <w:pPr>
        <w:jc w:val="center"/>
        <w:rPr>
          <w:rFonts w:ascii="宋体" w:hAnsi="宋体" w:cs="宋体"/>
          <w:b/>
          <w:color w:val="auto"/>
          <w:sz w:val="52"/>
          <w:szCs w:val="52"/>
          <w:highlight w:val="none"/>
        </w:rPr>
      </w:pPr>
      <w:r>
        <w:rPr>
          <w:rFonts w:hint="eastAsia" w:ascii="宋体" w:hAnsi="宋体" w:cs="宋体"/>
          <w:b/>
          <w:color w:val="auto"/>
          <w:sz w:val="72"/>
          <w:szCs w:val="52"/>
          <w:highlight w:val="none"/>
        </w:rPr>
        <w:t>合同</w:t>
      </w:r>
      <w:r>
        <w:rPr>
          <w:rFonts w:hint="eastAsia" w:ascii="宋体" w:hAnsi="宋体" w:cs="宋体"/>
          <w:b/>
          <w:color w:val="auto"/>
          <w:sz w:val="52"/>
          <w:szCs w:val="52"/>
          <w:highlight w:val="none"/>
        </w:rPr>
        <w:t>（示范文本）</w:t>
      </w:r>
    </w:p>
    <w:p w14:paraId="35DCA7A4">
      <w:pPr>
        <w:spacing w:line="360" w:lineRule="auto"/>
        <w:ind w:firstLine="561"/>
        <w:jc w:val="center"/>
        <w:rPr>
          <w:rFonts w:ascii="宋体" w:hAnsi="宋体" w:cs="宋体"/>
          <w:b/>
          <w:color w:val="auto"/>
          <w:sz w:val="28"/>
          <w:highlight w:val="none"/>
        </w:rPr>
      </w:pPr>
    </w:p>
    <w:p w14:paraId="1201FDB5">
      <w:pPr>
        <w:spacing w:line="360" w:lineRule="auto"/>
        <w:ind w:firstLine="561"/>
        <w:jc w:val="center"/>
        <w:rPr>
          <w:rFonts w:ascii="宋体" w:hAnsi="宋体" w:cs="宋体"/>
          <w:b/>
          <w:color w:val="auto"/>
          <w:sz w:val="28"/>
          <w:highlight w:val="none"/>
        </w:rPr>
      </w:pPr>
    </w:p>
    <w:p w14:paraId="6628C43F">
      <w:pPr>
        <w:spacing w:line="360" w:lineRule="auto"/>
        <w:ind w:firstLine="561"/>
        <w:jc w:val="center"/>
        <w:rPr>
          <w:rFonts w:ascii="宋体" w:hAnsi="宋体" w:cs="宋体"/>
          <w:b/>
          <w:color w:val="auto"/>
          <w:sz w:val="28"/>
          <w:highlight w:val="none"/>
        </w:rPr>
      </w:pPr>
    </w:p>
    <w:p w14:paraId="5C983FEB">
      <w:pPr>
        <w:keepNext/>
        <w:keepLines/>
        <w:spacing w:line="579" w:lineRule="auto"/>
        <w:ind w:firstLine="1968" w:firstLineChars="700"/>
        <w:rPr>
          <w:rFonts w:ascii="宋体" w:hAnsi="宋体" w:cs="宋体"/>
          <w:b/>
          <w:color w:val="auto"/>
          <w:sz w:val="24"/>
          <w:highlight w:val="none"/>
        </w:rPr>
      </w:pPr>
      <w:bookmarkStart w:id="518" w:name="_Toc4079"/>
      <w:bookmarkStart w:id="519" w:name="_Toc8964"/>
      <w:r>
        <w:rPr>
          <w:rFonts w:hint="eastAsia" w:ascii="宋体" w:hAnsi="宋体" w:cs="宋体"/>
          <w:b/>
          <w:color w:val="auto"/>
          <w:sz w:val="28"/>
          <w:highlight w:val="none"/>
        </w:rPr>
        <w:t xml:space="preserve">合同编号：xxxx （x） s/x  x  xx  xxxx </w:t>
      </w:r>
      <w:r>
        <w:rPr>
          <w:rFonts w:hint="eastAsia" w:ascii="宋体" w:hAnsi="宋体" w:cs="宋体"/>
          <w:color w:val="auto"/>
          <w:highlight w:val="none"/>
        </w:rPr>
        <w:br w:type="page"/>
      </w:r>
      <w:bookmarkEnd w:id="516"/>
      <w:bookmarkEnd w:id="517"/>
      <w:bookmarkEnd w:id="518"/>
      <w:bookmarkEnd w:id="519"/>
      <w:bookmarkStart w:id="520" w:name="_Hlt41879464"/>
      <w:bookmarkEnd w:id="520"/>
      <w:bookmarkStart w:id="521" w:name="_Toc28575"/>
      <w:bookmarkStart w:id="522" w:name="_Toc12789072"/>
    </w:p>
    <w:p w14:paraId="6D50430E">
      <w:pPr>
        <w:pStyle w:val="3"/>
        <w:widowControl/>
        <w:spacing w:after="156"/>
        <w:jc w:val="center"/>
        <w:rPr>
          <w:rFonts w:ascii="宋体" w:hAnsi="宋体" w:cs="宋体"/>
          <w:color w:val="auto"/>
          <w:sz w:val="36"/>
          <w:szCs w:val="36"/>
          <w:highlight w:val="none"/>
        </w:rPr>
      </w:pPr>
      <w:bookmarkStart w:id="523" w:name="_Toc11324"/>
      <w:bookmarkStart w:id="524" w:name="_Toc6742"/>
      <w:r>
        <w:rPr>
          <w:rFonts w:hint="eastAsia" w:ascii="宋体" w:hAnsi="宋体" w:cs="宋体"/>
          <w:color w:val="auto"/>
          <w:sz w:val="36"/>
          <w:szCs w:val="36"/>
          <w:highlight w:val="none"/>
        </w:rPr>
        <w:t>第一部分  合同协议书</w:t>
      </w:r>
      <w:bookmarkEnd w:id="521"/>
      <w:bookmarkEnd w:id="523"/>
      <w:bookmarkEnd w:id="524"/>
    </w:p>
    <w:p w14:paraId="173F3E2B">
      <w:pPr>
        <w:keepNext/>
        <w:wordWrap w:val="0"/>
        <w:spacing w:line="600" w:lineRule="exact"/>
        <w:jc w:val="left"/>
        <w:textAlignment w:val="top"/>
        <w:rPr>
          <w:rFonts w:ascii="宋体" w:hAnsi="宋体" w:cs="宋体"/>
          <w:b/>
          <w:color w:val="auto"/>
          <w:sz w:val="24"/>
          <w:highlight w:val="none"/>
          <w:u w:val="single"/>
        </w:rPr>
      </w:pPr>
      <w:r>
        <w:rPr>
          <w:rFonts w:hint="eastAsia" w:ascii="宋体" w:hAnsi="宋体" w:cs="宋体"/>
          <w:b/>
          <w:color w:val="auto"/>
          <w:spacing w:val="20"/>
          <w:kern w:val="0"/>
          <w:sz w:val="24"/>
          <w:highlight w:val="none"/>
          <w:lang w:bidi="ar"/>
        </w:rPr>
        <w:t>总承包单位</w:t>
      </w:r>
      <w:r>
        <w:rPr>
          <w:rFonts w:hint="eastAsia" w:ascii="宋体" w:hAnsi="宋体" w:cs="宋体"/>
          <w:b/>
          <w:color w:val="auto"/>
          <w:kern w:val="0"/>
          <w:sz w:val="24"/>
          <w:highlight w:val="none"/>
          <w:lang w:bidi="ar"/>
        </w:rPr>
        <w:t>：</w:t>
      </w:r>
      <w:r>
        <w:rPr>
          <w:rFonts w:hint="eastAsia" w:ascii="宋体" w:hAnsi="宋体" w:cs="宋体"/>
          <w:b/>
          <w:color w:val="auto"/>
          <w:kern w:val="0"/>
          <w:sz w:val="24"/>
          <w:highlight w:val="none"/>
          <w:u w:val="single"/>
          <w:lang w:bidi="ar"/>
        </w:rPr>
        <w:t>重庆首讯科技股份有限公司</w:t>
      </w:r>
    </w:p>
    <w:p w14:paraId="1874A8A1">
      <w:pPr>
        <w:keepNext/>
        <w:wordWrap w:val="0"/>
        <w:spacing w:line="600" w:lineRule="exact"/>
        <w:jc w:val="left"/>
        <w:textAlignment w:val="top"/>
        <w:rPr>
          <w:rFonts w:ascii="宋体" w:hAnsi="宋体" w:cs="宋体"/>
          <w:b/>
          <w:color w:val="auto"/>
          <w:sz w:val="24"/>
          <w:highlight w:val="none"/>
          <w:u w:val="single"/>
        </w:rPr>
      </w:pPr>
      <w:r>
        <w:rPr>
          <w:rFonts w:hint="eastAsia" w:ascii="宋体" w:hAnsi="宋体" w:cs="宋体"/>
          <w:b/>
          <w:color w:val="auto"/>
          <w:kern w:val="0"/>
          <w:sz w:val="24"/>
          <w:highlight w:val="none"/>
          <w:lang w:bidi="ar"/>
        </w:rPr>
        <w:t>劳务作业分包单位：</w:t>
      </w:r>
      <w:r>
        <w:rPr>
          <w:rFonts w:hint="eastAsia" w:ascii="宋体" w:hAnsi="宋体" w:cs="宋体"/>
          <w:b/>
          <w:color w:val="auto"/>
          <w:kern w:val="0"/>
          <w:sz w:val="24"/>
          <w:highlight w:val="none"/>
          <w:u w:val="single"/>
          <w:lang w:bidi="ar"/>
        </w:rPr>
        <w:t xml:space="preserve">                   </w:t>
      </w:r>
    </w:p>
    <w:p w14:paraId="10306B70">
      <w:pPr>
        <w:keepNext/>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根据《中华人民共和国民法典》、《中华人民共和国建筑法》、2019年12月30日《保障农民工工资支付条例》国务院令第724号、住房和城乡建设部《建筑工程施工发包与承包违法行为认定查处管理办法》（2019）1号等有关法律、法规之规定，遵循平等、自愿、公平和诚实信用的原则，双方就工程部分的劳务作业分包事项协商一致，共同达成如下协议：</w:t>
      </w:r>
    </w:p>
    <w:p w14:paraId="208541CA">
      <w:pPr>
        <w:keepNext/>
        <w:wordWrap w:val="0"/>
        <w:spacing w:line="360" w:lineRule="auto"/>
        <w:jc w:val="left"/>
        <w:textAlignment w:val="top"/>
        <w:rPr>
          <w:rFonts w:ascii="宋体" w:hAnsi="宋体" w:cs="宋体"/>
          <w:b/>
          <w:color w:val="auto"/>
          <w:sz w:val="24"/>
          <w:highlight w:val="none"/>
        </w:rPr>
      </w:pPr>
      <w:r>
        <w:rPr>
          <w:rFonts w:hint="eastAsia" w:ascii="宋体" w:hAnsi="宋体" w:cs="宋体"/>
          <w:b/>
          <w:color w:val="auto"/>
          <w:sz w:val="24"/>
          <w:highlight w:val="none"/>
        </w:rPr>
        <w:t>一、分包工程概况</w:t>
      </w:r>
    </w:p>
    <w:p w14:paraId="1E027FF0">
      <w:pPr>
        <w:keepNext/>
        <w:wordWrap w:val="0"/>
        <w:spacing w:line="460" w:lineRule="exact"/>
        <w:ind w:left="239" w:leftChars="114" w:firstLine="240" w:firstLineChars="1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1.1、总承包工程名称：</w:t>
      </w:r>
      <w:r>
        <w:rPr>
          <w:rFonts w:hint="eastAsia" w:ascii="宋体" w:hAnsi="宋体" w:cs="宋体"/>
          <w:color w:val="auto"/>
          <w:kern w:val="0"/>
          <w:sz w:val="24"/>
          <w:highlight w:val="none"/>
          <w:u w:val="single"/>
          <w:lang w:bidi="ar"/>
        </w:rPr>
        <w:t xml:space="preserve">                                                      </w:t>
      </w:r>
    </w:p>
    <w:p w14:paraId="23B12D79">
      <w:pPr>
        <w:keepNext/>
        <w:wordWrap w:val="0"/>
        <w:spacing w:line="460" w:lineRule="exact"/>
        <w:ind w:left="420" w:left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1.2、劳务作业分包项目名称：</w:t>
      </w:r>
      <w:r>
        <w:rPr>
          <w:rFonts w:hint="eastAsia" w:ascii="宋体" w:hAnsi="宋体" w:cs="宋体"/>
          <w:color w:val="auto"/>
          <w:kern w:val="0"/>
          <w:sz w:val="24"/>
          <w:highlight w:val="none"/>
          <w:u w:val="single"/>
          <w:lang w:bidi="ar"/>
        </w:rPr>
        <w:t xml:space="preserve">                                                </w:t>
      </w:r>
    </w:p>
    <w:p w14:paraId="7BB8FB1B">
      <w:pPr>
        <w:keepNext/>
        <w:wordWrap w:val="0"/>
        <w:spacing w:line="460" w:lineRule="exact"/>
        <w:ind w:left="420" w:left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1.3、工程地点：</w:t>
      </w:r>
      <w:r>
        <w:rPr>
          <w:rFonts w:hint="eastAsia" w:ascii="宋体" w:hAnsi="宋体" w:cs="宋体"/>
          <w:color w:val="auto"/>
          <w:kern w:val="0"/>
          <w:sz w:val="24"/>
          <w:highlight w:val="none"/>
          <w:u w:val="single"/>
          <w:lang w:bidi="ar"/>
        </w:rPr>
        <w:t xml:space="preserve">                                                            </w:t>
      </w:r>
    </w:p>
    <w:p w14:paraId="17AE4C99">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1.4、分包性质：劳务分包</w:t>
      </w:r>
    </w:p>
    <w:p w14:paraId="6739058E">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二、劳务作业分包作业范围及工作内容</w:t>
      </w:r>
    </w:p>
    <w:p w14:paraId="5E52778C">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劳务作业分包作业范围及内容：详见</w:t>
      </w:r>
      <w:r>
        <w:rPr>
          <w:rFonts w:hint="eastAsia" w:ascii="宋体" w:hAnsi="宋体" w:cs="宋体"/>
          <w:color w:val="auto"/>
          <w:kern w:val="0"/>
          <w:sz w:val="24"/>
          <w:highlight w:val="none"/>
          <w:lang w:eastAsia="zh-CN" w:bidi="ar"/>
        </w:rPr>
        <w:t>比选文件</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w:t>
      </w:r>
    </w:p>
    <w:p w14:paraId="59CB6471">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三、劳务作业分包作业期限</w:t>
      </w:r>
    </w:p>
    <w:p w14:paraId="793F4868">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计划开工日期：</w:t>
      </w:r>
      <w:r>
        <w:rPr>
          <w:rFonts w:hint="eastAsia" w:ascii="宋体" w:hAnsi="宋体" w:cs="宋体"/>
          <w:color w:val="auto"/>
          <w:kern w:val="0"/>
          <w:sz w:val="24"/>
          <w:highlight w:val="none"/>
          <w:u w:val="single"/>
          <w:lang w:bidi="ar"/>
        </w:rPr>
        <w:t xml:space="preserve">      年   月   日</w:t>
      </w:r>
      <w:r>
        <w:rPr>
          <w:rFonts w:hint="eastAsia" w:ascii="宋体" w:hAnsi="宋体" w:cs="宋体"/>
          <w:color w:val="auto"/>
          <w:kern w:val="0"/>
          <w:sz w:val="24"/>
          <w:highlight w:val="none"/>
          <w:lang w:bidi="ar"/>
        </w:rPr>
        <w:t>，总承包单位如果对此作出变更，以总承包单位的书面通知为准。</w:t>
      </w:r>
    </w:p>
    <w:p w14:paraId="4A41DC61">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计划完工日期：</w:t>
      </w:r>
      <w:r>
        <w:rPr>
          <w:rFonts w:hint="eastAsia" w:ascii="宋体" w:hAnsi="宋体" w:cs="宋体"/>
          <w:color w:val="auto"/>
          <w:kern w:val="0"/>
          <w:sz w:val="24"/>
          <w:highlight w:val="none"/>
          <w:u w:val="single"/>
          <w:lang w:bidi="ar"/>
        </w:rPr>
        <w:t xml:space="preserve">      年   月   日</w:t>
      </w:r>
    </w:p>
    <w:p w14:paraId="2E083A24">
      <w:pPr>
        <w:keepNext w:val="0"/>
        <w:widowControl/>
        <w:wordWrap/>
        <w:spacing w:line="360" w:lineRule="auto"/>
        <w:ind w:firstLine="480" w:firstLineChars="200"/>
        <w:jc w:val="left"/>
        <w:textAlignment w:val="auto"/>
        <w:rPr>
          <w:rFonts w:ascii="宋体" w:hAnsi="宋体" w:cs="宋体"/>
          <w:color w:val="auto"/>
          <w:kern w:val="0"/>
          <w:sz w:val="24"/>
          <w:highlight w:val="none"/>
          <w:lang w:bidi="ar"/>
        </w:rPr>
      </w:pPr>
      <w:r>
        <w:rPr>
          <w:rFonts w:hint="eastAsia" w:ascii="宋体" w:hAnsi="宋体" w:cs="宋体"/>
          <w:color w:val="auto"/>
          <w:kern w:val="0"/>
          <w:sz w:val="24"/>
          <w:highlight w:val="none"/>
          <w:lang w:bidi="ar"/>
        </w:rPr>
        <w:t>作业总日历天数为：</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天。</w:t>
      </w:r>
    </w:p>
    <w:p w14:paraId="4D942F28">
      <w:pPr>
        <w:keepNext w:val="0"/>
        <w:widowControl/>
        <w:wordWrap/>
        <w:spacing w:line="360" w:lineRule="auto"/>
        <w:ind w:firstLine="480" w:firstLineChars="200"/>
        <w:jc w:val="left"/>
        <w:textAlignment w:val="auto"/>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作业总日历天数与根据前述计划开始、完工日期计算的天数不一致的，以作业总日历天数为准。</w:t>
      </w:r>
    </w:p>
    <w:p w14:paraId="46AF206C">
      <w:pPr>
        <w:keepNext w:val="0"/>
        <w:widowControl/>
        <w:wordWrap/>
        <w:spacing w:line="360" w:lineRule="auto"/>
        <w:ind w:firstLine="480" w:firstLineChars="200"/>
        <w:jc w:val="left"/>
        <w:textAlignment w:val="auto"/>
        <w:rPr>
          <w:rFonts w:ascii="宋体" w:hAnsi="宋体" w:cs="宋体"/>
          <w:b/>
          <w:color w:val="auto"/>
          <w:sz w:val="24"/>
          <w:highlight w:val="none"/>
        </w:rPr>
      </w:pPr>
      <w:r>
        <w:rPr>
          <w:rFonts w:hint="eastAsia" w:ascii="宋体" w:hAnsi="宋体" w:cs="宋体"/>
          <w:color w:val="auto"/>
          <w:kern w:val="0"/>
          <w:sz w:val="24"/>
          <w:highlight w:val="none"/>
          <w:u w:val="single"/>
          <w:lang w:bidi="ar"/>
        </w:rPr>
        <w:t>有节点工期要求的，劳务作业分包单位应该按照总承包单位签发的节点工期相关文件严格执行。如因劳务作业分包单位原因造成总工期或节点工期延误，导致建设单位对总承包单位的索赔以及造成总承包单位其它一切损失，均由本合同劳务作业分包单位承担。</w:t>
      </w:r>
    </w:p>
    <w:p w14:paraId="6D132506">
      <w:pPr>
        <w:keepNext w:val="0"/>
        <w:widowControl/>
        <w:wordWrap/>
        <w:spacing w:line="360" w:lineRule="auto"/>
        <w:ind w:firstLine="482" w:firstLineChars="200"/>
        <w:jc w:val="left"/>
        <w:textAlignment w:val="auto"/>
        <w:rPr>
          <w:rFonts w:ascii="宋体" w:hAnsi="宋体" w:cs="宋体"/>
          <w:color w:val="auto"/>
          <w:kern w:val="0"/>
          <w:sz w:val="24"/>
          <w:highlight w:val="none"/>
          <w:lang w:bidi="ar"/>
        </w:rPr>
      </w:pPr>
      <w:r>
        <w:rPr>
          <w:rFonts w:hint="eastAsia" w:ascii="宋体" w:hAnsi="宋体" w:cs="宋体"/>
          <w:b/>
          <w:color w:val="auto"/>
          <w:sz w:val="24"/>
          <w:highlight w:val="none"/>
        </w:rPr>
        <w:t>四、劳务作业质量标准</w:t>
      </w:r>
    </w:p>
    <w:p w14:paraId="06006863">
      <w:pPr>
        <w:keepNext w:val="0"/>
        <w:widowControl/>
        <w:wordWrap/>
        <w:spacing w:line="360" w:lineRule="auto"/>
        <w:ind w:firstLine="480" w:firstLineChars="200"/>
        <w:jc w:val="left"/>
        <w:textAlignment w:val="auto"/>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劳务作业质量应符合标准，并符合施工合同有关质量的约定：</w:t>
      </w:r>
      <w:r>
        <w:rPr>
          <w:rFonts w:hint="eastAsia" w:ascii="宋体" w:hAnsi="宋体" w:cs="宋体"/>
          <w:color w:val="auto"/>
          <w:kern w:val="0"/>
          <w:sz w:val="24"/>
          <w:highlight w:val="none"/>
          <w:u w:val="single"/>
          <w:lang w:bidi="ar"/>
        </w:rPr>
        <w:t>工程质量符合强制性质量标准，符合国家和重庆市现行有关施工质量验收规范要求，并达到合格标准。详见</w:t>
      </w:r>
      <w:r>
        <w:rPr>
          <w:rFonts w:hint="eastAsia" w:ascii="宋体" w:hAnsi="宋体" w:cs="宋体"/>
          <w:color w:val="auto"/>
          <w:kern w:val="0"/>
          <w:sz w:val="24"/>
          <w:highlight w:val="none"/>
          <w:u w:val="single"/>
          <w:lang w:eastAsia="zh-CN" w:bidi="ar"/>
        </w:rPr>
        <w:t>比选文件</w:t>
      </w:r>
      <w:r>
        <w:rPr>
          <w:rFonts w:hint="eastAsia" w:ascii="宋体" w:hAnsi="宋体" w:cs="宋体"/>
          <w:color w:val="auto"/>
          <w:kern w:val="0"/>
          <w:sz w:val="24"/>
          <w:highlight w:val="none"/>
          <w:u w:val="single"/>
          <w:lang w:bidi="ar"/>
        </w:rPr>
        <w:t>。</w:t>
      </w:r>
    </w:p>
    <w:p w14:paraId="02E059EA">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五、劳务作业分包合同价格</w:t>
      </w:r>
    </w:p>
    <w:p w14:paraId="658BF42F">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5.1、签约合同暂定总价（含税）为：人民币（大写）</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元整(¥</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元)</w:t>
      </w:r>
    </w:p>
    <w:p w14:paraId="04139B10">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其中：安全生产费/安全文明施工费（含税）：人民币（大写）</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元整(¥</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元)</w:t>
      </w:r>
    </w:p>
    <w:p w14:paraId="34ED555B">
      <w:pPr>
        <w:keepNext/>
        <w:wordWrap w:val="0"/>
        <w:spacing w:line="460" w:lineRule="exact"/>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增值税率：</w:t>
      </w:r>
      <w:r>
        <w:rPr>
          <w:rFonts w:hint="eastAsia" w:ascii="宋体" w:hAnsi="宋体" w:cs="宋体"/>
          <w:color w:val="auto"/>
          <w:kern w:val="0"/>
          <w:sz w:val="24"/>
          <w:highlight w:val="none"/>
          <w:u w:val="single"/>
          <w:lang w:bidi="ar"/>
        </w:rPr>
        <w:t xml:space="preserve">         </w:t>
      </w:r>
    </w:p>
    <w:p w14:paraId="51F8E8FB">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发票类型：增值税专用发票</w:t>
      </w:r>
    </w:p>
    <w:p w14:paraId="40CCB69D">
      <w:pPr>
        <w:keepNext/>
        <w:wordWrap w:val="0"/>
        <w:spacing w:line="460" w:lineRule="exact"/>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5.2、合同价格形式：</w:t>
      </w:r>
      <w:r>
        <w:rPr>
          <w:rFonts w:hint="eastAsia" w:ascii="宋体" w:hAnsi="宋体" w:cs="宋体"/>
          <w:color w:val="auto"/>
          <w:kern w:val="0"/>
          <w:sz w:val="24"/>
          <w:highlight w:val="none"/>
          <w:u w:val="single"/>
          <w:lang w:bidi="ar"/>
        </w:rPr>
        <w:t>劳务综合单价合同（具体详见合同工程量清单附件）实际合同价款以双方共同审定确认的结算金额为准。</w:t>
      </w:r>
    </w:p>
    <w:p w14:paraId="138B3682">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六、劳务作业分包单位资质</w:t>
      </w:r>
    </w:p>
    <w:p w14:paraId="122B2AE3">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建筑企业资质证书编号：</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4CB834FE">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资质等级：</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6D6C6A00">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资质证书有效期：</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31C5CA6E">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安全生产许可证编号：</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29F5E6D5">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安全生产许可证有效期：</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385D5CEE">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七、双方项目负责人</w:t>
      </w:r>
    </w:p>
    <w:p w14:paraId="67A21939">
      <w:pPr>
        <w:keepNext/>
        <w:wordWrap w:val="0"/>
        <w:spacing w:line="460" w:lineRule="exact"/>
        <w:ind w:left="479" w:leftChars="228"/>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总承包单位项目负责人；</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，身份证号：</w:t>
      </w:r>
      <w:r>
        <w:rPr>
          <w:rFonts w:hint="eastAsia" w:ascii="宋体" w:hAnsi="宋体" w:cs="宋体"/>
          <w:color w:val="auto"/>
          <w:kern w:val="0"/>
          <w:sz w:val="24"/>
          <w:highlight w:val="none"/>
          <w:u w:val="single"/>
          <w:lang w:bidi="ar"/>
        </w:rPr>
        <w:t xml:space="preserve">                  </w:t>
      </w:r>
    </w:p>
    <w:p w14:paraId="2A35A98D">
      <w:pPr>
        <w:keepNext/>
        <w:wordWrap w:val="0"/>
        <w:spacing w:line="460" w:lineRule="exact"/>
        <w:ind w:left="479" w:leftChars="228"/>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劳务作业分包单位项目负责人：</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身份证号：</w:t>
      </w:r>
      <w:r>
        <w:rPr>
          <w:rFonts w:hint="eastAsia" w:ascii="宋体" w:hAnsi="宋体" w:cs="宋体"/>
          <w:color w:val="auto"/>
          <w:kern w:val="0"/>
          <w:sz w:val="24"/>
          <w:highlight w:val="none"/>
          <w:u w:val="single"/>
          <w:lang w:bidi="ar"/>
        </w:rPr>
        <w:t xml:space="preserve">            </w:t>
      </w:r>
    </w:p>
    <w:p w14:paraId="75C9BF41">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八、企业涉税信息</w:t>
      </w:r>
    </w:p>
    <w:p w14:paraId="18698586">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总承包单位：</w:t>
      </w:r>
      <w:r>
        <w:rPr>
          <w:rFonts w:hint="eastAsia" w:ascii="宋体" w:hAnsi="宋体" w:cs="宋体"/>
          <w:color w:val="auto"/>
          <w:kern w:val="0"/>
          <w:sz w:val="24"/>
          <w:highlight w:val="none"/>
          <w:u w:val="single"/>
          <w:lang w:bidi="ar"/>
        </w:rPr>
        <w:t xml:space="preserve"> 重庆首讯科技股份有限公司 </w:t>
      </w:r>
    </w:p>
    <w:p w14:paraId="5F2FC5B9">
      <w:pPr>
        <w:spacing w:line="360" w:lineRule="auto"/>
        <w:ind w:firstLine="482"/>
        <w:rPr>
          <w:rFonts w:ascii="宋体" w:hAnsi="宋体" w:cs="宋体"/>
          <w:color w:val="auto"/>
          <w:sz w:val="24"/>
          <w:highlight w:val="none"/>
          <w:u w:val="single"/>
        </w:rPr>
      </w:pPr>
      <w:r>
        <w:rPr>
          <w:rFonts w:hint="eastAsia" w:ascii="宋体" w:hAnsi="宋体" w:cs="宋体"/>
          <w:color w:val="auto"/>
          <w:kern w:val="0"/>
          <w:sz w:val="24"/>
          <w:highlight w:val="none"/>
          <w:lang w:bidi="ar"/>
        </w:rPr>
        <w:t xml:space="preserve">营业执照统一社会信用代码： </w:t>
      </w:r>
      <w:r>
        <w:rPr>
          <w:rFonts w:hint="eastAsia" w:ascii="宋体" w:hAnsi="宋体" w:cs="宋体"/>
          <w:color w:val="auto"/>
          <w:sz w:val="24"/>
          <w:highlight w:val="none"/>
          <w:u w:val="single"/>
        </w:rPr>
        <w:t>91500000586880999E</w:t>
      </w:r>
    </w:p>
    <w:p w14:paraId="474B5257">
      <w:pPr>
        <w:spacing w:line="360" w:lineRule="auto"/>
        <w:ind w:firstLine="482"/>
        <w:rPr>
          <w:rFonts w:ascii="宋体" w:hAnsi="宋体" w:cs="宋体"/>
          <w:color w:val="auto"/>
          <w:sz w:val="24"/>
          <w:highlight w:val="none"/>
          <w:u w:val="single"/>
        </w:rPr>
      </w:pPr>
      <w:r>
        <w:rPr>
          <w:rFonts w:hint="eastAsia" w:ascii="宋体" w:hAnsi="宋体" w:cs="宋体"/>
          <w:color w:val="auto"/>
          <w:kern w:val="0"/>
          <w:sz w:val="24"/>
          <w:highlight w:val="none"/>
          <w:lang w:bidi="ar"/>
        </w:rPr>
        <w:t xml:space="preserve">地  址： </w:t>
      </w:r>
      <w:r>
        <w:rPr>
          <w:rFonts w:hint="eastAsia" w:ascii="宋体" w:hAnsi="宋体" w:cs="宋体"/>
          <w:color w:val="auto"/>
          <w:sz w:val="24"/>
          <w:highlight w:val="none"/>
          <w:u w:val="single"/>
        </w:rPr>
        <w:t>重庆市</w:t>
      </w:r>
      <w:r>
        <w:rPr>
          <w:rFonts w:hint="default" w:ascii="Times New Roman" w:hAnsi="Times New Roman" w:cs="Times New Roman"/>
          <w:snapToGrid/>
          <w:color w:val="auto"/>
          <w:kern w:val="2"/>
          <w:szCs w:val="24"/>
          <w:highlight w:val="none"/>
          <w:lang w:val="en-US" w:eastAsia="zh-CN"/>
        </w:rPr>
        <w:t>两江新区</w:t>
      </w:r>
      <w:r>
        <w:rPr>
          <w:rFonts w:hint="eastAsia" w:ascii="宋体" w:hAnsi="宋体" w:cs="宋体"/>
          <w:color w:val="auto"/>
          <w:sz w:val="24"/>
          <w:highlight w:val="none"/>
          <w:u w:val="single"/>
        </w:rPr>
        <w:t>龙溪街道新南路52号1幢3-1</w:t>
      </w:r>
    </w:p>
    <w:p w14:paraId="6F9B4DFC">
      <w:pPr>
        <w:spacing w:line="360" w:lineRule="auto"/>
        <w:ind w:firstLine="482"/>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电  话： </w:t>
      </w:r>
      <w:r>
        <w:rPr>
          <w:rFonts w:hint="eastAsia" w:ascii="宋体" w:hAnsi="宋体" w:cs="宋体"/>
          <w:color w:val="auto"/>
          <w:sz w:val="24"/>
          <w:highlight w:val="none"/>
          <w:u w:val="single"/>
        </w:rPr>
        <w:t xml:space="preserve">023-86917860 </w:t>
      </w:r>
      <w:r>
        <w:rPr>
          <w:rFonts w:hint="eastAsia" w:ascii="宋体" w:hAnsi="宋体" w:cs="宋体"/>
          <w:color w:val="auto"/>
          <w:kern w:val="0"/>
          <w:sz w:val="24"/>
          <w:highlight w:val="none"/>
          <w:lang w:bidi="ar"/>
        </w:rPr>
        <w:t xml:space="preserve"> </w:t>
      </w:r>
    </w:p>
    <w:p w14:paraId="28571287">
      <w:pPr>
        <w:spacing w:line="360" w:lineRule="auto"/>
        <w:ind w:firstLine="482"/>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邮政编码：</w:t>
      </w:r>
      <w:r>
        <w:rPr>
          <w:rFonts w:hint="eastAsia" w:ascii="宋体" w:hAnsi="宋体" w:cs="宋体"/>
          <w:color w:val="auto"/>
          <w:kern w:val="0"/>
          <w:sz w:val="24"/>
          <w:highlight w:val="none"/>
          <w:u w:val="single"/>
          <w:lang w:bidi="ar"/>
        </w:rPr>
        <w:t>400000</w:t>
      </w:r>
    </w:p>
    <w:p w14:paraId="7090DA0F">
      <w:pPr>
        <w:spacing w:line="360" w:lineRule="auto"/>
        <w:ind w:firstLine="482"/>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开户银行：</w:t>
      </w:r>
      <w:r>
        <w:rPr>
          <w:rFonts w:hint="eastAsia" w:ascii="宋体" w:hAnsi="宋体" w:cs="宋体"/>
          <w:color w:val="auto"/>
          <w:kern w:val="0"/>
          <w:sz w:val="24"/>
          <w:highlight w:val="none"/>
          <w:u w:val="single"/>
          <w:lang w:bidi="ar"/>
        </w:rPr>
        <w:t>中国光大银行股份有限公司重庆冉家坝支行</w:t>
      </w:r>
    </w:p>
    <w:p w14:paraId="65725DD0">
      <w:pPr>
        <w:spacing w:line="360" w:lineRule="auto"/>
        <w:ind w:firstLine="482"/>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账  号：</w:t>
      </w:r>
      <w:r>
        <w:rPr>
          <w:rFonts w:hint="eastAsia" w:ascii="宋体" w:hAnsi="宋体" w:cs="宋体"/>
          <w:color w:val="auto"/>
          <w:kern w:val="0"/>
          <w:sz w:val="24"/>
          <w:highlight w:val="none"/>
          <w:u w:val="single"/>
          <w:lang w:bidi="ar"/>
        </w:rPr>
        <w:t xml:space="preserve">39530188000016968  </w:t>
      </w:r>
    </w:p>
    <w:p w14:paraId="3C6D119A">
      <w:pPr>
        <w:spacing w:line="360" w:lineRule="auto"/>
        <w:ind w:firstLine="482"/>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纳税人性质： 一般纳税人 </w:t>
      </w:r>
    </w:p>
    <w:p w14:paraId="2D2EA804">
      <w:pPr>
        <w:spacing w:line="360" w:lineRule="auto"/>
        <w:ind w:firstLine="482"/>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劳务作业分包单位：</w:t>
      </w:r>
      <w:r>
        <w:rPr>
          <w:rFonts w:hint="eastAsia" w:ascii="宋体" w:hAnsi="宋体" w:cs="宋体"/>
          <w:color w:val="auto"/>
          <w:kern w:val="0"/>
          <w:sz w:val="24"/>
          <w:highlight w:val="none"/>
          <w:u w:val="single"/>
          <w:lang w:bidi="ar"/>
        </w:rPr>
        <w:t xml:space="preserve">                                                  </w:t>
      </w:r>
    </w:p>
    <w:p w14:paraId="5ED7E354">
      <w:pPr>
        <w:spacing w:line="360" w:lineRule="auto"/>
        <w:ind w:firstLine="482"/>
        <w:rPr>
          <w:rFonts w:ascii="宋体" w:hAnsi="宋体" w:cs="宋体"/>
          <w:color w:val="auto"/>
          <w:kern w:val="0"/>
          <w:sz w:val="24"/>
          <w:highlight w:val="none"/>
          <w:lang w:bidi="ar"/>
        </w:rPr>
      </w:pPr>
      <w:r>
        <w:rPr>
          <w:rFonts w:hint="eastAsia" w:ascii="宋体" w:hAnsi="宋体" w:cs="宋体"/>
          <w:color w:val="auto"/>
          <w:kern w:val="0"/>
          <w:sz w:val="24"/>
          <w:highlight w:val="none"/>
          <w:lang w:bidi="ar"/>
        </w:rPr>
        <w:t>营业执照统一社会信用代码：</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54876966">
      <w:pPr>
        <w:spacing w:line="360" w:lineRule="auto"/>
        <w:ind w:firstLine="482"/>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地  址：</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1BE073A9">
      <w:pPr>
        <w:spacing w:line="360" w:lineRule="auto"/>
        <w:ind w:firstLine="482"/>
        <w:rPr>
          <w:rFonts w:ascii="宋体" w:hAnsi="宋体" w:cs="宋体"/>
          <w:color w:val="auto"/>
          <w:kern w:val="0"/>
          <w:sz w:val="24"/>
          <w:highlight w:val="none"/>
          <w:lang w:bidi="ar"/>
        </w:rPr>
      </w:pPr>
      <w:r>
        <w:rPr>
          <w:rFonts w:hint="eastAsia" w:ascii="宋体" w:hAnsi="宋体" w:cs="宋体"/>
          <w:color w:val="auto"/>
          <w:kern w:val="0"/>
          <w:sz w:val="24"/>
          <w:highlight w:val="none"/>
          <w:lang w:bidi="ar"/>
        </w:rPr>
        <w:t>电  话：</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02EC4F15">
      <w:pPr>
        <w:widowControl/>
        <w:spacing w:line="360" w:lineRule="auto"/>
        <w:ind w:firstLine="482"/>
        <w:jc w:val="left"/>
        <w:rPr>
          <w:rFonts w:ascii="宋体" w:hAnsi="宋体" w:cs="宋体"/>
          <w:color w:val="auto"/>
          <w:kern w:val="0"/>
          <w:sz w:val="24"/>
          <w:highlight w:val="none"/>
          <w:lang w:bidi="ar"/>
        </w:rPr>
      </w:pPr>
      <w:r>
        <w:rPr>
          <w:rFonts w:hint="eastAsia" w:ascii="宋体" w:hAnsi="宋体" w:cs="宋体"/>
          <w:color w:val="auto"/>
          <w:kern w:val="0"/>
          <w:sz w:val="24"/>
          <w:highlight w:val="none"/>
          <w:lang w:bidi="ar"/>
        </w:rPr>
        <w:t>邮政编码：</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4281E36E">
      <w:pPr>
        <w:spacing w:line="360" w:lineRule="auto"/>
        <w:ind w:firstLine="482"/>
        <w:jc w:val="left"/>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开户银行：</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4DF2A017">
      <w:pPr>
        <w:spacing w:line="360" w:lineRule="auto"/>
        <w:ind w:firstLine="482"/>
        <w:jc w:val="left"/>
        <w:rPr>
          <w:rFonts w:ascii="宋体" w:hAnsi="宋体" w:cs="宋体"/>
          <w:color w:val="auto"/>
          <w:kern w:val="0"/>
          <w:sz w:val="24"/>
          <w:highlight w:val="none"/>
          <w:lang w:bidi="ar"/>
        </w:rPr>
      </w:pPr>
      <w:r>
        <w:rPr>
          <w:rFonts w:hint="eastAsia" w:ascii="宋体" w:hAnsi="宋体" w:cs="宋体"/>
          <w:color w:val="auto"/>
          <w:kern w:val="0"/>
          <w:sz w:val="24"/>
          <w:highlight w:val="none"/>
          <w:lang w:bidi="ar"/>
        </w:rPr>
        <w:t>账  号：</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0CF32CD1">
      <w:pPr>
        <w:spacing w:line="360" w:lineRule="auto"/>
        <w:ind w:firstLine="482"/>
        <w:jc w:val="left"/>
        <w:rPr>
          <w:rFonts w:ascii="宋体" w:hAnsi="宋体" w:cs="宋体"/>
          <w:color w:val="auto"/>
          <w:kern w:val="0"/>
          <w:sz w:val="24"/>
          <w:highlight w:val="none"/>
          <w:lang w:bidi="ar"/>
        </w:rPr>
      </w:pPr>
      <w:r>
        <w:rPr>
          <w:rFonts w:hint="eastAsia" w:ascii="宋体" w:hAnsi="宋体" w:cs="宋体"/>
          <w:color w:val="auto"/>
          <w:kern w:val="0"/>
          <w:sz w:val="24"/>
          <w:highlight w:val="none"/>
          <w:lang w:bidi="ar"/>
        </w:rPr>
        <w:t>纳税人性质：</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201F36E8">
      <w:pPr>
        <w:keepNext/>
        <w:keepLines/>
        <w:spacing w:line="360" w:lineRule="auto"/>
        <w:ind w:firstLine="0"/>
        <w:jc w:val="left"/>
        <w:rPr>
          <w:rFonts w:ascii="宋体" w:hAnsi="宋体" w:cs="宋体"/>
          <w:b/>
          <w:color w:val="auto"/>
          <w:sz w:val="24"/>
          <w:highlight w:val="none"/>
        </w:rPr>
      </w:pPr>
      <w:r>
        <w:rPr>
          <w:rFonts w:hint="eastAsia" w:ascii="宋体" w:hAnsi="宋体" w:cs="宋体"/>
          <w:b/>
          <w:color w:val="auto"/>
          <w:sz w:val="24"/>
          <w:highlight w:val="none"/>
        </w:rPr>
        <w:t>九、合同文件构成</w:t>
      </w:r>
    </w:p>
    <w:p w14:paraId="5198A893">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9.1、本协议书与下列文件一起构成合同文件：</w:t>
      </w:r>
    </w:p>
    <w:p w14:paraId="3B565ACE">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（1）合同协议书；</w:t>
      </w:r>
    </w:p>
    <w:p w14:paraId="4675EE27">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（2）</w:t>
      </w:r>
      <w:r>
        <w:rPr>
          <w:rFonts w:hint="eastAsia" w:ascii="宋体" w:hAnsi="宋体" w:cs="宋体"/>
          <w:color w:val="auto"/>
          <w:kern w:val="0"/>
          <w:sz w:val="24"/>
          <w:highlight w:val="none"/>
          <w:lang w:eastAsia="zh-CN" w:bidi="ar"/>
        </w:rPr>
        <w:t>中选</w:t>
      </w:r>
      <w:r>
        <w:rPr>
          <w:rFonts w:hint="eastAsia" w:ascii="宋体" w:hAnsi="宋体" w:cs="宋体"/>
          <w:color w:val="auto"/>
          <w:kern w:val="0"/>
          <w:sz w:val="24"/>
          <w:highlight w:val="none"/>
          <w:lang w:bidi="ar"/>
        </w:rPr>
        <w:t>通知书（如有）；</w:t>
      </w:r>
    </w:p>
    <w:p w14:paraId="63F8F02C">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（3）比选文件、</w:t>
      </w:r>
      <w:r>
        <w:rPr>
          <w:rFonts w:hint="eastAsia" w:ascii="宋体" w:hAnsi="宋体" w:cs="宋体"/>
          <w:color w:val="auto"/>
          <w:kern w:val="0"/>
          <w:sz w:val="24"/>
          <w:highlight w:val="none"/>
          <w:lang w:eastAsia="zh-CN" w:bidi="ar"/>
        </w:rPr>
        <w:t>比选函</w:t>
      </w:r>
      <w:r>
        <w:rPr>
          <w:rFonts w:hint="eastAsia" w:ascii="宋体" w:hAnsi="宋体" w:cs="宋体"/>
          <w:color w:val="auto"/>
          <w:kern w:val="0"/>
          <w:sz w:val="24"/>
          <w:highlight w:val="none"/>
          <w:lang w:bidi="ar"/>
        </w:rPr>
        <w:t>及</w:t>
      </w:r>
      <w:r>
        <w:rPr>
          <w:rFonts w:hint="eastAsia" w:ascii="宋体" w:hAnsi="宋体" w:cs="宋体"/>
          <w:color w:val="auto"/>
          <w:kern w:val="0"/>
          <w:sz w:val="24"/>
          <w:highlight w:val="none"/>
          <w:lang w:eastAsia="zh-CN" w:bidi="ar"/>
        </w:rPr>
        <w:t>比选函</w:t>
      </w:r>
      <w:r>
        <w:rPr>
          <w:rFonts w:hint="eastAsia" w:ascii="宋体" w:hAnsi="宋体" w:cs="宋体"/>
          <w:color w:val="auto"/>
          <w:kern w:val="0"/>
          <w:sz w:val="24"/>
          <w:highlight w:val="none"/>
          <w:lang w:bidi="ar"/>
        </w:rPr>
        <w:t>附录（如有）；</w:t>
      </w:r>
    </w:p>
    <w:p w14:paraId="4ECB8446">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（4）专用合同条款及其附件； </w:t>
      </w:r>
    </w:p>
    <w:p w14:paraId="5E7C8E73">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（5）技术标准和要求；</w:t>
      </w:r>
    </w:p>
    <w:p w14:paraId="4496A77D">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（6）图纸；</w:t>
      </w:r>
    </w:p>
    <w:p w14:paraId="6E70CF22">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（7）已标价工程量清单或报价单（表）附件；</w:t>
      </w:r>
    </w:p>
    <w:p w14:paraId="3017DC4B">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（8）其他合同文件和现场有效签证资料；</w:t>
      </w:r>
    </w:p>
    <w:p w14:paraId="7A44185D">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9.2、在合同订立及履行过程中形成的与合同有关的文件均构成合同文件的组成部分。上述各项合同文件中包括合同当事人就该项合同文件所做出的补充和修改，属于同一类型内容的文件应以最新签署的为准。</w:t>
      </w:r>
    </w:p>
    <w:p w14:paraId="48662D2B">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十、双方承诺</w:t>
      </w:r>
    </w:p>
    <w:p w14:paraId="40A47B13">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10.1、总承包单位按照劳务作业分包合同约定的期限和方式支付合同价款。</w:t>
      </w:r>
    </w:p>
    <w:p w14:paraId="01AA59E2">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10.2、劳务作业分包单位按照法律规定及合同约定组织完成劳务作业分包工作，确保劳务作业质量和安全，不进行转包及再分包。</w:t>
      </w:r>
    </w:p>
    <w:p w14:paraId="2DC4CA9E">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10.3、劳务作业分包单位按《保障农民工工资支付条例》国务院令第724号、《关于建筑领域实施农民工工资专用账户管理及银行代发制度（试行）的通知》渝建发（2017）13号或</w:t>
      </w:r>
      <w:r>
        <w:rPr>
          <w:rFonts w:hint="eastAsia" w:ascii="宋体" w:hAnsi="宋体" w:cs="宋体"/>
          <w:color w:val="auto"/>
          <w:spacing w:val="-13"/>
          <w:sz w:val="24"/>
          <w:highlight w:val="none"/>
        </w:rPr>
        <w:t>工程</w:t>
      </w:r>
      <w:r>
        <w:rPr>
          <w:rFonts w:hint="eastAsia" w:ascii="宋体" w:hAnsi="宋体" w:cs="宋体"/>
          <w:color w:val="auto"/>
          <w:spacing w:val="-5"/>
          <w:sz w:val="24"/>
          <w:highlight w:val="none"/>
        </w:rPr>
        <w:t>所在地的相关条例或政府职能部门下发关于农民工工资支付的要求</w:t>
      </w:r>
      <w:r>
        <w:rPr>
          <w:rFonts w:hint="eastAsia" w:ascii="宋体" w:hAnsi="宋体" w:cs="宋体"/>
          <w:color w:val="auto"/>
          <w:kern w:val="0"/>
          <w:sz w:val="24"/>
          <w:highlight w:val="none"/>
          <w:lang w:bidi="ar"/>
        </w:rPr>
        <w:t>，及时足额的向进场务工作业人员发放工资。</w:t>
      </w:r>
    </w:p>
    <w:p w14:paraId="1453F28B">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10.4、劳务作业分包单位不以总承包单位未支付或足额支付劳务作业分包款为由拖欠本单位进场务工作业人员工资，组织或指示人员在工程现场、工程相关方办公地点、政府机构上访、闹事，当发生上述事件时劳务作业分包单位须立即予以安抚解决。</w:t>
      </w:r>
    </w:p>
    <w:p w14:paraId="5491E8F2">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10.5、劳务作业分包单位履行施工合同中与劳务作业分包工程有关的总承包单位的所有义务（分包合同明确约定应由总承包单位履行的义务除外），并就劳务工作的质量和安全向总承包单位负责，并向建设单位承担连带责任。</w:t>
      </w:r>
    </w:p>
    <w:p w14:paraId="491EBC7A">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10.6、总承包单位和劳务作业分包单位通过邀请招标、谈判优选、比选等形式签订合同的，双方理解并承诺不再就同一工作另行签订与合同实质性内容相背离的协议。</w:t>
      </w:r>
    </w:p>
    <w:p w14:paraId="609591BF">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10.7、劳务作业分包单位提供符合法律、法规及政策规定的的增值税专用发票作为收取劳务合同价款的前提条件。</w:t>
      </w:r>
    </w:p>
    <w:p w14:paraId="1F130935">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10.8、劳务作业分包单位没有对外就本工程签订任何协议、合同的权利，如擅自签订则此协议或合同自签订之日起为无效，同时劳务作业分包单位应当按照每起类似情形20000元/起的标准向总承包单位支付违约金，且劳务作业分包单位应赔偿由此给总承包单位造成的一切损失，包括但不限于总承包单位对外承担合同责任支付的款项、违约责任、赔偿责任等。</w:t>
      </w:r>
    </w:p>
    <w:p w14:paraId="4CDB7348">
      <w:pPr>
        <w:keepNext/>
        <w:wordWrap w:val="0"/>
        <w:spacing w:line="460" w:lineRule="exact"/>
        <w:ind w:firstLine="480" w:firstLineChars="200"/>
        <w:jc w:val="left"/>
        <w:textAlignment w:val="top"/>
        <w:rPr>
          <w:rFonts w:ascii="宋体" w:hAnsi="宋体" w:cs="宋体"/>
          <w:b/>
          <w:color w:val="auto"/>
          <w:sz w:val="24"/>
          <w:highlight w:val="none"/>
        </w:rPr>
      </w:pPr>
      <w:r>
        <w:rPr>
          <w:rFonts w:hint="eastAsia" w:ascii="宋体" w:hAnsi="宋体" w:cs="宋体"/>
          <w:color w:val="auto"/>
          <w:kern w:val="0"/>
          <w:sz w:val="24"/>
          <w:highlight w:val="none"/>
          <w:lang w:bidi="ar"/>
        </w:rPr>
        <w:t>10.9、劳务作业分包单位应根据合同约定的有效计量单（收方单）、支付比例、当期应支付的工程款（进度款）及时向总承包单位提出支付申请。同时，劳务作业分包单位应告知总承包单位因本劳务作业涉及其它相对方的情况。否则一但产生法律诉讼案件，劳务作业分包单位将向总承包单位赔偿20000元的惩罚性违约金。</w:t>
      </w:r>
    </w:p>
    <w:p w14:paraId="71A0CE39">
      <w:pPr>
        <w:keepNext/>
        <w:wordWrap w:val="0"/>
        <w:spacing w:line="460" w:lineRule="exact"/>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10.10、劳务作业分包单位同第三方在劳务费、低值易耗品材料费、小型机械设备使用费等其它各方面的法律纠纷由劳务作业分包单位自行解决，对因经济和其他纠纷（包括债权债务诉讼纠纷）产生的法律后果由劳务作业分包单位负全部责任，同总承包单位无任何关联。劳务作业分包单位也不能由此要求总承包单位提供任何证据。如发生诉讼、仲裁案件，劳务作业分包单位按照本合同约定总价的10%向总承包单位支付违约金。</w:t>
      </w:r>
    </w:p>
    <w:p w14:paraId="08AC2031">
      <w:pPr>
        <w:keepNext/>
        <w:wordWrap w:val="0"/>
        <w:spacing w:line="460" w:lineRule="exact"/>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10.11、劳务作业分包单位应当依法与所招用的农民工订立劳动合同并进行用工实名登记、管理。未与劳务作业分包单位订立劳动合同并进行用工实名登记的人员，不得进入项目现场施工。劳务作业分包单位对所招用农民工的实名制管理和工资支付负直接责任，总承包单位对劳务作业分包单位劳动用工和工资发放等情况进行监督。</w:t>
      </w:r>
    </w:p>
    <w:p w14:paraId="5FF664A8">
      <w:pPr>
        <w:keepNext/>
        <w:wordWrap w:val="0"/>
        <w:spacing w:line="460" w:lineRule="exact"/>
        <w:ind w:firstLine="0" w:firstLineChars="0"/>
        <w:jc w:val="left"/>
        <w:textAlignment w:val="top"/>
        <w:rPr>
          <w:rFonts w:hint="eastAsia" w:ascii="宋体" w:hAnsi="宋体" w:cs="宋体"/>
          <w:color w:val="auto"/>
          <w:kern w:val="0"/>
          <w:sz w:val="24"/>
          <w:highlight w:val="none"/>
          <w:lang w:bidi="ar"/>
        </w:rPr>
      </w:pPr>
      <w:r>
        <w:rPr>
          <w:rFonts w:hint="eastAsia" w:ascii="宋体" w:hAnsi="宋体" w:cs="宋体"/>
          <w:b/>
          <w:color w:val="auto"/>
          <w:sz w:val="24"/>
          <w:highlight w:val="none"/>
        </w:rPr>
        <w:t>十一、项目资金专用帐户</w:t>
      </w:r>
    </w:p>
    <w:p w14:paraId="68B4CFFB">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为保证建设资金投入到项目建设，劳务作业分包单位须在项目所在地设立项目资金专用帐户，且设立项目资金专用帐户的银行应征得</w:t>
      </w:r>
      <w:r>
        <w:rPr>
          <w:rFonts w:hint="eastAsia" w:ascii="宋体" w:hAnsi="宋体" w:cs="宋体"/>
          <w:color w:val="auto"/>
          <w:kern w:val="0"/>
          <w:sz w:val="24"/>
          <w:highlight w:val="none"/>
          <w:lang w:val="en-US" w:eastAsia="zh-CN" w:bidi="ar"/>
        </w:rPr>
        <w:t>总承包单位</w:t>
      </w:r>
      <w:r>
        <w:rPr>
          <w:rFonts w:hint="eastAsia" w:ascii="宋体" w:hAnsi="宋体" w:cs="宋体"/>
          <w:color w:val="auto"/>
          <w:kern w:val="0"/>
          <w:sz w:val="24"/>
          <w:highlight w:val="none"/>
          <w:lang w:bidi="ar"/>
        </w:rPr>
        <w:t>同意，劳务作业分包单位将对劳务作业分包单位的资金账户进行监管。劳务作业分包单位大额资金的对外拨付须经</w:t>
      </w:r>
      <w:r>
        <w:rPr>
          <w:rFonts w:hint="eastAsia" w:ascii="宋体" w:hAnsi="宋体" w:cs="宋体"/>
          <w:color w:val="auto"/>
          <w:kern w:val="0"/>
          <w:sz w:val="24"/>
          <w:highlight w:val="none"/>
          <w:lang w:val="en-US" w:eastAsia="zh-CN" w:bidi="ar"/>
        </w:rPr>
        <w:t>总承包单位</w:t>
      </w:r>
      <w:r>
        <w:rPr>
          <w:rFonts w:hint="eastAsia" w:ascii="宋体" w:hAnsi="宋体" w:cs="宋体"/>
          <w:color w:val="auto"/>
          <w:kern w:val="0"/>
          <w:sz w:val="24"/>
          <w:highlight w:val="none"/>
          <w:lang w:bidi="ar"/>
        </w:rPr>
        <w:t>审批，同时提供相应合同和支付依据。将根据需要请劳务作业分包单位提供项目专用账户的流水时序帐。如发现资金违规挪用或转移现象，</w:t>
      </w:r>
      <w:r>
        <w:rPr>
          <w:rFonts w:hint="eastAsia" w:ascii="宋体" w:hAnsi="宋体" w:cs="宋体"/>
          <w:color w:val="auto"/>
          <w:kern w:val="0"/>
          <w:sz w:val="24"/>
          <w:highlight w:val="none"/>
          <w:lang w:val="en-US" w:eastAsia="zh-CN" w:bidi="ar"/>
        </w:rPr>
        <w:t>总承包单位</w:t>
      </w:r>
      <w:r>
        <w:rPr>
          <w:rFonts w:hint="eastAsia" w:ascii="宋体" w:hAnsi="宋体" w:cs="宋体"/>
          <w:color w:val="auto"/>
          <w:kern w:val="0"/>
          <w:sz w:val="24"/>
          <w:highlight w:val="none"/>
          <w:lang w:bidi="ar"/>
        </w:rPr>
        <w:t>将处以违规挪用或转移的金额的5%的违约金。</w:t>
      </w:r>
    </w:p>
    <w:p w14:paraId="0792A1E5">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十</w:t>
      </w:r>
      <w:r>
        <w:rPr>
          <w:rFonts w:hint="eastAsia" w:ascii="宋体" w:hAnsi="宋体" w:cs="宋体"/>
          <w:b/>
          <w:color w:val="auto"/>
          <w:sz w:val="24"/>
          <w:highlight w:val="none"/>
          <w:lang w:val="en-US" w:eastAsia="zh-CN"/>
        </w:rPr>
        <w:t>二</w:t>
      </w:r>
      <w:r>
        <w:rPr>
          <w:rFonts w:hint="eastAsia" w:ascii="宋体" w:hAnsi="宋体" w:cs="宋体"/>
          <w:b/>
          <w:color w:val="auto"/>
          <w:sz w:val="24"/>
          <w:highlight w:val="none"/>
        </w:rPr>
        <w:t>、债权债务的备案及公示</w:t>
      </w:r>
    </w:p>
    <w:p w14:paraId="4F834FD4">
      <w:pPr>
        <w:keepNext/>
        <w:wordWrap w:val="0"/>
        <w:spacing w:line="460" w:lineRule="exact"/>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劳务作业分包单位应按《保障农民工工资支付条例》国务院令第724号、《关于建筑领域实施农民工工资专用账户管理及银行代发制度（试行）的通知》渝建发（2017）13号文件或</w:t>
      </w:r>
      <w:r>
        <w:rPr>
          <w:rFonts w:hint="eastAsia" w:ascii="宋体" w:hAnsi="宋体" w:cs="宋体"/>
          <w:color w:val="auto"/>
          <w:spacing w:val="-10"/>
          <w:highlight w:val="none"/>
        </w:rPr>
        <w:t>工程所在</w:t>
      </w:r>
      <w:r>
        <w:rPr>
          <w:rFonts w:hint="eastAsia" w:ascii="宋体" w:hAnsi="宋体" w:cs="宋体"/>
          <w:color w:val="auto"/>
          <w:highlight w:val="none"/>
        </w:rPr>
        <w:t>地的相关条例或政府职能部门下发关于农民工工资支付的</w:t>
      </w:r>
      <w:r>
        <w:rPr>
          <w:rFonts w:hint="eastAsia" w:ascii="宋体" w:hAnsi="宋体" w:cs="宋体"/>
          <w:color w:val="auto"/>
          <w:kern w:val="0"/>
          <w:sz w:val="24"/>
          <w:highlight w:val="none"/>
          <w:lang w:bidi="ar"/>
        </w:rPr>
        <w:t>要求建立本劳务作业分包合同的《农民工工资支付表》，并提交给总承包单位审查、备案，相关资料双方须保存至工程完工且工资全部结清后至少3年。劳务作业分包单位应在本项目工地的公示牌内对上月《农民工工资发放公示表》进行公示，公示期不少于3个工作日，并将公示情况报总承包单位。</w:t>
      </w:r>
      <w:r>
        <w:rPr>
          <w:rFonts w:hint="eastAsia" w:ascii="宋体" w:hAnsi="宋体" w:cs="宋体"/>
          <w:color w:val="auto"/>
          <w:kern w:val="0"/>
          <w:sz w:val="24"/>
          <w:highlight w:val="none"/>
          <w:u w:val="single"/>
          <w:lang w:bidi="ar"/>
        </w:rPr>
        <w:t>如未公示，劳务作业分包单位将支付总承包单位5000元/期的违约金。施工期间总承包单位有权对《农民工工资支付表》随时检查、核对，一旦发现未按要求执行或作假，总承包单位有权要求劳务作业分包单位支付总承包单位5000元变成2万元/期的违约金。</w:t>
      </w:r>
    </w:p>
    <w:p w14:paraId="27B59B71">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十</w:t>
      </w:r>
      <w:r>
        <w:rPr>
          <w:rFonts w:hint="eastAsia" w:ascii="宋体" w:hAnsi="宋体" w:cs="宋体"/>
          <w:b/>
          <w:color w:val="auto"/>
          <w:sz w:val="24"/>
          <w:highlight w:val="none"/>
          <w:lang w:val="en-US" w:eastAsia="zh-CN"/>
        </w:rPr>
        <w:t>三</w:t>
      </w:r>
      <w:r>
        <w:rPr>
          <w:rFonts w:hint="eastAsia" w:ascii="宋体" w:hAnsi="宋体" w:cs="宋体"/>
          <w:b/>
          <w:color w:val="auto"/>
          <w:sz w:val="24"/>
          <w:highlight w:val="none"/>
        </w:rPr>
        <w:t>、合同未尽事宜</w:t>
      </w:r>
    </w:p>
    <w:p w14:paraId="6ECABDF9">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双方另行签订补充协议，补充协议是合同的组成部分。</w:t>
      </w:r>
    </w:p>
    <w:p w14:paraId="74EDF3AF">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十</w:t>
      </w:r>
      <w:r>
        <w:rPr>
          <w:rFonts w:hint="eastAsia" w:ascii="宋体" w:hAnsi="宋体" w:cs="宋体"/>
          <w:b/>
          <w:color w:val="auto"/>
          <w:sz w:val="24"/>
          <w:highlight w:val="none"/>
          <w:lang w:val="en-US" w:eastAsia="zh-CN"/>
        </w:rPr>
        <w:t>四</w:t>
      </w:r>
      <w:r>
        <w:rPr>
          <w:rFonts w:hint="eastAsia" w:ascii="宋体" w:hAnsi="宋体" w:cs="宋体"/>
          <w:b/>
          <w:color w:val="auto"/>
          <w:sz w:val="24"/>
          <w:highlight w:val="none"/>
        </w:rPr>
        <w:t>、合同附件</w:t>
      </w:r>
    </w:p>
    <w:p w14:paraId="68D28979">
      <w:pPr>
        <w:keepNext/>
        <w:wordWrap w:val="0"/>
        <w:spacing w:line="360" w:lineRule="auto"/>
        <w:ind w:firstLine="720" w:firstLineChars="3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附件1 农民工工资支付表；附件2 农民工工资发放公示表；附件3 劳务作业分包工程量清单；附件4 农民工工资代发委托书；附件5 安全生产协议 ；附件6 廉政合同；附件7 环境保护协议；附件8 诚信合规协议（如有）等。</w:t>
      </w:r>
    </w:p>
    <w:p w14:paraId="76729F90">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十</w:t>
      </w:r>
      <w:r>
        <w:rPr>
          <w:rFonts w:hint="eastAsia" w:ascii="宋体" w:hAnsi="宋体" w:cs="宋体"/>
          <w:b/>
          <w:color w:val="auto"/>
          <w:sz w:val="24"/>
          <w:highlight w:val="none"/>
          <w:lang w:val="en-US" w:eastAsia="zh-CN"/>
        </w:rPr>
        <w:t>五</w:t>
      </w:r>
      <w:r>
        <w:rPr>
          <w:rFonts w:hint="eastAsia" w:ascii="宋体" w:hAnsi="宋体" w:cs="宋体"/>
          <w:b/>
          <w:color w:val="auto"/>
          <w:sz w:val="24"/>
          <w:highlight w:val="none"/>
        </w:rPr>
        <w:t>、附则</w:t>
      </w:r>
    </w:p>
    <w:p w14:paraId="4EF3A335">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w:t>
      </w:r>
      <w:r>
        <w:rPr>
          <w:rFonts w:hint="eastAsia" w:ascii="宋体" w:hAnsi="宋体" w:cs="宋体"/>
          <w:color w:val="auto"/>
          <w:kern w:val="0"/>
          <w:sz w:val="24"/>
          <w:highlight w:val="none"/>
          <w:lang w:val="en-US" w:eastAsia="zh-CN" w:bidi="ar"/>
        </w:rPr>
        <w:t>5</w:t>
      </w:r>
      <w:r>
        <w:rPr>
          <w:rFonts w:hint="eastAsia" w:ascii="宋体" w:hAnsi="宋体" w:cs="宋体"/>
          <w:color w:val="auto"/>
          <w:kern w:val="0"/>
          <w:sz w:val="24"/>
          <w:highlight w:val="none"/>
          <w:lang w:bidi="ar"/>
        </w:rPr>
        <w:t>.1、合同订立时间：</w:t>
      </w:r>
      <w:r>
        <w:rPr>
          <w:rFonts w:hint="eastAsia" w:ascii="宋体" w:hAnsi="宋体" w:cs="宋体"/>
          <w:color w:val="auto"/>
          <w:kern w:val="0"/>
          <w:sz w:val="24"/>
          <w:highlight w:val="none"/>
          <w:u w:val="single"/>
          <w:lang w:bidi="ar"/>
        </w:rPr>
        <w:t xml:space="preserve">       年     月     日</w:t>
      </w:r>
    </w:p>
    <w:p w14:paraId="7B22BFD7">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w:t>
      </w:r>
      <w:r>
        <w:rPr>
          <w:rFonts w:hint="eastAsia" w:ascii="宋体" w:hAnsi="宋体" w:cs="宋体"/>
          <w:color w:val="auto"/>
          <w:kern w:val="0"/>
          <w:sz w:val="24"/>
          <w:highlight w:val="none"/>
          <w:lang w:val="en-US" w:eastAsia="zh-CN" w:bidi="ar"/>
        </w:rPr>
        <w:t>5</w:t>
      </w:r>
      <w:r>
        <w:rPr>
          <w:rFonts w:hint="eastAsia" w:ascii="宋体" w:hAnsi="宋体" w:cs="宋体"/>
          <w:color w:val="auto"/>
          <w:kern w:val="0"/>
          <w:sz w:val="24"/>
          <w:highlight w:val="none"/>
          <w:lang w:bidi="ar"/>
        </w:rPr>
        <w:t>.2、合同订立地点：</w:t>
      </w:r>
      <w:r>
        <w:rPr>
          <w:rFonts w:hint="eastAsia" w:ascii="宋体" w:hAnsi="宋体" w:cs="宋体"/>
          <w:color w:val="auto"/>
          <w:kern w:val="0"/>
          <w:sz w:val="24"/>
          <w:highlight w:val="none"/>
          <w:u w:val="single"/>
          <w:lang w:bidi="ar"/>
        </w:rPr>
        <w:t>总承包单位所在地（总承包单位若是一直为首讯，即地点明确到建筑工程所在地，区级即可）</w:t>
      </w:r>
    </w:p>
    <w:p w14:paraId="35490AD4">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w:t>
      </w:r>
      <w:r>
        <w:rPr>
          <w:rFonts w:hint="eastAsia" w:ascii="宋体" w:hAnsi="宋体" w:cs="宋体"/>
          <w:color w:val="auto"/>
          <w:kern w:val="0"/>
          <w:sz w:val="24"/>
          <w:highlight w:val="none"/>
          <w:lang w:val="en-US" w:eastAsia="zh-CN" w:bidi="ar"/>
        </w:rPr>
        <w:t>5</w:t>
      </w:r>
      <w:r>
        <w:rPr>
          <w:rFonts w:hint="eastAsia" w:ascii="宋体" w:hAnsi="宋体" w:cs="宋体"/>
          <w:color w:val="auto"/>
          <w:kern w:val="0"/>
          <w:sz w:val="24"/>
          <w:highlight w:val="none"/>
          <w:lang w:bidi="ar"/>
        </w:rPr>
        <w:t>.3、本合同自双方盖章之日起生效，待工程施工验收合格、质保期满、签订分包结算书并同意分包结算书中约定的合同终止条款，视为双方合同权利义务已履行完毕，合同终止。</w:t>
      </w:r>
    </w:p>
    <w:p w14:paraId="6B787E4C">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w:t>
      </w:r>
      <w:r>
        <w:rPr>
          <w:rFonts w:hint="eastAsia" w:ascii="宋体" w:hAnsi="宋体" w:cs="宋体"/>
          <w:color w:val="auto"/>
          <w:kern w:val="0"/>
          <w:sz w:val="24"/>
          <w:highlight w:val="none"/>
          <w:lang w:val="en-US" w:eastAsia="zh-CN" w:bidi="ar"/>
        </w:rPr>
        <w:t>5</w:t>
      </w:r>
      <w:r>
        <w:rPr>
          <w:rFonts w:hint="eastAsia" w:ascii="宋体" w:hAnsi="宋体" w:cs="宋体"/>
          <w:color w:val="auto"/>
          <w:kern w:val="0"/>
          <w:sz w:val="24"/>
          <w:highlight w:val="none"/>
          <w:lang w:bidi="ar"/>
        </w:rPr>
        <w:t>.4、本合同一式</w:t>
      </w:r>
      <w:r>
        <w:rPr>
          <w:rFonts w:hint="eastAsia" w:ascii="宋体" w:hAnsi="宋体" w:cs="宋体"/>
          <w:color w:val="auto"/>
          <w:kern w:val="0"/>
          <w:sz w:val="24"/>
          <w:highlight w:val="none"/>
          <w:u w:val="single"/>
          <w:lang w:bidi="ar"/>
        </w:rPr>
        <w:t xml:space="preserve"> X </w:t>
      </w:r>
      <w:r>
        <w:rPr>
          <w:rFonts w:hint="eastAsia" w:ascii="宋体" w:hAnsi="宋体" w:cs="宋体"/>
          <w:color w:val="auto"/>
          <w:kern w:val="0"/>
          <w:sz w:val="24"/>
          <w:highlight w:val="none"/>
          <w:lang w:bidi="ar"/>
        </w:rPr>
        <w:t>份，均具有同等法律效力。总承包单位执肆份，分包单位执</w:t>
      </w:r>
      <w:r>
        <w:rPr>
          <w:rFonts w:hint="eastAsia" w:ascii="宋体" w:hAnsi="宋体" w:cs="宋体"/>
          <w:color w:val="auto"/>
          <w:kern w:val="0"/>
          <w:sz w:val="24"/>
          <w:highlight w:val="none"/>
          <w:u w:val="single"/>
          <w:lang w:bidi="ar"/>
        </w:rPr>
        <w:t>X</w:t>
      </w:r>
      <w:r>
        <w:rPr>
          <w:rFonts w:hint="eastAsia" w:ascii="宋体" w:hAnsi="宋体" w:cs="宋体"/>
          <w:color w:val="auto"/>
          <w:kern w:val="0"/>
          <w:sz w:val="24"/>
          <w:highlight w:val="none"/>
          <w:lang w:bidi="ar"/>
        </w:rPr>
        <w:t>份。</w:t>
      </w:r>
    </w:p>
    <w:p w14:paraId="60FCE196">
      <w:pPr>
        <w:keepNext/>
        <w:keepLines/>
        <w:widowControl/>
        <w:wordWrap w:val="0"/>
        <w:topLinePunct/>
        <w:autoSpaceDE w:val="0"/>
        <w:spacing w:line="500" w:lineRule="exact"/>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  </w:t>
      </w:r>
    </w:p>
    <w:p w14:paraId="3B042961">
      <w:pPr>
        <w:keepNext/>
        <w:keepLines/>
        <w:widowControl/>
        <w:wordWrap w:val="0"/>
        <w:topLinePunct/>
        <w:autoSpaceDE w:val="0"/>
        <w:spacing w:line="500" w:lineRule="exact"/>
        <w:jc w:val="left"/>
        <w:textAlignment w:val="top"/>
        <w:rPr>
          <w:rFonts w:ascii="宋体" w:hAnsi="宋体" w:cs="宋体"/>
          <w:color w:val="auto"/>
          <w:kern w:val="0"/>
          <w:sz w:val="24"/>
          <w:highlight w:val="none"/>
          <w:lang w:bidi="ar"/>
        </w:rPr>
      </w:pPr>
    </w:p>
    <w:p w14:paraId="02852DE6">
      <w:pPr>
        <w:keepNext/>
        <w:keepLines/>
        <w:widowControl/>
        <w:wordWrap w:val="0"/>
        <w:topLinePunct/>
        <w:autoSpaceDE w:val="0"/>
        <w:spacing w:line="500" w:lineRule="exact"/>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总承包单位(章) ：                       劳务作业分包单位(章)：  </w:t>
      </w:r>
    </w:p>
    <w:p w14:paraId="0B140EBA">
      <w:pPr>
        <w:keepNext/>
        <w:keepLines/>
        <w:widowControl/>
        <w:wordWrap w:val="0"/>
        <w:topLinePunct/>
        <w:autoSpaceDE w:val="0"/>
        <w:spacing w:line="50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                                  </w:t>
      </w:r>
    </w:p>
    <w:p w14:paraId="6AE9A337">
      <w:pPr>
        <w:keepNext/>
        <w:keepLines/>
        <w:widowControl/>
        <w:tabs>
          <w:tab w:val="right" w:pos="9638"/>
        </w:tabs>
        <w:wordWrap w:val="0"/>
        <w:topLinePunct/>
        <w:autoSpaceDE w:val="0"/>
        <w:spacing w:line="500" w:lineRule="exact"/>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法定代表人（签字或盖章）：                法定代表人（签字或盖章）：</w:t>
      </w:r>
      <w:r>
        <w:rPr>
          <w:rFonts w:hint="eastAsia" w:ascii="宋体" w:hAnsi="宋体" w:cs="宋体"/>
          <w:color w:val="auto"/>
          <w:kern w:val="0"/>
          <w:sz w:val="24"/>
          <w:highlight w:val="none"/>
          <w:lang w:bidi="ar"/>
        </w:rPr>
        <w:tab/>
      </w:r>
    </w:p>
    <w:p w14:paraId="51E1F0DE">
      <w:pPr>
        <w:keepNext/>
        <w:keepLines/>
        <w:widowControl/>
        <w:wordWrap w:val="0"/>
        <w:topLinePunct/>
        <w:autoSpaceDE w:val="0"/>
        <w:spacing w:line="50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                                               </w:t>
      </w:r>
    </w:p>
    <w:p w14:paraId="34F84E0D">
      <w:pPr>
        <w:keepNext/>
        <w:keepLines/>
        <w:widowControl/>
        <w:wordWrap w:val="0"/>
        <w:topLinePunct/>
        <w:autoSpaceDE w:val="0"/>
        <w:spacing w:line="500" w:lineRule="exact"/>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或委托人（签字）：                        或委托人（签字）：</w:t>
      </w:r>
    </w:p>
    <w:p w14:paraId="315EDF8D">
      <w:pPr>
        <w:keepNext/>
        <w:keepLines/>
        <w:widowControl/>
        <w:wordWrap w:val="0"/>
        <w:topLinePunct/>
        <w:autoSpaceDE w:val="0"/>
        <w:spacing w:line="500" w:lineRule="exact"/>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   </w:t>
      </w:r>
    </w:p>
    <w:p w14:paraId="08D52A20">
      <w:pPr>
        <w:widowControl/>
        <w:spacing w:line="360" w:lineRule="auto"/>
        <w:jc w:val="left"/>
        <w:rPr>
          <w:rFonts w:ascii="宋体" w:hAnsi="宋体" w:cs="宋体"/>
          <w:color w:val="auto"/>
          <w:sz w:val="24"/>
          <w:highlight w:val="none"/>
        </w:rPr>
      </w:pPr>
      <w:r>
        <w:rPr>
          <w:rFonts w:hint="eastAsia" w:ascii="宋体" w:hAnsi="宋体" w:cs="宋体"/>
          <w:color w:val="auto"/>
          <w:sz w:val="24"/>
          <w:highlight w:val="none"/>
        </w:rPr>
        <w:t>经办人：                                    经办人：</w:t>
      </w:r>
    </w:p>
    <w:p w14:paraId="224BAB2B">
      <w:pPr>
        <w:pStyle w:val="4"/>
        <w:widowControl/>
        <w:jc w:val="center"/>
        <w:rPr>
          <w:rFonts w:ascii="宋体" w:hAnsi="宋体" w:cs="宋体"/>
          <w:color w:val="auto"/>
          <w:sz w:val="36"/>
          <w:szCs w:val="36"/>
          <w:highlight w:val="none"/>
        </w:rPr>
      </w:pPr>
      <w:r>
        <w:rPr>
          <w:rFonts w:hint="eastAsia" w:ascii="宋体" w:hAnsi="宋体" w:cs="宋体"/>
          <w:color w:val="auto"/>
          <w:sz w:val="24"/>
          <w:szCs w:val="24"/>
          <w:highlight w:val="none"/>
          <w:lang w:bidi="ar"/>
        </w:rPr>
        <w:t xml:space="preserve">   </w:t>
      </w:r>
      <w:bookmarkStart w:id="525" w:name="_Toc231"/>
      <w:bookmarkStart w:id="526" w:name="_Toc25870"/>
      <w:bookmarkStart w:id="527" w:name="_Toc298"/>
      <w:r>
        <w:rPr>
          <w:rFonts w:hint="eastAsia" w:ascii="宋体" w:hAnsi="宋体" w:cs="宋体"/>
          <w:color w:val="auto"/>
          <w:sz w:val="36"/>
          <w:szCs w:val="36"/>
          <w:highlight w:val="none"/>
        </w:rPr>
        <w:t>第二部分 专用合同条款</w:t>
      </w:r>
      <w:bookmarkEnd w:id="525"/>
      <w:bookmarkEnd w:id="526"/>
      <w:bookmarkEnd w:id="527"/>
    </w:p>
    <w:p w14:paraId="02D12718">
      <w:pPr>
        <w:pStyle w:val="4"/>
        <w:widowControl w:val="0"/>
        <w:wordWrap w:val="0"/>
        <w:spacing w:before="0" w:after="0" w:line="360" w:lineRule="auto"/>
        <w:rPr>
          <w:rFonts w:ascii="宋体" w:hAnsi="宋体" w:cs="宋体"/>
          <w:color w:val="auto"/>
          <w:sz w:val="24"/>
          <w:szCs w:val="24"/>
          <w:highlight w:val="none"/>
        </w:rPr>
      </w:pPr>
      <w:bookmarkStart w:id="528" w:name="_Toc7313"/>
      <w:bookmarkStart w:id="529" w:name="_Toc385"/>
      <w:bookmarkStart w:id="530" w:name="_Toc8273"/>
      <w:bookmarkStart w:id="531" w:name="_Toc149"/>
      <w:bookmarkStart w:id="532" w:name="_Toc22651"/>
      <w:bookmarkStart w:id="533" w:name="_Toc27819"/>
      <w:r>
        <w:rPr>
          <w:rFonts w:hint="eastAsia" w:ascii="宋体" w:hAnsi="宋体" w:cs="宋体"/>
          <w:color w:val="auto"/>
          <w:sz w:val="24"/>
          <w:szCs w:val="24"/>
          <w:highlight w:val="none"/>
        </w:rPr>
        <w:t>1、一般约定</w:t>
      </w:r>
      <w:bookmarkEnd w:id="528"/>
      <w:bookmarkEnd w:id="529"/>
      <w:bookmarkEnd w:id="530"/>
      <w:bookmarkEnd w:id="531"/>
      <w:bookmarkEnd w:id="532"/>
      <w:bookmarkEnd w:id="533"/>
    </w:p>
    <w:p w14:paraId="69423BE0">
      <w:pPr>
        <w:pStyle w:val="5"/>
        <w:widowControl w:val="0"/>
        <w:wordWrap w:val="0"/>
        <w:spacing w:before="0" w:after="0" w:line="360" w:lineRule="auto"/>
        <w:ind w:firstLine="240"/>
        <w:rPr>
          <w:rFonts w:ascii="宋体" w:hAnsi="宋体" w:cs="宋体"/>
          <w:color w:val="auto"/>
          <w:sz w:val="24"/>
          <w:szCs w:val="24"/>
          <w:highlight w:val="none"/>
        </w:rPr>
      </w:pPr>
      <w:bookmarkStart w:id="534" w:name="_Toc3105"/>
      <w:bookmarkStart w:id="535" w:name="_Toc21496"/>
      <w:bookmarkStart w:id="536" w:name="_Toc22987"/>
      <w:bookmarkStart w:id="537" w:name="_Toc20230"/>
      <w:bookmarkStart w:id="538" w:name="_Toc31517"/>
      <w:bookmarkStart w:id="539" w:name="_Toc17130"/>
      <w:r>
        <w:rPr>
          <w:rFonts w:hint="eastAsia" w:ascii="宋体" w:hAnsi="宋体" w:cs="宋体"/>
          <w:color w:val="auto"/>
          <w:sz w:val="24"/>
          <w:szCs w:val="24"/>
          <w:highlight w:val="none"/>
        </w:rPr>
        <w:t>1.2、标准和规范；</w:t>
      </w:r>
      <w:bookmarkEnd w:id="534"/>
      <w:bookmarkEnd w:id="535"/>
      <w:bookmarkEnd w:id="536"/>
      <w:bookmarkEnd w:id="537"/>
      <w:bookmarkEnd w:id="538"/>
      <w:bookmarkEnd w:id="539"/>
    </w:p>
    <w:p w14:paraId="76259BD8">
      <w:pPr>
        <w:keepNext/>
        <w:keepLines/>
        <w:wordWrap w:val="0"/>
        <w:spacing w:line="360" w:lineRule="auto"/>
        <w:ind w:firstLine="720" w:firstLineChars="3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 xml:space="preserve"> </w:t>
      </w:r>
      <w:r>
        <w:rPr>
          <w:rFonts w:hint="eastAsia" w:ascii="宋体" w:hAnsi="宋体" w:cs="宋体"/>
          <w:color w:val="auto"/>
          <w:kern w:val="0"/>
          <w:sz w:val="24"/>
          <w:highlight w:val="none"/>
          <w:u w:val="single"/>
          <w:lang w:bidi="ar"/>
        </w:rPr>
        <w:t xml:space="preserve"> 本合同适用的标准和规范应与施工合同约定一致。  </w:t>
      </w:r>
    </w:p>
    <w:p w14:paraId="5112B775">
      <w:pPr>
        <w:pStyle w:val="5"/>
        <w:widowControl w:val="0"/>
        <w:wordWrap w:val="0"/>
        <w:spacing w:before="0" w:after="0" w:line="360" w:lineRule="auto"/>
        <w:ind w:firstLine="240"/>
        <w:rPr>
          <w:rFonts w:ascii="宋体" w:hAnsi="宋体" w:cs="宋体"/>
          <w:color w:val="auto"/>
          <w:sz w:val="24"/>
          <w:szCs w:val="24"/>
          <w:highlight w:val="none"/>
        </w:rPr>
      </w:pPr>
      <w:bookmarkStart w:id="540" w:name="_Toc23721"/>
      <w:bookmarkStart w:id="541" w:name="_Toc29434"/>
      <w:bookmarkStart w:id="542" w:name="_Toc8605"/>
      <w:bookmarkStart w:id="543" w:name="_Toc22282"/>
      <w:bookmarkStart w:id="544" w:name="_Toc25602"/>
      <w:bookmarkStart w:id="545" w:name="_Toc1728"/>
      <w:r>
        <w:rPr>
          <w:rFonts w:hint="eastAsia" w:ascii="宋体" w:hAnsi="宋体" w:cs="宋体"/>
          <w:color w:val="auto"/>
          <w:sz w:val="24"/>
          <w:szCs w:val="24"/>
          <w:highlight w:val="none"/>
        </w:rPr>
        <w:t>1.3、合同文件的优先顺序；</w:t>
      </w:r>
      <w:bookmarkEnd w:id="540"/>
      <w:bookmarkEnd w:id="541"/>
      <w:bookmarkEnd w:id="542"/>
      <w:bookmarkEnd w:id="543"/>
      <w:bookmarkEnd w:id="544"/>
      <w:bookmarkEnd w:id="545"/>
    </w:p>
    <w:p w14:paraId="616CB932">
      <w:pPr>
        <w:keepNext/>
        <w:keepLines/>
        <w:wordWrap w:val="0"/>
        <w:spacing w:line="360" w:lineRule="auto"/>
        <w:ind w:firstLine="799" w:firstLineChars="333"/>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组成合同的各项文件应互相解释，互为说明。解释合同文件的优先顺序如下：</w:t>
      </w:r>
    </w:p>
    <w:p w14:paraId="1CDF6E47">
      <w:pPr>
        <w:keepNext/>
        <w:keepLines/>
        <w:wordWrap w:val="0"/>
        <w:spacing w:line="360" w:lineRule="auto"/>
        <w:ind w:firstLine="799" w:firstLineChars="333"/>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（1）合同协议书；</w:t>
      </w:r>
    </w:p>
    <w:p w14:paraId="7B64C0A7">
      <w:pPr>
        <w:keepNext/>
        <w:keepLines/>
        <w:wordWrap w:val="0"/>
        <w:spacing w:line="360" w:lineRule="auto"/>
        <w:ind w:firstLine="799" w:firstLineChars="333"/>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（2）</w:t>
      </w:r>
      <w:r>
        <w:rPr>
          <w:rFonts w:hint="eastAsia" w:ascii="宋体" w:hAnsi="宋体" w:cs="宋体"/>
          <w:color w:val="auto"/>
          <w:kern w:val="0"/>
          <w:sz w:val="24"/>
          <w:highlight w:val="none"/>
          <w:u w:val="single"/>
          <w:lang w:eastAsia="zh-CN" w:bidi="ar"/>
        </w:rPr>
        <w:t>中选</w:t>
      </w:r>
      <w:r>
        <w:rPr>
          <w:rFonts w:hint="eastAsia" w:ascii="宋体" w:hAnsi="宋体" w:cs="宋体"/>
          <w:color w:val="auto"/>
          <w:kern w:val="0"/>
          <w:sz w:val="24"/>
          <w:highlight w:val="none"/>
          <w:u w:val="single"/>
          <w:lang w:bidi="ar"/>
        </w:rPr>
        <w:t>通知书（如有）；</w:t>
      </w:r>
    </w:p>
    <w:p w14:paraId="75996D76">
      <w:pPr>
        <w:keepNext/>
        <w:keepLines/>
        <w:wordWrap w:val="0"/>
        <w:spacing w:line="360" w:lineRule="auto"/>
        <w:ind w:firstLine="799" w:firstLineChars="333"/>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（3）比选文件、</w:t>
      </w:r>
      <w:r>
        <w:rPr>
          <w:rFonts w:hint="eastAsia" w:ascii="宋体" w:hAnsi="宋体" w:cs="宋体"/>
          <w:color w:val="auto"/>
          <w:kern w:val="0"/>
          <w:sz w:val="24"/>
          <w:highlight w:val="none"/>
          <w:u w:val="single"/>
          <w:lang w:eastAsia="zh-CN" w:bidi="ar"/>
        </w:rPr>
        <w:t>比选函</w:t>
      </w:r>
      <w:r>
        <w:rPr>
          <w:rFonts w:hint="eastAsia" w:ascii="宋体" w:hAnsi="宋体" w:cs="宋体"/>
          <w:color w:val="auto"/>
          <w:kern w:val="0"/>
          <w:sz w:val="24"/>
          <w:highlight w:val="none"/>
          <w:u w:val="single"/>
          <w:lang w:bidi="ar"/>
        </w:rPr>
        <w:t>及</w:t>
      </w:r>
      <w:r>
        <w:rPr>
          <w:rFonts w:hint="eastAsia" w:ascii="宋体" w:hAnsi="宋体" w:cs="宋体"/>
          <w:color w:val="auto"/>
          <w:kern w:val="0"/>
          <w:sz w:val="24"/>
          <w:highlight w:val="none"/>
          <w:u w:val="single"/>
          <w:lang w:eastAsia="zh-CN" w:bidi="ar"/>
        </w:rPr>
        <w:t>比选函</w:t>
      </w:r>
      <w:r>
        <w:rPr>
          <w:rFonts w:hint="eastAsia" w:ascii="宋体" w:hAnsi="宋体" w:cs="宋体"/>
          <w:color w:val="auto"/>
          <w:kern w:val="0"/>
          <w:sz w:val="24"/>
          <w:highlight w:val="none"/>
          <w:u w:val="single"/>
          <w:lang w:bidi="ar"/>
        </w:rPr>
        <w:t>附录（如有）；</w:t>
      </w:r>
    </w:p>
    <w:p w14:paraId="2FF6A519">
      <w:pPr>
        <w:keepNext/>
        <w:keepLines/>
        <w:wordWrap w:val="0"/>
        <w:spacing w:line="360" w:lineRule="auto"/>
        <w:ind w:firstLine="799" w:firstLineChars="333"/>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 xml:space="preserve">（4）专用合同条款及其附件； </w:t>
      </w:r>
    </w:p>
    <w:p w14:paraId="017DF19E">
      <w:pPr>
        <w:keepNext/>
        <w:keepLines/>
        <w:wordWrap w:val="0"/>
        <w:spacing w:line="360" w:lineRule="auto"/>
        <w:ind w:firstLine="799" w:firstLineChars="333"/>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（5）技术标准和要求；</w:t>
      </w:r>
    </w:p>
    <w:p w14:paraId="76B133E5">
      <w:pPr>
        <w:keepNext/>
        <w:keepLines/>
        <w:wordWrap w:val="0"/>
        <w:spacing w:line="360" w:lineRule="auto"/>
        <w:ind w:firstLine="799" w:firstLineChars="333"/>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（6）图纸；</w:t>
      </w:r>
    </w:p>
    <w:p w14:paraId="1BA962E0">
      <w:pPr>
        <w:keepNext/>
        <w:keepLines/>
        <w:wordWrap w:val="0"/>
        <w:spacing w:line="360" w:lineRule="auto"/>
        <w:ind w:firstLine="799" w:firstLineChars="333"/>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（7）已标价工程量清单或报价单（表）附件；</w:t>
      </w:r>
    </w:p>
    <w:p w14:paraId="4828223C">
      <w:pPr>
        <w:keepNext/>
        <w:keepLines/>
        <w:wordWrap w:val="0"/>
        <w:spacing w:line="360" w:lineRule="auto"/>
        <w:ind w:firstLine="799" w:firstLineChars="333"/>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（8）其他合同文件和现场有效签证资料；</w:t>
      </w:r>
    </w:p>
    <w:p w14:paraId="38D54EC4">
      <w:pPr>
        <w:keepNext/>
        <w:keepLines/>
        <w:wordWrap w:val="0"/>
        <w:spacing w:line="360" w:lineRule="auto"/>
        <w:ind w:firstLine="799" w:firstLineChars="333"/>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上述各项合同文件包括合同当事人就该项合同文件所作出的补充和修改，属于同一类内容的文件，应以最新签署的为准。</w:t>
      </w:r>
    </w:p>
    <w:p w14:paraId="553A2460">
      <w:pPr>
        <w:keepNext/>
        <w:keepLines/>
        <w:wordWrap w:val="0"/>
        <w:spacing w:line="360" w:lineRule="auto"/>
        <w:ind w:firstLine="799" w:firstLineChars="333"/>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u w:val="single"/>
          <w:lang w:bidi="ar"/>
        </w:rPr>
        <w:t xml:space="preserve">在合同订立及履行过程中形成的与合同有关的文件均构成合同文件组成部分，并根据其性质确定优先解释顺序。 </w:t>
      </w:r>
    </w:p>
    <w:p w14:paraId="6081B609">
      <w:pPr>
        <w:pStyle w:val="5"/>
        <w:widowControl w:val="0"/>
        <w:wordWrap w:val="0"/>
        <w:spacing w:before="0" w:after="0" w:line="360" w:lineRule="auto"/>
        <w:ind w:firstLine="240"/>
        <w:rPr>
          <w:rFonts w:ascii="宋体" w:hAnsi="宋体" w:cs="宋体"/>
          <w:color w:val="auto"/>
          <w:sz w:val="24"/>
          <w:szCs w:val="24"/>
          <w:highlight w:val="none"/>
        </w:rPr>
      </w:pPr>
      <w:bookmarkStart w:id="546" w:name="_Toc19743"/>
      <w:bookmarkStart w:id="547" w:name="_Toc11033"/>
      <w:bookmarkStart w:id="548" w:name="_Toc29259"/>
      <w:bookmarkStart w:id="549" w:name="_Toc995"/>
      <w:bookmarkStart w:id="550" w:name="_Toc6323"/>
      <w:bookmarkStart w:id="551" w:name="_Toc8131"/>
      <w:r>
        <w:rPr>
          <w:rFonts w:hint="eastAsia" w:ascii="宋体" w:hAnsi="宋体" w:cs="宋体"/>
          <w:color w:val="auto"/>
          <w:sz w:val="24"/>
          <w:szCs w:val="24"/>
          <w:highlight w:val="none"/>
        </w:rPr>
        <w:t>1.4、图纸</w:t>
      </w:r>
      <w:bookmarkEnd w:id="546"/>
      <w:bookmarkEnd w:id="547"/>
      <w:bookmarkEnd w:id="548"/>
      <w:bookmarkEnd w:id="549"/>
      <w:bookmarkEnd w:id="550"/>
      <w:bookmarkEnd w:id="551"/>
    </w:p>
    <w:p w14:paraId="0B27A51F">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总承包单位向劳务作业分包单位提供图纸的数量：</w:t>
      </w:r>
      <w:r>
        <w:rPr>
          <w:rFonts w:hint="eastAsia" w:ascii="宋体" w:hAnsi="宋体" w:cs="宋体"/>
          <w:color w:val="auto"/>
          <w:kern w:val="0"/>
          <w:sz w:val="24"/>
          <w:highlight w:val="none"/>
          <w:u w:val="single"/>
          <w:lang w:bidi="ar"/>
        </w:rPr>
        <w:t xml:space="preserve"> 1份</w:t>
      </w:r>
    </w:p>
    <w:p w14:paraId="507D8854">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总承包单位向劳务作业分包单位提供图纸的内容：</w:t>
      </w:r>
      <w:r>
        <w:rPr>
          <w:rFonts w:hint="eastAsia" w:ascii="宋体" w:hAnsi="宋体" w:cs="宋体"/>
          <w:color w:val="auto"/>
          <w:kern w:val="0"/>
          <w:sz w:val="24"/>
          <w:highlight w:val="none"/>
          <w:u w:val="single"/>
          <w:lang w:bidi="ar"/>
        </w:rPr>
        <w:t xml:space="preserve"> 涉及劳务作业分包相关内容的图纸</w:t>
      </w:r>
    </w:p>
    <w:p w14:paraId="51F8D5EB">
      <w:pPr>
        <w:pStyle w:val="5"/>
        <w:widowControl w:val="0"/>
        <w:wordWrap w:val="0"/>
        <w:spacing w:before="0" w:after="0" w:line="360" w:lineRule="auto"/>
        <w:ind w:firstLine="240"/>
        <w:rPr>
          <w:rFonts w:ascii="宋体" w:hAnsi="宋体" w:cs="宋体"/>
          <w:color w:val="auto"/>
          <w:sz w:val="24"/>
          <w:szCs w:val="24"/>
          <w:highlight w:val="none"/>
        </w:rPr>
      </w:pPr>
      <w:bookmarkStart w:id="552" w:name="_Toc1101"/>
      <w:bookmarkStart w:id="553" w:name="_Toc10360"/>
      <w:bookmarkStart w:id="554" w:name="_Toc12924"/>
      <w:bookmarkStart w:id="555" w:name="_Toc12183"/>
      <w:bookmarkStart w:id="556" w:name="_Toc8132"/>
      <w:bookmarkStart w:id="557" w:name="_Toc6552"/>
      <w:r>
        <w:rPr>
          <w:rFonts w:hint="eastAsia" w:ascii="宋体" w:hAnsi="宋体" w:cs="宋体"/>
          <w:color w:val="auto"/>
          <w:sz w:val="24"/>
          <w:szCs w:val="24"/>
          <w:highlight w:val="none"/>
        </w:rPr>
        <w:t>1.5、联络</w:t>
      </w:r>
      <w:bookmarkEnd w:id="552"/>
      <w:bookmarkEnd w:id="553"/>
      <w:bookmarkEnd w:id="554"/>
      <w:bookmarkEnd w:id="555"/>
      <w:bookmarkEnd w:id="556"/>
      <w:bookmarkEnd w:id="557"/>
    </w:p>
    <w:p w14:paraId="024AECBD">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总承包单位移交、接受文件的地点：</w:t>
      </w:r>
      <w:r>
        <w:rPr>
          <w:rFonts w:hint="eastAsia" w:ascii="宋体" w:hAnsi="宋体" w:cs="宋体"/>
          <w:color w:val="auto"/>
          <w:kern w:val="0"/>
          <w:sz w:val="24"/>
          <w:highlight w:val="none"/>
          <w:u w:val="single"/>
          <w:lang w:bidi="ar"/>
        </w:rPr>
        <w:t xml:space="preserve"> 项目部办公室</w:t>
      </w:r>
    </w:p>
    <w:p w14:paraId="0CA67A55">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总承包单位指定的接收人为：</w:t>
      </w:r>
      <w:r>
        <w:rPr>
          <w:rFonts w:hint="eastAsia" w:ascii="宋体" w:hAnsi="宋体" w:cs="宋体"/>
          <w:color w:val="auto"/>
          <w:kern w:val="0"/>
          <w:sz w:val="24"/>
          <w:highlight w:val="none"/>
          <w:u w:val="single"/>
          <w:lang w:bidi="ar"/>
        </w:rPr>
        <w:t xml:space="preserve">             </w:t>
      </w:r>
    </w:p>
    <w:p w14:paraId="049D3D13">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劳务作业分包单位移交、接收文件的地点：</w:t>
      </w:r>
      <w:r>
        <w:rPr>
          <w:rFonts w:hint="eastAsia" w:ascii="宋体" w:hAnsi="宋体" w:cs="宋体"/>
          <w:color w:val="auto"/>
          <w:kern w:val="0"/>
          <w:sz w:val="24"/>
          <w:highlight w:val="none"/>
          <w:u w:val="single"/>
          <w:lang w:bidi="ar"/>
        </w:rPr>
        <w:t xml:space="preserve"> 项目部办公室</w:t>
      </w:r>
    </w:p>
    <w:p w14:paraId="6B76B86E">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劳务作业分包单位指定的接收人为：</w:t>
      </w:r>
      <w:r>
        <w:rPr>
          <w:rFonts w:hint="eastAsia" w:ascii="宋体" w:hAnsi="宋体" w:cs="宋体"/>
          <w:color w:val="auto"/>
          <w:kern w:val="0"/>
          <w:sz w:val="24"/>
          <w:highlight w:val="none"/>
          <w:u w:val="single"/>
          <w:lang w:bidi="ar"/>
        </w:rPr>
        <w:t xml:space="preserve">             </w:t>
      </w:r>
    </w:p>
    <w:p w14:paraId="48DFFF68">
      <w:pPr>
        <w:pStyle w:val="5"/>
        <w:widowControl w:val="0"/>
        <w:wordWrap w:val="0"/>
        <w:spacing w:before="0" w:after="0" w:line="360" w:lineRule="auto"/>
        <w:ind w:firstLine="240"/>
        <w:rPr>
          <w:rFonts w:ascii="宋体" w:hAnsi="宋体" w:cs="宋体"/>
          <w:color w:val="auto"/>
          <w:sz w:val="24"/>
          <w:szCs w:val="24"/>
          <w:highlight w:val="none"/>
        </w:rPr>
      </w:pPr>
      <w:bookmarkStart w:id="558" w:name="_Toc1899"/>
      <w:bookmarkStart w:id="559" w:name="_Toc13999"/>
      <w:bookmarkStart w:id="560" w:name="_Toc17662"/>
      <w:bookmarkStart w:id="561" w:name="_Toc30484"/>
      <w:bookmarkStart w:id="562" w:name="_Toc13482"/>
      <w:bookmarkStart w:id="563" w:name="_Toc1"/>
      <w:r>
        <w:rPr>
          <w:rFonts w:hint="eastAsia" w:ascii="宋体" w:hAnsi="宋体" w:cs="宋体"/>
          <w:color w:val="auto"/>
          <w:sz w:val="24"/>
          <w:szCs w:val="24"/>
          <w:highlight w:val="none"/>
        </w:rPr>
        <w:t>1.6、保密；</w:t>
      </w:r>
      <w:bookmarkEnd w:id="558"/>
      <w:bookmarkEnd w:id="559"/>
      <w:bookmarkEnd w:id="560"/>
      <w:bookmarkEnd w:id="561"/>
      <w:bookmarkEnd w:id="562"/>
      <w:bookmarkEnd w:id="563"/>
    </w:p>
    <w:p w14:paraId="32EE6D8B">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u w:val="single"/>
          <w:lang w:bidi="ar"/>
        </w:rPr>
        <w:t>除法律规定或专用合同条款另有约定外，未经总承包单位书面同意，劳务作业分包单位不得将总承包单位提供的图纸、文件以及声明需要保密的资料信息等商业秘密泄露给第三方。</w:t>
      </w:r>
    </w:p>
    <w:p w14:paraId="13DDAD78">
      <w:pPr>
        <w:pStyle w:val="4"/>
        <w:widowControl w:val="0"/>
        <w:wordWrap w:val="0"/>
        <w:spacing w:before="0" w:after="0" w:line="360" w:lineRule="auto"/>
        <w:rPr>
          <w:rFonts w:ascii="宋体" w:hAnsi="宋体" w:cs="宋体"/>
          <w:color w:val="auto"/>
          <w:sz w:val="24"/>
          <w:szCs w:val="24"/>
          <w:highlight w:val="none"/>
        </w:rPr>
      </w:pPr>
      <w:bookmarkStart w:id="564" w:name="_Toc27432"/>
      <w:bookmarkStart w:id="565" w:name="_Toc1983"/>
      <w:bookmarkStart w:id="566" w:name="_Toc11837"/>
      <w:bookmarkStart w:id="567" w:name="_Toc19404"/>
      <w:bookmarkStart w:id="568" w:name="_Toc9396"/>
      <w:bookmarkStart w:id="569" w:name="_Toc30697"/>
      <w:r>
        <w:rPr>
          <w:rFonts w:hint="eastAsia" w:ascii="宋体" w:hAnsi="宋体" w:cs="宋体"/>
          <w:color w:val="auto"/>
          <w:sz w:val="24"/>
          <w:szCs w:val="24"/>
          <w:highlight w:val="none"/>
        </w:rPr>
        <w:t>2、总承包单位</w:t>
      </w:r>
      <w:bookmarkEnd w:id="564"/>
      <w:bookmarkEnd w:id="565"/>
      <w:bookmarkEnd w:id="566"/>
      <w:bookmarkEnd w:id="567"/>
      <w:bookmarkEnd w:id="568"/>
      <w:bookmarkEnd w:id="569"/>
    </w:p>
    <w:p w14:paraId="292D58EA">
      <w:pPr>
        <w:pStyle w:val="5"/>
        <w:widowControl w:val="0"/>
        <w:wordWrap w:val="0"/>
        <w:spacing w:before="0" w:after="0" w:line="360" w:lineRule="auto"/>
        <w:ind w:firstLine="240"/>
        <w:rPr>
          <w:rFonts w:ascii="宋体" w:hAnsi="宋体" w:cs="宋体"/>
          <w:color w:val="auto"/>
          <w:sz w:val="24"/>
          <w:szCs w:val="24"/>
          <w:highlight w:val="none"/>
        </w:rPr>
      </w:pPr>
      <w:bookmarkStart w:id="570" w:name="_Toc27350"/>
      <w:bookmarkStart w:id="571" w:name="_Toc28849"/>
      <w:bookmarkStart w:id="572" w:name="_Toc23423"/>
      <w:bookmarkStart w:id="573" w:name="_Toc11515"/>
      <w:bookmarkStart w:id="574" w:name="_Toc10581"/>
      <w:bookmarkStart w:id="575" w:name="_Toc29784"/>
      <w:r>
        <w:rPr>
          <w:rFonts w:hint="eastAsia" w:ascii="宋体" w:hAnsi="宋体" w:cs="宋体"/>
          <w:color w:val="auto"/>
          <w:sz w:val="24"/>
          <w:szCs w:val="24"/>
          <w:highlight w:val="none"/>
        </w:rPr>
        <w:t>2.1、施工合同的提供；</w:t>
      </w:r>
      <w:bookmarkEnd w:id="570"/>
      <w:bookmarkEnd w:id="571"/>
      <w:bookmarkEnd w:id="572"/>
      <w:bookmarkEnd w:id="573"/>
      <w:bookmarkEnd w:id="574"/>
      <w:bookmarkEnd w:id="575"/>
    </w:p>
    <w:p w14:paraId="69AE5FE7">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 经总承包单位书面同意，劳务作业分包单位可要求查阅施工合同，但有关施工合同的价格和涉及商业秘密及总承包单位不同意查阅的条款除外。</w:t>
      </w:r>
    </w:p>
    <w:p w14:paraId="189C2B32">
      <w:pPr>
        <w:pStyle w:val="5"/>
        <w:widowControl w:val="0"/>
        <w:wordWrap w:val="0"/>
        <w:spacing w:before="0" w:after="0" w:line="360" w:lineRule="auto"/>
        <w:ind w:firstLine="240"/>
        <w:rPr>
          <w:rFonts w:ascii="宋体" w:hAnsi="宋体" w:cs="宋体"/>
          <w:color w:val="auto"/>
          <w:sz w:val="24"/>
          <w:szCs w:val="24"/>
          <w:highlight w:val="none"/>
        </w:rPr>
      </w:pPr>
      <w:bookmarkStart w:id="576" w:name="_Toc23938"/>
      <w:bookmarkStart w:id="577" w:name="_Toc25174"/>
      <w:bookmarkStart w:id="578" w:name="_Toc7362"/>
      <w:bookmarkStart w:id="579" w:name="_Toc24753"/>
      <w:bookmarkStart w:id="580" w:name="_Toc10952"/>
      <w:bookmarkStart w:id="581" w:name="_Toc31753"/>
      <w:r>
        <w:rPr>
          <w:rFonts w:hint="eastAsia" w:ascii="宋体" w:hAnsi="宋体" w:cs="宋体"/>
          <w:color w:val="auto"/>
          <w:sz w:val="24"/>
          <w:szCs w:val="24"/>
          <w:highlight w:val="none"/>
        </w:rPr>
        <w:t>2.2、劳务作业现场和工作条件</w:t>
      </w:r>
      <w:bookmarkEnd w:id="576"/>
      <w:bookmarkEnd w:id="577"/>
      <w:bookmarkEnd w:id="578"/>
      <w:bookmarkEnd w:id="579"/>
      <w:bookmarkEnd w:id="580"/>
      <w:bookmarkEnd w:id="581"/>
    </w:p>
    <w:p w14:paraId="7941B3C1">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关于总承包单位交付具备本合同劳务作业条件的劳务作业现场的约定：</w:t>
      </w:r>
      <w:r>
        <w:rPr>
          <w:rFonts w:hint="eastAsia" w:ascii="宋体" w:hAnsi="宋体" w:cs="宋体"/>
          <w:color w:val="auto"/>
          <w:kern w:val="0"/>
          <w:sz w:val="24"/>
          <w:highlight w:val="none"/>
          <w:u w:val="single"/>
          <w:lang w:bidi="ar"/>
        </w:rPr>
        <w:t xml:space="preserve">总承包单位负责向劳务作业分包单位交付具备劳务作业条件的劳务作业现场。 </w:t>
      </w:r>
      <w:r>
        <w:rPr>
          <w:rFonts w:hint="eastAsia" w:ascii="宋体" w:hAnsi="宋体" w:cs="宋体"/>
          <w:color w:val="auto"/>
          <w:kern w:val="0"/>
          <w:sz w:val="24"/>
          <w:highlight w:val="none"/>
          <w:lang w:bidi="ar"/>
        </w:rPr>
        <w:t xml:space="preserve"> </w:t>
      </w:r>
    </w:p>
    <w:p w14:paraId="67266DAF">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关于总承包单位应负责提供劳务作业所需要的劳务作业条件的约定：</w:t>
      </w:r>
      <w:r>
        <w:rPr>
          <w:rFonts w:hint="eastAsia" w:ascii="宋体" w:hAnsi="宋体" w:cs="宋体"/>
          <w:color w:val="auto"/>
          <w:kern w:val="0"/>
          <w:sz w:val="24"/>
          <w:highlight w:val="none"/>
          <w:u w:val="single"/>
          <w:lang w:bidi="ar"/>
        </w:rPr>
        <w:t>总承包单位负责提供劳务作业所需要的劳务作业条件。</w:t>
      </w:r>
    </w:p>
    <w:p w14:paraId="7CCA30D8">
      <w:pPr>
        <w:pStyle w:val="5"/>
        <w:widowControl w:val="0"/>
        <w:wordWrap w:val="0"/>
        <w:spacing w:before="0" w:after="0" w:line="360" w:lineRule="auto"/>
        <w:ind w:firstLine="240"/>
        <w:rPr>
          <w:rFonts w:ascii="宋体" w:hAnsi="宋体" w:cs="宋体"/>
          <w:color w:val="auto"/>
          <w:sz w:val="24"/>
          <w:szCs w:val="24"/>
          <w:highlight w:val="none"/>
        </w:rPr>
      </w:pPr>
      <w:bookmarkStart w:id="582" w:name="_Toc16235"/>
      <w:bookmarkStart w:id="583" w:name="_Toc17437"/>
      <w:bookmarkStart w:id="584" w:name="_Toc3336"/>
      <w:bookmarkStart w:id="585" w:name="_Toc5858"/>
      <w:bookmarkStart w:id="586" w:name="_Toc9449"/>
      <w:bookmarkStart w:id="587" w:name="_Toc25889"/>
      <w:r>
        <w:rPr>
          <w:rFonts w:hint="eastAsia" w:ascii="宋体" w:hAnsi="宋体" w:cs="宋体"/>
          <w:color w:val="auto"/>
          <w:sz w:val="24"/>
          <w:szCs w:val="24"/>
          <w:highlight w:val="none"/>
        </w:rPr>
        <w:t>2.3、总承包单位项目负责人</w:t>
      </w:r>
      <w:bookmarkEnd w:id="582"/>
      <w:bookmarkEnd w:id="583"/>
      <w:bookmarkEnd w:id="584"/>
      <w:bookmarkEnd w:id="585"/>
      <w:bookmarkEnd w:id="586"/>
      <w:bookmarkEnd w:id="587"/>
    </w:p>
    <w:p w14:paraId="478E10D6">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 xml:space="preserve">姓    名： </w:t>
      </w:r>
      <w:r>
        <w:rPr>
          <w:rFonts w:hint="eastAsia" w:ascii="宋体" w:hAnsi="宋体" w:cs="宋体"/>
          <w:color w:val="auto"/>
          <w:kern w:val="0"/>
          <w:sz w:val="24"/>
          <w:highlight w:val="none"/>
          <w:u w:val="single"/>
          <w:lang w:bidi="ar"/>
        </w:rPr>
        <w:t xml:space="preserve">                      </w:t>
      </w:r>
    </w:p>
    <w:p w14:paraId="512E5DD1">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身份证号： </w:t>
      </w:r>
      <w:r>
        <w:rPr>
          <w:rFonts w:hint="eastAsia" w:ascii="宋体" w:hAnsi="宋体" w:cs="宋体"/>
          <w:color w:val="auto"/>
          <w:kern w:val="0"/>
          <w:sz w:val="24"/>
          <w:highlight w:val="none"/>
          <w:u w:val="single"/>
          <w:lang w:bidi="ar"/>
        </w:rPr>
        <w:t xml:space="preserve">                      </w:t>
      </w:r>
    </w:p>
    <w:p w14:paraId="378EE7AF">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联系电话： </w:t>
      </w:r>
      <w:r>
        <w:rPr>
          <w:rFonts w:hint="eastAsia" w:ascii="宋体" w:hAnsi="宋体" w:cs="宋体"/>
          <w:color w:val="auto"/>
          <w:kern w:val="0"/>
          <w:sz w:val="24"/>
          <w:highlight w:val="none"/>
          <w:u w:val="single"/>
          <w:lang w:bidi="ar"/>
        </w:rPr>
        <w:t xml:space="preserve">                      </w:t>
      </w:r>
    </w:p>
    <w:p w14:paraId="69BE71BB">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电子信箱： </w:t>
      </w:r>
      <w:r>
        <w:rPr>
          <w:rFonts w:hint="eastAsia" w:ascii="宋体" w:hAnsi="宋体" w:cs="宋体"/>
          <w:color w:val="auto"/>
          <w:kern w:val="0"/>
          <w:sz w:val="24"/>
          <w:highlight w:val="none"/>
          <w:u w:val="single"/>
          <w:lang w:bidi="ar"/>
        </w:rPr>
        <w:t xml:space="preserve">                      </w:t>
      </w:r>
    </w:p>
    <w:p w14:paraId="26B6B8E5">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通信地址： </w:t>
      </w:r>
      <w:r>
        <w:rPr>
          <w:rFonts w:hint="eastAsia" w:ascii="宋体" w:hAnsi="宋体" w:cs="宋体"/>
          <w:color w:val="auto"/>
          <w:kern w:val="0"/>
          <w:sz w:val="24"/>
          <w:highlight w:val="none"/>
          <w:u w:val="single"/>
          <w:lang w:bidi="ar"/>
        </w:rPr>
        <w:t xml:space="preserve">                      </w:t>
      </w:r>
    </w:p>
    <w:p w14:paraId="12A89E3D">
      <w:pPr>
        <w:pStyle w:val="4"/>
        <w:widowControl w:val="0"/>
        <w:wordWrap w:val="0"/>
        <w:spacing w:before="0" w:after="0" w:line="360" w:lineRule="auto"/>
        <w:rPr>
          <w:rFonts w:ascii="宋体" w:hAnsi="宋体" w:cs="宋体"/>
          <w:color w:val="auto"/>
          <w:sz w:val="24"/>
          <w:szCs w:val="24"/>
          <w:highlight w:val="none"/>
        </w:rPr>
      </w:pPr>
      <w:bookmarkStart w:id="588" w:name="_Toc16532"/>
      <w:bookmarkStart w:id="589" w:name="_Toc2480"/>
      <w:bookmarkStart w:id="590" w:name="_Toc25764"/>
      <w:bookmarkStart w:id="591" w:name="_Toc7043"/>
      <w:bookmarkStart w:id="592" w:name="_Toc19616"/>
      <w:bookmarkStart w:id="593" w:name="_Toc21756"/>
      <w:r>
        <w:rPr>
          <w:rFonts w:hint="eastAsia" w:ascii="宋体" w:hAnsi="宋体" w:cs="宋体"/>
          <w:color w:val="auto"/>
          <w:sz w:val="24"/>
          <w:szCs w:val="24"/>
          <w:highlight w:val="none"/>
        </w:rPr>
        <w:t>3、劳务作业分包单位</w:t>
      </w:r>
      <w:bookmarkEnd w:id="588"/>
      <w:bookmarkEnd w:id="589"/>
      <w:bookmarkEnd w:id="590"/>
      <w:bookmarkEnd w:id="591"/>
      <w:bookmarkEnd w:id="592"/>
      <w:bookmarkEnd w:id="593"/>
    </w:p>
    <w:p w14:paraId="71C932FA">
      <w:pPr>
        <w:pStyle w:val="5"/>
        <w:widowControl w:val="0"/>
        <w:wordWrap w:val="0"/>
        <w:spacing w:before="0" w:after="0" w:line="360" w:lineRule="auto"/>
        <w:ind w:firstLine="240"/>
        <w:rPr>
          <w:rFonts w:ascii="宋体" w:hAnsi="宋体" w:cs="宋体"/>
          <w:color w:val="auto"/>
          <w:sz w:val="24"/>
          <w:szCs w:val="24"/>
          <w:highlight w:val="none"/>
        </w:rPr>
      </w:pPr>
      <w:bookmarkStart w:id="594" w:name="_Toc8757"/>
      <w:bookmarkStart w:id="595" w:name="_Toc25552"/>
      <w:bookmarkStart w:id="596" w:name="_Toc26530"/>
      <w:bookmarkStart w:id="597" w:name="_Toc31887"/>
      <w:bookmarkStart w:id="598" w:name="_Toc12946"/>
      <w:bookmarkStart w:id="599" w:name="_Toc13761"/>
      <w:r>
        <w:rPr>
          <w:rFonts w:hint="eastAsia" w:ascii="宋体" w:hAnsi="宋体" w:cs="宋体"/>
          <w:color w:val="auto"/>
          <w:sz w:val="24"/>
          <w:szCs w:val="24"/>
          <w:highlight w:val="none"/>
        </w:rPr>
        <w:t>3.1、劳务作业分包单位的一般义务</w:t>
      </w:r>
      <w:bookmarkEnd w:id="594"/>
      <w:bookmarkEnd w:id="595"/>
      <w:bookmarkEnd w:id="596"/>
      <w:bookmarkEnd w:id="597"/>
      <w:bookmarkEnd w:id="598"/>
      <w:bookmarkEnd w:id="599"/>
    </w:p>
    <w:p w14:paraId="1AB81477">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 xml:space="preserve">劳务作业分包单位应承担的其他义务： </w:t>
      </w:r>
      <w:r>
        <w:rPr>
          <w:rFonts w:hint="eastAsia" w:ascii="宋体" w:hAnsi="宋体" w:cs="宋体"/>
          <w:color w:val="auto"/>
          <w:kern w:val="0"/>
          <w:sz w:val="24"/>
          <w:highlight w:val="none"/>
          <w:u w:val="single"/>
          <w:lang w:bidi="ar"/>
        </w:rPr>
        <w:t>劳务作业分包单位在履行合同过程中应遵守法律和工程建设标准规范，并履行以下义务：</w:t>
      </w:r>
    </w:p>
    <w:p w14:paraId="30634065">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（1）按照合同、图纸、标准和规范、有关技术要求及劳务作业方案组织劳务作业人员进场作业，并负责成品保护工作；</w:t>
      </w:r>
    </w:p>
    <w:p w14:paraId="3606EDCF">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（2）承担由于自身原因造成的质量缺陷、工作期限延误、安全事故等责任；</w:t>
      </w:r>
    </w:p>
    <w:p w14:paraId="2B023C91">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（3）履行施工合同中与劳务作业分包工作有关的劳务作业分包单位的义务，但劳务作业分包合同明确约定应由总承包单位履行的义务除外；</w:t>
      </w:r>
    </w:p>
    <w:p w14:paraId="7735D602">
      <w:pPr>
        <w:keepNext/>
        <w:keepLines/>
        <w:wordWrap w:val="0"/>
        <w:spacing w:line="360" w:lineRule="auto"/>
        <w:ind w:firstLine="480" w:firstLineChars="200"/>
        <w:jc w:val="left"/>
        <w:textAlignment w:val="top"/>
        <w:rPr>
          <w:rFonts w:hint="eastAsia" w:ascii="宋体" w:hAnsi="宋体" w:cs="宋体"/>
          <w:color w:val="auto"/>
          <w:sz w:val="24"/>
          <w:highlight w:val="none"/>
          <w:u w:val="single"/>
        </w:rPr>
      </w:pPr>
      <w:r>
        <w:rPr>
          <w:rFonts w:hint="eastAsia" w:ascii="宋体" w:hAnsi="宋体" w:cs="宋体"/>
          <w:color w:val="auto"/>
          <w:kern w:val="0"/>
          <w:sz w:val="24"/>
          <w:highlight w:val="none"/>
          <w:u w:val="single"/>
          <w:lang w:bidi="ar"/>
        </w:rPr>
        <w:t>（4）</w:t>
      </w:r>
      <w:r>
        <w:rPr>
          <w:rFonts w:hint="eastAsia" w:ascii="宋体" w:hAnsi="宋体" w:cs="宋体"/>
          <w:color w:val="auto"/>
          <w:sz w:val="24"/>
          <w:highlight w:val="none"/>
          <w:u w:val="single"/>
        </w:rPr>
        <w:t>配备项目经理一人、项目总工一人、安全员</w:t>
      </w:r>
      <w:r>
        <w:rPr>
          <w:rFonts w:hint="eastAsia" w:ascii="宋体" w:hAnsi="宋体" w:cs="宋体"/>
          <w:color w:val="auto"/>
          <w:sz w:val="24"/>
          <w:highlight w:val="none"/>
          <w:u w:val="single"/>
          <w:lang w:val="en-US" w:eastAsia="zh-CN"/>
        </w:rPr>
        <w:t>负责人一</w:t>
      </w:r>
      <w:r>
        <w:rPr>
          <w:rFonts w:hint="eastAsia" w:ascii="宋体" w:hAnsi="宋体" w:cs="宋体"/>
          <w:color w:val="auto"/>
          <w:sz w:val="24"/>
          <w:highlight w:val="none"/>
          <w:u w:val="single"/>
        </w:rPr>
        <w:t>人，以及满足工程施工需要的其他施工和技术人员（持证上岗），同时保证投入的工人数量满足总承包单位要求（工种合理搭配，具体以工序安排为准）。如不满足，按2000元/次违约金，累计三次总承包单位可解除与分包单位的劳务合同并清除出现场（被作清场处理的，总包方有权只支付分包方审定完成工程量75%的工程款）。</w:t>
      </w:r>
    </w:p>
    <w:p w14:paraId="1C34A953">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（5）其它合同条款约定的劳务作业分包单位应当承担的义务。</w:t>
      </w:r>
    </w:p>
    <w:p w14:paraId="17145894">
      <w:pPr>
        <w:pStyle w:val="5"/>
        <w:widowControl w:val="0"/>
        <w:wordWrap w:val="0"/>
        <w:spacing w:before="0" w:after="0" w:line="360" w:lineRule="auto"/>
        <w:ind w:firstLine="240"/>
        <w:rPr>
          <w:rFonts w:ascii="宋体" w:hAnsi="宋体" w:cs="宋体"/>
          <w:color w:val="auto"/>
          <w:sz w:val="24"/>
          <w:szCs w:val="24"/>
          <w:highlight w:val="none"/>
        </w:rPr>
      </w:pPr>
      <w:bookmarkStart w:id="600" w:name="_Toc3445"/>
      <w:bookmarkStart w:id="601" w:name="_Toc3538"/>
      <w:bookmarkStart w:id="602" w:name="_Toc12218"/>
      <w:bookmarkStart w:id="603" w:name="_Toc30686"/>
      <w:bookmarkStart w:id="604" w:name="_Toc5749"/>
      <w:bookmarkStart w:id="605" w:name="_Toc28511"/>
      <w:r>
        <w:rPr>
          <w:rFonts w:hint="eastAsia" w:ascii="宋体" w:hAnsi="宋体" w:cs="宋体"/>
          <w:color w:val="auto"/>
          <w:sz w:val="24"/>
          <w:szCs w:val="24"/>
          <w:highlight w:val="none"/>
        </w:rPr>
        <w:t>3.2、劳务作业分包单位项目负责人</w:t>
      </w:r>
      <w:bookmarkEnd w:id="600"/>
      <w:bookmarkEnd w:id="601"/>
      <w:bookmarkEnd w:id="602"/>
      <w:bookmarkEnd w:id="603"/>
      <w:bookmarkEnd w:id="604"/>
      <w:bookmarkEnd w:id="605"/>
    </w:p>
    <w:p w14:paraId="16552300">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 xml:space="preserve">姓    名： </w:t>
      </w:r>
      <w:r>
        <w:rPr>
          <w:rFonts w:hint="eastAsia" w:ascii="宋体" w:hAnsi="宋体" w:cs="宋体"/>
          <w:color w:val="auto"/>
          <w:kern w:val="0"/>
          <w:sz w:val="24"/>
          <w:highlight w:val="none"/>
          <w:u w:val="single"/>
          <w:lang w:bidi="ar"/>
        </w:rPr>
        <w:t xml:space="preserve">                    </w:t>
      </w:r>
    </w:p>
    <w:p w14:paraId="0350F0D8">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身份证号：</w:t>
      </w:r>
      <w:r>
        <w:rPr>
          <w:rFonts w:hint="eastAsia" w:ascii="宋体" w:hAnsi="宋体" w:cs="宋体"/>
          <w:color w:val="auto"/>
          <w:kern w:val="0"/>
          <w:sz w:val="24"/>
          <w:highlight w:val="none"/>
          <w:u w:val="single"/>
          <w:lang w:bidi="ar"/>
        </w:rPr>
        <w:t xml:space="preserve">                      </w:t>
      </w:r>
    </w:p>
    <w:p w14:paraId="3C3DADD9">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联系电话： </w:t>
      </w:r>
      <w:r>
        <w:rPr>
          <w:rFonts w:hint="eastAsia" w:ascii="宋体" w:hAnsi="宋体" w:cs="宋体"/>
          <w:color w:val="auto"/>
          <w:kern w:val="0"/>
          <w:sz w:val="24"/>
          <w:highlight w:val="none"/>
          <w:u w:val="single"/>
          <w:lang w:bidi="ar"/>
        </w:rPr>
        <w:t xml:space="preserve">                     </w:t>
      </w:r>
    </w:p>
    <w:p w14:paraId="40337664">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电子信箱： </w:t>
      </w:r>
      <w:r>
        <w:rPr>
          <w:rFonts w:hint="eastAsia" w:ascii="宋体" w:hAnsi="宋体" w:cs="宋体"/>
          <w:color w:val="auto"/>
          <w:kern w:val="0"/>
          <w:sz w:val="24"/>
          <w:highlight w:val="none"/>
          <w:u w:val="single"/>
          <w:lang w:bidi="ar"/>
        </w:rPr>
        <w:t xml:space="preserve">                     </w:t>
      </w:r>
    </w:p>
    <w:p w14:paraId="0853FC70">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 xml:space="preserve">通信地址： </w:t>
      </w:r>
      <w:r>
        <w:rPr>
          <w:rFonts w:hint="eastAsia" w:ascii="宋体" w:hAnsi="宋体" w:cs="宋体"/>
          <w:color w:val="auto"/>
          <w:kern w:val="0"/>
          <w:sz w:val="24"/>
          <w:highlight w:val="none"/>
          <w:u w:val="single"/>
          <w:lang w:bidi="ar"/>
        </w:rPr>
        <w:t xml:space="preserve">                     </w:t>
      </w:r>
    </w:p>
    <w:p w14:paraId="46065991">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劳务作业分包单位对项目负责人的授权范围如下： </w:t>
      </w:r>
      <w:r>
        <w:rPr>
          <w:rFonts w:hint="eastAsia" w:ascii="宋体" w:hAnsi="宋体" w:cs="宋体"/>
          <w:color w:val="auto"/>
          <w:kern w:val="0"/>
          <w:sz w:val="24"/>
          <w:highlight w:val="none"/>
          <w:u w:val="single"/>
          <w:lang w:bidi="ar"/>
        </w:rPr>
        <w:t xml:space="preserve">                            </w:t>
      </w:r>
    </w:p>
    <w:p w14:paraId="5DE6D00F">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 xml:space="preserve">3.3、劳务作业管理人员： </w:t>
      </w:r>
      <w:r>
        <w:rPr>
          <w:rFonts w:hint="eastAsia" w:ascii="宋体" w:hAnsi="宋体" w:cs="宋体"/>
          <w:color w:val="auto"/>
          <w:kern w:val="0"/>
          <w:sz w:val="24"/>
          <w:highlight w:val="none"/>
          <w:u w:val="single"/>
          <w:lang w:bidi="ar"/>
        </w:rPr>
        <w:t xml:space="preserve">                                                </w:t>
      </w:r>
    </w:p>
    <w:p w14:paraId="334EF234">
      <w:pPr>
        <w:keepNext/>
        <w:keepLines/>
        <w:wordWrap w:val="0"/>
        <w:spacing w:line="360" w:lineRule="auto"/>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    3.4、履约担保</w:t>
      </w:r>
    </w:p>
    <w:p w14:paraId="06442099">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履约担保的方式： </w:t>
      </w:r>
      <w:r>
        <w:rPr>
          <w:rFonts w:hint="eastAsia" w:ascii="宋体" w:hAnsi="宋体" w:cs="宋体"/>
          <w:color w:val="auto"/>
          <w:kern w:val="0"/>
          <w:sz w:val="24"/>
          <w:highlight w:val="none"/>
          <w:u w:val="single"/>
          <w:lang w:bidi="ar"/>
        </w:rPr>
        <w:t>现金或银行保函或现金+银行保函的组合；采用银行保函形式的，保函必须为不可撤销且见索即付</w:t>
      </w:r>
    </w:p>
    <w:p w14:paraId="3FA44FEF">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eastAsia="zh-CN" w:bidi="ar"/>
        </w:rPr>
        <w:t>履约担保的金额：中选合同金额的5%</w:t>
      </w:r>
    </w:p>
    <w:p w14:paraId="63625BEA">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履约担保的缴纳账号：</w:t>
      </w:r>
      <w:r>
        <w:rPr>
          <w:rFonts w:hint="eastAsia" w:ascii="宋体" w:hAnsi="宋体" w:cs="宋体"/>
          <w:color w:val="auto"/>
          <w:kern w:val="0"/>
          <w:sz w:val="24"/>
          <w:highlight w:val="none"/>
          <w:u w:val="single"/>
          <w:lang w:bidi="ar"/>
        </w:rPr>
        <w:t xml:space="preserve">                                                       </w:t>
      </w:r>
    </w:p>
    <w:p w14:paraId="68777DCA">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履约担保的期限：</w:t>
      </w:r>
      <w:r>
        <w:rPr>
          <w:rFonts w:hint="eastAsia" w:ascii="宋体" w:hAnsi="宋体" w:cs="宋体"/>
          <w:color w:val="auto"/>
          <w:kern w:val="0"/>
          <w:sz w:val="24"/>
          <w:highlight w:val="none"/>
          <w:u w:val="single"/>
          <w:lang w:bidi="ar"/>
        </w:rPr>
        <w:t>自提交履约担保之日起至项目完工之日止。</w:t>
      </w:r>
    </w:p>
    <w:p w14:paraId="36C3B9D3">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u w:val="single"/>
          <w:lang w:bidi="ar"/>
        </w:rPr>
        <w:t>履约担保的退还时间：采用现金担保的，合同工程完工证书颁发后28天内一次性退还；采用银行保函的，合同工程完工证书颁发后28天内内退还。</w:t>
      </w:r>
    </w:p>
    <w:p w14:paraId="360EBA49">
      <w:pPr>
        <w:pStyle w:val="4"/>
        <w:widowControl w:val="0"/>
        <w:wordWrap w:val="0"/>
        <w:spacing w:before="0" w:after="0" w:line="360" w:lineRule="auto"/>
        <w:rPr>
          <w:rFonts w:ascii="宋体" w:hAnsi="宋体" w:cs="宋体"/>
          <w:color w:val="auto"/>
          <w:sz w:val="24"/>
          <w:szCs w:val="24"/>
          <w:highlight w:val="none"/>
        </w:rPr>
      </w:pPr>
      <w:bookmarkStart w:id="606" w:name="_Toc28530"/>
      <w:bookmarkStart w:id="607" w:name="_Toc7624"/>
      <w:bookmarkStart w:id="608" w:name="_Toc14328"/>
      <w:bookmarkStart w:id="609" w:name="_Toc12808"/>
      <w:bookmarkStart w:id="610" w:name="_Toc27056"/>
      <w:bookmarkStart w:id="611" w:name="_Toc16167"/>
      <w:r>
        <w:rPr>
          <w:rFonts w:hint="eastAsia" w:ascii="宋体" w:hAnsi="宋体" w:cs="宋体"/>
          <w:color w:val="auto"/>
          <w:sz w:val="24"/>
          <w:szCs w:val="24"/>
          <w:highlight w:val="none"/>
        </w:rPr>
        <w:t>4、劳务作业人员</w:t>
      </w:r>
      <w:bookmarkEnd w:id="606"/>
      <w:bookmarkEnd w:id="607"/>
      <w:bookmarkEnd w:id="608"/>
      <w:bookmarkEnd w:id="609"/>
      <w:bookmarkEnd w:id="610"/>
      <w:bookmarkEnd w:id="611"/>
    </w:p>
    <w:p w14:paraId="0974D2A7">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4.1、签订书面劳动合同：劳务作业分包单位应当与劳务作业人员订立书面劳动合同，进行用工实名登记、管理，每月向总承包单位提供上月劳务作业分包单位在本工程上所有劳务作业人员的劳动合同签署情况、出勤情况、工资结算支付情况及人员变动情况的书面记录。除上述书面记录的用工行为外，劳务作业分包单位承诺在本工程不存在其他劳务用工行为。</w:t>
      </w:r>
    </w:p>
    <w:p w14:paraId="74AA4037">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4.2、支付劳务作业人员工资 </w:t>
      </w:r>
    </w:p>
    <w:p w14:paraId="60EB4FE9">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4.2.1、委托总承包单位代发劳务作业分包单位应对劳务作业人员实行实名制管理，并办理农民工实名制工资支付银行卡，按月考核农民工工作量并编制工资支付表，经农民工本人签字确认后，与当月工程进度、付款财务手续等情况一并交总承包单位。</w:t>
      </w:r>
    </w:p>
    <w:p w14:paraId="67716F66">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总承包单位根据劳务作业分包单位编制的工资支付表，通过农民工工资专用账户直接将工资支付到农民工本人的银行卡，并向劳务作业分包单位提供代发工资凭证。</w:t>
      </w:r>
    </w:p>
    <w:p w14:paraId="33604AA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4.2.2、由劳务作业分包单位发放     </w:t>
      </w:r>
    </w:p>
    <w:p w14:paraId="6ED20124">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劳务作业分包单位应当每月按合同约定支付工资，并将当月的工资发放支付情况书面提交总承包单位。否则，总承包单位有权暂停支付最近一期及以后各期劳务作业分包合同价款。</w:t>
      </w:r>
    </w:p>
    <w:p w14:paraId="62A8BCEE">
      <w:pPr>
        <w:keepNext/>
        <w:keepLines/>
        <w:wordWrap w:val="0"/>
        <w:spacing w:line="360" w:lineRule="auto"/>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劳务作业分包单位未如期支付劳务作业人员工资，导致劳务作业人员投诉或引发纠纷的，总承包单位有权从尚未支付的劳务作业分包合同价款中代劳务作业分包单位直接支付上述费用，并扣除因此而产生的经济损失及违约金，剩余的劳务作业分包合同价款向劳务作业分包单位支付。劳务作业分包单位无条件同意认可总承包单位代付行为和代付金额并配合完善诸如付款财务手续、补开增值税发票等相关手续，若不补开增值税发票导致总承包单位经济损失的，劳务作业分包单位应予以赔偿。</w:t>
      </w:r>
    </w:p>
    <w:p w14:paraId="17CE92B9">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4.3、劳务作业人员管理</w:t>
      </w:r>
    </w:p>
    <w:p w14:paraId="791C5C28">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4.3.1 劳务作业分包单位应当根据总承包单位编制的施工组织设计，编制与施工组织设计相适应的劳动力安排计划，劳动力安排计划应当包括劳务作业人员数量、工种、进场时间、退场时间以及劳务费支付计划等，劳动力安排计划应当经总承包单位批准后实施。</w:t>
      </w:r>
    </w:p>
    <w:p w14:paraId="313D48C9">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4.3.2 劳务作业分包单位应当组织具有相应资格证书和符合本合同劳务作业要求的劳务作业人员投入工作。劳务作业分包单位应当对劳务作业人员进行实名制管理，包括但不限于进出场管理、登记造册管理、工资支付管理以及各种证照的办理。</w:t>
      </w:r>
    </w:p>
    <w:p w14:paraId="4056946B">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4.3.3 总承包单位有权随时检查劳务作业人员的有效证件及持证上岗情况。特种作业人员必须按照法律规定取得相应职业资格证书，否则总承包单位有权禁止未获得相应资格证书的特种作业人员进入劳务作业现场。</w:t>
      </w:r>
    </w:p>
    <w:p w14:paraId="58D43A67">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4.3.4 总承包单位要求撤换不能按照合同约定履行职责及义务的劳务作业人员，劳务作业分包单位应当撤换。劳务作业分包单位无正当理由拒绝撤换的，总承包单位可按14.2的约定要求劳务作业分包单位承担违约责任，并总承包单位有权利另寻第三方来完成此项作业，费用由劳务作业分包单位承担，并有权与劳务作业分包单位解除分包合同。  </w:t>
      </w:r>
    </w:p>
    <w:p w14:paraId="63849E5F">
      <w:pPr>
        <w:pStyle w:val="4"/>
        <w:widowControl w:val="0"/>
        <w:wordWrap w:val="0"/>
        <w:spacing w:before="0" w:after="0" w:line="360" w:lineRule="auto"/>
        <w:rPr>
          <w:rFonts w:ascii="宋体" w:hAnsi="宋体" w:cs="宋体"/>
          <w:color w:val="auto"/>
          <w:sz w:val="24"/>
          <w:szCs w:val="24"/>
          <w:highlight w:val="none"/>
        </w:rPr>
      </w:pPr>
      <w:bookmarkStart w:id="612" w:name="_Toc2375"/>
      <w:bookmarkStart w:id="613" w:name="_Toc8652"/>
      <w:bookmarkStart w:id="614" w:name="_Toc16884"/>
      <w:bookmarkStart w:id="615" w:name="_Toc3730"/>
      <w:bookmarkStart w:id="616" w:name="_Toc29904"/>
      <w:bookmarkStart w:id="617" w:name="_Toc31809"/>
      <w:r>
        <w:rPr>
          <w:rFonts w:hint="eastAsia" w:ascii="宋体" w:hAnsi="宋体" w:cs="宋体"/>
          <w:color w:val="auto"/>
          <w:sz w:val="24"/>
          <w:szCs w:val="24"/>
          <w:highlight w:val="none"/>
        </w:rPr>
        <w:t>5、作业安全与环境保护</w:t>
      </w:r>
      <w:bookmarkEnd w:id="612"/>
      <w:bookmarkEnd w:id="613"/>
      <w:bookmarkEnd w:id="614"/>
      <w:bookmarkEnd w:id="615"/>
      <w:bookmarkEnd w:id="616"/>
      <w:bookmarkEnd w:id="617"/>
    </w:p>
    <w:p w14:paraId="2E341EEF">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5.1、作业安全</w:t>
      </w:r>
    </w:p>
    <w:p w14:paraId="6EA6C6E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5.1.1、总承包单位应认真执行安全技术法律法规，严格遵守安全制度，不得要求劳务作业分包单位违反安全管理的规定进行劳务作业。</w:t>
      </w:r>
    </w:p>
    <w:p w14:paraId="66FE3EFB">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5.1.2、劳务作业分包单位应遵守工程建设安全生产有关管理规定，严格按安全标准进行作业，并随时接受行业安全检查人员依法实施的监督检查，采取必要的安全防护措施，消除事故隐患。发生安全事故后，劳务作业分包单位应立即通知总承包单位，并迅速采取有效措施，组织抢救，防止事故扩大，减少人员伤亡和财产损失。</w:t>
      </w:r>
    </w:p>
    <w:p w14:paraId="2ECC2EA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5.1.3、劳务作业分包单位应按总承包单位统一规划堆放材料、机具，按总承包单位标准化工地要求设置标牌，负责其生活区的管理工作。 </w:t>
      </w:r>
    </w:p>
    <w:p w14:paraId="566DB179">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5.1.4、劳务作业分包单位应对其现场操作人员做好安全教育工作，确保工人安全，并配齐全套劳动保护用品及为其购买保险。劳务作业分包单位施工及进场人员必须严格推行“两单两卡”，做好安全生产和文明施工，正确用好施工机具和安全设施，不准违章指挥、违章操作、冒险作业，必须服从总承包单位管理人员的管理与安排。</w:t>
      </w:r>
    </w:p>
    <w:p w14:paraId="1228D070">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5.2、安全文明施工费</w:t>
      </w:r>
    </w:p>
    <w:p w14:paraId="0151CAF5">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劳务作业分包单位应严格遵守《重庆市建设工程安全文明施工费计取及使用管理规定》或</w:t>
      </w:r>
      <w:r>
        <w:rPr>
          <w:rFonts w:hint="eastAsia" w:ascii="宋体" w:hAnsi="宋体" w:cs="宋体"/>
          <w:color w:val="auto"/>
          <w:highlight w:val="none"/>
        </w:rPr>
        <w:t>项目所在地的相关条例或政府职能部门下发关于安全</w:t>
      </w:r>
      <w:r>
        <w:rPr>
          <w:rFonts w:hint="eastAsia" w:ascii="宋体" w:hAnsi="宋体" w:cs="宋体"/>
          <w:color w:val="auto"/>
          <w:spacing w:val="-9"/>
          <w:highlight w:val="none"/>
        </w:rPr>
        <w:t>文明施工费通知的要求</w:t>
      </w:r>
      <w:r>
        <w:rPr>
          <w:rFonts w:hint="eastAsia" w:ascii="宋体" w:hAnsi="宋体" w:cs="宋体"/>
          <w:color w:val="auto"/>
          <w:kern w:val="0"/>
          <w:sz w:val="24"/>
          <w:highlight w:val="none"/>
          <w:lang w:bidi="ar"/>
        </w:rPr>
        <w:t>，总承包单位履行对合同约定的安全文明施工费的使用及支付进行监督。其中；劳务作业分包单位施工所需的安全帽、安全带、安全网及防护绝缘鞋、防护手套、施工场内清洁与维护、四口、五临边的防护、劳动防护用品等由分包单位自行采购、发放、搭拆，该费用已包含在该劳务分包的安全文明施工费中。</w:t>
      </w:r>
    </w:p>
    <w:p w14:paraId="021CC6C7">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5.3、职业健康</w:t>
      </w:r>
    </w:p>
    <w:p w14:paraId="0B993D45">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5.3.1、劳动保护</w:t>
      </w:r>
    </w:p>
    <w:p w14:paraId="557AA16D">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应当服从总承包单位的现场安全管理，并根据总承包单位的指示及国家和地方有关劳动保护的规定，采取有效的劳动保护措施。劳务作业分包单位应依法为其履行合同所雇用的人员办理必要的证件、许可、保险和注册等。劳务作业人员在作业中受到伤害的，劳务作业分包单位应立即采取有效措施进行抢救和治疗。</w:t>
      </w:r>
    </w:p>
    <w:p w14:paraId="1C6074FB">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劳务作业分包单位应按法律规定安排劳务作业人员的劳动和休息时间，保证其雇佣人员享有休息和休假的权利。</w:t>
      </w:r>
    </w:p>
    <w:p w14:paraId="40187670">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5.3.2、生活条件</w:t>
      </w:r>
    </w:p>
    <w:p w14:paraId="1025B442">
      <w:pPr>
        <w:keepNext/>
        <w:keepLines/>
        <w:wordWrap w:val="0"/>
        <w:spacing w:line="360" w:lineRule="auto"/>
        <w:ind w:firstLine="480" w:firstLineChars="200"/>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总承包单位不负责提供生活/住宿/办公场地，劳务作业分包单位应于开始工作前为其雇用的劳务作业人员提供必要的膳宿条件和生活环境；膳宿条件和生活环境应达到工程所在地行政管理机关的标准、要求。总承包单位应按工程所在地行政管理机关的标准和要求对劳务作业人员的宿舍和食堂进行管理。</w:t>
      </w:r>
    </w:p>
    <w:p w14:paraId="3B23C4F7">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劳务作业分包单位应按照行政管理机关的要求为外来务工人员办理暂住证等一切所需证件。 </w:t>
      </w:r>
    </w:p>
    <w:p w14:paraId="31972D7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5.4、环境保护： 在合同履行期间，劳务作业分包单位应采取合理措施保护劳务作业现场环境。对劳务作业过程中可能引起的大气、水、噪音以及固体废物等污染采取具体可行的防范措施。劳务作业分包单位应当遵守总承包单位关于劳务作业现场环境保护的要求。</w:t>
      </w:r>
    </w:p>
    <w:p w14:paraId="38891B0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劳务作业分包单位应承担因其原因引起的环境污染侵权损害赔偿责任，因上述环境污染引起纠纷而导致劳务作业暂停的，由此增加的费用和（或）延误的期限由劳务作业分包单位承担。</w:t>
      </w:r>
    </w:p>
    <w:p w14:paraId="6B9CB476">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若因劳务作业分包单位责任被区、县级执法机关处罚，则处违约金1万元；被国家、省、市级处罚，则处违约金5万元；被列入“信用中国”网站行政处罚、失信惩戒、重点关注名单，则处违约金10万元。</w:t>
      </w:r>
    </w:p>
    <w:p w14:paraId="671D23AD">
      <w:pPr>
        <w:pStyle w:val="4"/>
        <w:widowControl w:val="0"/>
        <w:wordWrap w:val="0"/>
        <w:spacing w:before="0" w:after="0" w:line="360" w:lineRule="auto"/>
        <w:rPr>
          <w:rFonts w:ascii="宋体" w:hAnsi="宋体" w:cs="宋体"/>
          <w:color w:val="auto"/>
          <w:sz w:val="24"/>
          <w:szCs w:val="24"/>
          <w:highlight w:val="none"/>
        </w:rPr>
      </w:pPr>
      <w:bookmarkStart w:id="618" w:name="_Toc7006"/>
      <w:bookmarkStart w:id="619" w:name="_Toc32119"/>
      <w:bookmarkStart w:id="620" w:name="_Toc3396"/>
      <w:bookmarkStart w:id="621" w:name="_Toc2154"/>
      <w:bookmarkStart w:id="622" w:name="_Toc18874"/>
      <w:bookmarkStart w:id="623" w:name="_Toc20204"/>
      <w:r>
        <w:rPr>
          <w:rFonts w:hint="eastAsia" w:ascii="宋体" w:hAnsi="宋体" w:cs="宋体"/>
          <w:color w:val="auto"/>
          <w:sz w:val="24"/>
          <w:szCs w:val="24"/>
          <w:highlight w:val="none"/>
        </w:rPr>
        <w:t>6. 作业期限及进度</w:t>
      </w:r>
      <w:bookmarkEnd w:id="618"/>
      <w:bookmarkEnd w:id="619"/>
      <w:bookmarkEnd w:id="620"/>
      <w:bookmarkEnd w:id="621"/>
      <w:bookmarkEnd w:id="622"/>
      <w:bookmarkEnd w:id="623"/>
    </w:p>
    <w:p w14:paraId="41E3AAF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6.1、劳务作业方案</w:t>
      </w:r>
    </w:p>
    <w:p w14:paraId="1809DEC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6.1.1 总承包单位负责编制施工组织设计，在劳务作业过程中，因施工组织设计修改发生变化的，总承包单位应及时通知劳务作业分包单位。</w:t>
      </w:r>
    </w:p>
    <w:p w14:paraId="040A438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6.1.2 劳务作业分包单位应当根据总承包单位要求及施工组织设计，编制及修订劳务作业方案，劳务作业方案应包括劳动力安排计划、机具、设备及材料供应计划等。劳务作业分包单位提供劳务作业方案的时间为7天内。</w:t>
      </w:r>
    </w:p>
    <w:p w14:paraId="683A0E6E">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6.2、开始工作</w:t>
      </w:r>
    </w:p>
    <w:p w14:paraId="1C1DBCD2">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劳务作业准备</w:t>
      </w:r>
    </w:p>
    <w:p w14:paraId="5361BAAB">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关于劳务作业分包单位应完成的劳务作业准备工作：</w:t>
      </w:r>
      <w:r>
        <w:rPr>
          <w:rFonts w:hint="eastAsia" w:ascii="宋体" w:hAnsi="宋体" w:cs="宋体"/>
          <w:color w:val="auto"/>
          <w:kern w:val="0"/>
          <w:sz w:val="24"/>
          <w:highlight w:val="none"/>
          <w:u w:val="single"/>
          <w:lang w:bidi="ar"/>
        </w:rPr>
        <w:t xml:space="preserve"> 合同当事人应按约定完成如下劳务作业准备工作：</w:t>
      </w:r>
    </w:p>
    <w:p w14:paraId="0CE9DFB3">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（1）总承包单位负责工程测量定位、沉降观测、技术交底，组织图纸会审；</w:t>
      </w:r>
    </w:p>
    <w:p w14:paraId="5855D83F">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（2）劳务作业分包单位应根据施工组织设计及劳务作业方案，组织劳务作业人员。</w:t>
      </w:r>
    </w:p>
    <w:p w14:paraId="76E91F50">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劳务作业通知：</w:t>
      </w:r>
      <w:r>
        <w:rPr>
          <w:rFonts w:hint="eastAsia" w:ascii="宋体" w:hAnsi="宋体" w:cs="宋体"/>
          <w:color w:val="auto"/>
          <w:kern w:val="0"/>
          <w:sz w:val="24"/>
          <w:highlight w:val="none"/>
          <w:u w:val="single"/>
          <w:lang w:bidi="ar"/>
        </w:rPr>
        <w:t>合同当事人应按照法律规定和合同约定获得劳务作业所需的许可。总承包单位应在计划开始工作日期前向劳务作业分包单位发出劳务作业通知，作业期限自劳务作业通知中载明的开始工作日期起算。</w:t>
      </w:r>
    </w:p>
    <w:p w14:paraId="629C256E">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6.3、作业期限延误</w:t>
      </w:r>
    </w:p>
    <w:p w14:paraId="6BA3B9E4">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因总承包单位原因导致作业期限延误； 因总承包单位原因未按计划开始工作日期开始工作的，总承包单位应按实际开始工作日期顺延作业期限，确保作业期限不低于合同约定的作业总日历天数。除工期顺延外，劳务作业分包单位放弃索赔任何费用。</w:t>
      </w:r>
    </w:p>
    <w:p w14:paraId="70689C0F">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因劳务作业分包单位原因导致作业期限延误； 劳务作业分包单位未能达到节点工期要求的，每逾期一天，应当向总承包单位支付违约金5000元，未能达到总工期要求的，每逾期一天，应当向总承包单位支付违约金 10000元。节点工期违约责任与总工期违约责任分别计算，不互相包含。逾期累计达到10天（含）以上的，总承包单位可以解除合同作清场处理（同时有权只支付劳务作业分包单位审定完成合格工程量的75%的工程款）。</w:t>
      </w:r>
    </w:p>
    <w:p w14:paraId="2D7D941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不利作业条件： 在合同履行过程中，出现不利作业条件的，劳务作业分包单位应按照总承包单位指示，采取措施继续进行（或延迟）劳务作业。继续作业增加的费用和延误的期限由总承包单位承担。不利作业条件包括不利物质条件、异常恶劣的气候条件、重大突发公共卫生事件以及合同当事人在专用合同条款中约定的其他不利作业条件。</w:t>
      </w:r>
    </w:p>
    <w:p w14:paraId="2E6BDC85">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不利物质条件，是指有经验的总承包单位及劳务作业分包单位在劳务作业现场遇到的不可预见的自然物质条件、非自然的物质障碍和污染物，包括地表以下物质条件和水文条件以及专用合同条款约定的其他情形，但不包括气候条件。</w:t>
      </w:r>
    </w:p>
    <w:p w14:paraId="48137E5F">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异常恶劣的气候条件，是指在作业过程中遇到的，有经验的总承包单位及劳务作业分包单位在签订合同时不可预见的，对合同履行造成实质性影响的，但尚未构成不可抗力事件的恶劣气候条件。视为异常恶劣的气候条件：以工程所在地气象部门书面通知的禁止施工条件为准。</w:t>
      </w:r>
    </w:p>
    <w:p w14:paraId="75C9D1B0">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重大突发公共卫生事件，是指突然发生，造成或者可能造成社会公众健康严重损害的重大传染疫情、群体不明原因疾病、重大食物和职业中毒以及其它严重影响公众健康的事件。</w:t>
      </w:r>
    </w:p>
    <w:p w14:paraId="550664AB">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6.4、劳务作业暂停</w:t>
      </w:r>
    </w:p>
    <w:p w14:paraId="6682B6BB">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6.4.1、总承包单位原因引起的劳务作业暂停</w:t>
      </w:r>
    </w:p>
    <w:p w14:paraId="0CCD0F7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因总承包单位原因引起劳务作业暂停的，总承包单位应当承担由此延误的期限，但不承担因此给劳务作业分包单位增加的费用。</w:t>
      </w:r>
    </w:p>
    <w:p w14:paraId="2DD4BA46">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6.4.2、劳务作业分包单位原因引起的劳务作业暂停</w:t>
      </w:r>
    </w:p>
    <w:p w14:paraId="0708108D">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因劳务作业分包单位原因引起的劳务作业暂停，由此增加的费用和（或）延误的期限由劳务作业分包单位承担。</w:t>
      </w:r>
    </w:p>
    <w:p w14:paraId="14988C4B">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6.4.3、劳务作业暂停后的复工</w:t>
      </w:r>
    </w:p>
    <w:p w14:paraId="5877E25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劳务作业暂停后，总承包单位和劳务作业分包单位应积极采取有效措施以消除劳务作业暂停的影响。当复工条件具备时，总承包单位应向劳务作业分包单位发出复工通知，劳务作业分包单位应按照复工通知的要求复工。劳务作业分包单位无故拖延或拒绝复工的，劳务作业分包单位承担由此增加的费用和（或）延误的期限。</w:t>
      </w:r>
    </w:p>
    <w:p w14:paraId="6541C23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6.5、工作配合</w:t>
      </w:r>
    </w:p>
    <w:p w14:paraId="23B85ABB">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6.5.1、劳务作业分包单位按约定完成劳务作业，必须由总承包单位或劳务作业现场内的第三方进行配合时，总承包单位应配合劳务作业分包单位工作或确保劳务作业分包单位获得该第三方的配合。</w:t>
      </w:r>
    </w:p>
    <w:p w14:paraId="7B93B24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6.5.2 、总承包单位或劳务作业现场内第三方的工作必须由劳务作业分包单位配合时，劳务作业分包单位应按总承包单位的指示予以配合，配合费用已包含在合同总价内。</w:t>
      </w:r>
    </w:p>
    <w:p w14:paraId="2A303844">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6.6、提前完工</w:t>
      </w:r>
    </w:p>
    <w:p w14:paraId="7051E3A0">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总承包单位要求劳务作业分包单位提前完工的，总承包单位应向劳务作业分包单位下达提前完工指示，劳务作业分包单位应向总承包单位提交提前完工建议书，提前完工建议书应包括劳动力安排计划、缩短的时间、增加的合同价格等内容。总承包单位接受该提前完工建议书的，总承包单位和劳务作业分包单位应协商采取加快工作进度的措施，由此增加的费用由总承包单位承担。</w:t>
      </w:r>
    </w:p>
    <w:p w14:paraId="42582FE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总承包单位要求劳务作业分包单位提前完工的，劳务作业分包单位不得拒绝抢工。总承包单位认为劳务作业分包单位的提前完工建议书不能达到工期提前要求的，有权直接修改，劳务作业分包单位应当按照总承包单位修改后的抢工方案实施。由于劳务作业分包单位未按照抢工方案组织抢工，导致工期提前目标未能实现的，劳务作业分包单位应承担工期违约责任。劳务作业分包单位拒绝抢工或未按抢工方案组织抢工的，导致提前完工的预期目标不能实现的，总承包单位有权自行代工（由总承包单位提前告知分包单位，无论分包单位是否同意），产生的费用由劳务作业分包单位负责并承担，总承包单位有权从应付劳务作业分包单位的款项中直接扣除或向劳务作业分包单位追偿。劳务作业分包单位未按要求提交抢工方案的，视为劳务作业分包单位拒绝抢工。</w:t>
      </w:r>
    </w:p>
    <w:p w14:paraId="0CBCF10D">
      <w:pPr>
        <w:pStyle w:val="4"/>
        <w:widowControl w:val="0"/>
        <w:wordWrap w:val="0"/>
        <w:spacing w:before="0" w:after="0" w:line="360" w:lineRule="auto"/>
        <w:rPr>
          <w:rFonts w:ascii="宋体" w:hAnsi="宋体" w:cs="宋体"/>
          <w:color w:val="auto"/>
          <w:sz w:val="24"/>
          <w:szCs w:val="24"/>
          <w:highlight w:val="none"/>
        </w:rPr>
      </w:pPr>
      <w:bookmarkStart w:id="624" w:name="_Toc12572"/>
      <w:bookmarkStart w:id="625" w:name="_Toc27547"/>
      <w:bookmarkStart w:id="626" w:name="_Toc16913"/>
      <w:bookmarkStart w:id="627" w:name="_Toc3393"/>
      <w:bookmarkStart w:id="628" w:name="_Toc32043"/>
      <w:bookmarkStart w:id="629" w:name="_Toc25725"/>
      <w:r>
        <w:rPr>
          <w:rFonts w:hint="eastAsia" w:ascii="宋体" w:hAnsi="宋体" w:cs="宋体"/>
          <w:color w:val="auto"/>
          <w:sz w:val="24"/>
          <w:szCs w:val="24"/>
          <w:highlight w:val="none"/>
        </w:rPr>
        <w:t>7. 机具、设备及材料供应</w:t>
      </w:r>
      <w:bookmarkEnd w:id="624"/>
      <w:bookmarkEnd w:id="625"/>
      <w:bookmarkEnd w:id="626"/>
      <w:bookmarkEnd w:id="627"/>
      <w:bookmarkEnd w:id="628"/>
      <w:bookmarkEnd w:id="629"/>
    </w:p>
    <w:p w14:paraId="76724B28">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7.1、机具、设备和材料供应计划：</w:t>
      </w:r>
      <w:r>
        <w:rPr>
          <w:rFonts w:hint="eastAsia" w:ascii="宋体" w:hAnsi="宋体" w:cs="宋体"/>
          <w:color w:val="auto"/>
          <w:kern w:val="0"/>
          <w:sz w:val="24"/>
          <w:highlight w:val="none"/>
          <w:u w:val="single"/>
          <w:lang w:bidi="ar"/>
        </w:rPr>
        <w:t>在7天内提供计划</w:t>
      </w:r>
      <w:r>
        <w:rPr>
          <w:rFonts w:hint="eastAsia" w:ascii="宋体" w:hAnsi="宋体" w:cs="宋体"/>
          <w:color w:val="auto"/>
          <w:kern w:val="0"/>
          <w:sz w:val="24"/>
          <w:highlight w:val="none"/>
          <w:u w:val="single"/>
          <w:lang w:eastAsia="zh-CN" w:bidi="ar"/>
        </w:rPr>
        <w:t>，</w:t>
      </w:r>
      <w:r>
        <w:rPr>
          <w:rFonts w:hint="eastAsia" w:ascii="宋体" w:hAnsi="宋体" w:cs="宋体"/>
          <w:color w:val="auto"/>
          <w:kern w:val="0"/>
          <w:sz w:val="24"/>
          <w:highlight w:val="none"/>
          <w:u w:val="single"/>
          <w:lang w:val="en-US" w:eastAsia="zh-CN" w:bidi="ar"/>
        </w:rPr>
        <w:t>甲方提供必要的安全生产用品，如安全帽、安全带、锥标等。</w:t>
      </w:r>
      <w:r>
        <w:rPr>
          <w:rFonts w:hint="eastAsia" w:ascii="宋体" w:hAnsi="宋体" w:cs="宋体"/>
          <w:color w:val="auto"/>
          <w:kern w:val="0"/>
          <w:sz w:val="24"/>
          <w:highlight w:val="none"/>
          <w:u w:val="single"/>
          <w:lang w:bidi="ar"/>
        </w:rPr>
        <w:t xml:space="preserve"> </w:t>
      </w:r>
    </w:p>
    <w:p w14:paraId="2C4A3AD1">
      <w:pPr>
        <w:keepNext/>
        <w:keepLines/>
        <w:wordWrap w:val="0"/>
        <w:spacing w:line="360" w:lineRule="auto"/>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主要车辆机械要求如下：</w:t>
      </w:r>
    </w:p>
    <w:p w14:paraId="4636D51F">
      <w:pPr>
        <w:keepNext/>
        <w:keepLines/>
        <w:wordWrap w:val="0"/>
        <w:spacing w:line="360" w:lineRule="auto"/>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（1）CYJD1段：</w:t>
      </w:r>
    </w:p>
    <w:p w14:paraId="52AF6F5B">
      <w:pPr>
        <w:keepNext/>
        <w:keepLines/>
        <w:wordWrap w:val="0"/>
        <w:spacing w:line="360" w:lineRule="auto"/>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①高架车至少3台，货车至少2辆；</w:t>
      </w:r>
    </w:p>
    <w:p w14:paraId="0116268F">
      <w:pPr>
        <w:keepNext/>
        <w:keepLines/>
        <w:wordWrap w:val="0"/>
        <w:spacing w:line="360" w:lineRule="auto"/>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②吊车至少3台，挖掘机至少2台；</w:t>
      </w:r>
    </w:p>
    <w:p w14:paraId="72F6D7B4">
      <w:pPr>
        <w:keepNext/>
        <w:keepLines/>
        <w:wordWrap w:val="0"/>
        <w:spacing w:line="360" w:lineRule="auto"/>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③10kW以上柴油发电机不少于3台；</w:t>
      </w:r>
    </w:p>
    <w:p w14:paraId="1918EC71">
      <w:pPr>
        <w:keepNext/>
        <w:keepLines/>
        <w:wordWrap w:val="0"/>
        <w:spacing w:line="360" w:lineRule="auto"/>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（2）CYJD2段：</w:t>
      </w:r>
    </w:p>
    <w:p w14:paraId="68C34279">
      <w:pPr>
        <w:keepNext/>
        <w:keepLines/>
        <w:wordWrap w:val="0"/>
        <w:spacing w:line="360" w:lineRule="auto"/>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①高架车至少3台，货车至少2辆；</w:t>
      </w:r>
    </w:p>
    <w:p w14:paraId="7DE818CB">
      <w:pPr>
        <w:keepNext/>
        <w:keepLines/>
        <w:wordWrap w:val="0"/>
        <w:spacing w:line="360" w:lineRule="auto"/>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②吊车至少3台，挖掘机至少2台；</w:t>
      </w:r>
    </w:p>
    <w:p w14:paraId="59CED662">
      <w:pPr>
        <w:keepNext/>
        <w:keepLines/>
        <w:wordWrap w:val="0"/>
        <w:spacing w:line="360" w:lineRule="auto"/>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③10kW以上柴油发电机不少于3台；</w:t>
      </w:r>
    </w:p>
    <w:p w14:paraId="168B9432">
      <w:pPr>
        <w:keepNext/>
        <w:keepLines/>
        <w:wordWrap w:val="0"/>
        <w:spacing w:line="360" w:lineRule="auto"/>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注：以上要求为最低要求，后续根据界面提交情况及项目部要求追加人员，满足工程进度需要。</w:t>
      </w:r>
    </w:p>
    <w:p w14:paraId="266DA0F9">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7.2、主要材料和周转性材料：</w:t>
      </w:r>
      <w:r>
        <w:rPr>
          <w:rFonts w:hint="eastAsia" w:ascii="宋体" w:hAnsi="宋体" w:cs="宋体"/>
          <w:color w:val="auto"/>
          <w:kern w:val="0"/>
          <w:sz w:val="24"/>
          <w:highlight w:val="none"/>
          <w:u w:val="single"/>
          <w:lang w:bidi="ar"/>
        </w:rPr>
        <w:t>除本合同明确约定由总承包单位提供的主要材料，其余材料含周辅材料均由劳务作业分包单位提供。</w:t>
      </w:r>
    </w:p>
    <w:p w14:paraId="23F3A53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7.3、低值易耗材料</w:t>
      </w:r>
    </w:p>
    <w:p w14:paraId="72377B40">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 xml:space="preserve">7.3.1关于劳务作业所需的低值易耗材料的提供人的约定： </w:t>
      </w:r>
      <w:r>
        <w:rPr>
          <w:rFonts w:hint="eastAsia" w:ascii="宋体" w:hAnsi="宋体" w:cs="宋体"/>
          <w:color w:val="auto"/>
          <w:kern w:val="0"/>
          <w:sz w:val="24"/>
          <w:highlight w:val="none"/>
          <w:u w:val="single"/>
          <w:lang w:bidi="ar"/>
        </w:rPr>
        <w:t>由劳务作业分包合同单位提供。</w:t>
      </w:r>
    </w:p>
    <w:p w14:paraId="5F01C208">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7.3.2关于劳务作业分包单位自行提供劳务作业所需低值易耗材料或小型机具的范围：</w:t>
      </w:r>
      <w:r>
        <w:rPr>
          <w:rFonts w:hint="eastAsia" w:ascii="宋体" w:hAnsi="宋体" w:cs="宋体"/>
          <w:color w:val="auto"/>
          <w:kern w:val="0"/>
          <w:sz w:val="24"/>
          <w:highlight w:val="none"/>
          <w:u w:val="single"/>
          <w:lang w:bidi="ar"/>
        </w:rPr>
        <w:t>包括但不限于：</w:t>
      </w:r>
    </w:p>
    <w:p w14:paraId="6964376B">
      <w:pPr>
        <w:keepNext/>
        <w:keepLines/>
        <w:numPr>
          <w:ilvl w:val="-1"/>
          <w:numId w:val="0"/>
        </w:numPr>
        <w:wordWrap w:val="0"/>
        <w:spacing w:line="360" w:lineRule="auto"/>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eastAsia="zh-CN" w:bidi="ar"/>
        </w:rPr>
        <w:t>（</w:t>
      </w:r>
      <w:r>
        <w:rPr>
          <w:rFonts w:hint="eastAsia" w:ascii="宋体" w:hAnsi="宋体" w:cs="宋体"/>
          <w:color w:val="auto"/>
          <w:kern w:val="0"/>
          <w:sz w:val="24"/>
          <w:highlight w:val="none"/>
          <w:lang w:val="en-US" w:eastAsia="zh-CN" w:bidi="ar"/>
        </w:rPr>
        <w:t>1</w:t>
      </w:r>
      <w:r>
        <w:rPr>
          <w:rFonts w:hint="eastAsia" w:ascii="宋体" w:hAnsi="宋体" w:cs="宋体"/>
          <w:color w:val="auto"/>
          <w:kern w:val="0"/>
          <w:sz w:val="24"/>
          <w:highlight w:val="none"/>
          <w:lang w:eastAsia="zh-CN" w:bidi="ar"/>
        </w:rPr>
        <w:t>）</w:t>
      </w:r>
      <w:r>
        <w:rPr>
          <w:rFonts w:hint="eastAsia" w:ascii="宋体" w:hAnsi="宋体" w:cs="宋体"/>
          <w:color w:val="auto"/>
          <w:kern w:val="0"/>
          <w:sz w:val="24"/>
          <w:highlight w:val="none"/>
          <w:lang w:bidi="ar"/>
        </w:rPr>
        <w:t>施工用具及机械设备类:螺丝刀、夹嵌、绝缘表、行规要求自带的工、用具、对讲机、各类割具、各类锉刀、气枪、胶囊、墨斗、线坠、角尺、卷尺、皮尺、水平尺、管钳、压线钳、各类榔头、扳手、锯、电筒、铆枪、放线架、紧线器、焊锡锅、滑石粉、各类资料表格、办公用品、地阻仪、编码器、全站仪、水准仪、经纬仪、回弹仪、钢筋扫描仪、混凝土试模、红外线水平仪、水平仪、万用表、各类爬梯、对讲机、喷枪、绞磨、千斤顶、各类电锤、电钻、台钻、试压泵、剪板机、咬口机、液压弯管机、管子切断机、钳桌、折方机、套丝机、钢筋调直机及各类开孔器、钻孔器、打磨机、液压钳、焊接设备及其配套的电线电缆焊钳面罩、电焊机等、型材切割机及锯片、滚槽机、热融器、电动葫芦、砂轮切割机、柴油发电机、打夯机、钻机、挖掘机、水泵、钢筋加工器械、混凝土振捣器、回弹仪等。</w:t>
      </w:r>
    </w:p>
    <w:p w14:paraId="02E162A5">
      <w:pPr>
        <w:keepNext/>
        <w:keepLines/>
        <w:wordWrap w:val="0"/>
        <w:spacing w:line="360" w:lineRule="auto"/>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（2）配电类:</w:t>
      </w:r>
    </w:p>
    <w:p w14:paraId="60858469">
      <w:pPr>
        <w:keepNext/>
        <w:keepLines/>
        <w:wordWrap w:val="0"/>
        <w:spacing w:line="360" w:lineRule="auto"/>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二级、三级施工电线源、三级配电箱及配电板、夜间施工照、灯具(灯泡)、电源线等。</w:t>
      </w:r>
    </w:p>
    <w:p w14:paraId="1754841D">
      <w:pPr>
        <w:keepNext/>
        <w:keepLines/>
        <w:wordWrap w:val="0"/>
        <w:spacing w:line="360" w:lineRule="auto"/>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（3）安全及劳保用品类:</w:t>
      </w:r>
    </w:p>
    <w:p w14:paraId="4C360048">
      <w:pPr>
        <w:keepNext/>
        <w:keepLines/>
        <w:wordWrap w:val="0"/>
        <w:spacing w:line="360" w:lineRule="auto"/>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安全帽、安全绳、安全带、消防器材、灭火器、竹木挑板、手套、工作鞋、劳保服装、雨具等其他劳保用清凉饮料水、十滴水、茶叶等劳务作业分包单位作业需用的所有安全及劳保用品等。</w:t>
      </w:r>
    </w:p>
    <w:p w14:paraId="4E2C9FE4">
      <w:pPr>
        <w:keepNext/>
        <w:keepLines/>
        <w:wordWrap w:val="0"/>
        <w:spacing w:line="360" w:lineRule="auto"/>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（4）安装工程辅材类:</w:t>
      </w:r>
    </w:p>
    <w:p w14:paraId="7355D869">
      <w:pPr>
        <w:keepNext/>
        <w:keepLines/>
        <w:wordWrap w:val="0"/>
        <w:spacing w:line="360" w:lineRule="auto"/>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棉纱头、砂布0#~2#、塑料布、聚乙烯、汽油、镀锌铁丝8#~22#、扎丝、钢丝、钢锯条、黄油、白布、扒钉、焊锡膏、焊锡丝、胶木板、垫木、垫块、内衬、止水丝杆，对拉丝杆、各色电工绝缘胶布、液压油、橡胶垫、石棉水泥板、膨胀螺栓、滤油纸、自粘胶带、塑料带、纱布棉纱、封口胶、缠绕膜、绝缘胶带、香蕉水、白厚漆、记号漆、各色喷漆、石墨块、电极棒、塑料软管、胶木线夹、黄腊管、标志牌、标志箭头、尼龙绳、护口、保险丝、木螺钉、自攻螺丝、钢丝绳、半圆头螺栓、铰链、各类钻头钻花、切割片、彩棉布、稀料、石膏粉、白乳胶、铁钉、塑料胀管、开孔器、扎钩、各相色带、电源线、插头插板(机械用)、麻丝、碘钨灯、油毛毡、胶水、玻璃胶、煤油、喷灯、麻袋、砂纸、机油、柴油、焦炭、草绳、油麻、破布、尼龙编织袋、泡沫板、铁铆钉、玻璃、氧气乙炔瓶、、密封胶、密封片、生料带、液体生料带、石棉板、石棉绒、石棉绳、石棉垫、岩棉、护口圈、封箱带、热缩套、弹簧卡、扎带、钢丝绒、塑料膨胀管、垫料、小型机制非标螺丝、螺帽、螺栓、小型机制非标螺丝等、砂轮切割片、砂轮磨光片、石材切割片、冲击钻头、金属麻花钻、套丝机板牙、机械润滑剂、水泥钉、记号笔、粉笔、石笔、记号油漆笔、氧气乙炔、各种施工用开关插座、油漆刷、滚筒、焊条、职工宿舍用的棕垫、草垫、水平管、线坠、盒尺等。</w:t>
      </w:r>
    </w:p>
    <w:p w14:paraId="63574B2D">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注：以上要求为最低要求，后续根据项目进度及</w:t>
      </w:r>
      <w:r>
        <w:rPr>
          <w:rFonts w:hint="eastAsia" w:ascii="宋体" w:hAnsi="宋体" w:cs="宋体"/>
          <w:color w:val="auto"/>
          <w:kern w:val="0"/>
          <w:sz w:val="24"/>
          <w:highlight w:val="none"/>
          <w:lang w:val="en-US" w:eastAsia="zh-CN" w:bidi="ar"/>
        </w:rPr>
        <w:t>总承包单位</w:t>
      </w:r>
      <w:r>
        <w:rPr>
          <w:rFonts w:hint="eastAsia" w:ascii="宋体" w:hAnsi="宋体" w:cs="宋体"/>
          <w:color w:val="auto"/>
          <w:kern w:val="0"/>
          <w:sz w:val="24"/>
          <w:highlight w:val="none"/>
          <w:lang w:bidi="ar"/>
        </w:rPr>
        <w:t>要求增加配置。</w:t>
      </w:r>
    </w:p>
    <w:p w14:paraId="3C194959">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7.4、劳务作业分包单位的保管义务；劳务作业分包单位应妥善保管、合理使用总承包单位供应的机具、设备、材料，并接受总承包单位随时检查其机具、设备、材料的保管、使用情况。因劳务作业分包单位保管不善、不合理使用造成机具、设备、材料丢失、损毁的，劳务作业分包单位应负责赔偿，并承担因此造成的作业期限延误等责任。</w:t>
      </w:r>
    </w:p>
    <w:p w14:paraId="2697EC1D">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7.5、总承包单位供应设备、材料的合理损耗</w:t>
      </w:r>
    </w:p>
    <w:p w14:paraId="509CBA91">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总承包单位供应设备、材料的合理损耗率： 劳务作业分包人在总包人处领用的设备（无）、材料损耗率（定额损耗率），超出合理损耗率（定额损耗率）部分按实计量分包人按2倍价格赔偿给承包人。</w:t>
      </w:r>
    </w:p>
    <w:p w14:paraId="033C6F52">
      <w:pPr>
        <w:pStyle w:val="4"/>
        <w:widowControl w:val="0"/>
        <w:wordWrap w:val="0"/>
        <w:spacing w:before="0" w:after="0" w:line="360" w:lineRule="auto"/>
        <w:rPr>
          <w:rFonts w:ascii="宋体" w:hAnsi="宋体" w:cs="宋体"/>
          <w:color w:val="auto"/>
          <w:sz w:val="24"/>
          <w:szCs w:val="24"/>
          <w:highlight w:val="none"/>
        </w:rPr>
      </w:pPr>
      <w:bookmarkStart w:id="630" w:name="_Toc29004"/>
      <w:bookmarkStart w:id="631" w:name="_Toc22093"/>
      <w:bookmarkStart w:id="632" w:name="_Toc26775"/>
      <w:bookmarkStart w:id="633" w:name="_Toc1603"/>
      <w:bookmarkStart w:id="634" w:name="_Toc20060"/>
      <w:bookmarkStart w:id="635" w:name="_Toc28305"/>
      <w:r>
        <w:rPr>
          <w:rFonts w:hint="eastAsia" w:ascii="宋体" w:hAnsi="宋体" w:cs="宋体"/>
          <w:color w:val="auto"/>
          <w:sz w:val="24"/>
          <w:szCs w:val="24"/>
          <w:highlight w:val="none"/>
        </w:rPr>
        <w:t>8、劳务作业变化</w:t>
      </w:r>
      <w:bookmarkEnd w:id="630"/>
      <w:bookmarkEnd w:id="631"/>
      <w:bookmarkEnd w:id="632"/>
      <w:bookmarkEnd w:id="633"/>
      <w:bookmarkEnd w:id="634"/>
      <w:bookmarkEnd w:id="635"/>
    </w:p>
    <w:p w14:paraId="118B2F7D">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8.1、劳务作业变化的情形；</w:t>
      </w:r>
      <w:r>
        <w:rPr>
          <w:rFonts w:hint="eastAsia" w:ascii="宋体" w:hAnsi="宋体" w:cs="宋体"/>
          <w:color w:val="auto"/>
          <w:kern w:val="0"/>
          <w:sz w:val="24"/>
          <w:highlight w:val="none"/>
          <w:u w:val="single"/>
          <w:lang w:bidi="ar"/>
        </w:rPr>
        <w:t>合同履行过程中发生以下情形影响劳务作业的，应按照本款约定进行调整：</w:t>
      </w:r>
    </w:p>
    <w:p w14:paraId="3B913A03">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（1）增加或减少合同中任何工作，或追加额外的工作；</w:t>
      </w:r>
    </w:p>
    <w:p w14:paraId="6B8F1109">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（2）取消合同中任何工作，但转由他人实施的工作除外；</w:t>
      </w:r>
    </w:p>
    <w:p w14:paraId="15B3D0FF">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（3）改变合同中任何工作的质量标准或其他特性；</w:t>
      </w:r>
    </w:p>
    <w:p w14:paraId="3F275C6C">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（4）改变工程的基线、标高、位置和尺寸；</w:t>
      </w:r>
    </w:p>
    <w:p w14:paraId="0FB8DD38">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（5）改变劳务作业的时间安排或实施顺序。</w:t>
      </w:r>
    </w:p>
    <w:p w14:paraId="3DA6659C">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u w:val="single"/>
          <w:lang w:bidi="ar"/>
        </w:rPr>
        <w:t>劳务作业分包单位不得擅自调整劳务作业范围。</w:t>
      </w:r>
      <w:r>
        <w:rPr>
          <w:rFonts w:hint="eastAsia" w:ascii="宋体" w:hAnsi="宋体" w:cs="宋体"/>
          <w:color w:val="auto"/>
          <w:kern w:val="0"/>
          <w:sz w:val="24"/>
          <w:highlight w:val="none"/>
          <w:lang w:bidi="ar"/>
        </w:rPr>
        <w:t xml:space="preserve"> </w:t>
      </w:r>
    </w:p>
    <w:p w14:paraId="62088190">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8.2、劳务作业变化的通知：</w:t>
      </w:r>
      <w:r>
        <w:rPr>
          <w:rFonts w:hint="eastAsia" w:ascii="宋体" w:hAnsi="宋体" w:cs="宋体"/>
          <w:color w:val="auto"/>
          <w:kern w:val="0"/>
          <w:sz w:val="24"/>
          <w:highlight w:val="none"/>
          <w:u w:val="single"/>
          <w:lang w:bidi="ar"/>
        </w:rPr>
        <w:t>合同履行过程中如需对原工作内容进行调整，总承包单位应提前向劳务作业分包单位发出劳务作业变化通知，并提供调整后的相应图纸和说明。</w:t>
      </w:r>
    </w:p>
    <w:p w14:paraId="01FA597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8.3、劳务作业变化估价 </w:t>
      </w:r>
    </w:p>
    <w:p w14:paraId="6E38C403">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8.3.1 劳务作业变化估价原则</w:t>
      </w:r>
    </w:p>
    <w:p w14:paraId="72DADC4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除专用合同条款另有约定外，因合同履行过程中因设计变更导致新增的，劳务作业新增单价按照本款约定处理：</w:t>
      </w:r>
    </w:p>
    <w:p w14:paraId="6BA5A95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（1）已标价工作量清单有相同作业项目的，按照相同项目单价认定；</w:t>
      </w:r>
    </w:p>
    <w:p w14:paraId="17F396FE">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（2）已标价工作量清单中无相同项目，但有类似项目的，参照类似项目的工艺复杂程度、劳动力市场状况以及原单价的相应组价比例认定；</w:t>
      </w:r>
    </w:p>
    <w:p w14:paraId="1E48F139">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3）已标价工作量清单中无相同项目及类似项目单价的，按照合理的成本与利润构成的原则，由劳务作业分包单位申报，经总承包单位审核确定劳务单价。如双方无法协商一致的，总承包单位可另行委托其它劳务分包单位施工。</w:t>
      </w:r>
    </w:p>
    <w:p w14:paraId="2F0D14E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本项约定的项目单价是指按照第10条（合同价格形式）确定的工作量清单劳务费综合单价、工种工日单价、综合工日单价、建筑面积综合单价、已标价工作量清单或预算书载明的项目单价或合同当事人另行约定的项目单价。</w:t>
      </w:r>
    </w:p>
    <w:p w14:paraId="36DB4FEE">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8.3.2、劳务作业变化估价程序</w:t>
      </w:r>
    </w:p>
    <w:p w14:paraId="0E7D2937">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劳务作业分包单位应在收到劳务作业变化通知后7天内，先行向总承包单位提交劳务作业变化估价申请。总承包单位应在收到劳务作业变化估价申请后审查，总承包单位对劳务作业变化估价申请有异议，应通知劳务作业分包单位修改后重新提交。 </w:t>
      </w:r>
    </w:p>
    <w:p w14:paraId="43FF9C7B">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8.4、劳务作业变化引起的作业期限调整：因劳务作业变化引起作业期限变化的，合同当事人均可要求调整作业期限。合同当事人应结合劳务作业特点及技术难度，并参考工程所在地定额标准确定增减作业期限天数。合同当事人也可在专用合同条款中约定增减作业期限天数的方法。</w:t>
      </w:r>
    </w:p>
    <w:p w14:paraId="682A7F92">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8.5、临时性用工劳务</w:t>
      </w:r>
    </w:p>
    <w:p w14:paraId="48D13DED">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临时性用工劳务的工种工日单价：</w:t>
      </w:r>
      <w:r>
        <w:rPr>
          <w:rFonts w:hint="eastAsia" w:ascii="宋体" w:hAnsi="宋体" w:cs="宋体"/>
          <w:color w:val="auto"/>
          <w:kern w:val="0"/>
          <w:sz w:val="24"/>
          <w:highlight w:val="none"/>
          <w:u w:val="single"/>
          <w:lang w:bidi="ar"/>
        </w:rPr>
        <w:t xml:space="preserve"> 按《首讯公司工程变更及计量支付管理细则》规定进行审定。</w:t>
      </w:r>
    </w:p>
    <w:p w14:paraId="04A3B9A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备注：如确需发生“计时工”结算时，需要经分包单位与总承包单位项目部相关人员共同签字及总承包单位经营部复核确定方可有效，否则，一律拒绝认可。      </w:t>
      </w:r>
    </w:p>
    <w:p w14:paraId="786CBF20">
      <w:pPr>
        <w:pStyle w:val="4"/>
        <w:widowControl w:val="0"/>
        <w:wordWrap w:val="0"/>
        <w:spacing w:before="0" w:after="0" w:line="360" w:lineRule="auto"/>
        <w:rPr>
          <w:rFonts w:ascii="宋体" w:hAnsi="宋体" w:cs="宋体"/>
          <w:color w:val="auto"/>
          <w:sz w:val="24"/>
          <w:szCs w:val="24"/>
          <w:highlight w:val="none"/>
        </w:rPr>
      </w:pPr>
      <w:bookmarkStart w:id="636" w:name="_Toc29056"/>
      <w:bookmarkStart w:id="637" w:name="_Toc16073"/>
      <w:bookmarkStart w:id="638" w:name="_Toc11807"/>
      <w:bookmarkStart w:id="639" w:name="_Toc22787"/>
      <w:bookmarkStart w:id="640" w:name="_Toc15001"/>
      <w:bookmarkStart w:id="641" w:name="_Toc29266"/>
      <w:r>
        <w:rPr>
          <w:rFonts w:hint="eastAsia" w:ascii="宋体" w:hAnsi="宋体" w:cs="宋体"/>
          <w:color w:val="auto"/>
          <w:sz w:val="24"/>
          <w:szCs w:val="24"/>
          <w:highlight w:val="none"/>
        </w:rPr>
        <w:t>9、劳务作业价格调整</w:t>
      </w:r>
      <w:bookmarkEnd w:id="636"/>
      <w:bookmarkEnd w:id="637"/>
      <w:bookmarkEnd w:id="638"/>
      <w:bookmarkEnd w:id="639"/>
      <w:bookmarkEnd w:id="640"/>
      <w:bookmarkEnd w:id="641"/>
    </w:p>
    <w:p w14:paraId="25A0324A">
      <w:pPr>
        <w:pStyle w:val="5"/>
        <w:widowControl w:val="0"/>
        <w:wordWrap w:val="0"/>
        <w:spacing w:before="0" w:after="0" w:line="360" w:lineRule="auto"/>
        <w:ind w:firstLine="240"/>
        <w:rPr>
          <w:rFonts w:ascii="宋体" w:hAnsi="宋体" w:cs="宋体"/>
          <w:color w:val="auto"/>
          <w:sz w:val="24"/>
          <w:szCs w:val="24"/>
          <w:highlight w:val="none"/>
        </w:rPr>
      </w:pPr>
      <w:bookmarkStart w:id="642" w:name="_Toc15073"/>
      <w:bookmarkStart w:id="643" w:name="_Toc18979"/>
      <w:bookmarkStart w:id="644" w:name="_Toc13824"/>
      <w:bookmarkStart w:id="645" w:name="_Toc30063"/>
      <w:bookmarkStart w:id="646" w:name="_Toc13766"/>
      <w:bookmarkStart w:id="647" w:name="_Toc23445"/>
      <w:r>
        <w:rPr>
          <w:rFonts w:hint="eastAsia" w:ascii="宋体" w:hAnsi="宋体" w:cs="宋体"/>
          <w:color w:val="auto"/>
          <w:sz w:val="24"/>
          <w:szCs w:val="24"/>
          <w:highlight w:val="none"/>
        </w:rPr>
        <w:t>9.1、市场价格波动引起的劳务作业价格调整</w:t>
      </w:r>
      <w:bookmarkEnd w:id="642"/>
      <w:bookmarkEnd w:id="643"/>
      <w:bookmarkEnd w:id="644"/>
      <w:bookmarkEnd w:id="645"/>
      <w:bookmarkEnd w:id="646"/>
      <w:bookmarkEnd w:id="647"/>
    </w:p>
    <w:p w14:paraId="680B5FA9">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市场价格波动是否调整合同价格的约定：</w:t>
      </w:r>
      <w:r>
        <w:rPr>
          <w:rFonts w:hint="eastAsia" w:ascii="宋体" w:hAnsi="宋体" w:cs="宋体"/>
          <w:color w:val="auto"/>
          <w:kern w:val="0"/>
          <w:sz w:val="24"/>
          <w:highlight w:val="none"/>
          <w:u w:val="single"/>
          <w:lang w:bidi="ar"/>
        </w:rPr>
        <w:t xml:space="preserve">不调整 </w:t>
      </w:r>
    </w:p>
    <w:p w14:paraId="676AAD4F">
      <w:pPr>
        <w:pStyle w:val="5"/>
        <w:widowControl w:val="0"/>
        <w:wordWrap w:val="0"/>
        <w:spacing w:before="0" w:after="0" w:line="360" w:lineRule="auto"/>
        <w:ind w:firstLine="240"/>
        <w:rPr>
          <w:rFonts w:ascii="宋体" w:hAnsi="宋体" w:cs="宋体"/>
          <w:color w:val="auto"/>
          <w:sz w:val="24"/>
          <w:szCs w:val="24"/>
          <w:highlight w:val="none"/>
        </w:rPr>
      </w:pPr>
      <w:bookmarkStart w:id="648" w:name="_Toc1047"/>
      <w:bookmarkStart w:id="649" w:name="_Toc23363"/>
      <w:bookmarkStart w:id="650" w:name="_Toc1788"/>
      <w:bookmarkStart w:id="651" w:name="_Toc12989"/>
      <w:bookmarkStart w:id="652" w:name="_Toc4903"/>
      <w:bookmarkStart w:id="653" w:name="_Toc26881"/>
      <w:r>
        <w:rPr>
          <w:rFonts w:hint="eastAsia" w:ascii="宋体" w:hAnsi="宋体" w:cs="宋体"/>
          <w:color w:val="auto"/>
          <w:sz w:val="24"/>
          <w:szCs w:val="24"/>
          <w:highlight w:val="none"/>
        </w:rPr>
        <w:t>9.2、法律变化引起的劳务作业价格调整</w:t>
      </w:r>
      <w:bookmarkEnd w:id="648"/>
      <w:bookmarkEnd w:id="649"/>
      <w:bookmarkEnd w:id="650"/>
      <w:bookmarkEnd w:id="651"/>
      <w:bookmarkEnd w:id="652"/>
      <w:bookmarkEnd w:id="653"/>
    </w:p>
    <w:p w14:paraId="1A3E0A7B">
      <w:pPr>
        <w:pStyle w:val="5"/>
        <w:widowControl w:val="0"/>
        <w:wordWrap w:val="0"/>
        <w:spacing w:before="0" w:after="0" w:line="360" w:lineRule="auto"/>
        <w:ind w:firstLine="240"/>
        <w:rPr>
          <w:rFonts w:ascii="宋体" w:hAnsi="宋体" w:cs="宋体"/>
          <w:color w:val="auto"/>
          <w:sz w:val="24"/>
          <w:szCs w:val="24"/>
          <w:highlight w:val="none"/>
        </w:rPr>
      </w:pPr>
      <w:bookmarkStart w:id="654" w:name="_Toc23396"/>
      <w:bookmarkStart w:id="655" w:name="_Toc9696"/>
      <w:bookmarkStart w:id="656" w:name="_Toc28278"/>
      <w:bookmarkStart w:id="657" w:name="_Toc6563"/>
      <w:bookmarkStart w:id="658" w:name="_Toc21776"/>
      <w:r>
        <w:rPr>
          <w:rFonts w:hint="eastAsia" w:ascii="宋体" w:hAnsi="宋体" w:cs="宋体"/>
          <w:color w:val="auto"/>
          <w:kern w:val="0"/>
          <w:sz w:val="24"/>
          <w:szCs w:val="24"/>
          <w:highlight w:val="none"/>
          <w:u w:val="single"/>
          <w:lang w:bidi="ar"/>
        </w:rPr>
        <w:t>不调整</w:t>
      </w:r>
      <w:bookmarkEnd w:id="654"/>
      <w:bookmarkEnd w:id="655"/>
      <w:bookmarkEnd w:id="656"/>
      <w:bookmarkEnd w:id="657"/>
      <w:bookmarkEnd w:id="658"/>
      <w:r>
        <w:rPr>
          <w:rFonts w:hint="eastAsia" w:ascii="宋体" w:hAnsi="宋体" w:cs="宋体"/>
          <w:color w:val="auto"/>
          <w:kern w:val="0"/>
          <w:sz w:val="24"/>
          <w:szCs w:val="24"/>
          <w:highlight w:val="none"/>
          <w:u w:val="single"/>
          <w:lang w:bidi="ar"/>
        </w:rPr>
        <w:t xml:space="preserve"> </w:t>
      </w:r>
      <w:r>
        <w:rPr>
          <w:rFonts w:hint="eastAsia" w:ascii="宋体" w:hAnsi="宋体" w:cs="宋体"/>
          <w:color w:val="auto"/>
          <w:kern w:val="0"/>
          <w:sz w:val="24"/>
          <w:szCs w:val="24"/>
          <w:highlight w:val="none"/>
          <w:lang w:bidi="ar"/>
        </w:rPr>
        <w:t xml:space="preserve"> </w:t>
      </w:r>
    </w:p>
    <w:p w14:paraId="7931C0A7">
      <w:pPr>
        <w:pStyle w:val="4"/>
        <w:widowControl w:val="0"/>
        <w:wordWrap w:val="0"/>
        <w:spacing w:before="0" w:after="0" w:line="360" w:lineRule="auto"/>
        <w:rPr>
          <w:rFonts w:ascii="宋体" w:hAnsi="宋体" w:cs="宋体"/>
          <w:color w:val="auto"/>
          <w:sz w:val="24"/>
          <w:szCs w:val="24"/>
          <w:highlight w:val="none"/>
        </w:rPr>
      </w:pPr>
      <w:bookmarkStart w:id="659" w:name="_Toc24581"/>
      <w:bookmarkStart w:id="660" w:name="_Toc19074"/>
      <w:bookmarkStart w:id="661" w:name="_Toc10437"/>
      <w:bookmarkStart w:id="662" w:name="_Toc623"/>
      <w:bookmarkStart w:id="663" w:name="_Toc17787"/>
      <w:bookmarkStart w:id="664" w:name="_Toc25507"/>
      <w:r>
        <w:rPr>
          <w:rFonts w:hint="eastAsia" w:ascii="宋体" w:hAnsi="宋体" w:cs="宋体"/>
          <w:color w:val="auto"/>
          <w:sz w:val="24"/>
          <w:szCs w:val="24"/>
          <w:highlight w:val="none"/>
        </w:rPr>
        <w:t>10、合同价格形式（含税）</w:t>
      </w:r>
      <w:bookmarkEnd w:id="659"/>
      <w:bookmarkEnd w:id="660"/>
      <w:bookmarkEnd w:id="661"/>
      <w:bookmarkEnd w:id="662"/>
      <w:bookmarkEnd w:id="663"/>
      <w:bookmarkEnd w:id="664"/>
    </w:p>
    <w:p w14:paraId="1F8855A8">
      <w:pPr>
        <w:pStyle w:val="5"/>
        <w:widowControl w:val="0"/>
        <w:wordWrap w:val="0"/>
        <w:spacing w:before="0" w:after="0" w:line="360" w:lineRule="auto"/>
        <w:ind w:firstLine="240"/>
        <w:rPr>
          <w:rFonts w:ascii="宋体" w:hAnsi="宋体" w:cs="宋体"/>
          <w:color w:val="auto"/>
          <w:sz w:val="24"/>
          <w:szCs w:val="24"/>
          <w:highlight w:val="none"/>
        </w:rPr>
      </w:pPr>
      <w:bookmarkStart w:id="665" w:name="_Toc5047"/>
      <w:bookmarkStart w:id="666" w:name="_Toc32264"/>
      <w:bookmarkStart w:id="667" w:name="_Toc22999"/>
      <w:bookmarkStart w:id="668" w:name="_Toc10135"/>
      <w:bookmarkStart w:id="669" w:name="_Toc12609"/>
      <w:bookmarkStart w:id="670" w:name="_Toc5699"/>
      <w:r>
        <w:rPr>
          <w:rFonts w:hint="eastAsia" w:ascii="宋体" w:hAnsi="宋体" w:cs="宋体"/>
          <w:color w:val="auto"/>
          <w:sz w:val="24"/>
          <w:szCs w:val="24"/>
          <w:highlight w:val="none"/>
        </w:rPr>
        <w:t>10.1、单价合同</w:t>
      </w:r>
      <w:bookmarkEnd w:id="665"/>
      <w:bookmarkEnd w:id="666"/>
      <w:bookmarkEnd w:id="667"/>
      <w:bookmarkEnd w:id="668"/>
      <w:bookmarkEnd w:id="669"/>
      <w:bookmarkEnd w:id="670"/>
    </w:p>
    <w:p w14:paraId="7C3B13C3">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（1）工作量清单劳务费综合单价合同</w:t>
      </w:r>
    </w:p>
    <w:p w14:paraId="4B988575">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劳务费综合单价包含的风险范围：</w:t>
      </w:r>
      <w:r>
        <w:rPr>
          <w:rFonts w:hint="eastAsia" w:ascii="宋体" w:hAnsi="宋体" w:cs="宋体"/>
          <w:color w:val="auto"/>
          <w:kern w:val="0"/>
          <w:sz w:val="24"/>
          <w:highlight w:val="none"/>
          <w:u w:val="single"/>
          <w:lang w:bidi="ar"/>
        </w:rPr>
        <w:t xml:space="preserve"> 材料价格上涨、人工单价上涨、天气影响、工程停工、工期延长、作业面增减等一切风险</w:t>
      </w:r>
    </w:p>
    <w:p w14:paraId="66525133">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风险费用的计算方法：</w:t>
      </w:r>
      <w:r>
        <w:rPr>
          <w:rFonts w:hint="eastAsia" w:ascii="宋体" w:hAnsi="宋体" w:cs="宋体"/>
          <w:color w:val="auto"/>
          <w:kern w:val="0"/>
          <w:sz w:val="24"/>
          <w:highlight w:val="none"/>
          <w:u w:val="single"/>
          <w:lang w:bidi="ar"/>
        </w:rPr>
        <w:t>已综合考虑</w:t>
      </w:r>
    </w:p>
    <w:p w14:paraId="6E64D2A3">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风险范围以外合同价格的调整方法：</w:t>
      </w:r>
      <w:r>
        <w:rPr>
          <w:rFonts w:hint="eastAsia" w:ascii="宋体" w:hAnsi="宋体" w:cs="宋体"/>
          <w:color w:val="auto"/>
          <w:kern w:val="0"/>
          <w:sz w:val="24"/>
          <w:highlight w:val="none"/>
          <w:u w:val="single"/>
          <w:lang w:bidi="ar"/>
        </w:rPr>
        <w:t>当合同清单任一单项实际完成工程量较合同工程量增加超过15%，且超出15%部分的工程价款达到</w:t>
      </w:r>
      <w:r>
        <w:rPr>
          <w:rFonts w:hint="eastAsia" w:ascii="宋体" w:hAnsi="宋体" w:cs="宋体"/>
          <w:color w:val="auto"/>
          <w:kern w:val="0"/>
          <w:sz w:val="24"/>
          <w:highlight w:val="none"/>
          <w:u w:val="single"/>
          <w:lang w:val="en-US" w:eastAsia="zh-CN" w:bidi="ar"/>
        </w:rPr>
        <w:t>20</w:t>
      </w:r>
      <w:r>
        <w:rPr>
          <w:rFonts w:hint="eastAsia" w:ascii="宋体" w:hAnsi="宋体" w:cs="宋体"/>
          <w:color w:val="auto"/>
          <w:kern w:val="0"/>
          <w:sz w:val="24"/>
          <w:highlight w:val="none"/>
          <w:u w:val="single"/>
          <w:lang w:bidi="ar"/>
        </w:rPr>
        <w:t>万元（含）及以上时，超出15%部分的工程量，其单价应提交</w:t>
      </w:r>
      <w:r>
        <w:rPr>
          <w:rFonts w:hint="eastAsia" w:ascii="宋体" w:hAnsi="宋体" w:cs="宋体"/>
          <w:color w:val="auto"/>
          <w:kern w:val="0"/>
          <w:sz w:val="24"/>
          <w:highlight w:val="none"/>
          <w:u w:val="single"/>
          <w:lang w:val="en-US" w:eastAsia="zh-CN" w:bidi="ar"/>
        </w:rPr>
        <w:t>总承包单位</w:t>
      </w:r>
      <w:r>
        <w:rPr>
          <w:rFonts w:hint="eastAsia" w:ascii="宋体" w:hAnsi="宋体" w:cs="宋体"/>
          <w:color w:val="auto"/>
          <w:kern w:val="0"/>
          <w:sz w:val="24"/>
          <w:highlight w:val="none"/>
          <w:u w:val="single"/>
          <w:lang w:bidi="ar"/>
        </w:rPr>
        <w:t>重新审核确定，并以审核后的单价作为该部分工程的结算依据。</w:t>
      </w:r>
    </w:p>
    <w:p w14:paraId="37566C8E">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（2）工种工日单价合同</w:t>
      </w:r>
    </w:p>
    <w:p w14:paraId="39D5D0DC">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工种工日单价包含的风险范围：</w:t>
      </w:r>
      <w:r>
        <w:rPr>
          <w:rFonts w:hint="eastAsia" w:ascii="宋体" w:hAnsi="宋体" w:cs="宋体"/>
          <w:color w:val="auto"/>
          <w:kern w:val="0"/>
          <w:sz w:val="24"/>
          <w:highlight w:val="none"/>
          <w:u w:val="single"/>
          <w:lang w:bidi="ar"/>
        </w:rPr>
        <w:t xml:space="preserve"> 不采用</w:t>
      </w:r>
    </w:p>
    <w:p w14:paraId="094790BE">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风险费用的计算方法：</w:t>
      </w:r>
      <w:r>
        <w:rPr>
          <w:rFonts w:hint="eastAsia" w:ascii="宋体" w:hAnsi="宋体" w:cs="宋体"/>
          <w:color w:val="auto"/>
          <w:kern w:val="0"/>
          <w:sz w:val="24"/>
          <w:highlight w:val="none"/>
          <w:u w:val="single"/>
          <w:lang w:bidi="ar"/>
        </w:rPr>
        <w:t xml:space="preserve"> 不采用</w:t>
      </w:r>
    </w:p>
    <w:p w14:paraId="5714E5AD">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风险范围以外合同价格的调整方法：</w:t>
      </w:r>
      <w:r>
        <w:rPr>
          <w:rFonts w:hint="eastAsia" w:ascii="宋体" w:hAnsi="宋体" w:cs="宋体"/>
          <w:color w:val="auto"/>
          <w:kern w:val="0"/>
          <w:sz w:val="24"/>
          <w:highlight w:val="none"/>
          <w:u w:val="single"/>
          <w:lang w:bidi="ar"/>
        </w:rPr>
        <w:t xml:space="preserve"> 不采用</w:t>
      </w:r>
    </w:p>
    <w:p w14:paraId="361452F3">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（3）综合工日单价合同</w:t>
      </w:r>
    </w:p>
    <w:p w14:paraId="65CA406C">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综合工日单价包含的风险范围：</w:t>
      </w:r>
      <w:r>
        <w:rPr>
          <w:rFonts w:hint="eastAsia" w:ascii="宋体" w:hAnsi="宋体" w:cs="宋体"/>
          <w:color w:val="auto"/>
          <w:kern w:val="0"/>
          <w:sz w:val="24"/>
          <w:highlight w:val="none"/>
          <w:u w:val="single"/>
          <w:lang w:bidi="ar"/>
        </w:rPr>
        <w:t xml:space="preserve"> 不采用</w:t>
      </w:r>
    </w:p>
    <w:p w14:paraId="520F94EB">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风险费用的计算方法：</w:t>
      </w:r>
      <w:r>
        <w:rPr>
          <w:rFonts w:hint="eastAsia" w:ascii="宋体" w:hAnsi="宋体" w:cs="宋体"/>
          <w:color w:val="auto"/>
          <w:kern w:val="0"/>
          <w:sz w:val="24"/>
          <w:highlight w:val="none"/>
          <w:u w:val="single"/>
          <w:lang w:bidi="ar"/>
        </w:rPr>
        <w:t xml:space="preserve"> 不采用</w:t>
      </w:r>
    </w:p>
    <w:p w14:paraId="1A512A70">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风险范围以外合同价格的调整方法：</w:t>
      </w:r>
      <w:r>
        <w:rPr>
          <w:rFonts w:hint="eastAsia" w:ascii="宋体" w:hAnsi="宋体" w:cs="宋体"/>
          <w:color w:val="auto"/>
          <w:kern w:val="0"/>
          <w:sz w:val="24"/>
          <w:highlight w:val="none"/>
          <w:u w:val="single"/>
          <w:lang w:bidi="ar"/>
        </w:rPr>
        <w:t xml:space="preserve"> 不采用</w:t>
      </w:r>
    </w:p>
    <w:p w14:paraId="44DB6C1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（4）建筑面积综合单价合同</w:t>
      </w:r>
    </w:p>
    <w:p w14:paraId="5BEEF20D">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建筑面积综合单价包含的风险范围：</w:t>
      </w:r>
      <w:r>
        <w:rPr>
          <w:rFonts w:hint="eastAsia" w:ascii="宋体" w:hAnsi="宋体" w:cs="宋体"/>
          <w:color w:val="auto"/>
          <w:kern w:val="0"/>
          <w:sz w:val="24"/>
          <w:highlight w:val="none"/>
          <w:u w:val="single"/>
          <w:lang w:bidi="ar"/>
        </w:rPr>
        <w:t xml:space="preserve"> 不采用</w:t>
      </w:r>
    </w:p>
    <w:p w14:paraId="4DBC9883">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风险费用的计算方法：</w:t>
      </w:r>
      <w:r>
        <w:rPr>
          <w:rFonts w:hint="eastAsia" w:ascii="宋体" w:hAnsi="宋体" w:cs="宋体"/>
          <w:color w:val="auto"/>
          <w:kern w:val="0"/>
          <w:sz w:val="24"/>
          <w:highlight w:val="none"/>
          <w:u w:val="single"/>
          <w:lang w:bidi="ar"/>
        </w:rPr>
        <w:t xml:space="preserve"> 不采用</w:t>
      </w:r>
    </w:p>
    <w:p w14:paraId="514C65AC">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风险范围以外合同价格的调整方法：</w:t>
      </w:r>
      <w:r>
        <w:rPr>
          <w:rFonts w:hint="eastAsia" w:ascii="宋体" w:hAnsi="宋体" w:cs="宋体"/>
          <w:color w:val="auto"/>
          <w:kern w:val="0"/>
          <w:sz w:val="24"/>
          <w:highlight w:val="none"/>
          <w:u w:val="single"/>
          <w:lang w:bidi="ar"/>
        </w:rPr>
        <w:t xml:space="preserve"> 不采用</w:t>
      </w:r>
    </w:p>
    <w:p w14:paraId="73CCD6EC">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（5）其他单价形式：</w:t>
      </w:r>
      <w:r>
        <w:rPr>
          <w:rFonts w:hint="eastAsia" w:ascii="宋体" w:hAnsi="宋体" w:cs="宋体"/>
          <w:color w:val="auto"/>
          <w:kern w:val="0"/>
          <w:sz w:val="24"/>
          <w:highlight w:val="none"/>
          <w:u w:val="single"/>
          <w:lang w:bidi="ar"/>
        </w:rPr>
        <w:t xml:space="preserve"> 不采用</w:t>
      </w:r>
    </w:p>
    <w:p w14:paraId="1073E9BC">
      <w:pPr>
        <w:pStyle w:val="5"/>
        <w:widowControl w:val="0"/>
        <w:wordWrap w:val="0"/>
        <w:spacing w:before="0" w:after="0" w:line="360" w:lineRule="auto"/>
        <w:ind w:firstLine="240"/>
        <w:rPr>
          <w:rFonts w:ascii="宋体" w:hAnsi="宋体" w:cs="宋体"/>
          <w:color w:val="auto"/>
          <w:sz w:val="24"/>
          <w:szCs w:val="24"/>
          <w:highlight w:val="none"/>
        </w:rPr>
      </w:pPr>
      <w:bookmarkStart w:id="671" w:name="_Toc695"/>
      <w:bookmarkStart w:id="672" w:name="_Toc19283"/>
      <w:bookmarkStart w:id="673" w:name="_Toc30454"/>
      <w:bookmarkStart w:id="674" w:name="_Toc25605"/>
      <w:bookmarkStart w:id="675" w:name="_Toc737"/>
      <w:bookmarkStart w:id="676" w:name="_Toc22843"/>
      <w:r>
        <w:rPr>
          <w:rFonts w:hint="eastAsia" w:ascii="宋体" w:hAnsi="宋体" w:cs="宋体"/>
          <w:color w:val="auto"/>
          <w:sz w:val="24"/>
          <w:szCs w:val="24"/>
          <w:highlight w:val="none"/>
        </w:rPr>
        <w:t>10.2、总价合同</w:t>
      </w:r>
      <w:bookmarkEnd w:id="671"/>
      <w:bookmarkEnd w:id="672"/>
      <w:bookmarkEnd w:id="673"/>
      <w:bookmarkEnd w:id="674"/>
      <w:bookmarkEnd w:id="675"/>
      <w:bookmarkEnd w:id="676"/>
    </w:p>
    <w:p w14:paraId="1952A5A7">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总价包含的风险范围：</w:t>
      </w:r>
      <w:r>
        <w:rPr>
          <w:rFonts w:hint="eastAsia" w:ascii="宋体" w:hAnsi="宋体" w:cs="宋体"/>
          <w:color w:val="auto"/>
          <w:kern w:val="0"/>
          <w:sz w:val="24"/>
          <w:highlight w:val="none"/>
          <w:u w:val="single"/>
          <w:lang w:bidi="ar"/>
        </w:rPr>
        <w:t xml:space="preserve"> 不采用</w:t>
      </w:r>
    </w:p>
    <w:p w14:paraId="30615C94">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风险费用的计算方法：</w:t>
      </w:r>
      <w:r>
        <w:rPr>
          <w:rFonts w:hint="eastAsia" w:ascii="宋体" w:hAnsi="宋体" w:cs="宋体"/>
          <w:color w:val="auto"/>
          <w:kern w:val="0"/>
          <w:sz w:val="24"/>
          <w:highlight w:val="none"/>
          <w:u w:val="single"/>
          <w:lang w:bidi="ar"/>
        </w:rPr>
        <w:t xml:space="preserve"> 不采用</w:t>
      </w:r>
    </w:p>
    <w:p w14:paraId="565941EF">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风险范围以外合同价格的调整方法：</w:t>
      </w:r>
      <w:r>
        <w:rPr>
          <w:rFonts w:hint="eastAsia" w:ascii="宋体" w:hAnsi="宋体" w:cs="宋体"/>
          <w:color w:val="auto"/>
          <w:kern w:val="0"/>
          <w:sz w:val="24"/>
          <w:highlight w:val="none"/>
          <w:u w:val="single"/>
          <w:lang w:bidi="ar"/>
        </w:rPr>
        <w:t xml:space="preserve"> 不采用</w:t>
      </w:r>
    </w:p>
    <w:p w14:paraId="4E6F7646">
      <w:pPr>
        <w:pStyle w:val="4"/>
        <w:widowControl w:val="0"/>
        <w:wordWrap w:val="0"/>
        <w:spacing w:before="0" w:after="0" w:line="360" w:lineRule="auto"/>
        <w:ind w:firstLine="241" w:firstLineChars="100"/>
        <w:rPr>
          <w:rFonts w:ascii="宋体" w:hAnsi="宋体" w:cs="宋体"/>
          <w:color w:val="auto"/>
          <w:sz w:val="24"/>
          <w:szCs w:val="24"/>
          <w:highlight w:val="none"/>
        </w:rPr>
      </w:pPr>
      <w:bookmarkStart w:id="677" w:name="_Toc24568"/>
      <w:bookmarkStart w:id="678" w:name="_Toc21337"/>
      <w:bookmarkStart w:id="679" w:name="_Toc1325"/>
      <w:bookmarkStart w:id="680" w:name="_Toc20419"/>
      <w:bookmarkStart w:id="681" w:name="_Toc27976"/>
      <w:bookmarkStart w:id="682" w:name="_Toc20607"/>
      <w:r>
        <w:rPr>
          <w:rFonts w:hint="eastAsia" w:ascii="宋体" w:hAnsi="宋体" w:cs="宋体"/>
          <w:color w:val="auto"/>
          <w:sz w:val="24"/>
          <w:szCs w:val="24"/>
          <w:highlight w:val="none"/>
        </w:rPr>
        <w:t>11、劳务作业计量与支付</w:t>
      </w:r>
      <w:bookmarkEnd w:id="677"/>
      <w:bookmarkEnd w:id="678"/>
      <w:bookmarkEnd w:id="679"/>
      <w:bookmarkEnd w:id="680"/>
      <w:bookmarkEnd w:id="681"/>
      <w:bookmarkEnd w:id="682"/>
    </w:p>
    <w:p w14:paraId="1B9F2DDB">
      <w:pPr>
        <w:pStyle w:val="5"/>
        <w:widowControl w:val="0"/>
        <w:wordWrap w:val="0"/>
        <w:spacing w:before="0" w:after="0" w:line="360" w:lineRule="auto"/>
        <w:ind w:firstLine="240"/>
        <w:rPr>
          <w:rFonts w:ascii="宋体" w:hAnsi="宋体" w:cs="宋体"/>
          <w:color w:val="auto"/>
          <w:sz w:val="24"/>
          <w:szCs w:val="24"/>
          <w:highlight w:val="none"/>
        </w:rPr>
      </w:pPr>
      <w:bookmarkStart w:id="683" w:name="_Toc2662"/>
      <w:bookmarkStart w:id="684" w:name="_Toc12223"/>
      <w:bookmarkStart w:id="685" w:name="_Toc23065"/>
      <w:bookmarkStart w:id="686" w:name="_Toc16761"/>
      <w:bookmarkStart w:id="687" w:name="_Toc20801"/>
      <w:bookmarkStart w:id="688" w:name="_Toc11605"/>
      <w:r>
        <w:rPr>
          <w:rFonts w:hint="eastAsia" w:ascii="宋体" w:hAnsi="宋体" w:cs="宋体"/>
          <w:color w:val="auto"/>
          <w:sz w:val="24"/>
          <w:szCs w:val="24"/>
          <w:highlight w:val="none"/>
        </w:rPr>
        <w:t>11.1、劳务作业的计量</w:t>
      </w:r>
      <w:bookmarkEnd w:id="683"/>
      <w:bookmarkEnd w:id="684"/>
      <w:bookmarkEnd w:id="685"/>
      <w:bookmarkEnd w:id="686"/>
      <w:bookmarkEnd w:id="687"/>
      <w:bookmarkEnd w:id="688"/>
    </w:p>
    <w:p w14:paraId="1E8BB446">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计量原则和计量周期</w:t>
      </w:r>
    </w:p>
    <w:p w14:paraId="46FB213D">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劳务作业工作量计算规则：</w:t>
      </w:r>
      <w:r>
        <w:rPr>
          <w:rFonts w:hint="eastAsia" w:ascii="宋体" w:hAnsi="宋体" w:cs="宋体"/>
          <w:color w:val="auto"/>
          <w:kern w:val="0"/>
          <w:sz w:val="24"/>
          <w:highlight w:val="none"/>
          <w:u w:val="single"/>
          <w:lang w:bidi="ar"/>
        </w:rPr>
        <w:t xml:space="preserve"> 以相关的国家标准、行业标准,完成的合格工程给予计量</w:t>
      </w:r>
    </w:p>
    <w:p w14:paraId="69D33A57">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 xml:space="preserve">关于计量周期的约定： </w:t>
      </w:r>
      <w:r>
        <w:rPr>
          <w:rFonts w:hint="eastAsia" w:ascii="宋体" w:hAnsi="宋体" w:cs="宋体"/>
          <w:color w:val="auto"/>
          <w:kern w:val="0"/>
          <w:sz w:val="24"/>
          <w:highlight w:val="none"/>
          <w:u w:val="single"/>
          <w:lang w:bidi="ar"/>
        </w:rPr>
        <w:t xml:space="preserve"> 劳务作业工作量的计量按月进行</w:t>
      </w:r>
    </w:p>
    <w:p w14:paraId="3448A22F">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计量程序</w:t>
      </w:r>
    </w:p>
    <w:p w14:paraId="029D50BC">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 xml:space="preserve">关于劳务作业工作量计量的约定; </w:t>
      </w:r>
      <w:r>
        <w:rPr>
          <w:rFonts w:hint="eastAsia" w:ascii="宋体" w:hAnsi="宋体" w:cs="宋体"/>
          <w:color w:val="auto"/>
          <w:kern w:val="0"/>
          <w:sz w:val="24"/>
          <w:highlight w:val="none"/>
          <w:u w:val="single"/>
          <w:lang w:bidi="ar"/>
        </w:rPr>
        <w:t xml:space="preserve"> 劳务作业分包单位每月25日-28日向总承包单位报送当月“已完成的工作量清单”、“建设单位审核的月进度报表”，并附具进度款付款申请单、已完的工作量报表和有关资料。</w:t>
      </w:r>
    </w:p>
    <w:p w14:paraId="58F1039D">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劳务作业分包单位报送工作量报告的期限：</w:t>
      </w:r>
      <w:r>
        <w:rPr>
          <w:rFonts w:hint="eastAsia" w:ascii="宋体" w:hAnsi="宋体" w:cs="宋体"/>
          <w:color w:val="auto"/>
          <w:kern w:val="0"/>
          <w:sz w:val="24"/>
          <w:highlight w:val="none"/>
          <w:u w:val="single"/>
          <w:lang w:bidi="ar"/>
        </w:rPr>
        <w:t xml:space="preserve">  每月25日-28日  </w:t>
      </w:r>
    </w:p>
    <w:p w14:paraId="39E7BB9D">
      <w:pPr>
        <w:pStyle w:val="5"/>
        <w:widowControl w:val="0"/>
        <w:wordWrap w:val="0"/>
        <w:spacing w:before="0" w:after="0" w:line="360" w:lineRule="auto"/>
        <w:ind w:firstLine="240"/>
        <w:rPr>
          <w:rFonts w:ascii="宋体" w:hAnsi="宋体" w:cs="宋体"/>
          <w:color w:val="auto"/>
          <w:sz w:val="24"/>
          <w:szCs w:val="24"/>
          <w:highlight w:val="none"/>
        </w:rPr>
      </w:pPr>
      <w:bookmarkStart w:id="689" w:name="_Toc1366"/>
      <w:bookmarkStart w:id="690" w:name="_Toc6952"/>
      <w:bookmarkStart w:id="691" w:name="_Toc1020"/>
      <w:bookmarkStart w:id="692" w:name="_Toc19827"/>
      <w:bookmarkStart w:id="693" w:name="_Toc15774"/>
      <w:bookmarkStart w:id="694" w:name="_Toc21032"/>
      <w:r>
        <w:rPr>
          <w:rFonts w:hint="eastAsia" w:ascii="宋体" w:hAnsi="宋体" w:cs="宋体"/>
          <w:color w:val="auto"/>
          <w:sz w:val="24"/>
          <w:szCs w:val="24"/>
          <w:highlight w:val="none"/>
        </w:rPr>
        <w:t>11.2、预付款</w:t>
      </w:r>
      <w:bookmarkEnd w:id="689"/>
      <w:bookmarkEnd w:id="690"/>
      <w:bookmarkEnd w:id="691"/>
      <w:bookmarkEnd w:id="692"/>
      <w:bookmarkEnd w:id="693"/>
      <w:bookmarkEnd w:id="694"/>
    </w:p>
    <w:p w14:paraId="0E5A7190">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预付款的支付</w:t>
      </w:r>
    </w:p>
    <w:p w14:paraId="233D0051">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总承包单位支付预付款的数额或比例及期限： </w:t>
      </w:r>
      <w:r>
        <w:rPr>
          <w:rFonts w:hint="eastAsia" w:ascii="宋体" w:hAnsi="宋体" w:cs="宋体"/>
          <w:color w:val="auto"/>
          <w:kern w:val="0"/>
          <w:sz w:val="24"/>
          <w:highlight w:val="none"/>
          <w:u w:val="single"/>
          <w:lang w:bidi="ar"/>
        </w:rPr>
        <w:t xml:space="preserve"> 本劳务作业分包工程无预付款 </w:t>
      </w:r>
    </w:p>
    <w:p w14:paraId="6CE36A36">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预付款的抵扣</w:t>
      </w:r>
    </w:p>
    <w:p w14:paraId="0FAEE9C9">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关于预付款抵扣的约定：</w:t>
      </w:r>
      <w:r>
        <w:rPr>
          <w:rFonts w:hint="eastAsia" w:ascii="宋体" w:hAnsi="宋体" w:cs="宋体"/>
          <w:color w:val="auto"/>
          <w:kern w:val="0"/>
          <w:sz w:val="24"/>
          <w:highlight w:val="none"/>
          <w:u w:val="single"/>
          <w:lang w:bidi="ar"/>
        </w:rPr>
        <w:t xml:space="preserve"> 无</w:t>
      </w:r>
    </w:p>
    <w:p w14:paraId="34E31600">
      <w:pPr>
        <w:pStyle w:val="5"/>
        <w:widowControl w:val="0"/>
        <w:wordWrap w:val="0"/>
        <w:spacing w:before="0" w:after="0" w:line="360" w:lineRule="auto"/>
        <w:ind w:firstLine="240"/>
        <w:rPr>
          <w:rFonts w:ascii="宋体" w:hAnsi="宋体" w:cs="宋体"/>
          <w:color w:val="auto"/>
          <w:sz w:val="24"/>
          <w:szCs w:val="24"/>
          <w:highlight w:val="none"/>
        </w:rPr>
      </w:pPr>
      <w:bookmarkStart w:id="695" w:name="_Toc6514"/>
      <w:bookmarkStart w:id="696" w:name="_Toc1258"/>
      <w:bookmarkStart w:id="697" w:name="_Toc19473"/>
      <w:bookmarkStart w:id="698" w:name="_Toc20208"/>
      <w:bookmarkStart w:id="699" w:name="_Toc28808"/>
      <w:bookmarkStart w:id="700" w:name="_Toc26010"/>
      <w:r>
        <w:rPr>
          <w:rFonts w:hint="eastAsia" w:ascii="宋体" w:hAnsi="宋体" w:cs="宋体"/>
          <w:color w:val="auto"/>
          <w:sz w:val="24"/>
          <w:szCs w:val="24"/>
          <w:highlight w:val="none"/>
        </w:rPr>
        <w:t>11.3、进度款支付</w:t>
      </w:r>
      <w:bookmarkEnd w:id="695"/>
      <w:bookmarkEnd w:id="696"/>
      <w:bookmarkEnd w:id="697"/>
      <w:bookmarkEnd w:id="698"/>
      <w:bookmarkEnd w:id="699"/>
      <w:bookmarkEnd w:id="700"/>
    </w:p>
    <w:p w14:paraId="129F5177">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总承包单位每次确认收到业主进度款、结算款、质保金等工程款项后再按以下方式支付劳务作业分包单位的对应款项：</w:t>
      </w:r>
    </w:p>
    <w:p w14:paraId="23A0C094">
      <w:pPr>
        <w:keepNext/>
        <w:keepLines/>
        <w:wordWrap w:val="0"/>
        <w:spacing w:line="360" w:lineRule="auto"/>
        <w:ind w:firstLine="480" w:firstLineChars="200"/>
        <w:jc w:val="left"/>
        <w:textAlignment w:val="top"/>
        <w:rPr>
          <w:rFonts w:hint="default" w:ascii="宋体" w:hAnsi="宋体" w:eastAsia="宋体" w:cs="宋体"/>
          <w:color w:val="auto"/>
          <w:kern w:val="0"/>
          <w:sz w:val="24"/>
          <w:szCs w:val="24"/>
          <w:highlight w:val="none"/>
          <w:lang w:bidi="ar"/>
        </w:rPr>
      </w:pPr>
      <w:bookmarkStart w:id="701" w:name="_Toc26880"/>
      <w:bookmarkStart w:id="702" w:name="_Toc3212"/>
      <w:bookmarkStart w:id="703" w:name="_Toc16205"/>
      <w:bookmarkStart w:id="704" w:name="_Toc17857"/>
      <w:bookmarkStart w:id="705" w:name="_Toc15208"/>
      <w:r>
        <w:rPr>
          <w:rFonts w:hint="default" w:ascii="宋体" w:hAnsi="宋体" w:eastAsia="宋体" w:cs="宋体"/>
          <w:color w:val="auto"/>
          <w:kern w:val="0"/>
          <w:sz w:val="24"/>
          <w:szCs w:val="24"/>
          <w:highlight w:val="none"/>
          <w:lang w:bidi="ar"/>
        </w:rPr>
        <w:t>每次支付前需由</w:t>
      </w:r>
      <w:r>
        <w:rPr>
          <w:rFonts w:hint="default" w:ascii="宋体" w:hAnsi="宋体" w:cs="宋体"/>
          <w:color w:val="auto"/>
          <w:kern w:val="0"/>
          <w:sz w:val="24"/>
          <w:szCs w:val="24"/>
          <w:highlight w:val="none"/>
          <w:lang w:val="en-US" w:eastAsia="zh-CN" w:bidi="ar"/>
        </w:rPr>
        <w:t>劳务作业分包单位</w:t>
      </w:r>
      <w:r>
        <w:rPr>
          <w:rFonts w:hint="default" w:ascii="宋体" w:hAnsi="宋体" w:eastAsia="宋体" w:cs="宋体"/>
          <w:color w:val="auto"/>
          <w:kern w:val="0"/>
          <w:sz w:val="24"/>
          <w:szCs w:val="24"/>
          <w:highlight w:val="none"/>
          <w:lang w:bidi="ar"/>
        </w:rPr>
        <w:t>提交书面支付申请、相关证明材料以及对应增值税专用发票经</w:t>
      </w:r>
      <w:r>
        <w:rPr>
          <w:rFonts w:hint="default" w:ascii="宋体" w:hAnsi="宋体" w:cs="宋体"/>
          <w:color w:val="auto"/>
          <w:kern w:val="0"/>
          <w:sz w:val="24"/>
          <w:szCs w:val="24"/>
          <w:highlight w:val="none"/>
          <w:lang w:val="en-US" w:eastAsia="zh-CN" w:bidi="ar"/>
        </w:rPr>
        <w:t>总承包单位</w:t>
      </w:r>
      <w:r>
        <w:rPr>
          <w:rFonts w:hint="default" w:ascii="宋体" w:hAnsi="宋体" w:eastAsia="宋体" w:cs="宋体"/>
          <w:color w:val="auto"/>
          <w:kern w:val="0"/>
          <w:sz w:val="24"/>
          <w:szCs w:val="24"/>
          <w:highlight w:val="none"/>
          <w:lang w:bidi="ar"/>
        </w:rPr>
        <w:t>审核无误后，按以下节点支付，因</w:t>
      </w:r>
      <w:r>
        <w:rPr>
          <w:rFonts w:hint="default" w:ascii="宋体" w:hAnsi="宋体" w:cs="宋体"/>
          <w:color w:val="auto"/>
          <w:kern w:val="0"/>
          <w:sz w:val="24"/>
          <w:szCs w:val="24"/>
          <w:highlight w:val="none"/>
          <w:lang w:val="en-US" w:eastAsia="zh-CN" w:bidi="ar"/>
        </w:rPr>
        <w:t>劳务作业分包单位</w:t>
      </w:r>
      <w:r>
        <w:rPr>
          <w:rFonts w:hint="default" w:ascii="宋体" w:hAnsi="宋体" w:eastAsia="宋体" w:cs="宋体"/>
          <w:color w:val="auto"/>
          <w:kern w:val="0"/>
          <w:sz w:val="24"/>
          <w:szCs w:val="24"/>
          <w:highlight w:val="none"/>
          <w:lang w:bidi="ar"/>
        </w:rPr>
        <w:t>原因未按时提交相关资料，导致支付延期的，非</w:t>
      </w:r>
      <w:r>
        <w:rPr>
          <w:rFonts w:hint="eastAsia" w:ascii="宋体" w:hAnsi="宋体" w:cs="宋体"/>
          <w:color w:val="auto"/>
          <w:kern w:val="0"/>
          <w:sz w:val="24"/>
          <w:szCs w:val="24"/>
          <w:highlight w:val="none"/>
          <w:lang w:eastAsia="zh-CN" w:bidi="ar"/>
        </w:rPr>
        <w:t>总承包单位</w:t>
      </w:r>
      <w:r>
        <w:rPr>
          <w:rFonts w:hint="default" w:ascii="宋体" w:hAnsi="宋体" w:eastAsia="宋体" w:cs="宋体"/>
          <w:color w:val="auto"/>
          <w:kern w:val="0"/>
          <w:sz w:val="24"/>
          <w:szCs w:val="24"/>
          <w:highlight w:val="none"/>
          <w:lang w:bidi="ar"/>
        </w:rPr>
        <w:t>违约责任：</w:t>
      </w:r>
    </w:p>
    <w:p w14:paraId="02F149AB">
      <w:pPr>
        <w:keepNext/>
        <w:keepLines/>
        <w:wordWrap w:val="0"/>
        <w:spacing w:line="360" w:lineRule="auto"/>
        <w:ind w:firstLine="480" w:firstLineChars="200"/>
        <w:jc w:val="left"/>
        <w:textAlignment w:val="top"/>
        <w:rPr>
          <w:rFonts w:hint="default" w:ascii="宋体" w:hAnsi="宋体" w:eastAsia="宋体" w:cs="宋体"/>
          <w:color w:val="auto"/>
          <w:kern w:val="0"/>
          <w:sz w:val="24"/>
          <w:szCs w:val="24"/>
          <w:highlight w:val="none"/>
          <w:lang w:bidi="ar"/>
        </w:rPr>
      </w:pPr>
      <w:r>
        <w:rPr>
          <w:rFonts w:hint="default" w:ascii="宋体" w:hAnsi="宋体" w:eastAsia="宋体" w:cs="宋体"/>
          <w:color w:val="auto"/>
          <w:kern w:val="0"/>
          <w:sz w:val="24"/>
          <w:szCs w:val="24"/>
          <w:highlight w:val="none"/>
          <w:lang w:bidi="ar"/>
        </w:rPr>
        <w:t xml:space="preserve">一、工程费用支付： </w:t>
      </w:r>
    </w:p>
    <w:p w14:paraId="26C8887F">
      <w:pPr>
        <w:keepNext/>
        <w:keepLines/>
        <w:wordWrap w:val="0"/>
        <w:spacing w:line="360" w:lineRule="auto"/>
        <w:ind w:firstLine="480" w:firstLineChars="200"/>
        <w:jc w:val="left"/>
        <w:textAlignment w:val="top"/>
        <w:rPr>
          <w:rFonts w:hint="default" w:ascii="宋体" w:hAnsi="宋体" w:eastAsia="宋体" w:cs="宋体"/>
          <w:color w:val="auto"/>
          <w:kern w:val="0"/>
          <w:sz w:val="24"/>
          <w:szCs w:val="24"/>
          <w:highlight w:val="none"/>
          <w:lang w:bidi="ar"/>
        </w:rPr>
      </w:pPr>
      <w:r>
        <w:rPr>
          <w:rFonts w:hint="default" w:ascii="宋体" w:hAnsi="宋体" w:eastAsia="宋体" w:cs="宋体"/>
          <w:color w:val="auto"/>
          <w:kern w:val="0"/>
          <w:sz w:val="24"/>
          <w:szCs w:val="24"/>
          <w:highlight w:val="none"/>
          <w:lang w:bidi="ar"/>
        </w:rPr>
        <w:t>（1）按月支付工程进度款，</w:t>
      </w:r>
      <w:r>
        <w:rPr>
          <w:rFonts w:hint="eastAsia" w:ascii="宋体" w:hAnsi="宋体" w:cs="宋体"/>
          <w:color w:val="auto"/>
          <w:kern w:val="0"/>
          <w:sz w:val="24"/>
          <w:szCs w:val="24"/>
          <w:highlight w:val="none"/>
          <w:lang w:eastAsia="zh-CN" w:bidi="ar"/>
        </w:rPr>
        <w:t>劳务作业分包单位</w:t>
      </w:r>
      <w:r>
        <w:rPr>
          <w:rFonts w:hint="default" w:ascii="宋体" w:hAnsi="宋体" w:eastAsia="宋体" w:cs="宋体"/>
          <w:color w:val="auto"/>
          <w:kern w:val="0"/>
          <w:sz w:val="24"/>
          <w:szCs w:val="24"/>
          <w:highlight w:val="none"/>
          <w:lang w:bidi="ar"/>
        </w:rPr>
        <w:t>按规定时间报送进度报表给</w:t>
      </w:r>
      <w:r>
        <w:rPr>
          <w:rFonts w:hint="eastAsia" w:ascii="宋体" w:hAnsi="宋体" w:cs="宋体"/>
          <w:color w:val="auto"/>
          <w:kern w:val="0"/>
          <w:sz w:val="24"/>
          <w:szCs w:val="24"/>
          <w:highlight w:val="none"/>
          <w:lang w:eastAsia="zh-CN" w:bidi="ar"/>
        </w:rPr>
        <w:t>总承包单位</w:t>
      </w:r>
      <w:r>
        <w:rPr>
          <w:rFonts w:hint="default" w:ascii="宋体" w:hAnsi="宋体" w:eastAsia="宋体" w:cs="宋体"/>
          <w:color w:val="auto"/>
          <w:kern w:val="0"/>
          <w:sz w:val="24"/>
          <w:szCs w:val="24"/>
          <w:highlight w:val="none"/>
          <w:lang w:bidi="ar"/>
        </w:rPr>
        <w:t>审批，审批通过后60日内，</w:t>
      </w:r>
      <w:r>
        <w:rPr>
          <w:rFonts w:hint="eastAsia" w:ascii="宋体" w:hAnsi="宋体" w:cs="宋体"/>
          <w:color w:val="auto"/>
          <w:kern w:val="0"/>
          <w:sz w:val="24"/>
          <w:szCs w:val="24"/>
          <w:highlight w:val="none"/>
          <w:lang w:eastAsia="zh-CN" w:bidi="ar"/>
        </w:rPr>
        <w:t>总承包单位</w:t>
      </w:r>
      <w:r>
        <w:rPr>
          <w:rFonts w:hint="default" w:ascii="宋体" w:hAnsi="宋体" w:eastAsia="宋体" w:cs="宋体"/>
          <w:color w:val="auto"/>
          <w:kern w:val="0"/>
          <w:sz w:val="24"/>
          <w:szCs w:val="24"/>
          <w:highlight w:val="none"/>
          <w:lang w:bidi="ar"/>
        </w:rPr>
        <w:t xml:space="preserve">支付已计量审定金额（扣除违约金）的80%；  </w:t>
      </w:r>
    </w:p>
    <w:p w14:paraId="46E6BFB5">
      <w:pPr>
        <w:keepNext/>
        <w:keepLines/>
        <w:wordWrap w:val="0"/>
        <w:spacing w:line="360" w:lineRule="auto"/>
        <w:ind w:firstLine="480" w:firstLineChars="200"/>
        <w:jc w:val="left"/>
        <w:textAlignment w:val="top"/>
        <w:rPr>
          <w:rFonts w:hint="default" w:ascii="宋体" w:hAnsi="宋体" w:eastAsia="宋体" w:cs="宋体"/>
          <w:color w:val="auto"/>
          <w:kern w:val="0"/>
          <w:sz w:val="24"/>
          <w:szCs w:val="24"/>
          <w:highlight w:val="none"/>
          <w:lang w:bidi="ar"/>
        </w:rPr>
      </w:pPr>
      <w:r>
        <w:rPr>
          <w:rFonts w:hint="default" w:ascii="宋体" w:hAnsi="宋体" w:eastAsia="宋体" w:cs="宋体"/>
          <w:color w:val="auto"/>
          <w:kern w:val="0"/>
          <w:sz w:val="24"/>
          <w:szCs w:val="24"/>
          <w:highlight w:val="none"/>
          <w:lang w:bidi="ar"/>
        </w:rPr>
        <w:t>（2）项目（通信、监控保通）完工验收合格且</w:t>
      </w:r>
      <w:r>
        <w:rPr>
          <w:rFonts w:hint="eastAsia" w:ascii="宋体" w:hAnsi="宋体" w:cs="宋体"/>
          <w:color w:val="auto"/>
          <w:kern w:val="0"/>
          <w:sz w:val="24"/>
          <w:szCs w:val="24"/>
          <w:highlight w:val="none"/>
          <w:lang w:eastAsia="zh-CN" w:bidi="ar"/>
        </w:rPr>
        <w:t>劳务作业分包单位</w:t>
      </w:r>
      <w:r>
        <w:rPr>
          <w:rFonts w:hint="default" w:ascii="宋体" w:hAnsi="宋体" w:eastAsia="宋体" w:cs="宋体"/>
          <w:color w:val="auto"/>
          <w:kern w:val="0"/>
          <w:sz w:val="24"/>
          <w:szCs w:val="24"/>
          <w:highlight w:val="none"/>
          <w:lang w:bidi="ar"/>
        </w:rPr>
        <w:t>按要求结清所有农民工工资后，</w:t>
      </w:r>
      <w:r>
        <w:rPr>
          <w:rFonts w:hint="eastAsia" w:ascii="宋体" w:hAnsi="宋体" w:cs="宋体"/>
          <w:color w:val="auto"/>
          <w:kern w:val="0"/>
          <w:sz w:val="24"/>
          <w:szCs w:val="24"/>
          <w:highlight w:val="none"/>
          <w:lang w:eastAsia="zh-CN" w:bidi="ar"/>
        </w:rPr>
        <w:t>总承包单位</w:t>
      </w:r>
      <w:r>
        <w:rPr>
          <w:rFonts w:hint="default" w:ascii="宋体" w:hAnsi="宋体" w:eastAsia="宋体" w:cs="宋体"/>
          <w:color w:val="auto"/>
          <w:kern w:val="0"/>
          <w:sz w:val="24"/>
          <w:szCs w:val="24"/>
          <w:highlight w:val="none"/>
          <w:lang w:bidi="ar"/>
        </w:rPr>
        <w:t xml:space="preserve">60日内支付至结算金额的97%。 </w:t>
      </w:r>
    </w:p>
    <w:p w14:paraId="613B1809">
      <w:pPr>
        <w:keepNext/>
        <w:keepLines/>
        <w:wordWrap w:val="0"/>
        <w:spacing w:line="360" w:lineRule="auto"/>
        <w:ind w:firstLine="480" w:firstLineChars="200"/>
        <w:jc w:val="left"/>
        <w:textAlignment w:val="top"/>
        <w:rPr>
          <w:rFonts w:hint="default" w:ascii="宋体" w:hAnsi="宋体" w:eastAsia="宋体" w:cs="宋体"/>
          <w:b w:val="0"/>
          <w:bCs w:val="0"/>
          <w:color w:val="auto"/>
          <w:kern w:val="0"/>
          <w:sz w:val="24"/>
          <w:szCs w:val="24"/>
          <w:highlight w:val="none"/>
          <w:lang w:bidi="ar"/>
        </w:rPr>
      </w:pPr>
      <w:r>
        <w:rPr>
          <w:rFonts w:hint="default" w:ascii="宋体" w:hAnsi="宋体" w:eastAsia="宋体" w:cs="宋体"/>
          <w:color w:val="auto"/>
          <w:kern w:val="0"/>
          <w:sz w:val="24"/>
          <w:szCs w:val="24"/>
          <w:highlight w:val="none"/>
          <w:lang w:bidi="ar"/>
        </w:rPr>
        <w:t>（4）甲乙双方已确认的结算金额的3%作为质量保证金，缺陷责任期（自完工验收合格之日起算）届满后且双方无异议的情况下，由</w:t>
      </w:r>
      <w:r>
        <w:rPr>
          <w:rFonts w:hint="eastAsia" w:ascii="宋体" w:hAnsi="宋体" w:cs="宋体"/>
          <w:color w:val="auto"/>
          <w:kern w:val="0"/>
          <w:sz w:val="24"/>
          <w:szCs w:val="24"/>
          <w:highlight w:val="none"/>
          <w:lang w:eastAsia="zh-CN" w:bidi="ar"/>
        </w:rPr>
        <w:t>劳务作业分包单位</w:t>
      </w:r>
      <w:r>
        <w:rPr>
          <w:rFonts w:hint="default" w:ascii="宋体" w:hAnsi="宋体" w:eastAsia="宋体" w:cs="宋体"/>
          <w:color w:val="auto"/>
          <w:kern w:val="0"/>
          <w:sz w:val="24"/>
          <w:szCs w:val="24"/>
          <w:highlight w:val="none"/>
          <w:lang w:bidi="ar"/>
        </w:rPr>
        <w:t>主动提出书面申请，经</w:t>
      </w:r>
      <w:r>
        <w:rPr>
          <w:rFonts w:hint="eastAsia" w:ascii="宋体" w:hAnsi="宋体" w:cs="宋体"/>
          <w:color w:val="auto"/>
          <w:kern w:val="0"/>
          <w:sz w:val="24"/>
          <w:szCs w:val="24"/>
          <w:highlight w:val="none"/>
          <w:lang w:eastAsia="zh-CN" w:bidi="ar"/>
        </w:rPr>
        <w:t>总承包单位</w:t>
      </w:r>
      <w:r>
        <w:rPr>
          <w:rFonts w:hint="default" w:ascii="宋体" w:hAnsi="宋体" w:eastAsia="宋体" w:cs="宋体"/>
          <w:color w:val="auto"/>
          <w:kern w:val="0"/>
          <w:sz w:val="24"/>
          <w:szCs w:val="24"/>
          <w:highlight w:val="none"/>
          <w:lang w:bidi="ar"/>
        </w:rPr>
        <w:t>业务部门确认后60日内全额支付（质量保证金不计任何利息），若</w:t>
      </w:r>
      <w:r>
        <w:rPr>
          <w:rFonts w:hint="eastAsia" w:ascii="宋体" w:hAnsi="宋体" w:cs="宋体"/>
          <w:color w:val="auto"/>
          <w:kern w:val="0"/>
          <w:sz w:val="24"/>
          <w:szCs w:val="24"/>
          <w:highlight w:val="none"/>
          <w:lang w:eastAsia="zh-CN" w:bidi="ar"/>
        </w:rPr>
        <w:t>劳务作业分包单位</w:t>
      </w:r>
      <w:r>
        <w:rPr>
          <w:rFonts w:hint="default" w:ascii="宋体" w:hAnsi="宋体" w:eastAsia="宋体" w:cs="宋体"/>
          <w:color w:val="auto"/>
          <w:kern w:val="0"/>
          <w:sz w:val="24"/>
          <w:szCs w:val="24"/>
          <w:highlight w:val="none"/>
          <w:lang w:bidi="ar"/>
        </w:rPr>
        <w:t>未提出书面申请，则相应的延迟责任由</w:t>
      </w:r>
      <w:r>
        <w:rPr>
          <w:rFonts w:hint="eastAsia" w:ascii="宋体" w:hAnsi="宋体" w:cs="宋体"/>
          <w:color w:val="auto"/>
          <w:kern w:val="0"/>
          <w:sz w:val="24"/>
          <w:szCs w:val="24"/>
          <w:highlight w:val="none"/>
          <w:lang w:eastAsia="zh-CN" w:bidi="ar"/>
        </w:rPr>
        <w:t>劳务作业分包单位</w:t>
      </w:r>
      <w:r>
        <w:rPr>
          <w:rFonts w:hint="default" w:ascii="宋体" w:hAnsi="宋体" w:eastAsia="宋体" w:cs="宋体"/>
          <w:color w:val="auto"/>
          <w:kern w:val="0"/>
          <w:sz w:val="24"/>
          <w:szCs w:val="24"/>
          <w:highlight w:val="none"/>
          <w:lang w:bidi="ar"/>
        </w:rPr>
        <w:t>自行承担。</w:t>
      </w:r>
    </w:p>
    <w:p w14:paraId="03955D23">
      <w:pPr>
        <w:keepNext/>
        <w:keepLines/>
        <w:wordWrap w:val="0"/>
        <w:spacing w:line="360" w:lineRule="auto"/>
        <w:ind w:firstLine="480" w:firstLineChars="200"/>
        <w:jc w:val="left"/>
        <w:textAlignment w:val="top"/>
        <w:rPr>
          <w:rFonts w:hint="default" w:ascii="宋体" w:hAnsi="宋体" w:eastAsia="宋体" w:cs="宋体"/>
          <w:b w:val="0"/>
          <w:bCs w:val="0"/>
          <w:color w:val="auto"/>
          <w:kern w:val="0"/>
          <w:sz w:val="24"/>
          <w:szCs w:val="24"/>
          <w:highlight w:val="none"/>
          <w:lang w:bidi="ar"/>
        </w:rPr>
      </w:pPr>
      <w:r>
        <w:rPr>
          <w:rFonts w:hint="default" w:ascii="宋体" w:hAnsi="宋体" w:eastAsia="宋体" w:cs="宋体"/>
          <w:b w:val="0"/>
          <w:bCs w:val="0"/>
          <w:color w:val="auto"/>
          <w:kern w:val="0"/>
          <w:sz w:val="24"/>
          <w:szCs w:val="24"/>
          <w:highlight w:val="none"/>
          <w:lang w:bidi="ar"/>
        </w:rPr>
        <w:t>二、安全文明施工费支付：</w:t>
      </w:r>
    </w:p>
    <w:p w14:paraId="15A057FD">
      <w:pPr>
        <w:keepNext/>
        <w:keepLines/>
        <w:spacing w:line="360" w:lineRule="auto"/>
        <w:ind w:firstLine="480" w:firstLineChars="200"/>
        <w:jc w:val="left"/>
        <w:textAlignment w:val="top"/>
        <w:rPr>
          <w:rFonts w:hint="eastAsia" w:ascii="宋体" w:hAnsi="宋体" w:cs="宋体"/>
          <w:color w:val="auto"/>
          <w:kern w:val="0"/>
          <w:sz w:val="24"/>
          <w:szCs w:val="24"/>
          <w:highlight w:val="none"/>
          <w:lang w:bidi="ar"/>
        </w:rPr>
      </w:pPr>
      <w:r>
        <w:rPr>
          <w:rFonts w:hint="default" w:ascii="宋体" w:hAnsi="宋体" w:eastAsia="宋体" w:cs="宋体"/>
          <w:b w:val="0"/>
          <w:bCs w:val="0"/>
          <w:color w:val="auto"/>
          <w:kern w:val="0"/>
          <w:sz w:val="24"/>
          <w:szCs w:val="24"/>
          <w:highlight w:val="none"/>
          <w:lang w:bidi="ar"/>
        </w:rPr>
        <w:t>合同签订后30日内向</w:t>
      </w:r>
      <w:r>
        <w:rPr>
          <w:rFonts w:hint="eastAsia" w:ascii="宋体" w:hAnsi="宋体" w:cs="宋体"/>
          <w:b w:val="0"/>
          <w:bCs w:val="0"/>
          <w:color w:val="auto"/>
          <w:kern w:val="0"/>
          <w:sz w:val="24"/>
          <w:szCs w:val="24"/>
          <w:highlight w:val="none"/>
          <w:lang w:eastAsia="zh-CN" w:bidi="ar"/>
        </w:rPr>
        <w:t>劳务作业分包单位</w:t>
      </w:r>
      <w:r>
        <w:rPr>
          <w:rFonts w:hint="default" w:ascii="宋体" w:hAnsi="宋体" w:eastAsia="宋体" w:cs="宋体"/>
          <w:b w:val="0"/>
          <w:bCs w:val="0"/>
          <w:color w:val="auto"/>
          <w:kern w:val="0"/>
          <w:sz w:val="24"/>
          <w:szCs w:val="24"/>
          <w:highlight w:val="none"/>
          <w:lang w:bidi="ar"/>
        </w:rPr>
        <w:t>支付安全生产费用的50%。安全生产费按实结算，工程完工结算后结余的安全生产费用，应当退回</w:t>
      </w:r>
      <w:r>
        <w:rPr>
          <w:rFonts w:hint="eastAsia" w:ascii="宋体" w:hAnsi="宋体" w:cs="宋体"/>
          <w:b w:val="0"/>
          <w:bCs w:val="0"/>
          <w:color w:val="auto"/>
          <w:kern w:val="0"/>
          <w:sz w:val="24"/>
          <w:szCs w:val="24"/>
          <w:highlight w:val="none"/>
          <w:lang w:eastAsia="zh-CN" w:bidi="ar"/>
        </w:rPr>
        <w:t>总承包单位</w:t>
      </w:r>
      <w:r>
        <w:rPr>
          <w:rFonts w:hint="default" w:ascii="宋体" w:hAnsi="宋体" w:eastAsia="宋体" w:cs="宋体"/>
          <w:b w:val="0"/>
          <w:bCs w:val="0"/>
          <w:color w:val="auto"/>
          <w:kern w:val="0"/>
          <w:sz w:val="24"/>
          <w:szCs w:val="24"/>
          <w:highlight w:val="none"/>
          <w:lang w:bidi="ar"/>
        </w:rPr>
        <w:t>。</w:t>
      </w:r>
      <w:r>
        <w:rPr>
          <w:rFonts w:hint="eastAsia" w:ascii="宋体" w:hAnsi="宋体" w:cs="宋体"/>
          <w:b w:val="0"/>
          <w:bCs w:val="0"/>
          <w:color w:val="auto"/>
          <w:kern w:val="0"/>
          <w:sz w:val="24"/>
          <w:szCs w:val="24"/>
          <w:highlight w:val="none"/>
          <w:lang w:eastAsia="zh-CN" w:bidi="ar"/>
        </w:rPr>
        <w:t>劳务作业分包单位</w:t>
      </w:r>
      <w:r>
        <w:rPr>
          <w:rFonts w:hint="default" w:ascii="宋体" w:hAnsi="宋体" w:eastAsia="宋体" w:cs="宋体"/>
          <w:b w:val="0"/>
          <w:bCs w:val="0"/>
          <w:color w:val="auto"/>
          <w:kern w:val="0"/>
          <w:sz w:val="24"/>
          <w:szCs w:val="24"/>
          <w:highlight w:val="none"/>
          <w:lang w:bidi="ar"/>
        </w:rPr>
        <w:t>应按照</w:t>
      </w:r>
      <w:r>
        <w:rPr>
          <w:rFonts w:hint="eastAsia" w:ascii="宋体" w:hAnsi="宋体" w:cs="宋体"/>
          <w:b w:val="0"/>
          <w:bCs w:val="0"/>
          <w:color w:val="auto"/>
          <w:kern w:val="0"/>
          <w:sz w:val="24"/>
          <w:szCs w:val="24"/>
          <w:highlight w:val="none"/>
          <w:lang w:eastAsia="zh-CN" w:bidi="ar"/>
        </w:rPr>
        <w:t>总承包单位</w:t>
      </w:r>
      <w:r>
        <w:rPr>
          <w:rFonts w:hint="default" w:ascii="宋体" w:hAnsi="宋体" w:eastAsia="宋体" w:cs="宋体"/>
          <w:b w:val="0"/>
          <w:bCs w:val="0"/>
          <w:color w:val="auto"/>
          <w:kern w:val="0"/>
          <w:sz w:val="24"/>
          <w:szCs w:val="24"/>
          <w:highlight w:val="none"/>
          <w:lang w:bidi="ar"/>
        </w:rPr>
        <w:t>《关于工程(维护）类安全生产费据实支付的业务指引》中安全生产法结算的要求，提供相应结算材料，确保安全生产投入。</w:t>
      </w:r>
    </w:p>
    <w:p w14:paraId="6BB42CBD">
      <w:pPr>
        <w:pStyle w:val="5"/>
        <w:widowControl w:val="0"/>
        <w:wordWrap w:val="0"/>
        <w:spacing w:before="0" w:after="0" w:line="360" w:lineRule="auto"/>
        <w:ind w:firstLine="240"/>
        <w:rPr>
          <w:rFonts w:ascii="宋体" w:hAnsi="宋体" w:cs="宋体"/>
          <w:color w:val="auto"/>
          <w:sz w:val="24"/>
          <w:szCs w:val="24"/>
          <w:highlight w:val="none"/>
        </w:rPr>
      </w:pPr>
      <w:r>
        <w:rPr>
          <w:rFonts w:hint="eastAsia" w:ascii="宋体" w:hAnsi="宋体" w:cs="宋体"/>
          <w:color w:val="auto"/>
          <w:sz w:val="24"/>
          <w:szCs w:val="24"/>
          <w:highlight w:val="none"/>
        </w:rPr>
        <w:t>11.4 农民工工资的支付</w:t>
      </w:r>
      <w:bookmarkEnd w:id="701"/>
      <w:bookmarkEnd w:id="702"/>
      <w:bookmarkEnd w:id="703"/>
      <w:bookmarkEnd w:id="704"/>
      <w:bookmarkEnd w:id="705"/>
    </w:p>
    <w:p w14:paraId="726DE55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本合同农民工工资采用</w:t>
      </w:r>
      <w:r>
        <w:rPr>
          <w:rFonts w:hint="eastAsia" w:ascii="宋体" w:hAnsi="宋体" w:cs="宋体"/>
          <w:color w:val="auto"/>
          <w:kern w:val="0"/>
          <w:sz w:val="24"/>
          <w:highlight w:val="none"/>
          <w:u w:val="single"/>
          <w:lang w:bidi="ar"/>
        </w:rPr>
        <w:t>(2)</w:t>
      </w:r>
      <w:r>
        <w:rPr>
          <w:rFonts w:hint="eastAsia" w:ascii="宋体" w:hAnsi="宋体" w:cs="宋体"/>
          <w:color w:val="auto"/>
          <w:kern w:val="0"/>
          <w:sz w:val="24"/>
          <w:highlight w:val="none"/>
          <w:lang w:bidi="ar"/>
        </w:rPr>
        <w:t>方式进行支付。</w:t>
      </w:r>
    </w:p>
    <w:p w14:paraId="50A84348">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劳务作业分包单位聘用的农民工工资由劳务作业分包单位自行支付的，劳务作业分包单位应在申报《劳务作业分包付款申请》时同时提交上期经农民工签字的农民工工资支付表和当期的农民工工资支付计划表，经劳务作业分包单位劳资专管员根据农民工考勤、劳动合同中约定的支付额审核确认后方可予以支付当期工程进度款，否则不予以支付当期工程进度款。</w:t>
      </w:r>
    </w:p>
    <w:p w14:paraId="1A3599B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劳务作业分包单位须按照与农民工签订的劳动合同书中约定的工资支付金额、时间足额支付工资。农民工工资应当以货币形式，通过银行转账给农民工本人，不得以实物或者有价证券等其他形式替代。</w:t>
      </w:r>
    </w:p>
    <w:p w14:paraId="2C6D616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发生农民工工资纠纷时，总承包单位以切实保障农民工合法权益为前提，督促和协调劳务作业分包单位予以解决。确实存在农民工工资拖欠现象的，总承包单位可以以未结清的工程款为限垫付农民工工资。对于已经垫付的农民工工资，总承包单位在后续工程进度款支付时进行追偿。</w:t>
      </w:r>
    </w:p>
    <w:p w14:paraId="43D20817">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发生拖欠农民工工资的，并在总承包单位两次提醒后仍不改正的，总承包单位将在对劳务作业分包单位考核评价时予以降级处理，情节特别严重的直接清退，并按照合同约定追究劳务作业分包单位违约赔偿和违约。</w:t>
      </w:r>
    </w:p>
    <w:p w14:paraId="18D74336">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（2）根据《重庆市人民政府办公厅关于全面治理拖欠农民工工资问题的实施意见》或</w:t>
      </w:r>
      <w:r>
        <w:rPr>
          <w:rFonts w:hint="eastAsia" w:ascii="宋体" w:hAnsi="宋体" w:cs="宋体"/>
          <w:color w:val="auto"/>
          <w:highlight w:val="none"/>
        </w:rPr>
        <w:t>项目所在地的相关条例或政府职能部门下发关于农民工工资支付的相关通知</w:t>
      </w:r>
      <w:r>
        <w:rPr>
          <w:rFonts w:hint="eastAsia" w:ascii="宋体" w:hAnsi="宋体" w:cs="宋体"/>
          <w:color w:val="auto"/>
          <w:kern w:val="0"/>
          <w:sz w:val="24"/>
          <w:highlight w:val="none"/>
          <w:lang w:bidi="ar"/>
        </w:rPr>
        <w:t>、《关于建筑领域实施农民工工资专用账户管理及银行代发制度的通知》等相关要求，经双方友好协商，现就农民工工资委托支付事宜协议如下：劳务作业分包单位每月28日前将当月农民工工资表报给总承包单位，总承包单位从审核后的劳务作业分包单位当月进度款中，按劳务作业分包单位申报的工资表发放农民工工资（进度款大于应发工资的，先足额代发工资，余款支付至劳务作业分包单位公司账户；进度款小于应发工资的，先全额用于工资发放，不足部分由劳务作业分包单位自行补足，总承包单位监督发放）。</w:t>
      </w:r>
    </w:p>
    <w:p w14:paraId="121F7240">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在收款前应向总承包单位出具合法有效的增值税专用发票，总承包单位不承担劳务作业分包单位出具发票所产生的相关税费（劳务作业分包单位出具发票所产生的相关税费已包含在合同价格中），否则，总承包单位有权暂停支付进度款和结算款，并且不承担违约责任。</w:t>
      </w:r>
    </w:p>
    <w:p w14:paraId="0B13558C">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总承包单位签发进度款支付证书，不表明总承包单位已同意、批准或认可了劳务作业分包单位完成的相应部分的工作。</w:t>
      </w:r>
    </w:p>
    <w:p w14:paraId="2C2E89F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上述工程款的支付前提是劳务作业分包单位主动主张完成部分的劳务款项，且支付前应扣除分包单位超过损耗率的材料款以及应扣的其它款项（包括但不限于代扣缴税金、违约金、损失等）。</w:t>
      </w:r>
    </w:p>
    <w:p w14:paraId="0C5D54D5">
      <w:pPr>
        <w:pStyle w:val="5"/>
        <w:widowControl w:val="0"/>
        <w:wordWrap w:val="0"/>
        <w:spacing w:before="0" w:after="0" w:line="360" w:lineRule="auto"/>
        <w:ind w:firstLine="240"/>
        <w:rPr>
          <w:rFonts w:ascii="宋体" w:hAnsi="宋体" w:cs="宋体"/>
          <w:color w:val="auto"/>
          <w:sz w:val="24"/>
          <w:szCs w:val="24"/>
          <w:highlight w:val="none"/>
        </w:rPr>
      </w:pPr>
      <w:bookmarkStart w:id="706" w:name="_Toc8065"/>
      <w:bookmarkStart w:id="707" w:name="_Toc9217"/>
      <w:bookmarkStart w:id="708" w:name="_Toc17080"/>
      <w:bookmarkStart w:id="709" w:name="_Toc13949"/>
      <w:bookmarkStart w:id="710" w:name="_Toc22698"/>
      <w:bookmarkStart w:id="711" w:name="_Toc4681"/>
      <w:r>
        <w:rPr>
          <w:rFonts w:hint="eastAsia" w:ascii="宋体" w:hAnsi="宋体" w:cs="宋体"/>
          <w:color w:val="auto"/>
          <w:sz w:val="24"/>
          <w:szCs w:val="24"/>
          <w:highlight w:val="none"/>
        </w:rPr>
        <w:t>11.5、支付账户；</w:t>
      </w:r>
      <w:bookmarkEnd w:id="706"/>
      <w:bookmarkEnd w:id="707"/>
      <w:bookmarkEnd w:id="708"/>
      <w:bookmarkEnd w:id="709"/>
      <w:bookmarkEnd w:id="710"/>
      <w:bookmarkEnd w:id="711"/>
    </w:p>
    <w:p w14:paraId="05901CE7">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 详见协议书第八条约定的支付账户</w:t>
      </w:r>
    </w:p>
    <w:p w14:paraId="0C9C5D52">
      <w:pPr>
        <w:pStyle w:val="4"/>
        <w:widowControl w:val="0"/>
        <w:wordWrap w:val="0"/>
        <w:spacing w:before="0" w:after="0" w:line="360" w:lineRule="auto"/>
        <w:rPr>
          <w:rFonts w:ascii="宋体" w:hAnsi="宋体" w:cs="宋体"/>
          <w:color w:val="auto"/>
          <w:sz w:val="24"/>
          <w:szCs w:val="24"/>
          <w:highlight w:val="none"/>
        </w:rPr>
      </w:pPr>
      <w:bookmarkStart w:id="712" w:name="_Toc30099"/>
      <w:bookmarkStart w:id="713" w:name="_Toc28108"/>
      <w:bookmarkStart w:id="714" w:name="_Toc29185"/>
      <w:bookmarkStart w:id="715" w:name="_Toc22218"/>
      <w:bookmarkStart w:id="716" w:name="_Toc5586"/>
      <w:bookmarkStart w:id="717" w:name="_Toc19729"/>
      <w:r>
        <w:rPr>
          <w:rFonts w:hint="eastAsia" w:ascii="宋体" w:hAnsi="宋体" w:cs="宋体"/>
          <w:color w:val="auto"/>
          <w:sz w:val="24"/>
          <w:szCs w:val="24"/>
          <w:highlight w:val="none"/>
        </w:rPr>
        <w:t>12、验收与交付</w:t>
      </w:r>
      <w:bookmarkEnd w:id="712"/>
      <w:bookmarkEnd w:id="713"/>
      <w:bookmarkEnd w:id="714"/>
      <w:bookmarkEnd w:id="715"/>
      <w:bookmarkEnd w:id="716"/>
      <w:bookmarkEnd w:id="717"/>
    </w:p>
    <w:p w14:paraId="245C93F7">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12.1、劳务作业质量</w:t>
      </w:r>
    </w:p>
    <w:p w14:paraId="0C613E25">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12.1.1、劳务作业分包单位应确保所完成劳务作业符合合同约定的质量标准。总承包单位有作业规范要求的，劳务作业分包单位的劳务作业还应当满足总承包单位的规范要求。</w:t>
      </w:r>
    </w:p>
    <w:p w14:paraId="77D3AD7A">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12.1.2、总承包单位有权随时对劳务作业分包单位实施的劳务作业进行监督检查，确保劳务作业质量，并对存在的质量隐患提出整改要求，劳务作业分包单位应当在总承包单位要求的时限内完成整改。劳务作业分包单位拒不整改或者返工的，总承包单位有权自行整改或者委托第三方代为整改，由此发生的费用由劳务作业分包单位全部承担。总承包单位有权从尚未支付的劳务作业分包合同价款中扣除上述费用，并扣除因此而产生的经济损失及违约金。    12.2、参加检验与验收</w:t>
      </w:r>
    </w:p>
    <w:p w14:paraId="249A3CE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劳务作业分包单位应按照总承包单位的书面指示，参加与其劳务作业有关的材料检验，并及时提出检验意见。</w:t>
      </w:r>
    </w:p>
    <w:p w14:paraId="08F869D5">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劳务作业分包单位应按照总承包单位的书面指示，参加与其劳务作业有关的分部分项工程的验收，并承担相应部分的整改责任。 </w:t>
      </w:r>
    </w:p>
    <w:p w14:paraId="2399CD18">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12.3、完工日期的确定</w:t>
      </w:r>
    </w:p>
    <w:p w14:paraId="2F903B89">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12.3.1、总承包单位统一安排技术档案资料的收集整理，并负责组织劳务作业分包工作的完工验收。</w:t>
      </w:r>
    </w:p>
    <w:p w14:paraId="21DC60C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12.3.2、劳务作业分包单位完成全部劳务作业后，应向总承包单位提交完工报告，通知总承包单位验收。</w:t>
      </w:r>
    </w:p>
    <w:p w14:paraId="223B3D90">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12.3.3、总承包工程竣工且经建设单位验收合格的，视为劳务作业分包单位的劳务作业质量符合合同约定的要求。</w:t>
      </w:r>
    </w:p>
    <w:p w14:paraId="527F3EEE">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12.3.4、劳务作业实际完工日期以总承包单位验收合格的日期为准。 </w:t>
      </w:r>
    </w:p>
    <w:p w14:paraId="0BACAE77">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12.4、劳务作业整改</w:t>
      </w:r>
    </w:p>
    <w:p w14:paraId="0F536F53">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总承包单位与建设单位间的隐蔽工程验收、分部分项工程验收以及工程竣工验收表明劳务作业质量不合格时，劳务作业分包单位应负责无偿整改，作业期限不予延长，并承担由此导致的总承包单位损失。劳务作业分包单位因自身原因无法完成整改的，总承包单位可以委派其他劳务单位完成，产生的费用由劳务作业分包单位承担。总承包单位有权从尚未支付的劳务作业分包合同价款中扣除上述费用，并扣除因此而产生的经济损失及违约金。劳务作业分包单位整改后质量仍不合格的，应按照专用合同条款的约定承担违约责任。</w:t>
      </w:r>
    </w:p>
    <w:p w14:paraId="480F37EF">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12.5、劳务作业交付</w:t>
      </w:r>
    </w:p>
    <w:p w14:paraId="2D26204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关于劳务作业交付条件与日期的约定：</w:t>
      </w:r>
    </w:p>
    <w:p w14:paraId="2CE20F27">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12.5.1、劳务作业经验收合格后，劳务作业分包单位应当按照总承包单位指示及时将该劳务作业交付总承包单位，不得以双方存在争议为由拒绝将该劳务作业交付总承包单位。合同当事人也可在专用合同条款中约定劳务作业交付的具体条件或日期。</w:t>
      </w:r>
    </w:p>
    <w:p w14:paraId="652C406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12.5.2、劳务作业分包单位应当于分包工程验收合格后按照总承包单位指示并按照下列要求完成对施工场地的清理：</w:t>
      </w:r>
    </w:p>
    <w:p w14:paraId="04D9DDFD">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（1）残留垃圾全部清理出场；</w:t>
      </w:r>
    </w:p>
    <w:p w14:paraId="3B91B4CC">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（2）临时工程、临时设施全部拆除、清理出场，并按照总承包单位的指令对相应场地进行清理、平整或者复原；</w:t>
      </w:r>
    </w:p>
    <w:p w14:paraId="60B381E6">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（3）设备、材料全部清除出场（合同约定或者总承包单位指令保留于施工现场的除外）。</w:t>
      </w:r>
    </w:p>
    <w:p w14:paraId="03395919">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（4）施工现场周边以及所涉道路、水道的施工堆积物，按照总承包单位的指令全部清理。</w:t>
      </w:r>
    </w:p>
    <w:p w14:paraId="58F0357A">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（5）完成建设单位、监理单位指令（需经总承包单位确认）的清理工作。</w:t>
      </w:r>
    </w:p>
    <w:p w14:paraId="136BEF66">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12.5.3、劳务作业分包单位履行清场义务时应当采取足够的安全保障措施，如果造成人员伤亡及财产损毁事件，由劳务作业分包单位自行承担全部责任。劳务作业分包单位履行清场义务时应当确保不破坏、污染环境，同时，劳务作业分包单位清理出场的物品应当按照相关规定、约定、要求妥善处理，不得随意抛洒、倾倒。</w:t>
      </w:r>
    </w:p>
    <w:p w14:paraId="0C84335F">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12.5.4、劳务作业分包单位拒不清理或者逾期仍未完成清理的，总承包单位有权寻第三方进行清理，所产生的费用由劳务作业分包单位承担，从结算款中直接扣除。同时，因相应物品堆码造成的人员伤亡及财产损毁，由劳务作业分包单位承担全部责任。</w:t>
      </w:r>
    </w:p>
    <w:p w14:paraId="46974828">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12.5.5、劳务作业分包单位拒不清理或者逾期仍未完成清理的，总承包单位有权直接接收已完工程，并将劳务作业分包单位所有人员驱离施工现场。同时，总承包单位有权自行清理、处置劳务作业分包单位遗留的全部物品、构筑物等，且无论其物品系劳务作业分包单位所有或是劳务作业分包单位通过租赁等形式占有），处置所得款项归总承包单位所有，处置所得款项不足以冲抵因处置而发生的费用的，总承包单位有权在应支付劳务作业分包单位的任何款项（包括但不限于本合同所涉款项）中直接扣除。总承包单位因相应的处置行为发生的损失（例如第三方向总承包单位索赔等），由劳务作业分包单位承担，总承包单位亦有权在应支付劳务作业分包单位的任何款项（包括但不限于本合同所涉款项）中直接扣除。</w:t>
      </w:r>
    </w:p>
    <w:p w14:paraId="203FCD75">
      <w:pPr>
        <w:pStyle w:val="4"/>
        <w:widowControl w:val="0"/>
        <w:wordWrap w:val="0"/>
        <w:spacing w:before="0" w:after="0" w:line="360" w:lineRule="auto"/>
        <w:rPr>
          <w:rFonts w:ascii="宋体" w:hAnsi="宋体" w:cs="宋体"/>
          <w:color w:val="auto"/>
          <w:sz w:val="24"/>
          <w:szCs w:val="24"/>
          <w:highlight w:val="none"/>
        </w:rPr>
      </w:pPr>
      <w:bookmarkStart w:id="718" w:name="_Toc24565"/>
      <w:bookmarkStart w:id="719" w:name="_Toc4106"/>
      <w:bookmarkStart w:id="720" w:name="_Toc21195"/>
      <w:bookmarkStart w:id="721" w:name="_Toc9559"/>
      <w:bookmarkStart w:id="722" w:name="_Toc32421"/>
      <w:bookmarkStart w:id="723" w:name="_Toc10102"/>
      <w:r>
        <w:rPr>
          <w:rFonts w:hint="eastAsia" w:ascii="宋体" w:hAnsi="宋体" w:cs="宋体"/>
          <w:color w:val="auto"/>
          <w:sz w:val="24"/>
          <w:szCs w:val="24"/>
          <w:highlight w:val="none"/>
        </w:rPr>
        <w:t>13、劳务作业完工结算与支付</w:t>
      </w:r>
      <w:bookmarkEnd w:id="718"/>
      <w:bookmarkEnd w:id="719"/>
      <w:bookmarkEnd w:id="720"/>
      <w:bookmarkEnd w:id="721"/>
      <w:bookmarkEnd w:id="722"/>
      <w:bookmarkEnd w:id="723"/>
    </w:p>
    <w:p w14:paraId="112F3F4D">
      <w:pPr>
        <w:pStyle w:val="5"/>
        <w:widowControl w:val="0"/>
        <w:wordWrap w:val="0"/>
        <w:spacing w:before="0" w:after="0" w:line="360" w:lineRule="auto"/>
        <w:ind w:firstLine="240"/>
        <w:rPr>
          <w:rFonts w:ascii="宋体" w:hAnsi="宋体" w:cs="宋体"/>
          <w:color w:val="auto"/>
          <w:sz w:val="24"/>
          <w:szCs w:val="24"/>
          <w:highlight w:val="none"/>
        </w:rPr>
      </w:pPr>
      <w:bookmarkStart w:id="724" w:name="_Toc2476"/>
      <w:bookmarkStart w:id="725" w:name="_Toc28407"/>
      <w:bookmarkStart w:id="726" w:name="_Toc21330"/>
      <w:bookmarkStart w:id="727" w:name="_Toc14416"/>
      <w:bookmarkStart w:id="728" w:name="_Toc22971"/>
      <w:bookmarkStart w:id="729" w:name="_Toc639"/>
      <w:r>
        <w:rPr>
          <w:rFonts w:hint="eastAsia" w:ascii="宋体" w:hAnsi="宋体" w:cs="宋体"/>
          <w:color w:val="auto"/>
          <w:sz w:val="24"/>
          <w:szCs w:val="24"/>
          <w:highlight w:val="none"/>
        </w:rPr>
        <w:t>13.1、完工结算申请</w:t>
      </w:r>
      <w:bookmarkEnd w:id="724"/>
      <w:bookmarkEnd w:id="725"/>
      <w:bookmarkEnd w:id="726"/>
      <w:bookmarkEnd w:id="727"/>
      <w:bookmarkEnd w:id="728"/>
      <w:bookmarkEnd w:id="729"/>
    </w:p>
    <w:p w14:paraId="666A7D53">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劳务作业分包单位提交完工结算申请单的期限：</w:t>
      </w:r>
      <w:r>
        <w:rPr>
          <w:rFonts w:hint="eastAsia" w:ascii="宋体" w:hAnsi="宋体" w:cs="宋体"/>
          <w:color w:val="auto"/>
          <w:kern w:val="0"/>
          <w:sz w:val="24"/>
          <w:highlight w:val="none"/>
          <w:u w:val="single"/>
          <w:lang w:bidi="ar"/>
        </w:rPr>
        <w:t>经总承包单位验收合格之日起28天内；</w:t>
      </w:r>
    </w:p>
    <w:p w14:paraId="7DFEA718">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劳务作业分包单位提交完工结算申请单的资料清单：</w:t>
      </w:r>
      <w:r>
        <w:rPr>
          <w:rFonts w:hint="eastAsia" w:ascii="宋体" w:hAnsi="宋体" w:cs="宋体"/>
          <w:color w:val="auto"/>
          <w:kern w:val="0"/>
          <w:sz w:val="24"/>
          <w:highlight w:val="none"/>
          <w:u w:val="single"/>
          <w:lang w:bidi="ar"/>
        </w:rPr>
        <w:t>劳务作业分包单位应自劳务作业分包作业完工并经总承包单位验收合格之日起28天内，向总承包单位提交完工结算申请单，并提交完整的结算资料，有关完工结算申请单的资料清单和份数等要求由合同当事人在专用合同条款中约定。</w:t>
      </w:r>
    </w:p>
    <w:p w14:paraId="227CA2AB">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完工结算申请单应包括以下内容：</w:t>
      </w:r>
    </w:p>
    <w:p w14:paraId="24B03EC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（1）已生效的劳务作业分包工程合同，包括“劳务作业分包工程量清单”；</w:t>
      </w:r>
    </w:p>
    <w:p w14:paraId="0357E2B0">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（2）施工过程中双方签字齐全的现场收方单、签证单；</w:t>
      </w:r>
    </w:p>
    <w:p w14:paraId="67C77B7F">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（3）总承包单位已支付劳务作业分包单位的“总对账单”及款项；经农民工本人签字确认后的上月工资支付表；</w:t>
      </w:r>
    </w:p>
    <w:p w14:paraId="67FA0E34">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（4）根据合同应当扣减的款项；</w:t>
      </w:r>
    </w:p>
    <w:p w14:paraId="564E4948">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（5）总承包单位应支付劳务作业分包单位的合同价款。</w:t>
      </w:r>
    </w:p>
    <w:p w14:paraId="7B93B7F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劳务作业分包单位应提交的结算资料包括但不限于：</w:t>
      </w:r>
    </w:p>
    <w:p w14:paraId="317B17B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（1）按经总承包单位工程管理中心审定的实际完成量编制的劳务作业分包结算书；</w:t>
      </w:r>
    </w:p>
    <w:p w14:paraId="3C51871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（2）有效的零星用工签证资料；</w:t>
      </w:r>
    </w:p>
    <w:p w14:paraId="793E6DC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（3）其他与劳务作业分包结算有关的经济技术资料；</w:t>
      </w:r>
    </w:p>
    <w:p w14:paraId="4240283D">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（4）本工程建设单位或总承包单位要求提供的其他资料。</w:t>
      </w:r>
    </w:p>
    <w:p w14:paraId="47678D99">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劳务作业分包单位提交完工结算资料的份数：</w:t>
      </w:r>
      <w:r>
        <w:rPr>
          <w:rFonts w:hint="eastAsia" w:ascii="宋体" w:hAnsi="宋体" w:cs="宋体"/>
          <w:color w:val="auto"/>
          <w:kern w:val="0"/>
          <w:sz w:val="24"/>
          <w:highlight w:val="none"/>
          <w:u w:val="single"/>
          <w:lang w:bidi="ar"/>
        </w:rPr>
        <w:t xml:space="preserve"> 3份 </w:t>
      </w:r>
    </w:p>
    <w:p w14:paraId="3D17A56B">
      <w:pPr>
        <w:pStyle w:val="5"/>
        <w:widowControl w:val="0"/>
        <w:wordWrap w:val="0"/>
        <w:spacing w:before="0" w:after="0" w:line="360" w:lineRule="auto"/>
        <w:ind w:firstLine="240"/>
        <w:rPr>
          <w:rFonts w:ascii="宋体" w:hAnsi="宋体" w:cs="宋体"/>
          <w:color w:val="auto"/>
          <w:sz w:val="24"/>
          <w:szCs w:val="24"/>
          <w:highlight w:val="none"/>
        </w:rPr>
      </w:pPr>
      <w:bookmarkStart w:id="730" w:name="_Toc13223"/>
      <w:bookmarkStart w:id="731" w:name="_Toc12882"/>
      <w:bookmarkStart w:id="732" w:name="_Toc23843"/>
      <w:bookmarkStart w:id="733" w:name="_Toc28577"/>
      <w:bookmarkStart w:id="734" w:name="_Toc26318"/>
      <w:bookmarkStart w:id="735" w:name="_Toc4375"/>
      <w:r>
        <w:rPr>
          <w:rFonts w:hint="eastAsia" w:ascii="宋体" w:hAnsi="宋体" w:cs="宋体"/>
          <w:color w:val="auto"/>
          <w:sz w:val="24"/>
          <w:szCs w:val="24"/>
          <w:highlight w:val="none"/>
        </w:rPr>
        <w:t>13.2、完工结算审核</w:t>
      </w:r>
      <w:bookmarkEnd w:id="730"/>
      <w:bookmarkEnd w:id="731"/>
      <w:bookmarkEnd w:id="732"/>
      <w:bookmarkEnd w:id="733"/>
      <w:bookmarkEnd w:id="734"/>
      <w:bookmarkEnd w:id="735"/>
    </w:p>
    <w:p w14:paraId="00EF1F03">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  总承包单位审核确认劳务作业分包单位提交的结算金额以总承包单位审核部门确认的金额为准，总承包单位审核确认结算金额后，双方签订分包结算书。总承包单位对完工结算申请单和结算资料有异议的，有权要求劳务作业分包单位进行修正和提供补充资料，劳务作业分包单位应按要求提交修正后的完工结算申请单和结算资料。 </w:t>
      </w:r>
    </w:p>
    <w:p w14:paraId="646A2233">
      <w:pPr>
        <w:pStyle w:val="5"/>
        <w:widowControl w:val="0"/>
        <w:wordWrap w:val="0"/>
        <w:spacing w:before="0" w:after="0" w:line="360" w:lineRule="auto"/>
        <w:ind w:firstLine="240"/>
        <w:rPr>
          <w:rFonts w:ascii="宋体" w:hAnsi="宋体" w:cs="宋体"/>
          <w:color w:val="auto"/>
          <w:sz w:val="24"/>
          <w:szCs w:val="24"/>
          <w:highlight w:val="none"/>
        </w:rPr>
      </w:pPr>
      <w:bookmarkStart w:id="736" w:name="_Toc2810"/>
      <w:bookmarkStart w:id="737" w:name="_Toc5781"/>
      <w:bookmarkStart w:id="738" w:name="_Toc30973"/>
      <w:bookmarkStart w:id="739" w:name="_Toc23568"/>
      <w:bookmarkStart w:id="740" w:name="_Toc3550"/>
      <w:bookmarkStart w:id="741" w:name="_Toc10373"/>
      <w:r>
        <w:rPr>
          <w:rFonts w:hint="eastAsia" w:ascii="宋体" w:hAnsi="宋体" w:cs="宋体"/>
          <w:color w:val="auto"/>
          <w:sz w:val="24"/>
          <w:szCs w:val="24"/>
          <w:highlight w:val="none"/>
        </w:rPr>
        <w:t>13.3、完工结算支付</w:t>
      </w:r>
      <w:bookmarkEnd w:id="736"/>
      <w:bookmarkEnd w:id="737"/>
      <w:bookmarkEnd w:id="738"/>
      <w:bookmarkEnd w:id="739"/>
      <w:bookmarkEnd w:id="740"/>
      <w:bookmarkEnd w:id="741"/>
    </w:p>
    <w:p w14:paraId="1C22FFCB">
      <w:pPr>
        <w:keepNext/>
        <w:keepLines/>
        <w:wordWrap w:val="0"/>
        <w:spacing w:line="360" w:lineRule="auto"/>
        <w:ind w:firstLine="480" w:firstLineChars="200"/>
        <w:jc w:val="left"/>
        <w:textAlignment w:val="top"/>
        <w:rPr>
          <w:rFonts w:ascii="宋体" w:hAnsi="宋体" w:cs="宋体"/>
          <w:color w:val="auto"/>
          <w:spacing w:val="-6"/>
          <w:sz w:val="24"/>
          <w:highlight w:val="none"/>
        </w:rPr>
      </w:pPr>
      <w:r>
        <w:rPr>
          <w:rFonts w:hint="eastAsia" w:ascii="宋体" w:hAnsi="宋体" w:cs="宋体"/>
          <w:color w:val="auto"/>
          <w:kern w:val="0"/>
          <w:sz w:val="24"/>
          <w:highlight w:val="none"/>
          <w:lang w:bidi="ar"/>
        </w:rPr>
        <w:t xml:space="preserve"> 总承包单位应在分包结算书办理后30天内、劳务作业分包单位提出支付申请后 7天内完成尾款支付。</w:t>
      </w:r>
      <w:r>
        <w:rPr>
          <w:rFonts w:hint="eastAsia" w:ascii="宋体" w:hAnsi="宋体" w:cs="宋体"/>
          <w:color w:val="auto"/>
          <w:spacing w:val="-6"/>
          <w:kern w:val="0"/>
          <w:sz w:val="24"/>
          <w:highlight w:val="none"/>
          <w:lang w:bidi="ar"/>
        </w:rPr>
        <w:t>劳务作业分包单位在收款前应向总承包单位出具合法有效的增值税专用发票。</w:t>
      </w:r>
    </w:p>
    <w:p w14:paraId="5747183A">
      <w:pPr>
        <w:pStyle w:val="4"/>
        <w:widowControl w:val="0"/>
        <w:wordWrap w:val="0"/>
        <w:spacing w:before="0" w:after="0" w:line="360" w:lineRule="auto"/>
        <w:rPr>
          <w:rFonts w:ascii="宋体" w:hAnsi="宋体" w:cs="宋体"/>
          <w:color w:val="auto"/>
          <w:sz w:val="24"/>
          <w:szCs w:val="24"/>
          <w:highlight w:val="none"/>
        </w:rPr>
      </w:pPr>
      <w:bookmarkStart w:id="742" w:name="_Toc12207"/>
      <w:bookmarkStart w:id="743" w:name="_Toc8195"/>
      <w:bookmarkStart w:id="744" w:name="_Toc12668"/>
      <w:bookmarkStart w:id="745" w:name="_Toc23545"/>
      <w:bookmarkStart w:id="746" w:name="_Toc3370"/>
      <w:bookmarkStart w:id="747" w:name="_Toc9486"/>
      <w:r>
        <w:rPr>
          <w:rFonts w:hint="eastAsia" w:ascii="宋体" w:hAnsi="宋体" w:cs="宋体"/>
          <w:color w:val="auto"/>
          <w:sz w:val="24"/>
          <w:szCs w:val="24"/>
          <w:highlight w:val="none"/>
        </w:rPr>
        <w:t>14、违约</w:t>
      </w:r>
      <w:bookmarkEnd w:id="742"/>
      <w:bookmarkEnd w:id="743"/>
      <w:bookmarkEnd w:id="744"/>
      <w:bookmarkEnd w:id="745"/>
      <w:bookmarkEnd w:id="746"/>
      <w:bookmarkEnd w:id="747"/>
    </w:p>
    <w:p w14:paraId="7759A0D9">
      <w:pPr>
        <w:pStyle w:val="5"/>
        <w:widowControl w:val="0"/>
        <w:wordWrap w:val="0"/>
        <w:spacing w:before="0" w:after="0" w:line="360" w:lineRule="auto"/>
        <w:ind w:firstLine="240"/>
        <w:rPr>
          <w:rFonts w:ascii="宋体" w:hAnsi="宋体" w:cs="宋体"/>
          <w:color w:val="auto"/>
          <w:sz w:val="24"/>
          <w:szCs w:val="24"/>
          <w:highlight w:val="none"/>
        </w:rPr>
      </w:pPr>
      <w:bookmarkStart w:id="748" w:name="_Toc17541"/>
      <w:bookmarkStart w:id="749" w:name="_Toc32121"/>
      <w:bookmarkStart w:id="750" w:name="_Toc15622"/>
      <w:bookmarkStart w:id="751" w:name="_Toc19252"/>
      <w:bookmarkStart w:id="752" w:name="_Toc7813"/>
      <w:bookmarkStart w:id="753" w:name="_Toc26650"/>
      <w:r>
        <w:rPr>
          <w:rFonts w:hint="eastAsia" w:ascii="宋体" w:hAnsi="宋体" w:cs="宋体"/>
          <w:color w:val="auto"/>
          <w:sz w:val="24"/>
          <w:szCs w:val="24"/>
          <w:highlight w:val="none"/>
        </w:rPr>
        <w:t>14.1、总承包单位违约</w:t>
      </w:r>
      <w:bookmarkEnd w:id="748"/>
      <w:bookmarkEnd w:id="749"/>
      <w:bookmarkEnd w:id="750"/>
      <w:bookmarkEnd w:id="751"/>
      <w:bookmarkEnd w:id="752"/>
      <w:bookmarkEnd w:id="753"/>
    </w:p>
    <w:p w14:paraId="5C29D872">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无论何种原因导致的暂停施工，劳务作业分包单位发生的费用及损失均由劳务作业分包单位自行承担。</w:t>
      </w:r>
    </w:p>
    <w:p w14:paraId="2B4CC630">
      <w:pPr>
        <w:pStyle w:val="5"/>
        <w:widowControl w:val="0"/>
        <w:wordWrap w:val="0"/>
        <w:spacing w:before="0" w:after="0" w:line="360" w:lineRule="auto"/>
        <w:ind w:firstLine="240"/>
        <w:rPr>
          <w:rFonts w:ascii="宋体" w:hAnsi="宋体" w:cs="宋体"/>
          <w:color w:val="auto"/>
          <w:sz w:val="24"/>
          <w:szCs w:val="24"/>
          <w:highlight w:val="none"/>
        </w:rPr>
      </w:pPr>
      <w:bookmarkStart w:id="754" w:name="_Toc16347"/>
      <w:bookmarkStart w:id="755" w:name="_Toc27229"/>
      <w:bookmarkStart w:id="756" w:name="_Toc8647"/>
      <w:bookmarkStart w:id="757" w:name="_Toc11642"/>
      <w:bookmarkStart w:id="758" w:name="_Toc17247"/>
      <w:bookmarkStart w:id="759" w:name="_Toc29546"/>
      <w:r>
        <w:rPr>
          <w:rFonts w:hint="eastAsia" w:ascii="宋体" w:hAnsi="宋体" w:cs="宋体"/>
          <w:color w:val="auto"/>
          <w:sz w:val="24"/>
          <w:szCs w:val="24"/>
          <w:highlight w:val="none"/>
        </w:rPr>
        <w:t>14.2、劳务作业分包单位违约</w:t>
      </w:r>
      <w:bookmarkEnd w:id="754"/>
      <w:bookmarkEnd w:id="755"/>
      <w:bookmarkEnd w:id="756"/>
      <w:bookmarkEnd w:id="757"/>
      <w:bookmarkEnd w:id="758"/>
      <w:bookmarkEnd w:id="759"/>
    </w:p>
    <w:p w14:paraId="261EA53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劳务作业分包单位违约的情形； </w:t>
      </w:r>
    </w:p>
    <w:p w14:paraId="4006E7A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在合同履行过程中发生的下列情形，属于劳务作业分包单位违约：</w:t>
      </w:r>
    </w:p>
    <w:p w14:paraId="60A7D23B">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（1）劳务作业分包单位未按约定组织符合工程要求且持有相应资格证书的劳务作业人员进场的；</w:t>
      </w:r>
    </w:p>
    <w:p w14:paraId="5E52F05A">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（2）劳务作业分包单位在签订本合同后未按总承包单位指令进场施工、中途擅自停工或退场、因自身原因导致作业期限延误的；</w:t>
      </w:r>
    </w:p>
    <w:p w14:paraId="74D66FF9">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（3）劳务作业分包单位劳务作业质量不符合合同约定的质量标准的；</w:t>
      </w:r>
    </w:p>
    <w:p w14:paraId="07F70045">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（4）劳务作业分包单位未按总承包单位要求进行安全文明施工的；</w:t>
      </w:r>
    </w:p>
    <w:p w14:paraId="06FD4F8A">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（5）劳务作业分包单位未每月向总承包单位提供上月劳务作业分包单位在本项目上所有劳务作业人员的工资结算及支付情况的盖章书面记录的；</w:t>
      </w:r>
    </w:p>
    <w:p w14:paraId="60B42915">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（6）劳务作业分包单位将劳务作业分包转包给他人；</w:t>
      </w:r>
    </w:p>
    <w:p w14:paraId="52C06AB5">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7）劳务作业分包单位劳务作业人员劳资纠纷、安全事故、治安事件、群体性事件不能控制局面（群体性事件是指参与人员或者受影响人员多人以上，或者向不特定对象表达诉求的事件，例如拉横幅、发传单、集会、静坐、游行、断水、断电、扰乱施工秩序、围堵办公场所、围堵政府机关、集体向政府机关表达诉求等。非群体性事件如个别劳务作业人员上访、工地现场闹事、爬塔吊、以死亡相威胁等）。</w:t>
      </w:r>
    </w:p>
    <w:p w14:paraId="0FAD6AB5">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（8）专用合同条款约定的其他违约情形。</w:t>
      </w:r>
    </w:p>
    <w:p w14:paraId="12EA764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劳务作业分包单位违约责任</w:t>
      </w:r>
    </w:p>
    <w:p w14:paraId="02A28E07">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因劳务作业人员劳资纠纷、安全事故、治安事件、群体性事件等并涉及款项支付，以及劳务作业分包单位工期严重滞后、质量事故等涉及费用增加或赔偿，总承包单位有权从劳务作业分包单位交纳的保证金或者分包工程款中代为支付上述费用，并扣除因此而产生的经济损失及违约金，劳务作业分包单位无条件同意认可总承包单位代付行为和代付金额、代付合同等并配合完善诸如付款财务手续、补开增值税发票等相关手续，若不补开增值税发票导致总承包单位经济损失的，劳务作业分包单位应予以赔偿。</w:t>
      </w:r>
    </w:p>
    <w:p w14:paraId="4B616758">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劳务作业分包单位就本合同负担之义务并不因其承担违约责任而减免。</w:t>
      </w:r>
    </w:p>
    <w:p w14:paraId="465ADB8D">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本合同针对同一情形既约定违约责任也约定赔偿的，同时适用、累加计算。如果违约金、赔偿金合计超过实际损失，则超出部分作为惩罚性违约金和预期利益损失赔偿，合同双方对于超出部分是否产生实际损失、损失额度、预期利益额度，均无需证明。</w:t>
      </w:r>
    </w:p>
    <w:p w14:paraId="1F387935">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劳务作业分包单位应承担因其违约行为而给总承包单位增加的费用(包括但不限于直接经济损失、实现债权所产生的律师费、案件受理费、保全费、保全担保费、诉讼费等)和（或）延误的期限。此外，合同当事人可在专用合同条款中另行约定劳务作业分包单位违约责任的承担方式和计算方法。</w:t>
      </w:r>
    </w:p>
    <w:p w14:paraId="2E2DCBCC">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 xml:space="preserve">关于劳务作业分包单位违约责任的承担方式和计算方法的约定： </w:t>
      </w:r>
      <w:r>
        <w:rPr>
          <w:rFonts w:hint="eastAsia" w:ascii="宋体" w:hAnsi="宋体" w:cs="宋体"/>
          <w:color w:val="auto"/>
          <w:kern w:val="0"/>
          <w:sz w:val="24"/>
          <w:highlight w:val="none"/>
          <w:u w:val="single"/>
          <w:lang w:bidi="ar"/>
        </w:rPr>
        <w:t>一方合同当事人违约后，另一方要求违约方继续履行合同时，违约方承担上述违约责任后仍应继续履行合同。</w:t>
      </w:r>
    </w:p>
    <w:p w14:paraId="053E2230">
      <w:pPr>
        <w:pStyle w:val="5"/>
        <w:widowControl w:val="0"/>
        <w:wordWrap w:val="0"/>
        <w:spacing w:before="0" w:after="0" w:line="360" w:lineRule="auto"/>
        <w:ind w:firstLine="240"/>
        <w:rPr>
          <w:rFonts w:ascii="宋体" w:hAnsi="宋体" w:cs="宋体"/>
          <w:color w:val="auto"/>
          <w:sz w:val="24"/>
          <w:szCs w:val="24"/>
          <w:highlight w:val="none"/>
        </w:rPr>
      </w:pPr>
      <w:bookmarkStart w:id="760" w:name="_Toc13587"/>
      <w:bookmarkStart w:id="761" w:name="_Toc8535"/>
      <w:bookmarkStart w:id="762" w:name="_Toc2114"/>
      <w:bookmarkStart w:id="763" w:name="_Toc6437"/>
      <w:bookmarkStart w:id="764" w:name="_Toc29052"/>
      <w:bookmarkStart w:id="765" w:name="_Toc9319"/>
      <w:r>
        <w:rPr>
          <w:rFonts w:hint="eastAsia" w:ascii="宋体" w:hAnsi="宋体" w:cs="宋体"/>
          <w:color w:val="auto"/>
          <w:sz w:val="24"/>
          <w:szCs w:val="24"/>
          <w:highlight w:val="none"/>
        </w:rPr>
        <w:t>14.3、补充约定</w:t>
      </w:r>
      <w:bookmarkEnd w:id="760"/>
      <w:bookmarkEnd w:id="761"/>
      <w:bookmarkEnd w:id="762"/>
      <w:bookmarkEnd w:id="763"/>
      <w:bookmarkEnd w:id="764"/>
      <w:bookmarkEnd w:id="765"/>
    </w:p>
    <w:p w14:paraId="46C54FEC">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（1）劳务作业分包单位未严格按照总承包单位的指令内容执行的，应当按照5000 元/次向总承包单位支付违约金；拒不执行相关指令的，应当按照20000元/次向总承包单位支付违约金。累计达到3次（含）以上的，总承包单位可以解除合同作清场处理（同时有权只支付劳务作业分包单位审定完成合格工程量的75%的工程款）。</w:t>
      </w:r>
    </w:p>
    <w:p w14:paraId="39897393">
      <w:pPr>
        <w:keepNext/>
        <w:keepLines/>
        <w:wordWrap w:val="0"/>
        <w:spacing w:line="360" w:lineRule="auto"/>
        <w:ind w:firstLine="480" w:firstLineChars="200"/>
        <w:jc w:val="left"/>
        <w:textAlignment w:val="top"/>
        <w:rPr>
          <w:rFonts w:ascii="宋体" w:hAnsi="宋体" w:cs="宋体"/>
          <w:b/>
          <w:color w:val="auto"/>
          <w:sz w:val="24"/>
          <w:highlight w:val="none"/>
        </w:rPr>
      </w:pPr>
      <w:r>
        <w:rPr>
          <w:rFonts w:hint="eastAsia" w:ascii="宋体" w:hAnsi="宋体" w:cs="宋体"/>
          <w:color w:val="auto"/>
          <w:kern w:val="0"/>
          <w:sz w:val="24"/>
          <w:highlight w:val="none"/>
          <w:lang w:bidi="ar"/>
        </w:rPr>
        <w:t>（2）劳务作业分包单位违反专用合同条款5条作业安全与环境保护的任一条款的，每发生一次，应当向总承包单位支付违约金 5000 元；劳务作业分包单位作业发生安全事故后未及时报告的，应当按照 1万元/人次加付违约金；隐瞒不报的，按 10万元/人次加付违约金；发生人员轻伤的，按 1万元/人加付违约金；发生人员重伤的按10万元/人加付违约金；发生人员死亡的，按30万元 /人加付违约金。</w:t>
      </w:r>
    </w:p>
    <w:p w14:paraId="763BCEE5">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3）劳务作业分包单位超耗、浪费、未妥善保管、未合理使用总承包单位提供的材料、设备的，导致材料、设备毁损、灭失的，劳务作业分包单位除需按原价（包含材料及设备价款、运费等总承包单位支出的费用）赔偿总承包单位外，还应当按其原价的 20%向总承包单位支付违约金。</w:t>
      </w:r>
    </w:p>
    <w:p w14:paraId="1D275B3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（4）劳务作业分包单位的项目负责人和其他主要管理人员无正当理由未在施工场地办公的，劳务作业分包单位应当按照 2000 元/人·天向总承包单位支付违约金。发生3次以上的，总承包单位有权解除本合同（同时有权只支付劳务作业分包单位审定完成合格工程量的75%的工程款）。如私自刻制冠以总承包单位名称的任何印章，移交相关行政执法部门；劳务作业分包单位应按照10万元/次的标准向总承包单位支付违约金，如给总承包单位造成经济损失时，由劳务作业分包单位承担一切经济损失和不利后果，且总承包单位有权解除本合同（同时有权只支付劳务作业分包单位审定完成合格工程量的75%的工程款）。</w:t>
      </w:r>
    </w:p>
    <w:p w14:paraId="31DA0ED9">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5）劳务作业分包单位应当确保其施工作业人员的身体及年龄状况符合国家以及工程所在地的相关法律、法规、规章、规范，符合行业协会及组织发布的规范、标准，符合施工合同中相应的标准和要求，严禁使用患有高血压、恐高症、心脏病、癫痫病等不适宜建设工程施工的疾病的人员；劳务作业分包单位发现有传染病的应当立即组织人员隔离、就医，并将相关情况报告给总承包单位；劳务作业分包单位应当确保其作业人员具备相应的职业资格，持证上岗。否则，每发现一人，劳务作业分包单位应当向总承包单位支付违约金2000元。</w:t>
      </w:r>
    </w:p>
    <w:p w14:paraId="72DB016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（6）安全文明施工专项费用未专款专用的，劳务作业分包单位应当按照挪作他用的金额的10% 向总承包单位支付违约金。</w:t>
      </w:r>
    </w:p>
    <w:p w14:paraId="7CD9CDA7">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（7）本合同所涉分包工程以外的其他工程因劳务作业分包单位原因损坏的，除损坏修复费用全部由劳务作业分包单位承担外，每发生一次，劳务作业分包单位还应当按照修复费用的50%向总承包单位支付违约金。</w:t>
      </w:r>
    </w:p>
    <w:p w14:paraId="6D907E59">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8）劳务作业分包单位向总承包单位提交完工结算报告存在高估冒算，且其高估冒算的工程量经总承包单位经营部审定结算后发现审减率超过10%（含）的，由分包单位承担全部审计费用。且总承包单位可按审减额的10%要求劳务作业分包单位支付违约金。如果双方因结算审减发生诉争，则以司法机关生效法律文书确定的工程量计算高估冒算的比例。</w:t>
      </w:r>
    </w:p>
    <w:p w14:paraId="40A8FD90">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9）劳务作业分包单位应当无条件接受总承包单位以及其他有关单位的各类检查并按照总承包单位的指令进行整改，劳务作业分包单位拒绝前述检查或拒绝整改的，每发生一次，劳务作业分包单位应当向总承包单位支付违约金5万元。违约3次以上的，总承包单位有权解除本合同（同时有权只支付劳务作业分包单位审定完成合格工程量的75%的工程款）。</w:t>
      </w:r>
    </w:p>
    <w:p w14:paraId="11BF26E8">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10）总承包单位发出的指令、通知、函告、扣款单等文书被劳务作业分包单位拒收或者退回的，每发生一次，劳务作业分包单位应当向总承包单位支付违约金1万元。发生3次以上的，总承包单位有权解除本合同（同时有权只支付劳务作业分包单位审定完成合格工程量的75%的工程款）。</w:t>
      </w:r>
    </w:p>
    <w:p w14:paraId="64744CBC">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11）导致投诉（投诉当事人向总承包单位投诉、向建设单位投诉、向行政机关投诉等）事件发生的，每发生一次，劳务作业分包单位应当向总承包单位支付违约金5万元；导致群体性事件的，每发生一次，劳务作业分包单位应当向总承包单位支付违约金10万元。发生3次以上的，总承包单位有权解除本合同（同时有权只支付劳务作业分包单位审定完成合格工程量的75%的工程款）。</w:t>
      </w:r>
    </w:p>
    <w:p w14:paraId="79400DCF">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 投诉事件、群体性事件被媒体报道的，每发生一次，劳务作业分包单位应当向总承包单位支付违约金10万元。媒体是指电视、广播、刊物、网络、通讯软件等可向不特定多数人或者5人以上特定人群传达信息的各种媒介。发生3次以上的，总承包单位有权解除本合同（同时有权只支付劳务作业分包单位审定完成合格工程量的75%的工程款）。</w:t>
      </w:r>
    </w:p>
    <w:p w14:paraId="71138D9F">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（13）无论何种原因， 导致总承包单位被列为民事诉讼（仲裁）案件的被告（被申请人）的或总承包单位资产（包括但不限于银行账户、房产、车辆、工程等）被司法机关或其他机关采取保全或执行措施的，每发生一次，劳务作业分包单位应当按照本合同约定总价的10%向总承包单位支付违约金，且劳务作业分包单位需承担由此产生的一切责任、费用（该责任、费用包括但不限于判决或裁决要求总承包单位支付的所有费用、总承包单位应诉所产生的差旅费、案件受理费、保全费、担保费、律师费等）。总承包单位有权从劳务作业分包单位后续应付款项中直接扣除以上违约金及相关费用。且总承包单位有权解除本合同（同时有权只支付劳务作业分包单位审定完成合格工程量的75%的工程款）。</w:t>
      </w:r>
    </w:p>
    <w:p w14:paraId="77F43983">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14）投诉事件、群体性事件导致总承包单位受到行政机关、行业协会及组织等有关主管单位的处理的，每发生一次，劳务作业分包单位视情节轻重应当按照1-20万元/次向总承包单位支付违约金。发生3次以上的，总承包单位有权解除本合同（同时有权只支付劳务作业分包单位审定完成合格工程量的75%的工程款）。</w:t>
      </w:r>
    </w:p>
    <w:p w14:paraId="4E278B54">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（15）投诉事件、群体性事件导致总承包单位被卷入刑事案件的，劳务作业分包单位应当按照本合同约定总价的10% 向总承包单位支付违约金。且总承包单位有权解除本合同（同时有权只支付劳务作业分包单位审定完成合格工程量的75%的工程款）。</w:t>
      </w:r>
    </w:p>
    <w:p w14:paraId="161463A9">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（16）投诉事件、群体性事件导致总承包单位征信受损的，劳务作业分包单位应当按照本合同约定总价的10% 向总承包单位支付违约金。且总承包单位有权解除本合同（同时有权只支付劳务作业分包单位审定完成合格工程量的75%的工程款）。</w:t>
      </w:r>
    </w:p>
    <w:p w14:paraId="2767C889">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（17）投诉事件、群体性事件导致总承包单位被地区或者行业限制准入的，劳务作业分包单位应当按照本合同约定总价的20% 向总承包单位支付违约金。且总承包单位有权解除本合同（同时有权只支付劳务作业分包单位审定完成合格工程量的75%的工程款）。</w:t>
      </w:r>
    </w:p>
    <w:p w14:paraId="6C55238C">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（18）投诉事件、群体性事件导致总承包单位资质、资格受到不良影响的，劳务作业分包单位应当按照本合同约定总价的20% 向总承包单位支付违约金。且总承包单位有权解除本合同（同时有权只支付劳务作业分包单位审定完成合格工程量的75%的工程款）。</w:t>
      </w:r>
    </w:p>
    <w:p w14:paraId="072843B5">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19）总承包单位将严格监督劳务作业分包单位按时发放民工工资，若发现劳务作业分包单位上次未按实际全额发放民工工资时，有权停止支付当次劳务作业分包款并督促劳务作业分包单位立即全额补发上次农民工工资，且向总承包单位有权要求劳务作业分包单位按照10万元/次支付违约金，情形严重给总承包单位带来恶劣影响或其他损失的，总承包单位有权解除劳务作业分包合同（同时有权只支付劳务作业分包单位审定完成合格工程量的75%的工程款）。</w:t>
      </w:r>
    </w:p>
    <w:p w14:paraId="63C58B47">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20）劳务作业分包单位在施工过程中不按规范标准施工或不服从总承包单位的管理导致施工质量达不到要求，造成的返工损失由分包单位负责，且总承包单位可要求劳务作业分包单位承担5000-100000元的违约金，累计三次总承包单位可解除合同。若劳务作业分包单位质量问题整改后仍不合格或者达到合同解除其他条件的，总承包单位有权解除本合同,且劳务作业分包单位必须在总承包单位发出解除通知之日起10日内限时清除出场,否则,还应按每逾期一天向总承包单位承担5000元/天的违约责任,总承包单位可直接从应付给劳务作业分包单位的工程款中扣除。解除合同对劳务作业分包单位已完成部分工程按劳务作业分包单位实际已完成的合格工程计算工程量后，只按75%结算后一次性支付，对劳务作业分包单位完成的不合格部分工程，总承包单位有权指定其他单位或班组进行返工整改，其返工整改费用由劳务作业分包单位承担，总承包单位可直接从应付的结算款中扣除。</w:t>
      </w:r>
    </w:p>
    <w:p w14:paraId="0934E83C">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除本合同已约定的违约责任以外，劳务作业分包单位违约导致总承包单位受到的经济损失，劳务作业分包单位应当全额赔偿，并应当按照银行同期贷款利率向总承包单位赔偿资金占用损失。劳务作业分包单位违约导致总承包单位受到的经济损失包括但不限于直接经济损失、被建设单位等第三方索赔及扣款、一方基于劳务作业分包单位的违约行为而实施本合同约定的特定行为而被第三方索赔（例如总承包单位因完工清理时直接处置物品而被物品所有权人索赔等）、被行政机关罚款等。</w:t>
      </w:r>
      <w:bookmarkStart w:id="766" w:name="_Toc9946"/>
    </w:p>
    <w:p w14:paraId="2FB410FC">
      <w:pPr>
        <w:keepNext/>
        <w:keepLines/>
        <w:wordWrap w:val="0"/>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14.4、违约方继续履行合同</w:t>
      </w:r>
      <w:bookmarkEnd w:id="766"/>
    </w:p>
    <w:p w14:paraId="2DBEA8DA">
      <w:pPr>
        <w:keepNext/>
        <w:keepLines/>
        <w:wordWrap w:val="0"/>
        <w:spacing w:line="360" w:lineRule="auto"/>
        <w:ind w:firstLine="480" w:firstLineChars="200"/>
        <w:rPr>
          <w:rFonts w:ascii="宋体" w:hAnsi="宋体" w:cs="宋体"/>
          <w:color w:val="auto"/>
          <w:sz w:val="24"/>
          <w:highlight w:val="none"/>
        </w:rPr>
      </w:pPr>
      <w:r>
        <w:rPr>
          <w:rFonts w:hint="eastAsia" w:ascii="宋体" w:hAnsi="宋体" w:cs="宋体"/>
          <w:color w:val="auto"/>
          <w:kern w:val="0"/>
          <w:sz w:val="24"/>
          <w:highlight w:val="none"/>
          <w:lang w:bidi="ar"/>
        </w:rPr>
        <w:t>一方合同当事人违约后，另一方要求违约方继续履行合同时，违约方承担上述违约责任后仍应继续履行合同。</w:t>
      </w:r>
    </w:p>
    <w:p w14:paraId="7D73929C">
      <w:pPr>
        <w:pStyle w:val="4"/>
        <w:keepLines/>
        <w:wordWrap w:val="0"/>
        <w:spacing w:before="0" w:after="0" w:line="360" w:lineRule="auto"/>
        <w:rPr>
          <w:rFonts w:ascii="宋体" w:hAnsi="宋体" w:cs="宋体"/>
          <w:color w:val="auto"/>
          <w:sz w:val="24"/>
          <w:szCs w:val="24"/>
          <w:highlight w:val="none"/>
        </w:rPr>
      </w:pPr>
      <w:bookmarkStart w:id="767" w:name="_Toc23697"/>
      <w:bookmarkStart w:id="768" w:name="_Toc13741"/>
      <w:bookmarkStart w:id="769" w:name="_Toc25214"/>
      <w:bookmarkStart w:id="770" w:name="_Toc20797"/>
      <w:bookmarkStart w:id="771" w:name="_Toc12473"/>
      <w:bookmarkStart w:id="772" w:name="_Toc25865"/>
      <w:r>
        <w:rPr>
          <w:rFonts w:hint="eastAsia" w:ascii="宋体" w:hAnsi="宋体" w:cs="宋体"/>
          <w:color w:val="auto"/>
          <w:sz w:val="24"/>
          <w:szCs w:val="24"/>
          <w:highlight w:val="none"/>
        </w:rPr>
        <w:t>15、不可抗力</w:t>
      </w:r>
      <w:bookmarkEnd w:id="767"/>
      <w:bookmarkEnd w:id="768"/>
      <w:bookmarkEnd w:id="769"/>
      <w:bookmarkEnd w:id="770"/>
      <w:bookmarkEnd w:id="771"/>
      <w:bookmarkEnd w:id="772"/>
    </w:p>
    <w:p w14:paraId="22FC1345">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  15.1、不可抗力的确认</w:t>
      </w:r>
    </w:p>
    <w:p w14:paraId="69C387A8">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不可抗力是指合同当事人在签订合同时不可预见，在合同履行过程中不可避免且不能克服的自然灾害和社会性突发事件，如地震、海啸、瘟疫、骚乱、戒严、暴动、战争和专用合同条款中约定的其他情形。</w:t>
      </w:r>
    </w:p>
    <w:p w14:paraId="468546E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不可抗力发生后，总承包单位和劳务作业分包单位应收集证明不可抗力发生及不可抗力造成损失的证据，并及时认真统计所造成的损失。</w:t>
      </w:r>
    </w:p>
    <w:p w14:paraId="385DC25C">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15.2、不可抗力的通知</w:t>
      </w:r>
    </w:p>
    <w:p w14:paraId="45D9FC47">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15.2.1 不可抗力事件发生后，受不可抗力事件影响的一方，有义务立即通知另一方，并在力所能及的条件下迅速采取措施，尽力减少损失，另一方全力协助并采取措施。</w:t>
      </w:r>
    </w:p>
    <w:p w14:paraId="4432948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不可抗力事件结束后48小时内，劳务作业分包单位应向总承包单位通报受损情况，及预计清理和修复的费用；不可抗力事件持续发生时，劳务作业分包单位应每隔7天向总承包单位通报一次损失情况。</w:t>
      </w:r>
    </w:p>
    <w:p w14:paraId="18CF8D7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15.2.2、不可抗力事件结束后14天内，劳务作业分包单位应向总承包单位提交清理和修复费用的正式报告及有关资料。</w:t>
      </w:r>
    </w:p>
    <w:p w14:paraId="6D80C02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15.3、不可抗力后果的承担</w:t>
      </w:r>
    </w:p>
    <w:p w14:paraId="17E5DFA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15.3.1、不可抗力导致的人员伤亡、财产损失、费用增加和（或）作业期限延误等后果，由合同当事人按以下原则承担：</w:t>
      </w:r>
    </w:p>
    <w:p w14:paraId="5BEDB260">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（1）总承包单位和劳务作业分包单位承担各自人员伤亡和财产的损失；</w:t>
      </w:r>
    </w:p>
    <w:p w14:paraId="4B46E774">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（2）因不可抗力影响劳务作业分包单位履行合同约定的义务，已经引起或将引起作业期限延误的，应当顺延作业期限，由此导致劳务作业分包单位停工的费用损失由分包单位自行承担。</w:t>
      </w:r>
    </w:p>
    <w:p w14:paraId="5F703346">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15.3.2 因合同一方迟延履行合同义务，在迟延履行期间遭遇不可抗力的，不免除其违约责任。</w:t>
      </w:r>
    </w:p>
    <w:p w14:paraId="5B7CB3A7">
      <w:pPr>
        <w:pStyle w:val="4"/>
        <w:widowControl w:val="0"/>
        <w:wordWrap w:val="0"/>
        <w:spacing w:before="0" w:after="0" w:line="360" w:lineRule="auto"/>
        <w:rPr>
          <w:rFonts w:ascii="宋体" w:hAnsi="宋体" w:cs="宋体"/>
          <w:color w:val="auto"/>
          <w:sz w:val="24"/>
          <w:szCs w:val="24"/>
          <w:highlight w:val="none"/>
        </w:rPr>
      </w:pPr>
      <w:bookmarkStart w:id="773" w:name="_Toc7220"/>
      <w:bookmarkStart w:id="774" w:name="_Toc21783"/>
      <w:bookmarkStart w:id="775" w:name="_Toc10939"/>
      <w:bookmarkStart w:id="776" w:name="_Toc4962"/>
      <w:bookmarkStart w:id="777" w:name="_Toc20646"/>
      <w:bookmarkStart w:id="778" w:name="_Toc1655"/>
      <w:r>
        <w:rPr>
          <w:rFonts w:hint="eastAsia" w:ascii="宋体" w:hAnsi="宋体" w:cs="宋体"/>
          <w:color w:val="auto"/>
          <w:sz w:val="24"/>
          <w:szCs w:val="24"/>
          <w:highlight w:val="none"/>
        </w:rPr>
        <w:t>16、保险</w:t>
      </w:r>
      <w:bookmarkEnd w:id="773"/>
      <w:bookmarkEnd w:id="774"/>
      <w:bookmarkEnd w:id="775"/>
      <w:bookmarkEnd w:id="776"/>
      <w:bookmarkEnd w:id="777"/>
      <w:bookmarkEnd w:id="778"/>
    </w:p>
    <w:p w14:paraId="6DBD8006">
      <w:pPr>
        <w:pStyle w:val="5"/>
        <w:widowControl w:val="0"/>
        <w:wordWrap w:val="0"/>
        <w:spacing w:before="0" w:after="0" w:line="360" w:lineRule="auto"/>
        <w:ind w:firstLine="240"/>
        <w:rPr>
          <w:rFonts w:ascii="宋体" w:hAnsi="宋体" w:cs="宋体"/>
          <w:color w:val="auto"/>
          <w:sz w:val="24"/>
          <w:szCs w:val="24"/>
          <w:highlight w:val="none"/>
        </w:rPr>
      </w:pPr>
      <w:bookmarkStart w:id="779" w:name="_Toc10618"/>
      <w:bookmarkStart w:id="780" w:name="_Toc18557"/>
      <w:bookmarkStart w:id="781" w:name="_Toc26838"/>
      <w:bookmarkStart w:id="782" w:name="_Toc14341"/>
      <w:bookmarkStart w:id="783" w:name="_Toc16887"/>
      <w:bookmarkStart w:id="784" w:name="_Toc13737"/>
      <w:r>
        <w:rPr>
          <w:rFonts w:hint="eastAsia" w:ascii="宋体" w:hAnsi="宋体" w:cs="宋体"/>
          <w:color w:val="auto"/>
          <w:sz w:val="24"/>
          <w:szCs w:val="24"/>
          <w:highlight w:val="none"/>
        </w:rPr>
        <w:t>16.1、总承包单位办理的保险；</w:t>
      </w:r>
      <w:bookmarkEnd w:id="779"/>
      <w:bookmarkEnd w:id="780"/>
      <w:bookmarkEnd w:id="781"/>
      <w:bookmarkEnd w:id="782"/>
      <w:bookmarkEnd w:id="783"/>
      <w:bookmarkEnd w:id="784"/>
    </w:p>
    <w:p w14:paraId="770F9CA8">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u w:val="single"/>
          <w:lang w:bidi="ar"/>
        </w:rPr>
        <w:t xml:space="preserve">  100+10（万元）的团体意外险，建筑安装工程一切险及第三者责任险。</w:t>
      </w:r>
    </w:p>
    <w:p w14:paraId="39AD8765">
      <w:pPr>
        <w:pStyle w:val="5"/>
        <w:widowControl w:val="0"/>
        <w:wordWrap w:val="0"/>
        <w:spacing w:before="0" w:after="0" w:line="360" w:lineRule="auto"/>
        <w:ind w:firstLine="240"/>
        <w:rPr>
          <w:rFonts w:ascii="宋体" w:hAnsi="宋体" w:cs="宋体"/>
          <w:color w:val="auto"/>
          <w:sz w:val="24"/>
          <w:szCs w:val="24"/>
          <w:highlight w:val="none"/>
        </w:rPr>
      </w:pPr>
      <w:bookmarkStart w:id="785" w:name="_Toc20942"/>
      <w:bookmarkStart w:id="786" w:name="_Toc25294"/>
      <w:bookmarkStart w:id="787" w:name="_Toc30859"/>
      <w:bookmarkStart w:id="788" w:name="_Toc20175"/>
      <w:bookmarkStart w:id="789" w:name="_Toc25379"/>
      <w:bookmarkStart w:id="790" w:name="_Toc3078"/>
      <w:r>
        <w:rPr>
          <w:rFonts w:hint="eastAsia" w:ascii="宋体" w:hAnsi="宋体" w:cs="宋体"/>
          <w:color w:val="auto"/>
          <w:sz w:val="24"/>
          <w:szCs w:val="24"/>
          <w:highlight w:val="none"/>
        </w:rPr>
        <w:t>16.2、劳务作业分包单位应办理的保险</w:t>
      </w:r>
      <w:bookmarkEnd w:id="785"/>
      <w:bookmarkEnd w:id="786"/>
      <w:bookmarkEnd w:id="787"/>
      <w:bookmarkEnd w:id="788"/>
      <w:bookmarkEnd w:id="789"/>
      <w:bookmarkEnd w:id="790"/>
    </w:p>
    <w:p w14:paraId="034C9007">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关于劳务作业分包单位应办理的保险的其他约定：</w:t>
      </w:r>
      <w:r>
        <w:rPr>
          <w:rFonts w:hint="eastAsia" w:ascii="宋体" w:hAnsi="宋体" w:cs="宋体"/>
          <w:color w:val="auto"/>
          <w:kern w:val="0"/>
          <w:sz w:val="24"/>
          <w:highlight w:val="none"/>
          <w:u w:val="single"/>
          <w:lang w:bidi="ar"/>
        </w:rPr>
        <w:t>必须按国家有关规定，为进场施工人员购买建筑施工人员团体意外伤害保险或工伤保险，其保险赔付费用不低于50+5（万元）标准。</w:t>
      </w:r>
    </w:p>
    <w:p w14:paraId="233F4AD5">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关于劳务作业分包单位办理保险的时间及劳务作业分包单位不履行上述义务应承担的违约责任：</w:t>
      </w:r>
      <w:r>
        <w:rPr>
          <w:rFonts w:hint="eastAsia" w:ascii="宋体" w:hAnsi="宋体" w:cs="宋体"/>
          <w:color w:val="auto"/>
          <w:kern w:val="0"/>
          <w:sz w:val="24"/>
          <w:highlight w:val="none"/>
          <w:u w:val="single"/>
          <w:lang w:bidi="ar"/>
        </w:rPr>
        <w:t>劳务作业分包单位应在进场前完成保险的办理。若劳务作业分包单位未办理保险则总承包单位将发出“限期办理保险”的指令，并按专用合同条款14.3（1）条向总承包单位支付违约金。</w:t>
      </w:r>
    </w:p>
    <w:p w14:paraId="713E3668">
      <w:pPr>
        <w:pStyle w:val="4"/>
        <w:widowControl w:val="0"/>
        <w:wordWrap w:val="0"/>
        <w:spacing w:before="0" w:after="0" w:line="360" w:lineRule="auto"/>
        <w:rPr>
          <w:rFonts w:ascii="宋体" w:hAnsi="宋体" w:cs="宋体"/>
          <w:color w:val="auto"/>
          <w:sz w:val="24"/>
          <w:szCs w:val="24"/>
          <w:highlight w:val="none"/>
        </w:rPr>
      </w:pPr>
      <w:bookmarkStart w:id="791" w:name="_Toc18441"/>
      <w:bookmarkStart w:id="792" w:name="_Toc2773"/>
      <w:bookmarkStart w:id="793" w:name="_Toc30204"/>
      <w:bookmarkStart w:id="794" w:name="_Toc18803"/>
      <w:bookmarkStart w:id="795" w:name="_Toc22646"/>
      <w:bookmarkStart w:id="796" w:name="_Toc11482"/>
      <w:r>
        <w:rPr>
          <w:rFonts w:hint="eastAsia" w:ascii="宋体" w:hAnsi="宋体" w:cs="宋体"/>
          <w:color w:val="auto"/>
          <w:sz w:val="24"/>
          <w:szCs w:val="24"/>
          <w:highlight w:val="none"/>
        </w:rPr>
        <w:t>17、索赔</w:t>
      </w:r>
      <w:bookmarkEnd w:id="791"/>
      <w:bookmarkEnd w:id="792"/>
      <w:bookmarkEnd w:id="793"/>
      <w:bookmarkEnd w:id="794"/>
      <w:bookmarkEnd w:id="795"/>
      <w:bookmarkEnd w:id="796"/>
    </w:p>
    <w:p w14:paraId="42B51D3C">
      <w:pPr>
        <w:pStyle w:val="5"/>
        <w:widowControl w:val="0"/>
        <w:wordWrap w:val="0"/>
        <w:spacing w:before="0" w:after="0" w:line="360" w:lineRule="auto"/>
        <w:ind w:firstLine="240"/>
        <w:rPr>
          <w:rFonts w:ascii="宋体" w:hAnsi="宋体" w:cs="宋体"/>
          <w:color w:val="auto"/>
          <w:sz w:val="24"/>
          <w:szCs w:val="24"/>
          <w:highlight w:val="none"/>
        </w:rPr>
      </w:pPr>
      <w:bookmarkStart w:id="797" w:name="_Toc26889"/>
      <w:bookmarkStart w:id="798" w:name="_Toc196"/>
      <w:bookmarkStart w:id="799" w:name="_Toc9628"/>
      <w:bookmarkStart w:id="800" w:name="_Toc20772"/>
      <w:bookmarkStart w:id="801" w:name="_Toc23025"/>
      <w:bookmarkStart w:id="802" w:name="_Toc12403"/>
      <w:r>
        <w:rPr>
          <w:rFonts w:hint="eastAsia" w:ascii="宋体" w:hAnsi="宋体" w:cs="宋体"/>
          <w:color w:val="auto"/>
          <w:sz w:val="24"/>
          <w:szCs w:val="24"/>
          <w:highlight w:val="none"/>
        </w:rPr>
        <w:t>17.1、配合索赔</w:t>
      </w:r>
      <w:bookmarkEnd w:id="797"/>
      <w:bookmarkEnd w:id="798"/>
      <w:bookmarkEnd w:id="799"/>
      <w:bookmarkEnd w:id="800"/>
      <w:bookmarkEnd w:id="801"/>
      <w:bookmarkEnd w:id="802"/>
    </w:p>
    <w:p w14:paraId="1078EDD8">
      <w:pPr>
        <w:keepNext/>
        <w:keepLines/>
        <w:wordWrap w:val="0"/>
        <w:spacing w:line="360" w:lineRule="auto"/>
        <w:ind w:firstLine="456" w:firstLineChars="200"/>
        <w:jc w:val="left"/>
        <w:textAlignment w:val="top"/>
        <w:rPr>
          <w:rFonts w:ascii="宋体" w:hAnsi="宋体" w:cs="宋体"/>
          <w:color w:val="auto"/>
          <w:spacing w:val="-6"/>
          <w:sz w:val="24"/>
          <w:highlight w:val="none"/>
        </w:rPr>
      </w:pPr>
      <w:r>
        <w:rPr>
          <w:rFonts w:hint="eastAsia" w:ascii="宋体" w:hAnsi="宋体" w:cs="宋体"/>
          <w:color w:val="auto"/>
          <w:spacing w:val="-6"/>
          <w:kern w:val="0"/>
          <w:sz w:val="24"/>
          <w:highlight w:val="none"/>
          <w:lang w:bidi="ar"/>
        </w:rPr>
        <w:t>17.1.1、总承包单位根据施工合同向建设单位递交索赔意向通知或其它资料时，劳务作业分包单位应予以积极配合，并出示相应资料，以便总承包单位能遵守施工合同的约定。</w:t>
      </w:r>
    </w:p>
    <w:p w14:paraId="25E0450F">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17.1.2、在劳务作业实施过程中，如劳务作业分包单位向总承包单位提出索赔，且总承包单位认为可以根据施工合同向建设单位提起索赔的，则总承包单位应该采取一切合理步骤，向建设单位主张追加付款和（或）延长作业期限，劳务作业分包单位应予以配合。</w:t>
      </w:r>
    </w:p>
    <w:p w14:paraId="1FBD3B8F">
      <w:pPr>
        <w:pStyle w:val="5"/>
        <w:widowControl w:val="0"/>
        <w:wordWrap w:val="0"/>
        <w:spacing w:before="0" w:after="0" w:line="360" w:lineRule="auto"/>
        <w:ind w:firstLine="240"/>
        <w:rPr>
          <w:rFonts w:ascii="宋体" w:hAnsi="宋体" w:cs="宋体"/>
          <w:color w:val="auto"/>
          <w:sz w:val="24"/>
          <w:szCs w:val="24"/>
          <w:highlight w:val="none"/>
        </w:rPr>
      </w:pPr>
      <w:bookmarkStart w:id="803" w:name="_Toc4540"/>
      <w:bookmarkStart w:id="804" w:name="_Toc29170"/>
      <w:bookmarkStart w:id="805" w:name="_Toc31173"/>
      <w:bookmarkStart w:id="806" w:name="_Toc1878"/>
      <w:bookmarkStart w:id="807" w:name="_Toc15036"/>
      <w:bookmarkStart w:id="808" w:name="_Toc23013"/>
      <w:r>
        <w:rPr>
          <w:rFonts w:hint="eastAsia" w:ascii="宋体" w:hAnsi="宋体" w:cs="宋体"/>
          <w:color w:val="auto"/>
          <w:sz w:val="24"/>
          <w:szCs w:val="24"/>
          <w:highlight w:val="none"/>
        </w:rPr>
        <w:t>17.2、劳务作业分包单位索赔</w:t>
      </w:r>
      <w:bookmarkEnd w:id="803"/>
      <w:bookmarkEnd w:id="804"/>
      <w:bookmarkEnd w:id="805"/>
      <w:bookmarkEnd w:id="806"/>
      <w:bookmarkEnd w:id="807"/>
      <w:bookmarkEnd w:id="808"/>
    </w:p>
    <w:p w14:paraId="5B6AE062">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根据合同约定，劳务作业分包单位认为有权得到追加付款和（或）延长作业期限的，应按下列程序以书面形式向总承包单位提出索赔：</w:t>
      </w:r>
    </w:p>
    <w:p w14:paraId="17D77AA2">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劳务作业分包单位应在知道或应当知道索赔事件发生后14天内，向总承包单位发出索赔意向通知书，并说明发生索赔事件的事由；劳务作业分包单位未在前述14天内发出索赔意向通知书的，视为放弃要求追加付款和（或）延长作业期限的权利；</w:t>
      </w:r>
    </w:p>
    <w:p w14:paraId="39EECE5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（2）劳务作业分包单位应在发出索赔意向通知书后14天内，向总承包单位正式递交索赔报告；索赔报告应详细说明索赔理由以及要求追加的付款金额和（或）延长的作业期限，并附必要的记录和证明材料；</w:t>
      </w:r>
    </w:p>
    <w:p w14:paraId="6AAB75D8">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（3）当该项索赔事件持续进行时，劳务作业分包单位应当阶段性地向总承包单位发出索赔意向，并应在索赔事件终了后14天内，向总承包单位送交索赔的有关资料和最终索赔报告；</w:t>
      </w:r>
    </w:p>
    <w:p w14:paraId="4F07731B">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（4）总承包单位在收到劳务作业分包单位送交的索赔报告和有关资料后，应于35天内给予答复，或要求劳务作业分包单位进一步补充索赔理由和证据；</w:t>
      </w:r>
    </w:p>
    <w:p w14:paraId="046E6382">
      <w:pPr>
        <w:pStyle w:val="5"/>
        <w:widowControl w:val="0"/>
        <w:wordWrap w:val="0"/>
        <w:spacing w:before="0" w:after="0" w:line="360" w:lineRule="auto"/>
        <w:ind w:firstLine="240"/>
        <w:rPr>
          <w:rFonts w:ascii="宋体" w:hAnsi="宋体" w:cs="宋体"/>
          <w:color w:val="auto"/>
          <w:sz w:val="24"/>
          <w:szCs w:val="24"/>
          <w:highlight w:val="none"/>
        </w:rPr>
      </w:pPr>
      <w:bookmarkStart w:id="809" w:name="_Toc6414"/>
      <w:bookmarkStart w:id="810" w:name="_Toc2297"/>
      <w:bookmarkStart w:id="811" w:name="_Toc11596"/>
      <w:bookmarkStart w:id="812" w:name="_Toc2515"/>
      <w:bookmarkStart w:id="813" w:name="_Toc17626"/>
      <w:bookmarkStart w:id="814" w:name="_Toc24071"/>
      <w:r>
        <w:rPr>
          <w:rFonts w:hint="eastAsia" w:ascii="宋体" w:hAnsi="宋体" w:cs="宋体"/>
          <w:color w:val="auto"/>
          <w:sz w:val="24"/>
          <w:szCs w:val="24"/>
          <w:highlight w:val="none"/>
        </w:rPr>
        <w:t>17.3、总承包单位索赔</w:t>
      </w:r>
      <w:bookmarkEnd w:id="809"/>
      <w:bookmarkEnd w:id="810"/>
      <w:bookmarkEnd w:id="811"/>
      <w:bookmarkEnd w:id="812"/>
      <w:bookmarkEnd w:id="813"/>
      <w:bookmarkEnd w:id="814"/>
    </w:p>
    <w:p w14:paraId="14561EEB">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根据合同约定，总承包单位认为有权得到赔付金额的，应以书面形式向劳务作业分包单位提出索赔，劳务作业分包单位在收到总承包单位送交的索赔报告和有关资料后14天内未予答复或未要求总承包单位进一步补充索赔理由和证据的，视为认可该项索赔。</w:t>
      </w:r>
    </w:p>
    <w:p w14:paraId="351E7561">
      <w:pPr>
        <w:pStyle w:val="5"/>
        <w:widowControl w:val="0"/>
        <w:wordWrap w:val="0"/>
        <w:spacing w:before="0" w:after="0" w:line="360" w:lineRule="auto"/>
        <w:ind w:firstLine="240"/>
        <w:rPr>
          <w:rFonts w:ascii="宋体" w:hAnsi="宋体" w:cs="宋体"/>
          <w:color w:val="auto"/>
          <w:sz w:val="24"/>
          <w:szCs w:val="24"/>
          <w:highlight w:val="none"/>
        </w:rPr>
      </w:pPr>
      <w:bookmarkStart w:id="815" w:name="_Toc12669"/>
      <w:bookmarkStart w:id="816" w:name="_Toc27532"/>
      <w:bookmarkStart w:id="817" w:name="_Toc20823"/>
      <w:bookmarkStart w:id="818" w:name="_Toc9371"/>
      <w:bookmarkStart w:id="819" w:name="_Toc13151"/>
      <w:bookmarkStart w:id="820" w:name="_Toc3483"/>
      <w:r>
        <w:rPr>
          <w:rFonts w:hint="eastAsia" w:ascii="宋体" w:hAnsi="宋体" w:cs="宋体"/>
          <w:color w:val="auto"/>
          <w:sz w:val="24"/>
          <w:szCs w:val="24"/>
          <w:highlight w:val="none"/>
        </w:rPr>
        <w:t>17.4、与违约责任的竞合</w:t>
      </w:r>
      <w:bookmarkEnd w:id="815"/>
      <w:bookmarkEnd w:id="816"/>
      <w:bookmarkEnd w:id="817"/>
      <w:bookmarkEnd w:id="818"/>
      <w:bookmarkEnd w:id="819"/>
      <w:bookmarkEnd w:id="820"/>
    </w:p>
    <w:p w14:paraId="4D170BA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除专用合同条款另有约定外，合同约定总承包单位与劳务作业分包单位应当承担违约责任的，按照违约责任条款执行。</w:t>
      </w:r>
    </w:p>
    <w:p w14:paraId="1E8CB8A0">
      <w:pPr>
        <w:pStyle w:val="4"/>
        <w:widowControl w:val="0"/>
        <w:wordWrap w:val="0"/>
        <w:spacing w:before="0" w:after="0" w:line="360" w:lineRule="auto"/>
        <w:rPr>
          <w:rFonts w:ascii="宋体" w:hAnsi="宋体" w:cs="宋体"/>
          <w:color w:val="auto"/>
          <w:sz w:val="24"/>
          <w:szCs w:val="24"/>
          <w:highlight w:val="none"/>
        </w:rPr>
      </w:pPr>
      <w:bookmarkStart w:id="821" w:name="_Toc1771"/>
      <w:bookmarkStart w:id="822" w:name="_Toc8268"/>
      <w:bookmarkStart w:id="823" w:name="_Toc8108"/>
      <w:bookmarkStart w:id="824" w:name="_Toc9819"/>
      <w:bookmarkStart w:id="825" w:name="_Toc25035"/>
      <w:bookmarkStart w:id="826" w:name="_Toc8243"/>
      <w:r>
        <w:rPr>
          <w:rFonts w:hint="eastAsia" w:ascii="宋体" w:hAnsi="宋体" w:cs="宋体"/>
          <w:color w:val="auto"/>
          <w:sz w:val="24"/>
          <w:szCs w:val="24"/>
          <w:highlight w:val="none"/>
        </w:rPr>
        <w:t>18、合同解除</w:t>
      </w:r>
      <w:bookmarkEnd w:id="821"/>
      <w:bookmarkEnd w:id="822"/>
      <w:bookmarkEnd w:id="823"/>
      <w:bookmarkEnd w:id="824"/>
      <w:bookmarkEnd w:id="825"/>
      <w:bookmarkEnd w:id="826"/>
    </w:p>
    <w:p w14:paraId="66CAE60F">
      <w:pPr>
        <w:pStyle w:val="5"/>
        <w:widowControl w:val="0"/>
        <w:wordWrap w:val="0"/>
        <w:spacing w:before="0" w:after="0" w:line="360" w:lineRule="auto"/>
        <w:ind w:firstLine="240"/>
        <w:rPr>
          <w:rFonts w:ascii="宋体" w:hAnsi="宋体" w:cs="宋体"/>
          <w:color w:val="auto"/>
          <w:sz w:val="24"/>
          <w:szCs w:val="24"/>
          <w:highlight w:val="none"/>
        </w:rPr>
      </w:pPr>
      <w:bookmarkStart w:id="827" w:name="_Toc10680"/>
      <w:bookmarkStart w:id="828" w:name="_Toc19788"/>
      <w:bookmarkStart w:id="829" w:name="_Toc27634"/>
      <w:bookmarkStart w:id="830" w:name="_Toc27189"/>
      <w:bookmarkStart w:id="831" w:name="_Toc20628"/>
      <w:bookmarkStart w:id="832" w:name="_Toc12115"/>
      <w:r>
        <w:rPr>
          <w:rFonts w:hint="eastAsia" w:ascii="宋体" w:hAnsi="宋体" w:cs="宋体"/>
          <w:color w:val="auto"/>
          <w:kern w:val="0"/>
          <w:sz w:val="24"/>
          <w:szCs w:val="24"/>
          <w:highlight w:val="none"/>
          <w:lang w:bidi="ar"/>
        </w:rPr>
        <w:t>18.1、合同解除的情形；</w:t>
      </w:r>
      <w:bookmarkEnd w:id="827"/>
      <w:bookmarkEnd w:id="828"/>
      <w:bookmarkEnd w:id="829"/>
      <w:bookmarkEnd w:id="830"/>
      <w:bookmarkEnd w:id="831"/>
      <w:bookmarkEnd w:id="832"/>
    </w:p>
    <w:p w14:paraId="02B38D45">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18.1.1、出现下列情形的，合同当事人均有权解除本合同：</w:t>
      </w:r>
    </w:p>
    <w:p w14:paraId="34FF3C6E">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（1）因不可抗力导致合同无法履行连续超过84天或累计超过140天，合同当事人均有权解除合同；</w:t>
      </w:r>
    </w:p>
    <w:p w14:paraId="2FBC00C6">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（2）总承包单位与建设单位的施工合同解除的，合同当事人均有权解除合同；</w:t>
      </w:r>
    </w:p>
    <w:p w14:paraId="53416387">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（3）专用合同条款约定的其他情形。</w:t>
      </w:r>
    </w:p>
    <w:p w14:paraId="4CF46083">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18.1.2、出现下列情形的，总承包单位有权解除本合同：</w:t>
      </w:r>
    </w:p>
    <w:p w14:paraId="2F4F3863">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（1）劳务作业分包单位将本合同项下的劳务作业转包或再分包给他人或其他单位的；</w:t>
      </w:r>
    </w:p>
    <w:p w14:paraId="3413C8B8">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（2）劳务作业分包单位劳务作业质量不符合本合同约定的质量标准且无法整改的；</w:t>
      </w:r>
    </w:p>
    <w:p w14:paraId="022E2DCC">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（3）劳务作业分包单位不按照本合同的约定提供符合作业要求的作业人员或不履行本合同约定的其他义务，其违约行为足以影响本工作的质量、安全、作业期限，且经总承包单位书面催告后未按期改正的；</w:t>
      </w:r>
    </w:p>
    <w:p w14:paraId="4188820D">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（4）除专用条款另有约定外，因劳务作业分包单位原因导致劳务作业暂停持续超过14天不复工的，或虽未超过14天但已经导致合同目的不能实现的；</w:t>
      </w:r>
    </w:p>
    <w:p w14:paraId="5CE7E652">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（5）劳务作业分包单位未按照合同约定向劳务作业人员支付报酬，导致引发5人以上的群体性事件的；</w:t>
      </w:r>
    </w:p>
    <w:p w14:paraId="3DE32DA4">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（6）劳务作业分包单位出现通用条款14 条约定违约情形的</w:t>
      </w:r>
    </w:p>
    <w:p w14:paraId="77696A3C">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（7）专用合同条款约定的其他情形。</w:t>
      </w:r>
    </w:p>
    <w:p w14:paraId="52EB5A4E">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18.1.3、总承包单位和劳务作业分包单位协商一致的，可以解除本合同。</w:t>
      </w:r>
    </w:p>
    <w:p w14:paraId="2225C607">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18.2、合同解除后的处理； </w:t>
      </w:r>
    </w:p>
    <w:p w14:paraId="2B21570C">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18.2.1、合同解除后，总承包单位应及时与劳务作业分包单位办理合同结算支付手续。</w:t>
      </w:r>
    </w:p>
    <w:p w14:paraId="7232197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18.2.2、合同解除后，劳务作业分包单位应妥善做好已完工作和剩余材料、设备的保护和移交工作，按总承包单位要求撤出劳务作业现场。总承包单位应为劳务作业分包单位撤出提供必要条件。</w:t>
      </w:r>
    </w:p>
    <w:p w14:paraId="54223CD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18.2.3、合同解除后，不影响双方在合同中约定的结算和违约条款的效力。有过错的一方应当承担违约责任，并赔偿因合同解除给对方造成的损失。</w:t>
      </w:r>
    </w:p>
    <w:p w14:paraId="3B2F5D1F">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18.2.4、合同解除退场</w:t>
      </w:r>
    </w:p>
    <w:p w14:paraId="7F7592D5">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除专用合同条款另有约定外，总承包单位提前7天向劳务作业分包单位发出撤场通知，劳务作业分包单位应当在总承包单位要求的期限内撤离劳务作业人员并办理好相关手续。</w:t>
      </w:r>
      <w:r>
        <w:rPr>
          <w:rFonts w:hint="eastAsia" w:ascii="宋体" w:hAnsi="宋体" w:cs="宋体"/>
          <w:color w:val="auto"/>
          <w:kern w:val="0"/>
          <w:sz w:val="24"/>
          <w:highlight w:val="none"/>
          <w:u w:val="single"/>
          <w:lang w:bidi="ar"/>
        </w:rPr>
        <w:t xml:space="preserve">若劳务作业分包单位逾期撤离劳务作业人员，则应按照专用合同条款约定向总承包单位支付违约金。 </w:t>
      </w:r>
    </w:p>
    <w:p w14:paraId="374E9BF0">
      <w:pPr>
        <w:pStyle w:val="4"/>
        <w:widowControl w:val="0"/>
        <w:wordWrap w:val="0"/>
        <w:spacing w:before="0" w:after="0" w:line="360" w:lineRule="auto"/>
        <w:rPr>
          <w:rFonts w:ascii="宋体" w:hAnsi="宋体" w:cs="宋体"/>
          <w:color w:val="auto"/>
          <w:sz w:val="24"/>
          <w:szCs w:val="24"/>
          <w:highlight w:val="none"/>
        </w:rPr>
      </w:pPr>
      <w:bookmarkStart w:id="833" w:name="_Toc25690"/>
      <w:bookmarkStart w:id="834" w:name="_Toc29101"/>
      <w:bookmarkStart w:id="835" w:name="_Toc9913"/>
      <w:bookmarkStart w:id="836" w:name="_Toc22340"/>
      <w:bookmarkStart w:id="837" w:name="_Toc27997"/>
      <w:bookmarkStart w:id="838" w:name="_Toc6284"/>
      <w:r>
        <w:rPr>
          <w:rFonts w:hint="eastAsia" w:ascii="宋体" w:hAnsi="宋体" w:cs="宋体"/>
          <w:color w:val="auto"/>
          <w:sz w:val="24"/>
          <w:szCs w:val="24"/>
          <w:highlight w:val="none"/>
        </w:rPr>
        <w:t>19、争议解决</w:t>
      </w:r>
      <w:bookmarkEnd w:id="833"/>
      <w:bookmarkEnd w:id="834"/>
      <w:bookmarkEnd w:id="835"/>
      <w:bookmarkEnd w:id="836"/>
      <w:bookmarkEnd w:id="837"/>
      <w:bookmarkEnd w:id="838"/>
    </w:p>
    <w:p w14:paraId="45153EF8">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合同当事人因合同及合同有关事项发生争议的，按下列第(</w:t>
      </w:r>
      <w:r>
        <w:rPr>
          <w:rFonts w:hint="eastAsia" w:ascii="宋体" w:hAnsi="宋体" w:cs="宋体"/>
          <w:color w:val="auto"/>
          <w:kern w:val="0"/>
          <w:sz w:val="24"/>
          <w:highlight w:val="none"/>
          <w:u w:val="single"/>
          <w:lang w:bidi="ar"/>
        </w:rPr>
        <w:t xml:space="preserve"> 1 </w:t>
      </w:r>
      <w:r>
        <w:rPr>
          <w:rFonts w:hint="eastAsia" w:ascii="宋体" w:hAnsi="宋体" w:cs="宋体"/>
          <w:color w:val="auto"/>
          <w:kern w:val="0"/>
          <w:sz w:val="24"/>
          <w:highlight w:val="none"/>
          <w:lang w:bidi="ar"/>
        </w:rPr>
        <w:t>) 种方式解决：</w:t>
      </w:r>
    </w:p>
    <w:p w14:paraId="1BE15A9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（1）向重庆仲裁委员会申请仲裁。</w:t>
      </w:r>
    </w:p>
    <w:p w14:paraId="07411F4C">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（2）向</w:t>
      </w:r>
      <w:r>
        <w:rPr>
          <w:rFonts w:hint="eastAsia" w:ascii="宋体" w:hAnsi="宋体" w:cs="宋体"/>
          <w:color w:val="auto"/>
          <w:kern w:val="0"/>
          <w:sz w:val="24"/>
          <w:highlight w:val="none"/>
          <w:u w:val="single"/>
          <w:lang w:bidi="ar"/>
        </w:rPr>
        <w:t xml:space="preserve"> 总承包单位所在地 </w:t>
      </w:r>
      <w:r>
        <w:rPr>
          <w:rFonts w:hint="eastAsia" w:ascii="宋体" w:hAnsi="宋体" w:cs="宋体"/>
          <w:color w:val="auto"/>
          <w:kern w:val="0"/>
          <w:sz w:val="24"/>
          <w:highlight w:val="none"/>
          <w:lang w:bidi="ar"/>
        </w:rPr>
        <w:t>人民法院起诉。</w:t>
      </w:r>
    </w:p>
    <w:p w14:paraId="42810DD9">
      <w:pPr>
        <w:pStyle w:val="4"/>
        <w:widowControl w:val="0"/>
        <w:wordWrap w:val="0"/>
        <w:spacing w:before="0" w:after="0" w:line="360" w:lineRule="auto"/>
        <w:rPr>
          <w:rFonts w:ascii="宋体" w:hAnsi="宋体" w:cs="宋体"/>
          <w:color w:val="auto"/>
          <w:sz w:val="24"/>
          <w:szCs w:val="24"/>
          <w:highlight w:val="none"/>
        </w:rPr>
      </w:pPr>
      <w:bookmarkStart w:id="839" w:name="_Toc19115"/>
      <w:bookmarkStart w:id="840" w:name="_Toc1505"/>
      <w:bookmarkStart w:id="841" w:name="_Toc7031"/>
      <w:bookmarkStart w:id="842" w:name="_Toc20397"/>
      <w:bookmarkStart w:id="843" w:name="_Toc5485"/>
      <w:bookmarkStart w:id="844" w:name="_Toc20252"/>
      <w:r>
        <w:rPr>
          <w:rFonts w:hint="eastAsia" w:ascii="宋体" w:hAnsi="宋体" w:cs="宋体"/>
          <w:color w:val="auto"/>
          <w:sz w:val="24"/>
          <w:szCs w:val="24"/>
          <w:highlight w:val="none"/>
        </w:rPr>
        <w:t>20、其他约定</w:t>
      </w:r>
      <w:bookmarkEnd w:id="839"/>
      <w:bookmarkEnd w:id="840"/>
      <w:bookmarkEnd w:id="841"/>
      <w:bookmarkEnd w:id="842"/>
      <w:bookmarkEnd w:id="843"/>
      <w:bookmarkEnd w:id="844"/>
    </w:p>
    <w:p w14:paraId="3A76567E">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20.1、总承包单位有权从支付给劳务作业分包单位的款项中扣除总承包单位代付代缴费和按合同、法律、条例等规定所有应缴纳的法定费用、税项及双方约定的费用。</w:t>
      </w:r>
    </w:p>
    <w:p w14:paraId="2AE5EFDE">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20.2、在施工过程中，劳务作业分包单位须严格执行总承包单位质量、安全、综合治理和防火、环保、施工现场标准化等管理规定。每日施工完毕后，施工现场做到工完、料尽、场地清。场容标准化达到验收标准；工程完工后，清理所做工程项目的标志、污斑、指印和其他油污、脏物，清运自用工具、机械和设备，达到交工前的清理标准。</w:t>
      </w:r>
    </w:p>
    <w:p w14:paraId="37E16B5B">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劳务作业分包单位如违反相关规定，总承包单位有权要求劳务作业分包单位支付违约金，直至终止合同，损失的费用由劳务作业分包单位承担。</w:t>
      </w:r>
    </w:p>
    <w:p w14:paraId="461D320C">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20.3、劳务作业分包单位在施工中如违章作业，由此造成的伤亡和一切经济损失由其自负；总承包单位不承担任何责任，并有权要求劳务作业分包单位承担违约金。</w:t>
      </w:r>
    </w:p>
    <w:p w14:paraId="60991F7E">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20.4、劳务作业分包单位负责编制竣工技术资料和结算资料，并在总承包单位要求的时间节点内完成资料编制和结算工作。</w:t>
      </w:r>
    </w:p>
    <w:p w14:paraId="068BD99B">
      <w:pPr>
        <w:keepNext/>
        <w:keepLines/>
        <w:wordWrap w:val="0"/>
        <w:spacing w:line="360" w:lineRule="auto"/>
        <w:ind w:firstLine="480" w:firstLineChars="200"/>
        <w:jc w:val="left"/>
        <w:textAlignment w:val="top"/>
        <w:rPr>
          <w:rFonts w:ascii="宋体" w:hAnsi="宋体" w:cs="宋体"/>
          <w:color w:val="auto"/>
          <w:spacing w:val="-6"/>
          <w:kern w:val="0"/>
          <w:sz w:val="24"/>
          <w:highlight w:val="none"/>
          <w:lang w:bidi="ar"/>
        </w:rPr>
      </w:pPr>
      <w:r>
        <w:rPr>
          <w:rFonts w:hint="eastAsia" w:ascii="宋体" w:hAnsi="宋体" w:cs="宋体"/>
          <w:color w:val="auto"/>
          <w:kern w:val="0"/>
          <w:sz w:val="24"/>
          <w:highlight w:val="none"/>
          <w:lang w:bidi="ar"/>
        </w:rPr>
        <w:t>20.5、总承包单位项目部章及项目部资料专用章不得用于签订经济合同或确认与经济相关事项，如发生使用此类假印章签订的合同、协议及确认文书均为无效，由此引发的一切责任、费用均由劳务作业分包单位承担。</w:t>
      </w:r>
      <w:r>
        <w:rPr>
          <w:rFonts w:hint="eastAsia" w:ascii="宋体" w:hAnsi="宋体" w:cs="宋体"/>
          <w:color w:val="auto"/>
          <w:spacing w:val="-6"/>
          <w:kern w:val="0"/>
          <w:sz w:val="24"/>
          <w:highlight w:val="none"/>
          <w:lang w:bidi="ar"/>
        </w:rPr>
        <w:t>劳务作业分包单位对此已充分知晓并接受该条款的约束。</w:t>
      </w:r>
    </w:p>
    <w:p w14:paraId="7E6225D3">
      <w:pPr>
        <w:keepNext/>
        <w:keepLines/>
        <w:wordWrap w:val="0"/>
        <w:spacing w:line="360" w:lineRule="auto"/>
        <w:ind w:firstLine="480"/>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20.6、低价风险担保（如有）：劳务分包单位提供低价风险担保的形式、金额及期限等：按</w:t>
      </w:r>
      <w:r>
        <w:rPr>
          <w:rFonts w:hint="eastAsia" w:ascii="宋体" w:hAnsi="宋体" w:cs="宋体"/>
          <w:color w:val="auto"/>
          <w:kern w:val="0"/>
          <w:sz w:val="24"/>
          <w:highlight w:val="none"/>
          <w:lang w:eastAsia="zh-CN" w:bidi="ar"/>
        </w:rPr>
        <w:t>比选文件</w:t>
      </w:r>
      <w:r>
        <w:rPr>
          <w:rFonts w:hint="eastAsia" w:ascii="宋体" w:hAnsi="宋体" w:cs="宋体"/>
          <w:color w:val="auto"/>
          <w:kern w:val="0"/>
          <w:sz w:val="24"/>
          <w:highlight w:val="none"/>
          <w:lang w:bidi="ar"/>
        </w:rPr>
        <w:t>/竞争性比选文件执行。</w:t>
      </w:r>
    </w:p>
    <w:p w14:paraId="52A3BA2D">
      <w:pPr>
        <w:keepNext/>
        <w:keepLines/>
        <w:wordWrap w:val="0"/>
        <w:spacing w:line="360" w:lineRule="auto"/>
        <w:ind w:firstLine="48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20.7劳务作业分包单位针对各工程量清单项目的</w:t>
      </w:r>
      <w:r>
        <w:rPr>
          <w:rFonts w:hint="eastAsia" w:ascii="宋体" w:hAnsi="宋体" w:cs="宋体"/>
          <w:color w:val="auto"/>
          <w:kern w:val="0"/>
          <w:sz w:val="24"/>
          <w:highlight w:val="none"/>
          <w:lang w:eastAsia="zh-CN" w:bidi="ar"/>
        </w:rPr>
        <w:t>比选</w:t>
      </w:r>
      <w:r>
        <w:rPr>
          <w:rFonts w:hint="eastAsia" w:ascii="宋体" w:hAnsi="宋体" w:cs="宋体"/>
          <w:color w:val="auto"/>
          <w:kern w:val="0"/>
          <w:sz w:val="24"/>
          <w:highlight w:val="none"/>
          <w:lang w:bidi="ar"/>
        </w:rPr>
        <w:t>单价均不得超过总承包单位设置的对应工程量清单项目的单价最高限价。若某一个工程量清单项目的</w:t>
      </w:r>
      <w:r>
        <w:rPr>
          <w:rFonts w:hint="eastAsia" w:ascii="宋体" w:hAnsi="宋体" w:cs="宋体"/>
          <w:color w:val="auto"/>
          <w:kern w:val="0"/>
          <w:sz w:val="24"/>
          <w:highlight w:val="none"/>
          <w:lang w:eastAsia="zh-CN" w:bidi="ar"/>
        </w:rPr>
        <w:t>比选</w:t>
      </w:r>
      <w:r>
        <w:rPr>
          <w:rFonts w:hint="eastAsia" w:ascii="宋体" w:hAnsi="宋体" w:cs="宋体"/>
          <w:color w:val="auto"/>
          <w:kern w:val="0"/>
          <w:sz w:val="24"/>
          <w:highlight w:val="none"/>
          <w:lang w:bidi="ar"/>
        </w:rPr>
        <w:t>单价超过了对应工程量清单项目的单价最高限价，则其</w:t>
      </w:r>
      <w:r>
        <w:rPr>
          <w:rFonts w:hint="eastAsia" w:ascii="宋体" w:hAnsi="宋体" w:cs="宋体"/>
          <w:color w:val="auto"/>
          <w:kern w:val="0"/>
          <w:sz w:val="24"/>
          <w:highlight w:val="none"/>
          <w:lang w:eastAsia="zh-CN" w:bidi="ar"/>
        </w:rPr>
        <w:t>中选</w:t>
      </w:r>
      <w:r>
        <w:rPr>
          <w:rFonts w:hint="eastAsia" w:ascii="宋体" w:hAnsi="宋体" w:cs="宋体"/>
          <w:color w:val="auto"/>
          <w:kern w:val="0"/>
          <w:sz w:val="24"/>
          <w:highlight w:val="none"/>
          <w:lang w:bidi="ar"/>
        </w:rPr>
        <w:t>后该项工程量清单项目的</w:t>
      </w:r>
      <w:r>
        <w:rPr>
          <w:rFonts w:hint="eastAsia" w:ascii="宋体" w:hAnsi="宋体" w:cs="宋体"/>
          <w:color w:val="auto"/>
          <w:kern w:val="0"/>
          <w:sz w:val="24"/>
          <w:highlight w:val="none"/>
          <w:lang w:eastAsia="zh-CN" w:bidi="ar"/>
        </w:rPr>
        <w:t>中选</w:t>
      </w:r>
      <w:r>
        <w:rPr>
          <w:rFonts w:hint="eastAsia" w:ascii="宋体" w:hAnsi="宋体" w:cs="宋体"/>
          <w:color w:val="auto"/>
          <w:kern w:val="0"/>
          <w:sz w:val="24"/>
          <w:highlight w:val="none"/>
          <w:lang w:bidi="ar"/>
        </w:rPr>
        <w:t>单价=该项工程量清单项目的单价最高限价×（分包人</w:t>
      </w:r>
      <w:r>
        <w:rPr>
          <w:rFonts w:hint="eastAsia" w:ascii="宋体" w:hAnsi="宋体" w:cs="宋体"/>
          <w:color w:val="auto"/>
          <w:kern w:val="0"/>
          <w:sz w:val="24"/>
          <w:highlight w:val="none"/>
          <w:lang w:eastAsia="zh-CN" w:bidi="ar"/>
        </w:rPr>
        <w:t>中选</w:t>
      </w:r>
      <w:r>
        <w:rPr>
          <w:rFonts w:hint="eastAsia" w:ascii="宋体" w:hAnsi="宋体" w:cs="宋体"/>
          <w:color w:val="auto"/>
          <w:kern w:val="0"/>
          <w:sz w:val="24"/>
          <w:highlight w:val="none"/>
          <w:lang w:bidi="ar"/>
        </w:rPr>
        <w:t>总报价/总价最高限价）。</w:t>
      </w:r>
    </w:p>
    <w:p w14:paraId="7CE332E9">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20.8 </w:t>
      </w:r>
      <w:r>
        <w:rPr>
          <w:rFonts w:hint="eastAsia" w:ascii="宋体" w:hAnsi="宋体" w:cs="宋体"/>
          <w:color w:val="auto"/>
          <w:sz w:val="24"/>
          <w:highlight w:val="none"/>
        </w:rPr>
        <w:t>工程的最低保修期限为：1年</w:t>
      </w:r>
    </w:p>
    <w:p w14:paraId="0655992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w:t>
      </w:r>
      <w:r>
        <w:rPr>
          <w:rFonts w:hint="eastAsia" w:ascii="宋体" w:hAnsi="宋体" w:cs="宋体"/>
          <w:color w:val="auto"/>
          <w:sz w:val="24"/>
          <w:highlight w:val="none"/>
        </w:rPr>
        <w:t>工程的保修期，自本工程竣工合格之日起算；</w:t>
      </w:r>
    </w:p>
    <w:p w14:paraId="5E1A5575">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（2）</w:t>
      </w:r>
      <w:r>
        <w:rPr>
          <w:rFonts w:hint="eastAsia" w:ascii="宋体" w:hAnsi="宋体" w:cs="宋体"/>
          <w:color w:val="auto"/>
          <w:sz w:val="24"/>
          <w:highlight w:val="none"/>
        </w:rPr>
        <w:t>竣工验收合格移交前,分包单位必须向总承包单位递交保修责任书;</w:t>
      </w:r>
    </w:p>
    <w:p w14:paraId="637A35FA">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（3）</w:t>
      </w:r>
      <w:r>
        <w:rPr>
          <w:rFonts w:hint="eastAsia" w:ascii="宋体" w:hAnsi="宋体" w:cs="宋体"/>
          <w:color w:val="auto"/>
          <w:sz w:val="24"/>
          <w:highlight w:val="none"/>
        </w:rPr>
        <w:t>若在工程保修期内发生质量问题的，如总承包单位自己进行处理，处理的费用由分包单位承担，总承包单位从分包单位的工程尾款或质保金中扣出相应费用。</w:t>
      </w:r>
      <w:r>
        <w:rPr>
          <w:rFonts w:hint="eastAsia" w:ascii="宋体" w:hAnsi="宋体" w:cs="宋体"/>
          <w:color w:val="auto"/>
          <w:kern w:val="0"/>
          <w:sz w:val="24"/>
          <w:highlight w:val="none"/>
          <w:lang w:bidi="ar"/>
        </w:rPr>
        <w:t xml:space="preserve"> </w:t>
      </w:r>
    </w:p>
    <w:p w14:paraId="0A71725B">
      <w:pPr>
        <w:widowControl/>
        <w:spacing w:line="360" w:lineRule="auto"/>
        <w:jc w:val="left"/>
        <w:rPr>
          <w:rFonts w:ascii="宋体" w:hAnsi="宋体" w:cs="宋体"/>
          <w:b/>
          <w:color w:val="auto"/>
          <w:kern w:val="0"/>
          <w:sz w:val="32"/>
          <w:szCs w:val="32"/>
          <w:highlight w:val="none"/>
        </w:rPr>
      </w:pPr>
    </w:p>
    <w:p w14:paraId="1DA99C6F">
      <w:pPr>
        <w:widowControl/>
        <w:spacing w:line="240" w:lineRule="auto"/>
        <w:jc w:val="left"/>
        <w:rPr>
          <w:rFonts w:hint="eastAsia" w:ascii="宋体" w:hAnsi="宋体" w:cs="宋体"/>
          <w:b/>
          <w:color w:val="auto"/>
          <w:kern w:val="0"/>
          <w:sz w:val="32"/>
          <w:szCs w:val="32"/>
          <w:highlight w:val="none"/>
        </w:rPr>
      </w:pPr>
      <w:r>
        <w:rPr>
          <w:rFonts w:hint="eastAsia" w:ascii="宋体" w:hAnsi="宋体" w:cs="宋体"/>
          <w:b/>
          <w:color w:val="auto"/>
          <w:kern w:val="0"/>
          <w:sz w:val="32"/>
          <w:szCs w:val="32"/>
          <w:highlight w:val="none"/>
        </w:rPr>
        <w:br w:type="page"/>
      </w:r>
    </w:p>
    <w:p w14:paraId="21531B03">
      <w:pPr>
        <w:widowControl/>
        <w:spacing w:line="360" w:lineRule="auto"/>
        <w:jc w:val="left"/>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附件1：农民工工资支付表</w:t>
      </w:r>
    </w:p>
    <w:p w14:paraId="60721855">
      <w:pPr>
        <w:widowControl/>
        <w:spacing w:line="360" w:lineRule="auto"/>
        <w:jc w:val="left"/>
        <w:rPr>
          <w:rFonts w:ascii="宋体" w:hAnsi="宋体" w:cs="宋体"/>
          <w:color w:val="auto"/>
          <w:highlight w:val="none"/>
        </w:rPr>
      </w:pPr>
      <w:r>
        <w:rPr>
          <w:rFonts w:hint="eastAsia" w:ascii="宋体" w:hAnsi="宋体" w:cs="宋体"/>
          <w:b/>
          <w:color w:val="auto"/>
          <w:kern w:val="0"/>
          <w:sz w:val="32"/>
          <w:szCs w:val="32"/>
          <w:highlight w:val="none"/>
        </w:rPr>
        <w:t>附件2：农民工工资发放公示表</w:t>
      </w:r>
    </w:p>
    <w:p w14:paraId="5A771A73">
      <w:pPr>
        <w:widowControl/>
        <w:spacing w:line="360" w:lineRule="auto"/>
        <w:jc w:val="left"/>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附件3：劳务作业分包工程量清单</w:t>
      </w:r>
    </w:p>
    <w:p w14:paraId="377F0F56">
      <w:pPr>
        <w:pStyle w:val="10"/>
        <w:rPr>
          <w:rFonts w:ascii="宋体" w:hAnsi="宋体" w:cs="宋体"/>
          <w:color w:val="auto"/>
          <w:highlight w:val="none"/>
        </w:rPr>
      </w:pPr>
    </w:p>
    <w:p w14:paraId="559DE6BE">
      <w:pPr>
        <w:pStyle w:val="10"/>
        <w:ind w:left="0" w:leftChars="0"/>
        <w:rPr>
          <w:rFonts w:ascii="宋体" w:hAnsi="宋体" w:cs="宋体"/>
          <w:color w:val="auto"/>
          <w:highlight w:val="none"/>
        </w:rPr>
      </w:pPr>
    </w:p>
    <w:tbl>
      <w:tblPr>
        <w:tblStyle w:val="34"/>
        <w:tblpPr w:leftFromText="180" w:rightFromText="180" w:vertAnchor="text" w:horzAnchor="page" w:tblpX="1950" w:tblpY="6"/>
        <w:tblOverlap w:val="never"/>
        <w:tblW w:w="0" w:type="auto"/>
        <w:jc w:val="center"/>
        <w:tblLayout w:type="fixed"/>
        <w:tblCellMar>
          <w:top w:w="0" w:type="dxa"/>
          <w:left w:w="108" w:type="dxa"/>
          <w:bottom w:w="0" w:type="dxa"/>
          <w:right w:w="108" w:type="dxa"/>
        </w:tblCellMar>
      </w:tblPr>
      <w:tblGrid>
        <w:gridCol w:w="690"/>
        <w:gridCol w:w="960"/>
        <w:gridCol w:w="1033"/>
        <w:gridCol w:w="1022"/>
        <w:gridCol w:w="960"/>
        <w:gridCol w:w="825"/>
        <w:gridCol w:w="1230"/>
        <w:gridCol w:w="1425"/>
        <w:gridCol w:w="1035"/>
      </w:tblGrid>
      <w:tr w14:paraId="48514EE0">
        <w:tblPrEx>
          <w:tblCellMar>
            <w:top w:w="0" w:type="dxa"/>
            <w:left w:w="108" w:type="dxa"/>
            <w:bottom w:w="0" w:type="dxa"/>
            <w:right w:w="108" w:type="dxa"/>
          </w:tblCellMar>
        </w:tblPrEx>
        <w:trPr>
          <w:trHeight w:val="457" w:hRule="atLeast"/>
          <w:jc w:val="center"/>
        </w:trPr>
        <w:tc>
          <w:tcPr>
            <w:tcW w:w="4665" w:type="dxa"/>
            <w:gridSpan w:val="5"/>
            <w:tcBorders>
              <w:top w:val="nil"/>
              <w:left w:val="nil"/>
              <w:bottom w:val="nil"/>
              <w:right w:val="nil"/>
            </w:tcBorders>
            <w:vAlign w:val="bottom"/>
          </w:tcPr>
          <w:p w14:paraId="7345D84D">
            <w:pPr>
              <w:widowControl/>
              <w:jc w:val="left"/>
              <w:textAlignment w:val="bottom"/>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单位及专业工程名称：</w:t>
            </w:r>
          </w:p>
        </w:tc>
        <w:tc>
          <w:tcPr>
            <w:tcW w:w="825" w:type="dxa"/>
            <w:tcBorders>
              <w:top w:val="nil"/>
              <w:left w:val="nil"/>
              <w:bottom w:val="nil"/>
              <w:right w:val="nil"/>
            </w:tcBorders>
            <w:vAlign w:val="center"/>
          </w:tcPr>
          <w:p w14:paraId="16A2683D">
            <w:pPr>
              <w:jc w:val="right"/>
              <w:rPr>
                <w:rFonts w:ascii="宋体" w:hAnsi="宋体" w:cs="宋体"/>
                <w:color w:val="auto"/>
                <w:sz w:val="18"/>
                <w:szCs w:val="18"/>
                <w:highlight w:val="none"/>
              </w:rPr>
            </w:pPr>
          </w:p>
        </w:tc>
        <w:tc>
          <w:tcPr>
            <w:tcW w:w="1230" w:type="dxa"/>
            <w:tcBorders>
              <w:top w:val="nil"/>
              <w:left w:val="nil"/>
              <w:bottom w:val="nil"/>
              <w:right w:val="nil"/>
            </w:tcBorders>
            <w:vAlign w:val="center"/>
          </w:tcPr>
          <w:p w14:paraId="779E8DC4">
            <w:pPr>
              <w:jc w:val="center"/>
              <w:rPr>
                <w:rFonts w:ascii="宋体" w:hAnsi="宋体" w:cs="宋体"/>
                <w:color w:val="auto"/>
                <w:sz w:val="18"/>
                <w:szCs w:val="18"/>
                <w:highlight w:val="none"/>
              </w:rPr>
            </w:pPr>
          </w:p>
        </w:tc>
        <w:tc>
          <w:tcPr>
            <w:tcW w:w="1425" w:type="dxa"/>
            <w:tcBorders>
              <w:top w:val="nil"/>
              <w:left w:val="nil"/>
              <w:bottom w:val="nil"/>
              <w:right w:val="nil"/>
            </w:tcBorders>
            <w:vAlign w:val="center"/>
          </w:tcPr>
          <w:p w14:paraId="400D0B81">
            <w:pPr>
              <w:jc w:val="left"/>
              <w:rPr>
                <w:rFonts w:ascii="宋体" w:hAnsi="宋体" w:cs="宋体"/>
                <w:color w:val="auto"/>
                <w:sz w:val="18"/>
                <w:szCs w:val="18"/>
                <w:highlight w:val="none"/>
              </w:rPr>
            </w:pPr>
          </w:p>
        </w:tc>
        <w:tc>
          <w:tcPr>
            <w:tcW w:w="1035" w:type="dxa"/>
            <w:tcBorders>
              <w:top w:val="nil"/>
              <w:left w:val="nil"/>
              <w:bottom w:val="nil"/>
              <w:right w:val="nil"/>
            </w:tcBorders>
            <w:vAlign w:val="bottom"/>
          </w:tcPr>
          <w:p w14:paraId="492E1087">
            <w:pPr>
              <w:jc w:val="right"/>
              <w:rPr>
                <w:rFonts w:ascii="宋体" w:hAnsi="宋体" w:cs="宋体"/>
                <w:color w:val="auto"/>
                <w:sz w:val="18"/>
                <w:szCs w:val="18"/>
                <w:highlight w:val="none"/>
              </w:rPr>
            </w:pPr>
          </w:p>
        </w:tc>
      </w:tr>
      <w:tr w14:paraId="0D756A42">
        <w:tblPrEx>
          <w:tblCellMar>
            <w:top w:w="0" w:type="dxa"/>
            <w:left w:w="108" w:type="dxa"/>
            <w:bottom w:w="0" w:type="dxa"/>
            <w:right w:w="108" w:type="dxa"/>
          </w:tblCellMar>
        </w:tblPrEx>
        <w:trPr>
          <w:trHeight w:val="362" w:hRule="atLeast"/>
          <w:jc w:val="center"/>
        </w:trPr>
        <w:tc>
          <w:tcPr>
            <w:tcW w:w="690" w:type="dxa"/>
            <w:vMerge w:val="restart"/>
            <w:tcBorders>
              <w:top w:val="single" w:color="000000" w:sz="4" w:space="0"/>
              <w:left w:val="single" w:color="000000" w:sz="4" w:space="0"/>
              <w:bottom w:val="single" w:color="000000" w:sz="4" w:space="0"/>
              <w:right w:val="single" w:color="000000" w:sz="4" w:space="0"/>
            </w:tcBorders>
            <w:vAlign w:val="center"/>
          </w:tcPr>
          <w:p w14:paraId="70CE0BE7">
            <w:pPr>
              <w:widowControl/>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序号</w:t>
            </w:r>
          </w:p>
        </w:tc>
        <w:tc>
          <w:tcPr>
            <w:tcW w:w="960" w:type="dxa"/>
            <w:vMerge w:val="restart"/>
            <w:tcBorders>
              <w:top w:val="single" w:color="000000" w:sz="4" w:space="0"/>
              <w:left w:val="single" w:color="000000" w:sz="4" w:space="0"/>
              <w:bottom w:val="single" w:color="000000" w:sz="4" w:space="0"/>
              <w:right w:val="single" w:color="000000" w:sz="4" w:space="0"/>
            </w:tcBorders>
            <w:vAlign w:val="center"/>
          </w:tcPr>
          <w:p w14:paraId="4535018A">
            <w:pPr>
              <w:widowControl/>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项目编码</w:t>
            </w:r>
          </w:p>
        </w:tc>
        <w:tc>
          <w:tcPr>
            <w:tcW w:w="1033" w:type="dxa"/>
            <w:vMerge w:val="restart"/>
            <w:tcBorders>
              <w:top w:val="single" w:color="000000" w:sz="4" w:space="0"/>
              <w:left w:val="single" w:color="000000" w:sz="4" w:space="0"/>
              <w:bottom w:val="single" w:color="000000" w:sz="4" w:space="0"/>
              <w:right w:val="single" w:color="000000" w:sz="4" w:space="0"/>
            </w:tcBorders>
            <w:vAlign w:val="center"/>
          </w:tcPr>
          <w:p w14:paraId="69F8C7F6">
            <w:pPr>
              <w:widowControl/>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项目名称</w:t>
            </w:r>
          </w:p>
        </w:tc>
        <w:tc>
          <w:tcPr>
            <w:tcW w:w="1022" w:type="dxa"/>
            <w:vMerge w:val="restart"/>
            <w:tcBorders>
              <w:top w:val="single" w:color="000000" w:sz="4" w:space="0"/>
              <w:left w:val="single" w:color="000000" w:sz="4" w:space="0"/>
              <w:bottom w:val="single" w:color="000000" w:sz="4" w:space="0"/>
              <w:right w:val="single" w:color="000000" w:sz="4" w:space="0"/>
            </w:tcBorders>
            <w:vAlign w:val="center"/>
          </w:tcPr>
          <w:p w14:paraId="2E3EA7DB">
            <w:pPr>
              <w:widowControl/>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项目特征</w:t>
            </w:r>
          </w:p>
        </w:tc>
        <w:tc>
          <w:tcPr>
            <w:tcW w:w="960" w:type="dxa"/>
            <w:vMerge w:val="restart"/>
            <w:tcBorders>
              <w:top w:val="single" w:color="000000" w:sz="4" w:space="0"/>
              <w:left w:val="single" w:color="000000" w:sz="4" w:space="0"/>
              <w:bottom w:val="single" w:color="000000" w:sz="4" w:space="0"/>
              <w:right w:val="single" w:color="000000" w:sz="4" w:space="0"/>
            </w:tcBorders>
            <w:vAlign w:val="center"/>
          </w:tcPr>
          <w:p w14:paraId="5C95B940">
            <w:pPr>
              <w:widowControl/>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计量单位</w:t>
            </w:r>
          </w:p>
        </w:tc>
        <w:tc>
          <w:tcPr>
            <w:tcW w:w="825" w:type="dxa"/>
            <w:vMerge w:val="restart"/>
            <w:tcBorders>
              <w:top w:val="single" w:color="000000" w:sz="4" w:space="0"/>
              <w:left w:val="single" w:color="000000" w:sz="4" w:space="0"/>
              <w:bottom w:val="single" w:color="000000" w:sz="4" w:space="0"/>
              <w:right w:val="single" w:color="000000" w:sz="4" w:space="0"/>
            </w:tcBorders>
            <w:vAlign w:val="center"/>
          </w:tcPr>
          <w:p w14:paraId="4654A0B9">
            <w:pPr>
              <w:widowControl/>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工程量</w:t>
            </w:r>
          </w:p>
        </w:tc>
        <w:tc>
          <w:tcPr>
            <w:tcW w:w="1230" w:type="dxa"/>
            <w:vMerge w:val="restart"/>
            <w:tcBorders>
              <w:top w:val="single" w:color="000000" w:sz="4" w:space="0"/>
              <w:left w:val="single" w:color="000000" w:sz="4" w:space="0"/>
              <w:bottom w:val="single" w:color="000000" w:sz="4" w:space="0"/>
              <w:right w:val="single" w:color="000000" w:sz="4" w:space="0"/>
            </w:tcBorders>
            <w:vAlign w:val="center"/>
          </w:tcPr>
          <w:p w14:paraId="573FDCEC">
            <w:pPr>
              <w:widowControl/>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综合单(元)</w:t>
            </w:r>
          </w:p>
        </w:tc>
        <w:tc>
          <w:tcPr>
            <w:tcW w:w="1425" w:type="dxa"/>
            <w:vMerge w:val="restart"/>
            <w:tcBorders>
              <w:top w:val="single" w:color="000000" w:sz="4" w:space="0"/>
              <w:left w:val="single" w:color="000000" w:sz="4" w:space="0"/>
              <w:bottom w:val="single" w:color="000000" w:sz="4" w:space="0"/>
              <w:right w:val="single" w:color="000000" w:sz="4" w:space="0"/>
            </w:tcBorders>
            <w:vAlign w:val="center"/>
          </w:tcPr>
          <w:p w14:paraId="0FBDF23F">
            <w:pPr>
              <w:widowControl/>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合价(元)</w:t>
            </w:r>
          </w:p>
        </w:tc>
        <w:tc>
          <w:tcPr>
            <w:tcW w:w="1035" w:type="dxa"/>
            <w:vMerge w:val="restart"/>
            <w:tcBorders>
              <w:top w:val="single" w:color="000000" w:sz="4" w:space="0"/>
              <w:left w:val="single" w:color="000000" w:sz="4" w:space="0"/>
              <w:bottom w:val="single" w:color="000000" w:sz="4" w:space="0"/>
              <w:right w:val="single" w:color="000000" w:sz="4" w:space="0"/>
            </w:tcBorders>
            <w:vAlign w:val="center"/>
          </w:tcPr>
          <w:p w14:paraId="7AC54B5F">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备注</w:t>
            </w:r>
          </w:p>
        </w:tc>
      </w:tr>
      <w:tr w14:paraId="32277D7C">
        <w:tblPrEx>
          <w:tblCellMar>
            <w:top w:w="0" w:type="dxa"/>
            <w:left w:w="108" w:type="dxa"/>
            <w:bottom w:w="0" w:type="dxa"/>
            <w:right w:w="108" w:type="dxa"/>
          </w:tblCellMar>
        </w:tblPrEx>
        <w:trPr>
          <w:trHeight w:val="331" w:hRule="atLeast"/>
          <w:jc w:val="center"/>
        </w:trPr>
        <w:tc>
          <w:tcPr>
            <w:tcW w:w="690" w:type="dxa"/>
            <w:vMerge w:val="continue"/>
            <w:tcBorders>
              <w:top w:val="single" w:color="000000" w:sz="4" w:space="0"/>
              <w:left w:val="single" w:color="000000" w:sz="4" w:space="0"/>
              <w:bottom w:val="single" w:color="000000" w:sz="4" w:space="0"/>
              <w:right w:val="single" w:color="000000" w:sz="4" w:space="0"/>
            </w:tcBorders>
            <w:vAlign w:val="center"/>
          </w:tcPr>
          <w:p w14:paraId="3EA40189">
            <w:pPr>
              <w:jc w:val="left"/>
              <w:rPr>
                <w:rFonts w:ascii="宋体" w:hAnsi="宋体" w:cs="宋体"/>
                <w:color w:val="auto"/>
                <w:sz w:val="18"/>
                <w:szCs w:val="18"/>
                <w:highlight w:val="none"/>
              </w:rPr>
            </w:pPr>
          </w:p>
        </w:tc>
        <w:tc>
          <w:tcPr>
            <w:tcW w:w="960" w:type="dxa"/>
            <w:vMerge w:val="continue"/>
            <w:tcBorders>
              <w:top w:val="single" w:color="000000" w:sz="4" w:space="0"/>
              <w:left w:val="single" w:color="000000" w:sz="4" w:space="0"/>
              <w:bottom w:val="single" w:color="000000" w:sz="4" w:space="0"/>
              <w:right w:val="single" w:color="000000" w:sz="4" w:space="0"/>
            </w:tcBorders>
            <w:vAlign w:val="center"/>
          </w:tcPr>
          <w:p w14:paraId="19F9A965">
            <w:pPr>
              <w:jc w:val="center"/>
              <w:rPr>
                <w:rFonts w:ascii="宋体" w:hAnsi="宋体" w:cs="宋体"/>
                <w:color w:val="auto"/>
                <w:sz w:val="18"/>
                <w:szCs w:val="18"/>
                <w:highlight w:val="none"/>
              </w:rPr>
            </w:pPr>
          </w:p>
        </w:tc>
        <w:tc>
          <w:tcPr>
            <w:tcW w:w="1033" w:type="dxa"/>
            <w:vMerge w:val="continue"/>
            <w:tcBorders>
              <w:top w:val="single" w:color="000000" w:sz="4" w:space="0"/>
              <w:left w:val="single" w:color="000000" w:sz="4" w:space="0"/>
              <w:bottom w:val="single" w:color="000000" w:sz="4" w:space="0"/>
              <w:right w:val="single" w:color="000000" w:sz="4" w:space="0"/>
            </w:tcBorders>
            <w:vAlign w:val="center"/>
          </w:tcPr>
          <w:p w14:paraId="4780B30A">
            <w:pPr>
              <w:jc w:val="center"/>
              <w:rPr>
                <w:rFonts w:ascii="宋体" w:hAnsi="宋体" w:cs="宋体"/>
                <w:color w:val="auto"/>
                <w:sz w:val="18"/>
                <w:szCs w:val="18"/>
                <w:highlight w:val="none"/>
              </w:rPr>
            </w:pPr>
          </w:p>
        </w:tc>
        <w:tc>
          <w:tcPr>
            <w:tcW w:w="1022" w:type="dxa"/>
            <w:vMerge w:val="continue"/>
            <w:tcBorders>
              <w:top w:val="single" w:color="000000" w:sz="4" w:space="0"/>
              <w:left w:val="single" w:color="000000" w:sz="4" w:space="0"/>
              <w:bottom w:val="single" w:color="000000" w:sz="4" w:space="0"/>
              <w:right w:val="single" w:color="000000" w:sz="4" w:space="0"/>
            </w:tcBorders>
            <w:vAlign w:val="center"/>
          </w:tcPr>
          <w:p w14:paraId="26C55AA5">
            <w:pPr>
              <w:jc w:val="center"/>
              <w:rPr>
                <w:rFonts w:ascii="宋体" w:hAnsi="宋体" w:cs="宋体"/>
                <w:color w:val="auto"/>
                <w:sz w:val="18"/>
                <w:szCs w:val="18"/>
                <w:highlight w:val="none"/>
              </w:rPr>
            </w:pPr>
          </w:p>
        </w:tc>
        <w:tc>
          <w:tcPr>
            <w:tcW w:w="960" w:type="dxa"/>
            <w:vMerge w:val="continue"/>
            <w:tcBorders>
              <w:top w:val="single" w:color="000000" w:sz="4" w:space="0"/>
              <w:left w:val="single" w:color="000000" w:sz="4" w:space="0"/>
              <w:bottom w:val="single" w:color="000000" w:sz="4" w:space="0"/>
              <w:right w:val="single" w:color="000000" w:sz="4" w:space="0"/>
            </w:tcBorders>
            <w:vAlign w:val="center"/>
          </w:tcPr>
          <w:p w14:paraId="396F8687">
            <w:pPr>
              <w:jc w:val="center"/>
              <w:rPr>
                <w:rFonts w:ascii="宋体" w:hAnsi="宋体" w:cs="宋体"/>
                <w:color w:val="auto"/>
                <w:sz w:val="18"/>
                <w:szCs w:val="18"/>
                <w:highlight w:val="none"/>
              </w:rPr>
            </w:pPr>
          </w:p>
        </w:tc>
        <w:tc>
          <w:tcPr>
            <w:tcW w:w="825" w:type="dxa"/>
            <w:vMerge w:val="continue"/>
            <w:tcBorders>
              <w:top w:val="single" w:color="000000" w:sz="4" w:space="0"/>
              <w:left w:val="single" w:color="000000" w:sz="4" w:space="0"/>
              <w:bottom w:val="single" w:color="000000" w:sz="4" w:space="0"/>
              <w:right w:val="single" w:color="000000" w:sz="4" w:space="0"/>
            </w:tcBorders>
            <w:vAlign w:val="center"/>
          </w:tcPr>
          <w:p w14:paraId="693D7992">
            <w:pPr>
              <w:jc w:val="center"/>
              <w:rPr>
                <w:rFonts w:ascii="宋体" w:hAnsi="宋体" w:cs="宋体"/>
                <w:color w:val="auto"/>
                <w:sz w:val="18"/>
                <w:szCs w:val="18"/>
                <w:highlight w:val="none"/>
              </w:rPr>
            </w:pPr>
          </w:p>
        </w:tc>
        <w:tc>
          <w:tcPr>
            <w:tcW w:w="1230" w:type="dxa"/>
            <w:vMerge w:val="continue"/>
            <w:tcBorders>
              <w:top w:val="single" w:color="000000" w:sz="4" w:space="0"/>
              <w:left w:val="single" w:color="000000" w:sz="4" w:space="0"/>
              <w:bottom w:val="single" w:color="000000" w:sz="4" w:space="0"/>
              <w:right w:val="single" w:color="000000" w:sz="4" w:space="0"/>
            </w:tcBorders>
            <w:vAlign w:val="center"/>
          </w:tcPr>
          <w:p w14:paraId="70D34851">
            <w:pPr>
              <w:jc w:val="center"/>
              <w:rPr>
                <w:rFonts w:ascii="宋体" w:hAnsi="宋体" w:cs="宋体"/>
                <w:color w:val="auto"/>
                <w:sz w:val="18"/>
                <w:szCs w:val="18"/>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vAlign w:val="center"/>
          </w:tcPr>
          <w:p w14:paraId="0CD5A123">
            <w:pPr>
              <w:jc w:val="center"/>
              <w:rPr>
                <w:rFonts w:ascii="宋体" w:hAnsi="宋体" w:cs="宋体"/>
                <w:color w:val="auto"/>
                <w:sz w:val="18"/>
                <w:szCs w:val="18"/>
                <w:highlight w:val="none"/>
              </w:rPr>
            </w:pPr>
          </w:p>
        </w:tc>
        <w:tc>
          <w:tcPr>
            <w:tcW w:w="1035" w:type="dxa"/>
            <w:vMerge w:val="continue"/>
            <w:tcBorders>
              <w:top w:val="single" w:color="000000" w:sz="4" w:space="0"/>
              <w:left w:val="single" w:color="000000" w:sz="4" w:space="0"/>
              <w:bottom w:val="single" w:color="000000" w:sz="4" w:space="0"/>
              <w:right w:val="single" w:color="000000" w:sz="4" w:space="0"/>
            </w:tcBorders>
            <w:vAlign w:val="center"/>
          </w:tcPr>
          <w:p w14:paraId="221D422E">
            <w:pPr>
              <w:jc w:val="center"/>
              <w:rPr>
                <w:rFonts w:ascii="宋体" w:hAnsi="宋体" w:cs="宋体"/>
                <w:color w:val="auto"/>
                <w:sz w:val="18"/>
                <w:szCs w:val="18"/>
                <w:highlight w:val="none"/>
              </w:rPr>
            </w:pPr>
          </w:p>
        </w:tc>
      </w:tr>
      <w:tr w14:paraId="6DEB1837">
        <w:tblPrEx>
          <w:tblCellMar>
            <w:top w:w="0" w:type="dxa"/>
            <w:left w:w="108" w:type="dxa"/>
            <w:bottom w:w="0" w:type="dxa"/>
            <w:right w:w="108" w:type="dxa"/>
          </w:tblCellMar>
        </w:tblPrEx>
        <w:trPr>
          <w:trHeight w:val="452"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414F5791">
            <w:pPr>
              <w:jc w:val="left"/>
              <w:rPr>
                <w:rFonts w:ascii="宋体" w:hAnsi="宋体" w:cs="宋体"/>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18B3D976">
            <w:pPr>
              <w:jc w:val="left"/>
              <w:rPr>
                <w:rFonts w:ascii="宋体" w:hAnsi="宋体" w:cs="宋体"/>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vAlign w:val="center"/>
          </w:tcPr>
          <w:p w14:paraId="4D14291C">
            <w:pPr>
              <w:widowControl/>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1.XXX系统</w:t>
            </w:r>
          </w:p>
        </w:tc>
        <w:tc>
          <w:tcPr>
            <w:tcW w:w="1022" w:type="dxa"/>
            <w:tcBorders>
              <w:top w:val="single" w:color="000000" w:sz="4" w:space="0"/>
              <w:left w:val="single" w:color="000000" w:sz="4" w:space="0"/>
              <w:bottom w:val="single" w:color="000000" w:sz="4" w:space="0"/>
              <w:right w:val="single" w:color="000000" w:sz="4" w:space="0"/>
            </w:tcBorders>
            <w:vAlign w:val="center"/>
          </w:tcPr>
          <w:p w14:paraId="631D2350">
            <w:pPr>
              <w:jc w:val="left"/>
              <w:rPr>
                <w:rFonts w:ascii="宋体" w:hAnsi="宋体" w:cs="宋体"/>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54950DAA">
            <w:pPr>
              <w:jc w:val="left"/>
              <w:rPr>
                <w:rFonts w:ascii="宋体" w:hAnsi="宋体" w:cs="宋体"/>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363A8818">
            <w:pPr>
              <w:jc w:val="left"/>
              <w:rPr>
                <w:rFonts w:ascii="宋体" w:hAnsi="宋体" w:cs="宋体"/>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vAlign w:val="center"/>
          </w:tcPr>
          <w:p w14:paraId="1E164F21">
            <w:pPr>
              <w:jc w:val="center"/>
              <w:rPr>
                <w:rFonts w:ascii="宋体" w:hAnsi="宋体" w:cs="宋体"/>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vAlign w:val="center"/>
          </w:tcPr>
          <w:p w14:paraId="69091788">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 xml:space="preserve"> </w:t>
            </w:r>
          </w:p>
        </w:tc>
        <w:tc>
          <w:tcPr>
            <w:tcW w:w="1035" w:type="dxa"/>
            <w:tcBorders>
              <w:top w:val="single" w:color="000000" w:sz="4" w:space="0"/>
              <w:left w:val="single" w:color="000000" w:sz="4" w:space="0"/>
              <w:bottom w:val="single" w:color="000000" w:sz="4" w:space="0"/>
              <w:right w:val="single" w:color="000000" w:sz="4" w:space="0"/>
            </w:tcBorders>
            <w:vAlign w:val="center"/>
          </w:tcPr>
          <w:p w14:paraId="366B2056">
            <w:pPr>
              <w:jc w:val="left"/>
              <w:rPr>
                <w:rFonts w:ascii="宋体" w:hAnsi="宋体" w:cs="宋体"/>
                <w:color w:val="auto"/>
                <w:sz w:val="18"/>
                <w:szCs w:val="18"/>
                <w:highlight w:val="none"/>
              </w:rPr>
            </w:pPr>
          </w:p>
        </w:tc>
      </w:tr>
      <w:tr w14:paraId="0A3003A5">
        <w:tblPrEx>
          <w:tblCellMar>
            <w:top w:w="0" w:type="dxa"/>
            <w:left w:w="108" w:type="dxa"/>
            <w:bottom w:w="0" w:type="dxa"/>
            <w:right w:w="108" w:type="dxa"/>
          </w:tblCellMar>
        </w:tblPrEx>
        <w:trPr>
          <w:trHeight w:val="400"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7C08D870">
            <w:pPr>
              <w:widowControl/>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1</w:t>
            </w:r>
          </w:p>
        </w:tc>
        <w:tc>
          <w:tcPr>
            <w:tcW w:w="960" w:type="dxa"/>
            <w:tcBorders>
              <w:top w:val="single" w:color="000000" w:sz="4" w:space="0"/>
              <w:left w:val="single" w:color="000000" w:sz="4" w:space="0"/>
              <w:bottom w:val="single" w:color="000000" w:sz="4" w:space="0"/>
              <w:right w:val="single" w:color="000000" w:sz="4" w:space="0"/>
            </w:tcBorders>
            <w:vAlign w:val="center"/>
          </w:tcPr>
          <w:p w14:paraId="0974AD1F">
            <w:pPr>
              <w:widowControl/>
              <w:jc w:val="center"/>
              <w:textAlignment w:val="center"/>
              <w:rPr>
                <w:rFonts w:ascii="宋体" w:hAnsi="宋体" w:cs="宋体"/>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vAlign w:val="center"/>
          </w:tcPr>
          <w:p w14:paraId="6EDC37B0">
            <w:pPr>
              <w:widowControl/>
              <w:jc w:val="left"/>
              <w:textAlignment w:val="center"/>
              <w:rPr>
                <w:rFonts w:ascii="宋体" w:hAnsi="宋体" w:cs="宋体"/>
                <w:color w:val="auto"/>
                <w:sz w:val="18"/>
                <w:szCs w:val="18"/>
                <w:highlight w:val="none"/>
              </w:rPr>
            </w:pPr>
          </w:p>
        </w:tc>
        <w:tc>
          <w:tcPr>
            <w:tcW w:w="1022" w:type="dxa"/>
            <w:tcBorders>
              <w:top w:val="single" w:color="000000" w:sz="4" w:space="0"/>
              <w:left w:val="single" w:color="000000" w:sz="4" w:space="0"/>
              <w:bottom w:val="single" w:color="000000" w:sz="4" w:space="0"/>
              <w:right w:val="single" w:color="000000" w:sz="4" w:space="0"/>
            </w:tcBorders>
            <w:vAlign w:val="center"/>
          </w:tcPr>
          <w:p w14:paraId="4528C260">
            <w:pPr>
              <w:widowControl/>
              <w:jc w:val="left"/>
              <w:textAlignment w:val="center"/>
              <w:rPr>
                <w:rFonts w:ascii="宋体" w:hAnsi="宋体" w:cs="宋体"/>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3DE61500">
            <w:pPr>
              <w:widowControl/>
              <w:jc w:val="center"/>
              <w:textAlignment w:val="center"/>
              <w:rPr>
                <w:rFonts w:ascii="宋体" w:hAnsi="宋体" w:cs="宋体"/>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72BFF4D3">
            <w:pPr>
              <w:widowControl/>
              <w:jc w:val="right"/>
              <w:textAlignment w:val="center"/>
              <w:rPr>
                <w:rFonts w:ascii="宋体" w:hAnsi="宋体" w:cs="宋体"/>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vAlign w:val="center"/>
          </w:tcPr>
          <w:p w14:paraId="5039094B">
            <w:pPr>
              <w:widowControl/>
              <w:jc w:val="right"/>
              <w:textAlignment w:val="center"/>
              <w:rPr>
                <w:rFonts w:ascii="宋体" w:hAnsi="宋体" w:cs="宋体"/>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vAlign w:val="center"/>
          </w:tcPr>
          <w:p w14:paraId="089A7C8E">
            <w:pPr>
              <w:widowControl/>
              <w:jc w:val="right"/>
              <w:textAlignment w:val="center"/>
              <w:rPr>
                <w:rFonts w:ascii="宋体" w:hAnsi="宋体" w:cs="宋体"/>
                <w:color w:val="auto"/>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vAlign w:val="center"/>
          </w:tcPr>
          <w:p w14:paraId="28CEF7B8">
            <w:pPr>
              <w:jc w:val="left"/>
              <w:rPr>
                <w:rFonts w:ascii="宋体" w:hAnsi="宋体" w:cs="宋体"/>
                <w:color w:val="auto"/>
                <w:sz w:val="18"/>
                <w:szCs w:val="18"/>
                <w:highlight w:val="none"/>
              </w:rPr>
            </w:pPr>
          </w:p>
        </w:tc>
      </w:tr>
      <w:tr w14:paraId="2039CE50">
        <w:tblPrEx>
          <w:tblCellMar>
            <w:top w:w="0" w:type="dxa"/>
            <w:left w:w="108" w:type="dxa"/>
            <w:bottom w:w="0" w:type="dxa"/>
            <w:right w:w="108" w:type="dxa"/>
          </w:tblCellMar>
        </w:tblPrEx>
        <w:trPr>
          <w:trHeight w:val="310"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478D06F9">
            <w:pPr>
              <w:widowControl/>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2</w:t>
            </w:r>
          </w:p>
        </w:tc>
        <w:tc>
          <w:tcPr>
            <w:tcW w:w="960" w:type="dxa"/>
            <w:tcBorders>
              <w:top w:val="single" w:color="000000" w:sz="4" w:space="0"/>
              <w:left w:val="single" w:color="000000" w:sz="4" w:space="0"/>
              <w:bottom w:val="single" w:color="000000" w:sz="4" w:space="0"/>
              <w:right w:val="single" w:color="000000" w:sz="4" w:space="0"/>
            </w:tcBorders>
            <w:vAlign w:val="center"/>
          </w:tcPr>
          <w:p w14:paraId="4ABF98D6">
            <w:pPr>
              <w:widowControl/>
              <w:jc w:val="center"/>
              <w:textAlignment w:val="center"/>
              <w:rPr>
                <w:rFonts w:ascii="宋体" w:hAnsi="宋体" w:cs="宋体"/>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vAlign w:val="center"/>
          </w:tcPr>
          <w:p w14:paraId="749972F9">
            <w:pPr>
              <w:widowControl/>
              <w:jc w:val="left"/>
              <w:textAlignment w:val="center"/>
              <w:rPr>
                <w:rFonts w:ascii="宋体" w:hAnsi="宋体" w:cs="宋体"/>
                <w:color w:val="auto"/>
                <w:sz w:val="18"/>
                <w:szCs w:val="18"/>
                <w:highlight w:val="none"/>
              </w:rPr>
            </w:pPr>
          </w:p>
        </w:tc>
        <w:tc>
          <w:tcPr>
            <w:tcW w:w="1022" w:type="dxa"/>
            <w:tcBorders>
              <w:top w:val="single" w:color="000000" w:sz="4" w:space="0"/>
              <w:left w:val="single" w:color="000000" w:sz="4" w:space="0"/>
              <w:bottom w:val="single" w:color="000000" w:sz="4" w:space="0"/>
              <w:right w:val="single" w:color="000000" w:sz="4" w:space="0"/>
            </w:tcBorders>
            <w:vAlign w:val="center"/>
          </w:tcPr>
          <w:p w14:paraId="4D69F1F2">
            <w:pPr>
              <w:widowControl/>
              <w:jc w:val="left"/>
              <w:textAlignment w:val="center"/>
              <w:rPr>
                <w:rFonts w:ascii="宋体" w:hAnsi="宋体" w:cs="宋体"/>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418CE875">
            <w:pPr>
              <w:widowControl/>
              <w:jc w:val="center"/>
              <w:textAlignment w:val="center"/>
              <w:rPr>
                <w:rFonts w:ascii="宋体" w:hAnsi="宋体" w:cs="宋体"/>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0F38F4EB">
            <w:pPr>
              <w:widowControl/>
              <w:jc w:val="right"/>
              <w:textAlignment w:val="center"/>
              <w:rPr>
                <w:rFonts w:ascii="宋体" w:hAnsi="宋体" w:cs="宋体"/>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vAlign w:val="center"/>
          </w:tcPr>
          <w:p w14:paraId="6DB37B31">
            <w:pPr>
              <w:widowControl/>
              <w:jc w:val="right"/>
              <w:textAlignment w:val="center"/>
              <w:rPr>
                <w:rFonts w:ascii="宋体" w:hAnsi="宋体" w:cs="宋体"/>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vAlign w:val="center"/>
          </w:tcPr>
          <w:p w14:paraId="36251BF5">
            <w:pPr>
              <w:widowControl/>
              <w:jc w:val="right"/>
              <w:textAlignment w:val="center"/>
              <w:rPr>
                <w:rFonts w:ascii="宋体" w:hAnsi="宋体" w:cs="宋体"/>
                <w:color w:val="auto"/>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vAlign w:val="center"/>
          </w:tcPr>
          <w:p w14:paraId="0C1715E2">
            <w:pPr>
              <w:jc w:val="left"/>
              <w:rPr>
                <w:rFonts w:ascii="宋体" w:hAnsi="宋体" w:cs="宋体"/>
                <w:color w:val="auto"/>
                <w:sz w:val="18"/>
                <w:szCs w:val="18"/>
                <w:highlight w:val="none"/>
              </w:rPr>
            </w:pPr>
          </w:p>
        </w:tc>
      </w:tr>
      <w:tr w14:paraId="7E64CE02">
        <w:tblPrEx>
          <w:tblCellMar>
            <w:top w:w="0" w:type="dxa"/>
            <w:left w:w="108" w:type="dxa"/>
            <w:bottom w:w="0" w:type="dxa"/>
            <w:right w:w="108" w:type="dxa"/>
          </w:tblCellMar>
        </w:tblPrEx>
        <w:trPr>
          <w:trHeight w:val="323"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58B54768">
            <w:pPr>
              <w:widowControl/>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3</w:t>
            </w:r>
          </w:p>
        </w:tc>
        <w:tc>
          <w:tcPr>
            <w:tcW w:w="960" w:type="dxa"/>
            <w:tcBorders>
              <w:top w:val="single" w:color="000000" w:sz="4" w:space="0"/>
              <w:left w:val="single" w:color="000000" w:sz="4" w:space="0"/>
              <w:bottom w:val="single" w:color="000000" w:sz="4" w:space="0"/>
              <w:right w:val="single" w:color="000000" w:sz="4" w:space="0"/>
            </w:tcBorders>
            <w:vAlign w:val="center"/>
          </w:tcPr>
          <w:p w14:paraId="7FF3283A">
            <w:pPr>
              <w:widowControl/>
              <w:jc w:val="center"/>
              <w:textAlignment w:val="center"/>
              <w:rPr>
                <w:rFonts w:ascii="宋体" w:hAnsi="宋体" w:cs="宋体"/>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vAlign w:val="center"/>
          </w:tcPr>
          <w:p w14:paraId="4067B707">
            <w:pPr>
              <w:widowControl/>
              <w:jc w:val="left"/>
              <w:textAlignment w:val="center"/>
              <w:rPr>
                <w:rFonts w:ascii="宋体" w:hAnsi="宋体" w:cs="宋体"/>
                <w:color w:val="auto"/>
                <w:sz w:val="18"/>
                <w:szCs w:val="18"/>
                <w:highlight w:val="none"/>
              </w:rPr>
            </w:pPr>
          </w:p>
        </w:tc>
        <w:tc>
          <w:tcPr>
            <w:tcW w:w="1022" w:type="dxa"/>
            <w:tcBorders>
              <w:top w:val="single" w:color="000000" w:sz="4" w:space="0"/>
              <w:left w:val="single" w:color="000000" w:sz="4" w:space="0"/>
              <w:bottom w:val="single" w:color="000000" w:sz="4" w:space="0"/>
              <w:right w:val="single" w:color="000000" w:sz="4" w:space="0"/>
            </w:tcBorders>
            <w:vAlign w:val="center"/>
          </w:tcPr>
          <w:p w14:paraId="4B209C87">
            <w:pPr>
              <w:widowControl/>
              <w:jc w:val="left"/>
              <w:textAlignment w:val="center"/>
              <w:rPr>
                <w:rFonts w:ascii="宋体" w:hAnsi="宋体" w:cs="宋体"/>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6E99C060">
            <w:pPr>
              <w:widowControl/>
              <w:jc w:val="center"/>
              <w:textAlignment w:val="center"/>
              <w:rPr>
                <w:rFonts w:ascii="宋体" w:hAnsi="宋体" w:cs="宋体"/>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51C8152A">
            <w:pPr>
              <w:widowControl/>
              <w:jc w:val="right"/>
              <w:textAlignment w:val="center"/>
              <w:rPr>
                <w:rFonts w:ascii="宋体" w:hAnsi="宋体" w:cs="宋体"/>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vAlign w:val="center"/>
          </w:tcPr>
          <w:p w14:paraId="289C30BF">
            <w:pPr>
              <w:widowControl/>
              <w:jc w:val="right"/>
              <w:textAlignment w:val="center"/>
              <w:rPr>
                <w:rFonts w:ascii="宋体" w:hAnsi="宋体" w:cs="宋体"/>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vAlign w:val="center"/>
          </w:tcPr>
          <w:p w14:paraId="356B4185">
            <w:pPr>
              <w:widowControl/>
              <w:jc w:val="right"/>
              <w:textAlignment w:val="center"/>
              <w:rPr>
                <w:rFonts w:ascii="宋体" w:hAnsi="宋体" w:cs="宋体"/>
                <w:color w:val="auto"/>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vAlign w:val="center"/>
          </w:tcPr>
          <w:p w14:paraId="2D3AC4A0">
            <w:pPr>
              <w:jc w:val="left"/>
              <w:rPr>
                <w:rFonts w:ascii="宋体" w:hAnsi="宋体" w:cs="宋体"/>
                <w:color w:val="auto"/>
                <w:sz w:val="18"/>
                <w:szCs w:val="18"/>
                <w:highlight w:val="none"/>
              </w:rPr>
            </w:pPr>
          </w:p>
        </w:tc>
      </w:tr>
      <w:tr w14:paraId="7F61745E">
        <w:tblPrEx>
          <w:tblCellMar>
            <w:top w:w="0" w:type="dxa"/>
            <w:left w:w="108" w:type="dxa"/>
            <w:bottom w:w="0" w:type="dxa"/>
            <w:right w:w="108" w:type="dxa"/>
          </w:tblCellMar>
        </w:tblPrEx>
        <w:trPr>
          <w:trHeight w:val="310"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685C0895">
            <w:pPr>
              <w:widowControl/>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4</w:t>
            </w:r>
          </w:p>
        </w:tc>
        <w:tc>
          <w:tcPr>
            <w:tcW w:w="960" w:type="dxa"/>
            <w:tcBorders>
              <w:top w:val="single" w:color="000000" w:sz="4" w:space="0"/>
              <w:left w:val="single" w:color="000000" w:sz="4" w:space="0"/>
              <w:bottom w:val="single" w:color="000000" w:sz="4" w:space="0"/>
              <w:right w:val="single" w:color="000000" w:sz="4" w:space="0"/>
            </w:tcBorders>
            <w:vAlign w:val="center"/>
          </w:tcPr>
          <w:p w14:paraId="52753347">
            <w:pPr>
              <w:widowControl/>
              <w:jc w:val="center"/>
              <w:textAlignment w:val="center"/>
              <w:rPr>
                <w:rFonts w:ascii="宋体" w:hAnsi="宋体" w:cs="宋体"/>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vAlign w:val="center"/>
          </w:tcPr>
          <w:p w14:paraId="2BD37250">
            <w:pPr>
              <w:widowControl/>
              <w:jc w:val="left"/>
              <w:textAlignment w:val="center"/>
              <w:rPr>
                <w:rFonts w:ascii="宋体" w:hAnsi="宋体" w:cs="宋体"/>
                <w:color w:val="auto"/>
                <w:sz w:val="18"/>
                <w:szCs w:val="18"/>
                <w:highlight w:val="none"/>
              </w:rPr>
            </w:pPr>
          </w:p>
        </w:tc>
        <w:tc>
          <w:tcPr>
            <w:tcW w:w="1022" w:type="dxa"/>
            <w:tcBorders>
              <w:top w:val="single" w:color="000000" w:sz="4" w:space="0"/>
              <w:left w:val="single" w:color="000000" w:sz="4" w:space="0"/>
              <w:bottom w:val="single" w:color="000000" w:sz="4" w:space="0"/>
              <w:right w:val="single" w:color="000000" w:sz="4" w:space="0"/>
            </w:tcBorders>
            <w:vAlign w:val="center"/>
          </w:tcPr>
          <w:p w14:paraId="137D3C87">
            <w:pPr>
              <w:widowControl/>
              <w:jc w:val="left"/>
              <w:textAlignment w:val="center"/>
              <w:rPr>
                <w:rFonts w:ascii="宋体" w:hAnsi="宋体" w:cs="宋体"/>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4755217D">
            <w:pPr>
              <w:widowControl/>
              <w:jc w:val="center"/>
              <w:textAlignment w:val="center"/>
              <w:rPr>
                <w:rFonts w:ascii="宋体" w:hAnsi="宋体" w:cs="宋体"/>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094D17DD">
            <w:pPr>
              <w:widowControl/>
              <w:jc w:val="right"/>
              <w:textAlignment w:val="center"/>
              <w:rPr>
                <w:rFonts w:ascii="宋体" w:hAnsi="宋体" w:cs="宋体"/>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vAlign w:val="center"/>
          </w:tcPr>
          <w:p w14:paraId="249C9933">
            <w:pPr>
              <w:widowControl/>
              <w:jc w:val="right"/>
              <w:textAlignment w:val="center"/>
              <w:rPr>
                <w:rFonts w:ascii="宋体" w:hAnsi="宋体" w:cs="宋体"/>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vAlign w:val="center"/>
          </w:tcPr>
          <w:p w14:paraId="64F6C655">
            <w:pPr>
              <w:widowControl/>
              <w:jc w:val="right"/>
              <w:textAlignment w:val="center"/>
              <w:rPr>
                <w:rFonts w:ascii="宋体" w:hAnsi="宋体" w:cs="宋体"/>
                <w:color w:val="auto"/>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vAlign w:val="center"/>
          </w:tcPr>
          <w:p w14:paraId="5C68B265">
            <w:pPr>
              <w:jc w:val="left"/>
              <w:rPr>
                <w:rFonts w:ascii="宋体" w:hAnsi="宋体" w:cs="宋体"/>
                <w:color w:val="auto"/>
                <w:sz w:val="18"/>
                <w:szCs w:val="18"/>
                <w:highlight w:val="none"/>
              </w:rPr>
            </w:pPr>
          </w:p>
        </w:tc>
      </w:tr>
      <w:tr w14:paraId="229A91EB">
        <w:tblPrEx>
          <w:tblCellMar>
            <w:top w:w="0" w:type="dxa"/>
            <w:left w:w="108" w:type="dxa"/>
            <w:bottom w:w="0" w:type="dxa"/>
            <w:right w:w="108" w:type="dxa"/>
          </w:tblCellMar>
        </w:tblPrEx>
        <w:trPr>
          <w:trHeight w:val="342"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34BF8249">
            <w:pPr>
              <w:widowControl/>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960" w:type="dxa"/>
            <w:tcBorders>
              <w:top w:val="single" w:color="000000" w:sz="4" w:space="0"/>
              <w:left w:val="single" w:color="000000" w:sz="4" w:space="0"/>
              <w:bottom w:val="single" w:color="000000" w:sz="4" w:space="0"/>
              <w:right w:val="single" w:color="000000" w:sz="4" w:space="0"/>
            </w:tcBorders>
            <w:vAlign w:val="center"/>
          </w:tcPr>
          <w:p w14:paraId="5BA8533B">
            <w:pPr>
              <w:widowControl/>
              <w:jc w:val="center"/>
              <w:textAlignment w:val="center"/>
              <w:rPr>
                <w:rFonts w:ascii="宋体" w:hAnsi="宋体" w:cs="宋体"/>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vAlign w:val="center"/>
          </w:tcPr>
          <w:p w14:paraId="45BDFA83">
            <w:pPr>
              <w:widowControl/>
              <w:jc w:val="left"/>
              <w:textAlignment w:val="center"/>
              <w:rPr>
                <w:rFonts w:ascii="宋体" w:hAnsi="宋体" w:cs="宋体"/>
                <w:color w:val="auto"/>
                <w:sz w:val="18"/>
                <w:szCs w:val="18"/>
                <w:highlight w:val="none"/>
              </w:rPr>
            </w:pPr>
          </w:p>
        </w:tc>
        <w:tc>
          <w:tcPr>
            <w:tcW w:w="1022" w:type="dxa"/>
            <w:tcBorders>
              <w:top w:val="single" w:color="000000" w:sz="4" w:space="0"/>
              <w:left w:val="single" w:color="000000" w:sz="4" w:space="0"/>
              <w:bottom w:val="single" w:color="000000" w:sz="4" w:space="0"/>
              <w:right w:val="single" w:color="000000" w:sz="4" w:space="0"/>
            </w:tcBorders>
            <w:vAlign w:val="center"/>
          </w:tcPr>
          <w:p w14:paraId="40459D1A">
            <w:pPr>
              <w:widowControl/>
              <w:jc w:val="left"/>
              <w:textAlignment w:val="center"/>
              <w:rPr>
                <w:rFonts w:ascii="宋体" w:hAnsi="宋体" w:cs="宋体"/>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0738490A">
            <w:pPr>
              <w:widowControl/>
              <w:jc w:val="center"/>
              <w:textAlignment w:val="center"/>
              <w:rPr>
                <w:rFonts w:ascii="宋体" w:hAnsi="宋体" w:cs="宋体"/>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7CD17857">
            <w:pPr>
              <w:widowControl/>
              <w:jc w:val="right"/>
              <w:textAlignment w:val="center"/>
              <w:rPr>
                <w:rFonts w:ascii="宋体" w:hAnsi="宋体" w:cs="宋体"/>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vAlign w:val="center"/>
          </w:tcPr>
          <w:p w14:paraId="5493D172">
            <w:pPr>
              <w:widowControl/>
              <w:jc w:val="right"/>
              <w:textAlignment w:val="center"/>
              <w:rPr>
                <w:rFonts w:ascii="宋体" w:hAnsi="宋体" w:cs="宋体"/>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vAlign w:val="center"/>
          </w:tcPr>
          <w:p w14:paraId="74415366">
            <w:pPr>
              <w:widowControl/>
              <w:jc w:val="right"/>
              <w:textAlignment w:val="center"/>
              <w:rPr>
                <w:rFonts w:ascii="宋体" w:hAnsi="宋体" w:cs="宋体"/>
                <w:color w:val="auto"/>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vAlign w:val="center"/>
          </w:tcPr>
          <w:p w14:paraId="6001D7AA">
            <w:pPr>
              <w:jc w:val="left"/>
              <w:rPr>
                <w:rFonts w:ascii="宋体" w:hAnsi="宋体" w:cs="宋体"/>
                <w:color w:val="auto"/>
                <w:sz w:val="18"/>
                <w:szCs w:val="18"/>
                <w:highlight w:val="none"/>
              </w:rPr>
            </w:pPr>
          </w:p>
        </w:tc>
      </w:tr>
      <w:tr w14:paraId="7C838508">
        <w:tblPrEx>
          <w:tblCellMar>
            <w:top w:w="0" w:type="dxa"/>
            <w:left w:w="108" w:type="dxa"/>
            <w:bottom w:w="0" w:type="dxa"/>
            <w:right w:w="108" w:type="dxa"/>
          </w:tblCellMar>
        </w:tblPrEx>
        <w:trPr>
          <w:trHeight w:val="320"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1CA22214">
            <w:pPr>
              <w:widowControl/>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6</w:t>
            </w:r>
          </w:p>
        </w:tc>
        <w:tc>
          <w:tcPr>
            <w:tcW w:w="960" w:type="dxa"/>
            <w:tcBorders>
              <w:top w:val="single" w:color="000000" w:sz="4" w:space="0"/>
              <w:left w:val="single" w:color="000000" w:sz="4" w:space="0"/>
              <w:bottom w:val="single" w:color="000000" w:sz="4" w:space="0"/>
              <w:right w:val="single" w:color="000000" w:sz="4" w:space="0"/>
            </w:tcBorders>
            <w:vAlign w:val="center"/>
          </w:tcPr>
          <w:p w14:paraId="3940B354">
            <w:pPr>
              <w:widowControl/>
              <w:jc w:val="center"/>
              <w:textAlignment w:val="center"/>
              <w:rPr>
                <w:rFonts w:ascii="宋体" w:hAnsi="宋体" w:cs="宋体"/>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vAlign w:val="center"/>
          </w:tcPr>
          <w:p w14:paraId="13A1420C">
            <w:pPr>
              <w:widowControl/>
              <w:jc w:val="left"/>
              <w:textAlignment w:val="center"/>
              <w:rPr>
                <w:rFonts w:ascii="宋体" w:hAnsi="宋体" w:cs="宋体"/>
                <w:color w:val="auto"/>
                <w:sz w:val="18"/>
                <w:szCs w:val="18"/>
                <w:highlight w:val="none"/>
              </w:rPr>
            </w:pPr>
          </w:p>
        </w:tc>
        <w:tc>
          <w:tcPr>
            <w:tcW w:w="1022" w:type="dxa"/>
            <w:tcBorders>
              <w:top w:val="single" w:color="000000" w:sz="4" w:space="0"/>
              <w:left w:val="single" w:color="000000" w:sz="4" w:space="0"/>
              <w:bottom w:val="single" w:color="000000" w:sz="4" w:space="0"/>
              <w:right w:val="single" w:color="000000" w:sz="4" w:space="0"/>
            </w:tcBorders>
            <w:vAlign w:val="center"/>
          </w:tcPr>
          <w:p w14:paraId="7DC9A8FB">
            <w:pPr>
              <w:widowControl/>
              <w:jc w:val="left"/>
              <w:textAlignment w:val="center"/>
              <w:rPr>
                <w:rFonts w:ascii="宋体" w:hAnsi="宋体" w:cs="宋体"/>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6445D052">
            <w:pPr>
              <w:widowControl/>
              <w:jc w:val="center"/>
              <w:textAlignment w:val="center"/>
              <w:rPr>
                <w:rFonts w:ascii="宋体" w:hAnsi="宋体" w:cs="宋体"/>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2E18D5E1">
            <w:pPr>
              <w:widowControl/>
              <w:jc w:val="right"/>
              <w:textAlignment w:val="center"/>
              <w:rPr>
                <w:rFonts w:ascii="宋体" w:hAnsi="宋体" w:cs="宋体"/>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vAlign w:val="center"/>
          </w:tcPr>
          <w:p w14:paraId="74F2560E">
            <w:pPr>
              <w:widowControl/>
              <w:jc w:val="right"/>
              <w:textAlignment w:val="center"/>
              <w:rPr>
                <w:rFonts w:ascii="宋体" w:hAnsi="宋体" w:cs="宋体"/>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vAlign w:val="center"/>
          </w:tcPr>
          <w:p w14:paraId="03469267">
            <w:pPr>
              <w:widowControl/>
              <w:jc w:val="right"/>
              <w:textAlignment w:val="center"/>
              <w:rPr>
                <w:rFonts w:ascii="宋体" w:hAnsi="宋体" w:cs="宋体"/>
                <w:color w:val="auto"/>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vAlign w:val="center"/>
          </w:tcPr>
          <w:p w14:paraId="3F0E3805">
            <w:pPr>
              <w:jc w:val="left"/>
              <w:rPr>
                <w:rFonts w:ascii="宋体" w:hAnsi="宋体" w:cs="宋体"/>
                <w:color w:val="auto"/>
                <w:sz w:val="18"/>
                <w:szCs w:val="18"/>
                <w:highlight w:val="none"/>
              </w:rPr>
            </w:pPr>
          </w:p>
        </w:tc>
      </w:tr>
      <w:tr w14:paraId="2E509DEF">
        <w:tblPrEx>
          <w:tblCellMar>
            <w:top w:w="0" w:type="dxa"/>
            <w:left w:w="108" w:type="dxa"/>
            <w:bottom w:w="0" w:type="dxa"/>
            <w:right w:w="108" w:type="dxa"/>
          </w:tblCellMar>
        </w:tblPrEx>
        <w:trPr>
          <w:trHeight w:val="352"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63D66600">
            <w:pPr>
              <w:widowControl/>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7</w:t>
            </w:r>
          </w:p>
        </w:tc>
        <w:tc>
          <w:tcPr>
            <w:tcW w:w="960" w:type="dxa"/>
            <w:tcBorders>
              <w:top w:val="single" w:color="000000" w:sz="4" w:space="0"/>
              <w:left w:val="single" w:color="000000" w:sz="4" w:space="0"/>
              <w:bottom w:val="single" w:color="000000" w:sz="4" w:space="0"/>
              <w:right w:val="single" w:color="000000" w:sz="4" w:space="0"/>
            </w:tcBorders>
            <w:vAlign w:val="center"/>
          </w:tcPr>
          <w:p w14:paraId="6FA20DA1">
            <w:pPr>
              <w:widowControl/>
              <w:jc w:val="center"/>
              <w:textAlignment w:val="center"/>
              <w:rPr>
                <w:rFonts w:ascii="宋体" w:hAnsi="宋体" w:cs="宋体"/>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vAlign w:val="center"/>
          </w:tcPr>
          <w:p w14:paraId="12FD2148">
            <w:pPr>
              <w:widowControl/>
              <w:jc w:val="left"/>
              <w:textAlignment w:val="center"/>
              <w:rPr>
                <w:rFonts w:ascii="宋体" w:hAnsi="宋体" w:cs="宋体"/>
                <w:color w:val="auto"/>
                <w:sz w:val="18"/>
                <w:szCs w:val="18"/>
                <w:highlight w:val="none"/>
              </w:rPr>
            </w:pPr>
          </w:p>
        </w:tc>
        <w:tc>
          <w:tcPr>
            <w:tcW w:w="1022" w:type="dxa"/>
            <w:tcBorders>
              <w:top w:val="single" w:color="000000" w:sz="4" w:space="0"/>
              <w:left w:val="single" w:color="000000" w:sz="4" w:space="0"/>
              <w:bottom w:val="single" w:color="000000" w:sz="4" w:space="0"/>
              <w:right w:val="single" w:color="000000" w:sz="4" w:space="0"/>
            </w:tcBorders>
            <w:vAlign w:val="center"/>
          </w:tcPr>
          <w:p w14:paraId="29DD3514">
            <w:pPr>
              <w:widowControl/>
              <w:jc w:val="left"/>
              <w:textAlignment w:val="center"/>
              <w:rPr>
                <w:rFonts w:ascii="宋体" w:hAnsi="宋体" w:cs="宋体"/>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4677866C">
            <w:pPr>
              <w:widowControl/>
              <w:jc w:val="center"/>
              <w:textAlignment w:val="center"/>
              <w:rPr>
                <w:rFonts w:ascii="宋体" w:hAnsi="宋体" w:cs="宋体"/>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00BBE461">
            <w:pPr>
              <w:widowControl/>
              <w:jc w:val="right"/>
              <w:textAlignment w:val="center"/>
              <w:rPr>
                <w:rFonts w:ascii="宋体" w:hAnsi="宋体" w:cs="宋体"/>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vAlign w:val="center"/>
          </w:tcPr>
          <w:p w14:paraId="216C7F39">
            <w:pPr>
              <w:widowControl/>
              <w:jc w:val="right"/>
              <w:textAlignment w:val="center"/>
              <w:rPr>
                <w:rFonts w:ascii="宋体" w:hAnsi="宋体" w:cs="宋体"/>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vAlign w:val="center"/>
          </w:tcPr>
          <w:p w14:paraId="3C140EA4">
            <w:pPr>
              <w:widowControl/>
              <w:jc w:val="right"/>
              <w:textAlignment w:val="center"/>
              <w:rPr>
                <w:rFonts w:ascii="宋体" w:hAnsi="宋体" w:cs="宋体"/>
                <w:color w:val="auto"/>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vAlign w:val="center"/>
          </w:tcPr>
          <w:p w14:paraId="786153CE">
            <w:pPr>
              <w:jc w:val="left"/>
              <w:rPr>
                <w:rFonts w:ascii="宋体" w:hAnsi="宋体" w:cs="宋体"/>
                <w:color w:val="auto"/>
                <w:sz w:val="18"/>
                <w:szCs w:val="18"/>
                <w:highlight w:val="none"/>
              </w:rPr>
            </w:pPr>
          </w:p>
        </w:tc>
      </w:tr>
      <w:tr w14:paraId="79E5B95B">
        <w:tblPrEx>
          <w:tblCellMar>
            <w:top w:w="0" w:type="dxa"/>
            <w:left w:w="108" w:type="dxa"/>
            <w:bottom w:w="0" w:type="dxa"/>
            <w:right w:w="108" w:type="dxa"/>
          </w:tblCellMar>
        </w:tblPrEx>
        <w:trPr>
          <w:trHeight w:val="372"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5C85008A">
            <w:pPr>
              <w:widowControl/>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960" w:type="dxa"/>
            <w:tcBorders>
              <w:top w:val="single" w:color="000000" w:sz="4" w:space="0"/>
              <w:left w:val="single" w:color="000000" w:sz="4" w:space="0"/>
              <w:bottom w:val="single" w:color="000000" w:sz="4" w:space="0"/>
              <w:right w:val="single" w:color="000000" w:sz="4" w:space="0"/>
            </w:tcBorders>
            <w:vAlign w:val="center"/>
          </w:tcPr>
          <w:p w14:paraId="6EAA43C7">
            <w:pPr>
              <w:widowControl/>
              <w:jc w:val="center"/>
              <w:textAlignment w:val="center"/>
              <w:rPr>
                <w:rFonts w:ascii="宋体" w:hAnsi="宋体" w:cs="宋体"/>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vAlign w:val="center"/>
          </w:tcPr>
          <w:p w14:paraId="0C0C1193">
            <w:pPr>
              <w:widowControl/>
              <w:jc w:val="left"/>
              <w:textAlignment w:val="center"/>
              <w:rPr>
                <w:rFonts w:ascii="宋体" w:hAnsi="宋体" w:cs="宋体"/>
                <w:color w:val="auto"/>
                <w:sz w:val="18"/>
                <w:szCs w:val="18"/>
                <w:highlight w:val="none"/>
              </w:rPr>
            </w:pPr>
          </w:p>
        </w:tc>
        <w:tc>
          <w:tcPr>
            <w:tcW w:w="1022" w:type="dxa"/>
            <w:tcBorders>
              <w:top w:val="single" w:color="000000" w:sz="4" w:space="0"/>
              <w:left w:val="single" w:color="000000" w:sz="4" w:space="0"/>
              <w:bottom w:val="single" w:color="000000" w:sz="4" w:space="0"/>
              <w:right w:val="single" w:color="000000" w:sz="4" w:space="0"/>
            </w:tcBorders>
            <w:vAlign w:val="center"/>
          </w:tcPr>
          <w:p w14:paraId="72C5C9FF">
            <w:pPr>
              <w:widowControl/>
              <w:jc w:val="left"/>
              <w:textAlignment w:val="center"/>
              <w:rPr>
                <w:rFonts w:ascii="宋体" w:hAnsi="宋体" w:cs="宋体"/>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13A09F8A">
            <w:pPr>
              <w:widowControl/>
              <w:jc w:val="center"/>
              <w:textAlignment w:val="center"/>
              <w:rPr>
                <w:rFonts w:ascii="宋体" w:hAnsi="宋体" w:cs="宋体"/>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5522AE93">
            <w:pPr>
              <w:widowControl/>
              <w:jc w:val="right"/>
              <w:textAlignment w:val="center"/>
              <w:rPr>
                <w:rFonts w:ascii="宋体" w:hAnsi="宋体" w:cs="宋体"/>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vAlign w:val="center"/>
          </w:tcPr>
          <w:p w14:paraId="1B9F6379">
            <w:pPr>
              <w:widowControl/>
              <w:jc w:val="right"/>
              <w:textAlignment w:val="center"/>
              <w:rPr>
                <w:rFonts w:ascii="宋体" w:hAnsi="宋体" w:cs="宋体"/>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vAlign w:val="center"/>
          </w:tcPr>
          <w:p w14:paraId="44F3B2E2">
            <w:pPr>
              <w:widowControl/>
              <w:jc w:val="right"/>
              <w:textAlignment w:val="center"/>
              <w:rPr>
                <w:rFonts w:ascii="宋体" w:hAnsi="宋体" w:cs="宋体"/>
                <w:color w:val="auto"/>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vAlign w:val="center"/>
          </w:tcPr>
          <w:p w14:paraId="4834A311">
            <w:pPr>
              <w:jc w:val="left"/>
              <w:rPr>
                <w:rFonts w:ascii="宋体" w:hAnsi="宋体" w:cs="宋体"/>
                <w:color w:val="auto"/>
                <w:sz w:val="18"/>
                <w:szCs w:val="18"/>
                <w:highlight w:val="none"/>
              </w:rPr>
            </w:pPr>
          </w:p>
        </w:tc>
      </w:tr>
      <w:tr w14:paraId="73CC4C66">
        <w:tblPrEx>
          <w:tblCellMar>
            <w:top w:w="0" w:type="dxa"/>
            <w:left w:w="108" w:type="dxa"/>
            <w:bottom w:w="0" w:type="dxa"/>
            <w:right w:w="108" w:type="dxa"/>
          </w:tblCellMar>
        </w:tblPrEx>
        <w:trPr>
          <w:trHeight w:val="462" w:hRule="atLeast"/>
          <w:jc w:val="center"/>
        </w:trPr>
        <w:tc>
          <w:tcPr>
            <w:tcW w:w="6720" w:type="dxa"/>
            <w:gridSpan w:val="7"/>
            <w:tcBorders>
              <w:top w:val="single" w:color="000000" w:sz="4" w:space="0"/>
              <w:left w:val="single" w:color="000000" w:sz="4" w:space="0"/>
              <w:bottom w:val="single" w:color="000000" w:sz="4" w:space="0"/>
              <w:right w:val="single" w:color="000000" w:sz="4" w:space="0"/>
            </w:tcBorders>
            <w:vAlign w:val="center"/>
          </w:tcPr>
          <w:p w14:paraId="29BC2959">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合   计</w:t>
            </w:r>
          </w:p>
        </w:tc>
        <w:tc>
          <w:tcPr>
            <w:tcW w:w="1425" w:type="dxa"/>
            <w:tcBorders>
              <w:top w:val="single" w:color="000000" w:sz="4" w:space="0"/>
              <w:left w:val="single" w:color="000000" w:sz="4" w:space="0"/>
              <w:bottom w:val="single" w:color="000000" w:sz="4" w:space="0"/>
              <w:right w:val="single" w:color="000000" w:sz="4" w:space="0"/>
            </w:tcBorders>
            <w:vAlign w:val="center"/>
          </w:tcPr>
          <w:p w14:paraId="55A14262">
            <w:pPr>
              <w:widowControl/>
              <w:jc w:val="righ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 xml:space="preserve"> </w:t>
            </w:r>
          </w:p>
        </w:tc>
        <w:tc>
          <w:tcPr>
            <w:tcW w:w="1035" w:type="dxa"/>
            <w:tcBorders>
              <w:top w:val="single" w:color="000000" w:sz="4" w:space="0"/>
              <w:left w:val="single" w:color="000000" w:sz="4" w:space="0"/>
              <w:bottom w:val="single" w:color="000000" w:sz="4" w:space="0"/>
              <w:right w:val="single" w:color="000000" w:sz="4" w:space="0"/>
            </w:tcBorders>
            <w:vAlign w:val="center"/>
          </w:tcPr>
          <w:p w14:paraId="21B8409F">
            <w:pPr>
              <w:jc w:val="left"/>
              <w:rPr>
                <w:rFonts w:ascii="宋体" w:hAnsi="宋体" w:cs="宋体"/>
                <w:color w:val="auto"/>
                <w:sz w:val="18"/>
                <w:szCs w:val="18"/>
                <w:highlight w:val="none"/>
              </w:rPr>
            </w:pPr>
          </w:p>
        </w:tc>
      </w:tr>
    </w:tbl>
    <w:p w14:paraId="78B81DAE">
      <w:pPr>
        <w:pStyle w:val="6"/>
        <w:rPr>
          <w:color w:val="auto"/>
          <w:highlight w:val="none"/>
        </w:rPr>
        <w:sectPr>
          <w:pgSz w:w="11906" w:h="16838"/>
          <w:pgMar w:top="1134" w:right="1134" w:bottom="1134" w:left="1134" w:header="851" w:footer="992" w:gutter="0"/>
          <w:cols w:space="0" w:num="1"/>
          <w:rtlGutter w:val="0"/>
          <w:docGrid w:type="lines" w:linePitch="339" w:charSpace="0"/>
        </w:sectPr>
      </w:pPr>
    </w:p>
    <w:p w14:paraId="64135247">
      <w:pPr>
        <w:pStyle w:val="6"/>
        <w:ind w:left="4176" w:hanging="4176" w:hangingChars="1300"/>
        <w:rPr>
          <w:color w:val="auto"/>
          <w:highlight w:val="none"/>
        </w:rPr>
      </w:pPr>
      <w:r>
        <w:rPr>
          <w:rFonts w:hint="eastAsia"/>
          <w:color w:val="auto"/>
          <w:sz w:val="32"/>
          <w:szCs w:val="32"/>
          <w:highlight w:val="none"/>
        </w:rPr>
        <w:t xml:space="preserve">附件4  </w:t>
      </w:r>
      <w:r>
        <w:rPr>
          <w:rFonts w:hint="eastAsia"/>
          <w:color w:val="auto"/>
          <w:sz w:val="32"/>
          <w:szCs w:val="32"/>
          <w:highlight w:val="none"/>
          <w:lang w:bidi="ar"/>
        </w:rPr>
        <w:t>农民工工资代发委托书</w:t>
      </w:r>
      <w:r>
        <w:rPr>
          <w:rFonts w:hint="eastAsia"/>
          <w:color w:val="auto"/>
          <w:highlight w:val="none"/>
        </w:rPr>
        <w:t xml:space="preserve">                  </w:t>
      </w:r>
    </w:p>
    <w:p w14:paraId="2FE24E32">
      <w:pPr>
        <w:pStyle w:val="6"/>
        <w:ind w:firstLine="2570" w:firstLineChars="800"/>
        <w:rPr>
          <w:b w:val="0"/>
          <w:color w:val="auto"/>
          <w:kern w:val="2"/>
          <w:sz w:val="21"/>
          <w:szCs w:val="21"/>
          <w:highlight w:val="none"/>
        </w:rPr>
      </w:pPr>
      <w:r>
        <w:rPr>
          <w:rFonts w:hint="eastAsia"/>
          <w:color w:val="auto"/>
          <w:sz w:val="32"/>
          <w:szCs w:val="32"/>
          <w:highlight w:val="none"/>
          <w:lang w:bidi="ar"/>
        </w:rPr>
        <w:t>农民工工资代发委托书</w:t>
      </w:r>
    </w:p>
    <w:p w14:paraId="55DD12A1">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甲方：</w:t>
      </w:r>
      <w:r>
        <w:rPr>
          <w:rFonts w:hint="eastAsia" w:ascii="宋体" w:hAnsi="宋体" w:cs="宋体"/>
          <w:color w:val="auto"/>
          <w:szCs w:val="21"/>
          <w:highlight w:val="none"/>
          <w:u w:val="single"/>
        </w:rPr>
        <w:t xml:space="preserve">重庆首讯科技股份有限公司 </w:t>
      </w:r>
      <w:r>
        <w:rPr>
          <w:rFonts w:hint="eastAsia" w:ascii="宋体" w:hAnsi="宋体" w:cs="宋体"/>
          <w:color w:val="auto"/>
          <w:szCs w:val="21"/>
          <w:highlight w:val="none"/>
        </w:rPr>
        <w:t xml:space="preserve">（施工总承包企业）                                   </w:t>
      </w:r>
    </w:p>
    <w:p w14:paraId="6CA52831">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乙方：</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（分包企业）                                         </w:t>
      </w:r>
    </w:p>
    <w:p w14:paraId="5ABCD10F">
      <w:pPr>
        <w:spacing w:line="500" w:lineRule="exact"/>
        <w:rPr>
          <w:rFonts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项目农民工工资，根据《中华人民共和国民法典》和《重庆市人民政府办公厅关于全面治理拖欠农民工工资问题的实施意见》、《关于建筑领域实施农民工工资专用账户管理及银行代发制度的通知》等相关要求，经双方友好协商，现就农民工工资委托支付事宜协议如下：</w:t>
      </w:r>
    </w:p>
    <w:p w14:paraId="5A1DF602">
      <w:pPr>
        <w:adjustRightInd w:val="0"/>
        <w:snapToGrid w:val="0"/>
        <w:spacing w:line="42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一、甲方承诺按合同约定，按月足额发放农民工工资。不得以工程款被拖欠为由拒付农民工工资。</w:t>
      </w:r>
    </w:p>
    <w:p w14:paraId="3B983EAE">
      <w:pPr>
        <w:adjustRightInd w:val="0"/>
        <w:snapToGrid w:val="0"/>
        <w:spacing w:line="420" w:lineRule="exact"/>
        <w:ind w:firstLine="600"/>
        <w:rPr>
          <w:rFonts w:ascii="宋体" w:hAnsi="宋体" w:cs="宋体"/>
          <w:color w:val="auto"/>
          <w:szCs w:val="21"/>
          <w:highlight w:val="none"/>
        </w:rPr>
      </w:pPr>
      <w:r>
        <w:rPr>
          <w:rFonts w:hint="eastAsia" w:ascii="宋体" w:hAnsi="宋体" w:cs="宋体"/>
          <w:color w:val="auto"/>
          <w:szCs w:val="21"/>
          <w:highlight w:val="none"/>
        </w:rPr>
        <w:t>二、乙方委托甲方代发农民工工资，承诺每月按时将施工班组签字和农民工本人签字确认的农民工工资表报送甲方，并对其真实性负责。</w:t>
      </w:r>
    </w:p>
    <w:p w14:paraId="1259F2C7">
      <w:pPr>
        <w:adjustRightInd w:val="0"/>
        <w:snapToGrid w:val="0"/>
        <w:spacing w:line="420" w:lineRule="exact"/>
        <w:ind w:firstLine="600"/>
        <w:rPr>
          <w:rFonts w:ascii="宋体" w:hAnsi="宋体" w:cs="宋体"/>
          <w:color w:val="auto"/>
          <w:szCs w:val="21"/>
          <w:highlight w:val="none"/>
        </w:rPr>
      </w:pPr>
      <w:r>
        <w:rPr>
          <w:rFonts w:hint="eastAsia" w:ascii="宋体" w:hAnsi="宋体" w:cs="宋体"/>
          <w:color w:val="auto"/>
          <w:szCs w:val="21"/>
          <w:highlight w:val="none"/>
        </w:rPr>
        <w:t>三、农民工工资应按月支付，支付的工资作为甲方拨付工程进度款的依据，并从中扣除。</w:t>
      </w:r>
    </w:p>
    <w:p w14:paraId="3FD454AE">
      <w:pPr>
        <w:adjustRightInd w:val="0"/>
        <w:snapToGrid w:val="0"/>
        <w:spacing w:line="42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四、农民工工资发放及考勤</w:t>
      </w:r>
    </w:p>
    <w:p w14:paraId="263C59C1">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 xml:space="preserve">    1.乙方对所用农民工进退场登记，甲方应该为乙方登记提供方便，并实施有效监督。</w:t>
      </w:r>
    </w:p>
    <w:p w14:paraId="1F6B2747">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 xml:space="preserve">    2.甲方委派</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为劳资管理员，乙方委派</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为劳资管理员，负责农民工进出场登记、用工考勤及计量、工资编制、审核、上报、发放等工作。</w:t>
      </w:r>
    </w:p>
    <w:p w14:paraId="0EA1D8C7">
      <w:pPr>
        <w:adjustRightInd w:val="0"/>
        <w:snapToGrid w:val="0"/>
        <w:spacing w:line="420" w:lineRule="exact"/>
        <w:ind w:firstLine="735" w:firstLineChars="350"/>
        <w:rPr>
          <w:rFonts w:ascii="宋体" w:hAnsi="宋体" w:cs="宋体"/>
          <w:color w:val="auto"/>
          <w:szCs w:val="21"/>
          <w:highlight w:val="none"/>
        </w:rPr>
      </w:pPr>
      <w:r>
        <w:rPr>
          <w:rFonts w:hint="eastAsia" w:ascii="宋体" w:hAnsi="宋体" w:cs="宋体"/>
          <w:color w:val="auto"/>
          <w:szCs w:val="21"/>
          <w:highlight w:val="none"/>
        </w:rPr>
        <w:t>五、违约责任</w:t>
      </w:r>
    </w:p>
    <w:p w14:paraId="1E89A704">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 xml:space="preserve">    施工期间，若发生农民工工资拖欠问题，按下列方式处理：</w:t>
      </w:r>
    </w:p>
    <w:p w14:paraId="685DECDC">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 xml:space="preserve">    1.甲方按规定落实农民工工资发放，负责支付和解决所欠农民工工资，并承担相应的违约责任。</w:t>
      </w:r>
    </w:p>
    <w:p w14:paraId="7DD9EA52">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 xml:space="preserve">    2.乙方伪造出勤信息、提供虚假身份信息套取工资、高估冒算超出费用，甲方向乙方追偿，并从剩余劳务工程款中直接扣除。如乙方剩余工程款不足扣除时，甲方可采取法律手段追究乙方刑事责任与经济责任。</w:t>
      </w:r>
    </w:p>
    <w:p w14:paraId="56779594">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 xml:space="preserve">    3.任何一方未履行承诺，对方有权追究其法律责任。本协议一式六份 ，甲方执四份，乙方执二份，双方签字盖章后生效。</w:t>
      </w:r>
    </w:p>
    <w:p w14:paraId="55730ECA">
      <w:pPr>
        <w:adjustRightInd w:val="0"/>
        <w:snapToGrid w:val="0"/>
        <w:spacing w:line="420" w:lineRule="exact"/>
        <w:rPr>
          <w:rFonts w:ascii="宋体" w:hAnsi="宋体" w:cs="宋体"/>
          <w:color w:val="auto"/>
          <w:szCs w:val="21"/>
          <w:highlight w:val="none"/>
        </w:rPr>
      </w:pPr>
    </w:p>
    <w:p w14:paraId="61040D24">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 xml:space="preserve">   </w:t>
      </w:r>
    </w:p>
    <w:p w14:paraId="47D05DED">
      <w:pPr>
        <w:adjustRightInd w:val="0"/>
        <w:snapToGrid w:val="0"/>
        <w:spacing w:line="420" w:lineRule="exact"/>
        <w:ind w:firstLine="315" w:firstLineChars="150"/>
        <w:rPr>
          <w:rFonts w:ascii="宋体" w:hAnsi="宋体" w:cs="宋体"/>
          <w:color w:val="auto"/>
          <w:szCs w:val="21"/>
          <w:highlight w:val="none"/>
        </w:rPr>
      </w:pPr>
      <w:r>
        <w:rPr>
          <w:rFonts w:hint="eastAsia" w:ascii="宋体" w:hAnsi="宋体" w:cs="宋体"/>
          <w:color w:val="auto"/>
          <w:szCs w:val="21"/>
          <w:highlight w:val="none"/>
        </w:rPr>
        <w:t>甲    方（盖章）：                        乙    方（盖章）:</w:t>
      </w:r>
    </w:p>
    <w:p w14:paraId="15C610B9">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 xml:space="preserve">   法定代表（签字或盖章）：                  法定代表（签字或盖章）：</w:t>
      </w:r>
    </w:p>
    <w:p w14:paraId="592236CF">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 xml:space="preserve">                   年   月   日                            年   月   日</w:t>
      </w:r>
    </w:p>
    <w:p w14:paraId="7B1FD1C6">
      <w:pPr>
        <w:adjustRightInd w:val="0"/>
        <w:snapToGrid w:val="0"/>
        <w:spacing w:line="420" w:lineRule="exact"/>
        <w:jc w:val="left"/>
        <w:rPr>
          <w:rFonts w:ascii="宋体" w:hAnsi="宋体" w:cs="宋体"/>
          <w:color w:val="auto"/>
          <w:highlight w:val="none"/>
        </w:rPr>
      </w:pPr>
      <w:r>
        <w:rPr>
          <w:rFonts w:hint="eastAsia" w:ascii="宋体" w:hAnsi="宋体" w:cs="宋体"/>
          <w:color w:val="auto"/>
          <w:szCs w:val="21"/>
          <w:highlight w:val="none"/>
        </w:rPr>
        <w:t>（注：本协议为参考文本，在此基础上，协议双方可根据项目的具体要求进行补充。）</w:t>
      </w:r>
    </w:p>
    <w:p w14:paraId="08F51CBC">
      <w:pPr>
        <w:keepNext/>
        <w:wordWrap w:val="0"/>
        <w:spacing w:line="460" w:lineRule="exact"/>
        <w:ind w:left="2399" w:leftChars="114" w:hanging="2160" w:hangingChars="900"/>
        <w:jc w:val="left"/>
        <w:textAlignment w:val="top"/>
        <w:rPr>
          <w:rFonts w:ascii="宋体" w:hAnsi="宋体" w:cs="宋体"/>
          <w:color w:val="auto"/>
          <w:kern w:val="0"/>
          <w:sz w:val="24"/>
          <w:highlight w:val="none"/>
          <w:lang w:bidi="ar"/>
        </w:rPr>
      </w:pPr>
    </w:p>
    <w:p w14:paraId="6EF8DAE4">
      <w:pPr>
        <w:keepNext/>
        <w:wordWrap w:val="0"/>
        <w:spacing w:line="460" w:lineRule="exact"/>
        <w:ind w:left="2399" w:leftChars="114" w:hanging="2160" w:hangingChars="900"/>
        <w:jc w:val="left"/>
        <w:textAlignment w:val="top"/>
        <w:rPr>
          <w:rFonts w:ascii="宋体" w:hAnsi="宋体" w:cs="宋体"/>
          <w:b/>
          <w:color w:val="auto"/>
          <w:kern w:val="0"/>
          <w:sz w:val="32"/>
          <w:szCs w:val="32"/>
          <w:highlight w:val="none"/>
        </w:rPr>
      </w:pPr>
      <w:r>
        <w:rPr>
          <w:rFonts w:hint="eastAsia" w:ascii="宋体" w:hAnsi="宋体" w:cs="宋体"/>
          <w:color w:val="auto"/>
          <w:kern w:val="0"/>
          <w:sz w:val="24"/>
          <w:highlight w:val="none"/>
          <w:lang w:bidi="ar"/>
        </w:rPr>
        <w:br w:type="page"/>
      </w:r>
      <w:r>
        <w:rPr>
          <w:rFonts w:hint="eastAsia" w:ascii="宋体" w:hAnsi="宋体" w:cs="宋体"/>
          <w:b/>
          <w:color w:val="auto"/>
          <w:kern w:val="0"/>
          <w:sz w:val="32"/>
          <w:szCs w:val="32"/>
          <w:highlight w:val="none"/>
        </w:rPr>
        <w:t xml:space="preserve"> 附件5：安全生产协议</w:t>
      </w:r>
    </w:p>
    <w:p w14:paraId="2730CF20">
      <w:pPr>
        <w:widowControl/>
        <w:spacing w:line="360" w:lineRule="auto"/>
        <w:ind w:firstLine="2400" w:firstLineChars="1000"/>
        <w:jc w:val="left"/>
        <w:rPr>
          <w:rFonts w:ascii="宋体" w:hAnsi="宋体" w:cs="宋体"/>
          <w:b/>
          <w:bCs/>
          <w:color w:val="auto"/>
          <w:sz w:val="32"/>
          <w:szCs w:val="32"/>
          <w:highlight w:val="none"/>
        </w:rPr>
      </w:pPr>
      <w:r>
        <w:rPr>
          <w:rFonts w:hint="eastAsia" w:ascii="宋体" w:hAnsi="宋体" w:cs="宋体"/>
          <w:color w:val="auto"/>
          <w:sz w:val="24"/>
          <w:highlight w:val="none"/>
          <w:u w:val="thick"/>
        </w:rPr>
        <w:t xml:space="preserve">                        </w:t>
      </w:r>
      <w:r>
        <w:rPr>
          <w:rFonts w:hint="eastAsia" w:ascii="宋体" w:hAnsi="宋体" w:cs="宋体"/>
          <w:b/>
          <w:bCs/>
          <w:color w:val="auto"/>
          <w:sz w:val="32"/>
          <w:szCs w:val="32"/>
          <w:highlight w:val="none"/>
        </w:rPr>
        <w:t>合同</w:t>
      </w:r>
    </w:p>
    <w:p w14:paraId="2EDF2686">
      <w:pPr>
        <w:spacing w:line="360" w:lineRule="auto"/>
        <w:ind w:firstLine="3213" w:firstLineChars="1000"/>
        <w:textAlignment w:val="baseline"/>
        <w:rPr>
          <w:rFonts w:ascii="宋体" w:hAnsi="宋体" w:cs="宋体"/>
          <w:b/>
          <w:bCs/>
          <w:color w:val="auto"/>
          <w:sz w:val="32"/>
          <w:szCs w:val="32"/>
          <w:highlight w:val="none"/>
        </w:rPr>
      </w:pPr>
      <w:r>
        <w:rPr>
          <w:rFonts w:hint="eastAsia" w:ascii="宋体" w:hAnsi="宋体" w:cs="宋体"/>
          <w:b/>
          <w:bCs/>
          <w:color w:val="auto"/>
          <w:sz w:val="32"/>
          <w:szCs w:val="32"/>
          <w:highlight w:val="none"/>
        </w:rPr>
        <w:t>之安全生产协议</w:t>
      </w:r>
    </w:p>
    <w:p w14:paraId="1A7385DF">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为在</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实施过程中创造安全、高效的施工环境，切实做好本项目的安全管理工作，本项目发包人</w:t>
      </w:r>
      <w:r>
        <w:rPr>
          <w:rFonts w:hint="eastAsia" w:ascii="宋体" w:hAnsi="宋体" w:cs="宋体"/>
          <w:color w:val="auto"/>
          <w:sz w:val="24"/>
          <w:highlight w:val="none"/>
          <w:u w:val="single"/>
        </w:rPr>
        <w:t>重庆首讯科技股份公司</w:t>
      </w:r>
      <w:r>
        <w:rPr>
          <w:rFonts w:hint="eastAsia" w:ascii="宋体" w:hAnsi="宋体" w:cs="宋体"/>
          <w:color w:val="auto"/>
          <w:sz w:val="24"/>
          <w:highlight w:val="none"/>
        </w:rPr>
        <w:t xml:space="preserve">（以下简称“甲方”）与乙方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（以下简称“乙方”）特此签订安全生产协议：</w:t>
      </w:r>
    </w:p>
    <w:p w14:paraId="19397DD7">
      <w:pPr>
        <w:pStyle w:val="49"/>
        <w:adjustRightInd w:val="0"/>
        <w:snapToGrid w:val="0"/>
        <w:spacing w:line="360" w:lineRule="auto"/>
        <w:ind w:firstLine="0" w:firstLineChars="0"/>
        <w:rPr>
          <w:rFonts w:ascii="宋体" w:hAnsi="宋体" w:cs="宋体"/>
          <w:b/>
          <w:bCs/>
          <w:color w:val="auto"/>
          <w:sz w:val="24"/>
          <w:highlight w:val="none"/>
        </w:rPr>
      </w:pPr>
      <w:r>
        <w:rPr>
          <w:rFonts w:hint="eastAsia" w:ascii="宋体" w:hAnsi="宋体" w:cs="宋体"/>
          <w:b/>
          <w:bCs/>
          <w:color w:val="auto"/>
          <w:sz w:val="24"/>
          <w:highlight w:val="none"/>
        </w:rPr>
        <w:t>一、此项工程甲乙双方安全责任人</w:t>
      </w:r>
    </w:p>
    <w:p w14:paraId="06081486">
      <w:pPr>
        <w:pStyle w:val="49"/>
        <w:adjustRightInd w:val="0"/>
        <w:snapToGrid w:val="0"/>
        <w:spacing w:line="360" w:lineRule="auto"/>
        <w:ind w:firstLine="480"/>
        <w:rPr>
          <w:rFonts w:ascii="宋体" w:hAnsi="宋体" w:cs="宋体"/>
          <w:color w:val="auto"/>
          <w:sz w:val="24"/>
          <w:highlight w:val="none"/>
          <w:u w:val="single"/>
        </w:rPr>
      </w:pPr>
      <w:r>
        <w:rPr>
          <w:rFonts w:hint="eastAsia" w:ascii="宋体" w:hAnsi="宋体" w:cs="宋体"/>
          <w:color w:val="auto"/>
          <w:sz w:val="24"/>
          <w:highlight w:val="none"/>
        </w:rPr>
        <w:t>甲方（此工程项目负责人）：</w:t>
      </w:r>
      <w:r>
        <w:rPr>
          <w:rFonts w:hint="eastAsia" w:ascii="宋体" w:hAnsi="宋体" w:cs="宋体"/>
          <w:color w:val="auto"/>
          <w:sz w:val="24"/>
          <w:highlight w:val="none"/>
          <w:u w:val="single"/>
        </w:rPr>
        <w:t xml:space="preserve">                   </w:t>
      </w:r>
    </w:p>
    <w:p w14:paraId="413B04D0">
      <w:pPr>
        <w:pStyle w:val="49"/>
        <w:adjustRightInd w:val="0"/>
        <w:snapToGrid w:val="0"/>
        <w:spacing w:line="360" w:lineRule="auto"/>
        <w:ind w:firstLine="480"/>
        <w:rPr>
          <w:rFonts w:ascii="宋体" w:hAnsi="宋体" w:cs="宋体"/>
          <w:color w:val="auto"/>
          <w:sz w:val="24"/>
          <w:highlight w:val="none"/>
          <w:u w:val="single"/>
        </w:rPr>
      </w:pPr>
      <w:r>
        <w:rPr>
          <w:rFonts w:hint="eastAsia" w:ascii="宋体" w:hAnsi="宋体" w:cs="宋体"/>
          <w:color w:val="auto"/>
          <w:sz w:val="24"/>
          <w:highlight w:val="none"/>
        </w:rPr>
        <w:t>乙方（此工程项目负责人）：</w:t>
      </w:r>
      <w:r>
        <w:rPr>
          <w:rFonts w:hint="eastAsia" w:ascii="宋体" w:hAnsi="宋体" w:cs="宋体"/>
          <w:color w:val="auto"/>
          <w:sz w:val="24"/>
          <w:highlight w:val="none"/>
          <w:u w:val="single"/>
        </w:rPr>
        <w:t xml:space="preserve">                   </w:t>
      </w:r>
    </w:p>
    <w:p w14:paraId="1893FB79">
      <w:pPr>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二、甲方职责</w:t>
      </w:r>
    </w:p>
    <w:p w14:paraId="2CF4511C">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1、严格遵守国家有关安全生产的法律法规，认真执行工程施工合同中的有关安全要求。</w:t>
      </w:r>
    </w:p>
    <w:p w14:paraId="6E2305D5">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2、按照“安全第一、预防为主”和坚持“管生产必须管安全”的原则进行安全生产管理，做到生产与安全工作同时计划、布置、检查、总结和评比。</w:t>
      </w:r>
    </w:p>
    <w:p w14:paraId="3CBB0E1E">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3、重要的安全设施必须坚持与主体工程“三同时”的原则，即：同时设计、审批，同时施工，同时验收，投入使用。</w:t>
      </w:r>
    </w:p>
    <w:p w14:paraId="190EAA25">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4、组织对乙方施工现场安全生产检查，监督乙方及时处理发现的各种安全隐患。</w:t>
      </w:r>
    </w:p>
    <w:p w14:paraId="0366B1EA">
      <w:pPr>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三、乙方职责</w:t>
      </w:r>
    </w:p>
    <w:p w14:paraId="136F2550">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1、严格遵守国家有关安全生产的法律法规、交通部颁发的《公路养护安全作业规程》(JTGH30—2015）、《重庆市营运高速公路施工管理规范》DB50/T 959-2019及《首讯公司工程安全生产的违约处理细则》渝高速首讯文〔2019〕40 号等有关安全生产的规定，认真执行工程承包合同中的有关安全要求。（相关文件乙方应在施工前从甲方处取得）</w:t>
      </w:r>
    </w:p>
    <w:p w14:paraId="1A7E486B">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4D055E0E">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建立健全安全生产责任制。从派往项目实施的项目经理到生产工人（包括临时雇请的民工）的安全生产管理系统必须做到纵向到底，一环不漏；各职能部门、人员的安全生产责任制作到横向到边，人人有责。项目经理是安全生产的第一责任人。现场设置的安全机构，负责所有员工的安全和治安保卫工作及预防事故的发生。安全机构人员有权按有关规定发布指令，并采取保护性措施防止事故发生。</w:t>
      </w:r>
    </w:p>
    <w:p w14:paraId="528988F6">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4、安全生产费用实行专款专用。施工单位应当在规定范围安排使用安全生产费用，不得挪用或挤占，并接受甲方项目经理及安全管理部门的检查。</w:t>
      </w:r>
    </w:p>
    <w:p w14:paraId="39842D7C">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5、</w:t>
      </w:r>
      <w:r>
        <w:rPr>
          <w:rFonts w:hint="eastAsia" w:ascii="宋体" w:hAnsi="宋体" w:cs="宋体"/>
          <w:color w:val="auto"/>
          <w:sz w:val="24"/>
          <w:highlight w:val="none"/>
          <w:lang w:eastAsia="zh-CN"/>
        </w:rPr>
        <w:t>甲方已购</w:t>
      </w:r>
      <w:r>
        <w:rPr>
          <w:rFonts w:hint="eastAsia" w:ascii="宋体" w:hAnsi="宋体" w:cs="宋体"/>
          <w:color w:val="auto"/>
          <w:sz w:val="24"/>
          <w:highlight w:val="none"/>
        </w:rPr>
        <w:t>100+10（万元）的团体意外险，建筑安装工程一切险及第三者责任险。</w:t>
      </w:r>
    </w:p>
    <w:p w14:paraId="10965E3A">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6、施工前，应认真勘察现场，按甲方要求制订有针对性的安全技术措施，对管理人员和施工人员进行安全生产进场教育。</w:t>
      </w:r>
    </w:p>
    <w:p w14:paraId="00C7306E">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7、在施工期间必须严格执行和遵守甲方的安全生产、防火管理的各项规定，接受甲方的督促、检查和指导，对于查出的隐患，乙方必须限期整改。</w:t>
      </w:r>
    </w:p>
    <w:p w14:paraId="276CDDE7">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8、乙方必须按照安全作业规程进行现场施工。对施工现场的各类安全防护设施、安全标志和警告牌，不得擅自拆除、更动。</w:t>
      </w:r>
    </w:p>
    <w:p w14:paraId="631FA130">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9、乙方在施工中，应注意地下管线及高压架空线路的保护。如遇有情况，应及时向甲方和有关部门联系，采取保护措施。</w:t>
      </w:r>
    </w:p>
    <w:p w14:paraId="2370CFCC">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10、乙方在任何时候都应采取各种合理的预防措施，防止其员工发生任何违法、违禁、暴力或妨碍治安的行为。</w:t>
      </w:r>
    </w:p>
    <w:p w14:paraId="151A78C4">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11、乙方如涉及安全生产许可证条例中规定的企业范围，应依法依规取得安全生产许可证，参加施工的人员，必须接受安全技术教育，熟知和遵守本工种的各项安全技术操作规程，定期进行安全技术考核，合格者方准上岗操作。对于从事电气、起重、登高架设作业、焊接、机动车船艇驾驶、等特殊工种的人员，经过专业培训，获得《安全操作合格证》后，方准持证上岗。施工现场如出现特种作业无证操作现象时，项目经理必须承担管理责任。</w:t>
      </w:r>
    </w:p>
    <w:p w14:paraId="7A0711F8">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12、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02BFDF52">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13、操作人员上岗，必须按规定穿戴防护用品。施工负责人和安全检查员应随时检查劳动防护用品的穿戴情况，不按规定穿戴防护用品的人员不得上岗。</w:t>
      </w:r>
    </w:p>
    <w:p w14:paraId="0F941D87">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14、所有施工机具设备和高空作业的设备均应定期检查，保证其经常处于完好状态；不合格的机具、设备和劳动保护用品严禁使用。</w:t>
      </w:r>
    </w:p>
    <w:p w14:paraId="15D27BD7">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15、施工中采用新技术、新工艺、新设备、新材料时，必须制定相应的安全技术措施，施工现场必须具有相关的安全标志牌。</w:t>
      </w:r>
    </w:p>
    <w:p w14:paraId="6FE8B84B">
      <w:pPr>
        <w:pStyle w:val="24"/>
        <w:tabs>
          <w:tab w:val="left" w:pos="1200"/>
          <w:tab w:val="right" w:leader="dot" w:pos="9730"/>
        </w:tabs>
        <w:adjustRightInd w:val="0"/>
        <w:snapToGrid w:val="0"/>
        <w:spacing w:before="0" w:after="0" w:line="360" w:lineRule="auto"/>
        <w:rPr>
          <w:rFonts w:ascii="宋体" w:hAnsi="宋体" w:cs="宋体"/>
          <w:color w:val="auto"/>
          <w:highlight w:val="none"/>
        </w:rPr>
      </w:pPr>
      <w:r>
        <w:rPr>
          <w:rFonts w:hint="eastAsia" w:ascii="宋体" w:hAnsi="宋体" w:cs="宋体"/>
          <w:color w:val="auto"/>
          <w:sz w:val="24"/>
          <w:highlight w:val="none"/>
        </w:rPr>
        <w:t xml:space="preserve">    16.乙方需根据自身业务量需求配置布控球，涉及占道施工或危险性较大作业时，按相应施工组织计划分别配置，施工期间按我公司要求接入相应系统，确保图像传输稳定、运行正常，使用期间受我公司安全环保监督办公室、信创工程中心及各运维中心及下属机电站的安全监督。</w:t>
      </w:r>
    </w:p>
    <w:p w14:paraId="5F14DB3B">
      <w:pPr>
        <w:widowControl/>
        <w:tabs>
          <w:tab w:val="left" w:pos="3936"/>
        </w:tabs>
        <w:adjustRightInd w:val="0"/>
        <w:snapToGrid w:val="0"/>
        <w:spacing w:line="360" w:lineRule="auto"/>
        <w:ind w:firstLine="480" w:firstLineChars="200"/>
        <w:jc w:val="left"/>
        <w:rPr>
          <w:rFonts w:ascii="宋体" w:hAnsi="宋体" w:cs="宋体"/>
          <w:b/>
          <w:bCs/>
          <w:color w:val="auto"/>
          <w:sz w:val="24"/>
          <w:highlight w:val="none"/>
        </w:rPr>
      </w:pPr>
      <w:r>
        <w:rPr>
          <w:rFonts w:hint="eastAsia" w:ascii="宋体" w:hAnsi="宋体" w:cs="宋体"/>
          <w:color w:val="auto"/>
          <w:sz w:val="24"/>
          <w:highlight w:val="none"/>
        </w:rPr>
        <w:t>17、乙方必须按照本工程项目特点，组织制定本工程实施中的生产安全事故应急救援预案；如果发生安全事故，应迅速采取有效措施，组织抢救，防止事故扩大或次生事故发生；并按国家有关规定立即如实报告有关部门；另外，要积极配合事故调查，并坚持“三不放过”的原则，严肃处理相关责任人。</w:t>
      </w:r>
    </w:p>
    <w:p w14:paraId="4DFA7407">
      <w:pPr>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四、违约处罚及责任</w:t>
      </w:r>
    </w:p>
    <w:p w14:paraId="7D577544">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1、乙方违反《公路养护安全作业规程》(JTGH30—2015）、《重庆市营运高速公路施工管理规范》DB50/T 959-2019有关安全生产的规定施工作业的，按《首讯公司工程安全生产的违约处理细则》渝高速首讯文〔2019〕40 号执行。</w:t>
      </w:r>
    </w:p>
    <w:p w14:paraId="7010B1F8">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2、乙方在施工现场存在安全隐患、未落实安全生产措施拒不改正的，甲方有权要求停工，并向公司领导报告，同时与施工单位的服务评价挂钩列入黑名单，由此产生的损失乙方自己承担。</w:t>
      </w:r>
    </w:p>
    <w:p w14:paraId="35129EEC">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3、乙方在施工期间违反安全生产相关要求及乙方职责，造成安全事故或人身损害、财产损失的，乙方承担全部责任。</w:t>
      </w:r>
    </w:p>
    <w:p w14:paraId="1D6888AB">
      <w:pPr>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五、协议份数与时效</w:t>
      </w:r>
    </w:p>
    <w:p w14:paraId="7D40639B">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1、本协议作为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的附件，与主合同具有同等的法律效力。</w:t>
      </w:r>
    </w:p>
    <w:p w14:paraId="2FF7277E">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2、本协议一式贰份，甲方执壹份，乙方执壹份。由双方法定代表人或其授权的代理人签署盖章后生效，全部工程完工验收后终止。</w:t>
      </w:r>
    </w:p>
    <w:p w14:paraId="3EA80FA4">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3、因协议在履行过程中所产生的争议，双方协商解决，协商不成的，提交甲方所在地有管辖权的人民法院管辖。</w:t>
      </w:r>
    </w:p>
    <w:p w14:paraId="716B4434">
      <w:pPr>
        <w:pStyle w:val="24"/>
        <w:tabs>
          <w:tab w:val="left" w:pos="1200"/>
          <w:tab w:val="right" w:leader="dot" w:pos="9730"/>
        </w:tabs>
        <w:adjustRightInd w:val="0"/>
        <w:snapToGrid w:val="0"/>
        <w:spacing w:before="0" w:after="0" w:line="360" w:lineRule="auto"/>
        <w:rPr>
          <w:rFonts w:ascii="宋体" w:hAnsi="宋体" w:cs="宋体"/>
          <w:color w:val="auto"/>
          <w:sz w:val="24"/>
          <w:highlight w:val="none"/>
        </w:rPr>
      </w:pPr>
      <w:r>
        <w:rPr>
          <w:rFonts w:hint="eastAsia" w:ascii="宋体" w:hAnsi="宋体" w:cs="宋体"/>
          <w:color w:val="auto"/>
          <w:sz w:val="24"/>
          <w:szCs w:val="24"/>
          <w:highlight w:val="none"/>
        </w:rPr>
        <w:t>附件：《首讯公司工程安全生产的违约处理细则》</w:t>
      </w:r>
    </w:p>
    <w:p w14:paraId="7592DBA3">
      <w:pPr>
        <w:widowControl/>
        <w:adjustRightInd w:val="0"/>
        <w:snapToGrid w:val="0"/>
        <w:spacing w:line="360" w:lineRule="auto"/>
        <w:jc w:val="left"/>
        <w:rPr>
          <w:rFonts w:ascii="宋体" w:hAnsi="宋体" w:cs="宋体"/>
          <w:color w:val="auto"/>
          <w:sz w:val="24"/>
          <w:highlight w:val="none"/>
        </w:rPr>
      </w:pPr>
    </w:p>
    <w:p w14:paraId="36A0F3ED">
      <w:pPr>
        <w:widowControl/>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甲方：重庆首讯科技股份有限公司            乙方：XXXXXX</w:t>
      </w:r>
    </w:p>
    <w:p w14:paraId="38008F4C">
      <w:pPr>
        <w:widowControl/>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公司负责人或授权代理人：                   公司负责人或授权代理人：</w:t>
      </w:r>
    </w:p>
    <w:p w14:paraId="44998A5B">
      <w:pPr>
        <w:widowControl/>
        <w:adjustRightInd w:val="0"/>
        <w:snapToGrid w:val="0"/>
        <w:spacing w:line="360" w:lineRule="auto"/>
        <w:jc w:val="left"/>
        <w:rPr>
          <w:rFonts w:ascii="宋体" w:hAnsi="宋体" w:cs="宋体"/>
          <w:color w:val="auto"/>
          <w:sz w:val="24"/>
          <w:highlight w:val="none"/>
        </w:rPr>
      </w:pPr>
    </w:p>
    <w:p w14:paraId="52961569">
      <w:pPr>
        <w:widowControl/>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项目经理：</w:t>
      </w:r>
      <w:r>
        <w:rPr>
          <w:rFonts w:hint="eastAsia" w:ascii="宋体" w:hAnsi="宋体" w:cs="宋体"/>
          <w:color w:val="auto"/>
          <w:sz w:val="24"/>
          <w:highlight w:val="none"/>
        </w:rPr>
        <w:tab/>
      </w:r>
      <w:r>
        <w:rPr>
          <w:rFonts w:hint="eastAsia" w:ascii="宋体" w:hAnsi="宋体" w:cs="宋体"/>
          <w:color w:val="auto"/>
          <w:sz w:val="24"/>
          <w:highlight w:val="none"/>
        </w:rPr>
        <w:t xml:space="preserve">                                项目经理：</w:t>
      </w:r>
    </w:p>
    <w:p w14:paraId="688CB2FF">
      <w:pPr>
        <w:widowControl/>
        <w:adjustRightInd w:val="0"/>
        <w:snapToGrid w:val="0"/>
        <w:spacing w:line="360" w:lineRule="auto"/>
        <w:jc w:val="left"/>
        <w:rPr>
          <w:rFonts w:ascii="宋体" w:hAnsi="宋体" w:cs="宋体"/>
          <w:color w:val="auto"/>
          <w:sz w:val="24"/>
          <w:highlight w:val="none"/>
        </w:rPr>
      </w:pPr>
    </w:p>
    <w:p w14:paraId="2FE5905C">
      <w:pPr>
        <w:widowControl/>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经办人：                                    经办人：</w:t>
      </w:r>
    </w:p>
    <w:p w14:paraId="1CDFB430">
      <w:pPr>
        <w:widowControl/>
        <w:adjustRightInd w:val="0"/>
        <w:snapToGrid w:val="0"/>
        <w:spacing w:line="360" w:lineRule="auto"/>
        <w:jc w:val="left"/>
        <w:rPr>
          <w:rFonts w:ascii="宋体" w:hAnsi="宋体" w:cs="宋体"/>
          <w:color w:val="auto"/>
          <w:sz w:val="24"/>
          <w:highlight w:val="none"/>
        </w:rPr>
      </w:pPr>
    </w:p>
    <w:p w14:paraId="1D1E16B8">
      <w:pPr>
        <w:adjustRightInd w:val="0"/>
        <w:snapToGrid w:val="0"/>
        <w:spacing w:line="360" w:lineRule="auto"/>
        <w:rPr>
          <w:rFonts w:ascii="宋体" w:hAnsi="宋体" w:cs="宋体"/>
          <w:color w:val="auto"/>
          <w:sz w:val="30"/>
          <w:szCs w:val="30"/>
          <w:highlight w:val="none"/>
        </w:rPr>
      </w:pPr>
      <w:r>
        <w:rPr>
          <w:rFonts w:hint="eastAsia" w:ascii="宋体" w:hAnsi="宋体" w:cs="宋体"/>
          <w:color w:val="auto"/>
          <w:sz w:val="24"/>
          <w:highlight w:val="none"/>
        </w:rPr>
        <w:t xml:space="preserve">日期: </w:t>
      </w:r>
      <w:r>
        <w:rPr>
          <w:rFonts w:hint="eastAsia" w:ascii="宋体" w:hAnsi="宋体" w:cs="宋体"/>
          <w:color w:val="auto"/>
          <w:sz w:val="24"/>
          <w:highlight w:val="none"/>
        </w:rPr>
        <w:tab/>
      </w:r>
      <w:r>
        <w:rPr>
          <w:rFonts w:hint="eastAsia" w:ascii="宋体" w:hAnsi="宋体" w:cs="宋体"/>
          <w:color w:val="auto"/>
          <w:sz w:val="24"/>
          <w:highlight w:val="none"/>
        </w:rPr>
        <w:t xml:space="preserve">                                     日期:</w:t>
      </w:r>
    </w:p>
    <w:p w14:paraId="5E358D25">
      <w:pPr>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重庆首讯科技股份有限公司</w:t>
      </w:r>
    </w:p>
    <w:p w14:paraId="2FAF553D">
      <w:pPr>
        <w:spacing w:line="360" w:lineRule="auto"/>
        <w:jc w:val="center"/>
        <w:textAlignment w:val="baseline"/>
        <w:rPr>
          <w:rFonts w:ascii="宋体" w:hAnsi="宋体" w:cs="宋体"/>
          <w:b/>
          <w:bCs/>
          <w:color w:val="auto"/>
          <w:sz w:val="32"/>
          <w:szCs w:val="32"/>
          <w:highlight w:val="none"/>
        </w:rPr>
      </w:pPr>
      <w:r>
        <w:rPr>
          <w:rFonts w:hint="eastAsia" w:ascii="宋体" w:hAnsi="宋体" w:cs="宋体"/>
          <w:b/>
          <w:bCs/>
          <w:color w:val="auto"/>
          <w:sz w:val="32"/>
          <w:szCs w:val="32"/>
          <w:highlight w:val="none"/>
        </w:rPr>
        <w:t>工程安全生产的违约处理细则</w:t>
      </w:r>
    </w:p>
    <w:p w14:paraId="2388D6E6">
      <w:pPr>
        <w:widowControl/>
        <w:spacing w:line="360" w:lineRule="auto"/>
        <w:jc w:val="center"/>
        <w:textAlignment w:val="baseline"/>
        <w:rPr>
          <w:rFonts w:ascii="宋体" w:hAnsi="宋体" w:cs="宋体"/>
          <w:color w:val="auto"/>
          <w:sz w:val="32"/>
          <w:szCs w:val="32"/>
          <w:highlight w:val="none"/>
        </w:rPr>
      </w:pPr>
      <w:r>
        <w:rPr>
          <w:rFonts w:hint="eastAsia" w:ascii="宋体" w:hAnsi="宋体" w:cs="宋体"/>
          <w:b/>
          <w:bCs/>
          <w:color w:val="auto"/>
          <w:sz w:val="32"/>
          <w:szCs w:val="32"/>
          <w:highlight w:val="none"/>
        </w:rPr>
        <w:t>SX（Ⅱ）/AH19026</w:t>
      </w:r>
    </w:p>
    <w:p w14:paraId="76405B43">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1、目的与范围</w:t>
      </w:r>
    </w:p>
    <w:p w14:paraId="54A748A3">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为确保工程安全得以有效控制，纠正和处理工程过程中不规范的行为，特制定本违约处理实施细则。</w:t>
      </w:r>
    </w:p>
    <w:p w14:paraId="0EFA8270">
      <w:pPr>
        <w:widowControl/>
        <w:tabs>
          <w:tab w:val="left" w:pos="2880"/>
          <w:tab w:val="left" w:pos="7020"/>
        </w:tabs>
        <w:spacing w:line="360" w:lineRule="auto"/>
        <w:ind w:right="178" w:rightChars="85" w:firstLine="480" w:firstLineChars="200"/>
        <w:jc w:val="left"/>
        <w:rPr>
          <w:rFonts w:ascii="宋体" w:hAnsi="宋体" w:cs="宋体"/>
          <w:color w:val="auto"/>
          <w:sz w:val="32"/>
          <w:szCs w:val="32"/>
          <w:highlight w:val="none"/>
        </w:rPr>
      </w:pPr>
      <w:r>
        <w:rPr>
          <w:rFonts w:hint="eastAsia" w:ascii="宋体" w:hAnsi="宋体" w:cs="宋体"/>
          <w:color w:val="auto"/>
          <w:kern w:val="0"/>
          <w:sz w:val="24"/>
          <w:highlight w:val="none"/>
        </w:rPr>
        <w:t>本细则适用于重庆首讯科技股份有限公司（以下简称发包人）发包的所有施工、维护、服务等项目的承包人。</w:t>
      </w:r>
    </w:p>
    <w:p w14:paraId="29F9309D">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2、原则</w:t>
      </w:r>
    </w:p>
    <w:p w14:paraId="5AB5499F">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2.1告知原则：发包人在与承包人签订合同（或施工协议、任务书）时，本细则作为《合同协议书》、《安全生产合同》附件。未与承包人签订合同时，管理（维护中心）、项目部在进场前书面告知,并经承包人签字或盖章确认。</w:t>
      </w:r>
    </w:p>
    <w:p w14:paraId="132C2544">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2.2违约处理原则：承包人应认真履行合同条款，凡是违反合同条款规定的，均按规定承担违约责任，接受相应处理。</w:t>
      </w:r>
    </w:p>
    <w:p w14:paraId="3A2990B9">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3、违约处理依据</w:t>
      </w:r>
    </w:p>
    <w:p w14:paraId="38703E5C">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《中华人民共和国</w:t>
      </w:r>
      <w:r>
        <w:rPr>
          <w:rFonts w:hint="eastAsia" w:ascii="宋体" w:hAnsi="宋体" w:cs="宋体"/>
          <w:color w:val="auto"/>
          <w:kern w:val="0"/>
          <w:sz w:val="24"/>
          <w:highlight w:val="none"/>
          <w:lang w:eastAsia="zh-CN"/>
        </w:rPr>
        <w:t>民法典</w:t>
      </w:r>
      <w:r>
        <w:rPr>
          <w:rFonts w:hint="eastAsia" w:ascii="宋体" w:hAnsi="宋体" w:cs="宋体"/>
          <w:color w:val="auto"/>
          <w:kern w:val="0"/>
          <w:sz w:val="24"/>
          <w:highlight w:val="none"/>
        </w:rPr>
        <w:t xml:space="preserve">》，第一百一十四条，违约金：当事人可以约定一方违约时应当根据违约情况向对方支付一定数额的违约金，也可以约定因违约产生的损失赔偿额的计算方法。 </w:t>
      </w:r>
    </w:p>
    <w:p w14:paraId="744CD08D">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4、职责</w:t>
      </w:r>
    </w:p>
    <w:p w14:paraId="25C68D52">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4.1安全监管职能部门（安全管理部、工程管理部、智能交通研发中心等职能部门包括项目部、维护管理中心）是安全生产的违约处理的执行部门，具体负责对违约处理。</w:t>
      </w:r>
    </w:p>
    <w:p w14:paraId="30CD0722">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4.2违约处理人员：机电站站长、中心专职兼职安全管理人员、中心负责人、项目部负责人、安全负责人、技术负责人。</w:t>
      </w:r>
    </w:p>
    <w:p w14:paraId="3CF0163F">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4.3施工单位必须严格执行国家、行业、主管部门、发包人安全生产相关规定，管好项目相关作业人员，如被发现违约行为，则按本文规定接受相应的违约金处理。</w:t>
      </w:r>
    </w:p>
    <w:p w14:paraId="6CAAA1F8">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5、履约保证金交纳</w:t>
      </w:r>
    </w:p>
    <w:p w14:paraId="11A9736B">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承包人在与公司签订施工、维护、服务合同后，按合同约定交纳履约保证金，如未交纳履约保证金或履约保证金不足的，则违约处理在项目结算时扣减。</w:t>
      </w:r>
    </w:p>
    <w:p w14:paraId="5FED5DC7">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6、违约处理标准</w:t>
      </w:r>
    </w:p>
    <w:p w14:paraId="24528C44">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6.1承包人必须重视安全生产，严格按照施工安全规范制订符合本工程实际的施工安全技术方案和安全保证措施，若在项目实施工程中未按审批后的技术方案和保证措施执行的，将处以1000元/次的违约金。</w:t>
      </w:r>
    </w:p>
    <w:p w14:paraId="04E45086">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6.2施工单位须建立安全管理机构或设置安全管理人员，明确责任，安全管理人员必须到岗，否则，将处以1000元/次的违约金。</w:t>
      </w:r>
    </w:p>
    <w:p w14:paraId="72039571">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6.3发包人将开展各种形式的安全检查，对施工现场有安全隐患的，要立即整改；对现场已发现的安全隐患不及时排除或不采取必要的防护措施的，则处以施工单位500～2000（元/次）的违约金；承包人要对安全隐患要零容忍，对隐患整改做到“五落实”。</w:t>
      </w:r>
    </w:p>
    <w:p w14:paraId="7AC08B02">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6.4承包人发生安全生产责任事故的，除接受有关主管部门的处罚外，同时按照安全生产责任事故认定大小，并接受发包人处以合同金额的10%-30%的违约处理。同时承包人应自行承担事故责任，发包人由此承担了责任的，有权向承包人追偿。</w:t>
      </w:r>
    </w:p>
    <w:p w14:paraId="6C00F3BC">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6.5施工现场必须有明显的各种安全标识及安全保护措施，涉路作业必须按照《公路养护安全作业规程》（JTG H30-2015）进行交通组织，否则，处以承包人每处1000元/次违约金。</w:t>
      </w:r>
    </w:p>
    <w:p w14:paraId="79E4E40D">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6.6承包人必须文明施工，施工现场整齐规范，无乱堆乱放，由于生产、生活原因破坏生态环境，每处违约金 500元/次，并限期整改。</w:t>
      </w:r>
    </w:p>
    <w:p w14:paraId="382C4689">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6.7特种工作人员，无证上岗的，则处以施工单位500元/人的违约金，并责令更换无证人员。</w:t>
      </w:r>
    </w:p>
    <w:p w14:paraId="55E77DAC">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6.8未参加岗前培训或未购买保险的作业人员从事养护施工作业，则处以施工单位500元/人的违约金，并责令更换人员。</w:t>
      </w:r>
    </w:p>
    <w:p w14:paraId="4340898A">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6.9施工单位或施工现场有如下情况之一者，每人每次处以违约金500～2000元：</w:t>
      </w:r>
    </w:p>
    <w:p w14:paraId="780DCD97">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6.9.1违章指挥，强令施工人员违章作业者。</w:t>
      </w:r>
    </w:p>
    <w:p w14:paraId="4A7B18DC">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6.9.2不遵守安全生产技术操作规程。</w:t>
      </w:r>
    </w:p>
    <w:p w14:paraId="6B4B75B2">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6.9.3发现事故隐患苗头，未采取积极有效措施及时整改者。 </w:t>
      </w:r>
    </w:p>
    <w:p w14:paraId="6BA0B496">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6.9.4发生事故隐患不报告，或隐瞒事故真相，或未保护好事故现场者。</w:t>
      </w:r>
    </w:p>
    <w:p w14:paraId="32BEA531">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6.9.5使用安全生产用品不符合使用质量要求者。</w:t>
      </w:r>
    </w:p>
    <w:p w14:paraId="09498378">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6.9.6未配带安全防护器具者。</w:t>
      </w:r>
    </w:p>
    <w:p w14:paraId="1846AAF0">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6.9.7在未摆放安全锥标情况下在紧急停车带内临时停车作业、较长时间停车情况下车内留人。</w:t>
      </w:r>
    </w:p>
    <w:p w14:paraId="008422F3">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6.9.8在6级以上大风天气开展高处作业、吊装作业和能见度&lt;50米的气候条件下室外作业。</w:t>
      </w:r>
    </w:p>
    <w:p w14:paraId="69E80ADA">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6.9.9在通车的道路内采用攀登脚手架、井字架、龙门架进行高处移动作业。</w:t>
      </w:r>
    </w:p>
    <w:p w14:paraId="0367EE44">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6.9.10开展高压外线巡检、供配电维护、高位水池检查等作业，未按要求监护的。</w:t>
      </w:r>
    </w:p>
    <w:p w14:paraId="26E8D177">
      <w:pPr>
        <w:widowControl/>
        <w:tabs>
          <w:tab w:val="left" w:pos="2880"/>
          <w:tab w:val="left" w:pos="7020"/>
        </w:tabs>
        <w:spacing w:line="360" w:lineRule="auto"/>
        <w:ind w:right="178" w:rightChars="85" w:firstLine="480" w:firstLineChars="200"/>
        <w:jc w:val="left"/>
        <w:rPr>
          <w:rFonts w:ascii="宋体" w:hAnsi="宋体" w:cs="宋体"/>
          <w:color w:val="auto"/>
          <w:sz w:val="32"/>
          <w:szCs w:val="32"/>
          <w:highlight w:val="none"/>
        </w:rPr>
      </w:pPr>
      <w:r>
        <w:rPr>
          <w:rFonts w:hint="eastAsia" w:ascii="宋体" w:hAnsi="宋体" w:cs="宋体"/>
          <w:color w:val="auto"/>
          <w:kern w:val="0"/>
          <w:sz w:val="24"/>
          <w:highlight w:val="none"/>
        </w:rPr>
        <w:t>6.9.11施工单位未按规定办理相关施工手或施工手续不全、施工作业范围不在审批的手续范围内、擅自施工或未在维护中心、机电站报备的。</w:t>
      </w:r>
    </w:p>
    <w:p w14:paraId="39AA5147">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7、违约处理程序</w:t>
      </w:r>
    </w:p>
    <w:p w14:paraId="71335863">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7.1违约发现：</w:t>
      </w:r>
    </w:p>
    <w:p w14:paraId="62577042">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违约监督人员在履行发包人的监督检查工作中，发现承包人有违约行为，应现场及时制止、纠正、整改承包人的违约行为，作好记录，让承包人现场人员确认。</w:t>
      </w:r>
    </w:p>
    <w:p w14:paraId="53531F69">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7.2违约处理：</w:t>
      </w:r>
    </w:p>
    <w:p w14:paraId="0DF06A37">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具有处理权限人员根据监督人员记录的承包人违约行为，按本文件规定作出处理决定，填写《违约处理通知书》，与《监督检查记录表》一并交职能部门，由职能部门最终确认。</w:t>
      </w:r>
    </w:p>
    <w:p w14:paraId="6AB13723">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7.3违约处理的执行：</w:t>
      </w:r>
    </w:p>
    <w:p w14:paraId="231C2831">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承包人的项目完工后，在履约保障金在退还时，发包人（工程管理部、智能交通研发中心）根据承包人在该项目实施过程中所获得的《违约处理通知书》计算累计处理金额，并在履约保障金中扣除，未缴纳履约保证金或履约保证金不足的，在结算支付款中扣除。</w:t>
      </w:r>
    </w:p>
    <w:p w14:paraId="0B392749">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8、相关记录：</w:t>
      </w:r>
    </w:p>
    <w:p w14:paraId="0B2212DE">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8.1《监督检查记录表》</w:t>
      </w:r>
    </w:p>
    <w:p w14:paraId="78EEDC67">
      <w:pPr>
        <w:widowControl/>
        <w:tabs>
          <w:tab w:val="left" w:pos="2880"/>
          <w:tab w:val="left" w:pos="7020"/>
        </w:tabs>
        <w:spacing w:line="360" w:lineRule="auto"/>
        <w:ind w:right="178" w:rightChars="85" w:firstLine="480" w:firstLineChars="200"/>
        <w:jc w:val="left"/>
        <w:rPr>
          <w:rFonts w:ascii="宋体" w:hAnsi="宋体" w:cs="宋体"/>
          <w:color w:val="auto"/>
          <w:sz w:val="32"/>
          <w:szCs w:val="32"/>
          <w:highlight w:val="none"/>
        </w:rPr>
      </w:pPr>
      <w:r>
        <w:rPr>
          <w:rFonts w:hint="eastAsia" w:ascii="宋体" w:hAnsi="宋体" w:cs="宋体"/>
          <w:color w:val="auto"/>
          <w:kern w:val="0"/>
          <w:sz w:val="24"/>
          <w:highlight w:val="none"/>
        </w:rPr>
        <w:t>8.2《违约处理通知书》</w:t>
      </w:r>
    </w:p>
    <w:p w14:paraId="17E7BBAC">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9、其它</w:t>
      </w:r>
    </w:p>
    <w:p w14:paraId="5F0FF565">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9.1本规定在使用过程中，应结合发包人实施的各项管理办法及规章制度等执行。</w:t>
      </w:r>
    </w:p>
    <w:p w14:paraId="42540255">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9.2本规定对合同协议双方当事人具有约束力。若出现违约，须严格按以上规定进行违约处理，对严重违约或不履约者，或有以上违约行为超过2次的，发包人有权解除合同，并有权要求其赔偿损失。</w:t>
      </w:r>
    </w:p>
    <w:p w14:paraId="7C40B2BB">
      <w:pPr>
        <w:widowControl/>
        <w:tabs>
          <w:tab w:val="left" w:pos="2880"/>
          <w:tab w:val="left" w:pos="7020"/>
        </w:tabs>
        <w:ind w:right="178" w:rightChars="85" w:firstLine="480"/>
        <w:jc w:val="left"/>
        <w:rPr>
          <w:rFonts w:ascii="宋体" w:hAnsi="宋体" w:cs="宋体"/>
          <w:color w:val="auto"/>
          <w:kern w:val="0"/>
          <w:sz w:val="24"/>
          <w:highlight w:val="none"/>
        </w:rPr>
      </w:pPr>
      <w:r>
        <w:rPr>
          <w:rFonts w:hint="eastAsia" w:ascii="宋体" w:hAnsi="宋体" w:cs="宋体"/>
          <w:color w:val="auto"/>
          <w:kern w:val="0"/>
          <w:sz w:val="24"/>
          <w:highlight w:val="none"/>
        </w:rPr>
        <w:t>9.3本办法未尽事宜由发包人在过程中另行补充完善和约定执行。</w:t>
      </w:r>
    </w:p>
    <w:p w14:paraId="109A91BF">
      <w:pPr>
        <w:spacing w:line="360" w:lineRule="auto"/>
        <w:ind w:firstLine="3213" w:firstLineChars="1000"/>
        <w:jc w:val="left"/>
        <w:textAlignment w:val="baseline"/>
        <w:rPr>
          <w:rFonts w:ascii="宋体" w:hAnsi="宋体" w:cs="宋体"/>
          <w:b/>
          <w:bCs/>
          <w:color w:val="auto"/>
          <w:sz w:val="32"/>
          <w:szCs w:val="32"/>
          <w:highlight w:val="none"/>
        </w:rPr>
      </w:pPr>
    </w:p>
    <w:p w14:paraId="44D88E30">
      <w:pPr>
        <w:spacing w:line="360" w:lineRule="auto"/>
        <w:ind w:firstLine="3213" w:firstLineChars="1000"/>
        <w:jc w:val="left"/>
        <w:textAlignment w:val="baseline"/>
        <w:rPr>
          <w:rFonts w:ascii="宋体" w:hAnsi="宋体" w:cs="宋体"/>
          <w:b/>
          <w:bCs/>
          <w:color w:val="auto"/>
          <w:sz w:val="32"/>
          <w:szCs w:val="32"/>
          <w:highlight w:val="none"/>
        </w:rPr>
      </w:pPr>
    </w:p>
    <w:p w14:paraId="5F3D28AE">
      <w:pPr>
        <w:spacing w:line="360" w:lineRule="auto"/>
        <w:ind w:firstLine="3213" w:firstLineChars="1000"/>
        <w:jc w:val="left"/>
        <w:textAlignment w:val="baseline"/>
        <w:rPr>
          <w:rFonts w:ascii="宋体" w:hAnsi="宋体" w:cs="宋体"/>
          <w:b/>
          <w:bCs/>
          <w:color w:val="auto"/>
          <w:sz w:val="32"/>
          <w:szCs w:val="32"/>
          <w:highlight w:val="none"/>
        </w:rPr>
      </w:pPr>
    </w:p>
    <w:p w14:paraId="2FEC5A57">
      <w:pPr>
        <w:spacing w:line="240" w:lineRule="auto"/>
        <w:ind w:firstLine="0" w:firstLineChars="0"/>
        <w:jc w:val="left"/>
        <w:textAlignment w:val="auto"/>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br w:type="page"/>
      </w:r>
    </w:p>
    <w:p w14:paraId="7CE7837B">
      <w:pPr>
        <w:spacing w:line="360" w:lineRule="auto"/>
        <w:ind w:firstLine="3213" w:firstLineChars="1000"/>
        <w:jc w:val="left"/>
        <w:textAlignment w:val="baseline"/>
        <w:rPr>
          <w:rFonts w:ascii="宋体" w:hAnsi="宋体" w:cs="宋体"/>
          <w:b/>
          <w:bCs/>
          <w:color w:val="auto"/>
          <w:sz w:val="32"/>
          <w:szCs w:val="32"/>
          <w:highlight w:val="none"/>
        </w:rPr>
      </w:pPr>
      <w:r>
        <w:rPr>
          <w:rFonts w:hint="eastAsia" w:ascii="宋体" w:hAnsi="宋体" w:cs="宋体"/>
          <w:b/>
          <w:bCs/>
          <w:color w:val="auto"/>
          <w:sz w:val="32"/>
          <w:szCs w:val="32"/>
          <w:highlight w:val="none"/>
        </w:rPr>
        <w:t>违约处理通知书</w:t>
      </w:r>
    </w:p>
    <w:p w14:paraId="43933894">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编号：</w:t>
      </w:r>
    </w:p>
    <w:tbl>
      <w:tblPr>
        <w:tblStyle w:val="34"/>
        <w:tblpPr w:leftFromText="180" w:rightFromText="180" w:vertAnchor="text" w:horzAnchor="page" w:tblpXSpec="center" w:tblpY="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2090"/>
        <w:gridCol w:w="6389"/>
      </w:tblGrid>
      <w:tr w14:paraId="49597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10" w:hRule="atLeast"/>
          <w:jc w:val="center"/>
        </w:trPr>
        <w:tc>
          <w:tcPr>
            <w:tcW w:w="2090" w:type="dxa"/>
            <w:vAlign w:val="center"/>
          </w:tcPr>
          <w:p w14:paraId="3D07BF1B">
            <w:pPr>
              <w:widowControl/>
              <w:tabs>
                <w:tab w:val="left" w:pos="2880"/>
                <w:tab w:val="left" w:pos="7020"/>
              </w:tabs>
              <w:spacing w:line="360" w:lineRule="auto"/>
              <w:ind w:right="178" w:rightChars="85"/>
              <w:jc w:val="left"/>
              <w:rPr>
                <w:rFonts w:ascii="宋体" w:hAnsi="宋体" w:cs="宋体"/>
                <w:color w:val="auto"/>
                <w:kern w:val="0"/>
                <w:sz w:val="24"/>
                <w:highlight w:val="none"/>
              </w:rPr>
            </w:pPr>
            <w:r>
              <w:rPr>
                <w:rFonts w:hint="eastAsia" w:ascii="宋体" w:hAnsi="宋体" w:cs="宋体"/>
                <w:color w:val="auto"/>
                <w:kern w:val="0"/>
                <w:sz w:val="24"/>
                <w:highlight w:val="none"/>
              </w:rPr>
              <w:t>受处理单位名称</w:t>
            </w:r>
          </w:p>
        </w:tc>
        <w:tc>
          <w:tcPr>
            <w:tcW w:w="6389" w:type="dxa"/>
          </w:tcPr>
          <w:p w14:paraId="4FA95998">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tc>
      </w:tr>
      <w:tr w14:paraId="45515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64" w:hRule="atLeast"/>
          <w:jc w:val="center"/>
        </w:trPr>
        <w:tc>
          <w:tcPr>
            <w:tcW w:w="2090" w:type="dxa"/>
            <w:vAlign w:val="center"/>
          </w:tcPr>
          <w:p w14:paraId="6DBE2AFF">
            <w:pPr>
              <w:widowControl/>
              <w:tabs>
                <w:tab w:val="left" w:pos="2880"/>
                <w:tab w:val="left" w:pos="7020"/>
              </w:tabs>
              <w:spacing w:line="360" w:lineRule="auto"/>
              <w:ind w:right="178" w:rightChars="85"/>
              <w:jc w:val="left"/>
              <w:rPr>
                <w:rFonts w:ascii="宋体" w:hAnsi="宋体" w:cs="宋体"/>
                <w:color w:val="auto"/>
                <w:kern w:val="0"/>
                <w:sz w:val="24"/>
                <w:highlight w:val="none"/>
              </w:rPr>
            </w:pPr>
            <w:r>
              <w:rPr>
                <w:rFonts w:hint="eastAsia" w:ascii="宋体" w:hAnsi="宋体" w:cs="宋体"/>
                <w:color w:val="auto"/>
                <w:kern w:val="0"/>
                <w:sz w:val="24"/>
                <w:highlight w:val="none"/>
              </w:rPr>
              <w:t>施工项目名称</w:t>
            </w:r>
          </w:p>
        </w:tc>
        <w:tc>
          <w:tcPr>
            <w:tcW w:w="6389" w:type="dxa"/>
          </w:tcPr>
          <w:p w14:paraId="0BD127DD">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tc>
      </w:tr>
      <w:tr w14:paraId="443CD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10" w:hRule="atLeast"/>
          <w:jc w:val="center"/>
        </w:trPr>
        <w:tc>
          <w:tcPr>
            <w:tcW w:w="2090" w:type="dxa"/>
            <w:vAlign w:val="center"/>
          </w:tcPr>
          <w:p w14:paraId="2A323DBD">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违章地点</w:t>
            </w:r>
          </w:p>
        </w:tc>
        <w:tc>
          <w:tcPr>
            <w:tcW w:w="6389" w:type="dxa"/>
          </w:tcPr>
          <w:p w14:paraId="5B1E5543">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tc>
      </w:tr>
      <w:tr w14:paraId="119B9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1870" w:hRule="atLeast"/>
          <w:jc w:val="center"/>
        </w:trPr>
        <w:tc>
          <w:tcPr>
            <w:tcW w:w="2090" w:type="dxa"/>
            <w:vAlign w:val="center"/>
          </w:tcPr>
          <w:p w14:paraId="32B31018">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6041D874">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处理原因</w:t>
            </w:r>
          </w:p>
          <w:p w14:paraId="38E9C113">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tc>
        <w:tc>
          <w:tcPr>
            <w:tcW w:w="6389" w:type="dxa"/>
          </w:tcPr>
          <w:p w14:paraId="53C2693C">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7A8E6BE4">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tc>
      </w:tr>
      <w:tr w14:paraId="0EDB0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1097" w:hRule="atLeast"/>
          <w:jc w:val="center"/>
        </w:trPr>
        <w:tc>
          <w:tcPr>
            <w:tcW w:w="2090" w:type="dxa"/>
            <w:vAlign w:val="center"/>
          </w:tcPr>
          <w:p w14:paraId="75B7BD1A">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处理依据</w:t>
            </w:r>
          </w:p>
        </w:tc>
        <w:tc>
          <w:tcPr>
            <w:tcW w:w="6389" w:type="dxa"/>
          </w:tcPr>
          <w:p w14:paraId="0D1F6406">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6D92AFA7">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tc>
      </w:tr>
      <w:tr w14:paraId="50457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1678" w:hRule="atLeast"/>
          <w:jc w:val="center"/>
        </w:trPr>
        <w:tc>
          <w:tcPr>
            <w:tcW w:w="2090" w:type="dxa"/>
            <w:vAlign w:val="center"/>
          </w:tcPr>
          <w:p w14:paraId="01030FB0">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处理决定</w:t>
            </w:r>
          </w:p>
        </w:tc>
        <w:tc>
          <w:tcPr>
            <w:tcW w:w="6389" w:type="dxa"/>
          </w:tcPr>
          <w:p w14:paraId="12C33FB9">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tc>
      </w:tr>
      <w:tr w14:paraId="293C7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729" w:hRule="atLeast"/>
          <w:jc w:val="center"/>
        </w:trPr>
        <w:tc>
          <w:tcPr>
            <w:tcW w:w="2090" w:type="dxa"/>
            <w:vAlign w:val="center"/>
          </w:tcPr>
          <w:p w14:paraId="281EC8DA">
            <w:pPr>
              <w:widowControl/>
              <w:tabs>
                <w:tab w:val="left" w:pos="2880"/>
                <w:tab w:val="left" w:pos="7020"/>
              </w:tabs>
              <w:spacing w:line="360" w:lineRule="auto"/>
              <w:ind w:right="178" w:rightChars="85"/>
              <w:jc w:val="left"/>
              <w:rPr>
                <w:rFonts w:ascii="宋体" w:hAnsi="宋体" w:cs="宋体"/>
                <w:color w:val="auto"/>
                <w:kern w:val="0"/>
                <w:sz w:val="24"/>
                <w:highlight w:val="none"/>
              </w:rPr>
            </w:pPr>
            <w:r>
              <w:rPr>
                <w:rFonts w:hint="eastAsia" w:ascii="宋体" w:hAnsi="宋体" w:cs="宋体"/>
                <w:color w:val="auto"/>
                <w:kern w:val="0"/>
                <w:sz w:val="24"/>
                <w:highlight w:val="none"/>
              </w:rPr>
              <w:t>处理违约金金额</w:t>
            </w:r>
          </w:p>
        </w:tc>
        <w:tc>
          <w:tcPr>
            <w:tcW w:w="6389" w:type="dxa"/>
            <w:vAlign w:val="center"/>
          </w:tcPr>
          <w:p w14:paraId="357A4714">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人民币大写：         (￥：元)</w:t>
            </w:r>
          </w:p>
        </w:tc>
      </w:tr>
      <w:tr w14:paraId="4844E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99" w:hRule="atLeast"/>
          <w:jc w:val="center"/>
        </w:trPr>
        <w:tc>
          <w:tcPr>
            <w:tcW w:w="2090" w:type="dxa"/>
            <w:vAlign w:val="center"/>
          </w:tcPr>
          <w:p w14:paraId="435744EF">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开单部门</w:t>
            </w:r>
          </w:p>
        </w:tc>
        <w:tc>
          <w:tcPr>
            <w:tcW w:w="6389" w:type="dxa"/>
            <w:vAlign w:val="center"/>
          </w:tcPr>
          <w:p w14:paraId="03260C50">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tc>
      </w:tr>
      <w:tr w14:paraId="43CC5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39" w:hRule="atLeast"/>
          <w:jc w:val="center"/>
        </w:trPr>
        <w:tc>
          <w:tcPr>
            <w:tcW w:w="2090" w:type="dxa"/>
            <w:vAlign w:val="center"/>
          </w:tcPr>
          <w:p w14:paraId="4DEB7A34">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开单人</w:t>
            </w:r>
          </w:p>
        </w:tc>
        <w:tc>
          <w:tcPr>
            <w:tcW w:w="6389" w:type="dxa"/>
            <w:vAlign w:val="center"/>
          </w:tcPr>
          <w:p w14:paraId="130DB4BD">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tc>
      </w:tr>
      <w:tr w14:paraId="5BD8C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19" w:hRule="atLeast"/>
          <w:jc w:val="center"/>
        </w:trPr>
        <w:tc>
          <w:tcPr>
            <w:tcW w:w="2090" w:type="dxa"/>
            <w:vAlign w:val="center"/>
          </w:tcPr>
          <w:p w14:paraId="1C74CAA8">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接收人</w:t>
            </w:r>
          </w:p>
        </w:tc>
        <w:tc>
          <w:tcPr>
            <w:tcW w:w="6389" w:type="dxa"/>
            <w:vAlign w:val="center"/>
          </w:tcPr>
          <w:p w14:paraId="46135CE7">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tc>
      </w:tr>
    </w:tbl>
    <w:p w14:paraId="5A3E42AF">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091F0EBC">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5C0BE705">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200B24CF">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5E682A8E">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4F6A90E9">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589C6134">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0478DB13">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16D0675D">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04E136CC">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70537F51">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3CEE6DF4">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3021ED31">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79A52509">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0AEE20C2">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321A4941">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5D5A08CD">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0FF5F9EC">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63232352">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24E8AFAE">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7424EB2E">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07236E9D">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注：本《违约处理通知书》一式三份，一份交违约施工单位，一份开具违约通知书部门留底，一份交职能部门。</w:t>
      </w:r>
    </w:p>
    <w:p w14:paraId="4429BA17">
      <w:pPr>
        <w:pStyle w:val="6"/>
        <w:rPr>
          <w:color w:val="auto"/>
          <w:highlight w:val="none"/>
        </w:rPr>
      </w:pPr>
    </w:p>
    <w:p w14:paraId="75D20ECB">
      <w:pPr>
        <w:widowControl/>
        <w:tabs>
          <w:tab w:val="left" w:pos="2880"/>
          <w:tab w:val="left" w:pos="7020"/>
        </w:tabs>
        <w:spacing w:line="360" w:lineRule="auto"/>
        <w:ind w:right="178" w:rightChars="85" w:firstLine="420" w:firstLineChars="200"/>
        <w:jc w:val="left"/>
        <w:rPr>
          <w:rFonts w:ascii="宋体" w:hAnsi="宋体" w:cs="宋体"/>
          <w:color w:val="auto"/>
          <w:highlight w:val="none"/>
        </w:rPr>
      </w:pPr>
    </w:p>
    <w:p w14:paraId="1090CFC8">
      <w:pPr>
        <w:widowControl/>
        <w:spacing w:line="360" w:lineRule="auto"/>
        <w:jc w:val="left"/>
        <w:rPr>
          <w:rFonts w:ascii="宋体" w:hAnsi="宋体" w:cs="宋体"/>
          <w:b/>
          <w:color w:val="auto"/>
          <w:kern w:val="0"/>
          <w:sz w:val="32"/>
          <w:szCs w:val="32"/>
          <w:highlight w:val="none"/>
        </w:rPr>
      </w:pPr>
    </w:p>
    <w:p w14:paraId="7BC6DF7D">
      <w:pPr>
        <w:widowControl/>
        <w:spacing w:line="360" w:lineRule="auto"/>
        <w:jc w:val="left"/>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 xml:space="preserve"> 附件6：廉政合同</w:t>
      </w:r>
    </w:p>
    <w:p w14:paraId="3A7816EE">
      <w:pPr>
        <w:pStyle w:val="31"/>
        <w:spacing w:line="360" w:lineRule="auto"/>
        <w:jc w:val="center"/>
        <w:rPr>
          <w:rFonts w:ascii="宋体" w:hAnsi="宋体" w:cs="宋体"/>
          <w:b/>
          <w:color w:val="auto"/>
          <w:sz w:val="32"/>
          <w:szCs w:val="32"/>
          <w:highlight w:val="none"/>
        </w:rPr>
      </w:pPr>
      <w:r>
        <w:rPr>
          <w:rFonts w:hint="eastAsia" w:ascii="宋体" w:hAnsi="宋体" w:cs="宋体"/>
          <w:color w:val="auto"/>
          <w:highlight w:val="none"/>
          <w:u w:val="thick"/>
        </w:rPr>
        <w:t xml:space="preserve">                        </w:t>
      </w:r>
      <w:r>
        <w:rPr>
          <w:rFonts w:hint="eastAsia" w:ascii="宋体" w:hAnsi="宋体" w:cs="宋体"/>
          <w:b/>
          <w:bCs/>
          <w:color w:val="auto"/>
          <w:sz w:val="32"/>
          <w:szCs w:val="32"/>
          <w:highlight w:val="none"/>
        </w:rPr>
        <w:t>合同</w:t>
      </w:r>
    </w:p>
    <w:p w14:paraId="33597795">
      <w:pPr>
        <w:pStyle w:val="31"/>
        <w:jc w:val="center"/>
        <w:rPr>
          <w:rFonts w:ascii="宋体" w:hAnsi="宋体" w:cs="宋体"/>
          <w:color w:val="auto"/>
          <w:highlight w:val="none"/>
        </w:rPr>
      </w:pPr>
      <w:r>
        <w:rPr>
          <w:rFonts w:hint="eastAsia" w:ascii="宋体" w:hAnsi="宋体" w:cs="宋体"/>
          <w:b/>
          <w:color w:val="auto"/>
          <w:sz w:val="32"/>
          <w:szCs w:val="32"/>
          <w:highlight w:val="none"/>
        </w:rPr>
        <w:t>之廉政合同</w:t>
      </w:r>
    </w:p>
    <w:p w14:paraId="3BE9F6DB">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根据交通部《关于在交通基础设施建设中加强廉政建设的若干意见》和《关于在交通基础设施建设中推行廉政合同的通知》以及有关工程建设、廉政建设的规定，为搞好机电工程中的党风廉政建设，保证机电工程工作高效优质，保证机电资金的安全和有效使用及投资效益，重庆首讯科技股份有限公司（以下称甲方）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公司（以下称乙方），特订立如下合同。</w:t>
      </w:r>
    </w:p>
    <w:p w14:paraId="7AD5D53A">
      <w:pPr>
        <w:widowControl/>
        <w:adjustRightInd w:val="0"/>
        <w:snapToGrid w:val="0"/>
        <w:spacing w:line="360" w:lineRule="auto"/>
        <w:jc w:val="left"/>
        <w:rPr>
          <w:rFonts w:ascii="宋体" w:hAnsi="宋体" w:cs="宋体"/>
          <w:b/>
          <w:bCs/>
          <w:color w:val="auto"/>
          <w:sz w:val="24"/>
          <w:highlight w:val="none"/>
        </w:rPr>
      </w:pPr>
      <w:r>
        <w:rPr>
          <w:rFonts w:hint="eastAsia" w:ascii="宋体" w:hAnsi="宋体" w:cs="宋体"/>
          <w:b/>
          <w:bCs/>
          <w:color w:val="auto"/>
          <w:sz w:val="24"/>
          <w:highlight w:val="none"/>
        </w:rPr>
        <w:t>一、此项工程甲乙双方廉政责任人</w:t>
      </w:r>
    </w:p>
    <w:p w14:paraId="79E51630">
      <w:pPr>
        <w:widowControl/>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 xml:space="preserve">甲方（此工程项目负责人）：               </w:t>
      </w:r>
    </w:p>
    <w:p w14:paraId="533C9203">
      <w:pPr>
        <w:pStyle w:val="6"/>
        <w:adjustRightInd w:val="0"/>
        <w:snapToGrid w:val="0"/>
        <w:spacing w:before="0" w:beforeAutospacing="0" w:after="0" w:afterAutospacing="0" w:line="360" w:lineRule="auto"/>
        <w:ind w:firstLine="480" w:firstLineChars="200"/>
        <w:jc w:val="both"/>
        <w:rPr>
          <w:color w:val="auto"/>
          <w:highlight w:val="none"/>
        </w:rPr>
      </w:pPr>
      <w:r>
        <w:rPr>
          <w:rFonts w:hint="eastAsia"/>
          <w:b w:val="0"/>
          <w:bCs w:val="0"/>
          <w:color w:val="auto"/>
          <w:highlight w:val="none"/>
        </w:rPr>
        <w:t xml:space="preserve">乙方（此工程项目负责人）： </w:t>
      </w:r>
    </w:p>
    <w:p w14:paraId="364D0BE6">
      <w:pPr>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二、甲乙双方的权利和义务</w:t>
      </w:r>
    </w:p>
    <w:p w14:paraId="5E218E49">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（1）严格遵守党的政策规定和国家有关法律法规及交通部的有关规定。</w:t>
      </w:r>
    </w:p>
    <w:p w14:paraId="6FC5F6B7">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（2）双方的业务活动坚持公开、公正、诚信、透明的原则（除法律认定的商业秘密和合同文件另有规定之外），不得损害国家和集体利益，违反养护工程管理规章制度。</w:t>
      </w:r>
    </w:p>
    <w:p w14:paraId="289F4C25">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（3）建立健全廉政制度，开展廉政教育，设立廉政告示牌，公布举报电话，监督并认真查处违法违纪行为。</w:t>
      </w:r>
    </w:p>
    <w:p w14:paraId="1B259601">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（4）发现对方在业务活动中有违反廉政规定的行为，有及时提醒对方纠正的权利和义务。</w:t>
      </w:r>
    </w:p>
    <w:p w14:paraId="0FDB5467">
      <w:pPr>
        <w:widowControl/>
        <w:tabs>
          <w:tab w:val="left" w:pos="3936"/>
        </w:tabs>
        <w:adjustRightInd w:val="0"/>
        <w:snapToGrid w:val="0"/>
        <w:spacing w:line="360" w:lineRule="auto"/>
        <w:ind w:firstLine="480" w:firstLineChars="200"/>
        <w:jc w:val="left"/>
        <w:rPr>
          <w:rFonts w:ascii="宋体" w:hAnsi="宋体" w:cs="宋体"/>
          <w:color w:val="auto"/>
          <w:szCs w:val="21"/>
          <w:highlight w:val="none"/>
        </w:rPr>
      </w:pPr>
      <w:r>
        <w:rPr>
          <w:rFonts w:hint="eastAsia" w:ascii="宋体" w:hAnsi="宋体" w:cs="宋体"/>
          <w:color w:val="auto"/>
          <w:sz w:val="24"/>
          <w:highlight w:val="none"/>
        </w:rPr>
        <w:t>（5）发现对方严重违反本合同义务条款的行为，有向上级有关部门举报、建议给予处理并要求告知处理结果的权利。</w:t>
      </w:r>
    </w:p>
    <w:p w14:paraId="08B59D2A">
      <w:pPr>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三、甲方的义务</w:t>
      </w:r>
    </w:p>
    <w:p w14:paraId="6888B03E">
      <w:pPr>
        <w:widowControl/>
        <w:tabs>
          <w:tab w:val="left" w:pos="3936"/>
        </w:tabs>
        <w:adjustRightInd w:val="0"/>
        <w:snapToGrid w:val="0"/>
        <w:spacing w:line="360" w:lineRule="auto"/>
        <w:ind w:firstLine="420" w:firstLineChars="200"/>
        <w:jc w:val="left"/>
        <w:rPr>
          <w:rFonts w:ascii="宋体" w:hAnsi="宋体" w:cs="宋体"/>
          <w:color w:val="auto"/>
          <w:sz w:val="24"/>
          <w:highlight w:val="none"/>
        </w:rPr>
      </w:pPr>
      <w:r>
        <w:rPr>
          <w:rFonts w:hint="eastAsia" w:ascii="宋体" w:hAnsi="宋体" w:cs="宋体"/>
          <w:color w:val="auto"/>
          <w:szCs w:val="21"/>
          <w:highlight w:val="none"/>
        </w:rPr>
        <w:t>（</w:t>
      </w:r>
      <w:r>
        <w:rPr>
          <w:rFonts w:hint="eastAsia" w:ascii="宋体" w:hAnsi="宋体" w:cs="宋体"/>
          <w:color w:val="auto"/>
          <w:sz w:val="24"/>
          <w:highlight w:val="none"/>
        </w:rPr>
        <w:t>1）甲方及其工作人员不得索要或接受乙方的礼金、有价证券和贵重物品，不得在乙方报销任何应由甲方或甲方工作人员个人支付的费用等。</w:t>
      </w:r>
    </w:p>
    <w:p w14:paraId="78296F5E">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（2）甲方工作人员不得参加乙方安排的超标准宴请和娱乐活动；不得接受乙方提供的通讯工具、交通工具和高档办公用品等。</w:t>
      </w:r>
    </w:p>
    <w:p w14:paraId="50119753">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（3）甲方及其工作人员不得要求或者接受乙方为其住房装修、婚丧嫁娶活动、配偶子女的工作安排以及出国出境、旅游等提供方便等。</w:t>
      </w:r>
    </w:p>
    <w:p w14:paraId="5291B9E9">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（4）甲方工作人员及其配偶、子女不得从事与甲方工程有关部门的材料设备供应、工程分包、劳务等经济活动等。</w:t>
      </w:r>
    </w:p>
    <w:p w14:paraId="54E72F5D">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（5）甲方及其工作人员不得以任何理由向乙方推荐分包单位或推销材料，不得要求乙方购买合同规定外的材料和设备。</w:t>
      </w:r>
    </w:p>
    <w:p w14:paraId="1F76AD58">
      <w:pPr>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四、乙方义务</w:t>
      </w:r>
    </w:p>
    <w:p w14:paraId="5F48EED6">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（1）乙方不得以任何理由向甲方及其工作人员行贿或馈赠礼金、有价证券、贵重物品。</w:t>
      </w:r>
    </w:p>
    <w:p w14:paraId="30BE724C">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（2）乙方不得以任何名义为甲方及其工作人员报销应由甲方单位或个人支付的任何费用。</w:t>
      </w:r>
    </w:p>
    <w:p w14:paraId="0D17B039">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（3）乙方不得以任何理由邀请甲方工作人员外出旅游或安排甲方人员参加超标准宴请及娱乐活动。</w:t>
      </w:r>
    </w:p>
    <w:p w14:paraId="1C5EC37D">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（4）乙方不得为甲方单位和个人购置或提供通讯工具、交通工具和高档办公用品等。</w:t>
      </w:r>
    </w:p>
    <w:p w14:paraId="0BDE293E">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（5）乙方及其工作人员应严格按监理规程办事，不得为谋取私利向监理人员非法行贿，私下串通，损坏甲方利益。同时必须对监理单位和工程监理人员履行向甲方承诺的上述其他廉政义务。</w:t>
      </w:r>
    </w:p>
    <w:p w14:paraId="1EEC5A8E">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6）乙方如果发现甲方工作人员或工程监理人员有违反廉政规定的行为，应向甲方组织或上级举报。甲方和工程监理部门均不得找任何借口对乙方进行报复。甲方对举报属实或严格遵守廉政合同的乙方，在同等条件下给予承接后续工程的优先邀请投标权。</w:t>
      </w:r>
    </w:p>
    <w:p w14:paraId="6BC5FBB9">
      <w:pPr>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五、违约责任</w:t>
      </w:r>
    </w:p>
    <w:p w14:paraId="174324B3">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（1）甲方及其工作人员违反本合同第一、二条，按管理权限，依据有关部门规定给予党纪、政纪或组织处理；涉嫌犯罪的，移交司法机关追究刑事责任；给乙方单位造成经济损失的，应予以赔偿。</w:t>
      </w:r>
    </w:p>
    <w:p w14:paraId="338064E7">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乙方及其工作人员违反本合同第一、三条，按管理权限，依据有关部门规定给予党纪、政纪或组织处理；给甲方单位造成经济损失的，应予以赔偿；情节严重的，甲方建议交通工程建设主管部门给予乙方一至三年内不得进入其主管的交通工程建设市场的处罚。</w:t>
      </w:r>
    </w:p>
    <w:p w14:paraId="519B6804">
      <w:pPr>
        <w:widowControl/>
        <w:adjustRightInd w:val="0"/>
        <w:snapToGrid w:val="0"/>
        <w:spacing w:line="360" w:lineRule="auto"/>
        <w:jc w:val="left"/>
        <w:rPr>
          <w:rFonts w:ascii="宋体" w:hAnsi="宋体" w:cs="宋体"/>
          <w:color w:val="auto"/>
          <w:sz w:val="24"/>
          <w:highlight w:val="none"/>
        </w:rPr>
      </w:pPr>
      <w:r>
        <w:rPr>
          <w:rFonts w:hint="eastAsia" w:ascii="宋体" w:hAnsi="宋体" w:cs="宋体"/>
          <w:b/>
          <w:bCs/>
          <w:color w:val="auto"/>
          <w:sz w:val="24"/>
          <w:highlight w:val="none"/>
        </w:rPr>
        <w:t>六、双方约定</w:t>
      </w:r>
      <w:r>
        <w:rPr>
          <w:rFonts w:hint="eastAsia" w:ascii="宋体" w:hAnsi="宋体" w:cs="宋体"/>
          <w:color w:val="auto"/>
          <w:szCs w:val="21"/>
          <w:highlight w:val="none"/>
        </w:rPr>
        <w:t>：</w:t>
      </w:r>
      <w:r>
        <w:rPr>
          <w:rFonts w:hint="eastAsia" w:ascii="宋体" w:hAnsi="宋体" w:cs="宋体"/>
          <w:color w:val="auto"/>
          <w:sz w:val="24"/>
          <w:highlight w:val="none"/>
        </w:rPr>
        <w:t>本合同由双方或双方上级单位的纪检监察机关负责监督执行。根据重庆市人民检察院、重庆市交通委员会《关于开展在交通基础设施建设中预防职务犯罪工作的意见》的有关规定，邀请当地检查机关作为本合同执行的法律监督单位，参与对本合同履行情况的监督检查。</w:t>
      </w:r>
    </w:p>
    <w:p w14:paraId="5C7805D1">
      <w:pPr>
        <w:widowControl/>
        <w:adjustRightInd w:val="0"/>
        <w:snapToGrid w:val="0"/>
        <w:spacing w:line="360" w:lineRule="auto"/>
        <w:jc w:val="left"/>
        <w:rPr>
          <w:rFonts w:ascii="宋体" w:hAnsi="宋体" w:cs="宋体"/>
          <w:color w:val="auto"/>
          <w:sz w:val="24"/>
          <w:highlight w:val="none"/>
        </w:rPr>
      </w:pPr>
      <w:r>
        <w:rPr>
          <w:rFonts w:hint="eastAsia" w:ascii="宋体" w:hAnsi="宋体" w:cs="宋体"/>
          <w:b/>
          <w:bCs/>
          <w:color w:val="auto"/>
          <w:sz w:val="24"/>
          <w:highlight w:val="none"/>
        </w:rPr>
        <w:t>七、</w:t>
      </w:r>
      <w:r>
        <w:rPr>
          <w:rFonts w:hint="eastAsia" w:ascii="宋体" w:hAnsi="宋体" w:cs="宋体"/>
          <w:color w:val="auto"/>
          <w:sz w:val="24"/>
          <w:highlight w:val="none"/>
        </w:rPr>
        <w:t>本合同有效期为甲乙双方签署之日起至该工程项目竣工后止。</w:t>
      </w:r>
    </w:p>
    <w:p w14:paraId="5B28D332">
      <w:pPr>
        <w:widowControl/>
        <w:adjustRightInd w:val="0"/>
        <w:snapToGrid w:val="0"/>
        <w:spacing w:line="360" w:lineRule="auto"/>
        <w:jc w:val="left"/>
        <w:rPr>
          <w:rFonts w:ascii="宋体" w:hAnsi="宋体" w:cs="宋体"/>
          <w:color w:val="auto"/>
          <w:szCs w:val="21"/>
          <w:highlight w:val="none"/>
        </w:rPr>
      </w:pPr>
      <w:r>
        <w:rPr>
          <w:rFonts w:hint="eastAsia" w:ascii="宋体" w:hAnsi="宋体" w:cs="宋体"/>
          <w:b/>
          <w:bCs/>
          <w:color w:val="auto"/>
          <w:sz w:val="24"/>
          <w:highlight w:val="none"/>
        </w:rPr>
        <w:t>八、</w:t>
      </w:r>
      <w:r>
        <w:rPr>
          <w:rFonts w:hint="eastAsia" w:ascii="宋体" w:hAnsi="宋体" w:cs="宋体"/>
          <w:color w:val="auto"/>
          <w:sz w:val="24"/>
          <w:highlight w:val="none"/>
        </w:rPr>
        <w:t>本合同一式两份，甲、乙双方各执一份。</w:t>
      </w:r>
    </w:p>
    <w:p w14:paraId="4D0DB03D">
      <w:pPr>
        <w:widowControl/>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甲方：重庆首讯科技股份有限公司  </w:t>
      </w:r>
      <w:r>
        <w:rPr>
          <w:rFonts w:hint="eastAsia" w:ascii="宋体" w:hAnsi="宋体" w:cs="宋体"/>
          <w:color w:val="auto"/>
          <w:sz w:val="24"/>
          <w:highlight w:val="none"/>
        </w:rPr>
        <w:tab/>
      </w:r>
      <w:r>
        <w:rPr>
          <w:rFonts w:hint="eastAsia" w:ascii="宋体" w:hAnsi="宋体" w:cs="宋体"/>
          <w:color w:val="auto"/>
          <w:sz w:val="24"/>
          <w:highlight w:val="none"/>
        </w:rPr>
        <w:t xml:space="preserve">         乙方：</w:t>
      </w:r>
    </w:p>
    <w:p w14:paraId="04A889FC">
      <w:pPr>
        <w:widowControl/>
        <w:adjustRightInd w:val="0"/>
        <w:snapToGrid w:val="0"/>
        <w:spacing w:line="360" w:lineRule="auto"/>
        <w:jc w:val="left"/>
        <w:rPr>
          <w:rFonts w:ascii="宋体" w:hAnsi="宋体" w:cs="宋体"/>
          <w:color w:val="auto"/>
          <w:sz w:val="24"/>
          <w:highlight w:val="none"/>
        </w:rPr>
      </w:pPr>
    </w:p>
    <w:p w14:paraId="6F44596A">
      <w:pPr>
        <w:widowControl/>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公司负责人或授权代理人：                    公司负责人或授权代理人：</w:t>
      </w:r>
    </w:p>
    <w:p w14:paraId="3DE1023D">
      <w:pPr>
        <w:widowControl/>
        <w:adjustRightInd w:val="0"/>
        <w:snapToGrid w:val="0"/>
        <w:spacing w:line="360" w:lineRule="auto"/>
        <w:jc w:val="left"/>
        <w:rPr>
          <w:rFonts w:ascii="宋体" w:hAnsi="宋体" w:cs="宋体"/>
          <w:color w:val="auto"/>
          <w:sz w:val="24"/>
          <w:highlight w:val="none"/>
        </w:rPr>
      </w:pPr>
    </w:p>
    <w:p w14:paraId="1900C244">
      <w:pPr>
        <w:widowControl/>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项目经理：</w:t>
      </w:r>
      <w:r>
        <w:rPr>
          <w:rFonts w:hint="eastAsia" w:ascii="宋体" w:hAnsi="宋体" w:cs="宋体"/>
          <w:color w:val="auto"/>
          <w:sz w:val="24"/>
          <w:highlight w:val="none"/>
        </w:rPr>
        <w:tab/>
      </w:r>
      <w:r>
        <w:rPr>
          <w:rFonts w:hint="eastAsia" w:ascii="宋体" w:hAnsi="宋体" w:cs="宋体"/>
          <w:color w:val="auto"/>
          <w:sz w:val="24"/>
          <w:highlight w:val="none"/>
        </w:rPr>
        <w:t xml:space="preserve">                                 项目经理：</w:t>
      </w:r>
    </w:p>
    <w:p w14:paraId="5B5AD7E8">
      <w:pPr>
        <w:widowControl/>
        <w:adjustRightInd w:val="0"/>
        <w:snapToGrid w:val="0"/>
        <w:spacing w:line="360" w:lineRule="auto"/>
        <w:jc w:val="left"/>
        <w:rPr>
          <w:rFonts w:ascii="宋体" w:hAnsi="宋体" w:cs="宋体"/>
          <w:color w:val="auto"/>
          <w:sz w:val="24"/>
          <w:highlight w:val="none"/>
        </w:rPr>
      </w:pPr>
    </w:p>
    <w:p w14:paraId="36D8719E">
      <w:pPr>
        <w:widowControl/>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经办人：                                    经办人：</w:t>
      </w:r>
    </w:p>
    <w:p w14:paraId="4A78FAB8">
      <w:pPr>
        <w:widowControl/>
        <w:adjustRightInd w:val="0"/>
        <w:snapToGrid w:val="0"/>
        <w:spacing w:line="360" w:lineRule="auto"/>
        <w:jc w:val="left"/>
        <w:rPr>
          <w:rFonts w:ascii="宋体" w:hAnsi="宋体" w:cs="宋体"/>
          <w:color w:val="auto"/>
          <w:sz w:val="24"/>
          <w:highlight w:val="none"/>
        </w:rPr>
      </w:pPr>
    </w:p>
    <w:p w14:paraId="2005A7F2">
      <w:pPr>
        <w:adjustRightInd w:val="0"/>
        <w:snapToGrid w:val="0"/>
        <w:spacing w:line="360" w:lineRule="auto"/>
        <w:rPr>
          <w:rFonts w:ascii="宋体" w:hAnsi="宋体" w:cs="宋体"/>
          <w:color w:val="auto"/>
          <w:sz w:val="30"/>
          <w:szCs w:val="30"/>
          <w:highlight w:val="none"/>
        </w:rPr>
      </w:pPr>
      <w:r>
        <w:rPr>
          <w:rFonts w:hint="eastAsia" w:ascii="宋体" w:hAnsi="宋体" w:cs="宋体"/>
          <w:color w:val="auto"/>
          <w:sz w:val="24"/>
          <w:highlight w:val="none"/>
        </w:rPr>
        <w:t xml:space="preserve">日期: </w:t>
      </w:r>
      <w:r>
        <w:rPr>
          <w:rFonts w:hint="eastAsia" w:ascii="宋体" w:hAnsi="宋体" w:cs="宋体"/>
          <w:color w:val="auto"/>
          <w:sz w:val="24"/>
          <w:highlight w:val="none"/>
        </w:rPr>
        <w:tab/>
      </w:r>
      <w:r>
        <w:rPr>
          <w:rFonts w:hint="eastAsia" w:ascii="宋体" w:hAnsi="宋体" w:cs="宋体"/>
          <w:color w:val="auto"/>
          <w:sz w:val="24"/>
          <w:highlight w:val="none"/>
        </w:rPr>
        <w:t xml:space="preserve">                                     日期:</w:t>
      </w:r>
    </w:p>
    <w:p w14:paraId="271119DB">
      <w:pPr>
        <w:pStyle w:val="10"/>
        <w:adjustRightInd w:val="0"/>
        <w:snapToGrid w:val="0"/>
        <w:spacing w:line="360" w:lineRule="auto"/>
        <w:ind w:left="0" w:leftChars="0"/>
        <w:rPr>
          <w:rFonts w:ascii="宋体" w:hAnsi="宋体" w:cs="宋体"/>
          <w:color w:val="auto"/>
          <w:highlight w:val="none"/>
        </w:rPr>
      </w:pPr>
    </w:p>
    <w:p w14:paraId="29159AF0">
      <w:pPr>
        <w:spacing w:line="440" w:lineRule="exact"/>
        <w:rPr>
          <w:rFonts w:ascii="宋体" w:hAnsi="宋体" w:cs="宋体"/>
          <w:color w:val="auto"/>
          <w:sz w:val="30"/>
          <w:szCs w:val="30"/>
          <w:highlight w:val="none"/>
        </w:rPr>
      </w:pPr>
    </w:p>
    <w:p w14:paraId="14CE0E69">
      <w:pPr>
        <w:spacing w:line="440" w:lineRule="exact"/>
        <w:rPr>
          <w:rFonts w:ascii="宋体" w:hAnsi="宋体" w:cs="宋体"/>
          <w:color w:val="auto"/>
          <w:sz w:val="30"/>
          <w:szCs w:val="30"/>
          <w:highlight w:val="none"/>
        </w:rPr>
      </w:pPr>
    </w:p>
    <w:p w14:paraId="2B5BA386">
      <w:pPr>
        <w:spacing w:line="440" w:lineRule="exact"/>
        <w:rPr>
          <w:rFonts w:ascii="宋体" w:hAnsi="宋体" w:cs="宋体"/>
          <w:color w:val="auto"/>
          <w:sz w:val="30"/>
          <w:szCs w:val="30"/>
          <w:highlight w:val="none"/>
        </w:rPr>
      </w:pPr>
    </w:p>
    <w:p w14:paraId="57E64ED8">
      <w:pPr>
        <w:spacing w:line="440" w:lineRule="exact"/>
        <w:rPr>
          <w:rFonts w:ascii="宋体" w:hAnsi="宋体" w:cs="宋体"/>
          <w:color w:val="auto"/>
          <w:sz w:val="30"/>
          <w:szCs w:val="30"/>
          <w:highlight w:val="none"/>
        </w:rPr>
      </w:pPr>
    </w:p>
    <w:p w14:paraId="6BD70C66">
      <w:pPr>
        <w:spacing w:line="440" w:lineRule="exact"/>
        <w:rPr>
          <w:rFonts w:ascii="宋体" w:hAnsi="宋体" w:cs="宋体"/>
          <w:color w:val="auto"/>
          <w:sz w:val="30"/>
          <w:szCs w:val="30"/>
          <w:highlight w:val="none"/>
        </w:rPr>
      </w:pPr>
    </w:p>
    <w:p w14:paraId="0F12BC92">
      <w:pPr>
        <w:spacing w:line="440" w:lineRule="exact"/>
        <w:rPr>
          <w:rFonts w:ascii="宋体" w:hAnsi="宋体" w:cs="宋体"/>
          <w:color w:val="auto"/>
          <w:sz w:val="30"/>
          <w:szCs w:val="30"/>
          <w:highlight w:val="none"/>
        </w:rPr>
      </w:pPr>
    </w:p>
    <w:p w14:paraId="173C2BD4">
      <w:pPr>
        <w:spacing w:line="440" w:lineRule="exact"/>
        <w:rPr>
          <w:rFonts w:ascii="宋体" w:hAnsi="宋体" w:cs="宋体"/>
          <w:color w:val="auto"/>
          <w:sz w:val="30"/>
          <w:szCs w:val="30"/>
          <w:highlight w:val="none"/>
        </w:rPr>
      </w:pPr>
    </w:p>
    <w:p w14:paraId="70D568BF">
      <w:pPr>
        <w:spacing w:line="440" w:lineRule="exact"/>
        <w:rPr>
          <w:rFonts w:ascii="宋体" w:hAnsi="宋体" w:cs="宋体"/>
          <w:color w:val="auto"/>
          <w:sz w:val="30"/>
          <w:szCs w:val="30"/>
          <w:highlight w:val="none"/>
        </w:rPr>
      </w:pPr>
    </w:p>
    <w:p w14:paraId="3DA2A880">
      <w:pPr>
        <w:spacing w:line="440" w:lineRule="exact"/>
        <w:rPr>
          <w:rFonts w:ascii="宋体" w:hAnsi="宋体" w:cs="宋体"/>
          <w:color w:val="auto"/>
          <w:sz w:val="30"/>
          <w:szCs w:val="30"/>
          <w:highlight w:val="none"/>
        </w:rPr>
      </w:pPr>
    </w:p>
    <w:p w14:paraId="2ECEA7F9">
      <w:pPr>
        <w:spacing w:line="440" w:lineRule="exact"/>
        <w:rPr>
          <w:rFonts w:ascii="宋体" w:hAnsi="宋体" w:cs="宋体"/>
          <w:color w:val="auto"/>
          <w:sz w:val="30"/>
          <w:szCs w:val="30"/>
          <w:highlight w:val="none"/>
        </w:rPr>
      </w:pPr>
    </w:p>
    <w:p w14:paraId="266A17D1">
      <w:pPr>
        <w:spacing w:line="440" w:lineRule="exact"/>
        <w:rPr>
          <w:rFonts w:ascii="宋体" w:hAnsi="宋体" w:cs="宋体"/>
          <w:color w:val="auto"/>
          <w:sz w:val="30"/>
          <w:szCs w:val="30"/>
          <w:highlight w:val="none"/>
        </w:rPr>
      </w:pPr>
    </w:p>
    <w:p w14:paraId="66B1B517">
      <w:pPr>
        <w:spacing w:line="440" w:lineRule="exact"/>
        <w:rPr>
          <w:rFonts w:ascii="宋体" w:hAnsi="宋体" w:cs="宋体"/>
          <w:color w:val="auto"/>
          <w:sz w:val="30"/>
          <w:szCs w:val="30"/>
          <w:highlight w:val="none"/>
        </w:rPr>
      </w:pPr>
    </w:p>
    <w:p w14:paraId="2C8A1C0F">
      <w:pPr>
        <w:spacing w:line="360" w:lineRule="auto"/>
        <w:jc w:val="left"/>
        <w:rPr>
          <w:rFonts w:ascii="宋体" w:hAnsi="宋体" w:cs="宋体"/>
          <w:b/>
          <w:color w:val="auto"/>
          <w:kern w:val="0"/>
          <w:sz w:val="32"/>
          <w:szCs w:val="32"/>
          <w:highlight w:val="none"/>
        </w:rPr>
      </w:pPr>
    </w:p>
    <w:p w14:paraId="2D39037E">
      <w:pPr>
        <w:spacing w:line="360" w:lineRule="auto"/>
        <w:jc w:val="left"/>
        <w:rPr>
          <w:rFonts w:ascii="宋体" w:hAnsi="宋体" w:cs="宋体"/>
          <w:b/>
          <w:color w:val="auto"/>
          <w:kern w:val="0"/>
          <w:sz w:val="32"/>
          <w:szCs w:val="32"/>
          <w:highlight w:val="none"/>
        </w:rPr>
      </w:pPr>
    </w:p>
    <w:p w14:paraId="020988B2">
      <w:pPr>
        <w:spacing w:line="360" w:lineRule="auto"/>
        <w:jc w:val="left"/>
        <w:rPr>
          <w:rFonts w:ascii="宋体" w:hAnsi="宋体" w:cs="宋体"/>
          <w:b/>
          <w:color w:val="auto"/>
          <w:kern w:val="0"/>
          <w:sz w:val="32"/>
          <w:szCs w:val="32"/>
          <w:highlight w:val="none"/>
        </w:rPr>
      </w:pPr>
    </w:p>
    <w:p w14:paraId="111CD054">
      <w:pPr>
        <w:spacing w:line="360" w:lineRule="auto"/>
        <w:jc w:val="left"/>
        <w:rPr>
          <w:rFonts w:ascii="宋体" w:hAnsi="宋体" w:cs="宋体"/>
          <w:b/>
          <w:color w:val="auto"/>
          <w:kern w:val="0"/>
          <w:sz w:val="32"/>
          <w:szCs w:val="32"/>
          <w:highlight w:val="none"/>
        </w:rPr>
      </w:pPr>
    </w:p>
    <w:p w14:paraId="2312F5F4">
      <w:pPr>
        <w:jc w:val="left"/>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br w:type="page"/>
      </w:r>
    </w:p>
    <w:p w14:paraId="25DA0A43">
      <w:pPr>
        <w:spacing w:line="360" w:lineRule="auto"/>
        <w:ind w:firstLine="321" w:firstLineChars="100"/>
        <w:jc w:val="left"/>
        <w:rPr>
          <w:rFonts w:ascii="宋体" w:hAnsi="宋体" w:cs="宋体"/>
          <w:b/>
          <w:color w:val="auto"/>
          <w:sz w:val="32"/>
          <w:szCs w:val="32"/>
          <w:highlight w:val="none"/>
        </w:rPr>
      </w:pPr>
      <w:r>
        <w:rPr>
          <w:rFonts w:hint="eastAsia" w:ascii="宋体" w:hAnsi="宋体" w:cs="宋体"/>
          <w:b/>
          <w:color w:val="auto"/>
          <w:kern w:val="0"/>
          <w:sz w:val="32"/>
          <w:szCs w:val="32"/>
          <w:highlight w:val="none"/>
        </w:rPr>
        <w:t>附件7：环境保护协议</w:t>
      </w:r>
    </w:p>
    <w:p w14:paraId="764F0424">
      <w:pPr>
        <w:widowControl/>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  </w:t>
      </w:r>
    </w:p>
    <w:p w14:paraId="02BB4DE8">
      <w:pPr>
        <w:widowControl/>
        <w:spacing w:line="360" w:lineRule="auto"/>
        <w:jc w:val="left"/>
        <w:rPr>
          <w:rFonts w:ascii="宋体" w:hAnsi="宋体" w:cs="宋体"/>
          <w:b/>
          <w:bCs/>
          <w:color w:val="auto"/>
          <w:sz w:val="32"/>
          <w:szCs w:val="32"/>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u w:val="thick"/>
        </w:rPr>
        <w:t xml:space="preserve">                        </w:t>
      </w:r>
      <w:r>
        <w:rPr>
          <w:rFonts w:hint="eastAsia" w:ascii="宋体" w:hAnsi="宋体" w:cs="宋体"/>
          <w:b/>
          <w:bCs/>
          <w:color w:val="auto"/>
          <w:sz w:val="32"/>
          <w:szCs w:val="32"/>
          <w:highlight w:val="none"/>
        </w:rPr>
        <w:t>合同</w:t>
      </w:r>
    </w:p>
    <w:p w14:paraId="30F9FCAF">
      <w:pPr>
        <w:pStyle w:val="24"/>
        <w:tabs>
          <w:tab w:val="left" w:pos="1200"/>
          <w:tab w:val="right" w:leader="dot" w:pos="9730"/>
        </w:tabs>
        <w:rPr>
          <w:rFonts w:ascii="宋体" w:hAnsi="宋体" w:cs="宋体"/>
          <w:b/>
          <w:bCs/>
          <w:color w:val="auto"/>
          <w:sz w:val="32"/>
          <w:szCs w:val="32"/>
          <w:highlight w:val="none"/>
        </w:rPr>
      </w:pPr>
      <w:r>
        <w:rPr>
          <w:rFonts w:hint="eastAsia" w:ascii="宋体" w:hAnsi="宋体" w:cs="宋体"/>
          <w:b/>
          <w:bCs/>
          <w:color w:val="auto"/>
          <w:sz w:val="24"/>
          <w:highlight w:val="none"/>
        </w:rPr>
        <w:t xml:space="preserve">                            </w:t>
      </w:r>
      <w:r>
        <w:rPr>
          <w:rFonts w:hint="eastAsia" w:ascii="宋体" w:hAnsi="宋体" w:cs="宋体"/>
          <w:b/>
          <w:bCs/>
          <w:color w:val="auto"/>
          <w:sz w:val="32"/>
          <w:szCs w:val="32"/>
          <w:highlight w:val="none"/>
        </w:rPr>
        <w:t>之环境保护协议</w:t>
      </w:r>
      <w:r>
        <w:rPr>
          <w:rFonts w:hint="eastAsia" w:ascii="宋体" w:hAnsi="宋体" w:cs="宋体"/>
          <w:b/>
          <w:bCs/>
          <w:color w:val="auto"/>
          <w:sz w:val="24"/>
          <w:highlight w:val="none"/>
        </w:rPr>
        <w:t xml:space="preserve">              </w:t>
      </w:r>
    </w:p>
    <w:p w14:paraId="57390DBC">
      <w:pPr>
        <w:widowControl/>
        <w:spacing w:line="360" w:lineRule="auto"/>
        <w:ind w:firstLine="420" w:firstLineChars="200"/>
        <w:jc w:val="left"/>
        <w:rPr>
          <w:rFonts w:ascii="宋体" w:hAnsi="宋体" w:cs="宋体"/>
          <w:color w:val="auto"/>
          <w:sz w:val="24"/>
          <w:highlight w:val="none"/>
        </w:rPr>
      </w:pPr>
      <w:r>
        <w:rPr>
          <w:rFonts w:hint="eastAsia" w:ascii="宋体" w:hAnsi="宋体" w:cs="宋体"/>
          <w:color w:val="auto"/>
          <w:highlight w:val="none"/>
        </w:rPr>
        <w:t>为</w:t>
      </w:r>
      <w:r>
        <w:rPr>
          <w:rFonts w:hint="eastAsia" w:ascii="宋体" w:hAnsi="宋体" w:cs="宋体"/>
          <w:color w:val="auto"/>
          <w:sz w:val="24"/>
          <w:highlight w:val="none"/>
        </w:rPr>
        <w:t>遵守《中华人民共和国环境保护法》《中华人民共和国安全生产法》及国家地方各项环境保护法律法规，保证施工生产符合环境管理要求，确保在实施过程中对周边环境的保护，经甲乙双方协商，签订本协议。</w:t>
      </w:r>
    </w:p>
    <w:p w14:paraId="35347D57">
      <w:pPr>
        <w:widowControl/>
        <w:spacing w:line="360" w:lineRule="auto"/>
        <w:jc w:val="left"/>
        <w:rPr>
          <w:rFonts w:ascii="宋体" w:hAnsi="宋体" w:cs="宋体"/>
          <w:b/>
          <w:bCs/>
          <w:color w:val="auto"/>
          <w:sz w:val="24"/>
          <w:highlight w:val="none"/>
        </w:rPr>
      </w:pPr>
      <w:r>
        <w:rPr>
          <w:rFonts w:hint="eastAsia" w:ascii="宋体" w:hAnsi="宋体" w:cs="宋体"/>
          <w:b/>
          <w:bCs/>
          <w:color w:val="auto"/>
          <w:sz w:val="24"/>
          <w:highlight w:val="none"/>
        </w:rPr>
        <w:t>一、此项工程甲乙双方环保责任人</w:t>
      </w:r>
    </w:p>
    <w:p w14:paraId="13E34498">
      <w:pPr>
        <w:widowControl/>
        <w:spacing w:line="360" w:lineRule="auto"/>
        <w:ind w:firstLine="480" w:firstLineChars="200"/>
        <w:jc w:val="left"/>
        <w:rPr>
          <w:rFonts w:ascii="宋体" w:hAnsi="宋体" w:cs="宋体"/>
          <w:color w:val="auto"/>
          <w:sz w:val="24"/>
          <w:highlight w:val="none"/>
          <w:u w:val="single"/>
        </w:rPr>
      </w:pPr>
      <w:r>
        <w:rPr>
          <w:rFonts w:hint="eastAsia" w:ascii="宋体" w:hAnsi="宋体" w:cs="宋体"/>
          <w:color w:val="auto"/>
          <w:sz w:val="24"/>
          <w:highlight w:val="none"/>
        </w:rPr>
        <w:t>甲方（此工程项目负责人）：</w:t>
      </w:r>
      <w:r>
        <w:rPr>
          <w:rFonts w:hint="eastAsia" w:ascii="宋体" w:hAnsi="宋体" w:cs="宋体"/>
          <w:color w:val="auto"/>
          <w:sz w:val="24"/>
          <w:highlight w:val="none"/>
          <w:u w:val="single"/>
        </w:rPr>
        <w:t xml:space="preserve">               </w:t>
      </w:r>
    </w:p>
    <w:p w14:paraId="0147B34D">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乙方（此工程项目负责人）：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14:paraId="7015B509">
      <w:pPr>
        <w:widowControl/>
        <w:spacing w:line="360" w:lineRule="auto"/>
        <w:jc w:val="left"/>
        <w:rPr>
          <w:rFonts w:ascii="宋体" w:hAnsi="宋体" w:cs="宋体"/>
          <w:b/>
          <w:bCs/>
          <w:color w:val="auto"/>
          <w:sz w:val="24"/>
          <w:highlight w:val="none"/>
        </w:rPr>
      </w:pPr>
      <w:r>
        <w:rPr>
          <w:rFonts w:hint="eastAsia" w:ascii="宋体" w:hAnsi="宋体" w:cs="宋体"/>
          <w:b/>
          <w:bCs/>
          <w:color w:val="auto"/>
          <w:sz w:val="24"/>
          <w:highlight w:val="none"/>
        </w:rPr>
        <w:t>二、甲方职责</w:t>
      </w:r>
    </w:p>
    <w:p w14:paraId="3E6865CB">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1.严格遵守国家有关环境保护的法律法规，认真执行工程施工合同中的有关环保要求。</w:t>
      </w:r>
    </w:p>
    <w:p w14:paraId="4D965338">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2.监督检查乙方，对乙方在施工和提供其他服务的过程中在环境保护是否进行有效控制。</w:t>
      </w:r>
    </w:p>
    <w:p w14:paraId="134B8B41">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3.甲方发现施工环境问题，或乙方违反环境法律、法规及标准情况，有权责成乙方对发现的问题进行整改。乙方经整改合格后，方可再次进场作业。</w:t>
      </w:r>
    </w:p>
    <w:p w14:paraId="50834E28">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4.针对项目特点，甲方对乙方进行环保交底工作，施工过程中监督乙方按交底内容实施。</w:t>
      </w:r>
    </w:p>
    <w:p w14:paraId="57D1F6BD">
      <w:pPr>
        <w:widowControl/>
        <w:spacing w:line="360" w:lineRule="auto"/>
        <w:jc w:val="left"/>
        <w:rPr>
          <w:rFonts w:ascii="宋体" w:hAnsi="宋体" w:cs="宋体"/>
          <w:b/>
          <w:bCs/>
          <w:color w:val="auto"/>
          <w:sz w:val="24"/>
          <w:highlight w:val="none"/>
        </w:rPr>
      </w:pPr>
      <w:r>
        <w:rPr>
          <w:rFonts w:hint="eastAsia" w:ascii="宋体" w:hAnsi="宋体" w:cs="宋体"/>
          <w:b/>
          <w:bCs/>
          <w:color w:val="auto"/>
          <w:sz w:val="24"/>
          <w:highlight w:val="none"/>
        </w:rPr>
        <w:t>三、乙方职责</w:t>
      </w:r>
    </w:p>
    <w:p w14:paraId="27C611CB">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1.乙方必须遵守《中华人民共和国环境保护法》《中华人民共和国安全生产法》及国家地方有关环境保护方案的法律法规及标准，遵守甲方的环境方针。</w:t>
      </w:r>
    </w:p>
    <w:p w14:paraId="6A0F27D5">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2.甲方对重大环境因素所提出的控制措施，乙方应负责进行有针对性的控制和实施。</w:t>
      </w:r>
    </w:p>
    <w:p w14:paraId="30051074">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3.乙方在施工作业和生活中所产生的废水、生活污水必须按照国家和地方排放标准达标排放，不得随意排入附近的天然水体。</w:t>
      </w:r>
    </w:p>
    <w:p w14:paraId="34F5ABBA">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4.乙方在施工活动中产生的固体废弃物，必须进行收集并转运至指定垃圾填埋场，不的随意丢到水体或土壤等周围环境中。</w:t>
      </w:r>
    </w:p>
    <w:p w14:paraId="484813A4">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5.乙方在施工中产生的危险废弃物必须按照要求分类存放并移交给专业机构处理，不的随意丢到水体或土壤等周围环境中。</w:t>
      </w:r>
    </w:p>
    <w:p w14:paraId="593F28AF">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6.乙方对在施工中产生的噪音，应次啊去降噪或隔离措施，以符合国家和地方标准，不得扰乱施工区域附近居民的正常生活。</w:t>
      </w:r>
    </w:p>
    <w:p w14:paraId="4C81643F">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7.乙方对易燃、一包或有毒有害危险品，应采取防范措施，防止在储运过程中发生火灾、爆炸或泄露等事故，造成对环境的污染。</w:t>
      </w:r>
    </w:p>
    <w:p w14:paraId="607C3C82">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8.乙方进入施工现场前，必须接受甲方环境保护培训，以提高作业人员环境保护意识。</w:t>
      </w:r>
    </w:p>
    <w:p w14:paraId="2AE987F2">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9.乙方必须按照甲方环境方针要求，排查各作业点环境因素，并制定相应措施。</w:t>
      </w:r>
    </w:p>
    <w:p w14:paraId="0BF71FFF">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10.乙方在土方开挖、运输、回填土作业时，必须要有防尘措施。</w:t>
      </w:r>
    </w:p>
    <w:p w14:paraId="2F351AEB">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11.乙方作业人员要做到工完料净场地清，避免造成环境污染。</w:t>
      </w:r>
    </w:p>
    <w:p w14:paraId="1214DEFA">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12.乙方施工机械、车辆尾气排放必须符合国家规定，不的泄露油污。</w:t>
      </w:r>
    </w:p>
    <w:p w14:paraId="7B4FE257">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13.乙方必须按照本工程项目特点，组织制定本工程实施中的环保事故应急救援预案；如果发生环保事故，应迅速采取有效措施，组织抢救，最大限度降低事故对环境可能造成的污染危害；并按国家有关规定立即如实报告有关部门，环保事故控制住后，要做好人员安抚、现场恢复等善后工作，同时，要积极配合事故调查工作。</w:t>
      </w:r>
    </w:p>
    <w:p w14:paraId="6C799071">
      <w:pPr>
        <w:widowControl/>
        <w:spacing w:line="360" w:lineRule="auto"/>
        <w:jc w:val="left"/>
        <w:rPr>
          <w:rFonts w:ascii="宋体" w:hAnsi="宋体" w:cs="宋体"/>
          <w:b/>
          <w:bCs/>
          <w:color w:val="auto"/>
          <w:sz w:val="24"/>
          <w:highlight w:val="none"/>
        </w:rPr>
      </w:pPr>
      <w:r>
        <w:rPr>
          <w:rFonts w:hint="eastAsia" w:ascii="宋体" w:hAnsi="宋体" w:cs="宋体"/>
          <w:b/>
          <w:bCs/>
          <w:color w:val="auto"/>
          <w:sz w:val="24"/>
          <w:highlight w:val="none"/>
        </w:rPr>
        <w:t>四、违约处罚及责任</w:t>
      </w:r>
    </w:p>
    <w:p w14:paraId="4CABFC99">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1.乙方在施工现场存在环保隐患、未落实环保措施拒不改正的，甲方有权要求停工，并向公司领导报告，同时与施工单位的服务评价挂钩列入黑名单，由此产生的损失乙方自己承担。</w:t>
      </w:r>
    </w:p>
    <w:p w14:paraId="35817AA9">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乙方不遵守环保法律法规及甲方环境的要求，发生环境违章事件导致甲方被上级单或政府执法部门处罚造成经济损失、影响甲方社会形象的，乙方承担全部责任。同时甲方有权对乙方给予上级经济处罚的基础上3-5倍经济处罚，违章情节严重的，甲方有权提前终止与乙方的工程合同。</w:t>
      </w:r>
    </w:p>
    <w:p w14:paraId="613112E5">
      <w:pPr>
        <w:widowControl/>
        <w:spacing w:line="360" w:lineRule="auto"/>
        <w:jc w:val="left"/>
        <w:rPr>
          <w:rFonts w:ascii="宋体" w:hAnsi="宋体" w:cs="宋体"/>
          <w:b/>
          <w:bCs/>
          <w:color w:val="auto"/>
          <w:sz w:val="24"/>
          <w:highlight w:val="none"/>
        </w:rPr>
      </w:pPr>
      <w:r>
        <w:rPr>
          <w:rFonts w:hint="eastAsia" w:ascii="宋体" w:hAnsi="宋体" w:cs="宋体"/>
          <w:b/>
          <w:bCs/>
          <w:color w:val="auto"/>
          <w:sz w:val="24"/>
          <w:highlight w:val="none"/>
        </w:rPr>
        <w:t>五、协议份数与时效</w:t>
      </w:r>
    </w:p>
    <w:p w14:paraId="7E08738D">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1.本协议作为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的附件，与工程施工合同具有同等的法律效力。</w:t>
      </w:r>
    </w:p>
    <w:p w14:paraId="2FD80529">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2.本协议一式贰份，甲方执壹份，乙方执壹份。由双方法定代表人或其授权的代理人签署盖章后生效，全部工程完工验收后终止。</w:t>
      </w:r>
    </w:p>
    <w:p w14:paraId="2C44D206">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3.因协议在履行过程中所产生的争议，双方协商解决，协商不成的，提交甲方所在地有管辖权的人民法院管辖。</w:t>
      </w:r>
    </w:p>
    <w:p w14:paraId="1848E278">
      <w:pPr>
        <w:widowControl/>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甲方：重庆首讯科技股份有限公司  </w:t>
      </w:r>
      <w:r>
        <w:rPr>
          <w:rFonts w:hint="eastAsia" w:ascii="宋体" w:hAnsi="宋体" w:cs="宋体"/>
          <w:color w:val="auto"/>
          <w:sz w:val="24"/>
          <w:highlight w:val="none"/>
        </w:rPr>
        <w:tab/>
      </w:r>
      <w:r>
        <w:rPr>
          <w:rFonts w:hint="eastAsia" w:ascii="宋体" w:hAnsi="宋体" w:cs="宋体"/>
          <w:color w:val="auto"/>
          <w:sz w:val="24"/>
          <w:highlight w:val="none"/>
        </w:rPr>
        <w:t xml:space="preserve">         乙方：</w:t>
      </w:r>
    </w:p>
    <w:p w14:paraId="50987545">
      <w:pPr>
        <w:widowControl/>
        <w:spacing w:line="360" w:lineRule="auto"/>
        <w:jc w:val="left"/>
        <w:rPr>
          <w:rFonts w:ascii="宋体" w:hAnsi="宋体" w:cs="宋体"/>
          <w:color w:val="auto"/>
          <w:sz w:val="24"/>
          <w:highlight w:val="none"/>
        </w:rPr>
      </w:pPr>
    </w:p>
    <w:p w14:paraId="42245CF0">
      <w:pPr>
        <w:widowControl/>
        <w:spacing w:line="360" w:lineRule="auto"/>
        <w:jc w:val="left"/>
        <w:rPr>
          <w:rFonts w:ascii="宋体" w:hAnsi="宋体" w:cs="宋体"/>
          <w:color w:val="auto"/>
          <w:sz w:val="24"/>
          <w:highlight w:val="none"/>
        </w:rPr>
      </w:pPr>
      <w:r>
        <w:rPr>
          <w:rFonts w:hint="eastAsia" w:ascii="宋体" w:hAnsi="宋体" w:cs="宋体"/>
          <w:color w:val="auto"/>
          <w:sz w:val="24"/>
          <w:highlight w:val="none"/>
        </w:rPr>
        <w:t>公司负责人或授权代理人：                    公司负责人或授权代理人：</w:t>
      </w:r>
    </w:p>
    <w:p w14:paraId="3B977268">
      <w:pPr>
        <w:widowControl/>
        <w:spacing w:line="360" w:lineRule="auto"/>
        <w:jc w:val="left"/>
        <w:rPr>
          <w:rFonts w:ascii="宋体" w:hAnsi="宋体" w:cs="宋体"/>
          <w:color w:val="auto"/>
          <w:sz w:val="24"/>
          <w:highlight w:val="none"/>
        </w:rPr>
      </w:pPr>
    </w:p>
    <w:p w14:paraId="1EF11E5D">
      <w:pPr>
        <w:widowControl/>
        <w:spacing w:line="360" w:lineRule="auto"/>
        <w:jc w:val="left"/>
        <w:rPr>
          <w:rFonts w:ascii="宋体" w:hAnsi="宋体" w:cs="宋体"/>
          <w:color w:val="auto"/>
          <w:sz w:val="24"/>
          <w:highlight w:val="none"/>
        </w:rPr>
      </w:pPr>
      <w:r>
        <w:rPr>
          <w:rFonts w:hint="eastAsia" w:ascii="宋体" w:hAnsi="宋体" w:cs="宋体"/>
          <w:color w:val="auto"/>
          <w:sz w:val="24"/>
          <w:highlight w:val="none"/>
        </w:rPr>
        <w:t>项目经理：</w:t>
      </w:r>
      <w:r>
        <w:rPr>
          <w:rFonts w:hint="eastAsia" w:ascii="宋体" w:hAnsi="宋体" w:cs="宋体"/>
          <w:color w:val="auto"/>
          <w:sz w:val="24"/>
          <w:highlight w:val="none"/>
        </w:rPr>
        <w:tab/>
      </w:r>
      <w:r>
        <w:rPr>
          <w:rFonts w:hint="eastAsia" w:ascii="宋体" w:hAnsi="宋体" w:cs="宋体"/>
          <w:color w:val="auto"/>
          <w:sz w:val="24"/>
          <w:highlight w:val="none"/>
        </w:rPr>
        <w:t xml:space="preserve">                              项目经理：</w:t>
      </w:r>
    </w:p>
    <w:p w14:paraId="543D10B4">
      <w:pPr>
        <w:widowControl/>
        <w:spacing w:line="360" w:lineRule="auto"/>
        <w:jc w:val="left"/>
        <w:rPr>
          <w:rFonts w:ascii="宋体" w:hAnsi="宋体" w:cs="宋体"/>
          <w:color w:val="auto"/>
          <w:sz w:val="24"/>
          <w:highlight w:val="none"/>
        </w:rPr>
      </w:pPr>
    </w:p>
    <w:p w14:paraId="3646241E">
      <w:pPr>
        <w:widowControl/>
        <w:spacing w:line="360" w:lineRule="auto"/>
        <w:jc w:val="left"/>
        <w:rPr>
          <w:rFonts w:ascii="宋体" w:hAnsi="宋体" w:cs="宋体"/>
          <w:color w:val="auto"/>
          <w:sz w:val="24"/>
          <w:highlight w:val="none"/>
        </w:rPr>
      </w:pPr>
      <w:r>
        <w:rPr>
          <w:rFonts w:hint="eastAsia" w:ascii="宋体" w:hAnsi="宋体" w:cs="宋体"/>
          <w:color w:val="auto"/>
          <w:sz w:val="24"/>
          <w:highlight w:val="none"/>
        </w:rPr>
        <w:t>经办人：                                    经办人：</w:t>
      </w:r>
    </w:p>
    <w:p w14:paraId="5E3AA50F">
      <w:pPr>
        <w:widowControl/>
        <w:spacing w:line="360" w:lineRule="auto"/>
        <w:jc w:val="left"/>
        <w:rPr>
          <w:rFonts w:ascii="宋体" w:hAnsi="宋体" w:cs="宋体"/>
          <w:color w:val="auto"/>
          <w:sz w:val="24"/>
          <w:highlight w:val="none"/>
        </w:rPr>
      </w:pPr>
    </w:p>
    <w:p w14:paraId="6AEDDC02">
      <w:pPr>
        <w:spacing w:line="440" w:lineRule="exact"/>
        <w:rPr>
          <w:rFonts w:ascii="宋体" w:hAnsi="宋体" w:cs="宋体"/>
          <w:color w:val="auto"/>
          <w:sz w:val="30"/>
          <w:szCs w:val="30"/>
          <w:highlight w:val="none"/>
        </w:rPr>
      </w:pPr>
      <w:r>
        <w:rPr>
          <w:rFonts w:hint="eastAsia" w:ascii="宋体" w:hAnsi="宋体" w:cs="宋体"/>
          <w:color w:val="auto"/>
          <w:sz w:val="24"/>
          <w:highlight w:val="none"/>
        </w:rPr>
        <w:t xml:space="preserve">日期: </w:t>
      </w:r>
      <w:r>
        <w:rPr>
          <w:rFonts w:hint="eastAsia" w:ascii="宋体" w:hAnsi="宋体" w:cs="宋体"/>
          <w:color w:val="auto"/>
          <w:sz w:val="24"/>
          <w:highlight w:val="none"/>
        </w:rPr>
        <w:tab/>
      </w:r>
      <w:r>
        <w:rPr>
          <w:rFonts w:hint="eastAsia" w:ascii="宋体" w:hAnsi="宋体" w:cs="宋体"/>
          <w:color w:val="auto"/>
          <w:sz w:val="24"/>
          <w:highlight w:val="none"/>
        </w:rPr>
        <w:t xml:space="preserve">                                     日期:</w:t>
      </w:r>
    </w:p>
    <w:p w14:paraId="3C2EA767">
      <w:pPr>
        <w:spacing w:line="440" w:lineRule="exact"/>
        <w:rPr>
          <w:rFonts w:ascii="宋体" w:hAnsi="宋体" w:cs="宋体"/>
          <w:color w:val="auto"/>
          <w:sz w:val="30"/>
          <w:szCs w:val="30"/>
          <w:highlight w:val="none"/>
        </w:rPr>
      </w:pPr>
    </w:p>
    <w:p w14:paraId="7A87DB7E">
      <w:pPr>
        <w:pStyle w:val="24"/>
        <w:tabs>
          <w:tab w:val="right" w:leader="dot" w:pos="8296"/>
        </w:tabs>
        <w:rPr>
          <w:rFonts w:ascii="宋体" w:hAnsi="宋体" w:cs="宋体"/>
          <w:color w:val="auto"/>
          <w:sz w:val="30"/>
          <w:szCs w:val="30"/>
          <w:highlight w:val="none"/>
        </w:rPr>
      </w:pPr>
    </w:p>
    <w:p w14:paraId="35DB9793">
      <w:pPr>
        <w:rPr>
          <w:rFonts w:ascii="宋体" w:hAnsi="宋体" w:cs="宋体"/>
          <w:color w:val="auto"/>
          <w:sz w:val="30"/>
          <w:szCs w:val="30"/>
          <w:highlight w:val="none"/>
        </w:rPr>
      </w:pPr>
    </w:p>
    <w:p w14:paraId="30759C03">
      <w:pPr>
        <w:spacing w:line="440" w:lineRule="exact"/>
        <w:jc w:val="left"/>
        <w:rPr>
          <w:rFonts w:ascii="宋体" w:hAnsi="宋体" w:cs="宋体"/>
          <w:b/>
          <w:bCs/>
          <w:color w:val="auto"/>
          <w:sz w:val="30"/>
          <w:szCs w:val="30"/>
          <w:highlight w:val="none"/>
        </w:rPr>
      </w:pPr>
    </w:p>
    <w:p w14:paraId="05D31F5D">
      <w:pPr>
        <w:spacing w:line="440" w:lineRule="exact"/>
        <w:jc w:val="left"/>
        <w:rPr>
          <w:rFonts w:ascii="宋体" w:hAnsi="宋体" w:cs="宋体"/>
          <w:b/>
          <w:bCs/>
          <w:color w:val="auto"/>
          <w:sz w:val="30"/>
          <w:szCs w:val="30"/>
          <w:highlight w:val="none"/>
        </w:rPr>
      </w:pPr>
    </w:p>
    <w:p w14:paraId="59133251">
      <w:pPr>
        <w:spacing w:line="440" w:lineRule="exact"/>
        <w:jc w:val="left"/>
        <w:rPr>
          <w:rFonts w:ascii="宋体" w:hAnsi="宋体" w:cs="宋体"/>
          <w:b/>
          <w:bCs/>
          <w:color w:val="auto"/>
          <w:sz w:val="30"/>
          <w:szCs w:val="30"/>
          <w:highlight w:val="none"/>
        </w:rPr>
      </w:pPr>
    </w:p>
    <w:p w14:paraId="1756612B">
      <w:pPr>
        <w:spacing w:line="440" w:lineRule="exact"/>
        <w:jc w:val="left"/>
        <w:rPr>
          <w:rFonts w:ascii="宋体" w:hAnsi="宋体" w:cs="宋体"/>
          <w:b/>
          <w:bCs/>
          <w:color w:val="auto"/>
          <w:sz w:val="30"/>
          <w:szCs w:val="30"/>
          <w:highlight w:val="none"/>
        </w:rPr>
      </w:pPr>
    </w:p>
    <w:p w14:paraId="0038C682">
      <w:pPr>
        <w:spacing w:line="440" w:lineRule="exact"/>
        <w:jc w:val="left"/>
        <w:rPr>
          <w:rFonts w:ascii="宋体" w:hAnsi="宋体" w:cs="宋体"/>
          <w:b/>
          <w:bCs/>
          <w:color w:val="auto"/>
          <w:sz w:val="30"/>
          <w:szCs w:val="30"/>
          <w:highlight w:val="none"/>
        </w:rPr>
      </w:pPr>
    </w:p>
    <w:p w14:paraId="7AD42697">
      <w:pPr>
        <w:spacing w:line="440" w:lineRule="exact"/>
        <w:jc w:val="left"/>
        <w:rPr>
          <w:rFonts w:ascii="宋体" w:hAnsi="宋体" w:cs="宋体"/>
          <w:b/>
          <w:bCs/>
          <w:color w:val="auto"/>
          <w:sz w:val="30"/>
          <w:szCs w:val="30"/>
          <w:highlight w:val="none"/>
        </w:rPr>
      </w:pPr>
    </w:p>
    <w:p w14:paraId="3A90CE86">
      <w:pPr>
        <w:spacing w:line="440" w:lineRule="exact"/>
        <w:jc w:val="left"/>
        <w:rPr>
          <w:rFonts w:ascii="宋体" w:hAnsi="宋体" w:cs="宋体"/>
          <w:b/>
          <w:bCs/>
          <w:color w:val="auto"/>
          <w:sz w:val="30"/>
          <w:szCs w:val="30"/>
          <w:highlight w:val="none"/>
        </w:rPr>
      </w:pPr>
    </w:p>
    <w:p w14:paraId="6883A340">
      <w:pPr>
        <w:spacing w:line="440" w:lineRule="exact"/>
        <w:jc w:val="left"/>
        <w:rPr>
          <w:rFonts w:ascii="宋体" w:hAnsi="宋体" w:cs="宋体"/>
          <w:b/>
          <w:bCs/>
          <w:color w:val="auto"/>
          <w:sz w:val="30"/>
          <w:szCs w:val="30"/>
          <w:highlight w:val="none"/>
        </w:rPr>
      </w:pPr>
    </w:p>
    <w:p w14:paraId="1DA3FF7C">
      <w:pPr>
        <w:spacing w:line="440" w:lineRule="exact"/>
        <w:jc w:val="left"/>
        <w:rPr>
          <w:rFonts w:ascii="宋体" w:hAnsi="宋体" w:cs="宋体"/>
          <w:b/>
          <w:bCs/>
          <w:color w:val="auto"/>
          <w:sz w:val="30"/>
          <w:szCs w:val="30"/>
          <w:highlight w:val="none"/>
        </w:rPr>
      </w:pPr>
    </w:p>
    <w:p w14:paraId="59C4066A">
      <w:pPr>
        <w:spacing w:line="440" w:lineRule="exact"/>
        <w:jc w:val="left"/>
        <w:rPr>
          <w:rFonts w:ascii="宋体" w:hAnsi="宋体" w:cs="宋体"/>
          <w:b/>
          <w:bCs/>
          <w:color w:val="auto"/>
          <w:sz w:val="30"/>
          <w:szCs w:val="30"/>
          <w:highlight w:val="none"/>
        </w:rPr>
      </w:pPr>
    </w:p>
    <w:p w14:paraId="3334F31B">
      <w:pPr>
        <w:spacing w:line="440" w:lineRule="exact"/>
        <w:jc w:val="left"/>
        <w:rPr>
          <w:rFonts w:ascii="宋体" w:hAnsi="宋体" w:cs="宋体"/>
          <w:b/>
          <w:bCs/>
          <w:color w:val="auto"/>
          <w:sz w:val="30"/>
          <w:szCs w:val="30"/>
          <w:highlight w:val="none"/>
        </w:rPr>
      </w:pPr>
    </w:p>
    <w:p w14:paraId="07F72945">
      <w:pPr>
        <w:spacing w:line="440" w:lineRule="exact"/>
        <w:jc w:val="left"/>
        <w:rPr>
          <w:rFonts w:ascii="宋体" w:hAnsi="宋体" w:cs="宋体"/>
          <w:b/>
          <w:bCs/>
          <w:color w:val="auto"/>
          <w:sz w:val="30"/>
          <w:szCs w:val="30"/>
          <w:highlight w:val="none"/>
        </w:rPr>
      </w:pPr>
    </w:p>
    <w:p w14:paraId="197194E8">
      <w:pPr>
        <w:spacing w:line="440" w:lineRule="exact"/>
        <w:jc w:val="left"/>
        <w:rPr>
          <w:rFonts w:ascii="宋体" w:hAnsi="宋体" w:cs="宋体"/>
          <w:b/>
          <w:bCs/>
          <w:color w:val="auto"/>
          <w:sz w:val="30"/>
          <w:szCs w:val="30"/>
          <w:highlight w:val="none"/>
        </w:rPr>
      </w:pPr>
    </w:p>
    <w:p w14:paraId="644B03B4">
      <w:pPr>
        <w:spacing w:line="440" w:lineRule="exact"/>
        <w:jc w:val="left"/>
        <w:rPr>
          <w:rFonts w:ascii="宋体" w:hAnsi="宋体" w:cs="宋体"/>
          <w:b/>
          <w:bCs/>
          <w:color w:val="auto"/>
          <w:sz w:val="30"/>
          <w:szCs w:val="30"/>
          <w:highlight w:val="none"/>
        </w:rPr>
      </w:pPr>
    </w:p>
    <w:p w14:paraId="7B0591D3">
      <w:pPr>
        <w:spacing w:line="440" w:lineRule="exact"/>
        <w:jc w:val="left"/>
        <w:rPr>
          <w:rFonts w:ascii="宋体" w:hAnsi="宋体" w:cs="宋体"/>
          <w:b/>
          <w:bCs/>
          <w:color w:val="auto"/>
          <w:sz w:val="30"/>
          <w:szCs w:val="30"/>
          <w:highlight w:val="none"/>
        </w:rPr>
      </w:pPr>
    </w:p>
    <w:p w14:paraId="057D1B93">
      <w:pPr>
        <w:spacing w:line="440" w:lineRule="exact"/>
        <w:jc w:val="left"/>
        <w:rPr>
          <w:rFonts w:ascii="宋体" w:hAnsi="宋体" w:cs="宋体"/>
          <w:b/>
          <w:bCs/>
          <w:color w:val="auto"/>
          <w:sz w:val="30"/>
          <w:szCs w:val="30"/>
          <w:highlight w:val="none"/>
        </w:rPr>
      </w:pPr>
    </w:p>
    <w:p w14:paraId="40B420F2">
      <w:pPr>
        <w:spacing w:line="440" w:lineRule="exact"/>
        <w:jc w:val="left"/>
        <w:rPr>
          <w:rFonts w:ascii="宋体" w:hAnsi="宋体" w:cs="宋体"/>
          <w:b/>
          <w:bCs/>
          <w:color w:val="auto"/>
          <w:sz w:val="30"/>
          <w:szCs w:val="30"/>
          <w:highlight w:val="none"/>
        </w:rPr>
      </w:pPr>
    </w:p>
    <w:p w14:paraId="287F039F">
      <w:pPr>
        <w:spacing w:line="440" w:lineRule="exact"/>
        <w:jc w:val="left"/>
        <w:rPr>
          <w:rFonts w:ascii="宋体" w:hAnsi="宋体" w:cs="宋体"/>
          <w:b/>
          <w:bCs/>
          <w:color w:val="auto"/>
          <w:sz w:val="30"/>
          <w:szCs w:val="30"/>
          <w:highlight w:val="none"/>
        </w:rPr>
      </w:pPr>
    </w:p>
    <w:p w14:paraId="0174E6FA">
      <w:pPr>
        <w:spacing w:line="440" w:lineRule="exact"/>
        <w:jc w:val="left"/>
        <w:rPr>
          <w:rFonts w:ascii="宋体" w:hAnsi="宋体" w:cs="宋体"/>
          <w:b/>
          <w:bCs/>
          <w:color w:val="auto"/>
          <w:sz w:val="30"/>
          <w:szCs w:val="30"/>
          <w:highlight w:val="none"/>
        </w:rPr>
      </w:pPr>
    </w:p>
    <w:p w14:paraId="4DDC8A3C">
      <w:pPr>
        <w:spacing w:line="440" w:lineRule="exact"/>
        <w:jc w:val="left"/>
        <w:rPr>
          <w:rFonts w:ascii="宋体" w:hAnsi="宋体" w:cs="宋体"/>
          <w:b/>
          <w:bCs/>
          <w:color w:val="auto"/>
          <w:sz w:val="30"/>
          <w:szCs w:val="30"/>
          <w:highlight w:val="none"/>
        </w:rPr>
      </w:pPr>
      <w:r>
        <w:rPr>
          <w:rFonts w:hint="eastAsia" w:ascii="宋体" w:hAnsi="宋体" w:cs="宋体"/>
          <w:b/>
          <w:bCs/>
          <w:color w:val="auto"/>
          <w:sz w:val="30"/>
          <w:szCs w:val="30"/>
          <w:highlight w:val="none"/>
        </w:rPr>
        <w:t>附件8:(适用于2000 万元以上的建设类项目合同）</w:t>
      </w:r>
    </w:p>
    <w:p w14:paraId="3B9F16D7">
      <w:pPr>
        <w:widowControl/>
        <w:jc w:val="center"/>
        <w:rPr>
          <w:rFonts w:ascii="宋体" w:hAnsi="宋体" w:cs="宋体"/>
          <w:b/>
          <w:color w:val="auto"/>
          <w:kern w:val="0"/>
          <w:sz w:val="32"/>
          <w:szCs w:val="32"/>
          <w:highlight w:val="none"/>
        </w:rPr>
      </w:pPr>
    </w:p>
    <w:p w14:paraId="07A0B5C0">
      <w:pPr>
        <w:widowControl/>
        <w:adjustRightInd w:val="0"/>
        <w:snapToGrid w:val="0"/>
        <w:spacing w:line="360" w:lineRule="auto"/>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诚信合规协议</w:t>
      </w:r>
    </w:p>
    <w:p w14:paraId="7B1A714F">
      <w:pPr>
        <w:widowControl/>
        <w:adjustRightInd w:val="0"/>
        <w:snapToGrid w:val="0"/>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甲方： </w:t>
      </w:r>
    </w:p>
    <w:p w14:paraId="0C462EC2">
      <w:pPr>
        <w:widowControl/>
        <w:adjustRightInd w:val="0"/>
        <w:snapToGrid w:val="0"/>
        <w:spacing w:line="360" w:lineRule="auto"/>
        <w:jc w:val="left"/>
        <w:rPr>
          <w:rFonts w:ascii="宋体" w:hAnsi="宋体" w:cs="宋体"/>
          <w:color w:val="auto"/>
          <w:kern w:val="0"/>
          <w:sz w:val="24"/>
          <w:highlight w:val="none"/>
        </w:rPr>
      </w:pPr>
    </w:p>
    <w:p w14:paraId="24E37A0D">
      <w:pPr>
        <w:widowControl/>
        <w:adjustRightInd w:val="0"/>
        <w:snapToGrid w:val="0"/>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乙方： </w:t>
      </w:r>
    </w:p>
    <w:p w14:paraId="28B85C3D">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本协议为各方签订的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（以下简称“合同”）的重要组成部分，经各方协商一致，同意共同遵守。 </w:t>
      </w:r>
    </w:p>
    <w:p w14:paraId="1B414C77">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一、遵守反腐败法律 </w:t>
      </w:r>
    </w:p>
    <w:p w14:paraId="5860FB56">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各方保证和承诺，与合同约定的活动或交易相关的各方或各方的关联公司、子公司、董事、高级管理人员、员工、顾问、代理方、最终受益人和股东及所有直接或间接代表各方开展活动或 交易的个人及相关方，在过去或将来均不会违反或致使各方违反《联合国反腐败公约》《关于打击国际商业交易中行贿外国公职人员行为的公约》《中华人民共和国刑法》及所在国家的反腐败、反欺诈、反不正当竞争法律、法规及规则等（以下合称“反腐败法律”）</w:t>
      </w:r>
    </w:p>
    <w:p w14:paraId="4BD22D69">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各方保证和承诺，与合同约定的活动或交易相关的各方或各方的关联公司、子公司、董事、高级管理人员、员工、顾问、代理方、最终受益人和股东及所有直接或间接代表各方开展活动或交易的个人及相关方，在过去或将来也不会发生以下行为： </w:t>
      </w:r>
    </w:p>
    <w:p w14:paraId="4455674B">
      <w:pPr>
        <w:widowControl/>
        <w:adjustRightInd w:val="0"/>
        <w:snapToGrid w:val="0"/>
        <w:spacing w:line="360" w:lineRule="auto"/>
        <w:ind w:firstLine="240" w:firstLineChars="1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（一）为以下目的给予或承诺给予公务人员、个人或法人任何利益： </w:t>
      </w:r>
    </w:p>
    <w:p w14:paraId="21F0C34D">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1. 不当影响公务人员的行为或决定； </w:t>
      </w:r>
    </w:p>
    <w:p w14:paraId="0FF2EBE8">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2. 诱使公务人员违反其法定职责从而作为或不作为； </w:t>
      </w:r>
    </w:p>
    <w:p w14:paraId="1D89CF83">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3. 诱使公务人员直接通过其个人影响力，或通过其对国内外政府或政府部门的影响力，影响该政府或政府部门的行为或决定； </w:t>
      </w:r>
    </w:p>
    <w:p w14:paraId="31F0C6B1">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4. 协助各方不当获得或保持商业机会或使其获得不当优势。 </w:t>
      </w:r>
    </w:p>
    <w:p w14:paraId="1646BF5E">
      <w:pPr>
        <w:widowControl/>
        <w:adjustRightInd w:val="0"/>
        <w:snapToGrid w:val="0"/>
        <w:spacing w:line="360" w:lineRule="auto"/>
        <w:ind w:firstLine="240" w:firstLineChars="1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（二）为以下目的给予或承诺给予个人任何利益，无论其是否为公务人员： </w:t>
      </w:r>
    </w:p>
    <w:p w14:paraId="2E79556F">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1、意图使该个人不当履行其应尽的职责或义务； </w:t>
      </w:r>
    </w:p>
    <w:p w14:paraId="39440D0E">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2、知晓该个人接受利益即构成不当履行其应尽的职责或义务。 </w:t>
      </w:r>
    </w:p>
    <w:p w14:paraId="039C7261">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二、持续义务 </w:t>
      </w:r>
    </w:p>
    <w:p w14:paraId="0D912454">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各方保证和承诺，与合同约定的活动或交易相关的各方或各方的关联公司、子公司、董事、高级管理人员、员工、顾问、代理方、最终受益人和股东及所有直接或间接代表各方开展活动或交易的个人及相关方，在本协议有效期内均会遵守反腐败法律的相关规定。 </w:t>
      </w:r>
    </w:p>
    <w:p w14:paraId="0AF6024C">
      <w:pPr>
        <w:widowControl/>
        <w:numPr>
          <w:ilvl w:val="0"/>
          <w:numId w:val="1"/>
        </w:numPr>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公务人员参与</w:t>
      </w:r>
    </w:p>
    <w:p w14:paraId="72439D11">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除各方已披露的情形外，各方现有的董事、高级管理人员、股东（此处不包括上市公司的股东）、最终受益人均非公务人员，其直系亲属亦均非公务人员；若任何一方发现上述董事、高级管理人员、股东（此处不包括上市公司的股东）、最终受益人成为公务人员时，应在合理期限内通知其他方。 </w:t>
      </w:r>
    </w:p>
    <w:p w14:paraId="31C5A3B6">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四、无私设资金 </w:t>
      </w:r>
    </w:p>
    <w:p w14:paraId="0C9C1C25">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在本协议有效期内，各方不会因为受到反腐败法律禁止的支付、或者为便利反腐败法律所禁止的其他行为，而设立秘密或账外资金、账户或资产，且无论其是否与合同拟进行的活动或交易相关。 </w:t>
      </w:r>
    </w:p>
    <w:p w14:paraId="5A8801B2">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五、免责 </w:t>
      </w:r>
    </w:p>
    <w:p w14:paraId="3EFE0BFE">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各方及其股东、董事、高级管理人员及员工不承担因其他方违反本协议约定的反腐败保证和承诺而造成的损失，包括但不限于罚金、损失赔偿金、或上述个人或相关方的经济损失。 </w:t>
      </w:r>
    </w:p>
    <w:p w14:paraId="46539F2A">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六、终止权 </w:t>
      </w:r>
    </w:p>
    <w:p w14:paraId="4B9B3F65">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根据可靠消息来源，包括但不限于任意方自行陈述或有正当来源的新闻报道，如任意方已实质性违反其在本协议中的遵守反腐败法律的相关保证与承诺，则视为实质违反本协议。无论该方是否因为违反反腐败法律而获罪或受到其他惩罚，其他方都有权终止本协议，且无须为此承担罚金或支付赔偿金。 </w:t>
      </w:r>
    </w:p>
    <w:p w14:paraId="703B6D52">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七、审核权 </w:t>
      </w:r>
    </w:p>
    <w:p w14:paraId="73DC6DF8">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各方应保留所有必要记录以证明其遵守本协议的约定。各方同意，经事先通知，各方或各方指派的审计事务所可查阅或审核其他方与合同履行相关的会计账簿和记录。各方及其指派的审计事务所对前述会计账簿和记录的查阅或审核应严格限于本协议所述工作范围，且应仅为合规审核目的。本条所列审核产生的费用应由申请方自行承担。 </w:t>
      </w:r>
    </w:p>
    <w:p w14:paraId="522BF550">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八、调查通知 </w:t>
      </w:r>
    </w:p>
    <w:p w14:paraId="632E5407">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各方同意，如其发现其因与本协议相关的行为正被执法或监管机关、政府机构、国际组织、证券交易所或非政府组织调查，其应立即通知其他方；此外，如各方发现其因违反反腐败法律而正被执法或监管机关、政府机构、国际组织、证券交易所或非政府组织调查，无论被调查行为是否与本协议相关，应立即通知其他方。 </w:t>
      </w:r>
    </w:p>
    <w:p w14:paraId="69549CA5">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咨询举报邮箱： </w:t>
      </w:r>
    </w:p>
    <w:p w14:paraId="30017BCD">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九、本协议有效期 </w:t>
      </w:r>
    </w:p>
    <w:p w14:paraId="1385E752">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本协议有效期与合同的有效期一致。 </w:t>
      </w:r>
    </w:p>
    <w:p w14:paraId="596DD74D">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十、本协议生效 </w:t>
      </w:r>
    </w:p>
    <w:p w14:paraId="494F6C8D">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本协议一式X份，经各方盖章后生效，具有同等法律效力。 </w:t>
      </w:r>
    </w:p>
    <w:p w14:paraId="110DB44F">
      <w:pPr>
        <w:widowControl/>
        <w:adjustRightInd w:val="0"/>
        <w:snapToGrid w:val="0"/>
        <w:spacing w:line="360" w:lineRule="auto"/>
        <w:jc w:val="left"/>
        <w:rPr>
          <w:rFonts w:ascii="宋体" w:hAnsi="宋体" w:cs="宋体"/>
          <w:color w:val="auto"/>
          <w:kern w:val="0"/>
          <w:sz w:val="24"/>
          <w:highlight w:val="none"/>
        </w:rPr>
      </w:pPr>
    </w:p>
    <w:p w14:paraId="56F456F1">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附：公务人员的定义 </w:t>
      </w:r>
    </w:p>
    <w:p w14:paraId="29C30D44">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本协议中的“公务人员”应包括但不限于其他单位的下列人员： </w:t>
      </w:r>
    </w:p>
    <w:p w14:paraId="712C415F">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（一）政府部门的官员、雇员、代表以及代表政府或者经公共权力机构授权的人员； </w:t>
      </w:r>
    </w:p>
    <w:p w14:paraId="1DD48245">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（二）国际组织的官员、雇员和代表; </w:t>
      </w:r>
    </w:p>
    <w:p w14:paraId="4EE46EA8">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（三）行使公共权力的政治组织的官员、雇员、代表，或皇室成员; </w:t>
      </w:r>
    </w:p>
    <w:p w14:paraId="644B6957">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（四）政府直接或间接控制或施加决定性影响力的国有企业的人员。 </w:t>
      </w:r>
    </w:p>
    <w:p w14:paraId="76BD7A3D">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（以下无正文） </w:t>
      </w:r>
    </w:p>
    <w:p w14:paraId="7DAF2A7E">
      <w:pPr>
        <w:widowControl/>
        <w:adjustRightInd w:val="0"/>
        <w:snapToGrid w:val="0"/>
        <w:spacing w:line="360" w:lineRule="auto"/>
        <w:jc w:val="left"/>
        <w:rPr>
          <w:rFonts w:ascii="宋体" w:hAnsi="宋体" w:cs="宋体"/>
          <w:color w:val="auto"/>
          <w:kern w:val="0"/>
          <w:sz w:val="24"/>
          <w:highlight w:val="none"/>
        </w:rPr>
      </w:pPr>
    </w:p>
    <w:p w14:paraId="22A1396E">
      <w:pPr>
        <w:widowControl/>
        <w:adjustRightInd w:val="0"/>
        <w:snapToGrid w:val="0"/>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甲方（盖章）                              乙方（盖章） </w:t>
      </w:r>
    </w:p>
    <w:p w14:paraId="6454C588">
      <w:pPr>
        <w:widowControl/>
        <w:adjustRightInd w:val="0"/>
        <w:snapToGrid w:val="0"/>
        <w:spacing w:line="360" w:lineRule="auto"/>
        <w:ind w:firstLine="240" w:firstLineChars="100"/>
        <w:jc w:val="left"/>
        <w:rPr>
          <w:rFonts w:ascii="宋体" w:hAnsi="宋体" w:cs="宋体"/>
          <w:color w:val="auto"/>
          <w:kern w:val="0"/>
          <w:sz w:val="24"/>
          <w:highlight w:val="none"/>
        </w:rPr>
      </w:pPr>
    </w:p>
    <w:p w14:paraId="3F5CFC33">
      <w:pPr>
        <w:widowControl/>
        <w:adjustRightInd w:val="0"/>
        <w:snapToGrid w:val="0"/>
        <w:spacing w:line="360" w:lineRule="auto"/>
        <w:ind w:firstLine="240" w:firstLineChars="100"/>
        <w:jc w:val="left"/>
        <w:rPr>
          <w:rFonts w:ascii="宋体" w:hAnsi="宋体" w:cs="宋体"/>
          <w:color w:val="auto"/>
          <w:kern w:val="0"/>
          <w:sz w:val="24"/>
          <w:highlight w:val="none"/>
        </w:rPr>
      </w:pPr>
    </w:p>
    <w:p w14:paraId="137602EB">
      <w:pPr>
        <w:widowControl/>
        <w:adjustRightInd w:val="0"/>
        <w:snapToGrid w:val="0"/>
        <w:spacing w:line="360" w:lineRule="auto"/>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年 月 日                                   年 月 日</w:t>
      </w:r>
    </w:p>
    <w:p w14:paraId="13BD3594">
      <w:pPr>
        <w:pStyle w:val="24"/>
        <w:tabs>
          <w:tab w:val="right" w:leader="dot" w:pos="8296"/>
        </w:tabs>
        <w:adjustRightInd w:val="0"/>
        <w:snapToGrid w:val="0"/>
        <w:spacing w:before="0" w:after="0" w:line="360" w:lineRule="auto"/>
        <w:rPr>
          <w:rFonts w:ascii="宋体" w:hAnsi="宋体" w:cs="宋体"/>
          <w:color w:val="auto"/>
          <w:highlight w:val="none"/>
        </w:rPr>
      </w:pPr>
    </w:p>
    <w:p w14:paraId="4D53095A">
      <w:pPr>
        <w:adjustRightInd w:val="0"/>
        <w:snapToGrid w:val="0"/>
        <w:spacing w:line="360" w:lineRule="auto"/>
        <w:rPr>
          <w:rFonts w:ascii="宋体" w:hAnsi="宋体" w:cs="宋体"/>
          <w:color w:val="auto"/>
          <w:sz w:val="30"/>
          <w:szCs w:val="30"/>
          <w:highlight w:val="none"/>
        </w:rPr>
      </w:pPr>
    </w:p>
    <w:p w14:paraId="68BCC03D">
      <w:pPr>
        <w:spacing w:line="440" w:lineRule="exact"/>
        <w:rPr>
          <w:rFonts w:ascii="宋体" w:hAnsi="宋体" w:cs="宋体"/>
          <w:color w:val="auto"/>
          <w:sz w:val="30"/>
          <w:szCs w:val="30"/>
          <w:highlight w:val="none"/>
        </w:rPr>
      </w:pPr>
    </w:p>
    <w:p w14:paraId="517BC02D">
      <w:pPr>
        <w:spacing w:line="440" w:lineRule="exact"/>
        <w:rPr>
          <w:rFonts w:ascii="宋体" w:hAnsi="宋体" w:cs="宋体"/>
          <w:color w:val="auto"/>
          <w:sz w:val="30"/>
          <w:szCs w:val="30"/>
          <w:highlight w:val="none"/>
        </w:rPr>
      </w:pPr>
    </w:p>
    <w:bookmarkEnd w:id="522"/>
    <w:p w14:paraId="39E7A1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仿宋" w:hAnsi="仿宋" w:eastAsia="仿宋" w:cs="仿宋"/>
          <w:b/>
          <w:bCs/>
          <w:i w:val="0"/>
          <w:iCs w:val="0"/>
          <w:caps w:val="0"/>
          <w:color w:val="auto"/>
          <w:spacing w:val="4"/>
          <w:kern w:val="0"/>
          <w:sz w:val="24"/>
          <w:szCs w:val="24"/>
          <w:highlight w:val="none"/>
          <w:lang w:val="en-US" w:eastAsia="zh-CN" w:bidi="ar"/>
        </w:rPr>
      </w:pPr>
      <w:bookmarkStart w:id="845" w:name="_Toc287620797"/>
      <w:bookmarkStart w:id="846" w:name="_Toc534185822"/>
      <w:bookmarkStart w:id="847" w:name="_Toc430530513"/>
      <w:bookmarkStart w:id="848" w:name="_Toc509218843"/>
      <w:bookmarkStart w:id="849" w:name="_Toc287607855"/>
      <w:bookmarkStart w:id="850" w:name="_Toc351203480"/>
      <w:bookmarkStart w:id="851" w:name="_Toc296503025"/>
      <w:bookmarkStart w:id="852" w:name="_Toc296890982"/>
      <w:r>
        <w:rPr>
          <w:rFonts w:hint="eastAsia" w:ascii="仿宋" w:hAnsi="仿宋" w:eastAsia="仿宋" w:cs="仿宋"/>
          <w:b/>
          <w:bCs/>
          <w:i w:val="0"/>
          <w:iCs w:val="0"/>
          <w:caps w:val="0"/>
          <w:color w:val="auto"/>
          <w:spacing w:val="4"/>
          <w:kern w:val="0"/>
          <w:sz w:val="24"/>
          <w:szCs w:val="24"/>
          <w:highlight w:val="none"/>
          <w:lang w:val="en-US" w:eastAsia="zh-CN" w:bidi="ar"/>
        </w:rPr>
        <w:br w:type="page"/>
      </w:r>
    </w:p>
    <w:p w14:paraId="7D2F59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00" w:beforeAutospacing="0" w:after="100" w:afterAutospacing="0" w:line="440" w:lineRule="atLeast"/>
        <w:ind w:left="0" w:right="0" w:firstLine="0"/>
        <w:jc w:val="both"/>
        <w:textAlignment w:val="auto"/>
        <w:rPr>
          <w:rFonts w:hint="eastAsia" w:ascii="宋体" w:hAnsi="宋体" w:eastAsia="宋体" w:cs="宋体"/>
          <w:b/>
          <w:bCs/>
          <w:i w:val="0"/>
          <w:iCs w:val="0"/>
          <w:caps w:val="0"/>
          <w:color w:val="auto"/>
          <w:spacing w:val="4"/>
          <w:kern w:val="0"/>
          <w:sz w:val="24"/>
          <w:szCs w:val="24"/>
          <w:highlight w:val="none"/>
          <w:lang w:val="en-US" w:eastAsia="zh-CN" w:bidi="ar"/>
        </w:rPr>
      </w:pPr>
      <w:r>
        <w:rPr>
          <w:rFonts w:hint="eastAsia" w:ascii="宋体" w:hAnsi="宋体" w:eastAsia="宋体" w:cs="宋体"/>
          <w:b/>
          <w:bCs/>
          <w:i w:val="0"/>
          <w:iCs w:val="0"/>
          <w:caps w:val="0"/>
          <w:color w:val="auto"/>
          <w:spacing w:val="4"/>
          <w:kern w:val="0"/>
          <w:sz w:val="24"/>
          <w:szCs w:val="24"/>
          <w:highlight w:val="none"/>
          <w:lang w:val="en-US" w:eastAsia="zh-CN" w:bidi="ar"/>
        </w:rPr>
        <w:t>附件9：分包工程资金监管协议</w:t>
      </w:r>
    </w:p>
    <w:p w14:paraId="63379E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00" w:beforeAutospacing="0" w:after="10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协议编号：</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31B81E3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440" w:lineRule="atLeast"/>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签订地点：</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2C40BD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440" w:lineRule="atLeast"/>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签订日期：</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27518A1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500" w:beforeAutospacing="0" w:after="12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甲方（总包单位）：</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4FFF9D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法定代表人：</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227E33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12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乙方（分包单位）：</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47973D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法定代表人：</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4035EF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12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丙方（经办银行）：</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2B7192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负责人：</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543CF7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鉴于：</w:t>
      </w:r>
    </w:p>
    <w:p w14:paraId="0BA4273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 甲方作为【请填写项目名称】的总承包单位，已与建设单位签订《建设工程施工合同》；</w:t>
      </w:r>
    </w:p>
    <w:p w14:paraId="386FBB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2. 甲方将【请填写分包工程名称】分包给乙方，双方已签订《分包合同》（合同编号：【请填写分包合同编号】）；</w:t>
      </w:r>
    </w:p>
    <w:p w14:paraId="4568815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3. 为保障分包工程款专款专用，防范资金挪用风险，确保工程顺利实施，经甲、乙、丙三方协商一致，签订本协议。</w:t>
      </w:r>
    </w:p>
    <w:p w14:paraId="1EEAE0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第一条 监管账户的开立</w:t>
      </w:r>
    </w:p>
    <w:p w14:paraId="421018A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1.1 乙方应在本协议签订后【10】个工作日内，在丙方处开立</w:t>
      </w:r>
      <w:r>
        <w:rPr>
          <w:rStyle w:val="37"/>
          <w:rFonts w:hint="eastAsia" w:ascii="宋体" w:hAnsi="宋体" w:eastAsia="宋体" w:cs="宋体"/>
          <w:i w:val="0"/>
          <w:iCs w:val="0"/>
          <w:caps w:val="0"/>
          <w:color w:val="auto"/>
          <w:spacing w:val="0"/>
          <w:kern w:val="0"/>
          <w:sz w:val="24"/>
          <w:szCs w:val="24"/>
          <w:highlight w:val="none"/>
          <w:lang w:val="en-US" w:eastAsia="zh-CN" w:bidi="ar"/>
        </w:rPr>
        <w:t>分包工程资金监管专用账户</w:t>
      </w:r>
      <w:r>
        <w:rPr>
          <w:rFonts w:hint="eastAsia" w:ascii="宋体" w:hAnsi="宋体" w:eastAsia="宋体" w:cs="宋体"/>
          <w:i w:val="0"/>
          <w:iCs w:val="0"/>
          <w:caps w:val="0"/>
          <w:color w:val="auto"/>
          <w:spacing w:val="0"/>
          <w:kern w:val="0"/>
          <w:sz w:val="24"/>
          <w:szCs w:val="24"/>
          <w:highlight w:val="none"/>
          <w:lang w:val="en-US" w:eastAsia="zh-CN" w:bidi="ar"/>
        </w:rPr>
        <w:t>（以下简称“监管账户”），账户信息如下：</w:t>
      </w:r>
    </w:p>
    <w:p w14:paraId="5374BA7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账户名称：【请填写账户名称】</w:t>
      </w:r>
    </w:p>
    <w:p w14:paraId="255EF5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账号：【请填写银行账号】</w:t>
      </w:r>
    </w:p>
    <w:p w14:paraId="42B25D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开户行：【请填写开户行全称】</w:t>
      </w:r>
    </w:p>
    <w:p w14:paraId="34E396E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1.2 该监管账户专项用于本分包工程项下所有工程款项的收支，包括但不限于材料采购、设备租赁、劳务分包费用等。乙方不得将本分包工程款项存入其他账户，也不得将监管账户资金用于与本工程无关的支出。</w:t>
      </w:r>
    </w:p>
    <w:p w14:paraId="1323D7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1.3 乙方应将监管账户的开立凭证在开户后【5】个工作日内报送甲方备案。</w:t>
      </w:r>
    </w:p>
    <w:p w14:paraId="5C0EEB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第二条 资金存入</w:t>
      </w:r>
    </w:p>
    <w:p w14:paraId="231479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2.1 甲方按照《分包合同》约定的付款节点和金额，将工程款（包括预付款、进度款、结算款）足额支付至乙方监管账户。</w:t>
      </w:r>
    </w:p>
    <w:p w14:paraId="382194E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2.2 乙方不得要求甲方将工程款支付至本协议约定以外的其他账户。否则，甲方有权拒绝支付，且不承担任何违约责任。</w:t>
      </w:r>
    </w:p>
    <w:p w14:paraId="6980E3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第三条 资金使用监管</w:t>
      </w:r>
    </w:p>
    <w:p w14:paraId="42C56E5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3.1 </w:t>
      </w:r>
      <w:r>
        <w:rPr>
          <w:rStyle w:val="37"/>
          <w:rFonts w:hint="eastAsia" w:ascii="宋体" w:hAnsi="宋体" w:eastAsia="宋体" w:cs="宋体"/>
          <w:i w:val="0"/>
          <w:iCs w:val="0"/>
          <w:caps w:val="0"/>
          <w:color w:val="auto"/>
          <w:spacing w:val="0"/>
          <w:kern w:val="0"/>
          <w:sz w:val="24"/>
          <w:szCs w:val="24"/>
          <w:highlight w:val="none"/>
          <w:lang w:val="en-US" w:eastAsia="zh-CN" w:bidi="ar"/>
        </w:rPr>
        <w:t>监管原则</w:t>
      </w:r>
      <w:r>
        <w:rPr>
          <w:rFonts w:hint="eastAsia" w:ascii="宋体" w:hAnsi="宋体" w:eastAsia="宋体" w:cs="宋体"/>
          <w:i w:val="0"/>
          <w:iCs w:val="0"/>
          <w:caps w:val="0"/>
          <w:color w:val="auto"/>
          <w:spacing w:val="0"/>
          <w:kern w:val="0"/>
          <w:sz w:val="24"/>
          <w:szCs w:val="24"/>
          <w:highlight w:val="none"/>
          <w:lang w:val="en-US" w:eastAsia="zh-CN" w:bidi="ar"/>
        </w:rPr>
        <w:t>：监管账户资金专项用于本分包工程，实行“甲方审核、银行支付”的双重监管机制。</w:t>
      </w:r>
    </w:p>
    <w:p w14:paraId="72FDFB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3.2 </w:t>
      </w:r>
      <w:r>
        <w:rPr>
          <w:rStyle w:val="37"/>
          <w:rFonts w:hint="eastAsia" w:ascii="宋体" w:hAnsi="宋体" w:eastAsia="宋体" w:cs="宋体"/>
          <w:i w:val="0"/>
          <w:iCs w:val="0"/>
          <w:caps w:val="0"/>
          <w:color w:val="auto"/>
          <w:spacing w:val="0"/>
          <w:kern w:val="0"/>
          <w:sz w:val="24"/>
          <w:szCs w:val="24"/>
          <w:highlight w:val="none"/>
          <w:lang w:val="en-US" w:eastAsia="zh-CN" w:bidi="ar"/>
        </w:rPr>
        <w:t>支付审批权限</w:t>
      </w:r>
      <w:r>
        <w:rPr>
          <w:rFonts w:hint="eastAsia" w:ascii="宋体" w:hAnsi="宋体" w:eastAsia="宋体" w:cs="宋体"/>
          <w:i w:val="0"/>
          <w:iCs w:val="0"/>
          <w:caps w:val="0"/>
          <w:color w:val="auto"/>
          <w:spacing w:val="0"/>
          <w:kern w:val="0"/>
          <w:sz w:val="24"/>
          <w:szCs w:val="24"/>
          <w:highlight w:val="none"/>
          <w:lang w:val="en-US" w:eastAsia="zh-CN" w:bidi="ar"/>
        </w:rPr>
        <w:t>：</w:t>
      </w:r>
    </w:p>
    <w:p w14:paraId="1A9FBF5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w:t>
      </w:r>
      <w:r>
        <w:rPr>
          <w:rStyle w:val="37"/>
          <w:rFonts w:hint="eastAsia" w:ascii="宋体" w:hAnsi="宋体" w:eastAsia="宋体" w:cs="宋体"/>
          <w:i w:val="0"/>
          <w:iCs w:val="0"/>
          <w:caps w:val="0"/>
          <w:color w:val="auto"/>
          <w:spacing w:val="0"/>
          <w:kern w:val="0"/>
          <w:sz w:val="24"/>
          <w:szCs w:val="24"/>
          <w:highlight w:val="none"/>
          <w:lang w:val="en-US" w:eastAsia="zh-CN" w:bidi="ar"/>
        </w:rPr>
        <w:t>小额支付</w:t>
      </w:r>
      <w:r>
        <w:rPr>
          <w:rFonts w:hint="eastAsia" w:ascii="宋体" w:hAnsi="宋体" w:eastAsia="宋体" w:cs="宋体"/>
          <w:i w:val="0"/>
          <w:iCs w:val="0"/>
          <w:caps w:val="0"/>
          <w:color w:val="auto"/>
          <w:spacing w:val="0"/>
          <w:kern w:val="0"/>
          <w:sz w:val="24"/>
          <w:szCs w:val="24"/>
          <w:highlight w:val="none"/>
          <w:lang w:val="en-US" w:eastAsia="zh-CN" w:bidi="ar"/>
        </w:rPr>
        <w:t>：单笔支付金额在人民币【XX】万元以下的，乙方可自行通过网银或柜面支付，但须在每月【10】日前向甲方报送上月资金支付明细表。</w:t>
      </w:r>
    </w:p>
    <w:p w14:paraId="15E708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w:t>
      </w:r>
      <w:r>
        <w:rPr>
          <w:rStyle w:val="37"/>
          <w:rFonts w:hint="eastAsia" w:ascii="宋体" w:hAnsi="宋体" w:eastAsia="宋体" w:cs="宋体"/>
          <w:i w:val="0"/>
          <w:iCs w:val="0"/>
          <w:caps w:val="0"/>
          <w:color w:val="auto"/>
          <w:spacing w:val="0"/>
          <w:kern w:val="0"/>
          <w:sz w:val="24"/>
          <w:szCs w:val="24"/>
          <w:highlight w:val="none"/>
          <w:lang w:val="en-US" w:eastAsia="zh-CN" w:bidi="ar"/>
        </w:rPr>
        <w:t>大额支付</w:t>
      </w:r>
      <w:r>
        <w:rPr>
          <w:rFonts w:hint="eastAsia" w:ascii="宋体" w:hAnsi="宋体" w:eastAsia="宋体" w:cs="宋体"/>
          <w:i w:val="0"/>
          <w:iCs w:val="0"/>
          <w:caps w:val="0"/>
          <w:color w:val="auto"/>
          <w:spacing w:val="0"/>
          <w:kern w:val="0"/>
          <w:sz w:val="24"/>
          <w:szCs w:val="24"/>
          <w:highlight w:val="none"/>
          <w:lang w:val="en-US" w:eastAsia="zh-CN" w:bidi="ar"/>
        </w:rPr>
        <w:t>：单笔支付金额达到或超过人民币【XX】万元的，乙方须提前向甲方提交《资金支付审批表》（格式见附件），并附相关证明文件（合同、发票、验收单、采购指令等），经甲方书面审批同意后，丙方方可办理支付。</w:t>
      </w:r>
    </w:p>
    <w:p w14:paraId="38C014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w:t>
      </w:r>
      <w:r>
        <w:rPr>
          <w:rStyle w:val="37"/>
          <w:rFonts w:hint="eastAsia" w:ascii="宋体" w:hAnsi="宋体" w:eastAsia="宋体" w:cs="宋体"/>
          <w:i w:val="0"/>
          <w:iCs w:val="0"/>
          <w:caps w:val="0"/>
          <w:color w:val="auto"/>
          <w:spacing w:val="0"/>
          <w:kern w:val="0"/>
          <w:sz w:val="24"/>
          <w:szCs w:val="24"/>
          <w:highlight w:val="none"/>
          <w:lang w:val="en-US" w:eastAsia="zh-CN" w:bidi="ar"/>
        </w:rPr>
        <w:t>关联方支付</w:t>
      </w:r>
      <w:r>
        <w:rPr>
          <w:rFonts w:hint="eastAsia" w:ascii="宋体" w:hAnsi="宋体" w:eastAsia="宋体" w:cs="宋体"/>
          <w:i w:val="0"/>
          <w:iCs w:val="0"/>
          <w:caps w:val="0"/>
          <w:color w:val="auto"/>
          <w:spacing w:val="0"/>
          <w:kern w:val="0"/>
          <w:sz w:val="24"/>
          <w:szCs w:val="24"/>
          <w:highlight w:val="none"/>
          <w:lang w:val="en-US" w:eastAsia="zh-CN" w:bidi="ar"/>
        </w:rPr>
        <w:t>：乙方向其关联方（包括但不限于子公司、母公司、实际控制人控制的其他公司）支付款项的，无论金额大小，均须经甲方书面审批。</w:t>
      </w:r>
    </w:p>
    <w:p w14:paraId="590C22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3.3 </w:t>
      </w:r>
      <w:r>
        <w:rPr>
          <w:rStyle w:val="37"/>
          <w:rFonts w:hint="eastAsia" w:ascii="宋体" w:hAnsi="宋体" w:eastAsia="宋体" w:cs="宋体"/>
          <w:i w:val="0"/>
          <w:iCs w:val="0"/>
          <w:caps w:val="0"/>
          <w:color w:val="auto"/>
          <w:spacing w:val="0"/>
          <w:kern w:val="0"/>
          <w:sz w:val="24"/>
          <w:szCs w:val="24"/>
          <w:highlight w:val="none"/>
          <w:lang w:val="en-US" w:eastAsia="zh-CN" w:bidi="ar"/>
        </w:rPr>
        <w:t>支付审核材料</w:t>
      </w:r>
      <w:r>
        <w:rPr>
          <w:rFonts w:hint="eastAsia" w:ascii="宋体" w:hAnsi="宋体" w:eastAsia="宋体" w:cs="宋体"/>
          <w:i w:val="0"/>
          <w:iCs w:val="0"/>
          <w:caps w:val="0"/>
          <w:color w:val="auto"/>
          <w:spacing w:val="0"/>
          <w:kern w:val="0"/>
          <w:sz w:val="24"/>
          <w:szCs w:val="24"/>
          <w:highlight w:val="none"/>
          <w:lang w:val="en-US" w:eastAsia="zh-CN" w:bidi="ar"/>
        </w:rPr>
        <w:t>：乙方申请大额支付时，应提供以下材料（可为复印件加盖公章）：</w:t>
      </w:r>
    </w:p>
    <w:p w14:paraId="4F7876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《资金支付审批表》（须有甲方授权代表签字或盖章）；</w:t>
      </w:r>
    </w:p>
    <w:p w14:paraId="34D17D3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与支付用途相对应的合同/协议关键页；</w:t>
      </w:r>
    </w:p>
    <w:p w14:paraId="3855395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发票或合法收款收据；</w:t>
      </w:r>
    </w:p>
    <w:p w14:paraId="4DB1FC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材料入库单/设备进场验收单/工程量确认单等能够证明交易真实发生的文件。</w:t>
      </w:r>
    </w:p>
    <w:p w14:paraId="7EC8CB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3.4 </w:t>
      </w:r>
      <w:r>
        <w:rPr>
          <w:rStyle w:val="37"/>
          <w:rFonts w:hint="eastAsia" w:ascii="宋体" w:hAnsi="宋体" w:eastAsia="宋体" w:cs="宋体"/>
          <w:i w:val="0"/>
          <w:iCs w:val="0"/>
          <w:caps w:val="0"/>
          <w:color w:val="auto"/>
          <w:spacing w:val="0"/>
          <w:kern w:val="0"/>
          <w:sz w:val="24"/>
          <w:szCs w:val="24"/>
          <w:highlight w:val="none"/>
          <w:lang w:val="en-US" w:eastAsia="zh-CN" w:bidi="ar"/>
        </w:rPr>
        <w:t>丙方审核义务</w:t>
      </w:r>
      <w:r>
        <w:rPr>
          <w:rFonts w:hint="eastAsia" w:ascii="宋体" w:hAnsi="宋体" w:eastAsia="宋体" w:cs="宋体"/>
          <w:i w:val="0"/>
          <w:iCs w:val="0"/>
          <w:caps w:val="0"/>
          <w:color w:val="auto"/>
          <w:spacing w:val="0"/>
          <w:kern w:val="0"/>
          <w:sz w:val="24"/>
          <w:szCs w:val="24"/>
          <w:highlight w:val="none"/>
          <w:lang w:val="en-US" w:eastAsia="zh-CN" w:bidi="ar"/>
        </w:rPr>
        <w:t>：</w:t>
      </w:r>
    </w:p>
    <w:p w14:paraId="38AD857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丙方应严格按照本协议约定审核支付指令。</w:t>
      </w:r>
    </w:p>
    <w:p w14:paraId="2B8D63B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对未经甲方审批的大额支付、支付对象与合同不符、支付金额明显异常等情况，丙方有权拒绝办理支付，并在【1】个工作日内通知甲方。</w:t>
      </w:r>
    </w:p>
    <w:p w14:paraId="3C8E16A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丙方应于每月【10】日前，向甲方提供乙方监管账户的上月度对账单（或网银查询权限），配合甲方进行资金监督。</w:t>
      </w:r>
    </w:p>
    <w:p w14:paraId="648C9F5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3.5 </w:t>
      </w:r>
      <w:r>
        <w:rPr>
          <w:rStyle w:val="37"/>
          <w:rFonts w:hint="eastAsia" w:ascii="宋体" w:hAnsi="宋体" w:eastAsia="宋体" w:cs="宋体"/>
          <w:i w:val="0"/>
          <w:iCs w:val="0"/>
          <w:caps w:val="0"/>
          <w:color w:val="auto"/>
          <w:spacing w:val="0"/>
          <w:kern w:val="0"/>
          <w:sz w:val="24"/>
          <w:szCs w:val="24"/>
          <w:highlight w:val="none"/>
          <w:lang w:val="en-US" w:eastAsia="zh-CN" w:bidi="ar"/>
        </w:rPr>
        <w:t>紧急支付</w:t>
      </w:r>
      <w:r>
        <w:rPr>
          <w:rFonts w:hint="eastAsia" w:ascii="宋体" w:hAnsi="宋体" w:eastAsia="宋体" w:cs="宋体"/>
          <w:i w:val="0"/>
          <w:iCs w:val="0"/>
          <w:caps w:val="0"/>
          <w:color w:val="auto"/>
          <w:spacing w:val="0"/>
          <w:kern w:val="0"/>
          <w:sz w:val="24"/>
          <w:szCs w:val="24"/>
          <w:highlight w:val="none"/>
          <w:lang w:val="en-US" w:eastAsia="zh-CN" w:bidi="ar"/>
        </w:rPr>
        <w:t>：如遇安全事故、劳动监察等紧急情况，需要紧急支付资金的，经甲乙双方协商一致，可凭双方共同签发的书面紧急支付通知办理，事后补办审批手续。</w:t>
      </w:r>
    </w:p>
    <w:p w14:paraId="171C6D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第四条 甲方的权利与义务</w:t>
      </w:r>
    </w:p>
    <w:p w14:paraId="19B67B3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4.1 按照《分包合同》约定按时足额支付工程款至监管账户。</w:t>
      </w:r>
    </w:p>
    <w:p w14:paraId="608872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4.2 有权对乙方监管账户资金使用情况进行监督、检查，包括但不限于要求乙方提供账户流水、合同、支付凭证等。</w:t>
      </w:r>
    </w:p>
    <w:p w14:paraId="289670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4.3 有权审核乙方大额资金支付申请，对不符合本协议约定的支付申请不予批准，并说明理由。</w:t>
      </w:r>
    </w:p>
    <w:p w14:paraId="45FDE3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4.4 发现乙方存在挪用资金、提供虚假资料套取资金等行为的，有权责令其限期整改，并依据本协议追究违约责任。</w:t>
      </w:r>
    </w:p>
    <w:p w14:paraId="5DC7807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第五条 乙方的权利与义务</w:t>
      </w:r>
    </w:p>
    <w:p w14:paraId="01896E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5.1 确保监管账户依法合规开立，账户信息真实有效，并确保账户状态正常。</w:t>
      </w:r>
    </w:p>
    <w:p w14:paraId="344B2C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5.2 确保本分包工程款专款专用，不得发生抽逃、挪用、转移资金的现象；保证不通过权益转让、抵押、担保等任何方式使用监管账户资金进行与本工程无关的融资或担保。</w:t>
      </w:r>
    </w:p>
    <w:p w14:paraId="12FD5DC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5.3 按本协议约定及时提交大额支付审批申请，并确保申请材料的真实性、准确性。</w:t>
      </w:r>
    </w:p>
    <w:p w14:paraId="041E46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5.4 配合甲方、丙方及监管部门的监督检查，如实提供相关资料。</w:t>
      </w:r>
    </w:p>
    <w:p w14:paraId="0410E87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第六条 丙方的权利与义务</w:t>
      </w:r>
    </w:p>
    <w:p w14:paraId="22779D2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6.1 为乙方开立监管账户，提供便捷有效的银行结算服务。</w:t>
      </w:r>
    </w:p>
    <w:p w14:paraId="463B08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6.2 对监管账户资金进行监督，严格按照本协议约定的条件办理资金支付。对不符合条件的支付申请，有权拒绝办理并及时通知甲方。</w:t>
      </w:r>
    </w:p>
    <w:p w14:paraId="7908BD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6.3 按月向甲方提供对账单或协助甲方查询账户信息。</w:t>
      </w:r>
    </w:p>
    <w:p w14:paraId="0057F8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6.4 发现乙方账户资金异常（如大额异常转账、短期内频繁分散转出等），应及时通知甲方。</w:t>
      </w:r>
    </w:p>
    <w:p w14:paraId="3BCAA43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6.5 在收到司法机关对监管账户的冻结、扣划指令时，应及时通知甲方，并根据相关规定配合处理。</w:t>
      </w:r>
    </w:p>
    <w:p w14:paraId="7783DE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第七条 违约责任</w:t>
      </w:r>
    </w:p>
    <w:p w14:paraId="63519BB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7.1 </w:t>
      </w:r>
      <w:r>
        <w:rPr>
          <w:rStyle w:val="37"/>
          <w:rFonts w:hint="eastAsia" w:ascii="宋体" w:hAnsi="宋体" w:eastAsia="宋体" w:cs="宋体"/>
          <w:i w:val="0"/>
          <w:iCs w:val="0"/>
          <w:caps w:val="0"/>
          <w:color w:val="auto"/>
          <w:spacing w:val="0"/>
          <w:kern w:val="0"/>
          <w:sz w:val="24"/>
          <w:szCs w:val="24"/>
          <w:highlight w:val="none"/>
          <w:lang w:val="en-US" w:eastAsia="zh-CN" w:bidi="ar"/>
        </w:rPr>
        <w:t>乙方违约</w:t>
      </w:r>
      <w:r>
        <w:rPr>
          <w:rFonts w:hint="eastAsia" w:ascii="宋体" w:hAnsi="宋体" w:eastAsia="宋体" w:cs="宋体"/>
          <w:i w:val="0"/>
          <w:iCs w:val="0"/>
          <w:caps w:val="0"/>
          <w:color w:val="auto"/>
          <w:spacing w:val="0"/>
          <w:kern w:val="0"/>
          <w:sz w:val="24"/>
          <w:szCs w:val="24"/>
          <w:highlight w:val="none"/>
          <w:lang w:val="en-US" w:eastAsia="zh-CN" w:bidi="ar"/>
        </w:rPr>
        <w:t>：</w:t>
      </w:r>
    </w:p>
    <w:p w14:paraId="63D688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未按规定开立监管账户或拒绝接受资金监管的，甲方有权暂停支付工程款，直至乙方改正；逾期【15】日未改正的，甲方有权解除分包合同。</w:t>
      </w:r>
    </w:p>
    <w:p w14:paraId="63079F0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挪用、套取监管账户资金的，甲方有权责令限期追回，并按挪用金额的【20%】收取违约金（最低不低于人民币【X】万元），违约金从应付乙方的工程款中直接扣除。</w:t>
      </w:r>
    </w:p>
    <w:p w14:paraId="6CCEDC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提供虚假资料、伪造合同套取资金的，甲方有权按套取金额的【1】倍向乙方追偿，并记入分包商不良信用记录，同时有权解除分包合同。</w:t>
      </w:r>
    </w:p>
    <w:p w14:paraId="6624E0A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因乙方挪用资金导致材料供应商、劳务班组等向甲方主张权利的，乙方应承担全部责任，并赔偿给甲方造成的损失。</w:t>
      </w:r>
    </w:p>
    <w:p w14:paraId="0781446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7.2 </w:t>
      </w:r>
      <w:r>
        <w:rPr>
          <w:rStyle w:val="37"/>
          <w:rFonts w:hint="eastAsia" w:ascii="宋体" w:hAnsi="宋体" w:eastAsia="宋体" w:cs="宋体"/>
          <w:i w:val="0"/>
          <w:iCs w:val="0"/>
          <w:caps w:val="0"/>
          <w:color w:val="auto"/>
          <w:spacing w:val="0"/>
          <w:kern w:val="0"/>
          <w:sz w:val="24"/>
          <w:szCs w:val="24"/>
          <w:highlight w:val="none"/>
          <w:lang w:val="en-US" w:eastAsia="zh-CN" w:bidi="ar"/>
        </w:rPr>
        <w:t>甲方违约</w:t>
      </w:r>
      <w:r>
        <w:rPr>
          <w:rFonts w:hint="eastAsia" w:ascii="宋体" w:hAnsi="宋体" w:eastAsia="宋体" w:cs="宋体"/>
          <w:i w:val="0"/>
          <w:iCs w:val="0"/>
          <w:caps w:val="0"/>
          <w:color w:val="auto"/>
          <w:spacing w:val="0"/>
          <w:kern w:val="0"/>
          <w:sz w:val="24"/>
          <w:szCs w:val="24"/>
          <w:highlight w:val="none"/>
          <w:lang w:val="en-US" w:eastAsia="zh-CN" w:bidi="ar"/>
        </w:rPr>
        <w:t>：</w:t>
      </w:r>
    </w:p>
    <w:p w14:paraId="0FC3FC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无正当理由拒绝审核或拖延审核，导致工程材料供应中断、造成乙方损失的，应承担相应的赔偿责任。</w:t>
      </w:r>
    </w:p>
    <w:p w14:paraId="53BACC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7.3 </w:t>
      </w:r>
      <w:r>
        <w:rPr>
          <w:rStyle w:val="37"/>
          <w:rFonts w:hint="eastAsia" w:ascii="宋体" w:hAnsi="宋体" w:eastAsia="宋体" w:cs="宋体"/>
          <w:i w:val="0"/>
          <w:iCs w:val="0"/>
          <w:caps w:val="0"/>
          <w:color w:val="auto"/>
          <w:spacing w:val="0"/>
          <w:kern w:val="0"/>
          <w:sz w:val="24"/>
          <w:szCs w:val="24"/>
          <w:highlight w:val="none"/>
          <w:lang w:val="en-US" w:eastAsia="zh-CN" w:bidi="ar"/>
        </w:rPr>
        <w:t>丙方违约</w:t>
      </w:r>
      <w:r>
        <w:rPr>
          <w:rFonts w:hint="eastAsia" w:ascii="宋体" w:hAnsi="宋体" w:eastAsia="宋体" w:cs="宋体"/>
          <w:i w:val="0"/>
          <w:iCs w:val="0"/>
          <w:caps w:val="0"/>
          <w:color w:val="auto"/>
          <w:spacing w:val="0"/>
          <w:kern w:val="0"/>
          <w:sz w:val="24"/>
          <w:szCs w:val="24"/>
          <w:highlight w:val="none"/>
          <w:lang w:val="en-US" w:eastAsia="zh-CN" w:bidi="ar"/>
        </w:rPr>
        <w:t>：</w:t>
      </w:r>
    </w:p>
    <w:p w14:paraId="3F194B6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未按本协议约定履行监管职责，擅自为乙方办理大额支付或向非约定账户付款，导致资金被挪用、无法追回的，应在违规支付金额范围内承担相应的赔偿责任。</w:t>
      </w:r>
    </w:p>
    <w:p w14:paraId="34D54F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第八条 协议的变更与终止</w:t>
      </w:r>
    </w:p>
    <w:p w14:paraId="20D072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8.1 本协议的任何变更须经三方协商一致，并签订书面补充协议。</w:t>
      </w:r>
    </w:p>
    <w:p w14:paraId="75F50A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8.2 本协议有效期自各方签字盖章之日起，至分包工程竣工结算完成、所有款项结清、且乙方履行完保修责任后，经甲方书面同意之日止。</w:t>
      </w:r>
    </w:p>
    <w:p w14:paraId="5397BD7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8.3 乙方完成本协议约定的全部义务，经甲方书面同意后，可向丙方申请办理监管账户撤销手续。丙方凭甲方出具的《同意撤销监管账户的函》办理账户销户，账户余额划转至乙方指定账户。</w:t>
      </w:r>
    </w:p>
    <w:p w14:paraId="74D11B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第九条 争议解决</w:t>
      </w:r>
    </w:p>
    <w:p w14:paraId="1586040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因本协议引起的或与本协议有关的任何争议，三方应友好协商解决；协商不成的，任何一方均可向【项目所在地】人民法院提起诉讼。</w:t>
      </w:r>
    </w:p>
    <w:p w14:paraId="13D2834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第十条 其他</w:t>
      </w:r>
    </w:p>
    <w:p w14:paraId="39ADD8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10.1 本协议是《分包合同》不可分割的组成部分，与《分包合同》具有同等法律效力。《分包合同》中与本协议不一致的，以本协议为准。</w:t>
      </w:r>
    </w:p>
    <w:p w14:paraId="2B1E2B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10.2 本协议一式【陆】份，甲、乙、丙三方各执【贰】份，每份具有同等法律效力。</w:t>
      </w:r>
    </w:p>
    <w:p w14:paraId="352ABD9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10.3 本协议自三方法定代表人或授权代表签字并加盖公章之日起生效。</w:t>
      </w:r>
    </w:p>
    <w:p w14:paraId="69A7F7F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（以下无正文）</w:t>
      </w:r>
    </w:p>
    <w:p w14:paraId="708FEC2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kern w:val="0"/>
          <w:sz w:val="24"/>
          <w:szCs w:val="24"/>
          <w:highlight w:val="none"/>
          <w:u w:val="single"/>
          <w:lang w:val="en-US" w:eastAsia="zh-CN" w:bidi="ar"/>
        </w:rPr>
      </w:pPr>
      <w:r>
        <w:rPr>
          <w:rStyle w:val="37"/>
          <w:rFonts w:hint="eastAsia" w:ascii="宋体" w:hAnsi="宋体" w:eastAsia="宋体" w:cs="宋体"/>
          <w:i w:val="0"/>
          <w:iCs w:val="0"/>
          <w:caps w:val="0"/>
          <w:color w:val="auto"/>
          <w:spacing w:val="0"/>
          <w:kern w:val="0"/>
          <w:sz w:val="24"/>
          <w:szCs w:val="24"/>
          <w:highlight w:val="none"/>
          <w:lang w:val="en-US" w:eastAsia="zh-CN" w:bidi="ar"/>
        </w:rPr>
        <w:t>甲方（盖章）：</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4A07199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法定代表人/授权代表：</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1FAD4C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日期：</w:t>
      </w:r>
      <w:r>
        <w:rPr>
          <w:rFonts w:hint="eastAsia" w:ascii="宋体" w:hAnsi="宋体" w:eastAsia="宋体" w:cs="宋体"/>
          <w:i w:val="0"/>
          <w:iCs w:val="0"/>
          <w:caps w:val="0"/>
          <w:color w:val="auto"/>
          <w:spacing w:val="0"/>
          <w:kern w:val="0"/>
          <w:sz w:val="24"/>
          <w:szCs w:val="24"/>
          <w:highlight w:val="none"/>
          <w:u w:val="single"/>
          <w:lang w:val="en-US" w:eastAsia="zh-CN" w:bidi="ar"/>
        </w:rPr>
        <w:t>    年   月   日</w:t>
      </w:r>
    </w:p>
    <w:p w14:paraId="45079A2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p>
    <w:p w14:paraId="03AC01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乙方（盖章）：</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446A9C5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kern w:val="0"/>
          <w:sz w:val="24"/>
          <w:szCs w:val="24"/>
          <w:highlight w:val="none"/>
          <w:u w:val="single"/>
          <w:lang w:val="en-US" w:eastAsia="zh-CN" w:bidi="ar"/>
        </w:rPr>
      </w:pPr>
      <w:r>
        <w:rPr>
          <w:rFonts w:hint="eastAsia" w:ascii="宋体" w:hAnsi="宋体" w:eastAsia="宋体" w:cs="宋体"/>
          <w:i w:val="0"/>
          <w:iCs w:val="0"/>
          <w:caps w:val="0"/>
          <w:color w:val="auto"/>
          <w:spacing w:val="0"/>
          <w:kern w:val="0"/>
          <w:sz w:val="24"/>
          <w:szCs w:val="24"/>
          <w:highlight w:val="none"/>
          <w:lang w:val="en-US" w:eastAsia="zh-CN" w:bidi="ar"/>
        </w:rPr>
        <w:t>法定代表人/授权代表：</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5BC5E15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日期：</w:t>
      </w:r>
      <w:r>
        <w:rPr>
          <w:rFonts w:hint="eastAsia" w:ascii="宋体" w:hAnsi="宋体" w:eastAsia="宋体" w:cs="宋体"/>
          <w:i w:val="0"/>
          <w:iCs w:val="0"/>
          <w:caps w:val="0"/>
          <w:color w:val="auto"/>
          <w:spacing w:val="0"/>
          <w:kern w:val="0"/>
          <w:sz w:val="24"/>
          <w:szCs w:val="24"/>
          <w:highlight w:val="none"/>
          <w:u w:val="single"/>
          <w:lang w:val="en-US" w:eastAsia="zh-CN" w:bidi="ar"/>
        </w:rPr>
        <w:t>    年   月   日</w:t>
      </w:r>
    </w:p>
    <w:p w14:paraId="2F6CFA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Style w:val="37"/>
          <w:rFonts w:hint="eastAsia" w:ascii="宋体" w:hAnsi="宋体" w:eastAsia="宋体" w:cs="宋体"/>
          <w:i w:val="0"/>
          <w:iCs w:val="0"/>
          <w:caps w:val="0"/>
          <w:color w:val="auto"/>
          <w:spacing w:val="0"/>
          <w:kern w:val="0"/>
          <w:sz w:val="24"/>
          <w:szCs w:val="24"/>
          <w:highlight w:val="none"/>
          <w:lang w:val="en-US" w:eastAsia="zh-CN" w:bidi="ar"/>
        </w:rPr>
      </w:pPr>
    </w:p>
    <w:p w14:paraId="08AD54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丙方（盖章）：</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3FD672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负责人/授权代表：</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4DB9F0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日期：</w:t>
      </w:r>
      <w:r>
        <w:rPr>
          <w:rFonts w:hint="eastAsia" w:ascii="宋体" w:hAnsi="宋体" w:eastAsia="宋体" w:cs="宋体"/>
          <w:i w:val="0"/>
          <w:iCs w:val="0"/>
          <w:caps w:val="0"/>
          <w:color w:val="auto"/>
          <w:spacing w:val="0"/>
          <w:kern w:val="0"/>
          <w:sz w:val="24"/>
          <w:szCs w:val="24"/>
          <w:highlight w:val="none"/>
          <w:u w:val="single"/>
          <w:lang w:val="en-US" w:eastAsia="zh-CN" w:bidi="ar"/>
        </w:rPr>
        <w:t>    年   月   日</w:t>
      </w:r>
    </w:p>
    <w:p w14:paraId="052DADC7">
      <w:pPr>
        <w:rPr>
          <w:color w:val="auto"/>
          <w:highlight w:val="none"/>
        </w:rPr>
      </w:pPr>
    </w:p>
    <w:p w14:paraId="10EB6782">
      <w:pPr>
        <w:jc w:val="left"/>
        <w:rPr>
          <w:rFonts w:ascii="宋体" w:hAnsi="宋体" w:cs="黑体"/>
          <w:color w:val="auto"/>
          <w:sz w:val="32"/>
          <w:szCs w:val="32"/>
          <w:highlight w:val="none"/>
          <w:lang w:bidi="ar"/>
        </w:rPr>
      </w:pPr>
      <w:r>
        <w:rPr>
          <w:rFonts w:hint="eastAsia" w:ascii="宋体" w:hAnsi="宋体" w:cs="黑体"/>
          <w:color w:val="auto"/>
          <w:sz w:val="32"/>
          <w:szCs w:val="32"/>
          <w:highlight w:val="none"/>
          <w:lang w:bidi="ar"/>
        </w:rPr>
        <w:br w:type="page"/>
      </w:r>
    </w:p>
    <w:p w14:paraId="2972884E">
      <w:pPr>
        <w:pStyle w:val="3"/>
        <w:spacing w:before="0" w:after="0" w:line="360" w:lineRule="auto"/>
        <w:jc w:val="center"/>
        <w:rPr>
          <w:rFonts w:ascii="宋体" w:hAnsi="宋体" w:cs="宋体"/>
          <w:b w:val="0"/>
          <w:color w:val="auto"/>
          <w:highlight w:val="none"/>
        </w:rPr>
      </w:pPr>
      <w:bookmarkStart w:id="853" w:name="_Toc4403"/>
      <w:bookmarkStart w:id="854" w:name="_Toc15690"/>
      <w:bookmarkStart w:id="855" w:name="_Toc16288"/>
      <w:bookmarkStart w:id="856" w:name="_Toc7910"/>
      <w:r>
        <w:rPr>
          <w:rFonts w:hint="eastAsia" w:ascii="宋体" w:hAnsi="宋体" w:cs="宋体"/>
          <w:bCs w:val="0"/>
          <w:color w:val="auto"/>
          <w:highlight w:val="none"/>
        </w:rPr>
        <w:t>第五章  工程量清单</w:t>
      </w:r>
      <w:bookmarkEnd w:id="845"/>
      <w:bookmarkEnd w:id="846"/>
      <w:bookmarkEnd w:id="847"/>
      <w:bookmarkEnd w:id="848"/>
      <w:bookmarkEnd w:id="849"/>
      <w:bookmarkEnd w:id="853"/>
      <w:bookmarkEnd w:id="854"/>
      <w:bookmarkEnd w:id="855"/>
      <w:bookmarkEnd w:id="856"/>
    </w:p>
    <w:p w14:paraId="0CFF3D4B">
      <w:pPr>
        <w:snapToGrid w:val="0"/>
        <w:spacing w:line="360" w:lineRule="auto"/>
        <w:jc w:val="center"/>
        <w:rPr>
          <w:rFonts w:ascii="宋体" w:hAnsi="宋体" w:cs="宋体"/>
          <w:color w:val="auto"/>
          <w:szCs w:val="21"/>
          <w:highlight w:val="none"/>
        </w:rPr>
      </w:pPr>
      <w:bookmarkStart w:id="857" w:name="招标文件05章工程量清单01"/>
      <w:bookmarkEnd w:id="857"/>
    </w:p>
    <w:p w14:paraId="66174FC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详见附件。</w:t>
      </w:r>
    </w:p>
    <w:p w14:paraId="785E5676">
      <w:pPr>
        <w:autoSpaceDE w:val="0"/>
        <w:autoSpaceDN w:val="0"/>
        <w:adjustRightInd w:val="0"/>
        <w:snapToGrid w:val="0"/>
        <w:spacing w:line="360" w:lineRule="auto"/>
        <w:rPr>
          <w:rFonts w:ascii="宋体" w:hAnsi="宋体" w:cs="宋体"/>
          <w:color w:val="auto"/>
          <w:highlight w:val="none"/>
        </w:rPr>
      </w:pPr>
      <w:r>
        <w:rPr>
          <w:rFonts w:hint="eastAsia" w:ascii="宋体" w:hAnsi="宋体" w:cs="宋体"/>
          <w:color w:val="auto"/>
          <w:sz w:val="24"/>
          <w:highlight w:val="none"/>
        </w:rPr>
        <w:br w:type="page"/>
      </w:r>
    </w:p>
    <w:p w14:paraId="0054E34E">
      <w:pPr>
        <w:pStyle w:val="3"/>
        <w:spacing w:before="0" w:after="0" w:line="480" w:lineRule="auto"/>
        <w:jc w:val="center"/>
        <w:rPr>
          <w:rFonts w:ascii="宋体" w:hAnsi="宋体" w:cs="宋体"/>
          <w:color w:val="auto"/>
          <w:sz w:val="52"/>
          <w:szCs w:val="52"/>
          <w:highlight w:val="none"/>
        </w:rPr>
      </w:pPr>
      <w:bookmarkStart w:id="858" w:name="_Toc18746"/>
      <w:bookmarkStart w:id="859" w:name="_Toc534185823"/>
      <w:bookmarkStart w:id="860" w:name="_Toc30771"/>
      <w:bookmarkStart w:id="861" w:name="_Toc10323"/>
      <w:bookmarkStart w:id="862" w:name="_Toc17643"/>
      <w:bookmarkStart w:id="863" w:name="_Toc509218844"/>
      <w:r>
        <w:rPr>
          <w:rFonts w:hint="eastAsia" w:ascii="宋体" w:hAnsi="宋体" w:cs="宋体"/>
          <w:color w:val="auto"/>
          <w:sz w:val="52"/>
          <w:szCs w:val="52"/>
          <w:highlight w:val="none"/>
        </w:rPr>
        <w:t>第 二 卷</w:t>
      </w:r>
      <w:bookmarkEnd w:id="858"/>
      <w:bookmarkEnd w:id="859"/>
      <w:bookmarkEnd w:id="860"/>
      <w:bookmarkEnd w:id="861"/>
      <w:bookmarkEnd w:id="862"/>
      <w:bookmarkEnd w:id="863"/>
    </w:p>
    <w:p w14:paraId="3839FF02">
      <w:pPr>
        <w:pStyle w:val="3"/>
        <w:spacing w:before="0" w:after="0" w:line="360" w:lineRule="auto"/>
        <w:jc w:val="center"/>
        <w:rPr>
          <w:rFonts w:ascii="宋体" w:hAnsi="宋体" w:cs="宋体"/>
          <w:color w:val="auto"/>
          <w:sz w:val="48"/>
          <w:szCs w:val="48"/>
          <w:highlight w:val="none"/>
        </w:rPr>
      </w:pPr>
      <w:r>
        <w:rPr>
          <w:rFonts w:hint="eastAsia" w:ascii="宋体" w:hAnsi="宋体" w:cs="宋体"/>
          <w:color w:val="auto"/>
          <w:szCs w:val="20"/>
          <w:highlight w:val="none"/>
        </w:rPr>
        <w:br w:type="page"/>
      </w:r>
      <w:bookmarkStart w:id="864" w:name="招标文件06章图纸"/>
      <w:bookmarkEnd w:id="864"/>
      <w:bookmarkStart w:id="865" w:name="_Toc534185825"/>
      <w:bookmarkStart w:id="866" w:name="_Toc287607861"/>
      <w:bookmarkStart w:id="867" w:name="_Toc430530519"/>
      <w:bookmarkStart w:id="868" w:name="_Toc509218846"/>
      <w:bookmarkStart w:id="869" w:name="_Toc20784"/>
      <w:bookmarkStart w:id="870" w:name="_Toc287620803"/>
      <w:bookmarkStart w:id="871" w:name="_Toc30016"/>
      <w:bookmarkStart w:id="872" w:name="_Toc27579"/>
      <w:bookmarkStart w:id="873" w:name="_Toc15474"/>
      <w:r>
        <w:rPr>
          <w:rFonts w:hint="eastAsia" w:ascii="宋体" w:hAnsi="宋体" w:cs="宋体"/>
          <w:bCs w:val="0"/>
          <w:color w:val="auto"/>
          <w:highlight w:val="none"/>
        </w:rPr>
        <w:t>第六章  图纸</w:t>
      </w:r>
      <w:bookmarkEnd w:id="865"/>
      <w:bookmarkEnd w:id="866"/>
      <w:bookmarkEnd w:id="867"/>
      <w:bookmarkEnd w:id="868"/>
      <w:bookmarkEnd w:id="869"/>
      <w:bookmarkEnd w:id="870"/>
      <w:bookmarkEnd w:id="871"/>
      <w:bookmarkEnd w:id="872"/>
      <w:bookmarkEnd w:id="873"/>
    </w:p>
    <w:p w14:paraId="0F5B53BB">
      <w:pPr>
        <w:spacing w:line="360" w:lineRule="auto"/>
        <w:jc w:val="center"/>
        <w:rPr>
          <w:rFonts w:ascii="宋体" w:hAnsi="宋体" w:cs="宋体"/>
          <w:color w:val="auto"/>
          <w:szCs w:val="21"/>
          <w:highlight w:val="none"/>
        </w:rPr>
      </w:pPr>
    </w:p>
    <w:p w14:paraId="00A72BAE">
      <w:pPr>
        <w:spacing w:line="360" w:lineRule="auto"/>
        <w:rPr>
          <w:rFonts w:ascii="宋体" w:hAnsi="宋体" w:cs="宋体"/>
          <w:color w:val="auto"/>
          <w:highlight w:val="none"/>
        </w:rPr>
      </w:pPr>
      <w:r>
        <w:rPr>
          <w:rFonts w:hint="eastAsia" w:ascii="宋体" w:hAnsi="宋体" w:cs="宋体"/>
          <w:color w:val="auto"/>
          <w:szCs w:val="21"/>
          <w:highlight w:val="none"/>
        </w:rPr>
        <w:t>详见图纸</w:t>
      </w:r>
      <w:r>
        <w:rPr>
          <w:rFonts w:hint="eastAsia" w:ascii="宋体" w:hAnsi="宋体" w:cs="宋体"/>
          <w:color w:val="auto"/>
          <w:szCs w:val="20"/>
          <w:highlight w:val="none"/>
        </w:rPr>
        <w:br w:type="page"/>
      </w:r>
      <w:bookmarkStart w:id="874" w:name="招标文件06章图纸01"/>
      <w:bookmarkEnd w:id="874"/>
    </w:p>
    <w:p w14:paraId="28C76F13">
      <w:pPr>
        <w:pStyle w:val="3"/>
        <w:spacing w:before="0" w:after="0" w:line="480" w:lineRule="auto"/>
        <w:jc w:val="center"/>
        <w:rPr>
          <w:rFonts w:ascii="宋体" w:hAnsi="宋体" w:cs="宋体"/>
          <w:color w:val="auto"/>
          <w:sz w:val="52"/>
          <w:szCs w:val="52"/>
          <w:highlight w:val="none"/>
        </w:rPr>
      </w:pPr>
      <w:bookmarkStart w:id="875" w:name="_Toc5733"/>
      <w:bookmarkStart w:id="876" w:name="_Toc19359"/>
      <w:bookmarkStart w:id="877" w:name="_Toc5"/>
      <w:bookmarkStart w:id="878" w:name="_Toc10315"/>
      <w:r>
        <w:rPr>
          <w:rFonts w:hint="eastAsia" w:ascii="宋体" w:hAnsi="宋体" w:cs="宋体"/>
          <w:color w:val="auto"/>
          <w:sz w:val="52"/>
          <w:szCs w:val="52"/>
          <w:highlight w:val="none"/>
        </w:rPr>
        <w:t>第 三 卷</w:t>
      </w:r>
      <w:bookmarkEnd w:id="875"/>
      <w:bookmarkEnd w:id="876"/>
      <w:bookmarkEnd w:id="877"/>
      <w:bookmarkEnd w:id="878"/>
    </w:p>
    <w:p w14:paraId="7FEBE8CA">
      <w:pPr>
        <w:pStyle w:val="3"/>
        <w:spacing w:before="0" w:after="0" w:line="360" w:lineRule="auto"/>
        <w:jc w:val="center"/>
        <w:rPr>
          <w:rFonts w:ascii="宋体" w:hAnsi="宋体" w:cs="宋体"/>
          <w:color w:val="auto"/>
          <w:sz w:val="48"/>
          <w:szCs w:val="48"/>
          <w:highlight w:val="none"/>
        </w:rPr>
      </w:pPr>
      <w:bookmarkStart w:id="879" w:name="_Toc536782072"/>
      <w:bookmarkStart w:id="880" w:name="_Toc43278921"/>
      <w:bookmarkStart w:id="881" w:name="_Toc37531145"/>
      <w:bookmarkStart w:id="882" w:name="_Toc534185826"/>
      <w:bookmarkStart w:id="883" w:name="_Toc536800736"/>
      <w:bookmarkStart w:id="884" w:name="_Toc536781937"/>
      <w:bookmarkStart w:id="885" w:name="_Toc536773650"/>
      <w:bookmarkStart w:id="886" w:name="_Toc30239"/>
      <w:bookmarkStart w:id="887" w:name="_Toc536781805"/>
      <w:bookmarkStart w:id="888" w:name="_Toc536782206"/>
      <w:r>
        <w:rPr>
          <w:rFonts w:hint="eastAsia" w:ascii="宋体" w:hAnsi="宋体" w:cs="宋体"/>
          <w:color w:val="auto"/>
          <w:sz w:val="56"/>
          <w:szCs w:val="56"/>
          <w:highlight w:val="none"/>
        </w:rPr>
        <w:br w:type="page"/>
      </w:r>
      <w:bookmarkEnd w:id="879"/>
      <w:bookmarkEnd w:id="880"/>
      <w:bookmarkEnd w:id="881"/>
      <w:bookmarkEnd w:id="882"/>
      <w:bookmarkEnd w:id="883"/>
      <w:bookmarkEnd w:id="884"/>
      <w:bookmarkEnd w:id="885"/>
      <w:bookmarkEnd w:id="886"/>
      <w:bookmarkEnd w:id="887"/>
      <w:bookmarkEnd w:id="888"/>
      <w:bookmarkStart w:id="889" w:name="招标文件07章技术标准和要求"/>
      <w:bookmarkEnd w:id="889"/>
      <w:bookmarkStart w:id="890" w:name="_Toc32308"/>
      <w:bookmarkStart w:id="891" w:name="_Toc17317"/>
      <w:bookmarkStart w:id="892" w:name="_Toc17307"/>
      <w:bookmarkStart w:id="893" w:name="_Toc8267"/>
      <w:r>
        <w:rPr>
          <w:rFonts w:hint="eastAsia" w:ascii="宋体" w:hAnsi="宋体" w:cs="宋体"/>
          <w:bCs w:val="0"/>
          <w:color w:val="auto"/>
          <w:highlight w:val="none"/>
        </w:rPr>
        <w:t>第七章  技术标准和要求</w:t>
      </w:r>
      <w:bookmarkEnd w:id="890"/>
      <w:bookmarkEnd w:id="891"/>
      <w:bookmarkEnd w:id="892"/>
      <w:bookmarkEnd w:id="893"/>
      <w:bookmarkStart w:id="894" w:name="招标文件07章技术标准和要求01"/>
      <w:bookmarkEnd w:id="894"/>
      <w:bookmarkStart w:id="895" w:name="_Toc430530524"/>
      <w:bookmarkStart w:id="896" w:name="_Toc287620808"/>
    </w:p>
    <w:bookmarkEnd w:id="895"/>
    <w:bookmarkEnd w:id="896"/>
    <w:p w14:paraId="67A4A27D">
      <w:pPr>
        <w:spacing w:line="360" w:lineRule="auto"/>
        <w:jc w:val="center"/>
        <w:rPr>
          <w:rFonts w:ascii="宋体" w:hAnsi="宋体" w:cs="宋体"/>
          <w:i/>
          <w:color w:val="auto"/>
          <w:highlight w:val="none"/>
        </w:rPr>
      </w:pPr>
    </w:p>
    <w:p w14:paraId="1DA535A8">
      <w:pPr>
        <w:keepNext/>
        <w:keepLines/>
        <w:spacing w:line="360" w:lineRule="auto"/>
        <w:jc w:val="center"/>
        <w:rPr>
          <w:rFonts w:ascii="宋体" w:hAnsi="宋体" w:cs="宋体"/>
          <w:color w:val="auto"/>
          <w:szCs w:val="21"/>
          <w:highlight w:val="none"/>
        </w:rPr>
      </w:pPr>
      <w:bookmarkStart w:id="897" w:name="_Toc9848"/>
      <w:r>
        <w:rPr>
          <w:rFonts w:hint="eastAsia" w:ascii="宋体" w:hAnsi="宋体" w:cs="宋体"/>
          <w:color w:val="auto"/>
          <w:szCs w:val="21"/>
          <w:highlight w:val="none"/>
        </w:rPr>
        <w:t>详见图纸</w:t>
      </w:r>
    </w:p>
    <w:p w14:paraId="0E6FDA56">
      <w:pPr>
        <w:pStyle w:val="3"/>
        <w:spacing w:line="360" w:lineRule="auto"/>
        <w:jc w:val="center"/>
        <w:rPr>
          <w:rFonts w:ascii="宋体" w:hAnsi="宋体" w:cs="宋体"/>
          <w:b w:val="0"/>
          <w:bCs w:val="0"/>
          <w:color w:val="auto"/>
          <w:kern w:val="2"/>
          <w:sz w:val="21"/>
          <w:szCs w:val="21"/>
          <w:highlight w:val="none"/>
        </w:rPr>
      </w:pPr>
    </w:p>
    <w:p w14:paraId="65D14E04">
      <w:pPr>
        <w:rPr>
          <w:rFonts w:ascii="宋体" w:hAnsi="宋体" w:cs="宋体"/>
          <w:color w:val="auto"/>
          <w:szCs w:val="21"/>
          <w:highlight w:val="none"/>
        </w:rPr>
      </w:pPr>
    </w:p>
    <w:p w14:paraId="6F1F8040">
      <w:pPr>
        <w:pStyle w:val="2"/>
        <w:rPr>
          <w:rFonts w:ascii="宋体" w:hAnsi="宋体" w:cs="宋体"/>
          <w:color w:val="auto"/>
          <w:highlight w:val="none"/>
        </w:rPr>
      </w:pPr>
    </w:p>
    <w:p w14:paraId="33675A3C">
      <w:pPr>
        <w:rPr>
          <w:rFonts w:ascii="宋体" w:hAnsi="宋体" w:cs="宋体"/>
          <w:color w:val="auto"/>
          <w:szCs w:val="21"/>
          <w:highlight w:val="none"/>
        </w:rPr>
      </w:pPr>
    </w:p>
    <w:p w14:paraId="2C93E493">
      <w:pPr>
        <w:pStyle w:val="2"/>
        <w:rPr>
          <w:rFonts w:ascii="宋体" w:hAnsi="宋体" w:cs="宋体"/>
          <w:color w:val="auto"/>
          <w:highlight w:val="none"/>
        </w:rPr>
      </w:pPr>
    </w:p>
    <w:p w14:paraId="747D0A1E">
      <w:pPr>
        <w:rPr>
          <w:rFonts w:ascii="宋体" w:hAnsi="宋体" w:cs="宋体"/>
          <w:color w:val="auto"/>
          <w:szCs w:val="21"/>
          <w:highlight w:val="none"/>
        </w:rPr>
      </w:pPr>
    </w:p>
    <w:p w14:paraId="794212CF">
      <w:pPr>
        <w:pStyle w:val="2"/>
        <w:rPr>
          <w:rFonts w:ascii="宋体" w:hAnsi="宋体" w:cs="宋体"/>
          <w:color w:val="auto"/>
          <w:highlight w:val="none"/>
        </w:rPr>
      </w:pPr>
    </w:p>
    <w:p w14:paraId="6603AA4F">
      <w:pPr>
        <w:rPr>
          <w:rFonts w:ascii="宋体" w:hAnsi="宋体" w:cs="宋体"/>
          <w:color w:val="auto"/>
          <w:szCs w:val="21"/>
          <w:highlight w:val="none"/>
        </w:rPr>
      </w:pPr>
    </w:p>
    <w:p w14:paraId="3DC52132">
      <w:pPr>
        <w:pStyle w:val="2"/>
        <w:rPr>
          <w:rFonts w:ascii="宋体" w:hAnsi="宋体" w:cs="宋体"/>
          <w:color w:val="auto"/>
          <w:highlight w:val="none"/>
        </w:rPr>
      </w:pPr>
    </w:p>
    <w:p w14:paraId="408FD29D">
      <w:pPr>
        <w:rPr>
          <w:rFonts w:ascii="宋体" w:hAnsi="宋体" w:cs="宋体"/>
          <w:color w:val="auto"/>
          <w:szCs w:val="21"/>
          <w:highlight w:val="none"/>
        </w:rPr>
      </w:pPr>
    </w:p>
    <w:p w14:paraId="4AD0AF72">
      <w:pPr>
        <w:pStyle w:val="2"/>
        <w:rPr>
          <w:rFonts w:ascii="宋体" w:hAnsi="宋体" w:cs="宋体"/>
          <w:color w:val="auto"/>
          <w:highlight w:val="none"/>
        </w:rPr>
      </w:pPr>
    </w:p>
    <w:p w14:paraId="1F5B6B18">
      <w:pPr>
        <w:rPr>
          <w:rFonts w:ascii="宋体" w:hAnsi="宋体" w:cs="宋体"/>
          <w:color w:val="auto"/>
          <w:szCs w:val="21"/>
          <w:highlight w:val="none"/>
        </w:rPr>
      </w:pPr>
    </w:p>
    <w:p w14:paraId="0BBB481A">
      <w:pPr>
        <w:pStyle w:val="2"/>
        <w:rPr>
          <w:rFonts w:ascii="宋体" w:hAnsi="宋体" w:cs="宋体"/>
          <w:color w:val="auto"/>
          <w:highlight w:val="none"/>
        </w:rPr>
      </w:pPr>
    </w:p>
    <w:p w14:paraId="05DF22B1">
      <w:pPr>
        <w:rPr>
          <w:rFonts w:ascii="宋体" w:hAnsi="宋体" w:cs="宋体"/>
          <w:color w:val="auto"/>
          <w:szCs w:val="21"/>
          <w:highlight w:val="none"/>
        </w:rPr>
      </w:pPr>
    </w:p>
    <w:p w14:paraId="7EDD5056">
      <w:pPr>
        <w:pStyle w:val="2"/>
        <w:rPr>
          <w:rFonts w:ascii="宋体" w:hAnsi="宋体" w:cs="宋体"/>
          <w:color w:val="auto"/>
          <w:highlight w:val="none"/>
        </w:rPr>
      </w:pPr>
    </w:p>
    <w:p w14:paraId="7D51CD4D">
      <w:pPr>
        <w:rPr>
          <w:rFonts w:ascii="宋体" w:hAnsi="宋体" w:cs="宋体"/>
          <w:color w:val="auto"/>
          <w:szCs w:val="21"/>
          <w:highlight w:val="none"/>
        </w:rPr>
      </w:pPr>
    </w:p>
    <w:p w14:paraId="29AB13C8">
      <w:pPr>
        <w:pStyle w:val="2"/>
        <w:rPr>
          <w:rFonts w:ascii="宋体" w:hAnsi="宋体" w:cs="宋体"/>
          <w:color w:val="auto"/>
          <w:highlight w:val="none"/>
        </w:rPr>
      </w:pPr>
    </w:p>
    <w:p w14:paraId="2BA2BB0B">
      <w:pPr>
        <w:rPr>
          <w:rFonts w:ascii="宋体" w:hAnsi="宋体" w:cs="宋体"/>
          <w:color w:val="auto"/>
          <w:szCs w:val="21"/>
          <w:highlight w:val="none"/>
        </w:rPr>
      </w:pPr>
    </w:p>
    <w:p w14:paraId="1205E4C2">
      <w:pPr>
        <w:pStyle w:val="2"/>
        <w:rPr>
          <w:rFonts w:ascii="宋体" w:hAnsi="宋体" w:cs="宋体"/>
          <w:color w:val="auto"/>
          <w:highlight w:val="none"/>
        </w:rPr>
      </w:pPr>
    </w:p>
    <w:p w14:paraId="4DD4A575">
      <w:pPr>
        <w:rPr>
          <w:rFonts w:ascii="宋体" w:hAnsi="宋体" w:cs="宋体"/>
          <w:color w:val="auto"/>
          <w:szCs w:val="21"/>
          <w:highlight w:val="none"/>
        </w:rPr>
      </w:pPr>
    </w:p>
    <w:p w14:paraId="1A8B9172">
      <w:pPr>
        <w:pStyle w:val="2"/>
        <w:rPr>
          <w:rFonts w:ascii="宋体" w:hAnsi="宋体" w:cs="宋体"/>
          <w:color w:val="auto"/>
          <w:highlight w:val="none"/>
        </w:rPr>
      </w:pPr>
    </w:p>
    <w:p w14:paraId="6CF62B68">
      <w:pPr>
        <w:rPr>
          <w:rFonts w:ascii="宋体" w:hAnsi="宋体" w:cs="宋体"/>
          <w:color w:val="auto"/>
          <w:szCs w:val="21"/>
          <w:highlight w:val="none"/>
        </w:rPr>
      </w:pPr>
    </w:p>
    <w:p w14:paraId="2913BC08">
      <w:pPr>
        <w:pStyle w:val="2"/>
        <w:rPr>
          <w:rFonts w:ascii="宋体" w:hAnsi="宋体" w:cs="宋体"/>
          <w:color w:val="auto"/>
          <w:highlight w:val="none"/>
        </w:rPr>
      </w:pPr>
    </w:p>
    <w:p w14:paraId="00C08E79">
      <w:pPr>
        <w:rPr>
          <w:rFonts w:ascii="宋体" w:hAnsi="宋体" w:cs="宋体"/>
          <w:color w:val="auto"/>
          <w:szCs w:val="21"/>
          <w:highlight w:val="none"/>
        </w:rPr>
      </w:pPr>
    </w:p>
    <w:p w14:paraId="09287910">
      <w:pPr>
        <w:pStyle w:val="2"/>
        <w:rPr>
          <w:rFonts w:ascii="宋体" w:hAnsi="宋体" w:cs="宋体"/>
          <w:color w:val="auto"/>
          <w:highlight w:val="none"/>
        </w:rPr>
      </w:pPr>
    </w:p>
    <w:p w14:paraId="7A53178B">
      <w:pPr>
        <w:rPr>
          <w:rFonts w:ascii="宋体" w:hAnsi="宋体" w:cs="宋体"/>
          <w:color w:val="auto"/>
          <w:szCs w:val="21"/>
          <w:highlight w:val="none"/>
        </w:rPr>
      </w:pPr>
    </w:p>
    <w:p w14:paraId="6C834560">
      <w:pPr>
        <w:pStyle w:val="2"/>
        <w:rPr>
          <w:rFonts w:ascii="宋体" w:hAnsi="宋体" w:cs="宋体"/>
          <w:color w:val="auto"/>
          <w:highlight w:val="none"/>
        </w:rPr>
      </w:pPr>
    </w:p>
    <w:p w14:paraId="24967ACB">
      <w:pPr>
        <w:rPr>
          <w:rFonts w:ascii="宋体" w:hAnsi="宋体" w:cs="宋体"/>
          <w:color w:val="auto"/>
          <w:szCs w:val="21"/>
          <w:highlight w:val="none"/>
        </w:rPr>
      </w:pPr>
    </w:p>
    <w:p w14:paraId="26A0A657">
      <w:pPr>
        <w:pStyle w:val="2"/>
        <w:rPr>
          <w:rFonts w:ascii="宋体" w:hAnsi="宋体" w:cs="宋体"/>
          <w:color w:val="auto"/>
          <w:highlight w:val="none"/>
        </w:rPr>
      </w:pPr>
    </w:p>
    <w:p w14:paraId="23FB929E">
      <w:pPr>
        <w:rPr>
          <w:rFonts w:ascii="宋体" w:hAnsi="宋体" w:cs="宋体"/>
          <w:color w:val="auto"/>
          <w:szCs w:val="21"/>
          <w:highlight w:val="none"/>
        </w:rPr>
      </w:pPr>
    </w:p>
    <w:p w14:paraId="58C960CD">
      <w:pPr>
        <w:pStyle w:val="3"/>
        <w:spacing w:line="360" w:lineRule="auto"/>
        <w:jc w:val="center"/>
        <w:rPr>
          <w:rFonts w:ascii="宋体" w:hAnsi="宋体" w:cs="宋体"/>
          <w:b w:val="0"/>
          <w:color w:val="auto"/>
          <w:sz w:val="48"/>
          <w:szCs w:val="48"/>
          <w:highlight w:val="none"/>
        </w:rPr>
      </w:pPr>
      <w:bookmarkStart w:id="898" w:name="_Toc26525"/>
      <w:bookmarkStart w:id="899" w:name="_Toc18634"/>
      <w:bookmarkStart w:id="900" w:name="_Toc11564"/>
      <w:r>
        <w:rPr>
          <w:rFonts w:hint="eastAsia" w:ascii="宋体" w:hAnsi="宋体" w:cs="宋体"/>
          <w:bCs w:val="0"/>
          <w:color w:val="auto"/>
          <w:highlight w:val="none"/>
        </w:rPr>
        <w:t>第八章  工程量清单计量规则</w:t>
      </w:r>
      <w:bookmarkEnd w:id="897"/>
      <w:bookmarkEnd w:id="898"/>
      <w:bookmarkEnd w:id="899"/>
      <w:bookmarkEnd w:id="900"/>
    </w:p>
    <w:p w14:paraId="72C9AF25">
      <w:pPr>
        <w:spacing w:line="360" w:lineRule="auto"/>
        <w:jc w:val="center"/>
        <w:rPr>
          <w:rFonts w:ascii="宋体" w:hAnsi="宋体" w:cs="宋体"/>
          <w:color w:val="auto"/>
          <w:szCs w:val="21"/>
          <w:highlight w:val="none"/>
        </w:rPr>
      </w:pPr>
      <w:bookmarkStart w:id="901" w:name="_Toc509218849"/>
      <w:bookmarkStart w:id="902" w:name="_Toc534185827"/>
      <w:r>
        <w:rPr>
          <w:rFonts w:hint="eastAsia" w:ascii="宋体" w:hAnsi="宋体" w:cs="宋体"/>
          <w:color w:val="auto"/>
          <w:szCs w:val="21"/>
          <w:highlight w:val="none"/>
        </w:rPr>
        <w:t>详见附件。</w:t>
      </w:r>
    </w:p>
    <w:p w14:paraId="2161B4DB">
      <w:pPr>
        <w:spacing w:line="360" w:lineRule="auto"/>
        <w:jc w:val="center"/>
        <w:rPr>
          <w:rFonts w:ascii="宋体" w:hAnsi="宋体" w:cs="宋体"/>
          <w:color w:val="auto"/>
          <w:szCs w:val="21"/>
          <w:highlight w:val="none"/>
        </w:rPr>
      </w:pPr>
    </w:p>
    <w:p w14:paraId="7CB0D8AD">
      <w:pPr>
        <w:pStyle w:val="3"/>
        <w:spacing w:before="0" w:after="0" w:line="480" w:lineRule="auto"/>
        <w:jc w:val="center"/>
        <w:rPr>
          <w:rFonts w:ascii="宋体" w:hAnsi="宋体" w:cs="宋体"/>
          <w:color w:val="auto"/>
          <w:sz w:val="52"/>
          <w:szCs w:val="52"/>
          <w:highlight w:val="none"/>
        </w:rPr>
      </w:pPr>
      <w:r>
        <w:rPr>
          <w:rFonts w:hint="eastAsia" w:ascii="宋体" w:hAnsi="宋体" w:cs="宋体"/>
          <w:color w:val="auto"/>
          <w:sz w:val="52"/>
          <w:szCs w:val="52"/>
          <w:highlight w:val="none"/>
        </w:rPr>
        <w:br w:type="page"/>
      </w:r>
      <w:bookmarkStart w:id="903" w:name="_Toc8186"/>
      <w:bookmarkStart w:id="904" w:name="_Toc6179"/>
      <w:bookmarkStart w:id="905" w:name="_Toc15522"/>
      <w:bookmarkStart w:id="906" w:name="_Toc28173"/>
      <w:r>
        <w:rPr>
          <w:rFonts w:hint="eastAsia" w:ascii="宋体" w:hAnsi="宋体" w:cs="宋体"/>
          <w:color w:val="auto"/>
          <w:sz w:val="52"/>
          <w:szCs w:val="52"/>
          <w:highlight w:val="none"/>
        </w:rPr>
        <w:t>第 四 卷</w:t>
      </w:r>
      <w:bookmarkEnd w:id="901"/>
      <w:bookmarkEnd w:id="902"/>
      <w:bookmarkEnd w:id="903"/>
      <w:bookmarkEnd w:id="904"/>
      <w:bookmarkEnd w:id="905"/>
      <w:bookmarkEnd w:id="906"/>
    </w:p>
    <w:p w14:paraId="0EB05F5E">
      <w:pPr>
        <w:pStyle w:val="3"/>
        <w:spacing w:before="0" w:after="0" w:line="360" w:lineRule="auto"/>
        <w:jc w:val="center"/>
        <w:rPr>
          <w:rFonts w:ascii="宋体" w:hAnsi="宋体" w:cs="宋体"/>
          <w:b w:val="0"/>
          <w:color w:val="auto"/>
          <w:sz w:val="48"/>
          <w:szCs w:val="48"/>
          <w:highlight w:val="none"/>
        </w:rPr>
      </w:pPr>
      <w:bookmarkStart w:id="907" w:name="招标文件08章投标文件格式"/>
      <w:bookmarkEnd w:id="907"/>
      <w:bookmarkStart w:id="908" w:name="_Toc287620812"/>
      <w:bookmarkStart w:id="909" w:name="_Toc287607865"/>
      <w:bookmarkStart w:id="910" w:name="_Toc430530528"/>
      <w:bookmarkStart w:id="911" w:name="_Toc534185829"/>
      <w:bookmarkStart w:id="912" w:name="_Toc509218852"/>
      <w:r>
        <w:rPr>
          <w:rFonts w:hint="eastAsia" w:ascii="宋体" w:hAnsi="宋体" w:cs="宋体"/>
          <w:b w:val="0"/>
          <w:color w:val="auto"/>
          <w:sz w:val="48"/>
          <w:szCs w:val="48"/>
          <w:highlight w:val="none"/>
        </w:rPr>
        <w:br w:type="page"/>
      </w:r>
      <w:bookmarkStart w:id="913" w:name="_Toc7247"/>
      <w:bookmarkStart w:id="914" w:name="_Toc26228"/>
      <w:bookmarkStart w:id="915" w:name="_Toc15726"/>
      <w:bookmarkStart w:id="916" w:name="_Toc30634"/>
      <w:r>
        <w:rPr>
          <w:rFonts w:hint="eastAsia" w:ascii="宋体" w:hAnsi="宋体" w:cs="宋体"/>
          <w:bCs w:val="0"/>
          <w:color w:val="auto"/>
          <w:highlight w:val="none"/>
        </w:rPr>
        <w:t xml:space="preserve">第九章  </w:t>
      </w:r>
      <w:r>
        <w:rPr>
          <w:rFonts w:hint="eastAsia" w:ascii="宋体" w:hAnsi="宋体" w:cs="宋体"/>
          <w:bCs w:val="0"/>
          <w:color w:val="auto"/>
          <w:highlight w:val="none"/>
          <w:lang w:eastAsia="zh-CN"/>
        </w:rPr>
        <w:t>响应文件</w:t>
      </w:r>
      <w:r>
        <w:rPr>
          <w:rFonts w:hint="eastAsia" w:ascii="宋体" w:hAnsi="宋体" w:cs="宋体"/>
          <w:bCs w:val="0"/>
          <w:color w:val="auto"/>
          <w:highlight w:val="none"/>
        </w:rPr>
        <w:t>格式</w:t>
      </w:r>
      <w:bookmarkEnd w:id="908"/>
      <w:bookmarkEnd w:id="909"/>
      <w:bookmarkEnd w:id="910"/>
      <w:bookmarkEnd w:id="911"/>
      <w:bookmarkEnd w:id="912"/>
      <w:bookmarkEnd w:id="913"/>
      <w:bookmarkEnd w:id="914"/>
      <w:bookmarkEnd w:id="915"/>
      <w:bookmarkEnd w:id="916"/>
    </w:p>
    <w:p w14:paraId="67967498">
      <w:pPr>
        <w:spacing w:line="360" w:lineRule="auto"/>
        <w:jc w:val="center"/>
        <w:rPr>
          <w:rFonts w:hint="default" w:ascii="宋体" w:hAnsi="宋体" w:eastAsia="宋体" w:cs="宋体"/>
          <w:color w:val="auto"/>
          <w:kern w:val="0"/>
          <w:sz w:val="32"/>
          <w:szCs w:val="32"/>
          <w:highlight w:val="none"/>
          <w:lang w:val="en-US" w:eastAsia="zh-CN"/>
        </w:rPr>
      </w:pPr>
      <w:r>
        <w:rPr>
          <w:rFonts w:hint="eastAsia" w:ascii="宋体" w:hAnsi="宋体" w:cs="宋体"/>
          <w:color w:val="auto"/>
          <w:szCs w:val="20"/>
          <w:highlight w:val="none"/>
        </w:rPr>
        <w:br w:type="page"/>
      </w:r>
      <w:bookmarkStart w:id="917" w:name="_Toc2183"/>
      <w:r>
        <w:rPr>
          <w:rFonts w:hint="eastAsia" w:ascii="宋体" w:hAnsi="宋体" w:cs="宋体"/>
          <w:color w:val="auto"/>
          <w:kern w:val="0"/>
          <w:sz w:val="32"/>
          <w:szCs w:val="32"/>
          <w:highlight w:val="none"/>
          <w:u w:val="single"/>
        </w:rPr>
        <w:t xml:space="preserve">                   （项目名称）</w:t>
      </w:r>
    </w:p>
    <w:p w14:paraId="1C961031">
      <w:pPr>
        <w:tabs>
          <w:tab w:val="left" w:pos="3600"/>
          <w:tab w:val="left" w:pos="4480"/>
          <w:tab w:val="left" w:pos="5360"/>
        </w:tabs>
        <w:autoSpaceDE w:val="0"/>
        <w:autoSpaceDN w:val="0"/>
        <w:adjustRightInd w:val="0"/>
        <w:snapToGrid w:val="0"/>
        <w:spacing w:line="360" w:lineRule="auto"/>
        <w:jc w:val="left"/>
        <w:rPr>
          <w:rFonts w:ascii="宋体" w:hAnsi="宋体" w:cs="宋体"/>
          <w:color w:val="auto"/>
          <w:kern w:val="0"/>
          <w:sz w:val="44"/>
          <w:szCs w:val="44"/>
          <w:highlight w:val="none"/>
        </w:rPr>
      </w:pPr>
    </w:p>
    <w:p w14:paraId="5DD69F5B">
      <w:pPr>
        <w:tabs>
          <w:tab w:val="left" w:pos="3600"/>
          <w:tab w:val="left" w:pos="4480"/>
          <w:tab w:val="left" w:pos="5360"/>
        </w:tabs>
        <w:autoSpaceDE w:val="0"/>
        <w:autoSpaceDN w:val="0"/>
        <w:adjustRightInd w:val="0"/>
        <w:snapToGrid w:val="0"/>
        <w:spacing w:line="360" w:lineRule="auto"/>
        <w:jc w:val="left"/>
        <w:rPr>
          <w:rFonts w:ascii="宋体" w:hAnsi="宋体" w:cs="宋体"/>
          <w:color w:val="auto"/>
          <w:kern w:val="0"/>
          <w:sz w:val="44"/>
          <w:szCs w:val="44"/>
          <w:highlight w:val="none"/>
        </w:rPr>
      </w:pPr>
    </w:p>
    <w:p w14:paraId="71192F3D">
      <w:pPr>
        <w:tabs>
          <w:tab w:val="left" w:pos="3600"/>
          <w:tab w:val="left" w:pos="4480"/>
          <w:tab w:val="left" w:pos="5360"/>
        </w:tabs>
        <w:autoSpaceDE w:val="0"/>
        <w:autoSpaceDN w:val="0"/>
        <w:adjustRightInd w:val="0"/>
        <w:snapToGrid w:val="0"/>
        <w:spacing w:line="360" w:lineRule="auto"/>
        <w:jc w:val="left"/>
        <w:rPr>
          <w:rFonts w:ascii="宋体" w:hAnsi="宋体" w:cs="宋体"/>
          <w:color w:val="auto"/>
          <w:kern w:val="0"/>
          <w:sz w:val="44"/>
          <w:szCs w:val="44"/>
          <w:highlight w:val="none"/>
        </w:rPr>
      </w:pPr>
    </w:p>
    <w:p w14:paraId="67B40C11">
      <w:pPr>
        <w:tabs>
          <w:tab w:val="left" w:pos="3600"/>
          <w:tab w:val="left" w:pos="4480"/>
          <w:tab w:val="left" w:pos="5360"/>
        </w:tabs>
        <w:autoSpaceDE w:val="0"/>
        <w:autoSpaceDN w:val="0"/>
        <w:adjustRightInd w:val="0"/>
        <w:snapToGrid w:val="0"/>
        <w:spacing w:line="360" w:lineRule="auto"/>
        <w:jc w:val="left"/>
        <w:rPr>
          <w:rFonts w:ascii="宋体" w:hAnsi="宋体" w:cs="宋体"/>
          <w:color w:val="auto"/>
          <w:kern w:val="0"/>
          <w:sz w:val="44"/>
          <w:szCs w:val="44"/>
          <w:highlight w:val="none"/>
        </w:rPr>
      </w:pPr>
    </w:p>
    <w:p w14:paraId="62F57B5D">
      <w:pPr>
        <w:tabs>
          <w:tab w:val="left" w:pos="3600"/>
          <w:tab w:val="left" w:pos="4480"/>
          <w:tab w:val="left" w:pos="5360"/>
        </w:tabs>
        <w:autoSpaceDE w:val="0"/>
        <w:autoSpaceDN w:val="0"/>
        <w:adjustRightInd w:val="0"/>
        <w:snapToGrid w:val="0"/>
        <w:spacing w:line="360" w:lineRule="auto"/>
        <w:jc w:val="left"/>
        <w:rPr>
          <w:rFonts w:ascii="宋体" w:hAnsi="宋体" w:cs="宋体"/>
          <w:color w:val="auto"/>
          <w:kern w:val="0"/>
          <w:sz w:val="44"/>
          <w:szCs w:val="44"/>
          <w:highlight w:val="none"/>
        </w:rPr>
      </w:pPr>
    </w:p>
    <w:p w14:paraId="29223F67">
      <w:pPr>
        <w:tabs>
          <w:tab w:val="left" w:pos="3600"/>
          <w:tab w:val="left" w:pos="4480"/>
          <w:tab w:val="left" w:pos="5360"/>
        </w:tabs>
        <w:autoSpaceDE w:val="0"/>
        <w:autoSpaceDN w:val="0"/>
        <w:adjustRightInd w:val="0"/>
        <w:snapToGrid w:val="0"/>
        <w:spacing w:line="360" w:lineRule="auto"/>
        <w:jc w:val="center"/>
        <w:rPr>
          <w:rFonts w:ascii="宋体" w:hAnsi="宋体" w:cs="宋体"/>
          <w:color w:val="auto"/>
          <w:kern w:val="0"/>
          <w:sz w:val="72"/>
          <w:szCs w:val="72"/>
          <w:highlight w:val="none"/>
        </w:rPr>
      </w:pPr>
      <w:r>
        <w:rPr>
          <w:rFonts w:hint="eastAsia" w:ascii="宋体" w:hAnsi="宋体" w:cs="宋体"/>
          <w:color w:val="auto"/>
          <w:kern w:val="0"/>
          <w:sz w:val="72"/>
          <w:szCs w:val="72"/>
          <w:highlight w:val="none"/>
          <w:lang w:val="en-US" w:eastAsia="zh-CN"/>
        </w:rPr>
        <w:t>响 应</w:t>
      </w:r>
      <w:r>
        <w:rPr>
          <w:rFonts w:hint="eastAsia" w:ascii="宋体" w:hAnsi="宋体" w:cs="宋体"/>
          <w:color w:val="auto"/>
          <w:kern w:val="0"/>
          <w:sz w:val="72"/>
          <w:szCs w:val="72"/>
          <w:highlight w:val="none"/>
        </w:rPr>
        <w:t xml:space="preserve"> 文 件</w:t>
      </w:r>
    </w:p>
    <w:p w14:paraId="6B7F3241">
      <w:pPr>
        <w:autoSpaceDE w:val="0"/>
        <w:autoSpaceDN w:val="0"/>
        <w:adjustRightInd w:val="0"/>
        <w:snapToGrid w:val="0"/>
        <w:spacing w:line="360" w:lineRule="auto"/>
        <w:jc w:val="left"/>
        <w:rPr>
          <w:rFonts w:ascii="宋体" w:hAnsi="宋体" w:cs="宋体"/>
          <w:color w:val="auto"/>
          <w:kern w:val="0"/>
          <w:sz w:val="16"/>
          <w:szCs w:val="16"/>
          <w:highlight w:val="none"/>
        </w:rPr>
      </w:pPr>
    </w:p>
    <w:p w14:paraId="04ACA7A4">
      <w:pPr>
        <w:autoSpaceDE w:val="0"/>
        <w:autoSpaceDN w:val="0"/>
        <w:adjustRightInd w:val="0"/>
        <w:snapToGrid w:val="0"/>
        <w:spacing w:line="360" w:lineRule="auto"/>
        <w:jc w:val="left"/>
        <w:rPr>
          <w:rFonts w:ascii="宋体" w:hAnsi="宋体" w:cs="宋体"/>
          <w:b/>
          <w:color w:val="auto"/>
          <w:kern w:val="0"/>
          <w:sz w:val="20"/>
          <w:szCs w:val="20"/>
          <w:highlight w:val="none"/>
        </w:rPr>
      </w:pPr>
    </w:p>
    <w:p w14:paraId="5DB6B4EA">
      <w:pPr>
        <w:autoSpaceDE w:val="0"/>
        <w:autoSpaceDN w:val="0"/>
        <w:adjustRightInd w:val="0"/>
        <w:snapToGrid w:val="0"/>
        <w:spacing w:line="360" w:lineRule="auto"/>
        <w:jc w:val="left"/>
        <w:rPr>
          <w:rFonts w:ascii="宋体" w:hAnsi="宋体" w:cs="宋体"/>
          <w:b/>
          <w:color w:val="auto"/>
          <w:kern w:val="0"/>
          <w:sz w:val="20"/>
          <w:szCs w:val="20"/>
          <w:highlight w:val="none"/>
        </w:rPr>
      </w:pPr>
    </w:p>
    <w:p w14:paraId="78BA55EA">
      <w:pPr>
        <w:autoSpaceDE w:val="0"/>
        <w:autoSpaceDN w:val="0"/>
        <w:adjustRightInd w:val="0"/>
        <w:snapToGrid w:val="0"/>
        <w:spacing w:line="360" w:lineRule="auto"/>
        <w:jc w:val="left"/>
        <w:rPr>
          <w:rFonts w:ascii="宋体" w:hAnsi="宋体" w:cs="宋体"/>
          <w:b/>
          <w:color w:val="auto"/>
          <w:kern w:val="0"/>
          <w:sz w:val="20"/>
          <w:szCs w:val="20"/>
          <w:highlight w:val="none"/>
        </w:rPr>
      </w:pPr>
    </w:p>
    <w:p w14:paraId="55314144">
      <w:pPr>
        <w:autoSpaceDE w:val="0"/>
        <w:autoSpaceDN w:val="0"/>
        <w:adjustRightInd w:val="0"/>
        <w:snapToGrid w:val="0"/>
        <w:spacing w:line="360" w:lineRule="auto"/>
        <w:jc w:val="left"/>
        <w:rPr>
          <w:rFonts w:ascii="宋体" w:hAnsi="宋体" w:cs="宋体"/>
          <w:b/>
          <w:color w:val="auto"/>
          <w:kern w:val="0"/>
          <w:sz w:val="20"/>
          <w:szCs w:val="20"/>
          <w:highlight w:val="none"/>
        </w:rPr>
      </w:pPr>
    </w:p>
    <w:p w14:paraId="2AA3475A">
      <w:pPr>
        <w:autoSpaceDE w:val="0"/>
        <w:autoSpaceDN w:val="0"/>
        <w:adjustRightInd w:val="0"/>
        <w:snapToGrid w:val="0"/>
        <w:spacing w:line="360" w:lineRule="auto"/>
        <w:jc w:val="left"/>
        <w:rPr>
          <w:rFonts w:ascii="宋体" w:hAnsi="宋体" w:cs="宋体"/>
          <w:b/>
          <w:color w:val="auto"/>
          <w:kern w:val="0"/>
          <w:sz w:val="20"/>
          <w:szCs w:val="20"/>
          <w:highlight w:val="none"/>
        </w:rPr>
      </w:pPr>
    </w:p>
    <w:p w14:paraId="20918075">
      <w:pPr>
        <w:autoSpaceDE w:val="0"/>
        <w:autoSpaceDN w:val="0"/>
        <w:adjustRightInd w:val="0"/>
        <w:snapToGrid w:val="0"/>
        <w:spacing w:line="360" w:lineRule="auto"/>
        <w:jc w:val="left"/>
        <w:rPr>
          <w:rFonts w:ascii="宋体" w:hAnsi="宋体" w:cs="宋体"/>
          <w:b/>
          <w:color w:val="auto"/>
          <w:kern w:val="0"/>
          <w:sz w:val="20"/>
          <w:szCs w:val="20"/>
          <w:highlight w:val="none"/>
        </w:rPr>
      </w:pPr>
    </w:p>
    <w:p w14:paraId="361643A7">
      <w:pPr>
        <w:autoSpaceDE w:val="0"/>
        <w:autoSpaceDN w:val="0"/>
        <w:adjustRightInd w:val="0"/>
        <w:snapToGrid w:val="0"/>
        <w:spacing w:line="360" w:lineRule="auto"/>
        <w:jc w:val="left"/>
        <w:rPr>
          <w:rFonts w:ascii="宋体" w:hAnsi="宋体" w:cs="宋体"/>
          <w:b/>
          <w:color w:val="auto"/>
          <w:kern w:val="0"/>
          <w:sz w:val="20"/>
          <w:szCs w:val="20"/>
          <w:highlight w:val="none"/>
        </w:rPr>
      </w:pPr>
    </w:p>
    <w:p w14:paraId="63B33BA0">
      <w:pPr>
        <w:autoSpaceDE w:val="0"/>
        <w:autoSpaceDN w:val="0"/>
        <w:adjustRightInd w:val="0"/>
        <w:snapToGrid w:val="0"/>
        <w:spacing w:line="360" w:lineRule="auto"/>
        <w:jc w:val="left"/>
        <w:rPr>
          <w:rFonts w:ascii="宋体" w:hAnsi="宋体" w:cs="宋体"/>
          <w:b/>
          <w:color w:val="auto"/>
          <w:kern w:val="0"/>
          <w:sz w:val="20"/>
          <w:szCs w:val="20"/>
          <w:highlight w:val="none"/>
        </w:rPr>
      </w:pPr>
    </w:p>
    <w:p w14:paraId="119A6558">
      <w:pPr>
        <w:autoSpaceDE w:val="0"/>
        <w:autoSpaceDN w:val="0"/>
        <w:adjustRightInd w:val="0"/>
        <w:snapToGrid w:val="0"/>
        <w:spacing w:line="360" w:lineRule="auto"/>
        <w:jc w:val="left"/>
        <w:rPr>
          <w:rFonts w:ascii="宋体" w:hAnsi="宋体" w:cs="宋体"/>
          <w:b/>
          <w:color w:val="auto"/>
          <w:kern w:val="0"/>
          <w:sz w:val="20"/>
          <w:szCs w:val="20"/>
          <w:highlight w:val="none"/>
        </w:rPr>
      </w:pPr>
    </w:p>
    <w:p w14:paraId="0111F5DE">
      <w:pPr>
        <w:autoSpaceDE w:val="0"/>
        <w:autoSpaceDN w:val="0"/>
        <w:adjustRightInd w:val="0"/>
        <w:snapToGrid w:val="0"/>
        <w:spacing w:line="360" w:lineRule="auto"/>
        <w:jc w:val="left"/>
        <w:rPr>
          <w:rFonts w:ascii="宋体" w:hAnsi="宋体" w:cs="宋体"/>
          <w:b/>
          <w:color w:val="auto"/>
          <w:kern w:val="0"/>
          <w:sz w:val="20"/>
          <w:szCs w:val="20"/>
          <w:highlight w:val="none"/>
        </w:rPr>
      </w:pPr>
    </w:p>
    <w:p w14:paraId="0829A40D">
      <w:pPr>
        <w:autoSpaceDE w:val="0"/>
        <w:autoSpaceDN w:val="0"/>
        <w:adjustRightInd w:val="0"/>
        <w:snapToGrid w:val="0"/>
        <w:spacing w:line="360" w:lineRule="auto"/>
        <w:jc w:val="left"/>
        <w:rPr>
          <w:rFonts w:ascii="宋体" w:hAnsi="宋体" w:cs="宋体"/>
          <w:b/>
          <w:color w:val="auto"/>
          <w:kern w:val="0"/>
          <w:sz w:val="20"/>
          <w:szCs w:val="20"/>
          <w:highlight w:val="none"/>
        </w:rPr>
      </w:pPr>
    </w:p>
    <w:p w14:paraId="50C1BD4F">
      <w:pPr>
        <w:tabs>
          <w:tab w:val="left" w:pos="6080"/>
          <w:tab w:val="left" w:pos="6640"/>
        </w:tabs>
        <w:autoSpaceDE w:val="0"/>
        <w:autoSpaceDN w:val="0"/>
        <w:adjustRightInd w:val="0"/>
        <w:snapToGrid w:val="0"/>
        <w:spacing w:after="156" w:afterLines="50" w:line="360" w:lineRule="auto"/>
        <w:jc w:val="center"/>
        <w:rPr>
          <w:rFonts w:ascii="宋体" w:hAnsi="宋体" w:cs="宋体"/>
          <w:color w:val="auto"/>
          <w:w w:val="99"/>
          <w:kern w:val="0"/>
          <w:sz w:val="28"/>
          <w:szCs w:val="28"/>
          <w:highlight w:val="none"/>
        </w:rPr>
      </w:pPr>
      <w:r>
        <w:rPr>
          <w:rFonts w:hint="eastAsia" w:ascii="宋体" w:hAnsi="宋体" w:cs="宋体"/>
          <w:color w:val="auto"/>
          <w:w w:val="99"/>
          <w:kern w:val="0"/>
          <w:sz w:val="28"/>
          <w:szCs w:val="28"/>
          <w:highlight w:val="none"/>
          <w:lang w:eastAsia="zh-CN"/>
        </w:rPr>
        <w:t>供应商</w:t>
      </w:r>
      <w:r>
        <w:rPr>
          <w:rFonts w:hint="eastAsia" w:ascii="宋体" w:hAnsi="宋体" w:cs="宋体"/>
          <w:color w:val="auto"/>
          <w:spacing w:val="1"/>
          <w:w w:val="99"/>
          <w:kern w:val="0"/>
          <w:sz w:val="28"/>
          <w:szCs w:val="28"/>
          <w:highlight w:val="none"/>
        </w:rPr>
        <w:t>：</w:t>
      </w:r>
      <w:r>
        <w:rPr>
          <w:rFonts w:hint="eastAsia" w:ascii="宋体" w:hAnsi="宋体" w:cs="宋体"/>
          <w:color w:val="auto"/>
          <w:w w:val="198"/>
          <w:kern w:val="0"/>
          <w:sz w:val="28"/>
          <w:szCs w:val="28"/>
          <w:highlight w:val="none"/>
          <w:u w:val="single"/>
        </w:rPr>
        <w:t xml:space="preserve"> 　　　　 　　</w:t>
      </w:r>
      <w:r>
        <w:rPr>
          <w:rFonts w:hint="eastAsia" w:ascii="宋体" w:hAnsi="宋体" w:cs="宋体"/>
          <w:color w:val="auto"/>
          <w:w w:val="99"/>
          <w:kern w:val="0"/>
          <w:sz w:val="28"/>
          <w:szCs w:val="28"/>
          <w:highlight w:val="none"/>
        </w:rPr>
        <w:t>（盖单位法人章）</w:t>
      </w:r>
    </w:p>
    <w:p w14:paraId="20DF3AA8">
      <w:pPr>
        <w:tabs>
          <w:tab w:val="left" w:pos="6080"/>
          <w:tab w:val="left" w:pos="6640"/>
        </w:tabs>
        <w:autoSpaceDE w:val="0"/>
        <w:autoSpaceDN w:val="0"/>
        <w:adjustRightInd w:val="0"/>
        <w:snapToGrid w:val="0"/>
        <w:spacing w:after="156" w:afterLines="50" w:line="360" w:lineRule="auto"/>
        <w:jc w:val="center"/>
        <w:rPr>
          <w:rFonts w:ascii="宋体" w:hAnsi="宋体" w:cs="宋体"/>
          <w:color w:val="auto"/>
          <w:kern w:val="0"/>
          <w:sz w:val="28"/>
          <w:szCs w:val="28"/>
          <w:highlight w:val="none"/>
        </w:rPr>
      </w:pPr>
      <w:r>
        <w:rPr>
          <w:rFonts w:hint="eastAsia" w:ascii="宋体" w:hAnsi="宋体" w:cs="宋体"/>
          <w:color w:val="auto"/>
          <w:w w:val="99"/>
          <w:kern w:val="0"/>
          <w:sz w:val="28"/>
          <w:szCs w:val="28"/>
          <w:highlight w:val="none"/>
        </w:rPr>
        <w:t>法定代表人或其委托代理人：</w:t>
      </w:r>
      <w:r>
        <w:rPr>
          <w:rFonts w:hint="eastAsia" w:ascii="宋体" w:hAnsi="宋体" w:cs="宋体"/>
          <w:color w:val="auto"/>
          <w:w w:val="198"/>
          <w:kern w:val="0"/>
          <w:sz w:val="28"/>
          <w:szCs w:val="28"/>
          <w:highlight w:val="none"/>
          <w:u w:val="single"/>
        </w:rPr>
        <w:t xml:space="preserve"> 　　 </w:t>
      </w:r>
      <w:r>
        <w:rPr>
          <w:rFonts w:hint="eastAsia" w:ascii="宋体" w:hAnsi="宋体" w:cs="宋体"/>
          <w:color w:val="auto"/>
          <w:w w:val="99"/>
          <w:kern w:val="0"/>
          <w:sz w:val="28"/>
          <w:szCs w:val="28"/>
          <w:highlight w:val="none"/>
        </w:rPr>
        <w:t>（签名或盖章）</w:t>
      </w:r>
    </w:p>
    <w:p w14:paraId="3C4A3440">
      <w:pPr>
        <w:jc w:val="center"/>
        <w:rPr>
          <w:rFonts w:ascii="宋体" w:hAnsi="宋体" w:cs="宋体"/>
          <w:color w:val="auto"/>
          <w:highlight w:val="none"/>
        </w:rPr>
      </w:pPr>
      <w:r>
        <w:rPr>
          <w:rFonts w:hint="eastAsia" w:ascii="宋体" w:hAnsi="宋体" w:cs="宋体"/>
          <w:color w:val="auto"/>
          <w:w w:val="99"/>
          <w:kern w:val="0"/>
          <w:sz w:val="28"/>
          <w:szCs w:val="28"/>
          <w:highlight w:val="none"/>
        </w:rPr>
        <w:t>年</w:t>
      </w:r>
      <w:r>
        <w:rPr>
          <w:rFonts w:hint="eastAsia" w:ascii="宋体" w:hAnsi="宋体" w:cs="宋体"/>
          <w:color w:val="auto"/>
          <w:w w:val="99"/>
          <w:kern w:val="0"/>
          <w:sz w:val="28"/>
          <w:szCs w:val="28"/>
          <w:highlight w:val="none"/>
          <w:u w:val="single"/>
        </w:rPr>
        <w:t xml:space="preserve">    </w:t>
      </w:r>
      <w:r>
        <w:rPr>
          <w:rFonts w:hint="eastAsia" w:ascii="宋体" w:hAnsi="宋体" w:cs="宋体"/>
          <w:color w:val="auto"/>
          <w:w w:val="99"/>
          <w:kern w:val="0"/>
          <w:sz w:val="28"/>
          <w:szCs w:val="28"/>
          <w:highlight w:val="none"/>
        </w:rPr>
        <w:t>月</w:t>
      </w:r>
      <w:r>
        <w:rPr>
          <w:rFonts w:hint="eastAsia" w:ascii="宋体" w:hAnsi="宋体" w:cs="宋体"/>
          <w:color w:val="auto"/>
          <w:w w:val="99"/>
          <w:kern w:val="0"/>
          <w:sz w:val="28"/>
          <w:szCs w:val="28"/>
          <w:highlight w:val="none"/>
          <w:u w:val="single"/>
        </w:rPr>
        <w:t xml:space="preserve">    </w:t>
      </w:r>
      <w:r>
        <w:rPr>
          <w:rFonts w:hint="eastAsia" w:ascii="宋体" w:hAnsi="宋体" w:cs="宋体"/>
          <w:color w:val="auto"/>
          <w:w w:val="99"/>
          <w:kern w:val="0"/>
          <w:sz w:val="28"/>
          <w:szCs w:val="28"/>
          <w:highlight w:val="none"/>
        </w:rPr>
        <w:t>日</w:t>
      </w:r>
    </w:p>
    <w:p w14:paraId="78B91AAE">
      <w:pPr>
        <w:spacing w:line="360" w:lineRule="auto"/>
        <w:rPr>
          <w:rFonts w:ascii="宋体" w:hAnsi="宋体" w:cs="宋体"/>
          <w:color w:val="auto"/>
          <w:sz w:val="32"/>
          <w:szCs w:val="32"/>
          <w:highlight w:val="none"/>
        </w:rPr>
      </w:pPr>
    </w:p>
    <w:p w14:paraId="611B7D01">
      <w:pPr>
        <w:jc w:val="left"/>
        <w:rPr>
          <w:rFonts w:ascii="宋体" w:hAnsi="宋体" w:cs="宋体"/>
          <w:color w:val="auto"/>
          <w:szCs w:val="20"/>
          <w:highlight w:val="none"/>
        </w:rPr>
      </w:pPr>
    </w:p>
    <w:p w14:paraId="3D0492B0">
      <w:pPr>
        <w:spacing w:line="360" w:lineRule="auto"/>
        <w:jc w:val="center"/>
        <w:outlineLvl w:val="0"/>
        <w:rPr>
          <w:rFonts w:ascii="宋体" w:hAnsi="宋体" w:cs="宋体"/>
          <w:color w:val="auto"/>
          <w:szCs w:val="20"/>
          <w:highlight w:val="none"/>
        </w:rPr>
      </w:pPr>
      <w:bookmarkStart w:id="918" w:name="_Toc17527"/>
      <w:bookmarkStart w:id="919" w:name="_Toc25713"/>
      <w:bookmarkStart w:id="920" w:name="_Toc3701"/>
      <w:bookmarkStart w:id="921" w:name="_Toc827"/>
      <w:bookmarkStart w:id="922" w:name="_Toc6264"/>
      <w:r>
        <w:rPr>
          <w:rFonts w:hint="eastAsia" w:ascii="宋体" w:hAnsi="宋体" w:cs="宋体"/>
          <w:b/>
          <w:bCs/>
          <w:color w:val="auto"/>
          <w:sz w:val="36"/>
          <w:szCs w:val="36"/>
          <w:highlight w:val="none"/>
        </w:rPr>
        <w:t>目  录</w:t>
      </w:r>
      <w:bookmarkEnd w:id="917"/>
      <w:bookmarkEnd w:id="918"/>
      <w:bookmarkEnd w:id="919"/>
      <w:bookmarkEnd w:id="920"/>
      <w:bookmarkEnd w:id="921"/>
      <w:bookmarkEnd w:id="922"/>
    </w:p>
    <w:p w14:paraId="4C863DD2">
      <w:pPr>
        <w:spacing w:line="360" w:lineRule="auto"/>
        <w:outlineLvl w:val="0"/>
        <w:rPr>
          <w:rFonts w:ascii="宋体" w:hAnsi="宋体" w:cs="宋体"/>
          <w:b/>
          <w:color w:val="auto"/>
          <w:highlight w:val="none"/>
        </w:rPr>
      </w:pPr>
      <w:bookmarkStart w:id="923" w:name="_Toc30670"/>
      <w:bookmarkStart w:id="924" w:name="_Toc22195"/>
      <w:bookmarkStart w:id="925" w:name="_Toc25094"/>
      <w:bookmarkStart w:id="926" w:name="_Toc125"/>
      <w:bookmarkStart w:id="927" w:name="_Toc16858"/>
      <w:bookmarkStart w:id="928" w:name="_Toc8194"/>
      <w:r>
        <w:rPr>
          <w:rFonts w:hint="eastAsia" w:ascii="宋体" w:hAnsi="宋体" w:cs="宋体"/>
          <w:b/>
          <w:color w:val="auto"/>
          <w:highlight w:val="none"/>
        </w:rPr>
        <w:t>一、</w:t>
      </w:r>
      <w:r>
        <w:rPr>
          <w:rFonts w:hint="eastAsia" w:ascii="宋体" w:hAnsi="宋体" w:cs="宋体"/>
          <w:b/>
          <w:color w:val="auto"/>
          <w:highlight w:val="none"/>
          <w:lang w:eastAsia="zh-CN"/>
        </w:rPr>
        <w:t>比选函</w:t>
      </w:r>
      <w:r>
        <w:rPr>
          <w:rFonts w:hint="eastAsia" w:ascii="宋体" w:hAnsi="宋体" w:cs="宋体"/>
          <w:b/>
          <w:color w:val="auto"/>
          <w:highlight w:val="none"/>
        </w:rPr>
        <w:t>部分</w:t>
      </w:r>
      <w:bookmarkEnd w:id="923"/>
      <w:bookmarkEnd w:id="924"/>
      <w:bookmarkEnd w:id="925"/>
      <w:bookmarkEnd w:id="926"/>
      <w:bookmarkEnd w:id="927"/>
      <w:bookmarkEnd w:id="928"/>
    </w:p>
    <w:p w14:paraId="65C78095">
      <w:pPr>
        <w:spacing w:line="360" w:lineRule="auto"/>
        <w:ind w:firstLine="420" w:firstLineChars="200"/>
        <w:rPr>
          <w:rFonts w:hint="eastAsia" w:ascii="宋体" w:hAnsi="宋体" w:eastAsia="宋体" w:cs="宋体"/>
          <w:color w:val="auto"/>
          <w:highlight w:val="none"/>
          <w:lang w:eastAsia="zh-CN"/>
        </w:rPr>
      </w:pPr>
      <w:r>
        <w:rPr>
          <w:rFonts w:hint="eastAsia" w:ascii="宋体" w:hAnsi="宋体" w:cs="宋体"/>
          <w:color w:val="auto"/>
          <w:highlight w:val="none"/>
        </w:rPr>
        <w:t>（一）</w:t>
      </w:r>
      <w:r>
        <w:rPr>
          <w:rFonts w:hint="eastAsia" w:ascii="宋体" w:hAnsi="宋体" w:cs="宋体"/>
          <w:color w:val="auto"/>
          <w:highlight w:val="none"/>
          <w:lang w:eastAsia="zh-CN"/>
        </w:rPr>
        <w:t>比选函</w:t>
      </w:r>
    </w:p>
    <w:p w14:paraId="1A550148">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（二）</w:t>
      </w:r>
      <w:r>
        <w:rPr>
          <w:rFonts w:hint="eastAsia" w:ascii="宋体" w:hAnsi="宋体" w:cs="宋体"/>
          <w:color w:val="auto"/>
          <w:highlight w:val="none"/>
          <w:lang w:eastAsia="zh-CN"/>
        </w:rPr>
        <w:t>比选函</w:t>
      </w:r>
      <w:r>
        <w:rPr>
          <w:rFonts w:hint="eastAsia" w:ascii="宋体" w:hAnsi="宋体" w:cs="宋体"/>
          <w:color w:val="auto"/>
          <w:highlight w:val="none"/>
        </w:rPr>
        <w:t>附录</w:t>
      </w:r>
    </w:p>
    <w:p w14:paraId="5163C35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（三）法定代表人身份证明或附有法定代表人身份证明的授权委托书</w:t>
      </w:r>
    </w:p>
    <w:p w14:paraId="0F11F8CA">
      <w:pPr>
        <w:spacing w:line="360" w:lineRule="auto"/>
        <w:outlineLvl w:val="0"/>
        <w:rPr>
          <w:rFonts w:hint="eastAsia" w:ascii="宋体" w:hAnsi="宋体" w:eastAsia="宋体" w:cs="宋体"/>
          <w:b/>
          <w:color w:val="auto"/>
          <w:highlight w:val="none"/>
          <w:lang w:eastAsia="zh-CN"/>
        </w:rPr>
      </w:pPr>
      <w:bookmarkStart w:id="929" w:name="_Toc13085"/>
      <w:bookmarkStart w:id="930" w:name="_Toc11332"/>
      <w:bookmarkStart w:id="931" w:name="_Toc4617"/>
      <w:bookmarkStart w:id="932" w:name="_Toc3917"/>
      <w:bookmarkStart w:id="933" w:name="_Toc14114"/>
      <w:bookmarkStart w:id="934" w:name="_Toc15583"/>
      <w:r>
        <w:rPr>
          <w:rFonts w:hint="eastAsia" w:ascii="宋体" w:hAnsi="宋体" w:cs="宋体"/>
          <w:b/>
          <w:color w:val="auto"/>
          <w:highlight w:val="none"/>
        </w:rPr>
        <w:t>二、</w:t>
      </w:r>
      <w:bookmarkEnd w:id="929"/>
      <w:bookmarkEnd w:id="930"/>
      <w:bookmarkEnd w:id="931"/>
      <w:bookmarkEnd w:id="932"/>
      <w:bookmarkEnd w:id="933"/>
      <w:r>
        <w:rPr>
          <w:rFonts w:hint="eastAsia" w:ascii="宋体" w:hAnsi="宋体" w:cs="宋体"/>
          <w:b/>
          <w:color w:val="auto"/>
          <w:highlight w:val="none"/>
          <w:lang w:eastAsia="zh-CN"/>
        </w:rPr>
        <w:t>报价部分</w:t>
      </w:r>
      <w:bookmarkEnd w:id="934"/>
    </w:p>
    <w:p w14:paraId="0DD93F0B">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已标价工程量清单</w:t>
      </w:r>
    </w:p>
    <w:p w14:paraId="33E868B9">
      <w:pPr>
        <w:spacing w:line="360" w:lineRule="auto"/>
        <w:outlineLvl w:val="0"/>
        <w:rPr>
          <w:rFonts w:ascii="宋体" w:hAnsi="宋体" w:cs="宋体"/>
          <w:b/>
          <w:color w:val="auto"/>
          <w:highlight w:val="none"/>
        </w:rPr>
      </w:pPr>
      <w:bookmarkStart w:id="935" w:name="_Toc32175"/>
      <w:bookmarkStart w:id="936" w:name="_Toc31462"/>
      <w:bookmarkStart w:id="937" w:name="_Toc9317"/>
      <w:bookmarkStart w:id="938" w:name="_Toc26395"/>
      <w:bookmarkStart w:id="939" w:name="_Toc10307"/>
      <w:bookmarkStart w:id="940" w:name="_Toc24478"/>
      <w:r>
        <w:rPr>
          <w:rFonts w:hint="eastAsia" w:ascii="宋体" w:hAnsi="宋体" w:cs="宋体"/>
          <w:b/>
          <w:color w:val="auto"/>
          <w:highlight w:val="none"/>
        </w:rPr>
        <w:t>三、技术部分</w:t>
      </w:r>
      <w:bookmarkEnd w:id="935"/>
      <w:bookmarkEnd w:id="936"/>
      <w:bookmarkEnd w:id="937"/>
      <w:bookmarkEnd w:id="938"/>
      <w:bookmarkEnd w:id="939"/>
      <w:bookmarkEnd w:id="940"/>
    </w:p>
    <w:p w14:paraId="4905C3C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技术方案</w:t>
      </w:r>
    </w:p>
    <w:p w14:paraId="7D31E8D3">
      <w:pPr>
        <w:spacing w:line="360" w:lineRule="auto"/>
        <w:outlineLvl w:val="0"/>
        <w:rPr>
          <w:rFonts w:ascii="宋体" w:hAnsi="宋体" w:cs="宋体"/>
          <w:b/>
          <w:color w:val="auto"/>
          <w:highlight w:val="none"/>
        </w:rPr>
      </w:pPr>
      <w:bookmarkStart w:id="941" w:name="_Toc8549"/>
      <w:bookmarkStart w:id="942" w:name="_Toc15844"/>
      <w:bookmarkStart w:id="943" w:name="_Toc30732"/>
      <w:bookmarkStart w:id="944" w:name="_Toc21921"/>
      <w:bookmarkStart w:id="945" w:name="_Toc8019"/>
      <w:bookmarkStart w:id="946" w:name="_Toc21084"/>
      <w:r>
        <w:rPr>
          <w:rFonts w:hint="eastAsia" w:ascii="宋体" w:hAnsi="宋体" w:cs="宋体"/>
          <w:b/>
          <w:color w:val="auto"/>
          <w:highlight w:val="none"/>
        </w:rPr>
        <w:t>四、资格审查部分</w:t>
      </w:r>
      <w:bookmarkEnd w:id="941"/>
      <w:bookmarkEnd w:id="942"/>
      <w:bookmarkEnd w:id="943"/>
      <w:bookmarkEnd w:id="944"/>
      <w:bookmarkEnd w:id="945"/>
      <w:bookmarkEnd w:id="946"/>
    </w:p>
    <w:p w14:paraId="53EC3AC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（一）法定代表人身份证明或附有法定代表人身份证明的授权委托书</w:t>
      </w:r>
    </w:p>
    <w:p w14:paraId="23733979">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（二）承诺</w:t>
      </w:r>
    </w:p>
    <w:p w14:paraId="23F56F07">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w:t>
      </w:r>
      <w:r>
        <w:rPr>
          <w:rFonts w:hint="eastAsia" w:ascii="宋体" w:hAnsi="宋体" w:cs="宋体"/>
          <w:color w:val="auto"/>
          <w:highlight w:val="none"/>
          <w:lang w:val="en-US" w:eastAsia="zh-CN"/>
        </w:rPr>
        <w:t>三</w:t>
      </w:r>
      <w:r>
        <w:rPr>
          <w:rFonts w:hint="eastAsia" w:ascii="宋体" w:hAnsi="宋体" w:cs="宋体"/>
          <w:color w:val="auto"/>
          <w:highlight w:val="none"/>
        </w:rPr>
        <w:t>）其他资料</w:t>
      </w:r>
    </w:p>
    <w:p w14:paraId="7F9014A4">
      <w:pPr>
        <w:spacing w:line="360" w:lineRule="auto"/>
        <w:ind w:firstLine="420" w:firstLineChars="200"/>
        <w:rPr>
          <w:rFonts w:ascii="宋体" w:hAnsi="宋体" w:cs="宋体"/>
          <w:color w:val="auto"/>
          <w:highlight w:val="none"/>
        </w:rPr>
      </w:pPr>
    </w:p>
    <w:p w14:paraId="148260AF">
      <w:pPr>
        <w:spacing w:line="360" w:lineRule="auto"/>
        <w:ind w:firstLine="420" w:firstLineChars="200"/>
        <w:rPr>
          <w:rFonts w:ascii="宋体" w:hAnsi="宋体" w:cs="宋体"/>
          <w:color w:val="auto"/>
          <w:highlight w:val="none"/>
        </w:rPr>
      </w:pPr>
    </w:p>
    <w:p w14:paraId="16E05E99">
      <w:pPr>
        <w:pStyle w:val="4"/>
        <w:spacing w:line="360" w:lineRule="auto"/>
        <w:jc w:val="center"/>
        <w:rPr>
          <w:rFonts w:ascii="宋体" w:hAnsi="宋体" w:cs="宋体"/>
          <w:b w:val="0"/>
          <w:bCs w:val="0"/>
          <w:color w:val="auto"/>
          <w:sz w:val="44"/>
          <w:szCs w:val="44"/>
          <w:highlight w:val="none"/>
        </w:rPr>
      </w:pPr>
      <w:r>
        <w:rPr>
          <w:rFonts w:hint="eastAsia" w:ascii="宋体" w:hAnsi="宋体" w:cs="宋体"/>
          <w:color w:val="auto"/>
          <w:highlight w:val="none"/>
        </w:rPr>
        <w:br w:type="page"/>
      </w:r>
      <w:bookmarkStart w:id="947" w:name="_Toc25210"/>
      <w:bookmarkStart w:id="948" w:name="_Toc1529"/>
      <w:bookmarkStart w:id="949" w:name="_Toc24904"/>
      <w:bookmarkStart w:id="950" w:name="_Toc33106472"/>
      <w:bookmarkStart w:id="951" w:name="_Toc21272"/>
      <w:r>
        <w:rPr>
          <w:rFonts w:hint="eastAsia" w:ascii="宋体" w:hAnsi="宋体" w:cs="宋体"/>
          <w:b w:val="0"/>
          <w:bCs w:val="0"/>
          <w:color w:val="auto"/>
          <w:sz w:val="44"/>
          <w:szCs w:val="44"/>
          <w:highlight w:val="none"/>
        </w:rPr>
        <w:t>一、</w:t>
      </w:r>
      <w:r>
        <w:rPr>
          <w:rFonts w:hint="eastAsia" w:ascii="宋体" w:hAnsi="宋体" w:cs="宋体"/>
          <w:b w:val="0"/>
          <w:bCs w:val="0"/>
          <w:color w:val="auto"/>
          <w:sz w:val="44"/>
          <w:szCs w:val="44"/>
          <w:highlight w:val="none"/>
          <w:lang w:eastAsia="zh-CN"/>
        </w:rPr>
        <w:t>比选函</w:t>
      </w:r>
      <w:r>
        <w:rPr>
          <w:rFonts w:hint="eastAsia" w:ascii="宋体" w:hAnsi="宋体" w:cs="宋体"/>
          <w:b w:val="0"/>
          <w:bCs w:val="0"/>
          <w:color w:val="auto"/>
          <w:sz w:val="44"/>
          <w:szCs w:val="44"/>
          <w:highlight w:val="none"/>
        </w:rPr>
        <w:t>部分</w:t>
      </w:r>
      <w:bookmarkEnd w:id="947"/>
      <w:bookmarkEnd w:id="948"/>
      <w:bookmarkEnd w:id="949"/>
      <w:bookmarkEnd w:id="950"/>
      <w:bookmarkEnd w:id="951"/>
    </w:p>
    <w:p w14:paraId="12E24532">
      <w:pPr>
        <w:rPr>
          <w:rFonts w:ascii="宋体" w:hAnsi="宋体" w:cs="宋体"/>
          <w:color w:val="auto"/>
          <w:highlight w:val="none"/>
        </w:rPr>
      </w:pPr>
      <w:r>
        <w:rPr>
          <w:rFonts w:hint="eastAsia" w:ascii="宋体" w:hAnsi="宋体" w:cs="宋体"/>
          <w:color w:val="auto"/>
          <w:highlight w:val="none"/>
        </w:rPr>
        <w:br w:type="page"/>
      </w:r>
    </w:p>
    <w:p w14:paraId="611F02E6">
      <w:pPr>
        <w:pStyle w:val="2"/>
        <w:rPr>
          <w:rFonts w:ascii="宋体" w:hAnsi="宋体" w:cs="宋体"/>
          <w:color w:val="auto"/>
          <w:highlight w:val="none"/>
        </w:rPr>
      </w:pPr>
    </w:p>
    <w:p w14:paraId="0AA18D1C">
      <w:pPr>
        <w:tabs>
          <w:tab w:val="left" w:pos="2580"/>
          <w:tab w:val="left" w:pos="5940"/>
        </w:tabs>
        <w:autoSpaceDE w:val="0"/>
        <w:autoSpaceDN w:val="0"/>
        <w:adjustRightInd w:val="0"/>
        <w:snapToGrid w:val="0"/>
        <w:spacing w:line="360" w:lineRule="auto"/>
        <w:ind w:firstLine="2940"/>
        <w:jc w:val="left"/>
        <w:rPr>
          <w:rFonts w:ascii="宋体" w:hAnsi="宋体" w:cs="宋体"/>
          <w:color w:val="auto"/>
          <w:kern w:val="0"/>
          <w:sz w:val="36"/>
          <w:szCs w:val="36"/>
          <w:highlight w:val="none"/>
        </w:rPr>
      </w:pPr>
      <w:bookmarkStart w:id="952" w:name="_Toc534185830"/>
      <w:bookmarkStart w:id="953" w:name="_Toc509218853"/>
      <w:bookmarkStart w:id="954" w:name="_Toc536800771"/>
      <w:r>
        <w:rPr>
          <w:rFonts w:hint="eastAsia" w:ascii="宋体" w:hAnsi="宋体" w:cs="宋体"/>
          <w:b/>
          <w:color w:val="auto"/>
          <w:sz w:val="32"/>
          <w:szCs w:val="32"/>
          <w:highlight w:val="none"/>
        </w:rPr>
        <w:t xml:space="preserve"> </w:t>
      </w:r>
      <w:bookmarkEnd w:id="952"/>
      <w:bookmarkEnd w:id="953"/>
      <w:bookmarkEnd w:id="954"/>
      <w:r>
        <w:rPr>
          <w:rFonts w:hint="eastAsia" w:ascii="宋体" w:hAnsi="宋体" w:cs="宋体"/>
          <w:color w:val="auto"/>
          <w:kern w:val="0"/>
          <w:sz w:val="36"/>
          <w:szCs w:val="36"/>
          <w:highlight w:val="none"/>
        </w:rPr>
        <w:t>目  录</w:t>
      </w:r>
    </w:p>
    <w:p w14:paraId="58CACC02">
      <w:pPr>
        <w:autoSpaceDE w:val="0"/>
        <w:autoSpaceDN w:val="0"/>
        <w:adjustRightInd w:val="0"/>
        <w:snapToGrid w:val="0"/>
        <w:spacing w:line="360" w:lineRule="auto"/>
        <w:jc w:val="left"/>
        <w:rPr>
          <w:rFonts w:ascii="宋体" w:hAnsi="宋体" w:cs="宋体"/>
          <w:color w:val="auto"/>
          <w:kern w:val="0"/>
          <w:sz w:val="24"/>
          <w:szCs w:val="21"/>
          <w:highlight w:val="none"/>
        </w:rPr>
      </w:pPr>
    </w:p>
    <w:p w14:paraId="7982E0C4">
      <w:pPr>
        <w:autoSpaceDE w:val="0"/>
        <w:autoSpaceDN w:val="0"/>
        <w:adjustRightInd w:val="0"/>
        <w:spacing w:line="360" w:lineRule="auto"/>
        <w:ind w:firstLine="480" w:firstLineChars="200"/>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（一）</w:t>
      </w:r>
      <w:r>
        <w:rPr>
          <w:rFonts w:hint="eastAsia" w:ascii="宋体" w:hAnsi="宋体" w:cs="宋体"/>
          <w:color w:val="auto"/>
          <w:kern w:val="0"/>
          <w:sz w:val="24"/>
          <w:highlight w:val="none"/>
          <w:lang w:eastAsia="zh-CN"/>
        </w:rPr>
        <w:t>比选函</w:t>
      </w:r>
    </w:p>
    <w:p w14:paraId="5E7D7322">
      <w:pPr>
        <w:autoSpaceDE w:val="0"/>
        <w:autoSpaceDN w:val="0"/>
        <w:adjustRightIn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（二）</w:t>
      </w:r>
      <w:r>
        <w:rPr>
          <w:rFonts w:hint="eastAsia" w:ascii="宋体" w:hAnsi="宋体" w:cs="宋体"/>
          <w:color w:val="auto"/>
          <w:kern w:val="0"/>
          <w:sz w:val="24"/>
          <w:highlight w:val="none"/>
          <w:lang w:eastAsia="zh-CN"/>
        </w:rPr>
        <w:t>比选函</w:t>
      </w:r>
      <w:r>
        <w:rPr>
          <w:rFonts w:hint="eastAsia" w:ascii="宋体" w:hAnsi="宋体" w:cs="宋体"/>
          <w:color w:val="auto"/>
          <w:kern w:val="0"/>
          <w:sz w:val="24"/>
          <w:highlight w:val="none"/>
        </w:rPr>
        <w:t>附录</w:t>
      </w:r>
    </w:p>
    <w:p w14:paraId="3E1E3A54">
      <w:pPr>
        <w:autoSpaceDE w:val="0"/>
        <w:autoSpaceDN w:val="0"/>
        <w:adjustRightIn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（三）法定代表人身份证明或授权委托书</w:t>
      </w:r>
    </w:p>
    <w:p w14:paraId="38BB8C1A">
      <w:pPr>
        <w:pStyle w:val="5"/>
        <w:spacing w:before="0" w:after="0" w:line="360" w:lineRule="auto"/>
        <w:jc w:val="center"/>
        <w:rPr>
          <w:rFonts w:hint="eastAsia" w:ascii="宋体" w:hAnsi="宋体" w:eastAsia="宋体" w:cs="宋体"/>
          <w:b w:val="0"/>
          <w:color w:val="auto"/>
          <w:highlight w:val="none"/>
          <w:lang w:eastAsia="zh-CN"/>
        </w:rPr>
      </w:pPr>
      <w:r>
        <w:rPr>
          <w:rFonts w:hint="eastAsia" w:ascii="宋体" w:hAnsi="宋体" w:cs="宋体"/>
          <w:color w:val="auto"/>
          <w:kern w:val="0"/>
          <w:sz w:val="28"/>
          <w:szCs w:val="28"/>
          <w:highlight w:val="none"/>
          <w:u w:val="single"/>
        </w:rPr>
        <w:br w:type="page"/>
      </w:r>
      <w:bookmarkStart w:id="955" w:name="_Toc509218854"/>
      <w:bookmarkStart w:id="956" w:name="_Toc21554"/>
      <w:bookmarkStart w:id="957" w:name="_Toc287620814"/>
      <w:bookmarkStart w:id="958" w:name="_Toc287607867"/>
      <w:bookmarkStart w:id="959" w:name="_Toc534185831"/>
      <w:bookmarkStart w:id="960" w:name="_Toc224103495"/>
      <w:bookmarkStart w:id="961" w:name="_Toc430530530"/>
      <w:bookmarkStart w:id="962" w:name="_Toc29877"/>
      <w:bookmarkStart w:id="963" w:name="_Toc21828"/>
      <w:bookmarkStart w:id="964" w:name="_Toc277082643"/>
      <w:bookmarkStart w:id="965" w:name="_Toc536800772"/>
      <w:bookmarkStart w:id="966" w:name="_Toc9952"/>
      <w:r>
        <w:rPr>
          <w:rFonts w:hint="eastAsia" w:ascii="宋体" w:hAnsi="宋体" w:cs="宋体"/>
          <w:b w:val="0"/>
          <w:bCs w:val="0"/>
          <w:color w:val="auto"/>
          <w:highlight w:val="none"/>
        </w:rPr>
        <w:t>（一）</w:t>
      </w:r>
      <w:bookmarkEnd w:id="955"/>
      <w:bookmarkEnd w:id="956"/>
      <w:bookmarkEnd w:id="957"/>
      <w:bookmarkEnd w:id="958"/>
      <w:bookmarkEnd w:id="959"/>
      <w:bookmarkEnd w:id="960"/>
      <w:bookmarkEnd w:id="961"/>
      <w:bookmarkEnd w:id="962"/>
      <w:bookmarkEnd w:id="963"/>
      <w:bookmarkEnd w:id="964"/>
      <w:bookmarkEnd w:id="965"/>
      <w:r>
        <w:rPr>
          <w:rFonts w:hint="eastAsia" w:ascii="宋体" w:hAnsi="宋体" w:cs="宋体"/>
          <w:b w:val="0"/>
          <w:bCs w:val="0"/>
          <w:color w:val="auto"/>
          <w:highlight w:val="none"/>
          <w:lang w:eastAsia="zh-CN"/>
        </w:rPr>
        <w:t>比选函</w:t>
      </w:r>
      <w:bookmarkEnd w:id="966"/>
    </w:p>
    <w:p w14:paraId="66FFE415">
      <w:pPr>
        <w:tabs>
          <w:tab w:val="left" w:pos="2640"/>
        </w:tabs>
        <w:autoSpaceDE w:val="0"/>
        <w:autoSpaceDN w:val="0"/>
        <w:adjustRightInd w:val="0"/>
        <w:spacing w:line="380" w:lineRule="exac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w:t>
      </w:r>
      <w:r>
        <w:rPr>
          <w:rFonts w:hint="eastAsia" w:ascii="宋体" w:hAnsi="宋体" w:cs="宋体"/>
          <w:snapToGrid w:val="0"/>
          <w:color w:val="auto"/>
          <w:kern w:val="0"/>
          <w:szCs w:val="21"/>
          <w:highlight w:val="none"/>
          <w:u w:val="single"/>
          <w:lang w:eastAsia="zh-CN"/>
        </w:rPr>
        <w:t>采购人</w:t>
      </w:r>
      <w:r>
        <w:rPr>
          <w:rFonts w:hint="eastAsia" w:ascii="宋体" w:hAnsi="宋体" w:cs="宋体"/>
          <w:snapToGrid w:val="0"/>
          <w:color w:val="auto"/>
          <w:kern w:val="0"/>
          <w:szCs w:val="21"/>
          <w:highlight w:val="none"/>
          <w:u w:val="single"/>
        </w:rPr>
        <w:t>名称）</w:t>
      </w:r>
      <w:r>
        <w:rPr>
          <w:rFonts w:hint="eastAsia" w:ascii="宋体" w:hAnsi="宋体" w:cs="宋体"/>
          <w:snapToGrid w:val="0"/>
          <w:color w:val="auto"/>
          <w:kern w:val="0"/>
          <w:szCs w:val="21"/>
          <w:highlight w:val="none"/>
        </w:rPr>
        <w:t>：</w:t>
      </w:r>
    </w:p>
    <w:p w14:paraId="0128DB6C">
      <w:pPr>
        <w:spacing w:line="380" w:lineRule="exact"/>
        <w:ind w:firstLine="420" w:firstLineChars="200"/>
        <w:rPr>
          <w:rFonts w:ascii="宋体" w:hAnsi="宋体" w:cs="宋体"/>
          <w:color w:val="auto"/>
          <w:szCs w:val="21"/>
          <w:highlight w:val="none"/>
        </w:rPr>
      </w:pPr>
      <w:r>
        <w:rPr>
          <w:rFonts w:hint="eastAsia" w:ascii="宋体" w:hAnsi="宋体" w:cs="宋体"/>
          <w:snapToGrid w:val="0"/>
          <w:color w:val="auto"/>
          <w:kern w:val="0"/>
          <w:szCs w:val="21"/>
          <w:highlight w:val="none"/>
        </w:rPr>
        <w:t xml:space="preserve">1. </w:t>
      </w:r>
      <w:r>
        <w:rPr>
          <w:rFonts w:hint="eastAsia" w:ascii="宋体" w:hAnsi="宋体" w:cs="宋体"/>
          <w:color w:val="auto"/>
          <w:szCs w:val="21"/>
          <w:highlight w:val="none"/>
        </w:rPr>
        <w:t>我方已仔细研究了</w:t>
      </w:r>
      <w:r>
        <w:rPr>
          <w:rFonts w:hint="eastAsia" w:ascii="宋体" w:hAnsi="宋体" w:cs="宋体"/>
          <w:color w:val="auto"/>
          <w:highlight w:val="none"/>
          <w:u w:val="single"/>
          <w:lang w:eastAsia="zh-CN"/>
        </w:rPr>
        <w:t>成渝改扩建机电工程监控、通信设施保通及路由管道劳务采购</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的全部内容，</w:t>
      </w:r>
      <w:r>
        <w:rPr>
          <w:rFonts w:hint="eastAsia" w:ascii="宋体" w:hAnsi="宋体" w:cs="宋体"/>
          <w:snapToGrid w:val="0"/>
          <w:color w:val="auto"/>
          <w:kern w:val="0"/>
          <w:szCs w:val="21"/>
          <w:highlight w:val="none"/>
        </w:rPr>
        <w:t>愿意以人民币（大写）</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）的</w:t>
      </w:r>
      <w:r>
        <w:rPr>
          <w:rFonts w:hint="eastAsia" w:ascii="宋体" w:hAnsi="宋体" w:cs="宋体"/>
          <w:snapToGrid w:val="0"/>
          <w:color w:val="auto"/>
          <w:kern w:val="0"/>
          <w:szCs w:val="21"/>
          <w:highlight w:val="none"/>
          <w:lang w:eastAsia="zh-CN"/>
        </w:rPr>
        <w:t>比选总报价</w:t>
      </w:r>
      <w:r>
        <w:rPr>
          <w:rFonts w:hint="eastAsia" w:ascii="宋体" w:hAnsi="宋体" w:cs="宋体"/>
          <w:snapToGrid w:val="0"/>
          <w:color w:val="auto"/>
          <w:kern w:val="0"/>
          <w:szCs w:val="21"/>
          <w:highlight w:val="none"/>
        </w:rPr>
        <w:t>进行报价</w:t>
      </w:r>
      <w:r>
        <w:rPr>
          <w:rFonts w:hint="eastAsia" w:ascii="宋体" w:hAnsi="宋体" w:cs="宋体"/>
          <w:color w:val="auto"/>
          <w:szCs w:val="21"/>
          <w:highlight w:val="none"/>
        </w:rPr>
        <w:t>，</w:t>
      </w:r>
      <w:r>
        <w:rPr>
          <w:rFonts w:hint="eastAsia" w:ascii="宋体" w:hAnsi="宋体" w:cs="宋体"/>
          <w:snapToGrid w:val="0"/>
          <w:color w:val="auto"/>
          <w:kern w:val="0"/>
          <w:szCs w:val="21"/>
          <w:highlight w:val="none"/>
        </w:rPr>
        <w:t>该工程</w:t>
      </w:r>
      <w:r>
        <w:rPr>
          <w:rFonts w:hint="eastAsia" w:ascii="宋体" w:hAnsi="宋体" w:cs="宋体"/>
          <w:snapToGrid w:val="0"/>
          <w:color w:val="auto"/>
          <w:kern w:val="0"/>
          <w:highlight w:val="none"/>
        </w:rPr>
        <w:t>项目经理为</w:t>
      </w:r>
      <w:r>
        <w:rPr>
          <w:rFonts w:hint="eastAsia" w:ascii="宋体" w:hAnsi="宋体" w:cs="宋体"/>
          <w:snapToGrid w:val="0"/>
          <w:color w:val="auto"/>
          <w:kern w:val="0"/>
          <w:highlight w:val="none"/>
          <w:u w:val="single"/>
        </w:rPr>
        <w:t xml:space="preserve">        </w:t>
      </w:r>
      <w:r>
        <w:rPr>
          <w:rFonts w:hint="eastAsia" w:ascii="宋体" w:hAnsi="宋体" w:cs="宋体"/>
          <w:snapToGrid w:val="0"/>
          <w:color w:val="auto"/>
          <w:kern w:val="0"/>
          <w:highlight w:val="none"/>
        </w:rPr>
        <w:t>，项目总工为</w:t>
      </w:r>
      <w:r>
        <w:rPr>
          <w:rFonts w:hint="eastAsia" w:ascii="宋体" w:hAnsi="宋体" w:cs="宋体"/>
          <w:snapToGrid w:val="0"/>
          <w:color w:val="auto"/>
          <w:kern w:val="0"/>
          <w:highlight w:val="none"/>
          <w:u w:val="single"/>
        </w:rPr>
        <w:t xml:space="preserve">        </w:t>
      </w:r>
      <w:r>
        <w:rPr>
          <w:rFonts w:hint="eastAsia" w:ascii="宋体" w:hAnsi="宋体" w:cs="宋体"/>
          <w:snapToGrid w:val="0"/>
          <w:color w:val="auto"/>
          <w:kern w:val="0"/>
          <w:szCs w:val="21"/>
          <w:highlight w:val="none"/>
        </w:rPr>
        <w:t>。</w:t>
      </w:r>
      <w:r>
        <w:rPr>
          <w:rFonts w:hint="eastAsia" w:ascii="宋体" w:hAnsi="宋体" w:cs="宋体"/>
          <w:color w:val="auto"/>
          <w:szCs w:val="21"/>
          <w:highlight w:val="none"/>
        </w:rPr>
        <w:t>工期：</w:t>
      </w:r>
      <w:r>
        <w:rPr>
          <w:rFonts w:hint="eastAsia" w:ascii="宋体" w:hAnsi="宋体" w:cs="宋体"/>
          <w:color w:val="auto"/>
          <w:szCs w:val="21"/>
          <w:highlight w:val="none"/>
          <w:u w:val="single"/>
        </w:rPr>
        <w:t>满足</w:t>
      </w:r>
      <w:r>
        <w:rPr>
          <w:rFonts w:hint="eastAsia" w:ascii="宋体" w:hAnsi="宋体" w:cs="宋体"/>
          <w:color w:val="auto"/>
          <w:szCs w:val="21"/>
          <w:highlight w:val="none"/>
          <w:u w:val="single"/>
          <w:lang w:eastAsia="zh-CN"/>
        </w:rPr>
        <w:t>比选文件</w:t>
      </w:r>
      <w:r>
        <w:rPr>
          <w:rFonts w:hint="eastAsia" w:ascii="宋体" w:hAnsi="宋体" w:cs="宋体"/>
          <w:color w:val="auto"/>
          <w:szCs w:val="21"/>
          <w:highlight w:val="none"/>
          <w:u w:val="single"/>
        </w:rPr>
        <w:t>要求</w:t>
      </w:r>
      <w:r>
        <w:rPr>
          <w:rFonts w:hint="eastAsia" w:ascii="宋体" w:hAnsi="宋体" w:cs="宋体"/>
          <w:color w:val="auto"/>
          <w:szCs w:val="21"/>
          <w:highlight w:val="none"/>
        </w:rPr>
        <w:t>，缺陷责任期：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，按合同约定实施和完成承包工程，修补工程中的任何缺陷， 工程质量：</w:t>
      </w:r>
      <w:r>
        <w:rPr>
          <w:rFonts w:hint="eastAsia" w:ascii="宋体" w:hAnsi="宋体" w:cs="宋体"/>
          <w:color w:val="auto"/>
          <w:szCs w:val="21"/>
          <w:highlight w:val="none"/>
          <w:u w:val="single"/>
        </w:rPr>
        <w:t>满足</w:t>
      </w:r>
      <w:r>
        <w:rPr>
          <w:rFonts w:hint="eastAsia" w:ascii="宋体" w:hAnsi="宋体" w:cs="宋体"/>
          <w:color w:val="auto"/>
          <w:szCs w:val="21"/>
          <w:highlight w:val="none"/>
          <w:u w:val="single"/>
          <w:lang w:eastAsia="zh-CN"/>
        </w:rPr>
        <w:t>比选文件</w:t>
      </w:r>
      <w:r>
        <w:rPr>
          <w:rFonts w:hint="eastAsia" w:ascii="宋体" w:hAnsi="宋体" w:cs="宋体"/>
          <w:color w:val="auto"/>
          <w:szCs w:val="21"/>
          <w:highlight w:val="none"/>
          <w:u w:val="single"/>
        </w:rPr>
        <w:t>要求</w:t>
      </w:r>
      <w:r>
        <w:rPr>
          <w:rFonts w:hint="eastAsia" w:ascii="宋体" w:hAnsi="宋体" w:cs="宋体"/>
          <w:color w:val="auto"/>
          <w:szCs w:val="21"/>
          <w:highlight w:val="none"/>
        </w:rPr>
        <w:t>，安全目标：</w:t>
      </w:r>
      <w:r>
        <w:rPr>
          <w:rFonts w:hint="eastAsia" w:ascii="宋体" w:hAnsi="宋体" w:cs="宋体"/>
          <w:color w:val="auto"/>
          <w:szCs w:val="21"/>
          <w:highlight w:val="none"/>
          <w:u w:val="single"/>
        </w:rPr>
        <w:t>满足</w:t>
      </w:r>
      <w:r>
        <w:rPr>
          <w:rFonts w:hint="eastAsia" w:ascii="宋体" w:hAnsi="宋体" w:cs="宋体"/>
          <w:color w:val="auto"/>
          <w:szCs w:val="21"/>
          <w:highlight w:val="none"/>
          <w:u w:val="single"/>
          <w:lang w:eastAsia="zh-CN"/>
        </w:rPr>
        <w:t>比选文件</w:t>
      </w:r>
      <w:r>
        <w:rPr>
          <w:rFonts w:hint="eastAsia" w:ascii="宋体" w:hAnsi="宋体" w:cs="宋体"/>
          <w:color w:val="auto"/>
          <w:szCs w:val="21"/>
          <w:highlight w:val="none"/>
          <w:u w:val="single"/>
        </w:rPr>
        <w:t>要求</w:t>
      </w:r>
      <w:r>
        <w:rPr>
          <w:rFonts w:hint="eastAsia" w:ascii="宋体" w:hAnsi="宋体" w:cs="宋体"/>
          <w:color w:val="auto"/>
          <w:szCs w:val="21"/>
          <w:highlight w:val="none"/>
        </w:rPr>
        <w:t>。</w:t>
      </w:r>
    </w:p>
    <w:p w14:paraId="5D4F0EEE">
      <w:pPr>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2. 我方承诺响应</w:t>
      </w:r>
      <w:r>
        <w:rPr>
          <w:rFonts w:hint="eastAsia" w:ascii="宋体" w:hAnsi="宋体" w:cs="宋体"/>
          <w:snapToGrid w:val="0"/>
          <w:color w:val="auto"/>
          <w:kern w:val="0"/>
          <w:szCs w:val="21"/>
          <w:highlight w:val="none"/>
          <w:lang w:eastAsia="zh-CN"/>
        </w:rPr>
        <w:t>比选文件</w:t>
      </w:r>
      <w:r>
        <w:rPr>
          <w:rFonts w:hint="eastAsia" w:ascii="宋体" w:hAnsi="宋体" w:cs="宋体"/>
          <w:snapToGrid w:val="0"/>
          <w:color w:val="auto"/>
          <w:kern w:val="0"/>
          <w:szCs w:val="21"/>
          <w:highlight w:val="none"/>
        </w:rPr>
        <w:t>规定的</w:t>
      </w:r>
      <w:r>
        <w:rPr>
          <w:rFonts w:hint="eastAsia" w:ascii="宋体" w:hAnsi="宋体" w:cs="宋体"/>
          <w:snapToGrid w:val="0"/>
          <w:color w:val="auto"/>
          <w:kern w:val="0"/>
          <w:szCs w:val="21"/>
          <w:highlight w:val="none"/>
          <w:lang w:eastAsia="zh-CN"/>
        </w:rPr>
        <w:t>比选有效期</w:t>
      </w:r>
      <w:r>
        <w:rPr>
          <w:rFonts w:hint="eastAsia" w:ascii="宋体" w:hAnsi="宋体" w:cs="宋体"/>
          <w:snapToGrid w:val="0"/>
          <w:color w:val="auto"/>
          <w:kern w:val="0"/>
          <w:szCs w:val="21"/>
          <w:highlight w:val="none"/>
        </w:rPr>
        <w:t>，在</w:t>
      </w:r>
      <w:r>
        <w:rPr>
          <w:rFonts w:hint="eastAsia" w:ascii="宋体" w:hAnsi="宋体" w:cs="宋体"/>
          <w:snapToGrid w:val="0"/>
          <w:color w:val="auto"/>
          <w:kern w:val="0"/>
          <w:szCs w:val="21"/>
          <w:highlight w:val="none"/>
          <w:lang w:eastAsia="zh-CN"/>
        </w:rPr>
        <w:t>比选有效期</w:t>
      </w:r>
      <w:r>
        <w:rPr>
          <w:rFonts w:hint="eastAsia" w:ascii="宋体" w:hAnsi="宋体" w:cs="宋体"/>
          <w:snapToGrid w:val="0"/>
          <w:color w:val="auto"/>
          <w:kern w:val="0"/>
          <w:szCs w:val="21"/>
          <w:highlight w:val="none"/>
        </w:rPr>
        <w:t>内不修改、撤销</w:t>
      </w:r>
      <w:r>
        <w:rPr>
          <w:rFonts w:hint="eastAsia" w:ascii="宋体" w:hAnsi="宋体" w:cs="宋体"/>
          <w:snapToGrid w:val="0"/>
          <w:color w:val="auto"/>
          <w:kern w:val="0"/>
          <w:szCs w:val="21"/>
          <w:highlight w:val="none"/>
          <w:lang w:eastAsia="zh-CN"/>
        </w:rPr>
        <w:t>响应文件</w:t>
      </w:r>
      <w:r>
        <w:rPr>
          <w:rFonts w:hint="eastAsia" w:ascii="宋体" w:hAnsi="宋体" w:cs="宋体"/>
          <w:snapToGrid w:val="0"/>
          <w:color w:val="auto"/>
          <w:kern w:val="0"/>
          <w:szCs w:val="21"/>
          <w:highlight w:val="none"/>
        </w:rPr>
        <w:t>。</w:t>
      </w:r>
    </w:p>
    <w:p w14:paraId="7CE43D87">
      <w:pPr>
        <w:tabs>
          <w:tab w:val="left" w:pos="2730"/>
          <w:tab w:val="left" w:pos="7980"/>
        </w:tabs>
        <w:autoSpaceDE w:val="0"/>
        <w:autoSpaceDN w:val="0"/>
        <w:adjustRightInd w:val="0"/>
        <w:spacing w:line="380" w:lineRule="exact"/>
        <w:ind w:firstLine="420" w:firstLineChars="200"/>
        <w:rPr>
          <w:rFonts w:ascii="宋体" w:hAnsi="宋体" w:cs="宋体"/>
          <w:snapToGrid w:val="0"/>
          <w:color w:val="auto"/>
          <w:kern w:val="0"/>
          <w:sz w:val="10"/>
          <w:szCs w:val="10"/>
          <w:highlight w:val="none"/>
        </w:rPr>
      </w:pPr>
      <w:r>
        <w:rPr>
          <w:rFonts w:hint="eastAsia" w:ascii="宋体" w:hAnsi="宋体" w:cs="宋体"/>
          <w:snapToGrid w:val="0"/>
          <w:color w:val="auto"/>
          <w:kern w:val="0"/>
          <w:szCs w:val="21"/>
          <w:highlight w:val="none"/>
        </w:rPr>
        <w:t>3. 随同本</w:t>
      </w:r>
      <w:r>
        <w:rPr>
          <w:rFonts w:hint="eastAsia" w:ascii="宋体" w:hAnsi="宋体" w:cs="宋体"/>
          <w:snapToGrid w:val="0"/>
          <w:color w:val="auto"/>
          <w:kern w:val="0"/>
          <w:szCs w:val="21"/>
          <w:highlight w:val="none"/>
          <w:lang w:eastAsia="zh-CN"/>
        </w:rPr>
        <w:t>比选函</w:t>
      </w:r>
      <w:r>
        <w:rPr>
          <w:rFonts w:hint="eastAsia" w:ascii="宋体" w:hAnsi="宋体" w:cs="宋体"/>
          <w:snapToGrid w:val="0"/>
          <w:color w:val="auto"/>
          <w:kern w:val="0"/>
          <w:szCs w:val="21"/>
          <w:highlight w:val="none"/>
        </w:rPr>
        <w:t>提交</w:t>
      </w:r>
      <w:r>
        <w:rPr>
          <w:rFonts w:hint="eastAsia" w:ascii="宋体" w:hAnsi="宋体" w:cs="宋体"/>
          <w:snapToGrid w:val="0"/>
          <w:color w:val="auto"/>
          <w:kern w:val="0"/>
          <w:szCs w:val="21"/>
          <w:highlight w:val="none"/>
          <w:lang w:eastAsia="zh-CN"/>
        </w:rPr>
        <w:t>比选保证金</w:t>
      </w:r>
      <w:r>
        <w:rPr>
          <w:rFonts w:hint="eastAsia" w:ascii="宋体" w:hAnsi="宋体" w:cs="宋体"/>
          <w:snapToGrid w:val="0"/>
          <w:color w:val="auto"/>
          <w:kern w:val="0"/>
          <w:szCs w:val="21"/>
          <w:highlight w:val="none"/>
        </w:rPr>
        <w:t>一份，金额为人民币（大写）</w:t>
      </w:r>
      <w:r>
        <w:rPr>
          <w:rFonts w:hint="eastAsia" w:ascii="宋体" w:hAnsi="宋体" w:cs="宋体"/>
          <w:color w:val="auto"/>
          <w:szCs w:val="21"/>
          <w:highlight w:val="none"/>
          <w:u w:val="single"/>
        </w:rPr>
        <w:t xml:space="preserve">　　　      </w:t>
      </w:r>
      <w:r>
        <w:rPr>
          <w:rFonts w:hint="eastAsia" w:ascii="宋体" w:hAnsi="宋体" w:cs="宋体"/>
          <w:snapToGrid w:val="0"/>
          <w:color w:val="auto"/>
          <w:kern w:val="0"/>
          <w:szCs w:val="21"/>
          <w:highlight w:val="none"/>
        </w:rPr>
        <w:t>（¥</w:t>
      </w:r>
      <w:r>
        <w:rPr>
          <w:rFonts w:hint="eastAsia" w:ascii="宋体" w:hAnsi="宋体" w:cs="宋体"/>
          <w:color w:val="auto"/>
          <w:szCs w:val="21"/>
          <w:highlight w:val="none"/>
          <w:u w:val="single"/>
        </w:rPr>
        <w:t>　　　</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lang w:eastAsia="zh-CN"/>
        </w:rPr>
        <w:t>比选保证金</w:t>
      </w:r>
      <w:r>
        <w:rPr>
          <w:rFonts w:hint="eastAsia" w:ascii="宋体" w:hAnsi="宋体" w:cs="宋体"/>
          <w:snapToGrid w:val="0"/>
          <w:color w:val="auto"/>
          <w:kern w:val="0"/>
          <w:szCs w:val="21"/>
          <w:highlight w:val="none"/>
        </w:rPr>
        <w:t>有效期与</w:t>
      </w:r>
      <w:r>
        <w:rPr>
          <w:rFonts w:hint="eastAsia" w:ascii="宋体" w:hAnsi="宋体" w:cs="宋体"/>
          <w:snapToGrid w:val="0"/>
          <w:color w:val="auto"/>
          <w:kern w:val="0"/>
          <w:szCs w:val="21"/>
          <w:highlight w:val="none"/>
          <w:lang w:eastAsia="zh-CN"/>
        </w:rPr>
        <w:t>比选有效期</w:t>
      </w:r>
      <w:r>
        <w:rPr>
          <w:rFonts w:hint="eastAsia" w:ascii="宋体" w:hAnsi="宋体" w:cs="宋体"/>
          <w:snapToGrid w:val="0"/>
          <w:color w:val="auto"/>
          <w:kern w:val="0"/>
          <w:szCs w:val="21"/>
          <w:highlight w:val="none"/>
        </w:rPr>
        <w:t>一致，在此期间，若我方违反招投标有关法律、法规及本</w:t>
      </w:r>
      <w:r>
        <w:rPr>
          <w:rFonts w:hint="eastAsia" w:ascii="宋体" w:hAnsi="宋体" w:cs="宋体"/>
          <w:snapToGrid w:val="0"/>
          <w:color w:val="auto"/>
          <w:kern w:val="0"/>
          <w:szCs w:val="21"/>
          <w:highlight w:val="none"/>
          <w:lang w:eastAsia="zh-CN"/>
        </w:rPr>
        <w:t>比选文件</w:t>
      </w:r>
      <w:r>
        <w:rPr>
          <w:rFonts w:hint="eastAsia" w:ascii="宋体" w:hAnsi="宋体" w:cs="宋体"/>
          <w:snapToGrid w:val="0"/>
          <w:color w:val="auto"/>
          <w:kern w:val="0"/>
          <w:szCs w:val="21"/>
          <w:highlight w:val="none"/>
        </w:rPr>
        <w:t>的相关规定，</w:t>
      </w:r>
      <w:r>
        <w:rPr>
          <w:rFonts w:hint="eastAsia" w:ascii="宋体" w:hAnsi="宋体" w:cs="宋体"/>
          <w:snapToGrid w:val="0"/>
          <w:color w:val="auto"/>
          <w:kern w:val="0"/>
          <w:szCs w:val="21"/>
          <w:highlight w:val="none"/>
          <w:lang w:eastAsia="zh-CN"/>
        </w:rPr>
        <w:t>比选保证金</w:t>
      </w:r>
      <w:r>
        <w:rPr>
          <w:rFonts w:hint="eastAsia" w:ascii="宋体" w:hAnsi="宋体" w:cs="宋体"/>
          <w:snapToGrid w:val="0"/>
          <w:color w:val="auto"/>
          <w:kern w:val="0"/>
          <w:szCs w:val="21"/>
          <w:highlight w:val="none"/>
        </w:rPr>
        <w:t>的受益人为</w:t>
      </w:r>
      <w:r>
        <w:rPr>
          <w:rFonts w:hint="eastAsia" w:ascii="宋体" w:hAnsi="宋体" w:cs="宋体"/>
          <w:snapToGrid w:val="0"/>
          <w:color w:val="auto"/>
          <w:kern w:val="0"/>
          <w:szCs w:val="21"/>
          <w:highlight w:val="none"/>
          <w:lang w:eastAsia="zh-CN"/>
        </w:rPr>
        <w:t>采购人</w:t>
      </w:r>
      <w:r>
        <w:rPr>
          <w:rFonts w:hint="eastAsia" w:ascii="宋体" w:hAnsi="宋体" w:cs="宋体"/>
          <w:snapToGrid w:val="0"/>
          <w:color w:val="auto"/>
          <w:kern w:val="0"/>
          <w:szCs w:val="21"/>
          <w:highlight w:val="none"/>
        </w:rPr>
        <w:t>。</w:t>
      </w:r>
    </w:p>
    <w:p w14:paraId="14467508">
      <w:pPr>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4. 如我方</w:t>
      </w:r>
      <w:r>
        <w:rPr>
          <w:rFonts w:hint="eastAsia" w:ascii="宋体" w:hAnsi="宋体" w:cs="宋体"/>
          <w:snapToGrid w:val="0"/>
          <w:color w:val="auto"/>
          <w:kern w:val="0"/>
          <w:szCs w:val="21"/>
          <w:highlight w:val="none"/>
          <w:lang w:eastAsia="zh-CN"/>
        </w:rPr>
        <w:t>中选</w:t>
      </w:r>
      <w:r>
        <w:rPr>
          <w:rFonts w:hint="eastAsia" w:ascii="宋体" w:hAnsi="宋体" w:cs="宋体"/>
          <w:snapToGrid w:val="0"/>
          <w:color w:val="auto"/>
          <w:kern w:val="0"/>
          <w:szCs w:val="21"/>
          <w:highlight w:val="none"/>
        </w:rPr>
        <w:t>：</w:t>
      </w:r>
    </w:p>
    <w:p w14:paraId="3C3EFF83">
      <w:pPr>
        <w:autoSpaceDE w:val="0"/>
        <w:autoSpaceDN w:val="0"/>
        <w:adjustRightInd w:val="0"/>
        <w:spacing w:line="380" w:lineRule="exact"/>
        <w:ind w:firstLine="420" w:firstLineChars="200"/>
        <w:rPr>
          <w:rFonts w:ascii="宋体" w:hAnsi="宋体" w:cs="宋体"/>
          <w:snapToGrid w:val="0"/>
          <w:color w:val="auto"/>
          <w:kern w:val="0"/>
          <w:sz w:val="10"/>
          <w:szCs w:val="10"/>
          <w:highlight w:val="none"/>
        </w:rPr>
      </w:pPr>
      <w:r>
        <w:rPr>
          <w:rFonts w:hint="eastAsia" w:ascii="宋体" w:hAnsi="宋体" w:cs="宋体"/>
          <w:snapToGrid w:val="0"/>
          <w:color w:val="auto"/>
          <w:kern w:val="0"/>
          <w:szCs w:val="21"/>
          <w:highlight w:val="none"/>
        </w:rPr>
        <w:t>（1）我方承诺在收到</w:t>
      </w:r>
      <w:r>
        <w:rPr>
          <w:rFonts w:hint="eastAsia" w:ascii="宋体" w:hAnsi="宋体" w:cs="宋体"/>
          <w:snapToGrid w:val="0"/>
          <w:color w:val="auto"/>
          <w:kern w:val="0"/>
          <w:szCs w:val="21"/>
          <w:highlight w:val="none"/>
          <w:lang w:eastAsia="zh-CN"/>
        </w:rPr>
        <w:t>中选</w:t>
      </w:r>
      <w:r>
        <w:rPr>
          <w:rFonts w:hint="eastAsia" w:ascii="宋体" w:hAnsi="宋体" w:cs="宋体"/>
          <w:snapToGrid w:val="0"/>
          <w:color w:val="auto"/>
          <w:kern w:val="0"/>
          <w:szCs w:val="21"/>
          <w:highlight w:val="none"/>
        </w:rPr>
        <w:t>通知书后，在</w:t>
      </w:r>
      <w:r>
        <w:rPr>
          <w:rFonts w:hint="eastAsia" w:ascii="宋体" w:hAnsi="宋体" w:cs="宋体"/>
          <w:snapToGrid w:val="0"/>
          <w:color w:val="auto"/>
          <w:kern w:val="0"/>
          <w:szCs w:val="21"/>
          <w:highlight w:val="none"/>
          <w:lang w:eastAsia="zh-CN"/>
        </w:rPr>
        <w:t>中选</w:t>
      </w:r>
      <w:r>
        <w:rPr>
          <w:rFonts w:hint="eastAsia" w:ascii="宋体" w:hAnsi="宋体" w:cs="宋体"/>
          <w:snapToGrid w:val="0"/>
          <w:color w:val="auto"/>
          <w:kern w:val="0"/>
          <w:szCs w:val="21"/>
          <w:highlight w:val="none"/>
        </w:rPr>
        <w:t>通知书规定的期限内与你方签订合同。</w:t>
      </w:r>
    </w:p>
    <w:p w14:paraId="32F56610">
      <w:pPr>
        <w:autoSpaceDE w:val="0"/>
        <w:autoSpaceDN w:val="0"/>
        <w:adjustRightInd w:val="0"/>
        <w:spacing w:line="380" w:lineRule="exact"/>
        <w:ind w:firstLine="420" w:firstLineChars="200"/>
        <w:rPr>
          <w:rFonts w:ascii="宋体" w:hAnsi="宋体" w:cs="宋体"/>
          <w:snapToGrid w:val="0"/>
          <w:color w:val="auto"/>
          <w:kern w:val="0"/>
          <w:sz w:val="10"/>
          <w:szCs w:val="10"/>
          <w:highlight w:val="none"/>
        </w:rPr>
      </w:pPr>
      <w:r>
        <w:rPr>
          <w:rFonts w:hint="eastAsia" w:ascii="宋体" w:hAnsi="宋体" w:cs="宋体"/>
          <w:snapToGrid w:val="0"/>
          <w:color w:val="auto"/>
          <w:kern w:val="0"/>
          <w:szCs w:val="21"/>
          <w:highlight w:val="none"/>
        </w:rPr>
        <w:t>（2）随同本</w:t>
      </w:r>
      <w:r>
        <w:rPr>
          <w:rFonts w:hint="eastAsia" w:ascii="宋体" w:hAnsi="宋体" w:cs="宋体"/>
          <w:snapToGrid w:val="0"/>
          <w:color w:val="auto"/>
          <w:kern w:val="0"/>
          <w:szCs w:val="21"/>
          <w:highlight w:val="none"/>
          <w:lang w:eastAsia="zh-CN"/>
        </w:rPr>
        <w:t>比选函</w:t>
      </w:r>
      <w:r>
        <w:rPr>
          <w:rFonts w:hint="eastAsia" w:ascii="宋体" w:hAnsi="宋体" w:cs="宋体"/>
          <w:snapToGrid w:val="0"/>
          <w:color w:val="auto"/>
          <w:kern w:val="0"/>
          <w:szCs w:val="21"/>
          <w:highlight w:val="none"/>
        </w:rPr>
        <w:t>递交的</w:t>
      </w:r>
      <w:r>
        <w:rPr>
          <w:rFonts w:hint="eastAsia" w:ascii="宋体" w:hAnsi="宋体" w:cs="宋体"/>
          <w:snapToGrid w:val="0"/>
          <w:color w:val="auto"/>
          <w:kern w:val="0"/>
          <w:szCs w:val="21"/>
          <w:highlight w:val="none"/>
          <w:lang w:eastAsia="zh-CN"/>
        </w:rPr>
        <w:t>比选函</w:t>
      </w:r>
      <w:r>
        <w:rPr>
          <w:rFonts w:hint="eastAsia" w:ascii="宋体" w:hAnsi="宋体" w:cs="宋体"/>
          <w:snapToGrid w:val="0"/>
          <w:color w:val="auto"/>
          <w:kern w:val="0"/>
          <w:szCs w:val="21"/>
          <w:highlight w:val="none"/>
        </w:rPr>
        <w:t>附录属于合同文件的组成部分。</w:t>
      </w:r>
    </w:p>
    <w:p w14:paraId="1057A928">
      <w:pPr>
        <w:autoSpaceDE w:val="0"/>
        <w:autoSpaceDN w:val="0"/>
        <w:adjustRightInd w:val="0"/>
        <w:spacing w:line="380" w:lineRule="exact"/>
        <w:ind w:firstLine="420" w:firstLineChars="200"/>
        <w:rPr>
          <w:rFonts w:ascii="宋体" w:hAnsi="宋体" w:cs="宋体"/>
          <w:snapToGrid w:val="0"/>
          <w:color w:val="auto"/>
          <w:kern w:val="0"/>
          <w:sz w:val="10"/>
          <w:szCs w:val="10"/>
          <w:highlight w:val="none"/>
        </w:rPr>
      </w:pPr>
      <w:r>
        <w:rPr>
          <w:rFonts w:hint="eastAsia" w:ascii="宋体" w:hAnsi="宋体" w:cs="宋体"/>
          <w:snapToGrid w:val="0"/>
          <w:color w:val="auto"/>
          <w:kern w:val="0"/>
          <w:szCs w:val="21"/>
          <w:highlight w:val="none"/>
        </w:rPr>
        <w:t>（3）我方承诺按照</w:t>
      </w:r>
      <w:r>
        <w:rPr>
          <w:rFonts w:hint="eastAsia" w:ascii="宋体" w:hAnsi="宋体" w:cs="宋体"/>
          <w:snapToGrid w:val="0"/>
          <w:color w:val="auto"/>
          <w:kern w:val="0"/>
          <w:szCs w:val="21"/>
          <w:highlight w:val="none"/>
          <w:lang w:eastAsia="zh-CN"/>
        </w:rPr>
        <w:t>比选文件</w:t>
      </w:r>
      <w:r>
        <w:rPr>
          <w:rFonts w:hint="eastAsia" w:ascii="宋体" w:hAnsi="宋体" w:cs="宋体"/>
          <w:snapToGrid w:val="0"/>
          <w:color w:val="auto"/>
          <w:kern w:val="0"/>
          <w:szCs w:val="21"/>
          <w:highlight w:val="none"/>
        </w:rPr>
        <w:t>规定向你方递交履约担保。</w:t>
      </w:r>
    </w:p>
    <w:p w14:paraId="3AE57381">
      <w:pPr>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（4）我方承诺在合同约定的期限内完成并移交全部合同工程。</w:t>
      </w:r>
    </w:p>
    <w:p w14:paraId="6B1CFCCE">
      <w:pPr>
        <w:autoSpaceDE w:val="0"/>
        <w:autoSpaceDN w:val="0"/>
        <w:adjustRightInd w:val="0"/>
        <w:spacing w:line="380" w:lineRule="exact"/>
        <w:ind w:firstLine="420" w:firstLineChars="200"/>
        <w:rPr>
          <w:rFonts w:ascii="宋体" w:hAnsi="宋体" w:cs="宋体"/>
          <w:snapToGrid w:val="0"/>
          <w:color w:val="auto"/>
          <w:kern w:val="0"/>
          <w:sz w:val="10"/>
          <w:szCs w:val="10"/>
          <w:highlight w:val="none"/>
        </w:rPr>
      </w:pPr>
      <w:r>
        <w:rPr>
          <w:rFonts w:hint="eastAsia" w:ascii="宋体" w:hAnsi="宋体" w:cs="宋体"/>
          <w:snapToGrid w:val="0"/>
          <w:color w:val="auto"/>
          <w:kern w:val="0"/>
          <w:szCs w:val="21"/>
          <w:highlight w:val="none"/>
        </w:rPr>
        <w:t>（5）我方承诺以不低于</w:t>
      </w:r>
      <w:r>
        <w:rPr>
          <w:rFonts w:hint="eastAsia" w:ascii="宋体" w:hAnsi="宋体" w:cs="宋体"/>
          <w:snapToGrid w:val="0"/>
          <w:color w:val="auto"/>
          <w:kern w:val="0"/>
          <w:szCs w:val="21"/>
          <w:highlight w:val="none"/>
          <w:lang w:eastAsia="zh-CN"/>
        </w:rPr>
        <w:t>比选文件</w:t>
      </w:r>
      <w:r>
        <w:rPr>
          <w:rFonts w:hint="eastAsia" w:ascii="宋体" w:hAnsi="宋体" w:cs="宋体"/>
          <w:snapToGrid w:val="0"/>
          <w:color w:val="auto"/>
          <w:kern w:val="0"/>
          <w:szCs w:val="21"/>
          <w:highlight w:val="none"/>
        </w:rPr>
        <w:t>第七章 技术标准和要求中所列的技术指标和参数要求完成全部合同工程。</w:t>
      </w:r>
    </w:p>
    <w:p w14:paraId="6C59714E">
      <w:pPr>
        <w:autoSpaceDE w:val="0"/>
        <w:autoSpaceDN w:val="0"/>
        <w:adjustRightInd w:val="0"/>
        <w:spacing w:line="380" w:lineRule="exact"/>
        <w:ind w:firstLine="420" w:firstLineChars="200"/>
        <w:rPr>
          <w:rFonts w:ascii="宋体" w:hAnsi="宋体" w:cs="宋体"/>
          <w:snapToGrid w:val="0"/>
          <w:color w:val="auto"/>
          <w:kern w:val="0"/>
          <w:szCs w:val="21"/>
          <w:highlight w:val="none"/>
          <w:u w:val="single"/>
        </w:rPr>
      </w:pPr>
      <w:r>
        <w:rPr>
          <w:rFonts w:hint="eastAsia" w:ascii="宋体" w:hAnsi="宋体" w:cs="宋体"/>
          <w:snapToGrid w:val="0"/>
          <w:color w:val="auto"/>
          <w:kern w:val="0"/>
          <w:szCs w:val="21"/>
          <w:highlight w:val="none"/>
        </w:rPr>
        <w:t>5. 我方</w:t>
      </w:r>
      <w:r>
        <w:rPr>
          <w:rFonts w:hint="eastAsia" w:ascii="宋体" w:hAnsi="宋体" w:cs="宋体"/>
          <w:snapToGrid w:val="0"/>
          <w:color w:val="auto"/>
          <w:spacing w:val="-2"/>
          <w:kern w:val="0"/>
          <w:szCs w:val="21"/>
          <w:highlight w:val="none"/>
        </w:rPr>
        <w:t>在此声明，所递交的</w:t>
      </w:r>
      <w:r>
        <w:rPr>
          <w:rFonts w:hint="eastAsia" w:ascii="宋体" w:hAnsi="宋体" w:cs="宋体"/>
          <w:snapToGrid w:val="0"/>
          <w:color w:val="auto"/>
          <w:spacing w:val="-2"/>
          <w:kern w:val="0"/>
          <w:szCs w:val="21"/>
          <w:highlight w:val="none"/>
          <w:lang w:eastAsia="zh-CN"/>
        </w:rPr>
        <w:t>响应文件</w:t>
      </w:r>
      <w:r>
        <w:rPr>
          <w:rFonts w:hint="eastAsia" w:ascii="宋体" w:hAnsi="宋体" w:cs="宋体"/>
          <w:snapToGrid w:val="0"/>
          <w:color w:val="auto"/>
          <w:spacing w:val="-2"/>
          <w:kern w:val="0"/>
          <w:szCs w:val="21"/>
          <w:highlight w:val="none"/>
        </w:rPr>
        <w:t>及有关资料内容完整、真实和准确，</w:t>
      </w:r>
      <w:r>
        <w:rPr>
          <w:rFonts w:hint="eastAsia" w:ascii="宋体" w:hAnsi="宋体" w:cs="宋体"/>
          <w:snapToGrid w:val="0"/>
          <w:color w:val="auto"/>
          <w:kern w:val="0"/>
          <w:szCs w:val="21"/>
          <w:highlight w:val="none"/>
        </w:rPr>
        <w:t>同时我方承诺接受</w:t>
      </w:r>
      <w:r>
        <w:rPr>
          <w:rFonts w:hint="eastAsia" w:ascii="宋体" w:hAnsi="宋体" w:cs="宋体"/>
          <w:snapToGrid w:val="0"/>
          <w:color w:val="auto"/>
          <w:kern w:val="0"/>
          <w:szCs w:val="21"/>
          <w:highlight w:val="none"/>
          <w:lang w:eastAsia="zh-CN"/>
        </w:rPr>
        <w:t>比选文件</w:t>
      </w:r>
      <w:r>
        <w:rPr>
          <w:rFonts w:hint="eastAsia" w:ascii="宋体" w:hAnsi="宋体" w:cs="宋体"/>
          <w:snapToGrid w:val="0"/>
          <w:color w:val="auto"/>
          <w:kern w:val="0"/>
          <w:szCs w:val="21"/>
          <w:highlight w:val="none"/>
        </w:rPr>
        <w:t>及附件、澄清及修改通知中所有的内容。</w:t>
      </w:r>
    </w:p>
    <w:p w14:paraId="645CEEBC">
      <w:pPr>
        <w:tabs>
          <w:tab w:val="left" w:pos="5985"/>
        </w:tabs>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6. </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（其他补充说明）</w:t>
      </w:r>
      <w:r>
        <w:rPr>
          <w:rFonts w:hint="eastAsia" w:ascii="宋体" w:hAnsi="宋体" w:cs="宋体"/>
          <w:snapToGrid w:val="0"/>
          <w:color w:val="auto"/>
          <w:kern w:val="0"/>
          <w:szCs w:val="21"/>
          <w:highlight w:val="none"/>
        </w:rPr>
        <w:t>。</w:t>
      </w:r>
    </w:p>
    <w:p w14:paraId="65056770">
      <w:pPr>
        <w:tabs>
          <w:tab w:val="left" w:pos="7140"/>
          <w:tab w:val="left" w:pos="7560"/>
          <w:tab w:val="left" w:pos="8300"/>
        </w:tabs>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lang w:val="en-US" w:eastAsia="zh-CN"/>
        </w:rPr>
        <w:t>供 应 商</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 xml:space="preserve">（盖单位法人章） </w:t>
      </w:r>
    </w:p>
    <w:p w14:paraId="38601ABB">
      <w:pPr>
        <w:tabs>
          <w:tab w:val="left" w:pos="7140"/>
          <w:tab w:val="left" w:pos="7560"/>
          <w:tab w:val="left" w:pos="8300"/>
        </w:tabs>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法定代表人或其委托代理人：</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（签名或盖章）</w:t>
      </w:r>
    </w:p>
    <w:p w14:paraId="6536F550">
      <w:pPr>
        <w:tabs>
          <w:tab w:val="left" w:pos="7035"/>
          <w:tab w:val="left" w:pos="7560"/>
          <w:tab w:val="left" w:pos="8300"/>
        </w:tabs>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地    址：</w:t>
      </w:r>
      <w:r>
        <w:rPr>
          <w:rFonts w:hint="eastAsia" w:ascii="宋体" w:hAnsi="宋体" w:cs="宋体"/>
          <w:snapToGrid w:val="0"/>
          <w:color w:val="auto"/>
          <w:kern w:val="0"/>
          <w:szCs w:val="21"/>
          <w:highlight w:val="none"/>
          <w:u w:val="single"/>
        </w:rPr>
        <w:t xml:space="preserve">                                                                             </w:t>
      </w:r>
    </w:p>
    <w:p w14:paraId="50FF2B36">
      <w:pPr>
        <w:tabs>
          <w:tab w:val="left" w:pos="8300"/>
        </w:tabs>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网    址：</w:t>
      </w:r>
      <w:r>
        <w:rPr>
          <w:rFonts w:hint="eastAsia" w:ascii="宋体" w:hAnsi="宋体" w:cs="宋体"/>
          <w:snapToGrid w:val="0"/>
          <w:color w:val="auto"/>
          <w:kern w:val="0"/>
          <w:szCs w:val="21"/>
          <w:highlight w:val="none"/>
          <w:u w:val="single"/>
        </w:rPr>
        <w:t xml:space="preserve">                                                                            </w:t>
      </w:r>
    </w:p>
    <w:p w14:paraId="0F5BE458">
      <w:pPr>
        <w:tabs>
          <w:tab w:val="left" w:pos="8300"/>
        </w:tabs>
        <w:autoSpaceDE w:val="0"/>
        <w:autoSpaceDN w:val="0"/>
        <w:adjustRightInd w:val="0"/>
        <w:spacing w:line="380" w:lineRule="exact"/>
        <w:ind w:firstLine="420" w:firstLineChars="200"/>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单位电话（座机）：</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委托代理人电话（手机）：</w:t>
      </w:r>
      <w:r>
        <w:rPr>
          <w:rFonts w:hint="eastAsia" w:ascii="宋体" w:hAnsi="宋体" w:cs="宋体"/>
          <w:snapToGrid w:val="0"/>
          <w:color w:val="auto"/>
          <w:kern w:val="0"/>
          <w:szCs w:val="21"/>
          <w:highlight w:val="none"/>
          <w:u w:val="single"/>
        </w:rPr>
        <w:t xml:space="preserve">                      </w:t>
      </w:r>
    </w:p>
    <w:p w14:paraId="64A11BE1">
      <w:pPr>
        <w:tabs>
          <w:tab w:val="left" w:pos="8300"/>
        </w:tabs>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传    真：</w:t>
      </w:r>
      <w:r>
        <w:rPr>
          <w:rFonts w:hint="eastAsia" w:ascii="宋体" w:hAnsi="宋体" w:cs="宋体"/>
          <w:snapToGrid w:val="0"/>
          <w:color w:val="auto"/>
          <w:kern w:val="0"/>
          <w:szCs w:val="21"/>
          <w:highlight w:val="none"/>
          <w:u w:val="single"/>
        </w:rPr>
        <w:t xml:space="preserve">                                                                            </w:t>
      </w:r>
    </w:p>
    <w:p w14:paraId="52D78DE1">
      <w:pPr>
        <w:tabs>
          <w:tab w:val="left" w:pos="8300"/>
        </w:tabs>
        <w:autoSpaceDE w:val="0"/>
        <w:autoSpaceDN w:val="0"/>
        <w:adjustRightInd w:val="0"/>
        <w:spacing w:line="380" w:lineRule="exact"/>
        <w:ind w:firstLine="420" w:firstLineChars="200"/>
        <w:rPr>
          <w:rFonts w:ascii="宋体" w:hAnsi="宋体" w:cs="宋体"/>
          <w:snapToGrid w:val="0"/>
          <w:color w:val="auto"/>
          <w:kern w:val="0"/>
          <w:sz w:val="20"/>
          <w:szCs w:val="20"/>
          <w:highlight w:val="none"/>
        </w:rPr>
      </w:pPr>
      <w:r>
        <w:rPr>
          <w:rFonts w:hint="eastAsia" w:ascii="宋体" w:hAnsi="宋体" w:cs="宋体"/>
          <w:snapToGrid w:val="0"/>
          <w:color w:val="auto"/>
          <w:kern w:val="0"/>
          <w:szCs w:val="21"/>
          <w:highlight w:val="none"/>
        </w:rPr>
        <w:t>邮政编码：</w:t>
      </w:r>
      <w:r>
        <w:rPr>
          <w:rFonts w:hint="eastAsia" w:ascii="宋体" w:hAnsi="宋体" w:cs="宋体"/>
          <w:snapToGrid w:val="0"/>
          <w:color w:val="auto"/>
          <w:kern w:val="0"/>
          <w:szCs w:val="21"/>
          <w:highlight w:val="none"/>
          <w:u w:val="single"/>
        </w:rPr>
        <w:t xml:space="preserve">                                                                            </w:t>
      </w:r>
    </w:p>
    <w:p w14:paraId="1C508184">
      <w:pPr>
        <w:tabs>
          <w:tab w:val="left" w:pos="8300"/>
        </w:tabs>
        <w:autoSpaceDE w:val="0"/>
        <w:autoSpaceDN w:val="0"/>
        <w:adjustRightInd w:val="0"/>
        <w:spacing w:line="380" w:lineRule="exact"/>
        <w:ind w:firstLine="420" w:firstLineChars="200"/>
        <w:jc w:val="right"/>
        <w:rPr>
          <w:rFonts w:ascii="宋体" w:hAnsi="宋体" w:cs="宋体"/>
          <w:snapToGrid w:val="0"/>
          <w:color w:val="auto"/>
          <w:kern w:val="0"/>
          <w:sz w:val="20"/>
          <w:szCs w:val="20"/>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42543D76">
      <w:pPr>
        <w:pStyle w:val="5"/>
        <w:spacing w:before="0" w:line="360" w:lineRule="auto"/>
        <w:jc w:val="center"/>
        <w:rPr>
          <w:rFonts w:ascii="宋体" w:hAnsi="宋体" w:cs="宋体"/>
          <w:snapToGrid w:val="0"/>
          <w:color w:val="auto"/>
          <w:kern w:val="0"/>
          <w:szCs w:val="21"/>
          <w:highlight w:val="none"/>
        </w:rPr>
      </w:pPr>
      <w:r>
        <w:rPr>
          <w:rFonts w:hint="eastAsia" w:ascii="宋体" w:hAnsi="宋体" w:cs="宋体"/>
          <w:snapToGrid w:val="0"/>
          <w:color w:val="auto"/>
          <w:highlight w:val="none"/>
        </w:rPr>
        <w:br w:type="page"/>
      </w:r>
      <w:bookmarkStart w:id="967" w:name="_Toc2457"/>
      <w:bookmarkStart w:id="968" w:name="_Toc534185832"/>
      <w:bookmarkStart w:id="969" w:name="_Toc509218855"/>
      <w:bookmarkStart w:id="970" w:name="_Toc31823"/>
      <w:bookmarkStart w:id="971" w:name="_Toc597"/>
      <w:bookmarkStart w:id="972" w:name="_Toc6551"/>
      <w:bookmarkStart w:id="973" w:name="_Toc277082645"/>
      <w:bookmarkStart w:id="974" w:name="_Toc224103497"/>
      <w:bookmarkStart w:id="975" w:name="_Toc287620816"/>
      <w:bookmarkStart w:id="976" w:name="_Toc430530532"/>
      <w:bookmarkStart w:id="977" w:name="_Toc287607869"/>
      <w:r>
        <w:rPr>
          <w:rFonts w:hint="eastAsia" w:ascii="宋体" w:hAnsi="宋体" w:cs="宋体"/>
          <w:b w:val="0"/>
          <w:bCs w:val="0"/>
          <w:color w:val="auto"/>
          <w:highlight w:val="none"/>
        </w:rPr>
        <w:t>（二）</w:t>
      </w:r>
      <w:r>
        <w:rPr>
          <w:rFonts w:hint="eastAsia" w:ascii="宋体" w:hAnsi="宋体" w:cs="宋体"/>
          <w:b w:val="0"/>
          <w:bCs w:val="0"/>
          <w:color w:val="auto"/>
          <w:highlight w:val="none"/>
          <w:lang w:eastAsia="zh-CN"/>
        </w:rPr>
        <w:t>比选函</w:t>
      </w:r>
      <w:r>
        <w:rPr>
          <w:rFonts w:hint="eastAsia" w:ascii="宋体" w:hAnsi="宋体" w:cs="宋体"/>
          <w:b w:val="0"/>
          <w:bCs w:val="0"/>
          <w:color w:val="auto"/>
          <w:highlight w:val="none"/>
        </w:rPr>
        <w:t>附录</w:t>
      </w:r>
      <w:bookmarkEnd w:id="967"/>
      <w:bookmarkEnd w:id="968"/>
      <w:bookmarkEnd w:id="969"/>
      <w:bookmarkEnd w:id="970"/>
      <w:bookmarkEnd w:id="971"/>
      <w:bookmarkEnd w:id="972"/>
    </w:p>
    <w:tbl>
      <w:tblPr>
        <w:tblStyle w:val="34"/>
        <w:tblW w:w="7285"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429"/>
        <w:gridCol w:w="3286"/>
        <w:gridCol w:w="850"/>
      </w:tblGrid>
      <w:tr w14:paraId="72A10C7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cantSplit/>
          <w:jc w:val="center"/>
        </w:trPr>
        <w:tc>
          <w:tcPr>
            <w:tcW w:w="720" w:type="dxa"/>
          </w:tcPr>
          <w:p w14:paraId="0767F5E7">
            <w:pPr>
              <w:autoSpaceDE w:val="0"/>
              <w:autoSpaceDN w:val="0"/>
              <w:adjustRightInd w:val="0"/>
              <w:spacing w:line="360" w:lineRule="auto"/>
              <w:jc w:val="center"/>
              <w:rPr>
                <w:rFonts w:ascii="宋体" w:hAnsi="宋体" w:cs="宋体"/>
                <w:b/>
                <w:bCs/>
                <w:color w:val="auto"/>
                <w:spacing w:val="1"/>
                <w:szCs w:val="22"/>
                <w:highlight w:val="none"/>
                <w:lang w:eastAsia="en-US"/>
              </w:rPr>
            </w:pPr>
            <w:r>
              <w:rPr>
                <w:rFonts w:hint="eastAsia" w:ascii="宋体" w:hAnsi="宋体" w:cs="宋体"/>
                <w:b/>
                <w:bCs/>
                <w:color w:val="auto"/>
                <w:spacing w:val="1"/>
                <w:szCs w:val="22"/>
                <w:highlight w:val="none"/>
                <w:lang w:eastAsia="en-US"/>
              </w:rPr>
              <w:t>序号</w:t>
            </w:r>
          </w:p>
        </w:tc>
        <w:tc>
          <w:tcPr>
            <w:tcW w:w="2429" w:type="dxa"/>
          </w:tcPr>
          <w:p w14:paraId="67CAA964">
            <w:pPr>
              <w:autoSpaceDE w:val="0"/>
              <w:autoSpaceDN w:val="0"/>
              <w:adjustRightInd w:val="0"/>
              <w:spacing w:line="360" w:lineRule="auto"/>
              <w:jc w:val="center"/>
              <w:rPr>
                <w:rFonts w:ascii="宋体" w:hAnsi="宋体" w:cs="宋体"/>
                <w:b/>
                <w:bCs/>
                <w:color w:val="auto"/>
                <w:spacing w:val="1"/>
                <w:szCs w:val="22"/>
                <w:highlight w:val="none"/>
                <w:lang w:eastAsia="en-US"/>
              </w:rPr>
            </w:pPr>
            <w:r>
              <w:rPr>
                <w:rFonts w:hint="eastAsia" w:ascii="宋体" w:hAnsi="宋体" w:cs="宋体"/>
                <w:b/>
                <w:bCs/>
                <w:color w:val="auto"/>
                <w:spacing w:val="1"/>
                <w:szCs w:val="22"/>
                <w:highlight w:val="none"/>
                <w:lang w:eastAsia="en-US"/>
              </w:rPr>
              <w:t>条款名称</w:t>
            </w:r>
          </w:p>
        </w:tc>
        <w:tc>
          <w:tcPr>
            <w:tcW w:w="3286" w:type="dxa"/>
            <w:tcBorders>
              <w:left w:val="single" w:color="auto" w:sz="4" w:space="0"/>
            </w:tcBorders>
            <w:vAlign w:val="center"/>
          </w:tcPr>
          <w:p w14:paraId="24182313">
            <w:pPr>
              <w:autoSpaceDE w:val="0"/>
              <w:autoSpaceDN w:val="0"/>
              <w:adjustRightInd w:val="0"/>
              <w:spacing w:line="360" w:lineRule="auto"/>
              <w:jc w:val="center"/>
              <w:rPr>
                <w:rFonts w:ascii="宋体" w:hAnsi="宋体" w:cs="宋体"/>
                <w:b/>
                <w:bCs/>
                <w:color w:val="auto"/>
                <w:spacing w:val="1"/>
                <w:szCs w:val="22"/>
                <w:highlight w:val="none"/>
                <w:lang w:eastAsia="en-US"/>
              </w:rPr>
            </w:pPr>
            <w:r>
              <w:rPr>
                <w:rFonts w:hint="eastAsia" w:ascii="宋体" w:hAnsi="宋体" w:cs="宋体"/>
                <w:b/>
                <w:bCs/>
                <w:color w:val="auto"/>
                <w:spacing w:val="1"/>
                <w:szCs w:val="22"/>
                <w:highlight w:val="none"/>
                <w:lang w:eastAsia="en-US"/>
              </w:rPr>
              <w:t>约定内容</w:t>
            </w:r>
          </w:p>
        </w:tc>
        <w:tc>
          <w:tcPr>
            <w:tcW w:w="850" w:type="dxa"/>
            <w:vAlign w:val="center"/>
          </w:tcPr>
          <w:p w14:paraId="28289F2C">
            <w:pPr>
              <w:autoSpaceDE w:val="0"/>
              <w:autoSpaceDN w:val="0"/>
              <w:adjustRightInd w:val="0"/>
              <w:spacing w:line="360" w:lineRule="auto"/>
              <w:jc w:val="center"/>
              <w:rPr>
                <w:rFonts w:ascii="宋体" w:hAnsi="宋体" w:cs="宋体"/>
                <w:b/>
                <w:bCs/>
                <w:color w:val="auto"/>
                <w:spacing w:val="1"/>
                <w:szCs w:val="22"/>
                <w:highlight w:val="none"/>
                <w:lang w:eastAsia="en-US"/>
              </w:rPr>
            </w:pPr>
            <w:r>
              <w:rPr>
                <w:rFonts w:hint="eastAsia" w:ascii="宋体" w:hAnsi="宋体" w:cs="宋体"/>
                <w:b/>
                <w:bCs/>
                <w:color w:val="auto"/>
                <w:spacing w:val="1"/>
                <w:szCs w:val="22"/>
                <w:highlight w:val="none"/>
                <w:lang w:eastAsia="en-US"/>
              </w:rPr>
              <w:t>备注</w:t>
            </w:r>
          </w:p>
        </w:tc>
      </w:tr>
      <w:tr w14:paraId="01C9D19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7B6A0353">
            <w:pPr>
              <w:autoSpaceDE w:val="0"/>
              <w:autoSpaceDN w:val="0"/>
              <w:adjustRightInd w:val="0"/>
              <w:spacing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1</w:t>
            </w:r>
          </w:p>
        </w:tc>
        <w:tc>
          <w:tcPr>
            <w:tcW w:w="2429" w:type="dxa"/>
            <w:vAlign w:val="center"/>
          </w:tcPr>
          <w:p w14:paraId="632A4DD1">
            <w:pPr>
              <w:autoSpaceDE w:val="0"/>
              <w:autoSpaceDN w:val="0"/>
              <w:adjustRightInd w:val="0"/>
              <w:spacing w:line="400" w:lineRule="exact"/>
              <w:jc w:val="center"/>
              <w:rPr>
                <w:rFonts w:ascii="宋体" w:hAnsi="宋体" w:cs="宋体"/>
                <w:snapToGrid w:val="0"/>
                <w:color w:val="auto"/>
                <w:kern w:val="0"/>
                <w:szCs w:val="21"/>
                <w:highlight w:val="none"/>
              </w:rPr>
            </w:pPr>
            <w:r>
              <w:rPr>
                <w:rFonts w:hint="eastAsia" w:ascii="宋体" w:hAnsi="宋体" w:cs="宋体"/>
                <w:color w:val="auto"/>
                <w:spacing w:val="1"/>
                <w:szCs w:val="22"/>
                <w:highlight w:val="none"/>
                <w:lang w:eastAsia="en-US"/>
              </w:rPr>
              <w:t>缺陷责任期</w:t>
            </w:r>
          </w:p>
        </w:tc>
        <w:tc>
          <w:tcPr>
            <w:tcW w:w="3286" w:type="dxa"/>
            <w:tcBorders>
              <w:left w:val="single" w:color="auto" w:sz="4" w:space="0"/>
            </w:tcBorders>
            <w:vAlign w:val="center"/>
          </w:tcPr>
          <w:p w14:paraId="2112712C">
            <w:pPr>
              <w:spacing w:line="400" w:lineRule="exact"/>
              <w:ind w:firstLine="105" w:firstLineChars="50"/>
              <w:rPr>
                <w:rFonts w:ascii="宋体" w:hAnsi="宋体" w:cs="宋体"/>
                <w:color w:val="auto"/>
                <w:szCs w:val="22"/>
                <w:highlight w:val="none"/>
              </w:rPr>
            </w:pPr>
            <w:r>
              <w:rPr>
                <w:rFonts w:hint="eastAsia" w:ascii="宋体" w:hAnsi="宋体" w:cs="宋体"/>
                <w:color w:val="auto"/>
                <w:szCs w:val="22"/>
                <w:highlight w:val="none"/>
              </w:rPr>
              <w:t>自实际交工日期起计算</w:t>
            </w:r>
            <w:r>
              <w:rPr>
                <w:rFonts w:hint="eastAsia" w:ascii="宋体" w:hAnsi="宋体" w:cs="宋体"/>
                <w:color w:val="auto"/>
                <w:szCs w:val="22"/>
                <w:highlight w:val="none"/>
                <w:u w:val="single"/>
              </w:rPr>
              <w:t>24月</w:t>
            </w:r>
          </w:p>
        </w:tc>
        <w:tc>
          <w:tcPr>
            <w:tcW w:w="850" w:type="dxa"/>
            <w:vAlign w:val="center"/>
          </w:tcPr>
          <w:p w14:paraId="4478558C">
            <w:pPr>
              <w:tabs>
                <w:tab w:val="left" w:pos="2190"/>
              </w:tabs>
              <w:autoSpaceDE w:val="0"/>
              <w:autoSpaceDN w:val="0"/>
              <w:adjustRightInd w:val="0"/>
              <w:spacing w:line="400" w:lineRule="exact"/>
              <w:jc w:val="center"/>
              <w:rPr>
                <w:rFonts w:ascii="宋体" w:hAnsi="宋体" w:cs="宋体"/>
                <w:snapToGrid w:val="0"/>
                <w:color w:val="auto"/>
                <w:kern w:val="0"/>
                <w:szCs w:val="21"/>
                <w:highlight w:val="none"/>
              </w:rPr>
            </w:pPr>
          </w:p>
        </w:tc>
      </w:tr>
      <w:tr w14:paraId="7618925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2D544FFD">
            <w:pPr>
              <w:tabs>
                <w:tab w:val="left" w:pos="2051"/>
              </w:tabs>
              <w:autoSpaceDE w:val="0"/>
              <w:autoSpaceDN w:val="0"/>
              <w:adjustRightInd w:val="0"/>
              <w:spacing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2</w:t>
            </w:r>
          </w:p>
        </w:tc>
        <w:tc>
          <w:tcPr>
            <w:tcW w:w="2429" w:type="dxa"/>
            <w:vAlign w:val="center"/>
          </w:tcPr>
          <w:p w14:paraId="2184A4B7">
            <w:pPr>
              <w:tabs>
                <w:tab w:val="left" w:pos="2051"/>
              </w:tabs>
              <w:autoSpaceDE w:val="0"/>
              <w:autoSpaceDN w:val="0"/>
              <w:adjustRightInd w:val="0"/>
              <w:spacing w:line="400" w:lineRule="exact"/>
              <w:jc w:val="center"/>
              <w:rPr>
                <w:rFonts w:ascii="宋体" w:hAnsi="宋体" w:cs="宋体"/>
                <w:color w:val="auto"/>
                <w:szCs w:val="22"/>
                <w:highlight w:val="none"/>
              </w:rPr>
            </w:pPr>
            <w:r>
              <w:rPr>
                <w:rFonts w:hint="eastAsia" w:ascii="宋体" w:hAnsi="宋体" w:cs="宋体"/>
                <w:color w:val="auto"/>
                <w:spacing w:val="1"/>
                <w:szCs w:val="22"/>
                <w:highlight w:val="none"/>
                <w:lang w:eastAsia="en-US"/>
              </w:rPr>
              <w:t>质量保证金金额</w:t>
            </w:r>
          </w:p>
        </w:tc>
        <w:tc>
          <w:tcPr>
            <w:tcW w:w="3286" w:type="dxa"/>
            <w:tcBorders>
              <w:left w:val="single" w:color="auto" w:sz="4" w:space="0"/>
            </w:tcBorders>
            <w:vAlign w:val="center"/>
          </w:tcPr>
          <w:p w14:paraId="16849C10">
            <w:pPr>
              <w:spacing w:line="400" w:lineRule="exact"/>
              <w:ind w:firstLine="105" w:firstLineChars="50"/>
              <w:rPr>
                <w:rFonts w:ascii="宋体" w:hAnsi="宋体" w:cs="宋体"/>
                <w:color w:val="auto"/>
                <w:szCs w:val="22"/>
                <w:highlight w:val="none"/>
                <w:lang w:eastAsia="en-US"/>
              </w:rPr>
            </w:pPr>
            <w:r>
              <w:rPr>
                <w:rFonts w:hint="eastAsia" w:ascii="宋体" w:hAnsi="宋体" w:cs="宋体"/>
                <w:color w:val="auto"/>
                <w:szCs w:val="22"/>
                <w:highlight w:val="none"/>
                <w:u w:val="single"/>
              </w:rPr>
              <w:t xml:space="preserve"> 3 </w:t>
            </w:r>
            <w:r>
              <w:rPr>
                <w:rFonts w:hint="eastAsia" w:ascii="宋体" w:hAnsi="宋体" w:cs="宋体"/>
                <w:color w:val="auto"/>
                <w:szCs w:val="22"/>
                <w:highlight w:val="none"/>
                <w:lang w:eastAsia="en-US"/>
              </w:rPr>
              <w:t>%合同价格</w:t>
            </w:r>
          </w:p>
        </w:tc>
        <w:tc>
          <w:tcPr>
            <w:tcW w:w="850" w:type="dxa"/>
            <w:vAlign w:val="center"/>
          </w:tcPr>
          <w:p w14:paraId="7A6F9E7D">
            <w:pPr>
              <w:tabs>
                <w:tab w:val="left" w:pos="2051"/>
              </w:tabs>
              <w:autoSpaceDE w:val="0"/>
              <w:autoSpaceDN w:val="0"/>
              <w:adjustRightInd w:val="0"/>
              <w:spacing w:line="400" w:lineRule="exact"/>
              <w:jc w:val="center"/>
              <w:rPr>
                <w:rFonts w:ascii="宋体" w:hAnsi="宋体" w:cs="宋体"/>
                <w:snapToGrid w:val="0"/>
                <w:color w:val="auto"/>
                <w:kern w:val="0"/>
                <w:szCs w:val="21"/>
                <w:highlight w:val="none"/>
              </w:rPr>
            </w:pPr>
          </w:p>
        </w:tc>
      </w:tr>
      <w:tr w14:paraId="02AE59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41F98907">
            <w:pPr>
              <w:tabs>
                <w:tab w:val="left" w:pos="2051"/>
              </w:tabs>
              <w:autoSpaceDE w:val="0"/>
              <w:autoSpaceDN w:val="0"/>
              <w:adjustRightInd w:val="0"/>
              <w:spacing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w:t>
            </w:r>
          </w:p>
        </w:tc>
        <w:tc>
          <w:tcPr>
            <w:tcW w:w="2429" w:type="dxa"/>
            <w:vAlign w:val="center"/>
          </w:tcPr>
          <w:p w14:paraId="4EBCE80B">
            <w:pPr>
              <w:tabs>
                <w:tab w:val="left" w:pos="2051"/>
              </w:tabs>
              <w:autoSpaceDE w:val="0"/>
              <w:autoSpaceDN w:val="0"/>
              <w:adjustRightInd w:val="0"/>
              <w:spacing w:line="400" w:lineRule="exact"/>
              <w:jc w:val="center"/>
              <w:rPr>
                <w:rFonts w:ascii="宋体" w:hAnsi="宋体" w:cs="宋体"/>
                <w:color w:val="auto"/>
                <w:spacing w:val="1"/>
                <w:szCs w:val="22"/>
                <w:highlight w:val="none"/>
                <w:lang w:eastAsia="en-US"/>
              </w:rPr>
            </w:pPr>
            <w:r>
              <w:rPr>
                <w:rFonts w:hint="eastAsia" w:ascii="宋体" w:hAnsi="宋体" w:cs="宋体"/>
                <w:color w:val="auto"/>
                <w:spacing w:val="1"/>
                <w:szCs w:val="22"/>
                <w:highlight w:val="none"/>
                <w:lang w:eastAsia="en-US"/>
              </w:rPr>
              <w:t>保修期</w:t>
            </w:r>
          </w:p>
        </w:tc>
        <w:tc>
          <w:tcPr>
            <w:tcW w:w="3286" w:type="dxa"/>
            <w:tcBorders>
              <w:left w:val="single" w:color="auto" w:sz="4" w:space="0"/>
            </w:tcBorders>
            <w:vAlign w:val="center"/>
          </w:tcPr>
          <w:p w14:paraId="2B0A5A55">
            <w:pPr>
              <w:spacing w:line="400" w:lineRule="exact"/>
              <w:ind w:firstLine="105" w:firstLineChars="50"/>
              <w:rPr>
                <w:rFonts w:ascii="宋体" w:hAnsi="宋体" w:cs="宋体"/>
                <w:color w:val="auto"/>
                <w:szCs w:val="22"/>
                <w:highlight w:val="none"/>
              </w:rPr>
            </w:pPr>
            <w:r>
              <w:rPr>
                <w:rFonts w:hint="eastAsia" w:ascii="宋体" w:hAnsi="宋体" w:cs="宋体"/>
                <w:color w:val="auto"/>
                <w:szCs w:val="22"/>
                <w:highlight w:val="none"/>
              </w:rPr>
              <w:t>自实际交工日期起计算</w:t>
            </w:r>
            <w:r>
              <w:rPr>
                <w:rFonts w:hint="eastAsia" w:ascii="宋体" w:hAnsi="宋体" w:cs="宋体"/>
                <w:color w:val="auto"/>
                <w:szCs w:val="22"/>
                <w:highlight w:val="none"/>
                <w:u w:val="single"/>
                <w:lang w:val="en-US" w:eastAsia="zh-CN"/>
              </w:rPr>
              <w:t>2</w:t>
            </w:r>
            <w:r>
              <w:rPr>
                <w:rFonts w:hint="eastAsia" w:ascii="宋体" w:hAnsi="宋体" w:cs="宋体"/>
                <w:color w:val="auto"/>
                <w:szCs w:val="22"/>
                <w:highlight w:val="none"/>
              </w:rPr>
              <w:t>年</w:t>
            </w:r>
          </w:p>
        </w:tc>
        <w:tc>
          <w:tcPr>
            <w:tcW w:w="850" w:type="dxa"/>
            <w:vAlign w:val="center"/>
          </w:tcPr>
          <w:p w14:paraId="55A316F3">
            <w:pPr>
              <w:tabs>
                <w:tab w:val="left" w:pos="2051"/>
              </w:tabs>
              <w:autoSpaceDE w:val="0"/>
              <w:autoSpaceDN w:val="0"/>
              <w:adjustRightInd w:val="0"/>
              <w:spacing w:line="400" w:lineRule="exact"/>
              <w:jc w:val="center"/>
              <w:rPr>
                <w:rFonts w:ascii="宋体" w:hAnsi="宋体" w:cs="宋体"/>
                <w:snapToGrid w:val="0"/>
                <w:color w:val="auto"/>
                <w:kern w:val="0"/>
                <w:szCs w:val="21"/>
                <w:highlight w:val="none"/>
              </w:rPr>
            </w:pPr>
          </w:p>
        </w:tc>
      </w:tr>
    </w:tbl>
    <w:p w14:paraId="548EE1B8">
      <w:pPr>
        <w:spacing w:line="360" w:lineRule="auto"/>
        <w:rPr>
          <w:rFonts w:ascii="宋体" w:hAnsi="宋体" w:cs="宋体"/>
          <w:snapToGrid w:val="0"/>
          <w:color w:val="auto"/>
          <w:highlight w:val="none"/>
        </w:rPr>
      </w:pPr>
    </w:p>
    <w:p w14:paraId="4FAFA4C3">
      <w:pPr>
        <w:tabs>
          <w:tab w:val="left" w:pos="7140"/>
          <w:tab w:val="left" w:pos="7560"/>
          <w:tab w:val="left" w:pos="8300"/>
        </w:tabs>
        <w:autoSpaceDE w:val="0"/>
        <w:autoSpaceDN w:val="0"/>
        <w:adjustRightInd w:val="0"/>
        <w:spacing w:line="360" w:lineRule="auto"/>
        <w:ind w:right="210"/>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lang w:val="en-US" w:eastAsia="zh-CN"/>
        </w:rPr>
        <w:t xml:space="preserve"> 供 应 商</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 xml:space="preserve">（盖单位法人章） </w:t>
      </w:r>
    </w:p>
    <w:p w14:paraId="4E94FAA5">
      <w:pPr>
        <w:pStyle w:val="2"/>
        <w:rPr>
          <w:rFonts w:ascii="宋体" w:hAnsi="宋体" w:cs="宋体"/>
          <w:snapToGrid w:val="0"/>
          <w:color w:val="auto"/>
          <w:kern w:val="0"/>
          <w:highlight w:val="none"/>
        </w:rPr>
      </w:pPr>
    </w:p>
    <w:p w14:paraId="17C62915">
      <w:pPr>
        <w:pStyle w:val="2"/>
        <w:jc w:val="right"/>
        <w:rPr>
          <w:rFonts w:ascii="宋体" w:hAnsi="宋体" w:cs="宋体"/>
          <w:color w:val="auto"/>
          <w:highlight w:val="none"/>
        </w:rPr>
      </w:pPr>
      <w:r>
        <w:rPr>
          <w:rFonts w:hint="eastAsia" w:ascii="宋体" w:hAnsi="宋体" w:cs="宋体"/>
          <w:snapToGrid w:val="0"/>
          <w:color w:val="auto"/>
          <w:kern w:val="0"/>
          <w:highlight w:val="none"/>
        </w:rPr>
        <w:t>法定代表人或其委托代理人：</w:t>
      </w:r>
      <w:r>
        <w:rPr>
          <w:rFonts w:hint="eastAsia" w:ascii="宋体" w:hAnsi="宋体" w:cs="宋体"/>
          <w:snapToGrid w:val="0"/>
          <w:color w:val="auto"/>
          <w:kern w:val="0"/>
          <w:highlight w:val="none"/>
          <w:u w:val="single"/>
        </w:rPr>
        <w:t xml:space="preserve">               </w:t>
      </w:r>
      <w:r>
        <w:rPr>
          <w:rFonts w:hint="eastAsia" w:ascii="宋体" w:hAnsi="宋体" w:cs="宋体"/>
          <w:snapToGrid w:val="0"/>
          <w:color w:val="auto"/>
          <w:kern w:val="0"/>
          <w:highlight w:val="none"/>
        </w:rPr>
        <w:t>（签名或盖章）</w:t>
      </w:r>
      <w:r>
        <w:rPr>
          <w:rFonts w:hint="eastAsia" w:ascii="宋体" w:hAnsi="宋体" w:cs="宋体"/>
          <w:color w:val="auto"/>
          <w:highlight w:val="none"/>
        </w:rPr>
        <w:br w:type="page"/>
      </w:r>
    </w:p>
    <w:p w14:paraId="67CBA245">
      <w:pPr>
        <w:pStyle w:val="5"/>
        <w:spacing w:before="0" w:line="360" w:lineRule="auto"/>
        <w:jc w:val="center"/>
        <w:rPr>
          <w:rFonts w:ascii="宋体" w:hAnsi="宋体" w:cs="宋体"/>
          <w:b w:val="0"/>
          <w:bCs w:val="0"/>
          <w:color w:val="auto"/>
          <w:highlight w:val="none"/>
        </w:rPr>
      </w:pPr>
      <w:bookmarkStart w:id="978" w:name="_Toc29609"/>
      <w:bookmarkStart w:id="979" w:name="_Toc32689"/>
      <w:bookmarkStart w:id="980" w:name="_Toc3419"/>
      <w:bookmarkStart w:id="981" w:name="_Toc19214"/>
      <w:r>
        <w:rPr>
          <w:rFonts w:hint="eastAsia" w:ascii="宋体" w:hAnsi="宋体" w:cs="宋体"/>
          <w:b w:val="0"/>
          <w:bCs w:val="0"/>
          <w:color w:val="auto"/>
          <w:highlight w:val="none"/>
        </w:rPr>
        <w:t>（三）法定代表人身份证明或授权委托书</w:t>
      </w:r>
      <w:bookmarkEnd w:id="973"/>
      <w:bookmarkEnd w:id="974"/>
      <w:bookmarkEnd w:id="975"/>
      <w:bookmarkEnd w:id="976"/>
      <w:bookmarkEnd w:id="977"/>
      <w:bookmarkEnd w:id="978"/>
      <w:bookmarkEnd w:id="979"/>
      <w:bookmarkEnd w:id="980"/>
      <w:bookmarkEnd w:id="981"/>
    </w:p>
    <w:p w14:paraId="035F86D9">
      <w:pPr>
        <w:spacing w:line="480" w:lineRule="auto"/>
        <w:jc w:val="center"/>
        <w:outlineLvl w:val="1"/>
        <w:rPr>
          <w:rFonts w:ascii="宋体" w:hAnsi="宋体" w:cs="宋体"/>
          <w:color w:val="auto"/>
          <w:sz w:val="28"/>
          <w:highlight w:val="none"/>
        </w:rPr>
      </w:pPr>
      <w:bookmarkStart w:id="982" w:name="_Toc3290"/>
      <w:bookmarkStart w:id="983" w:name="_Toc18852"/>
      <w:bookmarkStart w:id="984" w:name="_Toc16278"/>
      <w:bookmarkStart w:id="985" w:name="_Toc23321"/>
      <w:bookmarkStart w:id="986" w:name="_Toc27567"/>
      <w:bookmarkStart w:id="987" w:name="_Toc25663"/>
      <w:bookmarkStart w:id="988" w:name="_Toc26839"/>
      <w:r>
        <w:rPr>
          <w:rFonts w:hint="eastAsia" w:ascii="宋体" w:hAnsi="宋体" w:cs="宋体"/>
          <w:color w:val="auto"/>
          <w:sz w:val="28"/>
          <w:highlight w:val="none"/>
        </w:rPr>
        <w:t>法定代表人身份证明</w:t>
      </w:r>
      <w:bookmarkEnd w:id="982"/>
      <w:bookmarkEnd w:id="983"/>
      <w:bookmarkEnd w:id="984"/>
      <w:bookmarkEnd w:id="985"/>
      <w:bookmarkEnd w:id="986"/>
      <w:bookmarkEnd w:id="987"/>
      <w:bookmarkEnd w:id="988"/>
    </w:p>
    <w:p w14:paraId="798BD608">
      <w:pPr>
        <w:spacing w:line="480" w:lineRule="auto"/>
        <w:jc w:val="center"/>
        <w:rPr>
          <w:rFonts w:ascii="宋体" w:hAnsi="宋体" w:cs="宋体"/>
          <w:color w:val="auto"/>
          <w:highlight w:val="none"/>
        </w:rPr>
      </w:pPr>
    </w:p>
    <w:p w14:paraId="4BC25D61">
      <w:pPr>
        <w:tabs>
          <w:tab w:val="left" w:pos="556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名称：</w:t>
      </w:r>
      <w:r>
        <w:rPr>
          <w:rFonts w:hint="eastAsia" w:ascii="宋体" w:hAnsi="宋体" w:cs="宋体"/>
          <w:color w:val="auto"/>
          <w:w w:val="200"/>
          <w:kern w:val="0"/>
          <w:szCs w:val="21"/>
          <w:highlight w:val="none"/>
          <w:u w:val="single"/>
        </w:rPr>
        <w:t xml:space="preserve">                                     </w:t>
      </w:r>
    </w:p>
    <w:p w14:paraId="641AEE53">
      <w:pPr>
        <w:tabs>
          <w:tab w:val="left" w:pos="547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单位性质：</w:t>
      </w:r>
      <w:r>
        <w:rPr>
          <w:rFonts w:hint="eastAsia" w:ascii="宋体" w:hAnsi="宋体" w:cs="宋体"/>
          <w:color w:val="auto"/>
          <w:w w:val="200"/>
          <w:kern w:val="0"/>
          <w:szCs w:val="21"/>
          <w:highlight w:val="none"/>
          <w:u w:val="single"/>
        </w:rPr>
        <w:t xml:space="preserve">                                     </w:t>
      </w:r>
    </w:p>
    <w:p w14:paraId="25397273">
      <w:pPr>
        <w:tabs>
          <w:tab w:val="left" w:pos="547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地    址：</w:t>
      </w:r>
      <w:r>
        <w:rPr>
          <w:rFonts w:hint="eastAsia" w:ascii="宋体" w:hAnsi="宋体" w:cs="宋体"/>
          <w:color w:val="auto"/>
          <w:w w:val="200"/>
          <w:kern w:val="0"/>
          <w:szCs w:val="21"/>
          <w:highlight w:val="none"/>
          <w:u w:val="single"/>
        </w:rPr>
        <w:t xml:space="preserve">                                     </w:t>
      </w:r>
    </w:p>
    <w:p w14:paraId="286E3892">
      <w:pPr>
        <w:tabs>
          <w:tab w:val="left" w:pos="2520"/>
          <w:tab w:val="left" w:pos="3836"/>
        </w:tabs>
        <w:autoSpaceDE w:val="0"/>
        <w:autoSpaceDN w:val="0"/>
        <w:adjustRightInd w:val="0"/>
        <w:snapToGrid w:val="0"/>
        <w:spacing w:line="480" w:lineRule="auto"/>
        <w:ind w:firstLine="390" w:firstLineChars="186"/>
        <w:jc w:val="left"/>
        <w:rPr>
          <w:rFonts w:ascii="宋体" w:hAnsi="宋体" w:cs="宋体"/>
          <w:color w:val="auto"/>
          <w:kern w:val="0"/>
          <w:sz w:val="10"/>
          <w:szCs w:val="10"/>
          <w:highlight w:val="none"/>
        </w:rPr>
      </w:pPr>
      <w:r>
        <w:rPr>
          <w:rFonts w:hint="eastAsia" w:ascii="宋体" w:hAnsi="宋体" w:cs="宋体"/>
          <w:color w:val="auto"/>
          <w:kern w:val="0"/>
          <w:szCs w:val="21"/>
          <w:highlight w:val="none"/>
        </w:rPr>
        <w:t>成立时间：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62A8A636">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姓名：</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性别</w:t>
      </w:r>
      <w:r>
        <w:rPr>
          <w:rFonts w:hint="eastAsia" w:ascii="宋体" w:hAnsi="宋体" w:cs="宋体"/>
          <w:color w:val="auto"/>
          <w:spacing w:val="-1"/>
          <w:kern w:val="0"/>
          <w:szCs w:val="21"/>
          <w:highlight w:val="none"/>
        </w:rPr>
        <w:t>：</w:t>
      </w:r>
      <w:r>
        <w:rPr>
          <w:rFonts w:hint="eastAsia" w:ascii="宋体" w:hAnsi="宋体" w:cs="宋体"/>
          <w:color w:val="auto"/>
          <w:kern w:val="0"/>
          <w:szCs w:val="21"/>
          <w:highlight w:val="none"/>
          <w:u w:val="single"/>
        </w:rPr>
        <w:t xml:space="preserve">       </w:t>
      </w:r>
      <w:r>
        <w:rPr>
          <w:rFonts w:hint="eastAsia" w:ascii="宋体" w:hAnsi="宋体" w:cs="宋体"/>
          <w:color w:val="auto"/>
          <w:spacing w:val="-1"/>
          <w:kern w:val="0"/>
          <w:szCs w:val="21"/>
          <w:highlight w:val="none"/>
        </w:rPr>
        <w:t>年</w:t>
      </w:r>
      <w:r>
        <w:rPr>
          <w:rFonts w:hint="eastAsia" w:ascii="宋体" w:hAnsi="宋体" w:cs="宋体"/>
          <w:color w:val="auto"/>
          <w:kern w:val="0"/>
          <w:szCs w:val="21"/>
          <w:highlight w:val="none"/>
        </w:rPr>
        <w:t>龄：</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职务：</w:t>
      </w:r>
      <w:r>
        <w:rPr>
          <w:rFonts w:hint="eastAsia" w:ascii="宋体" w:hAnsi="宋体" w:cs="宋体"/>
          <w:color w:val="auto"/>
          <w:kern w:val="0"/>
          <w:szCs w:val="21"/>
          <w:highlight w:val="none"/>
          <w:u w:val="single"/>
        </w:rPr>
        <w:t xml:space="preserve">               </w:t>
      </w:r>
    </w:p>
    <w:p w14:paraId="51EA7C65">
      <w:pPr>
        <w:tabs>
          <w:tab w:val="left" w:pos="3360"/>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系</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eastAsia="zh-CN"/>
        </w:rPr>
        <w:t>供应商</w:t>
      </w:r>
      <w:r>
        <w:rPr>
          <w:rFonts w:hint="eastAsia" w:ascii="宋体" w:hAnsi="宋体" w:cs="宋体"/>
          <w:color w:val="auto"/>
          <w:kern w:val="0"/>
          <w:szCs w:val="21"/>
          <w:highlight w:val="none"/>
          <w:u w:val="single"/>
        </w:rPr>
        <w:t>名称）</w:t>
      </w:r>
      <w:r>
        <w:rPr>
          <w:rFonts w:hint="eastAsia" w:ascii="宋体" w:hAnsi="宋体" w:cs="宋体"/>
          <w:color w:val="auto"/>
          <w:kern w:val="0"/>
          <w:szCs w:val="21"/>
          <w:highlight w:val="none"/>
        </w:rPr>
        <w:t>的法定代表人。</w:t>
      </w:r>
    </w:p>
    <w:p w14:paraId="5553BDA4">
      <w:pPr>
        <w:tabs>
          <w:tab w:val="left" w:pos="3360"/>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特此证明。</w:t>
      </w:r>
    </w:p>
    <w:p w14:paraId="37E530EB">
      <w:pPr>
        <w:autoSpaceDE w:val="0"/>
        <w:autoSpaceDN w:val="0"/>
        <w:adjustRightInd w:val="0"/>
        <w:snapToGrid w:val="0"/>
        <w:spacing w:line="480" w:lineRule="auto"/>
        <w:ind w:firstLine="810" w:firstLineChars="386"/>
        <w:jc w:val="left"/>
        <w:rPr>
          <w:rFonts w:ascii="宋体" w:hAnsi="宋体" w:cs="宋体"/>
          <w:color w:val="auto"/>
          <w:kern w:val="0"/>
          <w:szCs w:val="21"/>
          <w:highlight w:val="none"/>
        </w:rPr>
      </w:pPr>
      <w:r>
        <w:rPr>
          <w:rFonts w:hint="eastAsia" w:ascii="宋体" w:hAnsi="宋体" w:cs="宋体"/>
          <w:color w:val="auto"/>
          <w:kern w:val="0"/>
          <w:szCs w:val="21"/>
          <w:highlight w:val="none"/>
        </w:rPr>
        <w:t>附：法定代表人身份证</w:t>
      </w:r>
      <w:r>
        <w:rPr>
          <w:rFonts w:hint="eastAsia" w:ascii="宋体" w:hAnsi="宋体" w:cs="宋体"/>
          <w:color w:val="auto"/>
          <w:kern w:val="0"/>
          <w:szCs w:val="21"/>
          <w:highlight w:val="none"/>
          <w:lang w:val="en-US" w:eastAsia="zh-CN"/>
        </w:rPr>
        <w:t>明</w:t>
      </w:r>
      <w:r>
        <w:rPr>
          <w:rFonts w:hint="eastAsia" w:ascii="宋体" w:hAnsi="宋体" w:cs="宋体"/>
          <w:color w:val="auto"/>
          <w:kern w:val="0"/>
          <w:szCs w:val="21"/>
          <w:highlight w:val="none"/>
          <w:lang w:eastAsia="zh-CN"/>
        </w:rPr>
        <w:t>复印件</w:t>
      </w:r>
      <w:r>
        <w:rPr>
          <w:rFonts w:hint="eastAsia" w:ascii="宋体" w:hAnsi="宋体" w:cs="宋体"/>
          <w:color w:val="auto"/>
          <w:kern w:val="0"/>
          <w:szCs w:val="21"/>
          <w:highlight w:val="none"/>
        </w:rPr>
        <w:t>（双面）</w:t>
      </w:r>
    </w:p>
    <w:p w14:paraId="07785EFD">
      <w:pPr>
        <w:autoSpaceDE w:val="0"/>
        <w:autoSpaceDN w:val="0"/>
        <w:adjustRightInd w:val="0"/>
        <w:snapToGrid w:val="0"/>
        <w:spacing w:line="360" w:lineRule="auto"/>
        <w:jc w:val="left"/>
        <w:rPr>
          <w:rFonts w:ascii="宋体" w:hAnsi="宋体" w:cs="宋体"/>
          <w:color w:val="auto"/>
          <w:szCs w:val="21"/>
          <w:highlight w:val="none"/>
        </w:rPr>
      </w:pPr>
    </w:p>
    <w:p w14:paraId="3E5FBA4E">
      <w:pPr>
        <w:pStyle w:val="2"/>
        <w:spacing w:after="0" w:line="360" w:lineRule="auto"/>
        <w:rPr>
          <w:rFonts w:ascii="宋体" w:hAnsi="宋体" w:cs="宋体"/>
          <w:color w:val="auto"/>
          <w:highlight w:val="none"/>
        </w:rPr>
      </w:pPr>
    </w:p>
    <w:p w14:paraId="61BA6FAC">
      <w:pPr>
        <w:pStyle w:val="2"/>
        <w:spacing w:after="0" w:line="360" w:lineRule="auto"/>
        <w:rPr>
          <w:rFonts w:ascii="宋体" w:hAnsi="宋体" w:cs="宋体"/>
          <w:color w:val="auto"/>
          <w:highlight w:val="none"/>
        </w:rPr>
      </w:pPr>
    </w:p>
    <w:p w14:paraId="5CB26DE8">
      <w:pPr>
        <w:pStyle w:val="2"/>
        <w:spacing w:after="0" w:line="360" w:lineRule="auto"/>
        <w:rPr>
          <w:rFonts w:ascii="宋体" w:hAnsi="宋体" w:cs="宋体"/>
          <w:color w:val="auto"/>
          <w:highlight w:val="none"/>
        </w:rPr>
      </w:pPr>
    </w:p>
    <w:p w14:paraId="19C2B876">
      <w:pPr>
        <w:pStyle w:val="2"/>
        <w:spacing w:after="0" w:line="360" w:lineRule="auto"/>
        <w:rPr>
          <w:rFonts w:ascii="宋体" w:hAnsi="宋体" w:cs="宋体"/>
          <w:color w:val="auto"/>
          <w:highlight w:val="none"/>
        </w:rPr>
      </w:pPr>
    </w:p>
    <w:p w14:paraId="3FC2387A">
      <w:pPr>
        <w:pStyle w:val="2"/>
        <w:spacing w:after="0" w:line="360" w:lineRule="auto"/>
        <w:rPr>
          <w:rFonts w:ascii="宋体" w:hAnsi="宋体" w:cs="宋体"/>
          <w:color w:val="auto"/>
          <w:highlight w:val="none"/>
        </w:rPr>
      </w:pPr>
    </w:p>
    <w:p w14:paraId="03D60F26">
      <w:pPr>
        <w:tabs>
          <w:tab w:val="left" w:pos="5460"/>
        </w:tabs>
        <w:autoSpaceDE w:val="0"/>
        <w:autoSpaceDN w:val="0"/>
        <w:adjustRightInd w:val="0"/>
        <w:snapToGrid w:val="0"/>
        <w:spacing w:line="480" w:lineRule="auto"/>
        <w:ind w:firstLine="2100"/>
        <w:jc w:val="right"/>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ab/>
      </w:r>
      <w:r>
        <w:rPr>
          <w:rFonts w:hint="eastAsia" w:ascii="宋体" w:hAnsi="宋体" w:cs="宋体"/>
          <w:color w:val="auto"/>
          <w:spacing w:val="-1"/>
          <w:kern w:val="0"/>
          <w:szCs w:val="21"/>
          <w:highlight w:val="none"/>
        </w:rPr>
        <w:t>（</w:t>
      </w:r>
      <w:r>
        <w:rPr>
          <w:rFonts w:hint="eastAsia" w:ascii="宋体" w:hAnsi="宋体" w:cs="宋体"/>
          <w:color w:val="auto"/>
          <w:kern w:val="0"/>
          <w:szCs w:val="21"/>
          <w:highlight w:val="none"/>
        </w:rPr>
        <w:t>盖单位法人章）</w:t>
      </w:r>
    </w:p>
    <w:p w14:paraId="236E2A6F">
      <w:pPr>
        <w:autoSpaceDE w:val="0"/>
        <w:autoSpaceDN w:val="0"/>
        <w:adjustRightInd w:val="0"/>
        <w:snapToGrid w:val="0"/>
        <w:spacing w:line="480" w:lineRule="auto"/>
        <w:jc w:val="left"/>
        <w:rPr>
          <w:rFonts w:ascii="宋体" w:hAnsi="宋体" w:cs="宋体"/>
          <w:color w:val="auto"/>
          <w:kern w:val="0"/>
          <w:sz w:val="20"/>
          <w:szCs w:val="20"/>
          <w:highlight w:val="none"/>
        </w:rPr>
      </w:pPr>
    </w:p>
    <w:p w14:paraId="0067FF47">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cs="宋体"/>
          <w:color w:val="auto"/>
          <w:kern w:val="0"/>
          <w:szCs w:val="21"/>
          <w:highlight w:val="none"/>
        </w:rPr>
      </w:pP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日  </w:t>
      </w:r>
    </w:p>
    <w:p w14:paraId="6088C3A0">
      <w:pPr>
        <w:pStyle w:val="2"/>
        <w:rPr>
          <w:rFonts w:ascii="宋体" w:hAnsi="宋体" w:cs="宋体"/>
          <w:color w:val="auto"/>
          <w:highlight w:val="none"/>
        </w:rPr>
      </w:pPr>
    </w:p>
    <w:p w14:paraId="478ED8C5">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注：法定代表人身份证明需按上述格式填写完整，不可缺少内容。在此基础上增加内容的不影响其有效性。</w:t>
      </w:r>
    </w:p>
    <w:p w14:paraId="39BE6C15">
      <w:pPr>
        <w:autoSpaceDE w:val="0"/>
        <w:autoSpaceDN w:val="0"/>
        <w:adjustRightInd w:val="0"/>
        <w:snapToGrid w:val="0"/>
        <w:spacing w:line="360" w:lineRule="auto"/>
        <w:jc w:val="left"/>
        <w:rPr>
          <w:rFonts w:ascii="宋体" w:hAnsi="宋体" w:cs="宋体"/>
          <w:color w:val="auto"/>
          <w:kern w:val="0"/>
          <w:highlight w:val="none"/>
        </w:rPr>
      </w:pPr>
    </w:p>
    <w:p w14:paraId="5BCB5162">
      <w:pPr>
        <w:tabs>
          <w:tab w:val="left" w:pos="1680"/>
          <w:tab w:val="left" w:pos="4215"/>
          <w:tab w:val="left" w:pos="4305"/>
          <w:tab w:val="left" w:pos="8000"/>
        </w:tabs>
        <w:autoSpaceDE w:val="0"/>
        <w:autoSpaceDN w:val="0"/>
        <w:adjustRightInd w:val="0"/>
        <w:snapToGrid w:val="0"/>
        <w:spacing w:line="360" w:lineRule="auto"/>
        <w:jc w:val="center"/>
        <w:outlineLvl w:val="1"/>
        <w:rPr>
          <w:rFonts w:ascii="宋体" w:hAnsi="宋体" w:cs="宋体"/>
          <w:color w:val="auto"/>
          <w:kern w:val="0"/>
          <w:sz w:val="12"/>
          <w:szCs w:val="12"/>
          <w:highlight w:val="none"/>
        </w:rPr>
      </w:pPr>
      <w:r>
        <w:rPr>
          <w:rFonts w:hint="eastAsia" w:ascii="宋体" w:hAnsi="宋体" w:cs="宋体"/>
          <w:b/>
          <w:color w:val="auto"/>
          <w:kern w:val="0"/>
          <w:sz w:val="28"/>
          <w:szCs w:val="28"/>
          <w:highlight w:val="none"/>
        </w:rPr>
        <w:br w:type="page"/>
      </w:r>
      <w:bookmarkStart w:id="989" w:name="_Toc11211"/>
      <w:bookmarkStart w:id="990" w:name="_Toc16260"/>
      <w:bookmarkStart w:id="991" w:name="_Toc4982"/>
      <w:bookmarkStart w:id="992" w:name="_Toc15322"/>
      <w:bookmarkStart w:id="993" w:name="_Toc4450"/>
      <w:bookmarkStart w:id="994" w:name="_Toc31307"/>
      <w:bookmarkStart w:id="995" w:name="_Toc25550"/>
      <w:r>
        <w:rPr>
          <w:rFonts w:hint="eastAsia" w:ascii="宋体" w:hAnsi="宋体" w:cs="宋体"/>
          <w:snapToGrid w:val="0"/>
          <w:color w:val="auto"/>
          <w:kern w:val="0"/>
          <w:sz w:val="32"/>
          <w:szCs w:val="32"/>
          <w:highlight w:val="none"/>
        </w:rPr>
        <w:t>授权委托书</w:t>
      </w:r>
      <w:bookmarkEnd w:id="989"/>
      <w:bookmarkEnd w:id="990"/>
      <w:bookmarkEnd w:id="991"/>
      <w:bookmarkEnd w:id="992"/>
      <w:bookmarkEnd w:id="993"/>
      <w:bookmarkEnd w:id="994"/>
      <w:bookmarkEnd w:id="995"/>
    </w:p>
    <w:p w14:paraId="7AD38E16">
      <w:pPr>
        <w:autoSpaceDE w:val="0"/>
        <w:autoSpaceDN w:val="0"/>
        <w:adjustRightInd w:val="0"/>
        <w:snapToGrid w:val="0"/>
        <w:spacing w:line="360" w:lineRule="auto"/>
        <w:jc w:val="left"/>
        <w:rPr>
          <w:rFonts w:ascii="宋体" w:hAnsi="宋体" w:cs="宋体"/>
          <w:color w:val="auto"/>
          <w:kern w:val="0"/>
          <w:sz w:val="20"/>
          <w:szCs w:val="20"/>
          <w:highlight w:val="none"/>
        </w:rPr>
      </w:pPr>
    </w:p>
    <w:p w14:paraId="376D0E25">
      <w:pPr>
        <w:autoSpaceDE w:val="0"/>
        <w:autoSpaceDN w:val="0"/>
        <w:adjustRightInd w:val="0"/>
        <w:snapToGrid w:val="0"/>
        <w:spacing w:line="360" w:lineRule="auto"/>
        <w:jc w:val="left"/>
        <w:rPr>
          <w:rFonts w:ascii="宋体" w:hAnsi="宋体" w:cs="宋体"/>
          <w:color w:val="auto"/>
          <w:kern w:val="0"/>
          <w:sz w:val="20"/>
          <w:szCs w:val="20"/>
          <w:highlight w:val="none"/>
        </w:rPr>
      </w:pPr>
    </w:p>
    <w:p w14:paraId="4C36A91B">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s="宋体"/>
          <w:color w:val="auto"/>
          <w:kern w:val="0"/>
          <w:szCs w:val="21"/>
          <w:highlight w:val="none"/>
        </w:rPr>
      </w:pPr>
      <w:r>
        <w:rPr>
          <w:rFonts w:hint="eastAsia" w:ascii="宋体" w:hAnsi="宋体" w:cs="宋体"/>
          <w:color w:val="auto"/>
          <w:kern w:val="0"/>
          <w:szCs w:val="21"/>
          <w:highlight w:val="none"/>
        </w:rPr>
        <w:t>本人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（姓名）</w:t>
      </w:r>
      <w:r>
        <w:rPr>
          <w:rFonts w:hint="eastAsia" w:ascii="宋体" w:hAnsi="宋体" w:cs="宋体"/>
          <w:color w:val="auto"/>
          <w:kern w:val="0"/>
          <w:szCs w:val="21"/>
          <w:highlight w:val="none"/>
        </w:rPr>
        <w:t>系</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w:t>
      </w:r>
      <w:r>
        <w:rPr>
          <w:rFonts w:hint="eastAsia" w:ascii="宋体" w:hAnsi="宋体" w:cs="宋体"/>
          <w:color w:val="auto"/>
          <w:spacing w:val="-1"/>
          <w:kern w:val="0"/>
          <w:szCs w:val="21"/>
          <w:highlight w:val="none"/>
          <w:u w:val="single"/>
          <w:lang w:eastAsia="zh-CN"/>
        </w:rPr>
        <w:t>供应商</w:t>
      </w:r>
      <w:r>
        <w:rPr>
          <w:rFonts w:hint="eastAsia" w:ascii="宋体" w:hAnsi="宋体" w:cs="宋体"/>
          <w:color w:val="auto"/>
          <w:kern w:val="0"/>
          <w:szCs w:val="21"/>
          <w:highlight w:val="none"/>
          <w:u w:val="single"/>
        </w:rPr>
        <w:t>名称</w:t>
      </w:r>
      <w:r>
        <w:rPr>
          <w:rFonts w:hint="eastAsia" w:ascii="宋体" w:hAnsi="宋体" w:cs="宋体"/>
          <w:color w:val="auto"/>
          <w:spacing w:val="1"/>
          <w:kern w:val="0"/>
          <w:szCs w:val="21"/>
          <w:highlight w:val="none"/>
          <w:u w:val="single"/>
        </w:rPr>
        <w:t>）</w:t>
      </w:r>
      <w:r>
        <w:rPr>
          <w:rFonts w:hint="eastAsia" w:ascii="宋体" w:hAnsi="宋体" w:cs="宋体"/>
          <w:color w:val="auto"/>
          <w:kern w:val="0"/>
          <w:szCs w:val="21"/>
          <w:highlight w:val="none"/>
        </w:rPr>
        <w:t>的法定代</w:t>
      </w:r>
      <w:r>
        <w:rPr>
          <w:rFonts w:hint="eastAsia" w:ascii="宋体" w:hAnsi="宋体" w:cs="宋体"/>
          <w:color w:val="auto"/>
          <w:spacing w:val="1"/>
          <w:kern w:val="0"/>
          <w:szCs w:val="21"/>
          <w:highlight w:val="none"/>
        </w:rPr>
        <w:t>表</w:t>
      </w:r>
      <w:r>
        <w:rPr>
          <w:rFonts w:hint="eastAsia" w:ascii="宋体" w:hAnsi="宋体" w:cs="宋体"/>
          <w:color w:val="auto"/>
          <w:kern w:val="0"/>
          <w:szCs w:val="21"/>
          <w:highlight w:val="none"/>
        </w:rPr>
        <w:t>人，现委托</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（姓名）</w:t>
      </w:r>
      <w:r>
        <w:rPr>
          <w:rFonts w:hint="eastAsia" w:ascii="宋体" w:hAnsi="宋体" w:cs="宋体"/>
          <w:color w:val="auto"/>
          <w:kern w:val="0"/>
          <w:szCs w:val="21"/>
          <w:highlight w:val="none"/>
        </w:rPr>
        <w:t>为我方代理人。代理人根据授权，</w:t>
      </w:r>
      <w:r>
        <w:rPr>
          <w:rFonts w:hint="eastAsia" w:ascii="宋体" w:hAnsi="宋体" w:cs="宋体"/>
          <w:color w:val="auto"/>
          <w:kern w:val="0"/>
          <w:szCs w:val="21"/>
          <w:highlight w:val="none"/>
          <w:lang w:val="en-US" w:eastAsia="zh-CN"/>
        </w:rPr>
        <w:t>代表</w:t>
      </w:r>
      <w:r>
        <w:rPr>
          <w:rFonts w:hint="eastAsia" w:ascii="宋体" w:hAnsi="宋体" w:cs="宋体"/>
          <w:color w:val="auto"/>
          <w:kern w:val="0"/>
          <w:szCs w:val="21"/>
          <w:highlight w:val="none"/>
        </w:rPr>
        <w:t>我方签署、澄清、说明、补正、递交、撤回、修改</w:t>
      </w:r>
      <w:r>
        <w:rPr>
          <w:rFonts w:hint="eastAsia" w:ascii="宋体" w:hAnsi="宋体" w:cs="宋体"/>
          <w:color w:val="auto"/>
          <w:kern w:val="0"/>
          <w:szCs w:val="21"/>
          <w:highlight w:val="none"/>
          <w:u w:val="single"/>
          <w:lang w:eastAsia="zh-CN"/>
        </w:rPr>
        <w:t>成渝改扩建机电工程监控、通信设施保通及路由管道劳务采购</w:t>
      </w: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、领取原件、签订合同和处理有关事宜， 其法律后果由我方承担。</w:t>
      </w:r>
    </w:p>
    <w:p w14:paraId="26C0C86E">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s="宋体"/>
          <w:color w:val="auto"/>
          <w:kern w:val="0"/>
          <w:szCs w:val="21"/>
          <w:highlight w:val="none"/>
        </w:rPr>
      </w:pPr>
      <w:r>
        <w:rPr>
          <w:rFonts w:hint="eastAsia" w:ascii="宋体" w:hAnsi="宋体" w:cs="宋体"/>
          <w:color w:val="auto"/>
          <w:kern w:val="0"/>
          <w:szCs w:val="21"/>
          <w:highlight w:val="none"/>
        </w:rPr>
        <w:t>委托</w:t>
      </w:r>
      <w:r>
        <w:rPr>
          <w:rFonts w:hint="eastAsia" w:ascii="宋体" w:hAnsi="宋体" w:cs="宋体"/>
          <w:color w:val="auto"/>
          <w:spacing w:val="-1"/>
          <w:kern w:val="0"/>
          <w:szCs w:val="21"/>
          <w:highlight w:val="none"/>
        </w:rPr>
        <w:t>期</w:t>
      </w:r>
      <w:r>
        <w:rPr>
          <w:rFonts w:hint="eastAsia" w:ascii="宋体" w:hAnsi="宋体" w:cs="宋体"/>
          <w:color w:val="auto"/>
          <w:kern w:val="0"/>
          <w:szCs w:val="21"/>
          <w:highlight w:val="none"/>
        </w:rPr>
        <w:t>限：</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ab/>
      </w:r>
      <w:r>
        <w:rPr>
          <w:rFonts w:hint="eastAsia" w:ascii="宋体" w:hAnsi="宋体" w:cs="宋体"/>
          <w:color w:val="auto"/>
          <w:kern w:val="0"/>
          <w:szCs w:val="21"/>
          <w:highlight w:val="none"/>
        </w:rPr>
        <w:t xml:space="preserve">。 </w:t>
      </w:r>
    </w:p>
    <w:p w14:paraId="3CF56BEE">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s="宋体"/>
          <w:color w:val="auto"/>
          <w:kern w:val="0"/>
          <w:sz w:val="20"/>
          <w:szCs w:val="20"/>
          <w:highlight w:val="none"/>
        </w:rPr>
      </w:pPr>
      <w:r>
        <w:rPr>
          <w:rFonts w:hint="eastAsia" w:ascii="宋体" w:hAnsi="宋体" w:cs="宋体"/>
          <w:color w:val="auto"/>
          <w:kern w:val="0"/>
          <w:szCs w:val="21"/>
          <w:highlight w:val="none"/>
        </w:rPr>
        <w:t>代理人无转委托权。</w:t>
      </w:r>
    </w:p>
    <w:p w14:paraId="5D927FD8">
      <w:pPr>
        <w:tabs>
          <w:tab w:val="left" w:pos="4200"/>
          <w:tab w:val="left" w:pos="462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rPr>
      </w:pPr>
      <w:r>
        <w:rPr>
          <w:rFonts w:hint="eastAsia" w:ascii="宋体" w:hAnsi="宋体" w:cs="宋体"/>
          <w:snapToGrid w:val="0"/>
          <w:color w:val="auto"/>
          <w:kern w:val="0"/>
          <w:szCs w:val="21"/>
          <w:highlight w:val="none"/>
          <w:lang w:val="en-US" w:eastAsia="zh-CN"/>
        </w:rPr>
        <w:t>供 应 商</w:t>
      </w:r>
      <w:r>
        <w:rPr>
          <w:rFonts w:hint="eastAsia" w:ascii="宋体" w:hAnsi="宋体" w:cs="宋体"/>
          <w:color w:val="auto"/>
          <w:kern w:val="0"/>
          <w:szCs w:val="21"/>
          <w:highlight w:val="none"/>
        </w:rPr>
        <w:t>：</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color w:val="auto"/>
          <w:spacing w:val="-1"/>
          <w:kern w:val="0"/>
          <w:szCs w:val="21"/>
          <w:highlight w:val="none"/>
        </w:rPr>
        <w:t>盖单位法人章</w:t>
      </w:r>
      <w:r>
        <w:rPr>
          <w:rFonts w:hint="eastAsia" w:ascii="宋体" w:hAnsi="宋体" w:cs="宋体"/>
          <w:color w:val="auto"/>
          <w:kern w:val="0"/>
          <w:szCs w:val="21"/>
          <w:highlight w:val="none"/>
        </w:rPr>
        <w:t>）</w:t>
      </w:r>
    </w:p>
    <w:p w14:paraId="5E39644B">
      <w:pPr>
        <w:tabs>
          <w:tab w:val="left" w:pos="630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法定代表人：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（签名或盖章）</w:t>
      </w:r>
    </w:p>
    <w:p w14:paraId="2CB6345D">
      <w:pPr>
        <w:tabs>
          <w:tab w:val="left" w:pos="526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身份证号码：</w:t>
      </w:r>
      <w:r>
        <w:rPr>
          <w:rFonts w:hint="eastAsia" w:ascii="宋体" w:hAnsi="宋体" w:cs="宋体"/>
          <w:color w:val="auto"/>
          <w:w w:val="200"/>
          <w:kern w:val="0"/>
          <w:szCs w:val="21"/>
          <w:highlight w:val="none"/>
          <w:u w:val="single"/>
        </w:rPr>
        <w:t xml:space="preserve">                           </w:t>
      </w:r>
    </w:p>
    <w:p w14:paraId="6861BEED">
      <w:pPr>
        <w:tabs>
          <w:tab w:val="left" w:pos="526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委托代理人：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（签名）</w:t>
      </w:r>
    </w:p>
    <w:p w14:paraId="0511CFFE">
      <w:pPr>
        <w:tabs>
          <w:tab w:val="left" w:pos="6825"/>
        </w:tabs>
        <w:autoSpaceDE w:val="0"/>
        <w:autoSpaceDN w:val="0"/>
        <w:adjustRightInd w:val="0"/>
        <w:snapToGrid w:val="0"/>
        <w:spacing w:line="48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身份证号码：</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p>
    <w:p w14:paraId="5FA61C41">
      <w:pPr>
        <w:tabs>
          <w:tab w:val="left" w:pos="6825"/>
        </w:tabs>
        <w:autoSpaceDE w:val="0"/>
        <w:autoSpaceDN w:val="0"/>
        <w:adjustRightInd w:val="0"/>
        <w:snapToGrid w:val="0"/>
        <w:spacing w:line="48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单位电话（座机）：</w:t>
      </w:r>
      <w:r>
        <w:rPr>
          <w:rFonts w:hint="eastAsia" w:ascii="宋体" w:hAnsi="宋体" w:cs="宋体"/>
          <w:color w:val="auto"/>
          <w:kern w:val="0"/>
          <w:szCs w:val="21"/>
          <w:highlight w:val="none"/>
          <w:u w:val="single"/>
        </w:rPr>
        <w:t xml:space="preserve">                                    </w:t>
      </w:r>
    </w:p>
    <w:p w14:paraId="430AC115">
      <w:pPr>
        <w:tabs>
          <w:tab w:val="left" w:pos="6825"/>
        </w:tabs>
        <w:autoSpaceDE w:val="0"/>
        <w:autoSpaceDN w:val="0"/>
        <w:adjustRightInd w:val="0"/>
        <w:snapToGrid w:val="0"/>
        <w:spacing w:line="480" w:lineRule="auto"/>
        <w:ind w:firstLine="420" w:firstLineChars="200"/>
        <w:jc w:val="left"/>
        <w:rPr>
          <w:rFonts w:ascii="宋体" w:hAnsi="宋体" w:cs="宋体"/>
          <w:color w:val="auto"/>
          <w:kern w:val="0"/>
          <w:sz w:val="20"/>
          <w:szCs w:val="20"/>
          <w:highlight w:val="none"/>
          <w:u w:val="single"/>
        </w:rPr>
      </w:pPr>
      <w:r>
        <w:rPr>
          <w:rFonts w:hint="eastAsia" w:ascii="宋体" w:hAnsi="宋体" w:cs="宋体"/>
          <w:color w:val="auto"/>
          <w:kern w:val="0"/>
          <w:szCs w:val="21"/>
          <w:highlight w:val="none"/>
        </w:rPr>
        <w:t xml:space="preserve">委托代理人电话（手机）：                                                </w:t>
      </w:r>
    </w:p>
    <w:p w14:paraId="02092613">
      <w:pPr>
        <w:autoSpaceDE w:val="0"/>
        <w:autoSpaceDN w:val="0"/>
        <w:adjustRightInd w:val="0"/>
        <w:snapToGrid w:val="0"/>
        <w:spacing w:line="480" w:lineRule="auto"/>
        <w:jc w:val="left"/>
        <w:rPr>
          <w:rFonts w:ascii="宋体" w:hAnsi="宋体" w:cs="宋体"/>
          <w:color w:val="auto"/>
          <w:kern w:val="0"/>
          <w:sz w:val="20"/>
          <w:szCs w:val="20"/>
          <w:highlight w:val="none"/>
        </w:rPr>
      </w:pPr>
    </w:p>
    <w:p w14:paraId="47EA43E2">
      <w:pPr>
        <w:autoSpaceDE w:val="0"/>
        <w:autoSpaceDN w:val="0"/>
        <w:adjustRightInd w:val="0"/>
        <w:snapToGrid w:val="0"/>
        <w:spacing w:line="480" w:lineRule="auto"/>
        <w:ind w:firstLine="810" w:firstLineChars="386"/>
        <w:jc w:val="left"/>
        <w:rPr>
          <w:rFonts w:ascii="宋体" w:hAnsi="宋体" w:cs="宋体"/>
          <w:color w:val="auto"/>
          <w:kern w:val="0"/>
          <w:szCs w:val="21"/>
          <w:highlight w:val="none"/>
        </w:rPr>
      </w:pPr>
      <w:r>
        <w:rPr>
          <w:rFonts w:hint="eastAsia" w:ascii="宋体" w:hAnsi="宋体" w:cs="宋体"/>
          <w:color w:val="auto"/>
          <w:kern w:val="0"/>
          <w:szCs w:val="21"/>
          <w:highlight w:val="none"/>
        </w:rPr>
        <w:t>附：法定代表人和委托代理人身份证</w:t>
      </w:r>
      <w:r>
        <w:rPr>
          <w:rFonts w:hint="eastAsia" w:ascii="宋体" w:hAnsi="宋体" w:cs="宋体"/>
          <w:color w:val="auto"/>
          <w:kern w:val="0"/>
          <w:szCs w:val="21"/>
          <w:highlight w:val="none"/>
          <w:lang w:val="en-US" w:eastAsia="zh-CN"/>
        </w:rPr>
        <w:t>明</w:t>
      </w:r>
      <w:r>
        <w:rPr>
          <w:rFonts w:hint="eastAsia" w:ascii="宋体" w:hAnsi="宋体" w:cs="宋体"/>
          <w:color w:val="auto"/>
          <w:kern w:val="0"/>
          <w:szCs w:val="21"/>
          <w:highlight w:val="none"/>
          <w:lang w:eastAsia="zh-CN"/>
        </w:rPr>
        <w:t>复印件</w:t>
      </w:r>
      <w:r>
        <w:rPr>
          <w:rFonts w:hint="eastAsia" w:ascii="宋体" w:hAnsi="宋体" w:cs="宋体"/>
          <w:color w:val="auto"/>
          <w:kern w:val="0"/>
          <w:szCs w:val="21"/>
          <w:highlight w:val="none"/>
        </w:rPr>
        <w:t>（双面）</w:t>
      </w:r>
    </w:p>
    <w:p w14:paraId="00DD6754">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51A173FA">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26E8BBF2">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624EEB79">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27DB5F1B">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2FC37711">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63A606C8">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kern w:val="0"/>
          <w:szCs w:val="21"/>
          <w:highlight w:val="none"/>
        </w:rPr>
      </w:pP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0B8C17B8">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s="宋体"/>
          <w:color w:val="auto"/>
          <w:kern w:val="0"/>
          <w:highlight w:val="none"/>
        </w:rPr>
      </w:pPr>
      <w:r>
        <w:rPr>
          <w:rFonts w:hint="eastAsia" w:ascii="宋体" w:hAnsi="宋体" w:cs="宋体"/>
          <w:color w:val="auto"/>
          <w:kern w:val="0"/>
          <w:szCs w:val="21"/>
          <w:highlight w:val="none"/>
        </w:rPr>
        <w:t xml:space="preserve"> </w:t>
      </w:r>
    </w:p>
    <w:p w14:paraId="69A46E0F">
      <w:pPr>
        <w:tabs>
          <w:tab w:val="left" w:pos="5760"/>
        </w:tabs>
        <w:autoSpaceDE w:val="0"/>
        <w:autoSpaceDN w:val="0"/>
        <w:adjustRightIn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注：1、法定代表人参加</w:t>
      </w: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活动并签署文件的不需要授权委托书，只需提供法定代表人身份证明；非法定代表人参加</w:t>
      </w: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活动及签署文件的除提供法定代表人身份证明外还须提供授权委托书。</w:t>
      </w:r>
    </w:p>
    <w:p w14:paraId="091853A5">
      <w:pPr>
        <w:spacing w:line="360" w:lineRule="auto"/>
        <w:ind w:firstLine="420" w:firstLineChars="200"/>
        <w:jc w:val="center"/>
        <w:rPr>
          <w:rFonts w:ascii="宋体" w:hAnsi="宋体" w:cs="宋体"/>
          <w:snapToGrid w:val="0"/>
          <w:color w:val="auto"/>
          <w:kern w:val="0"/>
          <w:sz w:val="32"/>
          <w:szCs w:val="32"/>
          <w:highlight w:val="none"/>
        </w:rPr>
      </w:pPr>
      <w:r>
        <w:rPr>
          <w:rFonts w:hint="eastAsia" w:ascii="宋体" w:hAnsi="宋体" w:cs="宋体"/>
          <w:color w:val="auto"/>
          <w:kern w:val="0"/>
          <w:szCs w:val="21"/>
          <w:highlight w:val="none"/>
        </w:rPr>
        <w:t>2、</w:t>
      </w:r>
      <w:r>
        <w:rPr>
          <w:rFonts w:hint="eastAsia" w:ascii="宋体" w:hAnsi="宋体" w:cs="宋体"/>
          <w:color w:val="auto"/>
          <w:highlight w:val="none"/>
        </w:rPr>
        <w:t>授权委托书需按上述格式填写完整，不可缺少内容。在此基础上增加内容的不影响其有效性。</w:t>
      </w:r>
    </w:p>
    <w:p w14:paraId="6A0EA713">
      <w:pPr>
        <w:pStyle w:val="4"/>
        <w:spacing w:line="360" w:lineRule="auto"/>
        <w:jc w:val="center"/>
        <w:rPr>
          <w:rFonts w:ascii="宋体" w:hAnsi="宋体" w:cs="宋体"/>
          <w:color w:val="auto"/>
          <w:highlight w:val="none"/>
        </w:rPr>
      </w:pPr>
      <w:bookmarkStart w:id="996" w:name="_Toc224103500"/>
      <w:r>
        <w:rPr>
          <w:rFonts w:hint="eastAsia" w:ascii="宋体" w:hAnsi="宋体" w:cs="宋体"/>
          <w:color w:val="auto"/>
          <w:highlight w:val="none"/>
        </w:rPr>
        <w:br w:type="page"/>
      </w:r>
      <w:bookmarkEnd w:id="996"/>
      <w:bookmarkStart w:id="997" w:name="_Toc9803"/>
      <w:bookmarkStart w:id="998" w:name="_Toc14424"/>
      <w:bookmarkStart w:id="999" w:name="_Toc7263"/>
    </w:p>
    <w:p w14:paraId="54D9A18C">
      <w:pPr>
        <w:rPr>
          <w:rFonts w:ascii="宋体" w:hAnsi="宋体" w:cs="宋体"/>
          <w:color w:val="auto"/>
          <w:sz w:val="44"/>
          <w:szCs w:val="44"/>
          <w:highlight w:val="none"/>
        </w:rPr>
      </w:pPr>
    </w:p>
    <w:p w14:paraId="7BB44A4F">
      <w:pPr>
        <w:pStyle w:val="4"/>
        <w:spacing w:line="360" w:lineRule="auto"/>
        <w:jc w:val="center"/>
        <w:rPr>
          <w:rFonts w:hint="eastAsia" w:ascii="宋体" w:hAnsi="宋体" w:eastAsia="宋体" w:cs="宋体"/>
          <w:b w:val="0"/>
          <w:bCs w:val="0"/>
          <w:color w:val="auto"/>
          <w:sz w:val="44"/>
          <w:szCs w:val="44"/>
          <w:highlight w:val="none"/>
          <w:lang w:eastAsia="zh-CN"/>
        </w:rPr>
      </w:pPr>
      <w:bookmarkStart w:id="1000" w:name="_Toc19892"/>
      <w:bookmarkStart w:id="1001" w:name="_Toc5801"/>
      <w:r>
        <w:rPr>
          <w:rFonts w:hint="eastAsia" w:ascii="宋体" w:hAnsi="宋体" w:cs="宋体"/>
          <w:b w:val="0"/>
          <w:bCs w:val="0"/>
          <w:color w:val="auto"/>
          <w:sz w:val="44"/>
          <w:szCs w:val="44"/>
          <w:highlight w:val="none"/>
        </w:rPr>
        <w:t>二、</w:t>
      </w:r>
      <w:bookmarkEnd w:id="997"/>
      <w:bookmarkEnd w:id="998"/>
      <w:bookmarkEnd w:id="999"/>
      <w:bookmarkEnd w:id="1000"/>
      <w:r>
        <w:rPr>
          <w:rFonts w:hint="eastAsia" w:ascii="宋体" w:hAnsi="宋体" w:cs="宋体"/>
          <w:b w:val="0"/>
          <w:bCs w:val="0"/>
          <w:color w:val="auto"/>
          <w:sz w:val="44"/>
          <w:szCs w:val="44"/>
          <w:highlight w:val="none"/>
          <w:lang w:eastAsia="zh-CN"/>
        </w:rPr>
        <w:t>报价部分</w:t>
      </w:r>
      <w:bookmarkEnd w:id="1001"/>
    </w:p>
    <w:p w14:paraId="64E7FDD3">
      <w:pPr>
        <w:autoSpaceDE w:val="0"/>
        <w:autoSpaceDN w:val="0"/>
        <w:adjustRightInd w:val="0"/>
        <w:snapToGrid w:val="0"/>
        <w:spacing w:line="360" w:lineRule="auto"/>
        <w:jc w:val="center"/>
        <w:rPr>
          <w:rFonts w:ascii="宋体" w:hAnsi="宋体" w:cs="宋体"/>
          <w:color w:val="auto"/>
          <w:sz w:val="32"/>
          <w:szCs w:val="32"/>
          <w:highlight w:val="none"/>
        </w:rPr>
      </w:pPr>
    </w:p>
    <w:p w14:paraId="0AF06F9B">
      <w:pPr>
        <w:tabs>
          <w:tab w:val="left" w:pos="3280"/>
          <w:tab w:val="left" w:pos="4680"/>
          <w:tab w:val="left" w:pos="6080"/>
        </w:tabs>
        <w:autoSpaceDE w:val="0"/>
        <w:autoSpaceDN w:val="0"/>
        <w:adjustRightInd w:val="0"/>
        <w:snapToGrid w:val="0"/>
        <w:spacing w:after="156" w:afterLines="50" w:line="360" w:lineRule="auto"/>
        <w:jc w:val="center"/>
        <w:rPr>
          <w:rFonts w:ascii="宋体" w:hAnsi="宋体" w:cs="宋体"/>
          <w:color w:val="auto"/>
          <w:kern w:val="0"/>
          <w:sz w:val="24"/>
          <w:szCs w:val="21"/>
          <w:highlight w:val="none"/>
        </w:rPr>
      </w:pPr>
      <w:r>
        <w:rPr>
          <w:rFonts w:hint="eastAsia" w:ascii="宋体" w:hAnsi="宋体" w:cs="宋体"/>
          <w:color w:val="auto"/>
          <w:sz w:val="32"/>
          <w:szCs w:val="32"/>
          <w:highlight w:val="none"/>
        </w:rPr>
        <w:br w:type="page"/>
      </w:r>
    </w:p>
    <w:p w14:paraId="7FBE77D0">
      <w:pPr>
        <w:autoSpaceDE w:val="0"/>
        <w:autoSpaceDN w:val="0"/>
        <w:adjustRightInd w:val="0"/>
        <w:snapToGrid w:val="0"/>
        <w:spacing w:line="360" w:lineRule="auto"/>
        <w:jc w:val="center"/>
        <w:rPr>
          <w:rFonts w:ascii="宋体" w:hAnsi="宋体" w:cs="宋体"/>
          <w:color w:val="auto"/>
          <w:kern w:val="0"/>
          <w:szCs w:val="21"/>
          <w:highlight w:val="none"/>
        </w:rPr>
      </w:pPr>
      <w:r>
        <w:rPr>
          <w:rFonts w:hint="eastAsia" w:ascii="宋体" w:hAnsi="宋体" w:cs="宋体"/>
          <w:color w:val="auto"/>
          <w:kern w:val="0"/>
          <w:sz w:val="36"/>
          <w:szCs w:val="36"/>
          <w:highlight w:val="none"/>
        </w:rPr>
        <w:t>目  录</w:t>
      </w:r>
    </w:p>
    <w:p w14:paraId="7DB98A6D">
      <w:pPr>
        <w:autoSpaceDE w:val="0"/>
        <w:autoSpaceDN w:val="0"/>
        <w:adjustRightInd w:val="0"/>
        <w:snapToGrid w:val="0"/>
        <w:spacing w:line="360" w:lineRule="auto"/>
        <w:jc w:val="left"/>
        <w:rPr>
          <w:rFonts w:ascii="宋体" w:hAnsi="宋体" w:cs="宋体"/>
          <w:color w:val="auto"/>
          <w:kern w:val="0"/>
          <w:szCs w:val="21"/>
          <w:highlight w:val="none"/>
        </w:rPr>
      </w:pPr>
    </w:p>
    <w:p w14:paraId="25EC6F0B">
      <w:pPr>
        <w:autoSpaceDE w:val="0"/>
        <w:autoSpaceDN w:val="0"/>
        <w:adjustRightInd w:val="0"/>
        <w:snapToGrid w:val="0"/>
        <w:spacing w:line="360" w:lineRule="auto"/>
        <w:jc w:val="center"/>
        <w:rPr>
          <w:rFonts w:ascii="宋体" w:hAnsi="宋体" w:cs="宋体"/>
          <w:i/>
          <w:iCs/>
          <w:color w:val="auto"/>
          <w:kern w:val="0"/>
          <w:szCs w:val="21"/>
          <w:highlight w:val="none"/>
        </w:rPr>
      </w:pPr>
      <w:r>
        <w:rPr>
          <w:rFonts w:hint="eastAsia" w:ascii="宋体" w:hAnsi="宋体" w:cs="宋体"/>
          <w:i/>
          <w:iCs/>
          <w:color w:val="auto"/>
          <w:kern w:val="0"/>
          <w:szCs w:val="21"/>
          <w:highlight w:val="none"/>
        </w:rPr>
        <w:t>[目录由</w:t>
      </w:r>
      <w:r>
        <w:rPr>
          <w:rFonts w:hint="eastAsia" w:ascii="宋体" w:hAnsi="宋体" w:cs="宋体"/>
          <w:i/>
          <w:iCs/>
          <w:color w:val="auto"/>
          <w:kern w:val="0"/>
          <w:szCs w:val="21"/>
          <w:highlight w:val="none"/>
          <w:lang w:eastAsia="zh-CN"/>
        </w:rPr>
        <w:t>供应商</w:t>
      </w:r>
      <w:r>
        <w:rPr>
          <w:rFonts w:hint="eastAsia" w:ascii="宋体" w:hAnsi="宋体" w:cs="宋体"/>
          <w:i/>
          <w:iCs/>
          <w:color w:val="auto"/>
          <w:kern w:val="0"/>
          <w:szCs w:val="21"/>
          <w:highlight w:val="none"/>
        </w:rPr>
        <w:t>自行编制]</w:t>
      </w:r>
    </w:p>
    <w:p w14:paraId="6F25915A">
      <w:pPr>
        <w:pStyle w:val="5"/>
        <w:spacing w:before="0" w:after="0" w:line="240" w:lineRule="auto"/>
        <w:jc w:val="center"/>
        <w:rPr>
          <w:rFonts w:ascii="宋体" w:hAnsi="宋体" w:cs="宋体"/>
          <w:b w:val="0"/>
          <w:bCs w:val="0"/>
          <w:color w:val="auto"/>
          <w:highlight w:val="none"/>
        </w:rPr>
      </w:pPr>
      <w:bookmarkStart w:id="1002" w:name="_Toc277082648"/>
      <w:bookmarkStart w:id="1003" w:name="_Toc287620820"/>
      <w:bookmarkStart w:id="1004" w:name="_Toc287607873"/>
      <w:bookmarkStart w:id="1005" w:name="_Toc224103501"/>
      <w:bookmarkStart w:id="1006" w:name="_Toc430530535"/>
      <w:r>
        <w:rPr>
          <w:rFonts w:hint="eastAsia" w:ascii="宋体" w:hAnsi="宋体" w:cs="宋体"/>
          <w:b w:val="0"/>
          <w:bCs w:val="0"/>
          <w:color w:val="auto"/>
          <w:kern w:val="0"/>
          <w:sz w:val="21"/>
          <w:szCs w:val="21"/>
          <w:highlight w:val="none"/>
        </w:rPr>
        <w:br w:type="page"/>
      </w:r>
      <w:bookmarkStart w:id="1007" w:name="_Toc215"/>
      <w:bookmarkStart w:id="1008" w:name="_Toc22690"/>
      <w:bookmarkStart w:id="1009" w:name="_Toc24814"/>
      <w:bookmarkStart w:id="1010" w:name="_Toc10606"/>
      <w:bookmarkStart w:id="1011" w:name="_Toc16267"/>
      <w:r>
        <w:rPr>
          <w:rFonts w:hint="eastAsia" w:ascii="宋体" w:hAnsi="宋体" w:cs="宋体"/>
          <w:b w:val="0"/>
          <w:bCs w:val="0"/>
          <w:color w:val="auto"/>
          <w:highlight w:val="none"/>
        </w:rPr>
        <w:t>（一）已标价工程量清单</w:t>
      </w:r>
      <w:bookmarkEnd w:id="1002"/>
      <w:bookmarkEnd w:id="1003"/>
      <w:bookmarkEnd w:id="1004"/>
      <w:bookmarkEnd w:id="1005"/>
      <w:bookmarkEnd w:id="1006"/>
      <w:bookmarkEnd w:id="1007"/>
      <w:bookmarkEnd w:id="1008"/>
      <w:bookmarkEnd w:id="1009"/>
      <w:bookmarkEnd w:id="1010"/>
      <w:bookmarkEnd w:id="1011"/>
    </w:p>
    <w:p w14:paraId="4D9F3289">
      <w:pPr>
        <w:tabs>
          <w:tab w:val="left" w:pos="2580"/>
          <w:tab w:val="left" w:pos="5940"/>
        </w:tabs>
        <w:autoSpaceDE w:val="0"/>
        <w:autoSpaceDN w:val="0"/>
        <w:adjustRightInd w:val="0"/>
        <w:snapToGrid w:val="0"/>
        <w:spacing w:line="360" w:lineRule="auto"/>
        <w:ind w:firstLine="2940"/>
        <w:jc w:val="left"/>
        <w:rPr>
          <w:rFonts w:ascii="宋体" w:hAnsi="宋体" w:cs="宋体"/>
          <w:color w:val="auto"/>
          <w:kern w:val="0"/>
          <w:sz w:val="28"/>
          <w:szCs w:val="28"/>
          <w:highlight w:val="none"/>
        </w:rPr>
      </w:pPr>
    </w:p>
    <w:p w14:paraId="177A749E">
      <w:pPr>
        <w:pStyle w:val="5"/>
        <w:spacing w:before="0" w:after="0" w:line="240" w:lineRule="auto"/>
        <w:jc w:val="center"/>
        <w:rPr>
          <w:rFonts w:ascii="宋体" w:hAnsi="宋体" w:eastAsia="宋体" w:cs="宋体"/>
          <w:b w:val="0"/>
          <w:bCs w:val="0"/>
          <w:color w:val="auto"/>
          <w:highlight w:val="none"/>
        </w:rPr>
      </w:pPr>
      <w:r>
        <w:rPr>
          <w:rFonts w:hint="eastAsia" w:ascii="宋体" w:hAnsi="宋体" w:cs="宋体"/>
          <w:color w:val="auto"/>
          <w:highlight w:val="none"/>
        </w:rPr>
        <w:br w:type="page"/>
      </w:r>
    </w:p>
    <w:p w14:paraId="7A57A5FC">
      <w:pPr>
        <w:spacing w:line="360" w:lineRule="auto"/>
        <w:jc w:val="center"/>
        <w:rPr>
          <w:rFonts w:hint="eastAsia" w:ascii="宋体" w:hAnsi="宋体" w:cs="宋体"/>
          <w:color w:val="auto"/>
          <w:sz w:val="44"/>
          <w:szCs w:val="44"/>
          <w:highlight w:val="none"/>
        </w:rPr>
      </w:pPr>
      <w:bookmarkStart w:id="1012" w:name="_Toc6859"/>
      <w:bookmarkStart w:id="1013" w:name="_Toc20304"/>
      <w:bookmarkStart w:id="1014" w:name="_Toc5607"/>
    </w:p>
    <w:p w14:paraId="4BEE7B82">
      <w:pPr>
        <w:pStyle w:val="4"/>
        <w:spacing w:line="360" w:lineRule="auto"/>
        <w:jc w:val="center"/>
        <w:rPr>
          <w:rFonts w:ascii="宋体" w:hAnsi="宋体" w:cs="宋体"/>
          <w:b w:val="0"/>
          <w:bCs w:val="0"/>
          <w:color w:val="auto"/>
          <w:sz w:val="44"/>
          <w:szCs w:val="44"/>
          <w:highlight w:val="none"/>
        </w:rPr>
      </w:pPr>
      <w:bookmarkStart w:id="1015" w:name="_Toc31662"/>
      <w:r>
        <w:rPr>
          <w:rFonts w:hint="eastAsia" w:ascii="宋体" w:hAnsi="宋体" w:cs="宋体"/>
          <w:color w:val="auto"/>
          <w:sz w:val="44"/>
          <w:szCs w:val="44"/>
          <w:highlight w:val="none"/>
        </w:rPr>
        <w:t>三、</w:t>
      </w:r>
      <w:r>
        <w:rPr>
          <w:rFonts w:hint="eastAsia" w:ascii="宋体" w:hAnsi="宋体" w:cs="宋体"/>
          <w:b w:val="0"/>
          <w:bCs w:val="0"/>
          <w:color w:val="auto"/>
          <w:sz w:val="44"/>
          <w:szCs w:val="44"/>
          <w:highlight w:val="none"/>
        </w:rPr>
        <w:t>技术部分</w:t>
      </w:r>
      <w:bookmarkEnd w:id="1012"/>
      <w:bookmarkEnd w:id="1013"/>
      <w:bookmarkEnd w:id="1014"/>
      <w:bookmarkEnd w:id="1015"/>
    </w:p>
    <w:p w14:paraId="5204EED8">
      <w:pPr>
        <w:jc w:val="center"/>
        <w:rPr>
          <w:rFonts w:ascii="宋体" w:hAnsi="宋体" w:cs="宋体"/>
          <w:i/>
          <w:iCs/>
          <w:color w:val="auto"/>
          <w:highlight w:val="none"/>
        </w:rPr>
      </w:pPr>
      <w:bookmarkStart w:id="1016" w:name="_Toc430530537"/>
      <w:bookmarkStart w:id="1017" w:name="_Toc534185833"/>
      <w:bookmarkStart w:id="1018" w:name="_Toc509218856"/>
      <w:bookmarkStart w:id="1019" w:name="_Toc536628352"/>
    </w:p>
    <w:bookmarkEnd w:id="1016"/>
    <w:bookmarkEnd w:id="1017"/>
    <w:bookmarkEnd w:id="1018"/>
    <w:bookmarkEnd w:id="1019"/>
    <w:p w14:paraId="7010863D">
      <w:pPr>
        <w:jc w:val="center"/>
        <w:rPr>
          <w:rFonts w:ascii="宋体" w:hAnsi="宋体" w:cs="宋体"/>
          <w:color w:val="auto"/>
          <w:highlight w:val="none"/>
        </w:rPr>
      </w:pPr>
    </w:p>
    <w:p w14:paraId="4B6E77E8">
      <w:pPr>
        <w:autoSpaceDE w:val="0"/>
        <w:autoSpaceDN w:val="0"/>
        <w:adjustRightInd w:val="0"/>
        <w:snapToGrid w:val="0"/>
        <w:spacing w:line="360" w:lineRule="auto"/>
        <w:jc w:val="center"/>
        <w:rPr>
          <w:rFonts w:ascii="宋体" w:hAnsi="宋体" w:cs="宋体"/>
          <w:color w:val="auto"/>
          <w:sz w:val="44"/>
          <w:szCs w:val="44"/>
          <w:highlight w:val="none"/>
        </w:rPr>
      </w:pPr>
    </w:p>
    <w:p w14:paraId="4CC0527F">
      <w:pPr>
        <w:autoSpaceDE w:val="0"/>
        <w:autoSpaceDN w:val="0"/>
        <w:adjustRightInd w:val="0"/>
        <w:snapToGrid w:val="0"/>
        <w:spacing w:line="360" w:lineRule="auto"/>
        <w:jc w:val="center"/>
        <w:rPr>
          <w:rFonts w:ascii="宋体" w:hAnsi="宋体" w:cs="宋体"/>
          <w:color w:val="auto"/>
          <w:kern w:val="0"/>
          <w:sz w:val="32"/>
          <w:szCs w:val="32"/>
          <w:highlight w:val="none"/>
        </w:rPr>
      </w:pPr>
      <w:r>
        <w:rPr>
          <w:rFonts w:hint="eastAsia" w:ascii="宋体" w:hAnsi="宋体" w:cs="宋体"/>
          <w:color w:val="auto"/>
          <w:sz w:val="44"/>
          <w:szCs w:val="44"/>
          <w:highlight w:val="none"/>
        </w:rPr>
        <w:br w:type="page"/>
      </w:r>
      <w:r>
        <w:rPr>
          <w:rFonts w:hint="eastAsia" w:ascii="宋体" w:hAnsi="宋体" w:cs="宋体"/>
          <w:color w:val="auto"/>
          <w:kern w:val="0"/>
          <w:sz w:val="36"/>
          <w:szCs w:val="36"/>
          <w:highlight w:val="none"/>
        </w:rPr>
        <w:t>目  录</w:t>
      </w:r>
    </w:p>
    <w:p w14:paraId="78D5F86E">
      <w:pPr>
        <w:pStyle w:val="2"/>
        <w:rPr>
          <w:rFonts w:ascii="宋体" w:hAnsi="宋体" w:cs="宋体"/>
          <w:color w:val="auto"/>
          <w:highlight w:val="none"/>
        </w:rPr>
      </w:pPr>
    </w:p>
    <w:p w14:paraId="7E8E1EED">
      <w:pPr>
        <w:autoSpaceDE w:val="0"/>
        <w:autoSpaceDN w:val="0"/>
        <w:adjustRightInd w:val="0"/>
        <w:snapToGrid w:val="0"/>
        <w:spacing w:line="360" w:lineRule="auto"/>
        <w:jc w:val="center"/>
        <w:rPr>
          <w:rFonts w:ascii="宋体" w:hAnsi="宋体" w:cs="宋体"/>
          <w:i/>
          <w:iCs/>
          <w:color w:val="auto"/>
          <w:kern w:val="0"/>
          <w:szCs w:val="21"/>
          <w:highlight w:val="none"/>
        </w:rPr>
      </w:pPr>
      <w:r>
        <w:rPr>
          <w:rFonts w:hint="eastAsia" w:ascii="宋体" w:hAnsi="宋体" w:cs="宋体"/>
          <w:i/>
          <w:iCs/>
          <w:color w:val="auto"/>
          <w:kern w:val="0"/>
          <w:szCs w:val="21"/>
          <w:highlight w:val="none"/>
        </w:rPr>
        <w:t>[目录由</w:t>
      </w:r>
      <w:r>
        <w:rPr>
          <w:rFonts w:hint="eastAsia" w:ascii="宋体" w:hAnsi="宋体" w:cs="宋体"/>
          <w:i/>
          <w:iCs/>
          <w:color w:val="auto"/>
          <w:kern w:val="0"/>
          <w:szCs w:val="21"/>
          <w:highlight w:val="none"/>
          <w:lang w:eastAsia="zh-CN"/>
        </w:rPr>
        <w:t>供应商</w:t>
      </w:r>
      <w:r>
        <w:rPr>
          <w:rFonts w:hint="eastAsia" w:ascii="宋体" w:hAnsi="宋体" w:cs="宋体"/>
          <w:i/>
          <w:iCs/>
          <w:color w:val="auto"/>
          <w:kern w:val="0"/>
          <w:szCs w:val="21"/>
          <w:highlight w:val="none"/>
        </w:rPr>
        <w:t>自行编制]</w:t>
      </w:r>
    </w:p>
    <w:p w14:paraId="5F48DD91">
      <w:pPr>
        <w:autoSpaceDE w:val="0"/>
        <w:autoSpaceDN w:val="0"/>
        <w:adjustRightInd w:val="0"/>
        <w:snapToGrid w:val="0"/>
        <w:spacing w:line="360" w:lineRule="auto"/>
        <w:jc w:val="center"/>
        <w:rPr>
          <w:rFonts w:ascii="宋体" w:hAnsi="宋体" w:cs="宋体"/>
          <w:color w:val="auto"/>
          <w:kern w:val="0"/>
          <w:szCs w:val="21"/>
          <w:highlight w:val="none"/>
        </w:rPr>
      </w:pPr>
    </w:p>
    <w:p w14:paraId="2EDF0DDA">
      <w:pPr>
        <w:pStyle w:val="5"/>
        <w:spacing w:before="0" w:after="0" w:line="240" w:lineRule="auto"/>
        <w:jc w:val="center"/>
        <w:rPr>
          <w:rFonts w:ascii="宋体" w:hAnsi="宋体" w:cs="宋体"/>
          <w:color w:val="auto"/>
          <w:sz w:val="36"/>
          <w:szCs w:val="36"/>
          <w:highlight w:val="none"/>
        </w:rPr>
      </w:pPr>
      <w:r>
        <w:rPr>
          <w:rFonts w:hint="eastAsia" w:ascii="宋体" w:hAnsi="宋体" w:cs="宋体"/>
          <w:color w:val="auto"/>
          <w:sz w:val="36"/>
          <w:szCs w:val="36"/>
          <w:highlight w:val="none"/>
        </w:rPr>
        <w:br w:type="page"/>
      </w:r>
      <w:bookmarkStart w:id="1020" w:name="_Toc5658"/>
      <w:bookmarkStart w:id="1021" w:name="_Toc8271"/>
      <w:bookmarkStart w:id="1022" w:name="_Toc12340"/>
      <w:bookmarkStart w:id="1023" w:name="_Toc21169"/>
      <w:bookmarkStart w:id="1024" w:name="_Toc24367"/>
      <w:r>
        <w:rPr>
          <w:rFonts w:hint="eastAsia" w:ascii="宋体" w:hAnsi="宋体" w:cs="宋体"/>
          <w:b w:val="0"/>
          <w:bCs w:val="0"/>
          <w:color w:val="auto"/>
          <w:sz w:val="36"/>
          <w:szCs w:val="36"/>
          <w:highlight w:val="none"/>
        </w:rPr>
        <w:t>（一）</w:t>
      </w:r>
      <w:r>
        <w:rPr>
          <w:rFonts w:hint="eastAsia" w:ascii="宋体" w:hAnsi="宋体" w:cs="宋体"/>
          <w:b w:val="0"/>
          <w:bCs w:val="0"/>
          <w:color w:val="auto"/>
          <w:highlight w:val="none"/>
        </w:rPr>
        <w:t>技术方案</w:t>
      </w:r>
      <w:bookmarkEnd w:id="1020"/>
      <w:bookmarkEnd w:id="1021"/>
      <w:bookmarkEnd w:id="1022"/>
      <w:bookmarkEnd w:id="1023"/>
      <w:bookmarkEnd w:id="1024"/>
    </w:p>
    <w:p w14:paraId="5969EA2E">
      <w:pPr>
        <w:autoSpaceDE w:val="0"/>
        <w:autoSpaceDN w:val="0"/>
        <w:adjustRightInd w:val="0"/>
        <w:snapToGrid w:val="0"/>
        <w:spacing w:line="360" w:lineRule="auto"/>
        <w:jc w:val="left"/>
        <w:rPr>
          <w:rFonts w:ascii="宋体" w:hAnsi="宋体" w:cs="宋体"/>
          <w:color w:val="auto"/>
          <w:kern w:val="0"/>
          <w:sz w:val="12"/>
          <w:szCs w:val="12"/>
          <w:highlight w:val="none"/>
        </w:rPr>
      </w:pPr>
    </w:p>
    <w:p w14:paraId="266982FD">
      <w:pPr>
        <w:pStyle w:val="2"/>
        <w:spacing w:after="0" w:line="360" w:lineRule="auto"/>
        <w:ind w:firstLine="420" w:firstLineChars="200"/>
        <w:jc w:val="center"/>
        <w:rPr>
          <w:rFonts w:ascii="宋体" w:hAnsi="宋体" w:cs="宋体"/>
          <w:i/>
          <w:color w:val="auto"/>
          <w:kern w:val="0"/>
          <w:highlight w:val="none"/>
        </w:rPr>
      </w:pPr>
      <w:r>
        <w:rPr>
          <w:rFonts w:hint="eastAsia" w:ascii="宋体" w:hAnsi="宋体" w:cs="宋体"/>
          <w:i/>
          <w:color w:val="auto"/>
          <w:kern w:val="0"/>
          <w:highlight w:val="none"/>
        </w:rPr>
        <w:t>[</w:t>
      </w:r>
      <w:r>
        <w:rPr>
          <w:rFonts w:hint="eastAsia" w:ascii="宋体" w:hAnsi="宋体" w:cs="宋体"/>
          <w:i/>
          <w:color w:val="auto"/>
          <w:kern w:val="0"/>
          <w:highlight w:val="none"/>
          <w:lang w:eastAsia="zh-CN"/>
        </w:rPr>
        <w:t>供应商</w:t>
      </w:r>
      <w:r>
        <w:rPr>
          <w:rFonts w:hint="eastAsia" w:ascii="宋体" w:hAnsi="宋体" w:cs="宋体"/>
          <w:i/>
          <w:color w:val="auto"/>
          <w:kern w:val="0"/>
          <w:highlight w:val="none"/>
        </w:rPr>
        <w:t>应根据</w:t>
      </w:r>
      <w:r>
        <w:rPr>
          <w:rFonts w:hint="eastAsia" w:ascii="宋体" w:hAnsi="宋体" w:cs="宋体"/>
          <w:i/>
          <w:color w:val="auto"/>
          <w:kern w:val="0"/>
          <w:highlight w:val="none"/>
          <w:lang w:eastAsia="zh-CN"/>
        </w:rPr>
        <w:t>比选文件</w:t>
      </w:r>
      <w:r>
        <w:rPr>
          <w:rFonts w:hint="eastAsia" w:ascii="宋体" w:hAnsi="宋体" w:cs="宋体"/>
          <w:i/>
          <w:color w:val="auto"/>
          <w:kern w:val="0"/>
          <w:highlight w:val="none"/>
        </w:rPr>
        <w:t>的要求编制技术方案]</w:t>
      </w:r>
    </w:p>
    <w:p w14:paraId="6F8ACE14">
      <w:pPr>
        <w:spacing w:line="360" w:lineRule="auto"/>
        <w:ind w:firstLine="420" w:firstLineChars="200"/>
        <w:jc w:val="left"/>
        <w:rPr>
          <w:rFonts w:ascii="宋体" w:hAnsi="宋体" w:cs="宋体"/>
          <w:color w:val="auto"/>
          <w:szCs w:val="21"/>
          <w:highlight w:val="none"/>
          <w:lang w:bidi="ar"/>
        </w:rPr>
      </w:pPr>
      <w:bookmarkStart w:id="1025" w:name="_Toc10552"/>
    </w:p>
    <w:p w14:paraId="214DF811">
      <w:pPr>
        <w:ind w:firstLine="420" w:firstLineChars="200"/>
        <w:jc w:val="left"/>
        <w:rPr>
          <w:rFonts w:ascii="宋体" w:hAnsi="宋体" w:cs="宋体"/>
          <w:color w:val="auto"/>
          <w:szCs w:val="21"/>
          <w:highlight w:val="none"/>
          <w:lang w:bidi="ar"/>
        </w:rPr>
      </w:pPr>
    </w:p>
    <w:p w14:paraId="13ED9626">
      <w:pPr>
        <w:ind w:firstLine="420" w:firstLineChars="200"/>
        <w:jc w:val="left"/>
        <w:rPr>
          <w:rFonts w:ascii="宋体" w:hAnsi="宋体" w:cs="宋体"/>
          <w:color w:val="auto"/>
          <w:szCs w:val="21"/>
          <w:highlight w:val="none"/>
          <w:lang w:bidi="ar"/>
        </w:rPr>
      </w:pPr>
    </w:p>
    <w:p w14:paraId="116745DF">
      <w:pPr>
        <w:ind w:firstLine="420" w:firstLineChars="200"/>
        <w:jc w:val="center"/>
        <w:outlineLvl w:val="0"/>
        <w:rPr>
          <w:rFonts w:ascii="宋体" w:hAnsi="宋体" w:cs="宋体"/>
          <w:color w:val="auto"/>
          <w:sz w:val="44"/>
          <w:szCs w:val="44"/>
          <w:highlight w:val="none"/>
        </w:rPr>
      </w:pPr>
      <w:r>
        <w:rPr>
          <w:rFonts w:hint="eastAsia" w:ascii="宋体" w:hAnsi="宋体" w:cs="宋体"/>
          <w:color w:val="auto"/>
          <w:highlight w:val="none"/>
        </w:rPr>
        <w:br w:type="page"/>
      </w:r>
      <w:bookmarkStart w:id="1026" w:name="_Toc287620829"/>
      <w:bookmarkStart w:id="1027" w:name="_Toc14055"/>
      <w:bookmarkStart w:id="1028" w:name="_Toc28668"/>
      <w:bookmarkStart w:id="1029" w:name="_Toc30272"/>
      <w:bookmarkStart w:id="1030" w:name="_Toc287607882"/>
      <w:bookmarkStart w:id="1031" w:name="_Toc430530545"/>
      <w:bookmarkStart w:id="1032" w:name="_Toc277082656"/>
      <w:bookmarkStart w:id="1033" w:name="_Toc19092"/>
      <w:bookmarkStart w:id="1034" w:name="_Toc224103510"/>
      <w:r>
        <w:rPr>
          <w:rFonts w:hint="eastAsia" w:ascii="宋体" w:hAnsi="宋体" w:cs="宋体"/>
          <w:color w:val="auto"/>
          <w:sz w:val="44"/>
          <w:szCs w:val="44"/>
          <w:highlight w:val="none"/>
        </w:rPr>
        <w:t>四、资格审查资料</w:t>
      </w:r>
      <w:bookmarkEnd w:id="1025"/>
      <w:bookmarkEnd w:id="1026"/>
      <w:bookmarkEnd w:id="1027"/>
      <w:bookmarkEnd w:id="1028"/>
      <w:bookmarkEnd w:id="1029"/>
      <w:bookmarkEnd w:id="1030"/>
      <w:bookmarkEnd w:id="1031"/>
      <w:bookmarkEnd w:id="1032"/>
      <w:bookmarkEnd w:id="1033"/>
      <w:bookmarkEnd w:id="1034"/>
    </w:p>
    <w:bookmarkEnd w:id="850"/>
    <w:bookmarkEnd w:id="851"/>
    <w:bookmarkEnd w:id="852"/>
    <w:p w14:paraId="503D7D2B">
      <w:pPr>
        <w:tabs>
          <w:tab w:val="left" w:pos="3280"/>
          <w:tab w:val="left" w:pos="4680"/>
          <w:tab w:val="left" w:pos="6080"/>
        </w:tabs>
        <w:autoSpaceDE w:val="0"/>
        <w:autoSpaceDN w:val="0"/>
        <w:adjustRightInd w:val="0"/>
        <w:snapToGrid w:val="0"/>
        <w:spacing w:line="480" w:lineRule="auto"/>
        <w:jc w:val="center"/>
        <w:rPr>
          <w:rFonts w:ascii="宋体" w:hAnsi="宋体" w:cs="宋体"/>
          <w:b/>
          <w:color w:val="auto"/>
          <w:kern w:val="0"/>
          <w:sz w:val="28"/>
          <w:szCs w:val="28"/>
          <w:highlight w:val="none"/>
        </w:rPr>
      </w:pPr>
      <w:bookmarkStart w:id="1035" w:name="_Toc27983327"/>
      <w:r>
        <w:rPr>
          <w:rFonts w:hint="eastAsia" w:ascii="宋体" w:hAnsi="宋体" w:cs="宋体"/>
          <w:color w:val="auto"/>
          <w:sz w:val="32"/>
          <w:szCs w:val="32"/>
          <w:highlight w:val="none"/>
        </w:rPr>
        <w:br w:type="page"/>
      </w:r>
    </w:p>
    <w:p w14:paraId="6D10DA37">
      <w:pPr>
        <w:autoSpaceDE w:val="0"/>
        <w:autoSpaceDN w:val="0"/>
        <w:adjustRightInd w:val="0"/>
        <w:snapToGrid w:val="0"/>
        <w:jc w:val="center"/>
        <w:rPr>
          <w:rFonts w:ascii="宋体" w:hAnsi="宋体" w:cs="宋体"/>
          <w:color w:val="auto"/>
          <w:kern w:val="0"/>
          <w:sz w:val="36"/>
          <w:szCs w:val="36"/>
          <w:highlight w:val="none"/>
        </w:rPr>
      </w:pPr>
    </w:p>
    <w:p w14:paraId="539EB8C9">
      <w:pPr>
        <w:autoSpaceDE w:val="0"/>
        <w:autoSpaceDN w:val="0"/>
        <w:adjustRightInd w:val="0"/>
        <w:snapToGrid w:val="0"/>
        <w:jc w:val="center"/>
        <w:rPr>
          <w:rFonts w:ascii="宋体" w:hAnsi="宋体" w:cs="宋体"/>
          <w:color w:val="auto"/>
          <w:kern w:val="0"/>
          <w:sz w:val="36"/>
          <w:szCs w:val="36"/>
          <w:highlight w:val="none"/>
        </w:rPr>
      </w:pPr>
      <w:r>
        <w:rPr>
          <w:rFonts w:hint="eastAsia" w:ascii="宋体" w:hAnsi="宋体" w:cs="宋体"/>
          <w:color w:val="auto"/>
          <w:kern w:val="0"/>
          <w:sz w:val="36"/>
          <w:szCs w:val="36"/>
          <w:highlight w:val="none"/>
        </w:rPr>
        <w:t>目  录</w:t>
      </w:r>
    </w:p>
    <w:p w14:paraId="0775D266">
      <w:pPr>
        <w:spacing w:line="360" w:lineRule="auto"/>
        <w:jc w:val="center"/>
        <w:rPr>
          <w:rFonts w:ascii="宋体" w:hAnsi="宋体" w:cs="宋体"/>
          <w:b/>
          <w:color w:val="auto"/>
          <w:kern w:val="0"/>
          <w:sz w:val="32"/>
          <w:szCs w:val="32"/>
          <w:highlight w:val="none"/>
        </w:rPr>
      </w:pPr>
    </w:p>
    <w:p w14:paraId="4E33E57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（一）法定代表人身份证明或授权委托书</w:t>
      </w:r>
    </w:p>
    <w:p w14:paraId="51C6FFD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（二）承诺</w:t>
      </w:r>
    </w:p>
    <w:p w14:paraId="57F5D7CC">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w:t>
      </w:r>
      <w:r>
        <w:rPr>
          <w:rFonts w:hint="eastAsia" w:ascii="宋体" w:hAnsi="宋体" w:cs="宋体"/>
          <w:color w:val="auto"/>
          <w:highlight w:val="none"/>
          <w:lang w:val="en-US" w:eastAsia="zh-CN"/>
        </w:rPr>
        <w:t>三</w:t>
      </w:r>
      <w:r>
        <w:rPr>
          <w:rFonts w:hint="eastAsia" w:ascii="宋体" w:hAnsi="宋体" w:cs="宋体"/>
          <w:color w:val="auto"/>
          <w:highlight w:val="none"/>
        </w:rPr>
        <w:t>）其他资料</w:t>
      </w:r>
    </w:p>
    <w:p w14:paraId="4A778D20">
      <w:pPr>
        <w:spacing w:line="360" w:lineRule="auto"/>
        <w:ind w:firstLine="420" w:firstLineChars="200"/>
        <w:rPr>
          <w:rFonts w:ascii="宋体" w:hAnsi="宋体" w:cs="宋体"/>
          <w:color w:val="auto"/>
          <w:szCs w:val="21"/>
          <w:highlight w:val="none"/>
        </w:rPr>
      </w:pPr>
    </w:p>
    <w:p w14:paraId="4F161443">
      <w:pPr>
        <w:spacing w:line="360" w:lineRule="auto"/>
        <w:ind w:firstLine="420" w:firstLineChars="200"/>
        <w:rPr>
          <w:rFonts w:ascii="宋体" w:hAnsi="宋体" w:cs="宋体"/>
          <w:color w:val="auto"/>
          <w:szCs w:val="21"/>
          <w:highlight w:val="none"/>
        </w:rPr>
      </w:pPr>
    </w:p>
    <w:p w14:paraId="1FBBA6C0">
      <w:pPr>
        <w:pStyle w:val="2"/>
        <w:rPr>
          <w:rFonts w:ascii="宋体" w:hAnsi="宋体" w:cs="宋体"/>
          <w:color w:val="auto"/>
          <w:highlight w:val="none"/>
        </w:rPr>
      </w:pPr>
    </w:p>
    <w:p w14:paraId="162BB655">
      <w:pPr>
        <w:pStyle w:val="5"/>
        <w:spacing w:before="0" w:after="0" w:line="240" w:lineRule="auto"/>
        <w:jc w:val="center"/>
        <w:rPr>
          <w:rFonts w:ascii="宋体" w:hAnsi="宋体" w:cs="宋体"/>
          <w:color w:val="auto"/>
          <w:sz w:val="36"/>
          <w:szCs w:val="36"/>
          <w:highlight w:val="none"/>
        </w:rPr>
      </w:pPr>
      <w:bookmarkStart w:id="1036" w:name="_Toc430530546"/>
      <w:bookmarkStart w:id="1037" w:name="_Toc287607883"/>
      <w:bookmarkStart w:id="1038" w:name="_Toc287620830"/>
      <w:bookmarkStart w:id="1039" w:name="_Toc277082657"/>
      <w:bookmarkStart w:id="1040" w:name="_Toc224103511"/>
      <w:bookmarkStart w:id="1041" w:name="_Toc33106476"/>
      <w:r>
        <w:rPr>
          <w:rFonts w:hint="eastAsia" w:ascii="宋体" w:hAnsi="宋体" w:cs="宋体"/>
          <w:b w:val="0"/>
          <w:bCs w:val="0"/>
          <w:color w:val="auto"/>
          <w:highlight w:val="none"/>
        </w:rPr>
        <w:br w:type="page"/>
      </w:r>
      <w:bookmarkStart w:id="1042" w:name="_Toc21506"/>
      <w:bookmarkStart w:id="1043" w:name="_Toc8391"/>
      <w:bookmarkStart w:id="1044" w:name="_Toc12549"/>
      <w:bookmarkStart w:id="1045" w:name="_Toc5509"/>
      <w:r>
        <w:rPr>
          <w:rFonts w:hint="eastAsia" w:ascii="宋体" w:hAnsi="宋体" w:cs="宋体"/>
          <w:b w:val="0"/>
          <w:bCs w:val="0"/>
          <w:color w:val="auto"/>
          <w:highlight w:val="none"/>
        </w:rPr>
        <w:t>（一）法定代表人身份证明或授权委托书</w:t>
      </w:r>
      <w:bookmarkEnd w:id="1036"/>
      <w:bookmarkEnd w:id="1037"/>
      <w:bookmarkEnd w:id="1038"/>
      <w:bookmarkEnd w:id="1039"/>
      <w:bookmarkEnd w:id="1040"/>
      <w:bookmarkEnd w:id="1041"/>
      <w:bookmarkEnd w:id="1042"/>
      <w:bookmarkEnd w:id="1043"/>
      <w:bookmarkEnd w:id="1044"/>
      <w:bookmarkEnd w:id="1045"/>
    </w:p>
    <w:p w14:paraId="3284894F">
      <w:pPr>
        <w:spacing w:line="480" w:lineRule="auto"/>
        <w:jc w:val="center"/>
        <w:rPr>
          <w:rFonts w:ascii="宋体" w:hAnsi="宋体" w:cs="宋体"/>
          <w:color w:val="auto"/>
          <w:sz w:val="28"/>
          <w:highlight w:val="none"/>
        </w:rPr>
      </w:pPr>
      <w:r>
        <w:rPr>
          <w:rFonts w:hint="eastAsia" w:ascii="宋体" w:hAnsi="宋体" w:cs="宋体"/>
          <w:color w:val="auto"/>
          <w:sz w:val="28"/>
          <w:highlight w:val="none"/>
        </w:rPr>
        <w:t>法定代表人身份证明</w:t>
      </w:r>
    </w:p>
    <w:p w14:paraId="31020F3C">
      <w:pPr>
        <w:spacing w:line="480" w:lineRule="auto"/>
        <w:jc w:val="center"/>
        <w:rPr>
          <w:rFonts w:ascii="宋体" w:hAnsi="宋体" w:cs="宋体"/>
          <w:color w:val="auto"/>
          <w:highlight w:val="none"/>
        </w:rPr>
      </w:pPr>
    </w:p>
    <w:p w14:paraId="00E29A82">
      <w:pPr>
        <w:tabs>
          <w:tab w:val="left" w:pos="556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名称：</w:t>
      </w:r>
      <w:r>
        <w:rPr>
          <w:rFonts w:hint="eastAsia" w:ascii="宋体" w:hAnsi="宋体" w:cs="宋体"/>
          <w:color w:val="auto"/>
          <w:w w:val="200"/>
          <w:kern w:val="0"/>
          <w:szCs w:val="21"/>
          <w:highlight w:val="none"/>
          <w:u w:val="single"/>
        </w:rPr>
        <w:t xml:space="preserve">                                     </w:t>
      </w:r>
    </w:p>
    <w:p w14:paraId="09FE375A">
      <w:pPr>
        <w:tabs>
          <w:tab w:val="left" w:pos="547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单位性质：</w:t>
      </w:r>
      <w:r>
        <w:rPr>
          <w:rFonts w:hint="eastAsia" w:ascii="宋体" w:hAnsi="宋体" w:cs="宋体"/>
          <w:color w:val="auto"/>
          <w:w w:val="200"/>
          <w:kern w:val="0"/>
          <w:szCs w:val="21"/>
          <w:highlight w:val="none"/>
          <w:u w:val="single"/>
        </w:rPr>
        <w:t xml:space="preserve">                                     </w:t>
      </w:r>
    </w:p>
    <w:p w14:paraId="12695FF2">
      <w:pPr>
        <w:tabs>
          <w:tab w:val="left" w:pos="547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地    址：</w:t>
      </w:r>
      <w:r>
        <w:rPr>
          <w:rFonts w:hint="eastAsia" w:ascii="宋体" w:hAnsi="宋体" w:cs="宋体"/>
          <w:color w:val="auto"/>
          <w:w w:val="200"/>
          <w:kern w:val="0"/>
          <w:szCs w:val="21"/>
          <w:highlight w:val="none"/>
          <w:u w:val="single"/>
        </w:rPr>
        <w:t xml:space="preserve">                                     </w:t>
      </w:r>
    </w:p>
    <w:p w14:paraId="6779EAAF">
      <w:pPr>
        <w:tabs>
          <w:tab w:val="left" w:pos="2520"/>
          <w:tab w:val="left" w:pos="3836"/>
        </w:tabs>
        <w:autoSpaceDE w:val="0"/>
        <w:autoSpaceDN w:val="0"/>
        <w:adjustRightInd w:val="0"/>
        <w:snapToGrid w:val="0"/>
        <w:spacing w:line="480" w:lineRule="auto"/>
        <w:ind w:firstLine="390" w:firstLineChars="186"/>
        <w:jc w:val="left"/>
        <w:rPr>
          <w:rFonts w:ascii="宋体" w:hAnsi="宋体" w:cs="宋体"/>
          <w:color w:val="auto"/>
          <w:kern w:val="0"/>
          <w:sz w:val="10"/>
          <w:szCs w:val="10"/>
          <w:highlight w:val="none"/>
        </w:rPr>
      </w:pPr>
      <w:r>
        <w:rPr>
          <w:rFonts w:hint="eastAsia" w:ascii="宋体" w:hAnsi="宋体" w:cs="宋体"/>
          <w:color w:val="auto"/>
          <w:kern w:val="0"/>
          <w:szCs w:val="21"/>
          <w:highlight w:val="none"/>
        </w:rPr>
        <w:t>成立时间：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33C05AF1">
      <w:pPr>
        <w:tabs>
          <w:tab w:val="left" w:pos="547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姓名：</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性别</w:t>
      </w:r>
      <w:r>
        <w:rPr>
          <w:rFonts w:hint="eastAsia" w:ascii="宋体" w:hAnsi="宋体" w:cs="宋体"/>
          <w:color w:val="auto"/>
          <w:spacing w:val="-1"/>
          <w:kern w:val="0"/>
          <w:szCs w:val="21"/>
          <w:highlight w:val="none"/>
        </w:rPr>
        <w:t>：</w:t>
      </w:r>
      <w:r>
        <w:rPr>
          <w:rFonts w:hint="eastAsia" w:ascii="宋体" w:hAnsi="宋体" w:cs="宋体"/>
          <w:color w:val="auto"/>
          <w:kern w:val="0"/>
          <w:szCs w:val="21"/>
          <w:highlight w:val="none"/>
          <w:u w:val="single"/>
        </w:rPr>
        <w:t xml:space="preserve">       </w:t>
      </w:r>
      <w:r>
        <w:rPr>
          <w:rFonts w:hint="eastAsia" w:ascii="宋体" w:hAnsi="宋体" w:cs="宋体"/>
          <w:color w:val="auto"/>
          <w:spacing w:val="-1"/>
          <w:kern w:val="0"/>
          <w:szCs w:val="21"/>
          <w:highlight w:val="none"/>
        </w:rPr>
        <w:t>年</w:t>
      </w:r>
      <w:r>
        <w:rPr>
          <w:rFonts w:hint="eastAsia" w:ascii="宋体" w:hAnsi="宋体" w:cs="宋体"/>
          <w:color w:val="auto"/>
          <w:kern w:val="0"/>
          <w:szCs w:val="21"/>
          <w:highlight w:val="none"/>
        </w:rPr>
        <w:t>龄：</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职务：</w:t>
      </w:r>
      <w:r>
        <w:rPr>
          <w:rFonts w:hint="eastAsia" w:ascii="宋体" w:hAnsi="宋体" w:cs="宋体"/>
          <w:color w:val="auto"/>
          <w:kern w:val="0"/>
          <w:szCs w:val="21"/>
          <w:highlight w:val="none"/>
          <w:u w:val="single"/>
        </w:rPr>
        <w:t xml:space="preserve">               </w:t>
      </w:r>
    </w:p>
    <w:p w14:paraId="0B43AA54">
      <w:pPr>
        <w:tabs>
          <w:tab w:val="left" w:pos="3360"/>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系</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eastAsia="zh-CN"/>
        </w:rPr>
        <w:t>供应商</w:t>
      </w:r>
      <w:r>
        <w:rPr>
          <w:rFonts w:hint="eastAsia" w:ascii="宋体" w:hAnsi="宋体" w:cs="宋体"/>
          <w:color w:val="auto"/>
          <w:kern w:val="0"/>
          <w:szCs w:val="21"/>
          <w:highlight w:val="none"/>
          <w:u w:val="single"/>
        </w:rPr>
        <w:t>名称）</w:t>
      </w:r>
      <w:r>
        <w:rPr>
          <w:rFonts w:hint="eastAsia" w:ascii="宋体" w:hAnsi="宋体" w:cs="宋体"/>
          <w:color w:val="auto"/>
          <w:kern w:val="0"/>
          <w:szCs w:val="21"/>
          <w:highlight w:val="none"/>
        </w:rPr>
        <w:t>的法定代表人。</w:t>
      </w:r>
    </w:p>
    <w:p w14:paraId="1FC4B04B">
      <w:pPr>
        <w:tabs>
          <w:tab w:val="left" w:pos="3360"/>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特此证明。</w:t>
      </w:r>
    </w:p>
    <w:p w14:paraId="28EDB0FE">
      <w:pPr>
        <w:autoSpaceDE w:val="0"/>
        <w:autoSpaceDN w:val="0"/>
        <w:adjustRightInd w:val="0"/>
        <w:snapToGrid w:val="0"/>
        <w:spacing w:line="480" w:lineRule="auto"/>
        <w:ind w:firstLine="810" w:firstLineChars="386"/>
        <w:jc w:val="left"/>
        <w:rPr>
          <w:rFonts w:ascii="宋体" w:hAnsi="宋体" w:cs="宋体"/>
          <w:color w:val="auto"/>
          <w:kern w:val="0"/>
          <w:szCs w:val="21"/>
          <w:highlight w:val="none"/>
        </w:rPr>
      </w:pPr>
      <w:r>
        <w:rPr>
          <w:rFonts w:hint="eastAsia" w:ascii="宋体" w:hAnsi="宋体" w:cs="宋体"/>
          <w:color w:val="auto"/>
          <w:kern w:val="0"/>
          <w:szCs w:val="21"/>
          <w:highlight w:val="none"/>
        </w:rPr>
        <w:t>附：法定代表人身份证</w:t>
      </w:r>
      <w:r>
        <w:rPr>
          <w:rFonts w:hint="eastAsia" w:ascii="宋体" w:hAnsi="宋体" w:cs="宋体"/>
          <w:color w:val="auto"/>
          <w:kern w:val="0"/>
          <w:szCs w:val="21"/>
          <w:highlight w:val="none"/>
          <w:lang w:val="en-US" w:eastAsia="zh-CN"/>
        </w:rPr>
        <w:t>明</w:t>
      </w:r>
      <w:r>
        <w:rPr>
          <w:rFonts w:hint="eastAsia" w:ascii="宋体" w:hAnsi="宋体" w:cs="宋体"/>
          <w:color w:val="auto"/>
          <w:kern w:val="0"/>
          <w:szCs w:val="21"/>
          <w:highlight w:val="none"/>
          <w:lang w:eastAsia="zh-CN"/>
        </w:rPr>
        <w:t>复印件</w:t>
      </w:r>
      <w:r>
        <w:rPr>
          <w:rFonts w:hint="eastAsia" w:ascii="宋体" w:hAnsi="宋体" w:cs="宋体"/>
          <w:color w:val="auto"/>
          <w:kern w:val="0"/>
          <w:szCs w:val="21"/>
          <w:highlight w:val="none"/>
        </w:rPr>
        <w:t>（双面）</w:t>
      </w:r>
    </w:p>
    <w:p w14:paraId="39243384">
      <w:pPr>
        <w:autoSpaceDE w:val="0"/>
        <w:autoSpaceDN w:val="0"/>
        <w:adjustRightInd w:val="0"/>
        <w:snapToGrid w:val="0"/>
        <w:spacing w:line="360" w:lineRule="auto"/>
        <w:jc w:val="left"/>
        <w:rPr>
          <w:rFonts w:ascii="宋体" w:hAnsi="宋体" w:cs="宋体"/>
          <w:color w:val="auto"/>
          <w:szCs w:val="21"/>
          <w:highlight w:val="none"/>
        </w:rPr>
      </w:pPr>
    </w:p>
    <w:p w14:paraId="36F49FDE">
      <w:pPr>
        <w:pStyle w:val="2"/>
        <w:spacing w:after="0" w:line="360" w:lineRule="auto"/>
        <w:rPr>
          <w:rFonts w:ascii="宋体" w:hAnsi="宋体" w:cs="宋体"/>
          <w:color w:val="auto"/>
          <w:highlight w:val="none"/>
        </w:rPr>
      </w:pPr>
    </w:p>
    <w:p w14:paraId="7AC6E1A0">
      <w:pPr>
        <w:pStyle w:val="2"/>
        <w:spacing w:after="0" w:line="360" w:lineRule="auto"/>
        <w:rPr>
          <w:rFonts w:ascii="宋体" w:hAnsi="宋体" w:cs="宋体"/>
          <w:color w:val="auto"/>
          <w:highlight w:val="none"/>
        </w:rPr>
      </w:pPr>
    </w:p>
    <w:p w14:paraId="57140672">
      <w:pPr>
        <w:pStyle w:val="2"/>
        <w:spacing w:after="0" w:line="360" w:lineRule="auto"/>
        <w:rPr>
          <w:rFonts w:ascii="宋体" w:hAnsi="宋体" w:cs="宋体"/>
          <w:color w:val="auto"/>
          <w:highlight w:val="none"/>
        </w:rPr>
      </w:pPr>
    </w:p>
    <w:p w14:paraId="2A828F31">
      <w:pPr>
        <w:pStyle w:val="2"/>
        <w:spacing w:after="0" w:line="360" w:lineRule="auto"/>
        <w:rPr>
          <w:rFonts w:ascii="宋体" w:hAnsi="宋体" w:cs="宋体"/>
          <w:color w:val="auto"/>
          <w:highlight w:val="none"/>
        </w:rPr>
      </w:pPr>
    </w:p>
    <w:p w14:paraId="62BA3A50">
      <w:pPr>
        <w:pStyle w:val="2"/>
        <w:spacing w:after="0" w:line="360" w:lineRule="auto"/>
        <w:rPr>
          <w:rFonts w:ascii="宋体" w:hAnsi="宋体" w:cs="宋体"/>
          <w:color w:val="auto"/>
          <w:highlight w:val="none"/>
        </w:rPr>
      </w:pPr>
    </w:p>
    <w:p w14:paraId="3C8BA86E">
      <w:pPr>
        <w:tabs>
          <w:tab w:val="left" w:pos="3360"/>
        </w:tabs>
        <w:autoSpaceDE w:val="0"/>
        <w:autoSpaceDN w:val="0"/>
        <w:adjustRightInd w:val="0"/>
        <w:snapToGrid w:val="0"/>
        <w:spacing w:line="480" w:lineRule="auto"/>
        <w:ind w:firstLine="390" w:firstLineChars="186"/>
        <w:jc w:val="right"/>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ab/>
      </w:r>
      <w:r>
        <w:rPr>
          <w:rFonts w:hint="eastAsia" w:ascii="宋体" w:hAnsi="宋体" w:cs="宋体"/>
          <w:color w:val="auto"/>
          <w:spacing w:val="-1"/>
          <w:kern w:val="0"/>
          <w:szCs w:val="21"/>
          <w:highlight w:val="none"/>
        </w:rPr>
        <w:t>（</w:t>
      </w:r>
      <w:r>
        <w:rPr>
          <w:rFonts w:hint="eastAsia" w:ascii="宋体" w:hAnsi="宋体" w:cs="宋体"/>
          <w:color w:val="auto"/>
          <w:kern w:val="0"/>
          <w:szCs w:val="21"/>
          <w:highlight w:val="none"/>
        </w:rPr>
        <w:t>盖单位法人章）</w:t>
      </w:r>
    </w:p>
    <w:p w14:paraId="63111572">
      <w:pPr>
        <w:autoSpaceDE w:val="0"/>
        <w:autoSpaceDN w:val="0"/>
        <w:adjustRightInd w:val="0"/>
        <w:snapToGrid w:val="0"/>
        <w:spacing w:line="480" w:lineRule="auto"/>
        <w:jc w:val="left"/>
        <w:rPr>
          <w:rFonts w:ascii="宋体" w:hAnsi="宋体" w:cs="宋体"/>
          <w:color w:val="auto"/>
          <w:kern w:val="0"/>
          <w:sz w:val="20"/>
          <w:szCs w:val="20"/>
          <w:highlight w:val="none"/>
        </w:rPr>
      </w:pPr>
    </w:p>
    <w:p w14:paraId="66844ADE">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cs="宋体"/>
          <w:color w:val="auto"/>
          <w:kern w:val="0"/>
          <w:szCs w:val="21"/>
          <w:highlight w:val="none"/>
        </w:rPr>
      </w:pP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日    </w:t>
      </w:r>
    </w:p>
    <w:p w14:paraId="72EFDE87">
      <w:pPr>
        <w:autoSpaceDE w:val="0"/>
        <w:autoSpaceDN w:val="0"/>
        <w:adjustRightInd w:val="0"/>
        <w:snapToGrid w:val="0"/>
        <w:spacing w:line="360" w:lineRule="auto"/>
        <w:jc w:val="left"/>
        <w:rPr>
          <w:rFonts w:ascii="宋体" w:hAnsi="宋体" w:cs="宋体"/>
          <w:color w:val="auto"/>
          <w:kern w:val="0"/>
          <w:highlight w:val="none"/>
        </w:rPr>
      </w:pPr>
    </w:p>
    <w:p w14:paraId="7D45876B">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cs="宋体"/>
          <w:color w:val="auto"/>
          <w:kern w:val="0"/>
          <w:szCs w:val="21"/>
          <w:highlight w:val="none"/>
        </w:rPr>
      </w:pPr>
      <w:r>
        <w:rPr>
          <w:rFonts w:hint="eastAsia" w:ascii="宋体" w:hAnsi="宋体" w:cs="宋体"/>
          <w:color w:val="auto"/>
          <w:highlight w:val="none"/>
        </w:rPr>
        <w:t>注：法定代表人身份证明需按上述格式填写完整，不可缺少内容。在此基础上增加内容的不影响其有效性</w:t>
      </w:r>
      <w:r>
        <w:rPr>
          <w:rFonts w:hint="eastAsia" w:ascii="宋体" w:hAnsi="宋体" w:cs="宋体"/>
          <w:color w:val="auto"/>
          <w:kern w:val="0"/>
          <w:szCs w:val="21"/>
          <w:highlight w:val="none"/>
        </w:rPr>
        <w:t>。</w:t>
      </w:r>
    </w:p>
    <w:p w14:paraId="589A121A">
      <w:pPr>
        <w:tabs>
          <w:tab w:val="left" w:pos="1680"/>
          <w:tab w:val="left" w:pos="4215"/>
          <w:tab w:val="left" w:pos="4305"/>
          <w:tab w:val="left" w:pos="8000"/>
        </w:tabs>
        <w:autoSpaceDE w:val="0"/>
        <w:autoSpaceDN w:val="0"/>
        <w:adjustRightInd w:val="0"/>
        <w:snapToGrid w:val="0"/>
        <w:spacing w:line="360" w:lineRule="auto"/>
        <w:jc w:val="center"/>
        <w:rPr>
          <w:rFonts w:ascii="宋体" w:hAnsi="宋体" w:cs="宋体"/>
          <w:color w:val="auto"/>
          <w:kern w:val="0"/>
          <w:sz w:val="28"/>
          <w:szCs w:val="28"/>
          <w:highlight w:val="none"/>
        </w:rPr>
      </w:pPr>
      <w:r>
        <w:rPr>
          <w:rFonts w:hint="eastAsia" w:ascii="宋体" w:hAnsi="宋体" w:cs="宋体"/>
          <w:b/>
          <w:color w:val="auto"/>
          <w:kern w:val="0"/>
          <w:sz w:val="28"/>
          <w:szCs w:val="28"/>
          <w:highlight w:val="none"/>
        </w:rPr>
        <w:br w:type="page"/>
      </w:r>
      <w:r>
        <w:rPr>
          <w:rFonts w:hint="eastAsia" w:ascii="宋体" w:hAnsi="宋体" w:cs="宋体"/>
          <w:snapToGrid w:val="0"/>
          <w:color w:val="auto"/>
          <w:kern w:val="0"/>
          <w:sz w:val="32"/>
          <w:szCs w:val="32"/>
          <w:highlight w:val="none"/>
        </w:rPr>
        <w:t>授权委托书</w:t>
      </w:r>
    </w:p>
    <w:p w14:paraId="6A6B3E92">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s="宋体"/>
          <w:color w:val="auto"/>
          <w:kern w:val="0"/>
          <w:szCs w:val="21"/>
          <w:highlight w:val="none"/>
        </w:rPr>
      </w:pPr>
      <w:r>
        <w:rPr>
          <w:rFonts w:hint="eastAsia" w:ascii="宋体" w:hAnsi="宋体" w:cs="宋体"/>
          <w:color w:val="auto"/>
          <w:kern w:val="0"/>
          <w:szCs w:val="21"/>
          <w:highlight w:val="none"/>
        </w:rPr>
        <w:t>本人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（姓名）</w:t>
      </w:r>
      <w:r>
        <w:rPr>
          <w:rFonts w:hint="eastAsia" w:ascii="宋体" w:hAnsi="宋体" w:cs="宋体"/>
          <w:color w:val="auto"/>
          <w:kern w:val="0"/>
          <w:szCs w:val="21"/>
          <w:highlight w:val="none"/>
        </w:rPr>
        <w:t>系</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w:t>
      </w:r>
      <w:r>
        <w:rPr>
          <w:rFonts w:hint="eastAsia" w:ascii="宋体" w:hAnsi="宋体" w:cs="宋体"/>
          <w:color w:val="auto"/>
          <w:spacing w:val="-1"/>
          <w:kern w:val="0"/>
          <w:szCs w:val="21"/>
          <w:highlight w:val="none"/>
          <w:u w:val="single"/>
          <w:lang w:eastAsia="zh-CN"/>
        </w:rPr>
        <w:t>供应商</w:t>
      </w:r>
      <w:r>
        <w:rPr>
          <w:rFonts w:hint="eastAsia" w:ascii="宋体" w:hAnsi="宋体" w:cs="宋体"/>
          <w:color w:val="auto"/>
          <w:kern w:val="0"/>
          <w:szCs w:val="21"/>
          <w:highlight w:val="none"/>
          <w:u w:val="single"/>
        </w:rPr>
        <w:t>名称</w:t>
      </w:r>
      <w:r>
        <w:rPr>
          <w:rFonts w:hint="eastAsia" w:ascii="宋体" w:hAnsi="宋体" w:cs="宋体"/>
          <w:color w:val="auto"/>
          <w:spacing w:val="1"/>
          <w:kern w:val="0"/>
          <w:szCs w:val="21"/>
          <w:highlight w:val="none"/>
          <w:u w:val="single"/>
        </w:rPr>
        <w:t>）</w:t>
      </w:r>
      <w:r>
        <w:rPr>
          <w:rFonts w:hint="eastAsia" w:ascii="宋体" w:hAnsi="宋体" w:cs="宋体"/>
          <w:color w:val="auto"/>
          <w:kern w:val="0"/>
          <w:szCs w:val="21"/>
          <w:highlight w:val="none"/>
        </w:rPr>
        <w:t>的法定代</w:t>
      </w:r>
      <w:r>
        <w:rPr>
          <w:rFonts w:hint="eastAsia" w:ascii="宋体" w:hAnsi="宋体" w:cs="宋体"/>
          <w:color w:val="auto"/>
          <w:spacing w:val="1"/>
          <w:kern w:val="0"/>
          <w:szCs w:val="21"/>
          <w:highlight w:val="none"/>
        </w:rPr>
        <w:t>表</w:t>
      </w:r>
      <w:r>
        <w:rPr>
          <w:rFonts w:hint="eastAsia" w:ascii="宋体" w:hAnsi="宋体" w:cs="宋体"/>
          <w:color w:val="auto"/>
          <w:kern w:val="0"/>
          <w:szCs w:val="21"/>
          <w:highlight w:val="none"/>
        </w:rPr>
        <w:t>人，现委托</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（姓名）</w:t>
      </w:r>
      <w:r>
        <w:rPr>
          <w:rFonts w:hint="eastAsia" w:ascii="宋体" w:hAnsi="宋体" w:cs="宋体"/>
          <w:color w:val="auto"/>
          <w:kern w:val="0"/>
          <w:szCs w:val="21"/>
          <w:highlight w:val="none"/>
        </w:rPr>
        <w:t>为我方代理人。代理人根据授权，</w:t>
      </w:r>
      <w:r>
        <w:rPr>
          <w:rFonts w:hint="eastAsia" w:ascii="宋体" w:hAnsi="宋体" w:cs="宋体"/>
          <w:color w:val="auto"/>
          <w:kern w:val="0"/>
          <w:szCs w:val="21"/>
          <w:highlight w:val="none"/>
          <w:lang w:val="en-US" w:eastAsia="zh-CN"/>
        </w:rPr>
        <w:t>代表</w:t>
      </w:r>
      <w:r>
        <w:rPr>
          <w:rFonts w:hint="eastAsia" w:ascii="宋体" w:hAnsi="宋体" w:cs="宋体"/>
          <w:color w:val="auto"/>
          <w:kern w:val="0"/>
          <w:szCs w:val="21"/>
          <w:highlight w:val="none"/>
        </w:rPr>
        <w:t>我方签署、澄清、说明、补正、递交、撤回、修改</w:t>
      </w:r>
      <w:r>
        <w:rPr>
          <w:rFonts w:hint="eastAsia" w:ascii="宋体" w:hAnsi="宋体" w:cs="宋体"/>
          <w:color w:val="auto"/>
          <w:kern w:val="0"/>
          <w:szCs w:val="21"/>
          <w:highlight w:val="none"/>
          <w:u w:val="single"/>
          <w:lang w:eastAsia="zh-CN"/>
        </w:rPr>
        <w:t>成渝改扩建机电工程监控、通信设施保通及路由管道劳务采购</w:t>
      </w: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、领取原件、签订合同和处理有关事宜， 其法律后果由我方承担。</w:t>
      </w:r>
    </w:p>
    <w:p w14:paraId="30B11FC6">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s="宋体"/>
          <w:color w:val="auto"/>
          <w:kern w:val="0"/>
          <w:szCs w:val="21"/>
          <w:highlight w:val="none"/>
        </w:rPr>
      </w:pPr>
      <w:r>
        <w:rPr>
          <w:rFonts w:hint="eastAsia" w:ascii="宋体" w:hAnsi="宋体" w:cs="宋体"/>
          <w:color w:val="auto"/>
          <w:kern w:val="0"/>
          <w:szCs w:val="21"/>
          <w:highlight w:val="none"/>
        </w:rPr>
        <w:t>委托</w:t>
      </w:r>
      <w:r>
        <w:rPr>
          <w:rFonts w:hint="eastAsia" w:ascii="宋体" w:hAnsi="宋体" w:cs="宋体"/>
          <w:color w:val="auto"/>
          <w:spacing w:val="-1"/>
          <w:kern w:val="0"/>
          <w:szCs w:val="21"/>
          <w:highlight w:val="none"/>
        </w:rPr>
        <w:t>期</w:t>
      </w:r>
      <w:r>
        <w:rPr>
          <w:rFonts w:hint="eastAsia" w:ascii="宋体" w:hAnsi="宋体" w:cs="宋体"/>
          <w:color w:val="auto"/>
          <w:kern w:val="0"/>
          <w:szCs w:val="21"/>
          <w:highlight w:val="none"/>
        </w:rPr>
        <w:t>限：</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ab/>
      </w:r>
      <w:r>
        <w:rPr>
          <w:rFonts w:hint="eastAsia" w:ascii="宋体" w:hAnsi="宋体" w:cs="宋体"/>
          <w:color w:val="auto"/>
          <w:kern w:val="0"/>
          <w:szCs w:val="21"/>
          <w:highlight w:val="none"/>
        </w:rPr>
        <w:t xml:space="preserve">。 </w:t>
      </w:r>
    </w:p>
    <w:p w14:paraId="6740E381">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s="宋体"/>
          <w:color w:val="auto"/>
          <w:kern w:val="0"/>
          <w:sz w:val="20"/>
          <w:szCs w:val="20"/>
          <w:highlight w:val="none"/>
        </w:rPr>
      </w:pPr>
      <w:r>
        <w:rPr>
          <w:rFonts w:hint="eastAsia" w:ascii="宋体" w:hAnsi="宋体" w:cs="宋体"/>
          <w:color w:val="auto"/>
          <w:kern w:val="0"/>
          <w:szCs w:val="21"/>
          <w:highlight w:val="none"/>
        </w:rPr>
        <w:t>代理人无转委托权。</w:t>
      </w:r>
    </w:p>
    <w:p w14:paraId="75F6A23F">
      <w:pPr>
        <w:tabs>
          <w:tab w:val="left" w:pos="4200"/>
          <w:tab w:val="left" w:pos="462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rPr>
      </w:pPr>
      <w:r>
        <w:rPr>
          <w:rFonts w:hint="eastAsia" w:ascii="宋体" w:hAnsi="宋体" w:cs="宋体"/>
          <w:snapToGrid w:val="0"/>
          <w:color w:val="auto"/>
          <w:kern w:val="0"/>
          <w:szCs w:val="21"/>
          <w:highlight w:val="none"/>
          <w:lang w:val="en-US" w:eastAsia="zh-CN"/>
        </w:rPr>
        <w:t>供 应 商</w:t>
      </w:r>
      <w:r>
        <w:rPr>
          <w:rFonts w:hint="eastAsia" w:ascii="宋体" w:hAnsi="宋体" w:cs="宋体"/>
          <w:color w:val="auto"/>
          <w:kern w:val="0"/>
          <w:szCs w:val="21"/>
          <w:highlight w:val="none"/>
        </w:rPr>
        <w:t>：</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color w:val="auto"/>
          <w:spacing w:val="-1"/>
          <w:kern w:val="0"/>
          <w:szCs w:val="21"/>
          <w:highlight w:val="none"/>
        </w:rPr>
        <w:t>盖单位法人章</w:t>
      </w:r>
      <w:r>
        <w:rPr>
          <w:rFonts w:hint="eastAsia" w:ascii="宋体" w:hAnsi="宋体" w:cs="宋体"/>
          <w:color w:val="auto"/>
          <w:kern w:val="0"/>
          <w:szCs w:val="21"/>
          <w:highlight w:val="none"/>
        </w:rPr>
        <w:t>）</w:t>
      </w:r>
    </w:p>
    <w:p w14:paraId="2E3CED6C">
      <w:pPr>
        <w:tabs>
          <w:tab w:val="left" w:pos="630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法定代表人：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（签名或盖章）</w:t>
      </w:r>
    </w:p>
    <w:p w14:paraId="39E7A154">
      <w:pPr>
        <w:tabs>
          <w:tab w:val="left" w:pos="526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身份证号码：</w:t>
      </w:r>
      <w:r>
        <w:rPr>
          <w:rFonts w:hint="eastAsia" w:ascii="宋体" w:hAnsi="宋体" w:cs="宋体"/>
          <w:color w:val="auto"/>
          <w:w w:val="200"/>
          <w:kern w:val="0"/>
          <w:szCs w:val="21"/>
          <w:highlight w:val="none"/>
          <w:u w:val="single"/>
        </w:rPr>
        <w:t xml:space="preserve">                           </w:t>
      </w:r>
    </w:p>
    <w:p w14:paraId="33B3F3E7">
      <w:pPr>
        <w:tabs>
          <w:tab w:val="left" w:pos="526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委托代理人：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（签名）</w:t>
      </w:r>
    </w:p>
    <w:p w14:paraId="0C0179DE">
      <w:pPr>
        <w:tabs>
          <w:tab w:val="left" w:pos="6825"/>
        </w:tabs>
        <w:autoSpaceDE w:val="0"/>
        <w:autoSpaceDN w:val="0"/>
        <w:adjustRightInd w:val="0"/>
        <w:snapToGrid w:val="0"/>
        <w:spacing w:line="48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身份证号码：</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p>
    <w:p w14:paraId="153D2191">
      <w:pPr>
        <w:tabs>
          <w:tab w:val="left" w:pos="6825"/>
        </w:tabs>
        <w:autoSpaceDE w:val="0"/>
        <w:autoSpaceDN w:val="0"/>
        <w:adjustRightInd w:val="0"/>
        <w:snapToGrid w:val="0"/>
        <w:spacing w:line="48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单位电话（座机）：</w:t>
      </w:r>
      <w:r>
        <w:rPr>
          <w:rFonts w:hint="eastAsia" w:ascii="宋体" w:hAnsi="宋体" w:cs="宋体"/>
          <w:color w:val="auto"/>
          <w:kern w:val="0"/>
          <w:szCs w:val="21"/>
          <w:highlight w:val="none"/>
          <w:u w:val="single"/>
        </w:rPr>
        <w:t xml:space="preserve">                                    </w:t>
      </w:r>
    </w:p>
    <w:p w14:paraId="4E976E02">
      <w:pPr>
        <w:tabs>
          <w:tab w:val="left" w:pos="6825"/>
        </w:tabs>
        <w:autoSpaceDE w:val="0"/>
        <w:autoSpaceDN w:val="0"/>
        <w:adjustRightInd w:val="0"/>
        <w:snapToGrid w:val="0"/>
        <w:spacing w:line="480" w:lineRule="auto"/>
        <w:ind w:firstLine="420" w:firstLineChars="200"/>
        <w:jc w:val="left"/>
        <w:rPr>
          <w:rFonts w:ascii="宋体" w:hAnsi="宋体" w:cs="宋体"/>
          <w:color w:val="auto"/>
          <w:kern w:val="0"/>
          <w:sz w:val="20"/>
          <w:szCs w:val="20"/>
          <w:highlight w:val="none"/>
          <w:u w:val="single"/>
        </w:rPr>
      </w:pPr>
      <w:r>
        <w:rPr>
          <w:rFonts w:hint="eastAsia" w:ascii="宋体" w:hAnsi="宋体" w:cs="宋体"/>
          <w:color w:val="auto"/>
          <w:kern w:val="0"/>
          <w:szCs w:val="21"/>
          <w:highlight w:val="none"/>
        </w:rPr>
        <w:t xml:space="preserve">委托代理人电话（手机）：                                                </w:t>
      </w:r>
    </w:p>
    <w:p w14:paraId="32658D61">
      <w:pPr>
        <w:tabs>
          <w:tab w:val="left" w:pos="6825"/>
        </w:tabs>
        <w:autoSpaceDE w:val="0"/>
        <w:autoSpaceDN w:val="0"/>
        <w:adjustRightInd w:val="0"/>
        <w:snapToGrid w:val="0"/>
        <w:spacing w:line="480" w:lineRule="auto"/>
        <w:jc w:val="left"/>
        <w:rPr>
          <w:rFonts w:ascii="宋体" w:hAnsi="宋体" w:cs="宋体"/>
          <w:color w:val="auto"/>
          <w:kern w:val="0"/>
          <w:sz w:val="20"/>
          <w:szCs w:val="20"/>
          <w:highlight w:val="none"/>
        </w:rPr>
      </w:pPr>
    </w:p>
    <w:p w14:paraId="5A3738ED">
      <w:pPr>
        <w:autoSpaceDE w:val="0"/>
        <w:autoSpaceDN w:val="0"/>
        <w:adjustRightInd w:val="0"/>
        <w:snapToGrid w:val="0"/>
        <w:spacing w:line="480" w:lineRule="auto"/>
        <w:ind w:firstLine="810" w:firstLineChars="386"/>
        <w:jc w:val="left"/>
        <w:rPr>
          <w:rFonts w:ascii="宋体" w:hAnsi="宋体" w:cs="宋体"/>
          <w:color w:val="auto"/>
          <w:kern w:val="0"/>
          <w:szCs w:val="21"/>
          <w:highlight w:val="none"/>
        </w:rPr>
      </w:pPr>
      <w:r>
        <w:rPr>
          <w:rFonts w:hint="eastAsia" w:ascii="宋体" w:hAnsi="宋体" w:cs="宋体"/>
          <w:color w:val="auto"/>
          <w:kern w:val="0"/>
          <w:szCs w:val="21"/>
          <w:highlight w:val="none"/>
        </w:rPr>
        <w:t>附：法定代表人和委托代理人身份证</w:t>
      </w:r>
      <w:r>
        <w:rPr>
          <w:rFonts w:hint="eastAsia" w:ascii="宋体" w:hAnsi="宋体" w:cs="宋体"/>
          <w:color w:val="auto"/>
          <w:kern w:val="0"/>
          <w:szCs w:val="21"/>
          <w:highlight w:val="none"/>
          <w:lang w:val="en-US" w:eastAsia="zh-CN"/>
        </w:rPr>
        <w:t>明</w:t>
      </w:r>
      <w:r>
        <w:rPr>
          <w:rFonts w:hint="eastAsia" w:ascii="宋体" w:hAnsi="宋体" w:cs="宋体"/>
          <w:color w:val="auto"/>
          <w:kern w:val="0"/>
          <w:szCs w:val="21"/>
          <w:highlight w:val="none"/>
          <w:lang w:eastAsia="zh-CN"/>
        </w:rPr>
        <w:t>复印件</w:t>
      </w:r>
      <w:r>
        <w:rPr>
          <w:rFonts w:hint="eastAsia" w:ascii="宋体" w:hAnsi="宋体" w:cs="宋体"/>
          <w:color w:val="auto"/>
          <w:kern w:val="0"/>
          <w:szCs w:val="21"/>
          <w:highlight w:val="none"/>
        </w:rPr>
        <w:t>（双面）</w:t>
      </w:r>
    </w:p>
    <w:p w14:paraId="1183599A">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60430B00">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74CD2888">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337E2DE7">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5ADC2380">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2E011A49">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31A8DECD">
      <w:pPr>
        <w:autoSpaceDE w:val="0"/>
        <w:autoSpaceDN w:val="0"/>
        <w:adjustRightInd w:val="0"/>
        <w:snapToGrid w:val="0"/>
        <w:spacing w:line="480" w:lineRule="auto"/>
        <w:jc w:val="left"/>
        <w:rPr>
          <w:rFonts w:ascii="宋体" w:hAnsi="宋体" w:cs="宋体"/>
          <w:color w:val="auto"/>
          <w:kern w:val="0"/>
          <w:sz w:val="20"/>
          <w:szCs w:val="20"/>
          <w:highlight w:val="none"/>
        </w:rPr>
      </w:pPr>
    </w:p>
    <w:p w14:paraId="6EE0E023">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s="宋体"/>
          <w:color w:val="auto"/>
          <w:kern w:val="0"/>
          <w:szCs w:val="21"/>
          <w:highlight w:val="none"/>
        </w:rPr>
      </w:pP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07EA2F26">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s="宋体"/>
          <w:color w:val="auto"/>
          <w:kern w:val="0"/>
          <w:highlight w:val="none"/>
        </w:rPr>
      </w:pPr>
      <w:r>
        <w:rPr>
          <w:rFonts w:hint="eastAsia" w:ascii="宋体" w:hAnsi="宋体" w:cs="宋体"/>
          <w:color w:val="auto"/>
          <w:kern w:val="0"/>
          <w:szCs w:val="21"/>
          <w:highlight w:val="none"/>
        </w:rPr>
        <w:t xml:space="preserve"> </w:t>
      </w:r>
    </w:p>
    <w:p w14:paraId="1B2E2370">
      <w:pPr>
        <w:autoSpaceDE w:val="0"/>
        <w:autoSpaceDN w:val="0"/>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注：1、法定代表人参加</w:t>
      </w: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活动并签署文件的不需要授权委托书，只需提供法定代表人身份证明；非法定代表人参加</w:t>
      </w: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活动及签署文件的除提供法定代表人身份证明外还须提供授权委托书。</w:t>
      </w:r>
    </w:p>
    <w:p w14:paraId="5FED72DC">
      <w:pPr>
        <w:autoSpaceDE w:val="0"/>
        <w:autoSpaceDN w:val="0"/>
        <w:adjustRightInd w:val="0"/>
        <w:snapToGrid w:val="0"/>
        <w:spacing w:line="360" w:lineRule="auto"/>
        <w:ind w:firstLine="420" w:firstLineChars="200"/>
        <w:rPr>
          <w:rFonts w:ascii="宋体" w:hAnsi="宋体" w:cs="宋体"/>
          <w:color w:val="auto"/>
          <w:highlight w:val="none"/>
        </w:rPr>
      </w:pPr>
      <w:r>
        <w:rPr>
          <w:rFonts w:hint="eastAsia" w:ascii="宋体" w:hAnsi="宋体" w:cs="宋体"/>
          <w:color w:val="auto"/>
          <w:kern w:val="0"/>
          <w:szCs w:val="21"/>
          <w:highlight w:val="none"/>
        </w:rPr>
        <w:t>2、</w:t>
      </w:r>
      <w:r>
        <w:rPr>
          <w:rFonts w:hint="eastAsia" w:ascii="宋体" w:hAnsi="宋体" w:cs="宋体"/>
          <w:color w:val="auto"/>
          <w:highlight w:val="none"/>
        </w:rPr>
        <w:t>授权委托书需按上述格式填写完整，不可缺少内容。在此基础上增加内容的不影响其有效性。</w:t>
      </w:r>
    </w:p>
    <w:p w14:paraId="6781CA64">
      <w:pPr>
        <w:pStyle w:val="2"/>
        <w:rPr>
          <w:rFonts w:ascii="宋体" w:hAnsi="宋体" w:cs="宋体"/>
          <w:color w:val="auto"/>
          <w:highlight w:val="none"/>
        </w:rPr>
      </w:pPr>
    </w:p>
    <w:p w14:paraId="42F352E1">
      <w:pPr>
        <w:autoSpaceDE w:val="0"/>
        <w:autoSpaceDN w:val="0"/>
        <w:adjustRightInd w:val="0"/>
        <w:snapToGrid w:val="0"/>
        <w:jc w:val="center"/>
        <w:rPr>
          <w:rFonts w:ascii="宋体" w:hAnsi="宋体" w:cs="宋体"/>
          <w:color w:val="auto"/>
          <w:highlight w:val="none"/>
        </w:rPr>
      </w:pPr>
      <w:r>
        <w:rPr>
          <w:rFonts w:hint="eastAsia" w:ascii="宋体" w:hAnsi="宋体" w:cs="宋体"/>
          <w:color w:val="auto"/>
          <w:highlight w:val="none"/>
        </w:rPr>
        <w:br w:type="page"/>
      </w:r>
    </w:p>
    <w:bookmarkEnd w:id="1035"/>
    <w:p w14:paraId="02209DAE">
      <w:pPr>
        <w:jc w:val="center"/>
        <w:rPr>
          <w:rFonts w:ascii="宋体" w:hAnsi="宋体" w:cs="宋体"/>
          <w:color w:val="auto"/>
          <w:highlight w:val="none"/>
        </w:rPr>
      </w:pPr>
      <w:bookmarkStart w:id="1046" w:name="_Toc5739"/>
      <w:bookmarkStart w:id="1047" w:name="_Toc33106478"/>
    </w:p>
    <w:bookmarkEnd w:id="1046"/>
    <w:bookmarkEnd w:id="1047"/>
    <w:p w14:paraId="4C031A32">
      <w:pPr>
        <w:pStyle w:val="5"/>
        <w:spacing w:before="0" w:line="360" w:lineRule="auto"/>
        <w:jc w:val="center"/>
        <w:rPr>
          <w:rFonts w:ascii="宋体" w:hAnsi="宋体" w:cs="宋体"/>
          <w:b w:val="0"/>
          <w:color w:val="auto"/>
          <w:highlight w:val="none"/>
        </w:rPr>
      </w:pPr>
      <w:bookmarkStart w:id="1048" w:name="_Toc287620839"/>
      <w:bookmarkStart w:id="1049" w:name="_Toc509218866"/>
      <w:bookmarkStart w:id="1050" w:name="_Toc27983331"/>
      <w:bookmarkStart w:id="1051" w:name="_Toc534185843"/>
      <w:bookmarkStart w:id="1052" w:name="_Toc277082663"/>
      <w:bookmarkStart w:id="1053" w:name="_Toc430530552"/>
      <w:bookmarkStart w:id="1054" w:name="_Toc224103520"/>
      <w:bookmarkStart w:id="1055" w:name="_Toc287607893"/>
      <w:bookmarkStart w:id="1056" w:name="_Toc461"/>
      <w:bookmarkStart w:id="1057" w:name="_Toc12182"/>
      <w:bookmarkStart w:id="1058" w:name="_Toc16248"/>
      <w:bookmarkStart w:id="1059" w:name="_Toc19829"/>
      <w:r>
        <w:rPr>
          <w:rFonts w:hint="eastAsia" w:ascii="宋体" w:hAnsi="宋体" w:cs="宋体"/>
          <w:b w:val="0"/>
          <w:color w:val="auto"/>
          <w:highlight w:val="none"/>
        </w:rPr>
        <w:t>（</w:t>
      </w:r>
      <w:r>
        <w:rPr>
          <w:rFonts w:hint="eastAsia" w:ascii="宋体" w:hAnsi="宋体" w:cs="宋体"/>
          <w:b w:val="0"/>
          <w:color w:val="auto"/>
          <w:highlight w:val="none"/>
          <w:lang w:val="en-US" w:eastAsia="zh-CN"/>
        </w:rPr>
        <w:t>三</w:t>
      </w:r>
      <w:r>
        <w:rPr>
          <w:rFonts w:hint="eastAsia" w:ascii="宋体" w:hAnsi="宋体" w:cs="宋体"/>
          <w:b w:val="0"/>
          <w:color w:val="auto"/>
          <w:highlight w:val="none"/>
        </w:rPr>
        <w:t>）</w:t>
      </w:r>
      <w:bookmarkEnd w:id="1048"/>
      <w:bookmarkEnd w:id="1049"/>
      <w:bookmarkEnd w:id="1050"/>
      <w:bookmarkEnd w:id="1051"/>
      <w:bookmarkEnd w:id="1052"/>
      <w:bookmarkEnd w:id="1053"/>
      <w:bookmarkEnd w:id="1054"/>
      <w:bookmarkEnd w:id="1055"/>
      <w:r>
        <w:rPr>
          <w:rFonts w:hint="eastAsia" w:ascii="宋体" w:hAnsi="宋体" w:cs="宋体"/>
          <w:b w:val="0"/>
          <w:color w:val="auto"/>
          <w:highlight w:val="none"/>
        </w:rPr>
        <w:t>承诺</w:t>
      </w:r>
      <w:bookmarkEnd w:id="1056"/>
      <w:bookmarkEnd w:id="1057"/>
      <w:bookmarkEnd w:id="1058"/>
      <w:bookmarkEnd w:id="1059"/>
    </w:p>
    <w:p w14:paraId="077CE604">
      <w:pPr>
        <w:adjustRightInd w:val="0"/>
        <w:snapToGrid w:val="0"/>
        <w:spacing w:line="360" w:lineRule="auto"/>
        <w:rPr>
          <w:rFonts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eastAsia="zh-CN"/>
        </w:rPr>
        <w:t>采购人</w:t>
      </w:r>
      <w:r>
        <w:rPr>
          <w:rFonts w:hint="eastAsia" w:ascii="宋体" w:hAnsi="宋体" w:cs="宋体"/>
          <w:color w:val="auto"/>
          <w:szCs w:val="21"/>
          <w:highlight w:val="none"/>
          <w:u w:val="single"/>
        </w:rPr>
        <w:t>名称）</w:t>
      </w:r>
      <w:r>
        <w:rPr>
          <w:rFonts w:hint="eastAsia" w:ascii="宋体" w:hAnsi="宋体" w:cs="宋体"/>
          <w:color w:val="auto"/>
          <w:szCs w:val="21"/>
          <w:highlight w:val="none"/>
        </w:rPr>
        <w:t>：</w:t>
      </w:r>
    </w:p>
    <w:p w14:paraId="3E5000D5">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我公司</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eastAsia="zh-CN"/>
        </w:rPr>
        <w:t>供应商</w:t>
      </w:r>
      <w:r>
        <w:rPr>
          <w:rFonts w:hint="eastAsia" w:ascii="宋体" w:hAnsi="宋体" w:cs="宋体"/>
          <w:color w:val="auto"/>
          <w:szCs w:val="21"/>
          <w:highlight w:val="none"/>
          <w:u w:val="single"/>
        </w:rPr>
        <w:t>名称）</w:t>
      </w:r>
      <w:r>
        <w:rPr>
          <w:rFonts w:hint="eastAsia" w:ascii="宋体" w:hAnsi="宋体" w:cs="宋体"/>
          <w:color w:val="auto"/>
          <w:szCs w:val="21"/>
          <w:highlight w:val="none"/>
        </w:rPr>
        <w:t>参加了贵单位</w:t>
      </w:r>
      <w:r>
        <w:rPr>
          <w:rFonts w:hint="eastAsia" w:ascii="宋体" w:hAnsi="宋体" w:cs="宋体"/>
          <w:color w:val="auto"/>
          <w:szCs w:val="21"/>
          <w:highlight w:val="none"/>
          <w:u w:val="single"/>
          <w:lang w:eastAsia="zh-CN"/>
        </w:rPr>
        <w:t>成渝改扩建机电工程监控、通信设施保通及路由管道劳务采购</w:t>
      </w:r>
      <w:r>
        <w:rPr>
          <w:rFonts w:hint="eastAsia" w:ascii="宋体" w:hAnsi="宋体" w:cs="宋体"/>
          <w:color w:val="auto"/>
          <w:szCs w:val="21"/>
          <w:highlight w:val="none"/>
        </w:rPr>
        <w:t>的</w:t>
      </w:r>
      <w:r>
        <w:rPr>
          <w:rFonts w:hint="eastAsia" w:ascii="宋体" w:hAnsi="宋体" w:cs="宋体"/>
          <w:color w:val="auto"/>
          <w:szCs w:val="21"/>
          <w:highlight w:val="none"/>
          <w:lang w:eastAsia="zh-CN"/>
        </w:rPr>
        <w:t>比选</w:t>
      </w:r>
      <w:r>
        <w:rPr>
          <w:rFonts w:hint="eastAsia" w:ascii="宋体" w:hAnsi="宋体" w:cs="宋体"/>
          <w:color w:val="auto"/>
          <w:szCs w:val="21"/>
          <w:highlight w:val="none"/>
        </w:rPr>
        <w:t>，自愿作出以下承诺：</w:t>
      </w:r>
    </w:p>
    <w:p w14:paraId="0012FCB2">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比选截止日投标资格情况</w:t>
      </w:r>
      <w:r>
        <w:rPr>
          <w:rFonts w:hint="eastAsia" w:ascii="宋体" w:hAnsi="宋体" w:cs="宋体"/>
          <w:color w:val="auto"/>
          <w:szCs w:val="21"/>
          <w:highlight w:val="none"/>
        </w:rPr>
        <w:t>不存在下列情形之一：</w:t>
      </w:r>
    </w:p>
    <w:p w14:paraId="52CF9434">
      <w:pPr>
        <w:keepNext w:val="0"/>
        <w:keepLines w:val="0"/>
        <w:pageBreakBefore w:val="0"/>
        <w:widowControl/>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（1）被人民法院列入失信被执行人名单且在被执行期内；</w:t>
      </w:r>
    </w:p>
    <w:p w14:paraId="47107F2E">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（2）被国家、重庆市（含市或任意区县）有关行政部门处以</w:t>
      </w:r>
      <w:r>
        <w:rPr>
          <w:rFonts w:hint="eastAsia" w:ascii="宋体" w:hAnsi="宋体" w:eastAsia="宋体" w:cs="宋体"/>
          <w:color w:val="auto"/>
          <w:sz w:val="21"/>
          <w:szCs w:val="21"/>
          <w:highlight w:val="none"/>
          <w:lang w:eastAsia="zh-CN"/>
        </w:rPr>
        <w:t>暂停投标资格处罚或禁止从业处罚，且在处罚期限内</w:t>
      </w:r>
      <w:r>
        <w:rPr>
          <w:rFonts w:hint="eastAsia" w:ascii="宋体" w:hAnsi="宋体" w:eastAsia="宋体" w:cs="宋体"/>
          <w:color w:val="auto"/>
          <w:szCs w:val="21"/>
          <w:highlight w:val="none"/>
          <w:lang w:eastAsia="zh-CN"/>
        </w:rPr>
        <w:t>；</w:t>
      </w:r>
    </w:p>
    <w:p w14:paraId="0CCBA7CE">
      <w:pPr>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kern w:val="2"/>
          <w:szCs w:val="21"/>
          <w:highlight w:val="none"/>
        </w:rPr>
        <w:t>第二章“</w:t>
      </w:r>
      <w:r>
        <w:rPr>
          <w:rFonts w:hint="eastAsia" w:ascii="宋体" w:hAnsi="宋体" w:eastAsia="宋体" w:cs="宋体"/>
          <w:color w:val="auto"/>
          <w:kern w:val="2"/>
          <w:szCs w:val="21"/>
          <w:highlight w:val="none"/>
          <w:lang w:eastAsia="zh-CN"/>
        </w:rPr>
        <w:t>供应商</w:t>
      </w:r>
      <w:r>
        <w:rPr>
          <w:rFonts w:hint="eastAsia" w:ascii="宋体" w:hAnsi="宋体" w:eastAsia="宋体" w:cs="宋体"/>
          <w:color w:val="auto"/>
          <w:kern w:val="2"/>
          <w:szCs w:val="21"/>
          <w:highlight w:val="none"/>
        </w:rPr>
        <w:t>须知”第1.4.3项规定</w:t>
      </w:r>
      <w:r>
        <w:rPr>
          <w:rFonts w:hint="eastAsia" w:ascii="宋体" w:hAnsi="宋体" w:eastAsia="宋体" w:cs="宋体"/>
          <w:color w:val="auto"/>
          <w:kern w:val="2"/>
          <w:szCs w:val="21"/>
          <w:highlight w:val="none"/>
          <w:lang w:val="en-US" w:eastAsia="zh-CN"/>
        </w:rPr>
        <w:t>的情形之一</w:t>
      </w:r>
      <w:r>
        <w:rPr>
          <w:rFonts w:hint="eastAsia" w:ascii="宋体" w:hAnsi="宋体" w:eastAsia="宋体" w:cs="宋体"/>
          <w:color w:val="auto"/>
          <w:kern w:val="2"/>
          <w:szCs w:val="21"/>
          <w:highlight w:val="none"/>
          <w:lang w:eastAsia="zh-CN"/>
        </w:rPr>
        <w:t>；</w:t>
      </w:r>
      <w:r>
        <w:rPr>
          <w:rFonts w:hint="eastAsia" w:ascii="宋体" w:hAnsi="宋体" w:eastAsia="宋体" w:cs="宋体"/>
          <w:color w:val="auto"/>
          <w:kern w:val="2"/>
          <w:szCs w:val="21"/>
          <w:highlight w:val="none"/>
          <w:lang w:val="en-US" w:eastAsia="zh-CN"/>
        </w:rPr>
        <w:t>第二章“供应商须知”第9.2款规定的情形之一</w:t>
      </w:r>
      <w:r>
        <w:rPr>
          <w:rFonts w:hint="eastAsia" w:ascii="宋体" w:hAnsi="宋体" w:eastAsia="宋体" w:cs="宋体"/>
          <w:color w:val="auto"/>
          <w:szCs w:val="21"/>
          <w:highlight w:val="none"/>
          <w:lang w:eastAsia="zh-CN"/>
        </w:rPr>
        <w:t>；</w:t>
      </w:r>
    </w:p>
    <w:p w14:paraId="57B2A6AB">
      <w:pPr>
        <w:adjustRightInd w:val="0"/>
        <w:snapToGrid w:val="0"/>
        <w:spacing w:line="360" w:lineRule="auto"/>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（4）被国家企业信用信息公示系统（http://www.gsxt.gov.cn/）中列入严重违法失信企业名单（黑名单）信息</w:t>
      </w:r>
      <w:r>
        <w:rPr>
          <w:rFonts w:hint="eastAsia" w:ascii="宋体" w:hAnsi="宋体" w:eastAsia="宋体" w:cs="宋体"/>
          <w:color w:val="auto"/>
          <w:szCs w:val="21"/>
          <w:highlight w:val="none"/>
          <w:lang w:eastAsia="zh-CN"/>
        </w:rPr>
        <w:t>；</w:t>
      </w:r>
    </w:p>
    <w:p w14:paraId="25E99AE7">
      <w:pPr>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（5）被“信用中国”网站（http://www.creditchina.gov.cn/）列入严重失信主体名单。</w:t>
      </w:r>
    </w:p>
    <w:p w14:paraId="3227D819">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2.1我公司拟派的项目经理按注册建造师的相关规定到岗履职和未被禁止参与投标。</w:t>
      </w:r>
    </w:p>
    <w:p w14:paraId="3695EFA2">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2.1.1拟派的项目经理</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后在本项目任职，签订合同时拟派的项目经理必须与</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中的项目经理一致，并满足办理施工许可手续的相关要求。不能按承诺到岗</w:t>
      </w:r>
      <w:r>
        <w:rPr>
          <w:rFonts w:hint="eastAsia" w:ascii="宋体" w:hAnsi="宋体"/>
          <w:color w:val="auto"/>
          <w:szCs w:val="21"/>
          <w:highlight w:val="none"/>
          <w:lang w:eastAsia="zh-CN"/>
        </w:rPr>
        <w:t>履职</w:t>
      </w:r>
      <w:r>
        <w:rPr>
          <w:rFonts w:hint="eastAsia" w:ascii="宋体" w:hAnsi="宋体"/>
          <w:color w:val="auto"/>
          <w:szCs w:val="21"/>
          <w:highlight w:val="none"/>
        </w:rPr>
        <w:t>的，</w:t>
      </w:r>
      <w:r>
        <w:rPr>
          <w:rFonts w:hint="eastAsia" w:ascii="宋体" w:hAnsi="宋体"/>
          <w:color w:val="auto"/>
          <w:szCs w:val="21"/>
          <w:highlight w:val="none"/>
          <w:lang w:eastAsia="zh-CN"/>
        </w:rPr>
        <w:t>贵单位</w:t>
      </w:r>
      <w:r>
        <w:rPr>
          <w:rFonts w:hint="eastAsia" w:ascii="宋体" w:hAnsi="宋体" w:cs="宋体"/>
          <w:color w:val="auto"/>
          <w:szCs w:val="21"/>
          <w:highlight w:val="none"/>
        </w:rPr>
        <w:t>按合同相关条款</w:t>
      </w:r>
      <w:r>
        <w:rPr>
          <w:rFonts w:hint="eastAsia" w:ascii="宋体" w:hAnsi="宋体"/>
          <w:color w:val="auto"/>
          <w:szCs w:val="21"/>
          <w:highlight w:val="none"/>
          <w:lang w:eastAsia="zh-CN"/>
        </w:rPr>
        <w:t>要求我公司承担责任</w:t>
      </w:r>
      <w:r>
        <w:rPr>
          <w:rFonts w:hint="eastAsia" w:ascii="宋体" w:hAnsi="宋体"/>
          <w:color w:val="auto"/>
          <w:szCs w:val="21"/>
          <w:highlight w:val="none"/>
        </w:rPr>
        <w:t>并上报行政主管部门，给贵单位造成损失的，我公司依法承担赔偿责任</w:t>
      </w:r>
      <w:r>
        <w:rPr>
          <w:rFonts w:hint="eastAsia" w:ascii="宋体" w:hAnsi="宋体"/>
          <w:color w:val="auto"/>
          <w:szCs w:val="21"/>
          <w:highlight w:val="none"/>
          <w:lang w:eastAsia="zh-CN"/>
        </w:rPr>
        <w:t>或违约责任</w:t>
      </w:r>
      <w:r>
        <w:rPr>
          <w:rFonts w:hint="eastAsia" w:ascii="宋体" w:hAnsi="宋体" w:cs="宋体"/>
          <w:color w:val="auto"/>
          <w:szCs w:val="21"/>
          <w:highlight w:val="none"/>
        </w:rPr>
        <w:t>。拟派的项目经理</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后不得随意更换。</w:t>
      </w:r>
    </w:p>
    <w:p w14:paraId="70719B9D">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2.1.2</w:t>
      </w:r>
      <w:r>
        <w:rPr>
          <w:rFonts w:hint="eastAsia" w:ascii="宋体" w:hAnsi="宋体"/>
          <w:color w:val="auto"/>
          <w:szCs w:val="21"/>
          <w:highlight w:val="none"/>
        </w:rPr>
        <w:t>拟派的项目经理未被</w:t>
      </w:r>
      <w:r>
        <w:rPr>
          <w:rFonts w:hint="eastAsia" w:ascii="宋体" w:hAnsi="宋体"/>
          <w:color w:val="auto"/>
          <w:szCs w:val="21"/>
          <w:highlight w:val="none"/>
          <w:lang w:val="en-US" w:eastAsia="zh-CN"/>
        </w:rPr>
        <w:t>有关</w:t>
      </w:r>
      <w:r>
        <w:rPr>
          <w:rFonts w:hint="eastAsia" w:ascii="宋体" w:hAnsi="宋体"/>
          <w:color w:val="auto"/>
          <w:szCs w:val="21"/>
          <w:highlight w:val="none"/>
        </w:rPr>
        <w:t>部门</w:t>
      </w:r>
      <w:r>
        <w:rPr>
          <w:rFonts w:hint="eastAsia" w:cs="Times New Roman"/>
          <w:color w:val="auto"/>
          <w:sz w:val="21"/>
          <w:szCs w:val="21"/>
          <w:highlight w:val="none"/>
          <w:lang w:eastAsia="zh-CN"/>
        </w:rPr>
        <w:t>暂停投标资格或禁止从业</w:t>
      </w:r>
      <w:r>
        <w:rPr>
          <w:rFonts w:hint="eastAsia" w:ascii="宋体" w:hAnsi="宋体"/>
          <w:color w:val="auto"/>
          <w:szCs w:val="21"/>
          <w:highlight w:val="none"/>
        </w:rPr>
        <w:t>，若</w:t>
      </w:r>
      <w:r>
        <w:rPr>
          <w:rFonts w:hint="eastAsia" w:ascii="宋体" w:hAnsi="宋体"/>
          <w:color w:val="auto"/>
          <w:szCs w:val="21"/>
          <w:highlight w:val="none"/>
          <w:lang w:eastAsia="zh-CN"/>
        </w:rPr>
        <w:t>其</w:t>
      </w:r>
      <w:r>
        <w:rPr>
          <w:rFonts w:hint="eastAsia" w:ascii="宋体" w:hAnsi="宋体"/>
          <w:color w:val="auto"/>
          <w:szCs w:val="21"/>
          <w:highlight w:val="none"/>
        </w:rPr>
        <w:t>被暂停</w:t>
      </w:r>
      <w:r>
        <w:rPr>
          <w:rFonts w:hint="eastAsia" w:cs="Times New Roman"/>
          <w:color w:val="auto"/>
          <w:sz w:val="21"/>
          <w:szCs w:val="21"/>
          <w:highlight w:val="none"/>
          <w:lang w:eastAsia="zh-CN"/>
        </w:rPr>
        <w:t>投标资格或禁止从业</w:t>
      </w:r>
      <w:r>
        <w:rPr>
          <w:rFonts w:hint="eastAsia" w:ascii="宋体" w:hAnsi="宋体"/>
          <w:color w:val="auto"/>
          <w:szCs w:val="21"/>
          <w:highlight w:val="none"/>
        </w:rPr>
        <w:t>但仍参加</w:t>
      </w:r>
      <w:r>
        <w:rPr>
          <w:rFonts w:hint="eastAsia" w:ascii="宋体" w:hAnsi="宋体"/>
          <w:color w:val="auto"/>
          <w:szCs w:val="21"/>
          <w:highlight w:val="none"/>
          <w:lang w:val="en-US" w:eastAsia="zh-CN"/>
        </w:rPr>
        <w:t>比选</w:t>
      </w:r>
      <w:r>
        <w:rPr>
          <w:rFonts w:hint="eastAsia" w:ascii="宋体" w:hAnsi="宋体"/>
          <w:color w:val="auto"/>
          <w:szCs w:val="21"/>
          <w:highlight w:val="none"/>
        </w:rPr>
        <w:t>，将被否决；已取得中</w:t>
      </w:r>
      <w:r>
        <w:rPr>
          <w:rFonts w:hint="eastAsia" w:ascii="宋体" w:hAnsi="宋体"/>
          <w:color w:val="auto"/>
          <w:szCs w:val="21"/>
          <w:highlight w:val="none"/>
          <w:lang w:val="en-US" w:eastAsia="zh-CN"/>
        </w:rPr>
        <w:t>选</w:t>
      </w:r>
      <w:r>
        <w:rPr>
          <w:rFonts w:hint="eastAsia" w:ascii="宋体" w:hAnsi="宋体"/>
          <w:color w:val="auto"/>
          <w:szCs w:val="21"/>
          <w:highlight w:val="none"/>
        </w:rPr>
        <w:t>候选人资格或中</w:t>
      </w:r>
      <w:r>
        <w:rPr>
          <w:rFonts w:hint="eastAsia" w:ascii="宋体" w:hAnsi="宋体"/>
          <w:color w:val="auto"/>
          <w:szCs w:val="21"/>
          <w:highlight w:val="none"/>
          <w:lang w:val="en-US" w:eastAsia="zh-CN"/>
        </w:rPr>
        <w:t>选</w:t>
      </w:r>
      <w:r>
        <w:rPr>
          <w:rFonts w:hint="eastAsia" w:ascii="宋体" w:hAnsi="宋体"/>
          <w:color w:val="auto"/>
          <w:szCs w:val="21"/>
          <w:highlight w:val="none"/>
        </w:rPr>
        <w:t>资格的，贵单位有权取消我公司中</w:t>
      </w:r>
      <w:r>
        <w:rPr>
          <w:rFonts w:hint="eastAsia" w:ascii="宋体" w:hAnsi="宋体"/>
          <w:color w:val="auto"/>
          <w:szCs w:val="21"/>
          <w:highlight w:val="none"/>
          <w:lang w:val="en-US" w:eastAsia="zh-CN"/>
        </w:rPr>
        <w:t>选</w:t>
      </w:r>
      <w:r>
        <w:rPr>
          <w:rFonts w:hint="eastAsia" w:ascii="宋体" w:hAnsi="宋体"/>
          <w:color w:val="auto"/>
          <w:szCs w:val="21"/>
          <w:highlight w:val="none"/>
        </w:rPr>
        <w:t>候选人资格或中</w:t>
      </w:r>
      <w:r>
        <w:rPr>
          <w:rFonts w:hint="eastAsia" w:ascii="宋体" w:hAnsi="宋体"/>
          <w:color w:val="auto"/>
          <w:szCs w:val="21"/>
          <w:highlight w:val="none"/>
          <w:lang w:val="en-US" w:eastAsia="zh-CN"/>
        </w:rPr>
        <w:t>选</w:t>
      </w:r>
      <w:r>
        <w:rPr>
          <w:rFonts w:hint="eastAsia" w:ascii="宋体" w:hAnsi="宋体"/>
          <w:color w:val="auto"/>
          <w:szCs w:val="21"/>
          <w:highlight w:val="none"/>
        </w:rPr>
        <w:t>资格；给贵单位造成损失的，我公司依法承担赔偿责任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w:t>
      </w:r>
    </w:p>
    <w:p w14:paraId="7D94BBA0">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2.1.3为保证我公司拟派的项目经理到本项目到岗履职，我公司还承诺：</w:t>
      </w:r>
    </w:p>
    <w:p w14:paraId="61D7AF7A">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若我公司拟派本项目的项目经理有在其他项目任职的情形的（或有在其他项目</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的情形的），应在收到</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通知书后</w:t>
      </w:r>
      <w:r>
        <w:rPr>
          <w:rFonts w:hint="eastAsia" w:ascii="宋体" w:hAnsi="宋体" w:cs="宋体"/>
          <w:color w:val="auto"/>
          <w:szCs w:val="21"/>
          <w:highlight w:val="none"/>
          <w:u w:val="single"/>
        </w:rPr>
        <w:t xml:space="preserve"> 14 </w:t>
      </w:r>
      <w:r>
        <w:rPr>
          <w:rFonts w:hint="eastAsia" w:ascii="宋体" w:hAnsi="宋体" w:cs="宋体"/>
          <w:color w:val="auto"/>
          <w:szCs w:val="21"/>
          <w:highlight w:val="none"/>
        </w:rPr>
        <w:t>日内，办理完成放弃在其他项目任职的手续（或办理完成放弃在其他项目</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的手续），贵单位在合同签订前有权对我公司拟派项目经理在其他项目的任职情形（或在其他项目的</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情形）进行核查，若与我公司承诺内容不符或我公司未在上述时间内按照</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规定递交放弃在其他项目任职、</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的相关资料，我公司自愿放弃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资格，贵单位不退还我公司的</w:t>
      </w:r>
      <w:r>
        <w:rPr>
          <w:rFonts w:hint="eastAsia" w:ascii="宋体" w:hAnsi="宋体" w:cs="宋体"/>
          <w:color w:val="auto"/>
          <w:szCs w:val="21"/>
          <w:highlight w:val="none"/>
          <w:lang w:eastAsia="zh-CN"/>
        </w:rPr>
        <w:t>比选保证金</w:t>
      </w:r>
      <w:r>
        <w:rPr>
          <w:rFonts w:hint="eastAsia" w:ascii="宋体" w:hAnsi="宋体" w:cs="宋体"/>
          <w:color w:val="auto"/>
          <w:szCs w:val="21"/>
          <w:highlight w:val="none"/>
        </w:rPr>
        <w:t>。在合同签订时，我公司确保拟派项目经理符合《建筑施工企业项目经理资质管理办法》规定的项目经理任职条件，否则我公司自愿放弃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资格，贵单位不退还我公司的</w:t>
      </w:r>
      <w:r>
        <w:rPr>
          <w:rFonts w:hint="eastAsia" w:ascii="宋体" w:hAnsi="宋体" w:cs="宋体"/>
          <w:color w:val="auto"/>
          <w:szCs w:val="21"/>
          <w:highlight w:val="none"/>
          <w:lang w:eastAsia="zh-CN"/>
        </w:rPr>
        <w:t>比选保证金</w:t>
      </w:r>
      <w:r>
        <w:rPr>
          <w:rFonts w:hint="eastAsia" w:ascii="宋体" w:hAnsi="宋体" w:cs="宋体"/>
          <w:color w:val="auto"/>
          <w:szCs w:val="21"/>
          <w:highlight w:val="none"/>
        </w:rPr>
        <w:t>。</w:t>
      </w:r>
    </w:p>
    <w:p w14:paraId="19C405F4">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若我公司拟派项目经理放弃在其他项目任职的将提供：①经业主或建设单位同意任职变更的文件；②负责项目监管的行业行政主管部门出具同意任职变更的证明材料。</w:t>
      </w:r>
    </w:p>
    <w:p w14:paraId="45A5F516">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若我公司拟派项目经理放弃在其他项目</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的将提供：①经</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的其他项目建设单位同意的放弃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函。</w:t>
      </w:r>
    </w:p>
    <w:p w14:paraId="385DDD1B">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2.2我公司拟派的项目总工按相关规定到岗履职和未被禁止参与投标。</w:t>
      </w:r>
    </w:p>
    <w:p w14:paraId="268FA6EE">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2.2.1拟派的项目总工</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后只能在本项目任职，签订合同时拟派的项目总工必须与</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中的项目总工一致，并满足办理施工许可手续的相关要求。不能按承诺到岗履约的，按合同相关条款处罚并上报行政主管部门，给贵单位造成损失的，我公司依法承担违约赔偿责任。拟派的项目总工</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后不得随意更换。</w:t>
      </w:r>
    </w:p>
    <w:p w14:paraId="75DCA3CE">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2.2.2拟派的项目总工</w:t>
      </w:r>
      <w:r>
        <w:rPr>
          <w:rFonts w:hint="eastAsia" w:ascii="宋体" w:hAnsi="宋体"/>
          <w:color w:val="auto"/>
          <w:szCs w:val="21"/>
          <w:highlight w:val="none"/>
        </w:rPr>
        <w:t>未被</w:t>
      </w:r>
      <w:r>
        <w:rPr>
          <w:rFonts w:hint="eastAsia" w:ascii="宋体" w:hAnsi="宋体"/>
          <w:color w:val="auto"/>
          <w:szCs w:val="21"/>
          <w:highlight w:val="none"/>
          <w:lang w:val="en-US" w:eastAsia="zh-CN"/>
        </w:rPr>
        <w:t>有关</w:t>
      </w:r>
      <w:r>
        <w:rPr>
          <w:rFonts w:hint="eastAsia" w:ascii="宋体" w:hAnsi="宋体"/>
          <w:color w:val="auto"/>
          <w:szCs w:val="21"/>
          <w:highlight w:val="none"/>
        </w:rPr>
        <w:t>部门</w:t>
      </w:r>
      <w:r>
        <w:rPr>
          <w:rFonts w:hint="eastAsia" w:cs="Times New Roman"/>
          <w:color w:val="auto"/>
          <w:sz w:val="21"/>
          <w:szCs w:val="21"/>
          <w:highlight w:val="none"/>
          <w:lang w:eastAsia="zh-CN"/>
        </w:rPr>
        <w:t>暂停投标资格或禁止从业</w:t>
      </w:r>
      <w:r>
        <w:rPr>
          <w:rFonts w:hint="eastAsia" w:ascii="宋体" w:hAnsi="宋体"/>
          <w:color w:val="auto"/>
          <w:szCs w:val="21"/>
          <w:highlight w:val="none"/>
        </w:rPr>
        <w:t>，若</w:t>
      </w:r>
      <w:r>
        <w:rPr>
          <w:rFonts w:hint="eastAsia" w:ascii="宋体" w:hAnsi="宋体"/>
          <w:color w:val="auto"/>
          <w:szCs w:val="21"/>
          <w:highlight w:val="none"/>
          <w:lang w:eastAsia="zh-CN"/>
        </w:rPr>
        <w:t>其</w:t>
      </w:r>
      <w:r>
        <w:rPr>
          <w:rFonts w:hint="eastAsia" w:ascii="宋体" w:hAnsi="宋体"/>
          <w:color w:val="auto"/>
          <w:szCs w:val="21"/>
          <w:highlight w:val="none"/>
        </w:rPr>
        <w:t>被暂停</w:t>
      </w:r>
      <w:r>
        <w:rPr>
          <w:rFonts w:hint="eastAsia" w:cs="Times New Roman"/>
          <w:color w:val="auto"/>
          <w:sz w:val="21"/>
          <w:szCs w:val="21"/>
          <w:highlight w:val="none"/>
          <w:lang w:eastAsia="zh-CN"/>
        </w:rPr>
        <w:t>投标资格或禁止从业</w:t>
      </w:r>
      <w:r>
        <w:rPr>
          <w:rFonts w:hint="eastAsia" w:ascii="宋体" w:hAnsi="宋体"/>
          <w:color w:val="auto"/>
          <w:szCs w:val="21"/>
          <w:highlight w:val="none"/>
        </w:rPr>
        <w:t>但仍参加</w:t>
      </w:r>
      <w:r>
        <w:rPr>
          <w:rFonts w:hint="eastAsia" w:ascii="宋体" w:hAnsi="宋体"/>
          <w:color w:val="auto"/>
          <w:szCs w:val="21"/>
          <w:highlight w:val="none"/>
          <w:lang w:val="en-US" w:eastAsia="zh-CN"/>
        </w:rPr>
        <w:t>比选</w:t>
      </w:r>
      <w:r>
        <w:rPr>
          <w:rFonts w:hint="eastAsia" w:ascii="宋体" w:hAnsi="宋体"/>
          <w:color w:val="auto"/>
          <w:szCs w:val="21"/>
          <w:highlight w:val="none"/>
        </w:rPr>
        <w:t>，将被否决；已取得中</w:t>
      </w:r>
      <w:r>
        <w:rPr>
          <w:rFonts w:hint="eastAsia" w:ascii="宋体" w:hAnsi="宋体"/>
          <w:color w:val="auto"/>
          <w:szCs w:val="21"/>
          <w:highlight w:val="none"/>
          <w:lang w:val="en-US" w:eastAsia="zh-CN"/>
        </w:rPr>
        <w:t>选</w:t>
      </w:r>
      <w:r>
        <w:rPr>
          <w:rFonts w:hint="eastAsia" w:ascii="宋体" w:hAnsi="宋体"/>
          <w:color w:val="auto"/>
          <w:szCs w:val="21"/>
          <w:highlight w:val="none"/>
        </w:rPr>
        <w:t>候选人资格或中</w:t>
      </w:r>
      <w:r>
        <w:rPr>
          <w:rFonts w:hint="eastAsia" w:ascii="宋体" w:hAnsi="宋体"/>
          <w:color w:val="auto"/>
          <w:szCs w:val="21"/>
          <w:highlight w:val="none"/>
          <w:lang w:val="en-US" w:eastAsia="zh-CN"/>
        </w:rPr>
        <w:t>选</w:t>
      </w:r>
      <w:r>
        <w:rPr>
          <w:rFonts w:hint="eastAsia" w:ascii="宋体" w:hAnsi="宋体"/>
          <w:color w:val="auto"/>
          <w:szCs w:val="21"/>
          <w:highlight w:val="none"/>
        </w:rPr>
        <w:t>资格的，贵单位有权取消我公司中</w:t>
      </w:r>
      <w:r>
        <w:rPr>
          <w:rFonts w:hint="eastAsia" w:ascii="宋体" w:hAnsi="宋体"/>
          <w:color w:val="auto"/>
          <w:szCs w:val="21"/>
          <w:highlight w:val="none"/>
          <w:lang w:val="en-US" w:eastAsia="zh-CN"/>
        </w:rPr>
        <w:t>选</w:t>
      </w:r>
      <w:r>
        <w:rPr>
          <w:rFonts w:hint="eastAsia" w:ascii="宋体" w:hAnsi="宋体"/>
          <w:color w:val="auto"/>
          <w:szCs w:val="21"/>
          <w:highlight w:val="none"/>
        </w:rPr>
        <w:t>候选人资格或中</w:t>
      </w:r>
      <w:r>
        <w:rPr>
          <w:rFonts w:hint="eastAsia" w:ascii="宋体" w:hAnsi="宋体"/>
          <w:color w:val="auto"/>
          <w:szCs w:val="21"/>
          <w:highlight w:val="none"/>
          <w:lang w:val="en-US" w:eastAsia="zh-CN"/>
        </w:rPr>
        <w:t>选</w:t>
      </w:r>
      <w:r>
        <w:rPr>
          <w:rFonts w:hint="eastAsia" w:ascii="宋体" w:hAnsi="宋体"/>
          <w:color w:val="auto"/>
          <w:szCs w:val="21"/>
          <w:highlight w:val="none"/>
        </w:rPr>
        <w:t>资格；给贵单位造成损失的，我公司依法承担赔偿责任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w:t>
      </w:r>
    </w:p>
    <w:p w14:paraId="425644ED">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2.3我公司承诺拟派项目</w:t>
      </w:r>
      <w:r>
        <w:rPr>
          <w:rFonts w:hint="eastAsia" w:ascii="宋体" w:hAnsi="宋体" w:cs="宋体"/>
          <w:bCs/>
          <w:snapToGrid w:val="0"/>
          <w:color w:val="auto"/>
          <w:szCs w:val="21"/>
          <w:highlight w:val="none"/>
          <w:lang w:val="en-US" w:eastAsia="zh-CN"/>
        </w:rPr>
        <w:t>安全负责人</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后只能在本项目任职，签订合同时拟派的项目</w:t>
      </w:r>
      <w:r>
        <w:rPr>
          <w:rFonts w:hint="eastAsia" w:ascii="宋体" w:hAnsi="宋体" w:cs="宋体"/>
          <w:bCs/>
          <w:snapToGrid w:val="0"/>
          <w:color w:val="auto"/>
          <w:szCs w:val="21"/>
          <w:highlight w:val="none"/>
          <w:lang w:val="en-US" w:eastAsia="zh-CN"/>
        </w:rPr>
        <w:t>安全负责人</w:t>
      </w:r>
      <w:r>
        <w:rPr>
          <w:rFonts w:hint="eastAsia" w:ascii="宋体" w:hAnsi="宋体" w:cs="宋体"/>
          <w:color w:val="auto"/>
          <w:szCs w:val="21"/>
          <w:highlight w:val="none"/>
        </w:rPr>
        <w:t>必须与</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中的项目</w:t>
      </w:r>
      <w:r>
        <w:rPr>
          <w:rFonts w:hint="eastAsia" w:ascii="宋体" w:hAnsi="宋体" w:cs="宋体"/>
          <w:bCs/>
          <w:snapToGrid w:val="0"/>
          <w:color w:val="auto"/>
          <w:szCs w:val="21"/>
          <w:highlight w:val="none"/>
          <w:lang w:val="en-US" w:eastAsia="zh-CN"/>
        </w:rPr>
        <w:t>安全负责人</w:t>
      </w:r>
      <w:r>
        <w:rPr>
          <w:rFonts w:hint="eastAsia" w:ascii="宋体" w:hAnsi="宋体" w:cs="宋体"/>
          <w:color w:val="auto"/>
          <w:szCs w:val="21"/>
          <w:highlight w:val="none"/>
        </w:rPr>
        <w:t>一致。不能按承诺到岗履约的，按合同相关条款处罚，给贵司造成损失的，我公司依法承担违约赔偿责任。拟派项目</w:t>
      </w:r>
      <w:r>
        <w:rPr>
          <w:rFonts w:hint="eastAsia" w:ascii="宋体" w:hAnsi="宋体" w:cs="宋体"/>
          <w:bCs/>
          <w:snapToGrid w:val="0"/>
          <w:color w:val="auto"/>
          <w:szCs w:val="21"/>
          <w:highlight w:val="none"/>
          <w:lang w:val="en-US" w:eastAsia="zh-CN"/>
        </w:rPr>
        <w:t>安全负责人</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后不得随意更换。</w:t>
      </w:r>
    </w:p>
    <w:p w14:paraId="5A36191B">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3、我公司若</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，将在合同谈判</w:t>
      </w:r>
      <w:r>
        <w:rPr>
          <w:rFonts w:hint="eastAsia" w:ascii="宋体" w:hAnsi="宋体" w:cs="宋体"/>
          <w:color w:val="auto"/>
          <w:szCs w:val="21"/>
          <w:highlight w:val="none"/>
          <w:lang w:val="en-US" w:eastAsia="zh-CN"/>
        </w:rPr>
        <w:t>期间</w:t>
      </w:r>
      <w:r>
        <w:rPr>
          <w:rFonts w:hint="eastAsia" w:ascii="宋体" w:hAnsi="宋体" w:cs="宋体"/>
          <w:color w:val="auto"/>
          <w:szCs w:val="21"/>
          <w:highlight w:val="none"/>
        </w:rPr>
        <w:t>按照本项目</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须知”前附表1.4.1的要求，向贵单位提供参与本项目</w:t>
      </w:r>
      <w:r>
        <w:rPr>
          <w:rFonts w:hint="eastAsia" w:ascii="宋体" w:hAnsi="宋体" w:cs="宋体"/>
          <w:color w:val="auto"/>
          <w:szCs w:val="21"/>
          <w:highlight w:val="none"/>
          <w:lang w:eastAsia="zh-CN"/>
        </w:rPr>
        <w:t>劳务作业</w:t>
      </w:r>
      <w:r>
        <w:rPr>
          <w:rFonts w:hint="eastAsia" w:ascii="宋体" w:hAnsi="宋体" w:cs="宋体"/>
          <w:color w:val="auto"/>
          <w:szCs w:val="21"/>
          <w:highlight w:val="none"/>
        </w:rPr>
        <w:t>的人员名单，并附相应人员的身份证、执业资格证、职称证书、等证明材料作为</w:t>
      </w:r>
      <w:r>
        <w:rPr>
          <w:rFonts w:hint="eastAsia" w:ascii="宋体" w:hAnsi="宋体" w:cs="宋体"/>
          <w:color w:val="auto"/>
          <w:szCs w:val="21"/>
          <w:highlight w:val="none"/>
          <w:lang w:val="en-US" w:eastAsia="zh-CN"/>
        </w:rPr>
        <w:t>响应文件</w:t>
      </w:r>
      <w:r>
        <w:rPr>
          <w:rFonts w:hint="eastAsia" w:ascii="宋体" w:hAnsi="宋体" w:cs="宋体"/>
          <w:color w:val="auto"/>
          <w:szCs w:val="21"/>
          <w:highlight w:val="none"/>
        </w:rPr>
        <w:t>附件并作为合同文件的组成部分。如果我公司在合同谈判</w:t>
      </w:r>
      <w:r>
        <w:rPr>
          <w:rFonts w:hint="eastAsia" w:ascii="宋体" w:hAnsi="宋体" w:cs="宋体"/>
          <w:color w:val="auto"/>
          <w:szCs w:val="21"/>
          <w:highlight w:val="none"/>
          <w:lang w:val="en-US" w:eastAsia="zh-CN"/>
        </w:rPr>
        <w:t>期间</w:t>
      </w:r>
      <w:r>
        <w:rPr>
          <w:rFonts w:hint="eastAsia" w:ascii="宋体" w:hAnsi="宋体" w:cs="宋体"/>
          <w:color w:val="auto"/>
          <w:szCs w:val="21"/>
          <w:highlight w:val="none"/>
        </w:rPr>
        <w:t>，不能向贵单位提供上述材料（除不可抗力因素），视为我公司放弃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候选人资格。</w:t>
      </w:r>
    </w:p>
    <w:p w14:paraId="6113CC8C">
      <w:pPr>
        <w:keepNext w:val="0"/>
        <w:keepLines w:val="0"/>
        <w:pageBreakBefore w:val="0"/>
        <w:widowControl/>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我公司若</w:t>
      </w:r>
      <w:r>
        <w:rPr>
          <w:rFonts w:hint="eastAsia" w:ascii="宋体" w:hAnsi="宋体" w:eastAsia="宋体" w:cs="宋体"/>
          <w:color w:val="auto"/>
          <w:szCs w:val="21"/>
          <w:highlight w:val="none"/>
          <w:lang w:val="en-US" w:eastAsia="zh-CN"/>
        </w:rPr>
        <w:t>中选</w:t>
      </w:r>
      <w:r>
        <w:rPr>
          <w:rFonts w:hint="eastAsia" w:ascii="宋体" w:hAnsi="宋体" w:eastAsia="宋体" w:cs="宋体"/>
          <w:color w:val="auto"/>
          <w:szCs w:val="21"/>
          <w:highlight w:val="none"/>
        </w:rPr>
        <w:t>，将在合同谈判</w:t>
      </w:r>
      <w:r>
        <w:rPr>
          <w:rFonts w:hint="eastAsia" w:ascii="宋体" w:hAnsi="宋体" w:eastAsia="宋体" w:cs="宋体"/>
          <w:color w:val="auto"/>
          <w:szCs w:val="21"/>
          <w:highlight w:val="none"/>
          <w:lang w:eastAsia="zh-CN"/>
        </w:rPr>
        <w:t>期间</w:t>
      </w:r>
      <w:r>
        <w:rPr>
          <w:rFonts w:hint="eastAsia" w:ascii="宋体" w:hAnsi="宋体" w:eastAsia="宋体" w:cs="宋体"/>
          <w:color w:val="auto"/>
          <w:szCs w:val="21"/>
          <w:highlight w:val="none"/>
        </w:rPr>
        <w:t>按照本项目</w:t>
      </w:r>
      <w:r>
        <w:rPr>
          <w:rFonts w:hint="eastAsia" w:ascii="宋体" w:hAnsi="宋体" w:eastAsia="宋体" w:cs="宋体"/>
          <w:color w:val="auto"/>
          <w:szCs w:val="21"/>
          <w:highlight w:val="none"/>
          <w:lang w:val="en-US" w:eastAsia="zh-CN"/>
        </w:rPr>
        <w:t>比选</w:t>
      </w:r>
      <w:r>
        <w:rPr>
          <w:rFonts w:hint="eastAsia" w:ascii="宋体" w:hAnsi="宋体" w:eastAsia="宋体" w:cs="宋体"/>
          <w:color w:val="auto"/>
          <w:szCs w:val="21"/>
          <w:highlight w:val="none"/>
        </w:rPr>
        <w:t>文件“</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须知”前附表1.4.1的要求，向</w:t>
      </w:r>
      <w:r>
        <w:rPr>
          <w:rFonts w:hint="eastAsia" w:ascii="宋体" w:hAnsi="宋体" w:eastAsia="宋体" w:cs="宋体"/>
          <w:color w:val="auto"/>
          <w:szCs w:val="21"/>
          <w:highlight w:val="none"/>
          <w:lang w:val="en-US" w:eastAsia="zh-CN"/>
        </w:rPr>
        <w:t>贵单位</w:t>
      </w:r>
      <w:r>
        <w:rPr>
          <w:rFonts w:hint="eastAsia" w:ascii="宋体" w:hAnsi="宋体" w:eastAsia="宋体" w:cs="宋体"/>
          <w:color w:val="auto"/>
          <w:szCs w:val="21"/>
          <w:highlight w:val="none"/>
        </w:rPr>
        <w:t>提供主要设备进场清单</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并在合同履行阶段按清单投入主要设备</w:t>
      </w:r>
      <w:r>
        <w:rPr>
          <w:rFonts w:hint="eastAsia" w:ascii="宋体" w:hAnsi="宋体" w:eastAsia="宋体" w:cs="宋体"/>
          <w:color w:val="auto"/>
          <w:szCs w:val="21"/>
          <w:highlight w:val="none"/>
        </w:rPr>
        <w:t>。如果我</w:t>
      </w:r>
      <w:r>
        <w:rPr>
          <w:rFonts w:hint="eastAsia" w:ascii="宋体" w:hAnsi="宋体" w:eastAsia="宋体" w:cs="宋体"/>
          <w:color w:val="auto"/>
          <w:szCs w:val="21"/>
          <w:highlight w:val="none"/>
          <w:lang w:val="en-US" w:eastAsia="zh-CN"/>
        </w:rPr>
        <w:t>公司</w:t>
      </w:r>
      <w:r>
        <w:rPr>
          <w:rFonts w:hint="eastAsia" w:ascii="宋体" w:hAnsi="宋体" w:eastAsia="宋体" w:cs="宋体"/>
          <w:color w:val="auto"/>
          <w:szCs w:val="21"/>
          <w:highlight w:val="none"/>
        </w:rPr>
        <w:t>在合同谈判</w:t>
      </w:r>
      <w:r>
        <w:rPr>
          <w:rFonts w:hint="eastAsia" w:ascii="宋体" w:hAnsi="宋体" w:eastAsia="宋体" w:cs="宋体"/>
          <w:color w:val="auto"/>
          <w:szCs w:val="21"/>
          <w:highlight w:val="none"/>
          <w:lang w:eastAsia="zh-CN"/>
        </w:rPr>
        <w:t>期间</w:t>
      </w:r>
      <w:r>
        <w:rPr>
          <w:rFonts w:hint="eastAsia" w:ascii="宋体" w:hAnsi="宋体" w:eastAsia="宋体" w:cs="宋体"/>
          <w:color w:val="auto"/>
          <w:szCs w:val="21"/>
          <w:highlight w:val="none"/>
        </w:rPr>
        <w:t>，不能向</w:t>
      </w:r>
      <w:r>
        <w:rPr>
          <w:rFonts w:hint="eastAsia" w:ascii="宋体" w:hAnsi="宋体" w:eastAsia="宋体" w:cs="宋体"/>
          <w:color w:val="auto"/>
          <w:szCs w:val="21"/>
          <w:highlight w:val="none"/>
          <w:lang w:val="en-US" w:eastAsia="zh-CN"/>
        </w:rPr>
        <w:t>贵单位</w:t>
      </w:r>
      <w:r>
        <w:rPr>
          <w:rFonts w:hint="eastAsia" w:ascii="宋体" w:hAnsi="宋体" w:eastAsia="宋体" w:cs="宋体"/>
          <w:color w:val="auto"/>
          <w:szCs w:val="21"/>
          <w:highlight w:val="none"/>
        </w:rPr>
        <w:t>提供上述材料（除不可抗力因素），视为我</w:t>
      </w:r>
      <w:r>
        <w:rPr>
          <w:rFonts w:hint="eastAsia" w:ascii="宋体" w:hAnsi="宋体" w:eastAsia="宋体" w:cs="宋体"/>
          <w:color w:val="auto"/>
          <w:szCs w:val="21"/>
          <w:highlight w:val="none"/>
          <w:lang w:val="en-US" w:eastAsia="zh-CN"/>
        </w:rPr>
        <w:t>公司</w:t>
      </w:r>
      <w:r>
        <w:rPr>
          <w:rFonts w:hint="eastAsia" w:ascii="宋体" w:hAnsi="宋体" w:eastAsia="宋体" w:cs="宋体"/>
          <w:color w:val="auto"/>
          <w:szCs w:val="21"/>
          <w:highlight w:val="none"/>
        </w:rPr>
        <w:t>放弃中</w:t>
      </w:r>
      <w:r>
        <w:rPr>
          <w:rFonts w:hint="eastAsia" w:ascii="宋体" w:hAnsi="宋体" w:eastAsia="宋体" w:cs="宋体"/>
          <w:color w:val="auto"/>
          <w:szCs w:val="21"/>
          <w:highlight w:val="none"/>
          <w:lang w:val="en-US" w:eastAsia="zh-CN"/>
        </w:rPr>
        <w:t>选</w:t>
      </w:r>
      <w:r>
        <w:rPr>
          <w:rFonts w:hint="eastAsia" w:ascii="宋体" w:hAnsi="宋体" w:eastAsia="宋体" w:cs="宋体"/>
          <w:color w:val="auto"/>
          <w:szCs w:val="21"/>
          <w:highlight w:val="none"/>
        </w:rPr>
        <w:t>候选人资格。</w:t>
      </w:r>
    </w:p>
    <w:p w14:paraId="729E5F07">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、我公司严格按照第五章“工程量清单”、第八章“工程量清单计量规则”的规定进行报价。</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中规定工程量清单不允许修改的内容不得修改。</w:t>
      </w:r>
    </w:p>
    <w:p w14:paraId="7E430BC5">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宋体" w:hAnsi="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本</w:t>
      </w:r>
      <w:r>
        <w:rPr>
          <w:rFonts w:hint="eastAsia" w:ascii="宋体" w:hAnsi="宋体" w:cs="宋体"/>
          <w:color w:val="auto"/>
          <w:szCs w:val="21"/>
          <w:highlight w:val="none"/>
          <w:lang w:eastAsia="zh-CN"/>
        </w:rPr>
        <w:t>响应文件</w:t>
      </w:r>
      <w:r>
        <w:rPr>
          <w:rFonts w:hint="eastAsia" w:ascii="宋体" w:hAnsi="宋体"/>
          <w:color w:val="auto"/>
          <w:szCs w:val="21"/>
          <w:highlight w:val="none"/>
          <w:lang w:val="en-US" w:eastAsia="zh-CN"/>
        </w:rPr>
        <w:t>的所有内容</w:t>
      </w:r>
      <w:r>
        <w:rPr>
          <w:rFonts w:hint="eastAsia" w:ascii="宋体" w:hAnsi="宋体"/>
          <w:color w:val="auto"/>
          <w:szCs w:val="21"/>
          <w:highlight w:val="none"/>
        </w:rPr>
        <w:t>真实有效，不存在弄虚作假情形。</w:t>
      </w:r>
      <w:r>
        <w:rPr>
          <w:rFonts w:hint="eastAsia" w:ascii="宋体" w:hAnsi="宋体"/>
          <w:color w:val="auto"/>
          <w:szCs w:val="21"/>
          <w:highlight w:val="none"/>
          <w:u w:val="none"/>
          <w:lang w:val="en-US" w:eastAsia="zh-CN"/>
        </w:rPr>
        <w:t>贵单位</w:t>
      </w:r>
      <w:r>
        <w:rPr>
          <w:rFonts w:hint="eastAsia" w:ascii="宋体" w:hAnsi="宋体"/>
          <w:color w:val="auto"/>
          <w:szCs w:val="21"/>
          <w:highlight w:val="none"/>
          <w:u w:val="none"/>
        </w:rPr>
        <w:t>有权对我</w:t>
      </w:r>
      <w:r>
        <w:rPr>
          <w:rFonts w:hint="eastAsia" w:ascii="宋体" w:hAnsi="宋体"/>
          <w:color w:val="auto"/>
          <w:szCs w:val="21"/>
          <w:highlight w:val="none"/>
          <w:u w:val="none"/>
          <w:lang w:val="en-US" w:eastAsia="zh-CN"/>
        </w:rPr>
        <w:t>公</w:t>
      </w:r>
      <w:r>
        <w:rPr>
          <w:rFonts w:hint="eastAsia" w:ascii="宋体" w:hAnsi="宋体"/>
          <w:color w:val="auto"/>
          <w:szCs w:val="21"/>
          <w:highlight w:val="none"/>
          <w:u w:val="none"/>
        </w:rPr>
        <w:t>司提供的资料进行核实，若发现弄虚作假，</w:t>
      </w:r>
      <w:r>
        <w:rPr>
          <w:rFonts w:hint="eastAsia" w:ascii="宋体" w:hAnsi="宋体"/>
          <w:color w:val="auto"/>
          <w:szCs w:val="21"/>
          <w:highlight w:val="none"/>
          <w:u w:val="none"/>
          <w:lang w:val="en-US" w:eastAsia="zh-CN"/>
        </w:rPr>
        <w:t>按相关规定</w:t>
      </w:r>
      <w:r>
        <w:rPr>
          <w:rFonts w:hint="eastAsia" w:ascii="宋体" w:hAnsi="宋体"/>
          <w:color w:val="auto"/>
          <w:szCs w:val="21"/>
          <w:highlight w:val="none"/>
          <w:u w:val="none"/>
        </w:rPr>
        <w:t>取消</w:t>
      </w:r>
      <w:r>
        <w:rPr>
          <w:rFonts w:hint="eastAsia" w:ascii="宋体" w:hAnsi="宋体"/>
          <w:color w:val="auto"/>
          <w:szCs w:val="21"/>
          <w:highlight w:val="none"/>
          <w:u w:val="none"/>
          <w:lang w:val="en-US" w:eastAsia="zh-CN"/>
        </w:rPr>
        <w:t>我公司</w:t>
      </w:r>
      <w:r>
        <w:rPr>
          <w:rFonts w:hint="eastAsia" w:ascii="宋体" w:hAnsi="宋体"/>
          <w:color w:val="auto"/>
          <w:szCs w:val="21"/>
          <w:highlight w:val="none"/>
          <w:u w:val="none"/>
        </w:rPr>
        <w:t>中</w:t>
      </w:r>
      <w:r>
        <w:rPr>
          <w:rFonts w:hint="eastAsia" w:ascii="宋体" w:hAnsi="宋体"/>
          <w:color w:val="auto"/>
          <w:szCs w:val="21"/>
          <w:highlight w:val="none"/>
          <w:u w:val="none"/>
          <w:lang w:val="en-US" w:eastAsia="zh-CN"/>
        </w:rPr>
        <w:t>选</w:t>
      </w:r>
      <w:r>
        <w:rPr>
          <w:rFonts w:hint="eastAsia" w:ascii="宋体" w:hAnsi="宋体"/>
          <w:color w:val="auto"/>
          <w:szCs w:val="21"/>
          <w:highlight w:val="none"/>
          <w:u w:val="none"/>
        </w:rPr>
        <w:t>资格，并按相关法律法规报招标投标监督部门，</w:t>
      </w:r>
      <w:r>
        <w:rPr>
          <w:rFonts w:hint="eastAsia" w:ascii="宋体" w:hAnsi="宋体"/>
          <w:color w:val="auto"/>
          <w:szCs w:val="21"/>
          <w:highlight w:val="none"/>
          <w:u w:val="none"/>
          <w:lang w:val="en-US" w:eastAsia="zh-CN"/>
        </w:rPr>
        <w:t>比选</w:t>
      </w:r>
      <w:r>
        <w:rPr>
          <w:rFonts w:hint="eastAsia" w:ascii="宋体" w:hAnsi="宋体"/>
          <w:color w:val="auto"/>
          <w:szCs w:val="21"/>
          <w:highlight w:val="none"/>
          <w:u w:val="none"/>
        </w:rPr>
        <w:t>保证金以现金形式交纳的不予退还，以保函形式交纳的由保函开立人支付保函担保的与</w:t>
      </w:r>
      <w:r>
        <w:rPr>
          <w:rFonts w:hint="eastAsia" w:ascii="宋体" w:hAnsi="宋体"/>
          <w:color w:val="auto"/>
          <w:szCs w:val="21"/>
          <w:highlight w:val="none"/>
          <w:u w:val="none"/>
          <w:lang w:val="en-US" w:eastAsia="zh-CN"/>
        </w:rPr>
        <w:t>比选</w:t>
      </w:r>
      <w:r>
        <w:rPr>
          <w:rFonts w:hint="eastAsia" w:ascii="宋体" w:hAnsi="宋体"/>
          <w:color w:val="auto"/>
          <w:szCs w:val="21"/>
          <w:highlight w:val="none"/>
          <w:u w:val="none"/>
        </w:rPr>
        <w:t>保证金等额的款项，我</w:t>
      </w:r>
      <w:r>
        <w:rPr>
          <w:rFonts w:hint="eastAsia" w:ascii="宋体" w:hAnsi="宋体"/>
          <w:color w:val="auto"/>
          <w:szCs w:val="21"/>
          <w:highlight w:val="none"/>
          <w:u w:val="none"/>
          <w:lang w:val="en-US" w:eastAsia="zh-CN"/>
        </w:rPr>
        <w:t>公</w:t>
      </w:r>
      <w:r>
        <w:rPr>
          <w:rFonts w:hint="eastAsia" w:ascii="宋体" w:hAnsi="宋体"/>
          <w:color w:val="auto"/>
          <w:szCs w:val="21"/>
          <w:highlight w:val="none"/>
          <w:u w:val="none"/>
        </w:rPr>
        <w:t>司自愿承担因此造成的相关责任并赔偿相应损失</w:t>
      </w:r>
      <w:r>
        <w:rPr>
          <w:rFonts w:hint="eastAsia" w:ascii="宋体" w:hAnsi="宋体"/>
          <w:color w:val="auto"/>
          <w:szCs w:val="21"/>
          <w:highlight w:val="none"/>
        </w:rPr>
        <w:t>。</w:t>
      </w:r>
    </w:p>
    <w:p w14:paraId="4F74DB24">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7、我公司的</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 xml:space="preserve">符合第二章 </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须知第 1.3.1 项的规定。</w:t>
      </w:r>
    </w:p>
    <w:p w14:paraId="4424737B">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8、我公司的</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符合第四章 合同条款及格式规定，</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中没有贵单位不能接受的条件。</w:t>
      </w:r>
    </w:p>
    <w:p w14:paraId="5700033B">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9、我公司的</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符合第七章 技术标准和要求（如有）。</w:t>
      </w:r>
    </w:p>
    <w:p w14:paraId="00E2103F">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10、我公司接受</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中关于“不平衡报价”的相关</w:t>
      </w:r>
      <w:r>
        <w:rPr>
          <w:rFonts w:hint="eastAsia" w:ascii="宋体" w:hAnsi="宋体" w:cs="宋体"/>
          <w:color w:val="auto"/>
          <w:szCs w:val="21"/>
          <w:highlight w:val="none"/>
          <w:lang w:val="en-US" w:eastAsia="zh-CN"/>
        </w:rPr>
        <w:t>要求</w:t>
      </w:r>
      <w:r>
        <w:rPr>
          <w:rFonts w:hint="eastAsia" w:ascii="宋体" w:hAnsi="宋体" w:cs="宋体"/>
          <w:color w:val="auto"/>
          <w:szCs w:val="21"/>
          <w:highlight w:val="none"/>
        </w:rPr>
        <w:t>（如有）。</w:t>
      </w:r>
    </w:p>
    <w:p w14:paraId="22C42515">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11、我公司接受</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中关于“不允许负数报价”的相关要求（如有）。</w:t>
      </w:r>
    </w:p>
    <w:p w14:paraId="6749D434">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12</w:t>
      </w:r>
      <w:r>
        <w:rPr>
          <w:rFonts w:hint="eastAsia" w:ascii="宋体" w:hAnsi="宋体"/>
          <w:color w:val="auto"/>
          <w:szCs w:val="21"/>
          <w:highlight w:val="none"/>
        </w:rPr>
        <w:t>、我公司接受</w:t>
      </w:r>
      <w:r>
        <w:rPr>
          <w:rFonts w:hint="eastAsia" w:ascii="宋体" w:hAnsi="宋体"/>
          <w:color w:val="auto"/>
          <w:szCs w:val="21"/>
          <w:highlight w:val="none"/>
          <w:lang w:eastAsia="zh-CN"/>
        </w:rPr>
        <w:t>比选文件</w:t>
      </w:r>
      <w:r>
        <w:rPr>
          <w:rFonts w:hint="eastAsia" w:ascii="宋体" w:hAnsi="宋体"/>
          <w:color w:val="auto"/>
          <w:szCs w:val="21"/>
          <w:highlight w:val="none"/>
        </w:rPr>
        <w:t>中关于“不允许</w:t>
      </w:r>
      <w:r>
        <w:rPr>
          <w:rFonts w:hint="eastAsia" w:ascii="宋体" w:hAnsi="宋体"/>
          <w:color w:val="auto"/>
          <w:szCs w:val="21"/>
          <w:highlight w:val="none"/>
          <w:lang w:val="en-US" w:eastAsia="zh-CN"/>
        </w:rPr>
        <w:t>零</w:t>
      </w:r>
      <w:r>
        <w:rPr>
          <w:rFonts w:hint="eastAsia" w:ascii="宋体" w:hAnsi="宋体"/>
          <w:color w:val="auto"/>
          <w:szCs w:val="21"/>
          <w:highlight w:val="none"/>
        </w:rPr>
        <w:t>报价”的相关要求（如有）。</w:t>
      </w:r>
    </w:p>
    <w:p w14:paraId="507059A4">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13</w:t>
      </w:r>
      <w:r>
        <w:rPr>
          <w:rFonts w:hint="eastAsia" w:ascii="宋体" w:hAnsi="宋体" w:eastAsia="宋体" w:cs="宋体"/>
          <w:color w:val="auto"/>
          <w:szCs w:val="21"/>
          <w:highlight w:val="none"/>
        </w:rPr>
        <w:t>、我公司承诺绝不向贵</w:t>
      </w:r>
      <w:r>
        <w:rPr>
          <w:rFonts w:hint="eastAsia" w:ascii="宋体" w:hAnsi="宋体" w:eastAsia="宋体" w:cs="宋体"/>
          <w:color w:val="auto"/>
          <w:szCs w:val="21"/>
          <w:highlight w:val="none"/>
          <w:lang w:val="en-US" w:eastAsia="zh-CN"/>
        </w:rPr>
        <w:t>单位</w:t>
      </w:r>
      <w:r>
        <w:rPr>
          <w:rFonts w:hint="eastAsia" w:ascii="宋体" w:hAnsi="宋体" w:eastAsia="宋体" w:cs="宋体"/>
          <w:color w:val="auto"/>
          <w:szCs w:val="21"/>
          <w:highlight w:val="none"/>
        </w:rPr>
        <w:t>工作人员、评</w:t>
      </w:r>
      <w:r>
        <w:rPr>
          <w:rFonts w:hint="eastAsia" w:ascii="宋体" w:hAnsi="宋体" w:eastAsia="宋体" w:cs="宋体"/>
          <w:color w:val="auto"/>
          <w:szCs w:val="21"/>
          <w:highlight w:val="none"/>
          <w:lang w:val="en-US" w:eastAsia="zh-CN"/>
        </w:rPr>
        <w:t>审</w:t>
      </w:r>
      <w:r>
        <w:rPr>
          <w:rFonts w:hint="eastAsia" w:ascii="宋体" w:hAnsi="宋体" w:eastAsia="宋体" w:cs="宋体"/>
          <w:color w:val="auto"/>
          <w:szCs w:val="21"/>
          <w:highlight w:val="none"/>
        </w:rPr>
        <w:t>委员会成员等提供或变相提供现金、回扣、有价证券、旅游等形式的利益输送，并自愿配合贵</w:t>
      </w:r>
      <w:r>
        <w:rPr>
          <w:rFonts w:hint="eastAsia" w:ascii="宋体" w:hAnsi="宋体" w:eastAsia="宋体" w:cs="宋体"/>
          <w:color w:val="auto"/>
          <w:szCs w:val="21"/>
          <w:highlight w:val="none"/>
          <w:lang w:val="en-US" w:eastAsia="zh-CN"/>
        </w:rPr>
        <w:t>单位</w:t>
      </w:r>
      <w:r>
        <w:rPr>
          <w:rFonts w:hint="eastAsia" w:ascii="宋体" w:hAnsi="宋体" w:eastAsia="宋体" w:cs="宋体"/>
          <w:color w:val="auto"/>
          <w:szCs w:val="21"/>
          <w:highlight w:val="none"/>
        </w:rPr>
        <w:t>或第三方机构对项目进行廉政审查。</w:t>
      </w:r>
    </w:p>
    <w:p w14:paraId="3DD3B771">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14</w:t>
      </w:r>
      <w:r>
        <w:rPr>
          <w:rFonts w:hint="eastAsia" w:ascii="宋体" w:hAnsi="宋体" w:eastAsia="宋体" w:cs="宋体"/>
          <w:color w:val="auto"/>
          <w:szCs w:val="21"/>
          <w:highlight w:val="none"/>
        </w:rPr>
        <w:t>、我公司在此承诺：若我公司中标，将完全服从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728B2D5B">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15</w:t>
      </w:r>
      <w:r>
        <w:rPr>
          <w:rFonts w:hint="eastAsia" w:ascii="宋体" w:hAnsi="宋体" w:eastAsia="宋体" w:cs="宋体"/>
          <w:color w:val="auto"/>
          <w:szCs w:val="21"/>
          <w:highlight w:val="none"/>
        </w:rPr>
        <w:t>、我公司在此承诺：未被列入采购人暂停、终止、永久取消合格供应商资格（列入诚信黑名单）名单内的单位。</w:t>
      </w:r>
    </w:p>
    <w:p w14:paraId="37AB5A2B">
      <w:pPr>
        <w:adjustRightInd w:val="0"/>
        <w:snapToGrid w:val="0"/>
        <w:spacing w:line="360" w:lineRule="auto"/>
        <w:ind w:firstLine="420" w:firstLineChars="200"/>
        <w:rPr>
          <w:rFonts w:hint="eastAsia" w:ascii="宋体" w:hAnsi="宋体" w:cs="宋体"/>
          <w:color w:val="auto"/>
          <w:highlight w:val="none"/>
          <w:lang w:val="en-US" w:eastAsia="zh-CN"/>
        </w:rPr>
      </w:pPr>
      <w:r>
        <w:rPr>
          <w:rFonts w:hint="eastAsia" w:ascii="宋体" w:hAnsi="宋体" w:eastAsia="宋体" w:cs="宋体"/>
          <w:color w:val="auto"/>
          <w:szCs w:val="21"/>
          <w:highlight w:val="none"/>
          <w:lang w:val="en-US" w:eastAsia="zh-CN"/>
        </w:rPr>
        <w:t>16</w:t>
      </w:r>
      <w:r>
        <w:rPr>
          <w:rFonts w:hint="eastAsia" w:ascii="宋体" w:hAnsi="宋体" w:eastAsia="宋体" w:cs="宋体"/>
          <w:color w:val="auto"/>
          <w:szCs w:val="21"/>
          <w:highlight w:val="none"/>
        </w:rPr>
        <w:t>、我公司知悉并愿意接受贵</w:t>
      </w:r>
      <w:r>
        <w:rPr>
          <w:rFonts w:hint="eastAsia" w:ascii="宋体" w:hAnsi="宋体" w:eastAsia="宋体" w:cs="宋体"/>
          <w:color w:val="auto"/>
          <w:szCs w:val="21"/>
          <w:highlight w:val="none"/>
          <w:lang w:val="en-US" w:eastAsia="zh-CN"/>
        </w:rPr>
        <w:t>单位</w:t>
      </w:r>
      <w:r>
        <w:rPr>
          <w:rFonts w:hint="eastAsia" w:ascii="宋体" w:hAnsi="宋体" w:eastAsia="宋体" w:cs="宋体"/>
          <w:color w:val="auto"/>
          <w:szCs w:val="21"/>
          <w:highlight w:val="none"/>
        </w:rPr>
        <w:t>监督部门对本次竞争性比选活动的监督，积极配合相关工作，如实提供所需信息和资料。</w:t>
      </w:r>
    </w:p>
    <w:p w14:paraId="7F167BE9">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highlight w:val="none"/>
          <w:lang w:val="en-US" w:eastAsia="zh-CN"/>
        </w:rPr>
        <w:t>17</w:t>
      </w:r>
      <w:r>
        <w:rPr>
          <w:rFonts w:hint="eastAsia" w:ascii="宋体" w:hAnsi="宋体" w:cs="宋体"/>
          <w:color w:val="auto"/>
          <w:highlight w:val="none"/>
        </w:rPr>
        <w:t>、</w:t>
      </w:r>
      <w:r>
        <w:rPr>
          <w:rFonts w:hint="eastAsia" w:ascii="宋体" w:hAnsi="宋体" w:cs="宋体"/>
          <w:color w:val="auto"/>
          <w:szCs w:val="21"/>
          <w:highlight w:val="none"/>
        </w:rPr>
        <w:t>其他承诺事项：</w:t>
      </w:r>
      <w:r>
        <w:rPr>
          <w:rFonts w:hint="eastAsia" w:ascii="宋体" w:hAnsi="宋体" w:cs="宋体"/>
          <w:color w:val="auto"/>
          <w:szCs w:val="21"/>
          <w:highlight w:val="none"/>
          <w:u w:val="single"/>
        </w:rPr>
        <w:t xml:space="preserve">         </w:t>
      </w:r>
    </w:p>
    <w:p w14:paraId="71EB68B5">
      <w:pPr>
        <w:tabs>
          <w:tab w:val="left" w:pos="4200"/>
          <w:tab w:val="left" w:pos="4620"/>
        </w:tabs>
        <w:autoSpaceDE w:val="0"/>
        <w:autoSpaceDN w:val="0"/>
        <w:adjustRightInd w:val="0"/>
        <w:snapToGrid w:val="0"/>
        <w:spacing w:line="360" w:lineRule="auto"/>
        <w:ind w:firstLine="420" w:firstLineChars="200"/>
        <w:jc w:val="left"/>
        <w:rPr>
          <w:rFonts w:hint="eastAsia" w:ascii="宋体" w:hAnsi="宋体" w:cs="宋体"/>
          <w:color w:val="auto"/>
          <w:kern w:val="0"/>
          <w:szCs w:val="21"/>
          <w:highlight w:val="none"/>
        </w:rPr>
      </w:pPr>
    </w:p>
    <w:p w14:paraId="3935A945">
      <w:pPr>
        <w:tabs>
          <w:tab w:val="left" w:pos="4200"/>
          <w:tab w:val="left" w:pos="4620"/>
        </w:tabs>
        <w:autoSpaceDE w:val="0"/>
        <w:autoSpaceDN w:val="0"/>
        <w:adjustRightInd w:val="0"/>
        <w:snapToGrid w:val="0"/>
        <w:spacing w:line="360" w:lineRule="auto"/>
        <w:ind w:firstLine="420" w:firstLineChars="200"/>
        <w:jc w:val="left"/>
        <w:rPr>
          <w:rFonts w:hint="eastAsia" w:ascii="宋体" w:hAnsi="宋体" w:cs="宋体"/>
          <w:color w:val="auto"/>
          <w:kern w:val="0"/>
          <w:szCs w:val="21"/>
          <w:highlight w:val="none"/>
        </w:rPr>
      </w:pPr>
    </w:p>
    <w:p w14:paraId="7CAA8F3B">
      <w:pPr>
        <w:tabs>
          <w:tab w:val="left" w:pos="4200"/>
          <w:tab w:val="left" w:pos="4620"/>
        </w:tabs>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lang w:val="en-US" w:eastAsia="zh-CN"/>
        </w:rPr>
        <w:t>供应商</w:t>
      </w:r>
      <w:r>
        <w:rPr>
          <w:rFonts w:hint="eastAsia" w:ascii="宋体" w:hAnsi="宋体" w:cs="宋体"/>
          <w:color w:val="auto"/>
          <w:kern w:val="0"/>
          <w:szCs w:val="21"/>
          <w:highlight w:val="none"/>
        </w:rPr>
        <w:t>：</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color w:val="auto"/>
          <w:spacing w:val="-1"/>
          <w:kern w:val="0"/>
          <w:szCs w:val="21"/>
          <w:highlight w:val="none"/>
        </w:rPr>
        <w:t>盖单位法人章</w:t>
      </w:r>
      <w:r>
        <w:rPr>
          <w:rFonts w:hint="eastAsia" w:ascii="宋体" w:hAnsi="宋体" w:cs="宋体"/>
          <w:color w:val="auto"/>
          <w:kern w:val="0"/>
          <w:szCs w:val="21"/>
          <w:highlight w:val="none"/>
        </w:rPr>
        <w:t>）</w:t>
      </w:r>
    </w:p>
    <w:p w14:paraId="0EEBEA5D">
      <w:pPr>
        <w:tabs>
          <w:tab w:val="left" w:pos="6300"/>
        </w:tabs>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法定代表人：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（签名或盖章）</w:t>
      </w:r>
    </w:p>
    <w:p w14:paraId="6090C108">
      <w:pPr>
        <w:adjustRightInd w:val="0"/>
        <w:snapToGrid w:val="0"/>
        <w:spacing w:line="360" w:lineRule="auto"/>
        <w:ind w:firstLine="420" w:firstLineChars="200"/>
        <w:jc w:val="right"/>
        <w:rPr>
          <w:rFonts w:ascii="宋体" w:hAnsi="宋体" w:cs="宋体"/>
          <w:color w:val="auto"/>
          <w:szCs w:val="21"/>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44BF39D3">
      <w:pPr>
        <w:spacing w:before="0"/>
        <w:jc w:val="center"/>
        <w:rPr>
          <w:rFonts w:hint="eastAsia" w:ascii="宋体" w:hAnsi="宋体" w:cs="宋体"/>
          <w:b w:val="0"/>
          <w:color w:val="auto"/>
          <w:highlight w:val="none"/>
        </w:rPr>
      </w:pPr>
      <w:bookmarkStart w:id="1060" w:name="_Toc29229"/>
      <w:bookmarkStart w:id="1061" w:name="_Toc28867"/>
      <w:bookmarkStart w:id="1062" w:name="_Toc17965"/>
      <w:bookmarkStart w:id="1063" w:name="_Toc27983333"/>
      <w:bookmarkStart w:id="1064" w:name="_Toc22117"/>
      <w:r>
        <w:rPr>
          <w:rFonts w:hint="eastAsia" w:ascii="宋体" w:hAnsi="宋体" w:cs="宋体"/>
          <w:b w:val="0"/>
          <w:color w:val="auto"/>
          <w:highlight w:val="none"/>
        </w:rPr>
        <w:br w:type="page"/>
      </w:r>
    </w:p>
    <w:p w14:paraId="06F31456">
      <w:pPr>
        <w:pStyle w:val="5"/>
        <w:spacing w:before="0" w:line="360" w:lineRule="auto"/>
        <w:jc w:val="center"/>
        <w:rPr>
          <w:rFonts w:ascii="宋体" w:hAnsi="宋体" w:cs="宋体"/>
          <w:b w:val="0"/>
          <w:color w:val="auto"/>
          <w:highlight w:val="none"/>
        </w:rPr>
      </w:pPr>
      <w:r>
        <w:rPr>
          <w:rFonts w:hint="eastAsia" w:ascii="宋体" w:hAnsi="宋体" w:cs="宋体"/>
          <w:b w:val="0"/>
          <w:color w:val="auto"/>
          <w:highlight w:val="none"/>
        </w:rPr>
        <w:t>（</w:t>
      </w:r>
      <w:r>
        <w:rPr>
          <w:rFonts w:hint="eastAsia" w:ascii="宋体" w:hAnsi="宋体" w:cs="宋体"/>
          <w:b w:val="0"/>
          <w:color w:val="auto"/>
          <w:highlight w:val="none"/>
          <w:lang w:val="en-US" w:eastAsia="zh-CN"/>
        </w:rPr>
        <w:t>三</w:t>
      </w:r>
      <w:r>
        <w:rPr>
          <w:rFonts w:hint="eastAsia" w:ascii="宋体" w:hAnsi="宋体" w:cs="宋体"/>
          <w:b w:val="0"/>
          <w:color w:val="auto"/>
          <w:highlight w:val="none"/>
        </w:rPr>
        <w:t>）其他资料</w:t>
      </w:r>
      <w:bookmarkEnd w:id="1060"/>
      <w:bookmarkEnd w:id="1061"/>
      <w:bookmarkEnd w:id="1062"/>
      <w:bookmarkEnd w:id="1063"/>
      <w:bookmarkEnd w:id="1064"/>
    </w:p>
    <w:p w14:paraId="0E5AD837">
      <w:pPr>
        <w:pStyle w:val="2"/>
        <w:spacing w:line="360" w:lineRule="auto"/>
        <w:ind w:firstLine="420" w:firstLineChars="200"/>
        <w:rPr>
          <w:rFonts w:hint="eastAsia" w:ascii="宋体" w:hAnsi="宋体" w:eastAsia="宋体" w:cs="宋体"/>
          <w:color w:val="auto"/>
          <w:highlight w:val="none"/>
          <w:lang w:eastAsia="zh-CN"/>
        </w:rPr>
      </w:pPr>
      <w:r>
        <w:rPr>
          <w:rFonts w:hint="eastAsia" w:ascii="宋体" w:hAnsi="宋体" w:cs="宋体"/>
          <w:color w:val="auto"/>
          <w:highlight w:val="none"/>
        </w:rPr>
        <w:t xml:space="preserve">1. </w:t>
      </w:r>
      <w:r>
        <w:rPr>
          <w:rFonts w:hint="eastAsia" w:ascii="宋体" w:hAnsi="宋体" w:cs="宋体"/>
          <w:color w:val="auto"/>
          <w:highlight w:val="none"/>
          <w:lang w:eastAsia="zh-CN"/>
        </w:rPr>
        <w:t>比选保证金</w:t>
      </w:r>
    </w:p>
    <w:p w14:paraId="15671B1C">
      <w:pPr>
        <w:pStyle w:val="2"/>
        <w:ind w:firstLine="420" w:firstLineChars="200"/>
        <w:rPr>
          <w:rFonts w:ascii="宋体" w:hAnsi="宋体" w:cs="宋体"/>
          <w:i/>
          <w:color w:val="auto"/>
          <w:highlight w:val="none"/>
        </w:rPr>
      </w:pPr>
      <w:r>
        <w:rPr>
          <w:rFonts w:hint="eastAsia" w:ascii="宋体" w:hAnsi="宋体" w:cs="宋体"/>
          <w:i/>
          <w:color w:val="auto"/>
          <w:highlight w:val="none"/>
        </w:rPr>
        <w:t>[以转账支票或电汇形式交纳</w:t>
      </w:r>
      <w:r>
        <w:rPr>
          <w:rFonts w:hint="eastAsia" w:ascii="宋体" w:hAnsi="宋体" w:cs="宋体"/>
          <w:i/>
          <w:color w:val="auto"/>
          <w:highlight w:val="none"/>
          <w:lang w:eastAsia="zh-CN"/>
        </w:rPr>
        <w:t>比选保证金</w:t>
      </w:r>
      <w:r>
        <w:rPr>
          <w:rFonts w:hint="eastAsia" w:ascii="宋体" w:hAnsi="宋体" w:cs="宋体"/>
          <w:i/>
          <w:color w:val="auto"/>
          <w:highlight w:val="none"/>
        </w:rPr>
        <w:t>的提供以下资料]</w:t>
      </w:r>
    </w:p>
    <w:p w14:paraId="5DEF8746">
      <w:pPr>
        <w:pStyle w:val="2"/>
        <w:ind w:firstLine="420" w:firstLineChars="200"/>
        <w:rPr>
          <w:rFonts w:ascii="宋体" w:hAnsi="宋体" w:cs="宋体"/>
          <w:color w:val="auto"/>
          <w:highlight w:val="none"/>
        </w:rPr>
      </w:pPr>
      <w:r>
        <w:rPr>
          <w:rFonts w:hint="eastAsia" w:ascii="宋体" w:hAnsi="宋体" w:cs="宋体"/>
          <w:color w:val="auto"/>
          <w:highlight w:val="none"/>
        </w:rPr>
        <w:t>（1）企业基本账户开户证明文件。</w:t>
      </w:r>
    </w:p>
    <w:p w14:paraId="4D4466CB">
      <w:pPr>
        <w:spacing w:line="240" w:lineRule="auto"/>
        <w:ind w:firstLine="0" w:firstLineChars="0"/>
        <w:rPr>
          <w:rFonts w:hint="eastAsia" w:ascii="宋体" w:hAnsi="宋体"/>
          <w:i/>
          <w:color w:val="auto"/>
          <w:szCs w:val="21"/>
          <w:highlight w:val="none"/>
        </w:rPr>
      </w:pPr>
      <w:r>
        <w:rPr>
          <w:rFonts w:hint="eastAsia" w:ascii="宋体" w:hAnsi="宋体"/>
          <w:i/>
          <w:color w:val="auto"/>
          <w:szCs w:val="21"/>
          <w:highlight w:val="none"/>
        </w:rPr>
        <w:br w:type="page"/>
      </w:r>
    </w:p>
    <w:p w14:paraId="2E7F8605">
      <w:pPr>
        <w:spacing w:line="360" w:lineRule="auto"/>
        <w:ind w:firstLine="420" w:firstLineChars="200"/>
        <w:rPr>
          <w:rFonts w:hint="eastAsia" w:ascii="宋体" w:hAnsi="宋体"/>
          <w:i w:val="0"/>
          <w:iCs/>
          <w:color w:val="auto"/>
          <w:szCs w:val="21"/>
          <w:highlight w:val="none"/>
        </w:rPr>
      </w:pPr>
      <w:r>
        <w:rPr>
          <w:rFonts w:hint="eastAsia" w:ascii="宋体" w:hAnsi="宋体"/>
          <w:i w:val="0"/>
          <w:iCs/>
          <w:color w:val="auto"/>
          <w:szCs w:val="21"/>
          <w:highlight w:val="none"/>
          <w:lang w:eastAsia="zh-CN"/>
        </w:rPr>
        <w:t>（</w:t>
      </w:r>
      <w:r>
        <w:rPr>
          <w:rFonts w:hint="eastAsia" w:ascii="宋体" w:hAnsi="宋体"/>
          <w:i w:val="0"/>
          <w:iCs/>
          <w:color w:val="auto"/>
          <w:szCs w:val="21"/>
          <w:highlight w:val="none"/>
        </w:rPr>
        <w:t>以纸质投标保函形式交纳</w:t>
      </w:r>
      <w:r>
        <w:rPr>
          <w:rFonts w:hint="eastAsia" w:ascii="宋体" w:hAnsi="宋体"/>
          <w:i w:val="0"/>
          <w:iCs/>
          <w:color w:val="auto"/>
          <w:szCs w:val="21"/>
          <w:highlight w:val="none"/>
          <w:lang w:eastAsia="zh-CN"/>
        </w:rPr>
        <w:t>比选保证金</w:t>
      </w:r>
      <w:r>
        <w:rPr>
          <w:rFonts w:hint="eastAsia" w:ascii="宋体" w:hAnsi="宋体"/>
          <w:i w:val="0"/>
          <w:iCs/>
          <w:color w:val="auto"/>
          <w:szCs w:val="21"/>
          <w:highlight w:val="none"/>
        </w:rPr>
        <w:t>的提供以下资料</w:t>
      </w:r>
      <w:r>
        <w:rPr>
          <w:rFonts w:hint="eastAsia" w:ascii="宋体" w:hAnsi="宋体"/>
          <w:i w:val="0"/>
          <w:iCs/>
          <w:color w:val="auto"/>
          <w:szCs w:val="21"/>
          <w:highlight w:val="none"/>
          <w:lang w:eastAsia="zh-CN"/>
        </w:rPr>
        <w:t>）</w:t>
      </w:r>
    </w:p>
    <w:p w14:paraId="2BAE11B5">
      <w:pPr>
        <w:spacing w:line="360" w:lineRule="auto"/>
        <w:ind w:firstLine="420" w:firstLineChars="200"/>
        <w:rPr>
          <w:rFonts w:hint="eastAsia" w:ascii="宋体" w:hAnsi="宋体"/>
          <w:color w:val="auto"/>
          <w:szCs w:val="21"/>
          <w:highlight w:val="none"/>
          <w:lang w:eastAsia="zh-CN"/>
        </w:rPr>
      </w:pPr>
      <w:r>
        <w:rPr>
          <w:rFonts w:hint="eastAsia" w:ascii="宋体" w:hAnsi="宋体"/>
          <w:color w:val="auto"/>
          <w:szCs w:val="21"/>
          <w:highlight w:val="none"/>
        </w:rPr>
        <w:t>（1）纸质</w:t>
      </w:r>
      <w:r>
        <w:rPr>
          <w:rFonts w:hint="eastAsia" w:ascii="宋体" w:hAnsi="宋体"/>
          <w:color w:val="auto"/>
          <w:szCs w:val="21"/>
          <w:highlight w:val="none"/>
          <w:lang w:val="en-US" w:eastAsia="zh-CN"/>
        </w:rPr>
        <w:t>投标</w:t>
      </w:r>
      <w:r>
        <w:rPr>
          <w:rFonts w:hint="eastAsia" w:ascii="宋体" w:hAnsi="宋体"/>
          <w:color w:val="auto"/>
          <w:szCs w:val="21"/>
          <w:highlight w:val="none"/>
        </w:rPr>
        <w:t>保函</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如有</w:t>
      </w:r>
      <w:r>
        <w:rPr>
          <w:rFonts w:hint="eastAsia" w:ascii="宋体" w:hAnsi="宋体"/>
          <w:color w:val="auto"/>
          <w:szCs w:val="21"/>
          <w:highlight w:val="none"/>
          <w:lang w:eastAsia="zh-CN"/>
        </w:rPr>
        <w:t>）</w:t>
      </w:r>
    </w:p>
    <w:p w14:paraId="5DA20088">
      <w:pPr>
        <w:keepNext w:val="0"/>
        <w:keepLines w:val="0"/>
        <w:pageBreakBefore w:val="0"/>
        <w:widowControl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投标保函示范文本</w:t>
      </w:r>
    </w:p>
    <w:p w14:paraId="16B309CD">
      <w:pPr>
        <w:keepNext w:val="0"/>
        <w:keepLines w:val="0"/>
        <w:pageBreakBefore w:val="0"/>
        <w:widowControl w:val="0"/>
        <w:kinsoku/>
        <w:wordWrap w:val="0"/>
        <w:overflowPunct/>
        <w:topLinePunct w:val="0"/>
        <w:autoSpaceDE/>
        <w:autoSpaceDN/>
        <w:bidi w:val="0"/>
        <w:adjustRightInd/>
        <w:snapToGrid/>
        <w:spacing w:line="360" w:lineRule="auto"/>
        <w:ind w:right="0" w:rightChars="0"/>
        <w:jc w:val="righ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09072F6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申请人：</w:t>
      </w:r>
      <w:r>
        <w:rPr>
          <w:rFonts w:hint="eastAsia" w:ascii="宋体" w:hAnsi="宋体" w:cs="宋体"/>
          <w:color w:val="auto"/>
          <w:szCs w:val="21"/>
          <w:highlight w:val="none"/>
          <w:u w:val="single"/>
        </w:rPr>
        <w:t xml:space="preserve">                                          </w:t>
      </w:r>
    </w:p>
    <w:p w14:paraId="1F0367D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地  址：</w:t>
      </w:r>
      <w:r>
        <w:rPr>
          <w:rFonts w:hint="eastAsia" w:ascii="宋体" w:hAnsi="宋体" w:cs="宋体"/>
          <w:color w:val="auto"/>
          <w:szCs w:val="21"/>
          <w:highlight w:val="none"/>
          <w:u w:val="single"/>
        </w:rPr>
        <w:t xml:space="preserve">                                          </w:t>
      </w:r>
    </w:p>
    <w:p w14:paraId="105BD3C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受益人：</w:t>
      </w:r>
      <w:r>
        <w:rPr>
          <w:rFonts w:hint="eastAsia" w:ascii="宋体" w:hAnsi="宋体" w:cs="宋体"/>
          <w:color w:val="auto"/>
          <w:szCs w:val="21"/>
          <w:highlight w:val="none"/>
          <w:u w:val="single"/>
        </w:rPr>
        <w:t xml:space="preserve">                                          </w:t>
      </w:r>
    </w:p>
    <w:p w14:paraId="60C067A2">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地  址：</w:t>
      </w:r>
      <w:r>
        <w:rPr>
          <w:rFonts w:hint="eastAsia" w:ascii="宋体" w:hAnsi="宋体" w:cs="宋体"/>
          <w:color w:val="auto"/>
          <w:szCs w:val="21"/>
          <w:highlight w:val="none"/>
          <w:u w:val="single"/>
        </w:rPr>
        <w:t xml:space="preserve">                                          </w:t>
      </w:r>
    </w:p>
    <w:p w14:paraId="54307D5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开立人：</w:t>
      </w:r>
      <w:r>
        <w:rPr>
          <w:rFonts w:hint="eastAsia" w:ascii="宋体" w:hAnsi="宋体" w:cs="宋体"/>
          <w:color w:val="auto"/>
          <w:szCs w:val="21"/>
          <w:highlight w:val="none"/>
          <w:u w:val="single"/>
        </w:rPr>
        <w:t xml:space="preserve">                                          </w:t>
      </w:r>
    </w:p>
    <w:p w14:paraId="79AAADA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地  址：</w:t>
      </w:r>
      <w:r>
        <w:rPr>
          <w:rFonts w:hint="eastAsia" w:ascii="宋体" w:hAnsi="宋体" w:cs="宋体"/>
          <w:color w:val="auto"/>
          <w:szCs w:val="21"/>
          <w:highlight w:val="none"/>
          <w:u w:val="single"/>
        </w:rPr>
        <w:t xml:space="preserve">                                          </w:t>
      </w:r>
    </w:p>
    <w:p w14:paraId="16B1CA3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（受益人名称）</w:t>
      </w:r>
      <w:r>
        <w:rPr>
          <w:rFonts w:hint="eastAsia" w:asciiTheme="minorEastAsia" w:hAnsiTheme="minorEastAsia" w:eastAsiaTheme="minorEastAsia" w:cstheme="minorEastAsia"/>
          <w:color w:val="auto"/>
          <w:kern w:val="2"/>
          <w:sz w:val="21"/>
          <w:szCs w:val="21"/>
          <w:highlight w:val="none"/>
          <w:lang w:eastAsia="zh-CN"/>
        </w:rPr>
        <w:t>：</w:t>
      </w:r>
    </w:p>
    <w:p w14:paraId="4C0F3CF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396" w:firstLineChars="200"/>
        <w:jc w:val="both"/>
        <w:textAlignment w:val="auto"/>
        <w:outlineLvl w:val="9"/>
        <w:rPr>
          <w:rFonts w:hint="eastAsia" w:asciiTheme="minorEastAsia" w:hAnsiTheme="minorEastAsia" w:eastAsiaTheme="minorEastAsia" w:cstheme="minorEastAsia"/>
          <w:color w:val="auto"/>
          <w:spacing w:val="-6"/>
          <w:kern w:val="0"/>
          <w:sz w:val="21"/>
          <w:szCs w:val="21"/>
          <w:highlight w:val="none"/>
          <w:lang w:val="en-US" w:eastAsia="zh-CN" w:bidi="ar-SA"/>
        </w:rPr>
      </w:pPr>
      <w:r>
        <w:rPr>
          <w:rFonts w:hint="eastAsia" w:asciiTheme="minorEastAsia" w:hAnsiTheme="minorEastAsia" w:eastAsiaTheme="minorEastAsia" w:cstheme="minorEastAsia"/>
          <w:color w:val="auto"/>
          <w:spacing w:val="-6"/>
          <w:kern w:val="0"/>
          <w:sz w:val="21"/>
          <w:szCs w:val="21"/>
          <w:highlight w:val="none"/>
          <w:lang w:val="en-US" w:eastAsia="zh-CN" w:bidi="ar-SA"/>
        </w:rPr>
        <w:t>我方（即“开立人”）已获得通知，本保函申请人（即“供应商”）已响应贵方于</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年</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月</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spacing w:val="-6"/>
          <w:kern w:val="0"/>
          <w:sz w:val="21"/>
          <w:szCs w:val="21"/>
          <w:highlight w:val="none"/>
          <w:lang w:val="en-US" w:eastAsia="zh-CN" w:bidi="ar-SA"/>
        </w:rPr>
        <w:t>就</w:t>
      </w:r>
      <w:r>
        <w:rPr>
          <w:rFonts w:hint="eastAsia" w:asciiTheme="minorEastAsia" w:hAnsiTheme="minorEastAsia" w:eastAsiaTheme="minorEastAsia" w:cstheme="minorEastAsia"/>
          <w:color w:val="auto"/>
          <w:spacing w:val="-6"/>
          <w:kern w:val="0"/>
          <w:sz w:val="21"/>
          <w:szCs w:val="21"/>
          <w:highlight w:val="none"/>
          <w:u w:val="single"/>
          <w:lang w:val="en-US" w:eastAsia="zh-CN" w:bidi="ar-SA"/>
        </w:rPr>
        <w:t xml:space="preserve">                   </w:t>
      </w:r>
      <w:r>
        <w:rPr>
          <w:rFonts w:hint="eastAsia" w:asciiTheme="minorEastAsia" w:hAnsiTheme="minorEastAsia" w:eastAsiaTheme="minorEastAsia" w:cstheme="minorEastAsia"/>
          <w:color w:val="auto"/>
          <w:spacing w:val="-6"/>
          <w:kern w:val="0"/>
          <w:sz w:val="21"/>
          <w:szCs w:val="21"/>
          <w:highlight w:val="none"/>
          <w:lang w:val="en-US" w:eastAsia="zh-CN" w:bidi="ar-SA"/>
        </w:rPr>
        <w:t>（以下简称“本工程”）发出的比选文件以及后续发布的答疑补遗文件，并拟向采购人（即“受益人”）提交响应文件（即“基础交易”）。</w:t>
      </w:r>
    </w:p>
    <w:p w14:paraId="196D556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0"/>
          <w:sz w:val="21"/>
          <w:szCs w:val="21"/>
          <w:highlight w:val="none"/>
          <w:lang w:val="en-US" w:eastAsia="zh-CN" w:bidi="ar-SA"/>
        </w:rPr>
      </w:pPr>
      <w:r>
        <w:rPr>
          <w:rFonts w:hint="eastAsia" w:asciiTheme="minorEastAsia" w:hAnsiTheme="minorEastAsia" w:eastAsiaTheme="minorEastAsia" w:cstheme="minorEastAsia"/>
          <w:color w:val="auto"/>
          <w:kern w:val="0"/>
          <w:sz w:val="21"/>
          <w:szCs w:val="21"/>
          <w:highlight w:val="none"/>
          <w:lang w:val="en-US" w:eastAsia="zh-CN" w:bidi="ar-SA"/>
        </w:rPr>
        <w:t>一、我方理解根据招标条件，供应商必须提交一份投标保函（以下简称“本保函”），以担保供应商诚信履行其在上述基础交易中承担的供应商义务。鉴此，应申请人要求，我方在此同意向贵方出具此投标保函，本保函担保金额为人民币（大写）</w:t>
      </w:r>
      <w:r>
        <w:rPr>
          <w:rFonts w:hint="eastAsia" w:asciiTheme="minorEastAsia" w:hAnsiTheme="minorEastAsia" w:eastAsiaTheme="minorEastAsia" w:cstheme="minorEastAsia"/>
          <w:color w:val="auto"/>
          <w:kern w:val="0"/>
          <w:sz w:val="21"/>
          <w:szCs w:val="21"/>
          <w:highlight w:val="none"/>
          <w:u w:val="single"/>
          <w:lang w:val="en-US" w:eastAsia="zh-CN" w:bidi="ar-SA"/>
        </w:rPr>
        <w:t xml:space="preserve">    </w:t>
      </w:r>
      <w:r>
        <w:rPr>
          <w:rFonts w:hint="eastAsia" w:asciiTheme="minorEastAsia" w:hAnsiTheme="minorEastAsia" w:eastAsiaTheme="minorEastAsia" w:cstheme="minorEastAsia"/>
          <w:color w:val="auto"/>
          <w:kern w:val="0"/>
          <w:sz w:val="21"/>
          <w:szCs w:val="21"/>
          <w:highlight w:val="none"/>
          <w:lang w:val="en-US" w:eastAsia="zh-CN" w:bidi="ar-SA"/>
        </w:rPr>
        <w:t>元（¥</w:t>
      </w:r>
      <w:r>
        <w:rPr>
          <w:rFonts w:hint="eastAsia" w:asciiTheme="minorEastAsia" w:hAnsiTheme="minorEastAsia" w:eastAsiaTheme="minorEastAsia" w:cstheme="minorEastAsia"/>
          <w:color w:val="auto"/>
          <w:kern w:val="0"/>
          <w:sz w:val="21"/>
          <w:szCs w:val="21"/>
          <w:highlight w:val="none"/>
          <w:u w:val="single"/>
          <w:lang w:val="en-US" w:eastAsia="zh-CN" w:bidi="ar-SA"/>
        </w:rPr>
        <w:t xml:space="preserve">        </w:t>
      </w:r>
      <w:r>
        <w:rPr>
          <w:rFonts w:hint="eastAsia" w:asciiTheme="minorEastAsia" w:hAnsiTheme="minorEastAsia" w:eastAsiaTheme="minorEastAsia" w:cstheme="minorEastAsia"/>
          <w:color w:val="auto"/>
          <w:kern w:val="0"/>
          <w:sz w:val="21"/>
          <w:szCs w:val="21"/>
          <w:highlight w:val="none"/>
          <w:lang w:val="en-US" w:eastAsia="zh-CN" w:bidi="ar-SA"/>
        </w:rPr>
        <w:t>）。</w:t>
      </w:r>
    </w:p>
    <w:p w14:paraId="2F5E039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二、我方在</w:t>
      </w:r>
      <w:r>
        <w:rPr>
          <w:rFonts w:hint="eastAsia" w:asciiTheme="minorEastAsia" w:hAnsiTheme="minorEastAsia" w:eastAsiaTheme="minorEastAsia" w:cstheme="minorEastAsia"/>
          <w:color w:val="auto"/>
          <w:kern w:val="2"/>
          <w:sz w:val="21"/>
          <w:szCs w:val="21"/>
          <w:highlight w:val="none"/>
          <w:lang w:eastAsia="zh-CN"/>
        </w:rPr>
        <w:t>供应商</w:t>
      </w:r>
      <w:r>
        <w:rPr>
          <w:rFonts w:hint="eastAsia" w:asciiTheme="minorEastAsia" w:hAnsiTheme="minorEastAsia" w:eastAsiaTheme="minorEastAsia" w:cstheme="minorEastAsia"/>
          <w:color w:val="auto"/>
          <w:kern w:val="2"/>
          <w:sz w:val="21"/>
          <w:szCs w:val="21"/>
          <w:highlight w:val="none"/>
        </w:rPr>
        <w:t>发生以下情形时承担保证担保责任：</w:t>
      </w:r>
    </w:p>
    <w:p w14:paraId="4B7FFEB4">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left="0" w:leftChars="0"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 xml:space="preserve">（1）供应商在比选后至比选有效期满之前撤销投标的； </w:t>
      </w:r>
    </w:p>
    <w:p w14:paraId="579FF8B8">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 xml:space="preserve">（2）供应商在收到中选通知后，不能或拒绝在中选通知书规定的时间内与贵方签订合同； </w:t>
      </w:r>
    </w:p>
    <w:p w14:paraId="4EC3370B">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（3）供应商在与贵方签订合同前，未在规定的时间内提交符合比选文件要求的履约担保；</w:t>
      </w:r>
    </w:p>
    <w:p w14:paraId="66F190D3">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（4）供应商违反比选文件规定的其他情形。</w:t>
      </w:r>
    </w:p>
    <w:p w14:paraId="73BF22B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三、本保函为不可撤销、不可转让的见索即付保函。本保函有效期自开立之日起至</w:t>
      </w:r>
      <w:r>
        <w:rPr>
          <w:rFonts w:hint="eastAsia" w:asciiTheme="minorEastAsia" w:hAnsiTheme="minorEastAsia" w:eastAsiaTheme="minorEastAsia" w:cstheme="minorEastAsia"/>
          <w:color w:val="auto"/>
          <w:kern w:val="2"/>
          <w:sz w:val="21"/>
          <w:szCs w:val="21"/>
          <w:highlight w:val="none"/>
          <w:lang w:eastAsia="zh-CN"/>
        </w:rPr>
        <w:t>比选有效期</w:t>
      </w:r>
      <w:r>
        <w:rPr>
          <w:rFonts w:hint="eastAsia" w:asciiTheme="minorEastAsia" w:hAnsiTheme="minorEastAsia" w:eastAsiaTheme="minorEastAsia" w:cstheme="minorEastAsia"/>
          <w:color w:val="auto"/>
          <w:kern w:val="2"/>
          <w:sz w:val="21"/>
          <w:szCs w:val="21"/>
          <w:highlight w:val="none"/>
        </w:rPr>
        <w:t>届满之日后的</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kern w:val="2"/>
          <w:sz w:val="21"/>
          <w:szCs w:val="21"/>
          <w:highlight w:val="none"/>
          <w:lang w:eastAsia="zh-CN"/>
        </w:rPr>
        <w:t>止（提示：建议</w:t>
      </w:r>
      <w:r>
        <w:rPr>
          <w:rFonts w:hint="eastAsia" w:asciiTheme="minorEastAsia" w:hAnsiTheme="minorEastAsia" w:eastAsiaTheme="minorEastAsia" w:cstheme="minorEastAsia"/>
          <w:color w:val="auto"/>
          <w:kern w:val="2"/>
          <w:sz w:val="21"/>
          <w:szCs w:val="21"/>
          <w:highlight w:val="none"/>
          <w:lang w:val="en-US" w:eastAsia="zh-CN"/>
        </w:rPr>
        <w:t>30日</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rPr>
        <w:t>。</w:t>
      </w:r>
      <w:r>
        <w:rPr>
          <w:rFonts w:hint="eastAsia" w:asciiTheme="minorEastAsia" w:hAnsiTheme="minorEastAsia" w:eastAsiaTheme="minorEastAsia" w:cstheme="minorEastAsia"/>
          <w:color w:val="auto"/>
          <w:kern w:val="2"/>
          <w:sz w:val="21"/>
          <w:szCs w:val="21"/>
          <w:highlight w:val="none"/>
          <w:lang w:eastAsia="zh-CN"/>
        </w:rPr>
        <w:t>比选有效期</w:t>
      </w:r>
      <w:r>
        <w:rPr>
          <w:rFonts w:hint="eastAsia" w:asciiTheme="minorEastAsia" w:hAnsiTheme="minorEastAsia" w:eastAsiaTheme="minorEastAsia" w:cstheme="minorEastAsia"/>
          <w:color w:val="auto"/>
          <w:kern w:val="2"/>
          <w:sz w:val="21"/>
          <w:szCs w:val="21"/>
          <w:highlight w:val="none"/>
        </w:rPr>
        <w:t>延长的，本保函有效期相应顺延，最迟不超过</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年</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月</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kern w:val="2"/>
          <w:sz w:val="21"/>
          <w:szCs w:val="21"/>
          <w:highlight w:val="none"/>
          <w:lang w:eastAsia="zh-CN"/>
        </w:rPr>
        <w:t>（提示：建议按保函有效期不超过</w:t>
      </w:r>
      <w:r>
        <w:rPr>
          <w:rFonts w:hint="eastAsia" w:asciiTheme="minorEastAsia" w:hAnsiTheme="minorEastAsia" w:eastAsiaTheme="minorEastAsia" w:cstheme="minorEastAsia"/>
          <w:color w:val="auto"/>
          <w:kern w:val="2"/>
          <w:sz w:val="21"/>
          <w:szCs w:val="21"/>
          <w:highlight w:val="none"/>
          <w:lang w:val="en-US" w:eastAsia="zh-CN"/>
        </w:rPr>
        <w:t>270日考虑</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rPr>
        <w:t>。</w:t>
      </w:r>
    </w:p>
    <w:p w14:paraId="1608492D">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四、</w:t>
      </w:r>
      <w:r>
        <w:rPr>
          <w:rFonts w:hint="eastAsia" w:asciiTheme="minorEastAsia" w:hAnsiTheme="minorEastAsia" w:eastAsiaTheme="minorEastAsia" w:cstheme="minorEastAsia"/>
          <w:color w:val="auto"/>
          <w:kern w:val="2"/>
          <w:sz w:val="21"/>
          <w:szCs w:val="21"/>
          <w:highlight w:val="none"/>
        </w:rPr>
        <w:t>我方承诺，在收到受益人发来的书面</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通知后的</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none"/>
          <w:lang w:eastAsia="zh-CN"/>
        </w:rPr>
        <w:t>个工作</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kern w:val="2"/>
          <w:sz w:val="21"/>
          <w:szCs w:val="21"/>
          <w:highlight w:val="none"/>
          <w:lang w:eastAsia="zh-CN"/>
        </w:rPr>
        <w:t>（提示：建议</w:t>
      </w:r>
      <w:r>
        <w:rPr>
          <w:rFonts w:hint="eastAsia" w:asciiTheme="minorEastAsia" w:hAnsiTheme="minorEastAsia" w:eastAsiaTheme="minorEastAsia" w:cstheme="minorEastAsia"/>
          <w:color w:val="auto"/>
          <w:kern w:val="2"/>
          <w:sz w:val="21"/>
          <w:szCs w:val="21"/>
          <w:highlight w:val="none"/>
          <w:lang w:val="en-US" w:eastAsia="zh-CN"/>
        </w:rPr>
        <w:t>10—15个工作日</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rPr>
        <w:t>内无条件支付，前述书面</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通知即为付款要求之单据，且应满足以下要求：</w:t>
      </w:r>
    </w:p>
    <w:p w14:paraId="1759BB4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（1）</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通知到达的日期在本保函的有效期内；</w:t>
      </w:r>
    </w:p>
    <w:p w14:paraId="60F7DE30">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（2）载明要求支付的金额；</w:t>
      </w:r>
    </w:p>
    <w:p w14:paraId="778A3F6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（3）载明申请人违反招</w:t>
      </w:r>
      <w:r>
        <w:rPr>
          <w:rFonts w:hint="eastAsia" w:asciiTheme="minorEastAsia" w:hAnsiTheme="minorEastAsia" w:eastAsiaTheme="minorEastAsia" w:cstheme="minorEastAsia"/>
          <w:color w:val="auto"/>
          <w:kern w:val="2"/>
          <w:sz w:val="21"/>
          <w:szCs w:val="21"/>
          <w:highlight w:val="none"/>
          <w:lang w:eastAsia="zh-CN"/>
        </w:rPr>
        <w:t>响应文件</w:t>
      </w:r>
      <w:r>
        <w:rPr>
          <w:rFonts w:hint="eastAsia" w:asciiTheme="minorEastAsia" w:hAnsiTheme="minorEastAsia" w:eastAsiaTheme="minorEastAsia" w:cstheme="minorEastAsia"/>
          <w:color w:val="auto"/>
          <w:kern w:val="2"/>
          <w:sz w:val="21"/>
          <w:szCs w:val="21"/>
          <w:highlight w:val="none"/>
        </w:rPr>
        <w:t>规定的义务内容和具体条款；</w:t>
      </w:r>
    </w:p>
    <w:p w14:paraId="6F56A729">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（4）声明不存在</w:t>
      </w:r>
      <w:r>
        <w:rPr>
          <w:rFonts w:hint="eastAsia" w:asciiTheme="minorEastAsia" w:hAnsiTheme="minorEastAsia" w:eastAsiaTheme="minorEastAsia" w:cstheme="minorEastAsia"/>
          <w:color w:val="auto"/>
          <w:kern w:val="2"/>
          <w:sz w:val="21"/>
          <w:szCs w:val="21"/>
          <w:highlight w:val="none"/>
          <w:lang w:eastAsia="zh-CN"/>
        </w:rPr>
        <w:t>比选文件</w:t>
      </w:r>
      <w:r>
        <w:rPr>
          <w:rFonts w:hint="eastAsia" w:asciiTheme="minorEastAsia" w:hAnsiTheme="minorEastAsia" w:eastAsiaTheme="minorEastAsia" w:cstheme="minorEastAsia"/>
          <w:color w:val="auto"/>
          <w:kern w:val="2"/>
          <w:sz w:val="21"/>
          <w:szCs w:val="21"/>
          <w:highlight w:val="none"/>
        </w:rPr>
        <w:t>规定免除申请人或我方支付责任的情形；</w:t>
      </w:r>
    </w:p>
    <w:p w14:paraId="5CF57EA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spacing w:val="0"/>
          <w:kern w:val="2"/>
          <w:sz w:val="21"/>
          <w:szCs w:val="21"/>
          <w:highlight w:val="none"/>
          <w:lang w:eastAsia="zh-CN"/>
        </w:rPr>
        <w:t>（</w:t>
      </w:r>
      <w:r>
        <w:rPr>
          <w:rFonts w:hint="eastAsia" w:asciiTheme="minorEastAsia" w:hAnsiTheme="minorEastAsia" w:eastAsiaTheme="minorEastAsia" w:cstheme="minorEastAsia"/>
          <w:color w:val="auto"/>
          <w:spacing w:val="0"/>
          <w:kern w:val="2"/>
          <w:sz w:val="21"/>
          <w:szCs w:val="21"/>
          <w:highlight w:val="none"/>
          <w:lang w:val="en-US" w:eastAsia="zh-CN"/>
        </w:rPr>
        <w:t>5</w:t>
      </w:r>
      <w:r>
        <w:rPr>
          <w:rFonts w:hint="eastAsia" w:asciiTheme="minorEastAsia" w:hAnsiTheme="minorEastAsia" w:eastAsiaTheme="minorEastAsia" w:cstheme="minorEastAsia"/>
          <w:color w:val="auto"/>
          <w:spacing w:val="0"/>
          <w:kern w:val="2"/>
          <w:sz w:val="21"/>
          <w:szCs w:val="21"/>
          <w:highlight w:val="none"/>
          <w:lang w:eastAsia="zh-CN"/>
        </w:rPr>
        <w:t>）索赔</w:t>
      </w:r>
      <w:r>
        <w:rPr>
          <w:rFonts w:hint="eastAsia" w:asciiTheme="minorEastAsia" w:hAnsiTheme="minorEastAsia" w:eastAsiaTheme="minorEastAsia" w:cstheme="minorEastAsia"/>
          <w:color w:val="auto"/>
          <w:spacing w:val="0"/>
          <w:kern w:val="2"/>
          <w:sz w:val="21"/>
          <w:szCs w:val="21"/>
          <w:highlight w:val="none"/>
        </w:rPr>
        <w:t>通知应在本保函有效期内到达的地址是：</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w:t>
      </w:r>
    </w:p>
    <w:p w14:paraId="77FB6BE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受益人发出的书面</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通知应由其为鉴明受益人法定代表人或授权代理人签</w:t>
      </w:r>
      <w:r>
        <w:rPr>
          <w:rFonts w:hint="eastAsia" w:asciiTheme="minorEastAsia" w:hAnsiTheme="minorEastAsia" w:eastAsiaTheme="minorEastAsia" w:cstheme="minorEastAsia"/>
          <w:color w:val="auto"/>
          <w:kern w:val="2"/>
          <w:sz w:val="21"/>
          <w:szCs w:val="21"/>
          <w:highlight w:val="none"/>
          <w:lang w:eastAsia="zh-CN"/>
        </w:rPr>
        <w:t>名</w:t>
      </w:r>
      <w:r>
        <w:rPr>
          <w:rFonts w:hint="eastAsia" w:asciiTheme="minorEastAsia" w:hAnsiTheme="minorEastAsia" w:eastAsiaTheme="minorEastAsia" w:cstheme="minorEastAsia"/>
          <w:color w:val="auto"/>
          <w:kern w:val="2"/>
          <w:sz w:val="21"/>
          <w:szCs w:val="21"/>
          <w:highlight w:val="none"/>
        </w:rPr>
        <w:t>并加盖公章。</w:t>
      </w:r>
    </w:p>
    <w:p w14:paraId="612B99B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五、本保函项下的权利不得转让，不得设定担保。</w:t>
      </w:r>
      <w:r>
        <w:rPr>
          <w:rFonts w:hint="eastAsia" w:asciiTheme="minorEastAsia" w:hAnsiTheme="minorEastAsia" w:eastAsiaTheme="minorEastAsia" w:cstheme="minorEastAsia"/>
          <w:color w:val="auto"/>
          <w:kern w:val="2"/>
          <w:sz w:val="21"/>
          <w:szCs w:val="21"/>
          <w:highlight w:val="none"/>
          <w:lang w:eastAsia="zh-CN"/>
        </w:rPr>
        <w:t>贵方</w:t>
      </w:r>
      <w:r>
        <w:rPr>
          <w:rFonts w:hint="eastAsia" w:asciiTheme="minorEastAsia" w:hAnsiTheme="minorEastAsia" w:eastAsiaTheme="minorEastAsia" w:cstheme="minorEastAsia"/>
          <w:color w:val="auto"/>
          <w:kern w:val="2"/>
          <w:sz w:val="21"/>
          <w:szCs w:val="21"/>
          <w:highlight w:val="none"/>
        </w:rPr>
        <w:t>未经我方书面同意转让本保函或其项下任何权利，对我方不发生法律效力。</w:t>
      </w:r>
    </w:p>
    <w:p w14:paraId="00A97473">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 xml:space="preserve">六、本保函项下的基础交易不成立、不生效、无效、被撤销、被解除，不影响本保函的独立有效。 </w:t>
      </w:r>
    </w:p>
    <w:p w14:paraId="2E9BBDC3">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七、受益人应在本保函到期后的</w:t>
      </w:r>
      <w:r>
        <w:rPr>
          <w:rFonts w:hint="eastAsia" w:asciiTheme="minorEastAsia" w:hAnsiTheme="minorEastAsia" w:eastAsiaTheme="minorEastAsia" w:cstheme="minorEastAsia"/>
          <w:color w:val="auto"/>
          <w:kern w:val="2"/>
          <w:sz w:val="21"/>
          <w:szCs w:val="21"/>
          <w:highlight w:val="none"/>
          <w:lang w:val="en-US" w:eastAsia="zh-CN"/>
        </w:rPr>
        <w:t>七</w:t>
      </w:r>
      <w:r>
        <w:rPr>
          <w:rFonts w:hint="eastAsia" w:asciiTheme="minorEastAsia" w:hAnsiTheme="minorEastAsia" w:eastAsiaTheme="minorEastAsia" w:cstheme="minorEastAsia"/>
          <w:color w:val="auto"/>
          <w:kern w:val="2"/>
          <w:sz w:val="21"/>
          <w:szCs w:val="21"/>
          <w:highlight w:val="none"/>
          <w:lang w:eastAsia="zh-CN"/>
        </w:rPr>
        <w:t>个工作</w:t>
      </w:r>
      <w:r>
        <w:rPr>
          <w:rFonts w:hint="eastAsia" w:asciiTheme="minorEastAsia" w:hAnsiTheme="minorEastAsia" w:eastAsiaTheme="minorEastAsia" w:cstheme="minorEastAsia"/>
          <w:color w:val="auto"/>
          <w:kern w:val="2"/>
          <w:sz w:val="21"/>
          <w:szCs w:val="21"/>
          <w:highlight w:val="none"/>
        </w:rPr>
        <w:t>日内将本保函正本退回我方注销，但是不论受益人是否按此要求将本保函正本退回我方，我方在本保函项下的义务和责任均在保函有效期到期后自动消灭。</w:t>
      </w:r>
    </w:p>
    <w:p w14:paraId="432BB7AC">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lang w:eastAsia="zh-CN"/>
        </w:rPr>
      </w:pPr>
      <w:r>
        <w:rPr>
          <w:rFonts w:hint="eastAsia" w:asciiTheme="minorEastAsia" w:hAnsiTheme="minorEastAsia" w:eastAsiaTheme="minorEastAsia" w:cstheme="minorEastAsia"/>
          <w:color w:val="auto"/>
          <w:kern w:val="2"/>
          <w:sz w:val="21"/>
          <w:szCs w:val="21"/>
          <w:highlight w:val="none"/>
        </w:rPr>
        <w:t>八、</w:t>
      </w:r>
      <w:r>
        <w:rPr>
          <w:rFonts w:hint="eastAsia" w:asciiTheme="minorEastAsia" w:hAnsiTheme="minorEastAsia" w:eastAsiaTheme="minorEastAsia" w:cstheme="minorEastAsia"/>
          <w:color w:val="auto"/>
          <w:kern w:val="2"/>
          <w:sz w:val="21"/>
          <w:szCs w:val="21"/>
          <w:highlight w:val="none"/>
          <w:lang w:eastAsia="zh-CN"/>
        </w:rPr>
        <w:t>本保函的开具是我方真实意思表示，符合法律法规规定，我方同意遵守本保函约定并无条件承担担保责任。本保函与其他规定或条款不一致时，以本保函约定为准。</w:t>
      </w:r>
    </w:p>
    <w:p w14:paraId="17533B60">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九、</w:t>
      </w:r>
      <w:r>
        <w:rPr>
          <w:rFonts w:hint="eastAsia" w:asciiTheme="minorEastAsia" w:hAnsiTheme="minorEastAsia" w:eastAsiaTheme="minorEastAsia" w:cstheme="minorEastAsia"/>
          <w:color w:val="auto"/>
          <w:kern w:val="2"/>
          <w:sz w:val="21"/>
          <w:szCs w:val="21"/>
          <w:highlight w:val="none"/>
        </w:rPr>
        <w:t>本保函适用的法律为中华人民共和国法律，争议裁判管辖地为中华人民共和国</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w:t>
      </w:r>
    </w:p>
    <w:p w14:paraId="189719C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十</w:t>
      </w:r>
      <w:r>
        <w:rPr>
          <w:rFonts w:hint="eastAsia" w:asciiTheme="minorEastAsia" w:hAnsiTheme="minorEastAsia" w:eastAsiaTheme="minorEastAsia" w:cstheme="minorEastAsia"/>
          <w:color w:val="auto"/>
          <w:kern w:val="2"/>
          <w:sz w:val="21"/>
          <w:szCs w:val="21"/>
          <w:highlight w:val="none"/>
        </w:rPr>
        <w:t>、本保函自我方法定代表人或授权代表</w:t>
      </w:r>
      <w:r>
        <w:rPr>
          <w:rFonts w:hint="eastAsia" w:asciiTheme="minorEastAsia" w:hAnsiTheme="minorEastAsia" w:eastAsiaTheme="minorEastAsia" w:cstheme="minorEastAsia"/>
          <w:color w:val="auto"/>
          <w:kern w:val="2"/>
          <w:sz w:val="21"/>
          <w:szCs w:val="21"/>
          <w:highlight w:val="none"/>
          <w:lang w:eastAsia="zh-CN"/>
        </w:rPr>
        <w:t>签名</w:t>
      </w:r>
      <w:r>
        <w:rPr>
          <w:rFonts w:hint="eastAsia" w:asciiTheme="minorEastAsia" w:hAnsiTheme="minorEastAsia" w:eastAsiaTheme="minorEastAsia" w:cstheme="minorEastAsia"/>
          <w:color w:val="auto"/>
          <w:kern w:val="2"/>
          <w:sz w:val="21"/>
          <w:szCs w:val="21"/>
          <w:highlight w:val="none"/>
        </w:rPr>
        <w:t>并加盖公章之日起生效。</w:t>
      </w:r>
    </w:p>
    <w:p w14:paraId="541D4A0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u w:val="none"/>
        </w:rPr>
      </w:pPr>
      <w:r>
        <w:rPr>
          <w:rFonts w:hint="eastAsia" w:asciiTheme="minorEastAsia" w:hAnsiTheme="minorEastAsia" w:eastAsiaTheme="minorEastAsia" w:cstheme="minorEastAsia"/>
          <w:color w:val="auto"/>
          <w:kern w:val="2"/>
          <w:sz w:val="21"/>
          <w:szCs w:val="21"/>
          <w:highlight w:val="none"/>
          <w:lang w:eastAsia="zh-CN"/>
        </w:rPr>
        <w:t>十一、本保函在重庆市辖区范围内的核验地点：</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none"/>
          <w:lang w:eastAsia="zh-CN"/>
        </w:rPr>
        <w:t>；核验方式：</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i/>
          <w:iCs/>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none"/>
          <w:lang w:val="en-US" w:eastAsia="zh-CN"/>
        </w:rPr>
        <w:t>。</w:t>
      </w:r>
    </w:p>
    <w:p w14:paraId="117B997D">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p>
    <w:p w14:paraId="5EC9C54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 xml:space="preserve">开 立 人：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（公章）</w:t>
      </w:r>
    </w:p>
    <w:p w14:paraId="51DE536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法定代表人（或授权</w:t>
      </w:r>
      <w:r>
        <w:rPr>
          <w:rFonts w:hint="eastAsia" w:asciiTheme="minorEastAsia" w:hAnsiTheme="minorEastAsia" w:eastAsiaTheme="minorEastAsia" w:cstheme="minorEastAsia"/>
          <w:color w:val="auto"/>
          <w:kern w:val="2"/>
          <w:sz w:val="21"/>
          <w:szCs w:val="21"/>
          <w:highlight w:val="none"/>
          <w:lang w:eastAsia="zh-CN"/>
        </w:rPr>
        <w:t>代表</w:t>
      </w:r>
      <w:r>
        <w:rPr>
          <w:rFonts w:hint="eastAsia" w:asciiTheme="minorEastAsia" w:hAnsiTheme="minorEastAsia" w:eastAsiaTheme="minorEastAsia" w:cstheme="minorEastAsia"/>
          <w:color w:val="auto"/>
          <w:kern w:val="2"/>
          <w:sz w:val="21"/>
          <w:szCs w:val="21"/>
          <w:highlight w:val="none"/>
        </w:rPr>
        <w:t>）：</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w:t>
      </w:r>
      <w:r>
        <w:rPr>
          <w:rFonts w:hint="eastAsia" w:asciiTheme="minorEastAsia" w:hAnsiTheme="minorEastAsia" w:eastAsiaTheme="minorEastAsia" w:cstheme="minorEastAsia"/>
          <w:color w:val="auto"/>
          <w:kern w:val="2"/>
          <w:sz w:val="21"/>
          <w:szCs w:val="21"/>
          <w:highlight w:val="none"/>
          <w:lang w:eastAsia="zh-CN"/>
        </w:rPr>
        <w:t>签名</w:t>
      </w:r>
      <w:r>
        <w:rPr>
          <w:rFonts w:hint="eastAsia" w:asciiTheme="minorEastAsia" w:hAnsiTheme="minorEastAsia" w:eastAsiaTheme="minorEastAsia" w:cstheme="minorEastAsia"/>
          <w:color w:val="auto"/>
          <w:kern w:val="2"/>
          <w:sz w:val="21"/>
          <w:szCs w:val="21"/>
          <w:highlight w:val="none"/>
        </w:rPr>
        <w:t>）</w:t>
      </w:r>
    </w:p>
    <w:p w14:paraId="74CE2FA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地    址：</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16054AF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邮政编码：</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58413FF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电    话：</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09B2FF1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传    真：</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35FAB08D">
      <w:pPr>
        <w:pStyle w:val="2"/>
        <w:ind w:firstLine="420" w:firstLineChars="200"/>
        <w:rPr>
          <w:rFonts w:hint="eastAsia"/>
          <w:color w:val="auto"/>
          <w:highlight w:val="none"/>
          <w:lang w:eastAsia="zh-CN"/>
        </w:rPr>
      </w:pPr>
      <w:r>
        <w:rPr>
          <w:rFonts w:hint="eastAsia" w:asciiTheme="minorEastAsia" w:hAnsiTheme="minorEastAsia" w:eastAsiaTheme="minorEastAsia" w:cstheme="minorEastAsia"/>
          <w:color w:val="auto"/>
          <w:kern w:val="2"/>
          <w:sz w:val="21"/>
          <w:szCs w:val="21"/>
          <w:highlight w:val="none"/>
        </w:rPr>
        <w:t xml:space="preserve">开立时间：    年 </w:t>
      </w:r>
      <w:r>
        <w:rPr>
          <w:rFonts w:hint="eastAsia" w:asciiTheme="minorEastAsia" w:hAnsiTheme="minorEastAsia" w:eastAsiaTheme="minorEastAsia" w:cstheme="minorEastAsia"/>
          <w:color w:val="auto"/>
          <w:kern w:val="2"/>
          <w:sz w:val="21"/>
          <w:szCs w:val="21"/>
          <w:highlight w:val="non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月 </w:t>
      </w:r>
      <w:r>
        <w:rPr>
          <w:rFonts w:hint="eastAsia" w:asciiTheme="minorEastAsia" w:hAnsiTheme="minorEastAsia" w:eastAsiaTheme="minorEastAsia" w:cstheme="minorEastAsia"/>
          <w:color w:val="auto"/>
          <w:kern w:val="2"/>
          <w:sz w:val="21"/>
          <w:szCs w:val="21"/>
          <w:highlight w:val="non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r>
        <w:rPr>
          <w:rFonts w:hint="eastAsia" w:asciiTheme="minorEastAsia" w:hAnsiTheme="minorEastAsia" w:eastAsiaTheme="minorEastAsia" w:cstheme="minorEastAsia"/>
          <w:color w:val="auto"/>
          <w:kern w:val="2"/>
          <w:sz w:val="21"/>
          <w:szCs w:val="21"/>
          <w:highlight w:val="none"/>
          <w:lang w:eastAsia="zh-CN"/>
        </w:rPr>
        <w:t>日</w:t>
      </w:r>
    </w:p>
    <w:p w14:paraId="7A8E76FD">
      <w:pPr>
        <w:rPr>
          <w:rFonts w:ascii="宋体" w:hAnsi="宋体" w:cs="宋体"/>
          <w:i/>
          <w:color w:val="auto"/>
          <w:szCs w:val="21"/>
          <w:highlight w:val="none"/>
        </w:rPr>
      </w:pPr>
      <w:r>
        <w:rPr>
          <w:rFonts w:hint="eastAsia" w:ascii="宋体" w:hAnsi="宋体" w:cs="宋体"/>
          <w:i/>
          <w:color w:val="auto"/>
          <w:szCs w:val="21"/>
          <w:highlight w:val="none"/>
        </w:rPr>
        <w:br w:type="page"/>
      </w:r>
    </w:p>
    <w:p w14:paraId="3AA4FFAC">
      <w:pPr>
        <w:spacing w:line="360" w:lineRule="auto"/>
        <w:ind w:firstLine="360" w:firstLineChars="200"/>
        <w:rPr>
          <w:rFonts w:hint="eastAsia" w:ascii="宋体" w:hAnsi="宋体" w:eastAsia="宋体" w:cs="宋体"/>
          <w:color w:val="auto"/>
          <w:sz w:val="18"/>
          <w:szCs w:val="18"/>
          <w:highlight w:val="none"/>
        </w:rPr>
      </w:pPr>
      <w:r>
        <w:rPr>
          <w:rFonts w:hint="eastAsia" w:ascii="宋体" w:hAnsi="宋体" w:cs="宋体"/>
          <w:color w:val="auto"/>
          <w:sz w:val="18"/>
          <w:szCs w:val="18"/>
          <w:highlight w:val="none"/>
        </w:rPr>
        <w:t>2.</w:t>
      </w:r>
      <w:r>
        <w:rPr>
          <w:rFonts w:hint="eastAsia" w:ascii="宋体" w:hAnsi="宋体" w:eastAsia="宋体" w:cs="宋体"/>
          <w:color w:val="auto"/>
          <w:sz w:val="18"/>
          <w:szCs w:val="18"/>
          <w:highlight w:val="none"/>
        </w:rPr>
        <w:t>按照</w:t>
      </w:r>
      <w:r>
        <w:rPr>
          <w:rFonts w:hint="eastAsia" w:ascii="宋体" w:hAnsi="宋体" w:eastAsia="宋体" w:cs="宋体"/>
          <w:color w:val="auto"/>
          <w:sz w:val="18"/>
          <w:szCs w:val="18"/>
          <w:highlight w:val="none"/>
          <w:lang w:eastAsia="zh-CN"/>
        </w:rPr>
        <w:t>比选文件</w:t>
      </w:r>
      <w:r>
        <w:rPr>
          <w:rFonts w:hint="eastAsia" w:ascii="宋体" w:hAnsi="宋体" w:eastAsia="宋体" w:cs="宋体"/>
          <w:color w:val="auto"/>
          <w:sz w:val="18"/>
          <w:szCs w:val="18"/>
          <w:highlight w:val="none"/>
        </w:rPr>
        <w:t>第二章</w:t>
      </w:r>
      <w:r>
        <w:rPr>
          <w:rFonts w:hint="eastAsia" w:ascii="宋体" w:hAnsi="宋体" w:eastAsia="宋体" w:cs="宋体"/>
          <w:color w:val="auto"/>
          <w:sz w:val="18"/>
          <w:szCs w:val="18"/>
          <w:highlight w:val="none"/>
          <w:lang w:val="en-US" w:eastAsia="zh-CN"/>
        </w:rPr>
        <w:t>供应商</w:t>
      </w:r>
      <w:r>
        <w:rPr>
          <w:rFonts w:hint="eastAsia" w:ascii="宋体" w:hAnsi="宋体" w:eastAsia="宋体" w:cs="宋体"/>
          <w:color w:val="auto"/>
          <w:sz w:val="18"/>
          <w:szCs w:val="18"/>
          <w:highlight w:val="none"/>
        </w:rPr>
        <w:t>须知前附表第1.4.1项</w:t>
      </w:r>
      <w:r>
        <w:rPr>
          <w:rFonts w:hint="eastAsia" w:ascii="宋体" w:hAnsi="宋体" w:eastAsia="宋体" w:cs="宋体"/>
          <w:color w:val="auto"/>
          <w:sz w:val="18"/>
          <w:szCs w:val="18"/>
          <w:highlight w:val="none"/>
          <w:lang w:val="en-US" w:eastAsia="zh-CN"/>
        </w:rPr>
        <w:t>和第三章评审办法商务部分</w:t>
      </w:r>
      <w:r>
        <w:rPr>
          <w:rFonts w:hint="eastAsia" w:ascii="宋体" w:hAnsi="宋体" w:eastAsia="宋体" w:cs="宋体"/>
          <w:color w:val="auto"/>
          <w:sz w:val="18"/>
          <w:szCs w:val="18"/>
          <w:highlight w:val="none"/>
        </w:rPr>
        <w:t>要求提供的资料。</w:t>
      </w:r>
    </w:p>
    <w:p w14:paraId="1841DB7C">
      <w:pPr>
        <w:spacing w:line="360" w:lineRule="auto"/>
        <w:ind w:firstLine="360" w:firstLineChars="200"/>
        <w:rPr>
          <w:rFonts w:ascii="宋体" w:hAnsi="宋体" w:cs="宋体"/>
          <w:color w:val="auto"/>
          <w:sz w:val="18"/>
          <w:szCs w:val="18"/>
          <w:highlight w:val="none"/>
        </w:rPr>
      </w:pPr>
    </w:p>
    <w:p w14:paraId="1AB7B79E">
      <w:pPr>
        <w:spacing w:line="360" w:lineRule="auto"/>
        <w:ind w:firstLine="360" w:firstLineChars="200"/>
        <w:rPr>
          <w:rFonts w:ascii="宋体" w:hAnsi="宋体" w:cs="宋体"/>
          <w:color w:val="auto"/>
          <w:sz w:val="18"/>
          <w:szCs w:val="18"/>
          <w:highlight w:val="none"/>
        </w:rPr>
      </w:pPr>
      <w:r>
        <w:rPr>
          <w:rFonts w:hint="eastAsia" w:ascii="宋体" w:hAnsi="宋体" w:cs="宋体"/>
          <w:color w:val="auto"/>
          <w:sz w:val="18"/>
          <w:szCs w:val="18"/>
          <w:highlight w:val="none"/>
        </w:rPr>
        <w:t>……</w:t>
      </w:r>
    </w:p>
    <w:p w14:paraId="2C2B58C5">
      <w:pPr>
        <w:spacing w:line="360" w:lineRule="auto"/>
        <w:ind w:firstLine="420" w:firstLineChars="200"/>
        <w:rPr>
          <w:rFonts w:ascii="宋体" w:hAnsi="宋体" w:cs="宋体"/>
          <w:color w:val="auto"/>
          <w:szCs w:val="21"/>
          <w:highlight w:val="none"/>
        </w:rPr>
      </w:pPr>
    </w:p>
    <w:sectPr>
      <w:footerReference r:id="rId9" w:type="first"/>
      <w:footerReference r:id="rId8" w:type="default"/>
      <w:pgSz w:w="11906" w:h="16838"/>
      <w:pgMar w:top="1134" w:right="1134" w:bottom="1134" w:left="1134" w:header="851" w:footer="992" w:gutter="0"/>
      <w:cols w:space="0" w:num="1"/>
      <w:rtlGutter w:val="0"/>
      <w:docGrid w:type="lines" w:linePitch="3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仿宋-简">
    <w:altName w:val="仿宋"/>
    <w:panose1 w:val="02010609060101010101"/>
    <w:charset w:val="86"/>
    <w:family w:val="auto"/>
    <w:pitch w:val="default"/>
    <w:sig w:usb0="00000000" w:usb1="00000000"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ingLiU">
    <w:altName w:val="PMingLiU-ExtB"/>
    <w:panose1 w:val="02020509000000000000"/>
    <w:charset w:val="88"/>
    <w:family w:val="modern"/>
    <w:pitch w:val="default"/>
    <w:sig w:usb0="00000000" w:usb1="00000000" w:usb2="00000016" w:usb3="00000000" w:csb0="00100001" w:csb1="00000000"/>
  </w:font>
  <w:font w:name="Noto Serif CJK HK">
    <w:altName w:val="PMingLiU-ExtB"/>
    <w:panose1 w:val="02020400000000000000"/>
    <w:charset w:val="88"/>
    <w:family w:val="auto"/>
    <w:pitch w:val="default"/>
    <w:sig w:usb0="00000000" w:usb1="00000000" w:usb2="00000016" w:usb3="00000000" w:csb0="603A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42B38">
    <w:pPr>
      <w:pStyle w:val="2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D96BC9">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wps:txbx>
                    <wps:bodyPr wrap="none" lIns="0" tIns="0" rIns="0" bIns="0">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qfgl8MBAACOAwAADgAAAGRycy9lMm9Eb2MueG1srVPBbtswDL0P6D8I&#10;ujdyMmAIjDhFi6BDgWIb0O0DFFmOBUiiICqx8wPbH+y0y+77rnzHKNtJt+7Swy4yRVKPfI/06qZ3&#10;lh10RAO+4vNZwZn2CmrjdxX/8vn+eskZJulracHrih818pv11ZtVF0q9gBZsrSMjEI9lFyrephRK&#10;IVC12kmcQdCegg1EJxNd407UUXaE7qxYFMU70UGsQwSlEcm7GYN8QoyvAYSmMUpvQO2d9mlEjdrK&#10;RJSwNQH5eui2abRKH5sGdWK24sQ0DScVIXubT7FeyXIXZWiNmlqQr2nhBScnjaeiF6iNTJLto/kH&#10;yhkVAaFJMwVOjEQGRYjFvHihzVMrgx64kNQYLqLj/4NVHw6fIjM1bQJnXjoa+On7t9OPX6efX9n8&#10;bdanC1hS2lOgxNTfQZ9zJz+SM9Pum+jylwgxipO6x4u6uk9M5UfLxXJZUEhR7HwhHPH8PERM7zU4&#10;lo2KRxrfoKo8PGIaU88puZqHe2Mt+WVp/V8OwswekXsfe8xW6rf91PgW6iPx6WjyFfe06JzZB0/C&#10;5iU5G/FsbCcj18Bwu09UeOgno45QUzEa08BoWqm8B3/eh6zn32j9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2p+CXwwEAAI4DAAAOAAAAAAAAAAEAIAAAAB4BAABkcnMvZTJvRG9jLnhtbFBL&#10;BQYAAAAABgAGAFkBAABTBQAAAAA=&#10;">
              <v:fill on="f" focussize="0,0"/>
              <v:stroke on="f"/>
              <v:imagedata o:title=""/>
              <o:lock v:ext="edit" aspectratio="f"/>
              <v:textbox inset="0mm,0mm,0mm,0mm" style="mso-fit-shape-to-text:t;">
                <w:txbxContent>
                  <w:p w14:paraId="56D96BC9">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B0C7B">
    <w:pPr>
      <w:pStyle w:val="2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6636FD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38</w:t>
                          </w:r>
                          <w:r>
                            <w:rPr>
                              <w:rFonts w:hint="eastAsia"/>
                              <w:sz w:val="18"/>
                            </w:rPr>
                            <w:fldChar w:fldCharType="end"/>
                          </w:r>
                        </w:p>
                      </w:txbxContent>
                    </wps:txbx>
                    <wps:bodyPr wrap="none" lIns="0" tIns="0" rIns="0" bIns="0">
                      <a:spAutoFit/>
                    </wps:bodyPr>
                  </wps:wsp>
                </a:graphicData>
              </a:graphic>
            </wp:anchor>
          </w:drawing>
        </mc:Choice>
        <mc:Fallback>
          <w:pict>
            <v:shape id="文本框 14"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3Vl8sIBAACOAwAADgAAAGRycy9lMm9Eb2MueG1srVPNjtMwEL4j8Q6W&#10;79Rph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pt6IoSxy0O/PL92+XHr8vPr2T5&#10;OuvTB6gx7SFgYhru/IBbM/sBnZn2oKLNXyREMI7qnq/qyiERkR+tV+t1hSGBsfmC+OzxeYiQ3kpv&#10;STYaGnF8RVV+eg9pTJ1TcjXn77UxZYTG/eVAzOxhufexx2ylYT9MhPa+PSOfHiffUIeLTol551DY&#10;vCSzEWdjPxm5BoTbY8LCpZ+MOkJNxXBMhdG0UnkP/ryXrMffaPs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F91ZfLCAQAAjgMAAA4AAAAAAAAAAQAgAAAAHgEAAGRycy9lMm9Eb2MueG1sUEsF&#10;BgAAAAAGAAYAWQEAAFIFAAAAAA==&#10;">
              <v:fill on="f" focussize="0,0"/>
              <v:stroke on="f"/>
              <v:imagedata o:title=""/>
              <o:lock v:ext="edit" aspectratio="f"/>
              <v:textbox inset="0mm,0mm,0mm,0mm" style="mso-fit-shape-to-text:t;">
                <w:txbxContent>
                  <w:p w14:paraId="16636FD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38</w:t>
                    </w:r>
                    <w:r>
                      <w:rPr>
                        <w:rFonts w:hint="eastAsia"/>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399CF">
    <w:pPr>
      <w:pStyle w:val="2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EB50E38">
                          <w:pPr>
                            <w:pStyle w:val="22"/>
                            <w:rPr>
                              <w:rFonts w:eastAsia="仿宋"/>
                            </w:rPr>
                          </w:pPr>
                          <w:r>
                            <w:rPr>
                              <w:rFonts w:hint="eastAsia"/>
                            </w:rPr>
                            <w:fldChar w:fldCharType="begin"/>
                          </w:r>
                          <w:r>
                            <w:rPr>
                              <w:rFonts w:hint="eastAsia"/>
                            </w:rPr>
                            <w:instrText xml:space="preserve"> PAGE  \* MERGEFORMAT </w:instrText>
                          </w:r>
                          <w:r>
                            <w:rPr>
                              <w:rFonts w:hint="eastAsia"/>
                            </w:rPr>
                            <w:fldChar w:fldCharType="separate"/>
                          </w:r>
                          <w:r>
                            <w:t>84</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Xf0g8IBAACN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TUauAeH2kLBw6SejjlBTMZxSYTRtVF6Dx/eS9fAXbf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Bl39IPCAQAAjQMAAA4AAAAAAAAAAQAgAAAAHgEAAGRycy9lMm9Eb2MueG1sUEsF&#10;BgAAAAAGAAYAWQEAAFIFAAAAAA==&#10;">
              <v:fill on="f" focussize="0,0"/>
              <v:stroke on="f"/>
              <v:imagedata o:title=""/>
              <o:lock v:ext="edit" aspectratio="f"/>
              <v:textbox inset="0mm,0mm,0mm,0mm" style="mso-fit-shape-to-text:t;">
                <w:txbxContent>
                  <w:p w14:paraId="4EB50E38">
                    <w:pPr>
                      <w:pStyle w:val="22"/>
                      <w:rPr>
                        <w:rFonts w:eastAsia="仿宋"/>
                      </w:rPr>
                    </w:pPr>
                    <w:r>
                      <w:rPr>
                        <w:rFonts w:hint="eastAsia"/>
                      </w:rPr>
                      <w:fldChar w:fldCharType="begin"/>
                    </w:r>
                    <w:r>
                      <w:rPr>
                        <w:rFonts w:hint="eastAsia"/>
                      </w:rPr>
                      <w:instrText xml:space="preserve"> PAGE  \* MERGEFORMAT </w:instrText>
                    </w:r>
                    <w:r>
                      <w:rPr>
                        <w:rFonts w:hint="eastAsia"/>
                      </w:rPr>
                      <w:fldChar w:fldCharType="separate"/>
                    </w:r>
                    <w:r>
                      <w:t>84</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7A1A6">
    <w:pPr>
      <w:pStyle w:val="2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426A7CE">
                          <w:pPr>
                            <w:pStyle w:val="22"/>
                          </w:pPr>
                          <w:r>
                            <w:t xml:space="preserve">第 </w:t>
                          </w:r>
                          <w:r>
                            <w:fldChar w:fldCharType="begin"/>
                          </w:r>
                          <w:r>
                            <w:instrText xml:space="preserve"> PAGE  \* MERGEFORMAT </w:instrText>
                          </w:r>
                          <w:r>
                            <w:fldChar w:fldCharType="separate"/>
                          </w:r>
                          <w:r>
                            <w:t>145</w:t>
                          </w:r>
                          <w:r>
                            <w:fldChar w:fldCharType="end"/>
                          </w:r>
                          <w:r>
                            <w:t xml:space="preserve"> 页 共 </w:t>
                          </w:r>
                          <w:r>
                            <w:fldChar w:fldCharType="begin"/>
                          </w:r>
                          <w:r>
                            <w:instrText xml:space="preserve"> NUMPAGES  \* MERGEFORMAT </w:instrText>
                          </w:r>
                          <w:r>
                            <w:fldChar w:fldCharType="separate"/>
                          </w:r>
                          <w:r>
                            <w:t>146</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v:fill on="f" focussize="0,0"/>
              <v:stroke on="f"/>
              <v:imagedata o:title=""/>
              <o:lock v:ext="edit" aspectratio="f"/>
              <v:textbox inset="0mm,0mm,0mm,0mm" style="mso-fit-shape-to-text:t;">
                <w:txbxContent>
                  <w:p w14:paraId="6426A7CE">
                    <w:pPr>
                      <w:pStyle w:val="22"/>
                    </w:pPr>
                    <w:r>
                      <w:t xml:space="preserve">第 </w:t>
                    </w:r>
                    <w:r>
                      <w:fldChar w:fldCharType="begin"/>
                    </w:r>
                    <w:r>
                      <w:instrText xml:space="preserve"> PAGE  \* MERGEFORMAT </w:instrText>
                    </w:r>
                    <w:r>
                      <w:fldChar w:fldCharType="separate"/>
                    </w:r>
                    <w:r>
                      <w:t>145</w:t>
                    </w:r>
                    <w:r>
                      <w:fldChar w:fldCharType="end"/>
                    </w:r>
                    <w:r>
                      <w:t xml:space="preserve"> 页 共 </w:t>
                    </w:r>
                    <w:r>
                      <w:fldChar w:fldCharType="begin"/>
                    </w:r>
                    <w:r>
                      <w:instrText xml:space="preserve"> NUMPAGES  \* MERGEFORMAT </w:instrText>
                    </w:r>
                    <w:r>
                      <w:fldChar w:fldCharType="separate"/>
                    </w:r>
                    <w:r>
                      <w:t>146</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CD0DA">
    <w:pPr>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130C2EE">
                          <w:pPr>
                            <w:pStyle w:val="22"/>
                          </w:pPr>
                          <w:r>
                            <w:t xml:space="preserve">第 </w:t>
                          </w:r>
                          <w:r>
                            <w:fldChar w:fldCharType="begin"/>
                          </w:r>
                          <w:r>
                            <w:instrText xml:space="preserve"> PAGE  \* MERGEFORMAT </w:instrText>
                          </w:r>
                          <w:r>
                            <w:fldChar w:fldCharType="separate"/>
                          </w:r>
                          <w:r>
                            <w:t>85</w:t>
                          </w:r>
                          <w:r>
                            <w:fldChar w:fldCharType="end"/>
                          </w:r>
                          <w:r>
                            <w:t xml:space="preserve"> 页 共 </w:t>
                          </w:r>
                          <w:r>
                            <w:fldChar w:fldCharType="begin"/>
                          </w:r>
                          <w:r>
                            <w:instrText xml:space="preserve"> NUMPAGES  \* MERGEFORMAT </w:instrText>
                          </w:r>
                          <w:r>
                            <w:fldChar w:fldCharType="separate"/>
                          </w:r>
                          <w:r>
                            <w:t>146</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JFlysIBAACN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NiRZcrCAQAAjQMAAA4AAAAAAAAAAQAgAAAAHgEAAGRycy9lMm9Eb2MueG1sUEsF&#10;BgAAAAAGAAYAWQEAAFIFAAAAAA==&#10;">
              <v:fill on="f" focussize="0,0"/>
              <v:stroke on="f"/>
              <v:imagedata o:title=""/>
              <o:lock v:ext="edit" aspectratio="f"/>
              <v:textbox inset="0mm,0mm,0mm,0mm" style="mso-fit-shape-to-text:t;">
                <w:txbxContent>
                  <w:p w14:paraId="0130C2EE">
                    <w:pPr>
                      <w:pStyle w:val="22"/>
                    </w:pPr>
                    <w:r>
                      <w:t xml:space="preserve">第 </w:t>
                    </w:r>
                    <w:r>
                      <w:fldChar w:fldCharType="begin"/>
                    </w:r>
                    <w:r>
                      <w:instrText xml:space="preserve"> PAGE  \* MERGEFORMAT </w:instrText>
                    </w:r>
                    <w:r>
                      <w:fldChar w:fldCharType="separate"/>
                    </w:r>
                    <w:r>
                      <w:t>85</w:t>
                    </w:r>
                    <w:r>
                      <w:fldChar w:fldCharType="end"/>
                    </w:r>
                    <w:r>
                      <w:t xml:space="preserve"> 页 共 </w:t>
                    </w:r>
                    <w:r>
                      <w:fldChar w:fldCharType="begin"/>
                    </w:r>
                    <w:r>
                      <w:instrText xml:space="preserve"> NUMPAGES  \* MERGEFORMAT </w:instrText>
                    </w:r>
                    <w:r>
                      <w:fldChar w:fldCharType="separate"/>
                    </w:r>
                    <w:r>
                      <w:t>146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8CC8A">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5B2CC">
    <w:pPr>
      <w:ind w:right="-239" w:rightChars="-114"/>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77B2F8"/>
    <w:multiLevelType w:val="singleLevel"/>
    <w:tmpl w:val="2577B2F8"/>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105"/>
  <w:drawingGridVerticalSpacing w:val="16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3ZGU4Mjc5ZGM5YjNkNTFmMmQ5ZjIyNWI0MmUzMmIifQ=="/>
  </w:docVars>
  <w:rsids>
    <w:rsidRoot w:val="00172A27"/>
    <w:rsid w:val="00004E30"/>
    <w:rsid w:val="00011781"/>
    <w:rsid w:val="00016728"/>
    <w:rsid w:val="00020313"/>
    <w:rsid w:val="0002475E"/>
    <w:rsid w:val="00026DD6"/>
    <w:rsid w:val="00032EA9"/>
    <w:rsid w:val="00033AFE"/>
    <w:rsid w:val="0004017D"/>
    <w:rsid w:val="000469AC"/>
    <w:rsid w:val="00050829"/>
    <w:rsid w:val="00050ABE"/>
    <w:rsid w:val="0005107E"/>
    <w:rsid w:val="00051AE9"/>
    <w:rsid w:val="00052D54"/>
    <w:rsid w:val="00055276"/>
    <w:rsid w:val="00056A3E"/>
    <w:rsid w:val="000627BA"/>
    <w:rsid w:val="000630BA"/>
    <w:rsid w:val="00067448"/>
    <w:rsid w:val="00084AE9"/>
    <w:rsid w:val="00090CB1"/>
    <w:rsid w:val="0009119A"/>
    <w:rsid w:val="0009147B"/>
    <w:rsid w:val="00093A3C"/>
    <w:rsid w:val="00093E5E"/>
    <w:rsid w:val="00093FC0"/>
    <w:rsid w:val="000A25F6"/>
    <w:rsid w:val="000A6654"/>
    <w:rsid w:val="000A6B23"/>
    <w:rsid w:val="000B351A"/>
    <w:rsid w:val="000B7F54"/>
    <w:rsid w:val="000C04B5"/>
    <w:rsid w:val="000C3532"/>
    <w:rsid w:val="000C3584"/>
    <w:rsid w:val="000C419B"/>
    <w:rsid w:val="000C5D3B"/>
    <w:rsid w:val="000C6B74"/>
    <w:rsid w:val="000C72E6"/>
    <w:rsid w:val="000D04CE"/>
    <w:rsid w:val="000D0569"/>
    <w:rsid w:val="000D0B07"/>
    <w:rsid w:val="000D156D"/>
    <w:rsid w:val="000D1CE2"/>
    <w:rsid w:val="000D572A"/>
    <w:rsid w:val="000D5770"/>
    <w:rsid w:val="000D598C"/>
    <w:rsid w:val="000D706D"/>
    <w:rsid w:val="000E2501"/>
    <w:rsid w:val="000E39FF"/>
    <w:rsid w:val="000E4805"/>
    <w:rsid w:val="000F16ED"/>
    <w:rsid w:val="000F29C7"/>
    <w:rsid w:val="000F6B02"/>
    <w:rsid w:val="000F6C40"/>
    <w:rsid w:val="0010468B"/>
    <w:rsid w:val="00110D79"/>
    <w:rsid w:val="001117DC"/>
    <w:rsid w:val="0011427F"/>
    <w:rsid w:val="001157DE"/>
    <w:rsid w:val="0011642D"/>
    <w:rsid w:val="00122604"/>
    <w:rsid w:val="00123244"/>
    <w:rsid w:val="00130B3B"/>
    <w:rsid w:val="00131232"/>
    <w:rsid w:val="001331FD"/>
    <w:rsid w:val="001337FB"/>
    <w:rsid w:val="00136206"/>
    <w:rsid w:val="001400A7"/>
    <w:rsid w:val="001416F0"/>
    <w:rsid w:val="00141E5B"/>
    <w:rsid w:val="00142D41"/>
    <w:rsid w:val="00143B5A"/>
    <w:rsid w:val="00154B46"/>
    <w:rsid w:val="00154B92"/>
    <w:rsid w:val="00155818"/>
    <w:rsid w:val="00155CF1"/>
    <w:rsid w:val="00157515"/>
    <w:rsid w:val="00160B3A"/>
    <w:rsid w:val="001620CF"/>
    <w:rsid w:val="00170350"/>
    <w:rsid w:val="00170EC1"/>
    <w:rsid w:val="00171011"/>
    <w:rsid w:val="00172A27"/>
    <w:rsid w:val="00172FC8"/>
    <w:rsid w:val="0017458B"/>
    <w:rsid w:val="00175AC9"/>
    <w:rsid w:val="00175FFB"/>
    <w:rsid w:val="001763E8"/>
    <w:rsid w:val="001765B2"/>
    <w:rsid w:val="00181E55"/>
    <w:rsid w:val="001917A6"/>
    <w:rsid w:val="0019297B"/>
    <w:rsid w:val="00194AF8"/>
    <w:rsid w:val="0019575F"/>
    <w:rsid w:val="001A0EFE"/>
    <w:rsid w:val="001A2A9D"/>
    <w:rsid w:val="001A35DE"/>
    <w:rsid w:val="001A51BE"/>
    <w:rsid w:val="001B0B34"/>
    <w:rsid w:val="001C047F"/>
    <w:rsid w:val="001C0CCE"/>
    <w:rsid w:val="001C1521"/>
    <w:rsid w:val="001C1EA3"/>
    <w:rsid w:val="001C40F9"/>
    <w:rsid w:val="001C6AAC"/>
    <w:rsid w:val="001D16FB"/>
    <w:rsid w:val="001D2643"/>
    <w:rsid w:val="001D266A"/>
    <w:rsid w:val="001D2E77"/>
    <w:rsid w:val="001D31B2"/>
    <w:rsid w:val="001D356C"/>
    <w:rsid w:val="001D3800"/>
    <w:rsid w:val="001D3B25"/>
    <w:rsid w:val="001D6C85"/>
    <w:rsid w:val="001E0397"/>
    <w:rsid w:val="001E2BFB"/>
    <w:rsid w:val="001E3A04"/>
    <w:rsid w:val="001E44BF"/>
    <w:rsid w:val="001F07B1"/>
    <w:rsid w:val="001F1EB1"/>
    <w:rsid w:val="001F2DE0"/>
    <w:rsid w:val="001F57BD"/>
    <w:rsid w:val="001F5BBB"/>
    <w:rsid w:val="002044CB"/>
    <w:rsid w:val="00206472"/>
    <w:rsid w:val="00206AED"/>
    <w:rsid w:val="0021264E"/>
    <w:rsid w:val="00214719"/>
    <w:rsid w:val="0021787D"/>
    <w:rsid w:val="00220911"/>
    <w:rsid w:val="0022336A"/>
    <w:rsid w:val="0022570F"/>
    <w:rsid w:val="002277A7"/>
    <w:rsid w:val="00227F52"/>
    <w:rsid w:val="00231AD5"/>
    <w:rsid w:val="00231DD9"/>
    <w:rsid w:val="00235B2B"/>
    <w:rsid w:val="00242561"/>
    <w:rsid w:val="00243645"/>
    <w:rsid w:val="002437E4"/>
    <w:rsid w:val="00247E2F"/>
    <w:rsid w:val="00255021"/>
    <w:rsid w:val="002554B3"/>
    <w:rsid w:val="00257B7B"/>
    <w:rsid w:val="0026052D"/>
    <w:rsid w:val="002645FD"/>
    <w:rsid w:val="00270FB7"/>
    <w:rsid w:val="0027107C"/>
    <w:rsid w:val="00271883"/>
    <w:rsid w:val="00272CA8"/>
    <w:rsid w:val="002752A3"/>
    <w:rsid w:val="00280578"/>
    <w:rsid w:val="00281AE5"/>
    <w:rsid w:val="0028756C"/>
    <w:rsid w:val="00287844"/>
    <w:rsid w:val="002A497B"/>
    <w:rsid w:val="002A4A5F"/>
    <w:rsid w:val="002A5B7A"/>
    <w:rsid w:val="002B4786"/>
    <w:rsid w:val="002B6D5B"/>
    <w:rsid w:val="002B741E"/>
    <w:rsid w:val="002B74C3"/>
    <w:rsid w:val="002B7D73"/>
    <w:rsid w:val="002C0775"/>
    <w:rsid w:val="002D23CC"/>
    <w:rsid w:val="002D3398"/>
    <w:rsid w:val="002D7EEA"/>
    <w:rsid w:val="002E0532"/>
    <w:rsid w:val="002E0A27"/>
    <w:rsid w:val="002E153F"/>
    <w:rsid w:val="002E2625"/>
    <w:rsid w:val="002E32C6"/>
    <w:rsid w:val="002F59A8"/>
    <w:rsid w:val="002F61E6"/>
    <w:rsid w:val="00302D15"/>
    <w:rsid w:val="00303BFC"/>
    <w:rsid w:val="00307376"/>
    <w:rsid w:val="0031271A"/>
    <w:rsid w:val="00313D18"/>
    <w:rsid w:val="00314B37"/>
    <w:rsid w:val="00315502"/>
    <w:rsid w:val="00323F0D"/>
    <w:rsid w:val="00324FE8"/>
    <w:rsid w:val="00326B68"/>
    <w:rsid w:val="00331C30"/>
    <w:rsid w:val="003321B7"/>
    <w:rsid w:val="003325EA"/>
    <w:rsid w:val="0033373E"/>
    <w:rsid w:val="0033429C"/>
    <w:rsid w:val="00343092"/>
    <w:rsid w:val="00350343"/>
    <w:rsid w:val="003557EB"/>
    <w:rsid w:val="00356952"/>
    <w:rsid w:val="00356B8F"/>
    <w:rsid w:val="00360052"/>
    <w:rsid w:val="00360ABA"/>
    <w:rsid w:val="003738A5"/>
    <w:rsid w:val="00381EB0"/>
    <w:rsid w:val="00387A16"/>
    <w:rsid w:val="00387D09"/>
    <w:rsid w:val="0039252B"/>
    <w:rsid w:val="00392FE1"/>
    <w:rsid w:val="0039557B"/>
    <w:rsid w:val="003A0052"/>
    <w:rsid w:val="003A3E7E"/>
    <w:rsid w:val="003A6CC2"/>
    <w:rsid w:val="003B7AC9"/>
    <w:rsid w:val="003C4E87"/>
    <w:rsid w:val="003D1C4A"/>
    <w:rsid w:val="003D2052"/>
    <w:rsid w:val="003D3400"/>
    <w:rsid w:val="003D471C"/>
    <w:rsid w:val="003D78D6"/>
    <w:rsid w:val="003E24AF"/>
    <w:rsid w:val="003E3418"/>
    <w:rsid w:val="003E35A0"/>
    <w:rsid w:val="003F2258"/>
    <w:rsid w:val="003F7811"/>
    <w:rsid w:val="00400C51"/>
    <w:rsid w:val="00402995"/>
    <w:rsid w:val="00403267"/>
    <w:rsid w:val="004038A9"/>
    <w:rsid w:val="00403C7B"/>
    <w:rsid w:val="00404997"/>
    <w:rsid w:val="004054E2"/>
    <w:rsid w:val="00411627"/>
    <w:rsid w:val="00412CFF"/>
    <w:rsid w:val="00423B51"/>
    <w:rsid w:val="004265F1"/>
    <w:rsid w:val="00427C6E"/>
    <w:rsid w:val="00430592"/>
    <w:rsid w:val="00430B33"/>
    <w:rsid w:val="00430D12"/>
    <w:rsid w:val="00437D1B"/>
    <w:rsid w:val="004639BE"/>
    <w:rsid w:val="004649E8"/>
    <w:rsid w:val="00464F66"/>
    <w:rsid w:val="0046512B"/>
    <w:rsid w:val="00466253"/>
    <w:rsid w:val="004678A0"/>
    <w:rsid w:val="00470214"/>
    <w:rsid w:val="004709CA"/>
    <w:rsid w:val="00486C9D"/>
    <w:rsid w:val="004912D7"/>
    <w:rsid w:val="00492D77"/>
    <w:rsid w:val="00492F62"/>
    <w:rsid w:val="00496797"/>
    <w:rsid w:val="004975FD"/>
    <w:rsid w:val="004A165A"/>
    <w:rsid w:val="004A41C9"/>
    <w:rsid w:val="004A6D98"/>
    <w:rsid w:val="004A750E"/>
    <w:rsid w:val="004B170B"/>
    <w:rsid w:val="004B1EE1"/>
    <w:rsid w:val="004B5075"/>
    <w:rsid w:val="004B5576"/>
    <w:rsid w:val="004B6FE3"/>
    <w:rsid w:val="004B7A07"/>
    <w:rsid w:val="004C23C6"/>
    <w:rsid w:val="004C2D2E"/>
    <w:rsid w:val="004C3C0B"/>
    <w:rsid w:val="004C6BE8"/>
    <w:rsid w:val="004D0415"/>
    <w:rsid w:val="004D0F3C"/>
    <w:rsid w:val="004D147A"/>
    <w:rsid w:val="004D3FA9"/>
    <w:rsid w:val="004D56D8"/>
    <w:rsid w:val="004D6495"/>
    <w:rsid w:val="004D7653"/>
    <w:rsid w:val="004D7E8A"/>
    <w:rsid w:val="004E2E89"/>
    <w:rsid w:val="004E44AA"/>
    <w:rsid w:val="004E4B72"/>
    <w:rsid w:val="004E574A"/>
    <w:rsid w:val="004E59CD"/>
    <w:rsid w:val="004F06A3"/>
    <w:rsid w:val="004F1377"/>
    <w:rsid w:val="004F171E"/>
    <w:rsid w:val="004F1F95"/>
    <w:rsid w:val="004F3309"/>
    <w:rsid w:val="004F74EF"/>
    <w:rsid w:val="004F766D"/>
    <w:rsid w:val="004F7A92"/>
    <w:rsid w:val="00507003"/>
    <w:rsid w:val="00507E2A"/>
    <w:rsid w:val="00507EF5"/>
    <w:rsid w:val="00517E37"/>
    <w:rsid w:val="00520AEE"/>
    <w:rsid w:val="00520C85"/>
    <w:rsid w:val="00522EA7"/>
    <w:rsid w:val="0052605F"/>
    <w:rsid w:val="005321D3"/>
    <w:rsid w:val="00532D34"/>
    <w:rsid w:val="00532FB4"/>
    <w:rsid w:val="00535AF0"/>
    <w:rsid w:val="00543C4F"/>
    <w:rsid w:val="00545354"/>
    <w:rsid w:val="00546D10"/>
    <w:rsid w:val="00546F80"/>
    <w:rsid w:val="0054717A"/>
    <w:rsid w:val="00551498"/>
    <w:rsid w:val="00551D50"/>
    <w:rsid w:val="00560E84"/>
    <w:rsid w:val="00562A62"/>
    <w:rsid w:val="005632B8"/>
    <w:rsid w:val="0056403F"/>
    <w:rsid w:val="00566911"/>
    <w:rsid w:val="0057003B"/>
    <w:rsid w:val="00590024"/>
    <w:rsid w:val="005900DD"/>
    <w:rsid w:val="005905D7"/>
    <w:rsid w:val="0059091A"/>
    <w:rsid w:val="005919A1"/>
    <w:rsid w:val="00594578"/>
    <w:rsid w:val="0059486D"/>
    <w:rsid w:val="00595454"/>
    <w:rsid w:val="0059704B"/>
    <w:rsid w:val="00597636"/>
    <w:rsid w:val="005A0996"/>
    <w:rsid w:val="005A2294"/>
    <w:rsid w:val="005A4452"/>
    <w:rsid w:val="005A5125"/>
    <w:rsid w:val="005A5D8E"/>
    <w:rsid w:val="005B0DF1"/>
    <w:rsid w:val="005B59A3"/>
    <w:rsid w:val="005B795B"/>
    <w:rsid w:val="005C4367"/>
    <w:rsid w:val="005C5B12"/>
    <w:rsid w:val="005D556F"/>
    <w:rsid w:val="005D68BA"/>
    <w:rsid w:val="005D6A7E"/>
    <w:rsid w:val="005E2F48"/>
    <w:rsid w:val="005E42A1"/>
    <w:rsid w:val="005E492E"/>
    <w:rsid w:val="005F0EC9"/>
    <w:rsid w:val="005F2415"/>
    <w:rsid w:val="005F5B7D"/>
    <w:rsid w:val="00605EF0"/>
    <w:rsid w:val="006116C8"/>
    <w:rsid w:val="006119B6"/>
    <w:rsid w:val="0061491F"/>
    <w:rsid w:val="00615A69"/>
    <w:rsid w:val="00615F67"/>
    <w:rsid w:val="00616345"/>
    <w:rsid w:val="006173A0"/>
    <w:rsid w:val="00617BA0"/>
    <w:rsid w:val="0062496B"/>
    <w:rsid w:val="006259A3"/>
    <w:rsid w:val="0062786C"/>
    <w:rsid w:val="00627C48"/>
    <w:rsid w:val="0063086C"/>
    <w:rsid w:val="00630BAC"/>
    <w:rsid w:val="00636680"/>
    <w:rsid w:val="0064026C"/>
    <w:rsid w:val="00644AF1"/>
    <w:rsid w:val="0064710E"/>
    <w:rsid w:val="00653D25"/>
    <w:rsid w:val="006549B8"/>
    <w:rsid w:val="006602F9"/>
    <w:rsid w:val="0066103C"/>
    <w:rsid w:val="00662913"/>
    <w:rsid w:val="006630E4"/>
    <w:rsid w:val="00663221"/>
    <w:rsid w:val="0067797E"/>
    <w:rsid w:val="00681700"/>
    <w:rsid w:val="00683B0E"/>
    <w:rsid w:val="00684FF2"/>
    <w:rsid w:val="00687033"/>
    <w:rsid w:val="006905D1"/>
    <w:rsid w:val="00693C78"/>
    <w:rsid w:val="00695252"/>
    <w:rsid w:val="00696076"/>
    <w:rsid w:val="0069722C"/>
    <w:rsid w:val="006A3B73"/>
    <w:rsid w:val="006A49D4"/>
    <w:rsid w:val="006B0775"/>
    <w:rsid w:val="006B0D35"/>
    <w:rsid w:val="006B12BC"/>
    <w:rsid w:val="006B47F1"/>
    <w:rsid w:val="006B6496"/>
    <w:rsid w:val="006C22D1"/>
    <w:rsid w:val="006D0373"/>
    <w:rsid w:val="006D3B14"/>
    <w:rsid w:val="006D6F0E"/>
    <w:rsid w:val="006E169A"/>
    <w:rsid w:val="006E2665"/>
    <w:rsid w:val="006E46CB"/>
    <w:rsid w:val="006F23D8"/>
    <w:rsid w:val="006F7DCC"/>
    <w:rsid w:val="00700CC0"/>
    <w:rsid w:val="007013CD"/>
    <w:rsid w:val="00702DD0"/>
    <w:rsid w:val="00704B9A"/>
    <w:rsid w:val="00706886"/>
    <w:rsid w:val="0070735D"/>
    <w:rsid w:val="007115D3"/>
    <w:rsid w:val="007147E3"/>
    <w:rsid w:val="00714D40"/>
    <w:rsid w:val="00716AAF"/>
    <w:rsid w:val="0072283E"/>
    <w:rsid w:val="00722B28"/>
    <w:rsid w:val="007305F4"/>
    <w:rsid w:val="0073457A"/>
    <w:rsid w:val="00735199"/>
    <w:rsid w:val="00735AD0"/>
    <w:rsid w:val="00736F40"/>
    <w:rsid w:val="00740C18"/>
    <w:rsid w:val="00741770"/>
    <w:rsid w:val="00746658"/>
    <w:rsid w:val="0075087C"/>
    <w:rsid w:val="007522C2"/>
    <w:rsid w:val="00753F34"/>
    <w:rsid w:val="0075534C"/>
    <w:rsid w:val="007564A6"/>
    <w:rsid w:val="00756A64"/>
    <w:rsid w:val="00762290"/>
    <w:rsid w:val="00763573"/>
    <w:rsid w:val="00765640"/>
    <w:rsid w:val="00766B67"/>
    <w:rsid w:val="00770B58"/>
    <w:rsid w:val="0077617D"/>
    <w:rsid w:val="0077694F"/>
    <w:rsid w:val="00780227"/>
    <w:rsid w:val="0078221B"/>
    <w:rsid w:val="00782469"/>
    <w:rsid w:val="007830A0"/>
    <w:rsid w:val="00784742"/>
    <w:rsid w:val="0078608F"/>
    <w:rsid w:val="00786581"/>
    <w:rsid w:val="00786FD1"/>
    <w:rsid w:val="00787394"/>
    <w:rsid w:val="0079067D"/>
    <w:rsid w:val="0079300F"/>
    <w:rsid w:val="0079352C"/>
    <w:rsid w:val="00794731"/>
    <w:rsid w:val="0079555B"/>
    <w:rsid w:val="00796DC8"/>
    <w:rsid w:val="007A2170"/>
    <w:rsid w:val="007A3176"/>
    <w:rsid w:val="007B3FDB"/>
    <w:rsid w:val="007B7651"/>
    <w:rsid w:val="007B78BE"/>
    <w:rsid w:val="007B7C7C"/>
    <w:rsid w:val="007C3F88"/>
    <w:rsid w:val="007C4228"/>
    <w:rsid w:val="007D0307"/>
    <w:rsid w:val="007D5067"/>
    <w:rsid w:val="007D69F9"/>
    <w:rsid w:val="007E1394"/>
    <w:rsid w:val="007E1E6F"/>
    <w:rsid w:val="007E5981"/>
    <w:rsid w:val="007E6D61"/>
    <w:rsid w:val="007F1D54"/>
    <w:rsid w:val="007F3000"/>
    <w:rsid w:val="007F5652"/>
    <w:rsid w:val="008004F7"/>
    <w:rsid w:val="008028EC"/>
    <w:rsid w:val="00803E21"/>
    <w:rsid w:val="008060F2"/>
    <w:rsid w:val="008063C5"/>
    <w:rsid w:val="00806F22"/>
    <w:rsid w:val="0080703F"/>
    <w:rsid w:val="0081150E"/>
    <w:rsid w:val="00813CD2"/>
    <w:rsid w:val="00814925"/>
    <w:rsid w:val="00815D9F"/>
    <w:rsid w:val="008213F5"/>
    <w:rsid w:val="0082716F"/>
    <w:rsid w:val="008305F0"/>
    <w:rsid w:val="00831807"/>
    <w:rsid w:val="00831B52"/>
    <w:rsid w:val="0083494A"/>
    <w:rsid w:val="00840A44"/>
    <w:rsid w:val="008429F5"/>
    <w:rsid w:val="00843E28"/>
    <w:rsid w:val="0084438E"/>
    <w:rsid w:val="00847F28"/>
    <w:rsid w:val="008515FE"/>
    <w:rsid w:val="0085470A"/>
    <w:rsid w:val="00856607"/>
    <w:rsid w:val="0086175C"/>
    <w:rsid w:val="00862668"/>
    <w:rsid w:val="00863074"/>
    <w:rsid w:val="008718DD"/>
    <w:rsid w:val="008779A2"/>
    <w:rsid w:val="008831D7"/>
    <w:rsid w:val="00884350"/>
    <w:rsid w:val="00884A6A"/>
    <w:rsid w:val="00885592"/>
    <w:rsid w:val="00885F9C"/>
    <w:rsid w:val="00887982"/>
    <w:rsid w:val="00892E15"/>
    <w:rsid w:val="008948FE"/>
    <w:rsid w:val="0089625D"/>
    <w:rsid w:val="008A39FF"/>
    <w:rsid w:val="008A78F5"/>
    <w:rsid w:val="008A7909"/>
    <w:rsid w:val="008B1327"/>
    <w:rsid w:val="008B3BCC"/>
    <w:rsid w:val="008B4192"/>
    <w:rsid w:val="008B6988"/>
    <w:rsid w:val="008C0765"/>
    <w:rsid w:val="008C3435"/>
    <w:rsid w:val="008C3DAC"/>
    <w:rsid w:val="008D0206"/>
    <w:rsid w:val="008D3E97"/>
    <w:rsid w:val="008D3F97"/>
    <w:rsid w:val="008D4341"/>
    <w:rsid w:val="008D5C11"/>
    <w:rsid w:val="008D7712"/>
    <w:rsid w:val="008E1810"/>
    <w:rsid w:val="008E30EB"/>
    <w:rsid w:val="008E3E29"/>
    <w:rsid w:val="008E5DC9"/>
    <w:rsid w:val="008E6007"/>
    <w:rsid w:val="008E615F"/>
    <w:rsid w:val="008E7C11"/>
    <w:rsid w:val="008F2924"/>
    <w:rsid w:val="008F3AE8"/>
    <w:rsid w:val="008F4C81"/>
    <w:rsid w:val="008F7D76"/>
    <w:rsid w:val="009006D4"/>
    <w:rsid w:val="00900897"/>
    <w:rsid w:val="009025D6"/>
    <w:rsid w:val="009061A8"/>
    <w:rsid w:val="00907B30"/>
    <w:rsid w:val="00911690"/>
    <w:rsid w:val="00912C5B"/>
    <w:rsid w:val="009174C7"/>
    <w:rsid w:val="009207F4"/>
    <w:rsid w:val="0092106D"/>
    <w:rsid w:val="00924A13"/>
    <w:rsid w:val="00935191"/>
    <w:rsid w:val="00943F40"/>
    <w:rsid w:val="00963BE8"/>
    <w:rsid w:val="009642A0"/>
    <w:rsid w:val="009642C7"/>
    <w:rsid w:val="009660B9"/>
    <w:rsid w:val="009673A8"/>
    <w:rsid w:val="0096795A"/>
    <w:rsid w:val="00967F51"/>
    <w:rsid w:val="00970A96"/>
    <w:rsid w:val="00973E47"/>
    <w:rsid w:val="009742D9"/>
    <w:rsid w:val="00974C92"/>
    <w:rsid w:val="00976F66"/>
    <w:rsid w:val="0098378E"/>
    <w:rsid w:val="00984059"/>
    <w:rsid w:val="00984248"/>
    <w:rsid w:val="00985033"/>
    <w:rsid w:val="00986E18"/>
    <w:rsid w:val="00992959"/>
    <w:rsid w:val="00993D83"/>
    <w:rsid w:val="0099584B"/>
    <w:rsid w:val="00997A63"/>
    <w:rsid w:val="009A1001"/>
    <w:rsid w:val="009A3E57"/>
    <w:rsid w:val="009A7BD9"/>
    <w:rsid w:val="009B017F"/>
    <w:rsid w:val="009B372E"/>
    <w:rsid w:val="009B56FA"/>
    <w:rsid w:val="009C0156"/>
    <w:rsid w:val="009C1BA8"/>
    <w:rsid w:val="009C22CC"/>
    <w:rsid w:val="009C32F7"/>
    <w:rsid w:val="009C3706"/>
    <w:rsid w:val="009C4F3B"/>
    <w:rsid w:val="009E0EF9"/>
    <w:rsid w:val="009E1DF0"/>
    <w:rsid w:val="009F13D6"/>
    <w:rsid w:val="009F4A43"/>
    <w:rsid w:val="00A04584"/>
    <w:rsid w:val="00A0723B"/>
    <w:rsid w:val="00A12B8A"/>
    <w:rsid w:val="00A12C79"/>
    <w:rsid w:val="00A13975"/>
    <w:rsid w:val="00A15B86"/>
    <w:rsid w:val="00A166FA"/>
    <w:rsid w:val="00A22C1D"/>
    <w:rsid w:val="00A234B4"/>
    <w:rsid w:val="00A310DB"/>
    <w:rsid w:val="00A32CF3"/>
    <w:rsid w:val="00A33474"/>
    <w:rsid w:val="00A345D8"/>
    <w:rsid w:val="00A4123D"/>
    <w:rsid w:val="00A42A1D"/>
    <w:rsid w:val="00A43594"/>
    <w:rsid w:val="00A47BA3"/>
    <w:rsid w:val="00A50377"/>
    <w:rsid w:val="00A564D6"/>
    <w:rsid w:val="00A6048D"/>
    <w:rsid w:val="00A63203"/>
    <w:rsid w:val="00A65778"/>
    <w:rsid w:val="00A66FBD"/>
    <w:rsid w:val="00A71923"/>
    <w:rsid w:val="00A773E2"/>
    <w:rsid w:val="00A82769"/>
    <w:rsid w:val="00A85010"/>
    <w:rsid w:val="00A85F0A"/>
    <w:rsid w:val="00A875F0"/>
    <w:rsid w:val="00A87945"/>
    <w:rsid w:val="00A90E67"/>
    <w:rsid w:val="00A92A85"/>
    <w:rsid w:val="00A94C2B"/>
    <w:rsid w:val="00A95A34"/>
    <w:rsid w:val="00AA0996"/>
    <w:rsid w:val="00AA1932"/>
    <w:rsid w:val="00AA1C23"/>
    <w:rsid w:val="00AA241C"/>
    <w:rsid w:val="00AA79CC"/>
    <w:rsid w:val="00AB626D"/>
    <w:rsid w:val="00AC2403"/>
    <w:rsid w:val="00AC37CA"/>
    <w:rsid w:val="00AC600F"/>
    <w:rsid w:val="00AC6713"/>
    <w:rsid w:val="00AD00C2"/>
    <w:rsid w:val="00AD1477"/>
    <w:rsid w:val="00AD1AE5"/>
    <w:rsid w:val="00AD1FFC"/>
    <w:rsid w:val="00AD4BBF"/>
    <w:rsid w:val="00AE0CFC"/>
    <w:rsid w:val="00AE0F94"/>
    <w:rsid w:val="00AE0FFC"/>
    <w:rsid w:val="00AE1978"/>
    <w:rsid w:val="00AE3E6C"/>
    <w:rsid w:val="00AE49F9"/>
    <w:rsid w:val="00AF2A17"/>
    <w:rsid w:val="00AF389A"/>
    <w:rsid w:val="00B01174"/>
    <w:rsid w:val="00B01708"/>
    <w:rsid w:val="00B02066"/>
    <w:rsid w:val="00B03679"/>
    <w:rsid w:val="00B108C7"/>
    <w:rsid w:val="00B1242E"/>
    <w:rsid w:val="00B15B72"/>
    <w:rsid w:val="00B1609E"/>
    <w:rsid w:val="00B21F97"/>
    <w:rsid w:val="00B23E49"/>
    <w:rsid w:val="00B27E5E"/>
    <w:rsid w:val="00B32F7B"/>
    <w:rsid w:val="00B3409E"/>
    <w:rsid w:val="00B34A73"/>
    <w:rsid w:val="00B355F2"/>
    <w:rsid w:val="00B361FA"/>
    <w:rsid w:val="00B41ECB"/>
    <w:rsid w:val="00B4289E"/>
    <w:rsid w:val="00B44B16"/>
    <w:rsid w:val="00B509CC"/>
    <w:rsid w:val="00B57172"/>
    <w:rsid w:val="00B708CE"/>
    <w:rsid w:val="00B71B0E"/>
    <w:rsid w:val="00B720B2"/>
    <w:rsid w:val="00B7724F"/>
    <w:rsid w:val="00B80173"/>
    <w:rsid w:val="00B80912"/>
    <w:rsid w:val="00B82042"/>
    <w:rsid w:val="00B85466"/>
    <w:rsid w:val="00B86A9D"/>
    <w:rsid w:val="00B86AFF"/>
    <w:rsid w:val="00B90314"/>
    <w:rsid w:val="00B943BB"/>
    <w:rsid w:val="00B9763B"/>
    <w:rsid w:val="00BA1E41"/>
    <w:rsid w:val="00BA61B5"/>
    <w:rsid w:val="00BB0539"/>
    <w:rsid w:val="00BB2F15"/>
    <w:rsid w:val="00BB3CF5"/>
    <w:rsid w:val="00BC04EE"/>
    <w:rsid w:val="00BC0A52"/>
    <w:rsid w:val="00BC36D8"/>
    <w:rsid w:val="00BC5C6B"/>
    <w:rsid w:val="00BC5F7A"/>
    <w:rsid w:val="00BD486F"/>
    <w:rsid w:val="00BE1030"/>
    <w:rsid w:val="00BE1D59"/>
    <w:rsid w:val="00BE1F09"/>
    <w:rsid w:val="00BE477B"/>
    <w:rsid w:val="00BE689F"/>
    <w:rsid w:val="00BE6C32"/>
    <w:rsid w:val="00BF0D61"/>
    <w:rsid w:val="00BF0E29"/>
    <w:rsid w:val="00BF22CF"/>
    <w:rsid w:val="00BF39DE"/>
    <w:rsid w:val="00BF47E5"/>
    <w:rsid w:val="00C01F70"/>
    <w:rsid w:val="00C020DD"/>
    <w:rsid w:val="00C029DA"/>
    <w:rsid w:val="00C02B4B"/>
    <w:rsid w:val="00C04BBD"/>
    <w:rsid w:val="00C05920"/>
    <w:rsid w:val="00C0608E"/>
    <w:rsid w:val="00C060DB"/>
    <w:rsid w:val="00C11C75"/>
    <w:rsid w:val="00C12168"/>
    <w:rsid w:val="00C15A76"/>
    <w:rsid w:val="00C16A43"/>
    <w:rsid w:val="00C22375"/>
    <w:rsid w:val="00C36E17"/>
    <w:rsid w:val="00C51D01"/>
    <w:rsid w:val="00C53252"/>
    <w:rsid w:val="00C56F3D"/>
    <w:rsid w:val="00C60B52"/>
    <w:rsid w:val="00C652DF"/>
    <w:rsid w:val="00C65616"/>
    <w:rsid w:val="00C74E86"/>
    <w:rsid w:val="00C756CC"/>
    <w:rsid w:val="00C75ED1"/>
    <w:rsid w:val="00C76544"/>
    <w:rsid w:val="00C76D7B"/>
    <w:rsid w:val="00C83AB7"/>
    <w:rsid w:val="00C84009"/>
    <w:rsid w:val="00C84318"/>
    <w:rsid w:val="00C84D21"/>
    <w:rsid w:val="00C932E6"/>
    <w:rsid w:val="00C9683C"/>
    <w:rsid w:val="00CA3BE9"/>
    <w:rsid w:val="00CA69DF"/>
    <w:rsid w:val="00CB0D49"/>
    <w:rsid w:val="00CB1818"/>
    <w:rsid w:val="00CB3EAA"/>
    <w:rsid w:val="00CB680F"/>
    <w:rsid w:val="00CC3C54"/>
    <w:rsid w:val="00CC50FB"/>
    <w:rsid w:val="00CC748B"/>
    <w:rsid w:val="00CD0859"/>
    <w:rsid w:val="00CD2C9A"/>
    <w:rsid w:val="00CD34A5"/>
    <w:rsid w:val="00CD7D26"/>
    <w:rsid w:val="00CE0006"/>
    <w:rsid w:val="00CE0726"/>
    <w:rsid w:val="00CE3865"/>
    <w:rsid w:val="00CE3C3E"/>
    <w:rsid w:val="00CE69DB"/>
    <w:rsid w:val="00CF5728"/>
    <w:rsid w:val="00CF6388"/>
    <w:rsid w:val="00D01F4D"/>
    <w:rsid w:val="00D03344"/>
    <w:rsid w:val="00D05F15"/>
    <w:rsid w:val="00D1025C"/>
    <w:rsid w:val="00D10F49"/>
    <w:rsid w:val="00D15FED"/>
    <w:rsid w:val="00D245DE"/>
    <w:rsid w:val="00D24EBF"/>
    <w:rsid w:val="00D33C33"/>
    <w:rsid w:val="00D40F94"/>
    <w:rsid w:val="00D42CC1"/>
    <w:rsid w:val="00D46F48"/>
    <w:rsid w:val="00D50CCE"/>
    <w:rsid w:val="00D51A49"/>
    <w:rsid w:val="00D55576"/>
    <w:rsid w:val="00D60AE1"/>
    <w:rsid w:val="00D6103E"/>
    <w:rsid w:val="00D61529"/>
    <w:rsid w:val="00D70FB6"/>
    <w:rsid w:val="00D73030"/>
    <w:rsid w:val="00D744CE"/>
    <w:rsid w:val="00D748EB"/>
    <w:rsid w:val="00D75F5D"/>
    <w:rsid w:val="00D76503"/>
    <w:rsid w:val="00D77F2E"/>
    <w:rsid w:val="00D81ABC"/>
    <w:rsid w:val="00D8266A"/>
    <w:rsid w:val="00D831F5"/>
    <w:rsid w:val="00D85CFC"/>
    <w:rsid w:val="00D87FC9"/>
    <w:rsid w:val="00D96B0A"/>
    <w:rsid w:val="00D978CF"/>
    <w:rsid w:val="00D97CC2"/>
    <w:rsid w:val="00DA0744"/>
    <w:rsid w:val="00DA2537"/>
    <w:rsid w:val="00DA2721"/>
    <w:rsid w:val="00DA79DF"/>
    <w:rsid w:val="00DB0AD1"/>
    <w:rsid w:val="00DB2FC1"/>
    <w:rsid w:val="00DB6728"/>
    <w:rsid w:val="00DC01D7"/>
    <w:rsid w:val="00DC0956"/>
    <w:rsid w:val="00DC5C89"/>
    <w:rsid w:val="00DC5CB6"/>
    <w:rsid w:val="00DC6C9E"/>
    <w:rsid w:val="00DC6CBA"/>
    <w:rsid w:val="00DD257D"/>
    <w:rsid w:val="00DD3638"/>
    <w:rsid w:val="00DD5258"/>
    <w:rsid w:val="00DE32A2"/>
    <w:rsid w:val="00DE7418"/>
    <w:rsid w:val="00DE796C"/>
    <w:rsid w:val="00DF0A97"/>
    <w:rsid w:val="00DF2AE7"/>
    <w:rsid w:val="00DF4446"/>
    <w:rsid w:val="00DF5B41"/>
    <w:rsid w:val="00DF7885"/>
    <w:rsid w:val="00E0055E"/>
    <w:rsid w:val="00E03A73"/>
    <w:rsid w:val="00E04E62"/>
    <w:rsid w:val="00E05DAE"/>
    <w:rsid w:val="00E111BE"/>
    <w:rsid w:val="00E16CAC"/>
    <w:rsid w:val="00E17210"/>
    <w:rsid w:val="00E17299"/>
    <w:rsid w:val="00E1783C"/>
    <w:rsid w:val="00E20383"/>
    <w:rsid w:val="00E3303A"/>
    <w:rsid w:val="00E361F5"/>
    <w:rsid w:val="00E37699"/>
    <w:rsid w:val="00E40928"/>
    <w:rsid w:val="00E40E60"/>
    <w:rsid w:val="00E51350"/>
    <w:rsid w:val="00E51D86"/>
    <w:rsid w:val="00E51ED2"/>
    <w:rsid w:val="00E53479"/>
    <w:rsid w:val="00E55907"/>
    <w:rsid w:val="00E560FC"/>
    <w:rsid w:val="00E64F2F"/>
    <w:rsid w:val="00E669E4"/>
    <w:rsid w:val="00E75CDE"/>
    <w:rsid w:val="00E769C9"/>
    <w:rsid w:val="00E810F5"/>
    <w:rsid w:val="00E82A94"/>
    <w:rsid w:val="00E914D5"/>
    <w:rsid w:val="00E92F99"/>
    <w:rsid w:val="00E96CF4"/>
    <w:rsid w:val="00E9768A"/>
    <w:rsid w:val="00EA2132"/>
    <w:rsid w:val="00EA47A2"/>
    <w:rsid w:val="00EA5325"/>
    <w:rsid w:val="00EA53D3"/>
    <w:rsid w:val="00EA78F5"/>
    <w:rsid w:val="00EA7A1D"/>
    <w:rsid w:val="00EA7D8F"/>
    <w:rsid w:val="00EB2A4C"/>
    <w:rsid w:val="00EB3172"/>
    <w:rsid w:val="00EB56F7"/>
    <w:rsid w:val="00EB58DE"/>
    <w:rsid w:val="00EC0307"/>
    <w:rsid w:val="00EC15F0"/>
    <w:rsid w:val="00EC42A9"/>
    <w:rsid w:val="00EC7D86"/>
    <w:rsid w:val="00ED055D"/>
    <w:rsid w:val="00ED16CF"/>
    <w:rsid w:val="00ED3C95"/>
    <w:rsid w:val="00ED6CC5"/>
    <w:rsid w:val="00ED7F97"/>
    <w:rsid w:val="00EE50BB"/>
    <w:rsid w:val="00EF142E"/>
    <w:rsid w:val="00EF1678"/>
    <w:rsid w:val="00F009F0"/>
    <w:rsid w:val="00F01A2C"/>
    <w:rsid w:val="00F027EF"/>
    <w:rsid w:val="00F04A7F"/>
    <w:rsid w:val="00F05431"/>
    <w:rsid w:val="00F10D38"/>
    <w:rsid w:val="00F22061"/>
    <w:rsid w:val="00F22A1C"/>
    <w:rsid w:val="00F25E7F"/>
    <w:rsid w:val="00F25F54"/>
    <w:rsid w:val="00F266BD"/>
    <w:rsid w:val="00F3026F"/>
    <w:rsid w:val="00F32057"/>
    <w:rsid w:val="00F34F46"/>
    <w:rsid w:val="00F43788"/>
    <w:rsid w:val="00F51178"/>
    <w:rsid w:val="00F517C8"/>
    <w:rsid w:val="00F51B4D"/>
    <w:rsid w:val="00F52500"/>
    <w:rsid w:val="00F5606A"/>
    <w:rsid w:val="00F57924"/>
    <w:rsid w:val="00F61E07"/>
    <w:rsid w:val="00F61E65"/>
    <w:rsid w:val="00F62398"/>
    <w:rsid w:val="00F63D9A"/>
    <w:rsid w:val="00F64420"/>
    <w:rsid w:val="00F65076"/>
    <w:rsid w:val="00F725DF"/>
    <w:rsid w:val="00F73A4F"/>
    <w:rsid w:val="00F745ED"/>
    <w:rsid w:val="00F74BCD"/>
    <w:rsid w:val="00F75DBF"/>
    <w:rsid w:val="00F80B54"/>
    <w:rsid w:val="00F82763"/>
    <w:rsid w:val="00F8351F"/>
    <w:rsid w:val="00F842A5"/>
    <w:rsid w:val="00F86A15"/>
    <w:rsid w:val="00F87954"/>
    <w:rsid w:val="00F9159B"/>
    <w:rsid w:val="00F91FE2"/>
    <w:rsid w:val="00F930D1"/>
    <w:rsid w:val="00F93512"/>
    <w:rsid w:val="00F93D8C"/>
    <w:rsid w:val="00F94736"/>
    <w:rsid w:val="00FA2978"/>
    <w:rsid w:val="00FA68C6"/>
    <w:rsid w:val="00FA7C8E"/>
    <w:rsid w:val="00FA7D07"/>
    <w:rsid w:val="00FB0174"/>
    <w:rsid w:val="00FB1292"/>
    <w:rsid w:val="00FB1EF8"/>
    <w:rsid w:val="00FB6004"/>
    <w:rsid w:val="00FC061E"/>
    <w:rsid w:val="00FC4FD9"/>
    <w:rsid w:val="00FC7909"/>
    <w:rsid w:val="00FD2583"/>
    <w:rsid w:val="00FD4667"/>
    <w:rsid w:val="00FE0054"/>
    <w:rsid w:val="00FE0586"/>
    <w:rsid w:val="00FE0B63"/>
    <w:rsid w:val="00FE4676"/>
    <w:rsid w:val="00FF0ADE"/>
    <w:rsid w:val="00FF0C78"/>
    <w:rsid w:val="00FF1D8B"/>
    <w:rsid w:val="00FF3860"/>
    <w:rsid w:val="00FF4240"/>
    <w:rsid w:val="00FF54F5"/>
    <w:rsid w:val="00FF582D"/>
    <w:rsid w:val="01137ECF"/>
    <w:rsid w:val="014F77FD"/>
    <w:rsid w:val="01BD7155"/>
    <w:rsid w:val="01C8709F"/>
    <w:rsid w:val="01CB6AEA"/>
    <w:rsid w:val="01DD18A6"/>
    <w:rsid w:val="01EB34DE"/>
    <w:rsid w:val="01FF0067"/>
    <w:rsid w:val="02B67D2C"/>
    <w:rsid w:val="02BD75DA"/>
    <w:rsid w:val="03030405"/>
    <w:rsid w:val="035D3297"/>
    <w:rsid w:val="036068E4"/>
    <w:rsid w:val="03D81672"/>
    <w:rsid w:val="043438CC"/>
    <w:rsid w:val="0449181A"/>
    <w:rsid w:val="044A1D23"/>
    <w:rsid w:val="045F6B9B"/>
    <w:rsid w:val="04743DAC"/>
    <w:rsid w:val="047C774D"/>
    <w:rsid w:val="047D65FE"/>
    <w:rsid w:val="048A5101"/>
    <w:rsid w:val="0491196B"/>
    <w:rsid w:val="04B17441"/>
    <w:rsid w:val="04DA472B"/>
    <w:rsid w:val="05592D53"/>
    <w:rsid w:val="0585676B"/>
    <w:rsid w:val="05EF7AF1"/>
    <w:rsid w:val="061834A6"/>
    <w:rsid w:val="062005AC"/>
    <w:rsid w:val="0620273A"/>
    <w:rsid w:val="064B0E32"/>
    <w:rsid w:val="067E64B8"/>
    <w:rsid w:val="06BA630B"/>
    <w:rsid w:val="06C07E9C"/>
    <w:rsid w:val="06E95E15"/>
    <w:rsid w:val="07283BBC"/>
    <w:rsid w:val="072D27F4"/>
    <w:rsid w:val="073D68E0"/>
    <w:rsid w:val="0749768F"/>
    <w:rsid w:val="07783EDF"/>
    <w:rsid w:val="078922BC"/>
    <w:rsid w:val="079E3662"/>
    <w:rsid w:val="07BE618B"/>
    <w:rsid w:val="081F724D"/>
    <w:rsid w:val="082C023D"/>
    <w:rsid w:val="083B1C9D"/>
    <w:rsid w:val="083C0673"/>
    <w:rsid w:val="0845254C"/>
    <w:rsid w:val="084B781B"/>
    <w:rsid w:val="084E094B"/>
    <w:rsid w:val="085E04B3"/>
    <w:rsid w:val="08756B3B"/>
    <w:rsid w:val="08910757"/>
    <w:rsid w:val="08FE575D"/>
    <w:rsid w:val="090C1EBC"/>
    <w:rsid w:val="092263E9"/>
    <w:rsid w:val="094A0B1D"/>
    <w:rsid w:val="09691011"/>
    <w:rsid w:val="097825B5"/>
    <w:rsid w:val="09784721"/>
    <w:rsid w:val="097C3834"/>
    <w:rsid w:val="097D43D3"/>
    <w:rsid w:val="097E3F67"/>
    <w:rsid w:val="098628E6"/>
    <w:rsid w:val="09A12942"/>
    <w:rsid w:val="09EA17B6"/>
    <w:rsid w:val="0A1022FA"/>
    <w:rsid w:val="0A1259C1"/>
    <w:rsid w:val="0A1503A2"/>
    <w:rsid w:val="0A332344"/>
    <w:rsid w:val="0A59403A"/>
    <w:rsid w:val="0A5F13F2"/>
    <w:rsid w:val="0A91317C"/>
    <w:rsid w:val="0AA6526E"/>
    <w:rsid w:val="0AC30814"/>
    <w:rsid w:val="0AD943B4"/>
    <w:rsid w:val="0AE957B4"/>
    <w:rsid w:val="0AFD05BF"/>
    <w:rsid w:val="0B00739E"/>
    <w:rsid w:val="0B0F72C5"/>
    <w:rsid w:val="0B233575"/>
    <w:rsid w:val="0B297F03"/>
    <w:rsid w:val="0B3011FA"/>
    <w:rsid w:val="0B453633"/>
    <w:rsid w:val="0B4B08B3"/>
    <w:rsid w:val="0B5965AB"/>
    <w:rsid w:val="0B6D05B8"/>
    <w:rsid w:val="0B6D6042"/>
    <w:rsid w:val="0B8B0B24"/>
    <w:rsid w:val="0B9A495D"/>
    <w:rsid w:val="0BE0558A"/>
    <w:rsid w:val="0C087501"/>
    <w:rsid w:val="0C3A4C9D"/>
    <w:rsid w:val="0C4A2238"/>
    <w:rsid w:val="0C6D6689"/>
    <w:rsid w:val="0C740EF7"/>
    <w:rsid w:val="0C8C24F7"/>
    <w:rsid w:val="0C8F3B55"/>
    <w:rsid w:val="0CAC4597"/>
    <w:rsid w:val="0D150B42"/>
    <w:rsid w:val="0D1A5D55"/>
    <w:rsid w:val="0D973D58"/>
    <w:rsid w:val="0D9F2BF4"/>
    <w:rsid w:val="0DB24751"/>
    <w:rsid w:val="0DB93D8E"/>
    <w:rsid w:val="0DE047BF"/>
    <w:rsid w:val="0E1B0C80"/>
    <w:rsid w:val="0E313CB2"/>
    <w:rsid w:val="0E9F79A5"/>
    <w:rsid w:val="0EA61216"/>
    <w:rsid w:val="0EAE5F16"/>
    <w:rsid w:val="0ED65CAC"/>
    <w:rsid w:val="0F063498"/>
    <w:rsid w:val="0F155444"/>
    <w:rsid w:val="0F20638A"/>
    <w:rsid w:val="0F29268F"/>
    <w:rsid w:val="0F39623B"/>
    <w:rsid w:val="0F3B2869"/>
    <w:rsid w:val="0F3E2235"/>
    <w:rsid w:val="0F4372C8"/>
    <w:rsid w:val="0F5D6378"/>
    <w:rsid w:val="0F7756E1"/>
    <w:rsid w:val="0FAD4F92"/>
    <w:rsid w:val="0FC74950"/>
    <w:rsid w:val="0FD93D3D"/>
    <w:rsid w:val="0FDB683D"/>
    <w:rsid w:val="0FEB191A"/>
    <w:rsid w:val="0FEC0DA5"/>
    <w:rsid w:val="11063445"/>
    <w:rsid w:val="11091D5E"/>
    <w:rsid w:val="11230F50"/>
    <w:rsid w:val="1130644C"/>
    <w:rsid w:val="113A5835"/>
    <w:rsid w:val="115E09AF"/>
    <w:rsid w:val="115F642C"/>
    <w:rsid w:val="11672002"/>
    <w:rsid w:val="117E2B7E"/>
    <w:rsid w:val="11A36112"/>
    <w:rsid w:val="11A63E39"/>
    <w:rsid w:val="11EE7BE1"/>
    <w:rsid w:val="12310D60"/>
    <w:rsid w:val="124978C7"/>
    <w:rsid w:val="125F420A"/>
    <w:rsid w:val="126B7053"/>
    <w:rsid w:val="12B506E7"/>
    <w:rsid w:val="12B7149B"/>
    <w:rsid w:val="12D75E24"/>
    <w:rsid w:val="12E52961"/>
    <w:rsid w:val="12E8751A"/>
    <w:rsid w:val="13174C93"/>
    <w:rsid w:val="13251F4C"/>
    <w:rsid w:val="132A4818"/>
    <w:rsid w:val="135F621C"/>
    <w:rsid w:val="13795301"/>
    <w:rsid w:val="141D7709"/>
    <w:rsid w:val="141E6CF9"/>
    <w:rsid w:val="147004D2"/>
    <w:rsid w:val="14764402"/>
    <w:rsid w:val="1476678A"/>
    <w:rsid w:val="14850D94"/>
    <w:rsid w:val="149046CF"/>
    <w:rsid w:val="14A3265F"/>
    <w:rsid w:val="14A5693F"/>
    <w:rsid w:val="14A9258C"/>
    <w:rsid w:val="14AC5F02"/>
    <w:rsid w:val="14BF5434"/>
    <w:rsid w:val="14D86A5D"/>
    <w:rsid w:val="14E36AD2"/>
    <w:rsid w:val="153A5A3B"/>
    <w:rsid w:val="153D55BD"/>
    <w:rsid w:val="15776D7E"/>
    <w:rsid w:val="157A0D68"/>
    <w:rsid w:val="15983282"/>
    <w:rsid w:val="15C54C8C"/>
    <w:rsid w:val="15EE3AB6"/>
    <w:rsid w:val="15EE407E"/>
    <w:rsid w:val="161C0D90"/>
    <w:rsid w:val="16630470"/>
    <w:rsid w:val="16647707"/>
    <w:rsid w:val="16A672C9"/>
    <w:rsid w:val="16AE3F18"/>
    <w:rsid w:val="16B37B07"/>
    <w:rsid w:val="16B81603"/>
    <w:rsid w:val="16CF1CC6"/>
    <w:rsid w:val="17072BAB"/>
    <w:rsid w:val="1711696E"/>
    <w:rsid w:val="172E7810"/>
    <w:rsid w:val="17574B97"/>
    <w:rsid w:val="17794346"/>
    <w:rsid w:val="17BC48FD"/>
    <w:rsid w:val="18075128"/>
    <w:rsid w:val="182E0082"/>
    <w:rsid w:val="18355BC4"/>
    <w:rsid w:val="18492666"/>
    <w:rsid w:val="185507A1"/>
    <w:rsid w:val="186D1005"/>
    <w:rsid w:val="187359FA"/>
    <w:rsid w:val="188E727B"/>
    <w:rsid w:val="18EA3115"/>
    <w:rsid w:val="190B6F36"/>
    <w:rsid w:val="19280732"/>
    <w:rsid w:val="193079D5"/>
    <w:rsid w:val="19483C4A"/>
    <w:rsid w:val="196462BA"/>
    <w:rsid w:val="1977632C"/>
    <w:rsid w:val="197C1FCE"/>
    <w:rsid w:val="19A20EDD"/>
    <w:rsid w:val="19A526C7"/>
    <w:rsid w:val="19DF611D"/>
    <w:rsid w:val="1A3C0C0D"/>
    <w:rsid w:val="1A585BC2"/>
    <w:rsid w:val="1A5E6A00"/>
    <w:rsid w:val="1A6E5932"/>
    <w:rsid w:val="1A8671EE"/>
    <w:rsid w:val="1A9262B2"/>
    <w:rsid w:val="1A9322D8"/>
    <w:rsid w:val="1AEC42A8"/>
    <w:rsid w:val="1AEE6276"/>
    <w:rsid w:val="1AF323D8"/>
    <w:rsid w:val="1AF62C69"/>
    <w:rsid w:val="1AFA77C5"/>
    <w:rsid w:val="1B4F4B8F"/>
    <w:rsid w:val="1B7C7285"/>
    <w:rsid w:val="1BBD091F"/>
    <w:rsid w:val="1BC20C24"/>
    <w:rsid w:val="1BFD27A2"/>
    <w:rsid w:val="1C011678"/>
    <w:rsid w:val="1C2A7E30"/>
    <w:rsid w:val="1C2D0D45"/>
    <w:rsid w:val="1C53323F"/>
    <w:rsid w:val="1C756A7F"/>
    <w:rsid w:val="1C815E5F"/>
    <w:rsid w:val="1C82117B"/>
    <w:rsid w:val="1CE87118"/>
    <w:rsid w:val="1D124316"/>
    <w:rsid w:val="1D921938"/>
    <w:rsid w:val="1DC615E1"/>
    <w:rsid w:val="1DEA714A"/>
    <w:rsid w:val="1E587E3F"/>
    <w:rsid w:val="1E6B3AF5"/>
    <w:rsid w:val="1E737320"/>
    <w:rsid w:val="1E747E6D"/>
    <w:rsid w:val="1E925EEC"/>
    <w:rsid w:val="1E9B5208"/>
    <w:rsid w:val="1EA00EAF"/>
    <w:rsid w:val="1EDF2D53"/>
    <w:rsid w:val="1EE25BAC"/>
    <w:rsid w:val="1F2E5389"/>
    <w:rsid w:val="1F315BD9"/>
    <w:rsid w:val="1F404FCB"/>
    <w:rsid w:val="1FD44489"/>
    <w:rsid w:val="201B73DE"/>
    <w:rsid w:val="203043BA"/>
    <w:rsid w:val="203D6437"/>
    <w:rsid w:val="20791685"/>
    <w:rsid w:val="209605CD"/>
    <w:rsid w:val="20B9471F"/>
    <w:rsid w:val="20C032A2"/>
    <w:rsid w:val="211D336B"/>
    <w:rsid w:val="21224CAB"/>
    <w:rsid w:val="214B7D38"/>
    <w:rsid w:val="21590E3E"/>
    <w:rsid w:val="217168C0"/>
    <w:rsid w:val="217C0935"/>
    <w:rsid w:val="219A17D7"/>
    <w:rsid w:val="21A33D9D"/>
    <w:rsid w:val="21B61BF4"/>
    <w:rsid w:val="21C26024"/>
    <w:rsid w:val="21DD798D"/>
    <w:rsid w:val="223C0B2A"/>
    <w:rsid w:val="224D32E0"/>
    <w:rsid w:val="22630AD3"/>
    <w:rsid w:val="229B3EE8"/>
    <w:rsid w:val="22A868C7"/>
    <w:rsid w:val="22CE3412"/>
    <w:rsid w:val="22E83C69"/>
    <w:rsid w:val="22E83DA8"/>
    <w:rsid w:val="22F05CD0"/>
    <w:rsid w:val="22FC5AF3"/>
    <w:rsid w:val="2358717F"/>
    <w:rsid w:val="235C1616"/>
    <w:rsid w:val="23B657C7"/>
    <w:rsid w:val="23BE63FD"/>
    <w:rsid w:val="23CD2828"/>
    <w:rsid w:val="23D11105"/>
    <w:rsid w:val="23DF2175"/>
    <w:rsid w:val="23DF56EE"/>
    <w:rsid w:val="23E87558"/>
    <w:rsid w:val="23F073B8"/>
    <w:rsid w:val="243D0021"/>
    <w:rsid w:val="24571916"/>
    <w:rsid w:val="24A274A8"/>
    <w:rsid w:val="24C525F3"/>
    <w:rsid w:val="24D96407"/>
    <w:rsid w:val="25036463"/>
    <w:rsid w:val="252D4D9F"/>
    <w:rsid w:val="26571970"/>
    <w:rsid w:val="26730A93"/>
    <w:rsid w:val="26BC3ED1"/>
    <w:rsid w:val="26CF5E39"/>
    <w:rsid w:val="26E03B86"/>
    <w:rsid w:val="26E5714E"/>
    <w:rsid w:val="27817123"/>
    <w:rsid w:val="2796417F"/>
    <w:rsid w:val="27EE79E5"/>
    <w:rsid w:val="27F37477"/>
    <w:rsid w:val="28620159"/>
    <w:rsid w:val="28966B51"/>
    <w:rsid w:val="28AA26C7"/>
    <w:rsid w:val="28CD0B68"/>
    <w:rsid w:val="29036481"/>
    <w:rsid w:val="290441D9"/>
    <w:rsid w:val="29115E06"/>
    <w:rsid w:val="297840D8"/>
    <w:rsid w:val="29802674"/>
    <w:rsid w:val="29996388"/>
    <w:rsid w:val="29A50305"/>
    <w:rsid w:val="29C84C30"/>
    <w:rsid w:val="29D335AD"/>
    <w:rsid w:val="29D617CD"/>
    <w:rsid w:val="29FC6BA5"/>
    <w:rsid w:val="2A3335CD"/>
    <w:rsid w:val="2A42741A"/>
    <w:rsid w:val="2AF74F78"/>
    <w:rsid w:val="2B193760"/>
    <w:rsid w:val="2B231E21"/>
    <w:rsid w:val="2B2D30AD"/>
    <w:rsid w:val="2B3B50FE"/>
    <w:rsid w:val="2B4932A0"/>
    <w:rsid w:val="2B4E1731"/>
    <w:rsid w:val="2B840CEF"/>
    <w:rsid w:val="2BC34B28"/>
    <w:rsid w:val="2BC7066A"/>
    <w:rsid w:val="2BD55811"/>
    <w:rsid w:val="2BE4490C"/>
    <w:rsid w:val="2BF4566F"/>
    <w:rsid w:val="2C0223D5"/>
    <w:rsid w:val="2C0F35AF"/>
    <w:rsid w:val="2C195423"/>
    <w:rsid w:val="2C3F4619"/>
    <w:rsid w:val="2C4464BD"/>
    <w:rsid w:val="2CA927FA"/>
    <w:rsid w:val="2D0B5263"/>
    <w:rsid w:val="2D3C672F"/>
    <w:rsid w:val="2D55340A"/>
    <w:rsid w:val="2D76092E"/>
    <w:rsid w:val="2D8C0CA9"/>
    <w:rsid w:val="2D99461C"/>
    <w:rsid w:val="2DA22559"/>
    <w:rsid w:val="2DCD49B0"/>
    <w:rsid w:val="2DF66435"/>
    <w:rsid w:val="2DFD7190"/>
    <w:rsid w:val="2E211F3C"/>
    <w:rsid w:val="2E2B6FE2"/>
    <w:rsid w:val="2E3C2B38"/>
    <w:rsid w:val="2E5029EB"/>
    <w:rsid w:val="2E5E719D"/>
    <w:rsid w:val="2E864028"/>
    <w:rsid w:val="2E9A469C"/>
    <w:rsid w:val="2EA90039"/>
    <w:rsid w:val="2EA92DCA"/>
    <w:rsid w:val="2EE47F5C"/>
    <w:rsid w:val="2EE74166"/>
    <w:rsid w:val="2F0F4A13"/>
    <w:rsid w:val="2F124686"/>
    <w:rsid w:val="2F1B3FB6"/>
    <w:rsid w:val="2F351546"/>
    <w:rsid w:val="2F8BDA8D"/>
    <w:rsid w:val="2FCB7E61"/>
    <w:rsid w:val="30157BA6"/>
    <w:rsid w:val="302C1778"/>
    <w:rsid w:val="302F2916"/>
    <w:rsid w:val="30C714A1"/>
    <w:rsid w:val="31785E93"/>
    <w:rsid w:val="319B301C"/>
    <w:rsid w:val="31BFB131"/>
    <w:rsid w:val="31C502F6"/>
    <w:rsid w:val="31DA3FA2"/>
    <w:rsid w:val="31F75BC1"/>
    <w:rsid w:val="32064B97"/>
    <w:rsid w:val="320C360F"/>
    <w:rsid w:val="32262AF8"/>
    <w:rsid w:val="322724E2"/>
    <w:rsid w:val="323B56EB"/>
    <w:rsid w:val="325516D3"/>
    <w:rsid w:val="326374DD"/>
    <w:rsid w:val="3296737C"/>
    <w:rsid w:val="32C0264B"/>
    <w:rsid w:val="32C93B11"/>
    <w:rsid w:val="32DD5CE2"/>
    <w:rsid w:val="32E47929"/>
    <w:rsid w:val="32FA66E7"/>
    <w:rsid w:val="32FE2E9B"/>
    <w:rsid w:val="330453E1"/>
    <w:rsid w:val="338D3BB2"/>
    <w:rsid w:val="33941B0E"/>
    <w:rsid w:val="339A4C4A"/>
    <w:rsid w:val="33CA1B48"/>
    <w:rsid w:val="33CC2AAC"/>
    <w:rsid w:val="33D23AE7"/>
    <w:rsid w:val="33E82C54"/>
    <w:rsid w:val="33E84C6F"/>
    <w:rsid w:val="33EE16C5"/>
    <w:rsid w:val="34094D01"/>
    <w:rsid w:val="34386EB3"/>
    <w:rsid w:val="343D3142"/>
    <w:rsid w:val="344D638C"/>
    <w:rsid w:val="34623430"/>
    <w:rsid w:val="347B4A7C"/>
    <w:rsid w:val="34A43D50"/>
    <w:rsid w:val="34CE2DFE"/>
    <w:rsid w:val="34D72AE1"/>
    <w:rsid w:val="34E32270"/>
    <w:rsid w:val="350031D3"/>
    <w:rsid w:val="3522336A"/>
    <w:rsid w:val="352D0753"/>
    <w:rsid w:val="356614A1"/>
    <w:rsid w:val="358C3BA0"/>
    <w:rsid w:val="35991723"/>
    <w:rsid w:val="35A4308C"/>
    <w:rsid w:val="35A85D44"/>
    <w:rsid w:val="35BA3378"/>
    <w:rsid w:val="35E43AC5"/>
    <w:rsid w:val="365C138D"/>
    <w:rsid w:val="365D3297"/>
    <w:rsid w:val="365F2FA1"/>
    <w:rsid w:val="36714388"/>
    <w:rsid w:val="36917A37"/>
    <w:rsid w:val="36A12F8B"/>
    <w:rsid w:val="36B25B01"/>
    <w:rsid w:val="36B75F37"/>
    <w:rsid w:val="36DB414E"/>
    <w:rsid w:val="36DD557A"/>
    <w:rsid w:val="36E3362A"/>
    <w:rsid w:val="36F259A0"/>
    <w:rsid w:val="370C6480"/>
    <w:rsid w:val="371E2EAA"/>
    <w:rsid w:val="373B1965"/>
    <w:rsid w:val="37464D41"/>
    <w:rsid w:val="375A6BCB"/>
    <w:rsid w:val="376B5470"/>
    <w:rsid w:val="377F0339"/>
    <w:rsid w:val="378576A4"/>
    <w:rsid w:val="378661DC"/>
    <w:rsid w:val="378D144C"/>
    <w:rsid w:val="37D7B296"/>
    <w:rsid w:val="37D912AF"/>
    <w:rsid w:val="37F938E1"/>
    <w:rsid w:val="381E36F4"/>
    <w:rsid w:val="38645626"/>
    <w:rsid w:val="38AE536D"/>
    <w:rsid w:val="38D70825"/>
    <w:rsid w:val="38F013CF"/>
    <w:rsid w:val="39081444"/>
    <w:rsid w:val="390A4433"/>
    <w:rsid w:val="392873D2"/>
    <w:rsid w:val="393E267E"/>
    <w:rsid w:val="394755F2"/>
    <w:rsid w:val="394936CA"/>
    <w:rsid w:val="394C7A4E"/>
    <w:rsid w:val="39AD5A83"/>
    <w:rsid w:val="39DF5E7B"/>
    <w:rsid w:val="39FC031F"/>
    <w:rsid w:val="3A08284D"/>
    <w:rsid w:val="3A1219DE"/>
    <w:rsid w:val="3A1563B6"/>
    <w:rsid w:val="3A1B4DE1"/>
    <w:rsid w:val="3A4A20F0"/>
    <w:rsid w:val="3A9D5677"/>
    <w:rsid w:val="3AB02986"/>
    <w:rsid w:val="3ACD1DA9"/>
    <w:rsid w:val="3AD46C94"/>
    <w:rsid w:val="3ADE2055"/>
    <w:rsid w:val="3B0D436B"/>
    <w:rsid w:val="3B2829E6"/>
    <w:rsid w:val="3B3D3804"/>
    <w:rsid w:val="3B6D0393"/>
    <w:rsid w:val="3BA42917"/>
    <w:rsid w:val="3BDB4DC2"/>
    <w:rsid w:val="3BF12D27"/>
    <w:rsid w:val="3C1813A4"/>
    <w:rsid w:val="3C6B3FB1"/>
    <w:rsid w:val="3CB54F9E"/>
    <w:rsid w:val="3CDE7AB5"/>
    <w:rsid w:val="3D236C52"/>
    <w:rsid w:val="3D332398"/>
    <w:rsid w:val="3D9D3166"/>
    <w:rsid w:val="3DD83EEF"/>
    <w:rsid w:val="3DF4772F"/>
    <w:rsid w:val="3E0266DA"/>
    <w:rsid w:val="3E120575"/>
    <w:rsid w:val="3E9711CD"/>
    <w:rsid w:val="3EA177D5"/>
    <w:rsid w:val="3EB05AE8"/>
    <w:rsid w:val="3EE6343A"/>
    <w:rsid w:val="3F06588A"/>
    <w:rsid w:val="3F1359D9"/>
    <w:rsid w:val="3F1461F9"/>
    <w:rsid w:val="3F181114"/>
    <w:rsid w:val="3F4E170B"/>
    <w:rsid w:val="3F72D1B2"/>
    <w:rsid w:val="3F736F49"/>
    <w:rsid w:val="3F936427"/>
    <w:rsid w:val="3FB672B0"/>
    <w:rsid w:val="3FDE7038"/>
    <w:rsid w:val="3FFB59FA"/>
    <w:rsid w:val="3FFEF423"/>
    <w:rsid w:val="400B39FE"/>
    <w:rsid w:val="40330355"/>
    <w:rsid w:val="4074430D"/>
    <w:rsid w:val="408332FD"/>
    <w:rsid w:val="409E72AD"/>
    <w:rsid w:val="40D06FF7"/>
    <w:rsid w:val="40E07DFE"/>
    <w:rsid w:val="410417E6"/>
    <w:rsid w:val="411249BA"/>
    <w:rsid w:val="41173673"/>
    <w:rsid w:val="412D0429"/>
    <w:rsid w:val="413E755D"/>
    <w:rsid w:val="41890F84"/>
    <w:rsid w:val="41935AA8"/>
    <w:rsid w:val="41AF06E5"/>
    <w:rsid w:val="41B43BB3"/>
    <w:rsid w:val="41BA6A61"/>
    <w:rsid w:val="41E0224F"/>
    <w:rsid w:val="41E53E7C"/>
    <w:rsid w:val="41EC0D67"/>
    <w:rsid w:val="420F5CD5"/>
    <w:rsid w:val="422D088A"/>
    <w:rsid w:val="42E626B8"/>
    <w:rsid w:val="4310260B"/>
    <w:rsid w:val="43960C56"/>
    <w:rsid w:val="439C4E72"/>
    <w:rsid w:val="43AD09C3"/>
    <w:rsid w:val="43CA7AC6"/>
    <w:rsid w:val="43F03C00"/>
    <w:rsid w:val="43F6136F"/>
    <w:rsid w:val="4400722D"/>
    <w:rsid w:val="445F05C2"/>
    <w:rsid w:val="44A22EFC"/>
    <w:rsid w:val="44A67551"/>
    <w:rsid w:val="44ED3EC3"/>
    <w:rsid w:val="4522752F"/>
    <w:rsid w:val="45C55DD0"/>
    <w:rsid w:val="45DF0564"/>
    <w:rsid w:val="45EA7CB3"/>
    <w:rsid w:val="45EB7527"/>
    <w:rsid w:val="45F868CC"/>
    <w:rsid w:val="45FE72BB"/>
    <w:rsid w:val="4620416D"/>
    <w:rsid w:val="462B5FAB"/>
    <w:rsid w:val="46806F6C"/>
    <w:rsid w:val="46895B7E"/>
    <w:rsid w:val="46971B71"/>
    <w:rsid w:val="46B85657"/>
    <w:rsid w:val="47193A36"/>
    <w:rsid w:val="47230359"/>
    <w:rsid w:val="47976D64"/>
    <w:rsid w:val="47D56597"/>
    <w:rsid w:val="47ED6C78"/>
    <w:rsid w:val="47EE7DB1"/>
    <w:rsid w:val="4815401C"/>
    <w:rsid w:val="483B43E5"/>
    <w:rsid w:val="48822425"/>
    <w:rsid w:val="489C030B"/>
    <w:rsid w:val="48A81E74"/>
    <w:rsid w:val="48CB4707"/>
    <w:rsid w:val="49061368"/>
    <w:rsid w:val="491A08B0"/>
    <w:rsid w:val="496B2EB9"/>
    <w:rsid w:val="49BA2155"/>
    <w:rsid w:val="49E6074E"/>
    <w:rsid w:val="4A187B73"/>
    <w:rsid w:val="4A8357D3"/>
    <w:rsid w:val="4A9868FF"/>
    <w:rsid w:val="4ABD2053"/>
    <w:rsid w:val="4ACC757D"/>
    <w:rsid w:val="4AD75231"/>
    <w:rsid w:val="4B141613"/>
    <w:rsid w:val="4B1C559C"/>
    <w:rsid w:val="4B245A16"/>
    <w:rsid w:val="4B3D3E36"/>
    <w:rsid w:val="4B490FD8"/>
    <w:rsid w:val="4B84124D"/>
    <w:rsid w:val="4BE5166F"/>
    <w:rsid w:val="4BF700B8"/>
    <w:rsid w:val="4C0F41D3"/>
    <w:rsid w:val="4C5335A6"/>
    <w:rsid w:val="4C6B6A45"/>
    <w:rsid w:val="4CAF0BCD"/>
    <w:rsid w:val="4CB74F09"/>
    <w:rsid w:val="4CCC055B"/>
    <w:rsid w:val="4D645B95"/>
    <w:rsid w:val="4D840EA6"/>
    <w:rsid w:val="4D924EB8"/>
    <w:rsid w:val="4E04568A"/>
    <w:rsid w:val="4E217075"/>
    <w:rsid w:val="4E2E13A4"/>
    <w:rsid w:val="4E4978FA"/>
    <w:rsid w:val="4E5E5790"/>
    <w:rsid w:val="4E707357"/>
    <w:rsid w:val="4E811D9C"/>
    <w:rsid w:val="4E975A2F"/>
    <w:rsid w:val="4ECB62BD"/>
    <w:rsid w:val="4EEE25C2"/>
    <w:rsid w:val="4F132D93"/>
    <w:rsid w:val="4F1E65B6"/>
    <w:rsid w:val="4F385F62"/>
    <w:rsid w:val="4F6259C8"/>
    <w:rsid w:val="4F6378BA"/>
    <w:rsid w:val="4F7C2662"/>
    <w:rsid w:val="4F8A7BC1"/>
    <w:rsid w:val="4F8B7540"/>
    <w:rsid w:val="4F90367A"/>
    <w:rsid w:val="4FAB400F"/>
    <w:rsid w:val="4FAF7A38"/>
    <w:rsid w:val="4FC03BB7"/>
    <w:rsid w:val="4FDA7B19"/>
    <w:rsid w:val="50010D18"/>
    <w:rsid w:val="5054412B"/>
    <w:rsid w:val="5070182A"/>
    <w:rsid w:val="509E60CE"/>
    <w:rsid w:val="50FA67BE"/>
    <w:rsid w:val="51350182"/>
    <w:rsid w:val="514A7DDE"/>
    <w:rsid w:val="51856AE2"/>
    <w:rsid w:val="51D90B7F"/>
    <w:rsid w:val="5237602E"/>
    <w:rsid w:val="5242311F"/>
    <w:rsid w:val="527A50A7"/>
    <w:rsid w:val="5284158D"/>
    <w:rsid w:val="52AB16CD"/>
    <w:rsid w:val="52CD6292"/>
    <w:rsid w:val="52D53DDD"/>
    <w:rsid w:val="52F9C743"/>
    <w:rsid w:val="531A4192"/>
    <w:rsid w:val="534327B1"/>
    <w:rsid w:val="539F20DD"/>
    <w:rsid w:val="53A72CFD"/>
    <w:rsid w:val="53B848D6"/>
    <w:rsid w:val="53C17725"/>
    <w:rsid w:val="53CF0D45"/>
    <w:rsid w:val="540B32CF"/>
    <w:rsid w:val="541A5C3D"/>
    <w:rsid w:val="54323B87"/>
    <w:rsid w:val="5443595F"/>
    <w:rsid w:val="54664225"/>
    <w:rsid w:val="54B424A6"/>
    <w:rsid w:val="54D269BD"/>
    <w:rsid w:val="54D50B1E"/>
    <w:rsid w:val="54DD0B09"/>
    <w:rsid w:val="553852FD"/>
    <w:rsid w:val="554F3275"/>
    <w:rsid w:val="55724FE7"/>
    <w:rsid w:val="55752617"/>
    <w:rsid w:val="557C4D9B"/>
    <w:rsid w:val="55B84A33"/>
    <w:rsid w:val="55E157DD"/>
    <w:rsid w:val="55EE1679"/>
    <w:rsid w:val="564B02FA"/>
    <w:rsid w:val="57093712"/>
    <w:rsid w:val="5724086D"/>
    <w:rsid w:val="573923F4"/>
    <w:rsid w:val="57397068"/>
    <w:rsid w:val="57792910"/>
    <w:rsid w:val="57AE1A88"/>
    <w:rsid w:val="57B46383"/>
    <w:rsid w:val="57B86E53"/>
    <w:rsid w:val="57C97459"/>
    <w:rsid w:val="57F80AE1"/>
    <w:rsid w:val="57F91339"/>
    <w:rsid w:val="58851615"/>
    <w:rsid w:val="58B21DED"/>
    <w:rsid w:val="58B36A49"/>
    <w:rsid w:val="58BF552E"/>
    <w:rsid w:val="58C02C27"/>
    <w:rsid w:val="58CD4FF7"/>
    <w:rsid w:val="58F3018E"/>
    <w:rsid w:val="59070B0A"/>
    <w:rsid w:val="596C2C75"/>
    <w:rsid w:val="5980475F"/>
    <w:rsid w:val="59C559E9"/>
    <w:rsid w:val="59D95C1D"/>
    <w:rsid w:val="5A107862"/>
    <w:rsid w:val="5A303418"/>
    <w:rsid w:val="5A6279C1"/>
    <w:rsid w:val="5AAE5222"/>
    <w:rsid w:val="5AC239DA"/>
    <w:rsid w:val="5AD31898"/>
    <w:rsid w:val="5AF92E38"/>
    <w:rsid w:val="5B061EEA"/>
    <w:rsid w:val="5B0B5357"/>
    <w:rsid w:val="5B196871"/>
    <w:rsid w:val="5B23518A"/>
    <w:rsid w:val="5B5C0A9F"/>
    <w:rsid w:val="5BA33DD5"/>
    <w:rsid w:val="5BCB373A"/>
    <w:rsid w:val="5C077140"/>
    <w:rsid w:val="5C09332D"/>
    <w:rsid w:val="5C2241EA"/>
    <w:rsid w:val="5C427612"/>
    <w:rsid w:val="5C582223"/>
    <w:rsid w:val="5C7C3D16"/>
    <w:rsid w:val="5CF8246B"/>
    <w:rsid w:val="5D0B72B7"/>
    <w:rsid w:val="5D2F3E81"/>
    <w:rsid w:val="5D3A3002"/>
    <w:rsid w:val="5D9D650F"/>
    <w:rsid w:val="5DB541FC"/>
    <w:rsid w:val="5DC60B7B"/>
    <w:rsid w:val="5DE75350"/>
    <w:rsid w:val="5DF632D6"/>
    <w:rsid w:val="5E226469"/>
    <w:rsid w:val="5E6C710A"/>
    <w:rsid w:val="5EEA4405"/>
    <w:rsid w:val="5F7807E8"/>
    <w:rsid w:val="5F8F1CCA"/>
    <w:rsid w:val="5FA665A1"/>
    <w:rsid w:val="5FD567BC"/>
    <w:rsid w:val="5FD93481"/>
    <w:rsid w:val="5FDFE5C7"/>
    <w:rsid w:val="5FF45A39"/>
    <w:rsid w:val="600A145C"/>
    <w:rsid w:val="6040564F"/>
    <w:rsid w:val="60951E5E"/>
    <w:rsid w:val="60C17C80"/>
    <w:rsid w:val="60C61354"/>
    <w:rsid w:val="60F54FD4"/>
    <w:rsid w:val="61196B8D"/>
    <w:rsid w:val="611D6D37"/>
    <w:rsid w:val="61637845"/>
    <w:rsid w:val="61743132"/>
    <w:rsid w:val="619A3CD5"/>
    <w:rsid w:val="61CE3B8D"/>
    <w:rsid w:val="622D2FAA"/>
    <w:rsid w:val="62546789"/>
    <w:rsid w:val="62590A51"/>
    <w:rsid w:val="628840AC"/>
    <w:rsid w:val="62A14F38"/>
    <w:rsid w:val="62B11A4A"/>
    <w:rsid w:val="62B4404D"/>
    <w:rsid w:val="62E4555A"/>
    <w:rsid w:val="63320C2D"/>
    <w:rsid w:val="635316CE"/>
    <w:rsid w:val="63536A40"/>
    <w:rsid w:val="636662E6"/>
    <w:rsid w:val="63B46F70"/>
    <w:rsid w:val="63CC7EC7"/>
    <w:rsid w:val="63DD2BD2"/>
    <w:rsid w:val="63EA36CE"/>
    <w:rsid w:val="641B7BD5"/>
    <w:rsid w:val="64744580"/>
    <w:rsid w:val="64B2485B"/>
    <w:rsid w:val="65401246"/>
    <w:rsid w:val="655D18A4"/>
    <w:rsid w:val="656EF7EB"/>
    <w:rsid w:val="657D1B52"/>
    <w:rsid w:val="659A4010"/>
    <w:rsid w:val="65B6524A"/>
    <w:rsid w:val="65DC4FC3"/>
    <w:rsid w:val="65F56B60"/>
    <w:rsid w:val="661D1CBA"/>
    <w:rsid w:val="66546D57"/>
    <w:rsid w:val="6659353D"/>
    <w:rsid w:val="6699415C"/>
    <w:rsid w:val="66A345A3"/>
    <w:rsid w:val="66B33247"/>
    <w:rsid w:val="66BC48FC"/>
    <w:rsid w:val="67027FFB"/>
    <w:rsid w:val="67304B97"/>
    <w:rsid w:val="673E2FAD"/>
    <w:rsid w:val="67405FFB"/>
    <w:rsid w:val="677B2F49"/>
    <w:rsid w:val="6782583F"/>
    <w:rsid w:val="67992950"/>
    <w:rsid w:val="67A8253D"/>
    <w:rsid w:val="67D0065F"/>
    <w:rsid w:val="67D14378"/>
    <w:rsid w:val="67DB9BAC"/>
    <w:rsid w:val="67EE6C5E"/>
    <w:rsid w:val="67F14C93"/>
    <w:rsid w:val="680E1E3E"/>
    <w:rsid w:val="68476448"/>
    <w:rsid w:val="68710D40"/>
    <w:rsid w:val="6896659C"/>
    <w:rsid w:val="68F22FB3"/>
    <w:rsid w:val="690158BE"/>
    <w:rsid w:val="69040F22"/>
    <w:rsid w:val="690D529F"/>
    <w:rsid w:val="69404255"/>
    <w:rsid w:val="696D1EDE"/>
    <w:rsid w:val="697A33B1"/>
    <w:rsid w:val="6983580F"/>
    <w:rsid w:val="698E2580"/>
    <w:rsid w:val="69D55525"/>
    <w:rsid w:val="69DD1684"/>
    <w:rsid w:val="69F12C12"/>
    <w:rsid w:val="6A0B6749"/>
    <w:rsid w:val="6A350C4E"/>
    <w:rsid w:val="6A4D6F27"/>
    <w:rsid w:val="6A5A06B4"/>
    <w:rsid w:val="6A941EE2"/>
    <w:rsid w:val="6AFC4E73"/>
    <w:rsid w:val="6B080110"/>
    <w:rsid w:val="6B191868"/>
    <w:rsid w:val="6B1F7E37"/>
    <w:rsid w:val="6B391FC4"/>
    <w:rsid w:val="6B6415CC"/>
    <w:rsid w:val="6B725C27"/>
    <w:rsid w:val="6B741C4A"/>
    <w:rsid w:val="6B8E4AB9"/>
    <w:rsid w:val="6BAF252C"/>
    <w:rsid w:val="6BBE3AEA"/>
    <w:rsid w:val="6BC76EEF"/>
    <w:rsid w:val="6BCC7390"/>
    <w:rsid w:val="6BDD1D86"/>
    <w:rsid w:val="6BF71620"/>
    <w:rsid w:val="6C594EFB"/>
    <w:rsid w:val="6C9A7CAA"/>
    <w:rsid w:val="6CBE4E4B"/>
    <w:rsid w:val="6CD07E03"/>
    <w:rsid w:val="6CD209D6"/>
    <w:rsid w:val="6CF20C90"/>
    <w:rsid w:val="6D031B69"/>
    <w:rsid w:val="6D051540"/>
    <w:rsid w:val="6D35349C"/>
    <w:rsid w:val="6D673814"/>
    <w:rsid w:val="6D990669"/>
    <w:rsid w:val="6DC2F6AF"/>
    <w:rsid w:val="6E276AFF"/>
    <w:rsid w:val="6E3B0A35"/>
    <w:rsid w:val="6E617936"/>
    <w:rsid w:val="6E64080E"/>
    <w:rsid w:val="6E6E0BD2"/>
    <w:rsid w:val="6E873A42"/>
    <w:rsid w:val="6E8B3884"/>
    <w:rsid w:val="6EC10D02"/>
    <w:rsid w:val="6EF374CD"/>
    <w:rsid w:val="6F0624C9"/>
    <w:rsid w:val="6F363068"/>
    <w:rsid w:val="6F7C126C"/>
    <w:rsid w:val="6F857F81"/>
    <w:rsid w:val="6FB830E8"/>
    <w:rsid w:val="6FEA5E6C"/>
    <w:rsid w:val="7012558D"/>
    <w:rsid w:val="701268B6"/>
    <w:rsid w:val="70195AE2"/>
    <w:rsid w:val="70233379"/>
    <w:rsid w:val="705D4A5A"/>
    <w:rsid w:val="70621F78"/>
    <w:rsid w:val="706D7EFF"/>
    <w:rsid w:val="70787AE6"/>
    <w:rsid w:val="70900C9D"/>
    <w:rsid w:val="70D00331"/>
    <w:rsid w:val="70E30201"/>
    <w:rsid w:val="70FB7EE6"/>
    <w:rsid w:val="71520337"/>
    <w:rsid w:val="71D97BD7"/>
    <w:rsid w:val="71DC5AD4"/>
    <w:rsid w:val="7213629E"/>
    <w:rsid w:val="72620A4E"/>
    <w:rsid w:val="72817588"/>
    <w:rsid w:val="729565A6"/>
    <w:rsid w:val="72A20E4A"/>
    <w:rsid w:val="72BB1C50"/>
    <w:rsid w:val="72BD1547"/>
    <w:rsid w:val="72CE59A2"/>
    <w:rsid w:val="72DA6836"/>
    <w:rsid w:val="72E83D7A"/>
    <w:rsid w:val="72F71CE0"/>
    <w:rsid w:val="73374CC4"/>
    <w:rsid w:val="73676B7D"/>
    <w:rsid w:val="736B65D7"/>
    <w:rsid w:val="73805C51"/>
    <w:rsid w:val="738F4C25"/>
    <w:rsid w:val="73B21EFB"/>
    <w:rsid w:val="73C61AAF"/>
    <w:rsid w:val="7405578E"/>
    <w:rsid w:val="74245921"/>
    <w:rsid w:val="743E2DF5"/>
    <w:rsid w:val="744C6447"/>
    <w:rsid w:val="74994F19"/>
    <w:rsid w:val="74D86DA5"/>
    <w:rsid w:val="750543DF"/>
    <w:rsid w:val="751F2C26"/>
    <w:rsid w:val="75332BD9"/>
    <w:rsid w:val="75412B9C"/>
    <w:rsid w:val="75511F93"/>
    <w:rsid w:val="755702EC"/>
    <w:rsid w:val="755A18A0"/>
    <w:rsid w:val="756D3404"/>
    <w:rsid w:val="756E770A"/>
    <w:rsid w:val="75A7007A"/>
    <w:rsid w:val="75A823AB"/>
    <w:rsid w:val="75D79A70"/>
    <w:rsid w:val="75F222FA"/>
    <w:rsid w:val="75F30DB1"/>
    <w:rsid w:val="76054E98"/>
    <w:rsid w:val="76576F7D"/>
    <w:rsid w:val="765D4BDE"/>
    <w:rsid w:val="76987597"/>
    <w:rsid w:val="76A36ECC"/>
    <w:rsid w:val="76CE02F2"/>
    <w:rsid w:val="76FB50AD"/>
    <w:rsid w:val="77053749"/>
    <w:rsid w:val="77247BB4"/>
    <w:rsid w:val="77533741"/>
    <w:rsid w:val="77732DB5"/>
    <w:rsid w:val="77B169C2"/>
    <w:rsid w:val="77E236CF"/>
    <w:rsid w:val="78073AFA"/>
    <w:rsid w:val="781C344D"/>
    <w:rsid w:val="781E0018"/>
    <w:rsid w:val="783267CC"/>
    <w:rsid w:val="78B83176"/>
    <w:rsid w:val="78F51F09"/>
    <w:rsid w:val="7902696A"/>
    <w:rsid w:val="79103C3A"/>
    <w:rsid w:val="791E38B3"/>
    <w:rsid w:val="792C76C0"/>
    <w:rsid w:val="79535D1B"/>
    <w:rsid w:val="795E3DD1"/>
    <w:rsid w:val="79B03E9D"/>
    <w:rsid w:val="79C15EBE"/>
    <w:rsid w:val="79CF7FC1"/>
    <w:rsid w:val="79F06ECD"/>
    <w:rsid w:val="7A4714C9"/>
    <w:rsid w:val="7A6C42FE"/>
    <w:rsid w:val="7A9859BB"/>
    <w:rsid w:val="7AA67DF2"/>
    <w:rsid w:val="7AA96F08"/>
    <w:rsid w:val="7AC23973"/>
    <w:rsid w:val="7AE83ABA"/>
    <w:rsid w:val="7B15385D"/>
    <w:rsid w:val="7B4A229F"/>
    <w:rsid w:val="7B5B5EAA"/>
    <w:rsid w:val="7B6441F0"/>
    <w:rsid w:val="7B66335D"/>
    <w:rsid w:val="7B6C067B"/>
    <w:rsid w:val="7B6DB796"/>
    <w:rsid w:val="7B784258"/>
    <w:rsid w:val="7BA01165"/>
    <w:rsid w:val="7BAC7CCE"/>
    <w:rsid w:val="7BBA6ECC"/>
    <w:rsid w:val="7BD067C2"/>
    <w:rsid w:val="7BDD2045"/>
    <w:rsid w:val="7BFA1CF7"/>
    <w:rsid w:val="7BFF4C55"/>
    <w:rsid w:val="7C3302C6"/>
    <w:rsid w:val="7C3D774D"/>
    <w:rsid w:val="7C72542F"/>
    <w:rsid w:val="7C8C4E16"/>
    <w:rsid w:val="7CBF1C41"/>
    <w:rsid w:val="7CC9772B"/>
    <w:rsid w:val="7CDE72A4"/>
    <w:rsid w:val="7CE81B50"/>
    <w:rsid w:val="7CEC55D2"/>
    <w:rsid w:val="7D0B5E36"/>
    <w:rsid w:val="7D39684F"/>
    <w:rsid w:val="7D63303C"/>
    <w:rsid w:val="7D69294D"/>
    <w:rsid w:val="7D7168E4"/>
    <w:rsid w:val="7D7F4EE0"/>
    <w:rsid w:val="7D943F20"/>
    <w:rsid w:val="7DB91A86"/>
    <w:rsid w:val="7DFA5FDE"/>
    <w:rsid w:val="7E14538E"/>
    <w:rsid w:val="7E932B20"/>
    <w:rsid w:val="7EA80065"/>
    <w:rsid w:val="7EAE1B4D"/>
    <w:rsid w:val="7ECB1729"/>
    <w:rsid w:val="7EF79F78"/>
    <w:rsid w:val="7F1426F3"/>
    <w:rsid w:val="7F30065E"/>
    <w:rsid w:val="7F307FA6"/>
    <w:rsid w:val="7F587F69"/>
    <w:rsid w:val="7F6826C0"/>
    <w:rsid w:val="7F7DD77E"/>
    <w:rsid w:val="7F996F32"/>
    <w:rsid w:val="7FBA2792"/>
    <w:rsid w:val="7FDD6B9E"/>
    <w:rsid w:val="7FEF060D"/>
    <w:rsid w:val="7FEFB434"/>
    <w:rsid w:val="7FFF8DDE"/>
    <w:rsid w:val="AFF94198"/>
    <w:rsid w:val="B9AFB964"/>
    <w:rsid w:val="BFCF71CD"/>
    <w:rsid w:val="BFDCA38E"/>
    <w:rsid w:val="DBAF8900"/>
    <w:rsid w:val="EBDF181A"/>
    <w:rsid w:val="ECF71039"/>
    <w:rsid w:val="EFAB3C61"/>
    <w:rsid w:val="F7D4E8D6"/>
    <w:rsid w:val="F7FB1A11"/>
    <w:rsid w:val="F9FBC113"/>
    <w:rsid w:val="FAEFADF2"/>
    <w:rsid w:val="FBACB77A"/>
    <w:rsid w:val="FDFF2670"/>
    <w:rsid w:val="FF6EFB24"/>
    <w:rsid w:val="FFE5DA44"/>
    <w:rsid w:val="FFE5E3C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8"/>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83"/>
    <w:qFormat/>
    <w:uiPriority w:val="0"/>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90"/>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widowControl/>
      <w:spacing w:before="100" w:beforeAutospacing="1" w:after="100" w:afterAutospacing="1"/>
      <w:jc w:val="left"/>
      <w:outlineLvl w:val="3"/>
    </w:pPr>
    <w:rPr>
      <w:rFonts w:ascii="宋体" w:hAnsi="宋体" w:cs="宋体"/>
      <w:b/>
      <w:bCs/>
      <w:kern w:val="0"/>
      <w:sz w:val="24"/>
    </w:rPr>
  </w:style>
  <w:style w:type="paragraph" w:styleId="7">
    <w:name w:val="heading 5"/>
    <w:basedOn w:val="1"/>
    <w:next w:val="1"/>
    <w:qFormat/>
    <w:uiPriority w:val="0"/>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9"/>
    <w:basedOn w:val="1"/>
    <w:next w:val="1"/>
    <w:link w:val="85"/>
    <w:qFormat/>
    <w:uiPriority w:val="0"/>
    <w:pPr>
      <w:keepNext/>
      <w:keepLines/>
      <w:spacing w:before="240" w:after="64" w:line="320" w:lineRule="auto"/>
      <w:outlineLvl w:val="8"/>
    </w:pPr>
    <w:rPr>
      <w:rFonts w:ascii="等线 Light" w:hAnsi="等线 Light" w:eastAsia="等线 Light"/>
      <w:szCs w:val="21"/>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szCs w:val="21"/>
    </w:rPr>
  </w:style>
  <w:style w:type="paragraph" w:styleId="9">
    <w:name w:val="toc 7"/>
    <w:basedOn w:val="1"/>
    <w:next w:val="1"/>
    <w:unhideWhenUsed/>
    <w:qFormat/>
    <w:uiPriority w:val="39"/>
    <w:pPr>
      <w:ind w:left="2520" w:leftChars="1200"/>
    </w:pPr>
    <w:rPr>
      <w:rFonts w:ascii="等线" w:hAnsi="等线" w:eastAsia="等线"/>
      <w:szCs w:val="22"/>
    </w:rPr>
  </w:style>
  <w:style w:type="paragraph" w:styleId="10">
    <w:name w:val="table of authorities"/>
    <w:basedOn w:val="1"/>
    <w:next w:val="1"/>
    <w:qFormat/>
    <w:uiPriority w:val="99"/>
    <w:pPr>
      <w:ind w:left="420" w:leftChars="200"/>
    </w:pPr>
  </w:style>
  <w:style w:type="paragraph" w:styleId="11">
    <w:name w:val="Normal Indent"/>
    <w:basedOn w:val="1"/>
    <w:next w:val="1"/>
    <w:qFormat/>
    <w:uiPriority w:val="0"/>
    <w:pPr>
      <w:adjustRightInd w:val="0"/>
      <w:spacing w:line="480" w:lineRule="atLeast"/>
      <w:ind w:firstLine="600"/>
      <w:textAlignment w:val="baseline"/>
    </w:pPr>
    <w:rPr>
      <w:rFonts w:eastAsia="仿宋_GB2312"/>
      <w:kern w:val="0"/>
      <w:sz w:val="30"/>
      <w:szCs w:val="20"/>
    </w:rPr>
  </w:style>
  <w:style w:type="paragraph" w:styleId="12">
    <w:name w:val="annotation text"/>
    <w:basedOn w:val="1"/>
    <w:link w:val="84"/>
    <w:qFormat/>
    <w:uiPriority w:val="99"/>
    <w:pPr>
      <w:jc w:val="left"/>
    </w:pPr>
  </w:style>
  <w:style w:type="paragraph" w:styleId="13">
    <w:name w:val="Body Text Indent"/>
    <w:basedOn w:val="1"/>
    <w:next w:val="1"/>
    <w:qFormat/>
    <w:uiPriority w:val="0"/>
    <w:pPr>
      <w:ind w:firstLine="407" w:firstLineChars="200"/>
    </w:pPr>
  </w:style>
  <w:style w:type="paragraph" w:styleId="14">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15">
    <w:name w:val="toc 5"/>
    <w:basedOn w:val="1"/>
    <w:next w:val="1"/>
    <w:unhideWhenUsed/>
    <w:qFormat/>
    <w:uiPriority w:val="39"/>
    <w:pPr>
      <w:ind w:left="1680" w:leftChars="800"/>
    </w:pPr>
    <w:rPr>
      <w:rFonts w:ascii="等线" w:hAnsi="等线" w:eastAsia="等线"/>
      <w:szCs w:val="22"/>
    </w:rPr>
  </w:style>
  <w:style w:type="paragraph" w:styleId="16">
    <w:name w:val="toc 3"/>
    <w:basedOn w:val="1"/>
    <w:next w:val="1"/>
    <w:qFormat/>
    <w:uiPriority w:val="39"/>
    <w:pPr>
      <w:ind w:left="420"/>
      <w:jc w:val="left"/>
    </w:pPr>
    <w:rPr>
      <w:i/>
      <w:iCs/>
      <w:sz w:val="20"/>
      <w:szCs w:val="20"/>
    </w:rPr>
  </w:style>
  <w:style w:type="paragraph" w:styleId="17">
    <w:name w:val="Plain Text"/>
    <w:basedOn w:val="1"/>
    <w:qFormat/>
    <w:uiPriority w:val="0"/>
    <w:rPr>
      <w:rFonts w:hint="eastAsia" w:ascii="宋体" w:hAnsi="Courier New"/>
      <w:szCs w:val="21"/>
    </w:rPr>
  </w:style>
  <w:style w:type="paragraph" w:styleId="18">
    <w:name w:val="toc 8"/>
    <w:basedOn w:val="1"/>
    <w:next w:val="1"/>
    <w:unhideWhenUsed/>
    <w:qFormat/>
    <w:uiPriority w:val="39"/>
    <w:pPr>
      <w:ind w:left="2940" w:leftChars="1400"/>
    </w:pPr>
    <w:rPr>
      <w:rFonts w:ascii="等线" w:hAnsi="等线" w:eastAsia="等线"/>
      <w:szCs w:val="22"/>
    </w:rPr>
  </w:style>
  <w:style w:type="paragraph" w:styleId="19">
    <w:name w:val="Date"/>
    <w:basedOn w:val="1"/>
    <w:next w:val="1"/>
    <w:link w:val="79"/>
    <w:qFormat/>
    <w:uiPriority w:val="0"/>
    <w:pPr>
      <w:ind w:left="100" w:leftChars="2500"/>
    </w:pPr>
  </w:style>
  <w:style w:type="paragraph" w:styleId="20">
    <w:name w:val="Body Text Indent 2"/>
    <w:basedOn w:val="1"/>
    <w:qFormat/>
    <w:uiPriority w:val="0"/>
    <w:pPr>
      <w:widowControl/>
      <w:spacing w:line="480" w:lineRule="auto"/>
      <w:ind w:firstLine="560"/>
      <w:jc w:val="left"/>
    </w:pPr>
    <w:rPr>
      <w:kern w:val="0"/>
      <w:sz w:val="28"/>
    </w:rPr>
  </w:style>
  <w:style w:type="paragraph" w:styleId="21">
    <w:name w:val="Balloon Text"/>
    <w:basedOn w:val="2"/>
    <w:link w:val="89"/>
    <w:qFormat/>
    <w:uiPriority w:val="0"/>
    <w:rPr>
      <w:sz w:val="18"/>
      <w:szCs w:val="18"/>
    </w:rPr>
  </w:style>
  <w:style w:type="paragraph" w:styleId="22">
    <w:name w:val="footer"/>
    <w:basedOn w:val="1"/>
    <w:qFormat/>
    <w:uiPriority w:val="99"/>
    <w:pPr>
      <w:tabs>
        <w:tab w:val="center" w:pos="4153"/>
        <w:tab w:val="right" w:pos="8306"/>
      </w:tabs>
      <w:snapToGrid w:val="0"/>
      <w:jc w:val="left"/>
    </w:pPr>
    <w:rPr>
      <w:sz w:val="18"/>
      <w:szCs w:val="18"/>
    </w:rPr>
  </w:style>
  <w:style w:type="paragraph" w:styleId="2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pPr>
      <w:spacing w:before="120" w:after="120"/>
      <w:jc w:val="left"/>
    </w:pPr>
    <w:rPr>
      <w:caps/>
      <w:sz w:val="20"/>
      <w:szCs w:val="20"/>
    </w:rPr>
  </w:style>
  <w:style w:type="paragraph" w:styleId="25">
    <w:name w:val="toc 4"/>
    <w:basedOn w:val="1"/>
    <w:next w:val="1"/>
    <w:unhideWhenUsed/>
    <w:qFormat/>
    <w:uiPriority w:val="39"/>
    <w:pPr>
      <w:ind w:left="1260" w:leftChars="600"/>
    </w:pPr>
    <w:rPr>
      <w:rFonts w:ascii="等线" w:hAnsi="等线" w:eastAsia="等线"/>
      <w:szCs w:val="22"/>
    </w:rPr>
  </w:style>
  <w:style w:type="paragraph" w:styleId="26">
    <w:name w:val="Subtitle"/>
    <w:basedOn w:val="1"/>
    <w:link w:val="82"/>
    <w:qFormat/>
    <w:uiPriority w:val="0"/>
    <w:pPr>
      <w:widowControl/>
      <w:jc w:val="center"/>
    </w:pPr>
    <w:rPr>
      <w:kern w:val="0"/>
      <w:sz w:val="20"/>
      <w:u w:val="single"/>
      <w:lang w:eastAsia="en-US"/>
    </w:rPr>
  </w:style>
  <w:style w:type="paragraph" w:styleId="27">
    <w:name w:val="toc 6"/>
    <w:basedOn w:val="1"/>
    <w:next w:val="1"/>
    <w:unhideWhenUsed/>
    <w:qFormat/>
    <w:uiPriority w:val="39"/>
    <w:pPr>
      <w:ind w:left="2100" w:leftChars="1000"/>
    </w:pPr>
    <w:rPr>
      <w:rFonts w:ascii="等线" w:hAnsi="等线" w:eastAsia="等线"/>
      <w:szCs w:val="22"/>
    </w:rPr>
  </w:style>
  <w:style w:type="paragraph" w:styleId="28">
    <w:name w:val="toc 2"/>
    <w:basedOn w:val="1"/>
    <w:next w:val="1"/>
    <w:qFormat/>
    <w:uiPriority w:val="39"/>
    <w:pPr>
      <w:ind w:left="210"/>
      <w:jc w:val="left"/>
    </w:pPr>
    <w:rPr>
      <w:smallCaps/>
      <w:sz w:val="20"/>
      <w:szCs w:val="20"/>
    </w:rPr>
  </w:style>
  <w:style w:type="paragraph" w:styleId="29">
    <w:name w:val="toc 9"/>
    <w:basedOn w:val="1"/>
    <w:next w:val="1"/>
    <w:unhideWhenUsed/>
    <w:qFormat/>
    <w:uiPriority w:val="39"/>
    <w:pPr>
      <w:ind w:left="3360" w:leftChars="1600"/>
    </w:pPr>
    <w:rPr>
      <w:rFonts w:ascii="等线" w:hAnsi="等线" w:eastAsia="等线"/>
      <w:szCs w:val="22"/>
    </w:rPr>
  </w:style>
  <w:style w:type="paragraph" w:styleId="30">
    <w:name w:val="Body Text 2"/>
    <w:basedOn w:val="1"/>
    <w:qFormat/>
    <w:uiPriority w:val="0"/>
    <w:rPr>
      <w:i/>
      <w:iCs/>
      <w:sz w:val="26"/>
    </w:rPr>
  </w:style>
  <w:style w:type="paragraph" w:styleId="31">
    <w:name w:val="Normal (Web)"/>
    <w:basedOn w:val="1"/>
    <w:next w:val="1"/>
    <w:qFormat/>
    <w:uiPriority w:val="0"/>
    <w:rPr>
      <w:sz w:val="24"/>
    </w:rPr>
  </w:style>
  <w:style w:type="paragraph" w:styleId="32">
    <w:name w:val="annotation subject"/>
    <w:basedOn w:val="12"/>
    <w:next w:val="12"/>
    <w:link w:val="81"/>
    <w:qFormat/>
    <w:uiPriority w:val="0"/>
    <w:rPr>
      <w:b/>
      <w:bCs/>
    </w:rPr>
  </w:style>
  <w:style w:type="paragraph" w:styleId="33">
    <w:name w:val="Body Text First Indent 2"/>
    <w:basedOn w:val="13"/>
    <w:next w:val="1"/>
    <w:qFormat/>
    <w:uiPriority w:val="0"/>
    <w:pPr>
      <w:spacing w:after="120"/>
      <w:ind w:left="420" w:leftChars="200" w:firstLine="420"/>
    </w:pPr>
    <w:rPr>
      <w:szCs w:val="20"/>
    </w:rPr>
  </w:style>
  <w:style w:type="table" w:styleId="35">
    <w:name w:val="Table Grid"/>
    <w:basedOn w:val="3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basedOn w:val="36"/>
    <w:qFormat/>
    <w:uiPriority w:val="0"/>
    <w:rPr>
      <w:b/>
    </w:rPr>
  </w:style>
  <w:style w:type="character" w:styleId="38">
    <w:name w:val="page number"/>
    <w:basedOn w:val="36"/>
    <w:qFormat/>
    <w:uiPriority w:val="0"/>
  </w:style>
  <w:style w:type="character" w:styleId="39">
    <w:name w:val="Hyperlink"/>
    <w:qFormat/>
    <w:uiPriority w:val="99"/>
    <w:rPr>
      <w:color w:val="0000FF"/>
      <w:u w:val="single"/>
    </w:rPr>
  </w:style>
  <w:style w:type="character" w:styleId="40">
    <w:name w:val="annotation reference"/>
    <w:qFormat/>
    <w:uiPriority w:val="0"/>
    <w:rPr>
      <w:sz w:val="21"/>
      <w:szCs w:val="21"/>
    </w:rPr>
  </w:style>
  <w:style w:type="paragraph" w:customStyle="1" w:styleId="41">
    <w:name w:val="样式 标题 3 + (中文) 黑体 小四 非加粗 段前: 7.8 磅 段后: 0 磅 行距: 固定值 20 磅"/>
    <w:basedOn w:val="5"/>
    <w:qFormat/>
    <w:uiPriority w:val="0"/>
    <w:pPr>
      <w:spacing w:before="0" w:after="0" w:line="400" w:lineRule="exact"/>
    </w:pPr>
    <w:rPr>
      <w:rFonts w:eastAsia="黑体" w:cs="宋体"/>
      <w:b w:val="0"/>
      <w:sz w:val="24"/>
    </w:rPr>
  </w:style>
  <w:style w:type="paragraph" w:customStyle="1" w:styleId="42">
    <w:name w:val="Normal_4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3">
    <w:name w:val="_Style 37"/>
    <w:unhideWhenUsed/>
    <w:qFormat/>
    <w:uiPriority w:val="99"/>
    <w:rPr>
      <w:rFonts w:ascii="Times New Roman" w:hAnsi="Times New Roman" w:eastAsia="宋体" w:cs="Times New Roman"/>
      <w:kern w:val="2"/>
      <w:sz w:val="21"/>
      <w:szCs w:val="24"/>
      <w:lang w:val="en-US" w:eastAsia="zh-CN" w:bidi="ar-SA"/>
    </w:rPr>
  </w:style>
  <w:style w:type="paragraph" w:customStyle="1" w:styleId="44">
    <w:name w:val="Table Paragraph"/>
    <w:basedOn w:val="1"/>
    <w:qFormat/>
    <w:uiPriority w:val="99"/>
    <w:pPr>
      <w:autoSpaceDE w:val="0"/>
      <w:autoSpaceDN w:val="0"/>
      <w:jc w:val="left"/>
    </w:pPr>
    <w:rPr>
      <w:rFonts w:ascii="微软雅黑" w:hAnsi="微软雅黑" w:eastAsia="微软雅黑" w:cs="微软雅黑"/>
      <w:kern w:val="0"/>
      <w:sz w:val="22"/>
      <w:szCs w:val="22"/>
      <w:lang w:val="zh-CN" w:bidi="zh-CN"/>
    </w:rPr>
  </w:style>
  <w:style w:type="paragraph" w:customStyle="1" w:styleId="45">
    <w:name w:val="_Style 10"/>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46">
    <w:name w:val="Normal_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7">
    <w:name w:val="Normal_12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8">
    <w:name w:val="Normal_3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9">
    <w:name w:val="列出段落1"/>
    <w:basedOn w:val="1"/>
    <w:qFormat/>
    <w:uiPriority w:val="0"/>
    <w:pPr>
      <w:ind w:firstLine="420" w:firstLineChars="200"/>
    </w:pPr>
    <w:rPr>
      <w:sz w:val="28"/>
      <w:szCs w:val="28"/>
    </w:rPr>
  </w:style>
  <w:style w:type="paragraph" w:customStyle="1" w:styleId="50">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51">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2">
    <w:name w:val="Normal_1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3">
    <w:name w:val="Normal_13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4">
    <w:name w:val="Normal_13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5">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6">
    <w:name w:val="Default"/>
    <w:next w:val="57"/>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57">
    <w:name w:val="List Paragraph"/>
    <w:basedOn w:val="58"/>
    <w:qFormat/>
    <w:uiPriority w:val="1"/>
    <w:pPr>
      <w:ind w:left="100" w:firstLine="420"/>
    </w:pPr>
    <w:rPr>
      <w:rFonts w:ascii="宋体" w:hAnsi="宋体" w:eastAsia="宋体" w:cs="宋体"/>
    </w:rPr>
  </w:style>
  <w:style w:type="paragraph" w:customStyle="1" w:styleId="58">
    <w:name w:val="五级条标题"/>
    <w:basedOn w:val="59"/>
    <w:next w:val="59"/>
    <w:qFormat/>
    <w:uiPriority w:val="0"/>
    <w:pPr>
      <w:outlineLvl w:val="6"/>
    </w:pPr>
  </w:style>
  <w:style w:type="paragraph" w:customStyle="1" w:styleId="59">
    <w:name w:val="章标题"/>
    <w:next w:val="60"/>
    <w:qFormat/>
    <w:uiPriority w:val="0"/>
    <w:pPr>
      <w:jc w:val="both"/>
      <w:outlineLvl w:val="1"/>
    </w:pPr>
    <w:rPr>
      <w:rFonts w:ascii="黑体" w:hAnsi="黑体" w:eastAsia="黑体" w:cs="Times New Roman"/>
      <w:kern w:val="1"/>
      <w:sz w:val="21"/>
      <w:lang w:val="en-US" w:eastAsia="zh-CN" w:bidi="ar-SA"/>
    </w:rPr>
  </w:style>
  <w:style w:type="paragraph" w:customStyle="1" w:styleId="60">
    <w:name w:val="目次、标准名称标题"/>
    <w:basedOn w:val="61"/>
    <w:next w:val="61"/>
    <w:qFormat/>
    <w:uiPriority w:val="0"/>
    <w:pPr>
      <w:keepNext/>
      <w:pageBreakBefore/>
      <w:pBdr>
        <w:top w:val="none" w:color="000000" w:sz="0" w:space="3"/>
        <w:left w:val="none" w:color="000000" w:sz="0" w:space="3"/>
        <w:bottom w:val="none" w:color="000000" w:sz="0" w:space="3"/>
        <w:right w:val="none" w:color="000000" w:sz="0" w:space="3"/>
        <w:between w:val="none" w:color="000000" w:sz="0" w:space="0"/>
      </w:pBdr>
      <w:shd w:val="clear" w:color="FFFFFF" w:fill="FFFFFF"/>
      <w:spacing w:before="640" w:after="560" w:line="460" w:lineRule="exact"/>
      <w:jc w:val="center"/>
      <w:outlineLvl w:val="0"/>
    </w:pPr>
  </w:style>
  <w:style w:type="paragraph" w:customStyle="1" w:styleId="61">
    <w:name w:val="投标正文"/>
    <w:basedOn w:val="62"/>
    <w:qFormat/>
    <w:uiPriority w:val="0"/>
    <w:pPr>
      <w:spacing w:line="360" w:lineRule="auto"/>
    </w:pPr>
    <w:rPr>
      <w:spacing w:val="15"/>
      <w:sz w:val="32"/>
      <w:szCs w:val="32"/>
    </w:rPr>
  </w:style>
  <w:style w:type="paragraph" w:customStyle="1" w:styleId="62">
    <w:name w:val="四级条标题"/>
    <w:basedOn w:val="63"/>
    <w:next w:val="63"/>
    <w:qFormat/>
    <w:uiPriority w:val="0"/>
    <w:pPr>
      <w:outlineLvl w:val="5"/>
    </w:pPr>
  </w:style>
  <w:style w:type="paragraph" w:customStyle="1" w:styleId="63">
    <w:name w:val="三级条标题"/>
    <w:basedOn w:val="64"/>
    <w:next w:val="64"/>
    <w:qFormat/>
    <w:uiPriority w:val="0"/>
    <w:pPr>
      <w:outlineLvl w:val="4"/>
    </w:pPr>
  </w:style>
  <w:style w:type="paragraph" w:customStyle="1" w:styleId="64">
    <w:name w:val="二级条标题"/>
    <w:basedOn w:val="65"/>
    <w:next w:val="65"/>
    <w:qFormat/>
    <w:uiPriority w:val="0"/>
    <w:pPr>
      <w:outlineLvl w:val="3"/>
    </w:pPr>
  </w:style>
  <w:style w:type="paragraph" w:customStyle="1" w:styleId="65">
    <w:name w:val="一级条标题"/>
    <w:next w:val="11"/>
    <w:qFormat/>
    <w:uiPriority w:val="0"/>
    <w:pPr>
      <w:outlineLvl w:val="2"/>
    </w:pPr>
    <w:rPr>
      <w:rFonts w:ascii="黑体" w:hAnsi="黑体" w:eastAsia="黑体" w:cs="Times New Roman"/>
      <w:kern w:val="1"/>
      <w:sz w:val="21"/>
      <w:szCs w:val="21"/>
      <w:lang w:val="en-US" w:eastAsia="zh-CN" w:bidi="ar-SA"/>
    </w:rPr>
  </w:style>
  <w:style w:type="paragraph" w:customStyle="1" w:styleId="66">
    <w:name w:val="列出段落2"/>
    <w:basedOn w:val="58"/>
    <w:qFormat/>
    <w:uiPriority w:val="1"/>
    <w:pPr>
      <w:autoSpaceDE w:val="0"/>
      <w:autoSpaceDN w:val="0"/>
      <w:ind w:left="702" w:firstLine="420"/>
      <w:jc w:val="left"/>
    </w:pPr>
    <w:rPr>
      <w:rFonts w:ascii="宋体" w:hAnsi="宋体" w:cs="宋体"/>
      <w:kern w:val="0"/>
      <w:sz w:val="22"/>
      <w:szCs w:val="22"/>
      <w:lang w:val="zh-CN" w:bidi="zh-CN"/>
    </w:rPr>
  </w:style>
  <w:style w:type="paragraph" w:customStyle="1" w:styleId="67">
    <w:name w:val="Normal_13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8">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69">
    <w:name w:val="Normal_12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0">
    <w:name w:val="TOC 标题1"/>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71">
    <w:name w:val="正  文"/>
    <w:basedOn w:val="1"/>
    <w:qFormat/>
    <w:uiPriority w:val="0"/>
    <w:pPr>
      <w:spacing w:line="360" w:lineRule="auto"/>
      <w:ind w:firstLine="200" w:firstLineChars="200"/>
    </w:pPr>
    <w:rPr>
      <w:rFonts w:ascii="宋体" w:hAnsi="Calibri"/>
      <w:sz w:val="24"/>
    </w:rPr>
  </w:style>
  <w:style w:type="paragraph" w:customStyle="1" w:styleId="72">
    <w:name w:val="Normal_12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3">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4">
    <w:name w:val="页眉1"/>
    <w:basedOn w:val="1"/>
    <w:qFormat/>
    <w:uiPriority w:val="0"/>
    <w:pPr>
      <w:pBdr>
        <w:bottom w:val="single" w:color="auto" w:sz="6" w:space="1"/>
      </w:pBdr>
      <w:tabs>
        <w:tab w:val="center" w:pos="4153"/>
        <w:tab w:val="right" w:pos="8306"/>
      </w:tabs>
      <w:snapToGrid w:val="0"/>
      <w:jc w:val="center"/>
    </w:pPr>
    <w:rPr>
      <w:rFonts w:eastAsia="等线"/>
      <w:sz w:val="18"/>
      <w:szCs w:val="20"/>
    </w:rPr>
  </w:style>
  <w:style w:type="paragraph" w:customStyle="1" w:styleId="75">
    <w:name w:val="Normal_1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6">
    <w:name w:val="Normal_12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7">
    <w:name w:val="Normal_131"/>
    <w:qFormat/>
    <w:uiPriority w:val="0"/>
    <w:pPr>
      <w:spacing w:before="120" w:after="240"/>
      <w:jc w:val="both"/>
    </w:pPr>
    <w:rPr>
      <w:rFonts w:ascii="Times New Roman" w:hAnsi="Times New Roman" w:eastAsia="Calibri" w:cs="Times New Roman"/>
      <w:sz w:val="22"/>
      <w:szCs w:val="22"/>
      <w:lang w:val="ru-RU" w:eastAsia="en-US" w:bidi="ar-SA"/>
    </w:rPr>
  </w:style>
  <w:style w:type="character" w:customStyle="1" w:styleId="78">
    <w:name w:val="标题 1 Char"/>
    <w:link w:val="3"/>
    <w:qFormat/>
    <w:uiPriority w:val="0"/>
    <w:rPr>
      <w:b/>
      <w:bCs/>
      <w:kern w:val="44"/>
      <w:sz w:val="44"/>
      <w:szCs w:val="44"/>
    </w:rPr>
  </w:style>
  <w:style w:type="character" w:customStyle="1" w:styleId="79">
    <w:name w:val="日期 Char"/>
    <w:link w:val="19"/>
    <w:qFormat/>
    <w:uiPriority w:val="0"/>
    <w:rPr>
      <w:kern w:val="2"/>
      <w:sz w:val="21"/>
      <w:szCs w:val="24"/>
    </w:rPr>
  </w:style>
  <w:style w:type="character" w:customStyle="1" w:styleId="80">
    <w:name w:val="尾注文本 Char"/>
    <w:qFormat/>
    <w:uiPriority w:val="0"/>
    <w:rPr>
      <w:kern w:val="2"/>
      <w:sz w:val="21"/>
      <w:szCs w:val="24"/>
    </w:rPr>
  </w:style>
  <w:style w:type="character" w:customStyle="1" w:styleId="81">
    <w:name w:val="批注主题 Char"/>
    <w:link w:val="32"/>
    <w:qFormat/>
    <w:uiPriority w:val="0"/>
    <w:rPr>
      <w:b/>
      <w:bCs/>
      <w:kern w:val="2"/>
      <w:sz w:val="21"/>
      <w:szCs w:val="24"/>
    </w:rPr>
  </w:style>
  <w:style w:type="character" w:customStyle="1" w:styleId="82">
    <w:name w:val="副标题 Char"/>
    <w:link w:val="26"/>
    <w:qFormat/>
    <w:uiPriority w:val="0"/>
    <w:rPr>
      <w:szCs w:val="24"/>
      <w:u w:val="single"/>
      <w:lang w:eastAsia="en-US"/>
    </w:rPr>
  </w:style>
  <w:style w:type="character" w:customStyle="1" w:styleId="83">
    <w:name w:val="标题 2 Char"/>
    <w:link w:val="4"/>
    <w:qFormat/>
    <w:uiPriority w:val="0"/>
    <w:rPr>
      <w:rFonts w:ascii="Cambria" w:hAnsi="Cambria"/>
      <w:b/>
      <w:bCs/>
      <w:sz w:val="32"/>
      <w:szCs w:val="32"/>
    </w:rPr>
  </w:style>
  <w:style w:type="character" w:customStyle="1" w:styleId="84">
    <w:name w:val="批注文字 Char"/>
    <w:link w:val="12"/>
    <w:qFormat/>
    <w:uiPriority w:val="99"/>
    <w:rPr>
      <w:kern w:val="2"/>
      <w:sz w:val="21"/>
      <w:szCs w:val="24"/>
    </w:rPr>
  </w:style>
  <w:style w:type="character" w:customStyle="1" w:styleId="85">
    <w:name w:val="标题 9 Char"/>
    <w:link w:val="8"/>
    <w:semiHidden/>
    <w:qFormat/>
    <w:uiPriority w:val="0"/>
    <w:rPr>
      <w:rFonts w:ascii="等线 Light" w:hAnsi="等线 Light" w:eastAsia="等线 Light" w:cs="Times New Roman"/>
      <w:kern w:val="2"/>
      <w:sz w:val="21"/>
      <w:szCs w:val="21"/>
    </w:rPr>
  </w:style>
  <w:style w:type="character" w:customStyle="1" w:styleId="86">
    <w:name w:val="标题 2 Char2"/>
    <w:qFormat/>
    <w:uiPriority w:val="0"/>
    <w:rPr>
      <w:rFonts w:ascii="Cambria" w:hAnsi="Cambria" w:eastAsia="宋体"/>
      <w:b/>
      <w:bCs/>
      <w:kern w:val="2"/>
      <w:sz w:val="32"/>
      <w:szCs w:val="32"/>
      <w:lang w:val="en-US" w:eastAsia="zh-CN" w:bidi="ar-SA"/>
    </w:rPr>
  </w:style>
  <w:style w:type="character" w:customStyle="1" w:styleId="87">
    <w:name w:val="副标题 Char3"/>
    <w:qFormat/>
    <w:uiPriority w:val="0"/>
    <w:rPr>
      <w:rFonts w:eastAsia="宋体"/>
      <w:szCs w:val="24"/>
      <w:u w:val="single"/>
      <w:lang w:val="en-US" w:eastAsia="en-US" w:bidi="ar-SA"/>
    </w:rPr>
  </w:style>
  <w:style w:type="character" w:customStyle="1" w:styleId="88">
    <w:name w:val="批注文字 Char3"/>
    <w:qFormat/>
    <w:uiPriority w:val="99"/>
    <w:rPr>
      <w:rFonts w:eastAsia="宋体"/>
      <w:kern w:val="2"/>
      <w:sz w:val="21"/>
      <w:szCs w:val="24"/>
      <w:lang w:val="en-US" w:eastAsia="zh-CN" w:bidi="ar-SA"/>
    </w:rPr>
  </w:style>
  <w:style w:type="character" w:customStyle="1" w:styleId="89">
    <w:name w:val="批注框文本 Char"/>
    <w:link w:val="21"/>
    <w:qFormat/>
    <w:uiPriority w:val="0"/>
    <w:rPr>
      <w:kern w:val="2"/>
      <w:sz w:val="18"/>
      <w:szCs w:val="18"/>
    </w:rPr>
  </w:style>
  <w:style w:type="character" w:customStyle="1" w:styleId="90">
    <w:name w:val="标题 3 Char"/>
    <w:link w:val="5"/>
    <w:qFormat/>
    <w:uiPriority w:val="0"/>
    <w:rPr>
      <w:b/>
      <w:bCs/>
      <w:kern w:val="2"/>
      <w:sz w:val="32"/>
      <w:szCs w:val="32"/>
    </w:rPr>
  </w:style>
  <w:style w:type="character" w:customStyle="1" w:styleId="91">
    <w:name w:val="未处理的提及"/>
    <w:unhideWhenUsed/>
    <w:qFormat/>
    <w:uiPriority w:val="99"/>
    <w:rPr>
      <w:color w:val="605E5C"/>
      <w:shd w:val="clear" w:color="auto" w:fill="E1DFDD"/>
    </w:rPr>
  </w:style>
  <w:style w:type="character" w:customStyle="1" w:styleId="92">
    <w:name w:val="15"/>
    <w:basedOn w:val="36"/>
    <w:qFormat/>
    <w:uiPriority w:val="0"/>
    <w:rPr>
      <w:rFonts w:hint="default" w:ascii="Times New Roman" w:hAnsi="Times New Roman" w:cs="Times New Roman"/>
    </w:rPr>
  </w:style>
  <w:style w:type="character" w:customStyle="1" w:styleId="93">
    <w:name w:val="10"/>
    <w:basedOn w:val="36"/>
    <w:qFormat/>
    <w:uiPriority w:val="0"/>
    <w:rPr>
      <w:rFonts w:hint="default" w:ascii="Times New Roman" w:hAnsi="Times New Roman" w:cs="Times New Roman"/>
    </w:rPr>
  </w:style>
  <w:style w:type="paragraph" w:customStyle="1" w:styleId="94">
    <w:name w:val="_Style 7"/>
    <w:basedOn w:val="3"/>
    <w:next w:val="1"/>
    <w:qFormat/>
    <w:uiPriority w:val="0"/>
    <w:pPr>
      <w:outlineLvl w:val="9"/>
    </w:pPr>
  </w:style>
  <w:style w:type="paragraph" w:customStyle="1" w:styleId="95">
    <w:name w:val="_Style 2"/>
    <w:basedOn w:val="3"/>
    <w:next w:val="1"/>
    <w:qFormat/>
    <w:uiPriority w:val="0"/>
    <w:pPr>
      <w:widowControl/>
      <w:spacing w:before="480" w:after="0" w:line="276" w:lineRule="auto"/>
      <w:jc w:val="left"/>
      <w:outlineLvl w:val="9"/>
    </w:pPr>
    <w:rPr>
      <w:rFonts w:ascii="Cambria" w:hAnsi="Cambria"/>
      <w:color w:val="365F91"/>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136</Pages>
  <Words>1887</Words>
  <Characters>2311</Characters>
  <Lines>680</Lines>
  <Paragraphs>191</Paragraphs>
  <TotalTime>3</TotalTime>
  <ScaleCrop>false</ScaleCrop>
  <LinksUpToDate>false</LinksUpToDate>
  <CharactersWithSpaces>2425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2023-09-08T06:17:00Z</dcterms:created>
  <dc:creator>Lenovo E480</dc:creator>
  <cp:lastModifiedBy>射手座富豪</cp:lastModifiedBy>
  <cp:lastPrinted>2020-12-25T09:27:00Z</cp:lastPrinted>
  <dcterms:modified xsi:type="dcterms:W3CDTF">2026-06-05T07:37:25Z</dcterms:modified>
  <dc:title>重庆市公路工程施工</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F814F2A8F79F49FD963411D30E67D4FD_13</vt:lpwstr>
  </property>
  <property fmtid="{D5CDD505-2E9C-101B-9397-08002B2CF9AE}" pid="4" name="KSOTemplateDocerSaveRecord">
    <vt:lpwstr>eyJoZGlkIjoiMmViY2MzMmY4ZjlhZjg2YzY5MDlhM2RhYjY2NWE4ZmIiLCJ1c2VySWQiOiI0NTAzMTI4MTQifQ==</vt:lpwstr>
  </property>
</Properties>
</file>