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ind w:left="420" w:leftChars="200" w:right="420" w:rightChars="200"/>
        <w:jc w:val="center"/>
        <w:rPr>
          <w:rFonts w:hint="eastAsia" w:ascii="宋体" w:hAnsi="宋体" w:cs="宋体"/>
          <w:b/>
          <w:sz w:val="40"/>
          <w:szCs w:val="40"/>
          <w:highlight w:val="none"/>
        </w:rPr>
      </w:pPr>
      <w:r>
        <w:rPr>
          <w:rFonts w:hint="eastAsia" w:ascii="宋体" w:hAnsi="宋体" w:cs="宋体"/>
          <w:b/>
          <w:sz w:val="40"/>
          <w:szCs w:val="40"/>
          <w:highlight w:val="none"/>
        </w:rPr>
        <w:t>项目名称：</w:t>
      </w:r>
      <w:bookmarkStart w:id="0" w:name="单据名称"/>
      <w:r>
        <w:rPr>
          <w:rFonts w:hint="eastAsia" w:ascii="宋体" w:hAnsi="宋体" w:cs="宋体"/>
          <w:b/>
          <w:sz w:val="40"/>
          <w:szCs w:val="40"/>
          <w:highlight w:val="none"/>
        </w:rPr>
        <w:t>路面养护科学决策系统建设项目2026年-2030年网络安全等保服务</w:t>
      </w:r>
      <w:bookmarkEnd w:id="0"/>
    </w:p>
    <w:p>
      <w:pPr>
        <w:rPr>
          <w:rFonts w:hint="eastAsia" w:ascii="宋体" w:hAnsi="宋体" w:cs="宋体"/>
          <w:sz w:val="28"/>
          <w:szCs w:val="2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竞</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争</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性</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比</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 xml:space="preserve">选 </w:t>
      </w:r>
    </w:p>
    <w:p>
      <w:pPr>
        <w:jc w:val="center"/>
        <w:rPr>
          <w:rFonts w:hint="eastAsia" w:ascii="宋体" w:hAnsi="宋体" w:cs="宋体"/>
          <w:b/>
          <w:sz w:val="48"/>
          <w:szCs w:val="48"/>
          <w:highlight w:val="none"/>
        </w:rPr>
      </w:pPr>
    </w:p>
    <w:p>
      <w:pPr>
        <w:jc w:val="center"/>
        <w:rPr>
          <w:rFonts w:hint="eastAsia" w:ascii="宋体" w:hAnsi="宋体" w:cs="宋体"/>
          <w:b/>
          <w:sz w:val="48"/>
          <w:szCs w:val="48"/>
          <w:highlight w:val="none"/>
        </w:rPr>
      </w:pPr>
      <w:r>
        <w:rPr>
          <w:rFonts w:hint="eastAsia" w:ascii="宋体" w:hAnsi="宋体" w:cs="宋体"/>
          <w:b/>
          <w:sz w:val="48"/>
          <w:szCs w:val="48"/>
          <w:highlight w:val="none"/>
        </w:rPr>
        <w:t>文</w:t>
      </w:r>
    </w:p>
    <w:p>
      <w:pPr>
        <w:jc w:val="center"/>
        <w:rPr>
          <w:rFonts w:hint="eastAsia" w:ascii="宋体" w:hAnsi="宋体" w:cs="宋体"/>
          <w:b/>
          <w:sz w:val="48"/>
          <w:szCs w:val="48"/>
          <w:highlight w:val="none"/>
        </w:rPr>
      </w:pPr>
    </w:p>
    <w:p>
      <w:pPr>
        <w:jc w:val="center"/>
        <w:rPr>
          <w:rFonts w:hint="eastAsia" w:ascii="宋体" w:hAnsi="宋体" w:cs="宋体"/>
          <w:b/>
          <w:sz w:val="96"/>
          <w:szCs w:val="72"/>
          <w:highlight w:val="none"/>
        </w:rPr>
      </w:pPr>
      <w:r>
        <w:rPr>
          <w:rFonts w:hint="eastAsia" w:ascii="宋体" w:hAnsi="宋体" w:cs="宋体"/>
          <w:b/>
          <w:sz w:val="48"/>
          <w:szCs w:val="48"/>
          <w:highlight w:val="none"/>
        </w:rPr>
        <w:t>件</w:t>
      </w:r>
    </w:p>
    <w:p>
      <w:pPr>
        <w:spacing w:line="400" w:lineRule="exact"/>
        <w:rPr>
          <w:rFonts w:hint="eastAsia" w:ascii="宋体" w:hAnsi="宋体" w:cs="宋体"/>
          <w:highlight w:val="none"/>
        </w:rPr>
      </w:pPr>
    </w:p>
    <w:p>
      <w:pPr>
        <w:rPr>
          <w:highlight w:val="none"/>
        </w:rPr>
      </w:pPr>
    </w:p>
    <w:p>
      <w:pPr>
        <w:jc w:val="center"/>
        <w:rPr>
          <w:rFonts w:hint="eastAsia" w:ascii="宋体" w:hAnsi="宋体" w:cs="宋体"/>
          <w:b/>
          <w:sz w:val="32"/>
          <w:szCs w:val="32"/>
          <w:highlight w:val="none"/>
        </w:rPr>
      </w:pPr>
      <w:r>
        <w:rPr>
          <w:rFonts w:hint="eastAsia" w:ascii="宋体" w:hAnsi="宋体" w:cs="宋体"/>
          <w:b/>
          <w:sz w:val="32"/>
          <w:szCs w:val="32"/>
          <w:highlight w:val="none"/>
        </w:rPr>
        <w:t>采购人：重庆首讯科技股份有限公司</w:t>
      </w:r>
    </w:p>
    <w:p>
      <w:pPr>
        <w:jc w:val="center"/>
        <w:rPr>
          <w:rFonts w:hint="eastAsia" w:ascii="宋体" w:hAnsi="宋体" w:cs="宋体"/>
          <w:b/>
          <w:sz w:val="32"/>
          <w:szCs w:val="32"/>
          <w:highlight w:val="none"/>
          <w:u w:val="single"/>
        </w:rPr>
      </w:pPr>
    </w:p>
    <w:p>
      <w:pPr>
        <w:jc w:val="center"/>
        <w:rPr>
          <w:rFonts w:hint="eastAsia" w:ascii="宋体" w:hAnsi="宋体" w:cs="宋体"/>
          <w:b/>
          <w:sz w:val="32"/>
          <w:szCs w:val="32"/>
          <w:highlight w:val="none"/>
        </w:rPr>
      </w:pPr>
      <w:r>
        <w:rPr>
          <w:rFonts w:hint="eastAsia" w:ascii="宋体" w:hAnsi="宋体" w:cs="宋体"/>
          <w:b/>
          <w:sz w:val="28"/>
          <w:szCs w:val="28"/>
          <w:highlight w:val="none"/>
        </w:rPr>
        <w:t>2026年</w:t>
      </w:r>
      <w:r>
        <w:rPr>
          <w:rFonts w:hint="eastAsia" w:ascii="宋体" w:hAnsi="宋体" w:cs="宋体"/>
          <w:b/>
          <w:sz w:val="28"/>
          <w:szCs w:val="28"/>
          <w:highlight w:val="none"/>
          <w:lang w:val="en-US" w:eastAsia="zh-CN"/>
        </w:rPr>
        <w:t>7</w:t>
      </w:r>
      <w:r>
        <w:rPr>
          <w:rFonts w:hint="eastAsia" w:ascii="宋体" w:hAnsi="宋体" w:cs="宋体"/>
          <w:b/>
          <w:sz w:val="28"/>
          <w:szCs w:val="28"/>
          <w:highlight w:val="none"/>
        </w:rPr>
        <w:t>月</w:t>
      </w:r>
    </w:p>
    <w:p>
      <w:pPr>
        <w:pStyle w:val="28"/>
        <w:jc w:val="center"/>
        <w:rPr>
          <w:rFonts w:hint="eastAsia" w:ascii="宋体" w:hAnsi="宋体" w:cs="宋体"/>
          <w:szCs w:val="21"/>
          <w:highlight w:val="none"/>
        </w:rPr>
      </w:pPr>
      <w:r>
        <w:rPr>
          <w:highlight w:val="none"/>
        </w:rPr>
        <w:br w:type="page"/>
      </w:r>
      <w:bookmarkStart w:id="1" w:name="_Toc507428442"/>
      <w:bookmarkStart w:id="2" w:name="_Toc296602400"/>
      <w:bookmarkStart w:id="3" w:name="_Toc507319889"/>
      <w:bookmarkStart w:id="4" w:name="_Toc247085669"/>
      <w:bookmarkStart w:id="5" w:name="_Toc246996898"/>
      <w:bookmarkStart w:id="6" w:name="_Toc144974479"/>
      <w:r>
        <w:rPr>
          <w:rFonts w:hint="eastAsia" w:ascii="宋体" w:hAnsi="宋体" w:cs="宋体"/>
          <w:b w:val="0"/>
          <w:sz w:val="32"/>
          <w:highlight w:val="none"/>
        </w:rPr>
        <w:t>目   录</w:t>
      </w:r>
      <w:bookmarkEnd w:id="1"/>
      <w:bookmarkEnd w:id="2"/>
      <w:bookmarkEnd w:id="3"/>
      <w:bookmarkEnd w:id="4"/>
      <w:bookmarkEnd w:id="5"/>
    </w:p>
    <w:p>
      <w:pPr>
        <w:pStyle w:val="28"/>
        <w:jc w:val="center"/>
        <w:rPr>
          <w:rFonts w:hint="eastAsia" w:ascii="宋体" w:hAnsi="宋体" w:cs="宋体"/>
          <w:szCs w:val="21"/>
          <w:highlight w:val="none"/>
        </w:rPr>
      </w:pPr>
    </w:p>
    <w:p>
      <w:pPr>
        <w:pStyle w:val="28"/>
        <w:tabs>
          <w:tab w:val="right" w:leader="dot" w:pos="9638"/>
        </w:tabs>
        <w:rPr>
          <w:highlight w:val="none"/>
        </w:rPr>
      </w:pPr>
      <w:r>
        <w:rPr>
          <w:rFonts w:hint="eastAsia" w:ascii="宋体" w:hAnsi="宋体" w:cs="宋体"/>
          <w:b w:val="0"/>
          <w:bCs w:val="0"/>
          <w:caps w:val="0"/>
          <w:highlight w:val="none"/>
        </w:rPr>
        <w:fldChar w:fldCharType="begin"/>
      </w:r>
      <w:r>
        <w:rPr>
          <w:rFonts w:hint="eastAsia" w:ascii="宋体" w:hAnsi="宋体" w:cs="宋体"/>
          <w:b w:val="0"/>
          <w:bCs w:val="0"/>
          <w:caps w:val="0"/>
          <w:highlight w:val="none"/>
        </w:rPr>
        <w:instrText xml:space="preserve"> TOC \o "1-2" \h \z \u </w:instrText>
      </w:r>
      <w:r>
        <w:rPr>
          <w:rFonts w:hint="eastAsia" w:ascii="宋体" w:hAnsi="宋体" w:cs="宋体"/>
          <w:b w:val="0"/>
          <w:bCs w:val="0"/>
          <w:caps w:val="0"/>
          <w:highlight w:val="none"/>
        </w:rPr>
        <w:fldChar w:fldCharType="separate"/>
      </w: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_Toc7416 </w:instrText>
      </w:r>
      <w:r>
        <w:rPr>
          <w:rFonts w:hint="eastAsia" w:ascii="宋体" w:hAnsi="宋体" w:cs="宋体"/>
          <w:bCs w:val="0"/>
          <w:caps w:val="0"/>
          <w:highlight w:val="none"/>
        </w:rPr>
        <w:fldChar w:fldCharType="separate"/>
      </w:r>
      <w:r>
        <w:rPr>
          <w:rFonts w:hint="eastAsia" w:ascii="宋体" w:hAnsi="宋体" w:cs="宋体"/>
          <w:bCs/>
          <w:smallCaps w:val="0"/>
          <w:kern w:val="44"/>
          <w:szCs w:val="44"/>
          <w:highlight w:val="none"/>
        </w:rPr>
        <w:t>第一章 比选公告</w:t>
      </w:r>
      <w:r>
        <w:rPr>
          <w:highlight w:val="none"/>
        </w:rPr>
        <w:tab/>
      </w:r>
      <w:r>
        <w:rPr>
          <w:highlight w:val="none"/>
        </w:rPr>
        <w:fldChar w:fldCharType="begin"/>
      </w:r>
      <w:r>
        <w:rPr>
          <w:highlight w:val="none"/>
        </w:rPr>
        <w:instrText xml:space="preserve"> PAGEREF _Toc7416 \h </w:instrText>
      </w:r>
      <w:r>
        <w:rPr>
          <w:highlight w:val="none"/>
        </w:rPr>
        <w:fldChar w:fldCharType="separate"/>
      </w:r>
      <w:r>
        <w:rPr>
          <w:highlight w:val="none"/>
        </w:rPr>
        <w:t>1</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_Toc19817 </w:instrText>
      </w:r>
      <w:r>
        <w:rPr>
          <w:rFonts w:hint="eastAsia" w:ascii="宋体" w:hAnsi="宋体" w:cs="宋体"/>
          <w:bCs w:val="0"/>
          <w:caps w:val="0"/>
          <w:highlight w:val="none"/>
        </w:rPr>
        <w:fldChar w:fldCharType="separate"/>
      </w:r>
      <w:r>
        <w:rPr>
          <w:rFonts w:hint="eastAsia" w:ascii="宋体" w:hAnsi="宋体" w:eastAsia="宋体" w:cs="宋体"/>
          <w:highlight w:val="none"/>
        </w:rPr>
        <w:t>1. 比选条件</w:t>
      </w:r>
      <w:r>
        <w:rPr>
          <w:highlight w:val="none"/>
        </w:rPr>
        <w:tab/>
      </w:r>
      <w:r>
        <w:rPr>
          <w:highlight w:val="none"/>
        </w:rPr>
        <w:fldChar w:fldCharType="begin"/>
      </w:r>
      <w:r>
        <w:rPr>
          <w:highlight w:val="none"/>
        </w:rPr>
        <w:instrText xml:space="preserve"> PAGEREF _Toc19817 \h </w:instrText>
      </w:r>
      <w:r>
        <w:rPr>
          <w:highlight w:val="none"/>
        </w:rPr>
        <w:fldChar w:fldCharType="separate"/>
      </w:r>
      <w:r>
        <w:rPr>
          <w:highlight w:val="none"/>
        </w:rPr>
        <w:t>1</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_Toc30536 </w:instrText>
      </w:r>
      <w:r>
        <w:rPr>
          <w:rFonts w:hint="eastAsia" w:ascii="宋体" w:hAnsi="宋体" w:cs="宋体"/>
          <w:bCs w:val="0"/>
          <w:caps w:val="0"/>
          <w:highlight w:val="none"/>
        </w:rPr>
        <w:fldChar w:fldCharType="separate"/>
      </w:r>
      <w:r>
        <w:rPr>
          <w:rFonts w:hint="eastAsia" w:ascii="宋体" w:hAnsi="宋体" w:eastAsia="宋体" w:cs="宋体"/>
          <w:highlight w:val="none"/>
        </w:rPr>
        <w:t>2. 项目概况与比选范围</w:t>
      </w:r>
      <w:r>
        <w:rPr>
          <w:highlight w:val="none"/>
        </w:rPr>
        <w:tab/>
      </w:r>
      <w:r>
        <w:rPr>
          <w:highlight w:val="none"/>
        </w:rPr>
        <w:fldChar w:fldCharType="begin"/>
      </w:r>
      <w:r>
        <w:rPr>
          <w:highlight w:val="none"/>
        </w:rPr>
        <w:instrText xml:space="preserve"> PAGEREF _Toc30536 \h </w:instrText>
      </w:r>
      <w:r>
        <w:rPr>
          <w:highlight w:val="none"/>
        </w:rPr>
        <w:fldChar w:fldCharType="separate"/>
      </w:r>
      <w:r>
        <w:rPr>
          <w:highlight w:val="none"/>
        </w:rPr>
        <w:t>1</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_Toc15492 </w:instrText>
      </w:r>
      <w:r>
        <w:rPr>
          <w:rFonts w:hint="eastAsia" w:ascii="宋体" w:hAnsi="宋体" w:cs="宋体"/>
          <w:bCs w:val="0"/>
          <w:caps w:val="0"/>
          <w:highlight w:val="none"/>
        </w:rPr>
        <w:fldChar w:fldCharType="separate"/>
      </w:r>
      <w:r>
        <w:rPr>
          <w:rFonts w:hint="eastAsia" w:ascii="宋体" w:hAnsi="宋体" w:eastAsia="宋体" w:cs="宋体"/>
          <w:highlight w:val="none"/>
        </w:rPr>
        <w:t>3. 报价人资格要求</w:t>
      </w:r>
      <w:r>
        <w:rPr>
          <w:highlight w:val="none"/>
        </w:rPr>
        <w:tab/>
      </w:r>
      <w:r>
        <w:rPr>
          <w:highlight w:val="none"/>
        </w:rPr>
        <w:fldChar w:fldCharType="begin"/>
      </w:r>
      <w:r>
        <w:rPr>
          <w:highlight w:val="none"/>
        </w:rPr>
        <w:instrText xml:space="preserve"> PAGEREF _Toc15492 \h </w:instrText>
      </w:r>
      <w:r>
        <w:rPr>
          <w:highlight w:val="none"/>
        </w:rPr>
        <w:fldChar w:fldCharType="separate"/>
      </w:r>
      <w:r>
        <w:rPr>
          <w:highlight w:val="none"/>
        </w:rPr>
        <w:t>1</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_Toc1783 </w:instrText>
      </w:r>
      <w:r>
        <w:rPr>
          <w:rFonts w:hint="eastAsia" w:ascii="宋体" w:hAnsi="宋体" w:cs="宋体"/>
          <w:bCs w:val="0"/>
          <w:caps w:val="0"/>
          <w:highlight w:val="none"/>
        </w:rPr>
        <w:fldChar w:fldCharType="separate"/>
      </w:r>
      <w:r>
        <w:rPr>
          <w:rFonts w:hint="eastAsia" w:ascii="宋体" w:hAnsi="宋体" w:eastAsia="宋体" w:cs="宋体"/>
          <w:highlight w:val="none"/>
        </w:rPr>
        <w:t>4. 评标办法</w:t>
      </w:r>
      <w:r>
        <w:rPr>
          <w:highlight w:val="none"/>
        </w:rPr>
        <w:tab/>
      </w:r>
      <w:r>
        <w:rPr>
          <w:highlight w:val="none"/>
        </w:rPr>
        <w:fldChar w:fldCharType="begin"/>
      </w:r>
      <w:r>
        <w:rPr>
          <w:highlight w:val="none"/>
        </w:rPr>
        <w:instrText xml:space="preserve"> PAGEREF _Toc1783 \h </w:instrText>
      </w:r>
      <w:r>
        <w:rPr>
          <w:highlight w:val="none"/>
        </w:rPr>
        <w:fldChar w:fldCharType="separate"/>
      </w:r>
      <w:r>
        <w:rPr>
          <w:highlight w:val="none"/>
        </w:rPr>
        <w:t>1</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_Toc28958 </w:instrText>
      </w:r>
      <w:r>
        <w:rPr>
          <w:rFonts w:hint="eastAsia" w:ascii="宋体" w:hAnsi="宋体" w:cs="宋体"/>
          <w:bCs w:val="0"/>
          <w:caps w:val="0"/>
          <w:highlight w:val="none"/>
        </w:rPr>
        <w:fldChar w:fldCharType="separate"/>
      </w: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比选文件的获取</w:t>
      </w:r>
      <w:r>
        <w:rPr>
          <w:highlight w:val="none"/>
        </w:rPr>
        <w:tab/>
      </w:r>
      <w:r>
        <w:rPr>
          <w:highlight w:val="none"/>
        </w:rPr>
        <w:fldChar w:fldCharType="begin"/>
      </w:r>
      <w:r>
        <w:rPr>
          <w:highlight w:val="none"/>
        </w:rPr>
        <w:instrText xml:space="preserve"> PAGEREF _Toc28958 \h </w:instrText>
      </w:r>
      <w:r>
        <w:rPr>
          <w:highlight w:val="none"/>
        </w:rPr>
        <w:fldChar w:fldCharType="separate"/>
      </w:r>
      <w:r>
        <w:rPr>
          <w:highlight w:val="none"/>
        </w:rPr>
        <w:t>1</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_Toc20055 </w:instrText>
      </w:r>
      <w:r>
        <w:rPr>
          <w:rFonts w:hint="eastAsia" w:ascii="宋体" w:hAnsi="宋体" w:cs="宋体"/>
          <w:bCs w:val="0"/>
          <w:caps w:val="0"/>
          <w:highlight w:val="none"/>
        </w:rPr>
        <w:fldChar w:fldCharType="separate"/>
      </w:r>
      <w:r>
        <w:rPr>
          <w:rFonts w:hint="eastAsia" w:ascii="宋体" w:hAnsi="宋体" w:eastAsia="宋体" w:cs="宋体"/>
          <w:highlight w:val="none"/>
        </w:rPr>
        <w:t>6. 竞争性比选响应文件的递交及相关事宜</w:t>
      </w:r>
      <w:r>
        <w:rPr>
          <w:highlight w:val="none"/>
        </w:rPr>
        <w:tab/>
      </w:r>
      <w:r>
        <w:rPr>
          <w:highlight w:val="none"/>
        </w:rPr>
        <w:fldChar w:fldCharType="begin"/>
      </w:r>
      <w:r>
        <w:rPr>
          <w:highlight w:val="none"/>
        </w:rPr>
        <w:instrText xml:space="preserve"> PAGEREF _Toc20055 \h </w:instrText>
      </w:r>
      <w:r>
        <w:rPr>
          <w:highlight w:val="none"/>
        </w:rPr>
        <w:fldChar w:fldCharType="separate"/>
      </w:r>
      <w:r>
        <w:rPr>
          <w:highlight w:val="none"/>
        </w:rPr>
        <w:t>1</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_Toc15120 </w:instrText>
      </w:r>
      <w:r>
        <w:rPr>
          <w:rFonts w:hint="eastAsia" w:ascii="宋体" w:hAnsi="宋体" w:cs="宋体"/>
          <w:bCs w:val="0"/>
          <w:caps w:val="0"/>
          <w:highlight w:val="none"/>
        </w:rPr>
        <w:fldChar w:fldCharType="separate"/>
      </w:r>
      <w:r>
        <w:rPr>
          <w:rFonts w:hint="eastAsia" w:ascii="宋体" w:hAnsi="宋体" w:eastAsia="宋体" w:cs="宋体"/>
          <w:highlight w:val="none"/>
        </w:rPr>
        <w:t>7. 联系方式</w:t>
      </w:r>
      <w:r>
        <w:rPr>
          <w:highlight w:val="none"/>
        </w:rPr>
        <w:tab/>
      </w:r>
      <w:r>
        <w:rPr>
          <w:highlight w:val="none"/>
        </w:rPr>
        <w:fldChar w:fldCharType="begin"/>
      </w:r>
      <w:r>
        <w:rPr>
          <w:highlight w:val="none"/>
        </w:rPr>
        <w:instrText xml:space="preserve"> PAGEREF _Toc15120 \h </w:instrText>
      </w:r>
      <w:r>
        <w:rPr>
          <w:highlight w:val="none"/>
        </w:rPr>
        <w:fldChar w:fldCharType="separate"/>
      </w:r>
      <w:r>
        <w:rPr>
          <w:highlight w:val="none"/>
        </w:rPr>
        <w:t>2</w:t>
      </w:r>
      <w:r>
        <w:rPr>
          <w:highlight w:val="none"/>
        </w:rPr>
        <w:fldChar w:fldCharType="end"/>
      </w:r>
      <w:r>
        <w:rPr>
          <w:rFonts w:hint="eastAsia" w:ascii="宋体" w:hAnsi="宋体" w:cs="宋体"/>
          <w:bCs w:val="0"/>
          <w:caps w:val="0"/>
          <w:highlight w:val="none"/>
        </w:rPr>
        <w:fldChar w:fldCharType="end"/>
      </w:r>
    </w:p>
    <w:p>
      <w:pPr>
        <w:pStyle w:val="28"/>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_Toc8556 </w:instrText>
      </w:r>
      <w:r>
        <w:rPr>
          <w:rFonts w:hint="eastAsia" w:ascii="宋体" w:hAnsi="宋体" w:cs="宋体"/>
          <w:bCs w:val="0"/>
          <w:caps w:val="0"/>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_Toc8556 \h </w:instrText>
      </w:r>
      <w:r>
        <w:rPr>
          <w:highlight w:val="none"/>
        </w:rPr>
        <w:fldChar w:fldCharType="separate"/>
      </w:r>
      <w:r>
        <w:rPr>
          <w:highlight w:val="none"/>
        </w:rPr>
        <w:t>3</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_Toc31663 </w:instrText>
      </w:r>
      <w:r>
        <w:rPr>
          <w:rFonts w:hint="eastAsia" w:ascii="宋体" w:hAnsi="宋体" w:cs="宋体"/>
          <w:bCs w:val="0"/>
          <w:caps w:val="0"/>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rPr>
          <w:highlight w:val="none"/>
        </w:rPr>
        <w:tab/>
      </w:r>
      <w:r>
        <w:rPr>
          <w:highlight w:val="none"/>
        </w:rPr>
        <w:fldChar w:fldCharType="begin"/>
      </w:r>
      <w:r>
        <w:rPr>
          <w:highlight w:val="none"/>
        </w:rPr>
        <w:instrText xml:space="preserve"> PAGEREF _Toc31663 \h </w:instrText>
      </w:r>
      <w:r>
        <w:rPr>
          <w:highlight w:val="none"/>
        </w:rPr>
        <w:fldChar w:fldCharType="separate"/>
      </w:r>
      <w:r>
        <w:rPr>
          <w:highlight w:val="none"/>
        </w:rPr>
        <w:t>10</w:t>
      </w:r>
      <w:r>
        <w:rPr>
          <w:highlight w:val="none"/>
        </w:rPr>
        <w:fldChar w:fldCharType="end"/>
      </w:r>
      <w:r>
        <w:rPr>
          <w:rFonts w:hint="eastAsia" w:ascii="宋体" w:hAnsi="宋体" w:cs="宋体"/>
          <w:bCs w:val="0"/>
          <w:caps w:val="0"/>
          <w:highlight w:val="none"/>
        </w:rPr>
        <w:fldChar w:fldCharType="end"/>
      </w:r>
    </w:p>
    <w:p>
      <w:pPr>
        <w:pStyle w:val="28"/>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_Toc19471 </w:instrText>
      </w:r>
      <w:r>
        <w:rPr>
          <w:rFonts w:hint="eastAsia" w:ascii="宋体" w:hAnsi="宋体" w:cs="宋体"/>
          <w:bCs w:val="0"/>
          <w:caps w:val="0"/>
          <w:highlight w:val="none"/>
        </w:rPr>
        <w:fldChar w:fldCharType="separate"/>
      </w:r>
      <w:r>
        <w:rPr>
          <w:rFonts w:hint="eastAsia"/>
          <w:highlight w:val="none"/>
        </w:rPr>
        <w:t xml:space="preserve">第三章 </w:t>
      </w:r>
      <w:r>
        <w:rPr>
          <w:rFonts w:hint="eastAsia" w:ascii="宋体" w:hAnsi="宋体" w:cs="宋体"/>
          <w:highlight w:val="none"/>
        </w:rPr>
        <w:t>评标办法（综合评估法）</w:t>
      </w:r>
      <w:r>
        <w:rPr>
          <w:highlight w:val="none"/>
        </w:rPr>
        <w:tab/>
      </w:r>
      <w:r>
        <w:rPr>
          <w:highlight w:val="none"/>
        </w:rPr>
        <w:fldChar w:fldCharType="begin"/>
      </w:r>
      <w:r>
        <w:rPr>
          <w:highlight w:val="none"/>
        </w:rPr>
        <w:instrText xml:space="preserve"> PAGEREF _Toc19471 \h </w:instrText>
      </w:r>
      <w:r>
        <w:rPr>
          <w:highlight w:val="none"/>
        </w:rPr>
        <w:fldChar w:fldCharType="separate"/>
      </w:r>
      <w:r>
        <w:rPr>
          <w:highlight w:val="none"/>
        </w:rPr>
        <w:t>11</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_Toc26599 </w:instrText>
      </w:r>
      <w:r>
        <w:rPr>
          <w:rFonts w:hint="eastAsia" w:ascii="宋体" w:hAnsi="宋体" w:cs="宋体"/>
          <w:bCs w:val="0"/>
          <w:caps w:val="0"/>
          <w:highlight w:val="none"/>
        </w:rPr>
        <w:fldChar w:fldCharType="separate"/>
      </w:r>
      <w:r>
        <w:rPr>
          <w:rFonts w:hint="eastAsia" w:ascii="宋体" w:hAnsi="宋体" w:cs="宋体"/>
          <w:szCs w:val="21"/>
          <w:highlight w:val="none"/>
        </w:rPr>
        <w:t>1.  评标方法</w:t>
      </w:r>
      <w:r>
        <w:rPr>
          <w:highlight w:val="none"/>
        </w:rPr>
        <w:tab/>
      </w:r>
      <w:r>
        <w:rPr>
          <w:highlight w:val="none"/>
        </w:rPr>
        <w:fldChar w:fldCharType="begin"/>
      </w:r>
      <w:r>
        <w:rPr>
          <w:highlight w:val="none"/>
        </w:rPr>
        <w:instrText xml:space="preserve"> PAGEREF _Toc26599 \h </w:instrText>
      </w:r>
      <w:r>
        <w:rPr>
          <w:highlight w:val="none"/>
        </w:rPr>
        <w:fldChar w:fldCharType="separate"/>
      </w:r>
      <w:r>
        <w:rPr>
          <w:highlight w:val="none"/>
        </w:rPr>
        <w:t>14</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_Toc11814 </w:instrText>
      </w:r>
      <w:r>
        <w:rPr>
          <w:rFonts w:hint="eastAsia" w:ascii="宋体" w:hAnsi="宋体" w:cs="宋体"/>
          <w:bCs w:val="0"/>
          <w:caps w:val="0"/>
          <w:highlight w:val="none"/>
        </w:rPr>
        <w:fldChar w:fldCharType="separate"/>
      </w:r>
      <w:r>
        <w:rPr>
          <w:rFonts w:hint="eastAsia" w:ascii="宋体" w:hAnsi="宋体" w:cs="宋体"/>
          <w:szCs w:val="21"/>
          <w:highlight w:val="none"/>
        </w:rPr>
        <w:t>2.  评审标准</w:t>
      </w:r>
      <w:r>
        <w:rPr>
          <w:highlight w:val="none"/>
        </w:rPr>
        <w:tab/>
      </w:r>
      <w:r>
        <w:rPr>
          <w:highlight w:val="none"/>
        </w:rPr>
        <w:fldChar w:fldCharType="begin"/>
      </w:r>
      <w:r>
        <w:rPr>
          <w:highlight w:val="none"/>
        </w:rPr>
        <w:instrText xml:space="preserve"> PAGEREF _Toc11814 \h </w:instrText>
      </w:r>
      <w:r>
        <w:rPr>
          <w:highlight w:val="none"/>
        </w:rPr>
        <w:fldChar w:fldCharType="separate"/>
      </w:r>
      <w:r>
        <w:rPr>
          <w:highlight w:val="none"/>
        </w:rPr>
        <w:t>14</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_Toc3077 </w:instrText>
      </w:r>
      <w:r>
        <w:rPr>
          <w:rFonts w:hint="eastAsia" w:ascii="宋体" w:hAnsi="宋体" w:cs="宋体"/>
          <w:bCs w:val="0"/>
          <w:caps w:val="0"/>
          <w:highlight w:val="none"/>
        </w:rPr>
        <w:fldChar w:fldCharType="separate"/>
      </w:r>
      <w:r>
        <w:rPr>
          <w:rFonts w:hint="eastAsia" w:ascii="宋体" w:hAnsi="宋体" w:cs="宋体"/>
          <w:szCs w:val="21"/>
          <w:highlight w:val="none"/>
        </w:rPr>
        <w:t>3.  评标程序</w:t>
      </w:r>
      <w:r>
        <w:rPr>
          <w:highlight w:val="none"/>
        </w:rPr>
        <w:tab/>
      </w:r>
      <w:r>
        <w:rPr>
          <w:highlight w:val="none"/>
        </w:rPr>
        <w:fldChar w:fldCharType="begin"/>
      </w:r>
      <w:r>
        <w:rPr>
          <w:highlight w:val="none"/>
        </w:rPr>
        <w:instrText xml:space="preserve"> PAGEREF _Toc3077 \h </w:instrText>
      </w:r>
      <w:r>
        <w:rPr>
          <w:highlight w:val="none"/>
        </w:rPr>
        <w:fldChar w:fldCharType="separate"/>
      </w:r>
      <w:r>
        <w:rPr>
          <w:highlight w:val="none"/>
        </w:rPr>
        <w:t>14</w:t>
      </w:r>
      <w:r>
        <w:rPr>
          <w:highlight w:val="none"/>
        </w:rPr>
        <w:fldChar w:fldCharType="end"/>
      </w:r>
      <w:r>
        <w:rPr>
          <w:rFonts w:hint="eastAsia" w:ascii="宋体" w:hAnsi="宋体" w:cs="宋体"/>
          <w:bCs w:val="0"/>
          <w:caps w:val="0"/>
          <w:highlight w:val="none"/>
        </w:rPr>
        <w:fldChar w:fldCharType="end"/>
      </w:r>
    </w:p>
    <w:p>
      <w:pPr>
        <w:pStyle w:val="28"/>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_Toc9925 </w:instrText>
      </w:r>
      <w:r>
        <w:rPr>
          <w:rFonts w:hint="eastAsia" w:ascii="宋体" w:hAnsi="宋体" w:cs="宋体"/>
          <w:bCs w:val="0"/>
          <w:caps w:val="0"/>
          <w:highlight w:val="none"/>
        </w:rPr>
        <w:fldChar w:fldCharType="separate"/>
      </w:r>
      <w:r>
        <w:rPr>
          <w:rFonts w:hint="eastAsia" w:ascii="宋体" w:hAnsi="宋体" w:cs="宋体"/>
          <w:highlight w:val="none"/>
        </w:rPr>
        <w:t>第四章  服务要求</w:t>
      </w:r>
      <w:r>
        <w:rPr>
          <w:highlight w:val="none"/>
        </w:rPr>
        <w:tab/>
      </w:r>
      <w:r>
        <w:rPr>
          <w:highlight w:val="none"/>
        </w:rPr>
        <w:fldChar w:fldCharType="begin"/>
      </w:r>
      <w:r>
        <w:rPr>
          <w:highlight w:val="none"/>
        </w:rPr>
        <w:instrText xml:space="preserve"> PAGEREF _Toc9925 \h </w:instrText>
      </w:r>
      <w:r>
        <w:rPr>
          <w:highlight w:val="none"/>
        </w:rPr>
        <w:fldChar w:fldCharType="separate"/>
      </w:r>
      <w:r>
        <w:rPr>
          <w:highlight w:val="none"/>
        </w:rPr>
        <w:t>16</w:t>
      </w:r>
      <w:r>
        <w:rPr>
          <w:highlight w:val="none"/>
        </w:rPr>
        <w:fldChar w:fldCharType="end"/>
      </w:r>
      <w:r>
        <w:rPr>
          <w:rFonts w:hint="eastAsia" w:ascii="宋体" w:hAnsi="宋体" w:cs="宋体"/>
          <w:bCs w:val="0"/>
          <w:caps w:val="0"/>
          <w:highlight w:val="none"/>
        </w:rPr>
        <w:fldChar w:fldCharType="end"/>
      </w:r>
    </w:p>
    <w:p>
      <w:pPr>
        <w:pStyle w:val="28"/>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_Toc9951 </w:instrText>
      </w:r>
      <w:r>
        <w:rPr>
          <w:rFonts w:hint="eastAsia" w:ascii="宋体" w:hAnsi="宋体" w:cs="宋体"/>
          <w:bCs w:val="0"/>
          <w:caps w:val="0"/>
          <w:highlight w:val="none"/>
        </w:rPr>
        <w:fldChar w:fldCharType="separate"/>
      </w:r>
      <w:r>
        <w:rPr>
          <w:rFonts w:hint="eastAsia" w:ascii="宋体" w:hAnsi="宋体" w:cs="宋体"/>
          <w:bCs/>
          <w:kern w:val="44"/>
          <w:szCs w:val="44"/>
          <w:highlight w:val="none"/>
        </w:rPr>
        <w:t>第五章  合同范本</w:t>
      </w:r>
      <w:r>
        <w:rPr>
          <w:highlight w:val="none"/>
        </w:rPr>
        <w:tab/>
      </w:r>
      <w:r>
        <w:rPr>
          <w:highlight w:val="none"/>
        </w:rPr>
        <w:fldChar w:fldCharType="begin"/>
      </w:r>
      <w:r>
        <w:rPr>
          <w:highlight w:val="none"/>
        </w:rPr>
        <w:instrText xml:space="preserve"> PAGEREF _Toc9951 \h </w:instrText>
      </w:r>
      <w:r>
        <w:rPr>
          <w:highlight w:val="none"/>
        </w:rPr>
        <w:fldChar w:fldCharType="separate"/>
      </w:r>
      <w:r>
        <w:rPr>
          <w:highlight w:val="none"/>
        </w:rPr>
        <w:t>17</w:t>
      </w:r>
      <w:r>
        <w:rPr>
          <w:highlight w:val="none"/>
        </w:rPr>
        <w:fldChar w:fldCharType="end"/>
      </w:r>
      <w:r>
        <w:rPr>
          <w:rFonts w:hint="eastAsia" w:ascii="宋体" w:hAnsi="宋体" w:cs="宋体"/>
          <w:bCs w:val="0"/>
          <w:caps w:val="0"/>
          <w:highlight w:val="none"/>
        </w:rPr>
        <w:fldChar w:fldCharType="end"/>
      </w:r>
    </w:p>
    <w:p>
      <w:pPr>
        <w:pStyle w:val="28"/>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_Toc11571 </w:instrText>
      </w:r>
      <w:r>
        <w:rPr>
          <w:rFonts w:hint="eastAsia" w:ascii="宋体" w:hAnsi="宋体" w:cs="宋体"/>
          <w:bCs w:val="0"/>
          <w:caps w:val="0"/>
          <w:highlight w:val="none"/>
        </w:rPr>
        <w:fldChar w:fldCharType="separate"/>
      </w:r>
      <w:r>
        <w:rPr>
          <w:rFonts w:hint="eastAsia" w:ascii="宋体" w:hAnsi="宋体" w:cs="宋体"/>
          <w:highlight w:val="none"/>
        </w:rPr>
        <w:t>第六章  竞争性比选响应文件格式</w:t>
      </w:r>
      <w:r>
        <w:rPr>
          <w:highlight w:val="none"/>
        </w:rPr>
        <w:tab/>
      </w:r>
      <w:r>
        <w:rPr>
          <w:highlight w:val="none"/>
        </w:rPr>
        <w:fldChar w:fldCharType="begin"/>
      </w:r>
      <w:r>
        <w:rPr>
          <w:highlight w:val="none"/>
        </w:rPr>
        <w:instrText xml:space="preserve"> PAGEREF _Toc11571 \h </w:instrText>
      </w:r>
      <w:r>
        <w:rPr>
          <w:highlight w:val="none"/>
        </w:rPr>
        <w:fldChar w:fldCharType="separate"/>
      </w:r>
      <w:r>
        <w:rPr>
          <w:highlight w:val="none"/>
        </w:rPr>
        <w:t>20</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_Toc24387 </w:instrText>
      </w:r>
      <w:r>
        <w:rPr>
          <w:rFonts w:hint="eastAsia" w:ascii="宋体" w:hAnsi="宋体" w:cs="宋体"/>
          <w:bCs w:val="0"/>
          <w:caps w:val="0"/>
          <w:highlight w:val="none"/>
        </w:rPr>
        <w:fldChar w:fldCharType="separate"/>
      </w:r>
      <w:r>
        <w:rPr>
          <w:rFonts w:hint="eastAsia" w:ascii="宋体" w:hAnsi="宋体" w:eastAsia="宋体" w:cs="宋体"/>
          <w:highlight w:val="none"/>
        </w:rPr>
        <w:t>一、 竞争性比选响应声明书</w:t>
      </w:r>
      <w:r>
        <w:rPr>
          <w:highlight w:val="none"/>
        </w:rPr>
        <w:tab/>
      </w:r>
      <w:r>
        <w:rPr>
          <w:highlight w:val="none"/>
        </w:rPr>
        <w:fldChar w:fldCharType="begin"/>
      </w:r>
      <w:r>
        <w:rPr>
          <w:highlight w:val="none"/>
        </w:rPr>
        <w:instrText xml:space="preserve"> PAGEREF _Toc24387 \h </w:instrText>
      </w:r>
      <w:r>
        <w:rPr>
          <w:highlight w:val="none"/>
        </w:rPr>
        <w:fldChar w:fldCharType="separate"/>
      </w:r>
      <w:r>
        <w:rPr>
          <w:highlight w:val="none"/>
        </w:rPr>
        <w:t>23</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_Toc12064 </w:instrText>
      </w:r>
      <w:r>
        <w:rPr>
          <w:rFonts w:hint="eastAsia" w:ascii="宋体" w:hAnsi="宋体" w:cs="宋体"/>
          <w:bCs w:val="0"/>
          <w:caps w:val="0"/>
          <w:highlight w:val="none"/>
        </w:rPr>
        <w:fldChar w:fldCharType="separate"/>
      </w:r>
      <w:r>
        <w:rPr>
          <w:rFonts w:hint="eastAsia" w:ascii="宋体" w:hAnsi="宋体" w:eastAsia="宋体" w:cs="宋体"/>
          <w:highlight w:val="none"/>
        </w:rPr>
        <w:t>二、 法定代表人身份证明或法定代表人授权委托书</w:t>
      </w:r>
      <w:r>
        <w:rPr>
          <w:highlight w:val="none"/>
        </w:rPr>
        <w:tab/>
      </w:r>
      <w:r>
        <w:rPr>
          <w:highlight w:val="none"/>
        </w:rPr>
        <w:fldChar w:fldCharType="begin"/>
      </w:r>
      <w:r>
        <w:rPr>
          <w:highlight w:val="none"/>
        </w:rPr>
        <w:instrText xml:space="preserve"> PAGEREF _Toc12064 \h </w:instrText>
      </w:r>
      <w:r>
        <w:rPr>
          <w:highlight w:val="none"/>
        </w:rPr>
        <w:fldChar w:fldCharType="separate"/>
      </w:r>
      <w:r>
        <w:rPr>
          <w:highlight w:val="none"/>
        </w:rPr>
        <w:t>24</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_Toc11728 </w:instrText>
      </w:r>
      <w:r>
        <w:rPr>
          <w:rFonts w:hint="eastAsia" w:ascii="宋体" w:hAnsi="宋体" w:cs="宋体"/>
          <w:bCs w:val="0"/>
          <w:caps w:val="0"/>
          <w:highlight w:val="none"/>
        </w:rPr>
        <w:fldChar w:fldCharType="separate"/>
      </w:r>
      <w:r>
        <w:rPr>
          <w:rFonts w:hint="eastAsia" w:ascii="宋体" w:hAnsi="宋体" w:eastAsia="宋体" w:cs="宋体"/>
          <w:highlight w:val="none"/>
        </w:rPr>
        <w:t>三、报价一览表</w:t>
      </w:r>
      <w:r>
        <w:rPr>
          <w:highlight w:val="none"/>
        </w:rPr>
        <w:tab/>
      </w:r>
      <w:r>
        <w:rPr>
          <w:highlight w:val="none"/>
        </w:rPr>
        <w:fldChar w:fldCharType="begin"/>
      </w:r>
      <w:r>
        <w:rPr>
          <w:highlight w:val="none"/>
        </w:rPr>
        <w:instrText xml:space="preserve"> PAGEREF _Toc11728 \h </w:instrText>
      </w:r>
      <w:r>
        <w:rPr>
          <w:highlight w:val="none"/>
        </w:rPr>
        <w:fldChar w:fldCharType="separate"/>
      </w:r>
      <w:r>
        <w:rPr>
          <w:highlight w:val="none"/>
        </w:rPr>
        <w:t>26</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_Toc17816 </w:instrText>
      </w:r>
      <w:r>
        <w:rPr>
          <w:rFonts w:hint="eastAsia" w:ascii="宋体" w:hAnsi="宋体" w:cs="宋体"/>
          <w:bCs w:val="0"/>
          <w:caps w:val="0"/>
          <w:highlight w:val="none"/>
        </w:rPr>
        <w:fldChar w:fldCharType="separate"/>
      </w:r>
      <w:r>
        <w:rPr>
          <w:rFonts w:hint="eastAsia" w:ascii="宋体" w:hAnsi="宋体" w:eastAsia="宋体" w:cs="宋体"/>
          <w:highlight w:val="none"/>
        </w:rPr>
        <w:t>四、资格审查资料</w:t>
      </w:r>
      <w:r>
        <w:rPr>
          <w:highlight w:val="none"/>
        </w:rPr>
        <w:tab/>
      </w:r>
      <w:r>
        <w:rPr>
          <w:highlight w:val="none"/>
        </w:rPr>
        <w:fldChar w:fldCharType="begin"/>
      </w:r>
      <w:r>
        <w:rPr>
          <w:highlight w:val="none"/>
        </w:rPr>
        <w:instrText xml:space="preserve"> PAGEREF _Toc17816 \h </w:instrText>
      </w:r>
      <w:r>
        <w:rPr>
          <w:highlight w:val="none"/>
        </w:rPr>
        <w:fldChar w:fldCharType="separate"/>
      </w:r>
      <w:r>
        <w:rPr>
          <w:highlight w:val="none"/>
        </w:rPr>
        <w:t>27</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_Toc26280 </w:instrText>
      </w:r>
      <w:r>
        <w:rPr>
          <w:rFonts w:hint="eastAsia" w:ascii="宋体" w:hAnsi="宋体" w:cs="宋体"/>
          <w:bCs w:val="0"/>
          <w:caps w:val="0"/>
          <w:highlight w:val="none"/>
        </w:rPr>
        <w:fldChar w:fldCharType="separate"/>
      </w:r>
      <w:r>
        <w:rPr>
          <w:rFonts w:hint="eastAsia" w:ascii="宋体" w:hAnsi="宋体" w:eastAsia="宋体" w:cs="宋体"/>
          <w:highlight w:val="none"/>
        </w:rPr>
        <w:t>五、报价人承诺</w:t>
      </w:r>
      <w:r>
        <w:rPr>
          <w:highlight w:val="none"/>
        </w:rPr>
        <w:tab/>
      </w:r>
      <w:r>
        <w:rPr>
          <w:highlight w:val="none"/>
        </w:rPr>
        <w:fldChar w:fldCharType="begin"/>
      </w:r>
      <w:r>
        <w:rPr>
          <w:highlight w:val="none"/>
        </w:rPr>
        <w:instrText xml:space="preserve"> PAGEREF _Toc26280 \h </w:instrText>
      </w:r>
      <w:r>
        <w:rPr>
          <w:highlight w:val="none"/>
        </w:rPr>
        <w:fldChar w:fldCharType="separate"/>
      </w:r>
      <w:r>
        <w:rPr>
          <w:highlight w:val="none"/>
        </w:rPr>
        <w:t>32</w:t>
      </w:r>
      <w:r>
        <w:rPr>
          <w:highlight w:val="none"/>
        </w:rPr>
        <w:fldChar w:fldCharType="end"/>
      </w:r>
      <w:r>
        <w:rPr>
          <w:rFonts w:hint="eastAsia" w:ascii="宋体" w:hAnsi="宋体" w:cs="宋体"/>
          <w:bCs w:val="0"/>
          <w:caps w:val="0"/>
          <w:highlight w:val="none"/>
        </w:rPr>
        <w:fldChar w:fldCharType="end"/>
      </w:r>
    </w:p>
    <w:p>
      <w:pPr>
        <w:pStyle w:val="34"/>
        <w:tabs>
          <w:tab w:val="right" w:leader="dot" w:pos="9638"/>
        </w:tabs>
        <w:rPr>
          <w:highlight w:val="none"/>
        </w:rPr>
      </w:pPr>
      <w:r>
        <w:rPr>
          <w:rFonts w:hint="eastAsia" w:ascii="宋体" w:hAnsi="宋体" w:cs="宋体"/>
          <w:bCs w:val="0"/>
          <w:caps w:val="0"/>
          <w:highlight w:val="none"/>
        </w:rPr>
        <w:fldChar w:fldCharType="begin"/>
      </w:r>
      <w:r>
        <w:rPr>
          <w:rFonts w:hint="eastAsia" w:ascii="宋体" w:hAnsi="宋体" w:cs="宋体"/>
          <w:bCs w:val="0"/>
          <w:caps w:val="0"/>
          <w:highlight w:val="none"/>
        </w:rPr>
        <w:instrText xml:space="preserve"> HYPERLINK \l _Toc7792 </w:instrText>
      </w:r>
      <w:r>
        <w:rPr>
          <w:rFonts w:hint="eastAsia" w:ascii="宋体" w:hAnsi="宋体" w:cs="宋体"/>
          <w:bCs w:val="0"/>
          <w:caps w:val="0"/>
          <w:highlight w:val="none"/>
        </w:rPr>
        <w:fldChar w:fldCharType="separate"/>
      </w:r>
      <w:r>
        <w:rPr>
          <w:rFonts w:hint="eastAsia" w:ascii="宋体" w:hAnsi="宋体" w:cs="宋体"/>
          <w:bCs/>
          <w:kern w:val="0"/>
          <w:szCs w:val="32"/>
          <w:highlight w:val="none"/>
        </w:rPr>
        <w:t>六、报价人其他资料</w:t>
      </w:r>
      <w:r>
        <w:rPr>
          <w:highlight w:val="none"/>
        </w:rPr>
        <w:tab/>
      </w:r>
      <w:r>
        <w:rPr>
          <w:highlight w:val="none"/>
        </w:rPr>
        <w:fldChar w:fldCharType="begin"/>
      </w:r>
      <w:r>
        <w:rPr>
          <w:highlight w:val="none"/>
        </w:rPr>
        <w:instrText xml:space="preserve"> PAGEREF _Toc7792 \h </w:instrText>
      </w:r>
      <w:r>
        <w:rPr>
          <w:highlight w:val="none"/>
        </w:rPr>
        <w:fldChar w:fldCharType="separate"/>
      </w:r>
      <w:r>
        <w:rPr>
          <w:highlight w:val="none"/>
        </w:rPr>
        <w:t>33</w:t>
      </w:r>
      <w:r>
        <w:rPr>
          <w:highlight w:val="none"/>
        </w:rPr>
        <w:fldChar w:fldCharType="end"/>
      </w:r>
      <w:r>
        <w:rPr>
          <w:rFonts w:hint="eastAsia" w:ascii="宋体" w:hAnsi="宋体" w:cs="宋体"/>
          <w:bCs w:val="0"/>
          <w:caps w:val="0"/>
          <w:highlight w:val="none"/>
        </w:rPr>
        <w:fldChar w:fldCharType="end"/>
      </w:r>
    </w:p>
    <w:p>
      <w:pPr>
        <w:pStyle w:val="28"/>
        <w:jc w:val="center"/>
        <w:rPr>
          <w:rFonts w:hint="eastAsia" w:ascii="宋体" w:hAnsi="宋体" w:cs="宋体"/>
          <w:b w:val="0"/>
          <w:bCs w:val="0"/>
          <w:caps w:val="0"/>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val="0"/>
          <w:caps w:val="0"/>
          <w:highlight w:val="none"/>
        </w:rPr>
        <w:fldChar w:fldCharType="end"/>
      </w:r>
    </w:p>
    <w:p>
      <w:pPr>
        <w:pStyle w:val="34"/>
        <w:tabs>
          <w:tab w:val="right" w:leader="dot" w:pos="9628"/>
        </w:tabs>
        <w:ind w:left="0"/>
        <w:jc w:val="center"/>
        <w:outlineLvl w:val="0"/>
        <w:rPr>
          <w:rFonts w:hint="eastAsia" w:ascii="宋体" w:hAnsi="宋体" w:cs="宋体"/>
          <w:b/>
          <w:bCs/>
          <w:smallCaps w:val="0"/>
          <w:kern w:val="44"/>
          <w:sz w:val="44"/>
          <w:szCs w:val="44"/>
          <w:highlight w:val="none"/>
        </w:rPr>
      </w:pPr>
      <w:bookmarkStart w:id="7" w:name="_Toc10142"/>
      <w:bookmarkStart w:id="8" w:name="_Toc7416"/>
      <w:r>
        <w:rPr>
          <w:rFonts w:hint="eastAsia" w:ascii="宋体" w:hAnsi="宋体" w:cs="宋体"/>
          <w:b/>
          <w:bCs/>
          <w:smallCaps w:val="0"/>
          <w:kern w:val="44"/>
          <w:sz w:val="44"/>
          <w:szCs w:val="44"/>
          <w:highlight w:val="none"/>
        </w:rPr>
        <w:t xml:space="preserve">第一章 </w:t>
      </w:r>
      <w:bookmarkEnd w:id="6"/>
      <w:bookmarkStart w:id="267" w:name="_GoBack"/>
      <w:r>
        <w:rPr>
          <w:rFonts w:hint="eastAsia" w:ascii="宋体" w:hAnsi="宋体" w:cs="宋体"/>
          <w:b/>
          <w:bCs/>
          <w:smallCaps w:val="0"/>
          <w:kern w:val="44"/>
          <w:sz w:val="44"/>
          <w:szCs w:val="44"/>
          <w:highlight w:val="none"/>
        </w:rPr>
        <w:t>比选公告</w:t>
      </w:r>
      <w:bookmarkEnd w:id="7"/>
      <w:bookmarkEnd w:id="8"/>
    </w:p>
    <w:p>
      <w:pPr>
        <w:spacing w:line="440" w:lineRule="exact"/>
        <w:jc w:val="center"/>
        <w:rPr>
          <w:rFonts w:hint="eastAsia" w:ascii="宋体" w:hAnsi="宋体" w:cs="宋体"/>
          <w:b/>
          <w:sz w:val="28"/>
          <w:szCs w:val="28"/>
          <w:highlight w:val="none"/>
        </w:rPr>
      </w:pPr>
    </w:p>
    <w:p>
      <w:pPr>
        <w:pStyle w:val="4"/>
        <w:spacing w:before="0" w:after="0" w:line="360" w:lineRule="auto"/>
        <w:rPr>
          <w:rFonts w:hint="eastAsia" w:ascii="宋体" w:hAnsi="宋体" w:eastAsia="宋体" w:cs="宋体"/>
          <w:highlight w:val="none"/>
        </w:rPr>
      </w:pPr>
      <w:bookmarkStart w:id="9" w:name="_Toc152045512"/>
      <w:bookmarkStart w:id="10" w:name="_Toc144974480"/>
      <w:bookmarkStart w:id="11" w:name="_Toc247085672"/>
      <w:bookmarkStart w:id="12" w:name="_Toc6549"/>
      <w:bookmarkStart w:id="13" w:name="_Toc13849"/>
      <w:bookmarkStart w:id="14" w:name="_Toc10076"/>
      <w:bookmarkStart w:id="15" w:name="_Toc152042288"/>
      <w:bookmarkStart w:id="16" w:name="_Toc507319891"/>
      <w:bookmarkStart w:id="17" w:name="_Toc246996901"/>
      <w:bookmarkStart w:id="18" w:name="_Toc24874"/>
      <w:bookmarkStart w:id="19" w:name="_Toc19817"/>
      <w:bookmarkStart w:id="20" w:name="_Toc11329213"/>
      <w:bookmarkStart w:id="21" w:name="_Toc179632528"/>
      <w:r>
        <w:rPr>
          <w:rFonts w:hint="eastAsia" w:ascii="宋体" w:hAnsi="宋体" w:eastAsia="宋体" w:cs="宋体"/>
          <w:highlight w:val="none"/>
        </w:rPr>
        <w:t>1. 比选条件</w:t>
      </w:r>
      <w:bookmarkEnd w:id="9"/>
      <w:bookmarkEnd w:id="10"/>
      <w:bookmarkEnd w:id="11"/>
      <w:bookmarkEnd w:id="12"/>
      <w:bookmarkEnd w:id="13"/>
      <w:bookmarkEnd w:id="14"/>
      <w:bookmarkEnd w:id="15"/>
      <w:bookmarkEnd w:id="16"/>
      <w:bookmarkEnd w:id="17"/>
      <w:bookmarkEnd w:id="18"/>
      <w:bookmarkEnd w:id="19"/>
      <w:bookmarkEnd w:id="20"/>
      <w:bookmarkEnd w:id="21"/>
    </w:p>
    <w:p>
      <w:pPr>
        <w:spacing w:line="400" w:lineRule="exact"/>
        <w:rPr>
          <w:rFonts w:hint="eastAsia" w:ascii="宋体" w:hAnsi="宋体" w:cs="宋体"/>
          <w:szCs w:val="21"/>
          <w:highlight w:val="none"/>
        </w:rPr>
      </w:pPr>
      <w:r>
        <w:rPr>
          <w:rFonts w:hint="eastAsia" w:ascii="宋体" w:hAnsi="宋体" w:cs="宋体"/>
          <w:szCs w:val="21"/>
          <w:highlight w:val="none"/>
        </w:rPr>
        <w:t>　　本竞争性比选项目</w:t>
      </w:r>
      <w:bookmarkStart w:id="22" w:name="单据名称1"/>
      <w:r>
        <w:rPr>
          <w:rFonts w:hint="eastAsia" w:ascii="宋体" w:hAnsi="宋体" w:cs="宋体"/>
          <w:szCs w:val="21"/>
          <w:highlight w:val="none"/>
          <w:u w:val="single"/>
        </w:rPr>
        <w:t>路面养护科学决策系统建设项目2026年-2030年网络安全等保服务</w:t>
      </w:r>
      <w:bookmarkEnd w:id="22"/>
      <w:r>
        <w:rPr>
          <w:rFonts w:hint="eastAsia" w:ascii="宋体" w:hAnsi="宋体" w:cs="宋体"/>
          <w:szCs w:val="21"/>
          <w:highlight w:val="none"/>
        </w:rPr>
        <w:t>，采购人为</w:t>
      </w:r>
      <w:r>
        <w:rPr>
          <w:rFonts w:hint="eastAsia" w:ascii="宋体" w:hAnsi="宋体" w:cs="宋体"/>
          <w:szCs w:val="21"/>
          <w:highlight w:val="none"/>
          <w:u w:val="single"/>
        </w:rPr>
        <w:t>重庆首讯科技股份有限公司</w:t>
      </w:r>
      <w:r>
        <w:rPr>
          <w:rFonts w:hint="eastAsia" w:ascii="宋体" w:hAnsi="宋体" w:cs="宋体"/>
          <w:szCs w:val="21"/>
          <w:highlight w:val="none"/>
        </w:rPr>
        <w:t>，该项目已具备比选条件，现对该项目进行竞争性比选。</w:t>
      </w:r>
    </w:p>
    <w:p>
      <w:pPr>
        <w:pStyle w:val="4"/>
        <w:spacing w:before="120" w:after="0" w:line="360" w:lineRule="auto"/>
        <w:rPr>
          <w:rFonts w:hint="eastAsia" w:ascii="宋体" w:hAnsi="宋体" w:eastAsia="宋体" w:cs="宋体"/>
          <w:highlight w:val="none"/>
        </w:rPr>
      </w:pPr>
      <w:bookmarkStart w:id="23" w:name="_Toc21343"/>
      <w:bookmarkStart w:id="24" w:name="_Toc18109"/>
      <w:bookmarkStart w:id="25" w:name="_Toc144974481"/>
      <w:bookmarkStart w:id="26" w:name="_Toc246996902"/>
      <w:bookmarkStart w:id="27" w:name="_Toc10952"/>
      <w:bookmarkStart w:id="28" w:name="_Toc152042289"/>
      <w:bookmarkStart w:id="29" w:name="_Toc152045513"/>
      <w:bookmarkStart w:id="30" w:name="_Toc179632529"/>
      <w:bookmarkStart w:id="31" w:name="_Toc7760"/>
      <w:bookmarkStart w:id="32" w:name="_Toc30536"/>
      <w:bookmarkStart w:id="33" w:name="_Toc247085673"/>
      <w:bookmarkStart w:id="34" w:name="_Toc507319892"/>
      <w:bookmarkStart w:id="35" w:name="_Toc246996159"/>
      <w:bookmarkStart w:id="36" w:name="_Toc11329214"/>
      <w:r>
        <w:rPr>
          <w:rFonts w:hint="eastAsia" w:ascii="宋体" w:hAnsi="宋体" w:eastAsia="宋体" w:cs="宋体"/>
          <w:highlight w:val="none"/>
        </w:rPr>
        <w:t>2. 项目概况与比选范围</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spacing w:line="420" w:lineRule="exact"/>
        <w:ind w:firstLine="420" w:firstLineChars="200"/>
        <w:rPr>
          <w:rFonts w:hint="eastAsia" w:ascii="宋体" w:hAnsi="宋体" w:cs="宋体"/>
          <w:highlight w:val="none"/>
        </w:rPr>
      </w:pPr>
      <w:bookmarkStart w:id="37" w:name="_Toc265234827"/>
      <w:bookmarkStart w:id="38" w:name="_Toc382816230"/>
      <w:r>
        <w:rPr>
          <w:rFonts w:hint="eastAsia" w:ascii="宋体" w:hAnsi="宋体" w:cs="宋体"/>
          <w:highlight w:val="none"/>
        </w:rPr>
        <w:t>2.1服务地点：</w:t>
      </w:r>
      <w:bookmarkStart w:id="39" w:name="交货地点"/>
      <w:r>
        <w:rPr>
          <w:rFonts w:hint="eastAsia" w:ascii="宋体" w:hAnsi="宋体" w:cs="宋体"/>
          <w:szCs w:val="21"/>
          <w:highlight w:val="none"/>
          <w:u w:val="single"/>
        </w:rPr>
        <w:t>重庆市</w:t>
      </w:r>
      <w:bookmarkEnd w:id="39"/>
    </w:p>
    <w:p>
      <w:pPr>
        <w:spacing w:line="420" w:lineRule="exact"/>
        <w:ind w:firstLine="420" w:firstLineChars="200"/>
        <w:rPr>
          <w:rFonts w:hint="eastAsia" w:ascii="宋体" w:hAnsi="宋体" w:cs="宋体"/>
          <w:highlight w:val="none"/>
        </w:rPr>
      </w:pPr>
      <w:r>
        <w:rPr>
          <w:rFonts w:hint="eastAsia" w:ascii="宋体" w:hAnsi="宋体" w:cs="宋体"/>
          <w:highlight w:val="none"/>
        </w:rPr>
        <w:t>2.2项目概况：</w:t>
      </w:r>
      <w:bookmarkStart w:id="40" w:name="项目概况"/>
      <w:r>
        <w:rPr>
          <w:rFonts w:hint="eastAsia" w:ascii="宋体" w:hAnsi="宋体" w:cs="宋体"/>
          <w:szCs w:val="21"/>
          <w:highlight w:val="none"/>
          <w:u w:val="single"/>
        </w:rPr>
        <w:t>重庆高速公路路面养护科学决策系统建设项目</w:t>
      </w:r>
      <w:r>
        <w:rPr>
          <w:rFonts w:hint="eastAsia" w:ascii="宋体" w:hAnsi="宋体" w:cs="宋体"/>
          <w:szCs w:val="21"/>
          <w:highlight w:val="none"/>
          <w:u w:val="single"/>
          <w:lang w:val="en-US" w:eastAsia="zh-CN"/>
        </w:rPr>
        <w:t>的</w:t>
      </w:r>
      <w:r>
        <w:rPr>
          <w:rFonts w:hint="eastAsia" w:ascii="宋体" w:hAnsi="宋体" w:cs="宋体"/>
          <w:szCs w:val="21"/>
          <w:highlight w:val="none"/>
          <w:u w:val="single"/>
        </w:rPr>
        <w:t>网络安全等保服务。</w:t>
      </w:r>
      <w:bookmarkEnd w:id="40"/>
    </w:p>
    <w:p>
      <w:pPr>
        <w:spacing w:line="420" w:lineRule="exact"/>
        <w:ind w:firstLine="420" w:firstLineChars="200"/>
        <w:rPr>
          <w:rFonts w:hint="eastAsia" w:ascii="宋体" w:hAnsi="宋体" w:cs="宋体"/>
          <w:highlight w:val="none"/>
        </w:rPr>
      </w:pPr>
      <w:r>
        <w:rPr>
          <w:rFonts w:hint="eastAsia" w:ascii="宋体" w:hAnsi="宋体" w:cs="宋体"/>
          <w:highlight w:val="none"/>
        </w:rPr>
        <w:t>2.3项目规模</w:t>
      </w:r>
      <w:r>
        <w:rPr>
          <w:rFonts w:hint="eastAsia" w:ascii="宋体" w:hAnsi="宋体" w:cs="宋体"/>
          <w:szCs w:val="21"/>
          <w:highlight w:val="none"/>
        </w:rPr>
        <w:t>：约</w:t>
      </w:r>
      <w:bookmarkStart w:id="41" w:name="预算金额"/>
      <w:r>
        <w:rPr>
          <w:rFonts w:hint="eastAsia" w:ascii="宋体" w:hAnsi="宋体" w:cs="宋体"/>
          <w:szCs w:val="21"/>
          <w:highlight w:val="none"/>
          <w:u w:val="single"/>
          <w:lang w:val="en-US" w:eastAsia="zh-CN"/>
        </w:rPr>
        <w:t>38</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0</w:t>
      </w:r>
      <w:bookmarkEnd w:id="41"/>
      <w:r>
        <w:rPr>
          <w:rFonts w:hint="eastAsia" w:ascii="宋体" w:hAnsi="宋体" w:cs="宋体"/>
          <w:szCs w:val="21"/>
          <w:highlight w:val="none"/>
        </w:rPr>
        <w:t>万元。</w:t>
      </w:r>
    </w:p>
    <w:p>
      <w:pPr>
        <w:wordWrap w:val="0"/>
        <w:snapToGrid w:val="0"/>
        <w:spacing w:line="420" w:lineRule="exact"/>
        <w:ind w:firstLine="424" w:firstLineChars="202"/>
        <w:rPr>
          <w:rFonts w:hint="eastAsia" w:ascii="宋体" w:hAnsi="宋体" w:cs="宋体"/>
          <w:b/>
          <w:bCs/>
          <w:highlight w:val="none"/>
          <w:u w:val="single"/>
        </w:rPr>
      </w:pPr>
      <w:r>
        <w:rPr>
          <w:rFonts w:hint="eastAsia" w:ascii="宋体" w:hAnsi="宋体" w:cs="宋体"/>
          <w:highlight w:val="none"/>
        </w:rPr>
        <w:t>2.4比选范围：</w:t>
      </w:r>
      <w:r>
        <w:rPr>
          <w:rFonts w:hint="eastAsia" w:ascii="宋体" w:hAnsi="宋体" w:cs="宋体"/>
          <w:highlight w:val="none"/>
          <w:u w:val="single"/>
        </w:rPr>
        <w:t xml:space="preserve"> </w:t>
      </w:r>
      <w:r>
        <w:rPr>
          <w:rFonts w:hint="eastAsia" w:ascii="宋体" w:hAnsi="宋体" w:cs="宋体"/>
          <w:highlight w:val="none"/>
          <w:u w:val="single"/>
          <w:lang w:val="en-US" w:eastAsia="zh-CN"/>
        </w:rPr>
        <w:t>网络安全技术服务</w:t>
      </w:r>
      <w:r>
        <w:rPr>
          <w:rFonts w:hint="eastAsia" w:ascii="宋体" w:hAnsi="宋体" w:cs="宋体"/>
          <w:highlight w:val="none"/>
          <w:u w:val="single"/>
        </w:rPr>
        <w:t xml:space="preserve"> </w:t>
      </w:r>
      <w:r>
        <w:rPr>
          <w:rFonts w:hint="eastAsia" w:ascii="宋体" w:hAnsi="宋体" w:cs="宋体"/>
          <w:highlight w:val="none"/>
        </w:rPr>
        <w:t>；具体详见“第四章 服务要求”</w:t>
      </w:r>
      <w:r>
        <w:rPr>
          <w:rFonts w:hint="eastAsia" w:ascii="宋体" w:hAnsi="宋体" w:cs="宋体"/>
          <w:szCs w:val="21"/>
          <w:highlight w:val="none"/>
        </w:rPr>
        <w:t>。</w:t>
      </w:r>
    </w:p>
    <w:bookmarkEnd w:id="37"/>
    <w:bookmarkEnd w:id="38"/>
    <w:p>
      <w:pPr>
        <w:spacing w:line="420" w:lineRule="exact"/>
        <w:ind w:firstLine="420" w:firstLineChars="200"/>
        <w:rPr>
          <w:rFonts w:hint="eastAsia" w:ascii="宋体" w:hAnsi="宋体" w:cs="宋体"/>
          <w:szCs w:val="21"/>
          <w:highlight w:val="none"/>
        </w:rPr>
      </w:pPr>
      <w:r>
        <w:rPr>
          <w:rFonts w:hint="eastAsia" w:ascii="宋体" w:hAnsi="宋体" w:cs="宋体"/>
          <w:highlight w:val="none"/>
        </w:rPr>
        <w:t>2.5服务期限：</w:t>
      </w:r>
      <w:bookmarkStart w:id="42" w:name="工期、货期要求"/>
      <w:r>
        <w:rPr>
          <w:rFonts w:hint="eastAsia" w:ascii="宋体" w:hAnsi="宋体" w:cs="宋体"/>
          <w:szCs w:val="21"/>
          <w:highlight w:val="none"/>
          <w:u w:val="single"/>
        </w:rPr>
        <w:t>服务期限为5年。</w:t>
      </w:r>
      <w:bookmarkEnd w:id="42"/>
    </w:p>
    <w:p>
      <w:pPr>
        <w:wordWrap w:val="0"/>
        <w:snapToGrid w:val="0"/>
        <w:spacing w:line="420" w:lineRule="exact"/>
        <w:ind w:firstLine="413" w:firstLineChars="197"/>
        <w:rPr>
          <w:rFonts w:hint="eastAsia" w:ascii="宋体" w:hAnsi="宋体" w:cs="宋体"/>
          <w:szCs w:val="21"/>
          <w:highlight w:val="none"/>
        </w:rPr>
      </w:pPr>
      <w:bookmarkStart w:id="43" w:name="_Toc144974482"/>
      <w:bookmarkStart w:id="44" w:name="_Toc247085674"/>
      <w:bookmarkStart w:id="45" w:name="_Toc30356"/>
      <w:bookmarkStart w:id="46" w:name="_Toc152045514"/>
      <w:bookmarkStart w:id="47" w:name="_Toc10171"/>
      <w:bookmarkStart w:id="48" w:name="_Toc507319893"/>
      <w:bookmarkStart w:id="49" w:name="_Toc246996903"/>
      <w:bookmarkStart w:id="50" w:name="_Toc11329215"/>
      <w:bookmarkStart w:id="51" w:name="_Toc246996160"/>
      <w:bookmarkStart w:id="52" w:name="_Toc7065"/>
      <w:bookmarkStart w:id="53" w:name="_Toc179632530"/>
      <w:bookmarkStart w:id="54" w:name="_Toc152042290"/>
      <w:r>
        <w:rPr>
          <w:rFonts w:hint="eastAsia" w:ascii="宋体" w:hAnsi="宋体" w:cs="宋体"/>
          <w:szCs w:val="21"/>
          <w:highlight w:val="none"/>
        </w:rPr>
        <w:t>2.6标段划分：</w:t>
      </w:r>
      <w:r>
        <w:rPr>
          <w:rFonts w:hint="eastAsia" w:ascii="宋体" w:hAnsi="宋体" w:cs="宋体"/>
          <w:highlight w:val="none"/>
        </w:rPr>
        <w:t>本项目划分为</w:t>
      </w:r>
      <w:bookmarkStart w:id="55" w:name="标段划分"/>
      <w:r>
        <w:rPr>
          <w:rFonts w:hint="eastAsia" w:ascii="宋体" w:hAnsi="宋体" w:cs="宋体"/>
          <w:highlight w:val="none"/>
          <w:u w:val="single"/>
        </w:rPr>
        <w:t>1</w:t>
      </w:r>
      <w:bookmarkEnd w:id="55"/>
      <w:r>
        <w:rPr>
          <w:rFonts w:hint="eastAsia" w:ascii="宋体" w:hAnsi="宋体" w:cs="宋体"/>
          <w:highlight w:val="none"/>
        </w:rPr>
        <w:t>个标段。</w:t>
      </w:r>
    </w:p>
    <w:p>
      <w:pPr>
        <w:pStyle w:val="4"/>
        <w:spacing w:before="120" w:after="0" w:line="360" w:lineRule="auto"/>
        <w:rPr>
          <w:rFonts w:hint="eastAsia" w:ascii="宋体" w:hAnsi="宋体" w:eastAsia="宋体" w:cs="宋体"/>
          <w:highlight w:val="none"/>
        </w:rPr>
      </w:pPr>
      <w:bookmarkStart w:id="56" w:name="_Toc13092"/>
      <w:bookmarkStart w:id="57" w:name="_Toc15492"/>
      <w:r>
        <w:rPr>
          <w:rFonts w:hint="eastAsia" w:ascii="宋体" w:hAnsi="宋体" w:eastAsia="宋体" w:cs="宋体"/>
          <w:highlight w:val="none"/>
        </w:rPr>
        <w:t>3. 报价人资格要求</w:t>
      </w:r>
      <w:bookmarkEnd w:id="43"/>
      <w:bookmarkEnd w:id="44"/>
      <w:bookmarkEnd w:id="45"/>
      <w:bookmarkEnd w:id="46"/>
      <w:bookmarkEnd w:id="47"/>
      <w:bookmarkEnd w:id="48"/>
      <w:bookmarkEnd w:id="49"/>
      <w:bookmarkEnd w:id="50"/>
      <w:bookmarkEnd w:id="51"/>
      <w:bookmarkEnd w:id="52"/>
      <w:bookmarkEnd w:id="53"/>
      <w:bookmarkEnd w:id="54"/>
      <w:bookmarkEnd w:id="56"/>
      <w:bookmarkEnd w:id="57"/>
    </w:p>
    <w:p>
      <w:pPr>
        <w:pStyle w:val="13"/>
        <w:adjustRightInd w:val="0"/>
        <w:spacing w:line="400" w:lineRule="exact"/>
        <w:rPr>
          <w:rFonts w:hint="eastAsia" w:ascii="宋体" w:hAnsi="宋体" w:cs="宋体"/>
          <w:sz w:val="21"/>
          <w:szCs w:val="21"/>
          <w:highlight w:val="none"/>
        </w:rPr>
      </w:pPr>
      <w:bookmarkStart w:id="58" w:name="_Toc246996904"/>
      <w:bookmarkStart w:id="59" w:name="_Toc152042291"/>
      <w:bookmarkStart w:id="60" w:name="_Toc152045515"/>
      <w:bookmarkStart w:id="61" w:name="_Toc144974483"/>
      <w:bookmarkStart w:id="62" w:name="_Toc246996161"/>
      <w:bookmarkStart w:id="63" w:name="_Toc247085675"/>
      <w:bookmarkStart w:id="64" w:name="_Toc179632531"/>
      <w:r>
        <w:rPr>
          <w:rFonts w:hint="eastAsia" w:ascii="宋体" w:hAnsi="宋体" w:cs="宋体"/>
          <w:sz w:val="21"/>
          <w:szCs w:val="21"/>
          <w:highlight w:val="none"/>
        </w:rPr>
        <w:t>3.1 资质要求：</w:t>
      </w:r>
      <w:bookmarkStart w:id="65" w:name="资质要求"/>
      <w:r>
        <w:rPr>
          <w:rFonts w:hint="eastAsia" w:ascii="宋体" w:hAnsi="宋体" w:cs="宋体"/>
          <w:sz w:val="21"/>
          <w:szCs w:val="21"/>
          <w:highlight w:val="none"/>
        </w:rPr>
        <w:t>报价人具有独立法人资格及有效的营业执照。</w:t>
      </w:r>
      <w:bookmarkEnd w:id="65"/>
    </w:p>
    <w:p>
      <w:pPr>
        <w:pStyle w:val="13"/>
        <w:wordWrap w:val="0"/>
        <w:adjustRightInd w:val="0"/>
        <w:spacing w:line="400" w:lineRule="exact"/>
        <w:rPr>
          <w:rFonts w:hint="eastAsia" w:ascii="宋体" w:hAnsi="宋体" w:cs="宋体"/>
          <w:sz w:val="21"/>
          <w:szCs w:val="21"/>
          <w:highlight w:val="none"/>
          <w:shd w:val="clear" w:color="auto" w:fill="FFFFFF"/>
        </w:rPr>
      </w:pPr>
      <w:r>
        <w:rPr>
          <w:rFonts w:hint="eastAsia" w:ascii="宋体" w:hAnsi="宋体" w:cs="宋体"/>
          <w:sz w:val="21"/>
          <w:szCs w:val="21"/>
          <w:highlight w:val="none"/>
        </w:rPr>
        <w:t>3.2 业绩要求：</w:t>
      </w:r>
      <w:bookmarkStart w:id="66" w:name="业绩要求"/>
      <w:r>
        <w:rPr>
          <w:rFonts w:hint="eastAsia" w:ascii="宋体" w:hAnsi="宋体" w:cs="宋体"/>
          <w:sz w:val="21"/>
          <w:szCs w:val="21"/>
          <w:highlight w:val="none"/>
        </w:rPr>
        <w:t>2023年1月1日至报价截止日期（以合同签订时间为准）至少独立完成一项合同金额不低于20万元的网络安全建设或服务项目相关业绩。</w:t>
      </w:r>
      <w:bookmarkEnd w:id="66"/>
    </w:p>
    <w:p>
      <w:pPr>
        <w:wordWrap w:val="0"/>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3.3信誉要求：</w:t>
      </w: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3.4 本次比选不接受联合体报价。</w:t>
      </w:r>
    </w:p>
    <w:p>
      <w:pPr>
        <w:spacing w:line="40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rPr>
        <w:t xml:space="preserve">3.5 </w:t>
      </w:r>
      <w:r>
        <w:rPr>
          <w:rFonts w:hint="eastAsia" w:ascii="宋体" w:hAnsi="宋体" w:cs="宋体"/>
          <w:highlight w:val="none"/>
          <w:shd w:val="clear" w:color="auto" w:fill="FFFFFF"/>
        </w:rPr>
        <w:t>单位负责人为同一人或者存在控股、管理关系的不同单位，不得同时参加本项目报价，否则均按无效报价处理。</w:t>
      </w:r>
    </w:p>
    <w:p>
      <w:pPr>
        <w:pStyle w:val="4"/>
        <w:spacing w:before="120" w:after="0" w:line="400" w:lineRule="exact"/>
        <w:rPr>
          <w:rFonts w:hint="eastAsia" w:ascii="宋体" w:hAnsi="宋体" w:eastAsia="宋体" w:cs="宋体"/>
          <w:highlight w:val="none"/>
        </w:rPr>
      </w:pPr>
      <w:bookmarkStart w:id="67" w:name="_Toc1783"/>
      <w:bookmarkStart w:id="68" w:name="_Toc13035"/>
      <w:bookmarkStart w:id="69" w:name="_Toc12460"/>
      <w:bookmarkStart w:id="70" w:name="_Toc25619"/>
      <w:bookmarkStart w:id="71" w:name="_Toc507319894"/>
      <w:bookmarkStart w:id="72" w:name="_Toc11329216"/>
      <w:bookmarkStart w:id="73" w:name="_Toc14361"/>
      <w:r>
        <w:rPr>
          <w:rFonts w:hint="eastAsia" w:ascii="宋体" w:hAnsi="宋体" w:eastAsia="宋体" w:cs="宋体"/>
          <w:highlight w:val="none"/>
        </w:rPr>
        <w:t>4. 评标办法</w:t>
      </w:r>
      <w:bookmarkEnd w:id="67"/>
      <w:bookmarkEnd w:id="68"/>
    </w:p>
    <w:p>
      <w:pPr>
        <w:keepNext/>
        <w:keepLines/>
        <w:spacing w:before="120" w:line="400" w:lineRule="exact"/>
        <w:ind w:firstLine="420" w:firstLineChars="200"/>
        <w:rPr>
          <w:rFonts w:hint="eastAsia" w:ascii="宋体" w:hAnsi="宋体" w:cs="宋体"/>
          <w:highlight w:val="none"/>
        </w:rPr>
      </w:pPr>
      <w:r>
        <w:rPr>
          <w:rFonts w:hint="eastAsia" w:ascii="宋体" w:hAnsi="宋体" w:cs="宋体"/>
          <w:highlight w:val="none"/>
        </w:rPr>
        <w:t>本项目采用综合评估法。</w:t>
      </w:r>
    </w:p>
    <w:p>
      <w:pPr>
        <w:pStyle w:val="4"/>
        <w:spacing w:before="120" w:after="0" w:line="400" w:lineRule="exact"/>
        <w:rPr>
          <w:rFonts w:hint="eastAsia" w:ascii="宋体" w:hAnsi="宋体" w:eastAsia="宋体" w:cs="宋体"/>
          <w:highlight w:val="none"/>
        </w:rPr>
      </w:pPr>
      <w:bookmarkStart w:id="74" w:name="_Toc28958"/>
      <w:bookmarkStart w:id="75" w:name="_Toc17600"/>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比选文件的获取</w:t>
      </w:r>
      <w:bookmarkEnd w:id="58"/>
      <w:bookmarkEnd w:id="59"/>
      <w:bookmarkEnd w:id="60"/>
      <w:bookmarkEnd w:id="61"/>
      <w:bookmarkEnd w:id="62"/>
      <w:bookmarkEnd w:id="63"/>
      <w:bookmarkEnd w:id="64"/>
      <w:bookmarkEnd w:id="69"/>
      <w:bookmarkEnd w:id="70"/>
      <w:bookmarkEnd w:id="71"/>
      <w:bookmarkEnd w:id="72"/>
      <w:bookmarkEnd w:id="73"/>
      <w:bookmarkEnd w:id="74"/>
      <w:bookmarkEnd w:id="75"/>
    </w:p>
    <w:p>
      <w:pPr>
        <w:wordWrap w:val="0"/>
        <w:spacing w:line="400" w:lineRule="exact"/>
        <w:ind w:firstLine="420" w:firstLineChars="200"/>
        <w:rPr>
          <w:rFonts w:hint="eastAsia" w:ascii="宋体" w:hAnsi="宋体"/>
          <w:szCs w:val="21"/>
          <w:highlight w:val="none"/>
        </w:rPr>
      </w:pPr>
      <w:bookmarkStart w:id="76" w:name="_Toc507319895"/>
      <w:bookmarkStart w:id="77" w:name="_Toc152042292"/>
      <w:bookmarkStart w:id="78" w:name="_Toc247085676"/>
      <w:bookmarkStart w:id="79" w:name="_Toc11329217"/>
      <w:bookmarkStart w:id="80" w:name="_Toc246996162"/>
      <w:bookmarkStart w:id="81" w:name="_Toc144974484"/>
      <w:bookmarkStart w:id="82" w:name="_Toc246996905"/>
      <w:bookmarkStart w:id="83" w:name="_Toc152045516"/>
      <w:bookmarkStart w:id="84" w:name="_Toc179632532"/>
      <w:r>
        <w:rPr>
          <w:rFonts w:ascii="宋体" w:hAnsi="宋体"/>
          <w:szCs w:val="21"/>
          <w:highlight w:val="none"/>
        </w:rPr>
        <w:t>凡愿意参加的潜在</w:t>
      </w:r>
      <w:r>
        <w:rPr>
          <w:rFonts w:hint="eastAsia" w:ascii="宋体" w:hAnsi="宋体"/>
          <w:szCs w:val="21"/>
          <w:highlight w:val="none"/>
        </w:rPr>
        <w:t>报价</w:t>
      </w:r>
      <w:r>
        <w:rPr>
          <w:rFonts w:ascii="宋体" w:hAnsi="宋体"/>
          <w:szCs w:val="21"/>
          <w:highlight w:val="none"/>
        </w:rPr>
        <w:t>人，</w:t>
      </w:r>
      <w:r>
        <w:rPr>
          <w:rFonts w:hint="eastAsia" w:ascii="宋体" w:hAnsi="宋体"/>
          <w:szCs w:val="21"/>
          <w:highlight w:val="none"/>
        </w:rPr>
        <w:t>在</w:t>
      </w:r>
      <w:r>
        <w:rPr>
          <w:rFonts w:hint="eastAsia" w:ascii="宋体" w:hAnsi="宋体" w:cs="宋体"/>
          <w:szCs w:val="21"/>
          <w:highlight w:val="none"/>
        </w:rPr>
        <w:t>报价截止时间</w:t>
      </w:r>
      <w:r>
        <w:rPr>
          <w:rFonts w:hint="eastAsia" w:ascii="宋体" w:hAnsi="宋体"/>
          <w:szCs w:val="21"/>
          <w:highlight w:val="none"/>
        </w:rPr>
        <w:t>前在重庆高速集团官网（http://www.cegc.com.cn/，下同）获取竞争性比选文件，各报价人应随时关注网上发布的竞争性比选文件答疑、补遗、澄清等文件内容，不管报价人是否下载，均视为已知晓竞争性比选文件的全部内容和有关事宜。</w:t>
      </w:r>
    </w:p>
    <w:p>
      <w:pPr>
        <w:pStyle w:val="4"/>
        <w:spacing w:before="120" w:after="0" w:line="400" w:lineRule="exact"/>
        <w:rPr>
          <w:rFonts w:hint="eastAsia" w:ascii="宋体" w:hAnsi="宋体" w:eastAsia="宋体" w:cs="宋体"/>
          <w:highlight w:val="none"/>
        </w:rPr>
      </w:pPr>
      <w:bookmarkStart w:id="85" w:name="_Toc20055"/>
      <w:bookmarkStart w:id="86" w:name="_Toc9131"/>
      <w:bookmarkStart w:id="87" w:name="_Toc31493"/>
      <w:bookmarkStart w:id="88" w:name="_Toc16686"/>
      <w:bookmarkStart w:id="89" w:name="_Toc14325"/>
      <w:r>
        <w:rPr>
          <w:rFonts w:hint="eastAsia" w:ascii="宋体" w:hAnsi="宋体" w:eastAsia="宋体" w:cs="宋体"/>
          <w:highlight w:val="none"/>
        </w:rPr>
        <w:t>6. 竞争性比选响应文件的递交</w:t>
      </w:r>
      <w:bookmarkEnd w:id="76"/>
      <w:bookmarkEnd w:id="77"/>
      <w:bookmarkEnd w:id="78"/>
      <w:bookmarkEnd w:id="79"/>
      <w:bookmarkEnd w:id="80"/>
      <w:bookmarkEnd w:id="81"/>
      <w:bookmarkEnd w:id="82"/>
      <w:bookmarkEnd w:id="83"/>
      <w:bookmarkEnd w:id="84"/>
      <w:r>
        <w:rPr>
          <w:rFonts w:hint="eastAsia" w:ascii="宋体" w:hAnsi="宋体" w:eastAsia="宋体" w:cs="宋体"/>
          <w:highlight w:val="none"/>
        </w:rPr>
        <w:t>及相关事宜</w:t>
      </w:r>
      <w:bookmarkEnd w:id="85"/>
      <w:bookmarkEnd w:id="86"/>
      <w:bookmarkEnd w:id="87"/>
      <w:bookmarkEnd w:id="88"/>
      <w:bookmarkEnd w:id="89"/>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6.1竞争性比选响应文件递交截止时间：</w:t>
      </w:r>
      <w:r>
        <w:rPr>
          <w:rFonts w:hint="eastAsia" w:ascii="宋体" w:hAnsi="宋体" w:cs="宋体"/>
          <w:szCs w:val="21"/>
          <w:highlight w:val="none"/>
          <w:u w:val="single"/>
        </w:rPr>
        <w:t>2026</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shd w:val="clear" w:color="auto" w:fill="FFFFFF"/>
        </w:rPr>
        <w:t>上午10时00分</w:t>
      </w:r>
      <w:r>
        <w:rPr>
          <w:rFonts w:hint="eastAsia" w:ascii="宋体" w:hAnsi="宋体" w:cs="宋体"/>
          <w:szCs w:val="21"/>
          <w:highlight w:val="none"/>
        </w:rPr>
        <w:t>（北京时间）。</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6.2开标时间：同竞争性比选响应文件递交截止时间。</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6.3竞争性比选响应文件递交地点：</w:t>
      </w:r>
      <w:bookmarkStart w:id="90" w:name="_Hlk535257540"/>
      <w:r>
        <w:rPr>
          <w:rFonts w:hint="eastAsia" w:ascii="宋体" w:hAnsi="宋体" w:cs="宋体"/>
          <w:szCs w:val="21"/>
          <w:highlight w:val="none"/>
        </w:rPr>
        <w:t>重庆市渝北区龙溪街道新南路52号1楼（重庆首讯科技股份有限公司）。</w:t>
      </w:r>
      <w:bookmarkEnd w:id="90"/>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6.4采购人不组织现场踏勘，不召开报价预备会。</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5逾期送达的或未送达指定地点的或未按要求密封的竞争性比选响应文件，采购人不予受理。</w:t>
      </w:r>
    </w:p>
    <w:p>
      <w:pPr>
        <w:tabs>
          <w:tab w:val="left" w:pos="360"/>
        </w:tabs>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w:t>
      </w:r>
      <w:r>
        <w:rPr>
          <w:rFonts w:hint="eastAsia" w:ascii="宋体" w:hAnsi="宋体" w:cs="宋体"/>
          <w:szCs w:val="21"/>
          <w:highlight w:val="none"/>
        </w:rPr>
        <w:t>6递交方式：现场递交或邮寄，若采用现场递交方式需在竞争性比选响应文件递交截止时间前将竞争性比选响应文件送达并参与现场开标；若采用邮寄方式的需在竞争性比选响应文件递交截止时间前，通过正规快递公司将竞争性比选响应文件邮寄至重庆首讯科技股份有限公司（邮寄地址同6.3递交地点），否则采购人有权拒收，采用邮寄方式的报价人默认认可采购人的开标结果，不得由此提出任何质疑。</w:t>
      </w:r>
    </w:p>
    <w:p>
      <w:pPr>
        <w:pStyle w:val="4"/>
        <w:spacing w:before="120" w:after="0" w:line="400" w:lineRule="exact"/>
        <w:rPr>
          <w:rFonts w:hint="eastAsia" w:ascii="宋体" w:hAnsi="宋体" w:eastAsia="宋体" w:cs="宋体"/>
          <w:highlight w:val="none"/>
        </w:rPr>
      </w:pPr>
      <w:bookmarkStart w:id="91" w:name="_Toc152042293"/>
      <w:bookmarkStart w:id="92" w:name="_Toc11329219"/>
      <w:bookmarkStart w:id="93" w:name="_Toc179632534"/>
      <w:bookmarkStart w:id="94" w:name="_Toc15120"/>
      <w:bookmarkStart w:id="95" w:name="_Toc393"/>
      <w:bookmarkStart w:id="96" w:name="_Toc507319897"/>
      <w:bookmarkStart w:id="97" w:name="_Toc144974485"/>
      <w:bookmarkStart w:id="98" w:name="_Toc4010"/>
      <w:bookmarkStart w:id="99" w:name="_Toc21615"/>
      <w:bookmarkStart w:id="100" w:name="_Toc246996907"/>
      <w:bookmarkStart w:id="101" w:name="_Toc246996164"/>
      <w:bookmarkStart w:id="102" w:name="_Toc152045517"/>
      <w:bookmarkStart w:id="103" w:name="_Toc247085678"/>
      <w:bookmarkStart w:id="104" w:name="_Toc18402"/>
      <w:r>
        <w:rPr>
          <w:rFonts w:hint="eastAsia" w:ascii="宋体" w:hAnsi="宋体" w:eastAsia="宋体" w:cs="宋体"/>
          <w:highlight w:val="none"/>
        </w:rPr>
        <w:t>7. 联系方式</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tbl>
      <w:tblPr>
        <w:tblStyle w:val="42"/>
        <w:tblW w:w="9709" w:type="dxa"/>
        <w:tblInd w:w="0" w:type="dxa"/>
        <w:tblLayout w:type="fixed"/>
        <w:tblCellMar>
          <w:top w:w="0" w:type="dxa"/>
          <w:left w:w="108" w:type="dxa"/>
          <w:bottom w:w="0" w:type="dxa"/>
          <w:right w:w="108" w:type="dxa"/>
        </w:tblCellMar>
      </w:tblPr>
      <w:tblGrid>
        <w:gridCol w:w="9709"/>
      </w:tblGrid>
      <w:tr>
        <w:tblPrEx>
          <w:tblCellMar>
            <w:top w:w="0" w:type="dxa"/>
            <w:left w:w="108" w:type="dxa"/>
            <w:bottom w:w="0" w:type="dxa"/>
            <w:right w:w="108" w:type="dxa"/>
          </w:tblCellMar>
        </w:tblPrEx>
        <w:trPr>
          <w:trHeight w:val="520" w:hRule="atLeast"/>
        </w:trPr>
        <w:tc>
          <w:tcPr>
            <w:tcW w:w="9709" w:type="dxa"/>
            <w:vAlign w:val="center"/>
          </w:tcPr>
          <w:p>
            <w:pPr>
              <w:pStyle w:val="102"/>
              <w:spacing w:before="0" w:beforeAutospacing="0" w:after="0" w:afterAutospacing="0" w:line="400" w:lineRule="exact"/>
              <w:ind w:firstLine="420" w:firstLineChars="200"/>
              <w:jc w:val="both"/>
              <w:rPr>
                <w:rFonts w:hint="eastAsia" w:ascii="宋体" w:hAnsi="宋体" w:cs="宋体"/>
                <w:kern w:val="2"/>
                <w:sz w:val="21"/>
                <w:szCs w:val="21"/>
                <w:highlight w:val="none"/>
              </w:rPr>
            </w:pPr>
            <w:r>
              <w:rPr>
                <w:rFonts w:hint="eastAsia" w:ascii="宋体" w:hAnsi="宋体" w:cs="宋体"/>
                <w:kern w:val="2"/>
                <w:sz w:val="21"/>
                <w:szCs w:val="21"/>
                <w:highlight w:val="none"/>
              </w:rPr>
              <w:t>采购人：重庆首讯科技股份有限公司</w:t>
            </w:r>
          </w:p>
        </w:tc>
      </w:tr>
      <w:tr>
        <w:tblPrEx>
          <w:tblCellMar>
            <w:top w:w="0" w:type="dxa"/>
            <w:left w:w="108" w:type="dxa"/>
            <w:bottom w:w="0" w:type="dxa"/>
            <w:right w:w="108" w:type="dxa"/>
          </w:tblCellMar>
        </w:tblPrEx>
        <w:trPr>
          <w:trHeight w:val="510" w:hRule="atLeast"/>
        </w:trPr>
        <w:tc>
          <w:tcPr>
            <w:tcW w:w="9709" w:type="dxa"/>
            <w:vAlign w:val="center"/>
          </w:tcPr>
          <w:p>
            <w:pPr>
              <w:topLinePunct/>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地址：重庆市渝北区两江新区52号东界龙湖3楼</w:t>
            </w:r>
          </w:p>
        </w:tc>
      </w:tr>
      <w:tr>
        <w:tblPrEx>
          <w:tblCellMar>
            <w:top w:w="0" w:type="dxa"/>
            <w:left w:w="108" w:type="dxa"/>
            <w:bottom w:w="0" w:type="dxa"/>
            <w:right w:w="108" w:type="dxa"/>
          </w:tblCellMar>
        </w:tblPrEx>
        <w:trPr>
          <w:trHeight w:val="520" w:hRule="atLeast"/>
        </w:trPr>
        <w:tc>
          <w:tcPr>
            <w:tcW w:w="9709" w:type="dxa"/>
            <w:vAlign w:val="center"/>
          </w:tcPr>
          <w:p>
            <w:pPr>
              <w:topLinePunct/>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技术联系人：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颜</w:t>
            </w:r>
            <w:r>
              <w:rPr>
                <w:rFonts w:hint="eastAsia" w:ascii="宋体" w:hAnsi="宋体" w:cs="宋体"/>
                <w:szCs w:val="21"/>
                <w:highlight w:val="none"/>
                <w:u w:val="single"/>
              </w:rPr>
              <w:t xml:space="preserve"> </w:t>
            </w:r>
            <w:r>
              <w:rPr>
                <w:rFonts w:hint="eastAsia" w:ascii="宋体" w:hAnsi="宋体" w:cs="宋体"/>
                <w:szCs w:val="21"/>
                <w:highlight w:val="none"/>
              </w:rPr>
              <w:t>老师  电 话：</w:t>
            </w:r>
            <w:r>
              <w:rPr>
                <w:rFonts w:hint="eastAsia" w:ascii="宋体" w:hAnsi="宋体" w:cs="宋体"/>
                <w:szCs w:val="21"/>
                <w:highlight w:val="none"/>
                <w:u w:val="single"/>
              </w:rPr>
              <w:t xml:space="preserve"> 15025396465 </w:t>
            </w:r>
          </w:p>
        </w:tc>
      </w:tr>
      <w:tr>
        <w:tblPrEx>
          <w:tblCellMar>
            <w:top w:w="0" w:type="dxa"/>
            <w:left w:w="108" w:type="dxa"/>
            <w:bottom w:w="0" w:type="dxa"/>
            <w:right w:w="108" w:type="dxa"/>
          </w:tblCellMar>
        </w:tblPrEx>
        <w:trPr>
          <w:trHeight w:val="448" w:hRule="atLeast"/>
        </w:trPr>
        <w:tc>
          <w:tcPr>
            <w:tcW w:w="9709" w:type="dxa"/>
            <w:vAlign w:val="center"/>
          </w:tcPr>
          <w:p>
            <w:pPr>
              <w:topLinePunct/>
              <w:spacing w:line="400" w:lineRule="exact"/>
              <w:ind w:firstLine="420" w:firstLineChars="200"/>
              <w:rPr>
                <w:highlight w:val="none"/>
              </w:rPr>
            </w:pPr>
            <w:r>
              <w:rPr>
                <w:rFonts w:hint="eastAsia" w:ascii="宋体" w:hAnsi="宋体" w:cs="宋体"/>
                <w:szCs w:val="21"/>
                <w:highlight w:val="none"/>
              </w:rPr>
              <w:t>商务联系人：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刘</w:t>
            </w:r>
            <w:r>
              <w:rPr>
                <w:rFonts w:hint="eastAsia" w:ascii="宋体" w:hAnsi="宋体" w:cs="宋体"/>
                <w:szCs w:val="21"/>
                <w:highlight w:val="none"/>
                <w:u w:val="single"/>
              </w:rPr>
              <w:t xml:space="preserve"> </w:t>
            </w:r>
            <w:r>
              <w:rPr>
                <w:rFonts w:hint="eastAsia" w:ascii="宋体" w:hAnsi="宋体" w:cs="宋体"/>
                <w:szCs w:val="21"/>
                <w:highlight w:val="none"/>
              </w:rPr>
              <w:t>老师  电 话：</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023-63132246</w:t>
            </w:r>
            <w:r>
              <w:rPr>
                <w:rFonts w:hint="eastAsia" w:ascii="宋体" w:hAnsi="宋体" w:cs="宋体"/>
                <w:szCs w:val="21"/>
                <w:highlight w:val="none"/>
                <w:u w:val="single"/>
              </w:rPr>
              <w:t xml:space="preserve"> </w:t>
            </w:r>
          </w:p>
        </w:tc>
      </w:tr>
    </w:tbl>
    <w:p>
      <w:pPr>
        <w:rPr>
          <w:highlight w:val="none"/>
        </w:rPr>
      </w:pPr>
    </w:p>
    <w:p>
      <w:pPr>
        <w:pStyle w:val="28"/>
        <w:rPr>
          <w:highlight w:val="none"/>
        </w:rPr>
      </w:pPr>
    </w:p>
    <w:p>
      <w:pPr>
        <w:rPr>
          <w:highlight w:val="none"/>
        </w:rPr>
      </w:pPr>
    </w:p>
    <w:p>
      <w:pPr>
        <w:pStyle w:val="28"/>
        <w:rPr>
          <w:highlight w:val="none"/>
        </w:rPr>
      </w:pPr>
    </w:p>
    <w:p>
      <w:pPr>
        <w:pStyle w:val="28"/>
        <w:rPr>
          <w:highlight w:val="none"/>
        </w:rPr>
      </w:pPr>
    </w:p>
    <w:p>
      <w:pPr>
        <w:pStyle w:val="3"/>
        <w:spacing w:before="0" w:after="0" w:line="360" w:lineRule="auto"/>
        <w:jc w:val="center"/>
        <w:rPr>
          <w:rFonts w:hint="eastAsia" w:ascii="宋体" w:hAnsi="宋体" w:cs="宋体"/>
          <w:highlight w:val="none"/>
        </w:rPr>
      </w:pPr>
      <w:bookmarkStart w:id="105" w:name="_Toc2000405"/>
      <w:bookmarkStart w:id="106" w:name="_Toc507319898"/>
      <w:bookmarkStart w:id="107" w:name="_Toc144974495"/>
      <w:bookmarkStart w:id="108" w:name="_Toc152045527"/>
      <w:bookmarkStart w:id="109" w:name="_Toc246996173"/>
      <w:bookmarkStart w:id="110" w:name="_Toc247085687"/>
      <w:bookmarkStart w:id="111" w:name="_Toc152042303"/>
      <w:bookmarkStart w:id="112" w:name="_Toc179632544"/>
      <w:bookmarkStart w:id="113" w:name="_Toc246996916"/>
      <w:r>
        <w:rPr>
          <w:rFonts w:hint="eastAsia" w:ascii="宋体" w:hAnsi="宋体" w:cs="宋体"/>
          <w:highlight w:val="none"/>
        </w:rPr>
        <w:br w:type="page"/>
      </w:r>
      <w:bookmarkStart w:id="114" w:name="_Toc12865"/>
      <w:bookmarkStart w:id="115" w:name="_Toc8556"/>
      <w:r>
        <w:rPr>
          <w:rFonts w:hint="eastAsia" w:ascii="宋体" w:hAnsi="宋体" w:cs="宋体"/>
          <w:highlight w:val="none"/>
        </w:rPr>
        <w:t>第二章 报价人须知</w:t>
      </w:r>
      <w:bookmarkEnd w:id="105"/>
      <w:bookmarkEnd w:id="106"/>
      <w:bookmarkEnd w:id="107"/>
      <w:bookmarkEnd w:id="108"/>
      <w:bookmarkEnd w:id="109"/>
      <w:bookmarkEnd w:id="110"/>
      <w:bookmarkEnd w:id="111"/>
      <w:bookmarkEnd w:id="112"/>
      <w:bookmarkEnd w:id="113"/>
      <w:bookmarkEnd w:id="114"/>
      <w:bookmarkEnd w:id="115"/>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pPr>
              <w:spacing w:line="400" w:lineRule="exact"/>
              <w:jc w:val="center"/>
              <w:rPr>
                <w:rFonts w:hint="eastAsia" w:ascii="宋体" w:hAnsi="宋体" w:cs="宋体"/>
                <w:b/>
                <w:kern w:val="0"/>
                <w:szCs w:val="21"/>
                <w:highlight w:val="none"/>
              </w:rPr>
            </w:pPr>
            <w:bookmarkStart w:id="116" w:name="_Toc326760840"/>
            <w:r>
              <w:rPr>
                <w:rFonts w:hint="eastAsia" w:ascii="宋体" w:hAnsi="宋体" w:cs="宋体"/>
                <w:b/>
                <w:kern w:val="0"/>
                <w:szCs w:val="21"/>
                <w:highlight w:val="none"/>
              </w:rPr>
              <w:t>序号</w:t>
            </w:r>
          </w:p>
        </w:tc>
        <w:tc>
          <w:tcPr>
            <w:tcW w:w="2106" w:type="dxa"/>
            <w:vAlign w:val="center"/>
          </w:tcPr>
          <w:p>
            <w:pPr>
              <w:spacing w:line="400" w:lineRule="exact"/>
              <w:jc w:val="center"/>
              <w:rPr>
                <w:rFonts w:hint="eastAsia" w:ascii="宋体" w:hAnsi="宋体" w:cs="宋体"/>
                <w:b/>
                <w:kern w:val="0"/>
                <w:szCs w:val="21"/>
                <w:highlight w:val="none"/>
              </w:rPr>
            </w:pPr>
            <w:r>
              <w:rPr>
                <w:rFonts w:hint="eastAsia" w:ascii="宋体" w:hAnsi="宋体" w:cs="宋体"/>
                <w:b/>
                <w:kern w:val="0"/>
                <w:szCs w:val="21"/>
                <w:highlight w:val="none"/>
              </w:rPr>
              <w:t>条款名称</w:t>
            </w:r>
          </w:p>
        </w:tc>
        <w:tc>
          <w:tcPr>
            <w:tcW w:w="7104" w:type="dxa"/>
            <w:vAlign w:val="center"/>
          </w:tcPr>
          <w:p>
            <w:pPr>
              <w:spacing w:line="400" w:lineRule="exact"/>
              <w:ind w:firstLine="422" w:firstLineChars="200"/>
              <w:jc w:val="center"/>
              <w:rPr>
                <w:rFonts w:hint="eastAsia" w:ascii="宋体" w:hAnsi="宋体" w:cs="宋体"/>
                <w:b/>
                <w:kern w:val="0"/>
                <w:szCs w:val="21"/>
                <w:highlight w:val="none"/>
              </w:rPr>
            </w:pPr>
            <w:r>
              <w:rPr>
                <w:rFonts w:hint="eastAsia" w:ascii="宋体" w:hAnsi="宋体" w:cs="宋体"/>
                <w:b/>
                <w:kern w:val="0"/>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采购人</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采购人：重庆首讯科技股份有限公司</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地  址：重庆市两江新区新南路52号东界龙湖3楼</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刘</w:t>
            </w:r>
            <w:r>
              <w:rPr>
                <w:rFonts w:hint="eastAsia" w:ascii="宋体" w:hAnsi="宋体" w:cs="宋体"/>
                <w:szCs w:val="21"/>
                <w:highlight w:val="none"/>
                <w:u w:val="single"/>
              </w:rPr>
              <w:t xml:space="preserve"> </w:t>
            </w:r>
            <w:r>
              <w:rPr>
                <w:rFonts w:hint="eastAsia" w:ascii="宋体" w:hAnsi="宋体" w:cs="宋体"/>
                <w:szCs w:val="21"/>
                <w:highlight w:val="none"/>
              </w:rPr>
              <w:t>老师</w:t>
            </w:r>
          </w:p>
          <w:p>
            <w:pPr>
              <w:topLinePunct/>
              <w:spacing w:line="400" w:lineRule="exact"/>
              <w:ind w:firstLine="420" w:firstLineChars="200"/>
              <w:rPr>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023-63132246</w:t>
            </w:r>
            <w:r>
              <w:rPr>
                <w:rFonts w:hint="eastAsia" w:ascii="宋体" w:hAnsi="宋体" w:cs="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7104" w:type="dxa"/>
            <w:vAlign w:val="center"/>
          </w:tcPr>
          <w:p>
            <w:pPr>
              <w:spacing w:line="400" w:lineRule="exact"/>
              <w:ind w:firstLine="420" w:firstLineChars="200"/>
              <w:rPr>
                <w:rFonts w:hint="eastAsia" w:ascii="宋体" w:hAnsi="宋体" w:cs="宋体"/>
                <w:szCs w:val="21"/>
                <w:highlight w:val="none"/>
              </w:rPr>
            </w:pPr>
            <w:bookmarkStart w:id="117" w:name="单据名称2"/>
            <w:r>
              <w:rPr>
                <w:rFonts w:hint="eastAsia" w:ascii="宋体" w:hAnsi="宋体" w:cs="宋体"/>
                <w:szCs w:val="21"/>
                <w:highlight w:val="none"/>
                <w:u w:val="single"/>
              </w:rPr>
              <w:t>路面养护科学决策系统建设项目2026年-2030年网络安全等保服务</w:t>
            </w:r>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highlight w:val="none"/>
              </w:rPr>
              <w:t>服务地点</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项目规模</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比选范围</w:t>
            </w:r>
          </w:p>
        </w:tc>
        <w:tc>
          <w:tcPr>
            <w:tcW w:w="7104" w:type="dxa"/>
            <w:vAlign w:val="center"/>
          </w:tcPr>
          <w:p>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kern w:val="10"/>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highlight w:val="none"/>
              </w:rPr>
              <w:t>服务期限</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7</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服务要求</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详见竞争性比选文件 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szCs w:val="21"/>
                <w:highlight w:val="none"/>
              </w:rPr>
              <w:t>报价人资格要求</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kern w:val="0"/>
                <w:szCs w:val="21"/>
                <w:highlight w:val="none"/>
              </w:rPr>
              <w:t>见比选公告及附录1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是否接受</w:t>
            </w:r>
          </w:p>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联合体报价</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踏勘现场</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不组织，由各报价人根据需要自行完成现场踏勘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分包</w:t>
            </w:r>
          </w:p>
        </w:tc>
        <w:tc>
          <w:tcPr>
            <w:tcW w:w="7104" w:type="dxa"/>
            <w:vAlign w:val="center"/>
          </w:tcPr>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偏差</w:t>
            </w:r>
          </w:p>
        </w:tc>
        <w:tc>
          <w:tcPr>
            <w:tcW w:w="7104" w:type="dxa"/>
            <w:vAlign w:val="center"/>
          </w:tcPr>
          <w:p>
            <w:pPr>
              <w:spacing w:line="400" w:lineRule="exact"/>
              <w:ind w:firstLine="422" w:firstLineChars="200"/>
              <w:rPr>
                <w:rFonts w:hint="eastAsia" w:ascii="宋体" w:hAnsi="宋体" w:cs="宋体"/>
                <w:kern w:val="0"/>
                <w:szCs w:val="21"/>
                <w:highlight w:val="none"/>
              </w:rPr>
            </w:pPr>
            <w:r>
              <w:rPr>
                <w:rFonts w:hint="eastAsia" w:ascii="宋体" w:hAnsi="宋体" w:cs="宋体"/>
                <w:b/>
                <w:szCs w:val="21"/>
                <w:highlight w:val="none"/>
                <w:lang w:bidi="ar"/>
              </w:rPr>
              <w:t>本项目不允许任何负偏离。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2106" w:type="dxa"/>
            <w:vAlign w:val="center"/>
          </w:tcPr>
          <w:p>
            <w:pPr>
              <w:spacing w:line="400" w:lineRule="exact"/>
              <w:jc w:val="center"/>
              <w:rPr>
                <w:rFonts w:hint="eastAsia" w:ascii="宋体" w:hAnsi="宋体" w:cs="宋体"/>
                <w:kern w:val="0"/>
                <w:szCs w:val="21"/>
                <w:highlight w:val="none"/>
              </w:rPr>
            </w:pPr>
            <w:r>
              <w:rPr>
                <w:rFonts w:hint="eastAsia" w:ascii="宋体" w:hAnsi="宋体" w:cs="宋体"/>
                <w:bCs/>
                <w:szCs w:val="21"/>
                <w:highlight w:val="none"/>
              </w:rPr>
              <w:t>构成比选文件的其他材料</w:t>
            </w:r>
          </w:p>
        </w:tc>
        <w:tc>
          <w:tcPr>
            <w:tcW w:w="7104" w:type="dxa"/>
            <w:vAlign w:val="center"/>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采购人发布的图纸、补遗书、答疑、澄清、最高限价通知等附件。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2106"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构成竞争性比选响应文件的其他材料</w:t>
            </w:r>
          </w:p>
        </w:tc>
        <w:tc>
          <w:tcPr>
            <w:tcW w:w="7104" w:type="dxa"/>
            <w:vAlign w:val="center"/>
          </w:tcPr>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2106" w:type="dxa"/>
            <w:tcBorders>
              <w:bottom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报价人须知</w:t>
            </w:r>
          </w:p>
        </w:tc>
        <w:tc>
          <w:tcPr>
            <w:tcW w:w="7104" w:type="dxa"/>
            <w:tcBorders>
              <w:bottom w:val="single" w:color="auto" w:sz="4" w:space="0"/>
            </w:tcBorders>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1.投标报价：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u w:val="single"/>
              </w:rPr>
              <w:t>本项目采用□总价包干报价/</w:t>
            </w:r>
            <w:r>
              <w:rPr>
                <w:rFonts w:hint="eastAsia" w:ascii="宋体" w:hAnsi="宋体" w:cs="宋体"/>
                <w:szCs w:val="21"/>
                <w:highlight w:val="none"/>
                <w:u w:val="single"/>
              </w:rPr>
              <w:sym w:font="Wingdings 2" w:char="0052"/>
            </w:r>
            <w:r>
              <w:rPr>
                <w:rFonts w:hint="eastAsia" w:ascii="宋体" w:hAnsi="宋体" w:cs="宋体"/>
                <w:szCs w:val="21"/>
                <w:highlight w:val="none"/>
                <w:u w:val="single"/>
              </w:rPr>
              <w:t>综合单价包干报价，报价人所报投标报价应包含但不限于完成本项目比选内容全部工作内容所需的人工、材料、服务、税金、管理费、利润等所有一切费用，一旦中标，采购人不再额外支付任何费用</w:t>
            </w:r>
            <w:r>
              <w:rPr>
                <w:rFonts w:hint="eastAsia" w:ascii="宋体" w:hAnsi="宋体" w:cs="宋体"/>
                <w:szCs w:val="21"/>
                <w:highlight w:val="none"/>
              </w:rPr>
              <w:t>。</w:t>
            </w:r>
          </w:p>
          <w:p>
            <w:pPr>
              <w:spacing w:line="400" w:lineRule="exact"/>
              <w:ind w:firstLine="308" w:firstLineChars="147"/>
              <w:rPr>
                <w:rFonts w:hint="eastAsia" w:ascii="宋体" w:hAnsi="宋体" w:cs="宋体"/>
                <w:szCs w:val="21"/>
                <w:highlight w:val="none"/>
              </w:rPr>
            </w:pPr>
            <w:r>
              <w:rPr>
                <w:rFonts w:hint="eastAsia" w:ascii="宋体" w:hAnsi="宋体" w:cs="宋体"/>
                <w:highlight w:val="none"/>
              </w:rPr>
              <w:t>2.报价原则</w:t>
            </w:r>
          </w:p>
          <w:p>
            <w:pPr>
              <w:spacing w:line="400" w:lineRule="exact"/>
              <w:ind w:firstLine="308" w:firstLineChars="147"/>
              <w:rPr>
                <w:rFonts w:hint="eastAsia" w:ascii="宋体" w:hAnsi="宋体" w:cs="宋体"/>
                <w:szCs w:val="21"/>
                <w:highlight w:val="none"/>
                <w:u w:val="single"/>
              </w:rPr>
            </w:pPr>
            <w:r>
              <w:rPr>
                <w:rFonts w:hint="eastAsia" w:ascii="宋体" w:hAnsi="宋体" w:cs="宋体"/>
                <w:highlight w:val="none"/>
                <w:u w:val="single"/>
              </w:rPr>
              <w:t>报价人应严格根据竞争性比选文件及相关资料，结合市场价格、依据企业自身实力、技术及生产管理水平等，进行自主报价；报价人投标总报价只能有一个有效报价，不得提交选择性报价，否则竞争性比选响应文件将按否决报价处理。</w:t>
            </w:r>
          </w:p>
          <w:p>
            <w:pPr>
              <w:spacing w:line="400" w:lineRule="exact"/>
              <w:ind w:firstLine="420" w:firstLineChars="200"/>
              <w:jc w:val="left"/>
              <w:rPr>
                <w:rFonts w:hint="eastAsia" w:ascii="宋体" w:hAnsi="宋体" w:cs="宋体"/>
                <w:szCs w:val="21"/>
                <w:highlight w:val="none"/>
              </w:rPr>
            </w:pPr>
            <w:r>
              <w:rPr>
                <w:rFonts w:hint="eastAsia" w:ascii="宋体" w:hAnsi="宋体" w:cs="宋体"/>
                <w:highlight w:val="none"/>
              </w:rPr>
              <w:t>3.报价人按照采购人提供的报价清单填写报价</w:t>
            </w:r>
          </w:p>
          <w:p>
            <w:pPr>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4.投标报价取小数点后两位，小数点后第三位四舍五入。</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5.本项目报价清单及说明随比选文件一并发布，详见附件。</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6.异常低价警戒线要求</w:t>
            </w:r>
          </w:p>
          <w:p>
            <w:pPr>
              <w:snapToGrid w:val="0"/>
              <w:spacing w:line="400" w:lineRule="exact"/>
              <w:ind w:firstLine="420" w:firstLineChars="200"/>
              <w:rPr>
                <w:rFonts w:hint="eastAsia" w:ascii="宋体" w:hAnsi="宋体" w:cs="宋体"/>
                <w:highlight w:val="none"/>
              </w:rPr>
            </w:pPr>
            <w:r>
              <w:rPr>
                <w:rFonts w:hint="eastAsia" w:ascii="宋体" w:hAnsi="宋体" w:cs="宋体"/>
                <w:kern w:val="0"/>
                <w:szCs w:val="18"/>
                <w:highlight w:val="none"/>
                <w:lang w:bidi="ar"/>
              </w:rPr>
              <w:t>本项目是否设置</w:t>
            </w:r>
            <w:r>
              <w:rPr>
                <w:rFonts w:hint="eastAsia" w:ascii="宋体" w:hAnsi="宋体" w:cs="宋体"/>
                <w:highlight w:val="none"/>
              </w:rPr>
              <w:t>异常低价警戒线要求</w:t>
            </w:r>
            <w:r>
              <w:rPr>
                <w:rFonts w:hint="eastAsia" w:ascii="宋体" w:hAnsi="宋体" w:cs="宋体"/>
                <w:kern w:val="0"/>
                <w:szCs w:val="18"/>
                <w:highlight w:val="none"/>
                <w:lang w:bidi="ar"/>
              </w:rPr>
              <w:t>：</w:t>
            </w:r>
            <w:bookmarkStart w:id="118" w:name="是否设置异常低价警戒线"/>
            <w:r>
              <w:rPr>
                <w:rFonts w:hint="eastAsia" w:ascii="宋体" w:hAnsi="宋体" w:cs="宋体"/>
                <w:kern w:val="0"/>
                <w:szCs w:val="18"/>
                <w:highlight w:val="none"/>
                <w:lang w:bidi="ar"/>
              </w:rPr>
              <w:t>否</w:t>
            </w:r>
            <w:bookmarkEnd w:id="118"/>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（1）异常低价警戒线要求：最高限价的</w:t>
            </w:r>
            <w:bookmarkStart w:id="119" w:name="异常低价警戒线"/>
            <w:bookmarkEnd w:id="119"/>
            <w:r>
              <w:rPr>
                <w:rFonts w:hint="eastAsia" w:ascii="宋体" w:hAnsi="宋体" w:cs="宋体"/>
                <w:highlight w:val="none"/>
              </w:rPr>
              <w:t>%。</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2）报价人总报价或者部分单项报价低于竞争性比选文件规定的对应的异常低价警戒线的，应提供报价合理性说明，并提供必要的证明材料。报价人提供的说明不得降低或者改变原设计方案、技术工艺、施工标准，不得影响项目的质量、安全、工期、结算等正常履约。</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（3）报价人总报价或者部分单项报价低于竞争性比选文件规定的对应的异常低价警戒线的，报价人未提供报价合理性说明或者提供的说明不能证明其报价合理性的，由评标委员会作否决报价处理。</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（4）采购人对“报价一览表”的清单中序号</w:t>
            </w:r>
            <w:r>
              <w:rPr>
                <w:rFonts w:hint="eastAsia" w:ascii="宋体" w:hAnsi="宋体" w:cs="宋体"/>
                <w:highlight w:val="none"/>
                <w:u w:val="single"/>
              </w:rPr>
              <w:t xml:space="preserve">   </w:t>
            </w:r>
            <w:r>
              <w:rPr>
                <w:rFonts w:hint="eastAsia" w:ascii="宋体" w:hAnsi="宋体" w:cs="宋体"/>
                <w:highlight w:val="none"/>
              </w:rPr>
              <w:t>、序号</w:t>
            </w:r>
            <w:r>
              <w:rPr>
                <w:rFonts w:hint="eastAsia" w:ascii="宋体" w:hAnsi="宋体" w:cs="宋体"/>
                <w:highlight w:val="none"/>
                <w:u w:val="single"/>
              </w:rPr>
              <w:t xml:space="preserve">   </w:t>
            </w:r>
            <w:r>
              <w:rPr>
                <w:rFonts w:hint="eastAsia" w:ascii="宋体" w:hAnsi="宋体" w:cs="宋体"/>
                <w:highlight w:val="none"/>
              </w:rPr>
              <w:t>、序号</w:t>
            </w:r>
            <w:r>
              <w:rPr>
                <w:rFonts w:hint="eastAsia" w:ascii="宋体" w:hAnsi="宋体" w:cs="宋体"/>
                <w:highlight w:val="none"/>
                <w:u w:val="single"/>
              </w:rPr>
              <w:t xml:space="preserve">   </w:t>
            </w:r>
            <w:r>
              <w:rPr>
                <w:rFonts w:hint="eastAsia" w:ascii="宋体" w:hAnsi="宋体" w:cs="宋体"/>
                <w:highlight w:val="none"/>
              </w:rPr>
              <w:t>设置单项报价异常低价警戒线[提示：采购人对单项报价有异常低价警戒线要求的，可自行列举部分单项进行约定。]</w:t>
            </w:r>
          </w:p>
          <w:p>
            <w:pPr>
              <w:snapToGrid w:val="0"/>
              <w:spacing w:line="400" w:lineRule="exact"/>
              <w:ind w:firstLine="422" w:firstLineChars="200"/>
              <w:rPr>
                <w:rFonts w:hint="eastAsia" w:ascii="宋体" w:hAnsi="宋体" w:cs="宋体"/>
                <w:highlight w:val="none"/>
              </w:rPr>
            </w:pPr>
            <w:r>
              <w:rPr>
                <w:rFonts w:hint="eastAsia" w:ascii="宋体" w:hAnsi="宋体" w:cs="宋体"/>
                <w:b/>
                <w:bCs/>
                <w:highlight w:val="none"/>
              </w:rPr>
              <w:t>7.当合同清单任一单项实际完成工程量较合同工程量增加超过15%，且超出15%部分的工程价款达到 20万元(含)及以上时，超出15%部分的工程量，其单价应提交甲方重新审核确定，并以审核后的单价作为该部分工程的结算依据。</w:t>
            </w:r>
          </w:p>
          <w:p>
            <w:pPr>
              <w:snapToGrid w:val="0"/>
              <w:spacing w:line="400" w:lineRule="exact"/>
              <w:ind w:firstLine="420" w:firstLineChars="200"/>
              <w:rPr>
                <w:rFonts w:hint="eastAsia" w:ascii="宋体" w:hAnsi="宋体" w:cs="宋体"/>
                <w:highlight w:val="none"/>
              </w:rPr>
            </w:pPr>
            <w:r>
              <w:rPr>
                <w:rFonts w:hint="eastAsia" w:ascii="宋体" w:hAnsi="宋体" w:cs="宋体"/>
                <w:highlight w:val="none"/>
              </w:rPr>
              <w:t>特别提醒：</w:t>
            </w:r>
          </w:p>
          <w:p>
            <w:pPr>
              <w:adjustRightInd w:val="0"/>
              <w:snapToGrid w:val="0"/>
              <w:spacing w:line="400" w:lineRule="exact"/>
              <w:ind w:firstLine="344" w:firstLineChars="164"/>
              <w:rPr>
                <w:rFonts w:hint="eastAsia" w:ascii="宋体" w:hAnsi="宋体" w:cs="宋体"/>
                <w:highlight w:val="none"/>
              </w:rPr>
            </w:pPr>
            <w:r>
              <w:rPr>
                <w:rFonts w:hint="eastAsia" w:ascii="宋体" w:hAnsi="宋体" w:cs="宋体"/>
                <w:szCs w:val="21"/>
                <w:highlight w:val="none"/>
              </w:rPr>
              <w:t>1.</w:t>
            </w:r>
            <w:r>
              <w:rPr>
                <w:rFonts w:hint="eastAsia" w:ascii="宋体" w:hAnsi="宋体" w:cs="宋体"/>
                <w:highlight w:val="none"/>
                <w:u w:val="single"/>
              </w:rPr>
              <w:t>若因报价人在报价时有漏报、漏项的情况发生，采购人均视为报价人已充分理解竞争性比选文件要求，漏报、漏项部分已包含在其报价之中。该报价人若中标，其报价不得调整</w:t>
            </w:r>
            <w:r>
              <w:rPr>
                <w:rFonts w:hint="eastAsia" w:ascii="宋体" w:hAnsi="宋体" w:cs="宋体"/>
                <w:highlight w:val="none"/>
              </w:rPr>
              <w:t>。</w:t>
            </w:r>
          </w:p>
          <w:p>
            <w:pPr>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highlight w:val="none"/>
                <w:u w:val="single"/>
              </w:rPr>
              <w:t>报价人在报价时应充分考虑市场价格波动、人工费用上涨等不确定因素的风险，该报价人若中标，其报价在服务期内不得调整</w:t>
            </w: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2106"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最高投标限价</w:t>
            </w:r>
          </w:p>
        </w:tc>
        <w:tc>
          <w:tcPr>
            <w:tcW w:w="7104" w:type="dxa"/>
            <w:tcBorders>
              <w:bottom w:val="single" w:color="auto" w:sz="4" w:space="0"/>
            </w:tcBorders>
          </w:tcPr>
          <w:p>
            <w:pPr>
              <w:spacing w:line="400" w:lineRule="exact"/>
              <w:ind w:firstLine="422" w:firstLineChars="200"/>
              <w:rPr>
                <w:rFonts w:hint="eastAsia" w:ascii="宋体" w:hAnsi="宋体"/>
                <w:szCs w:val="21"/>
                <w:highlight w:val="none"/>
              </w:rPr>
            </w:pPr>
            <w:r>
              <w:rPr>
                <w:rFonts w:hint="eastAsia" w:ascii="宋体" w:hAnsi="宋体"/>
                <w:b/>
                <w:bCs/>
                <w:szCs w:val="21"/>
                <w:highlight w:val="none"/>
              </w:rPr>
              <w:t>本项目设置最高限价为</w:t>
            </w:r>
            <w:r>
              <w:rPr>
                <w:rFonts w:hint="eastAsia" w:ascii="宋体" w:hAnsi="宋体"/>
                <w:b/>
                <w:bCs/>
                <w:szCs w:val="21"/>
                <w:highlight w:val="none"/>
                <w:u w:val="single"/>
              </w:rPr>
              <w:t xml:space="preserve"> 382000.00 </w:t>
            </w:r>
            <w:r>
              <w:rPr>
                <w:rFonts w:hint="eastAsia" w:ascii="宋体" w:hAnsi="宋体"/>
                <w:b/>
                <w:bCs/>
                <w:szCs w:val="21"/>
                <w:highlight w:val="none"/>
              </w:rPr>
              <w:t>元。</w:t>
            </w:r>
          </w:p>
          <w:p>
            <w:pPr>
              <w:spacing w:line="400" w:lineRule="exact"/>
              <w:ind w:firstLine="420" w:firstLineChars="200"/>
              <w:rPr>
                <w:rFonts w:hint="eastAsia" w:ascii="宋体" w:hAnsi="宋体" w:cs="宋体"/>
                <w:b/>
                <w:bCs/>
                <w:kern w:val="0"/>
                <w:szCs w:val="21"/>
                <w:highlight w:val="none"/>
              </w:rPr>
            </w:pPr>
            <w:r>
              <w:rPr>
                <w:rFonts w:hint="eastAsia" w:ascii="宋体" w:hAnsi="宋体" w:cs="宋体"/>
                <w:bCs/>
                <w:szCs w:val="21"/>
                <w:highlight w:val="none"/>
              </w:rPr>
              <w:t>报价人报价不得高于采购人发布的最高限价，否则其竞争性比选响应文件视为重大偏差，竞争性比选响应文件将按否决报价处理</w:t>
            </w:r>
            <w:r>
              <w:rPr>
                <w:rFonts w:hint="eastAsia" w:ascii="宋体" w:hAnsi="宋体" w:cs="宋体"/>
                <w:bCs/>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18</w:t>
            </w:r>
          </w:p>
        </w:tc>
        <w:tc>
          <w:tcPr>
            <w:tcW w:w="2106" w:type="dxa"/>
            <w:tcBorders>
              <w:bottom w:val="single" w:color="auto" w:sz="4" w:space="0"/>
            </w:tcBorders>
            <w:vAlign w:val="center"/>
          </w:tcPr>
          <w:p>
            <w:pPr>
              <w:spacing w:line="400" w:lineRule="exact"/>
              <w:jc w:val="center"/>
              <w:rPr>
                <w:rFonts w:hint="eastAsia" w:ascii="宋体" w:hAnsi="宋体" w:cs="宋体"/>
                <w:kern w:val="0"/>
                <w:szCs w:val="21"/>
                <w:highlight w:val="none"/>
              </w:rPr>
            </w:pPr>
            <w:r>
              <w:rPr>
                <w:rFonts w:hint="eastAsia" w:ascii="宋体" w:hAnsi="宋体" w:cs="宋体"/>
                <w:kern w:val="0"/>
                <w:szCs w:val="21"/>
                <w:highlight w:val="none"/>
              </w:rPr>
              <w:t>合同支付办法</w:t>
            </w:r>
          </w:p>
        </w:tc>
        <w:tc>
          <w:tcPr>
            <w:tcW w:w="7104" w:type="dxa"/>
            <w:tcBorders>
              <w:bottom w:val="single" w:color="auto" w:sz="4" w:space="0"/>
            </w:tcBorders>
            <w:vAlign w:val="center"/>
          </w:tcPr>
          <w:p>
            <w:pPr>
              <w:pStyle w:val="28"/>
              <w:widowControl/>
              <w:autoSpaceDE w:val="0"/>
              <w:autoSpaceDN w:val="0"/>
              <w:adjustRightInd w:val="0"/>
              <w:snapToGrid w:val="0"/>
              <w:spacing w:before="0" w:after="0" w:line="400" w:lineRule="exact"/>
              <w:ind w:firstLine="422" w:firstLineChars="200"/>
              <w:jc w:val="both"/>
              <w:rPr>
                <w:rFonts w:hint="eastAsia" w:ascii="宋体" w:hAnsi="宋体" w:cs="宋体"/>
                <w:sz w:val="21"/>
                <w:szCs w:val="21"/>
                <w:highlight w:val="none"/>
              </w:rPr>
            </w:pPr>
            <w:r>
              <w:rPr>
                <w:rFonts w:hint="eastAsia" w:ascii="宋体" w:hAnsi="宋体" w:cs="宋体"/>
                <w:sz w:val="21"/>
                <w:szCs w:val="21"/>
                <w:highlight w:val="none"/>
              </w:rPr>
              <w:t>每次支付前需由乙方提交书面支付申请、相关证明材料以及对应增值税专用发票经甲方审核无误后，按以下节点支付，因乙方原因未按时提交相关资料，导致支付延期的，非甲方违约责任：</w:t>
            </w:r>
          </w:p>
          <w:p>
            <w:pPr>
              <w:spacing w:line="400" w:lineRule="exact"/>
              <w:ind w:firstLine="420" w:firstLineChars="200"/>
              <w:rPr>
                <w:highlight w:val="none"/>
              </w:rPr>
            </w:pPr>
            <w:bookmarkStart w:id="120" w:name="支付方式"/>
            <w:r>
              <w:rPr>
                <w:rFonts w:hint="eastAsia" w:ascii="宋体" w:hAnsi="宋体" w:cs="宋体"/>
                <w:szCs w:val="21"/>
                <w:highlight w:val="none"/>
              </w:rPr>
              <w:t>合同签订后，服务费分为五次支付，每年支付一次，乙方每年履行完合同要求的工作并根据合同内容提供全套流程资料及相应的专业安全报告后，甲方向乙方支付至当年结算金额的100%。</w:t>
            </w:r>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19</w:t>
            </w:r>
          </w:p>
        </w:tc>
        <w:tc>
          <w:tcPr>
            <w:tcW w:w="2106" w:type="dxa"/>
          </w:tcPr>
          <w:p>
            <w:pPr>
              <w:spacing w:line="400" w:lineRule="exact"/>
              <w:jc w:val="center"/>
              <w:rPr>
                <w:rFonts w:hint="eastAsia" w:ascii="宋体" w:hAnsi="宋体" w:cs="宋体"/>
                <w:szCs w:val="21"/>
                <w:highlight w:val="none"/>
              </w:rPr>
            </w:pPr>
            <w:r>
              <w:rPr>
                <w:rFonts w:hint="eastAsia" w:ascii="宋体" w:hAnsi="宋体" w:cs="宋体"/>
                <w:szCs w:val="21"/>
                <w:highlight w:val="none"/>
              </w:rPr>
              <w:t>中标候选人的人数</w:t>
            </w:r>
          </w:p>
        </w:tc>
        <w:tc>
          <w:tcPr>
            <w:tcW w:w="7104" w:type="dxa"/>
            <w:vAlign w:val="center"/>
          </w:tcPr>
          <w:p>
            <w:pPr>
              <w:spacing w:line="400" w:lineRule="exact"/>
              <w:ind w:firstLine="420" w:firstLineChars="200"/>
              <w:rPr>
                <w:rFonts w:hint="eastAsia" w:ascii="宋体" w:hAnsi="宋体" w:cs="宋体"/>
                <w:highlight w:val="none"/>
              </w:rPr>
            </w:pPr>
            <w:r>
              <w:rPr>
                <w:rFonts w:hint="eastAsia" w:ascii="宋体" w:hAnsi="宋体" w:cs="宋体"/>
                <w:highlight w:val="none"/>
              </w:rPr>
              <w:t>推荐的中标候选人数：2名。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pPr>
              <w:snapToGrid w:val="0"/>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一、投标保证金</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18"/>
                <w:highlight w:val="none"/>
                <w:lang w:bidi="ar"/>
              </w:rPr>
              <w:t>报价人是否提供投标保证金：</w:t>
            </w:r>
            <w:bookmarkStart w:id="121" w:name="是否提供投标保证金"/>
            <w:r>
              <w:rPr>
                <w:rFonts w:hint="eastAsia" w:hAnsi="宋体"/>
                <w:color w:val="auto"/>
                <w:sz w:val="21"/>
                <w:szCs w:val="18"/>
                <w:highlight w:val="none"/>
                <w:lang w:bidi="ar"/>
              </w:rPr>
              <w:t>是</w:t>
            </w:r>
            <w:bookmarkEnd w:id="121"/>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1、报价人须缴纳投标保证金</w:t>
            </w:r>
            <w:bookmarkStart w:id="122" w:name="投标保证金"/>
            <w:r>
              <w:rPr>
                <w:rFonts w:hint="eastAsia" w:hAnsi="宋体"/>
                <w:color w:val="auto"/>
                <w:sz w:val="21"/>
                <w:szCs w:val="21"/>
                <w:highlight w:val="none"/>
                <w:u w:val="single"/>
              </w:rPr>
              <w:t>4000.00</w:t>
            </w:r>
            <w:bookmarkEnd w:id="122"/>
            <w:r>
              <w:rPr>
                <w:rFonts w:hint="eastAsia" w:hAnsi="宋体"/>
                <w:color w:val="auto"/>
                <w:sz w:val="21"/>
                <w:szCs w:val="21"/>
                <w:highlight w:val="none"/>
              </w:rPr>
              <w:t>元，由报价人从公司基本账户将投标保证金汇至以下指定账户：</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保证金到账截止</w:t>
            </w:r>
            <w:r>
              <w:rPr>
                <w:rFonts w:hint="eastAsia" w:hAnsi="宋体"/>
                <w:caps/>
                <w:color w:val="auto"/>
                <w:kern w:val="2"/>
                <w:sz w:val="21"/>
                <w:szCs w:val="21"/>
                <w:highlight w:val="none"/>
                <w:shd w:val="clear" w:color="auto" w:fill="FFFFFF"/>
              </w:rPr>
              <w:t>时间：</w:t>
            </w:r>
            <w:r>
              <w:rPr>
                <w:rFonts w:hint="eastAsia" w:hAnsi="宋体"/>
                <w:color w:val="auto"/>
                <w:sz w:val="21"/>
                <w:szCs w:val="21"/>
                <w:highlight w:val="none"/>
              </w:rPr>
              <w:t>开标截止时间前</w:t>
            </w:r>
            <w:r>
              <w:rPr>
                <w:rFonts w:hint="eastAsia" w:hAnsi="宋体"/>
                <w:caps/>
                <w:color w:val="auto"/>
                <w:kern w:val="2"/>
                <w:sz w:val="21"/>
                <w:szCs w:val="21"/>
                <w:highlight w:val="none"/>
                <w:shd w:val="clear" w:color="auto" w:fill="FFFFFF"/>
              </w:rPr>
              <w:t>；</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若竞争性比选响应文件内无投标保证金缴纳凭证，采购人有权作废标处理，若投标保证金存在虚假不实情况，采购人有权作废标处理。</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转款备注：</w:t>
            </w:r>
            <w:bookmarkStart w:id="123" w:name="单据名称3"/>
            <w:r>
              <w:rPr>
                <w:rFonts w:hint="eastAsia" w:hAnsi="宋体"/>
                <w:color w:val="auto"/>
                <w:sz w:val="21"/>
                <w:szCs w:val="21"/>
                <w:highlight w:val="none"/>
                <w:u w:val="single"/>
              </w:rPr>
              <w:t>路面养护科学决策系统建设项目2026年-2030年网络安全等保服务</w:t>
            </w:r>
            <w:bookmarkEnd w:id="123"/>
            <w:r>
              <w:rPr>
                <w:rFonts w:hint="eastAsia" w:hAnsi="宋体"/>
                <w:color w:val="auto"/>
                <w:sz w:val="21"/>
                <w:szCs w:val="21"/>
                <w:highlight w:val="none"/>
              </w:rPr>
              <w:t>投标保证金（项目名称可简写）</w:t>
            </w:r>
            <w:r>
              <w:rPr>
                <w:rFonts w:hint="eastAsia" w:hAnsi="宋体"/>
                <w:b/>
                <w:bCs/>
                <w:color w:val="auto"/>
                <w:sz w:val="21"/>
                <w:szCs w:val="21"/>
                <w:highlight w:val="none"/>
              </w:rPr>
              <w:t>。</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2、投标保证金退还方式</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（1）非第一中标候选人：中标候选人公示结束后，按要求提供相关资料后15个工作日内无息退还至报价人基本账户，相关资料获取详见序号（3）。</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（2）中标人：自合同签订后，按要求提供相关资料后15个工作日内无息退还至中标人基本账户，相关资料获取详见序号（3）。</w:t>
            </w:r>
          </w:p>
          <w:p>
            <w:pPr>
              <w:pStyle w:val="149"/>
              <w:wordWrap w:val="0"/>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（3）相关资料的获取：报价人进入资料获取网站（https://365.kdocs.cn/l/cdDweP9keuyn），下载资料并加盖章后整理成PDF格式，发送至邮箱（sxgyl@cegc.com.cn），邮件命名均为XXX项目XXX单位。</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3、若本项目“第一次”采购失败，采购人发布“第二次”采购后，报价人可沿用“第一次”采购递交的投标保证金，无需重复递交投标保证金。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4、有下列情形之一的，投标保证金将不予退还</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（1）报价人在规定的报价有效期内撤销或修改其竞争性比选响应文件；</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（2）中标人在中标后，无正当理由不与采购人订立合同，在签订合同时向采购人提出附加条件，或者不按照竞争性比选文件要求提交履约保证金；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（3）采购人有权对报价人提供的资料进行核实，若发现弄虚作假，按相关规定取消其中标资格，并按相关法律法规报行业监督部门，其投标保证金不予退还，报价人承担因此造成的相关责任并赔偿相应损失。</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（4）法律法规规定的其他情形。</w:t>
            </w:r>
          </w:p>
          <w:p>
            <w:pPr>
              <w:pStyle w:val="149"/>
              <w:spacing w:line="400" w:lineRule="exact"/>
              <w:ind w:firstLine="422" w:firstLineChars="200"/>
              <w:jc w:val="both"/>
              <w:rPr>
                <w:rFonts w:hint="eastAsia" w:hAnsi="宋体"/>
                <w:color w:val="auto"/>
                <w:kern w:val="2"/>
                <w:sz w:val="21"/>
                <w:szCs w:val="21"/>
                <w:highlight w:val="none"/>
              </w:rPr>
            </w:pPr>
            <w:r>
              <w:rPr>
                <w:rFonts w:hint="eastAsia" w:hAnsi="宋体"/>
                <w:b/>
                <w:bCs/>
                <w:color w:val="auto"/>
                <w:kern w:val="2"/>
                <w:sz w:val="21"/>
                <w:szCs w:val="21"/>
                <w:highlight w:val="none"/>
              </w:rPr>
              <w:t>二、履约保证金</w:t>
            </w:r>
          </w:p>
          <w:p>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sz w:val="21"/>
                <w:szCs w:val="18"/>
                <w:highlight w:val="none"/>
                <w:lang w:bidi="ar"/>
              </w:rPr>
              <w:t>报价人是否提供履约保证金：</w:t>
            </w:r>
            <w:bookmarkStart w:id="124" w:name="是否提供履约保证金"/>
            <w:r>
              <w:rPr>
                <w:rFonts w:hint="eastAsia" w:hAnsi="宋体"/>
                <w:color w:val="auto"/>
                <w:sz w:val="21"/>
                <w:szCs w:val="18"/>
                <w:highlight w:val="none"/>
                <w:lang w:bidi="ar"/>
              </w:rPr>
              <w:t>是</w:t>
            </w:r>
            <w:bookmarkEnd w:id="124"/>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w:t>
            </w:r>
            <w:r>
              <w:rPr>
                <w:rFonts w:hAnsi="宋体"/>
                <w:color w:val="auto"/>
                <w:kern w:val="2"/>
                <w:sz w:val="21"/>
                <w:szCs w:val="21"/>
                <w:highlight w:val="none"/>
              </w:rPr>
              <w:t>履约</w:t>
            </w:r>
            <w:r>
              <w:rPr>
                <w:rFonts w:hint="eastAsia" w:hAnsi="宋体"/>
                <w:color w:val="auto"/>
                <w:kern w:val="2"/>
                <w:sz w:val="21"/>
                <w:szCs w:val="21"/>
                <w:highlight w:val="none"/>
              </w:rPr>
              <w:t>保证金</w:t>
            </w:r>
            <w:r>
              <w:rPr>
                <w:rFonts w:hAnsi="宋体"/>
                <w:color w:val="auto"/>
                <w:kern w:val="2"/>
                <w:sz w:val="21"/>
                <w:szCs w:val="21"/>
                <w:highlight w:val="none"/>
              </w:rPr>
              <w:t>作为本</w:t>
            </w:r>
            <w:r>
              <w:rPr>
                <w:rFonts w:hint="eastAsia" w:hAnsi="宋体"/>
                <w:color w:val="auto"/>
                <w:kern w:val="2"/>
                <w:sz w:val="21"/>
                <w:szCs w:val="21"/>
                <w:highlight w:val="none"/>
              </w:rPr>
              <w:t>项目</w:t>
            </w:r>
            <w:r>
              <w:rPr>
                <w:rFonts w:hAnsi="宋体"/>
                <w:color w:val="auto"/>
                <w:kern w:val="2"/>
                <w:sz w:val="21"/>
                <w:szCs w:val="21"/>
                <w:highlight w:val="none"/>
              </w:rPr>
              <w:t>合同附件</w:t>
            </w:r>
            <w:r>
              <w:rPr>
                <w:rFonts w:hint="eastAsia" w:hAnsi="宋体"/>
                <w:color w:val="auto"/>
                <w:kern w:val="2"/>
                <w:sz w:val="21"/>
                <w:szCs w:val="21"/>
                <w:highlight w:val="none"/>
              </w:rPr>
              <w:t>。</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2、履约保证金的金额：</w:t>
            </w:r>
            <w:bookmarkStart w:id="125" w:name="履约保证金"/>
            <w:r>
              <w:rPr>
                <w:rFonts w:hint="eastAsia" w:hAnsi="宋体"/>
                <w:color w:val="auto"/>
                <w:kern w:val="2"/>
                <w:sz w:val="21"/>
                <w:szCs w:val="21"/>
                <w:highlight w:val="none"/>
                <w:u w:val="single"/>
              </w:rPr>
              <w:t>合同金额的5%</w:t>
            </w:r>
            <w:bookmarkEnd w:id="125"/>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3、履约保证金有效期：自双方签订的合同文件生效之日起，至合同约定的工作验收完成止。</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4、履约保证金缴纳方式：现金或保函</w:t>
            </w:r>
          </w:p>
          <w:p>
            <w:pPr>
              <w:pStyle w:val="37"/>
              <w:wordWrap w:val="0"/>
              <w:spacing w:before="0" w:beforeAutospacing="0" w:after="0" w:afterAutospacing="0" w:line="400" w:lineRule="exact"/>
              <w:ind w:firstLine="420"/>
              <w:rPr>
                <w:rFonts w:hint="eastAsia"/>
                <w:kern w:val="2"/>
                <w:sz w:val="21"/>
                <w:szCs w:val="21"/>
                <w:highlight w:val="none"/>
              </w:rPr>
            </w:pPr>
            <w:r>
              <w:rPr>
                <w:rFonts w:hint="eastAsia"/>
                <w:kern w:val="2"/>
                <w:sz w:val="21"/>
                <w:szCs w:val="21"/>
                <w:highlight w:val="none"/>
              </w:rPr>
              <w:t>5、履约保证金的提交：在甲方发出中标通知书后5个工作日内，中标人向采购人提供履约保证金</w:t>
            </w:r>
            <w:r>
              <w:rPr>
                <w:kern w:val="2"/>
                <w:sz w:val="21"/>
                <w:szCs w:val="21"/>
                <w:highlight w:val="none"/>
              </w:rPr>
              <w:t>缴纳凭证</w:t>
            </w:r>
            <w:r>
              <w:rPr>
                <w:rFonts w:hint="eastAsia"/>
                <w:kern w:val="2"/>
                <w:sz w:val="21"/>
                <w:szCs w:val="21"/>
                <w:highlight w:val="none"/>
              </w:rPr>
              <w:t>。若缴纳现金的，</w:t>
            </w:r>
            <w:r>
              <w:rPr>
                <w:rFonts w:hint="eastAsia"/>
                <w:sz w:val="21"/>
                <w:szCs w:val="21"/>
                <w:highlight w:val="none"/>
              </w:rPr>
              <w:t>则需备注，转款备注：</w:t>
            </w:r>
            <w:bookmarkStart w:id="126" w:name="单据名称4"/>
            <w:r>
              <w:rPr>
                <w:rFonts w:hint="eastAsia"/>
                <w:sz w:val="21"/>
                <w:szCs w:val="21"/>
                <w:highlight w:val="none"/>
                <w:u w:val="single"/>
              </w:rPr>
              <w:t>路面养护科学决策系统建设项目2026年-2030年网络安全等保服务</w:t>
            </w:r>
            <w:bookmarkEnd w:id="126"/>
            <w:r>
              <w:rPr>
                <w:rFonts w:hint="eastAsia"/>
                <w:sz w:val="21"/>
                <w:szCs w:val="21"/>
                <w:highlight w:val="none"/>
              </w:rPr>
              <w:t>履约保证金（项目名称可简写）</w:t>
            </w:r>
          </w:p>
          <w:p>
            <w:pPr>
              <w:spacing w:line="400" w:lineRule="exact"/>
              <w:ind w:firstLine="420" w:firstLineChars="200"/>
              <w:rPr>
                <w:rFonts w:hint="eastAsia" w:hAnsi="宋体"/>
                <w:szCs w:val="21"/>
                <w:highlight w:val="none"/>
              </w:rPr>
            </w:pPr>
            <w:r>
              <w:rPr>
                <w:rFonts w:hint="eastAsia" w:hAnsi="宋体"/>
                <w:szCs w:val="21"/>
                <w:highlight w:val="none"/>
              </w:rPr>
              <w:t>6、若提供保函的：</w:t>
            </w:r>
            <w:r>
              <w:rPr>
                <w:rFonts w:hint="eastAsia" w:ascii="宋体" w:hAnsi="宋体" w:cs="宋体"/>
                <w:kern w:val="0"/>
                <w:szCs w:val="21"/>
                <w:highlight w:val="none"/>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竞争性比选文件约定要求。报价人对所提交的纸质投标保函的真实性、合法性、有效性负责。</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kern w:val="2"/>
                <w:sz w:val="21"/>
                <w:szCs w:val="21"/>
                <w:highlight w:val="none"/>
              </w:rPr>
              <w:t>7、</w:t>
            </w:r>
            <w:r>
              <w:rPr>
                <w:rFonts w:hAnsi="宋体"/>
                <w:color w:val="auto"/>
                <w:kern w:val="2"/>
                <w:sz w:val="21"/>
                <w:szCs w:val="21"/>
                <w:highlight w:val="none"/>
              </w:rPr>
              <w:t>履约保证金退还：</w:t>
            </w:r>
            <w:r>
              <w:rPr>
                <w:rFonts w:hint="eastAsia" w:hAnsi="宋体"/>
                <w:color w:val="auto"/>
                <w:kern w:val="2"/>
                <w:sz w:val="21"/>
                <w:szCs w:val="21"/>
                <w:highlight w:val="none"/>
              </w:rPr>
              <w:t>采用现金担保的，在完成合同约定的全部工作内容（不含质保工作内容）后28天内退还；采用银行保函的，在完成合同约定的全部工作内容（不含质保工作内容）后28天内退还</w:t>
            </w:r>
            <w:r>
              <w:rPr>
                <w:rFonts w:hAnsi="宋体"/>
                <w:color w:val="auto"/>
                <w:kern w:val="2"/>
                <w:sz w:val="21"/>
                <w:szCs w:val="21"/>
                <w:highlight w:val="none"/>
              </w:rPr>
              <w:t>。</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三、采购人指定的开户银行及账号如下：</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账户名称：重庆首讯科技股份有限公司</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开户银行：兴业银行股份有限公司重庆空港支行</w:t>
            </w:r>
          </w:p>
          <w:p>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帐    号：3460 1010 0100 4791 14</w:t>
            </w:r>
          </w:p>
          <w:p>
            <w:pPr>
              <w:pStyle w:val="149"/>
              <w:spacing w:line="400" w:lineRule="exact"/>
              <w:ind w:firstLine="422" w:firstLineChars="200"/>
              <w:jc w:val="both"/>
              <w:rPr>
                <w:rFonts w:hint="eastAsia" w:hAnsi="宋体"/>
                <w:color w:val="auto"/>
                <w:kern w:val="2"/>
                <w:sz w:val="21"/>
                <w:highlight w:val="none"/>
              </w:rPr>
            </w:pPr>
            <w:r>
              <w:rPr>
                <w:rFonts w:hint="eastAsia" w:hAnsi="宋体"/>
                <w:b/>
                <w:bCs/>
                <w:color w:val="auto"/>
                <w:kern w:val="2"/>
                <w:sz w:val="21"/>
                <w:szCs w:val="21"/>
                <w:highlight w:val="none"/>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pPr>
              <w:spacing w:line="40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1.竞争性比选响应文件提交正本1份，副本1份</w:t>
            </w:r>
            <w:r>
              <w:rPr>
                <w:rFonts w:hint="eastAsia" w:ascii="宋体" w:hAnsi="宋体" w:cs="宋体"/>
                <w:szCs w:val="21"/>
                <w:highlight w:val="none"/>
              </w:rPr>
              <w:t>，副本可为正本的复印件，竞争性比选响应文件需装订成册；</w:t>
            </w:r>
            <w:r>
              <w:rPr>
                <w:rFonts w:hint="eastAsia" w:ascii="宋体" w:hAnsi="宋体" w:cs="宋体"/>
                <w:b/>
                <w:bCs/>
                <w:szCs w:val="21"/>
                <w:highlight w:val="none"/>
              </w:rPr>
              <w:t>报价人应提供竞争性比选响应文件电子文件1份</w:t>
            </w:r>
            <w:r>
              <w:rPr>
                <w:rFonts w:hint="eastAsia" w:ascii="宋体" w:hAnsi="宋体" w:cs="宋体"/>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szCs w:val="21"/>
                <w:highlight w:val="none"/>
              </w:rPr>
              <w:t>。</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pPr>
              <w:adjustRightInd w:val="0"/>
              <w:snapToGrid w:val="0"/>
              <w:spacing w:line="400" w:lineRule="exact"/>
              <w:ind w:firstLine="436" w:firstLineChars="208"/>
              <w:rPr>
                <w:rFonts w:hint="eastAsia" w:ascii="宋体" w:hAnsi="宋体" w:cs="宋体"/>
                <w:szCs w:val="21"/>
                <w:highlight w:val="none"/>
              </w:rPr>
            </w:pPr>
            <w:r>
              <w:rPr>
                <w:rFonts w:hint="eastAsia" w:ascii="宋体" w:hAnsi="宋体" w:cs="宋体"/>
                <w:szCs w:val="21"/>
                <w:highlight w:val="none"/>
              </w:rPr>
              <w:t>3.密封要求：竞争性比选响应文件密封到一个封袋中。</w:t>
            </w:r>
          </w:p>
          <w:p>
            <w:pPr>
              <w:adjustRightInd w:val="0"/>
              <w:snapToGrid w:val="0"/>
              <w:spacing w:line="400" w:lineRule="exact"/>
              <w:ind w:firstLine="436" w:firstLineChars="208"/>
              <w:rPr>
                <w:rFonts w:hint="eastAsia" w:ascii="宋体" w:hAnsi="宋体" w:cs="宋体"/>
                <w:b/>
                <w:bCs/>
                <w:kern w:val="0"/>
                <w:szCs w:val="21"/>
                <w:highlight w:val="none"/>
              </w:rPr>
            </w:pPr>
            <w:r>
              <w:rPr>
                <w:rFonts w:hint="eastAsia" w:ascii="宋体" w:hAnsi="宋体" w:cs="宋体"/>
                <w:szCs w:val="21"/>
                <w:highlight w:val="none"/>
              </w:rPr>
              <w:t>4.竞争性比选响应文件的标记</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应在 “</w:t>
            </w:r>
            <w:r>
              <w:rPr>
                <w:rFonts w:hint="eastAsia" w:ascii="宋体" w:hAnsi="宋体" w:cs="宋体"/>
                <w:szCs w:val="21"/>
                <w:highlight w:val="none"/>
              </w:rPr>
              <w:t>竞争性比选响应文件</w:t>
            </w:r>
            <w:r>
              <w:rPr>
                <w:rFonts w:hint="eastAsia" w:ascii="宋体" w:hAnsi="宋体" w:cs="宋体"/>
                <w:kern w:val="0"/>
                <w:szCs w:val="21"/>
                <w:highlight w:val="none"/>
              </w:rPr>
              <w:t>”</w:t>
            </w:r>
            <w:r>
              <w:rPr>
                <w:rFonts w:hint="eastAsia" w:ascii="宋体" w:hAnsi="宋体" w:cs="宋体"/>
                <w:szCs w:val="21"/>
                <w:highlight w:val="none"/>
              </w:rPr>
              <w:t>封袋</w:t>
            </w:r>
            <w:r>
              <w:rPr>
                <w:rFonts w:hint="eastAsia" w:ascii="宋体" w:hAnsi="宋体" w:cs="宋体"/>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tcPr>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采购人名称：</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u w:val="single"/>
                    </w:rPr>
                    <w:t xml:space="preserve">          （项目名称）                </w:t>
                  </w:r>
                  <w:r>
                    <w:rPr>
                      <w:rFonts w:hint="eastAsia" w:ascii="宋体" w:hAnsi="宋体" w:cs="宋体"/>
                      <w:szCs w:val="21"/>
                      <w:highlight w:val="none"/>
                    </w:rPr>
                    <w:t>响应</w:t>
                  </w:r>
                  <w:r>
                    <w:rPr>
                      <w:rFonts w:hint="eastAsia" w:ascii="宋体" w:hAnsi="宋体" w:cs="宋体"/>
                      <w:kern w:val="0"/>
                      <w:szCs w:val="21"/>
                      <w:highlight w:val="none"/>
                    </w:rPr>
                    <w:t>文件</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报价人名称：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（加盖报价人单位公章）</w:t>
                  </w:r>
                </w:p>
                <w:p>
                  <w:pPr>
                    <w:adjustRightInd w:val="0"/>
                    <w:snapToGrid w:val="0"/>
                    <w:spacing w:line="400" w:lineRule="exact"/>
                    <w:ind w:firstLine="436" w:firstLineChars="208"/>
                    <w:rPr>
                      <w:rFonts w:hint="eastAsia" w:ascii="宋体" w:hAnsi="宋体" w:cs="宋体"/>
                      <w:kern w:val="0"/>
                      <w:szCs w:val="21"/>
                      <w:highlight w:val="none"/>
                    </w:rPr>
                  </w:pPr>
                  <w:r>
                    <w:rPr>
                      <w:rFonts w:hint="eastAsia" w:ascii="宋体" w:hAnsi="宋体" w:cs="宋体"/>
                      <w:kern w:val="0"/>
                      <w:szCs w:val="21"/>
                      <w:highlight w:val="none"/>
                    </w:rPr>
                    <w:t>在</w:t>
                  </w:r>
                  <w:r>
                    <w:rPr>
                      <w:rFonts w:hint="eastAsia" w:ascii="宋体" w:hAnsi="宋体" w:cs="宋体"/>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分（同</w:t>
                  </w:r>
                  <w:r>
                    <w:rPr>
                      <w:rFonts w:hint="eastAsia" w:ascii="宋体" w:hAnsi="宋体" w:cs="宋体"/>
                      <w:szCs w:val="21"/>
                      <w:highlight w:val="none"/>
                      <w:shd w:val="clear" w:color="auto" w:fill="FFFFFF"/>
                    </w:rPr>
                    <w:t>报价截止时间</w:t>
                  </w:r>
                  <w:r>
                    <w:rPr>
                      <w:rFonts w:hint="eastAsia" w:ascii="宋体" w:hAnsi="宋体" w:cs="宋体"/>
                      <w:kern w:val="0"/>
                      <w:szCs w:val="21"/>
                      <w:highlight w:val="none"/>
                    </w:rPr>
                    <w:t>）前不得开启</w:t>
                  </w:r>
                </w:p>
              </w:tc>
            </w:tr>
          </w:tbl>
          <w:p>
            <w:pPr>
              <w:pStyle w:val="149"/>
              <w:spacing w:line="400" w:lineRule="exact"/>
              <w:rPr>
                <w:rFonts w:hint="eastAsia" w:hAnsi="宋体"/>
                <w:b/>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异议及投诉</w:t>
            </w:r>
          </w:p>
        </w:tc>
        <w:tc>
          <w:tcPr>
            <w:tcW w:w="7104" w:type="dxa"/>
            <w:vAlign w:val="center"/>
          </w:tcPr>
          <w:p>
            <w:pPr>
              <w:widowControl/>
              <w:spacing w:line="400" w:lineRule="exact"/>
              <w:ind w:firstLine="420" w:firstLineChars="200"/>
              <w:rPr>
                <w:highlight w:val="none"/>
              </w:rPr>
            </w:pPr>
            <w:r>
              <w:rPr>
                <w:highlight w:val="none"/>
              </w:rPr>
              <w:t>1.</w:t>
            </w:r>
            <w:r>
              <w:rPr>
                <w:rFonts w:hint="eastAsia"/>
                <w:highlight w:val="none"/>
              </w:rPr>
              <w:t xml:space="preserve"> 报价人</w:t>
            </w:r>
            <w:r>
              <w:rPr>
                <w:highlight w:val="none"/>
              </w:rPr>
              <w:t>或者其他利害关系人就本项目的</w:t>
            </w:r>
            <w:r>
              <w:rPr>
                <w:rFonts w:hint="eastAsia"/>
                <w:highlight w:val="none"/>
              </w:rPr>
              <w:t>竞争性比选文件（含澄清修改）、开标情况、</w:t>
            </w:r>
            <w:r>
              <w:rPr>
                <w:highlight w:val="none"/>
              </w:rPr>
              <w:t>评标结果等事项提出异议或投诉</w:t>
            </w:r>
            <w:r>
              <w:rPr>
                <w:rFonts w:hint="eastAsia"/>
                <w:highlight w:val="none"/>
              </w:rPr>
              <w:t>的</w:t>
            </w:r>
            <w:r>
              <w:rPr>
                <w:highlight w:val="none"/>
              </w:rPr>
              <w:t>，应当先向</w:t>
            </w:r>
            <w:r>
              <w:rPr>
                <w:rFonts w:hint="eastAsia"/>
                <w:highlight w:val="none"/>
              </w:rPr>
              <w:t>采购</w:t>
            </w:r>
            <w:r>
              <w:rPr>
                <w:highlight w:val="none"/>
              </w:rPr>
              <w:t>人提出异议；</w:t>
            </w:r>
            <w:r>
              <w:rPr>
                <w:rFonts w:hint="eastAsia"/>
                <w:highlight w:val="none"/>
              </w:rPr>
              <w:t>采购</w:t>
            </w:r>
            <w:r>
              <w:rPr>
                <w:highlight w:val="none"/>
              </w:rPr>
              <w:t>人应当在规定时间内答复；对</w:t>
            </w:r>
            <w:r>
              <w:rPr>
                <w:rFonts w:hint="eastAsia"/>
                <w:highlight w:val="none"/>
              </w:rPr>
              <w:t>采购</w:t>
            </w:r>
            <w:r>
              <w:rPr>
                <w:highlight w:val="none"/>
              </w:rPr>
              <w:t>人的答复不满意，可向监督部门投诉。</w:t>
            </w:r>
          </w:p>
          <w:p>
            <w:pPr>
              <w:widowControl/>
              <w:spacing w:line="400" w:lineRule="exact"/>
              <w:ind w:firstLine="420" w:firstLineChars="200"/>
              <w:rPr>
                <w:highlight w:val="none"/>
              </w:rPr>
            </w:pPr>
            <w:r>
              <w:rPr>
                <w:rFonts w:hint="eastAsia"/>
                <w:highlight w:val="none"/>
              </w:rPr>
              <w:t>提出异议或投诉时应当包括下列内容：</w:t>
            </w:r>
          </w:p>
          <w:p>
            <w:pPr>
              <w:widowControl/>
              <w:spacing w:line="400" w:lineRule="exact"/>
              <w:ind w:firstLine="420" w:firstLineChars="200"/>
              <w:rPr>
                <w:highlight w:val="none"/>
              </w:rPr>
            </w:pPr>
            <w:r>
              <w:rPr>
                <w:rFonts w:hint="eastAsia"/>
                <w:highlight w:val="none"/>
              </w:rPr>
              <w:t>（1）异议人或投诉人的名称、地址及有效联系方式；</w:t>
            </w:r>
          </w:p>
          <w:p>
            <w:pPr>
              <w:widowControl/>
              <w:spacing w:line="400" w:lineRule="exact"/>
              <w:ind w:firstLine="420" w:firstLineChars="200"/>
              <w:rPr>
                <w:highlight w:val="none"/>
              </w:rPr>
            </w:pPr>
            <w:r>
              <w:rPr>
                <w:rFonts w:hint="eastAsia"/>
                <w:highlight w:val="none"/>
              </w:rPr>
              <w:t>（2）被异议人或被投诉人的名称、地址及有效联系方式；</w:t>
            </w:r>
          </w:p>
          <w:p>
            <w:pPr>
              <w:widowControl/>
              <w:spacing w:line="400" w:lineRule="exact"/>
              <w:ind w:firstLine="420" w:firstLineChars="200"/>
              <w:rPr>
                <w:highlight w:val="none"/>
              </w:rPr>
            </w:pPr>
            <w:r>
              <w:rPr>
                <w:rFonts w:hint="eastAsia"/>
                <w:highlight w:val="none"/>
              </w:rPr>
              <w:t>（3）异议或投诉事项的基本事实；</w:t>
            </w:r>
          </w:p>
          <w:p>
            <w:pPr>
              <w:widowControl/>
              <w:spacing w:line="400" w:lineRule="exact"/>
              <w:ind w:firstLine="420" w:firstLineChars="200"/>
              <w:rPr>
                <w:highlight w:val="none"/>
              </w:rPr>
            </w:pPr>
            <w:r>
              <w:rPr>
                <w:rFonts w:hint="eastAsia"/>
                <w:highlight w:val="none"/>
              </w:rPr>
              <w:t>（4）请求及主张；</w:t>
            </w:r>
          </w:p>
          <w:p>
            <w:pPr>
              <w:widowControl/>
              <w:spacing w:line="400" w:lineRule="exact"/>
              <w:ind w:firstLine="420" w:firstLineChars="200"/>
              <w:rPr>
                <w:highlight w:val="none"/>
              </w:rPr>
            </w:pPr>
            <w:r>
              <w:rPr>
                <w:rFonts w:hint="eastAsia"/>
                <w:highlight w:val="none"/>
              </w:rPr>
              <w:t>（5）涉及事项的证据、证明材料。</w:t>
            </w:r>
          </w:p>
          <w:p>
            <w:pPr>
              <w:widowControl/>
              <w:spacing w:line="400" w:lineRule="exact"/>
              <w:ind w:firstLine="420" w:firstLineChars="200"/>
              <w:rPr>
                <w:highlight w:val="none"/>
              </w:rPr>
            </w:pPr>
            <w:r>
              <w:rPr>
                <w:rFonts w:hint="eastAsia"/>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highlight w:val="none"/>
              </w:rPr>
            </w:pPr>
            <w:r>
              <w:rPr>
                <w:highlight w:val="none"/>
              </w:rPr>
              <w:t>2.</w:t>
            </w:r>
            <w:r>
              <w:rPr>
                <w:rFonts w:hint="eastAsia"/>
                <w:highlight w:val="none"/>
              </w:rPr>
              <w:t xml:space="preserve"> </w:t>
            </w:r>
            <w:r>
              <w:rPr>
                <w:highlight w:val="none"/>
              </w:rPr>
              <w:t>监督部门依照</w:t>
            </w:r>
            <w:r>
              <w:rPr>
                <w:rFonts w:hint="eastAsia"/>
                <w:highlight w:val="none"/>
              </w:rPr>
              <w:t>相关</w:t>
            </w:r>
            <w:r>
              <w:rPr>
                <w:highlight w:val="none"/>
              </w:rPr>
              <w:t>法律法规文件处理投诉。</w:t>
            </w:r>
          </w:p>
          <w:p>
            <w:pPr>
              <w:widowControl/>
              <w:spacing w:line="400" w:lineRule="exact"/>
              <w:ind w:firstLine="420" w:firstLineChars="200"/>
              <w:rPr>
                <w:highlight w:val="none"/>
              </w:rPr>
            </w:pPr>
            <w:r>
              <w:rPr>
                <w:rFonts w:hint="eastAsia"/>
                <w:highlight w:val="none"/>
              </w:rPr>
              <w:t>3. 报价人不得捏造事实、伪造材料，或者以非法手段获取证明材料进行异议或者投诉；</w:t>
            </w:r>
            <w:r>
              <w:rPr>
                <w:highlight w:val="none"/>
              </w:rPr>
              <w:t>给他人造成损失的，依法承担赔偿责任。</w:t>
            </w:r>
          </w:p>
          <w:p>
            <w:pPr>
              <w:widowControl/>
              <w:spacing w:line="400" w:lineRule="exact"/>
              <w:ind w:firstLine="420" w:firstLineChars="200"/>
              <w:rPr>
                <w:highlight w:val="none"/>
                <w:u w:val="single"/>
              </w:rPr>
            </w:pPr>
            <w:r>
              <w:rPr>
                <w:rFonts w:hint="eastAsia"/>
                <w:highlight w:val="none"/>
              </w:rPr>
              <w:t>4</w:t>
            </w:r>
            <w:r>
              <w:rPr>
                <w:highlight w:val="none"/>
              </w:rPr>
              <w:t xml:space="preserve">. </w:t>
            </w:r>
            <w:r>
              <w:rPr>
                <w:rFonts w:hint="eastAsia"/>
                <w:highlight w:val="none"/>
              </w:rPr>
              <w:t>异议受理单位：</w:t>
            </w:r>
            <w:r>
              <w:rPr>
                <w:rFonts w:hint="eastAsia" w:hAnsi="宋体"/>
                <w:szCs w:val="21"/>
                <w:highlight w:val="none"/>
                <w:u w:val="single"/>
              </w:rPr>
              <w:t>重庆首讯科技股份有限公司</w:t>
            </w:r>
          </w:p>
          <w:p>
            <w:pPr>
              <w:widowControl/>
              <w:spacing w:line="400" w:lineRule="exact"/>
              <w:ind w:firstLine="420" w:firstLineChars="200"/>
              <w:rPr>
                <w:highlight w:val="none"/>
                <w:u w:val="single"/>
              </w:rPr>
            </w:pPr>
            <w:r>
              <w:rPr>
                <w:rFonts w:hint="eastAsia"/>
                <w:highlight w:val="none"/>
              </w:rPr>
              <w:t>联系电话：</w:t>
            </w:r>
            <w:r>
              <w:rPr>
                <w:rFonts w:hint="eastAsia"/>
                <w:highlight w:val="none"/>
                <w:u w:val="single"/>
              </w:rPr>
              <w:t>023-63131274</w:t>
            </w:r>
          </w:p>
          <w:p>
            <w:pPr>
              <w:widowControl/>
              <w:spacing w:line="400" w:lineRule="exact"/>
              <w:ind w:firstLine="420" w:firstLineChars="200"/>
              <w:rPr>
                <w:highlight w:val="none"/>
                <w:u w:val="single"/>
              </w:rPr>
            </w:pPr>
            <w:r>
              <w:rPr>
                <w:rFonts w:hint="eastAsia"/>
                <w:highlight w:val="none"/>
              </w:rPr>
              <w:t>投诉受理部门：</w:t>
            </w:r>
            <w:r>
              <w:rPr>
                <w:rFonts w:hint="eastAsia" w:hAnsi="宋体"/>
                <w:szCs w:val="21"/>
                <w:highlight w:val="none"/>
                <w:u w:val="single"/>
              </w:rPr>
              <w:t>重庆首讯科技股份有限公司合规监管部</w:t>
            </w:r>
          </w:p>
          <w:p>
            <w:pPr>
              <w:pStyle w:val="149"/>
              <w:spacing w:line="400" w:lineRule="exact"/>
              <w:ind w:firstLine="420" w:firstLineChars="200"/>
              <w:rPr>
                <w:rFonts w:hint="eastAsia" w:hAnsi="宋体"/>
                <w:color w:val="auto"/>
                <w:kern w:val="2"/>
                <w:sz w:val="21"/>
                <w:szCs w:val="21"/>
                <w:highlight w:val="none"/>
              </w:rPr>
            </w:pPr>
            <w:r>
              <w:rPr>
                <w:rFonts w:hint="eastAsia" w:ascii="Times New Roman" w:hAnsi="Times New Roman" w:eastAsia="宋体" w:cs="Times New Roman"/>
                <w:color w:val="auto"/>
                <w:kern w:val="2"/>
                <w:sz w:val="21"/>
                <w:szCs w:val="24"/>
                <w:highlight w:val="none"/>
                <w:lang w:val="en-US" w:eastAsia="zh-CN" w:bidi="ar-SA"/>
              </w:rPr>
              <w:t>联系电话：</w:t>
            </w:r>
            <w:r>
              <w:rPr>
                <w:rFonts w:hint="eastAsia" w:ascii="Times New Roman" w:hAnsi="Times New Roman" w:eastAsia="宋体" w:cs="Times New Roman"/>
                <w:color w:val="auto"/>
                <w:kern w:val="2"/>
                <w:sz w:val="21"/>
                <w:szCs w:val="24"/>
                <w:highlight w:val="none"/>
                <w:u w:val="single"/>
                <w:lang w:val="en-US" w:eastAsia="zh-CN" w:bidi="ar-SA"/>
              </w:rPr>
              <w:t>023-63132246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23</w:t>
            </w:r>
          </w:p>
        </w:tc>
        <w:tc>
          <w:tcPr>
            <w:tcW w:w="2106" w:type="dxa"/>
            <w:vAlign w:val="center"/>
          </w:tcPr>
          <w:p>
            <w:pPr>
              <w:spacing w:line="400" w:lineRule="exact"/>
              <w:jc w:val="center"/>
              <w:rPr>
                <w:rFonts w:hint="eastAsia" w:hAnsi="宋体"/>
                <w:szCs w:val="21"/>
                <w:highlight w:val="none"/>
              </w:rPr>
            </w:pPr>
            <w:r>
              <w:rPr>
                <w:rFonts w:hint="eastAsia" w:ascii="宋体" w:hAnsi="宋体" w:cs="宋体"/>
                <w:szCs w:val="21"/>
                <w:highlight w:val="none"/>
              </w:rPr>
              <w:t>中标候选人公示</w:t>
            </w:r>
          </w:p>
        </w:tc>
        <w:tc>
          <w:tcPr>
            <w:tcW w:w="7104" w:type="dxa"/>
            <w:vAlign w:val="center"/>
          </w:tcPr>
          <w:p>
            <w:pPr>
              <w:wordWrap w:val="0"/>
              <w:spacing w:line="400" w:lineRule="exact"/>
              <w:ind w:firstLine="420" w:firstLineChars="200"/>
              <w:rPr>
                <w:rFonts w:hint="eastAsia" w:hAnsi="宋体"/>
                <w:szCs w:val="21"/>
                <w:highlight w:val="none"/>
              </w:rPr>
            </w:pPr>
            <w:r>
              <w:rPr>
                <w:rFonts w:hint="eastAsia" w:ascii="宋体" w:hAnsi="宋体" w:cs="宋体"/>
                <w:szCs w:val="21"/>
                <w:highlight w:val="none"/>
              </w:rPr>
              <w:t>评标结果将在</w:t>
            </w:r>
            <w:r>
              <w:rPr>
                <w:rFonts w:hint="eastAsia" w:ascii="宋体" w:hAnsi="宋体"/>
                <w:szCs w:val="21"/>
                <w:highlight w:val="none"/>
              </w:rPr>
              <w:t>重庆高速集团官网</w:t>
            </w:r>
            <w:r>
              <w:rPr>
                <w:rFonts w:hint="eastAsia" w:ascii="宋体" w:hAnsi="宋体" w:cs="宋体"/>
                <w:szCs w:val="21"/>
                <w:highlight w:val="none"/>
              </w:rPr>
              <w:t>上进行公示，公示期为3日。公示内容包括中标候选人名称、排序、投标报价；提出异议、投诉的渠道和方式。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24</w:t>
            </w:r>
          </w:p>
        </w:tc>
        <w:tc>
          <w:tcPr>
            <w:tcW w:w="2106" w:type="dxa"/>
            <w:vAlign w:val="center"/>
          </w:tcPr>
          <w:p>
            <w:pPr>
              <w:wordWrap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确定中标人</w:t>
            </w:r>
          </w:p>
        </w:tc>
        <w:tc>
          <w:tcPr>
            <w:tcW w:w="7104" w:type="dxa"/>
            <w:vAlign w:val="center"/>
          </w:tcPr>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1.中标候选人公示结束且无异议的，采购人确定排名第一的中标候选人为中标人。采购人不得在中标候选人之外确定中标人。</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排名第一的中标候选人放弃中标、因不可抗力不能签订合同、不按照竞争性比选文件要求提交履约保证金，或者被查实存在影响中标结果的违法行为等情形，不符合中标条件的，采购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25</w:t>
            </w:r>
          </w:p>
        </w:tc>
        <w:tc>
          <w:tcPr>
            <w:tcW w:w="2106" w:type="dxa"/>
            <w:vAlign w:val="center"/>
          </w:tcPr>
          <w:p>
            <w:pPr>
              <w:wordWrap w:val="0"/>
              <w:adjustRightInd w:val="0"/>
              <w:snapToGrid w:val="0"/>
              <w:spacing w:line="400" w:lineRule="exact"/>
              <w:jc w:val="center"/>
              <w:rPr>
                <w:rFonts w:hint="eastAsia" w:ascii="宋体" w:hAnsi="宋体" w:cs="宋体"/>
                <w:szCs w:val="21"/>
                <w:highlight w:val="none"/>
              </w:rPr>
            </w:pPr>
            <w:r>
              <w:rPr>
                <w:rFonts w:hint="eastAsia" w:ascii="宋体" w:hAnsi="宋体" w:cs="宋体"/>
                <w:szCs w:val="21"/>
                <w:highlight w:val="none"/>
              </w:rPr>
              <w:t>乙方违约的处理</w:t>
            </w:r>
          </w:p>
        </w:tc>
        <w:tc>
          <w:tcPr>
            <w:tcW w:w="7104" w:type="dxa"/>
            <w:vAlign w:val="center"/>
          </w:tcPr>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乙方应在所规定的时间内完成和交付。如乙方未履行义务，应当向甲方支付违约金，违约金以及其它相关处罚的具体确定方式以及金额依照合同附件一执行，每结算季度中产生的违约金在当期结算金额中直接扣除。</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2.如因乙方服务人员造成甲方损失且违约金不足以弥补的，乙方还必须对造成的损失按实际情况进行赔偿（具体赔偿金额可由甲乙双方认可的第三方评估机构进行实际评估计算）。</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3.任何一方违反本合同所规定的保密义务，违约方应按约定支付违约金。如实际损失超过该违约金的，受损失一方有权要求对方赔偿超过部分。</w:t>
            </w:r>
          </w:p>
          <w:p>
            <w:pPr>
              <w:wordWrap w:val="0"/>
              <w:spacing w:line="400" w:lineRule="exact"/>
              <w:ind w:firstLine="420" w:firstLineChars="200"/>
              <w:rPr>
                <w:rFonts w:ascii="Wonder Arial" w:hAnsi="Wonder Arial" w:eastAsia="方正仿宋_GB2312" w:cs="Wonder Arial"/>
                <w:szCs w:val="21"/>
                <w:highlight w:val="none"/>
              </w:rPr>
            </w:pPr>
            <w:r>
              <w:rPr>
                <w:rFonts w:hint="eastAsia" w:ascii="宋体" w:hAnsi="宋体" w:cs="宋体"/>
                <w:szCs w:val="21"/>
                <w:highlight w:val="none"/>
              </w:rPr>
              <w:t>4.甲方有权对乙方提供的服务进行定期检查，若乙方未满足要求，每发现一次，乙方应向甲方支付2000元/次的违约金。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5.任何一方违反本合同所规定的其他义务，除本合同另有约定外，违约方按合同总价的5%向对方支付违约金。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6.按本合同赔偿的违约金应在15个工作日内付清，否则，按逾期付款处理，即每迟延一日按欠付金额的0.03%支付违约金。</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7.以上涉及违约金或罚款的，应先扣除履约保证金，直至履约保证金扣除完后，在进度款中扣除。</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8.因乙方服务人员造成甲方损失，乙方除应当负责配合甲方解决之外，还应当承担由此给甲方造成的一切损失。本义务不随本合同履行期限届满而结束。</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9.因履行合同而发生的一切安全保障责任、人身伤亡事故及造成的损失均由乙方承担。</w:t>
            </w:r>
          </w:p>
          <w:p>
            <w:pPr>
              <w:wordWrap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10.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w:t>
            </w:r>
          </w:p>
        </w:tc>
        <w:tc>
          <w:tcPr>
            <w:tcW w:w="9210" w:type="dxa"/>
            <w:gridSpan w:val="2"/>
            <w:vAlign w:val="center"/>
          </w:tcPr>
          <w:p>
            <w:pPr>
              <w:pStyle w:val="149"/>
              <w:spacing w:line="400" w:lineRule="exact"/>
              <w:ind w:firstLine="482" w:firstLineChars="200"/>
              <w:jc w:val="center"/>
              <w:rPr>
                <w:rFonts w:hint="eastAsia" w:hAnsi="宋体"/>
                <w:color w:val="auto"/>
                <w:kern w:val="2"/>
                <w:sz w:val="21"/>
                <w:szCs w:val="21"/>
                <w:highlight w:val="none"/>
              </w:rPr>
            </w:pPr>
            <w:r>
              <w:rPr>
                <w:rFonts w:hAnsi="宋体"/>
                <w:b/>
                <w:bCs/>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26.1</w:t>
            </w:r>
          </w:p>
        </w:tc>
        <w:tc>
          <w:tcPr>
            <w:tcW w:w="9210" w:type="dxa"/>
            <w:gridSpan w:val="2"/>
            <w:vAlign w:val="center"/>
          </w:tcPr>
          <w:p>
            <w:pPr>
              <w:pStyle w:val="149"/>
              <w:spacing w:line="400" w:lineRule="exact"/>
              <w:ind w:firstLine="420" w:firstLineChars="200"/>
              <w:rPr>
                <w:rFonts w:hint="eastAsia"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26.2</w:t>
            </w:r>
          </w:p>
        </w:tc>
        <w:tc>
          <w:tcPr>
            <w:tcW w:w="9210" w:type="dxa"/>
            <w:gridSpan w:val="2"/>
            <w:vAlign w:val="center"/>
          </w:tcPr>
          <w:p>
            <w:pPr>
              <w:pStyle w:val="149"/>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需提供投标保证金银行回执（如有）。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26.3</w:t>
            </w:r>
          </w:p>
        </w:tc>
        <w:tc>
          <w:tcPr>
            <w:tcW w:w="9210" w:type="dxa"/>
            <w:gridSpan w:val="2"/>
            <w:vAlign w:val="center"/>
          </w:tcPr>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1、报价人在报价时应充分考虑人工费用上涨、采购人采购量波动等不确定因素的风险，该报价人若中标，其报价在服务期内不得调整。</w:t>
            </w:r>
          </w:p>
          <w:p>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2、若报价人对服务范围有漏报、漏项的情况发生，采购人均视为报价人已充分理解竞争性比选文件要求，漏报、漏项部分已包含在其投标报价之中。该报价人若中标，其报价不调整。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26.4</w:t>
            </w:r>
          </w:p>
        </w:tc>
        <w:tc>
          <w:tcPr>
            <w:tcW w:w="9210" w:type="dxa"/>
            <w:gridSpan w:val="2"/>
            <w:vAlign w:val="center"/>
          </w:tcPr>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1、报价人须承诺竞争性比选响应文件中所有资料都是真实、准确、完整的。</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2、报价人须承诺不存在资质挂靠或参与串标、围标情形。</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3、报价人须承诺完全响应竞争性比选文件中的人员要求、响应内容要求、报价要求、</w:t>
            </w:r>
            <w:r>
              <w:rPr>
                <w:rFonts w:hint="eastAsia" w:ascii="宋体" w:hAnsi="宋体" w:cs="宋体"/>
                <w:highlight w:val="none"/>
              </w:rPr>
              <w:t>服务期限</w:t>
            </w:r>
            <w:r>
              <w:rPr>
                <w:rFonts w:hint="eastAsia" w:ascii="宋体" w:hAnsi="宋体" w:cs="宋体"/>
                <w:szCs w:val="21"/>
                <w:highlight w:val="none"/>
              </w:rPr>
              <w:t>要求、服务质量标准及支付方式等一切要求。</w:t>
            </w:r>
          </w:p>
          <w:p>
            <w:pPr>
              <w:spacing w:line="380" w:lineRule="exact"/>
              <w:ind w:firstLine="420" w:firstLineChars="200"/>
              <w:rPr>
                <w:rFonts w:hint="eastAsia" w:ascii="宋体" w:hAnsi="宋体" w:cs="宋体"/>
                <w:szCs w:val="21"/>
                <w:highlight w:val="none"/>
              </w:rPr>
            </w:pPr>
            <w:r>
              <w:rPr>
                <w:rFonts w:hint="eastAsia" w:asciiTheme="minorEastAsia" w:hAnsiTheme="minorEastAsia" w:eastAsiaTheme="minorEastAsia" w:cstheme="minorEastAsia"/>
                <w:szCs w:val="21"/>
                <w:highlight w:val="none"/>
              </w:rPr>
              <w:t>4、报价人须承诺绝不向采购人工作人员、评标委员会成员等提供或变相提供现金、回扣、有</w:t>
            </w:r>
            <w:r>
              <w:rPr>
                <w:rFonts w:hint="eastAsia" w:ascii="宋体" w:hAnsi="宋体" w:cs="宋体"/>
                <w:szCs w:val="21"/>
                <w:highlight w:val="none"/>
              </w:rPr>
              <w:t>价证券、旅游等形式的利益输送，并自愿配合贵司或第三方机构对项目进行廉政审查。</w:t>
            </w:r>
          </w:p>
          <w:p>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5、报价人凡被列入采购人暂停、终止、永久取消合格供应商资格（列入诚信黑名单）名单内的单位，不得参与本次报价。如发现有上述情况，其报价将被作废。</w:t>
            </w:r>
          </w:p>
          <w:p>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7、报价人须知悉并愿意接受采购人监督部门对本次竞争性比选活动的监督，积极配合相关工作，如实提供所需信息和资料。</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8、如报价人违反上述承诺，隐瞒、提供虚假资料或不按竞争性比选文件要求组织实施，被采购人发现或被他人举报查实，无条件接受贵司的处罚，对造成的损失，任何法律和经济责任完全由报价人承担。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26.5</w:t>
            </w:r>
          </w:p>
        </w:tc>
        <w:tc>
          <w:tcPr>
            <w:tcW w:w="9210" w:type="dxa"/>
            <w:gridSpan w:val="2"/>
            <w:vAlign w:val="center"/>
          </w:tcPr>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评标委员会在</w:t>
            </w:r>
            <w:r>
              <w:rPr>
                <w:rFonts w:hint="eastAsia" w:hAnsi="宋体" w:cs="宋体"/>
                <w:szCs w:val="21"/>
                <w:highlight w:val="none"/>
              </w:rPr>
              <w:t>评审</w:t>
            </w:r>
            <w:r>
              <w:rPr>
                <w:rFonts w:hint="eastAsia" w:ascii="宋体" w:hAnsi="宋体" w:cs="宋体"/>
                <w:szCs w:val="21"/>
                <w:highlight w:val="none"/>
              </w:rPr>
              <w:t>过程中，发现</w:t>
            </w:r>
            <w:r>
              <w:rPr>
                <w:rFonts w:hint="eastAsia" w:hAnsi="宋体" w:cs="宋体"/>
                <w:szCs w:val="21"/>
                <w:highlight w:val="none"/>
              </w:rPr>
              <w:t>报价</w:t>
            </w:r>
            <w:r>
              <w:rPr>
                <w:rFonts w:hint="eastAsia" w:ascii="宋体" w:hAnsi="宋体" w:cs="宋体"/>
                <w:szCs w:val="21"/>
                <w:highlight w:val="none"/>
              </w:rPr>
              <w:t>人的报价明显低于其他报价使得其报价可能低于其个别成本的，应当要求该</w:t>
            </w:r>
            <w:r>
              <w:rPr>
                <w:rFonts w:hint="eastAsia" w:hAnsi="宋体" w:cs="宋体"/>
                <w:szCs w:val="21"/>
                <w:highlight w:val="none"/>
              </w:rPr>
              <w:t>报价</w:t>
            </w:r>
            <w:r>
              <w:rPr>
                <w:rFonts w:hint="eastAsia" w:ascii="宋体" w:hAnsi="宋体" w:cs="宋体"/>
                <w:szCs w:val="21"/>
                <w:highlight w:val="none"/>
              </w:rPr>
              <w:t>人作出书面说明并提供相关证明材料。</w:t>
            </w:r>
            <w:r>
              <w:rPr>
                <w:rFonts w:hint="eastAsia" w:hAnsi="宋体" w:cs="宋体"/>
                <w:szCs w:val="21"/>
                <w:highlight w:val="none"/>
              </w:rPr>
              <w:t>报价</w:t>
            </w:r>
            <w:r>
              <w:rPr>
                <w:rFonts w:hint="eastAsia" w:ascii="宋体" w:hAnsi="宋体" w:cs="宋体"/>
                <w:szCs w:val="21"/>
                <w:highlight w:val="none"/>
              </w:rPr>
              <w:t>人不能合理说明或者不能提供相关证明材料的，</w:t>
            </w:r>
            <w:r>
              <w:rPr>
                <w:rFonts w:hint="eastAsia" w:hAnsi="宋体" w:cs="宋体"/>
                <w:szCs w:val="21"/>
                <w:highlight w:val="none"/>
              </w:rPr>
              <w:t>应</w:t>
            </w:r>
            <w:r>
              <w:rPr>
                <w:rFonts w:hint="eastAsia" w:ascii="宋体" w:hAnsi="宋体" w:cs="宋体"/>
                <w:szCs w:val="21"/>
                <w:highlight w:val="none"/>
              </w:rPr>
              <w:t>认定该</w:t>
            </w:r>
            <w:r>
              <w:rPr>
                <w:rFonts w:hint="eastAsia" w:hAnsi="宋体" w:cs="宋体"/>
                <w:szCs w:val="21"/>
                <w:highlight w:val="none"/>
              </w:rPr>
              <w:t>报价</w:t>
            </w:r>
            <w:r>
              <w:rPr>
                <w:rFonts w:hint="eastAsia" w:ascii="宋体" w:hAnsi="宋体" w:cs="宋体"/>
                <w:szCs w:val="21"/>
                <w:highlight w:val="none"/>
              </w:rPr>
              <w:t>人以低于成本报价竞标的，其</w:t>
            </w:r>
            <w:r>
              <w:rPr>
                <w:rFonts w:hint="eastAsia" w:hAnsi="宋体" w:cs="宋体"/>
                <w:szCs w:val="21"/>
                <w:highlight w:val="none"/>
              </w:rPr>
              <w:t>报价</w:t>
            </w:r>
            <w:r>
              <w:rPr>
                <w:rFonts w:hint="eastAsia" w:ascii="宋体" w:hAnsi="宋体" w:cs="宋体"/>
                <w:szCs w:val="21"/>
                <w:highlight w:val="none"/>
              </w:rPr>
              <w:t>应作无效</w:t>
            </w:r>
            <w:r>
              <w:rPr>
                <w:rFonts w:hint="eastAsia" w:hAnsi="宋体" w:cs="宋体"/>
                <w:szCs w:val="21"/>
                <w:highlight w:val="none"/>
              </w:rPr>
              <w:t>响应</w:t>
            </w:r>
            <w:r>
              <w:rPr>
                <w:rFonts w:hint="eastAsia" w:ascii="宋体" w:hAnsi="宋体" w:cs="宋体"/>
                <w:szCs w:val="21"/>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26.6</w:t>
            </w:r>
          </w:p>
        </w:tc>
        <w:tc>
          <w:tcPr>
            <w:tcW w:w="9210" w:type="dxa"/>
            <w:gridSpan w:val="2"/>
            <w:vAlign w:val="center"/>
          </w:tcPr>
          <w:p>
            <w:pPr>
              <w:spacing w:line="380" w:lineRule="exact"/>
              <w:ind w:firstLine="420" w:firstLineChars="200"/>
              <w:rPr>
                <w:rFonts w:hint="eastAsia" w:ascii="宋体" w:hAnsi="宋体" w:cs="宋体"/>
                <w:szCs w:val="21"/>
                <w:highlight w:val="none"/>
              </w:rPr>
            </w:pPr>
            <w:bookmarkStart w:id="127" w:name="OLE_LINK5"/>
            <w:r>
              <w:rPr>
                <w:rFonts w:hint="eastAsia" w:ascii="宋体" w:hAnsi="宋体" w:cs="宋体"/>
                <w:kern w:val="0"/>
                <w:szCs w:val="21"/>
                <w:highlight w:val="none"/>
              </w:rPr>
              <w:t>报价</w:t>
            </w:r>
            <w:bookmarkEnd w:id="127"/>
            <w:r>
              <w:rPr>
                <w:rFonts w:hint="eastAsia" w:ascii="宋体" w:hAnsi="宋体" w:cs="宋体"/>
                <w:kern w:val="0"/>
                <w:szCs w:val="21"/>
                <w:highlight w:val="none"/>
              </w:rPr>
              <w:t>有效期：</w:t>
            </w:r>
            <w:r>
              <w:rPr>
                <w:rFonts w:hint="eastAsia" w:ascii="宋体" w:hAnsi="宋体" w:cs="宋体"/>
                <w:szCs w:val="21"/>
                <w:highlight w:val="none"/>
                <w:u w:val="single"/>
              </w:rPr>
              <w:t>45</w:t>
            </w:r>
            <w:r>
              <w:rPr>
                <w:rFonts w:hint="eastAsia" w:ascii="宋体" w:hAnsi="宋体" w:cs="宋体"/>
                <w:szCs w:val="21"/>
                <w:highlight w:val="none"/>
              </w:rPr>
              <w:t>日历天（从提交竞争性比选响应文件截止日起计算）</w:t>
            </w:r>
          </w:p>
        </w:tc>
      </w:tr>
      <w:bookmarkEnd w:id="116"/>
    </w:tbl>
    <w:p>
      <w:pPr>
        <w:rPr>
          <w:highlight w:val="none"/>
        </w:rPr>
      </w:pPr>
    </w:p>
    <w:p>
      <w:pPr>
        <w:spacing w:line="360" w:lineRule="auto"/>
        <w:jc w:val="center"/>
        <w:rPr>
          <w:rFonts w:hint="eastAsia" w:ascii="宋体" w:hAnsi="宋体" w:cs="宋体"/>
          <w:b/>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28" w:name="_Hlt227984024"/>
      <w:bookmarkEnd w:id="128"/>
    </w:p>
    <w:p>
      <w:pPr>
        <w:pStyle w:val="4"/>
        <w:jc w:val="center"/>
        <w:rPr>
          <w:rFonts w:hint="eastAsia" w:ascii="宋体" w:hAnsi="宋体" w:eastAsia="宋体" w:cs="宋体"/>
          <w:bCs w:val="0"/>
          <w:sz w:val="28"/>
          <w:szCs w:val="28"/>
          <w:highlight w:val="none"/>
        </w:rPr>
      </w:pPr>
      <w:bookmarkStart w:id="129" w:name="_Toc11284"/>
      <w:bookmarkStart w:id="130" w:name="_Toc17532"/>
      <w:bookmarkStart w:id="131" w:name="_Toc30198"/>
      <w:bookmarkStart w:id="132" w:name="_Toc11329222"/>
      <w:bookmarkStart w:id="133" w:name="_Toc21580"/>
      <w:bookmarkStart w:id="134" w:name="_Toc31663"/>
      <w:r>
        <w:rPr>
          <w:rFonts w:hint="eastAsia" w:ascii="宋体" w:hAnsi="宋体" w:eastAsia="宋体" w:cs="宋体"/>
          <w:sz w:val="28"/>
          <w:szCs w:val="28"/>
          <w:highlight w:val="none"/>
        </w:rPr>
        <w:t xml:space="preserve">附录1  </w:t>
      </w:r>
      <w:bookmarkEnd w:id="129"/>
      <w:bookmarkEnd w:id="130"/>
      <w:bookmarkEnd w:id="131"/>
      <w:bookmarkEnd w:id="132"/>
      <w:bookmarkStart w:id="135" w:name="_Toc25591"/>
      <w:bookmarkStart w:id="136" w:name="_Toc12773"/>
      <w:bookmarkStart w:id="137" w:name="_Toc27096"/>
      <w:bookmarkStart w:id="138" w:name="_Toc11329226"/>
      <w:r>
        <w:rPr>
          <w:rFonts w:hint="eastAsia" w:ascii="宋体" w:hAnsi="宋体" w:eastAsia="宋体" w:cs="宋体"/>
          <w:bCs w:val="0"/>
          <w:sz w:val="28"/>
          <w:szCs w:val="28"/>
          <w:highlight w:val="none"/>
        </w:rPr>
        <w:t>报价人资格要求</w:t>
      </w:r>
      <w:bookmarkEnd w:id="133"/>
      <w:bookmarkEnd w:id="134"/>
      <w:bookmarkEnd w:id="135"/>
      <w:bookmarkEnd w:id="136"/>
      <w:bookmarkEnd w:id="137"/>
      <w:bookmarkEnd w:id="138"/>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bookmarkStart w:id="139" w:name="_Toc388534043"/>
            <w:bookmarkStart w:id="140" w:name="_Toc387234996"/>
            <w:r>
              <w:rPr>
                <w:rFonts w:hint="eastAsia" w:ascii="宋体" w:hAnsi="宋体" w:cs="宋体"/>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1" w:name="资质要求1"/>
            <w:r>
              <w:rPr>
                <w:rFonts w:hint="eastAsia" w:ascii="宋体" w:hAnsi="宋体" w:cs="宋体"/>
                <w:szCs w:val="21"/>
                <w:highlight w:val="none"/>
                <w:shd w:val="clear" w:color="auto" w:fill="FCFCFC"/>
              </w:rPr>
              <w:t>报价人具有独立法人资格及有效的营业执照。</w:t>
            </w:r>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shd w:val="clear" w:color="auto" w:fill="FFFFFF"/>
              </w:rPr>
            </w:pPr>
            <w:bookmarkStart w:id="142" w:name="业绩要求1"/>
            <w:r>
              <w:rPr>
                <w:rFonts w:hint="eastAsia" w:ascii="宋体" w:hAnsi="宋体" w:cs="宋体"/>
                <w:szCs w:val="21"/>
                <w:highlight w:val="none"/>
              </w:rPr>
              <w:t>2023年1月1日至报价截止日期（以合同签订时间为准）至少独立完成一项合同金额不低于20万元的网络安全建设或服务项目相关业绩。</w:t>
            </w:r>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3</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主要管理</w:t>
            </w:r>
          </w:p>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3" w:name="主要管理人员要求"/>
            <w:r>
              <w:rPr>
                <w:rFonts w:hint="eastAsia" w:ascii="宋体" w:hAnsi="宋体" w:cs="宋体"/>
                <w:szCs w:val="21"/>
                <w:highlight w:val="none"/>
              </w:rPr>
              <w:t>项目负责人1人，为报价人公司正式员工且该单位有3年及以上工作经验。</w:t>
            </w:r>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4</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144" w:name="其他人员要求"/>
            <w:r>
              <w:rPr>
                <w:rFonts w:hint="eastAsia" w:ascii="宋体" w:hAnsi="宋体" w:cs="宋体"/>
                <w:szCs w:val="21"/>
                <w:highlight w:val="none"/>
              </w:rPr>
              <w:t>维护人员3人，为报价人公司正式员工且该单位有1年及以上工作经验。</w:t>
            </w:r>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5</w:t>
            </w:r>
          </w:p>
        </w:tc>
        <w:tc>
          <w:tcPr>
            <w:tcW w:w="1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b/>
                <w:bCs/>
                <w:szCs w:val="21"/>
                <w:highlight w:val="none"/>
              </w:rPr>
            </w:pPr>
            <w:r>
              <w:rPr>
                <w:rFonts w:hint="eastAsia" w:ascii="宋体" w:hAnsi="宋体" w:cs="宋体"/>
                <w:b/>
                <w:bCs/>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szCs w:val="21"/>
                <w:highlight w:val="none"/>
                <w:shd w:val="clear" w:color="auto" w:fill="FFFFFF"/>
              </w:rPr>
              <w:t>。</w:t>
            </w:r>
          </w:p>
        </w:tc>
      </w:tr>
    </w:tbl>
    <w:p>
      <w:pPr>
        <w:spacing w:line="400" w:lineRule="exact"/>
        <w:jc w:val="left"/>
        <w:rPr>
          <w:rFonts w:hint="eastAsia" w:hAnsi="宋体"/>
          <w:b/>
          <w:bCs/>
          <w:szCs w:val="21"/>
          <w:highlight w:val="none"/>
        </w:rPr>
      </w:pPr>
      <w:r>
        <w:rPr>
          <w:rFonts w:hint="eastAsia" w:hAnsi="宋体"/>
          <w:b/>
          <w:bCs/>
          <w:szCs w:val="21"/>
          <w:highlight w:val="none"/>
        </w:rPr>
        <w:t>注：</w:t>
      </w:r>
      <w:r>
        <w:rPr>
          <w:rFonts w:hint="eastAsia" w:hAnsi="宋体"/>
          <w:b/>
          <w:bCs/>
          <w:kern w:val="0"/>
          <w:szCs w:val="21"/>
          <w:highlight w:val="none"/>
        </w:rPr>
        <w:t>1.</w:t>
      </w:r>
      <w:r>
        <w:rPr>
          <w:rFonts w:hint="eastAsia" w:hAnsi="宋体"/>
          <w:b/>
          <w:bCs/>
          <w:szCs w:val="21"/>
          <w:highlight w:val="none"/>
        </w:rPr>
        <w:t>提供营业执照</w:t>
      </w:r>
      <w:r>
        <w:rPr>
          <w:rFonts w:hint="eastAsia" w:hAnsi="宋体"/>
          <w:b/>
          <w:bCs/>
          <w:szCs w:val="21"/>
          <w:highlight w:val="none"/>
          <w:lang w:val="en-US" w:eastAsia="zh-CN"/>
        </w:rPr>
        <w:t>及相关证书</w:t>
      </w:r>
      <w:r>
        <w:rPr>
          <w:rFonts w:hint="eastAsia" w:hAnsi="宋体"/>
          <w:b/>
          <w:bCs/>
          <w:szCs w:val="21"/>
          <w:highlight w:val="none"/>
        </w:rPr>
        <w:t>复印件，并加盖公章</w:t>
      </w:r>
      <w:r>
        <w:rPr>
          <w:rFonts w:hint="eastAsia" w:hAnsi="宋体"/>
          <w:b/>
          <w:bCs/>
          <w:kern w:val="0"/>
          <w:szCs w:val="21"/>
          <w:highlight w:val="none"/>
        </w:rPr>
        <w:t>。</w:t>
      </w:r>
    </w:p>
    <w:p>
      <w:pPr>
        <w:spacing w:line="400" w:lineRule="exact"/>
        <w:ind w:firstLine="422" w:firstLineChars="200"/>
        <w:rPr>
          <w:rFonts w:hint="eastAsia" w:hAnsi="宋体"/>
          <w:b/>
          <w:bCs/>
          <w:kern w:val="0"/>
          <w:szCs w:val="21"/>
          <w:highlight w:val="none"/>
        </w:rPr>
      </w:pPr>
      <w:r>
        <w:rPr>
          <w:rFonts w:hint="eastAsia"/>
          <w:b/>
          <w:bCs/>
          <w:highlight w:val="none"/>
        </w:rPr>
        <w:t>2.业绩证明资料</w:t>
      </w:r>
      <w:r>
        <w:rPr>
          <w:b/>
          <w:bCs/>
          <w:highlight w:val="none"/>
        </w:rPr>
        <w:t>提供合同</w:t>
      </w:r>
      <w:r>
        <w:rPr>
          <w:rFonts w:hint="eastAsia" w:ascii="宋体" w:hAnsi="宋体" w:cs="宋体"/>
          <w:b/>
          <w:bCs/>
          <w:szCs w:val="21"/>
          <w:highlight w:val="none"/>
          <w:shd w:val="clear" w:color="auto" w:fill="FFFFFF"/>
        </w:rPr>
        <w:t>复印件</w:t>
      </w:r>
      <w:r>
        <w:rPr>
          <w:b/>
          <w:bCs/>
          <w:highlight w:val="none"/>
        </w:rPr>
        <w:t>（合同需清晰反映上述业绩要求的主要内容，包括但不限于合同签订时间、合同金额及合同内容）</w:t>
      </w:r>
      <w:r>
        <w:rPr>
          <w:rFonts w:hint="eastAsia"/>
          <w:b/>
          <w:bCs/>
          <w:highlight w:val="none"/>
        </w:rPr>
        <w:t>，并</w:t>
      </w:r>
      <w:r>
        <w:rPr>
          <w:rFonts w:hint="eastAsia" w:hAnsi="宋体"/>
          <w:b/>
          <w:bCs/>
          <w:kern w:val="0"/>
          <w:szCs w:val="21"/>
          <w:highlight w:val="none"/>
        </w:rPr>
        <w:t>盖单位公章。若合同中无法体现上述内容的，则还需出具加盖业主公章的业主证明材料。</w:t>
      </w:r>
    </w:p>
    <w:p>
      <w:pPr>
        <w:spacing w:line="400" w:lineRule="exact"/>
        <w:ind w:firstLine="422" w:firstLineChars="200"/>
        <w:rPr>
          <w:b/>
          <w:bCs/>
          <w:szCs w:val="21"/>
          <w:highlight w:val="none"/>
        </w:rPr>
      </w:pPr>
      <w:r>
        <w:rPr>
          <w:rFonts w:hint="eastAsia"/>
          <w:b/>
          <w:bCs/>
          <w:szCs w:val="21"/>
          <w:highlight w:val="none"/>
        </w:rPr>
        <w:t>3.报价人拟派的主要管理人员，由报价人自行承诺(格式自拟)，并盖单位公章。</w:t>
      </w:r>
    </w:p>
    <w:p>
      <w:pPr>
        <w:spacing w:line="400" w:lineRule="exact"/>
        <w:ind w:firstLine="422" w:firstLineChars="200"/>
        <w:rPr>
          <w:b/>
          <w:bCs/>
          <w:szCs w:val="21"/>
          <w:highlight w:val="none"/>
        </w:rPr>
      </w:pPr>
      <w:r>
        <w:rPr>
          <w:rFonts w:hint="eastAsia"/>
          <w:b/>
          <w:bCs/>
          <w:szCs w:val="21"/>
          <w:highlight w:val="none"/>
        </w:rPr>
        <w:t>4.报价人拟派的其他人员，由报价人自行承诺(格式自拟)，并盖单位公章。</w:t>
      </w:r>
    </w:p>
    <w:p>
      <w:pPr>
        <w:spacing w:line="400" w:lineRule="exact"/>
        <w:ind w:firstLine="422" w:firstLineChars="200"/>
        <w:rPr>
          <w:rFonts w:hint="eastAsia" w:ascii="宋体" w:hAnsi="宋体" w:cs="宋体"/>
          <w:highlight w:val="none"/>
        </w:rPr>
      </w:pPr>
      <w:r>
        <w:rPr>
          <w:rFonts w:hint="eastAsia"/>
          <w:b/>
          <w:bCs/>
          <w:szCs w:val="21"/>
          <w:highlight w:val="none"/>
        </w:rPr>
        <w:t>5.誉要求报价人自行通过上述网站进行查询，经查询存在相应记录的，应回避本次比选；查询后无相应记录的，还需按竞争性比选响应文件中承诺格式进行承诺</w:t>
      </w:r>
      <w:r>
        <w:rPr>
          <w:rFonts w:hint="eastAsia"/>
          <w:b/>
          <w:bCs/>
          <w:highlight w:val="none"/>
        </w:rPr>
        <w:t>并</w:t>
      </w:r>
      <w:r>
        <w:rPr>
          <w:rFonts w:hint="eastAsia" w:hAnsi="宋体"/>
          <w:b/>
          <w:bCs/>
          <w:kern w:val="0"/>
          <w:szCs w:val="21"/>
          <w:highlight w:val="none"/>
        </w:rPr>
        <w:t>盖单位公章</w:t>
      </w:r>
      <w:r>
        <w:rPr>
          <w:rFonts w:hint="eastAsia"/>
          <w:b/>
          <w:bCs/>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bookmarkEnd w:id="139"/>
      <w:bookmarkEnd w:id="140"/>
    </w:p>
    <w:p>
      <w:pPr>
        <w:pStyle w:val="2"/>
        <w:rPr>
          <w:rFonts w:hint="eastAsia" w:ascii="宋体" w:hAnsi="宋体" w:cs="宋体"/>
          <w:highlight w:val="none"/>
        </w:rPr>
      </w:pPr>
    </w:p>
    <w:p>
      <w:pPr>
        <w:rPr>
          <w:rFonts w:hint="eastAsia" w:ascii="宋体" w:hAnsi="宋体" w:cs="宋体"/>
          <w:highlight w:val="none"/>
        </w:rPr>
      </w:pPr>
    </w:p>
    <w:p>
      <w:pPr>
        <w:pStyle w:val="2"/>
        <w:rPr>
          <w:rFonts w:hint="eastAsia" w:ascii="宋体" w:hAnsi="宋体" w:cs="宋体"/>
          <w:highlight w:val="none"/>
        </w:rPr>
      </w:pPr>
    </w:p>
    <w:p>
      <w:pPr>
        <w:rPr>
          <w:highlight w:val="none"/>
        </w:rPr>
      </w:pPr>
      <w:r>
        <w:rPr>
          <w:highlight w:val="none"/>
        </w:rPr>
        <w:br w:type="page"/>
      </w:r>
    </w:p>
    <w:p>
      <w:pPr>
        <w:pStyle w:val="3"/>
        <w:numPr>
          <w:ilvl w:val="0"/>
          <w:numId w:val="2"/>
        </w:numPr>
        <w:spacing w:before="319" w:beforeLines="100" w:after="319" w:afterLines="100" w:line="360" w:lineRule="auto"/>
        <w:jc w:val="center"/>
        <w:rPr>
          <w:highlight w:val="none"/>
        </w:rPr>
      </w:pPr>
      <w:bookmarkStart w:id="145" w:name="_Toc31719"/>
      <w:bookmarkStart w:id="146" w:name="_Toc31054"/>
      <w:bookmarkStart w:id="147" w:name="_Toc19471"/>
      <w:r>
        <w:rPr>
          <w:rFonts w:hint="eastAsia" w:ascii="宋体" w:hAnsi="宋体" w:cs="宋体"/>
          <w:highlight w:val="none"/>
        </w:rPr>
        <w:t>评标办法（综合评估法）</w:t>
      </w:r>
      <w:bookmarkEnd w:id="145"/>
      <w:bookmarkEnd w:id="146"/>
      <w:bookmarkEnd w:id="147"/>
    </w:p>
    <w:p>
      <w:pPr>
        <w:spacing w:line="4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评标方法前附表</w:t>
      </w:r>
    </w:p>
    <w:tbl>
      <w:tblPr>
        <w:tblStyle w:val="42"/>
        <w:tblW w:w="97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50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970" w:type="dxa"/>
            <w:gridSpan w:val="3"/>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评审因素</w:t>
            </w:r>
          </w:p>
        </w:tc>
        <w:tc>
          <w:tcPr>
            <w:tcW w:w="5085" w:type="dxa"/>
            <w:tcBorders>
              <w:top w:val="single" w:color="auto" w:sz="4" w:space="0"/>
              <w:left w:val="single" w:color="auto" w:sz="4" w:space="0"/>
              <w:bottom w:val="single" w:color="auto" w:sz="4" w:space="0"/>
            </w:tcBorders>
            <w:vAlign w:val="center"/>
          </w:tcPr>
          <w:p>
            <w:pPr>
              <w:spacing w:line="400" w:lineRule="exact"/>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4" w:type="dxa"/>
            <w:tcBorders>
              <w:top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2026" w:type="dxa"/>
            <w:gridSpan w:val="2"/>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中标候选人排序方法</w:t>
            </w:r>
          </w:p>
        </w:tc>
        <w:tc>
          <w:tcPr>
            <w:tcW w:w="5085" w:type="dxa"/>
            <w:tcBorders>
              <w:top w:val="single" w:color="auto" w:sz="4" w:space="0"/>
              <w:left w:val="single" w:color="auto" w:sz="4" w:space="0"/>
              <w:bottom w:val="single" w:color="auto" w:sz="4" w:space="0"/>
            </w:tcBorders>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报价人得分=A+B+C，对通过初步评审的报价人按照投标总得分（商务+技术+报价）由从高到低的先后顺序。如出现得分(精确到小数点后两位)相等时，按以下原则确定中标候选人：</w:t>
            </w:r>
          </w:p>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（1）以评标价低的报价人优先；</w:t>
            </w:r>
          </w:p>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（2）如评标价也相同时，以技术得分较高的报价人优先；</w:t>
            </w:r>
          </w:p>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（3）如技术得分也相同时，由评标委员会投票决定。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restart"/>
            <w:tcBorders>
              <w:top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宋体" w:hAnsi="宋体" w:cs="宋体"/>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报价人名称</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报价函签名盖章</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有法定代表人或委托代理人签名或加盖单位公章。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竞争性比选响应文件格式</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符合第</w:t>
            </w:r>
            <w:r>
              <w:rPr>
                <w:rFonts w:hint="eastAsia"/>
                <w:highlight w:val="none"/>
              </w:rPr>
              <w:t>六</w:t>
            </w:r>
            <w:r>
              <w:rPr>
                <w:rFonts w:hint="eastAsia" w:asciiTheme="minorEastAsia" w:hAnsiTheme="minorEastAsia" w:eastAsiaTheme="minorEastAsia" w:cstheme="minorEastAsia"/>
                <w:szCs w:val="21"/>
                <w:highlight w:val="none"/>
              </w:rPr>
              <w:t>章“竞争性比选响应文件格式”的要求，字迹清晰可辨。</w:t>
            </w:r>
          </w:p>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1.报价函的所有数据均符合比选文件的规定；</w:t>
            </w:r>
          </w:p>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2.竞争性比选响应文件附表齐全完整，内容均按规定填写；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报价其它要求</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竞争性比选响应文件报价表中的报价与报价书文字报价应保持一致。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竞争性比选响应文件正本中法定代表人或其授权代理人签署</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竞争性比选响应文件正本中法定代表人或授权代理人签署姓名齐全，符合比选文件规定；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其它</w:t>
            </w:r>
          </w:p>
        </w:tc>
        <w:tc>
          <w:tcPr>
            <w:tcW w:w="5085" w:type="dxa"/>
            <w:tcBorders>
              <w:top w:val="single" w:color="auto" w:sz="4" w:space="0"/>
              <w:left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单位负责人为同一人或者存在控股、管理关系的不同单位，不得同时参加报价，否则相关报价均无效。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restart"/>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cstheme="minorEastAsia"/>
                <w:szCs w:val="21"/>
                <w:highlight w:val="none"/>
              </w:rPr>
            </w:pPr>
            <w:r>
              <w:rPr>
                <w:rFonts w:hint="eastAsia" w:ascii="宋体" w:hAnsi="宋体" w:cs="宋体"/>
                <w:szCs w:val="21"/>
                <w:highlight w:val="none"/>
              </w:rPr>
              <w:t>2.1.2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宋体" w:hAnsi="宋体" w:cs="宋体"/>
                <w:szCs w:val="21"/>
                <w:highlight w:val="none"/>
              </w:rPr>
              <w:t>资格要求</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符合第二章“报价人须知”第8项规定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宋体" w:hAnsi="宋体" w:cs="宋体"/>
                <w:szCs w:val="21"/>
                <w:highlight w:val="none"/>
              </w:rPr>
              <w:t>业绩要求</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符合第二章“报价人须知”第8项规定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highlight w:val="none"/>
              </w:rPr>
              <w:t>主要管理人员要求</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highlight w:val="none"/>
              </w:rPr>
              <w:t>其他人员要求</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highlight w:val="none"/>
              </w:rPr>
              <w:t>符合第二章“</w:t>
            </w:r>
            <w:r>
              <w:rPr>
                <w:rFonts w:hint="eastAsia"/>
                <w:highlight w:val="none"/>
              </w:rPr>
              <w:t>报价</w:t>
            </w:r>
            <w:r>
              <w:rPr>
                <w:highlight w:val="none"/>
              </w:rPr>
              <w:t>人须知”第</w:t>
            </w:r>
            <w:r>
              <w:rPr>
                <w:rFonts w:hint="eastAsia"/>
                <w:highlight w:val="none"/>
              </w:rPr>
              <w:t>8</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信誉要求</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符合第二章“报价人须知”第8项规定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restart"/>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cstheme="minorEastAsia"/>
                <w:szCs w:val="21"/>
                <w:highlight w:val="none"/>
              </w:rPr>
            </w:pPr>
            <w:r>
              <w:rPr>
                <w:rFonts w:hint="eastAsia" w:ascii="宋体" w:hAnsi="宋体" w:cs="宋体"/>
                <w:szCs w:val="21"/>
                <w:highlight w:val="none"/>
              </w:rPr>
              <w:t>2.1.3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highlight w:val="none"/>
              </w:rPr>
              <w:t>服务地点</w:t>
            </w:r>
          </w:p>
        </w:tc>
        <w:tc>
          <w:tcPr>
            <w:tcW w:w="5085"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3</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highlight w:val="none"/>
              </w:rPr>
              <w:t>项目规模</w:t>
            </w:r>
          </w:p>
        </w:tc>
        <w:tc>
          <w:tcPr>
            <w:tcW w:w="5085"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4</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highlight w:val="none"/>
              </w:rPr>
              <w:t>投标内容</w:t>
            </w:r>
          </w:p>
        </w:tc>
        <w:tc>
          <w:tcPr>
            <w:tcW w:w="5085"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5</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highlight w:val="none"/>
              </w:rPr>
              <w:t>服务期限</w:t>
            </w:r>
          </w:p>
        </w:tc>
        <w:tc>
          <w:tcPr>
            <w:tcW w:w="5085"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6</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rFonts w:hint="eastAsia" w:ascii="宋体" w:hAnsi="宋体" w:cs="宋体"/>
                <w:szCs w:val="21"/>
                <w:highlight w:val="none"/>
              </w:rPr>
              <w:t>服务要求</w:t>
            </w:r>
          </w:p>
        </w:tc>
        <w:tc>
          <w:tcPr>
            <w:tcW w:w="5085" w:type="dxa"/>
            <w:tcBorders>
              <w:top w:val="single" w:color="auto" w:sz="4" w:space="0"/>
              <w:left w:val="single" w:color="auto" w:sz="4" w:space="0"/>
              <w:bottom w:val="single" w:color="auto" w:sz="4" w:space="0"/>
            </w:tcBorders>
            <w:vAlign w:val="center"/>
          </w:tcPr>
          <w:p>
            <w:pPr>
              <w:spacing w:line="400" w:lineRule="exact"/>
              <w:rPr>
                <w:highlight w:val="none"/>
              </w:rPr>
            </w:pPr>
            <w:r>
              <w:rPr>
                <w:highlight w:val="none"/>
              </w:rPr>
              <w:t>符合第二章“</w:t>
            </w:r>
            <w:r>
              <w:rPr>
                <w:rFonts w:hint="eastAsia"/>
                <w:highlight w:val="none"/>
              </w:rPr>
              <w:t>报价</w:t>
            </w:r>
            <w:r>
              <w:rPr>
                <w:highlight w:val="none"/>
              </w:rPr>
              <w:t>人须知”第</w:t>
            </w:r>
            <w:r>
              <w:rPr>
                <w:rFonts w:hint="eastAsia"/>
                <w:highlight w:val="none"/>
              </w:rPr>
              <w:t>7</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highlight w:val="none"/>
              </w:rPr>
            </w:pPr>
            <w:r>
              <w:rPr>
                <w:highlight w:val="none"/>
              </w:rPr>
              <w:t>报价</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宋体" w:hAnsi="宋体" w:cs="宋体"/>
                <w:highlight w:val="none"/>
              </w:rPr>
            </w:pPr>
            <w:r>
              <w:rPr>
                <w:rFonts w:hint="eastAsia" w:ascii="宋体" w:hAnsi="宋体" w:cs="宋体"/>
                <w:highlight w:val="none"/>
              </w:rPr>
              <w:t>1.符合比选文件给出的范围及数量，且报价不得超过采购人公布的最高限价，但也不得低于报价人的企业成本。</w:t>
            </w:r>
          </w:p>
          <w:p>
            <w:pPr>
              <w:spacing w:line="400" w:lineRule="exact"/>
              <w:rPr>
                <w:highlight w:val="none"/>
              </w:rPr>
            </w:pPr>
            <w:r>
              <w:rPr>
                <w:rFonts w:hint="eastAsia" w:ascii="宋体" w:hAnsi="宋体" w:cs="宋体"/>
                <w:kern w:val="0"/>
                <w:highlight w:val="none"/>
              </w:rPr>
              <w:t>2.报价人总报价或者部分单项报价低于竞争性比选文件规定的对应的异常低价警戒线的，应提供报价合理性说明，并提供必要的证明材料。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highlight w:val="none"/>
              </w:rPr>
              <w:t>偏差</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highlight w:val="none"/>
              </w:rPr>
              <w:t>符合第二章“</w:t>
            </w:r>
            <w:r>
              <w:rPr>
                <w:rFonts w:hint="eastAsia"/>
                <w:highlight w:val="none"/>
              </w:rPr>
              <w:t>报价</w:t>
            </w:r>
            <w:r>
              <w:rPr>
                <w:highlight w:val="none"/>
              </w:rPr>
              <w:t>人须知”第</w:t>
            </w:r>
            <w:r>
              <w:rPr>
                <w:rFonts w:hint="eastAsia"/>
                <w:highlight w:val="none"/>
              </w:rPr>
              <w:t>13</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rPr>
            </w:pPr>
            <w:r>
              <w:rPr>
                <w:rFonts w:hint="eastAsia"/>
                <w:highlight w:val="none"/>
              </w:rPr>
              <w:t>保证金</w:t>
            </w:r>
          </w:p>
        </w:tc>
        <w:tc>
          <w:tcPr>
            <w:tcW w:w="5085" w:type="dxa"/>
            <w:tcBorders>
              <w:top w:val="single" w:color="auto" w:sz="4" w:space="0"/>
              <w:left w:val="single" w:color="auto" w:sz="4" w:space="0"/>
              <w:bottom w:val="single" w:color="auto" w:sz="4" w:space="0"/>
            </w:tcBorders>
            <w:vAlign w:val="center"/>
          </w:tcPr>
          <w:p>
            <w:pPr>
              <w:spacing w:line="400" w:lineRule="exact"/>
              <w:rPr>
                <w:rFonts w:hint="eastAsia" w:asciiTheme="minorEastAsia" w:hAnsiTheme="minorEastAsia" w:eastAsiaTheme="minorEastAsia" w:cstheme="minorEastAsia"/>
                <w:szCs w:val="21"/>
                <w:highlight w:val="none"/>
              </w:rPr>
            </w:pPr>
            <w:r>
              <w:rPr>
                <w:highlight w:val="none"/>
              </w:rPr>
              <w:t>符合第二章“</w:t>
            </w:r>
            <w:r>
              <w:rPr>
                <w:rFonts w:hint="eastAsia"/>
                <w:highlight w:val="none"/>
              </w:rPr>
              <w:t>报价</w:t>
            </w:r>
            <w:r>
              <w:rPr>
                <w:highlight w:val="none"/>
              </w:rPr>
              <w:t>人须知”第</w:t>
            </w:r>
            <w:r>
              <w:rPr>
                <w:rFonts w:hint="eastAsia"/>
                <w:highlight w:val="none"/>
              </w:rPr>
              <w:t>20</w:t>
            </w:r>
            <w:r>
              <w:rPr>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kern w:val="0"/>
                <w:szCs w:val="21"/>
                <w:highlight w:val="none"/>
              </w:rPr>
            </w:pPr>
            <w:r>
              <w:rPr>
                <w:rFonts w:hint="eastAsia" w:ascii="宋体" w:hAnsi="宋体" w:cs="宋体"/>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tabs>
                <w:tab w:val="left" w:pos="1875"/>
              </w:tabs>
              <w:spacing w:line="40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分值构成</w:t>
            </w:r>
          </w:p>
          <w:p>
            <w:pPr>
              <w:tabs>
                <w:tab w:val="left" w:pos="1875"/>
              </w:tabs>
              <w:spacing w:line="400" w:lineRule="exac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(总分100分)</w:t>
            </w:r>
          </w:p>
        </w:tc>
        <w:tc>
          <w:tcPr>
            <w:tcW w:w="6738" w:type="dxa"/>
            <w:gridSpan w:val="2"/>
            <w:tcBorders>
              <w:top w:val="single" w:color="auto" w:sz="4" w:space="0"/>
              <w:left w:val="single" w:color="auto" w:sz="4" w:space="0"/>
              <w:bottom w:val="single" w:color="auto" w:sz="4" w:space="0"/>
            </w:tcBorders>
          </w:tcPr>
          <w:p>
            <w:pPr>
              <w:spacing w:line="40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A：投标报价70分；</w:t>
            </w:r>
          </w:p>
          <w:p>
            <w:pPr>
              <w:spacing w:line="40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B：商务部分10分；</w:t>
            </w:r>
          </w:p>
          <w:p>
            <w:pPr>
              <w:spacing w:line="40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C：技术部分20分。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kern w:val="0"/>
                <w:szCs w:val="21"/>
                <w:highlight w:val="none"/>
              </w:rPr>
            </w:pPr>
            <w:r>
              <w:rPr>
                <w:rFonts w:hint="eastAsia" w:ascii="宋体" w:hAnsi="宋体" w:cs="宋体"/>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kern w:val="0"/>
                <w:szCs w:val="21"/>
                <w:highlight w:val="none"/>
                <w:lang w:bidi="ar"/>
              </w:rPr>
            </w:pPr>
            <w:r>
              <w:rPr>
                <w:rFonts w:hint="eastAsia" w:asciiTheme="minorEastAsia" w:hAnsiTheme="minorEastAsia" w:eastAsiaTheme="minorEastAsia" w:cstheme="minorEastAsia"/>
                <w:kern w:val="0"/>
                <w:szCs w:val="21"/>
                <w:highlight w:val="none"/>
                <w:lang w:bidi="ar"/>
              </w:rPr>
              <w:t>评标基准价</w:t>
            </w:r>
          </w:p>
        </w:tc>
        <w:tc>
          <w:tcPr>
            <w:tcW w:w="6738" w:type="dxa"/>
            <w:gridSpan w:val="2"/>
            <w:tcBorders>
              <w:top w:val="single" w:color="auto" w:sz="4" w:space="0"/>
              <w:left w:val="single" w:color="auto" w:sz="4" w:space="0"/>
              <w:bottom w:val="single" w:color="auto" w:sz="4" w:space="0"/>
            </w:tcBorders>
          </w:tcPr>
          <w:p>
            <w:pPr>
              <w:keepLines/>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1.有效报价：系指初步评审均合格且其响应内容满足比选文件要求的报价人的投标总报价。</w:t>
            </w:r>
          </w:p>
          <w:p>
            <w:pPr>
              <w:pStyle w:val="120"/>
              <w:adjustRightInd w:val="0"/>
              <w:spacing w:line="400" w:lineRule="exact"/>
              <w:textAlignment w:val="baseline"/>
              <w:rPr>
                <w:rFonts w:hint="eastAsia" w:asciiTheme="minorEastAsia" w:hAnsiTheme="minorEastAsia" w:eastAsiaTheme="minorEastAsia" w:cstheme="minorEastAsia"/>
                <w:bCs/>
                <w:szCs w:val="21"/>
                <w:highlight w:val="none"/>
              </w:rPr>
            </w:pPr>
            <w:r>
              <w:rPr>
                <w:rFonts w:hint="eastAsia" w:ascii="宋体" w:hAnsi="宋体" w:cs="宋体"/>
                <w:szCs w:val="21"/>
                <w:highlight w:val="none"/>
              </w:rPr>
              <w:t>2.评标基准价：所有通过初步评审合格的报价人的投标报价中去掉六分之一（不能整除的按小数点前整数取整，不足六家报价则不去掉）的最低价和相同家数的最高价后的算术平均值为评标基准价。</w:t>
            </w:r>
          </w:p>
          <w:p>
            <w:pPr>
              <w:spacing w:line="400" w:lineRule="exact"/>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注：评标基准价以元为</w:t>
            </w:r>
            <w:r>
              <w:rPr>
                <w:rFonts w:hint="eastAsia" w:ascii="宋体" w:hAnsi="宋体" w:cs="宋体"/>
                <w:szCs w:val="21"/>
                <w:highlight w:val="none"/>
              </w:rPr>
              <w:t>单位，保留2位小数，按四舍五入原则进行。确认后的评标基准价在本次整个招投标期间保持不变，不随后续评审的报价人数量发生变化。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kern w:val="0"/>
                <w:szCs w:val="21"/>
                <w:highlight w:val="none"/>
              </w:rPr>
            </w:pPr>
            <w:r>
              <w:rPr>
                <w:rFonts w:hint="eastAsia" w:ascii="宋体" w:hAnsi="宋体" w:cs="宋体"/>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kern w:val="0"/>
                <w:szCs w:val="21"/>
                <w:highlight w:val="none"/>
                <w:lang w:bidi="ar"/>
              </w:rPr>
            </w:pPr>
            <w:r>
              <w:rPr>
                <w:rFonts w:hint="eastAsia" w:asciiTheme="minorEastAsia" w:hAnsiTheme="minorEastAsia" w:eastAsiaTheme="minorEastAsia" w:cstheme="minorEastAsia"/>
                <w:szCs w:val="21"/>
                <w:highlight w:val="none"/>
                <w:lang w:bidi="ar"/>
              </w:rPr>
              <w:t>评标价的偏差率计算公式</w:t>
            </w:r>
          </w:p>
        </w:tc>
        <w:tc>
          <w:tcPr>
            <w:tcW w:w="6738" w:type="dxa"/>
            <w:gridSpan w:val="2"/>
            <w:tcBorders>
              <w:top w:val="single" w:color="auto" w:sz="4" w:space="0"/>
              <w:left w:val="single" w:color="auto" w:sz="4" w:space="0"/>
              <w:bottom w:val="single" w:color="auto" w:sz="4" w:space="0"/>
            </w:tcBorders>
            <w:vAlign w:val="center"/>
          </w:tcPr>
          <w:p>
            <w:pPr>
              <w:adjustRightInd w:val="0"/>
              <w:snapToGrid w:val="0"/>
              <w:spacing w:line="400" w:lineRule="exact"/>
              <w:ind w:firstLine="420" w:firstLineChars="200"/>
              <w:jc w:val="left"/>
              <w:rPr>
                <w:rFonts w:hint="eastAsia" w:ascii="宋体" w:hAnsi="宋体" w:cs="宋体"/>
                <w:kern w:val="0"/>
                <w:highlight w:val="none"/>
              </w:rPr>
            </w:pPr>
            <w:r>
              <w:rPr>
                <w:rFonts w:hint="eastAsia" w:ascii="宋体" w:hAnsi="宋体" w:cs="宋体"/>
                <w:kern w:val="0"/>
                <w:highlight w:val="none"/>
              </w:rPr>
              <w:t>偏差率</w:t>
            </w:r>
            <w:r>
              <w:rPr>
                <w:rFonts w:hint="eastAsia" w:ascii="宋体" w:hAnsi="宋体" w:cs="宋体"/>
                <w:kern w:val="0"/>
                <w:sz w:val="28"/>
                <w:szCs w:val="28"/>
                <w:highlight w:val="none"/>
              </w:rPr>
              <w:t>=</w:t>
            </w:r>
            <w:r>
              <w:rPr>
                <w:rFonts w:hint="eastAsia" w:ascii="宋体" w:hAnsi="宋体" w:cs="宋体"/>
                <w:kern w:val="0"/>
                <w:highlight w:val="none"/>
              </w:rPr>
              <w:t>100％×（投标价一评标基准价）／评标基准价</w:t>
            </w:r>
          </w:p>
          <w:p>
            <w:pPr>
              <w:spacing w:line="400" w:lineRule="exact"/>
              <w:jc w:val="left"/>
              <w:rPr>
                <w:rFonts w:hint="eastAsia" w:asciiTheme="minorEastAsia" w:hAnsiTheme="minorEastAsia" w:eastAsiaTheme="minorEastAsia" w:cstheme="minorEastAsia"/>
                <w:szCs w:val="21"/>
                <w:highlight w:val="none"/>
              </w:rPr>
            </w:pPr>
            <w:r>
              <w:rPr>
                <w:rFonts w:hint="eastAsia" w:ascii="宋体" w:hAnsi="宋体" w:cs="宋体"/>
                <w:kern w:val="0"/>
                <w:highlight w:val="none"/>
              </w:rPr>
              <w:t>偏差率</w:t>
            </w:r>
            <w:r>
              <w:rPr>
                <w:rFonts w:hint="eastAsia" w:ascii="宋体" w:hAnsi="宋体" w:cs="宋体"/>
                <w:kern w:val="0"/>
                <w:szCs w:val="21"/>
                <w:highlight w:val="none"/>
              </w:rPr>
              <w:t>计算的最终结果保留两位小数，小数点后第三位四舍五入</w:t>
            </w:r>
            <w:r>
              <w:rPr>
                <w:rFonts w:hint="eastAsia" w:asciiTheme="minorEastAsia" w:hAnsiTheme="minorEastAsia" w:eastAsiaTheme="minorEastAsia" w:cstheme="minorEastAsia"/>
                <w:bCs/>
                <w:szCs w:val="21"/>
                <w:highlight w:val="none"/>
                <w:lang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b/>
                <w:szCs w:val="21"/>
                <w:highlight w:val="none"/>
                <w:lang w:bidi="ar"/>
              </w:rPr>
              <w:t>评分因素权重分值</w:t>
            </w:r>
          </w:p>
        </w:tc>
        <w:tc>
          <w:tcPr>
            <w:tcW w:w="6738" w:type="dxa"/>
            <w:gridSpan w:val="2"/>
            <w:tcBorders>
              <w:top w:val="single" w:color="auto" w:sz="4" w:space="0"/>
              <w:left w:val="single" w:color="auto" w:sz="4" w:space="0"/>
              <w:bottom w:val="single" w:color="auto" w:sz="4" w:space="0"/>
            </w:tcBorders>
            <w:vAlign w:val="center"/>
          </w:tcPr>
          <w:p>
            <w:pPr>
              <w:spacing w:line="400" w:lineRule="exact"/>
              <w:jc w:val="center"/>
              <w:rPr>
                <w:rFonts w:hint="eastAsia" w:asciiTheme="minorEastAsia" w:hAnsiTheme="minorEastAsia" w:eastAsiaTheme="minorEastAsia" w:cstheme="minorEastAsia"/>
                <w:b/>
                <w:szCs w:val="21"/>
                <w:highlight w:val="none"/>
                <w:lang w:bidi="ar"/>
              </w:rPr>
            </w:pPr>
            <w:r>
              <w:rPr>
                <w:rFonts w:hint="eastAsia" w:asciiTheme="minorEastAsia" w:hAnsiTheme="minorEastAsia" w:eastAsiaTheme="minorEastAsia" w:cstheme="minorEastAsia"/>
                <w:b/>
                <w:szCs w:val="21"/>
                <w:highlight w:val="none"/>
                <w:lang w:bidi="ar"/>
              </w:rPr>
              <w:t>各评分因素细分项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restart"/>
            <w:tcBorders>
              <w:top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2.2.4</w:t>
            </w:r>
          </w:p>
          <w:p>
            <w:pPr>
              <w:spacing w:line="400" w:lineRule="exact"/>
              <w:jc w:val="center"/>
              <w:rPr>
                <w:rFonts w:hint="eastAsia" w:asciiTheme="minorEastAsia" w:hAnsiTheme="minorEastAsia" w:cstheme="minorEastAsia"/>
                <w:bCs/>
                <w:szCs w:val="21"/>
                <w:highlight w:val="none"/>
                <w:lang w:bidi="ar"/>
              </w:rPr>
            </w:pPr>
            <w:r>
              <w:rPr>
                <w:rFonts w:hint="eastAsia" w:ascii="宋体" w:hAnsi="宋体" w:cs="宋体"/>
                <w:szCs w:val="21"/>
                <w:highlight w:val="none"/>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r>
              <w:rPr>
                <w:rFonts w:hint="eastAsia" w:asciiTheme="minorEastAsia" w:hAnsiTheme="minorEastAsia" w:eastAsiaTheme="minorEastAsia" w:cstheme="minorEastAsia"/>
                <w:bCs/>
                <w:szCs w:val="21"/>
                <w:highlight w:val="none"/>
                <w:lang w:bidi="ar"/>
              </w:rPr>
              <w:t>技术评分标准（20分）</w:t>
            </w:r>
          </w:p>
        </w:tc>
        <w:tc>
          <w:tcPr>
            <w:tcW w:w="786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技术部分评分分为客观评分和主观评分。</w:t>
            </w:r>
          </w:p>
          <w:p>
            <w:pPr>
              <w:autoSpaceDE w:val="0"/>
              <w:autoSpaceDN w:val="0"/>
              <w:spacing w:line="400" w:lineRule="exact"/>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客观评分：评标委员会按以下各评审因素设定的分值进行评分且保证分值统一；主观评分：评标委员会成员为5人及以上时，所有评委评分算术平均值为该投标人技术部分得分。</w:t>
            </w:r>
          </w:p>
          <w:p>
            <w:pPr>
              <w:autoSpaceDE w:val="0"/>
              <w:autoSpaceDN w:val="0"/>
              <w:spacing w:line="400" w:lineRule="exact"/>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技术部分得分的最终结果保留两位小数，小数点后第三位四舍五入。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vMerge w:val="continue"/>
            <w:tcBorders>
              <w:top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Theme="minorEastAsia" w:hAnsiTheme="minorEastAsia" w:eastAsiaTheme="minorEastAsia" w:cstheme="minorEastAsia"/>
                <w:bCs/>
                <w:i/>
                <w:iCs/>
                <w:szCs w:val="21"/>
                <w:highlight w:val="none"/>
              </w:rPr>
            </w:pPr>
            <w:r>
              <w:rPr>
                <w:rFonts w:hint="eastAsia" w:asciiTheme="minorEastAsia" w:hAnsiTheme="minorEastAsia" w:eastAsiaTheme="minorEastAsia" w:cstheme="minorEastAsia"/>
                <w:i/>
                <w:iCs/>
                <w:szCs w:val="21"/>
                <w:highlight w:val="none"/>
              </w:rPr>
              <w:t>项目实施方案（</w:t>
            </w:r>
            <w:r>
              <w:rPr>
                <w:rFonts w:hint="eastAsia" w:asciiTheme="minorEastAsia" w:hAnsiTheme="minorEastAsia" w:eastAsiaTheme="minorEastAsia" w:cstheme="minorEastAsia"/>
                <w:i/>
                <w:iCs/>
                <w:szCs w:val="21"/>
                <w:highlight w:val="none"/>
                <w:lang w:val="en-US" w:eastAsia="zh-CN"/>
              </w:rPr>
              <w:t>2</w:t>
            </w:r>
            <w:r>
              <w:rPr>
                <w:rFonts w:hint="eastAsia" w:asciiTheme="minorEastAsia" w:hAnsiTheme="minorEastAsia" w:eastAsiaTheme="minorEastAsia" w:cstheme="minorEastAsia"/>
                <w:i/>
                <w:iCs/>
                <w:szCs w:val="21"/>
                <w:highlight w:val="none"/>
              </w:rPr>
              <w:t>0分）</w:t>
            </w:r>
          </w:p>
        </w:tc>
        <w:tc>
          <w:tcPr>
            <w:tcW w:w="67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firstLine="420" w:firstLineChars="200"/>
              <w:textAlignment w:val="baseline"/>
              <w:rPr>
                <w:rFonts w:hint="eastAsia" w:ascii="宋体" w:hAnsi="宋体" w:eastAsia="宋体" w:cs="宋体"/>
                <w:bCs/>
                <w:szCs w:val="21"/>
                <w:highlight w:val="none"/>
                <w:lang w:bidi="ar"/>
              </w:rPr>
            </w:pPr>
            <w:r>
              <w:rPr>
                <w:rFonts w:hint="eastAsia" w:ascii="宋体" w:hAnsi="宋体" w:eastAsia="宋体" w:cs="宋体"/>
                <w:bCs/>
                <w:szCs w:val="21"/>
                <w:highlight w:val="none"/>
                <w:lang w:val="en-US" w:eastAsia="zh-CN" w:bidi="ar"/>
              </w:rPr>
              <w:t>提供完整的项目实施方案，内容需覆盖本项目全部服务内容。方案须充分结合业务特点及采购人实际现状，科学合理规划服务工作。实施方案须包含项目人员配置、整体实施计划、资源保障、进度安排、项目风险管理、沟通管理、质量控制措施等核心内容，技术安排、资源配置</w:t>
            </w:r>
            <w:r>
              <w:rPr>
                <w:rFonts w:hint="eastAsia" w:ascii="宋体" w:hAnsi="宋体" w:cs="宋体"/>
                <w:bCs/>
                <w:szCs w:val="21"/>
                <w:highlight w:val="none"/>
                <w:lang w:val="en-US" w:eastAsia="zh-CN" w:bidi="ar"/>
              </w:rPr>
              <w:t>等内容</w:t>
            </w:r>
            <w:r>
              <w:rPr>
                <w:rFonts w:hint="eastAsia" w:ascii="宋体" w:hAnsi="宋体" w:eastAsia="宋体" w:cs="宋体"/>
                <w:bCs/>
                <w:szCs w:val="21"/>
                <w:highlight w:val="none"/>
                <w:lang w:val="en-US" w:eastAsia="zh-CN" w:bidi="ar"/>
              </w:rPr>
              <w:t>。</w:t>
            </w:r>
          </w:p>
          <w:p>
            <w:pPr>
              <w:keepNext w:val="0"/>
              <w:keepLines w:val="0"/>
              <w:suppressLineNumbers w:val="0"/>
              <w:adjustRightInd w:val="0"/>
              <w:snapToGrid w:val="0"/>
              <w:spacing w:before="0" w:beforeAutospacing="0" w:after="0" w:afterAutospacing="0" w:line="400" w:lineRule="exact"/>
              <w:ind w:left="0" w:leftChars="0" w:right="0" w:rightChars="0" w:firstLine="420" w:firstLineChars="200"/>
              <w:textAlignment w:val="baseline"/>
              <w:rPr>
                <w:rFonts w:hint="eastAsia" w:asciiTheme="minorEastAsia" w:hAnsiTheme="minorEastAsia" w:eastAsiaTheme="minorEastAsia" w:cstheme="minorEastAsia"/>
                <w:bCs/>
                <w:szCs w:val="21"/>
                <w:highlight w:val="none"/>
              </w:rPr>
            </w:pPr>
            <w:r>
              <w:rPr>
                <w:rFonts w:hint="eastAsia" w:ascii="宋体" w:hAnsi="宋体" w:eastAsia="宋体" w:cs="宋体"/>
                <w:bCs/>
                <w:szCs w:val="21"/>
                <w:highlight w:val="none"/>
                <w:lang w:bidi="ar"/>
              </w:rPr>
              <w:t>注：方案内容合理、可行性</w:t>
            </w:r>
            <w:r>
              <w:rPr>
                <w:rFonts w:hint="eastAsia" w:ascii="宋体" w:hAnsi="宋体" w:cs="宋体"/>
                <w:bCs/>
                <w:szCs w:val="21"/>
                <w:highlight w:val="none"/>
                <w:lang w:bidi="ar"/>
              </w:rPr>
              <w:t>高、完整性好，内容全面结构清晰得</w:t>
            </w:r>
            <w:r>
              <w:rPr>
                <w:rFonts w:hint="eastAsia" w:ascii="宋体" w:hAnsi="宋体" w:cs="宋体"/>
                <w:bCs/>
                <w:szCs w:val="21"/>
                <w:highlight w:val="none"/>
                <w:lang w:val="en-US" w:eastAsia="zh-CN" w:bidi="ar"/>
              </w:rPr>
              <w:t>20</w:t>
            </w:r>
            <w:r>
              <w:rPr>
                <w:rFonts w:hint="eastAsia" w:ascii="宋体" w:hAnsi="宋体" w:cs="宋体"/>
                <w:highlight w:val="none"/>
              </w:rPr>
              <w:t>~</w:t>
            </w:r>
            <w:r>
              <w:rPr>
                <w:rFonts w:hint="eastAsia" w:ascii="宋体" w:hAnsi="宋体" w:cs="宋体"/>
                <w:highlight w:val="none"/>
                <w:lang w:val="en-US" w:eastAsia="zh-CN"/>
              </w:rPr>
              <w:t>16</w:t>
            </w:r>
            <w:r>
              <w:rPr>
                <w:rFonts w:hint="eastAsia" w:ascii="宋体" w:hAnsi="宋体" w:cs="宋体"/>
                <w:bCs/>
                <w:szCs w:val="21"/>
                <w:highlight w:val="none"/>
                <w:lang w:bidi="ar"/>
              </w:rPr>
              <w:t>分；方案内容较合理性、可行性较高、完整性一般、内容全面结构一般得</w:t>
            </w:r>
            <w:r>
              <w:rPr>
                <w:rFonts w:hint="eastAsia" w:ascii="宋体" w:hAnsi="宋体" w:cs="宋体"/>
                <w:bCs/>
                <w:szCs w:val="21"/>
                <w:highlight w:val="none"/>
                <w:lang w:val="en-US" w:eastAsia="zh-CN" w:bidi="ar"/>
              </w:rPr>
              <w:t>16</w:t>
            </w:r>
            <w:r>
              <w:rPr>
                <w:rFonts w:hint="eastAsia" w:ascii="宋体" w:hAnsi="宋体" w:cs="宋体"/>
                <w:highlight w:val="none"/>
              </w:rPr>
              <w:t>~</w:t>
            </w:r>
            <w:r>
              <w:rPr>
                <w:rFonts w:hint="eastAsia" w:ascii="宋体" w:hAnsi="宋体" w:cs="宋体"/>
                <w:highlight w:val="none"/>
                <w:lang w:val="en-US" w:eastAsia="zh-CN"/>
              </w:rPr>
              <w:t>12</w:t>
            </w:r>
            <w:r>
              <w:rPr>
                <w:rFonts w:hint="eastAsia" w:ascii="宋体" w:hAnsi="宋体" w:cs="宋体"/>
                <w:bCs/>
                <w:szCs w:val="21"/>
                <w:highlight w:val="none"/>
                <w:lang w:bidi="ar"/>
              </w:rPr>
              <w:t>分；方案内容应不合理性、不具有可行性、完整性较差、内容全面结构模糊得</w:t>
            </w:r>
            <w:r>
              <w:rPr>
                <w:rFonts w:hint="eastAsia" w:ascii="宋体" w:hAnsi="宋体" w:cs="宋体"/>
                <w:bCs/>
                <w:szCs w:val="21"/>
                <w:highlight w:val="none"/>
                <w:lang w:val="en-US" w:eastAsia="zh-CN" w:bidi="ar"/>
              </w:rPr>
              <w:t>12</w:t>
            </w:r>
            <w:r>
              <w:rPr>
                <w:rFonts w:hint="eastAsia" w:ascii="宋体" w:hAnsi="宋体" w:cs="宋体"/>
                <w:highlight w:val="none"/>
              </w:rPr>
              <w:t>~0</w:t>
            </w:r>
            <w:r>
              <w:rPr>
                <w:rFonts w:hint="eastAsia" w:ascii="宋体" w:hAnsi="宋体" w:cs="宋体"/>
                <w:bCs/>
                <w:szCs w:val="21"/>
                <w:highlight w:val="none"/>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4" w:type="dxa"/>
            <w:vMerge w:val="restart"/>
            <w:tcBorders>
              <w:top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2.2.4</w:t>
            </w:r>
          </w:p>
          <w:p>
            <w:pPr>
              <w:spacing w:line="400" w:lineRule="exact"/>
              <w:jc w:val="center"/>
              <w:rPr>
                <w:rFonts w:hint="eastAsia" w:asciiTheme="minorEastAsia" w:hAnsiTheme="minorEastAsia" w:eastAsiaTheme="minorEastAsia" w:cstheme="minorEastAsia"/>
                <w:bCs/>
                <w:szCs w:val="21"/>
                <w:highlight w:val="none"/>
                <w:lang w:bidi="ar"/>
              </w:rPr>
            </w:pPr>
            <w:r>
              <w:rPr>
                <w:rFonts w:hint="eastAsia" w:ascii="宋体" w:hAnsi="宋体" w:cs="宋体"/>
                <w:szCs w:val="21"/>
                <w:highlight w:val="none"/>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r>
              <w:rPr>
                <w:rFonts w:hint="eastAsia" w:asciiTheme="minorEastAsia" w:hAnsiTheme="minorEastAsia" w:eastAsiaTheme="minorEastAsia" w:cstheme="minorEastAsia"/>
                <w:bCs/>
                <w:szCs w:val="21"/>
                <w:highlight w:val="none"/>
                <w:lang w:bidi="ar"/>
              </w:rPr>
              <w:t>商务评分标准（10分）</w:t>
            </w:r>
          </w:p>
        </w:tc>
        <w:tc>
          <w:tcPr>
            <w:tcW w:w="786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20"/>
              <w:rPr>
                <w:rFonts w:hint="eastAsia" w:ascii="宋体" w:hAnsi="宋体" w:cs="宋体"/>
                <w:szCs w:val="21"/>
                <w:highlight w:val="none"/>
              </w:rPr>
            </w:pPr>
            <w:r>
              <w:rPr>
                <w:rFonts w:hint="eastAsia" w:ascii="宋体" w:hAnsi="宋体" w:cs="宋体"/>
                <w:szCs w:val="21"/>
                <w:highlight w:val="none"/>
              </w:rPr>
              <w:t>商务部分评分为客观评分，评标委员会按以下各评审因素设定的分值进行评分且保证分值统一。</w:t>
            </w:r>
          </w:p>
          <w:p>
            <w:pPr>
              <w:spacing w:line="400" w:lineRule="exact"/>
              <w:ind w:firstLine="420"/>
              <w:rPr>
                <w:rFonts w:hint="eastAsia" w:ascii="宋体" w:hAnsi="宋体" w:cs="宋体"/>
                <w:szCs w:val="21"/>
                <w:highlight w:val="none"/>
              </w:rPr>
            </w:pPr>
            <w:r>
              <w:rPr>
                <w:rFonts w:hint="eastAsia" w:asciiTheme="minorEastAsia" w:hAnsiTheme="minorEastAsia" w:eastAsiaTheme="minorEastAsia" w:cstheme="minorEastAsia"/>
                <w:bCs/>
                <w:szCs w:val="21"/>
                <w:highlight w:val="none"/>
              </w:rPr>
              <w:t>商务部分得分的最终结果保留两位小数，小数点后第三位四舍五入。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4" w:type="dxa"/>
            <w:vMerge w:val="continue"/>
            <w:tcBorders>
              <w:top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Theme="minorEastAsia" w:hAnsiTheme="minorEastAsia" w:eastAsiaTheme="minorEastAsia" w:cstheme="minorEastAsia"/>
                <w:i/>
                <w:iCs/>
                <w:szCs w:val="21"/>
                <w:highlight w:val="none"/>
              </w:rPr>
            </w:pPr>
            <w:r>
              <w:rPr>
                <w:rFonts w:hint="eastAsia" w:asciiTheme="minorEastAsia" w:hAnsiTheme="minorEastAsia" w:eastAsiaTheme="minorEastAsia" w:cstheme="minorEastAsia"/>
                <w:i/>
                <w:iCs/>
                <w:szCs w:val="21"/>
                <w:highlight w:val="none"/>
                <w:lang w:val="en-US" w:eastAsia="zh-CN"/>
              </w:rPr>
              <w:t>人员配置（3分）</w:t>
            </w:r>
          </w:p>
        </w:tc>
        <w:tc>
          <w:tcPr>
            <w:tcW w:w="6738" w:type="dxa"/>
            <w:gridSpan w:val="2"/>
            <w:tcBorders>
              <w:top w:val="single" w:color="auto" w:sz="4" w:space="0"/>
              <w:left w:val="single" w:color="auto" w:sz="4" w:space="0"/>
              <w:bottom w:val="single" w:color="auto" w:sz="4" w:space="0"/>
            </w:tcBorders>
            <w:vAlign w:val="center"/>
          </w:tcPr>
          <w:p>
            <w:pPr>
              <w:keepNext w:val="0"/>
              <w:keepLines w:val="0"/>
              <w:widowControl w:val="0"/>
              <w:numPr>
                <w:ilvl w:val="0"/>
                <w:numId w:val="3"/>
              </w:numPr>
              <w:suppressLineNumbers w:val="0"/>
              <w:spacing w:before="0" w:beforeAutospacing="0" w:after="0" w:afterAutospacing="0" w:line="400" w:lineRule="exact"/>
              <w:ind w:left="0" w:right="0" w:firstLine="4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项目负责人具备有效的CISP证书或信息安全工程师证书，得2分，</w:t>
            </w:r>
            <w:r>
              <w:rPr>
                <w:rFonts w:hint="eastAsia" w:ascii="宋体" w:hAnsi="宋体" w:eastAsia="宋体" w:cs="宋体"/>
                <w:kern w:val="0"/>
                <w:sz w:val="21"/>
                <w:szCs w:val="21"/>
                <w:highlight w:val="none"/>
                <w:lang w:val="en-US" w:eastAsia="zh-CN" w:bidi="ar"/>
              </w:rPr>
              <w:t>本项最多得2分。</w:t>
            </w:r>
          </w:p>
          <w:p>
            <w:pPr>
              <w:keepNext w:val="0"/>
              <w:keepLines w:val="0"/>
              <w:widowControl w:val="0"/>
              <w:numPr>
                <w:ilvl w:val="0"/>
                <w:numId w:val="3"/>
              </w:numPr>
              <w:suppressLineNumbers w:val="0"/>
              <w:spacing w:before="0" w:beforeAutospacing="0" w:after="0" w:afterAutospacing="0" w:line="400" w:lineRule="exact"/>
              <w:ind w:left="0" w:right="0" w:firstLine="4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项目团队成员具备有效的CISP证书或信息安全工程师证书，得1分，</w:t>
            </w:r>
            <w:r>
              <w:rPr>
                <w:rFonts w:hint="eastAsia" w:ascii="宋体" w:hAnsi="宋体" w:eastAsia="宋体" w:cs="宋体"/>
                <w:kern w:val="0"/>
                <w:sz w:val="21"/>
                <w:szCs w:val="21"/>
                <w:highlight w:val="none"/>
                <w:lang w:val="en-US" w:eastAsia="zh-CN" w:bidi="ar"/>
              </w:rPr>
              <w:t>本项最多得1分。</w:t>
            </w:r>
          </w:p>
          <w:p>
            <w:pPr>
              <w:keepNext w:val="0"/>
              <w:keepLines w:val="0"/>
              <w:widowControl w:val="0"/>
              <w:suppressLineNumbers w:val="0"/>
              <w:spacing w:before="0" w:beforeAutospacing="0" w:after="0" w:afterAutospacing="0" w:line="400" w:lineRule="exact"/>
              <w:ind w:left="0" w:leftChars="0" w:right="0" w:rightChars="0" w:firstLine="420" w:firstLineChars="0"/>
              <w:jc w:val="both"/>
              <w:rPr>
                <w:rFonts w:hint="eastAsia" w:asciiTheme="minorEastAsia" w:hAnsiTheme="minorEastAsia" w:eastAsiaTheme="minorEastAsia" w:cstheme="minorEastAsia"/>
                <w:bCs/>
                <w:szCs w:val="21"/>
                <w:highlight w:val="none"/>
              </w:rPr>
            </w:pPr>
            <w:r>
              <w:rPr>
                <w:rFonts w:hint="eastAsia" w:ascii="宋体" w:hAnsi="宋体" w:eastAsia="宋体" w:cs="宋体"/>
                <w:b/>
                <w:bCs/>
                <w:kern w:val="0"/>
                <w:sz w:val="21"/>
                <w:szCs w:val="21"/>
                <w:highlight w:val="none"/>
                <w:shd w:val="clear" w:fill="FFFFFF"/>
                <w:lang w:val="en-US" w:eastAsia="zh-CN" w:bidi="ar"/>
              </w:rPr>
              <w:t>注：</w:t>
            </w:r>
            <w:r>
              <w:rPr>
                <w:rFonts w:hint="eastAsia" w:ascii="宋体" w:hAnsi="宋体" w:eastAsia="宋体" w:cs="宋体"/>
                <w:b/>
                <w:bCs/>
                <w:kern w:val="2"/>
                <w:sz w:val="21"/>
                <w:szCs w:val="21"/>
                <w:highlight w:val="none"/>
                <w:lang w:val="en-US" w:eastAsia="zh-CN" w:bidi="ar"/>
              </w:rPr>
              <w:t>以上人员需提供相应人员身份证、证书复印件及报价人为以上人员缴纳的202</w:t>
            </w:r>
            <w:r>
              <w:rPr>
                <w:rFonts w:hint="eastAsia" w:ascii="宋体" w:hAnsi="宋体" w:cs="宋体"/>
                <w:b/>
                <w:bCs/>
                <w:kern w:val="2"/>
                <w:sz w:val="21"/>
                <w:szCs w:val="21"/>
                <w:highlight w:val="none"/>
                <w:lang w:val="en-US" w:eastAsia="zh-CN" w:bidi="ar"/>
              </w:rPr>
              <w:t>6</w:t>
            </w:r>
            <w:r>
              <w:rPr>
                <w:rFonts w:hint="eastAsia" w:ascii="宋体" w:hAnsi="宋体" w:eastAsia="宋体" w:cs="宋体"/>
                <w:b/>
                <w:bCs/>
                <w:kern w:val="2"/>
                <w:sz w:val="21"/>
                <w:szCs w:val="21"/>
                <w:highlight w:val="none"/>
                <w:lang w:val="en-US" w:eastAsia="zh-CN" w:bidi="ar"/>
              </w:rPr>
              <w:t>年</w:t>
            </w:r>
            <w:r>
              <w:rPr>
                <w:rFonts w:hint="eastAsia" w:ascii="宋体" w:hAnsi="宋体" w:cs="宋体"/>
                <w:b/>
                <w:bCs/>
                <w:kern w:val="2"/>
                <w:sz w:val="21"/>
                <w:szCs w:val="21"/>
                <w:highlight w:val="none"/>
                <w:lang w:val="en-US" w:eastAsia="zh-CN" w:bidi="ar"/>
              </w:rPr>
              <w:t>2</w:t>
            </w:r>
            <w:r>
              <w:rPr>
                <w:rFonts w:hint="eastAsia" w:ascii="宋体" w:hAnsi="宋体" w:eastAsia="宋体" w:cs="宋体"/>
                <w:b/>
                <w:bCs/>
                <w:kern w:val="2"/>
                <w:sz w:val="21"/>
                <w:szCs w:val="21"/>
                <w:highlight w:val="none"/>
                <w:lang w:val="en-US" w:eastAsia="zh-CN" w:bidi="ar"/>
              </w:rPr>
              <w:t>月至202</w:t>
            </w:r>
            <w:r>
              <w:rPr>
                <w:rFonts w:hint="eastAsia" w:ascii="宋体" w:hAnsi="宋体" w:cs="宋体"/>
                <w:b/>
                <w:bCs/>
                <w:kern w:val="2"/>
                <w:sz w:val="21"/>
                <w:szCs w:val="21"/>
                <w:highlight w:val="none"/>
                <w:lang w:val="en-US" w:eastAsia="zh-CN" w:bidi="ar"/>
              </w:rPr>
              <w:t>6</w:t>
            </w:r>
            <w:r>
              <w:rPr>
                <w:rFonts w:hint="eastAsia" w:ascii="宋体" w:hAnsi="宋体" w:eastAsia="宋体" w:cs="宋体"/>
                <w:b/>
                <w:bCs/>
                <w:kern w:val="2"/>
                <w:sz w:val="21"/>
                <w:szCs w:val="21"/>
                <w:highlight w:val="none"/>
                <w:lang w:val="en-US" w:eastAsia="zh-CN" w:bidi="ar"/>
              </w:rPr>
              <w:t>年</w:t>
            </w:r>
            <w:r>
              <w:rPr>
                <w:rFonts w:hint="eastAsia" w:ascii="宋体" w:hAnsi="宋体" w:cs="宋体"/>
                <w:b/>
                <w:bCs/>
                <w:kern w:val="2"/>
                <w:sz w:val="21"/>
                <w:szCs w:val="21"/>
                <w:highlight w:val="none"/>
                <w:lang w:val="en-US" w:eastAsia="zh-CN" w:bidi="ar"/>
              </w:rPr>
              <w:t>5</w:t>
            </w:r>
            <w:r>
              <w:rPr>
                <w:rFonts w:hint="eastAsia" w:ascii="宋体" w:hAnsi="宋体" w:eastAsia="宋体" w:cs="宋体"/>
                <w:b/>
                <w:bCs/>
                <w:kern w:val="2"/>
                <w:sz w:val="21"/>
                <w:szCs w:val="21"/>
                <w:highlight w:val="none"/>
                <w:lang w:val="en-US" w:eastAsia="zh-CN" w:bidi="ar"/>
              </w:rPr>
              <w:t>月间连续三个月社保证明材料，</w:t>
            </w:r>
            <w:r>
              <w:rPr>
                <w:rFonts w:hint="eastAsia" w:ascii="宋体" w:hAnsi="宋体" w:eastAsia="宋体" w:cs="宋体"/>
                <w:b/>
                <w:bCs/>
                <w:kern w:val="0"/>
                <w:sz w:val="21"/>
                <w:szCs w:val="21"/>
                <w:highlight w:val="none"/>
                <w:shd w:val="clear" w:fill="FFFFFF"/>
                <w:lang w:val="en-US" w:eastAsia="zh-CN" w:bidi="ar"/>
              </w:rPr>
              <w:t>每个人员不重复加分</w:t>
            </w:r>
            <w:r>
              <w:rPr>
                <w:rFonts w:hint="eastAsia" w:ascii="宋体" w:hAnsi="宋体" w:eastAsia="宋体" w:cs="宋体"/>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4" w:type="dxa"/>
            <w:vMerge w:val="continue"/>
            <w:tcBorders>
              <w:top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Theme="minorEastAsia" w:hAnsiTheme="minorEastAsia" w:eastAsiaTheme="minorEastAsia" w:cstheme="minorEastAsia"/>
                <w:i/>
                <w:iCs/>
                <w:szCs w:val="21"/>
                <w:highlight w:val="none"/>
              </w:rPr>
            </w:pPr>
            <w:r>
              <w:rPr>
                <w:rFonts w:hint="eastAsia" w:asciiTheme="minorEastAsia" w:hAnsiTheme="minorEastAsia" w:eastAsiaTheme="minorEastAsia" w:cstheme="minorEastAsia"/>
                <w:i/>
                <w:iCs/>
                <w:szCs w:val="21"/>
                <w:highlight w:val="none"/>
                <w:lang w:val="en-US" w:eastAsia="zh-CN"/>
              </w:rPr>
              <w:t>财务要求（1分）</w:t>
            </w:r>
          </w:p>
        </w:tc>
        <w:tc>
          <w:tcPr>
            <w:tcW w:w="6738" w:type="dxa"/>
            <w:gridSpan w:val="2"/>
            <w:tcBorders>
              <w:top w:val="single" w:color="auto" w:sz="4" w:space="0"/>
              <w:left w:val="single" w:color="auto" w:sz="4" w:space="0"/>
              <w:bottom w:val="single" w:color="auto" w:sz="4" w:space="0"/>
            </w:tcBorders>
            <w:vAlign w:val="center"/>
          </w:tcPr>
          <w:p>
            <w:pPr>
              <w:keepNext w:val="0"/>
              <w:keepLines w:val="0"/>
              <w:widowControl w:val="0"/>
              <w:suppressLineNumbers w:val="0"/>
              <w:spacing w:before="0" w:beforeAutospacing="0" w:after="0" w:afterAutospacing="0" w:line="32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报价人202</w:t>
            </w:r>
            <w:r>
              <w:rPr>
                <w:rFonts w:hint="eastAsia" w:ascii="宋体" w:hAnsi="宋体" w:cs="宋体"/>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年、202</w:t>
            </w:r>
            <w:r>
              <w:rPr>
                <w:rFonts w:hint="eastAsia" w:ascii="宋体" w:hAnsi="宋体" w:cs="宋体"/>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年以及202</w:t>
            </w:r>
            <w:r>
              <w:rPr>
                <w:rFonts w:hint="eastAsia" w:ascii="宋体" w:hAnsi="宋体" w:cs="宋体"/>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年经营状况良好，3年连续不亏损得1分，其他情况不得分。</w:t>
            </w:r>
          </w:p>
          <w:p>
            <w:pPr>
              <w:keepNext w:val="0"/>
              <w:keepLines w:val="0"/>
              <w:widowControl w:val="0"/>
              <w:suppressLineNumbers w:val="0"/>
              <w:spacing w:before="0" w:beforeAutospacing="0" w:after="0" w:afterAutospacing="0" w:line="320" w:lineRule="exact"/>
              <w:ind w:left="0" w:leftChars="0" w:right="0" w:rightChars="0" w:firstLine="422" w:firstLineChars="200"/>
              <w:jc w:val="left"/>
              <w:rPr>
                <w:rFonts w:hint="eastAsia" w:asciiTheme="minorEastAsia" w:hAnsiTheme="minorEastAsia" w:eastAsiaTheme="minorEastAsia" w:cstheme="minorEastAsia"/>
                <w:b/>
                <w:bCs/>
                <w:kern w:val="0"/>
                <w:szCs w:val="21"/>
                <w:highlight w:val="none"/>
                <w:shd w:val="clear" w:color="auto" w:fill="FFFFFF"/>
                <w:lang w:bidi="ar"/>
              </w:rPr>
            </w:pPr>
            <w:r>
              <w:rPr>
                <w:rFonts w:hint="eastAsia" w:ascii="宋体" w:hAnsi="宋体" w:eastAsia="宋体" w:cs="宋体"/>
                <w:b/>
                <w:bCs/>
                <w:kern w:val="2"/>
                <w:sz w:val="21"/>
                <w:szCs w:val="21"/>
                <w:highlight w:val="none"/>
                <w:lang w:val="en-US" w:eastAsia="zh-CN" w:bidi="ar"/>
              </w:rPr>
              <w:t>注：提供202</w:t>
            </w:r>
            <w:r>
              <w:rPr>
                <w:rFonts w:hint="eastAsia" w:ascii="宋体" w:hAnsi="宋体" w:cs="宋体"/>
                <w:b/>
                <w:bCs/>
                <w:kern w:val="2"/>
                <w:sz w:val="21"/>
                <w:szCs w:val="21"/>
                <w:highlight w:val="none"/>
                <w:lang w:val="en-US" w:eastAsia="zh-CN" w:bidi="ar"/>
              </w:rPr>
              <w:t>3</w:t>
            </w:r>
            <w:r>
              <w:rPr>
                <w:rFonts w:hint="eastAsia" w:ascii="宋体" w:hAnsi="宋体" w:eastAsia="宋体" w:cs="宋体"/>
                <w:b/>
                <w:bCs/>
                <w:kern w:val="2"/>
                <w:sz w:val="21"/>
                <w:szCs w:val="21"/>
                <w:highlight w:val="none"/>
                <w:lang w:val="en-US" w:eastAsia="zh-CN" w:bidi="ar"/>
              </w:rPr>
              <w:t>年-202</w:t>
            </w:r>
            <w:r>
              <w:rPr>
                <w:rFonts w:hint="eastAsia" w:ascii="宋体" w:hAnsi="宋体" w:cs="宋体"/>
                <w:b/>
                <w:bCs/>
                <w:kern w:val="2"/>
                <w:sz w:val="21"/>
                <w:szCs w:val="21"/>
                <w:highlight w:val="none"/>
                <w:lang w:val="en-US" w:eastAsia="zh-CN" w:bidi="ar"/>
              </w:rPr>
              <w:t>5</w:t>
            </w:r>
            <w:r>
              <w:rPr>
                <w:rFonts w:hint="eastAsia" w:ascii="宋体" w:hAnsi="宋体" w:eastAsia="宋体" w:cs="宋体"/>
                <w:b/>
                <w:bCs/>
                <w:kern w:val="2"/>
                <w:sz w:val="21"/>
                <w:szCs w:val="21"/>
                <w:highlight w:val="none"/>
                <w:lang w:val="en-US" w:eastAsia="zh-CN" w:bidi="ar"/>
              </w:rPr>
              <w:t>年第三方审计机构出具的审计报告复印件，并加盖单位公章。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4" w:type="dxa"/>
            <w:vMerge w:val="continue"/>
            <w:tcBorders>
              <w:top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bCs/>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i/>
                <w:iCs/>
                <w:szCs w:val="21"/>
                <w:highlight w:val="none"/>
              </w:rPr>
            </w:pPr>
            <w:r>
              <w:rPr>
                <w:rFonts w:hint="eastAsia" w:asciiTheme="minorEastAsia" w:hAnsiTheme="minorEastAsia" w:eastAsiaTheme="minorEastAsia" w:cstheme="minorEastAsia"/>
                <w:i/>
                <w:iCs/>
                <w:szCs w:val="21"/>
                <w:highlight w:val="none"/>
                <w:lang w:val="en-US" w:eastAsia="zh-CN"/>
              </w:rPr>
              <w:t>报价人</w:t>
            </w:r>
          </w:p>
          <w:p>
            <w:pPr>
              <w:keepNext w:val="0"/>
              <w:keepLines w:val="0"/>
              <w:suppressLineNumbers w:val="0"/>
              <w:adjustRightInd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i/>
                <w:iCs/>
                <w:szCs w:val="21"/>
                <w:highlight w:val="none"/>
              </w:rPr>
            </w:pPr>
            <w:r>
              <w:rPr>
                <w:rFonts w:hint="eastAsia" w:asciiTheme="minorEastAsia" w:hAnsiTheme="minorEastAsia" w:eastAsiaTheme="minorEastAsia" w:cstheme="minorEastAsia"/>
                <w:i/>
                <w:iCs/>
                <w:szCs w:val="21"/>
                <w:highlight w:val="none"/>
                <w:lang w:val="en-US" w:eastAsia="zh-CN"/>
              </w:rPr>
              <w:t>业绩</w:t>
            </w:r>
          </w:p>
          <w:p>
            <w:pPr>
              <w:keepNext w:val="0"/>
              <w:keepLines w:val="0"/>
              <w:suppressLineNumbers w:val="0"/>
              <w:adjustRightInd w:val="0"/>
              <w:snapToGrid w:val="0"/>
              <w:spacing w:before="0" w:beforeAutospacing="0" w:after="0" w:afterAutospacing="0" w:line="400" w:lineRule="exact"/>
              <w:ind w:left="0" w:leftChars="0" w:right="0" w:rightChars="0"/>
              <w:jc w:val="center"/>
              <w:textAlignment w:val="baseline"/>
              <w:rPr>
                <w:rFonts w:hint="eastAsia" w:asciiTheme="minorEastAsia" w:hAnsiTheme="minorEastAsia" w:eastAsiaTheme="minorEastAsia" w:cstheme="minorEastAsia"/>
                <w:i/>
                <w:iCs/>
                <w:szCs w:val="21"/>
                <w:highlight w:val="none"/>
              </w:rPr>
            </w:pPr>
            <w:r>
              <w:rPr>
                <w:rFonts w:hint="eastAsia" w:asciiTheme="minorEastAsia" w:hAnsiTheme="minorEastAsia" w:eastAsiaTheme="minorEastAsia" w:cstheme="minorEastAsia"/>
                <w:i/>
                <w:iCs/>
                <w:szCs w:val="21"/>
                <w:highlight w:val="none"/>
                <w:lang w:val="en-US" w:eastAsia="zh-CN"/>
              </w:rPr>
              <w:t>（6分）</w:t>
            </w:r>
          </w:p>
        </w:tc>
        <w:tc>
          <w:tcPr>
            <w:tcW w:w="6738" w:type="dxa"/>
            <w:gridSpan w:val="2"/>
            <w:tcBorders>
              <w:top w:val="single" w:color="auto" w:sz="4" w:space="0"/>
              <w:left w:val="single" w:color="auto" w:sz="4" w:space="0"/>
              <w:bottom w:val="single" w:color="auto" w:sz="4" w:space="0"/>
            </w:tcBorders>
            <w:vAlign w:val="center"/>
          </w:tcPr>
          <w:p>
            <w:pPr>
              <w:pStyle w:val="37"/>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满足资格业绩要求得</w:t>
            </w:r>
            <w:r>
              <w:rPr>
                <w:rFonts w:hint="eastAsia" w:cs="宋体"/>
                <w:kern w:val="2"/>
                <w:sz w:val="21"/>
                <w:szCs w:val="21"/>
                <w:highlight w:val="none"/>
                <w:lang w:val="en-US" w:eastAsia="zh-CN" w:bidi="ar"/>
              </w:rPr>
              <w:t>3.6</w:t>
            </w:r>
            <w:r>
              <w:rPr>
                <w:rFonts w:hint="eastAsia" w:ascii="宋体" w:hAnsi="宋体" w:eastAsia="宋体" w:cs="宋体"/>
                <w:kern w:val="2"/>
                <w:sz w:val="21"/>
                <w:szCs w:val="21"/>
                <w:highlight w:val="none"/>
                <w:lang w:val="en-US" w:eastAsia="zh-CN" w:bidi="ar"/>
              </w:rPr>
              <w:t>分，</w:t>
            </w:r>
          </w:p>
          <w:p>
            <w:pPr>
              <w:pStyle w:val="37"/>
              <w:keepNext w:val="0"/>
              <w:keepLines w:val="0"/>
              <w:widowControl/>
              <w:suppressLineNumbers w:val="0"/>
              <w:spacing w:before="0" w:beforeAutospacing="0" w:after="0" w:afterAutospacing="0" w:line="400" w:lineRule="exact"/>
              <w:ind w:left="0" w:right="0" w:firstLine="420" w:firstLineChars="200"/>
              <w:jc w:val="left"/>
              <w:rPr>
                <w:rFonts w:hint="eastAsia" w:ascii="宋体" w:hAnsi="宋体" w:eastAsia="宋体" w:cs="宋体"/>
                <w:bCs/>
                <w:kern w:val="2"/>
                <w:sz w:val="21"/>
                <w:szCs w:val="21"/>
                <w:highlight w:val="none"/>
              </w:rPr>
            </w:pPr>
            <w:r>
              <w:rPr>
                <w:rFonts w:hint="eastAsia" w:ascii="宋体" w:hAnsi="宋体" w:eastAsia="宋体" w:cs="宋体"/>
                <w:kern w:val="0"/>
                <w:sz w:val="21"/>
                <w:szCs w:val="21"/>
                <w:highlight w:val="none"/>
                <w:lang w:val="en-US" w:eastAsia="zh-CN" w:bidi="ar"/>
              </w:rPr>
              <w:t>在满足资格业绩要求的基础上，</w:t>
            </w:r>
            <w:r>
              <w:rPr>
                <w:rFonts w:hint="eastAsia" w:ascii="宋体" w:hAnsi="宋体" w:eastAsia="宋体" w:cs="宋体"/>
                <w:bCs/>
                <w:kern w:val="2"/>
                <w:sz w:val="21"/>
                <w:szCs w:val="21"/>
                <w:highlight w:val="none"/>
                <w:lang w:val="en-US" w:eastAsia="zh-CN" w:bidi="ar"/>
              </w:rPr>
              <w:t>报价人在</w:t>
            </w:r>
            <w:r>
              <w:rPr>
                <w:rFonts w:hint="eastAsia" w:ascii="宋体" w:hAnsi="宋体" w:eastAsia="宋体" w:cs="宋体"/>
                <w:kern w:val="0"/>
                <w:sz w:val="21"/>
                <w:szCs w:val="21"/>
                <w:highlight w:val="none"/>
                <w:lang w:val="en-US" w:eastAsia="zh-CN" w:bidi="ar"/>
              </w:rPr>
              <w:t>202</w:t>
            </w:r>
            <w:r>
              <w:rPr>
                <w:rFonts w:hint="eastAsia" w:cs="宋体"/>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年1月1日至投标截止日（以合同签订时间为准）每增加1个合同金额不低于</w:t>
            </w:r>
            <w:r>
              <w:rPr>
                <w:rFonts w:hint="eastAsia" w:cs="宋体"/>
                <w:kern w:val="0"/>
                <w:sz w:val="21"/>
                <w:szCs w:val="21"/>
                <w:highlight w:val="none"/>
                <w:lang w:val="en-US" w:eastAsia="zh-CN" w:bidi="ar"/>
              </w:rPr>
              <w:t>20</w:t>
            </w:r>
            <w:r>
              <w:rPr>
                <w:rFonts w:hint="eastAsia" w:ascii="宋体" w:hAnsi="宋体" w:eastAsia="宋体" w:cs="宋体"/>
                <w:kern w:val="0"/>
                <w:sz w:val="21"/>
                <w:szCs w:val="21"/>
                <w:highlight w:val="none"/>
                <w:lang w:val="en-US" w:eastAsia="zh-CN" w:bidi="ar"/>
              </w:rPr>
              <w:t>万元的网络安全建设或服务项目相关业绩</w:t>
            </w:r>
            <w:r>
              <w:rPr>
                <w:rFonts w:hint="eastAsia" w:ascii="宋体" w:hAnsi="宋体" w:eastAsia="宋体" w:cs="宋体"/>
                <w:b w:val="0"/>
                <w:bCs w:val="0"/>
                <w:kern w:val="2"/>
                <w:sz w:val="21"/>
                <w:szCs w:val="21"/>
                <w:highlight w:val="none"/>
                <w:lang w:val="en-US" w:eastAsia="zh-CN" w:bidi="ar"/>
              </w:rPr>
              <w:t>，</w:t>
            </w:r>
            <w:r>
              <w:rPr>
                <w:rFonts w:hint="eastAsia" w:ascii="宋体" w:hAnsi="宋体" w:eastAsia="宋体" w:cs="宋体"/>
                <w:kern w:val="0"/>
                <w:sz w:val="21"/>
                <w:szCs w:val="21"/>
                <w:highlight w:val="none"/>
                <w:lang w:val="en-US" w:eastAsia="zh-CN" w:bidi="ar"/>
              </w:rPr>
              <w:t>得</w:t>
            </w:r>
            <w:r>
              <w:rPr>
                <w:rFonts w:hint="eastAsia" w:cs="宋体"/>
                <w:kern w:val="0"/>
                <w:sz w:val="21"/>
                <w:szCs w:val="21"/>
                <w:highlight w:val="none"/>
                <w:lang w:val="en-US" w:eastAsia="zh-CN" w:bidi="ar"/>
              </w:rPr>
              <w:t>1.2</w:t>
            </w:r>
            <w:r>
              <w:rPr>
                <w:rFonts w:hint="eastAsia" w:ascii="宋体" w:hAnsi="宋体" w:eastAsia="宋体" w:cs="宋体"/>
                <w:kern w:val="0"/>
                <w:sz w:val="21"/>
                <w:szCs w:val="21"/>
                <w:highlight w:val="none"/>
                <w:lang w:val="en-US" w:eastAsia="zh-CN" w:bidi="ar"/>
              </w:rPr>
              <w:t>分，本项最多得</w:t>
            </w:r>
            <w:r>
              <w:rPr>
                <w:rFonts w:hint="eastAsia" w:cs="宋体"/>
                <w:kern w:val="0"/>
                <w:sz w:val="21"/>
                <w:szCs w:val="21"/>
                <w:highlight w:val="none"/>
                <w:lang w:val="en-US" w:eastAsia="zh-CN" w:bidi="ar"/>
              </w:rPr>
              <w:t>2.4</w:t>
            </w:r>
            <w:r>
              <w:rPr>
                <w:rFonts w:hint="eastAsia" w:ascii="宋体" w:hAnsi="宋体" w:eastAsia="宋体" w:cs="宋体"/>
                <w:kern w:val="0"/>
                <w:sz w:val="21"/>
                <w:szCs w:val="21"/>
                <w:highlight w:val="none"/>
                <w:lang w:val="en-US" w:eastAsia="zh-CN" w:bidi="ar"/>
              </w:rPr>
              <w:t>分。</w:t>
            </w:r>
          </w:p>
          <w:p>
            <w:pPr>
              <w:keepNext w:val="0"/>
              <w:keepLines w:val="0"/>
              <w:widowControl w:val="0"/>
              <w:suppressLineNumbers w:val="0"/>
              <w:autoSpaceDE w:val="0"/>
              <w:autoSpaceDN/>
              <w:spacing w:before="0" w:beforeAutospacing="0" w:after="0" w:afterAutospacing="0" w:line="400" w:lineRule="exact"/>
              <w:ind w:left="0" w:leftChars="0" w:right="0" w:rightChars="0" w:firstLine="422" w:firstLineChars="200"/>
              <w:jc w:val="both"/>
              <w:rPr>
                <w:rFonts w:hint="eastAsia" w:asciiTheme="minorEastAsia" w:hAnsiTheme="minorEastAsia" w:eastAsiaTheme="minorEastAsia" w:cstheme="minorEastAsia"/>
                <w:bCs/>
                <w:szCs w:val="21"/>
                <w:highlight w:val="none"/>
              </w:rPr>
            </w:pPr>
            <w:r>
              <w:rPr>
                <w:rFonts w:hint="eastAsia" w:ascii="宋体" w:hAnsi="宋体" w:eastAsia="宋体" w:cs="宋体"/>
                <w:b/>
                <w:bCs/>
                <w:kern w:val="2"/>
                <w:sz w:val="21"/>
                <w:szCs w:val="21"/>
                <w:highlight w:val="none"/>
                <w:lang w:val="en-US" w:eastAsia="zh-CN" w:bidi="ar"/>
              </w:rPr>
              <w:t>注：提供合同</w:t>
            </w:r>
            <w:r>
              <w:rPr>
                <w:rFonts w:hint="eastAsia" w:ascii="宋体" w:hAnsi="宋体" w:eastAsia="宋体" w:cs="宋体"/>
                <w:b/>
                <w:bCs/>
                <w:kern w:val="2"/>
                <w:sz w:val="21"/>
                <w:szCs w:val="21"/>
                <w:highlight w:val="none"/>
                <w:shd w:val="clear" w:fill="FFFFFF"/>
                <w:lang w:val="en-US" w:eastAsia="zh-CN" w:bidi="ar"/>
              </w:rPr>
              <w:t>复印件</w:t>
            </w:r>
            <w:r>
              <w:rPr>
                <w:rFonts w:hint="eastAsia" w:ascii="宋体" w:hAnsi="宋体" w:eastAsia="宋体" w:cs="宋体"/>
                <w:b/>
                <w:bCs/>
                <w:kern w:val="2"/>
                <w:sz w:val="21"/>
                <w:szCs w:val="21"/>
                <w:highlight w:val="none"/>
                <w:lang w:val="en-US" w:eastAsia="zh-CN" w:bidi="ar"/>
              </w:rPr>
              <w:t>（合同需清晰反映上述业绩要求的主要内容，包括但不限于合同签订时间、合同金额及合同内容），</w:t>
            </w:r>
            <w:r>
              <w:rPr>
                <w:rFonts w:hint="eastAsia" w:ascii="宋体" w:hAnsi="宋体" w:eastAsia="宋体" w:cs="宋体"/>
                <w:b/>
                <w:bCs/>
                <w:kern w:val="0"/>
                <w:sz w:val="21"/>
                <w:szCs w:val="21"/>
                <w:highlight w:val="none"/>
                <w:lang w:val="en-US" w:eastAsia="zh-CN" w:bidi="ar"/>
              </w:rPr>
              <w:t>盖单位公章。若合同中无法体现上述内容的，则还需出具加盖业主公章的业主证明材料。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tcBorders>
              <w:top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2.2.4</w:t>
            </w:r>
          </w:p>
          <w:p>
            <w:pPr>
              <w:spacing w:line="400" w:lineRule="exact"/>
              <w:jc w:val="center"/>
              <w:rPr>
                <w:rFonts w:hint="eastAsia" w:asciiTheme="minorEastAsia" w:hAnsiTheme="minorEastAsia" w:eastAsiaTheme="minorEastAsia" w:cstheme="minorEastAsia"/>
                <w:bCs/>
                <w:szCs w:val="21"/>
                <w:highlight w:val="none"/>
                <w:lang w:bidi="ar"/>
              </w:rPr>
            </w:pPr>
            <w:r>
              <w:rPr>
                <w:rFonts w:hint="eastAsia" w:ascii="宋体" w:hAnsi="宋体" w:cs="宋体"/>
                <w:szCs w:val="21"/>
                <w:highlight w:val="none"/>
              </w:rPr>
              <w:t>（3）</w:t>
            </w:r>
          </w:p>
        </w:tc>
        <w:tc>
          <w:tcPr>
            <w:tcW w:w="897" w:type="dxa"/>
            <w:tcBorders>
              <w:top w:val="single" w:color="auto" w:sz="4" w:space="0"/>
              <w:left w:val="single" w:color="auto" w:sz="4" w:space="0"/>
              <w:right w:val="single" w:color="auto" w:sz="4" w:space="0"/>
            </w:tcBorders>
            <w:vAlign w:val="center"/>
          </w:tcPr>
          <w:p>
            <w:pPr>
              <w:pStyle w:val="37"/>
              <w:widowControl w:val="0"/>
              <w:adjustRightInd w:val="0"/>
              <w:spacing w:before="0" w:beforeAutospacing="0" w:after="0" w:afterAutospacing="0" w:line="400" w:lineRule="exact"/>
              <w:jc w:val="center"/>
              <w:textAlignment w:val="baseline"/>
              <w:rPr>
                <w:rFonts w:hint="eastAsia" w:asciiTheme="minorEastAsia" w:hAnsiTheme="minorEastAsia" w:eastAsiaTheme="minorEastAsia" w:cstheme="minorEastAsia"/>
                <w:bCs/>
                <w:kern w:val="2"/>
                <w:sz w:val="21"/>
                <w:szCs w:val="21"/>
                <w:highlight w:val="none"/>
                <w:lang w:bidi="ar"/>
              </w:rPr>
            </w:pPr>
            <w:r>
              <w:rPr>
                <w:rFonts w:hint="eastAsia" w:asciiTheme="minorEastAsia" w:hAnsiTheme="minorEastAsia" w:eastAsiaTheme="minorEastAsia" w:cstheme="minorEastAsia"/>
                <w:bCs/>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pPr>
              <w:pStyle w:val="37"/>
              <w:widowControl w:val="0"/>
              <w:adjustRightInd w:val="0"/>
              <w:spacing w:before="0" w:beforeAutospacing="0" w:after="0" w:afterAutospacing="0" w:line="400" w:lineRule="exact"/>
              <w:jc w:val="center"/>
              <w:textAlignment w:val="baseline"/>
              <w:rPr>
                <w:rFonts w:hint="eastAsia"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kern w:val="2"/>
                <w:sz w:val="21"/>
                <w:szCs w:val="21"/>
                <w:highlight w:val="none"/>
                <w:lang w:bidi="ar"/>
              </w:rPr>
              <w:t>投标报价</w:t>
            </w:r>
          </w:p>
        </w:tc>
        <w:tc>
          <w:tcPr>
            <w:tcW w:w="6738" w:type="dxa"/>
            <w:gridSpan w:val="2"/>
            <w:tcBorders>
              <w:top w:val="single" w:color="auto" w:sz="4" w:space="0"/>
              <w:left w:val="single" w:color="auto" w:sz="4" w:space="0"/>
              <w:right w:val="single" w:color="auto" w:sz="4" w:space="0"/>
            </w:tcBorders>
            <w:vAlign w:val="center"/>
          </w:tcPr>
          <w:p>
            <w:pPr>
              <w:pStyle w:val="37"/>
              <w:widowControl w:val="0"/>
              <w:adjustRightInd w:val="0"/>
              <w:spacing w:before="0" w:beforeAutospacing="0" w:after="0" w:afterAutospacing="0" w:line="400" w:lineRule="exact"/>
              <w:ind w:firstLine="420" w:firstLineChars="200"/>
              <w:jc w:val="both"/>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rPr>
              <w:t>所有通过初步评审的有效投标报价首先得基本分70分，然后与评标基准价相比较，每上浮1%扣0.5分，每下浮1%扣0.25分，至多扣10分。按插入法计算得分。以上计算取小数点后两位，第三位四舍五入。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44" w:type="dxa"/>
            <w:tcBorders>
              <w:top w:val="single" w:color="auto" w:sz="4" w:space="0"/>
              <w:bottom w:val="single" w:color="auto" w:sz="4" w:space="0"/>
              <w:right w:val="single" w:color="auto" w:sz="4" w:space="0"/>
            </w:tcBorders>
            <w:vAlign w:val="center"/>
          </w:tcPr>
          <w:p>
            <w:pPr>
              <w:pStyle w:val="37"/>
              <w:widowControl w:val="0"/>
              <w:adjustRightInd w:val="0"/>
              <w:spacing w:before="0" w:beforeAutospacing="0" w:after="0" w:afterAutospacing="0" w:line="400" w:lineRule="exact"/>
              <w:jc w:val="center"/>
              <w:textAlignment w:val="baseline"/>
              <w:rPr>
                <w:rFonts w:hint="eastAsia" w:asciiTheme="minorEastAsia" w:hAnsiTheme="minorEastAsia" w:eastAsiaTheme="minorEastAsia" w:cstheme="minorEastAsia"/>
                <w:b/>
                <w:kern w:val="2"/>
                <w:sz w:val="21"/>
                <w:szCs w:val="21"/>
                <w:highlight w:val="none"/>
                <w:lang w:bidi="ar"/>
              </w:rPr>
            </w:pPr>
            <w:r>
              <w:rPr>
                <w:rFonts w:hint="eastAsia"/>
                <w:sz w:val="21"/>
                <w:szCs w:val="21"/>
                <w:highlight w:val="none"/>
              </w:rPr>
              <w:t>3.2</w:t>
            </w:r>
          </w:p>
        </w:tc>
        <w:tc>
          <w:tcPr>
            <w:tcW w:w="8764" w:type="dxa"/>
            <w:gridSpan w:val="4"/>
            <w:tcBorders>
              <w:top w:val="single" w:color="auto" w:sz="4" w:space="0"/>
              <w:left w:val="single" w:color="auto" w:sz="4" w:space="0"/>
              <w:bottom w:val="single" w:color="auto" w:sz="4" w:space="0"/>
            </w:tcBorders>
            <w:vAlign w:val="bottom"/>
          </w:tcPr>
          <w:p>
            <w:pPr>
              <w:pStyle w:val="37"/>
              <w:widowControl w:val="0"/>
              <w:adjustRightInd w:val="0"/>
              <w:spacing w:before="0" w:beforeAutospacing="0" w:after="0" w:afterAutospacing="0" w:line="400" w:lineRule="exact"/>
              <w:jc w:val="both"/>
              <w:textAlignment w:val="baseline"/>
              <w:rPr>
                <w:rFonts w:hint="eastAsia" w:asciiTheme="minorEastAsia" w:hAnsiTheme="minorEastAsia" w:eastAsiaTheme="minorEastAsia" w:cstheme="minorEastAsia"/>
                <w:kern w:val="2"/>
                <w:sz w:val="21"/>
                <w:szCs w:val="21"/>
                <w:highlight w:val="none"/>
                <w:lang w:bidi="ar"/>
              </w:rPr>
            </w:pPr>
            <w:r>
              <w:rPr>
                <w:rFonts w:hint="eastAsia" w:asciiTheme="minorEastAsia" w:hAnsiTheme="minorEastAsia" w:eastAsiaTheme="minorEastAsia" w:cstheme="minorEastAsia"/>
                <w:kern w:val="2"/>
                <w:sz w:val="21"/>
                <w:szCs w:val="21"/>
                <w:highlight w:val="none"/>
                <w:lang w:bidi="ar"/>
              </w:rPr>
              <w:t>补充正文：</w:t>
            </w:r>
          </w:p>
          <w:p>
            <w:pPr>
              <w:pStyle w:val="37"/>
              <w:widowControl w:val="0"/>
              <w:adjustRightInd w:val="0"/>
              <w:spacing w:before="0" w:beforeAutospacing="0" w:after="0" w:afterAutospacing="0" w:line="400" w:lineRule="exact"/>
              <w:jc w:val="both"/>
              <w:textAlignment w:val="baseline"/>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lang w:bidi="ar"/>
              </w:rPr>
              <w:t>中标候选人推荐办法：</w:t>
            </w:r>
          </w:p>
          <w:p>
            <w:pPr>
              <w:pStyle w:val="37"/>
              <w:widowControl w:val="0"/>
              <w:adjustRightInd w:val="0"/>
              <w:spacing w:before="0" w:beforeAutospacing="0" w:after="0" w:afterAutospacing="0" w:line="400" w:lineRule="exact"/>
              <w:jc w:val="both"/>
              <w:textAlignment w:val="baseline"/>
              <w:rPr>
                <w:rFonts w:hint="eastAsia"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lang w:bidi="ar"/>
              </w:rPr>
              <w:t>1.对通过评审的报价人按照综合得分（商务得分+技术得分+报价得分）由高到低排序。</w:t>
            </w:r>
          </w:p>
          <w:p>
            <w:pPr>
              <w:spacing w:line="400" w:lineRule="exact"/>
              <w:rPr>
                <w:rFonts w:hint="eastAsia" w:asciiTheme="minorEastAsia" w:hAnsiTheme="minorEastAsia" w:eastAsiaTheme="minorEastAsia" w:cstheme="minorEastAsia"/>
                <w:b/>
                <w:szCs w:val="21"/>
                <w:highlight w:val="none"/>
                <w:lang w:bidi="ar"/>
              </w:rPr>
            </w:pPr>
            <w:r>
              <w:rPr>
                <w:rFonts w:hint="eastAsia" w:asciiTheme="minorEastAsia" w:hAnsiTheme="minorEastAsia" w:eastAsiaTheme="minorEastAsia" w:cstheme="minorEastAsia"/>
                <w:szCs w:val="21"/>
                <w:highlight w:val="none"/>
                <w:lang w:bidi="ar"/>
              </w:rPr>
              <w:t>2.按评标综合得分由高到低排序推荐2名中标候选人。</w:t>
            </w:r>
          </w:p>
        </w:tc>
      </w:tr>
    </w:tbl>
    <w:p>
      <w:pPr>
        <w:spacing w:line="360" w:lineRule="exact"/>
        <w:ind w:firstLine="420" w:firstLineChars="200"/>
        <w:jc w:val="left"/>
        <w:outlineLvl w:val="1"/>
        <w:rPr>
          <w:rFonts w:hint="eastAsia" w:ascii="宋体" w:hAnsi="宋体" w:cs="宋体"/>
          <w:szCs w:val="21"/>
          <w:highlight w:val="none"/>
        </w:rPr>
      </w:pPr>
      <w:bookmarkStart w:id="148" w:name="_Toc19268"/>
      <w:bookmarkStart w:id="149" w:name="_Toc6735"/>
      <w:bookmarkStart w:id="150" w:name="_Toc26037"/>
      <w:bookmarkStart w:id="151" w:name="_Toc26599"/>
      <w:r>
        <w:rPr>
          <w:rFonts w:hint="eastAsia" w:ascii="宋体" w:hAnsi="宋体" w:cs="宋体"/>
          <w:szCs w:val="21"/>
          <w:highlight w:val="none"/>
        </w:rPr>
        <w:t>1.  评标方法</w:t>
      </w:r>
      <w:bookmarkEnd w:id="148"/>
      <w:bookmarkEnd w:id="149"/>
      <w:bookmarkEnd w:id="150"/>
      <w:bookmarkEnd w:id="151"/>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次评标采用综合评估法。评标委员会对满足竞争性比选文件实质性要求的竞争性比选响应文件，按照本章规定的评分标准进行评分，并按得分由高到低顺序推荐中标候选人，或根据采购人授权直接确定中标人。综合评分相等时，以评标办法前附表约定的原则确定中标候选人顺序。</w:t>
      </w:r>
    </w:p>
    <w:p>
      <w:pPr>
        <w:spacing w:line="360" w:lineRule="exact"/>
        <w:ind w:firstLine="420" w:firstLineChars="200"/>
        <w:jc w:val="left"/>
        <w:outlineLvl w:val="1"/>
        <w:rPr>
          <w:rFonts w:hint="eastAsia" w:ascii="宋体" w:hAnsi="宋体" w:cs="宋体"/>
          <w:szCs w:val="21"/>
          <w:highlight w:val="none"/>
        </w:rPr>
      </w:pPr>
      <w:bookmarkStart w:id="152" w:name="_Toc1052"/>
      <w:bookmarkStart w:id="153" w:name="_Toc22200"/>
      <w:bookmarkStart w:id="154" w:name="_Toc11814"/>
      <w:bookmarkStart w:id="155" w:name="_Toc31759"/>
      <w:bookmarkStart w:id="156" w:name="_Toc8753"/>
      <w:r>
        <w:rPr>
          <w:rFonts w:hint="eastAsia" w:ascii="宋体" w:hAnsi="宋体" w:cs="宋体"/>
          <w:szCs w:val="21"/>
          <w:highlight w:val="none"/>
        </w:rPr>
        <w:t>2.  评审标准</w:t>
      </w:r>
      <w:bookmarkEnd w:id="152"/>
      <w:bookmarkEnd w:id="153"/>
      <w:bookmarkEnd w:id="154"/>
      <w:bookmarkEnd w:id="155"/>
      <w:bookmarkEnd w:id="156"/>
    </w:p>
    <w:p>
      <w:pPr>
        <w:spacing w:line="360" w:lineRule="exact"/>
        <w:ind w:firstLine="420" w:firstLineChars="200"/>
        <w:jc w:val="left"/>
        <w:outlineLvl w:val="2"/>
        <w:rPr>
          <w:rFonts w:hint="eastAsia" w:ascii="宋体" w:hAnsi="宋体" w:cs="宋体"/>
          <w:szCs w:val="21"/>
          <w:highlight w:val="none"/>
        </w:rPr>
      </w:pPr>
      <w:r>
        <w:rPr>
          <w:rFonts w:hint="eastAsia" w:ascii="宋体" w:hAnsi="宋体" w:cs="宋体"/>
          <w:szCs w:val="21"/>
          <w:highlight w:val="none"/>
        </w:rPr>
        <w:t>2.1  初步评审标准</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2.1.1  形式评审标准：见评标办法前附表。</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资格评审标准：见评标办法前附表。</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2.1.3  响应性评审标准：见评标办法前附表。</w:t>
      </w:r>
    </w:p>
    <w:p>
      <w:pPr>
        <w:spacing w:line="360" w:lineRule="exact"/>
        <w:ind w:firstLine="420" w:firstLineChars="200"/>
        <w:jc w:val="left"/>
        <w:outlineLvl w:val="2"/>
        <w:rPr>
          <w:rFonts w:hint="eastAsia" w:ascii="宋体" w:hAnsi="宋体" w:cs="宋体"/>
          <w:szCs w:val="21"/>
          <w:highlight w:val="none"/>
        </w:rPr>
      </w:pPr>
      <w:r>
        <w:rPr>
          <w:rFonts w:hint="eastAsia" w:ascii="宋体" w:hAnsi="宋体" w:cs="宋体"/>
          <w:szCs w:val="21"/>
          <w:highlight w:val="none"/>
        </w:rPr>
        <w:t>2.2  分值构成与评审标准</w:t>
      </w:r>
    </w:p>
    <w:p>
      <w:pPr>
        <w:spacing w:line="360" w:lineRule="exact"/>
        <w:ind w:firstLine="420" w:firstLineChars="200"/>
        <w:jc w:val="left"/>
        <w:outlineLvl w:val="3"/>
        <w:rPr>
          <w:rFonts w:hint="eastAsia" w:ascii="宋体" w:hAnsi="宋体" w:cs="宋体"/>
          <w:szCs w:val="21"/>
          <w:highlight w:val="none"/>
        </w:rPr>
      </w:pPr>
      <w:r>
        <w:rPr>
          <w:rFonts w:hint="eastAsia" w:ascii="宋体" w:hAnsi="宋体" w:cs="宋体"/>
          <w:szCs w:val="21"/>
          <w:highlight w:val="none"/>
        </w:rPr>
        <w:t>2.2.1  分值构成</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（1）技术部分：见评标办法前附表；</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（2）商务部分：见评标办法前附表；</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（3）投标报价：见评标办法前附表。</w:t>
      </w:r>
    </w:p>
    <w:p>
      <w:pPr>
        <w:spacing w:line="360" w:lineRule="exact"/>
        <w:ind w:firstLine="420" w:firstLineChars="200"/>
        <w:jc w:val="left"/>
        <w:outlineLvl w:val="3"/>
        <w:rPr>
          <w:rFonts w:hint="eastAsia" w:ascii="宋体" w:hAnsi="宋体" w:cs="宋体"/>
          <w:szCs w:val="21"/>
          <w:highlight w:val="none"/>
        </w:rPr>
      </w:pPr>
      <w:r>
        <w:rPr>
          <w:rFonts w:hint="eastAsia" w:ascii="宋体" w:hAnsi="宋体" w:cs="宋体"/>
          <w:szCs w:val="21"/>
          <w:highlight w:val="none"/>
        </w:rPr>
        <w:t>2.2.2  评标基准价计算</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评标基准价计算方法：见评标办法前附表。</w:t>
      </w:r>
    </w:p>
    <w:p>
      <w:pPr>
        <w:spacing w:line="360" w:lineRule="exact"/>
        <w:ind w:firstLine="420" w:firstLineChars="200"/>
        <w:jc w:val="left"/>
        <w:outlineLvl w:val="3"/>
        <w:rPr>
          <w:rFonts w:hint="eastAsia" w:ascii="宋体" w:hAnsi="宋体" w:cs="宋体"/>
          <w:szCs w:val="21"/>
          <w:highlight w:val="none"/>
        </w:rPr>
      </w:pPr>
      <w:r>
        <w:rPr>
          <w:rFonts w:hint="eastAsia" w:ascii="宋体" w:hAnsi="宋体" w:cs="宋体"/>
          <w:szCs w:val="21"/>
          <w:highlight w:val="none"/>
        </w:rPr>
        <w:t>2.2.3  投标报价的偏差率计算</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投标报价的偏差率计算公式：见评标办法前附表；</w:t>
      </w:r>
    </w:p>
    <w:p>
      <w:pPr>
        <w:spacing w:line="360" w:lineRule="exact"/>
        <w:ind w:firstLine="420" w:firstLineChars="200"/>
        <w:jc w:val="left"/>
        <w:outlineLvl w:val="3"/>
        <w:rPr>
          <w:rFonts w:hint="eastAsia" w:ascii="宋体" w:hAnsi="宋体" w:cs="宋体"/>
          <w:szCs w:val="21"/>
          <w:highlight w:val="none"/>
        </w:rPr>
      </w:pPr>
      <w:r>
        <w:rPr>
          <w:rFonts w:hint="eastAsia" w:ascii="宋体" w:hAnsi="宋体" w:cs="宋体"/>
          <w:szCs w:val="21"/>
          <w:highlight w:val="none"/>
        </w:rPr>
        <w:t>2.2.4  评审标准</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（1）技术部分评分标准：见评标办法前附表；</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（2）商务部分评分标准：见评标办法前附表；</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（3）投标报价评分标准：见评标办法前附表。</w:t>
      </w:r>
    </w:p>
    <w:p>
      <w:pPr>
        <w:spacing w:line="360" w:lineRule="exact"/>
        <w:ind w:firstLine="420" w:firstLineChars="200"/>
        <w:jc w:val="left"/>
        <w:outlineLvl w:val="1"/>
        <w:rPr>
          <w:rFonts w:hint="eastAsia" w:ascii="宋体" w:hAnsi="宋体" w:cs="宋体"/>
          <w:szCs w:val="21"/>
          <w:highlight w:val="none"/>
        </w:rPr>
      </w:pPr>
      <w:bookmarkStart w:id="157" w:name="_Toc3077"/>
      <w:bookmarkStart w:id="158" w:name="_Toc10650"/>
      <w:bookmarkStart w:id="159" w:name="_Toc5245"/>
      <w:bookmarkStart w:id="160" w:name="_Toc8345"/>
      <w:bookmarkStart w:id="161" w:name="_Toc11564"/>
      <w:r>
        <w:rPr>
          <w:rFonts w:hint="eastAsia" w:ascii="宋体" w:hAnsi="宋体" w:cs="宋体"/>
          <w:szCs w:val="21"/>
          <w:highlight w:val="none"/>
        </w:rPr>
        <w:t>3.  评标程序</w:t>
      </w:r>
      <w:bookmarkEnd w:id="157"/>
      <w:bookmarkEnd w:id="158"/>
      <w:bookmarkEnd w:id="159"/>
      <w:bookmarkEnd w:id="160"/>
      <w:bookmarkEnd w:id="161"/>
    </w:p>
    <w:p>
      <w:pPr>
        <w:spacing w:line="360" w:lineRule="exact"/>
        <w:ind w:firstLine="420" w:firstLineChars="200"/>
        <w:jc w:val="left"/>
        <w:outlineLvl w:val="2"/>
        <w:rPr>
          <w:rFonts w:hint="eastAsia" w:ascii="宋体" w:hAnsi="宋体" w:cs="宋体"/>
          <w:szCs w:val="21"/>
          <w:highlight w:val="none"/>
        </w:rPr>
      </w:pPr>
      <w:r>
        <w:rPr>
          <w:rFonts w:hint="eastAsia" w:ascii="宋体" w:hAnsi="宋体" w:cs="宋体"/>
          <w:szCs w:val="21"/>
          <w:highlight w:val="none"/>
        </w:rPr>
        <w:t>3.1  初步评审</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3.1.1  评标委员会依据本章第 2.1 款规定的标准对竞争性比选响应文件进行初步评审。有一项不符合评审标准的，作否决投标处理。（适用于未进行资格预审的）</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3.1.1  评标委员会依据本章第2.1.2项、第2.1.3项规定的评审标准对竞争性比选响应文件进行初步评审。有一项不符合评审标准的，作否决投标处理。当报价人资格预审申请文件的内容发生重大变化时，评标委员会依据本章第2.1.1项规定的标准对其更新资料进行评审。（适用于已进行资格预审的）</w:t>
      </w:r>
    </w:p>
    <w:p>
      <w:pPr>
        <w:spacing w:line="360" w:lineRule="exact"/>
        <w:ind w:firstLine="420" w:firstLineChars="200"/>
        <w:jc w:val="left"/>
        <w:outlineLvl w:val="3"/>
        <w:rPr>
          <w:rFonts w:hint="eastAsia" w:ascii="宋体" w:hAnsi="宋体" w:cs="宋体"/>
          <w:szCs w:val="21"/>
          <w:highlight w:val="none"/>
        </w:rPr>
      </w:pPr>
      <w:r>
        <w:rPr>
          <w:rFonts w:hint="eastAsia" w:ascii="宋体" w:hAnsi="宋体" w:cs="宋体"/>
          <w:szCs w:val="21"/>
          <w:highlight w:val="none"/>
        </w:rPr>
        <w:t>3.1.2  报价人有以下情形之一的，其投标作否决投标处理：</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（1）竞争性比选响应文件没有对竞争性比选文件的实质性要求和条件作出响应，或者对竞争性比选文件的偏差超出竞争性比选文件规定的偏差范围或最高项数；</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（2）有串通投标、弄虚作假、行贿等违法行为；</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（3）拒绝按评标委员会要求澄清、说明或补正的。</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3.1.3  投标报价有算术错误及其他错误的，评标委员会按以下原则要求报价人对投标报价进行修正，并要求报价人书面澄清确认。报价人拒不澄清确认的，评标委员会应当否决其投标：</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（1）竞争性比选响应文件中的大写金额与小写金额不一致的，以大写金额为准；</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（2）分项报价表中各分项总价金额与依据固定单价计算出的结果不一致的，由评标委员会作否决投标处理；</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（3）投标报价为各分项总价金额之和，投标报价与各分项总价的合价不一致的，由评标委员会作否决投标处理；</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（4）如果分项报价中存在缺漏项，则视为缺漏项价格已包含在其他分项报价之中。</w:t>
      </w:r>
    </w:p>
    <w:p>
      <w:pPr>
        <w:spacing w:line="360" w:lineRule="exact"/>
        <w:ind w:firstLine="420" w:firstLineChars="200"/>
        <w:jc w:val="left"/>
        <w:outlineLvl w:val="2"/>
        <w:rPr>
          <w:rFonts w:hint="eastAsia" w:ascii="宋体" w:hAnsi="宋体" w:cs="宋体"/>
          <w:szCs w:val="21"/>
          <w:highlight w:val="none"/>
        </w:rPr>
      </w:pPr>
      <w:r>
        <w:rPr>
          <w:rFonts w:hint="eastAsia" w:ascii="宋体" w:hAnsi="宋体" w:cs="宋体"/>
          <w:szCs w:val="21"/>
          <w:highlight w:val="none"/>
        </w:rPr>
        <w:t>3.2  详细评审</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3.2.1  评标委员会按本章第2.2款规定的量化因素和分值进行评分，并计算出综合评估得分。</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（1）按本章第 2.2.4（1）目规定的评审因素和分值对技术部分计算出得分 A；</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（2）按本章第 2.2.4（2）目规定的评审因素和分值对商务部分计算出得分 B；</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（3）按本章第 2.2.4（3）目规定的评审因素和分值对投标报价计算出得分 C；</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3.2.2  各类评分分值的最终计算结果保留两位小数，小数点后第三位“四舍五入”。</w:t>
      </w:r>
    </w:p>
    <w:p>
      <w:pPr>
        <w:spacing w:line="360" w:lineRule="exact"/>
        <w:ind w:firstLine="420" w:firstLineChars="200"/>
        <w:jc w:val="left"/>
        <w:outlineLvl w:val="3"/>
        <w:rPr>
          <w:rFonts w:hint="eastAsia" w:ascii="宋体" w:hAnsi="宋体" w:cs="宋体"/>
          <w:szCs w:val="21"/>
          <w:highlight w:val="none"/>
        </w:rPr>
      </w:pPr>
      <w:r>
        <w:rPr>
          <w:rFonts w:hint="eastAsia" w:ascii="宋体" w:hAnsi="宋体" w:cs="宋体"/>
          <w:szCs w:val="21"/>
          <w:highlight w:val="none"/>
        </w:rPr>
        <w:t>3.2.3  报价人得分=A+B+C。</w:t>
      </w:r>
    </w:p>
    <w:p>
      <w:pPr>
        <w:spacing w:line="360" w:lineRule="exact"/>
        <w:ind w:firstLine="420" w:firstLineChars="200"/>
        <w:jc w:val="left"/>
        <w:outlineLvl w:val="2"/>
        <w:rPr>
          <w:rFonts w:hint="eastAsia" w:ascii="宋体" w:hAnsi="宋体" w:cs="宋体"/>
          <w:szCs w:val="21"/>
          <w:highlight w:val="none"/>
        </w:rPr>
      </w:pPr>
      <w:r>
        <w:rPr>
          <w:rFonts w:hint="eastAsia" w:ascii="宋体" w:hAnsi="宋体" w:cs="宋体"/>
          <w:szCs w:val="21"/>
          <w:highlight w:val="none"/>
        </w:rPr>
        <w:t>3.3  竞争性比选响应文件的澄清</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3.3.1  在评标过程中，评标委员会可以书面形式要求报价人对所提交竞争性比选响应文件中含义不明确、对同类问题表述不一致或者有明显文字和计算错误的内容作必要的澄清、说明或补正。澄清、说明或补正应以书面方式进行。评标委员会不接受报价人主动提出的澄清、说明或补正。</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3.3.2  澄清、说明或补正不得超出竞争性比选响应文件的范围且不得改变竞争性比选响应文件的实质性内容，并构成竞争性比选响应文件的组成部分。</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3.3.3  评标委员会对报价人提交的澄清、说明或补正有疑问的，可以要求报价人进一步澄清、说明或补正，直至满足评标委员会的要求。</w:t>
      </w:r>
    </w:p>
    <w:p>
      <w:pPr>
        <w:spacing w:line="360" w:lineRule="exact"/>
        <w:ind w:firstLine="420" w:firstLineChars="200"/>
        <w:jc w:val="left"/>
        <w:outlineLvl w:val="2"/>
        <w:rPr>
          <w:rFonts w:hint="eastAsia" w:ascii="宋体" w:hAnsi="宋体" w:cs="宋体"/>
          <w:szCs w:val="21"/>
          <w:highlight w:val="none"/>
        </w:rPr>
      </w:pPr>
      <w:r>
        <w:rPr>
          <w:rFonts w:hint="eastAsia" w:ascii="宋体" w:hAnsi="宋体" w:cs="宋体"/>
          <w:szCs w:val="21"/>
          <w:highlight w:val="none"/>
        </w:rPr>
        <w:t>3.4  评标结果</w:t>
      </w:r>
    </w:p>
    <w:p>
      <w:pPr>
        <w:spacing w:line="3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3.4.1  除第二章“报价人须知”前附表授权直接确定中标人外，评标委员会按照得分由高到低的顺序推荐2名中标候选人，并标明排序。</w:t>
      </w:r>
    </w:p>
    <w:p>
      <w:pPr>
        <w:ind w:firstLine="420" w:firstLineChars="200"/>
        <w:rPr>
          <w:rStyle w:val="82"/>
          <w:highlight w:val="none"/>
        </w:rPr>
      </w:pPr>
      <w:r>
        <w:rPr>
          <w:rFonts w:hint="eastAsia" w:ascii="宋体" w:hAnsi="宋体" w:cs="宋体"/>
          <w:szCs w:val="21"/>
          <w:highlight w:val="none"/>
        </w:rPr>
        <w:t>3.4.2  评标委员会完成评标后，应当向采购人提交书面评标报告和中标候选人名单。</w:t>
      </w:r>
    </w:p>
    <w:p>
      <w:pPr>
        <w:rPr>
          <w:rStyle w:val="82"/>
          <w:highlight w:val="none"/>
        </w:rPr>
      </w:pPr>
      <w:r>
        <w:rPr>
          <w:rStyle w:val="82"/>
          <w:rFonts w:hint="eastAsia"/>
          <w:highlight w:val="none"/>
        </w:rPr>
        <w:br w:type="page"/>
      </w:r>
    </w:p>
    <w:p>
      <w:pPr>
        <w:pStyle w:val="3"/>
        <w:spacing w:before="0" w:after="0" w:line="360" w:lineRule="auto"/>
        <w:jc w:val="center"/>
        <w:rPr>
          <w:rFonts w:hint="eastAsia" w:ascii="宋体" w:hAnsi="宋体" w:cs="宋体"/>
          <w:highlight w:val="none"/>
        </w:rPr>
      </w:pPr>
      <w:bookmarkStart w:id="162" w:name="_Toc144974854"/>
      <w:bookmarkStart w:id="163" w:name="_Toc447827049"/>
      <w:bookmarkStart w:id="164" w:name="_Toc179632804"/>
      <w:bookmarkStart w:id="165" w:name="_Toc514858707"/>
      <w:bookmarkStart w:id="166" w:name="_Toc246997096"/>
      <w:bookmarkStart w:id="167" w:name="_Toc513633964"/>
      <w:bookmarkStart w:id="168" w:name="_Toc152045785"/>
      <w:bookmarkStart w:id="169" w:name="_Toc2000411"/>
      <w:bookmarkStart w:id="170" w:name="_Toc247085870"/>
      <w:bookmarkStart w:id="171" w:name="_Toc152042574"/>
      <w:bookmarkStart w:id="172" w:name="_Toc503951043"/>
      <w:bookmarkStart w:id="173" w:name="_Toc246996353"/>
      <w:bookmarkStart w:id="174" w:name="_Toc15010"/>
      <w:bookmarkStart w:id="175" w:name="_Toc9925"/>
      <w:bookmarkStart w:id="176" w:name="_Toc179632806"/>
      <w:bookmarkStart w:id="177" w:name="_Toc144974855"/>
      <w:bookmarkStart w:id="178" w:name="_Toc152042575"/>
      <w:bookmarkStart w:id="179" w:name="_Toc247085872"/>
      <w:bookmarkStart w:id="180" w:name="_Toc246997097"/>
      <w:bookmarkStart w:id="181" w:name="_Toc246996354"/>
      <w:bookmarkStart w:id="182" w:name="_Toc152045786"/>
      <w:r>
        <w:rPr>
          <w:rFonts w:hint="eastAsia" w:ascii="宋体" w:hAnsi="宋体" w:cs="宋体"/>
          <w:highlight w:val="none"/>
        </w:rPr>
        <w:t xml:space="preserve">第四章  </w:t>
      </w:r>
      <w:bookmarkEnd w:id="162"/>
      <w:bookmarkEnd w:id="163"/>
      <w:bookmarkEnd w:id="164"/>
      <w:bookmarkEnd w:id="165"/>
      <w:bookmarkEnd w:id="166"/>
      <w:bookmarkEnd w:id="167"/>
      <w:bookmarkEnd w:id="168"/>
      <w:bookmarkEnd w:id="169"/>
      <w:bookmarkEnd w:id="170"/>
      <w:bookmarkEnd w:id="171"/>
      <w:bookmarkEnd w:id="172"/>
      <w:bookmarkEnd w:id="173"/>
      <w:r>
        <w:rPr>
          <w:rFonts w:hint="eastAsia" w:ascii="宋体" w:hAnsi="宋体" w:cs="宋体"/>
          <w:highlight w:val="none"/>
        </w:rPr>
        <w:t>服务要求</w:t>
      </w:r>
      <w:bookmarkEnd w:id="174"/>
      <w:bookmarkEnd w:id="175"/>
    </w:p>
    <w:bookmarkEnd w:id="176"/>
    <w:bookmarkEnd w:id="177"/>
    <w:bookmarkEnd w:id="178"/>
    <w:bookmarkEnd w:id="179"/>
    <w:bookmarkEnd w:id="180"/>
    <w:bookmarkEnd w:id="181"/>
    <w:bookmarkEnd w:id="182"/>
    <w:p>
      <w:pPr>
        <w:jc w:val="center"/>
        <w:rPr>
          <w:rFonts w:hint="eastAsia" w:ascii="仿宋" w:hAnsi="仿宋" w:eastAsia="仿宋" w:cs="仿宋"/>
          <w:szCs w:val="21"/>
          <w:highlight w:val="none"/>
        </w:rPr>
      </w:pPr>
      <w:bookmarkStart w:id="183" w:name="_Toc514430114"/>
      <w:bookmarkStart w:id="184" w:name="_Toc514858708"/>
      <w:bookmarkStart w:id="185" w:name="_Toc2000412"/>
      <w:bookmarkStart w:id="186" w:name="_Toc246997098"/>
      <w:bookmarkStart w:id="187" w:name="_Toc152042576"/>
      <w:bookmarkStart w:id="188" w:name="_Toc179632807"/>
      <w:bookmarkStart w:id="189" w:name="_Toc246996355"/>
      <w:bookmarkStart w:id="190" w:name="_Toc507320039"/>
      <w:bookmarkStart w:id="191" w:name="_Toc247085873"/>
      <w:bookmarkStart w:id="192" w:name="_Toc152045787"/>
      <w:bookmarkStart w:id="193" w:name="_Toc144974856"/>
    </w:p>
    <w:tbl>
      <w:tblPr>
        <w:tblStyle w:val="43"/>
        <w:tblW w:w="10040" w:type="dxa"/>
        <w:tblInd w:w="-9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960"/>
        <w:gridCol w:w="7280"/>
        <w:gridCol w:w="58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b/>
                <w:bCs/>
                <w:i w:val="0"/>
                <w:iCs w:val="0"/>
                <w:color w:val="000000"/>
                <w:kern w:val="0"/>
                <w:sz w:val="20"/>
                <w:szCs w:val="20"/>
                <w:u w:val="none"/>
                <w:lang w:val="en-US" w:eastAsia="zh-CN" w:bidi="ar"/>
              </w:rPr>
              <w:t>序号</w:t>
            </w:r>
          </w:p>
        </w:tc>
        <w:tc>
          <w:tcPr>
            <w:tcW w:w="96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b/>
                <w:bCs/>
                <w:i w:val="0"/>
                <w:iCs w:val="0"/>
                <w:color w:val="000000"/>
                <w:kern w:val="0"/>
                <w:sz w:val="20"/>
                <w:szCs w:val="20"/>
                <w:u w:val="none"/>
                <w:lang w:val="en-US" w:eastAsia="zh-CN" w:bidi="ar"/>
              </w:rPr>
              <w:t>服务项目</w:t>
            </w:r>
          </w:p>
        </w:tc>
        <w:tc>
          <w:tcPr>
            <w:tcW w:w="72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b/>
                <w:bCs/>
                <w:i w:val="0"/>
                <w:iCs w:val="0"/>
                <w:color w:val="000000"/>
                <w:kern w:val="0"/>
                <w:sz w:val="20"/>
                <w:szCs w:val="20"/>
                <w:u w:val="none"/>
                <w:lang w:val="en-US" w:eastAsia="zh-CN" w:bidi="ar"/>
              </w:rPr>
              <w:t>服务内容</w:t>
            </w:r>
          </w:p>
        </w:tc>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b/>
                <w:bCs/>
                <w:i w:val="0"/>
                <w:iCs w:val="0"/>
                <w:color w:val="000000"/>
                <w:kern w:val="0"/>
                <w:sz w:val="20"/>
                <w:szCs w:val="20"/>
                <w:u w:val="none"/>
                <w:lang w:val="en-US" w:eastAsia="zh-CN" w:bidi="ar"/>
              </w:rPr>
              <w:t>单位</w:t>
            </w:r>
          </w:p>
        </w:tc>
        <w:tc>
          <w:tcPr>
            <w:tcW w:w="64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1</w:t>
            </w:r>
          </w:p>
        </w:tc>
        <w:tc>
          <w:tcPr>
            <w:tcW w:w="96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安全管理体系建设服务</w:t>
            </w:r>
          </w:p>
        </w:tc>
        <w:tc>
          <w:tcPr>
            <w:tcW w:w="7280" w:type="dxa"/>
            <w:vAlign w:val="center"/>
          </w:tcPr>
          <w:p>
            <w:pPr>
              <w:keepNext w:val="0"/>
              <w:keepLines w:val="0"/>
              <w:widowControl/>
              <w:suppressLineNumbers w:val="0"/>
              <w:jc w:val="left"/>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参照国家及行业相关政策要求以及国内国际权威安全管理体系标准，结合工作实际，配合业主单位完善和修订网络安全制度、应急预案、个人信息管理办法等相关安全管理制度，完善安全管理体系，并对制度的可实施性、可操作性提出相关合理建议。</w:t>
            </w:r>
          </w:p>
        </w:tc>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次</w:t>
            </w:r>
          </w:p>
        </w:tc>
        <w:tc>
          <w:tcPr>
            <w:tcW w:w="64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2</w:t>
            </w:r>
          </w:p>
        </w:tc>
        <w:tc>
          <w:tcPr>
            <w:tcW w:w="96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网络安全等保测评服务</w:t>
            </w:r>
          </w:p>
        </w:tc>
        <w:tc>
          <w:tcPr>
            <w:tcW w:w="7280" w:type="dxa"/>
            <w:vAlign w:val="center"/>
          </w:tcPr>
          <w:p>
            <w:pPr>
              <w:keepNext w:val="0"/>
              <w:keepLines w:val="0"/>
              <w:widowControl/>
              <w:suppressLineNumbers w:val="0"/>
              <w:jc w:val="left"/>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依据《网络安全等级保护》要求，对信息系统进行等级保护测评，出具测评报告。协助业主单位对需要备案的信息系统完成定级备案，协调和邀请专家对所有需要定级备案的信息系统进行定级报告评审；针对信息系统进行差距分析，出具可实施的《差距分析报告与整改方案》，协助业主开展整改工作，确保顺利通过等保；协助开展等保测评工作，根据等保测评结果，制订合理的整改方案，并提供多种形式的技术响应和支持协助落实。</w:t>
            </w:r>
          </w:p>
        </w:tc>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次</w:t>
            </w:r>
          </w:p>
        </w:tc>
        <w:tc>
          <w:tcPr>
            <w:tcW w:w="64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3</w:t>
            </w:r>
          </w:p>
        </w:tc>
        <w:tc>
          <w:tcPr>
            <w:tcW w:w="96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渗透测试服务</w:t>
            </w:r>
          </w:p>
        </w:tc>
        <w:tc>
          <w:tcPr>
            <w:tcW w:w="7280" w:type="dxa"/>
            <w:vAlign w:val="center"/>
          </w:tcPr>
          <w:p>
            <w:pPr>
              <w:keepNext w:val="0"/>
              <w:keepLines w:val="0"/>
              <w:widowControl/>
              <w:suppressLineNumbers w:val="0"/>
              <w:jc w:val="left"/>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1. 按甲方要求，对业务系统开展模拟攻击测试；2. 模拟攻击能力+人工渗透测试，按业务系统分组挖掘设计及配置漏洞；3. 输出报告，详述测试目标、方法、漏洞及风险防控建议；4. 针对测试发现的漏洞提供3轮复测服务，确保整改到位。</w:t>
            </w:r>
          </w:p>
        </w:tc>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次</w:t>
            </w:r>
          </w:p>
        </w:tc>
        <w:tc>
          <w:tcPr>
            <w:tcW w:w="64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4</w:t>
            </w:r>
          </w:p>
        </w:tc>
        <w:tc>
          <w:tcPr>
            <w:tcW w:w="96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风险评估服务</w:t>
            </w:r>
          </w:p>
        </w:tc>
        <w:tc>
          <w:tcPr>
            <w:tcW w:w="7280" w:type="dxa"/>
            <w:vAlign w:val="center"/>
          </w:tcPr>
          <w:p>
            <w:pPr>
              <w:keepNext w:val="0"/>
              <w:keepLines w:val="0"/>
              <w:widowControl/>
              <w:suppressLineNumbers w:val="0"/>
              <w:jc w:val="left"/>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1. 针对关联业务系统开展全面风险评估，覆盖网络层、主机层、应用层、数据层；2. 采用资产测绘、漏洞扫描、配置核查、威胁情报关联等多维度评估方法，识别高危风险点；3. 结合行业安全标准及业务特点，对风险进行量化分级（高/中/低），制定差异化整改优先级；4. 输出《全面风险评估总报告》及分集群风险明细，包含风险描述、影响范围、整改措施及实施建议；5. 配合完成风险整改效果验证，提供1次免费复评服务。</w:t>
            </w:r>
          </w:p>
        </w:tc>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次</w:t>
            </w:r>
          </w:p>
        </w:tc>
        <w:tc>
          <w:tcPr>
            <w:tcW w:w="64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5</w:t>
            </w:r>
          </w:p>
        </w:tc>
        <w:tc>
          <w:tcPr>
            <w:tcW w:w="96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安全运维托管服务</w:t>
            </w:r>
          </w:p>
        </w:tc>
        <w:tc>
          <w:tcPr>
            <w:tcW w:w="7280" w:type="dxa"/>
            <w:vAlign w:val="center"/>
          </w:tcPr>
          <w:p>
            <w:pPr>
              <w:keepNext w:val="0"/>
              <w:keepLines w:val="0"/>
              <w:widowControl/>
              <w:suppressLineNumbers w:val="0"/>
              <w:jc w:val="left"/>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提供7×24小时安全监控、日志分析、威胁处置、安全设备运维等托管服务。</w:t>
            </w:r>
          </w:p>
        </w:tc>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次</w:t>
            </w:r>
          </w:p>
        </w:tc>
        <w:tc>
          <w:tcPr>
            <w:tcW w:w="64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6</w:t>
            </w:r>
          </w:p>
        </w:tc>
        <w:tc>
          <w:tcPr>
            <w:tcW w:w="96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网络安全加固服务</w:t>
            </w:r>
          </w:p>
        </w:tc>
        <w:tc>
          <w:tcPr>
            <w:tcW w:w="7280" w:type="dxa"/>
            <w:vAlign w:val="center"/>
          </w:tcPr>
          <w:p>
            <w:pPr>
              <w:keepNext w:val="0"/>
              <w:keepLines w:val="0"/>
              <w:widowControl/>
              <w:suppressLineNumbers w:val="0"/>
              <w:jc w:val="left"/>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根据业主需求进行渗透测试、风险评估、基线核查、WEB扫描、漏洞扫描、基线检查、弱口令、恶意代码检查、日志审计等。提供安全漏洞修复、安全基线配置、网络及主机安全策略优化等服务，若需外单位协助整改，提供整改细则说明及相关配合工作。按需为指定应用系统提供必要的网络安全设备支撑服务，防火墙，IPS，EDR主机安全，日志审计，数据库审计， 堡垒机等。</w:t>
            </w:r>
          </w:p>
        </w:tc>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次</w:t>
            </w:r>
          </w:p>
        </w:tc>
        <w:tc>
          <w:tcPr>
            <w:tcW w:w="64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7</w:t>
            </w:r>
          </w:p>
        </w:tc>
        <w:tc>
          <w:tcPr>
            <w:tcW w:w="96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应急响应服务</w:t>
            </w:r>
          </w:p>
        </w:tc>
        <w:tc>
          <w:tcPr>
            <w:tcW w:w="7280" w:type="dxa"/>
            <w:vAlign w:val="center"/>
          </w:tcPr>
          <w:p>
            <w:pPr>
              <w:keepNext w:val="0"/>
              <w:keepLines w:val="0"/>
              <w:widowControl/>
              <w:suppressLineNumbers w:val="0"/>
              <w:jc w:val="left"/>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提供重大时刻安全保障；对业主网站提供7*24小时实时监测服务；当业主单位发生网络安全事件或事件预警时，应半小时响应，并根据情况派出安全专家团队开展事件响应工作，制订应急处置方案，现场排查处理安全事件，保障业务系统的连续性，阻止和减小安全事件带来的负面影响；专家团队必须第一时间通过电话进行远程指导，一小时内到达现场；事后完善相关过程资料。</w:t>
            </w:r>
          </w:p>
        </w:tc>
        <w:tc>
          <w:tcPr>
            <w:tcW w:w="58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次</w:t>
            </w:r>
          </w:p>
        </w:tc>
        <w:tc>
          <w:tcPr>
            <w:tcW w:w="640" w:type="dxa"/>
            <w:vAlign w:val="center"/>
          </w:tcPr>
          <w:p>
            <w:pPr>
              <w:keepNext w:val="0"/>
              <w:keepLines w:val="0"/>
              <w:widowControl/>
              <w:suppressLineNumbers w:val="0"/>
              <w:jc w:val="center"/>
              <w:textAlignment w:val="center"/>
              <w:rPr>
                <w:rFonts w:hint="eastAsia" w:ascii="宋体" w:hAnsi="宋体" w:cs="宋体"/>
                <w:highlight w:val="none"/>
                <w:vertAlign w:val="baseline"/>
              </w:rPr>
            </w:pPr>
            <w:r>
              <w:rPr>
                <w:rFonts w:hint="eastAsia" w:ascii="宋体" w:hAnsi="宋体" w:eastAsia="宋体" w:cs="宋体"/>
                <w:i w:val="0"/>
                <w:iCs w:val="0"/>
                <w:color w:val="000000"/>
                <w:kern w:val="0"/>
                <w:sz w:val="20"/>
                <w:szCs w:val="20"/>
                <w:u w:val="none"/>
                <w:lang w:val="en-US" w:eastAsia="zh-CN" w:bidi="ar"/>
              </w:rPr>
              <w:t>5</w:t>
            </w:r>
          </w:p>
        </w:tc>
      </w:tr>
    </w:tbl>
    <w:p>
      <w:pPr>
        <w:pStyle w:val="2"/>
        <w:spacing w:line="360" w:lineRule="auto"/>
        <w:ind w:firstLine="400" w:firstLineChars="200"/>
        <w:jc w:val="center"/>
        <w:outlineLvl w:val="0"/>
        <w:rPr>
          <w:rFonts w:hint="eastAsia" w:hAnsi="宋体" w:cs="方正小标宋_GBK"/>
          <w:b/>
          <w:sz w:val="44"/>
          <w:szCs w:val="44"/>
          <w:highlight w:val="none"/>
        </w:rPr>
      </w:pPr>
      <w:r>
        <w:rPr>
          <w:rFonts w:hint="eastAsia" w:ascii="宋体" w:hAnsi="宋体" w:cs="宋体"/>
          <w:highlight w:val="none"/>
        </w:rPr>
        <w:br w:type="page"/>
      </w:r>
      <w:bookmarkStart w:id="194" w:name="_Toc17525"/>
      <w:bookmarkStart w:id="195" w:name="_Toc9951"/>
      <w:r>
        <w:rPr>
          <w:rFonts w:hint="eastAsia" w:ascii="宋体" w:hAnsi="宋体" w:cs="宋体"/>
          <w:b/>
          <w:bCs/>
          <w:kern w:val="44"/>
          <w:sz w:val="44"/>
          <w:szCs w:val="44"/>
          <w:highlight w:val="none"/>
        </w:rPr>
        <w:t xml:space="preserve">第五章  </w:t>
      </w:r>
      <w:bookmarkEnd w:id="183"/>
      <w:bookmarkEnd w:id="184"/>
      <w:bookmarkEnd w:id="185"/>
      <w:r>
        <w:rPr>
          <w:rFonts w:hint="eastAsia" w:ascii="宋体" w:hAnsi="宋体" w:cs="宋体"/>
          <w:b/>
          <w:bCs/>
          <w:kern w:val="44"/>
          <w:sz w:val="44"/>
          <w:szCs w:val="44"/>
          <w:highlight w:val="none"/>
        </w:rPr>
        <w:t>合同范本</w:t>
      </w:r>
      <w:bookmarkEnd w:id="194"/>
      <w:bookmarkEnd w:id="195"/>
    </w:p>
    <w:p>
      <w:pPr>
        <w:jc w:val="center"/>
        <w:rPr>
          <w:rFonts w:hint="eastAsia" w:ascii="仿宋" w:hAnsi="仿宋" w:eastAsia="仿宋" w:cs="仿宋"/>
          <w:szCs w:val="21"/>
          <w:highlight w:val="none"/>
        </w:rPr>
      </w:pPr>
    </w:p>
    <w:p>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详见随竞争性比选文件一同发布的附件合同</w:t>
      </w:r>
    </w:p>
    <w:p>
      <w:pPr>
        <w:rPr>
          <w:rFonts w:hint="eastAsia" w:ascii="仿宋" w:hAnsi="仿宋" w:eastAsia="仿宋" w:cs="仿宋"/>
          <w:b/>
          <w:bCs/>
          <w:szCs w:val="21"/>
          <w:highlight w:val="none"/>
        </w:rPr>
      </w:pPr>
      <w:r>
        <w:rPr>
          <w:rFonts w:hint="eastAsia" w:ascii="仿宋" w:hAnsi="仿宋" w:eastAsia="仿宋" w:cs="仿宋"/>
          <w:b/>
          <w:bCs/>
          <w:szCs w:val="21"/>
          <w:highlight w:val="none"/>
        </w:rPr>
        <w:br w:type="page"/>
      </w:r>
    </w:p>
    <w:p>
      <w:pPr>
        <w:rPr>
          <w:b/>
          <w:bCs/>
          <w:szCs w:val="15"/>
          <w:highlight w:val="none"/>
        </w:rPr>
      </w:pPr>
      <w:r>
        <w:rPr>
          <w:rFonts w:hint="eastAsia"/>
          <w:b/>
          <w:bCs/>
          <w:szCs w:val="15"/>
          <w:highlight w:val="none"/>
        </w:rPr>
        <w:t>附件：履约保函（如有）</w:t>
      </w:r>
    </w:p>
    <w:p>
      <w:pPr>
        <w:spacing w:line="360" w:lineRule="auto"/>
        <w:jc w:val="center"/>
        <w:rPr>
          <w:rFonts w:hint="eastAsia" w:ascii="宋体" w:hAnsi="宋体" w:cs="宋体"/>
          <w:szCs w:val="21"/>
          <w:highlight w:val="none"/>
        </w:rPr>
      </w:pPr>
      <w:r>
        <w:rPr>
          <w:rFonts w:hint="eastAsia" w:ascii="宋体" w:hAnsi="宋体" w:cs="宋体"/>
          <w:szCs w:val="21"/>
          <w:highlight w:val="none"/>
        </w:rPr>
        <w:t>履约保函示范文本</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申请人：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受益人：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开立人：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w:t>
      </w:r>
    </w:p>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（受益人名称）：</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鉴于</w:t>
      </w:r>
      <w:r>
        <w:rPr>
          <w:rFonts w:hint="eastAsia" w:ascii="宋体" w:hAnsi="宋体" w:cs="宋体"/>
          <w:szCs w:val="21"/>
          <w:highlight w:val="none"/>
          <w:u w:val="single"/>
        </w:rPr>
        <w:t xml:space="preserve">           </w:t>
      </w:r>
      <w:r>
        <w:rPr>
          <w:rFonts w:hint="eastAsia" w:ascii="宋体" w:hAnsi="宋体" w:cs="宋体"/>
          <w:szCs w:val="21"/>
          <w:highlight w:val="none"/>
        </w:rPr>
        <w:t xml:space="preserve"> （以下简称“受益人”）与</w:t>
      </w:r>
      <w:r>
        <w:rPr>
          <w:rFonts w:hint="eastAsia" w:ascii="宋体" w:hAnsi="宋体" w:cs="宋体"/>
          <w:szCs w:val="21"/>
          <w:highlight w:val="none"/>
          <w:u w:val="single"/>
        </w:rPr>
        <w:t xml:space="preserve">            </w:t>
      </w:r>
      <w:r>
        <w:rPr>
          <w:rFonts w:hint="eastAsia" w:ascii="宋体" w:hAnsi="宋体" w:cs="宋体"/>
          <w:szCs w:val="21"/>
          <w:highlight w:val="none"/>
        </w:rPr>
        <w:t>（以下简称“申请人”）就项目</w:t>
      </w:r>
      <w:r>
        <w:rPr>
          <w:rFonts w:hint="eastAsia" w:ascii="宋体" w:hAnsi="宋体" w:cs="宋体"/>
          <w:szCs w:val="21"/>
          <w:highlight w:val="none"/>
          <w:u w:val="single"/>
        </w:rPr>
        <w:t xml:space="preserve">          </w:t>
      </w:r>
      <w:r>
        <w:rPr>
          <w:rFonts w:hint="eastAsia" w:ascii="宋体" w:hAnsi="宋体" w:cs="宋体"/>
          <w:szCs w:val="21"/>
          <w:highlight w:val="none"/>
        </w:rPr>
        <w:t>（以下简称“本项目”）服务和有关事项协商一致，根据本项目中标通知书、竞争性比选文件和竞争性比选响应文件，了解到申请人为本项目项下之乙方、受益人为本项目项下之甲方，基于申请人的请求，我方（即“开立人”）同意就申请人履行本项目依据中标通知书、竞争性比选文件和竞争性比选响应文件签订的</w:t>
      </w:r>
      <w:r>
        <w:rPr>
          <w:rFonts w:hint="eastAsia" w:ascii="宋体" w:hAnsi="宋体" w:cs="宋体"/>
          <w:szCs w:val="21"/>
          <w:highlight w:val="none"/>
          <w:u w:val="single"/>
        </w:rPr>
        <w:t>《        》</w:t>
      </w:r>
      <w:r>
        <w:rPr>
          <w:rFonts w:hint="eastAsia" w:ascii="宋体" w:hAnsi="宋体" w:cs="宋体"/>
          <w:szCs w:val="21"/>
          <w:highlight w:val="none"/>
        </w:rPr>
        <w:t>（以下简称“基础合同”）约定的义务，向贵方提供不可撤销、不可转让的见索即付保函（以下简称“本保函”）。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一、本保函担保范围：申请人未按照基础合同的约定履行义务，应当向受益人承担的违约责任和赔偿因此造成的损失、利息、律师费、诉讼费用等实现债权的费用。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二、本保函担保金额最高不超过人民币（大写）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三、</w:t>
      </w:r>
      <w:r>
        <w:rPr>
          <w:rFonts w:hint="eastAsia" w:ascii="宋体" w:hAnsi="宋体" w:cs="宋体"/>
          <w:spacing w:val="6"/>
          <w:szCs w:val="21"/>
          <w:highlight w:val="none"/>
        </w:rPr>
        <w:t>本保函有效期自受益人与申请人签订的合同生效之日</w:t>
      </w:r>
      <w:r>
        <w:rPr>
          <w:rFonts w:hint="eastAsia" w:ascii="宋体" w:hAnsi="宋体" w:cs="宋体"/>
          <w:szCs w:val="21"/>
          <w:highlight w:val="none"/>
        </w:rPr>
        <w:t>起至合同约定的服务期限截止日后</w:t>
      </w:r>
      <w:r>
        <w:rPr>
          <w:rFonts w:hint="eastAsia" w:ascii="宋体" w:hAnsi="宋体" w:cs="宋体"/>
          <w:szCs w:val="21"/>
          <w:highlight w:val="none"/>
          <w:u w:val="single"/>
        </w:rPr>
        <w:t xml:space="preserve">  </w:t>
      </w:r>
      <w:r>
        <w:rPr>
          <w:rFonts w:hint="eastAsia" w:ascii="宋体" w:hAnsi="宋体" w:cs="宋体"/>
          <w:szCs w:val="21"/>
          <w:highlight w:val="none"/>
        </w:rPr>
        <w:t>天，最迟不超过</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四、我方承诺，在收到受益人发来的书面索赔通知和本保函原件后的</w:t>
      </w:r>
      <w:r>
        <w:rPr>
          <w:rFonts w:hint="eastAsia" w:ascii="宋体" w:hAnsi="宋体" w:cs="宋体"/>
          <w:szCs w:val="21"/>
          <w:highlight w:val="none"/>
          <w:u w:val="single"/>
        </w:rPr>
        <w:t xml:space="preserve">  </w:t>
      </w:r>
      <w:r>
        <w:rPr>
          <w:rFonts w:hint="eastAsia" w:ascii="宋体" w:hAnsi="宋体" w:cs="宋体"/>
          <w:szCs w:val="21"/>
          <w:highlight w:val="none"/>
        </w:rPr>
        <w:t>个工作日内无条件支付至受益人指定账户，前述书面索赔通知即为付款要求之单据，且应满足以下要求：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（1）索赔通知到达的日期在本保函的有效期内；</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（2）载明要求支付的金额；</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（3）载明申请人违反合同义务的条款和内容；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（4）声明不存在合同文件约定或我国法律规定免除申请人或开立人支付责任的情形；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（5）索赔通知应在本保函有效期内到达的地址是：</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受益人发出的书面索赔通知应由其为鉴明受益人法定代表人（负责人）或授权代理人签名或盖个人名章并加盖公章。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五、本保函项下的权利不得转让，不得设定担保。贵方未经我方书面同意转让本保函或其项下任何权利，对我方不发生法律效力。</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六、与本保函有关的基础合同不成立、不生效、无效、被撤销、被解除，不影响本保函的独立有效。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八、本保函适用的法律为中华人民共和国法律，争议裁判管辖地为中华人民共和国</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九、本保函自我方法定代表人（单位负责人）或授权代表签名或盖个人名章并加盖公章或合同专用章之日起生效。</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十、本保函在重庆市辖区范围内的核验地点：</w:t>
      </w:r>
      <w:r>
        <w:rPr>
          <w:rFonts w:hint="eastAsia" w:ascii="宋体" w:hAnsi="宋体" w:cs="宋体"/>
          <w:szCs w:val="21"/>
          <w:highlight w:val="none"/>
          <w:u w:val="single"/>
        </w:rPr>
        <w:t xml:space="preserve">          </w:t>
      </w:r>
      <w:r>
        <w:rPr>
          <w:rFonts w:hint="eastAsia" w:ascii="宋体" w:hAnsi="宋体" w:cs="宋体"/>
          <w:szCs w:val="21"/>
          <w:highlight w:val="none"/>
        </w:rPr>
        <w:t>；核验方式：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开 立 人： </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法定代表人（或授权代表）：</w:t>
      </w:r>
      <w:r>
        <w:rPr>
          <w:rFonts w:hint="eastAsia" w:ascii="宋体" w:hAnsi="宋体" w:cs="宋体"/>
          <w:szCs w:val="21"/>
          <w:highlight w:val="none"/>
          <w:u w:val="single"/>
        </w:rPr>
        <w:t xml:space="preserve">        </w:t>
      </w:r>
      <w:r>
        <w:rPr>
          <w:rFonts w:hint="eastAsia" w:ascii="宋体" w:hAnsi="宋体" w:cs="宋体"/>
          <w:szCs w:val="21"/>
          <w:highlight w:val="none"/>
        </w:rPr>
        <w:t>（签名或盖个人名章）</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p>
    <w:p>
      <w:pPr>
        <w:jc w:val="right"/>
        <w:rPr>
          <w:rFonts w:hint="eastAsia" w:ascii="宋体" w:hAnsi="宋体" w:cs="宋体"/>
          <w:szCs w:val="21"/>
          <w:highlight w:val="none"/>
        </w:rPr>
      </w:pPr>
    </w:p>
    <w:p>
      <w:pPr>
        <w:wordWrap w:val="0"/>
        <w:jc w:val="right"/>
        <w:rPr>
          <w:rFonts w:hint="eastAsia" w:ascii="宋体" w:hAnsi="宋体" w:cs="宋体"/>
          <w:szCs w:val="21"/>
          <w:highlight w:val="none"/>
        </w:rPr>
      </w:pPr>
      <w:r>
        <w:rPr>
          <w:rFonts w:hint="eastAsia" w:ascii="宋体" w:hAnsi="宋体" w:cs="宋体"/>
          <w:szCs w:val="21"/>
          <w:highlight w:val="none"/>
        </w:rPr>
        <w:t>开立时间：    年    月    日</w:t>
      </w:r>
    </w:p>
    <w:p>
      <w:pPr>
        <w:rPr>
          <w:rFonts w:hint="eastAsia" w:ascii="宋体" w:hAnsi="宋体" w:cs="宋体"/>
          <w:szCs w:val="21"/>
          <w:highlight w:val="none"/>
        </w:rPr>
      </w:pPr>
      <w:r>
        <w:rPr>
          <w:rFonts w:hint="eastAsia" w:ascii="宋体" w:hAnsi="宋体" w:cs="宋体"/>
          <w:szCs w:val="21"/>
          <w:highlight w:val="none"/>
        </w:rPr>
        <w:br w:type="page"/>
      </w:r>
    </w:p>
    <w:p>
      <w:pPr>
        <w:rPr>
          <w:rFonts w:hint="eastAsia" w:ascii="宋体" w:hAnsi="宋体" w:cs="宋体"/>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96" w:name="_Toc513633965"/>
    </w:p>
    <w:p>
      <w:pPr>
        <w:rPr>
          <w:rFonts w:hint="eastAsia" w:ascii="宋体" w:hAnsi="宋体" w:cs="宋体"/>
          <w:highlight w:val="none"/>
        </w:rPr>
      </w:pPr>
    </w:p>
    <w:p>
      <w:pPr>
        <w:pStyle w:val="3"/>
        <w:spacing w:before="0" w:after="0" w:line="360" w:lineRule="auto"/>
        <w:jc w:val="center"/>
        <w:rPr>
          <w:rFonts w:hint="eastAsia" w:ascii="宋体" w:hAnsi="宋体" w:cs="宋体"/>
          <w:highlight w:val="none"/>
        </w:rPr>
      </w:pPr>
      <w:bookmarkStart w:id="197" w:name="_Toc514858709"/>
      <w:bookmarkStart w:id="198" w:name="_Toc27626"/>
      <w:bookmarkStart w:id="199" w:name="_Toc11571"/>
      <w:bookmarkStart w:id="200" w:name="_Toc2000413"/>
      <w:r>
        <w:rPr>
          <w:rFonts w:hint="eastAsia" w:ascii="宋体" w:hAnsi="宋体" w:cs="宋体"/>
          <w:highlight w:val="none"/>
        </w:rPr>
        <w:t>第六章  竞争性比选响应文件格式</w:t>
      </w:r>
      <w:bookmarkEnd w:id="196"/>
      <w:bookmarkEnd w:id="197"/>
      <w:bookmarkEnd w:id="198"/>
      <w:bookmarkEnd w:id="199"/>
      <w:bookmarkEnd w:id="200"/>
    </w:p>
    <w:p>
      <w:pPr>
        <w:rPr>
          <w:rFonts w:hint="eastAsia" w:ascii="宋体" w:hAnsi="宋体" w:cs="宋体"/>
          <w:highlight w:val="none"/>
        </w:rPr>
      </w:pPr>
    </w:p>
    <w:p>
      <w:pPr>
        <w:rPr>
          <w:rFonts w:hint="eastAsia" w:ascii="宋体" w:hAnsi="宋体" w:cs="宋体"/>
          <w:highlight w:val="none"/>
        </w:rPr>
        <w:sectPr>
          <w:pgSz w:w="11906" w:h="16838"/>
          <w:pgMar w:top="1440" w:right="1803" w:bottom="1440" w:left="1803" w:header="851" w:footer="992" w:gutter="0"/>
          <w:cols w:space="720" w:num="1"/>
          <w:titlePg/>
          <w:docGrid w:type="lines" w:linePitch="319" w:charSpace="0"/>
        </w:sectPr>
      </w:pPr>
    </w:p>
    <w:p>
      <w:pPr>
        <w:rPr>
          <w:rFonts w:hint="eastAsia" w:ascii="宋体" w:hAnsi="宋体" w:cs="宋体"/>
          <w:highlight w:val="none"/>
        </w:rPr>
      </w:pPr>
    </w:p>
    <w:p>
      <w:pPr>
        <w:jc w:val="center"/>
        <w:rPr>
          <w:rFonts w:hint="eastAsia" w:ascii="宋体" w:hAnsi="宋体" w:cs="宋体"/>
          <w:sz w:val="52"/>
          <w:szCs w:val="52"/>
          <w:highlight w:val="none"/>
          <w:u w:val="single"/>
        </w:rPr>
      </w:pPr>
      <w:bookmarkStart w:id="201" w:name="_Toc513633967"/>
      <w:bookmarkStart w:id="202" w:name="_Toc514858710"/>
      <w:bookmarkStart w:id="203" w:name="_Toc513646738"/>
      <w:r>
        <w:rPr>
          <w:rFonts w:hint="eastAsia" w:ascii="宋体" w:hAnsi="宋体" w:cs="宋体"/>
          <w:highlight w:val="none"/>
          <w:u w:val="single"/>
        </w:rPr>
        <w:t xml:space="preserve">                           </w:t>
      </w:r>
      <w:r>
        <w:rPr>
          <w:rFonts w:hint="eastAsia" w:ascii="宋体" w:hAnsi="宋体" w:cs="宋体"/>
          <w:sz w:val="52"/>
          <w:szCs w:val="52"/>
          <w:highlight w:val="none"/>
          <w:u w:val="single"/>
        </w:rPr>
        <w:t>（项目名称）</w:t>
      </w:r>
      <w:bookmarkEnd w:id="201"/>
      <w:bookmarkEnd w:id="202"/>
      <w:bookmarkEnd w:id="203"/>
      <w:r>
        <w:rPr>
          <w:rFonts w:hint="eastAsia" w:ascii="宋体" w:hAnsi="宋体" w:cs="宋体"/>
          <w:sz w:val="52"/>
          <w:szCs w:val="52"/>
          <w:highlight w:val="none"/>
          <w:u w:val="single"/>
        </w:rPr>
        <w:t xml:space="preserve"> </w:t>
      </w:r>
    </w:p>
    <w:p>
      <w:pPr>
        <w:rPr>
          <w:rFonts w:hint="eastAsia" w:ascii="宋体" w:hAnsi="宋体" w:cs="宋体"/>
          <w:sz w:val="20"/>
          <w:szCs w:val="20"/>
          <w:highlight w:val="none"/>
        </w:rPr>
      </w:pPr>
    </w:p>
    <w:p>
      <w:pPr>
        <w:jc w:val="center"/>
        <w:rPr>
          <w:rFonts w:hint="eastAsia" w:ascii="宋体" w:hAnsi="宋体" w:cs="宋体"/>
          <w:sz w:val="44"/>
          <w:szCs w:val="44"/>
          <w:highlight w:val="none"/>
        </w:rPr>
      </w:pPr>
      <w:r>
        <w:rPr>
          <w:rFonts w:hint="eastAsia" w:ascii="宋体" w:hAnsi="宋体" w:cs="宋体"/>
          <w:sz w:val="44"/>
          <w:szCs w:val="44"/>
          <w:highlight w:val="non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b/>
          <w:sz w:val="72"/>
          <w:szCs w:val="44"/>
          <w:highlight w:val="none"/>
        </w:rPr>
      </w:pPr>
      <w:r>
        <w:rPr>
          <w:rFonts w:hint="eastAsia" w:ascii="宋体" w:hAnsi="宋体" w:cs="宋体"/>
          <w:b/>
          <w:sz w:val="72"/>
          <w:szCs w:val="44"/>
          <w:highlight w:val="none"/>
        </w:rPr>
        <w:t>竞争性比选响应文件</w:t>
      </w:r>
    </w:p>
    <w:p>
      <w:pPr>
        <w:jc w:val="center"/>
        <w:rPr>
          <w:rFonts w:hint="eastAsia" w:ascii="宋体" w:hAnsi="宋体" w:cs="宋体"/>
          <w:b/>
          <w:sz w:val="32"/>
          <w:szCs w:val="32"/>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28"/>
        <w:rPr>
          <w:highlight w:val="none"/>
        </w:rPr>
      </w:pPr>
    </w:p>
    <w:p>
      <w:pPr>
        <w:rPr>
          <w:highlight w:val="none"/>
        </w:rPr>
      </w:pPr>
    </w:p>
    <w:p>
      <w:pPr>
        <w:pStyle w:val="28"/>
        <w:rPr>
          <w:highlight w:val="none"/>
        </w:rPr>
      </w:pPr>
    </w:p>
    <w:p>
      <w:pPr>
        <w:rPr>
          <w:highlight w:val="none"/>
        </w:rPr>
      </w:pPr>
    </w:p>
    <w:p>
      <w:pPr>
        <w:pStyle w:val="28"/>
        <w:rPr>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报价人：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（盖单位公章）</w:t>
      </w:r>
    </w:p>
    <w:p>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（签名或盖章）</w:t>
      </w:r>
    </w:p>
    <w:p>
      <w:pPr>
        <w:jc w:val="center"/>
        <w:rPr>
          <w:rFonts w:hint="eastAsia" w:ascii="宋体" w:hAnsi="宋体" w:cs="宋体"/>
          <w:sz w:val="20"/>
          <w:szCs w:val="20"/>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bookmarkEnd w:id="186"/>
    <w:bookmarkEnd w:id="187"/>
    <w:bookmarkEnd w:id="188"/>
    <w:bookmarkEnd w:id="189"/>
    <w:bookmarkEnd w:id="190"/>
    <w:bookmarkEnd w:id="191"/>
    <w:bookmarkEnd w:id="192"/>
    <w:bookmarkEnd w:id="193"/>
    <w:p>
      <w:pPr>
        <w:keepNext/>
        <w:keepLines/>
        <w:spacing w:line="416" w:lineRule="auto"/>
        <w:jc w:val="center"/>
        <w:rPr>
          <w:rFonts w:hint="eastAsia" w:ascii="宋体" w:hAnsi="宋体" w:cs="宋体"/>
          <w:sz w:val="32"/>
          <w:szCs w:val="40"/>
          <w:highlight w:val="none"/>
        </w:rPr>
      </w:pPr>
      <w:bookmarkStart w:id="204" w:name="_Toc1368"/>
      <w:bookmarkStart w:id="205" w:name="_Toc28780"/>
      <w:bookmarkStart w:id="206" w:name="_Toc11329273"/>
      <w:bookmarkStart w:id="207" w:name="_Toc5459"/>
      <w:r>
        <w:rPr>
          <w:rFonts w:hint="eastAsia" w:ascii="宋体" w:hAnsi="宋体" w:cs="宋体"/>
          <w:sz w:val="32"/>
          <w:szCs w:val="40"/>
          <w:highlight w:val="none"/>
        </w:rPr>
        <w:t>目    录</w:t>
      </w:r>
      <w:bookmarkEnd w:id="204"/>
      <w:bookmarkEnd w:id="205"/>
      <w:bookmarkEnd w:id="206"/>
      <w:bookmarkEnd w:id="207"/>
    </w:p>
    <w:p>
      <w:pPr>
        <w:spacing w:line="400" w:lineRule="exact"/>
        <w:rPr>
          <w:rFonts w:hint="eastAsia" w:ascii="宋体" w:hAnsi="宋体" w:cs="宋体"/>
          <w:highlight w:val="none"/>
        </w:rPr>
      </w:pPr>
      <w:r>
        <w:rPr>
          <w:rFonts w:hint="eastAsia" w:ascii="宋体" w:hAnsi="宋体" w:cs="宋体"/>
          <w:highlight w:val="none"/>
        </w:rPr>
        <w:t>一、竞争性比选响应声明书</w:t>
      </w:r>
    </w:p>
    <w:p>
      <w:pPr>
        <w:spacing w:line="400" w:lineRule="exact"/>
        <w:rPr>
          <w:rFonts w:hint="eastAsia" w:ascii="宋体" w:hAnsi="宋体" w:cs="宋体"/>
          <w:highlight w:val="none"/>
        </w:rPr>
      </w:pPr>
      <w:r>
        <w:rPr>
          <w:rFonts w:hint="eastAsia" w:ascii="宋体" w:hAnsi="宋体" w:cs="宋体"/>
          <w:highlight w:val="none"/>
        </w:rPr>
        <w:t>二、</w:t>
      </w:r>
      <w:r>
        <w:rPr>
          <w:rFonts w:ascii="宋体" w:hAnsi="宋体" w:cs="宋体"/>
          <w:highlight w:val="none"/>
        </w:rPr>
        <w:t>法定代表人身份证明或法定代表人授权委托书</w:t>
      </w:r>
    </w:p>
    <w:p>
      <w:pPr>
        <w:spacing w:line="400" w:lineRule="exact"/>
        <w:rPr>
          <w:rFonts w:hint="eastAsia" w:ascii="宋体" w:hAnsi="宋体" w:cs="宋体"/>
          <w:highlight w:val="none"/>
        </w:rPr>
      </w:pPr>
      <w:r>
        <w:rPr>
          <w:rFonts w:hint="eastAsia" w:ascii="宋体" w:hAnsi="宋体" w:cs="宋体"/>
          <w:highlight w:val="none"/>
        </w:rPr>
        <w:t>三、报价一览表</w:t>
      </w:r>
    </w:p>
    <w:p>
      <w:pPr>
        <w:spacing w:line="400" w:lineRule="exact"/>
        <w:rPr>
          <w:rFonts w:hint="eastAsia" w:ascii="宋体" w:hAnsi="宋体" w:cs="宋体"/>
          <w:highlight w:val="none"/>
        </w:rPr>
      </w:pPr>
      <w:r>
        <w:rPr>
          <w:rFonts w:hint="eastAsia" w:ascii="宋体" w:hAnsi="宋体" w:cs="宋体"/>
          <w:highlight w:val="none"/>
        </w:rPr>
        <w:t>四、资格审查资料</w:t>
      </w:r>
    </w:p>
    <w:p>
      <w:pPr>
        <w:spacing w:line="400" w:lineRule="exact"/>
        <w:rPr>
          <w:rFonts w:hint="eastAsia" w:ascii="宋体" w:hAnsi="宋体" w:cs="宋体"/>
          <w:szCs w:val="21"/>
          <w:highlight w:val="none"/>
        </w:rPr>
      </w:pPr>
      <w:r>
        <w:rPr>
          <w:rFonts w:hint="eastAsia" w:ascii="宋体" w:hAnsi="宋体" w:cs="宋体"/>
          <w:highlight w:val="none"/>
        </w:rPr>
        <w:t>五、</w:t>
      </w:r>
      <w:r>
        <w:rPr>
          <w:rFonts w:hint="eastAsia" w:ascii="宋体" w:hAnsi="宋体" w:cs="宋体"/>
          <w:szCs w:val="21"/>
          <w:highlight w:val="none"/>
        </w:rPr>
        <w:t>报价人承诺</w:t>
      </w:r>
    </w:p>
    <w:p>
      <w:pPr>
        <w:spacing w:line="400" w:lineRule="exact"/>
        <w:rPr>
          <w:rFonts w:hint="eastAsia" w:ascii="宋体" w:hAnsi="宋体" w:cs="宋体"/>
          <w:szCs w:val="21"/>
          <w:highlight w:val="none"/>
        </w:rPr>
      </w:pPr>
      <w:r>
        <w:rPr>
          <w:rFonts w:hint="eastAsia" w:ascii="宋体" w:hAnsi="宋体" w:cs="宋体"/>
          <w:szCs w:val="21"/>
          <w:highlight w:val="none"/>
        </w:rPr>
        <w:t>六、报价人其他资料</w:t>
      </w: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p>
    <w:p>
      <w:pPr>
        <w:spacing w:line="400" w:lineRule="exact"/>
        <w:rPr>
          <w:rFonts w:hint="eastAsia" w:ascii="宋体" w:hAnsi="宋体" w:cs="宋体"/>
          <w:highlight w:val="none"/>
        </w:rPr>
      </w:pPr>
      <w:r>
        <w:rPr>
          <w:rFonts w:ascii="宋体" w:hAnsi="宋体" w:cs="宋体"/>
          <w:highlight w:val="none"/>
        </w:rPr>
        <w:br w:type="page"/>
      </w:r>
    </w:p>
    <w:p>
      <w:pPr>
        <w:pStyle w:val="4"/>
        <w:numPr>
          <w:ilvl w:val="0"/>
          <w:numId w:val="4"/>
        </w:numPr>
        <w:spacing w:before="0" w:after="0" w:line="360" w:lineRule="auto"/>
        <w:jc w:val="center"/>
        <w:rPr>
          <w:rFonts w:hint="eastAsia" w:ascii="宋体" w:hAnsi="宋体" w:eastAsia="宋体" w:cs="宋体"/>
          <w:sz w:val="28"/>
          <w:highlight w:val="none"/>
        </w:rPr>
      </w:pPr>
      <w:bookmarkStart w:id="208" w:name="_Toc24387"/>
      <w:bookmarkStart w:id="209" w:name="_Toc447827053"/>
      <w:bookmarkStart w:id="210" w:name="_Toc503951048"/>
      <w:bookmarkStart w:id="211" w:name="_Toc513633969"/>
      <w:r>
        <w:rPr>
          <w:rFonts w:hint="eastAsia" w:ascii="宋体" w:hAnsi="宋体" w:eastAsia="宋体" w:cs="宋体"/>
          <w:sz w:val="28"/>
          <w:highlight w:val="none"/>
        </w:rPr>
        <w:t>竞争性比选响应声明书</w:t>
      </w:r>
      <w:bookmarkEnd w:id="208"/>
    </w:p>
    <w:p>
      <w:pPr>
        <w:rPr>
          <w:highlight w:val="none"/>
        </w:rPr>
      </w:pPr>
    </w:p>
    <w:p>
      <w:pPr>
        <w:tabs>
          <w:tab w:val="left" w:pos="900"/>
        </w:tabs>
        <w:spacing w:line="360" w:lineRule="auto"/>
        <w:rPr>
          <w:rFonts w:ascii="Arial" w:hAnsi="Arial" w:cs="Arial"/>
          <w:b/>
          <w:bCs/>
          <w:sz w:val="24"/>
          <w:highlight w:val="none"/>
          <w:u w:val="single"/>
        </w:rPr>
      </w:pPr>
      <w:r>
        <w:rPr>
          <w:rFonts w:hint="eastAsia" w:ascii="Arial" w:hAnsi="Arial" w:cs="Arial"/>
          <w:b/>
          <w:sz w:val="24"/>
          <w:highlight w:val="none"/>
        </w:rPr>
        <w:t>致：</w:t>
      </w:r>
      <w:r>
        <w:rPr>
          <w:rFonts w:hint="eastAsia" w:ascii="Arial" w:hAnsi="Arial" w:cs="Arial"/>
          <w:b/>
          <w:bCs/>
          <w:sz w:val="24"/>
          <w:highlight w:val="none"/>
          <w:u w:val="single"/>
        </w:rPr>
        <w:t>重庆首讯科技股份有限公司</w:t>
      </w:r>
    </w:p>
    <w:p>
      <w:pPr>
        <w:wordWrap w:val="0"/>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我方收到</w:t>
      </w:r>
      <w:r>
        <w:rPr>
          <w:rFonts w:hint="eastAsia" w:asciiTheme="minorEastAsia" w:hAnsiTheme="minorEastAsia" w:eastAsiaTheme="minorEastAsia" w:cstheme="minorEastAsia"/>
          <w:b/>
          <w:bCs/>
          <w:sz w:val="24"/>
          <w:highlight w:val="none"/>
          <w:u w:val="single"/>
        </w:rPr>
        <w:t xml:space="preserve">             （项目名称）</w:t>
      </w:r>
      <w:r>
        <w:rPr>
          <w:rFonts w:hint="eastAsia" w:asciiTheme="minorEastAsia" w:hAnsiTheme="minorEastAsia" w:eastAsiaTheme="minorEastAsia" w:cstheme="minorEastAsia"/>
          <w:sz w:val="24"/>
          <w:highlight w:val="none"/>
        </w:rPr>
        <w:t>的竞争性比选文件，经详细研究，决定参加该项目的比选，签名代表</w:t>
      </w:r>
      <w:r>
        <w:rPr>
          <w:rFonts w:hint="eastAsia" w:asciiTheme="minorEastAsia" w:hAnsiTheme="minorEastAsia" w:eastAsiaTheme="minorEastAsia" w:cstheme="minorEastAsia"/>
          <w:b/>
          <w:bCs/>
          <w:sz w:val="24"/>
          <w:highlight w:val="none"/>
          <w:u w:val="single"/>
        </w:rPr>
        <w:t xml:space="preserve">          （全名、职务）</w:t>
      </w:r>
      <w:r>
        <w:rPr>
          <w:rFonts w:hint="eastAsia" w:asciiTheme="minorEastAsia" w:hAnsiTheme="minorEastAsia" w:eastAsiaTheme="minorEastAsia" w:cstheme="minorEastAsia"/>
          <w:sz w:val="24"/>
          <w:highlight w:val="none"/>
        </w:rPr>
        <w:t>经正式授权并代表竞争性比选响应单位</w:t>
      </w:r>
      <w:r>
        <w:rPr>
          <w:rFonts w:hint="eastAsia" w:asciiTheme="minorEastAsia" w:hAnsiTheme="minorEastAsia" w:eastAsiaTheme="minorEastAsia" w:cstheme="minorEastAsia"/>
          <w:b/>
          <w:bCs/>
          <w:sz w:val="24"/>
          <w:highlight w:val="none"/>
          <w:u w:val="single"/>
        </w:rPr>
        <w:t xml:space="preserve">           （竞争性比选响应单位名称） </w:t>
      </w:r>
      <w:r>
        <w:rPr>
          <w:rFonts w:hint="eastAsia" w:asciiTheme="minorEastAsia" w:hAnsiTheme="minorEastAsia" w:eastAsiaTheme="minorEastAsia" w:cstheme="minorEastAsia"/>
          <w:sz w:val="24"/>
          <w:highlight w:val="none"/>
        </w:rPr>
        <w:t>提交报价文件。</w:t>
      </w:r>
    </w:p>
    <w:p>
      <w:pPr>
        <w:spacing w:line="560" w:lineRule="exact"/>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我方愿以：</w:t>
      </w:r>
      <w:r>
        <w:rPr>
          <w:rFonts w:hint="eastAsia" w:asciiTheme="minorEastAsia" w:hAnsiTheme="minorEastAsia" w:eastAsiaTheme="minorEastAsia" w:cstheme="minorEastAsia"/>
          <w:b/>
          <w:bCs/>
          <w:sz w:val="24"/>
          <w:highlight w:val="none"/>
          <w:u w:val="single"/>
        </w:rPr>
        <w:t>￥           （大写：    ）</w:t>
      </w:r>
      <w:r>
        <w:rPr>
          <w:rFonts w:hint="eastAsia" w:asciiTheme="minorEastAsia" w:hAnsiTheme="minorEastAsia" w:eastAsiaTheme="minorEastAsia" w:cstheme="minorEastAsia"/>
          <w:sz w:val="24"/>
          <w:highlight w:val="none"/>
          <w:u w:val="single"/>
        </w:rPr>
        <w:t>的报价按照竞争性比选文件的要求，提供本次竞争性比选文件要求的服务内容。服务地点达到竞争性比选文件要求，服务期限达到竞争性比选文件要求，服务要求达到竞争性比选文件要求。</w:t>
      </w:r>
    </w:p>
    <w:p>
      <w:pPr>
        <w:tabs>
          <w:tab w:val="left" w:pos="540"/>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据此函，签名代表宣布同意如下：</w:t>
      </w:r>
    </w:p>
    <w:p>
      <w:pPr>
        <w:tabs>
          <w:tab w:val="left" w:pos="540"/>
          <w:tab w:val="left" w:pos="900"/>
        </w:tabs>
        <w:spacing w:line="560" w:lineRule="exact"/>
        <w:ind w:firstLine="480" w:firstLineChars="200"/>
        <w:outlineLvl w:val="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1、竞争性比选响应单位将按竞争性比选文件规定履行合同责任和义务。</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2、竞争性比选响应单位已详细审查全部竞争性比选文件，包括修改文件（如有的话）以及全部参考资料和相关附件。我们完全理解并同意放弃对这方面有不明及误解的权利。</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3、竞争性比选响应单位同意提供采购人可能要求的与其竞争性比选响应文件有关的一切数据或资料，完全理解采购人不一定要接受最低报价的竞争性比选响应或收到的任何报价。</w:t>
      </w:r>
    </w:p>
    <w:p>
      <w:pPr>
        <w:tabs>
          <w:tab w:val="left" w:pos="900"/>
        </w:tabs>
        <w:spacing w:line="560" w:lineRule="exact"/>
        <w:ind w:firstLine="480" w:firstLineChars="200"/>
        <w:outlineLvl w:val="2"/>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4、与本竞争性比选响应有关的一切正式往来通讯请寄：</w:t>
      </w:r>
    </w:p>
    <w:p>
      <w:pPr>
        <w:tabs>
          <w:tab w:val="left" w:pos="900"/>
        </w:tabs>
        <w:spacing w:line="560" w:lineRule="exact"/>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邮编：</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传真：</w:t>
      </w:r>
      <w:r>
        <w:rPr>
          <w:rFonts w:hint="eastAsia" w:asciiTheme="minorEastAsia" w:hAnsiTheme="minorEastAsia" w:eastAsiaTheme="minorEastAsia" w:cstheme="minorEastAsia"/>
          <w:sz w:val="24"/>
          <w:highlight w:val="none"/>
          <w:u w:val="singl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竞争性比选响应单位法定代表人或授权代表人（签名或盖章）：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竞争性比选响应单位法定代表人或授权代表人职务：</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tabs>
          <w:tab w:val="left" w:pos="900"/>
        </w:tabs>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竞争性比选响应单位名称（加盖单位公章）：</w:t>
      </w:r>
      <w:r>
        <w:rPr>
          <w:rFonts w:hint="eastAsia" w:asciiTheme="minorEastAsia" w:hAnsiTheme="minorEastAsia" w:eastAsiaTheme="minorEastAsia" w:cstheme="minorEastAsia"/>
          <w:sz w:val="24"/>
          <w:highlight w:val="none"/>
          <w:u w:val="single"/>
        </w:rPr>
        <w:t xml:space="preserve">                       </w:t>
      </w:r>
    </w:p>
    <w:p>
      <w:pPr>
        <w:tabs>
          <w:tab w:val="left" w:pos="900"/>
        </w:tabs>
        <w:spacing w:line="400" w:lineRule="exact"/>
        <w:ind w:firstLine="480" w:firstLineChars="200"/>
        <w:rPr>
          <w:highlight w:val="none"/>
        </w:rPr>
      </w:pPr>
      <w:r>
        <w:rPr>
          <w:rFonts w:hint="eastAsia" w:asciiTheme="minorEastAsia" w:hAnsiTheme="minorEastAsia" w:eastAsiaTheme="minorEastAsia" w:cstheme="minorEastAsia"/>
          <w:sz w:val="24"/>
          <w:highlight w:val="none"/>
        </w:rPr>
        <w:t>日期：</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bookmarkStart w:id="212" w:name="_Toc27815"/>
      <w:bookmarkStart w:id="213" w:name="_Toc491883232"/>
    </w:p>
    <w:p>
      <w:pPr>
        <w:pStyle w:val="41"/>
        <w:rPr>
          <w:highlight w:val="none"/>
        </w:rPr>
      </w:pPr>
    </w:p>
    <w:p>
      <w:pPr>
        <w:pStyle w:val="41"/>
        <w:rPr>
          <w:highlight w:val="none"/>
        </w:rPr>
      </w:pPr>
    </w:p>
    <w:p>
      <w:pPr>
        <w:pStyle w:val="4"/>
        <w:numPr>
          <w:ilvl w:val="0"/>
          <w:numId w:val="4"/>
        </w:numPr>
        <w:spacing w:before="0" w:after="0" w:line="360" w:lineRule="auto"/>
        <w:jc w:val="center"/>
        <w:rPr>
          <w:rFonts w:hint="eastAsia" w:ascii="宋体" w:hAnsi="宋体" w:eastAsia="宋体" w:cs="宋体"/>
          <w:sz w:val="28"/>
          <w:highlight w:val="none"/>
        </w:rPr>
      </w:pPr>
      <w:bookmarkStart w:id="214" w:name="_Toc15139"/>
      <w:bookmarkStart w:id="215" w:name="_Toc12064"/>
      <w:r>
        <w:rPr>
          <w:rFonts w:hint="eastAsia" w:ascii="宋体" w:hAnsi="宋体" w:eastAsia="宋体" w:cs="宋体"/>
          <w:sz w:val="28"/>
          <w:highlight w:val="none"/>
        </w:rPr>
        <w:t>法定代表人身份证明或法定代表人授权委托书</w:t>
      </w:r>
      <w:bookmarkEnd w:id="212"/>
      <w:bookmarkEnd w:id="214"/>
      <w:bookmarkEnd w:id="215"/>
    </w:p>
    <w:bookmarkEnd w:id="213"/>
    <w:p>
      <w:pPr>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sz w:val="24"/>
          <w:szCs w:val="24"/>
          <w:highlight w:val="none"/>
        </w:rPr>
      </w:pPr>
      <w:bookmarkStart w:id="216" w:name="_Toc14141"/>
      <w:bookmarkStart w:id="217" w:name="_Toc20985"/>
      <w:r>
        <w:rPr>
          <w:rFonts w:hint="eastAsia" w:ascii="宋体" w:hAnsi="宋体" w:eastAsia="宋体" w:cs="宋体"/>
          <w:b/>
          <w:bCs/>
          <w:sz w:val="24"/>
          <w:szCs w:val="24"/>
          <w:highlight w:val="none"/>
        </w:rPr>
        <w:t>（一）法定代表人身份证明</w:t>
      </w:r>
      <w:bookmarkEnd w:id="216"/>
      <w:bookmarkEnd w:id="217"/>
    </w:p>
    <w:p>
      <w:pPr>
        <w:spacing w:line="480" w:lineRule="auto"/>
        <w:rPr>
          <w:rFonts w:hint="eastAsia" w:ascii="宋体" w:hAnsi="宋体"/>
          <w:highlight w:val="none"/>
        </w:rPr>
      </w:pPr>
      <w:r>
        <w:rPr>
          <w:rFonts w:hint="eastAsia" w:ascii="宋体" w:hAnsi="宋体"/>
          <w:highlight w:val="none"/>
        </w:rPr>
        <w:t>报价人</w:t>
      </w:r>
      <w:r>
        <w:rPr>
          <w:rFonts w:ascii="宋体" w:hAnsi="宋体"/>
          <w:highlight w:val="none"/>
        </w:rPr>
        <w:t>名称：</w:t>
      </w:r>
      <w:r>
        <w:rPr>
          <w:rFonts w:ascii="宋体" w:hAnsi="宋体"/>
          <w:highlight w:val="none"/>
          <w:u w:val="single"/>
        </w:rPr>
        <w:t xml:space="preserve">                        </w:t>
      </w:r>
    </w:p>
    <w:p>
      <w:pPr>
        <w:spacing w:line="480" w:lineRule="auto"/>
        <w:rPr>
          <w:rFonts w:hint="eastAsia" w:ascii="宋体" w:hAnsi="宋体"/>
          <w:highlight w:val="none"/>
        </w:rPr>
      </w:pPr>
      <w:r>
        <w:rPr>
          <w:rFonts w:ascii="宋体" w:hAnsi="宋体"/>
          <w:highlight w:val="none"/>
        </w:rPr>
        <w:t>姓名：</w:t>
      </w:r>
      <w:r>
        <w:rPr>
          <w:rFonts w:ascii="宋体" w:hAnsi="宋体"/>
          <w:highlight w:val="none"/>
          <w:u w:val="single"/>
        </w:rPr>
        <w:t xml:space="preserve">                </w:t>
      </w:r>
      <w:r>
        <w:rPr>
          <w:rFonts w:ascii="宋体" w:hAnsi="宋体"/>
          <w:highlight w:val="none"/>
        </w:rPr>
        <w:t>性别：</w:t>
      </w:r>
      <w:bookmarkStart w:id="218" w:name="_Toc369531698"/>
      <w:bookmarkStart w:id="219" w:name="_Toc352691662"/>
      <w:bookmarkStart w:id="220" w:name="_Toc27897"/>
      <w:r>
        <w:rPr>
          <w:rFonts w:ascii="宋体" w:hAnsi="宋体"/>
          <w:highlight w:val="none"/>
          <w:u w:val="single"/>
        </w:rPr>
        <w:t xml:space="preserve">        </w:t>
      </w:r>
      <w:r>
        <w:rPr>
          <w:rFonts w:ascii="宋体" w:hAnsi="宋体"/>
          <w:highlight w:val="none"/>
        </w:rPr>
        <w:t>年</w:t>
      </w:r>
      <w:bookmarkEnd w:id="218"/>
      <w:bookmarkEnd w:id="219"/>
      <w:bookmarkEnd w:id="220"/>
      <w:r>
        <w:rPr>
          <w:rFonts w:ascii="宋体" w:hAnsi="宋体"/>
          <w:highlight w:val="none"/>
        </w:rPr>
        <w:t>龄</w:t>
      </w:r>
      <w:bookmarkStart w:id="221" w:name="_Toc247527829"/>
      <w:bookmarkStart w:id="222" w:name="_Toc369531699"/>
      <w:bookmarkStart w:id="223" w:name="_Toc300835211"/>
      <w:bookmarkStart w:id="224" w:name="_Toc144974858"/>
      <w:bookmarkStart w:id="225" w:name="_Toc361508754"/>
      <w:bookmarkStart w:id="226" w:name="_Toc15573"/>
      <w:bookmarkStart w:id="227" w:name="_Toc247514248"/>
      <w:bookmarkStart w:id="228" w:name="_Toc384308377"/>
      <w:bookmarkStart w:id="229" w:name="_Toc152042578"/>
      <w:bookmarkStart w:id="230" w:name="_Toc352691663"/>
      <w:bookmarkStart w:id="231" w:name="_Toc152045789"/>
      <w:r>
        <w:rPr>
          <w:rFonts w:ascii="宋体" w:hAnsi="宋体"/>
          <w:highlight w:val="none"/>
        </w:rPr>
        <w:t>：</w:t>
      </w:r>
      <w:bookmarkEnd w:id="221"/>
      <w:bookmarkEnd w:id="222"/>
      <w:bookmarkEnd w:id="223"/>
      <w:bookmarkEnd w:id="224"/>
      <w:bookmarkEnd w:id="225"/>
      <w:bookmarkEnd w:id="226"/>
      <w:bookmarkEnd w:id="227"/>
      <w:bookmarkEnd w:id="228"/>
      <w:bookmarkEnd w:id="229"/>
      <w:bookmarkEnd w:id="230"/>
      <w:bookmarkEnd w:id="231"/>
      <w:r>
        <w:rPr>
          <w:rFonts w:ascii="宋体" w:hAnsi="宋体"/>
          <w:highlight w:val="none"/>
          <w:u w:val="single"/>
        </w:rPr>
        <w:t xml:space="preserve">        </w:t>
      </w:r>
      <w:r>
        <w:rPr>
          <w:rFonts w:ascii="宋体" w:hAnsi="宋体"/>
          <w:highlight w:val="none"/>
        </w:rPr>
        <w:t>职务：</w:t>
      </w:r>
      <w:r>
        <w:rPr>
          <w:rFonts w:ascii="宋体" w:hAnsi="宋体"/>
          <w:highlight w:val="none"/>
          <w:u w:val="single"/>
        </w:rPr>
        <w:t xml:space="preserve">        </w:t>
      </w:r>
    </w:p>
    <w:p>
      <w:pPr>
        <w:spacing w:line="480" w:lineRule="auto"/>
        <w:rPr>
          <w:rFonts w:hint="eastAsia" w:ascii="宋体" w:hAnsi="宋体"/>
          <w:highlight w:val="none"/>
        </w:rPr>
      </w:pPr>
      <w:r>
        <w:rPr>
          <w:rFonts w:ascii="宋体" w:hAnsi="宋体"/>
          <w:highlight w:val="none"/>
        </w:rPr>
        <w:t>系</w:t>
      </w:r>
      <w:r>
        <w:rPr>
          <w:rFonts w:ascii="宋体" w:hAnsi="宋体"/>
          <w:highlight w:val="none"/>
          <w:u w:val="single"/>
        </w:rPr>
        <w:t xml:space="preserve">                        </w:t>
      </w:r>
      <w:r>
        <w:rPr>
          <w:rFonts w:ascii="宋体" w:hAnsi="宋体"/>
          <w:highlight w:val="none"/>
        </w:rPr>
        <w:t>（</w:t>
      </w:r>
      <w:r>
        <w:rPr>
          <w:rFonts w:hint="eastAsia" w:ascii="宋体" w:hAnsi="宋体"/>
          <w:highlight w:val="none"/>
        </w:rPr>
        <w:t>报价人</w:t>
      </w:r>
      <w:r>
        <w:rPr>
          <w:rFonts w:ascii="宋体" w:hAnsi="宋体"/>
          <w:highlight w:val="none"/>
        </w:rPr>
        <w:t>名称）的法定代表人。</w:t>
      </w:r>
    </w:p>
    <w:p>
      <w:pPr>
        <w:spacing w:line="480" w:lineRule="auto"/>
        <w:ind w:firstLine="420" w:firstLineChars="200"/>
        <w:rPr>
          <w:rFonts w:hint="eastAsia" w:ascii="宋体" w:hAnsi="宋体"/>
          <w:highlight w:val="none"/>
        </w:rPr>
      </w:pPr>
      <w:r>
        <w:rPr>
          <w:rFonts w:ascii="宋体" w:hAnsi="宋体"/>
          <w:highlight w:val="none"/>
        </w:rPr>
        <w:t>特此证明。</w:t>
      </w:r>
    </w:p>
    <w:p>
      <w:pPr>
        <w:spacing w:line="480" w:lineRule="auto"/>
        <w:rPr>
          <w:rFonts w:hint="eastAsia" w:ascii="宋体" w:hAnsi="宋体"/>
          <w:highlight w:val="none"/>
        </w:rPr>
      </w:pPr>
    </w:p>
    <w:p>
      <w:pPr>
        <w:spacing w:line="480" w:lineRule="auto"/>
        <w:rPr>
          <w:rFonts w:hint="eastAsia" w:ascii="宋体" w:hAnsi="宋体"/>
          <w:highlight w:val="none"/>
        </w:rPr>
      </w:pPr>
      <w:r>
        <w:rPr>
          <w:snapToGrid w:val="0"/>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v:textbox>
              </v:shape>
            </w:pict>
          </mc:Fallback>
        </mc:AlternateContent>
      </w:r>
      <w:r>
        <w:rPr>
          <w:rFonts w:ascii="宋体" w:hAnsi="宋体"/>
          <w:highlight w:val="none"/>
        </w:rPr>
        <w:t>附：法定代表人身份证复印件</w:t>
      </w:r>
      <w:r>
        <w:rPr>
          <w:rFonts w:hint="eastAsia" w:ascii="宋体" w:hAnsi="宋体"/>
          <w:b/>
          <w:bCs/>
          <w:highlight w:val="none"/>
        </w:rPr>
        <w:t>（正、反面）</w:t>
      </w:r>
      <w:r>
        <w:rPr>
          <w:rFonts w:ascii="宋体" w:hAnsi="宋体"/>
          <w:highlight w:val="none"/>
        </w:rPr>
        <w:t>。</w:t>
      </w:r>
    </w:p>
    <w:p>
      <w:pPr>
        <w:spacing w:line="480" w:lineRule="auto"/>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jc w:val="center"/>
        <w:rPr>
          <w:rFonts w:hint="eastAsia" w:ascii="宋体" w:hAnsi="宋体"/>
          <w:highlight w:val="none"/>
        </w:rPr>
      </w:pPr>
      <w:r>
        <w:rPr>
          <w:rFonts w:ascii="宋体" w:hAnsi="宋体"/>
          <w:highlight w:val="none"/>
        </w:rPr>
        <w:t xml:space="preserve">                              </w:t>
      </w:r>
      <w:r>
        <w:rPr>
          <w:rFonts w:hint="eastAsia" w:ascii="宋体" w:hAnsi="宋体"/>
          <w:highlight w:val="none"/>
        </w:rPr>
        <w:t>报价人</w:t>
      </w:r>
      <w:r>
        <w:rPr>
          <w:rFonts w:ascii="宋体" w:hAnsi="宋体"/>
          <w:highlight w:val="none"/>
        </w:rPr>
        <w:t>：</w:t>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pPr>
        <w:spacing w:line="440" w:lineRule="exact"/>
        <w:rPr>
          <w:rFonts w:hint="eastAsia" w:ascii="宋体" w:hAnsi="宋体"/>
          <w:highlight w:val="none"/>
        </w:rPr>
      </w:pPr>
    </w:p>
    <w:p>
      <w:pPr>
        <w:spacing w:line="440" w:lineRule="exact"/>
        <w:ind w:firstLine="4620" w:firstLineChars="2200"/>
        <w:rPr>
          <w:rFonts w:hint="eastAsia"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pPr>
        <w:rPr>
          <w:rFonts w:hint="eastAsia" w:ascii="宋体" w:hAnsi="宋体"/>
          <w:highlight w:val="none"/>
        </w:rPr>
      </w:pPr>
    </w:p>
    <w:p>
      <w:pPr>
        <w:rPr>
          <w:rFonts w:hint="eastAsia" w:ascii="宋体" w:hAnsi="宋体"/>
          <w:highlight w:val="none"/>
        </w:rPr>
      </w:pPr>
    </w:p>
    <w:p>
      <w:pPr>
        <w:spacing w:line="440" w:lineRule="exact"/>
        <w:rPr>
          <w:rFonts w:hint="eastAsia" w:ascii="宋体" w:hAnsi="宋体"/>
          <w:highlight w:val="none"/>
        </w:rPr>
      </w:pPr>
      <w:r>
        <w:rPr>
          <w:rFonts w:ascii="宋体" w:hAnsi="宋体"/>
          <w:highlight w:val="none"/>
        </w:rPr>
        <w:t>注：</w:t>
      </w:r>
      <w:r>
        <w:rPr>
          <w:rFonts w:hint="eastAsia" w:ascii="宋体" w:hAnsi="宋体"/>
          <w:highlight w:val="none"/>
        </w:rPr>
        <w:t>1、</w:t>
      </w:r>
      <w:r>
        <w:rPr>
          <w:rFonts w:ascii="宋体" w:hAnsi="宋体"/>
          <w:highlight w:val="none"/>
        </w:rPr>
        <w:t>本身份证明需由</w:t>
      </w:r>
      <w:r>
        <w:rPr>
          <w:rFonts w:hint="eastAsia" w:ascii="宋体" w:hAnsi="宋体"/>
          <w:highlight w:val="none"/>
        </w:rPr>
        <w:t>报价人</w:t>
      </w:r>
      <w:r>
        <w:rPr>
          <w:rFonts w:ascii="宋体" w:hAnsi="宋体"/>
          <w:highlight w:val="none"/>
        </w:rPr>
        <w:t>加盖单位</w:t>
      </w:r>
      <w:r>
        <w:rPr>
          <w:rFonts w:hint="eastAsia" w:ascii="宋体" w:hAnsi="宋体"/>
          <w:highlight w:val="none"/>
        </w:rPr>
        <w:t>公章</w:t>
      </w:r>
      <w:r>
        <w:rPr>
          <w:rFonts w:ascii="宋体" w:hAnsi="宋体"/>
          <w:highlight w:val="none"/>
        </w:rPr>
        <w:t>。</w:t>
      </w:r>
    </w:p>
    <w:p>
      <w:pPr>
        <w:spacing w:line="440" w:lineRule="exact"/>
        <w:rPr>
          <w:rFonts w:hint="eastAsia" w:ascii="宋体" w:hAnsi="宋体"/>
          <w:highlight w:val="none"/>
        </w:rPr>
      </w:pPr>
      <w:r>
        <w:rPr>
          <w:rFonts w:hint="eastAsia" w:ascii="宋体" w:hAnsi="宋体"/>
          <w:highlight w:val="none"/>
        </w:rPr>
        <w:t>2、</w:t>
      </w:r>
      <w:r>
        <w:rPr>
          <w:rFonts w:hint="eastAsia" w:ascii="宋体" w:hAnsi="宋体" w:cs="宋体"/>
          <w:highlight w:val="none"/>
        </w:rPr>
        <w:t>法定代表人身份证明需按上述格式填写完整，不可缺少内容。在此基础上增加内容的不影响其有效性。</w:t>
      </w:r>
    </w:p>
    <w:p>
      <w:pPr>
        <w:spacing w:line="440" w:lineRule="exact"/>
        <w:rPr>
          <w:rFonts w:hint="eastAsia" w:ascii="宋体" w:hAnsi="宋体"/>
          <w:sz w:val="20"/>
          <w:highlight w:val="none"/>
        </w:rPr>
      </w:pPr>
    </w:p>
    <w:p>
      <w:pPr>
        <w:spacing w:line="20" w:lineRule="exact"/>
        <w:jc w:val="center"/>
        <w:rPr>
          <w:rFonts w:hint="eastAsia" w:ascii="宋体" w:hAnsi="宋体"/>
          <w:sz w:val="20"/>
          <w:highlight w:val="none"/>
        </w:rPr>
      </w:pPr>
      <w:r>
        <w:rPr>
          <w:rFonts w:ascii="宋体" w:hAnsi="宋体"/>
          <w:sz w:val="20"/>
          <w:highlight w:val="none"/>
        </w:rPr>
        <w:br w:type="page"/>
      </w:r>
    </w:p>
    <w:p>
      <w:pPr>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sz w:val="24"/>
          <w:szCs w:val="24"/>
          <w:highlight w:val="none"/>
        </w:rPr>
      </w:pPr>
      <w:bookmarkStart w:id="232" w:name="_Toc491883233"/>
      <w:bookmarkStart w:id="233" w:name="_Toc58"/>
      <w:bookmarkStart w:id="234" w:name="_Toc3882"/>
      <w:r>
        <w:rPr>
          <w:rFonts w:hint="eastAsia" w:ascii="宋体" w:hAnsi="宋体" w:eastAsia="宋体" w:cs="宋体"/>
          <w:b/>
          <w:bCs/>
          <w:sz w:val="24"/>
          <w:szCs w:val="24"/>
          <w:highlight w:val="none"/>
        </w:rPr>
        <w:t>（二）</w:t>
      </w:r>
      <w:bookmarkEnd w:id="232"/>
      <w:r>
        <w:rPr>
          <w:rFonts w:hint="eastAsia" w:ascii="宋体" w:hAnsi="宋体" w:eastAsia="宋体" w:cs="宋体"/>
          <w:b/>
          <w:bCs/>
          <w:sz w:val="24"/>
          <w:szCs w:val="24"/>
          <w:highlight w:val="none"/>
        </w:rPr>
        <w:t>法定代表人授权委托书</w:t>
      </w:r>
      <w:bookmarkEnd w:id="233"/>
      <w:bookmarkEnd w:id="234"/>
    </w:p>
    <w:p>
      <w:pPr>
        <w:keepNext w:val="0"/>
        <w:keepLines w:val="0"/>
        <w:pageBreakBefore w:val="0"/>
        <w:widowControl w:val="0"/>
        <w:kinsoku/>
        <w:wordWrap/>
        <w:overflowPunct/>
        <w:topLinePunct/>
        <w:autoSpaceDE/>
        <w:autoSpaceDN/>
        <w:bidi w:val="0"/>
        <w:adjustRightInd/>
        <w:snapToGrid/>
        <w:spacing w:line="400" w:lineRule="exact"/>
        <w:ind w:firstLine="420" w:firstLineChars="200"/>
        <w:textAlignment w:val="auto"/>
        <w:rPr>
          <w:rFonts w:hint="eastAsia" w:ascii="宋体" w:hAnsi="宋体"/>
          <w:highlight w:val="none"/>
        </w:rPr>
      </w:pPr>
      <w:r>
        <w:rPr>
          <w:rFonts w:ascii="宋体" w:hAnsi="宋体"/>
          <w:highlight w:val="none"/>
        </w:rPr>
        <w:t>本人</w:t>
      </w:r>
      <w:r>
        <w:rPr>
          <w:rFonts w:ascii="宋体" w:hAnsi="宋体"/>
          <w:highlight w:val="none"/>
          <w:u w:val="single"/>
        </w:rPr>
        <w:t xml:space="preserve">              </w:t>
      </w:r>
      <w:r>
        <w:rPr>
          <w:rFonts w:ascii="宋体" w:hAnsi="宋体"/>
          <w:highlight w:val="none"/>
        </w:rPr>
        <w:t>（姓名）系</w:t>
      </w:r>
      <w:r>
        <w:rPr>
          <w:rFonts w:ascii="宋体" w:hAnsi="宋体"/>
          <w:highlight w:val="none"/>
          <w:u w:val="single"/>
        </w:rPr>
        <w:t xml:space="preserve">                    </w:t>
      </w:r>
      <w:r>
        <w:rPr>
          <w:rFonts w:ascii="宋体" w:hAnsi="宋体"/>
          <w:highlight w:val="none"/>
        </w:rPr>
        <w:t>（</w:t>
      </w:r>
      <w:r>
        <w:rPr>
          <w:rFonts w:hint="eastAsia" w:ascii="宋体" w:hAnsi="宋体"/>
          <w:highlight w:val="none"/>
        </w:rPr>
        <w:t>报价人</w:t>
      </w:r>
      <w:r>
        <w:rPr>
          <w:rFonts w:ascii="宋体" w:hAnsi="宋体"/>
          <w:highlight w:val="none"/>
        </w:rPr>
        <w:t>名称）的法定代表人，现委托</w:t>
      </w:r>
      <w:r>
        <w:rPr>
          <w:rFonts w:ascii="宋体" w:hAnsi="宋体"/>
          <w:highlight w:val="none"/>
          <w:u w:val="single"/>
        </w:rPr>
        <w:t xml:space="preserve">            </w:t>
      </w:r>
      <w:r>
        <w:rPr>
          <w:rFonts w:ascii="宋体" w:hAnsi="宋体"/>
          <w:highlight w:val="none"/>
        </w:rPr>
        <w:t>（姓名）为我方代理人。代理人根据授权，以我方名义签署、澄清确认、递交、撤回、修改</w:t>
      </w:r>
      <w:r>
        <w:rPr>
          <w:rFonts w:hint="eastAsia" w:ascii="宋体" w:hAnsi="宋体"/>
          <w:highlight w:val="none"/>
        </w:rPr>
        <w:t>采购</w:t>
      </w:r>
      <w:r>
        <w:rPr>
          <w:rFonts w:ascii="宋体" w:hAnsi="宋体"/>
          <w:highlight w:val="none"/>
        </w:rPr>
        <w:t>项目</w:t>
      </w:r>
      <w:r>
        <w:rPr>
          <w:rFonts w:hint="eastAsia" w:ascii="宋体" w:hAnsi="宋体"/>
          <w:highlight w:val="none"/>
        </w:rPr>
        <w:t>比选</w:t>
      </w:r>
      <w:r>
        <w:rPr>
          <w:rFonts w:ascii="宋体" w:hAnsi="宋体"/>
          <w:highlight w:val="none"/>
        </w:rPr>
        <w:t>文件、签订合同和处理有关事宜，其法律后果由我方承担。</w:t>
      </w:r>
    </w:p>
    <w:p>
      <w:pPr>
        <w:keepNext w:val="0"/>
        <w:keepLines w:val="0"/>
        <w:pageBreakBefore w:val="0"/>
        <w:widowControl w:val="0"/>
        <w:kinsoku/>
        <w:wordWrap/>
        <w:overflowPunct/>
        <w:autoSpaceDE/>
        <w:autoSpaceDN/>
        <w:bidi w:val="0"/>
        <w:adjustRightInd/>
        <w:snapToGrid/>
        <w:spacing w:line="400" w:lineRule="exact"/>
        <w:textAlignment w:val="auto"/>
        <w:rPr>
          <w:rFonts w:hint="eastAsia" w:ascii="宋体" w:hAnsi="宋体"/>
          <w:highlight w:val="none"/>
        </w:rPr>
      </w:pPr>
      <w:r>
        <w:rPr>
          <w:rFonts w:ascii="宋体" w:hAnsi="宋体"/>
          <w:highlight w:val="none"/>
        </w:rPr>
        <w:t>委托期限：</w:t>
      </w:r>
      <w:r>
        <w:rPr>
          <w:rFonts w:ascii="宋体" w:hAnsi="宋体"/>
          <w:highlight w:val="none"/>
          <w:u w:val="single"/>
        </w:rPr>
        <w:t xml:space="preserve">                       </w:t>
      </w:r>
      <w:r>
        <w:rPr>
          <w:rFonts w:ascii="宋体" w:hAnsi="宋体"/>
          <w:highlight w:val="none"/>
        </w:rPr>
        <w:t>。</w:t>
      </w:r>
    </w:p>
    <w:p>
      <w:pPr>
        <w:keepNext w:val="0"/>
        <w:keepLines w:val="0"/>
        <w:pageBreakBefore w:val="0"/>
        <w:widowControl w:val="0"/>
        <w:kinsoku/>
        <w:wordWrap/>
        <w:overflowPunct/>
        <w:autoSpaceDE/>
        <w:autoSpaceDN/>
        <w:bidi w:val="0"/>
        <w:adjustRightInd/>
        <w:snapToGrid/>
        <w:spacing w:line="400" w:lineRule="exact"/>
        <w:ind w:firstLine="420" w:firstLineChars="200"/>
        <w:textAlignment w:val="auto"/>
        <w:rPr>
          <w:rFonts w:hint="eastAsia" w:ascii="宋体" w:hAnsi="宋体"/>
          <w:highlight w:val="none"/>
        </w:rPr>
      </w:pPr>
      <w:r>
        <w:rPr>
          <w:rFonts w:ascii="宋体" w:hAnsi="宋体"/>
          <w:highlight w:val="none"/>
        </w:rPr>
        <w:t>代理人无转委托权。</w:t>
      </w:r>
    </w:p>
    <w:p>
      <w:pPr>
        <w:keepNext w:val="0"/>
        <w:keepLines w:val="0"/>
        <w:pageBreakBefore w:val="0"/>
        <w:widowControl w:val="0"/>
        <w:kinsoku/>
        <w:wordWrap/>
        <w:overflowPunct/>
        <w:autoSpaceDE/>
        <w:autoSpaceDN/>
        <w:bidi w:val="0"/>
        <w:adjustRightInd/>
        <w:snapToGrid/>
        <w:spacing w:line="400" w:lineRule="exact"/>
        <w:textAlignment w:val="auto"/>
        <w:rPr>
          <w:rFonts w:hint="eastAsia" w:ascii="宋体" w:hAnsi="宋体"/>
          <w:highlight w:val="none"/>
        </w:rPr>
      </w:pPr>
      <w:r>
        <w:rPr>
          <w:rFonts w:ascii="宋体" w:hAnsi="宋体"/>
          <w:highlight w:val="none"/>
        </w:rPr>
        <w:t>附：法定代表人身份证复印件及委托代理人身份证复印件</w:t>
      </w:r>
      <w:r>
        <w:rPr>
          <w:rFonts w:hint="eastAsia" w:ascii="宋体" w:hAnsi="宋体"/>
          <w:b/>
          <w:bCs/>
          <w:highlight w:val="none"/>
        </w:rPr>
        <w:t>（正、反面）</w:t>
      </w:r>
    </w:p>
    <w:p>
      <w:pPr>
        <w:spacing w:line="440" w:lineRule="exact"/>
        <w:rPr>
          <w:rFonts w:hint="eastAsia" w:ascii="宋体" w:hAnsi="宋体"/>
          <w:highlight w:val="none"/>
        </w:rPr>
      </w:pPr>
      <w:r>
        <w:rPr>
          <w:snapToGrid w:val="0"/>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107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pPr>
                        <w:snapToGrid w:val="0"/>
                        <w:spacing w:line="360" w:lineRule="auto"/>
                      </w:pPr>
                    </w:p>
                  </w:txbxContent>
                </v:textbox>
              </v:shape>
            </w:pict>
          </mc:Fallback>
        </mc:AlternateContent>
      </w:r>
    </w:p>
    <w:p>
      <w:pPr>
        <w:spacing w:line="440" w:lineRule="exact"/>
        <w:rPr>
          <w:rFonts w:hint="eastAsia" w:ascii="宋体" w:hAnsi="宋体"/>
          <w:highlight w:val="none"/>
        </w:rPr>
      </w:pPr>
    </w:p>
    <w:p>
      <w:pPr>
        <w:spacing w:line="440" w:lineRule="exact"/>
        <w:rPr>
          <w:rFonts w:hint="eastAsia" w:ascii="宋体" w:hAnsi="宋体"/>
          <w:highlight w:val="none"/>
        </w:rPr>
      </w:pPr>
      <w:r>
        <w:rPr>
          <w:rFonts w:ascii="宋体" w:hAnsi="宋体"/>
          <w:highlight w:val="none"/>
        </w:rPr>
        <w:t>委托代理人身份证复印件</w:t>
      </w: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p>
    <w:p>
      <w:pPr>
        <w:spacing w:line="440" w:lineRule="exact"/>
        <w:rPr>
          <w:rFonts w:hint="eastAsia" w:ascii="宋体" w:hAnsi="宋体"/>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1206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pPr>
                              <w:spacing w:line="360" w:lineRule="auto"/>
                              <w:jc w:val="cente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pPr>
                        <w:spacing w:line="360" w:lineRule="auto"/>
                        <w:jc w:val="center"/>
                      </w:pPr>
                    </w:p>
                  </w:txbxContent>
                </v:textbox>
              </v:shape>
            </w:pict>
          </mc:Fallback>
        </mc:AlternateContent>
      </w: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p>
    <w:p>
      <w:pPr>
        <w:spacing w:line="440" w:lineRule="exact"/>
        <w:ind w:firstLine="2692" w:firstLineChars="1282"/>
        <w:rPr>
          <w:rFonts w:hint="eastAsia" w:ascii="宋体" w:hAnsi="宋体"/>
          <w:highlight w:val="none"/>
        </w:rPr>
      </w:pPr>
      <w:r>
        <w:rPr>
          <w:rFonts w:hint="eastAsia" w:ascii="宋体" w:hAnsi="宋体"/>
          <w:highlight w:val="none"/>
        </w:rPr>
        <w:t>报  价  人</w:t>
      </w:r>
      <w:r>
        <w:rPr>
          <w:rFonts w:ascii="宋体" w:hAnsi="宋体"/>
          <w:highlight w:val="none"/>
        </w:rPr>
        <w:t>：</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盖</w:t>
      </w:r>
      <w:r>
        <w:rPr>
          <w:rFonts w:ascii="宋体" w:hAnsi="宋体"/>
          <w:highlight w:val="none"/>
        </w:rPr>
        <w:t>单位</w:t>
      </w:r>
      <w:r>
        <w:rPr>
          <w:rFonts w:hint="eastAsia" w:ascii="宋体" w:hAnsi="宋体"/>
          <w:highlight w:val="none"/>
        </w:rPr>
        <w:t>公章</w:t>
      </w:r>
      <w:r>
        <w:rPr>
          <w:rFonts w:ascii="宋体" w:hAnsi="宋体"/>
          <w:highlight w:val="none"/>
        </w:rPr>
        <w:t>）</w:t>
      </w:r>
    </w:p>
    <w:p>
      <w:pPr>
        <w:spacing w:line="440" w:lineRule="exact"/>
        <w:ind w:firstLine="2690" w:firstLineChars="1281"/>
        <w:jc w:val="left"/>
        <w:rPr>
          <w:rFonts w:hint="eastAsia" w:ascii="宋体" w:hAnsi="宋体"/>
          <w:highlight w:val="none"/>
        </w:rPr>
      </w:pPr>
      <w:r>
        <w:rPr>
          <w:rFonts w:ascii="宋体" w:hAnsi="宋体"/>
          <w:highlight w:val="none"/>
        </w:rPr>
        <w:t>法定代表人：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签名或盖章</w:t>
      </w:r>
      <w:r>
        <w:rPr>
          <w:rFonts w:ascii="宋体" w:hAnsi="宋体"/>
          <w:highlight w:val="none"/>
        </w:rPr>
        <w:t>）</w:t>
      </w:r>
    </w:p>
    <w:p>
      <w:pPr>
        <w:spacing w:line="440" w:lineRule="exact"/>
        <w:ind w:firstLine="2692" w:firstLineChars="1282"/>
        <w:rPr>
          <w:rFonts w:hint="eastAsia"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40" w:lineRule="exact"/>
        <w:ind w:firstLine="2692" w:firstLineChars="1282"/>
        <w:rPr>
          <w:rFonts w:hint="eastAsia" w:ascii="宋体" w:hAnsi="宋体"/>
          <w:highlight w:val="none"/>
        </w:rPr>
      </w:pPr>
      <w:r>
        <w:rPr>
          <w:rFonts w:ascii="宋体" w:hAnsi="宋体"/>
          <w:highlight w:val="none"/>
        </w:rPr>
        <w:t>委托代理人：</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u w:val="single"/>
        </w:rPr>
        <w:tab/>
      </w:r>
      <w:r>
        <w:rPr>
          <w:rFonts w:ascii="宋体" w:hAnsi="宋体"/>
          <w:highlight w:val="none"/>
        </w:rPr>
        <w:t>（</w:t>
      </w:r>
      <w:r>
        <w:rPr>
          <w:rFonts w:hint="eastAsia" w:ascii="宋体" w:hAnsi="宋体"/>
          <w:highlight w:val="none"/>
        </w:rPr>
        <w:t>签名或盖章</w:t>
      </w:r>
      <w:r>
        <w:rPr>
          <w:rFonts w:ascii="宋体" w:hAnsi="宋体"/>
          <w:highlight w:val="none"/>
        </w:rPr>
        <w:t>）</w:t>
      </w:r>
    </w:p>
    <w:p>
      <w:pPr>
        <w:spacing w:line="440" w:lineRule="exact"/>
        <w:ind w:firstLine="2692" w:firstLineChars="1282"/>
        <w:rPr>
          <w:rFonts w:hint="eastAsia" w:ascii="宋体" w:hAnsi="宋体"/>
          <w:highlight w:val="none"/>
        </w:rPr>
      </w:pPr>
      <w:r>
        <w:rPr>
          <w:rFonts w:ascii="宋体" w:hAnsi="宋体"/>
          <w:highlight w:val="none"/>
        </w:rPr>
        <w:t>身份证号码：</w:t>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ab/>
      </w:r>
      <w:r>
        <w:rPr>
          <w:rFonts w:ascii="宋体" w:hAnsi="宋体"/>
          <w:szCs w:val="21"/>
          <w:highlight w:val="none"/>
          <w:u w:val="single"/>
        </w:rPr>
        <w:t xml:space="preserve">                </w:t>
      </w:r>
      <w:r>
        <w:rPr>
          <w:rFonts w:ascii="宋体" w:hAnsi="宋体"/>
          <w:szCs w:val="21"/>
          <w:highlight w:val="none"/>
          <w:u w:val="single"/>
        </w:rPr>
        <w:tab/>
      </w:r>
    </w:p>
    <w:p>
      <w:pPr>
        <w:spacing w:line="440" w:lineRule="exact"/>
        <w:ind w:firstLine="4057" w:firstLineChars="1932"/>
        <w:jc w:val="right"/>
        <w:rPr>
          <w:rFonts w:hint="eastAsia" w:ascii="宋体" w:hAnsi="宋体"/>
          <w:highlight w:val="none"/>
        </w:rPr>
      </w:pPr>
      <w:r>
        <w:rPr>
          <w:rFonts w:ascii="宋体" w:hAnsi="宋体"/>
          <w:highlight w:val="none"/>
          <w:u w:val="single"/>
        </w:rPr>
        <w:t xml:space="preserve">       </w:t>
      </w:r>
      <w:r>
        <w:rPr>
          <w:rFonts w:ascii="宋体" w:hAnsi="宋体"/>
          <w:highlight w:val="none"/>
        </w:rPr>
        <w:t>年</w:t>
      </w:r>
      <w:r>
        <w:rPr>
          <w:rFonts w:ascii="宋体" w:hAnsi="宋体"/>
          <w:highlight w:val="none"/>
          <w:u w:val="single"/>
        </w:rPr>
        <w:t xml:space="preserve">       </w:t>
      </w:r>
      <w:r>
        <w:rPr>
          <w:rFonts w:ascii="宋体" w:hAnsi="宋体"/>
          <w:highlight w:val="none"/>
        </w:rPr>
        <w:t>月</w:t>
      </w:r>
      <w:r>
        <w:rPr>
          <w:rFonts w:ascii="宋体" w:hAnsi="宋体"/>
          <w:highlight w:val="none"/>
          <w:u w:val="single"/>
        </w:rPr>
        <w:t xml:space="preserve">       </w:t>
      </w:r>
      <w:r>
        <w:rPr>
          <w:rFonts w:ascii="宋体" w:hAnsi="宋体"/>
          <w:highlight w:val="none"/>
        </w:rPr>
        <w:t>日</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highlight w:val="none"/>
        </w:rPr>
      </w:pPr>
      <w:r>
        <w:rPr>
          <w:rFonts w:ascii="宋体" w:hAnsi="宋体"/>
          <w:highlight w:val="none"/>
        </w:rPr>
        <w:t>注：</w:t>
      </w:r>
      <w:r>
        <w:rPr>
          <w:rFonts w:hint="eastAsia" w:ascii="宋体" w:hAnsi="宋体"/>
          <w:highlight w:val="none"/>
        </w:rPr>
        <w:t>1.</w:t>
      </w:r>
      <w:r>
        <w:rPr>
          <w:rFonts w:ascii="宋体" w:hAnsi="宋体"/>
          <w:highlight w:val="none"/>
        </w:rPr>
        <w:t>本授权委托书需由</w:t>
      </w:r>
      <w:r>
        <w:rPr>
          <w:rFonts w:hint="eastAsia" w:ascii="宋体" w:hAnsi="宋体"/>
          <w:highlight w:val="none"/>
        </w:rPr>
        <w:t>报价人</w:t>
      </w:r>
      <w:r>
        <w:rPr>
          <w:rFonts w:ascii="宋体" w:hAnsi="宋体"/>
          <w:highlight w:val="none"/>
        </w:rPr>
        <w:t>加盖单位</w:t>
      </w:r>
      <w:r>
        <w:rPr>
          <w:rFonts w:hint="eastAsia" w:ascii="宋体" w:hAnsi="宋体"/>
          <w:highlight w:val="none"/>
        </w:rPr>
        <w:t>公章</w:t>
      </w:r>
      <w:r>
        <w:rPr>
          <w:rFonts w:ascii="宋体" w:hAnsi="宋体"/>
          <w:highlight w:val="none"/>
        </w:rPr>
        <w:t>并由其法定代表人和委托代理人签</w:t>
      </w:r>
      <w:r>
        <w:rPr>
          <w:rFonts w:hint="eastAsia" w:ascii="宋体" w:hAnsi="宋体"/>
          <w:highlight w:val="none"/>
        </w:rPr>
        <w:t>名。</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highlight w:val="none"/>
        </w:rPr>
      </w:pPr>
      <w:r>
        <w:rPr>
          <w:rFonts w:hint="eastAsia" w:ascii="宋体" w:hAnsi="宋体" w:cs="宋体"/>
          <w:kern w:val="0"/>
          <w:szCs w:val="21"/>
          <w:highlight w:val="none"/>
        </w:rPr>
        <w:t>3.</w:t>
      </w:r>
      <w:r>
        <w:rPr>
          <w:rFonts w:hint="eastAsia" w:ascii="宋体" w:hAnsi="宋体" w:cs="宋体"/>
          <w:highlight w:val="none"/>
        </w:rPr>
        <w:t>授权委托书需按上述格式填写完整，不可缺少内容。在此基础上增加内容的不影响其有效性。</w:t>
      </w:r>
    </w:p>
    <w:p>
      <w:pPr>
        <w:rPr>
          <w:rFonts w:hint="eastAsia" w:ascii="宋体" w:hAnsi="宋体" w:cs="宋体"/>
          <w:snapToGrid w:val="0"/>
          <w:kern w:val="0"/>
          <w:szCs w:val="21"/>
          <w:highlight w:val="none"/>
        </w:rPr>
      </w:pPr>
    </w:p>
    <w:p>
      <w:pPr>
        <w:pStyle w:val="4"/>
        <w:spacing w:before="0" w:after="0" w:line="360" w:lineRule="auto"/>
        <w:jc w:val="center"/>
        <w:rPr>
          <w:rFonts w:hint="eastAsia" w:ascii="宋体" w:hAnsi="宋体" w:eastAsia="宋体" w:cs="宋体"/>
          <w:sz w:val="28"/>
          <w:highlight w:val="none"/>
        </w:rPr>
      </w:pPr>
      <w:bookmarkStart w:id="235" w:name="_Toc31983"/>
      <w:bookmarkStart w:id="236" w:name="_Toc11329275"/>
      <w:bookmarkStart w:id="237" w:name="_Toc11728"/>
      <w:r>
        <w:rPr>
          <w:rFonts w:hint="eastAsia" w:ascii="宋体" w:hAnsi="宋体" w:eastAsia="宋体" w:cs="宋体"/>
          <w:sz w:val="28"/>
          <w:highlight w:val="none"/>
        </w:rPr>
        <w:t>三、</w:t>
      </w:r>
      <w:bookmarkEnd w:id="209"/>
      <w:bookmarkEnd w:id="210"/>
      <w:bookmarkEnd w:id="211"/>
      <w:bookmarkEnd w:id="235"/>
      <w:bookmarkEnd w:id="236"/>
      <w:bookmarkStart w:id="238" w:name="_Toc11329278"/>
      <w:bookmarkStart w:id="239" w:name="_Toc513633971"/>
      <w:bookmarkStart w:id="240" w:name="_Toc503951050"/>
      <w:bookmarkStart w:id="241" w:name="_Toc246996369"/>
      <w:bookmarkStart w:id="242" w:name="_Toc447827058"/>
      <w:bookmarkStart w:id="243" w:name="_Toc247085887"/>
      <w:bookmarkStart w:id="244" w:name="_Toc152042592"/>
      <w:bookmarkStart w:id="245" w:name="_Toc152045803"/>
      <w:bookmarkStart w:id="246" w:name="_Toc179632823"/>
      <w:bookmarkStart w:id="247" w:name="_Toc246997112"/>
      <w:bookmarkStart w:id="248" w:name="_Toc144974871"/>
      <w:r>
        <w:rPr>
          <w:rFonts w:hint="eastAsia" w:ascii="宋体" w:hAnsi="宋体" w:eastAsia="宋体" w:cs="宋体"/>
          <w:sz w:val="28"/>
          <w:highlight w:val="none"/>
        </w:rPr>
        <w:t>报价一览表</w:t>
      </w:r>
      <w:bookmarkEnd w:id="237"/>
    </w:p>
    <w:p>
      <w:pPr>
        <w:ind w:left="765"/>
        <w:jc w:val="center"/>
        <w:rPr>
          <w:rFonts w:hint="eastAsia" w:ascii="宋体" w:hAnsi="宋体" w:cs="宋体"/>
          <w:szCs w:val="21"/>
          <w:highlight w:val="none"/>
        </w:rPr>
      </w:pPr>
    </w:p>
    <w:p>
      <w:pPr>
        <w:pStyle w:val="38"/>
        <w:spacing w:line="480" w:lineRule="auto"/>
        <w:jc w:val="both"/>
        <w:rPr>
          <w:rFonts w:hint="eastAsia" w:hAnsi="宋体"/>
          <w:color w:val="auto"/>
          <w:highlight w:val="none"/>
        </w:rPr>
      </w:pPr>
      <w:r>
        <w:rPr>
          <w:rFonts w:hint="eastAsia" w:hAnsi="宋体"/>
          <w:color w:val="auto"/>
          <w:highlight w:val="none"/>
        </w:rPr>
        <w:t>重庆首讯科技股份有限公司：</w:t>
      </w:r>
    </w:p>
    <w:p>
      <w:pPr>
        <w:spacing w:line="480" w:lineRule="auto"/>
        <w:ind w:firstLine="420" w:firstLineChars="200"/>
        <w:jc w:val="left"/>
        <w:rPr>
          <w:rFonts w:hint="eastAsia" w:ascii="宋体" w:hAnsi="宋体"/>
          <w:b/>
          <w:szCs w:val="21"/>
          <w:highlight w:val="none"/>
        </w:rPr>
      </w:pPr>
      <w:r>
        <w:rPr>
          <w:rFonts w:hint="eastAsia" w:ascii="宋体" w:hAnsi="宋体"/>
          <w:szCs w:val="21"/>
          <w:highlight w:val="none"/>
        </w:rPr>
        <w:t>在研究了竞争比选文件中所有文件后，我司对</w:t>
      </w:r>
      <w:r>
        <w:rPr>
          <w:rFonts w:hint="eastAsia" w:ascii="Arial" w:hAnsi="Arial" w:cs="Arial"/>
          <w:szCs w:val="21"/>
          <w:highlight w:val="none"/>
        </w:rPr>
        <w:t>本项目</w:t>
      </w:r>
      <w:r>
        <w:rPr>
          <w:rFonts w:hint="eastAsia" w:ascii="宋体" w:hAnsi="宋体"/>
          <w:szCs w:val="21"/>
          <w:highlight w:val="none"/>
        </w:rPr>
        <w:t>竞</w:t>
      </w:r>
      <w:r>
        <w:rPr>
          <w:rFonts w:hint="eastAsia" w:ascii="Arial" w:hAnsi="Arial" w:cs="Arial"/>
          <w:szCs w:val="21"/>
          <w:highlight w:val="none"/>
        </w:rPr>
        <w:t>争比选响应</w:t>
      </w:r>
      <w:r>
        <w:rPr>
          <w:rFonts w:hint="eastAsia" w:ascii="宋体" w:hAnsi="宋体"/>
          <w:szCs w:val="21"/>
          <w:highlight w:val="none"/>
        </w:rPr>
        <w:t>报价如下：</w:t>
      </w:r>
      <w:r>
        <w:rPr>
          <w:rFonts w:hint="eastAsia" w:ascii="宋体" w:hAnsi="宋体"/>
          <w:b/>
          <w:szCs w:val="21"/>
          <w:highlight w:val="none"/>
        </w:rPr>
        <w:t xml:space="preserve"> </w:t>
      </w:r>
    </w:p>
    <w:tbl>
      <w:tblPr>
        <w:tblStyle w:val="42"/>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60"/>
        <w:gridCol w:w="4086"/>
        <w:gridCol w:w="490"/>
        <w:gridCol w:w="503"/>
        <w:gridCol w:w="879"/>
        <w:gridCol w:w="800"/>
        <w:gridCol w:w="913"/>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8" w:type="dxa"/>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序号</w:t>
            </w:r>
          </w:p>
        </w:tc>
        <w:tc>
          <w:tcPr>
            <w:tcW w:w="760" w:type="dxa"/>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服务项目</w:t>
            </w:r>
          </w:p>
        </w:tc>
        <w:tc>
          <w:tcPr>
            <w:tcW w:w="4086" w:type="dxa"/>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服务内容</w:t>
            </w:r>
          </w:p>
        </w:tc>
        <w:tc>
          <w:tcPr>
            <w:tcW w:w="490" w:type="dxa"/>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单位</w:t>
            </w:r>
          </w:p>
        </w:tc>
        <w:tc>
          <w:tcPr>
            <w:tcW w:w="503" w:type="dxa"/>
            <w:vAlign w:val="center"/>
          </w:tcPr>
          <w:p>
            <w:pPr>
              <w:widowControl/>
              <w:jc w:val="center"/>
              <w:textAlignment w:val="center"/>
              <w:rPr>
                <w:rFonts w:hint="eastAsia" w:ascii="宋体" w:hAnsi="宋体" w:cs="宋体"/>
                <w:b/>
                <w:bCs/>
                <w:kern w:val="0"/>
                <w:szCs w:val="21"/>
                <w:highlight w:val="none"/>
                <w:lang w:bidi="ar"/>
              </w:rPr>
            </w:pPr>
            <w:r>
              <w:rPr>
                <w:rFonts w:hint="eastAsia" w:ascii="宋体" w:hAnsi="宋体" w:cs="宋体"/>
                <w:b/>
                <w:bCs/>
                <w:szCs w:val="21"/>
                <w:highlight w:val="none"/>
              </w:rPr>
              <w:t>数量</w:t>
            </w:r>
          </w:p>
        </w:tc>
        <w:tc>
          <w:tcPr>
            <w:tcW w:w="879" w:type="dxa"/>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单价最高限价</w:t>
            </w:r>
            <w:r>
              <w:rPr>
                <w:rFonts w:hint="eastAsia" w:ascii="宋体" w:hAnsi="宋体" w:cs="宋体"/>
                <w:b/>
                <w:bCs/>
                <w:kern w:val="0"/>
                <w:szCs w:val="21"/>
                <w:highlight w:val="none"/>
                <w:lang w:bidi="ar"/>
              </w:rPr>
              <w:t>（元）</w:t>
            </w:r>
          </w:p>
        </w:tc>
        <w:tc>
          <w:tcPr>
            <w:tcW w:w="800" w:type="dxa"/>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单价报价（元）</w:t>
            </w:r>
          </w:p>
        </w:tc>
        <w:tc>
          <w:tcPr>
            <w:tcW w:w="913" w:type="dxa"/>
            <w:vAlign w:val="center"/>
          </w:tcPr>
          <w:p>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合价（元）</w:t>
            </w:r>
          </w:p>
        </w:tc>
        <w:tc>
          <w:tcPr>
            <w:tcW w:w="605" w:type="dxa"/>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08"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1</w:t>
            </w:r>
          </w:p>
        </w:tc>
        <w:tc>
          <w:tcPr>
            <w:tcW w:w="76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安全管理体系建设服务</w:t>
            </w:r>
          </w:p>
        </w:tc>
        <w:tc>
          <w:tcPr>
            <w:tcW w:w="4086" w:type="dxa"/>
            <w:vAlign w:val="center"/>
          </w:tcPr>
          <w:p>
            <w:pPr>
              <w:widowControl/>
              <w:jc w:val="left"/>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参照国家及行业相关政策要求以及国内国际权威安全管理体系标准，结合工作实际，配合业主单位完善和修订网络安全制度、应急预案、个人信息管理办法等相关安全管理制度，完善安全管理体系，并对制度的可实施性、可操作性提出相关合理建议。</w:t>
            </w:r>
          </w:p>
        </w:tc>
        <w:tc>
          <w:tcPr>
            <w:tcW w:w="49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次</w:t>
            </w:r>
          </w:p>
        </w:tc>
        <w:tc>
          <w:tcPr>
            <w:tcW w:w="503"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5</w:t>
            </w:r>
          </w:p>
        </w:tc>
        <w:tc>
          <w:tcPr>
            <w:tcW w:w="879"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2200</w:t>
            </w:r>
          </w:p>
        </w:tc>
        <w:tc>
          <w:tcPr>
            <w:tcW w:w="800" w:type="dxa"/>
            <w:vAlign w:val="center"/>
          </w:tcPr>
          <w:p>
            <w:pPr>
              <w:rPr>
                <w:rFonts w:hint="eastAsia" w:ascii="宋体" w:hAnsi="宋体" w:cs="宋体"/>
                <w:szCs w:val="21"/>
                <w:highlight w:val="none"/>
              </w:rPr>
            </w:pPr>
          </w:p>
        </w:tc>
        <w:tc>
          <w:tcPr>
            <w:tcW w:w="913" w:type="dxa"/>
            <w:vAlign w:val="center"/>
          </w:tcPr>
          <w:p>
            <w:pPr>
              <w:jc w:val="center"/>
              <w:rPr>
                <w:rFonts w:hint="eastAsia" w:ascii="宋体" w:hAnsi="宋体" w:cs="宋体"/>
                <w:szCs w:val="21"/>
                <w:highlight w:val="none"/>
              </w:rPr>
            </w:pPr>
          </w:p>
        </w:tc>
        <w:tc>
          <w:tcPr>
            <w:tcW w:w="605"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08"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2</w:t>
            </w:r>
          </w:p>
        </w:tc>
        <w:tc>
          <w:tcPr>
            <w:tcW w:w="76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网络安全等保测评服务</w:t>
            </w:r>
          </w:p>
        </w:tc>
        <w:tc>
          <w:tcPr>
            <w:tcW w:w="4086" w:type="dxa"/>
            <w:vAlign w:val="center"/>
          </w:tcPr>
          <w:p>
            <w:pPr>
              <w:widowControl/>
              <w:jc w:val="left"/>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依据《网络安全等级保护》要求，对信息系统进行等级保护测评，出具测评报告。协助业主单位对需要备案的信息系统完成定级备案，协调和邀请专家对所有需要定级备案的信息系统进行定级报告评审；针对信息系统进行差距分析，出具可实施的《差距分析报告与整改方案》，协助业主开展整改工作，确保顺利通过等保；协助开展等保测评工作，根据等保测评结果，制订合理的整改方案，并提供多种形式的技术响应和支持协助落实。</w:t>
            </w:r>
          </w:p>
        </w:tc>
        <w:tc>
          <w:tcPr>
            <w:tcW w:w="49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次</w:t>
            </w:r>
          </w:p>
        </w:tc>
        <w:tc>
          <w:tcPr>
            <w:tcW w:w="503"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5</w:t>
            </w:r>
          </w:p>
        </w:tc>
        <w:tc>
          <w:tcPr>
            <w:tcW w:w="879"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58000</w:t>
            </w:r>
          </w:p>
        </w:tc>
        <w:tc>
          <w:tcPr>
            <w:tcW w:w="800" w:type="dxa"/>
            <w:vAlign w:val="center"/>
          </w:tcPr>
          <w:p>
            <w:pPr>
              <w:rPr>
                <w:rFonts w:hint="eastAsia" w:ascii="宋体" w:hAnsi="宋体" w:cs="宋体"/>
                <w:szCs w:val="21"/>
                <w:highlight w:val="none"/>
              </w:rPr>
            </w:pPr>
          </w:p>
        </w:tc>
        <w:tc>
          <w:tcPr>
            <w:tcW w:w="913" w:type="dxa"/>
            <w:vAlign w:val="center"/>
          </w:tcPr>
          <w:p>
            <w:pPr>
              <w:jc w:val="center"/>
              <w:rPr>
                <w:rFonts w:hint="eastAsia" w:ascii="宋体" w:hAnsi="宋体" w:cs="宋体"/>
                <w:szCs w:val="21"/>
                <w:highlight w:val="none"/>
              </w:rPr>
            </w:pPr>
          </w:p>
        </w:tc>
        <w:tc>
          <w:tcPr>
            <w:tcW w:w="605"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08"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3</w:t>
            </w:r>
          </w:p>
        </w:tc>
        <w:tc>
          <w:tcPr>
            <w:tcW w:w="76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渗透测试服务</w:t>
            </w:r>
          </w:p>
        </w:tc>
        <w:tc>
          <w:tcPr>
            <w:tcW w:w="4086" w:type="dxa"/>
            <w:vAlign w:val="center"/>
          </w:tcPr>
          <w:p>
            <w:pPr>
              <w:widowControl/>
              <w:jc w:val="left"/>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1. 按甲方要求，对业务系统开展模拟攻击测试；2. 模拟攻击能力+人工渗透测试，按业务系统分组挖掘设计及配置漏洞；3. 输出报告，详述测试目标、方法、漏洞及风险防控建议；4. 针对测试发现的漏洞提供3轮复测服务，确保整改到位。</w:t>
            </w:r>
          </w:p>
        </w:tc>
        <w:tc>
          <w:tcPr>
            <w:tcW w:w="49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次</w:t>
            </w:r>
          </w:p>
        </w:tc>
        <w:tc>
          <w:tcPr>
            <w:tcW w:w="503"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10</w:t>
            </w:r>
          </w:p>
        </w:tc>
        <w:tc>
          <w:tcPr>
            <w:tcW w:w="879"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800" w:type="dxa"/>
            <w:vAlign w:val="center"/>
          </w:tcPr>
          <w:p>
            <w:pPr>
              <w:rPr>
                <w:rFonts w:hint="eastAsia" w:ascii="宋体" w:hAnsi="宋体" w:cs="宋体"/>
                <w:szCs w:val="21"/>
                <w:highlight w:val="none"/>
              </w:rPr>
            </w:pPr>
          </w:p>
        </w:tc>
        <w:tc>
          <w:tcPr>
            <w:tcW w:w="913" w:type="dxa"/>
            <w:vAlign w:val="center"/>
          </w:tcPr>
          <w:p>
            <w:pPr>
              <w:jc w:val="center"/>
              <w:rPr>
                <w:rFonts w:hint="eastAsia" w:ascii="宋体" w:hAnsi="宋体" w:cs="宋体"/>
                <w:szCs w:val="21"/>
                <w:highlight w:val="none"/>
              </w:rPr>
            </w:pPr>
          </w:p>
        </w:tc>
        <w:tc>
          <w:tcPr>
            <w:tcW w:w="605"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08"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4</w:t>
            </w:r>
          </w:p>
        </w:tc>
        <w:tc>
          <w:tcPr>
            <w:tcW w:w="76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风险评估服务</w:t>
            </w:r>
          </w:p>
        </w:tc>
        <w:tc>
          <w:tcPr>
            <w:tcW w:w="4086" w:type="dxa"/>
            <w:vAlign w:val="center"/>
          </w:tcPr>
          <w:p>
            <w:pPr>
              <w:widowControl/>
              <w:jc w:val="left"/>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1. 针对关联业务系统开展全面风险评估，覆盖网络层、主机层、应用层、数据层；2. 采用资产测绘、漏洞扫描、配置核查、威胁情报关联等多维度评估方法，识别高危风险点；3. 结合行业安全标准及业务特点，对风险进行量化分级（高/中/低），制定差异化整改优先级；4. 输出《全面风险评估总报告》及分集群风险明细，包含风险描述、影响范围、整改措施及实施建议；5. 配合完成风险整改效果验证，提供1次免费复评服务。</w:t>
            </w:r>
          </w:p>
        </w:tc>
        <w:tc>
          <w:tcPr>
            <w:tcW w:w="49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次</w:t>
            </w:r>
          </w:p>
        </w:tc>
        <w:tc>
          <w:tcPr>
            <w:tcW w:w="503"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10</w:t>
            </w:r>
          </w:p>
        </w:tc>
        <w:tc>
          <w:tcPr>
            <w:tcW w:w="879"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1000</w:t>
            </w:r>
          </w:p>
        </w:tc>
        <w:tc>
          <w:tcPr>
            <w:tcW w:w="800" w:type="dxa"/>
            <w:vAlign w:val="center"/>
          </w:tcPr>
          <w:p>
            <w:pPr>
              <w:rPr>
                <w:rFonts w:hint="eastAsia" w:ascii="宋体" w:hAnsi="宋体" w:cs="宋体"/>
                <w:szCs w:val="21"/>
                <w:highlight w:val="none"/>
              </w:rPr>
            </w:pPr>
          </w:p>
        </w:tc>
        <w:tc>
          <w:tcPr>
            <w:tcW w:w="913" w:type="dxa"/>
            <w:vAlign w:val="center"/>
          </w:tcPr>
          <w:p>
            <w:pPr>
              <w:jc w:val="center"/>
              <w:rPr>
                <w:rFonts w:hint="eastAsia" w:ascii="宋体" w:hAnsi="宋体" w:cs="宋体"/>
                <w:szCs w:val="21"/>
                <w:highlight w:val="none"/>
              </w:rPr>
            </w:pPr>
          </w:p>
        </w:tc>
        <w:tc>
          <w:tcPr>
            <w:tcW w:w="605"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每年2次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08"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5</w:t>
            </w:r>
          </w:p>
        </w:tc>
        <w:tc>
          <w:tcPr>
            <w:tcW w:w="76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安全运维托管服务</w:t>
            </w:r>
          </w:p>
        </w:tc>
        <w:tc>
          <w:tcPr>
            <w:tcW w:w="4086" w:type="dxa"/>
            <w:vAlign w:val="center"/>
          </w:tcPr>
          <w:p>
            <w:pPr>
              <w:widowControl/>
              <w:jc w:val="left"/>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提供7×24小时安全监控、日志分析、威胁处置、安全设备运维等托管服务。</w:t>
            </w:r>
          </w:p>
        </w:tc>
        <w:tc>
          <w:tcPr>
            <w:tcW w:w="49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次</w:t>
            </w:r>
          </w:p>
        </w:tc>
        <w:tc>
          <w:tcPr>
            <w:tcW w:w="503"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5</w:t>
            </w:r>
          </w:p>
        </w:tc>
        <w:tc>
          <w:tcPr>
            <w:tcW w:w="879"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2200</w:t>
            </w:r>
          </w:p>
        </w:tc>
        <w:tc>
          <w:tcPr>
            <w:tcW w:w="800" w:type="dxa"/>
            <w:vAlign w:val="center"/>
          </w:tcPr>
          <w:p>
            <w:pPr>
              <w:rPr>
                <w:rFonts w:hint="eastAsia" w:ascii="宋体" w:hAnsi="宋体" w:cs="宋体"/>
                <w:szCs w:val="21"/>
                <w:highlight w:val="none"/>
              </w:rPr>
            </w:pPr>
          </w:p>
        </w:tc>
        <w:tc>
          <w:tcPr>
            <w:tcW w:w="913" w:type="dxa"/>
            <w:vAlign w:val="center"/>
          </w:tcPr>
          <w:p>
            <w:pPr>
              <w:jc w:val="center"/>
              <w:rPr>
                <w:rFonts w:hint="eastAsia" w:ascii="宋体" w:hAnsi="宋体" w:cs="宋体"/>
                <w:szCs w:val="21"/>
                <w:highlight w:val="none"/>
              </w:rPr>
            </w:pPr>
          </w:p>
        </w:tc>
        <w:tc>
          <w:tcPr>
            <w:tcW w:w="605"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08"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6</w:t>
            </w:r>
          </w:p>
        </w:tc>
        <w:tc>
          <w:tcPr>
            <w:tcW w:w="76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网络安全加固服务</w:t>
            </w:r>
          </w:p>
        </w:tc>
        <w:tc>
          <w:tcPr>
            <w:tcW w:w="4086" w:type="dxa"/>
            <w:vAlign w:val="center"/>
          </w:tcPr>
          <w:p>
            <w:pPr>
              <w:widowControl/>
              <w:jc w:val="left"/>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根据业主需求进行渗透测试、风险评估、基线核查、WEB扫描、漏洞扫描、基线检查、弱口令、恶意代码检查、日志审计等。提供安全漏洞修复、安全基线配置、网络及主机安全策略优化等服务，若需外单位协助整改，提供整改细则说明及相关配合工作。按需为指定应用系统提供必要的网络安全设备支撑服务，防火墙，IPS，EDR主机安全，日志审计，数据库审计， 堡垒机等。</w:t>
            </w:r>
          </w:p>
        </w:tc>
        <w:tc>
          <w:tcPr>
            <w:tcW w:w="49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次</w:t>
            </w:r>
          </w:p>
        </w:tc>
        <w:tc>
          <w:tcPr>
            <w:tcW w:w="503"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5</w:t>
            </w:r>
          </w:p>
        </w:tc>
        <w:tc>
          <w:tcPr>
            <w:tcW w:w="879"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6000</w:t>
            </w:r>
          </w:p>
        </w:tc>
        <w:tc>
          <w:tcPr>
            <w:tcW w:w="800" w:type="dxa"/>
            <w:vAlign w:val="center"/>
          </w:tcPr>
          <w:p>
            <w:pPr>
              <w:rPr>
                <w:rFonts w:hint="eastAsia" w:ascii="宋体" w:hAnsi="宋体" w:cs="宋体"/>
                <w:szCs w:val="21"/>
                <w:highlight w:val="none"/>
              </w:rPr>
            </w:pPr>
          </w:p>
        </w:tc>
        <w:tc>
          <w:tcPr>
            <w:tcW w:w="913" w:type="dxa"/>
            <w:vAlign w:val="center"/>
          </w:tcPr>
          <w:p>
            <w:pPr>
              <w:jc w:val="center"/>
              <w:rPr>
                <w:rFonts w:hint="eastAsia" w:ascii="宋体" w:hAnsi="宋体" w:cs="宋体"/>
                <w:szCs w:val="21"/>
                <w:highlight w:val="none"/>
              </w:rPr>
            </w:pPr>
          </w:p>
        </w:tc>
        <w:tc>
          <w:tcPr>
            <w:tcW w:w="605"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508"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7</w:t>
            </w:r>
          </w:p>
        </w:tc>
        <w:tc>
          <w:tcPr>
            <w:tcW w:w="76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应急响应服务</w:t>
            </w:r>
          </w:p>
        </w:tc>
        <w:tc>
          <w:tcPr>
            <w:tcW w:w="4086" w:type="dxa"/>
            <w:vAlign w:val="center"/>
          </w:tcPr>
          <w:p>
            <w:pPr>
              <w:widowControl/>
              <w:jc w:val="left"/>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val="en-US" w:eastAsia="zh-CN" w:bidi="ar"/>
              </w:rPr>
              <w:t>提供重大时刻安全保障；对业主网站提供7*24小时实时监测服务；当业主单位发生网络安全事件或事件预警时，应半小时响应，并根据情况派出安全专家团队开展事件响应工作，制订应急处置方案，现场排查处理安全事件，保障业务系统的连续性，阻止和减小安全事件带来的负面影响；专家团队必须第一时间通过电话进行远程指导，一小时内到达现场；事后完善相关过程资料。</w:t>
            </w:r>
          </w:p>
        </w:tc>
        <w:tc>
          <w:tcPr>
            <w:tcW w:w="490"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次</w:t>
            </w:r>
          </w:p>
        </w:tc>
        <w:tc>
          <w:tcPr>
            <w:tcW w:w="503" w:type="dxa"/>
            <w:vAlign w:val="center"/>
          </w:tcPr>
          <w:p>
            <w:pPr>
              <w:widowControl/>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val="en-US" w:eastAsia="zh-CN" w:bidi="ar"/>
              </w:rPr>
              <w:t>5</w:t>
            </w:r>
          </w:p>
        </w:tc>
        <w:tc>
          <w:tcPr>
            <w:tcW w:w="879"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4000</w:t>
            </w:r>
          </w:p>
        </w:tc>
        <w:tc>
          <w:tcPr>
            <w:tcW w:w="800" w:type="dxa"/>
            <w:vAlign w:val="center"/>
          </w:tcPr>
          <w:p>
            <w:pPr>
              <w:rPr>
                <w:rFonts w:hint="eastAsia" w:ascii="宋体" w:hAnsi="宋体" w:cs="宋体"/>
                <w:szCs w:val="21"/>
                <w:highlight w:val="none"/>
              </w:rPr>
            </w:pPr>
          </w:p>
        </w:tc>
        <w:tc>
          <w:tcPr>
            <w:tcW w:w="913" w:type="dxa"/>
            <w:vAlign w:val="center"/>
          </w:tcPr>
          <w:p>
            <w:pPr>
              <w:jc w:val="center"/>
              <w:rPr>
                <w:rFonts w:hint="eastAsia" w:ascii="宋体" w:hAnsi="宋体" w:cs="宋体"/>
                <w:szCs w:val="21"/>
                <w:highlight w:val="none"/>
              </w:rPr>
            </w:pPr>
          </w:p>
        </w:tc>
        <w:tc>
          <w:tcPr>
            <w:tcW w:w="605" w:type="dxa"/>
            <w:vAlign w:val="center"/>
          </w:tcPr>
          <w:p>
            <w:pPr>
              <w:keepNext w:val="0"/>
              <w:keepLines w:val="0"/>
              <w:widowControl/>
              <w:suppressLineNumbers w:val="0"/>
              <w:jc w:val="center"/>
              <w:textAlignment w:val="center"/>
              <w:rPr>
                <w:rFonts w:hint="eastAsia" w:ascii="宋体" w:hAnsi="宋体" w:cs="宋体"/>
                <w:szCs w:val="21"/>
                <w:highlight w:val="none"/>
              </w:rPr>
            </w:pPr>
            <w:r>
              <w:rPr>
                <w:rFonts w:hint="eastAsia" w:ascii="宋体" w:hAnsi="宋体" w:eastAsia="宋体" w:cs="宋体"/>
                <w:i w:val="0"/>
                <w:iCs w:val="0"/>
                <w:color w:val="000000"/>
                <w:kern w:val="0"/>
                <w:sz w:val="20"/>
                <w:szCs w:val="20"/>
                <w:highlight w:val="none"/>
                <w:u w:val="none"/>
                <w:lang w:val="en-US" w:eastAsia="zh-CN" w:bidi="ar"/>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54" w:type="dxa"/>
            <w:gridSpan w:val="3"/>
            <w:vAlign w:val="center"/>
          </w:tcPr>
          <w:p>
            <w:pPr>
              <w:jc w:val="center"/>
              <w:rPr>
                <w:rFonts w:hint="eastAsia" w:ascii="宋体" w:hAnsi="宋体" w:cs="宋体"/>
                <w:b/>
                <w:bCs/>
                <w:szCs w:val="21"/>
                <w:highlight w:val="none"/>
              </w:rPr>
            </w:pPr>
            <w:r>
              <w:rPr>
                <w:rFonts w:hint="eastAsia" w:ascii="宋体" w:hAnsi="宋体" w:cs="宋体"/>
                <w:b/>
                <w:bCs/>
                <w:szCs w:val="21"/>
                <w:highlight w:val="none"/>
              </w:rPr>
              <w:t>税率（%）</w:t>
            </w:r>
          </w:p>
        </w:tc>
        <w:tc>
          <w:tcPr>
            <w:tcW w:w="4190" w:type="dxa"/>
            <w:gridSpan w:val="6"/>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4" w:type="dxa"/>
            <w:gridSpan w:val="3"/>
            <w:vAlign w:val="center"/>
          </w:tcPr>
          <w:p>
            <w:pPr>
              <w:jc w:val="center"/>
              <w:rPr>
                <w:rFonts w:hint="eastAsia" w:ascii="宋体" w:hAnsi="宋体" w:cs="宋体"/>
                <w:b/>
                <w:bCs/>
                <w:szCs w:val="21"/>
                <w:highlight w:val="none"/>
              </w:rPr>
            </w:pPr>
            <w:r>
              <w:rPr>
                <w:rFonts w:hint="eastAsia" w:ascii="宋体" w:hAnsi="宋体" w:cs="宋体"/>
                <w:b/>
                <w:bCs/>
                <w:szCs w:val="21"/>
                <w:highlight w:val="none"/>
              </w:rPr>
              <w:t>含税总报价（元）</w:t>
            </w:r>
          </w:p>
          <w:p>
            <w:pPr>
              <w:jc w:val="center"/>
              <w:rPr>
                <w:rFonts w:hint="eastAsia" w:ascii="宋体" w:hAnsi="宋体" w:cs="宋体"/>
                <w:szCs w:val="21"/>
                <w:highlight w:val="none"/>
              </w:rPr>
            </w:pPr>
          </w:p>
        </w:tc>
        <w:tc>
          <w:tcPr>
            <w:tcW w:w="4190" w:type="dxa"/>
            <w:gridSpan w:val="6"/>
            <w:vAlign w:val="center"/>
          </w:tcPr>
          <w:p>
            <w:pPr>
              <w:rPr>
                <w:highlight w:val="none"/>
              </w:rPr>
            </w:pPr>
          </w:p>
        </w:tc>
      </w:tr>
    </w:tbl>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注：1、含税总报价应与竞争性比选响应声明书中的报价一致；所有价格均系用人民币表示，单位为“元”，报价最多精确到小数点后两位。</w:t>
      </w:r>
    </w:p>
    <w:p>
      <w:pPr>
        <w:spacing w:line="400" w:lineRule="exact"/>
        <w:ind w:firstLine="420" w:firstLineChars="200"/>
        <w:rPr>
          <w:rFonts w:hint="eastAsia" w:ascii="宋体" w:hAnsi="宋体"/>
          <w:highlight w:val="none"/>
        </w:rPr>
      </w:pPr>
      <w:r>
        <w:rPr>
          <w:rFonts w:hint="eastAsia" w:ascii="宋体" w:hAnsi="宋体" w:cs="宋体"/>
          <w:szCs w:val="21"/>
          <w:highlight w:val="none"/>
        </w:rPr>
        <w:t>2、报价人应仔细核实比选范围内所包含的所有计费项目，未报及漏报的项目将视为是报价人对采购人进行优惠，结算时不再进行增加。</w:t>
      </w:r>
    </w:p>
    <w:p>
      <w:pPr>
        <w:spacing w:line="480" w:lineRule="auto"/>
        <w:ind w:firstLine="4800" w:firstLineChars="2000"/>
        <w:rPr>
          <w:rFonts w:hint="eastAsia" w:ascii="宋体" w:hAnsi="宋体"/>
          <w:sz w:val="24"/>
          <w:highlight w:val="none"/>
        </w:rPr>
      </w:pPr>
    </w:p>
    <w:p>
      <w:pPr>
        <w:tabs>
          <w:tab w:val="left" w:pos="7140"/>
          <w:tab w:val="left" w:pos="7560"/>
          <w:tab w:val="left" w:pos="8300"/>
        </w:tabs>
        <w:autoSpaceDE w:val="0"/>
        <w:autoSpaceDN w:val="0"/>
        <w:adjustRightInd w:val="0"/>
        <w:ind w:firstLine="420" w:firstLineChars="200"/>
        <w:jc w:val="right"/>
        <w:rPr>
          <w:rFonts w:hint="eastAsia" w:ascii="宋体" w:hAnsi="宋体"/>
          <w:kern w:val="0"/>
          <w:szCs w:val="21"/>
          <w:highlight w:val="none"/>
        </w:rPr>
      </w:pPr>
    </w:p>
    <w:p>
      <w:pPr>
        <w:tabs>
          <w:tab w:val="left" w:pos="7140"/>
          <w:tab w:val="left" w:pos="7560"/>
          <w:tab w:val="left" w:pos="8300"/>
        </w:tabs>
        <w:autoSpaceDE w:val="0"/>
        <w:autoSpaceDN w:val="0"/>
        <w:adjustRightInd w:val="0"/>
        <w:spacing w:line="360" w:lineRule="auto"/>
        <w:ind w:right="210" w:firstLine="3584" w:firstLineChars="1700"/>
        <w:rPr>
          <w:rFonts w:hint="eastAsia" w:ascii="宋体" w:hAnsi="宋体"/>
          <w:b/>
          <w:bCs/>
          <w:snapToGrid w:val="0"/>
          <w:kern w:val="0"/>
          <w:szCs w:val="21"/>
          <w:highlight w:val="none"/>
        </w:rPr>
      </w:pPr>
      <w:r>
        <w:rPr>
          <w:rFonts w:hint="eastAsia" w:ascii="宋体" w:hAnsi="宋体"/>
          <w:b/>
          <w:bCs/>
          <w:snapToGrid w:val="0"/>
          <w:kern w:val="0"/>
          <w:szCs w:val="21"/>
          <w:highlight w:val="none"/>
        </w:rPr>
        <w:t>报</w:t>
      </w:r>
      <w:r>
        <w:rPr>
          <w:rFonts w:ascii="宋体" w:hAnsi="宋体"/>
          <w:b/>
          <w:bCs/>
          <w:snapToGrid w:val="0"/>
          <w:kern w:val="0"/>
          <w:szCs w:val="21"/>
          <w:highlight w:val="none"/>
        </w:rPr>
        <w:t xml:space="preserve">  </w:t>
      </w:r>
      <w:r>
        <w:rPr>
          <w:rFonts w:hint="eastAsia" w:ascii="宋体" w:hAnsi="宋体"/>
          <w:b/>
          <w:bCs/>
          <w:snapToGrid w:val="0"/>
          <w:kern w:val="0"/>
          <w:szCs w:val="21"/>
          <w:highlight w:val="none"/>
        </w:rPr>
        <w:t>价</w:t>
      </w:r>
      <w:r>
        <w:rPr>
          <w:rFonts w:ascii="宋体" w:hAnsi="宋体"/>
          <w:b/>
          <w:bCs/>
          <w:snapToGrid w:val="0"/>
          <w:kern w:val="0"/>
          <w:szCs w:val="21"/>
          <w:highlight w:val="none"/>
        </w:rPr>
        <w:t xml:space="preserve">  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ascii="宋体" w:hAnsi="宋体"/>
          <w:b/>
          <w:bCs/>
          <w:snapToGrid w:val="0"/>
          <w:kern w:val="0"/>
          <w:szCs w:val="21"/>
          <w:highlight w:val="none"/>
        </w:rPr>
        <w:t>（盖单位</w:t>
      </w:r>
      <w:r>
        <w:rPr>
          <w:rFonts w:hint="eastAsia" w:ascii="宋体" w:hAnsi="宋体"/>
          <w:b/>
          <w:bCs/>
          <w:snapToGrid w:val="0"/>
          <w:kern w:val="0"/>
          <w:szCs w:val="21"/>
          <w:highlight w:val="none"/>
        </w:rPr>
        <w:t>公</w:t>
      </w:r>
      <w:r>
        <w:rPr>
          <w:rFonts w:ascii="宋体" w:hAnsi="宋体"/>
          <w:b/>
          <w:bCs/>
          <w:snapToGrid w:val="0"/>
          <w:kern w:val="0"/>
          <w:szCs w:val="21"/>
          <w:highlight w:val="none"/>
        </w:rPr>
        <w:t xml:space="preserve">章） </w:t>
      </w:r>
    </w:p>
    <w:p>
      <w:pPr>
        <w:tabs>
          <w:tab w:val="left" w:pos="7140"/>
          <w:tab w:val="left" w:pos="7560"/>
          <w:tab w:val="left" w:pos="8300"/>
        </w:tabs>
        <w:autoSpaceDE w:val="0"/>
        <w:autoSpaceDN w:val="0"/>
        <w:adjustRightInd w:val="0"/>
        <w:ind w:firstLine="422" w:firstLineChars="200"/>
        <w:jc w:val="right"/>
        <w:rPr>
          <w:rFonts w:hint="eastAsia" w:ascii="宋体" w:hAnsi="宋体"/>
          <w:b/>
          <w:bCs/>
          <w:snapToGrid w:val="0"/>
          <w:kern w:val="0"/>
          <w:szCs w:val="21"/>
          <w:highlight w:val="none"/>
        </w:rPr>
      </w:pPr>
      <w:r>
        <w:rPr>
          <w:rFonts w:ascii="宋体" w:hAnsi="宋体"/>
          <w:b/>
          <w:bCs/>
          <w:snapToGrid w:val="0"/>
          <w:kern w:val="0"/>
          <w:szCs w:val="21"/>
          <w:highlight w:val="none"/>
        </w:rPr>
        <w:t>法定代表人或其委托代理人：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rPr>
        <w:t>（</w:t>
      </w:r>
      <w:r>
        <w:rPr>
          <w:rFonts w:hint="eastAsia" w:ascii="宋体" w:hAnsi="宋体"/>
          <w:b/>
          <w:bCs/>
          <w:snapToGrid w:val="0"/>
          <w:kern w:val="0"/>
          <w:szCs w:val="21"/>
          <w:highlight w:val="none"/>
        </w:rPr>
        <w:t>签名</w:t>
      </w:r>
      <w:r>
        <w:rPr>
          <w:rFonts w:ascii="宋体" w:hAnsi="宋体"/>
          <w:b/>
          <w:bCs/>
          <w:snapToGrid w:val="0"/>
          <w:kern w:val="0"/>
          <w:szCs w:val="21"/>
          <w:highlight w:val="none"/>
        </w:rPr>
        <w:t xml:space="preserve">或盖章） </w:t>
      </w:r>
    </w:p>
    <w:p>
      <w:pPr>
        <w:jc w:val="right"/>
        <w:rPr>
          <w:rFonts w:hint="eastAsia" w:ascii="宋体" w:hAnsi="宋体"/>
          <w:b/>
          <w:bCs/>
          <w:kern w:val="0"/>
          <w:szCs w:val="21"/>
          <w:highlight w:val="none"/>
          <w:u w:val="single"/>
        </w:rPr>
      </w:pPr>
    </w:p>
    <w:p>
      <w:pPr>
        <w:jc w:val="right"/>
        <w:rPr>
          <w:rFonts w:hint="eastAsia" w:ascii="宋体" w:hAnsi="宋体"/>
          <w:b/>
          <w:bCs/>
          <w:kern w:val="0"/>
          <w:szCs w:val="21"/>
          <w:highlight w:val="none"/>
        </w:rPr>
      </w:pPr>
      <w:r>
        <w:rPr>
          <w:rFonts w:hint="eastAsia" w:ascii="宋体" w:hAnsi="宋体"/>
          <w:b/>
          <w:bCs/>
          <w:kern w:val="0"/>
          <w:szCs w:val="21"/>
          <w:highlight w:val="none"/>
          <w:u w:val="single"/>
        </w:rPr>
        <w:t xml:space="preserve">    </w:t>
      </w:r>
      <w:r>
        <w:rPr>
          <w:rFonts w:ascii="宋体" w:hAnsi="宋体"/>
          <w:b/>
          <w:bCs/>
          <w:kern w:val="0"/>
          <w:szCs w:val="21"/>
          <w:highlight w:val="none"/>
        </w:rPr>
        <w:t>年</w:t>
      </w:r>
      <w:r>
        <w:rPr>
          <w:rFonts w:hint="eastAsia" w:ascii="宋体" w:hAnsi="宋体"/>
          <w:b/>
          <w:bCs/>
          <w:kern w:val="0"/>
          <w:szCs w:val="21"/>
          <w:highlight w:val="none"/>
          <w:u w:val="single"/>
        </w:rPr>
        <w:t xml:space="preserve">    </w:t>
      </w:r>
      <w:r>
        <w:rPr>
          <w:rFonts w:ascii="宋体" w:hAnsi="宋体"/>
          <w:b/>
          <w:bCs/>
          <w:kern w:val="0"/>
          <w:szCs w:val="21"/>
          <w:highlight w:val="none"/>
        </w:rPr>
        <w:t>月</w:t>
      </w:r>
      <w:r>
        <w:rPr>
          <w:rFonts w:hint="eastAsia" w:ascii="宋体" w:hAnsi="宋体"/>
          <w:b/>
          <w:bCs/>
          <w:kern w:val="0"/>
          <w:szCs w:val="21"/>
          <w:highlight w:val="none"/>
          <w:u w:val="single"/>
        </w:rPr>
        <w:t xml:space="preserve">    </w:t>
      </w:r>
      <w:r>
        <w:rPr>
          <w:rFonts w:ascii="宋体" w:hAnsi="宋体"/>
          <w:b/>
          <w:bCs/>
          <w:kern w:val="0"/>
          <w:szCs w:val="21"/>
          <w:highlight w:val="none"/>
        </w:rPr>
        <w:t>日</w:t>
      </w:r>
    </w:p>
    <w:p>
      <w:pPr>
        <w:pStyle w:val="4"/>
        <w:spacing w:before="0" w:after="0" w:line="360" w:lineRule="auto"/>
        <w:jc w:val="center"/>
        <w:rPr>
          <w:rFonts w:hint="eastAsia" w:ascii="宋体" w:hAnsi="宋体" w:eastAsia="宋体" w:cs="宋体"/>
          <w:sz w:val="28"/>
          <w:highlight w:val="none"/>
        </w:rPr>
      </w:pPr>
      <w:r>
        <w:rPr>
          <w:rFonts w:hint="eastAsia" w:ascii="宋体" w:hAnsi="宋体" w:eastAsia="宋体" w:cs="宋体"/>
          <w:sz w:val="28"/>
          <w:highlight w:val="none"/>
        </w:rPr>
        <w:br w:type="page"/>
      </w:r>
      <w:bookmarkStart w:id="249" w:name="_Toc11961"/>
      <w:bookmarkStart w:id="250" w:name="_Toc17816"/>
      <w:bookmarkStart w:id="251" w:name="_Toc18757"/>
      <w:bookmarkStart w:id="252" w:name="_Toc4544"/>
      <w:bookmarkStart w:id="253" w:name="_Toc12910"/>
      <w:r>
        <w:rPr>
          <w:rFonts w:hint="eastAsia" w:ascii="宋体" w:hAnsi="宋体" w:eastAsia="宋体" w:cs="宋体"/>
          <w:sz w:val="28"/>
          <w:highlight w:val="none"/>
        </w:rPr>
        <w:t>四、资格审查资料</w:t>
      </w:r>
      <w:bookmarkEnd w:id="238"/>
      <w:bookmarkEnd w:id="239"/>
      <w:bookmarkEnd w:id="240"/>
      <w:bookmarkEnd w:id="249"/>
      <w:bookmarkEnd w:id="250"/>
      <w:bookmarkEnd w:id="251"/>
      <w:bookmarkEnd w:id="252"/>
      <w:bookmarkEnd w:id="253"/>
    </w:p>
    <w:bookmarkEnd w:id="241"/>
    <w:bookmarkEnd w:id="242"/>
    <w:bookmarkEnd w:id="243"/>
    <w:bookmarkEnd w:id="244"/>
    <w:bookmarkEnd w:id="245"/>
    <w:bookmarkEnd w:id="246"/>
    <w:bookmarkEnd w:id="247"/>
    <w:bookmarkEnd w:id="248"/>
    <w:p>
      <w:pPr>
        <w:jc w:val="center"/>
        <w:rPr>
          <w:rFonts w:hint="eastAsia" w:ascii="宋体" w:hAnsi="宋体" w:cs="宋体"/>
          <w:b/>
          <w:bCs/>
          <w:sz w:val="28"/>
          <w:highlight w:val="none"/>
        </w:rPr>
      </w:pPr>
      <w:bookmarkStart w:id="254" w:name="_Toc503951058"/>
      <w:bookmarkStart w:id="255" w:name="_Toc513633974"/>
      <w:r>
        <w:rPr>
          <w:rFonts w:hint="eastAsia" w:ascii="宋体" w:hAnsi="宋体" w:cs="宋体"/>
          <w:b/>
          <w:bCs/>
          <w:sz w:val="28"/>
          <w:highlight w:val="none"/>
        </w:rPr>
        <w:t>（一）资质要求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56" w:name="资质要求2"/>
            <w:r>
              <w:rPr>
                <w:rFonts w:hint="eastAsia" w:ascii="宋体" w:hAnsi="宋体" w:cs="宋体"/>
                <w:szCs w:val="21"/>
                <w:highlight w:val="none"/>
                <w:shd w:val="clear" w:color="auto" w:fill="FCFCFC"/>
              </w:rPr>
              <w:t>报价人具有独立法人资格及有效的营业执照。</w:t>
            </w:r>
            <w:bookmarkEnd w:id="256"/>
          </w:p>
        </w:tc>
      </w:tr>
    </w:tbl>
    <w:p>
      <w:pPr>
        <w:spacing w:line="400" w:lineRule="exact"/>
        <w:ind w:firstLine="422" w:firstLineChars="200"/>
        <w:jc w:val="left"/>
        <w:rPr>
          <w:rFonts w:hint="eastAsia" w:hAnsi="宋体"/>
          <w:b/>
          <w:bCs/>
          <w:szCs w:val="21"/>
          <w:highlight w:val="none"/>
        </w:rPr>
      </w:pPr>
      <w:r>
        <w:rPr>
          <w:rFonts w:hint="eastAsia" w:hAnsi="宋体"/>
          <w:b/>
          <w:bCs/>
          <w:szCs w:val="21"/>
          <w:highlight w:val="none"/>
        </w:rPr>
        <w:t>注：提供营业执照</w:t>
      </w:r>
      <w:r>
        <w:rPr>
          <w:rFonts w:hint="eastAsia" w:hAnsi="宋体"/>
          <w:b/>
          <w:bCs/>
          <w:szCs w:val="21"/>
          <w:highlight w:val="none"/>
          <w:lang w:val="en-US" w:eastAsia="zh-CN"/>
        </w:rPr>
        <w:t>及相关证书</w:t>
      </w:r>
      <w:r>
        <w:rPr>
          <w:rFonts w:hint="eastAsia" w:hAnsi="宋体"/>
          <w:b/>
          <w:bCs/>
          <w:szCs w:val="21"/>
          <w:highlight w:val="none"/>
        </w:rPr>
        <w:t>复印件，并加盖公章。</w:t>
      </w:r>
    </w:p>
    <w:p>
      <w:pPr>
        <w:rPr>
          <w:rFonts w:hint="eastAsia" w:ascii="宋体" w:hAnsi="宋体" w:cs="宋体"/>
          <w:b/>
          <w:bCs/>
          <w:sz w:val="28"/>
          <w:highlight w:val="none"/>
        </w:rPr>
      </w:pPr>
      <w:r>
        <w:rPr>
          <w:rFonts w:hint="eastAsia" w:ascii="宋体" w:hAnsi="宋体" w:cs="宋体"/>
          <w:b/>
          <w:bCs/>
          <w:sz w:val="28"/>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（二）业绩要求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业绩要求</w:t>
            </w:r>
          </w:p>
        </w:tc>
        <w:tc>
          <w:tcPr>
            <w:tcW w:w="706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shd w:val="clear" w:color="auto" w:fill="FFFFFF"/>
              </w:rPr>
            </w:pPr>
            <w:bookmarkStart w:id="257" w:name="业绩要求2"/>
            <w:r>
              <w:rPr>
                <w:rFonts w:hint="eastAsia" w:ascii="宋体" w:hAnsi="宋体" w:cs="宋体"/>
                <w:szCs w:val="21"/>
                <w:highlight w:val="none"/>
              </w:rPr>
              <w:t>2023年1月1日至报价截止日期（以合同签订时间为准）至少独立完成一项合同金额不低于20万元的网络安全建设或服务项目相关业绩。</w:t>
            </w:r>
            <w:bookmarkEnd w:id="257"/>
          </w:p>
        </w:tc>
      </w:tr>
    </w:tbl>
    <w:p>
      <w:pPr>
        <w:spacing w:line="400" w:lineRule="exact"/>
        <w:ind w:firstLine="422" w:firstLineChars="200"/>
        <w:rPr>
          <w:b/>
          <w:bCs/>
          <w:szCs w:val="21"/>
          <w:highlight w:val="none"/>
        </w:rPr>
      </w:pPr>
      <w:r>
        <w:rPr>
          <w:rFonts w:hint="eastAsia"/>
          <w:b/>
          <w:bCs/>
          <w:highlight w:val="none"/>
        </w:rPr>
        <w:t>注：以下提供业绩证明资料</w:t>
      </w:r>
      <w:r>
        <w:rPr>
          <w:b/>
          <w:bCs/>
          <w:highlight w:val="none"/>
        </w:rPr>
        <w:t>提供合同</w:t>
      </w:r>
      <w:r>
        <w:rPr>
          <w:rFonts w:hint="eastAsia" w:ascii="宋体" w:hAnsi="宋体" w:cs="宋体"/>
          <w:b/>
          <w:bCs/>
          <w:szCs w:val="21"/>
          <w:highlight w:val="none"/>
          <w:shd w:val="clear" w:color="auto" w:fill="FFFFFF"/>
        </w:rPr>
        <w:t>复印件</w:t>
      </w:r>
      <w:r>
        <w:rPr>
          <w:b/>
          <w:bCs/>
          <w:highlight w:val="none"/>
        </w:rPr>
        <w:t>（合同需清晰反映上述业绩要求的主要内容，包括但不限于合同签订时间、合同金额及合同内容）</w:t>
      </w:r>
      <w:r>
        <w:rPr>
          <w:rFonts w:hint="eastAsia"/>
          <w:b/>
          <w:bCs/>
          <w:highlight w:val="none"/>
        </w:rPr>
        <w:t>，并</w:t>
      </w:r>
      <w:r>
        <w:rPr>
          <w:rFonts w:hint="eastAsia" w:hAnsi="宋体"/>
          <w:b/>
          <w:bCs/>
          <w:kern w:val="0"/>
          <w:szCs w:val="21"/>
          <w:highlight w:val="none"/>
        </w:rPr>
        <w:t>盖单位公章。若合同中无法体现上述内容的，则还需出具加盖业主公章的业主证明材料。</w:t>
      </w:r>
    </w:p>
    <w:p>
      <w:pPr>
        <w:rPr>
          <w:rFonts w:hint="eastAsia" w:ascii="宋体" w:hAnsi="宋体" w:cs="宋体"/>
          <w:b/>
          <w:bCs/>
          <w:kern w:val="0"/>
          <w:sz w:val="28"/>
          <w:szCs w:val="32"/>
          <w:highlight w:val="none"/>
        </w:rPr>
      </w:pP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（三）主要管理人员要求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主要管理人员要求</w:t>
            </w:r>
          </w:p>
        </w:tc>
        <w:tc>
          <w:tcPr>
            <w:tcW w:w="694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58" w:name="主要管理人员要求1"/>
            <w:r>
              <w:rPr>
                <w:rFonts w:hint="eastAsia" w:ascii="宋体" w:hAnsi="宋体" w:cs="宋体"/>
                <w:szCs w:val="21"/>
                <w:highlight w:val="none"/>
              </w:rPr>
              <w:t>项目负责人1人，为报价人公司正式员工且该单位有3年及以上工作经验。</w:t>
            </w:r>
            <w:bookmarkEnd w:id="258"/>
          </w:p>
        </w:tc>
      </w:tr>
    </w:tbl>
    <w:p>
      <w:pPr>
        <w:rPr>
          <w:rFonts w:hint="eastAsia" w:ascii="宋体" w:hAnsi="宋体" w:cs="宋体"/>
          <w:b/>
          <w:bCs/>
          <w:kern w:val="0"/>
          <w:sz w:val="28"/>
          <w:szCs w:val="32"/>
          <w:highlight w:val="none"/>
        </w:rPr>
      </w:pPr>
      <w:r>
        <w:rPr>
          <w:rFonts w:hint="eastAsia"/>
          <w:b/>
          <w:bCs/>
          <w:highlight w:val="none"/>
        </w:rPr>
        <w:t>注：</w:t>
      </w:r>
      <w:r>
        <w:rPr>
          <w:rFonts w:hint="eastAsia" w:hAnsi="宋体"/>
          <w:b/>
          <w:bCs/>
          <w:kern w:val="0"/>
          <w:szCs w:val="21"/>
          <w:highlight w:val="none"/>
        </w:rPr>
        <w:t>报价人拟派的主要管理人员，由报价人自行承诺（格式自拟），并盖单位公章。</w:t>
      </w: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（四）其他人员要求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其他人员要求</w:t>
            </w:r>
          </w:p>
        </w:tc>
        <w:tc>
          <w:tcPr>
            <w:tcW w:w="709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hint="eastAsia" w:ascii="宋体" w:hAnsi="宋体" w:cs="宋体"/>
                <w:szCs w:val="21"/>
                <w:highlight w:val="none"/>
              </w:rPr>
            </w:pPr>
            <w:bookmarkStart w:id="259" w:name="其他人员要求1"/>
            <w:r>
              <w:rPr>
                <w:rFonts w:hint="eastAsia" w:ascii="宋体" w:hAnsi="宋体" w:cs="宋体"/>
                <w:szCs w:val="21"/>
                <w:highlight w:val="none"/>
              </w:rPr>
              <w:t>维护人员3人，为报价人公司正式员工且该单位有1年及以上工作经验。</w:t>
            </w:r>
            <w:bookmarkEnd w:id="259"/>
          </w:p>
        </w:tc>
      </w:tr>
    </w:tbl>
    <w:p>
      <w:pPr>
        <w:rPr>
          <w:rFonts w:hint="eastAsia" w:ascii="宋体" w:hAnsi="宋体" w:cs="宋体"/>
          <w:b/>
          <w:bCs/>
          <w:kern w:val="0"/>
          <w:sz w:val="28"/>
          <w:szCs w:val="32"/>
          <w:highlight w:val="none"/>
        </w:rPr>
      </w:pPr>
      <w:r>
        <w:rPr>
          <w:rFonts w:hint="eastAsia"/>
          <w:b/>
          <w:bCs/>
          <w:highlight w:val="none"/>
        </w:rPr>
        <w:t>注：</w:t>
      </w:r>
      <w:r>
        <w:rPr>
          <w:rFonts w:hint="eastAsia" w:hAnsi="宋体"/>
          <w:b/>
          <w:bCs/>
          <w:kern w:val="0"/>
          <w:szCs w:val="21"/>
          <w:highlight w:val="none"/>
        </w:rPr>
        <w:t>报价人拟派的其他人员，由报价人自行承诺（格式自拟），并盖单位公章。</w:t>
      </w:r>
      <w:r>
        <w:rPr>
          <w:rFonts w:hint="eastAsia" w:ascii="宋体" w:hAnsi="宋体" w:cs="宋体"/>
          <w:b/>
          <w:bCs/>
          <w:kern w:val="0"/>
          <w:sz w:val="28"/>
          <w:szCs w:val="32"/>
          <w:highlight w:val="none"/>
        </w:rPr>
        <w:br w:type="page"/>
      </w:r>
    </w:p>
    <w:p>
      <w:pPr>
        <w:jc w:val="center"/>
        <w:rPr>
          <w:rFonts w:hint="eastAsia" w:ascii="宋体" w:hAnsi="宋体" w:cs="宋体"/>
          <w:b/>
          <w:bCs/>
          <w:sz w:val="28"/>
          <w:highlight w:val="none"/>
        </w:rPr>
      </w:pPr>
      <w:r>
        <w:rPr>
          <w:rFonts w:hint="eastAsia" w:ascii="宋体" w:hAnsi="宋体" w:cs="宋体"/>
          <w:b/>
          <w:bCs/>
          <w:sz w:val="28"/>
          <w:highlight w:val="none"/>
        </w:rPr>
        <w:t>（五）信誉要求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highlight w:val="none"/>
              </w:rPr>
            </w:pPr>
            <w:r>
              <w:rPr>
                <w:rFonts w:hint="eastAsia" w:ascii="宋体" w:hAnsi="宋体" w:cs="宋体"/>
                <w:b/>
                <w:bCs/>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szCs w:val="21"/>
                <w:highlight w:val="none"/>
                <w:shd w:val="clear" w:color="auto" w:fill="FFFFFF"/>
              </w:rPr>
              <w:t>。</w:t>
            </w:r>
          </w:p>
        </w:tc>
      </w:tr>
    </w:tbl>
    <w:p>
      <w:pPr>
        <w:spacing w:line="400" w:lineRule="exact"/>
        <w:ind w:firstLine="422" w:firstLineChars="200"/>
        <w:rPr>
          <w:b/>
          <w:bCs/>
          <w:szCs w:val="21"/>
          <w:highlight w:val="none"/>
        </w:rPr>
      </w:pPr>
      <w:r>
        <w:rPr>
          <w:rFonts w:hint="eastAsia"/>
          <w:b/>
          <w:bCs/>
          <w:highlight w:val="none"/>
        </w:rPr>
        <w:t>注：</w:t>
      </w:r>
      <w:r>
        <w:rPr>
          <w:rFonts w:hint="eastAsia"/>
          <w:b/>
          <w:bCs/>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highlight w:val="none"/>
        </w:rPr>
        <w:t>并</w:t>
      </w:r>
      <w:r>
        <w:rPr>
          <w:rFonts w:hint="eastAsia" w:hAnsi="宋体"/>
          <w:b/>
          <w:bCs/>
          <w:kern w:val="0"/>
          <w:szCs w:val="21"/>
          <w:highlight w:val="none"/>
        </w:rPr>
        <w:t>盖单位公章</w:t>
      </w:r>
      <w:r>
        <w:rPr>
          <w:rFonts w:hint="eastAsia"/>
          <w:b/>
          <w:bCs/>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p>
      <w:pPr>
        <w:rPr>
          <w:highlight w:val="none"/>
        </w:rPr>
      </w:pPr>
    </w:p>
    <w:p>
      <w:pPr>
        <w:pStyle w:val="5"/>
        <w:jc w:val="center"/>
        <w:rPr>
          <w:rFonts w:hint="eastAsia" w:ascii="宋体" w:hAnsi="宋体" w:cs="宋体"/>
          <w:sz w:val="28"/>
          <w:highlight w:val="none"/>
        </w:rPr>
      </w:pPr>
    </w:p>
    <w:p>
      <w:pPr>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2"/>
        <w:rPr>
          <w:rFonts w:hint="eastAsia" w:ascii="宋体" w:hAnsi="宋体" w:cs="宋体"/>
          <w:sz w:val="28"/>
          <w:highlight w:val="none"/>
        </w:rPr>
      </w:pPr>
    </w:p>
    <w:p>
      <w:pPr>
        <w:pStyle w:val="4"/>
        <w:spacing w:before="0" w:after="0" w:line="360" w:lineRule="auto"/>
        <w:jc w:val="center"/>
        <w:rPr>
          <w:rFonts w:hint="eastAsia" w:ascii="宋体" w:hAnsi="宋体" w:eastAsia="宋体" w:cs="宋体"/>
          <w:sz w:val="28"/>
          <w:highlight w:val="none"/>
        </w:rPr>
      </w:pPr>
      <w:bookmarkStart w:id="260" w:name="_Toc26280"/>
      <w:bookmarkStart w:id="261" w:name="_Toc7326"/>
      <w:r>
        <w:rPr>
          <w:rFonts w:hint="eastAsia" w:ascii="宋体" w:hAnsi="宋体" w:eastAsia="宋体" w:cs="宋体"/>
          <w:sz w:val="28"/>
          <w:highlight w:val="none"/>
        </w:rPr>
        <w:t>五、报价人承诺</w:t>
      </w:r>
      <w:bookmarkEnd w:id="260"/>
      <w:bookmarkEnd w:id="261"/>
    </w:p>
    <w:p>
      <w:pPr>
        <w:pStyle w:val="2"/>
        <w:rPr>
          <w:highlight w:val="none"/>
        </w:rPr>
      </w:pPr>
    </w:p>
    <w:p>
      <w:pPr>
        <w:spacing w:line="400" w:lineRule="exact"/>
        <w:rPr>
          <w:rFonts w:hint="eastAsia" w:ascii="宋体" w:hAnsi="宋体" w:cs="宋体"/>
          <w:szCs w:val="21"/>
          <w:highlight w:val="none"/>
        </w:rPr>
      </w:pPr>
      <w:r>
        <w:rPr>
          <w:rFonts w:hint="eastAsia" w:ascii="宋体" w:hAnsi="宋体" w:cs="宋体"/>
          <w:szCs w:val="21"/>
          <w:highlight w:val="none"/>
        </w:rPr>
        <w:t>致：重庆首讯科技股份有限公司</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我公司对</w:t>
      </w:r>
      <w:r>
        <w:rPr>
          <w:rFonts w:hint="eastAsia" w:ascii="宋体" w:hAnsi="宋体" w:cs="宋体"/>
          <w:szCs w:val="21"/>
          <w:highlight w:val="none"/>
          <w:u w:val="single"/>
        </w:rPr>
        <w:t xml:space="preserve">            （项目名称）</w:t>
      </w:r>
      <w:r>
        <w:rPr>
          <w:rFonts w:hint="eastAsia" w:ascii="宋体" w:hAnsi="宋体" w:cs="宋体"/>
          <w:szCs w:val="21"/>
          <w:highlight w:val="none"/>
        </w:rPr>
        <w:t>竞争性比选文件中要求内容完全响应做出以下承诺：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1、我公司比选响应文件中所有资料都是真实、准确、完整的。</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2、我公司不存在资质挂靠或参与串标、围标情形。</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3、完全响应竞争性比选文件中的人员要求、响应内容要求、报价要求、</w:t>
      </w:r>
      <w:r>
        <w:rPr>
          <w:rFonts w:hint="eastAsia" w:ascii="宋体" w:hAnsi="宋体" w:cs="宋体"/>
          <w:highlight w:val="none"/>
        </w:rPr>
        <w:t>服务期限</w:t>
      </w:r>
      <w:r>
        <w:rPr>
          <w:rFonts w:hint="eastAsia" w:ascii="宋体" w:hAnsi="宋体" w:cs="宋体"/>
          <w:szCs w:val="21"/>
          <w:highlight w:val="none"/>
        </w:rPr>
        <w:t>要求、服务质量标准等要求。</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4、我公司承诺绝不向贵司工作人员、评标委员会成员等提供或变相提供现金、回扣、有价证券、旅游等形式的利益输送，并自愿配合贵司或第三方机构对项目进行廉政审查。</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5、我公司在此承诺：若</w:t>
      </w:r>
      <w:r>
        <w:rPr>
          <w:rFonts w:hint="eastAsia" w:hAnsi="宋体" w:cs="宋体"/>
          <w:szCs w:val="21"/>
          <w:highlight w:val="none"/>
        </w:rPr>
        <w:t>我公司中标，将完全</w:t>
      </w:r>
      <w:r>
        <w:rPr>
          <w:rFonts w:hint="eastAsia" w:ascii="宋体" w:hAnsi="宋体" w:cs="宋体"/>
          <w:szCs w:val="21"/>
          <w:highlight w:val="none"/>
        </w:rPr>
        <w:t>服从</w:t>
      </w:r>
      <w:r>
        <w:rPr>
          <w:rFonts w:hint="eastAsia" w:hAnsi="宋体" w:cs="宋体"/>
          <w:szCs w:val="21"/>
          <w:highlight w:val="none"/>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6、我公司在此承诺：未被列入采购人暂停、终止、永久取消合格供应商资格（列入诚信黑名单）名单内的单位。</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7、我公司知悉并愿意接受贵司监督部门对本次竞争性比选活动的监督，积极配合相关工作，如实提供所需信息和资料。</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我公司在此承诺：我公司具有良好的商业信誉，在国家企业信用信息公示系统（http://www.gsxt.gov.cn/）中未被列入严重违法失信企业名单（黑名单）信息；在“信用中国”网站（http://www.creditchina.gov.cn/）中未被列入严重失信主体名单。</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9、如我公司违反上述承诺，隐瞒、提供虚假资料或不按竞争性比选文件要求组织实施，被贵方发现或被他人举报查实，无条件接受贵司的处罚，对造成的损失，任何法律和经济责任完全由我方承担。</w:t>
      </w:r>
    </w:p>
    <w:p>
      <w:pPr>
        <w:spacing w:line="400" w:lineRule="exact"/>
        <w:ind w:firstLine="420" w:firstLineChars="200"/>
        <w:rPr>
          <w:rFonts w:hint="eastAsia" w:ascii="宋体" w:hAnsi="宋体" w:cs="宋体"/>
          <w:szCs w:val="21"/>
          <w:highlight w:val="none"/>
        </w:rPr>
      </w:pPr>
    </w:p>
    <w:p>
      <w:pPr>
        <w:spacing w:line="360" w:lineRule="exact"/>
        <w:ind w:firstLine="420" w:firstLineChars="200"/>
        <w:rPr>
          <w:rFonts w:hint="eastAsia" w:ascii="宋体" w:hAnsi="宋体" w:cs="宋体"/>
          <w:color w:val="FF0000"/>
          <w:szCs w:val="21"/>
          <w:highlight w:val="none"/>
        </w:rPr>
      </w:pPr>
    </w:p>
    <w:p>
      <w:pPr>
        <w:spacing w:line="400" w:lineRule="exact"/>
        <w:rPr>
          <w:rFonts w:hint="eastAsia" w:ascii="宋体" w:hAnsi="宋体" w:cs="宋体"/>
          <w:szCs w:val="21"/>
          <w:highlight w:val="none"/>
        </w:rPr>
      </w:pPr>
    </w:p>
    <w:p>
      <w:pPr>
        <w:tabs>
          <w:tab w:val="left" w:pos="7140"/>
          <w:tab w:val="left" w:pos="7560"/>
          <w:tab w:val="left" w:pos="8300"/>
        </w:tabs>
        <w:autoSpaceDE w:val="0"/>
        <w:autoSpaceDN w:val="0"/>
        <w:adjustRightInd w:val="0"/>
        <w:spacing w:line="400" w:lineRule="exact"/>
        <w:ind w:right="210"/>
        <w:jc w:val="right"/>
        <w:rPr>
          <w:rFonts w:hint="eastAsia" w:ascii="宋体" w:hAnsi="宋体"/>
          <w:b/>
          <w:bCs/>
          <w:snapToGrid w:val="0"/>
          <w:kern w:val="0"/>
          <w:szCs w:val="21"/>
          <w:highlight w:val="none"/>
        </w:rPr>
      </w:pPr>
      <w:r>
        <w:rPr>
          <w:rFonts w:hint="eastAsia" w:ascii="宋体" w:hAnsi="宋体"/>
          <w:b/>
          <w:bCs/>
          <w:snapToGrid w:val="0"/>
          <w:kern w:val="0"/>
          <w:szCs w:val="21"/>
          <w:highlight w:val="none"/>
        </w:rPr>
        <w:t>承</w:t>
      </w:r>
      <w:r>
        <w:rPr>
          <w:rFonts w:ascii="宋体" w:hAnsi="宋体"/>
          <w:b/>
          <w:bCs/>
          <w:snapToGrid w:val="0"/>
          <w:kern w:val="0"/>
          <w:szCs w:val="21"/>
          <w:highlight w:val="none"/>
        </w:rPr>
        <w:t xml:space="preserve">  </w:t>
      </w:r>
      <w:r>
        <w:rPr>
          <w:rFonts w:hint="eastAsia" w:ascii="宋体" w:hAnsi="宋体"/>
          <w:b/>
          <w:bCs/>
          <w:snapToGrid w:val="0"/>
          <w:kern w:val="0"/>
          <w:szCs w:val="21"/>
          <w:highlight w:val="none"/>
        </w:rPr>
        <w:t>诺</w:t>
      </w:r>
      <w:r>
        <w:rPr>
          <w:rFonts w:ascii="宋体" w:hAnsi="宋体"/>
          <w:b/>
          <w:bCs/>
          <w:snapToGrid w:val="0"/>
          <w:kern w:val="0"/>
          <w:szCs w:val="21"/>
          <w:highlight w:val="none"/>
        </w:rPr>
        <w:t xml:space="preserve">  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u w:val="single"/>
        </w:rPr>
        <w:t xml:space="preserve">  </w:t>
      </w:r>
      <w:r>
        <w:rPr>
          <w:rFonts w:ascii="宋体" w:hAnsi="宋体"/>
          <w:b/>
          <w:bCs/>
          <w:snapToGrid w:val="0"/>
          <w:kern w:val="0"/>
          <w:szCs w:val="21"/>
          <w:highlight w:val="none"/>
        </w:rPr>
        <w:t>（盖单位</w:t>
      </w:r>
      <w:r>
        <w:rPr>
          <w:rFonts w:hint="eastAsia" w:ascii="宋体" w:hAnsi="宋体"/>
          <w:b/>
          <w:bCs/>
          <w:snapToGrid w:val="0"/>
          <w:kern w:val="0"/>
          <w:szCs w:val="21"/>
          <w:highlight w:val="none"/>
        </w:rPr>
        <w:t>公</w:t>
      </w:r>
      <w:r>
        <w:rPr>
          <w:rFonts w:ascii="宋体" w:hAnsi="宋体"/>
          <w:b/>
          <w:bCs/>
          <w:snapToGrid w:val="0"/>
          <w:kern w:val="0"/>
          <w:szCs w:val="21"/>
          <w:highlight w:val="none"/>
        </w:rPr>
        <w:t xml:space="preserve">章） </w:t>
      </w:r>
    </w:p>
    <w:p>
      <w:pPr>
        <w:tabs>
          <w:tab w:val="left" w:pos="7140"/>
          <w:tab w:val="left" w:pos="7560"/>
          <w:tab w:val="left" w:pos="8300"/>
        </w:tabs>
        <w:autoSpaceDE w:val="0"/>
        <w:autoSpaceDN w:val="0"/>
        <w:adjustRightInd w:val="0"/>
        <w:spacing w:line="400" w:lineRule="exact"/>
        <w:ind w:right="210"/>
        <w:jc w:val="right"/>
        <w:rPr>
          <w:rFonts w:hint="eastAsia" w:ascii="宋体" w:hAnsi="宋体"/>
          <w:b/>
          <w:bCs/>
          <w:snapToGrid w:val="0"/>
          <w:kern w:val="0"/>
          <w:szCs w:val="21"/>
          <w:highlight w:val="none"/>
        </w:rPr>
      </w:pPr>
      <w:r>
        <w:rPr>
          <w:rFonts w:ascii="宋体" w:hAnsi="宋体"/>
          <w:b/>
          <w:bCs/>
          <w:snapToGrid w:val="0"/>
          <w:kern w:val="0"/>
          <w:szCs w:val="21"/>
          <w:highlight w:val="none"/>
        </w:rPr>
        <w:t>法定代表人或其委托代理人：</w:t>
      </w:r>
      <w:r>
        <w:rPr>
          <w:rFonts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rPr>
        <w:t xml:space="preserve">     </w:t>
      </w:r>
      <w:r>
        <w:rPr>
          <w:rFonts w:ascii="宋体" w:hAnsi="宋体"/>
          <w:b/>
          <w:bCs/>
          <w:snapToGrid w:val="0"/>
          <w:kern w:val="0"/>
          <w:szCs w:val="21"/>
          <w:highlight w:val="none"/>
        </w:rPr>
        <w:t>（</w:t>
      </w:r>
      <w:r>
        <w:rPr>
          <w:rFonts w:hint="eastAsia" w:ascii="宋体" w:hAnsi="宋体"/>
          <w:b/>
          <w:bCs/>
          <w:snapToGrid w:val="0"/>
          <w:kern w:val="0"/>
          <w:szCs w:val="21"/>
          <w:highlight w:val="none"/>
        </w:rPr>
        <w:t>签名</w:t>
      </w:r>
      <w:r>
        <w:rPr>
          <w:rFonts w:ascii="宋体" w:hAnsi="宋体"/>
          <w:b/>
          <w:bCs/>
          <w:snapToGrid w:val="0"/>
          <w:kern w:val="0"/>
          <w:szCs w:val="21"/>
          <w:highlight w:val="none"/>
        </w:rPr>
        <w:t xml:space="preserve">或盖章） </w:t>
      </w:r>
    </w:p>
    <w:p>
      <w:pPr>
        <w:spacing w:line="400" w:lineRule="exact"/>
        <w:jc w:val="center"/>
        <w:rPr>
          <w:rFonts w:hint="eastAsia" w:ascii="宋体" w:hAnsi="宋体"/>
          <w:b/>
          <w:bCs/>
          <w:kern w:val="0"/>
          <w:szCs w:val="21"/>
          <w:highlight w:val="none"/>
        </w:rPr>
      </w:pPr>
      <w:r>
        <w:rPr>
          <w:rFonts w:hint="eastAsia" w:ascii="宋体" w:hAnsi="宋体" w:cs="宋体"/>
          <w:b/>
          <w:bCs/>
          <w:szCs w:val="21"/>
          <w:highlight w:val="none"/>
        </w:rPr>
        <w:t xml:space="preserve">                         日期：</w:t>
      </w:r>
      <w:r>
        <w:rPr>
          <w:rFonts w:hint="eastAsia" w:ascii="宋体" w:hAnsi="宋体" w:cs="宋体"/>
          <w:b/>
          <w:bCs/>
          <w:szCs w:val="21"/>
          <w:highlight w:val="none"/>
          <w:u w:val="single"/>
        </w:rPr>
        <w:t xml:space="preserve">    </w:t>
      </w:r>
      <w:r>
        <w:rPr>
          <w:rFonts w:hint="eastAsia" w:ascii="宋体" w:hAnsi="宋体" w:cs="宋体"/>
          <w:b/>
          <w:bCs/>
          <w:szCs w:val="21"/>
          <w:highlight w:val="none"/>
        </w:rPr>
        <w:t>年</w:t>
      </w:r>
      <w:r>
        <w:rPr>
          <w:rFonts w:hint="eastAsia" w:ascii="宋体" w:hAnsi="宋体" w:cs="宋体"/>
          <w:b/>
          <w:bCs/>
          <w:szCs w:val="21"/>
          <w:highlight w:val="none"/>
          <w:u w:val="single"/>
        </w:rPr>
        <w:t xml:space="preserve">   </w:t>
      </w:r>
      <w:r>
        <w:rPr>
          <w:rFonts w:hint="eastAsia" w:ascii="宋体" w:hAnsi="宋体" w:cs="宋体"/>
          <w:b/>
          <w:bCs/>
          <w:szCs w:val="21"/>
          <w:highlight w:val="none"/>
        </w:rPr>
        <w:t>月</w:t>
      </w:r>
      <w:r>
        <w:rPr>
          <w:rFonts w:hint="eastAsia" w:ascii="宋体" w:hAnsi="宋体" w:cs="宋体"/>
          <w:b/>
          <w:bCs/>
          <w:szCs w:val="21"/>
          <w:highlight w:val="none"/>
          <w:u w:val="single"/>
        </w:rPr>
        <w:t xml:space="preserve">   </w:t>
      </w:r>
      <w:r>
        <w:rPr>
          <w:rFonts w:hint="eastAsia" w:ascii="宋体" w:hAnsi="宋体" w:cs="宋体"/>
          <w:b/>
          <w:bCs/>
          <w:szCs w:val="21"/>
          <w:highlight w:val="none"/>
        </w:rPr>
        <w:t>日</w:t>
      </w:r>
    </w:p>
    <w:p>
      <w:pPr>
        <w:rPr>
          <w:rFonts w:hint="eastAsia" w:ascii="宋体" w:hAnsi="宋体"/>
          <w:b/>
          <w:bCs/>
          <w:sz w:val="24"/>
          <w:highlight w:val="none"/>
        </w:rPr>
      </w:pPr>
      <w:r>
        <w:rPr>
          <w:rFonts w:hint="eastAsia" w:ascii="宋体" w:hAnsi="宋体"/>
          <w:b/>
          <w:bCs/>
          <w:sz w:val="24"/>
          <w:highlight w:val="none"/>
        </w:rPr>
        <w:br w:type="page"/>
      </w:r>
    </w:p>
    <w:p>
      <w:pPr>
        <w:jc w:val="center"/>
        <w:outlineLvl w:val="1"/>
        <w:rPr>
          <w:rFonts w:hint="eastAsia" w:ascii="宋体" w:hAnsi="宋体" w:cs="宋体"/>
          <w:b/>
          <w:bCs/>
          <w:kern w:val="0"/>
          <w:sz w:val="28"/>
          <w:szCs w:val="32"/>
          <w:highlight w:val="none"/>
        </w:rPr>
      </w:pPr>
      <w:bookmarkStart w:id="262" w:name="_Toc22594"/>
      <w:bookmarkStart w:id="263" w:name="_Toc7792"/>
      <w:r>
        <w:rPr>
          <w:rFonts w:hint="eastAsia" w:ascii="宋体" w:hAnsi="宋体" w:cs="宋体"/>
          <w:b/>
          <w:bCs/>
          <w:kern w:val="0"/>
          <w:sz w:val="28"/>
          <w:szCs w:val="32"/>
          <w:highlight w:val="none"/>
        </w:rPr>
        <w:t>六、报价人其他资料</w:t>
      </w:r>
      <w:bookmarkEnd w:id="262"/>
      <w:bookmarkEnd w:id="263"/>
    </w:p>
    <w:p>
      <w:pPr>
        <w:pStyle w:val="2"/>
        <w:rPr>
          <w:rFonts w:hint="eastAsia" w:ascii="宋体" w:hAnsi="宋体"/>
          <w:sz w:val="24"/>
          <w:highlight w:val="none"/>
        </w:rPr>
      </w:pPr>
    </w:p>
    <w:p>
      <w:pPr>
        <w:pStyle w:val="5"/>
        <w:spacing w:before="0" w:after="0" w:line="360" w:lineRule="auto"/>
        <w:jc w:val="center"/>
        <w:rPr>
          <w:sz w:val="28"/>
          <w:szCs w:val="28"/>
          <w:highlight w:val="none"/>
        </w:rPr>
      </w:pPr>
      <w:r>
        <w:rPr>
          <w:rFonts w:hint="eastAsia"/>
          <w:sz w:val="28"/>
          <w:szCs w:val="28"/>
          <w:highlight w:val="none"/>
        </w:rPr>
        <w:t>（一）报价人基本信息表</w:t>
      </w:r>
    </w:p>
    <w:p>
      <w:pPr>
        <w:pStyle w:val="26"/>
        <w:rPr>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报价人</w:t>
            </w:r>
          </w:p>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rFonts w:hint="eastAsia" w:ascii="宋体" w:hAnsi="宋体" w:cs="宋体"/>
                <w:szCs w:val="21"/>
                <w:highlight w:val="none"/>
              </w:rPr>
            </w:pPr>
            <w:r>
              <w:rPr>
                <w:rFonts w:hint="eastAsia" w:ascii="宋体" w:hAnsi="宋体" w:cs="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highlight w:val="none"/>
              </w:rPr>
            </w:pPr>
            <w:r>
              <w:rPr>
                <w:rFonts w:hint="eastAsia" w:ascii="宋体" w:hAnsi="宋体" w:cs="宋体"/>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pPr>
              <w:topLinePunct/>
              <w:spacing w:line="440" w:lineRule="exact"/>
              <w:ind w:firstLine="210" w:firstLineChars="100"/>
              <w:jc w:val="center"/>
              <w:rPr>
                <w:rFonts w:hint="eastAsia" w:ascii="宋体" w:hAnsi="宋体" w:cs="宋体"/>
                <w:szCs w:val="21"/>
                <w:highlight w:val="none"/>
              </w:rPr>
            </w:pPr>
            <w:r>
              <w:rPr>
                <w:rFonts w:hint="eastAsia" w:ascii="宋体" w:hAnsi="宋体" w:cs="宋体"/>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pPr>
              <w:topLinePunct/>
              <w:spacing w:line="440" w:lineRule="exact"/>
              <w:rPr>
                <w:rFonts w:hint="eastAsia" w:ascii="宋体" w:hAnsi="宋体" w:cs="宋体"/>
                <w:szCs w:val="21"/>
                <w:highlight w:val="none"/>
              </w:rPr>
            </w:pPr>
            <w:r>
              <w:rPr>
                <w:rFonts w:hint="eastAsia" w:ascii="宋体" w:hAnsi="宋体" w:cs="宋体"/>
                <w:szCs w:val="21"/>
                <w:highlight w:val="non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r>
              <w:rPr>
                <w:rFonts w:hint="eastAsia" w:ascii="宋体" w:hAnsi="宋体" w:cs="宋体"/>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宋体" w:hAnsi="宋体" w:cs="宋体"/>
                <w:szCs w:val="21"/>
                <w:highlight w:val="none"/>
              </w:rPr>
            </w:pPr>
          </w:p>
        </w:tc>
      </w:tr>
    </w:tbl>
    <w:p>
      <w:pPr>
        <w:pStyle w:val="2"/>
        <w:rPr>
          <w:rFonts w:hint="eastAsia" w:ascii="宋体" w:hAnsi="宋体" w:cs="宋体"/>
          <w:sz w:val="28"/>
          <w:highlight w:val="none"/>
        </w:rPr>
      </w:pPr>
    </w:p>
    <w:p>
      <w:pPr>
        <w:rPr>
          <w:rFonts w:hint="eastAsia" w:ascii="宋体" w:hAnsi="宋体" w:cs="宋体"/>
          <w:b/>
          <w:bCs/>
          <w:sz w:val="28"/>
          <w:highlight w:val="none"/>
        </w:rPr>
      </w:pPr>
      <w:r>
        <w:rPr>
          <w:rFonts w:hint="eastAsia" w:ascii="宋体" w:hAnsi="宋体" w:cs="宋体"/>
          <w:b/>
          <w:bCs/>
          <w:sz w:val="28"/>
          <w:highlight w:val="none"/>
        </w:rPr>
        <w:br w:type="page"/>
      </w:r>
    </w:p>
    <w:p>
      <w:pPr>
        <w:spacing w:line="360" w:lineRule="auto"/>
        <w:jc w:val="center"/>
        <w:outlineLvl w:val="2"/>
        <w:rPr>
          <w:rFonts w:hint="eastAsia" w:ascii="宋体" w:hAnsi="宋体" w:cs="宋体"/>
          <w:b/>
          <w:bCs/>
          <w:kern w:val="0"/>
          <w:sz w:val="28"/>
          <w:szCs w:val="32"/>
          <w:highlight w:val="none"/>
        </w:rPr>
      </w:pPr>
      <w:r>
        <w:rPr>
          <w:rFonts w:hint="eastAsia" w:ascii="宋体" w:hAnsi="宋体" w:cs="宋体"/>
          <w:b/>
          <w:bCs/>
          <w:kern w:val="0"/>
          <w:sz w:val="28"/>
          <w:szCs w:val="32"/>
          <w:highlight w:val="none"/>
        </w:rPr>
        <w:t>（二）技术部分</w:t>
      </w:r>
    </w:p>
    <w:p>
      <w:pPr>
        <w:pStyle w:val="4"/>
        <w:spacing w:before="0" w:after="0" w:line="360" w:lineRule="auto"/>
        <w:jc w:val="center"/>
        <w:rPr>
          <w:rFonts w:hint="eastAsia" w:ascii="宋体" w:hAnsi="宋体" w:eastAsia="宋体" w:cs="宋体"/>
          <w:sz w:val="28"/>
          <w:highlight w:val="none"/>
        </w:rPr>
      </w:pPr>
    </w:p>
    <w:p>
      <w:pPr>
        <w:wordWrap w:val="0"/>
        <w:adjustRightInd w:val="0"/>
        <w:snapToGrid w:val="0"/>
        <w:spacing w:line="460" w:lineRule="exact"/>
        <w:ind w:firstLine="422" w:firstLineChars="200"/>
        <w:jc w:val="left"/>
        <w:rPr>
          <w:rFonts w:hint="eastAsia" w:asciiTheme="minorEastAsia" w:hAnsiTheme="minorEastAsia" w:eastAsiaTheme="minorEastAsia" w:cstheme="minorEastAsia"/>
          <w:b/>
          <w:kern w:val="0"/>
          <w:szCs w:val="21"/>
          <w:highlight w:val="none"/>
          <w:lang w:bidi="ar"/>
        </w:rPr>
      </w:pPr>
      <w:r>
        <w:rPr>
          <w:rFonts w:hint="eastAsia" w:asciiTheme="minorEastAsia" w:hAnsiTheme="minorEastAsia" w:eastAsiaTheme="minorEastAsia" w:cstheme="minorEastAsia"/>
          <w:b/>
          <w:kern w:val="0"/>
          <w:szCs w:val="21"/>
          <w:highlight w:val="none"/>
          <w:lang w:bidi="ar"/>
        </w:rPr>
        <w:t>[提示：当竞争性比选文件采用综合评估法时，“第三章 评标办法”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pPr>
        <w:rPr>
          <w:rFonts w:hint="eastAsia" w:ascii="宋体" w:hAnsi="宋体" w:cs="宋体"/>
          <w:b/>
          <w:kern w:val="0"/>
          <w:szCs w:val="21"/>
          <w:highlight w:val="none"/>
          <w:lang w:bidi="ar"/>
        </w:rPr>
      </w:pPr>
      <w:r>
        <w:rPr>
          <w:rFonts w:hint="eastAsia" w:ascii="宋体" w:hAnsi="宋体" w:cs="宋体"/>
          <w:b/>
          <w:kern w:val="0"/>
          <w:szCs w:val="21"/>
          <w:highlight w:val="none"/>
          <w:lang w:bidi="ar"/>
        </w:rPr>
        <w:br w:type="page"/>
      </w:r>
    </w:p>
    <w:p>
      <w:pPr>
        <w:spacing w:line="360" w:lineRule="auto"/>
        <w:jc w:val="center"/>
        <w:outlineLvl w:val="2"/>
        <w:rPr>
          <w:rFonts w:hint="eastAsia" w:ascii="宋体" w:hAnsi="宋体" w:cs="宋体"/>
          <w:b/>
          <w:bCs/>
          <w:kern w:val="0"/>
          <w:sz w:val="28"/>
          <w:szCs w:val="32"/>
          <w:highlight w:val="none"/>
        </w:rPr>
      </w:pPr>
      <w:bookmarkStart w:id="264" w:name="OLE_LINK4"/>
      <w:r>
        <w:rPr>
          <w:rFonts w:hint="eastAsia" w:ascii="宋体" w:hAnsi="宋体" w:cs="宋体"/>
          <w:b/>
          <w:bCs/>
          <w:kern w:val="0"/>
          <w:sz w:val="28"/>
          <w:szCs w:val="32"/>
          <w:highlight w:val="none"/>
        </w:rPr>
        <w:t>（三）商务部分</w:t>
      </w:r>
    </w:p>
    <w:bookmarkEnd w:id="264"/>
    <w:p>
      <w:pPr>
        <w:pStyle w:val="4"/>
        <w:spacing w:before="0" w:after="0" w:line="360" w:lineRule="auto"/>
        <w:jc w:val="center"/>
        <w:rPr>
          <w:rFonts w:hint="eastAsia" w:ascii="宋体" w:hAnsi="宋体" w:eastAsia="宋体" w:cs="宋体"/>
          <w:sz w:val="21"/>
          <w:szCs w:val="21"/>
          <w:highlight w:val="none"/>
        </w:rPr>
      </w:pPr>
    </w:p>
    <w:p>
      <w:pPr>
        <w:pStyle w:val="2"/>
        <w:spacing w:line="460" w:lineRule="exact"/>
        <w:ind w:firstLine="422" w:firstLineChars="200"/>
        <w:rPr>
          <w:rFonts w:hint="eastAsia" w:ascii="宋体" w:hAnsi="宋体" w:cs="宋体"/>
          <w:sz w:val="21"/>
          <w:szCs w:val="21"/>
          <w:highlight w:val="none"/>
        </w:rPr>
      </w:pPr>
      <w:r>
        <w:rPr>
          <w:rFonts w:hint="eastAsia" w:ascii="宋体" w:hAnsi="宋体" w:cs="宋体"/>
          <w:b/>
          <w:sz w:val="21"/>
          <w:szCs w:val="21"/>
          <w:highlight w:val="none"/>
          <w:lang w:bidi="ar"/>
        </w:rPr>
        <w:t>[提示：当竞争性比选文件采用综合评估法时，“第三章 评标办法”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pPr>
        <w:rPr>
          <w:rFonts w:hint="eastAsia" w:ascii="宋体" w:hAnsi="宋体" w:cs="宋体"/>
          <w:b/>
          <w:bCs/>
          <w:sz w:val="28"/>
          <w:highlight w:val="none"/>
        </w:rPr>
      </w:pPr>
      <w:r>
        <w:rPr>
          <w:rFonts w:hint="eastAsia" w:ascii="宋体" w:hAnsi="宋体" w:cs="宋体"/>
          <w:b/>
          <w:bCs/>
          <w:sz w:val="28"/>
          <w:highlight w:val="none"/>
        </w:rPr>
        <w:br w:type="page"/>
      </w:r>
    </w:p>
    <w:p>
      <w:pPr>
        <w:spacing w:line="360" w:lineRule="auto"/>
        <w:jc w:val="center"/>
        <w:outlineLvl w:val="2"/>
        <w:rPr>
          <w:rFonts w:hint="eastAsia" w:ascii="宋体" w:hAnsi="宋体" w:cs="宋体"/>
          <w:b/>
          <w:bCs/>
          <w:kern w:val="0"/>
          <w:sz w:val="28"/>
          <w:szCs w:val="32"/>
          <w:highlight w:val="none"/>
        </w:rPr>
      </w:pPr>
      <w:r>
        <w:rPr>
          <w:rFonts w:hint="eastAsia" w:ascii="宋体" w:hAnsi="宋体" w:cs="宋体"/>
          <w:b/>
          <w:bCs/>
          <w:kern w:val="0"/>
          <w:sz w:val="28"/>
          <w:szCs w:val="32"/>
          <w:highlight w:val="none"/>
        </w:rPr>
        <w:t>（四）</w:t>
      </w:r>
      <w:r>
        <w:rPr>
          <w:rFonts w:hint="eastAsia" w:ascii="宋体" w:hAnsi="宋体" w:cs="宋体"/>
          <w:b/>
          <w:bCs/>
          <w:kern w:val="0"/>
          <w:sz w:val="28"/>
          <w:szCs w:val="20"/>
          <w:highlight w:val="none"/>
        </w:rPr>
        <w:t>商务和技术部分偏离表</w:t>
      </w:r>
    </w:p>
    <w:p>
      <w:pPr>
        <w:rPr>
          <w:rFonts w:hint="eastAsia" w:ascii="宋体" w:hAnsi="宋体" w:cs="宋体"/>
          <w:b/>
          <w:bCs/>
          <w:sz w:val="28"/>
          <w:highlight w:val="none"/>
        </w:rPr>
      </w:pPr>
      <w:r>
        <w:rPr>
          <w:rFonts w:hint="eastAsia" w:ascii="宋体" w:hAnsi="宋体" w:cs="宋体"/>
          <w:b/>
          <w:bCs/>
          <w:sz w:val="28"/>
          <w:highlight w:val="none"/>
        </w:rPr>
        <w:t xml:space="preserve"> </w:t>
      </w:r>
    </w:p>
    <w:tbl>
      <w:tblPr>
        <w:tblStyle w:val="42"/>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37"/>
        <w:gridCol w:w="1162"/>
        <w:gridCol w:w="1913"/>
        <w:gridCol w:w="1862"/>
        <w:gridCol w:w="1081"/>
        <w:gridCol w:w="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商务（技术）要求</w:t>
            </w:r>
          </w:p>
        </w:tc>
        <w:tc>
          <w:tcPr>
            <w:tcW w:w="11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条款号</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比选文件</w:t>
            </w:r>
            <w:r>
              <w:rPr>
                <w:rFonts w:ascii="宋体" w:hAnsi="宋体"/>
                <w:bCs/>
                <w:szCs w:val="21"/>
                <w:highlight w:val="none"/>
              </w:rPr>
              <w:t>商务</w:t>
            </w:r>
            <w:r>
              <w:rPr>
                <w:rFonts w:hint="eastAsia" w:ascii="宋体" w:hAnsi="宋体"/>
                <w:szCs w:val="21"/>
                <w:highlight w:val="none"/>
              </w:rPr>
              <w:t>（技术）要求的项目</w:t>
            </w:r>
          </w:p>
        </w:tc>
        <w:tc>
          <w:tcPr>
            <w:tcW w:w="18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szCs w:val="21"/>
                <w:highlight w:val="none"/>
              </w:rPr>
              <w:t>报价人偏离的</w:t>
            </w:r>
          </w:p>
          <w:p>
            <w:pPr>
              <w:spacing w:line="320" w:lineRule="exact"/>
              <w:jc w:val="center"/>
              <w:rPr>
                <w:rFonts w:hint="eastAsia" w:ascii="宋体" w:hAnsi="宋体"/>
                <w:szCs w:val="21"/>
                <w:highlight w:val="none"/>
              </w:rPr>
            </w:pPr>
            <w:r>
              <w:rPr>
                <w:rFonts w:ascii="宋体" w:hAnsi="宋体"/>
                <w:bCs/>
                <w:szCs w:val="21"/>
                <w:highlight w:val="none"/>
              </w:rPr>
              <w:t>商务</w:t>
            </w:r>
            <w:r>
              <w:rPr>
                <w:rFonts w:hint="eastAsia" w:ascii="宋体" w:hAnsi="宋体"/>
                <w:szCs w:val="21"/>
                <w:highlight w:val="none"/>
              </w:rPr>
              <w:t>（技术）</w:t>
            </w:r>
            <w:r>
              <w:rPr>
                <w:rFonts w:hint="eastAsia" w:ascii="宋体" w:hAnsi="宋体"/>
                <w:bCs/>
                <w:szCs w:val="21"/>
                <w:highlight w:val="none"/>
              </w:rPr>
              <w:t>项目</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highlight w:val="none"/>
              </w:rPr>
            </w:pPr>
            <w:r>
              <w:rPr>
                <w:rFonts w:hint="eastAsia" w:ascii="宋体" w:hAnsi="宋体"/>
                <w:bCs/>
                <w:szCs w:val="21"/>
                <w:highlight w:val="none"/>
              </w:rPr>
              <w:t>偏离程度</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bCs/>
                <w:szCs w:val="21"/>
                <w:highlight w:val="none"/>
              </w:rPr>
            </w:pPr>
            <w:r>
              <w:rPr>
                <w:rFonts w:hint="eastAsia" w:ascii="宋体" w:hAnsi="宋体"/>
                <w:bCs/>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1</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2</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3</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4</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r>
              <w:rPr>
                <w:rFonts w:hint="eastAsia" w:ascii="宋体" w:hAnsi="宋体"/>
                <w:szCs w:val="21"/>
                <w:highlight w:val="none"/>
              </w:rPr>
              <w:t>5</w:t>
            </w:r>
          </w:p>
        </w:tc>
        <w:tc>
          <w:tcPr>
            <w:tcW w:w="1437"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1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913"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86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1081"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c>
          <w:tcPr>
            <w:tcW w:w="832" w:type="dxa"/>
            <w:tcBorders>
              <w:top w:val="single" w:color="auto" w:sz="4" w:space="0"/>
              <w:left w:val="single" w:color="auto" w:sz="4" w:space="0"/>
              <w:right w:val="single" w:color="auto" w:sz="4" w:space="0"/>
            </w:tcBorders>
            <w:vAlign w:val="center"/>
          </w:tcPr>
          <w:p>
            <w:pPr>
              <w:jc w:val="center"/>
              <w:rPr>
                <w:rFonts w:hint="eastAsia" w:ascii="宋体" w:hAnsi="宋体"/>
                <w:szCs w:val="21"/>
                <w:highlight w:val="none"/>
              </w:rPr>
            </w:pPr>
          </w:p>
        </w:tc>
      </w:tr>
    </w:tbl>
    <w:p>
      <w:pPr>
        <w:rPr>
          <w:rFonts w:hint="eastAsia" w:ascii="宋体" w:hAnsi="宋体"/>
          <w:szCs w:val="21"/>
          <w:highlight w:val="none"/>
        </w:rPr>
      </w:pPr>
      <w:r>
        <w:rPr>
          <w:rFonts w:hint="eastAsia" w:ascii="宋体" w:hAnsi="宋体" w:cs="宋体"/>
          <w:b/>
          <w:bCs/>
          <w:sz w:val="28"/>
          <w:highlight w:val="none"/>
        </w:rPr>
        <w:t xml:space="preserve">   </w:t>
      </w:r>
      <w:r>
        <w:rPr>
          <w:rFonts w:hint="eastAsia" w:ascii="宋体" w:hAnsi="宋体"/>
          <w:szCs w:val="21"/>
          <w:highlight w:val="none"/>
        </w:rPr>
        <w:t>注：报价人无须逐条响应，只需填写有偏离部分即可。</w:t>
      </w:r>
    </w:p>
    <w:p>
      <w:pPr>
        <w:rPr>
          <w:rFonts w:hint="eastAsia" w:ascii="宋体" w:hAnsi="宋体" w:cs="宋体"/>
          <w:b/>
          <w:bCs/>
          <w:sz w:val="28"/>
          <w:highlight w:val="none"/>
        </w:rPr>
      </w:pPr>
      <w:r>
        <w:rPr>
          <w:rFonts w:hint="eastAsia" w:ascii="宋体" w:hAnsi="宋体" w:cs="宋体"/>
          <w:b/>
          <w:bCs/>
          <w:sz w:val="28"/>
          <w:highlight w:val="none"/>
        </w:rPr>
        <w:t xml:space="preserve">                                                     </w:t>
      </w:r>
    </w:p>
    <w:p>
      <w:pPr>
        <w:adjustRightInd w:val="0"/>
        <w:snapToGrid w:val="0"/>
        <w:spacing w:line="460" w:lineRule="exact"/>
        <w:ind w:firstLine="422"/>
        <w:rPr>
          <w:rFonts w:hint="eastAsia" w:ascii="宋体" w:hAnsi="宋体"/>
          <w:b/>
          <w:szCs w:val="21"/>
          <w:highlight w:val="none"/>
        </w:rPr>
      </w:pPr>
      <w:r>
        <w:rPr>
          <w:rFonts w:hint="eastAsia" w:ascii="宋体" w:hAnsi="宋体"/>
          <w:b/>
          <w:szCs w:val="21"/>
          <w:highlight w:val="none"/>
        </w:rPr>
        <w:t>报价人承诺：所有商务和技术部分负偏离项均已填写在本表，除此之外的商务和技术条款均无偏离。</w:t>
      </w:r>
    </w:p>
    <w:p>
      <w:pPr>
        <w:adjustRightInd w:val="0"/>
        <w:snapToGrid w:val="0"/>
        <w:spacing w:line="460" w:lineRule="exact"/>
        <w:ind w:firstLine="422"/>
        <w:rPr>
          <w:rFonts w:hint="eastAsia" w:ascii="宋体" w:hAnsi="宋体"/>
          <w:b/>
          <w:szCs w:val="21"/>
          <w:highlight w:val="none"/>
        </w:rPr>
      </w:pPr>
    </w:p>
    <w:p>
      <w:pPr>
        <w:adjustRightInd w:val="0"/>
        <w:snapToGrid w:val="0"/>
        <w:spacing w:line="600" w:lineRule="exact"/>
        <w:rPr>
          <w:rFonts w:hint="eastAsia" w:ascii="宋体" w:hAnsi="宋体"/>
          <w:szCs w:val="21"/>
          <w:highlight w:val="none"/>
        </w:rPr>
      </w:pPr>
      <w:r>
        <w:rPr>
          <w:rFonts w:hint="eastAsia" w:ascii="宋体" w:hAnsi="宋体"/>
          <w:b/>
          <w:szCs w:val="21"/>
          <w:highlight w:val="none"/>
        </w:rPr>
        <w:t xml:space="preserve">报价人（盖单位公章）： </w:t>
      </w:r>
      <w:r>
        <w:rPr>
          <w:rFonts w:hint="eastAsia" w:ascii="宋体" w:hAnsi="宋体"/>
          <w:szCs w:val="21"/>
          <w:highlight w:val="none"/>
        </w:rPr>
        <w:t xml:space="preserve">                  </w:t>
      </w:r>
      <w:r>
        <w:rPr>
          <w:rFonts w:ascii="宋体" w:hAnsi="宋体"/>
          <w:b/>
          <w:bCs/>
          <w:snapToGrid w:val="0"/>
          <w:kern w:val="0"/>
          <w:szCs w:val="21"/>
          <w:highlight w:val="none"/>
        </w:rPr>
        <w:t>法定代表人或其委托代理人（</w:t>
      </w:r>
      <w:r>
        <w:rPr>
          <w:rFonts w:hint="eastAsia" w:ascii="宋体" w:hAnsi="宋体"/>
          <w:b/>
          <w:bCs/>
          <w:snapToGrid w:val="0"/>
          <w:kern w:val="0"/>
          <w:szCs w:val="21"/>
          <w:highlight w:val="none"/>
        </w:rPr>
        <w:t>签名</w:t>
      </w:r>
      <w:r>
        <w:rPr>
          <w:rFonts w:ascii="宋体" w:hAnsi="宋体"/>
          <w:b/>
          <w:bCs/>
          <w:snapToGrid w:val="0"/>
          <w:kern w:val="0"/>
          <w:szCs w:val="21"/>
          <w:highlight w:val="none"/>
        </w:rPr>
        <w:t>或盖章）：</w:t>
      </w:r>
      <w:r>
        <w:rPr>
          <w:rFonts w:ascii="宋体" w:hAnsi="宋体"/>
          <w:szCs w:val="21"/>
          <w:highlight w:val="none"/>
        </w:rPr>
        <w:t xml:space="preserve"> </w:t>
      </w:r>
      <w:r>
        <w:rPr>
          <w:rFonts w:hint="eastAsia" w:ascii="宋体" w:hAnsi="宋体"/>
          <w:szCs w:val="21"/>
          <w:highlight w:val="none"/>
        </w:rPr>
        <w:t xml:space="preserve"> </w:t>
      </w:r>
    </w:p>
    <w:p>
      <w:pPr>
        <w:adjustRightInd w:val="0"/>
        <w:snapToGrid w:val="0"/>
        <w:spacing w:line="600" w:lineRule="exact"/>
        <w:jc w:val="right"/>
        <w:rPr>
          <w:rFonts w:hint="eastAsia" w:ascii="宋体" w:hAnsi="宋体"/>
          <w:b/>
          <w:szCs w:val="21"/>
          <w:highlight w:val="none"/>
        </w:rPr>
      </w:pPr>
      <w:r>
        <w:rPr>
          <w:rFonts w:hint="eastAsia" w:ascii="宋体" w:hAnsi="宋体"/>
          <w:b/>
          <w:szCs w:val="21"/>
          <w:highlight w:val="none"/>
        </w:rPr>
        <w:t>年   月   日</w:t>
      </w:r>
    </w:p>
    <w:p>
      <w:pPr>
        <w:rPr>
          <w:rFonts w:hint="eastAsia" w:ascii="宋体" w:hAnsi="宋体" w:cs="宋体"/>
          <w:b/>
          <w:bCs/>
          <w:sz w:val="28"/>
          <w:highlight w:val="none"/>
        </w:rPr>
      </w:pPr>
    </w:p>
    <w:p>
      <w:pPr>
        <w:rPr>
          <w:rFonts w:hint="eastAsia" w:ascii="宋体" w:hAnsi="宋体" w:cs="宋体"/>
          <w:b/>
          <w:bCs/>
          <w:sz w:val="28"/>
          <w:highlight w:val="none"/>
        </w:rPr>
      </w:pPr>
    </w:p>
    <w:p>
      <w:pPr>
        <w:spacing w:line="600" w:lineRule="exact"/>
        <w:jc w:val="left"/>
        <w:rPr>
          <w:rFonts w:hint="eastAsia" w:ascii="宋体" w:hAnsi="宋体"/>
          <w:szCs w:val="21"/>
          <w:highlight w:val="none"/>
        </w:rPr>
      </w:pPr>
      <w:r>
        <w:rPr>
          <w:rFonts w:hint="eastAsia" w:ascii="宋体" w:hAnsi="宋体"/>
          <w:b/>
          <w:bCs/>
          <w:szCs w:val="21"/>
          <w:highlight w:val="none"/>
        </w:rPr>
        <w:t>说明</w:t>
      </w:r>
      <w:r>
        <w:rPr>
          <w:rFonts w:hint="eastAsia" w:ascii="宋体" w:hAnsi="宋体"/>
          <w:b/>
          <w:szCs w:val="21"/>
          <w:highlight w:val="none"/>
        </w:rPr>
        <w:t>：</w:t>
      </w:r>
      <w:r>
        <w:rPr>
          <w:rFonts w:hint="eastAsia" w:ascii="宋体" w:hAnsi="宋体"/>
          <w:szCs w:val="21"/>
          <w:highlight w:val="none"/>
        </w:rPr>
        <w:t>1、如果本表不能填写完毕，可按此格式扩展</w:t>
      </w:r>
    </w:p>
    <w:p>
      <w:pPr>
        <w:spacing w:line="600" w:lineRule="exact"/>
        <w:ind w:firstLine="630" w:firstLineChars="300"/>
        <w:jc w:val="left"/>
        <w:rPr>
          <w:rFonts w:cs="宋体"/>
          <w:b/>
          <w:bCs/>
          <w:highlight w:val="none"/>
        </w:rPr>
      </w:pPr>
      <w:r>
        <w:rPr>
          <w:rFonts w:hint="eastAsia" w:ascii="宋体" w:hAnsi="宋体"/>
          <w:szCs w:val="21"/>
          <w:highlight w:val="none"/>
        </w:rPr>
        <w:t>2、报价人承诺“所有商务和技术部分负偏离项均已填写在本表，除此之外的商务和技术条款均无偏离。”</w:t>
      </w:r>
      <w:r>
        <w:rPr>
          <w:rFonts w:hint="eastAsia" w:ascii="宋体" w:hAnsi="宋体" w:cs="Arial"/>
          <w:bCs/>
          <w:kern w:val="0"/>
          <w:szCs w:val="21"/>
          <w:highlight w:val="none"/>
        </w:rPr>
        <w:t>本表视作对“无偏离</w:t>
      </w:r>
      <w:r>
        <w:rPr>
          <w:rFonts w:hint="eastAsia" w:ascii="宋体" w:hAnsi="宋体"/>
          <w:szCs w:val="21"/>
          <w:highlight w:val="none"/>
        </w:rPr>
        <w:t>商务和技术</w:t>
      </w:r>
      <w:r>
        <w:rPr>
          <w:rFonts w:hint="eastAsia" w:ascii="宋体" w:hAnsi="宋体" w:cs="Arial"/>
          <w:bCs/>
          <w:kern w:val="0"/>
          <w:szCs w:val="21"/>
          <w:highlight w:val="none"/>
        </w:rPr>
        <w:t>条款”的响应。</w:t>
      </w:r>
    </w:p>
    <w:p>
      <w:pPr>
        <w:rPr>
          <w:rFonts w:hint="eastAsia" w:ascii="宋体" w:hAnsi="宋体" w:cs="宋体"/>
          <w:b/>
          <w:bCs/>
          <w:sz w:val="28"/>
          <w:highlight w:val="none"/>
        </w:rPr>
      </w:pPr>
      <w:r>
        <w:rPr>
          <w:rFonts w:hint="eastAsia" w:ascii="宋体" w:hAnsi="宋体" w:cs="宋体"/>
          <w:b/>
          <w:bCs/>
          <w:sz w:val="28"/>
          <w:highlight w:val="none"/>
        </w:rPr>
        <w:br w:type="page"/>
      </w:r>
    </w:p>
    <w:p>
      <w:pPr>
        <w:pStyle w:val="2"/>
        <w:jc w:val="center"/>
        <w:rPr>
          <w:rFonts w:hint="eastAsia" w:ascii="宋体" w:hAnsi="宋体"/>
          <w:b/>
          <w:bCs/>
          <w:sz w:val="24"/>
          <w:highlight w:val="none"/>
        </w:rPr>
      </w:pPr>
      <w:r>
        <w:rPr>
          <w:rFonts w:hint="eastAsia" w:ascii="宋体" w:hAnsi="宋体" w:cs="宋体"/>
          <w:b/>
          <w:bCs/>
          <w:sz w:val="28"/>
          <w:highlight w:val="none"/>
        </w:rPr>
        <w:t>（五）其他材料</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1.投标保证金（以转账形式交纳投标保证金的，须提供投标保证金交纳凭证）；</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2.在满足竞争性比选文件实质性要求的基础上，报价人可以提出比竞争性比选文件要求更有利于采购人的承诺（格式自拟）；</w:t>
      </w:r>
    </w:p>
    <w:p>
      <w:pPr>
        <w:wordWrap w:val="0"/>
        <w:adjustRightInd w:val="0"/>
        <w:snapToGrid w:val="0"/>
        <w:spacing w:line="400" w:lineRule="exact"/>
        <w:jc w:val="left"/>
        <w:rPr>
          <w:rFonts w:hint="eastAsia" w:ascii="宋体" w:hAnsi="宋体" w:cs="宋体"/>
          <w:szCs w:val="21"/>
          <w:highlight w:val="none"/>
          <w:lang w:bidi="ar"/>
        </w:rPr>
      </w:pPr>
      <w:r>
        <w:rPr>
          <w:rFonts w:hint="eastAsia" w:ascii="宋体" w:hAnsi="宋体" w:cs="宋体"/>
          <w:szCs w:val="21"/>
          <w:highlight w:val="none"/>
          <w:lang w:bidi="ar"/>
        </w:rPr>
        <w:t>3.报价人认为有必要提供的资料，标明其内容且格式自拟。</w:t>
      </w:r>
    </w:p>
    <w:p>
      <w:pPr>
        <w:pStyle w:val="2"/>
        <w:spacing w:after="0" w:line="400" w:lineRule="exact"/>
        <w:rPr>
          <w:rFonts w:hint="eastAsia" w:ascii="宋体" w:hAnsi="宋体"/>
          <w:snapToGrid w:val="0"/>
          <w:sz w:val="32"/>
          <w:szCs w:val="32"/>
          <w:highlight w:val="none"/>
        </w:rPr>
      </w:pPr>
      <w:r>
        <w:rPr>
          <w:rFonts w:hint="eastAsia" w:ascii="宋体" w:hAnsi="宋体" w:cs="宋体"/>
          <w:kern w:val="2"/>
          <w:sz w:val="21"/>
          <w:szCs w:val="21"/>
          <w:highlight w:val="none"/>
          <w:lang w:bidi="ar"/>
        </w:rPr>
        <w:t>4.</w:t>
      </w:r>
      <w:bookmarkStart w:id="265" w:name="_Toc32475"/>
      <w:bookmarkStart w:id="266" w:name="_Toc14007"/>
      <w:r>
        <w:rPr>
          <w:rFonts w:hint="eastAsia" w:ascii="宋体" w:hAnsi="宋体" w:cs="宋体"/>
          <w:kern w:val="2"/>
          <w:sz w:val="21"/>
          <w:szCs w:val="21"/>
          <w:highlight w:val="none"/>
          <w:lang w:bidi="ar"/>
        </w:rPr>
        <w:t>报价合理性说明</w:t>
      </w:r>
      <w:bookmarkEnd w:id="265"/>
      <w:bookmarkEnd w:id="266"/>
      <w:r>
        <w:rPr>
          <w:rFonts w:hint="eastAsia" w:ascii="宋体" w:hAnsi="宋体"/>
          <w:snapToGrid w:val="0"/>
          <w:sz w:val="21"/>
          <w:szCs w:val="21"/>
          <w:highlight w:val="none"/>
        </w:rPr>
        <w:t>（注：投标报价</w:t>
      </w:r>
      <w:r>
        <w:rPr>
          <w:rFonts w:hint="eastAsia" w:ascii="宋体" w:hAnsi="宋体"/>
          <w:highlight w:val="none"/>
        </w:rPr>
        <w:t>低于异常低价警戒线</w:t>
      </w:r>
      <w:r>
        <w:rPr>
          <w:rFonts w:hint="eastAsia" w:ascii="宋体" w:hAnsi="宋体"/>
          <w:snapToGrid w:val="0"/>
          <w:sz w:val="21"/>
          <w:szCs w:val="21"/>
          <w:highlight w:val="none"/>
        </w:rPr>
        <w:t>时提供，格式自拟，并提供必要的佐证材料。</w:t>
      </w:r>
      <w:r>
        <w:rPr>
          <w:rFonts w:hint="eastAsia" w:ascii="宋体" w:hAnsi="宋体" w:cs="宋体"/>
          <w:szCs w:val="21"/>
          <w:highlight w:val="none"/>
        </w:rPr>
        <w:t>报价人提供的说明不得降低或者改变原设计方案、技术工艺、施工标准，不得影响项目的质量、安全、工期、结算等正常履约</w:t>
      </w:r>
      <w:r>
        <w:rPr>
          <w:rFonts w:hint="eastAsia" w:ascii="宋体" w:hAnsi="宋体"/>
          <w:snapToGrid w:val="0"/>
          <w:sz w:val="21"/>
          <w:szCs w:val="21"/>
          <w:highlight w:val="none"/>
        </w:rPr>
        <w:t>）</w:t>
      </w:r>
    </w:p>
    <w:p>
      <w:pPr>
        <w:wordWrap w:val="0"/>
        <w:adjustRightInd w:val="0"/>
        <w:snapToGrid w:val="0"/>
        <w:spacing w:line="460" w:lineRule="exact"/>
        <w:jc w:val="left"/>
        <w:rPr>
          <w:rFonts w:hint="eastAsia" w:ascii="宋体" w:hAnsi="宋体" w:cs="宋体"/>
          <w:szCs w:val="21"/>
          <w:highlight w:val="none"/>
          <w:lang w:bidi="ar"/>
        </w:rPr>
      </w:pPr>
    </w:p>
    <w:p>
      <w:pPr>
        <w:wordWrap w:val="0"/>
        <w:adjustRightInd w:val="0"/>
        <w:snapToGrid w:val="0"/>
        <w:spacing w:line="460" w:lineRule="exact"/>
        <w:jc w:val="left"/>
        <w:rPr>
          <w:rFonts w:hint="eastAsia" w:ascii="宋体" w:hAnsi="宋体" w:cs="宋体"/>
          <w:szCs w:val="21"/>
          <w:highlight w:val="none"/>
          <w:lang w:bidi="ar"/>
        </w:rPr>
      </w:pPr>
    </w:p>
    <w:p>
      <w:pPr>
        <w:pStyle w:val="2"/>
        <w:rPr>
          <w:highlight w:val="none"/>
        </w:rPr>
      </w:pPr>
    </w:p>
    <w:p>
      <w:pPr>
        <w:rPr>
          <w:rFonts w:hint="eastAsia" w:ascii="宋体" w:hAnsi="宋体" w:cs="宋体"/>
          <w:sz w:val="28"/>
          <w:highlight w:val="none"/>
        </w:rPr>
      </w:pPr>
    </w:p>
    <w:bookmarkEnd w:id="254"/>
    <w:bookmarkEnd w:id="255"/>
    <w:p>
      <w:pPr>
        <w:rPr>
          <w:highlight w:val="none"/>
        </w:rPr>
      </w:pPr>
    </w:p>
    <w:sectPr>
      <w:footerReference r:id="rId11" w:type="firs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F5D55B7-8B5C-48F9-BEC0-64D2B623B30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embedRegular r:id="rId2" w:fontKey="{F5081499-B2BB-40B5-92E0-47E8137FDA7A}"/>
  </w:font>
  <w:font w:name="仿宋">
    <w:panose1 w:val="02010609060101010101"/>
    <w:charset w:val="86"/>
    <w:family w:val="auto"/>
    <w:pitch w:val="default"/>
    <w:sig w:usb0="800002BF" w:usb1="38CF7CFA" w:usb2="00000016" w:usb3="00000000" w:csb0="00040001" w:csb1="00000000"/>
    <w:embedRegular r:id="rId3" w:fontKey="{D17E6BF5-BCC4-40A6-9457-EFC30B11D5D4}"/>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roman"/>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altName w:val="Arial"/>
    <w:panose1 w:val="00000500000000000000"/>
    <w:charset w:val="00"/>
    <w:family w:val="auto"/>
    <w:pitch w:val="default"/>
    <w:sig w:usb0="00000000" w:usb1="00000000" w:usb2="00000000" w:usb3="00000000" w:csb0="00000011" w:csb1="00000000"/>
    <w:embedRegular r:id="rId4" w:fontKey="{D085591B-E165-461E-B707-226B69D71A44}"/>
  </w:font>
  <w:font w:name="Wingdings 2">
    <w:panose1 w:val="05020102010507070707"/>
    <w:charset w:val="00"/>
    <w:family w:val="auto"/>
    <w:pitch w:val="default"/>
    <w:sig w:usb0="00000000" w:usb1="00000000" w:usb2="00000000" w:usb3="00000000" w:csb0="80000000" w:csb1="00000000"/>
    <w:embedRegular r:id="rId5" w:fontKey="{17918769-0634-47A5-9E27-28EF56CDF75C}"/>
  </w:font>
  <w:font w:name="方正小标宋_GBK">
    <w:panose1 w:val="03000509000000000000"/>
    <w:charset w:val="86"/>
    <w:family w:val="script"/>
    <w:pitch w:val="default"/>
    <w:sig w:usb0="00000001" w:usb1="080E0000" w:usb2="00000000" w:usb3="00000000" w:csb0="00040000" w:csb1="00000000"/>
    <w:embedRegular r:id="rId6" w:fontKey="{F92E03D2-C499-4CB2-8297-948942048F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6"/>
      </w:rPr>
    </w:pPr>
    <w:r>
      <w:fldChar w:fldCharType="begin"/>
    </w:r>
    <w:r>
      <w:rPr>
        <w:rStyle w:val="46"/>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79</w:t>
    </w:r>
    <w:r>
      <w:fldChar w:fldCharType="end"/>
    </w: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35</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5065EAA"/>
    <w:multiLevelType w:val="multilevel"/>
    <w:tmpl w:val="65065EA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0NTM5ZTUxMWVlMGRjMWIxNjJhYzcwYmE2Yjk4YmYifQ=="/>
    <w:docVar w:name="KGWebUrl" w:val="http://113.250.85.227:8081/weaver/weaver.file.FileDownloadForNews?uuid=df4a6d11-0e3b-437e-9f2b-ce3c44188268&amp;fileid=328620&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277A2"/>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57CE3"/>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0F542B"/>
    <w:rsid w:val="00100F21"/>
    <w:rsid w:val="0010112E"/>
    <w:rsid w:val="00101194"/>
    <w:rsid w:val="00104DDA"/>
    <w:rsid w:val="00105562"/>
    <w:rsid w:val="001060F0"/>
    <w:rsid w:val="00107D39"/>
    <w:rsid w:val="00107E81"/>
    <w:rsid w:val="00110CAE"/>
    <w:rsid w:val="00112802"/>
    <w:rsid w:val="001150C8"/>
    <w:rsid w:val="00115A03"/>
    <w:rsid w:val="001172CF"/>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8C9"/>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4A99"/>
    <w:rsid w:val="003E68AB"/>
    <w:rsid w:val="003F098D"/>
    <w:rsid w:val="003F1C45"/>
    <w:rsid w:val="003F1F45"/>
    <w:rsid w:val="003F34F8"/>
    <w:rsid w:val="003F6AEE"/>
    <w:rsid w:val="003F7927"/>
    <w:rsid w:val="003F7A0C"/>
    <w:rsid w:val="00402F66"/>
    <w:rsid w:val="00403314"/>
    <w:rsid w:val="00404848"/>
    <w:rsid w:val="00411545"/>
    <w:rsid w:val="00412072"/>
    <w:rsid w:val="00412B53"/>
    <w:rsid w:val="00415B93"/>
    <w:rsid w:val="00420586"/>
    <w:rsid w:val="00420FC3"/>
    <w:rsid w:val="00421DFA"/>
    <w:rsid w:val="004234D7"/>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08A7"/>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0F"/>
    <w:rsid w:val="00541EAD"/>
    <w:rsid w:val="00543B84"/>
    <w:rsid w:val="00551444"/>
    <w:rsid w:val="005516BA"/>
    <w:rsid w:val="00554B02"/>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2A5A"/>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7F7889"/>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7776D"/>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16537"/>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5A77"/>
    <w:rsid w:val="00BB60E7"/>
    <w:rsid w:val="00BC050E"/>
    <w:rsid w:val="00BC12EE"/>
    <w:rsid w:val="00BC1489"/>
    <w:rsid w:val="00BC203B"/>
    <w:rsid w:val="00BC33A9"/>
    <w:rsid w:val="00BD1E34"/>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17132"/>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1BDE"/>
    <w:rsid w:val="00D62541"/>
    <w:rsid w:val="00D64F3A"/>
    <w:rsid w:val="00D66247"/>
    <w:rsid w:val="00D66886"/>
    <w:rsid w:val="00D66F49"/>
    <w:rsid w:val="00D7284C"/>
    <w:rsid w:val="00D74280"/>
    <w:rsid w:val="00D765D5"/>
    <w:rsid w:val="00D768E0"/>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57E8"/>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39F3"/>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24293"/>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4A8E"/>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BD2ABA"/>
    <w:rsid w:val="03F60BFA"/>
    <w:rsid w:val="04023CC8"/>
    <w:rsid w:val="042674F4"/>
    <w:rsid w:val="042D3C13"/>
    <w:rsid w:val="044F0706"/>
    <w:rsid w:val="04722D72"/>
    <w:rsid w:val="047A0BBC"/>
    <w:rsid w:val="04C12ED8"/>
    <w:rsid w:val="04DC5749"/>
    <w:rsid w:val="04E26FED"/>
    <w:rsid w:val="04E41F94"/>
    <w:rsid w:val="04FD6633"/>
    <w:rsid w:val="052E2B3B"/>
    <w:rsid w:val="054416D2"/>
    <w:rsid w:val="05507F0F"/>
    <w:rsid w:val="057A1FA9"/>
    <w:rsid w:val="05871A0A"/>
    <w:rsid w:val="059565ED"/>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4224E"/>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1F9182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2A0889"/>
    <w:rsid w:val="13511DF6"/>
    <w:rsid w:val="137D05D8"/>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6938A9"/>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3879D7"/>
    <w:rsid w:val="18406E44"/>
    <w:rsid w:val="185C1918"/>
    <w:rsid w:val="186039EF"/>
    <w:rsid w:val="1880349D"/>
    <w:rsid w:val="18D435BC"/>
    <w:rsid w:val="18E261BC"/>
    <w:rsid w:val="18F61D91"/>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580794"/>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473A6"/>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A635C"/>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87BA5"/>
    <w:rsid w:val="4C3176AB"/>
    <w:rsid w:val="4C415DC1"/>
    <w:rsid w:val="4C6E278E"/>
    <w:rsid w:val="4CBB40EB"/>
    <w:rsid w:val="4CFF538B"/>
    <w:rsid w:val="4D4D7800"/>
    <w:rsid w:val="4D7251FF"/>
    <w:rsid w:val="4DB44EED"/>
    <w:rsid w:val="4DDF3E76"/>
    <w:rsid w:val="4DE50C0B"/>
    <w:rsid w:val="4E11105D"/>
    <w:rsid w:val="4E16225A"/>
    <w:rsid w:val="4E253AB8"/>
    <w:rsid w:val="4E472C92"/>
    <w:rsid w:val="4E824D97"/>
    <w:rsid w:val="4E9D5C2D"/>
    <w:rsid w:val="4EBA57C1"/>
    <w:rsid w:val="4EEA14D6"/>
    <w:rsid w:val="4F047E0A"/>
    <w:rsid w:val="4F477F24"/>
    <w:rsid w:val="4FA91AAC"/>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94861"/>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F001A4"/>
    <w:rsid w:val="5A1E2DE7"/>
    <w:rsid w:val="5A20427A"/>
    <w:rsid w:val="5A395FB6"/>
    <w:rsid w:val="5A436A2D"/>
    <w:rsid w:val="5A767910"/>
    <w:rsid w:val="5A9F5E78"/>
    <w:rsid w:val="5AEB4FF2"/>
    <w:rsid w:val="5B0A066E"/>
    <w:rsid w:val="5B123FA7"/>
    <w:rsid w:val="5B21789B"/>
    <w:rsid w:val="5B4152C8"/>
    <w:rsid w:val="5B5E18A4"/>
    <w:rsid w:val="5B613C0E"/>
    <w:rsid w:val="5B955E96"/>
    <w:rsid w:val="5B9B3675"/>
    <w:rsid w:val="5BA26571"/>
    <w:rsid w:val="5BCA6564"/>
    <w:rsid w:val="5BD66D67"/>
    <w:rsid w:val="5C107D40"/>
    <w:rsid w:val="5C1E3775"/>
    <w:rsid w:val="5C381264"/>
    <w:rsid w:val="5C672644"/>
    <w:rsid w:val="5C8132C7"/>
    <w:rsid w:val="5CA23A25"/>
    <w:rsid w:val="5CA666D6"/>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4E142A"/>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303DC2"/>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2551F6"/>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27343B"/>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after="120"/>
    </w:pPr>
    <w:rPr>
      <w:kern w:val="0"/>
      <w:sz w:val="20"/>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4"/>
    <w:link w:val="68"/>
    <w:qFormat/>
    <w:uiPriority w:val="0"/>
    <w:pPr>
      <w:ind w:firstLine="420" w:firstLineChars="200"/>
    </w:pPr>
  </w:style>
  <w:style w:type="paragraph" w:styleId="14">
    <w:name w:val="Balloon Text"/>
    <w:basedOn w:val="1"/>
    <w:link w:val="79"/>
    <w:qFormat/>
    <w:uiPriority w:val="0"/>
    <w:rPr>
      <w:kern w:val="0"/>
      <w:sz w:val="18"/>
      <w:szCs w:val="18"/>
    </w:rPr>
  </w:style>
  <w:style w:type="paragraph" w:styleId="15">
    <w:name w:val="Document Map"/>
    <w:basedOn w:val="1"/>
    <w:link w:val="75"/>
    <w:qFormat/>
    <w:uiPriority w:val="0"/>
    <w:pPr>
      <w:shd w:val="clear" w:color="auto" w:fill="000080"/>
    </w:pPr>
    <w:rPr>
      <w:kern w:val="0"/>
      <w:sz w:val="20"/>
    </w:rPr>
  </w:style>
  <w:style w:type="paragraph" w:styleId="16">
    <w:name w:val="annotation text"/>
    <w:basedOn w:val="1"/>
    <w:link w:val="57"/>
    <w:unhideWhenUsed/>
    <w:qFormat/>
    <w:uiPriority w:val="99"/>
    <w:pPr>
      <w:jc w:val="left"/>
    </w:pPr>
    <w:rPr>
      <w:kern w:val="0"/>
      <w:sz w:val="20"/>
    </w:rPr>
  </w:style>
  <w:style w:type="paragraph" w:styleId="17">
    <w:name w:val="Body Text 3"/>
    <w:basedOn w:val="1"/>
    <w:link w:val="61"/>
    <w:qFormat/>
    <w:uiPriority w:val="0"/>
    <w:rPr>
      <w:rFonts w:ascii="宋体"/>
      <w:kern w:val="0"/>
      <w:sz w:val="24"/>
      <w:szCs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6"/>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7"/>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2"/>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5"/>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4"/>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8925</Words>
  <Characters>9400</Characters>
  <Lines>139</Lines>
  <Paragraphs>39</Paragraphs>
  <TotalTime>1</TotalTime>
  <ScaleCrop>false</ScaleCrop>
  <LinksUpToDate>false</LinksUpToDate>
  <CharactersWithSpaces>9639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2026-01-21T08:44:00Z</dcterms:created>
  <dc:creator>陈桂兰</dc:creator>
  <cp:lastModifiedBy>Kevin</cp:lastModifiedBy>
  <cp:lastPrinted>2022-06-07T10:51:00Z</cp:lastPrinted>
  <dcterms:modified xsi:type="dcterms:W3CDTF">2026-07-01T03:50:04Z</dcterms:modified>
  <dc:title>项目名称：2019年重庆市取消高速公路省界收费站项目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A5192E9B68544A7F928BDC5583DD747A_13</vt:lpwstr>
  </property>
  <property fmtid="{D5CDD505-2E9C-101B-9397-08002B2CF9AE}" pid="4" name="KSOTemplateDocerSaveRecord">
    <vt:lpwstr>eyJoZGlkIjoiNTFiYTlhNmFlMzNlNjk5MWE5YmIyYzY3YzU0OWRmN2QiLCJ1c2VySWQiOiIxNzY1MzQ2ODk2In0=</vt:lpwstr>
  </property>
</Properties>
</file>