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EE5932">
      <w:pPr>
        <w:rPr>
          <w:rFonts w:ascii="Times New Roman" w:hAnsi="Times New Roman"/>
          <w:b/>
          <w:sz w:val="44"/>
          <w:szCs w:val="44"/>
        </w:rPr>
      </w:pPr>
    </w:p>
    <w:p w14:paraId="26EE5933">
      <w:pPr>
        <w:jc w:val="center"/>
        <w:rPr>
          <w:rFonts w:ascii="Times New Roman" w:hAnsi="Times New Roman" w:eastAsia="仿宋"/>
          <w:b/>
          <w:sz w:val="44"/>
          <w:szCs w:val="44"/>
        </w:rPr>
      </w:pPr>
    </w:p>
    <w:p w14:paraId="1E46A30E">
      <w:pPr>
        <w:jc w:val="center"/>
        <w:rPr>
          <w:rFonts w:hint="eastAsia" w:ascii="Times New Roman" w:hAnsi="Times New Roman" w:eastAsia="仿宋"/>
          <w:b/>
          <w:sz w:val="40"/>
          <w:szCs w:val="44"/>
        </w:rPr>
      </w:pPr>
      <w:r>
        <w:rPr>
          <w:rFonts w:hint="eastAsia" w:ascii="Times New Roman" w:hAnsi="Times New Roman" w:eastAsia="仿宋"/>
          <w:b/>
          <w:sz w:val="40"/>
          <w:szCs w:val="44"/>
        </w:rPr>
        <w:t>InSAR数据采购、解译处理</w:t>
      </w:r>
      <w:r>
        <w:rPr>
          <w:rFonts w:hint="eastAsia" w:ascii="Times New Roman" w:hAnsi="Times New Roman" w:eastAsia="仿宋"/>
          <w:b/>
          <w:sz w:val="40"/>
          <w:szCs w:val="44"/>
          <w:lang w:eastAsia="zh-CN"/>
        </w:rPr>
        <w:t>、</w:t>
      </w:r>
      <w:r>
        <w:rPr>
          <w:rFonts w:hint="eastAsia" w:ascii="Times New Roman" w:hAnsi="Times New Roman" w:eastAsia="仿宋"/>
          <w:b/>
          <w:sz w:val="40"/>
          <w:szCs w:val="44"/>
          <w:lang w:val="en-US" w:eastAsia="zh-CN"/>
        </w:rPr>
        <w:t>原型平台</w:t>
      </w:r>
      <w:r>
        <w:rPr>
          <w:rFonts w:hint="eastAsia" w:ascii="Times New Roman" w:hAnsi="Times New Roman" w:eastAsia="仿宋"/>
          <w:b/>
          <w:sz w:val="40"/>
          <w:szCs w:val="44"/>
        </w:rPr>
        <w:t>开发</w:t>
      </w:r>
    </w:p>
    <w:p w14:paraId="26EE5934">
      <w:pPr>
        <w:jc w:val="center"/>
        <w:rPr>
          <w:rFonts w:ascii="Times New Roman" w:hAnsi="Times New Roman" w:eastAsia="仿宋"/>
          <w:b/>
          <w:sz w:val="40"/>
          <w:szCs w:val="44"/>
        </w:rPr>
      </w:pPr>
      <w:r>
        <w:rPr>
          <w:rFonts w:hint="eastAsia" w:ascii="Times New Roman" w:hAnsi="Times New Roman" w:eastAsia="仿宋"/>
          <w:b/>
          <w:sz w:val="40"/>
          <w:szCs w:val="44"/>
          <w:lang w:val="en-US" w:eastAsia="zh-CN"/>
        </w:rPr>
        <w:t>技术服务</w:t>
      </w:r>
      <w:r>
        <w:rPr>
          <w:rFonts w:ascii="Times New Roman" w:hAnsi="Times New Roman" w:eastAsia="仿宋"/>
          <w:b/>
          <w:sz w:val="40"/>
          <w:szCs w:val="44"/>
        </w:rPr>
        <w:t>合同</w:t>
      </w:r>
    </w:p>
    <w:p w14:paraId="26EE5935">
      <w:pPr>
        <w:jc w:val="right"/>
        <w:rPr>
          <w:rFonts w:ascii="Times New Roman" w:hAnsi="Times New Roman" w:eastAsia="仿宋"/>
          <w:b/>
          <w:sz w:val="36"/>
          <w:szCs w:val="36"/>
        </w:rPr>
      </w:pPr>
    </w:p>
    <w:p w14:paraId="26EE5936">
      <w:pPr>
        <w:jc w:val="center"/>
        <w:rPr>
          <w:rFonts w:ascii="Times New Roman" w:hAnsi="Times New Roman" w:eastAsia="仿宋"/>
          <w:b/>
          <w:sz w:val="44"/>
          <w:szCs w:val="44"/>
        </w:rPr>
      </w:pPr>
      <w:r>
        <w:rPr>
          <w:rFonts w:ascii="Times New Roman" w:hAnsi="Times New Roman" w:eastAsia="仿宋"/>
          <w:b/>
          <w:sz w:val="44"/>
          <w:szCs w:val="44"/>
        </w:rPr>
        <w:t>合同文件</w:t>
      </w:r>
    </w:p>
    <w:p w14:paraId="26EE5937">
      <w:pPr>
        <w:ind w:firstLine="561"/>
        <w:jc w:val="center"/>
        <w:rPr>
          <w:rFonts w:ascii="Times New Roman" w:hAnsi="Times New Roman" w:eastAsia="仿宋"/>
          <w:b/>
          <w:sz w:val="28"/>
        </w:rPr>
      </w:pPr>
    </w:p>
    <w:p w14:paraId="26EE5938">
      <w:pPr>
        <w:ind w:firstLine="561"/>
        <w:jc w:val="center"/>
        <w:rPr>
          <w:rFonts w:ascii="Times New Roman" w:hAnsi="Times New Roman" w:eastAsia="仿宋"/>
          <w:b/>
          <w:sz w:val="28"/>
        </w:rPr>
      </w:pPr>
    </w:p>
    <w:p w14:paraId="26EE5939">
      <w:pPr>
        <w:ind w:firstLine="561"/>
        <w:jc w:val="center"/>
        <w:rPr>
          <w:rFonts w:ascii="Times New Roman" w:hAnsi="Times New Roman" w:eastAsia="仿宋"/>
          <w:b/>
          <w:sz w:val="28"/>
        </w:rPr>
      </w:pPr>
    </w:p>
    <w:p w14:paraId="26EE593A">
      <w:pPr>
        <w:ind w:firstLine="2718" w:firstLineChars="967"/>
        <w:rPr>
          <w:rFonts w:ascii="Times New Roman" w:hAnsi="Times New Roman" w:eastAsia="仿宋"/>
          <w:b/>
          <w:sz w:val="28"/>
          <w:u w:val="single"/>
        </w:rPr>
      </w:pPr>
      <w:r>
        <w:rPr>
          <w:rFonts w:ascii="Times New Roman" w:hAnsi="Times New Roman" w:eastAsia="仿宋"/>
          <w:b/>
          <w:sz w:val="28"/>
        </w:rPr>
        <w:t xml:space="preserve">合同编号：                 </w:t>
      </w:r>
    </w:p>
    <w:p w14:paraId="26EE593B">
      <w:pPr>
        <w:pStyle w:val="12"/>
        <w:rPr>
          <w:rFonts w:ascii="Times New Roman" w:hAnsi="Times New Roman" w:eastAsia="仿宋"/>
        </w:rPr>
      </w:pPr>
    </w:p>
    <w:p w14:paraId="26EE593C">
      <w:pPr>
        <w:pStyle w:val="12"/>
        <w:rPr>
          <w:rFonts w:ascii="Times New Roman" w:hAnsi="Times New Roman" w:eastAsia="仿宋"/>
          <w:b w:val="0"/>
          <w:sz w:val="44"/>
          <w:szCs w:val="44"/>
        </w:rPr>
      </w:pPr>
    </w:p>
    <w:p w14:paraId="26EE593D">
      <w:pPr>
        <w:rPr>
          <w:rFonts w:ascii="Times New Roman" w:hAnsi="Times New Roman" w:eastAsia="仿宋"/>
        </w:rPr>
      </w:pPr>
    </w:p>
    <w:p w14:paraId="26EE593E">
      <w:pPr>
        <w:jc w:val="center"/>
        <w:rPr>
          <w:rFonts w:ascii="Times New Roman" w:hAnsi="Times New Roman" w:eastAsia="仿宋"/>
          <w:b/>
          <w:sz w:val="84"/>
          <w:szCs w:val="84"/>
        </w:rPr>
      </w:pPr>
    </w:p>
    <w:p w14:paraId="26EE593F">
      <w:pPr>
        <w:jc w:val="center"/>
        <w:rPr>
          <w:rFonts w:ascii="Times New Roman" w:hAnsi="Times New Roman" w:eastAsia="仿宋"/>
          <w:b/>
          <w:sz w:val="32"/>
          <w:szCs w:val="32"/>
        </w:rPr>
      </w:pPr>
    </w:p>
    <w:p w14:paraId="26EE5940">
      <w:pPr>
        <w:ind w:firstLine="2268" w:firstLineChars="706"/>
        <w:jc w:val="left"/>
        <w:rPr>
          <w:rFonts w:hint="default" w:ascii="Times New Roman" w:hAnsi="Times New Roman" w:eastAsia="仿宋"/>
          <w:b/>
          <w:sz w:val="32"/>
          <w:szCs w:val="32"/>
          <w:lang w:val="en-US"/>
        </w:rPr>
      </w:pPr>
      <w:r>
        <w:rPr>
          <w:rFonts w:ascii="Times New Roman" w:hAnsi="Times New Roman" w:eastAsia="仿宋"/>
          <w:b/>
          <w:sz w:val="32"/>
          <w:szCs w:val="32"/>
        </w:rPr>
        <w:t>甲方：</w:t>
      </w:r>
      <w:r>
        <w:rPr>
          <w:rFonts w:hint="eastAsia" w:ascii="Times New Roman" w:hAnsi="Times New Roman" w:eastAsia="仿宋"/>
          <w:b/>
          <w:sz w:val="32"/>
          <w:szCs w:val="32"/>
          <w:u w:val="single"/>
          <w:lang w:val="en-US" w:eastAsia="zh-CN"/>
        </w:rPr>
        <w:t xml:space="preserve">                          </w:t>
      </w:r>
    </w:p>
    <w:p w14:paraId="26EE5941">
      <w:pPr>
        <w:ind w:firstLine="2268" w:firstLineChars="706"/>
        <w:jc w:val="left"/>
        <w:rPr>
          <w:rFonts w:ascii="Times New Roman" w:hAnsi="Times New Roman" w:eastAsia="仿宋"/>
          <w:b/>
          <w:sz w:val="30"/>
        </w:rPr>
      </w:pPr>
      <w:r>
        <w:rPr>
          <w:rFonts w:ascii="Times New Roman" w:hAnsi="Times New Roman" w:eastAsia="仿宋"/>
          <w:b/>
          <w:sz w:val="32"/>
          <w:szCs w:val="32"/>
        </w:rPr>
        <w:t>乙方：</w:t>
      </w:r>
      <w:r>
        <w:rPr>
          <w:rFonts w:hint="eastAsia" w:ascii="Times New Roman" w:hAnsi="Times New Roman" w:eastAsia="仿宋"/>
          <w:b/>
          <w:sz w:val="32"/>
          <w:szCs w:val="32"/>
          <w:u w:val="single"/>
          <w:lang w:val="en-US" w:eastAsia="zh-CN"/>
        </w:rPr>
        <w:t xml:space="preserve">                         </w:t>
      </w:r>
      <w:r>
        <w:rPr>
          <w:rFonts w:ascii="Times New Roman" w:hAnsi="Times New Roman" w:eastAsia="仿宋"/>
          <w:b/>
          <w:sz w:val="32"/>
          <w:szCs w:val="32"/>
          <w:u w:val="single"/>
        </w:rPr>
        <w:t xml:space="preserve"> </w:t>
      </w:r>
    </w:p>
    <w:p w14:paraId="26EE5942">
      <w:pPr>
        <w:pStyle w:val="13"/>
        <w:tabs>
          <w:tab w:val="right" w:leader="dot" w:pos="8296"/>
        </w:tabs>
        <w:jc w:val="center"/>
        <w:rPr>
          <w:rFonts w:ascii="Times New Roman" w:hAnsi="Times New Roman" w:eastAsia="仿宋"/>
          <w:b w:val="0"/>
          <w:smallCaps w:val="0"/>
          <w:kern w:val="0"/>
          <w:sz w:val="24"/>
        </w:rPr>
      </w:pPr>
      <w:r>
        <w:rPr>
          <w:rFonts w:ascii="Times New Roman" w:hAnsi="Times New Roman" w:eastAsia="仿宋"/>
          <w:b w:val="0"/>
          <w:smallCaps w:val="0"/>
          <w:kern w:val="0"/>
          <w:sz w:val="24"/>
        </w:rPr>
        <w:br w:type="page"/>
      </w:r>
    </w:p>
    <w:p w14:paraId="26EE5943">
      <w:pPr>
        <w:pStyle w:val="13"/>
        <w:tabs>
          <w:tab w:val="right" w:leader="dot" w:pos="8296"/>
        </w:tabs>
        <w:jc w:val="center"/>
        <w:rPr>
          <w:rFonts w:ascii="Times New Roman" w:hAnsi="Times New Roman" w:eastAsia="仿宋"/>
          <w:b w:val="0"/>
          <w:smallCaps w:val="0"/>
          <w:kern w:val="0"/>
          <w:sz w:val="24"/>
        </w:rPr>
      </w:pPr>
      <w:r>
        <w:rPr>
          <w:rFonts w:ascii="Times New Roman" w:hAnsi="Times New Roman" w:eastAsia="仿宋"/>
          <w:b w:val="0"/>
          <w:smallCaps w:val="0"/>
          <w:kern w:val="0"/>
          <w:sz w:val="24"/>
        </w:rPr>
        <w:t>目     录</w:t>
      </w:r>
    </w:p>
    <w:p w14:paraId="26EE5944">
      <w:pPr>
        <w:pStyle w:val="13"/>
        <w:tabs>
          <w:tab w:val="right" w:leader="dot" w:pos="8296"/>
        </w:tabs>
        <w:rPr>
          <w:rFonts w:ascii="Times New Roman" w:hAnsi="Times New Roman" w:eastAsia="仿宋"/>
          <w:b w:val="0"/>
          <w:smallCaps w:val="0"/>
          <w:kern w:val="0"/>
          <w:sz w:val="24"/>
        </w:rPr>
      </w:pPr>
      <w:r>
        <w:rPr>
          <w:rFonts w:ascii="Times New Roman" w:hAnsi="Times New Roman" w:eastAsia="仿宋"/>
          <w:b w:val="0"/>
          <w:smallCaps w:val="0"/>
          <w:kern w:val="0"/>
          <w:sz w:val="24"/>
        </w:rPr>
        <w:fldChar w:fldCharType="begin"/>
      </w:r>
      <w:r>
        <w:rPr>
          <w:rFonts w:ascii="Times New Roman" w:hAnsi="Times New Roman" w:eastAsia="仿宋"/>
          <w:b w:val="0"/>
          <w:smallCaps w:val="0"/>
          <w:kern w:val="0"/>
          <w:sz w:val="24"/>
        </w:rPr>
        <w:instrText xml:space="preserve"> TOC \o "1-3" \h \z </w:instrText>
      </w:r>
      <w:r>
        <w:rPr>
          <w:rFonts w:ascii="Times New Roman" w:hAnsi="Times New Roman" w:eastAsia="仿宋"/>
          <w:b w:val="0"/>
          <w:smallCaps w:val="0"/>
          <w:kern w:val="0"/>
          <w:sz w:val="24"/>
        </w:rPr>
        <w:fldChar w:fldCharType="separate"/>
      </w:r>
      <w:r>
        <w:fldChar w:fldCharType="begin"/>
      </w:r>
      <w:r>
        <w:instrText xml:space="preserve"> HYPERLINK \l "_Toc513647839" </w:instrText>
      </w:r>
      <w:r>
        <w:fldChar w:fldCharType="separate"/>
      </w:r>
      <w:r>
        <w:rPr>
          <w:rStyle w:val="20"/>
          <w:rFonts w:ascii="Times New Roman" w:hAnsi="Times New Roman" w:eastAsia="仿宋"/>
          <w:b w:val="0"/>
          <w:smallCaps w:val="0"/>
          <w:color w:val="auto"/>
          <w:kern w:val="0"/>
          <w:sz w:val="24"/>
        </w:rPr>
        <w:t>第1条 定义</w:t>
      </w:r>
      <w:r>
        <w:rPr>
          <w:rFonts w:ascii="Times New Roman" w:hAnsi="Times New Roman" w:eastAsia="仿宋"/>
          <w:b w:val="0"/>
          <w:smallCaps w:val="0"/>
          <w:kern w:val="0"/>
          <w:sz w:val="24"/>
        </w:rPr>
        <w:tab/>
      </w:r>
      <w:r>
        <w:rPr>
          <w:rFonts w:ascii="Times New Roman" w:hAnsi="Times New Roman" w:eastAsia="仿宋"/>
          <w:b w:val="0"/>
          <w:smallCaps w:val="0"/>
          <w:kern w:val="0"/>
          <w:sz w:val="24"/>
        </w:rPr>
        <w:t>3</w:t>
      </w:r>
      <w:r>
        <w:rPr>
          <w:rFonts w:ascii="Times New Roman" w:hAnsi="Times New Roman" w:eastAsia="仿宋"/>
          <w:b w:val="0"/>
          <w:smallCaps w:val="0"/>
          <w:kern w:val="0"/>
          <w:sz w:val="24"/>
        </w:rPr>
        <w:fldChar w:fldCharType="end"/>
      </w:r>
    </w:p>
    <w:p w14:paraId="26EE5945">
      <w:pPr>
        <w:pStyle w:val="13"/>
        <w:tabs>
          <w:tab w:val="right" w:leader="dot" w:pos="8296"/>
        </w:tabs>
        <w:rPr>
          <w:rFonts w:ascii="Times New Roman" w:hAnsi="Times New Roman" w:eastAsia="仿宋"/>
          <w:b w:val="0"/>
          <w:smallCaps w:val="0"/>
          <w:kern w:val="0"/>
          <w:sz w:val="24"/>
        </w:rPr>
      </w:pPr>
      <w:r>
        <w:fldChar w:fldCharType="begin"/>
      </w:r>
      <w:r>
        <w:instrText xml:space="preserve"> HYPERLINK \l "_Toc513647842" </w:instrText>
      </w:r>
      <w:r>
        <w:fldChar w:fldCharType="separate"/>
      </w:r>
      <w:r>
        <w:rPr>
          <w:rStyle w:val="20"/>
          <w:rFonts w:ascii="Times New Roman" w:hAnsi="Times New Roman" w:eastAsia="仿宋"/>
          <w:b w:val="0"/>
          <w:smallCaps w:val="0"/>
          <w:color w:val="auto"/>
          <w:kern w:val="0"/>
          <w:sz w:val="24"/>
        </w:rPr>
        <w:t>第2条 开发</w:t>
      </w:r>
      <w:r>
        <w:rPr>
          <w:rStyle w:val="20"/>
          <w:rFonts w:hint="eastAsia" w:ascii="Times New Roman" w:hAnsi="Times New Roman" w:eastAsia="仿宋"/>
          <w:b w:val="0"/>
          <w:smallCaps w:val="0"/>
          <w:color w:val="auto"/>
          <w:kern w:val="0"/>
          <w:sz w:val="24"/>
          <w:lang w:val="en-US" w:eastAsia="zh-CN"/>
        </w:rPr>
        <w:t>服务</w:t>
      </w:r>
      <w:r>
        <w:rPr>
          <w:rStyle w:val="20"/>
          <w:rFonts w:ascii="Times New Roman" w:hAnsi="Times New Roman" w:eastAsia="仿宋"/>
          <w:b w:val="0"/>
          <w:smallCaps w:val="0"/>
          <w:color w:val="auto"/>
          <w:kern w:val="0"/>
          <w:sz w:val="24"/>
        </w:rPr>
        <w:t>描述及清单</w:t>
      </w:r>
      <w:r>
        <w:rPr>
          <w:rFonts w:ascii="Times New Roman" w:hAnsi="Times New Roman" w:eastAsia="仿宋"/>
          <w:b w:val="0"/>
          <w:smallCaps w:val="0"/>
          <w:kern w:val="0"/>
          <w:sz w:val="24"/>
        </w:rPr>
        <w:tab/>
      </w:r>
      <w:r>
        <w:rPr>
          <w:rFonts w:ascii="Times New Roman" w:hAnsi="Times New Roman" w:eastAsia="仿宋"/>
          <w:b w:val="0"/>
          <w:smallCaps w:val="0"/>
          <w:kern w:val="0"/>
          <w:sz w:val="24"/>
        </w:rPr>
        <w:fldChar w:fldCharType="end"/>
      </w:r>
      <w:r>
        <w:rPr>
          <w:rFonts w:ascii="Times New Roman" w:hAnsi="Times New Roman" w:eastAsia="仿宋"/>
          <w:b w:val="0"/>
          <w:smallCaps w:val="0"/>
          <w:kern w:val="0"/>
          <w:sz w:val="24"/>
        </w:rPr>
        <w:t>4</w:t>
      </w:r>
    </w:p>
    <w:p w14:paraId="26EE5946">
      <w:pPr>
        <w:pStyle w:val="13"/>
        <w:tabs>
          <w:tab w:val="right" w:leader="dot" w:pos="8296"/>
        </w:tabs>
        <w:rPr>
          <w:rFonts w:ascii="Times New Roman" w:hAnsi="Times New Roman" w:eastAsia="仿宋"/>
          <w:b w:val="0"/>
          <w:smallCaps w:val="0"/>
          <w:kern w:val="0"/>
          <w:sz w:val="24"/>
        </w:rPr>
      </w:pPr>
      <w:r>
        <w:fldChar w:fldCharType="begin"/>
      </w:r>
      <w:r>
        <w:instrText xml:space="preserve"> HYPERLINK \l "_Toc513647845" </w:instrText>
      </w:r>
      <w:r>
        <w:fldChar w:fldCharType="separate"/>
      </w:r>
      <w:r>
        <w:rPr>
          <w:rStyle w:val="20"/>
          <w:rFonts w:ascii="Times New Roman" w:hAnsi="Times New Roman" w:eastAsia="仿宋"/>
          <w:b w:val="0"/>
          <w:smallCaps w:val="0"/>
          <w:color w:val="auto"/>
          <w:kern w:val="0"/>
          <w:sz w:val="24"/>
        </w:rPr>
        <w:t xml:space="preserve">第3条 </w:t>
      </w:r>
      <w:r>
        <w:rPr>
          <w:rStyle w:val="20"/>
          <w:rFonts w:hint="eastAsia" w:ascii="Times New Roman" w:hAnsi="Times New Roman" w:eastAsia="仿宋"/>
          <w:b w:val="0"/>
          <w:smallCaps w:val="0"/>
          <w:color w:val="auto"/>
          <w:kern w:val="0"/>
          <w:sz w:val="24"/>
          <w:lang w:val="en-US" w:eastAsia="zh-CN"/>
        </w:rPr>
        <w:t>平台/</w:t>
      </w:r>
      <w:r>
        <w:rPr>
          <w:rStyle w:val="20"/>
          <w:rFonts w:hint="eastAsia" w:ascii="Times New Roman" w:hAnsi="Times New Roman" w:eastAsia="仿宋"/>
          <w:b w:val="0"/>
          <w:smallCaps w:val="0"/>
          <w:color w:val="auto"/>
          <w:kern w:val="0"/>
          <w:sz w:val="24"/>
        </w:rPr>
        <w:t>模型</w:t>
      </w:r>
      <w:r>
        <w:rPr>
          <w:rStyle w:val="20"/>
          <w:rFonts w:ascii="Times New Roman" w:hAnsi="Times New Roman" w:eastAsia="仿宋"/>
          <w:b w:val="0"/>
          <w:smallCaps w:val="0"/>
          <w:color w:val="auto"/>
          <w:kern w:val="0"/>
          <w:sz w:val="24"/>
        </w:rPr>
        <w:t>开发</w:t>
      </w:r>
      <w:r>
        <w:rPr>
          <w:rFonts w:ascii="Times New Roman" w:hAnsi="Times New Roman" w:eastAsia="仿宋"/>
          <w:b w:val="0"/>
          <w:smallCaps w:val="0"/>
          <w:kern w:val="0"/>
          <w:sz w:val="24"/>
        </w:rPr>
        <w:tab/>
      </w:r>
      <w:r>
        <w:rPr>
          <w:rFonts w:ascii="Times New Roman" w:hAnsi="Times New Roman" w:eastAsia="仿宋"/>
          <w:b w:val="0"/>
          <w:smallCaps w:val="0"/>
          <w:kern w:val="0"/>
          <w:sz w:val="24"/>
        </w:rPr>
        <w:fldChar w:fldCharType="end"/>
      </w:r>
      <w:r>
        <w:rPr>
          <w:rFonts w:ascii="Times New Roman" w:hAnsi="Times New Roman" w:eastAsia="仿宋"/>
          <w:b w:val="0"/>
          <w:smallCaps w:val="0"/>
          <w:kern w:val="0"/>
          <w:sz w:val="24"/>
        </w:rPr>
        <w:t>4</w:t>
      </w:r>
    </w:p>
    <w:p w14:paraId="26EE5947">
      <w:pPr>
        <w:pStyle w:val="13"/>
        <w:tabs>
          <w:tab w:val="right" w:leader="dot" w:pos="8296"/>
        </w:tabs>
        <w:rPr>
          <w:rFonts w:ascii="Times New Roman" w:hAnsi="Times New Roman" w:eastAsia="仿宋"/>
          <w:b w:val="0"/>
          <w:smallCaps w:val="0"/>
          <w:kern w:val="0"/>
          <w:sz w:val="24"/>
        </w:rPr>
      </w:pPr>
      <w:r>
        <w:fldChar w:fldCharType="begin"/>
      </w:r>
      <w:r>
        <w:instrText xml:space="preserve"> HYPERLINK \l "_Toc513647848" </w:instrText>
      </w:r>
      <w:r>
        <w:fldChar w:fldCharType="separate"/>
      </w:r>
      <w:r>
        <w:rPr>
          <w:rStyle w:val="20"/>
          <w:rFonts w:ascii="Times New Roman" w:hAnsi="Times New Roman" w:eastAsia="仿宋"/>
          <w:b w:val="0"/>
          <w:smallCaps w:val="0"/>
          <w:color w:val="auto"/>
          <w:kern w:val="0"/>
          <w:sz w:val="24"/>
        </w:rPr>
        <w:t>第4条 项目变更</w:t>
      </w:r>
      <w:r>
        <w:rPr>
          <w:rFonts w:ascii="Times New Roman" w:hAnsi="Times New Roman" w:eastAsia="仿宋"/>
          <w:b w:val="0"/>
          <w:smallCaps w:val="0"/>
          <w:kern w:val="0"/>
          <w:sz w:val="24"/>
        </w:rPr>
        <w:tab/>
      </w:r>
      <w:r>
        <w:rPr>
          <w:rFonts w:ascii="Times New Roman" w:hAnsi="Times New Roman" w:eastAsia="仿宋"/>
          <w:b w:val="0"/>
          <w:smallCaps w:val="0"/>
          <w:kern w:val="0"/>
          <w:sz w:val="24"/>
        </w:rPr>
        <w:fldChar w:fldCharType="end"/>
      </w:r>
      <w:r>
        <w:rPr>
          <w:rFonts w:ascii="Times New Roman" w:hAnsi="Times New Roman" w:eastAsia="仿宋"/>
          <w:b w:val="0"/>
          <w:smallCaps w:val="0"/>
          <w:kern w:val="0"/>
          <w:sz w:val="24"/>
        </w:rPr>
        <w:t>6</w:t>
      </w:r>
    </w:p>
    <w:p w14:paraId="26EE5948">
      <w:pPr>
        <w:pStyle w:val="13"/>
        <w:tabs>
          <w:tab w:val="right" w:leader="dot" w:pos="8296"/>
        </w:tabs>
        <w:rPr>
          <w:rFonts w:ascii="Times New Roman" w:hAnsi="Times New Roman" w:eastAsia="仿宋"/>
          <w:b w:val="0"/>
          <w:smallCaps w:val="0"/>
          <w:kern w:val="0"/>
          <w:sz w:val="24"/>
        </w:rPr>
      </w:pPr>
      <w:r>
        <w:fldChar w:fldCharType="begin"/>
      </w:r>
      <w:r>
        <w:instrText xml:space="preserve"> HYPERLINK \l "_Toc513647852" </w:instrText>
      </w:r>
      <w:r>
        <w:fldChar w:fldCharType="separate"/>
      </w:r>
      <w:r>
        <w:rPr>
          <w:rStyle w:val="20"/>
          <w:rFonts w:ascii="Times New Roman" w:hAnsi="Times New Roman" w:eastAsia="仿宋"/>
          <w:b w:val="0"/>
          <w:smallCaps w:val="0"/>
          <w:color w:val="auto"/>
          <w:kern w:val="0"/>
          <w:sz w:val="24"/>
        </w:rPr>
        <w:t>第5条 交付、领受与验收</w:t>
      </w:r>
      <w:r>
        <w:rPr>
          <w:rFonts w:ascii="Times New Roman" w:hAnsi="Times New Roman" w:eastAsia="仿宋"/>
          <w:b w:val="0"/>
          <w:smallCaps w:val="0"/>
          <w:kern w:val="0"/>
          <w:sz w:val="24"/>
        </w:rPr>
        <w:tab/>
      </w:r>
      <w:r>
        <w:rPr>
          <w:rFonts w:ascii="Times New Roman" w:hAnsi="Times New Roman" w:eastAsia="仿宋"/>
          <w:b w:val="0"/>
          <w:smallCaps w:val="0"/>
          <w:kern w:val="0"/>
          <w:sz w:val="24"/>
        </w:rPr>
        <w:fldChar w:fldCharType="end"/>
      </w:r>
      <w:r>
        <w:rPr>
          <w:rFonts w:ascii="Times New Roman" w:hAnsi="Times New Roman" w:eastAsia="仿宋"/>
          <w:b w:val="0"/>
          <w:smallCaps w:val="0"/>
          <w:kern w:val="0"/>
          <w:sz w:val="24"/>
        </w:rPr>
        <w:t>6</w:t>
      </w:r>
    </w:p>
    <w:p w14:paraId="26EE5949">
      <w:pPr>
        <w:pStyle w:val="13"/>
        <w:tabs>
          <w:tab w:val="right" w:leader="dot" w:pos="8296"/>
        </w:tabs>
        <w:rPr>
          <w:rFonts w:ascii="Times New Roman" w:hAnsi="Times New Roman" w:eastAsia="仿宋"/>
          <w:b w:val="0"/>
          <w:smallCaps w:val="0"/>
          <w:kern w:val="0"/>
          <w:sz w:val="24"/>
        </w:rPr>
      </w:pPr>
      <w:r>
        <w:fldChar w:fldCharType="begin"/>
      </w:r>
      <w:r>
        <w:instrText xml:space="preserve"> HYPERLINK \l "_Toc513647857" </w:instrText>
      </w:r>
      <w:r>
        <w:fldChar w:fldCharType="separate"/>
      </w:r>
      <w:r>
        <w:rPr>
          <w:rStyle w:val="20"/>
          <w:rFonts w:ascii="Times New Roman" w:hAnsi="Times New Roman" w:eastAsia="仿宋"/>
          <w:b w:val="0"/>
          <w:smallCaps w:val="0"/>
          <w:color w:val="auto"/>
          <w:kern w:val="0"/>
          <w:sz w:val="24"/>
        </w:rPr>
        <w:t>第6条 知识产权和使用权</w:t>
      </w:r>
      <w:r>
        <w:rPr>
          <w:rFonts w:ascii="Times New Roman" w:hAnsi="Times New Roman" w:eastAsia="仿宋"/>
          <w:b w:val="0"/>
          <w:smallCaps w:val="0"/>
          <w:kern w:val="0"/>
          <w:sz w:val="24"/>
        </w:rPr>
        <w:tab/>
      </w:r>
      <w:r>
        <w:rPr>
          <w:rFonts w:ascii="Times New Roman" w:hAnsi="Times New Roman" w:eastAsia="仿宋"/>
          <w:b w:val="0"/>
          <w:smallCaps w:val="0"/>
          <w:kern w:val="0"/>
          <w:sz w:val="24"/>
        </w:rPr>
        <w:fldChar w:fldCharType="end"/>
      </w:r>
      <w:r>
        <w:rPr>
          <w:rFonts w:ascii="Times New Roman" w:hAnsi="Times New Roman" w:eastAsia="仿宋"/>
          <w:b w:val="0"/>
          <w:smallCaps w:val="0"/>
          <w:kern w:val="0"/>
          <w:sz w:val="24"/>
        </w:rPr>
        <w:t>7</w:t>
      </w:r>
    </w:p>
    <w:p w14:paraId="26EE594A">
      <w:pPr>
        <w:pStyle w:val="13"/>
        <w:tabs>
          <w:tab w:val="right" w:leader="dot" w:pos="8296"/>
        </w:tabs>
        <w:rPr>
          <w:rFonts w:ascii="Times New Roman" w:hAnsi="Times New Roman" w:eastAsia="仿宋"/>
          <w:b w:val="0"/>
          <w:smallCaps w:val="0"/>
          <w:kern w:val="0"/>
          <w:sz w:val="24"/>
        </w:rPr>
      </w:pPr>
      <w:r>
        <w:fldChar w:fldCharType="begin"/>
      </w:r>
      <w:r>
        <w:instrText xml:space="preserve"> HYPERLINK \l "_Toc513647858" </w:instrText>
      </w:r>
      <w:r>
        <w:fldChar w:fldCharType="separate"/>
      </w:r>
      <w:r>
        <w:rPr>
          <w:rStyle w:val="20"/>
          <w:rFonts w:ascii="Times New Roman" w:hAnsi="Times New Roman" w:eastAsia="仿宋"/>
          <w:b w:val="0"/>
          <w:smallCaps w:val="0"/>
          <w:color w:val="auto"/>
          <w:kern w:val="0"/>
          <w:sz w:val="24"/>
        </w:rPr>
        <w:t>第7条 维护和培训</w:t>
      </w:r>
      <w:r>
        <w:rPr>
          <w:rFonts w:ascii="Times New Roman" w:hAnsi="Times New Roman" w:eastAsia="仿宋"/>
          <w:b w:val="0"/>
          <w:smallCaps w:val="0"/>
          <w:kern w:val="0"/>
          <w:sz w:val="24"/>
        </w:rPr>
        <w:tab/>
      </w:r>
      <w:r>
        <w:rPr>
          <w:rFonts w:ascii="Times New Roman" w:hAnsi="Times New Roman" w:eastAsia="仿宋"/>
          <w:b w:val="0"/>
          <w:smallCaps w:val="0"/>
          <w:kern w:val="0"/>
          <w:sz w:val="24"/>
        </w:rPr>
        <w:fldChar w:fldCharType="end"/>
      </w:r>
      <w:r>
        <w:rPr>
          <w:rFonts w:ascii="Times New Roman" w:hAnsi="Times New Roman" w:eastAsia="仿宋"/>
          <w:b w:val="0"/>
          <w:smallCaps w:val="0"/>
          <w:kern w:val="0"/>
          <w:sz w:val="24"/>
        </w:rPr>
        <w:t>8</w:t>
      </w:r>
    </w:p>
    <w:p w14:paraId="26EE594B">
      <w:pPr>
        <w:pStyle w:val="13"/>
        <w:tabs>
          <w:tab w:val="right" w:leader="dot" w:pos="8296"/>
        </w:tabs>
        <w:rPr>
          <w:rFonts w:ascii="Times New Roman" w:hAnsi="Times New Roman" w:eastAsia="仿宋"/>
          <w:b w:val="0"/>
          <w:smallCaps w:val="0"/>
          <w:kern w:val="0"/>
          <w:sz w:val="24"/>
        </w:rPr>
      </w:pPr>
      <w:r>
        <w:fldChar w:fldCharType="begin"/>
      </w:r>
      <w:r>
        <w:instrText xml:space="preserve"> HYPERLINK \l "_Toc513647859" </w:instrText>
      </w:r>
      <w:r>
        <w:fldChar w:fldCharType="separate"/>
      </w:r>
      <w:r>
        <w:rPr>
          <w:rStyle w:val="20"/>
          <w:rFonts w:ascii="Times New Roman" w:hAnsi="Times New Roman" w:eastAsia="仿宋"/>
          <w:b w:val="0"/>
          <w:smallCaps w:val="0"/>
          <w:color w:val="auto"/>
          <w:kern w:val="0"/>
          <w:sz w:val="24"/>
        </w:rPr>
        <w:t>第8条 价格与付款方式</w:t>
      </w:r>
      <w:r>
        <w:rPr>
          <w:rFonts w:ascii="Times New Roman" w:hAnsi="Times New Roman" w:eastAsia="仿宋"/>
          <w:b w:val="0"/>
          <w:smallCaps w:val="0"/>
          <w:kern w:val="0"/>
          <w:sz w:val="24"/>
        </w:rPr>
        <w:tab/>
      </w:r>
      <w:r>
        <w:rPr>
          <w:rFonts w:ascii="Times New Roman" w:hAnsi="Times New Roman" w:eastAsia="仿宋"/>
          <w:b w:val="0"/>
          <w:smallCaps w:val="0"/>
          <w:kern w:val="0"/>
          <w:sz w:val="24"/>
        </w:rPr>
        <w:fldChar w:fldCharType="end"/>
      </w:r>
      <w:r>
        <w:rPr>
          <w:rFonts w:ascii="Times New Roman" w:hAnsi="Times New Roman" w:eastAsia="仿宋"/>
          <w:b w:val="0"/>
          <w:smallCaps w:val="0"/>
          <w:kern w:val="0"/>
          <w:sz w:val="24"/>
        </w:rPr>
        <w:t>8</w:t>
      </w:r>
    </w:p>
    <w:p w14:paraId="26EE594C">
      <w:pPr>
        <w:pStyle w:val="13"/>
        <w:tabs>
          <w:tab w:val="right" w:leader="dot" w:pos="8296"/>
        </w:tabs>
        <w:rPr>
          <w:rFonts w:ascii="Times New Roman" w:hAnsi="Times New Roman" w:eastAsia="仿宋"/>
          <w:b w:val="0"/>
          <w:smallCaps w:val="0"/>
          <w:kern w:val="0"/>
          <w:sz w:val="24"/>
        </w:rPr>
      </w:pPr>
      <w:r>
        <w:fldChar w:fldCharType="begin"/>
      </w:r>
      <w:r>
        <w:instrText xml:space="preserve"> HYPERLINK \l "_Toc513647860" </w:instrText>
      </w:r>
      <w:r>
        <w:fldChar w:fldCharType="separate"/>
      </w:r>
      <w:r>
        <w:rPr>
          <w:rStyle w:val="20"/>
          <w:rFonts w:ascii="Times New Roman" w:hAnsi="Times New Roman" w:eastAsia="仿宋"/>
          <w:b w:val="0"/>
          <w:smallCaps w:val="0"/>
          <w:color w:val="auto"/>
          <w:kern w:val="0"/>
          <w:sz w:val="24"/>
        </w:rPr>
        <w:t>第9条 保证与免责</w:t>
      </w:r>
      <w:r>
        <w:rPr>
          <w:rFonts w:ascii="Times New Roman" w:hAnsi="Times New Roman" w:eastAsia="仿宋"/>
          <w:b w:val="0"/>
          <w:smallCaps w:val="0"/>
          <w:kern w:val="0"/>
          <w:sz w:val="24"/>
        </w:rPr>
        <w:tab/>
      </w:r>
      <w:r>
        <w:rPr>
          <w:rFonts w:ascii="Times New Roman" w:hAnsi="Times New Roman" w:eastAsia="仿宋"/>
          <w:b w:val="0"/>
          <w:smallCaps w:val="0"/>
          <w:kern w:val="0"/>
          <w:sz w:val="24"/>
        </w:rPr>
        <w:fldChar w:fldCharType="end"/>
      </w:r>
      <w:r>
        <w:rPr>
          <w:rFonts w:ascii="Times New Roman" w:hAnsi="Times New Roman" w:eastAsia="仿宋"/>
          <w:b w:val="0"/>
          <w:smallCaps w:val="0"/>
          <w:kern w:val="0"/>
          <w:sz w:val="24"/>
        </w:rPr>
        <w:t>9</w:t>
      </w:r>
    </w:p>
    <w:p w14:paraId="26EE594D">
      <w:pPr>
        <w:pStyle w:val="13"/>
        <w:tabs>
          <w:tab w:val="right" w:leader="dot" w:pos="8296"/>
        </w:tabs>
        <w:rPr>
          <w:rFonts w:ascii="Times New Roman" w:hAnsi="Times New Roman" w:eastAsia="仿宋"/>
          <w:b w:val="0"/>
          <w:smallCaps w:val="0"/>
          <w:kern w:val="0"/>
          <w:sz w:val="24"/>
        </w:rPr>
      </w:pPr>
      <w:r>
        <w:fldChar w:fldCharType="begin"/>
      </w:r>
      <w:r>
        <w:instrText xml:space="preserve"> HYPERLINK \l "_Toc513647863" </w:instrText>
      </w:r>
      <w:r>
        <w:fldChar w:fldCharType="separate"/>
      </w:r>
      <w:r>
        <w:rPr>
          <w:rStyle w:val="20"/>
          <w:rFonts w:ascii="Times New Roman" w:hAnsi="Times New Roman" w:eastAsia="仿宋"/>
          <w:b w:val="0"/>
          <w:smallCaps w:val="0"/>
          <w:color w:val="auto"/>
          <w:kern w:val="0"/>
          <w:sz w:val="24"/>
        </w:rPr>
        <w:t>第10条 保密</w:t>
      </w:r>
      <w:r>
        <w:rPr>
          <w:rFonts w:ascii="Times New Roman" w:hAnsi="Times New Roman" w:eastAsia="仿宋"/>
          <w:b w:val="0"/>
          <w:smallCaps w:val="0"/>
          <w:kern w:val="0"/>
          <w:sz w:val="24"/>
        </w:rPr>
        <w:tab/>
      </w:r>
      <w:r>
        <w:rPr>
          <w:rFonts w:ascii="Times New Roman" w:hAnsi="Times New Roman" w:eastAsia="仿宋"/>
          <w:b w:val="0"/>
          <w:smallCaps w:val="0"/>
          <w:kern w:val="0"/>
          <w:sz w:val="24"/>
        </w:rPr>
        <w:t>1</w:t>
      </w:r>
      <w:r>
        <w:rPr>
          <w:rFonts w:ascii="Times New Roman" w:hAnsi="Times New Roman" w:eastAsia="仿宋"/>
          <w:b w:val="0"/>
          <w:smallCaps w:val="0"/>
          <w:kern w:val="0"/>
          <w:sz w:val="24"/>
        </w:rPr>
        <w:fldChar w:fldCharType="end"/>
      </w:r>
      <w:r>
        <w:rPr>
          <w:rFonts w:ascii="Times New Roman" w:hAnsi="Times New Roman" w:eastAsia="仿宋"/>
          <w:b w:val="0"/>
          <w:smallCaps w:val="0"/>
          <w:kern w:val="0"/>
          <w:sz w:val="24"/>
        </w:rPr>
        <w:t>1</w:t>
      </w:r>
    </w:p>
    <w:p w14:paraId="26EE594E">
      <w:pPr>
        <w:pStyle w:val="13"/>
        <w:tabs>
          <w:tab w:val="right" w:leader="dot" w:pos="8296"/>
        </w:tabs>
        <w:rPr>
          <w:rFonts w:ascii="Times New Roman" w:hAnsi="Times New Roman" w:eastAsia="仿宋"/>
          <w:b w:val="0"/>
          <w:smallCaps w:val="0"/>
          <w:kern w:val="0"/>
          <w:sz w:val="24"/>
        </w:rPr>
      </w:pPr>
      <w:r>
        <w:fldChar w:fldCharType="begin"/>
      </w:r>
      <w:r>
        <w:instrText xml:space="preserve"> HYPERLINK \l "_Toc513647864" </w:instrText>
      </w:r>
      <w:r>
        <w:fldChar w:fldCharType="separate"/>
      </w:r>
      <w:r>
        <w:rPr>
          <w:rStyle w:val="20"/>
          <w:rFonts w:ascii="Times New Roman" w:hAnsi="Times New Roman" w:eastAsia="仿宋"/>
          <w:b w:val="0"/>
          <w:smallCaps w:val="0"/>
          <w:color w:val="auto"/>
          <w:kern w:val="0"/>
          <w:sz w:val="24"/>
        </w:rPr>
        <w:t xml:space="preserve">第11条 </w:t>
      </w:r>
      <w:r>
        <w:rPr>
          <w:rFonts w:ascii="Times New Roman" w:hAnsi="Times New Roman" w:eastAsia="仿宋"/>
          <w:b w:val="0"/>
          <w:smallCaps w:val="0"/>
          <w:kern w:val="0"/>
          <w:sz w:val="24"/>
        </w:rPr>
        <w:t>违约与赔偿责任</w:t>
      </w:r>
      <w:r>
        <w:rPr>
          <w:rFonts w:ascii="Times New Roman" w:hAnsi="Times New Roman" w:eastAsia="仿宋"/>
          <w:b w:val="0"/>
          <w:smallCaps w:val="0"/>
          <w:kern w:val="0"/>
          <w:sz w:val="24"/>
        </w:rPr>
        <w:tab/>
      </w:r>
      <w:r>
        <w:rPr>
          <w:rFonts w:ascii="Times New Roman" w:hAnsi="Times New Roman" w:eastAsia="仿宋"/>
          <w:b w:val="0"/>
          <w:smallCaps w:val="0"/>
          <w:kern w:val="0"/>
          <w:sz w:val="24"/>
        </w:rPr>
        <w:t>1</w:t>
      </w:r>
      <w:r>
        <w:rPr>
          <w:rFonts w:ascii="Times New Roman" w:hAnsi="Times New Roman" w:eastAsia="仿宋"/>
          <w:b w:val="0"/>
          <w:smallCaps w:val="0"/>
          <w:kern w:val="0"/>
          <w:sz w:val="24"/>
        </w:rPr>
        <w:fldChar w:fldCharType="end"/>
      </w:r>
      <w:r>
        <w:rPr>
          <w:rFonts w:ascii="Times New Roman" w:hAnsi="Times New Roman" w:eastAsia="仿宋"/>
          <w:b w:val="0"/>
          <w:smallCaps w:val="0"/>
          <w:kern w:val="0"/>
          <w:sz w:val="24"/>
        </w:rPr>
        <w:t>2</w:t>
      </w:r>
    </w:p>
    <w:p w14:paraId="26EE594F">
      <w:pPr>
        <w:pStyle w:val="13"/>
        <w:tabs>
          <w:tab w:val="right" w:leader="dot" w:pos="8296"/>
        </w:tabs>
        <w:rPr>
          <w:rFonts w:ascii="Times New Roman" w:hAnsi="Times New Roman" w:eastAsia="仿宋"/>
          <w:b w:val="0"/>
          <w:smallCaps w:val="0"/>
          <w:kern w:val="0"/>
          <w:sz w:val="24"/>
        </w:rPr>
      </w:pPr>
      <w:r>
        <w:fldChar w:fldCharType="begin"/>
      </w:r>
      <w:r>
        <w:instrText xml:space="preserve"> HYPERLINK \l "_Toc513647864" </w:instrText>
      </w:r>
      <w:r>
        <w:fldChar w:fldCharType="separate"/>
      </w:r>
      <w:r>
        <w:rPr>
          <w:rFonts w:ascii="Times New Roman" w:hAnsi="Times New Roman" w:eastAsia="仿宋"/>
          <w:b w:val="0"/>
          <w:smallCaps w:val="0"/>
          <w:kern w:val="0"/>
          <w:sz w:val="24"/>
        </w:rPr>
        <w:t>第12条 综合条款</w:t>
      </w:r>
      <w:r>
        <w:rPr>
          <w:rFonts w:ascii="Times New Roman" w:hAnsi="Times New Roman" w:eastAsia="仿宋"/>
          <w:b w:val="0"/>
          <w:smallCaps w:val="0"/>
          <w:kern w:val="0"/>
          <w:sz w:val="24"/>
        </w:rPr>
        <w:tab/>
      </w:r>
      <w:r>
        <w:rPr>
          <w:rFonts w:ascii="Times New Roman" w:hAnsi="Times New Roman" w:eastAsia="仿宋"/>
          <w:b w:val="0"/>
          <w:smallCaps w:val="0"/>
          <w:kern w:val="0"/>
          <w:sz w:val="24"/>
        </w:rPr>
        <w:t>1</w:t>
      </w:r>
      <w:r>
        <w:rPr>
          <w:rFonts w:ascii="Times New Roman" w:hAnsi="Times New Roman" w:eastAsia="仿宋"/>
          <w:b w:val="0"/>
          <w:smallCaps w:val="0"/>
          <w:kern w:val="0"/>
          <w:sz w:val="24"/>
        </w:rPr>
        <w:fldChar w:fldCharType="end"/>
      </w:r>
      <w:r>
        <w:rPr>
          <w:rFonts w:ascii="Times New Roman" w:hAnsi="Times New Roman" w:eastAsia="仿宋"/>
          <w:b w:val="0"/>
          <w:smallCaps w:val="0"/>
          <w:kern w:val="0"/>
          <w:sz w:val="24"/>
        </w:rPr>
        <w:t>3</w:t>
      </w:r>
    </w:p>
    <w:p w14:paraId="26EE5950">
      <w:pPr>
        <w:pStyle w:val="13"/>
        <w:tabs>
          <w:tab w:val="right" w:leader="dot" w:pos="8296"/>
        </w:tabs>
        <w:rPr>
          <w:rFonts w:ascii="Times New Roman" w:hAnsi="Times New Roman"/>
        </w:rPr>
      </w:pPr>
      <w:r>
        <w:fldChar w:fldCharType="begin"/>
      </w:r>
      <w:r>
        <w:instrText xml:space="preserve"> HYPERLINK \l "_Toc513647865" </w:instrText>
      </w:r>
      <w:r>
        <w:fldChar w:fldCharType="separate"/>
      </w:r>
      <w:r>
        <w:rPr>
          <w:rFonts w:ascii="Times New Roman" w:hAnsi="Times New Roman" w:eastAsia="仿宋"/>
          <w:b w:val="0"/>
          <w:smallCaps w:val="0"/>
          <w:kern w:val="0"/>
          <w:sz w:val="24"/>
        </w:rPr>
        <w:t>第13条</w:t>
      </w:r>
      <w:r>
        <w:rPr>
          <w:rStyle w:val="20"/>
          <w:rFonts w:ascii="Times New Roman" w:hAnsi="Times New Roman" w:eastAsia="仿宋"/>
          <w:b w:val="0"/>
          <w:smallCaps w:val="0"/>
          <w:color w:val="auto"/>
          <w:kern w:val="0"/>
          <w:sz w:val="24"/>
        </w:rPr>
        <w:t xml:space="preserve"> 争议解决</w:t>
      </w:r>
      <w:r>
        <w:rPr>
          <w:rFonts w:ascii="Times New Roman" w:hAnsi="Times New Roman" w:eastAsia="仿宋"/>
          <w:b w:val="0"/>
          <w:smallCaps w:val="0"/>
          <w:kern w:val="0"/>
          <w:sz w:val="24"/>
        </w:rPr>
        <w:tab/>
      </w:r>
      <w:r>
        <w:rPr>
          <w:rFonts w:ascii="Times New Roman" w:hAnsi="Times New Roman" w:eastAsia="仿宋"/>
          <w:b w:val="0"/>
          <w:smallCaps w:val="0"/>
          <w:kern w:val="0"/>
          <w:sz w:val="24"/>
        </w:rPr>
        <w:fldChar w:fldCharType="end"/>
      </w:r>
      <w:r>
        <w:rPr>
          <w:rFonts w:ascii="Times New Roman" w:hAnsi="Times New Roman" w:eastAsia="仿宋"/>
          <w:b w:val="0"/>
          <w:smallCaps w:val="0"/>
          <w:kern w:val="0"/>
          <w:sz w:val="24"/>
        </w:rPr>
        <w:t>13</w:t>
      </w:r>
    </w:p>
    <w:p w14:paraId="26EE5951">
      <w:pPr>
        <w:pStyle w:val="13"/>
        <w:tabs>
          <w:tab w:val="right" w:leader="dot" w:pos="8296"/>
        </w:tabs>
        <w:rPr>
          <w:rFonts w:ascii="Times New Roman" w:hAnsi="Times New Roman" w:eastAsia="仿宋"/>
          <w:b w:val="0"/>
          <w:smallCaps w:val="0"/>
          <w:kern w:val="0"/>
          <w:sz w:val="24"/>
        </w:rPr>
      </w:pPr>
      <w:r>
        <w:fldChar w:fldCharType="begin"/>
      </w:r>
      <w:r>
        <w:instrText xml:space="preserve"> HYPERLINK \l "_Toc513647865" </w:instrText>
      </w:r>
      <w:r>
        <w:fldChar w:fldCharType="separate"/>
      </w:r>
      <w:r>
        <w:rPr>
          <w:rFonts w:ascii="Times New Roman" w:hAnsi="Times New Roman" w:eastAsia="仿宋"/>
          <w:b w:val="0"/>
          <w:smallCaps w:val="0"/>
          <w:kern w:val="0"/>
          <w:sz w:val="24"/>
        </w:rPr>
        <w:t>第</w:t>
      </w:r>
      <w:r>
        <w:rPr>
          <w:rStyle w:val="20"/>
          <w:rFonts w:ascii="Times New Roman" w:hAnsi="Times New Roman" w:eastAsia="仿宋"/>
          <w:b w:val="0"/>
          <w:smallCaps w:val="0"/>
          <w:color w:val="auto"/>
          <w:kern w:val="0"/>
          <w:sz w:val="24"/>
        </w:rPr>
        <w:t>14条 通知</w:t>
      </w:r>
      <w:r>
        <w:rPr>
          <w:rFonts w:ascii="Times New Roman" w:hAnsi="Times New Roman" w:eastAsia="仿宋"/>
          <w:b w:val="0"/>
          <w:smallCaps w:val="0"/>
          <w:kern w:val="0"/>
          <w:sz w:val="24"/>
        </w:rPr>
        <w:tab/>
      </w:r>
      <w:r>
        <w:rPr>
          <w:rFonts w:ascii="Times New Roman" w:hAnsi="Times New Roman" w:eastAsia="仿宋"/>
          <w:b w:val="0"/>
          <w:smallCaps w:val="0"/>
          <w:kern w:val="0"/>
          <w:sz w:val="24"/>
        </w:rPr>
        <w:fldChar w:fldCharType="end"/>
      </w:r>
      <w:r>
        <w:rPr>
          <w:rFonts w:ascii="Times New Roman" w:hAnsi="Times New Roman" w:eastAsia="仿宋"/>
          <w:b w:val="0"/>
          <w:smallCaps w:val="0"/>
          <w:kern w:val="0"/>
          <w:sz w:val="24"/>
        </w:rPr>
        <w:t>13</w:t>
      </w:r>
    </w:p>
    <w:p w14:paraId="26EE5952">
      <w:pPr>
        <w:pStyle w:val="13"/>
        <w:tabs>
          <w:tab w:val="right" w:leader="dot" w:pos="8296"/>
        </w:tabs>
        <w:rPr>
          <w:rFonts w:ascii="Times New Roman" w:hAnsi="Times New Roman" w:eastAsia="仿宋"/>
          <w:b w:val="0"/>
          <w:smallCaps w:val="0"/>
          <w:kern w:val="0"/>
          <w:sz w:val="24"/>
        </w:rPr>
      </w:pPr>
      <w:r>
        <w:fldChar w:fldCharType="begin"/>
      </w:r>
      <w:r>
        <w:instrText xml:space="preserve"> HYPERLINK \l "_Toc513647866" </w:instrText>
      </w:r>
      <w:r>
        <w:fldChar w:fldCharType="separate"/>
      </w:r>
      <w:r>
        <w:rPr>
          <w:rStyle w:val="20"/>
          <w:rFonts w:ascii="Times New Roman" w:hAnsi="Times New Roman" w:eastAsia="仿宋"/>
          <w:b w:val="0"/>
          <w:smallCaps w:val="0"/>
          <w:color w:val="auto"/>
          <w:kern w:val="0"/>
          <w:sz w:val="24"/>
        </w:rPr>
        <w:t>第15条 合同的生效、变更与终止</w:t>
      </w:r>
      <w:r>
        <w:rPr>
          <w:rFonts w:ascii="Times New Roman" w:hAnsi="Times New Roman" w:eastAsia="仿宋"/>
          <w:b w:val="0"/>
          <w:smallCaps w:val="0"/>
          <w:kern w:val="0"/>
          <w:sz w:val="24"/>
        </w:rPr>
        <w:tab/>
      </w:r>
      <w:r>
        <w:rPr>
          <w:rFonts w:ascii="Times New Roman" w:hAnsi="Times New Roman" w:eastAsia="仿宋"/>
          <w:b w:val="0"/>
          <w:smallCaps w:val="0"/>
          <w:kern w:val="0"/>
          <w:sz w:val="24"/>
        </w:rPr>
        <w:fldChar w:fldCharType="end"/>
      </w:r>
      <w:r>
        <w:rPr>
          <w:rFonts w:ascii="Times New Roman" w:hAnsi="Times New Roman" w:eastAsia="仿宋"/>
          <w:b w:val="0"/>
          <w:smallCaps w:val="0"/>
          <w:kern w:val="0"/>
          <w:sz w:val="24"/>
        </w:rPr>
        <w:t>14</w:t>
      </w:r>
    </w:p>
    <w:p w14:paraId="26EE5953">
      <w:pPr>
        <w:pStyle w:val="13"/>
        <w:tabs>
          <w:tab w:val="right" w:leader="dot" w:pos="8296"/>
        </w:tabs>
        <w:rPr>
          <w:rFonts w:ascii="Times New Roman" w:hAnsi="Times New Roman" w:eastAsia="仿宋"/>
          <w:b w:val="0"/>
          <w:smallCaps w:val="0"/>
          <w:kern w:val="0"/>
          <w:sz w:val="24"/>
        </w:rPr>
      </w:pPr>
      <w:r>
        <w:fldChar w:fldCharType="begin"/>
      </w:r>
      <w:r>
        <w:instrText xml:space="preserve"> HYPERLINK \l "_Toc513647866" </w:instrText>
      </w:r>
      <w:r>
        <w:fldChar w:fldCharType="separate"/>
      </w:r>
      <w:r>
        <w:rPr>
          <w:rFonts w:ascii="Times New Roman" w:hAnsi="Times New Roman" w:eastAsia="仿宋"/>
          <w:b w:val="0"/>
          <w:smallCaps w:val="0"/>
          <w:kern w:val="0"/>
          <w:sz w:val="24"/>
        </w:rPr>
        <w:t>第16条 信用</w:t>
      </w:r>
      <w:r>
        <w:rPr>
          <w:rFonts w:ascii="Times New Roman" w:hAnsi="Times New Roman" w:eastAsia="仿宋"/>
          <w:b w:val="0"/>
          <w:smallCaps w:val="0"/>
          <w:kern w:val="0"/>
          <w:sz w:val="24"/>
        </w:rPr>
        <w:tab/>
      </w:r>
      <w:r>
        <w:rPr>
          <w:rFonts w:ascii="Times New Roman" w:hAnsi="Times New Roman" w:eastAsia="仿宋"/>
          <w:b w:val="0"/>
          <w:smallCaps w:val="0"/>
          <w:kern w:val="0"/>
          <w:sz w:val="24"/>
        </w:rPr>
        <w:fldChar w:fldCharType="end"/>
      </w:r>
      <w:r>
        <w:rPr>
          <w:rFonts w:ascii="Times New Roman" w:hAnsi="Times New Roman" w:eastAsia="仿宋"/>
          <w:b w:val="0"/>
          <w:smallCaps w:val="0"/>
          <w:kern w:val="0"/>
          <w:sz w:val="24"/>
        </w:rPr>
        <w:t>14</w:t>
      </w:r>
    </w:p>
    <w:p w14:paraId="26EE5954">
      <w:pPr>
        <w:pStyle w:val="13"/>
        <w:tabs>
          <w:tab w:val="right" w:leader="dot" w:pos="8296"/>
        </w:tabs>
        <w:ind w:left="0"/>
        <w:rPr>
          <w:rFonts w:ascii="Times New Roman" w:hAnsi="Times New Roman" w:eastAsia="仿宋"/>
          <w:b w:val="0"/>
          <w:smallCaps w:val="0"/>
          <w:kern w:val="0"/>
          <w:sz w:val="24"/>
        </w:rPr>
      </w:pPr>
      <w:r>
        <w:rPr>
          <w:rFonts w:ascii="Times New Roman" w:hAnsi="Times New Roman" w:eastAsia="仿宋"/>
          <w:b w:val="0"/>
          <w:smallCaps w:val="0"/>
          <w:kern w:val="0"/>
          <w:sz w:val="24"/>
        </w:rPr>
        <w:t xml:space="preserve">  </w:t>
      </w:r>
      <w:r>
        <w:fldChar w:fldCharType="begin"/>
      </w:r>
      <w:r>
        <w:instrText xml:space="preserve"> HYPERLINK \l "_Toc513647866" </w:instrText>
      </w:r>
      <w:r>
        <w:fldChar w:fldCharType="separate"/>
      </w:r>
      <w:r>
        <w:rPr>
          <w:rFonts w:ascii="Times New Roman" w:hAnsi="Times New Roman" w:eastAsia="仿宋"/>
          <w:b w:val="0"/>
          <w:smallCaps w:val="0"/>
          <w:kern w:val="0"/>
          <w:sz w:val="24"/>
        </w:rPr>
        <w:t>附件</w:t>
      </w:r>
      <w:r>
        <w:rPr>
          <w:rFonts w:ascii="Times New Roman" w:hAnsi="Times New Roman" w:eastAsia="仿宋"/>
          <w:b w:val="0"/>
          <w:smallCaps w:val="0"/>
          <w:kern w:val="0"/>
          <w:sz w:val="24"/>
        </w:rPr>
        <w:tab/>
      </w:r>
      <w:r>
        <w:rPr>
          <w:rFonts w:ascii="Times New Roman" w:hAnsi="Times New Roman" w:eastAsia="仿宋"/>
          <w:b w:val="0"/>
          <w:smallCaps w:val="0"/>
          <w:kern w:val="0"/>
          <w:sz w:val="24"/>
        </w:rPr>
        <w:fldChar w:fldCharType="end"/>
      </w:r>
      <w:r>
        <w:rPr>
          <w:rFonts w:ascii="Times New Roman" w:hAnsi="Times New Roman" w:eastAsia="仿宋"/>
          <w:b w:val="0"/>
          <w:smallCaps w:val="0"/>
          <w:kern w:val="0"/>
          <w:sz w:val="24"/>
        </w:rPr>
        <w:t>17</w:t>
      </w:r>
    </w:p>
    <w:p w14:paraId="26EE5955">
      <w:pPr>
        <w:rPr>
          <w:rFonts w:ascii="Times New Roman" w:hAnsi="Times New Roman"/>
        </w:rPr>
      </w:pPr>
    </w:p>
    <w:p w14:paraId="26EE5956">
      <w:pPr>
        <w:pStyle w:val="14"/>
        <w:spacing w:line="500" w:lineRule="exact"/>
        <w:jc w:val="center"/>
        <w:rPr>
          <w:rFonts w:ascii="Times New Roman" w:hAnsi="Times New Roman" w:eastAsia="仿宋"/>
        </w:rPr>
      </w:pPr>
      <w:r>
        <w:rPr>
          <w:rFonts w:ascii="Times New Roman" w:hAnsi="Times New Roman" w:eastAsia="仿宋"/>
        </w:rPr>
        <w:fldChar w:fldCharType="end"/>
      </w:r>
    </w:p>
    <w:p w14:paraId="26EE5957">
      <w:pPr>
        <w:pStyle w:val="14"/>
        <w:spacing w:line="500" w:lineRule="exact"/>
        <w:jc w:val="center"/>
        <w:rPr>
          <w:rFonts w:ascii="Times New Roman" w:hAnsi="Times New Roman" w:eastAsia="仿宋"/>
        </w:rPr>
      </w:pPr>
    </w:p>
    <w:p w14:paraId="26EE5958">
      <w:pPr>
        <w:pStyle w:val="14"/>
        <w:spacing w:line="500" w:lineRule="exact"/>
        <w:jc w:val="center"/>
        <w:rPr>
          <w:rFonts w:ascii="Times New Roman" w:hAnsi="Times New Roman" w:eastAsia="仿宋"/>
        </w:rPr>
      </w:pPr>
    </w:p>
    <w:p w14:paraId="26EE5959">
      <w:pPr>
        <w:pStyle w:val="14"/>
        <w:spacing w:line="500" w:lineRule="exact"/>
        <w:jc w:val="center"/>
        <w:rPr>
          <w:rFonts w:ascii="Times New Roman" w:hAnsi="Times New Roman" w:eastAsia="仿宋"/>
        </w:rPr>
      </w:pPr>
    </w:p>
    <w:p w14:paraId="26EE595A">
      <w:pPr>
        <w:pStyle w:val="14"/>
        <w:spacing w:line="500" w:lineRule="exact"/>
        <w:jc w:val="center"/>
        <w:rPr>
          <w:rFonts w:ascii="Times New Roman" w:hAnsi="Times New Roman" w:eastAsia="仿宋"/>
        </w:rPr>
      </w:pPr>
    </w:p>
    <w:p w14:paraId="516DB34B">
      <w:pPr>
        <w:pStyle w:val="14"/>
        <w:spacing w:line="500" w:lineRule="exact"/>
        <w:jc w:val="center"/>
        <w:rPr>
          <w:rFonts w:hint="eastAsia" w:ascii="Times New Roman" w:hAnsi="Times New Roman" w:eastAsia="仿宋"/>
          <w:b/>
          <w:kern w:val="2"/>
          <w:sz w:val="32"/>
          <w:szCs w:val="32"/>
        </w:rPr>
      </w:pPr>
    </w:p>
    <w:p w14:paraId="26EE595B">
      <w:pPr>
        <w:pStyle w:val="14"/>
        <w:spacing w:line="500" w:lineRule="exact"/>
        <w:jc w:val="center"/>
        <w:rPr>
          <w:rFonts w:ascii="Times New Roman" w:hAnsi="Times New Roman" w:eastAsia="仿宋"/>
          <w:b/>
          <w:kern w:val="2"/>
          <w:sz w:val="32"/>
          <w:szCs w:val="32"/>
        </w:rPr>
      </w:pPr>
      <w:r>
        <w:rPr>
          <w:rFonts w:hint="eastAsia" w:ascii="Times New Roman" w:hAnsi="Times New Roman" w:eastAsia="仿宋"/>
          <w:b/>
          <w:kern w:val="2"/>
          <w:sz w:val="32"/>
          <w:szCs w:val="32"/>
        </w:rPr>
        <w:t>InSAR数据采购、解译处理、</w:t>
      </w:r>
      <w:r>
        <w:rPr>
          <w:rFonts w:hint="eastAsia" w:ascii="Times New Roman" w:hAnsi="Times New Roman" w:eastAsia="仿宋"/>
          <w:b/>
          <w:kern w:val="2"/>
          <w:sz w:val="32"/>
          <w:szCs w:val="32"/>
          <w:lang w:val="en-US" w:eastAsia="zh-CN"/>
        </w:rPr>
        <w:t>原型</w:t>
      </w:r>
      <w:r>
        <w:rPr>
          <w:rFonts w:hint="eastAsia" w:ascii="Times New Roman" w:hAnsi="Times New Roman" w:eastAsia="仿宋"/>
          <w:b/>
          <w:kern w:val="2"/>
          <w:sz w:val="32"/>
          <w:szCs w:val="32"/>
        </w:rPr>
        <w:t>平台开发</w:t>
      </w:r>
      <w:r>
        <w:rPr>
          <w:rFonts w:hint="eastAsia" w:ascii="Times New Roman" w:hAnsi="Times New Roman" w:eastAsia="仿宋"/>
          <w:b/>
          <w:kern w:val="2"/>
          <w:sz w:val="32"/>
          <w:szCs w:val="32"/>
          <w:lang w:val="en-US" w:eastAsia="zh-CN"/>
        </w:rPr>
        <w:t>技术服务</w:t>
      </w:r>
      <w:r>
        <w:rPr>
          <w:rFonts w:ascii="Times New Roman" w:hAnsi="Times New Roman" w:eastAsia="仿宋"/>
          <w:b/>
          <w:kern w:val="2"/>
          <w:sz w:val="32"/>
          <w:szCs w:val="32"/>
        </w:rPr>
        <w:t>合同</w:t>
      </w:r>
    </w:p>
    <w:p w14:paraId="26EE595C">
      <w:pPr>
        <w:pStyle w:val="14"/>
        <w:spacing w:before="0" w:beforeAutospacing="0" w:after="0" w:afterAutospacing="0" w:line="400" w:lineRule="exact"/>
        <w:ind w:firstLine="480" w:firstLineChars="200"/>
        <w:jc w:val="both"/>
        <w:rPr>
          <w:rFonts w:hint="default" w:ascii="Times New Roman" w:hAnsi="Times New Roman" w:eastAsia="仿宋"/>
          <w:u w:val="single"/>
          <w:lang w:val="en-US" w:eastAsia="zh-CN"/>
        </w:rPr>
      </w:pPr>
      <w:r>
        <w:rPr>
          <w:rFonts w:ascii="Times New Roman" w:hAnsi="Times New Roman" w:eastAsia="仿宋"/>
        </w:rPr>
        <w:t>甲方：</w:t>
      </w:r>
      <w:r>
        <w:rPr>
          <w:rFonts w:hint="eastAsia" w:ascii="Times New Roman" w:hAnsi="Times New Roman" w:eastAsia="仿宋"/>
          <w:u w:val="single"/>
          <w:lang w:val="en-US" w:eastAsia="zh-CN"/>
        </w:rPr>
        <w:t xml:space="preserve">                         </w:t>
      </w:r>
    </w:p>
    <w:p w14:paraId="26EE595D">
      <w:pPr>
        <w:pStyle w:val="14"/>
        <w:spacing w:before="0" w:beforeAutospacing="0" w:after="0" w:afterAutospacing="0" w:line="400" w:lineRule="exact"/>
        <w:ind w:firstLine="480" w:firstLineChars="200"/>
        <w:jc w:val="both"/>
        <w:rPr>
          <w:rFonts w:hint="eastAsia" w:ascii="Times New Roman" w:hAnsi="Times New Roman" w:eastAsia="仿宋"/>
          <w:lang w:eastAsia="zh-CN"/>
        </w:rPr>
      </w:pPr>
      <w:r>
        <w:rPr>
          <w:rFonts w:ascii="Times New Roman" w:hAnsi="Times New Roman" w:eastAsia="仿宋"/>
        </w:rPr>
        <w:t>地址：</w:t>
      </w:r>
      <w:r>
        <w:rPr>
          <w:rFonts w:hint="eastAsia" w:ascii="Times New Roman" w:hAnsi="Times New Roman" w:eastAsia="仿宋"/>
          <w:lang w:val="en-US" w:eastAsia="zh-CN"/>
        </w:rPr>
        <w:t xml:space="preserve">  </w:t>
      </w:r>
    </w:p>
    <w:p w14:paraId="26EE595E">
      <w:pPr>
        <w:pStyle w:val="14"/>
        <w:spacing w:before="0" w:beforeAutospacing="0" w:after="0" w:afterAutospacing="0" w:line="400" w:lineRule="exact"/>
        <w:ind w:firstLine="480" w:firstLineChars="200"/>
        <w:jc w:val="both"/>
        <w:rPr>
          <w:rFonts w:hint="eastAsia" w:ascii="Times New Roman" w:hAnsi="Times New Roman" w:eastAsia="仿宋"/>
          <w:lang w:eastAsia="zh-CN"/>
        </w:rPr>
      </w:pPr>
      <w:r>
        <w:rPr>
          <w:rFonts w:ascii="Times New Roman" w:hAnsi="Times New Roman" w:eastAsia="仿宋"/>
        </w:rPr>
        <w:t>法定代表人：</w:t>
      </w:r>
      <w:r>
        <w:rPr>
          <w:rFonts w:hint="eastAsia" w:ascii="Times New Roman" w:hAnsi="Times New Roman" w:eastAsia="仿宋"/>
          <w:lang w:val="en-US" w:eastAsia="zh-CN"/>
        </w:rPr>
        <w:t xml:space="preserve">  </w:t>
      </w:r>
    </w:p>
    <w:p w14:paraId="0F64A2DB">
      <w:pPr>
        <w:pStyle w:val="14"/>
        <w:spacing w:before="0" w:beforeAutospacing="0" w:after="0" w:afterAutospacing="0" w:line="400" w:lineRule="exact"/>
        <w:ind w:firstLine="480" w:firstLineChars="200"/>
        <w:jc w:val="both"/>
        <w:rPr>
          <w:rFonts w:hint="eastAsia" w:ascii="Times New Roman" w:hAnsi="Times New Roman" w:eastAsia="仿宋"/>
          <w:lang w:eastAsia="zh-CN"/>
        </w:rPr>
      </w:pPr>
      <w:r>
        <w:rPr>
          <w:rFonts w:ascii="Times New Roman" w:hAnsi="Times New Roman" w:eastAsia="仿宋"/>
        </w:rPr>
        <w:t>联系电话：</w:t>
      </w:r>
      <w:r>
        <w:rPr>
          <w:rFonts w:hint="eastAsia" w:ascii="Times New Roman" w:hAnsi="Times New Roman" w:eastAsia="仿宋"/>
          <w:lang w:val="en-US" w:eastAsia="zh-CN"/>
        </w:rPr>
        <w:t xml:space="preserve"> </w:t>
      </w:r>
    </w:p>
    <w:p w14:paraId="26EE5960">
      <w:pPr>
        <w:pStyle w:val="14"/>
        <w:spacing w:before="0" w:beforeAutospacing="0" w:after="0" w:afterAutospacing="0" w:line="400" w:lineRule="exact"/>
        <w:ind w:firstLine="480" w:firstLineChars="200"/>
        <w:jc w:val="both"/>
        <w:rPr>
          <w:rFonts w:hint="eastAsia" w:ascii="Times New Roman" w:hAnsi="Times New Roman" w:eastAsia="仿宋"/>
          <w:lang w:eastAsia="zh-CN"/>
        </w:rPr>
      </w:pPr>
      <w:r>
        <w:rPr>
          <w:rFonts w:ascii="Times New Roman" w:hAnsi="Times New Roman" w:eastAsia="仿宋"/>
        </w:rPr>
        <w:t>邮编：</w:t>
      </w:r>
      <w:r>
        <w:rPr>
          <w:rFonts w:hint="eastAsia" w:ascii="Times New Roman" w:hAnsi="Times New Roman" w:eastAsia="仿宋"/>
          <w:lang w:val="en-US" w:eastAsia="zh-CN"/>
        </w:rPr>
        <w:t xml:space="preserve"> </w:t>
      </w:r>
    </w:p>
    <w:p w14:paraId="26EE5961">
      <w:pPr>
        <w:pStyle w:val="14"/>
        <w:spacing w:before="0" w:beforeAutospacing="0" w:after="0" w:afterAutospacing="0" w:line="400" w:lineRule="exact"/>
        <w:ind w:firstLine="480" w:firstLineChars="200"/>
        <w:jc w:val="both"/>
        <w:rPr>
          <w:rFonts w:hint="default" w:ascii="Times New Roman" w:hAnsi="Times New Roman" w:eastAsia="仿宋"/>
          <w:lang w:val="en-US"/>
        </w:rPr>
      </w:pPr>
      <w:r>
        <w:rPr>
          <w:rFonts w:ascii="Times New Roman" w:hAnsi="Times New Roman" w:eastAsia="仿宋"/>
        </w:rPr>
        <w:t>乙方：</w:t>
      </w:r>
      <w:r>
        <w:rPr>
          <w:rFonts w:hint="eastAsia" w:ascii="Times New Roman" w:hAnsi="Times New Roman" w:eastAsia="仿宋"/>
          <w:u w:val="single"/>
          <w:lang w:val="en-US" w:eastAsia="zh-CN"/>
        </w:rPr>
        <w:t xml:space="preserve">                        </w:t>
      </w:r>
    </w:p>
    <w:p w14:paraId="26EE5962">
      <w:pPr>
        <w:pStyle w:val="14"/>
        <w:spacing w:before="0" w:beforeAutospacing="0" w:after="0" w:afterAutospacing="0" w:line="400" w:lineRule="exact"/>
        <w:ind w:firstLine="480" w:firstLineChars="200"/>
        <w:jc w:val="both"/>
        <w:rPr>
          <w:rFonts w:hint="eastAsia" w:ascii="Times New Roman" w:hAnsi="Times New Roman" w:eastAsia="仿宋"/>
          <w:lang w:eastAsia="zh-CN"/>
        </w:rPr>
      </w:pPr>
      <w:r>
        <w:rPr>
          <w:rFonts w:ascii="Times New Roman" w:hAnsi="Times New Roman" w:eastAsia="仿宋"/>
        </w:rPr>
        <w:t>地址：</w:t>
      </w:r>
      <w:r>
        <w:rPr>
          <w:rFonts w:hint="eastAsia" w:ascii="Times New Roman" w:hAnsi="Times New Roman" w:eastAsia="仿宋"/>
          <w:lang w:val="en-US" w:eastAsia="zh-CN"/>
        </w:rPr>
        <w:t xml:space="preserve">  </w:t>
      </w:r>
    </w:p>
    <w:p w14:paraId="26EE5963">
      <w:pPr>
        <w:pStyle w:val="14"/>
        <w:spacing w:before="0" w:beforeAutospacing="0" w:after="0" w:afterAutospacing="0" w:line="400" w:lineRule="exact"/>
        <w:ind w:firstLine="480" w:firstLineChars="200"/>
        <w:jc w:val="both"/>
        <w:rPr>
          <w:rFonts w:hint="eastAsia" w:ascii="Times New Roman" w:hAnsi="Times New Roman" w:eastAsia="仿宋"/>
          <w:lang w:eastAsia="zh-CN"/>
        </w:rPr>
      </w:pPr>
      <w:r>
        <w:rPr>
          <w:rFonts w:ascii="Times New Roman" w:hAnsi="Times New Roman" w:eastAsia="仿宋"/>
        </w:rPr>
        <w:t>法定代表人：</w:t>
      </w:r>
      <w:r>
        <w:rPr>
          <w:rFonts w:hint="eastAsia" w:ascii="Times New Roman" w:hAnsi="Times New Roman" w:eastAsia="仿宋"/>
          <w:lang w:val="en-US" w:eastAsia="zh-CN"/>
        </w:rPr>
        <w:t xml:space="preserve">  </w:t>
      </w:r>
    </w:p>
    <w:p w14:paraId="26EE5964">
      <w:pPr>
        <w:pStyle w:val="14"/>
        <w:spacing w:before="0" w:beforeAutospacing="0" w:after="0" w:afterAutospacing="0" w:line="400" w:lineRule="exact"/>
        <w:ind w:firstLine="480" w:firstLineChars="200"/>
        <w:jc w:val="both"/>
        <w:rPr>
          <w:rFonts w:hint="eastAsia" w:ascii="Times New Roman" w:hAnsi="Times New Roman" w:eastAsia="仿宋"/>
          <w:lang w:eastAsia="zh-CN"/>
        </w:rPr>
      </w:pPr>
      <w:r>
        <w:rPr>
          <w:rFonts w:ascii="Times New Roman" w:hAnsi="Times New Roman" w:eastAsia="仿宋"/>
        </w:rPr>
        <w:t>联系电话：</w:t>
      </w:r>
      <w:r>
        <w:rPr>
          <w:rFonts w:hint="eastAsia" w:ascii="Times New Roman" w:hAnsi="Times New Roman" w:eastAsia="仿宋"/>
          <w:lang w:val="en-US" w:eastAsia="zh-CN"/>
        </w:rPr>
        <w:t xml:space="preserve">  </w:t>
      </w:r>
    </w:p>
    <w:p w14:paraId="26EE5965">
      <w:pPr>
        <w:pStyle w:val="14"/>
        <w:spacing w:before="0" w:beforeAutospacing="0" w:after="0" w:afterAutospacing="0" w:line="400" w:lineRule="exact"/>
        <w:ind w:firstLine="480" w:firstLineChars="200"/>
        <w:jc w:val="both"/>
        <w:rPr>
          <w:rFonts w:hint="eastAsia" w:ascii="Times New Roman" w:hAnsi="Times New Roman" w:eastAsia="仿宋"/>
          <w:lang w:eastAsia="zh-CN"/>
        </w:rPr>
      </w:pPr>
      <w:r>
        <w:rPr>
          <w:rFonts w:ascii="Times New Roman" w:hAnsi="Times New Roman" w:eastAsia="仿宋"/>
        </w:rPr>
        <w:t>邮编：</w:t>
      </w:r>
      <w:r>
        <w:rPr>
          <w:rFonts w:hint="eastAsia" w:ascii="Times New Roman" w:hAnsi="Times New Roman" w:eastAsia="仿宋"/>
          <w:lang w:val="en-US" w:eastAsia="zh-CN"/>
        </w:rPr>
        <w:t xml:space="preserve">  </w:t>
      </w:r>
    </w:p>
    <w:p w14:paraId="26EE5966">
      <w:pPr>
        <w:pStyle w:val="14"/>
        <w:spacing w:line="400" w:lineRule="exact"/>
        <w:ind w:firstLine="480" w:firstLineChars="200"/>
        <w:rPr>
          <w:rFonts w:ascii="Times New Roman" w:hAnsi="Times New Roman" w:eastAsia="仿宋"/>
        </w:rPr>
      </w:pPr>
      <w:r>
        <w:rPr>
          <w:rFonts w:ascii="Times New Roman" w:hAnsi="Times New Roman" w:eastAsia="仿宋"/>
        </w:rPr>
        <w:t>鉴于甲方有意委托乙方</w:t>
      </w:r>
      <w:r>
        <w:rPr>
          <w:rFonts w:hint="eastAsia" w:ascii="Times New Roman" w:hAnsi="Times New Roman" w:eastAsia="仿宋"/>
          <w:lang w:val="en-US" w:eastAsia="zh-CN"/>
        </w:rPr>
        <w:t>开展</w:t>
      </w:r>
      <w:r>
        <w:rPr>
          <w:rFonts w:ascii="Times New Roman" w:hAnsi="Times New Roman" w:eastAsia="仿宋"/>
          <w:u w:val="single"/>
        </w:rPr>
        <w:t xml:space="preserve"> </w:t>
      </w:r>
      <w:r>
        <w:rPr>
          <w:rFonts w:hint="eastAsia" w:ascii="Times New Roman" w:hAnsi="Times New Roman" w:eastAsia="仿宋"/>
          <w:u w:val="single"/>
          <w:lang w:val="en-US" w:eastAsia="zh-CN"/>
        </w:rPr>
        <w:t xml:space="preserve">InSAR数据采购、解译处理、原型平台开发 </w:t>
      </w:r>
      <w:r>
        <w:rPr>
          <w:rFonts w:hint="eastAsia" w:ascii="Times New Roman" w:hAnsi="Times New Roman" w:eastAsia="仿宋"/>
          <w:lang w:val="en-US" w:eastAsia="zh-CN"/>
        </w:rPr>
        <w:t>等事宜</w:t>
      </w:r>
      <w:r>
        <w:rPr>
          <w:rFonts w:ascii="Times New Roman" w:hAnsi="Times New Roman" w:eastAsia="仿宋"/>
        </w:rPr>
        <w:t>，双方特依据《中华人民共和国民法典》和相关的法律法规，按照平等互利的原则达成如下协议：</w:t>
      </w:r>
    </w:p>
    <w:p w14:paraId="26EE5967">
      <w:pPr>
        <w:tabs>
          <w:tab w:val="left" w:pos="2880"/>
          <w:tab w:val="left" w:pos="7020"/>
        </w:tabs>
        <w:spacing w:line="360" w:lineRule="auto"/>
        <w:ind w:right="178" w:rightChars="85" w:firstLine="482"/>
        <w:rPr>
          <w:rFonts w:ascii="Times New Roman" w:hAnsi="Times New Roman" w:eastAsia="仿宋"/>
          <w:b/>
          <w:bCs/>
          <w:kern w:val="0"/>
          <w:sz w:val="24"/>
        </w:rPr>
      </w:pPr>
      <w:r>
        <w:rPr>
          <w:rFonts w:ascii="Times New Roman" w:hAnsi="Times New Roman" w:eastAsia="仿宋"/>
          <w:b/>
          <w:bCs/>
          <w:kern w:val="0"/>
          <w:sz w:val="24"/>
        </w:rPr>
        <w:t>第1条 定义</w:t>
      </w:r>
    </w:p>
    <w:p w14:paraId="26EE5968">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本合同中使用的下列词语具有如下含义：</w:t>
      </w:r>
    </w:p>
    <w:p w14:paraId="26EE5969">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1.1</w:t>
      </w:r>
      <w:r>
        <w:rPr>
          <w:rFonts w:hint="eastAsia" w:ascii="Times New Roman" w:hAnsi="Times New Roman" w:eastAsia="仿宋"/>
          <w:lang w:eastAsia="zh-CN"/>
        </w:rPr>
        <w:t>“</w:t>
      </w:r>
      <w:r>
        <w:rPr>
          <w:rFonts w:hint="eastAsia" w:ascii="Times New Roman" w:hAnsi="Times New Roman" w:eastAsia="仿宋"/>
        </w:rPr>
        <w:t>模型</w:t>
      </w:r>
      <w:r>
        <w:rPr>
          <w:rFonts w:hint="eastAsia" w:ascii="Times New Roman" w:hAnsi="Times New Roman" w:eastAsia="仿宋"/>
          <w:lang w:eastAsia="zh-CN"/>
        </w:rPr>
        <w:t>”</w:t>
      </w:r>
      <w:r>
        <w:rPr>
          <w:rFonts w:ascii="Times New Roman" w:hAnsi="Times New Roman" w:eastAsia="仿宋"/>
        </w:rPr>
        <w:t>包括</w:t>
      </w:r>
      <w:r>
        <w:rPr>
          <w:rFonts w:hint="eastAsia" w:ascii="Times New Roman" w:hAnsi="Times New Roman" w:eastAsia="仿宋"/>
          <w:lang w:eastAsia="zh-CN"/>
        </w:rPr>
        <w:t>“</w:t>
      </w:r>
      <w:r>
        <w:rPr>
          <w:rFonts w:hint="eastAsia" w:ascii="Times New Roman" w:hAnsi="Times New Roman" w:eastAsia="仿宋"/>
        </w:rPr>
        <w:t>模块</w:t>
      </w:r>
      <w:r>
        <w:rPr>
          <w:rFonts w:hint="eastAsia" w:ascii="Times New Roman" w:hAnsi="Times New Roman" w:eastAsia="仿宋"/>
          <w:lang w:eastAsia="zh-CN"/>
        </w:rPr>
        <w:t>”</w:t>
      </w:r>
      <w:r>
        <w:rPr>
          <w:rFonts w:ascii="Times New Roman" w:hAnsi="Times New Roman" w:eastAsia="仿宋"/>
        </w:rPr>
        <w:t>，除另有指明外，指描述于本合同附件中的在本合同履行期内所开发和提供的当前和将来的</w:t>
      </w:r>
      <w:r>
        <w:rPr>
          <w:rFonts w:hint="eastAsia" w:ascii="Times New Roman" w:hAnsi="Times New Roman" w:eastAsia="仿宋"/>
        </w:rPr>
        <w:t>模型</w:t>
      </w:r>
      <w:r>
        <w:rPr>
          <w:rFonts w:ascii="Times New Roman" w:hAnsi="Times New Roman" w:eastAsia="仿宋"/>
        </w:rPr>
        <w:t>版本，包括乙方为履行本合同所开发和提供的</w:t>
      </w:r>
      <w:r>
        <w:rPr>
          <w:rFonts w:hint="eastAsia" w:ascii="Times New Roman" w:hAnsi="Times New Roman" w:eastAsia="仿宋"/>
        </w:rPr>
        <w:t>模型</w:t>
      </w:r>
      <w:r>
        <w:rPr>
          <w:rFonts w:ascii="Times New Roman" w:hAnsi="Times New Roman" w:eastAsia="仿宋"/>
        </w:rPr>
        <w:t>版本和相关的文件。</w:t>
      </w:r>
    </w:p>
    <w:p w14:paraId="26EE596A">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1.2</w:t>
      </w:r>
      <w:r>
        <w:rPr>
          <w:rFonts w:hint="eastAsia" w:ascii="Times New Roman" w:hAnsi="Times New Roman" w:eastAsia="仿宋"/>
          <w:lang w:eastAsia="zh-CN"/>
        </w:rPr>
        <w:t>“</w:t>
      </w:r>
      <w:r>
        <w:rPr>
          <w:rFonts w:ascii="Times New Roman" w:hAnsi="Times New Roman" w:eastAsia="仿宋"/>
        </w:rPr>
        <w:t>可交付件</w:t>
      </w:r>
      <w:r>
        <w:rPr>
          <w:rFonts w:hint="eastAsia" w:ascii="Times New Roman" w:hAnsi="Times New Roman" w:eastAsia="仿宋"/>
          <w:lang w:eastAsia="zh-CN"/>
        </w:rPr>
        <w:t>”</w:t>
      </w:r>
      <w:r>
        <w:rPr>
          <w:rFonts w:ascii="Times New Roman" w:hAnsi="Times New Roman" w:eastAsia="仿宋"/>
        </w:rPr>
        <w:t>指附件中指定的由乙方所交付的</w:t>
      </w:r>
      <w:r>
        <w:rPr>
          <w:rFonts w:hint="eastAsia" w:ascii="Times New Roman" w:hAnsi="Times New Roman" w:eastAsia="仿宋"/>
        </w:rPr>
        <w:t>模块</w:t>
      </w:r>
      <w:r>
        <w:rPr>
          <w:rFonts w:ascii="Times New Roman" w:hAnsi="Times New Roman" w:eastAsia="仿宋"/>
        </w:rPr>
        <w:t>，包括源代码、安装盘、技术文档、用户指南、操作手册、安装指南和测试报告等。</w:t>
      </w:r>
    </w:p>
    <w:p w14:paraId="26EE596B">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1.3</w:t>
      </w:r>
      <w:r>
        <w:rPr>
          <w:rFonts w:hint="eastAsia" w:ascii="Times New Roman" w:hAnsi="Times New Roman" w:eastAsia="仿宋"/>
          <w:lang w:eastAsia="zh-CN"/>
        </w:rPr>
        <w:t>“</w:t>
      </w:r>
      <w:r>
        <w:rPr>
          <w:rFonts w:ascii="Times New Roman" w:hAnsi="Times New Roman" w:eastAsia="仿宋"/>
        </w:rPr>
        <w:t>交付</w:t>
      </w:r>
      <w:r>
        <w:rPr>
          <w:rFonts w:hint="eastAsia" w:ascii="Times New Roman" w:hAnsi="Times New Roman" w:eastAsia="仿宋"/>
          <w:lang w:eastAsia="zh-CN"/>
        </w:rPr>
        <w:t>”</w:t>
      </w:r>
      <w:r>
        <w:rPr>
          <w:rFonts w:ascii="Times New Roman" w:hAnsi="Times New Roman" w:eastAsia="仿宋"/>
        </w:rPr>
        <w:t>指乙方在双方规定的日期内交付约定开发的</w:t>
      </w:r>
      <w:r>
        <w:rPr>
          <w:rFonts w:hint="eastAsia" w:ascii="Times New Roman" w:hAnsi="Times New Roman" w:eastAsia="仿宋"/>
        </w:rPr>
        <w:t>模块</w:t>
      </w:r>
      <w:r>
        <w:rPr>
          <w:rFonts w:ascii="Times New Roman" w:hAnsi="Times New Roman" w:eastAsia="仿宋"/>
        </w:rPr>
        <w:t>的行为。但是乙方完成交付行为，并不意味着乙方已经完成了本合同项下所规定的所有义务。</w:t>
      </w:r>
    </w:p>
    <w:p w14:paraId="26EE596C">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1.4</w:t>
      </w:r>
      <w:r>
        <w:rPr>
          <w:rFonts w:hint="eastAsia" w:ascii="Times New Roman" w:hAnsi="Times New Roman" w:eastAsia="仿宋"/>
          <w:lang w:eastAsia="zh-CN"/>
        </w:rPr>
        <w:t>“</w:t>
      </w:r>
      <w:r>
        <w:rPr>
          <w:rFonts w:ascii="Times New Roman" w:hAnsi="Times New Roman" w:eastAsia="仿宋"/>
        </w:rPr>
        <w:t>规格</w:t>
      </w:r>
      <w:r>
        <w:rPr>
          <w:rFonts w:hint="eastAsia" w:ascii="Times New Roman" w:hAnsi="Times New Roman" w:eastAsia="仿宋"/>
          <w:lang w:eastAsia="zh-CN"/>
        </w:rPr>
        <w:t>”</w:t>
      </w:r>
      <w:r>
        <w:rPr>
          <w:rFonts w:ascii="Times New Roman" w:hAnsi="Times New Roman" w:eastAsia="仿宋"/>
        </w:rPr>
        <w:t>是指在技术或其他开发任务上所设定的技术标准、规范。</w:t>
      </w:r>
    </w:p>
    <w:p w14:paraId="26EE596D">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1.5</w:t>
      </w:r>
      <w:r>
        <w:rPr>
          <w:rFonts w:hint="eastAsia" w:ascii="Times New Roman" w:hAnsi="Times New Roman" w:eastAsia="仿宋"/>
          <w:lang w:eastAsia="zh-CN"/>
        </w:rPr>
        <w:t>“</w:t>
      </w:r>
      <w:r>
        <w:rPr>
          <w:rFonts w:ascii="Times New Roman" w:hAnsi="Times New Roman" w:eastAsia="仿宋"/>
        </w:rPr>
        <w:t>里程碑</w:t>
      </w:r>
      <w:r>
        <w:rPr>
          <w:rFonts w:hint="eastAsia" w:ascii="Times New Roman" w:hAnsi="Times New Roman" w:eastAsia="仿宋"/>
          <w:lang w:eastAsia="zh-CN"/>
        </w:rPr>
        <w:t>”</w:t>
      </w:r>
      <w:r>
        <w:rPr>
          <w:rFonts w:ascii="Times New Roman" w:hAnsi="Times New Roman" w:eastAsia="仿宋"/>
        </w:rPr>
        <w:t>是指附件中所规定的由乙方在</w:t>
      </w:r>
      <w:r>
        <w:rPr>
          <w:rFonts w:hint="eastAsia" w:ascii="Times New Roman" w:hAnsi="Times New Roman" w:eastAsia="仿宋"/>
          <w:lang w:val="en-US" w:eastAsia="zh-CN"/>
        </w:rPr>
        <w:t>平台/</w:t>
      </w:r>
      <w:r>
        <w:rPr>
          <w:rFonts w:hint="eastAsia" w:ascii="Times New Roman" w:hAnsi="Times New Roman" w:eastAsia="仿宋"/>
        </w:rPr>
        <w:t>模型</w:t>
      </w:r>
      <w:r>
        <w:rPr>
          <w:rFonts w:ascii="Times New Roman" w:hAnsi="Times New Roman" w:eastAsia="仿宋"/>
        </w:rPr>
        <w:t>开发过程中阶段性完成的，并具有相对独立性的部分</w:t>
      </w:r>
      <w:r>
        <w:rPr>
          <w:rFonts w:hint="eastAsia" w:ascii="Times New Roman" w:hAnsi="Times New Roman" w:eastAsia="仿宋"/>
        </w:rPr>
        <w:t>模型</w:t>
      </w:r>
      <w:r>
        <w:rPr>
          <w:rFonts w:ascii="Times New Roman" w:hAnsi="Times New Roman" w:eastAsia="仿宋"/>
        </w:rPr>
        <w:t>或模块。</w:t>
      </w:r>
    </w:p>
    <w:p w14:paraId="26EE596E">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1.6</w:t>
      </w:r>
      <w:r>
        <w:rPr>
          <w:rFonts w:hint="eastAsia" w:ascii="Times New Roman" w:hAnsi="Times New Roman" w:eastAsia="仿宋"/>
          <w:lang w:eastAsia="zh-CN"/>
        </w:rPr>
        <w:t>“</w:t>
      </w:r>
      <w:r>
        <w:rPr>
          <w:rFonts w:ascii="Times New Roman" w:hAnsi="Times New Roman" w:eastAsia="仿宋"/>
        </w:rPr>
        <w:t>源代码</w:t>
      </w:r>
      <w:r>
        <w:rPr>
          <w:rFonts w:hint="eastAsia" w:ascii="Times New Roman" w:hAnsi="Times New Roman" w:eastAsia="仿宋"/>
          <w:lang w:eastAsia="zh-CN"/>
        </w:rPr>
        <w:t>”</w:t>
      </w:r>
      <w:r>
        <w:rPr>
          <w:rFonts w:ascii="Times New Roman" w:hAnsi="Times New Roman" w:eastAsia="仿宋"/>
        </w:rPr>
        <w:t>指用于</w:t>
      </w:r>
      <w:r>
        <w:rPr>
          <w:rFonts w:hint="eastAsia" w:ascii="Times New Roman" w:hAnsi="Times New Roman" w:eastAsia="仿宋"/>
          <w:lang w:val="en-US" w:eastAsia="zh-CN"/>
        </w:rPr>
        <w:t>平台/</w:t>
      </w:r>
      <w:r>
        <w:rPr>
          <w:rFonts w:hint="eastAsia" w:ascii="Times New Roman" w:hAnsi="Times New Roman" w:eastAsia="仿宋"/>
        </w:rPr>
        <w:t>模型</w:t>
      </w:r>
      <w:r>
        <w:rPr>
          <w:rFonts w:ascii="Times New Roman" w:hAnsi="Times New Roman" w:eastAsia="仿宋"/>
        </w:rPr>
        <w:t>的源代码。其必须可为熟练的程序员理解和使用，可打印以及被机器阅读或具备其他合理而必要的形式，包括对该</w:t>
      </w:r>
      <w:r>
        <w:rPr>
          <w:rFonts w:hint="eastAsia" w:ascii="Times New Roman" w:hAnsi="Times New Roman" w:eastAsia="仿宋"/>
        </w:rPr>
        <w:t>模型</w:t>
      </w:r>
      <w:r>
        <w:rPr>
          <w:rFonts w:ascii="Times New Roman" w:hAnsi="Times New Roman" w:eastAsia="仿宋"/>
        </w:rPr>
        <w:t>的评估、测试或其它技术文件。</w:t>
      </w:r>
    </w:p>
    <w:p w14:paraId="26EE596F">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1.7</w:t>
      </w:r>
      <w:r>
        <w:rPr>
          <w:rFonts w:hint="eastAsia" w:ascii="Times New Roman" w:hAnsi="Times New Roman" w:eastAsia="仿宋"/>
          <w:lang w:eastAsia="zh-CN"/>
        </w:rPr>
        <w:t>“</w:t>
      </w:r>
      <w:r>
        <w:rPr>
          <w:rFonts w:ascii="Times New Roman" w:hAnsi="Times New Roman" w:eastAsia="仿宋"/>
        </w:rPr>
        <w:t>商业秘密</w:t>
      </w:r>
      <w:r>
        <w:rPr>
          <w:rFonts w:hint="eastAsia" w:ascii="Times New Roman" w:hAnsi="Times New Roman" w:eastAsia="仿宋"/>
          <w:lang w:eastAsia="zh-CN"/>
        </w:rPr>
        <w:t>”</w:t>
      </w:r>
      <w:r>
        <w:rPr>
          <w:rFonts w:ascii="Times New Roman" w:hAnsi="Times New Roman" w:eastAsia="仿宋"/>
        </w:rPr>
        <w:t>指甲、乙方各自所拥有的，不为公众所知的管理信息、方式方法、顾客名单、商业数据、产品信息、销售渠道、技术诀窍、源代码、计算机文档等，或由甲、乙方在履行本合同过程中明确指明为商业秘密的、法律所认可的任何信息。</w:t>
      </w:r>
    </w:p>
    <w:p w14:paraId="26EE5970">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1.8</w:t>
      </w:r>
      <w:r>
        <w:rPr>
          <w:rFonts w:hint="eastAsia" w:ascii="Times New Roman" w:hAnsi="Times New Roman" w:eastAsia="仿宋"/>
          <w:lang w:eastAsia="zh-CN"/>
        </w:rPr>
        <w:t>“</w:t>
      </w:r>
      <w:r>
        <w:rPr>
          <w:rFonts w:ascii="Times New Roman" w:hAnsi="Times New Roman" w:eastAsia="仿宋"/>
        </w:rPr>
        <w:t>工作日</w:t>
      </w:r>
      <w:r>
        <w:rPr>
          <w:rFonts w:hint="eastAsia" w:ascii="Times New Roman" w:hAnsi="Times New Roman" w:eastAsia="仿宋"/>
          <w:lang w:eastAsia="zh-CN"/>
        </w:rPr>
        <w:t>”</w:t>
      </w:r>
      <w:r>
        <w:rPr>
          <w:rFonts w:ascii="Times New Roman" w:hAnsi="Times New Roman" w:eastAsia="仿宋"/>
        </w:rPr>
        <w:t>指国家所规定的节假日之外的所有工作日，未指明为工作日的日期指自然顺延的日期。</w:t>
      </w:r>
    </w:p>
    <w:p w14:paraId="26EE5971">
      <w:pPr>
        <w:tabs>
          <w:tab w:val="left" w:pos="2880"/>
          <w:tab w:val="left" w:pos="7020"/>
        </w:tabs>
        <w:spacing w:line="360" w:lineRule="auto"/>
        <w:ind w:right="178" w:rightChars="85" w:firstLine="482"/>
        <w:rPr>
          <w:rFonts w:ascii="Times New Roman" w:hAnsi="Times New Roman" w:eastAsia="仿宋"/>
          <w:b/>
          <w:bCs/>
          <w:kern w:val="0"/>
          <w:sz w:val="24"/>
        </w:rPr>
      </w:pPr>
      <w:r>
        <w:rPr>
          <w:rFonts w:ascii="Times New Roman" w:hAnsi="Times New Roman" w:eastAsia="仿宋"/>
          <w:b/>
          <w:bCs/>
          <w:kern w:val="0"/>
          <w:sz w:val="24"/>
        </w:rPr>
        <w:t xml:space="preserve">第2条 </w:t>
      </w:r>
      <w:r>
        <w:rPr>
          <w:rFonts w:hint="eastAsia" w:ascii="Times New Roman" w:hAnsi="Times New Roman" w:eastAsia="仿宋"/>
          <w:b/>
          <w:bCs/>
          <w:kern w:val="0"/>
          <w:sz w:val="24"/>
          <w:lang w:val="en-US" w:eastAsia="zh-CN"/>
        </w:rPr>
        <w:t>技术服务</w:t>
      </w:r>
      <w:r>
        <w:rPr>
          <w:rFonts w:ascii="Times New Roman" w:hAnsi="Times New Roman" w:eastAsia="仿宋"/>
          <w:b/>
          <w:bCs/>
          <w:kern w:val="0"/>
          <w:sz w:val="24"/>
        </w:rPr>
        <w:t>描述及清单</w:t>
      </w:r>
    </w:p>
    <w:p w14:paraId="26EE5972">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 xml:space="preserve">2.1 </w:t>
      </w:r>
      <w:r>
        <w:rPr>
          <w:rFonts w:hint="eastAsia" w:ascii="Times New Roman" w:hAnsi="Times New Roman" w:eastAsia="仿宋"/>
          <w:lang w:val="en-US" w:eastAsia="zh-CN"/>
        </w:rPr>
        <w:t>技术</w:t>
      </w:r>
      <w:r>
        <w:rPr>
          <w:rFonts w:ascii="Times New Roman" w:hAnsi="Times New Roman" w:eastAsia="仿宋"/>
        </w:rPr>
        <w:t>服务清单</w:t>
      </w:r>
    </w:p>
    <w:p w14:paraId="26EE5973">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乙方</w:t>
      </w:r>
      <w:r>
        <w:rPr>
          <w:rFonts w:hint="eastAsia" w:ascii="Times New Roman" w:hAnsi="Times New Roman" w:eastAsia="仿宋"/>
          <w:lang w:val="en-US" w:eastAsia="zh-CN"/>
        </w:rPr>
        <w:t>技术服务内容包括</w:t>
      </w:r>
      <w:r>
        <w:rPr>
          <w:rFonts w:ascii="Times New Roman" w:hAnsi="Times New Roman"/>
          <w:color w:val="000000"/>
          <w:u w:val="single"/>
        </w:rPr>
        <w:t xml:space="preserve"> </w:t>
      </w:r>
      <w:r>
        <w:rPr>
          <w:rFonts w:hint="eastAsia" w:ascii="Times New Roman" w:hAnsi="Times New Roman" w:eastAsia="仿宋"/>
          <w:color w:val="000000"/>
          <w:u w:val="single"/>
        </w:rPr>
        <w:t>InSAR在高速公路结构物监测与风险预警中的应用研究</w:t>
      </w:r>
      <w:r>
        <w:rPr>
          <w:rFonts w:hint="eastAsia" w:ascii="Times New Roman" w:hAnsi="Times New Roman" w:eastAsia="仿宋"/>
          <w:color w:val="000000"/>
          <w:u w:val="single"/>
          <w:lang w:val="en-US" w:eastAsia="zh-CN"/>
        </w:rPr>
        <w:t>所需的InSAR数据、数据解译处理、原型平台开发等内容</w:t>
      </w:r>
      <w:r>
        <w:rPr>
          <w:rFonts w:ascii="Times New Roman" w:hAnsi="Times New Roman" w:eastAsia="仿宋"/>
        </w:rPr>
        <w:t>（</w:t>
      </w:r>
      <w:r>
        <w:rPr>
          <w:rFonts w:hint="eastAsia" w:ascii="Times New Roman" w:hAnsi="Times New Roman" w:eastAsia="仿宋"/>
        </w:rPr>
        <w:t>模块</w:t>
      </w:r>
      <w:r>
        <w:rPr>
          <w:rFonts w:ascii="Times New Roman" w:hAnsi="Times New Roman" w:eastAsia="仿宋"/>
        </w:rPr>
        <w:t>名称）；</w:t>
      </w:r>
    </w:p>
    <w:p w14:paraId="35B7A8F0">
      <w:pPr>
        <w:pStyle w:val="14"/>
        <w:spacing w:before="0" w:beforeAutospacing="0" w:after="0" w:afterAutospacing="0" w:line="400" w:lineRule="exact"/>
        <w:ind w:firstLine="480" w:firstLineChars="200"/>
        <w:jc w:val="both"/>
        <w:rPr>
          <w:rFonts w:ascii="Times New Roman" w:hAnsi="Times New Roman" w:eastAsia="仿宋"/>
        </w:rPr>
      </w:pPr>
    </w:p>
    <w:tbl>
      <w:tblPr>
        <w:tblStyle w:val="16"/>
        <w:tblW w:w="512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593"/>
        <w:gridCol w:w="3213"/>
        <w:gridCol w:w="524"/>
        <w:gridCol w:w="478"/>
        <w:gridCol w:w="1221"/>
        <w:gridCol w:w="890"/>
        <w:gridCol w:w="987"/>
      </w:tblGrid>
      <w:tr w14:paraId="26EE5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blHeader/>
          <w:jc w:val="center"/>
        </w:trPr>
        <w:tc>
          <w:tcPr>
            <w:tcW w:w="282" w:type="pct"/>
            <w:vAlign w:val="center"/>
          </w:tcPr>
          <w:p w14:paraId="26EE5974">
            <w:pPr>
              <w:pStyle w:val="14"/>
              <w:adjustRightInd w:val="0"/>
              <w:snapToGrid w:val="0"/>
              <w:spacing w:before="0" w:beforeAutospacing="0" w:after="0" w:afterAutospacing="0"/>
              <w:jc w:val="center"/>
              <w:rPr>
                <w:rFonts w:ascii="Times New Roman" w:hAnsi="Times New Roman" w:eastAsia="仿宋"/>
                <w:b/>
              </w:rPr>
            </w:pPr>
            <w:r>
              <w:rPr>
                <w:rFonts w:hint="eastAsia" w:ascii="Times New Roman" w:hAnsi="Times New Roman" w:eastAsia="仿宋"/>
                <w:b/>
              </w:rPr>
              <w:t>序号</w:t>
            </w:r>
          </w:p>
        </w:tc>
        <w:tc>
          <w:tcPr>
            <w:tcW w:w="843" w:type="pct"/>
            <w:vAlign w:val="center"/>
          </w:tcPr>
          <w:p w14:paraId="26EE5975">
            <w:pPr>
              <w:pStyle w:val="14"/>
              <w:adjustRightInd w:val="0"/>
              <w:snapToGrid w:val="0"/>
              <w:spacing w:before="0" w:beforeAutospacing="0" w:after="0" w:afterAutospacing="0"/>
              <w:jc w:val="center"/>
              <w:rPr>
                <w:rFonts w:ascii="Times New Roman" w:hAnsi="Times New Roman" w:eastAsia="仿宋"/>
                <w:b/>
              </w:rPr>
            </w:pPr>
            <w:r>
              <w:rPr>
                <w:rFonts w:hint="eastAsia" w:ascii="Times New Roman" w:hAnsi="Times New Roman" w:eastAsia="仿宋"/>
                <w:b/>
              </w:rPr>
              <w:t>工作内容</w:t>
            </w:r>
          </w:p>
        </w:tc>
        <w:tc>
          <w:tcPr>
            <w:tcW w:w="1701" w:type="pct"/>
            <w:vAlign w:val="center"/>
          </w:tcPr>
          <w:p w14:paraId="26EE5976">
            <w:pPr>
              <w:pStyle w:val="14"/>
              <w:adjustRightInd w:val="0"/>
              <w:snapToGrid w:val="0"/>
              <w:spacing w:before="0" w:beforeAutospacing="0" w:after="0" w:afterAutospacing="0"/>
              <w:jc w:val="center"/>
              <w:rPr>
                <w:rFonts w:ascii="Times New Roman" w:hAnsi="Times New Roman" w:eastAsia="仿宋"/>
                <w:b/>
              </w:rPr>
            </w:pPr>
            <w:r>
              <w:rPr>
                <w:rFonts w:hint="eastAsia" w:ascii="Times New Roman" w:hAnsi="Times New Roman" w:eastAsia="仿宋"/>
                <w:b/>
              </w:rPr>
              <w:t>服务内容</w:t>
            </w:r>
          </w:p>
        </w:tc>
        <w:tc>
          <w:tcPr>
            <w:tcW w:w="277" w:type="pct"/>
            <w:vAlign w:val="center"/>
          </w:tcPr>
          <w:p w14:paraId="26EE5977">
            <w:pPr>
              <w:pStyle w:val="14"/>
              <w:adjustRightInd w:val="0"/>
              <w:snapToGrid w:val="0"/>
              <w:spacing w:before="0" w:beforeAutospacing="0" w:after="0" w:afterAutospacing="0"/>
              <w:jc w:val="center"/>
              <w:rPr>
                <w:rFonts w:ascii="Times New Roman" w:hAnsi="Times New Roman" w:eastAsia="仿宋"/>
                <w:b/>
              </w:rPr>
            </w:pPr>
            <w:r>
              <w:rPr>
                <w:rFonts w:hint="eastAsia" w:ascii="Times New Roman" w:hAnsi="Times New Roman" w:eastAsia="仿宋"/>
                <w:b/>
              </w:rPr>
              <w:t>单位</w:t>
            </w:r>
          </w:p>
        </w:tc>
        <w:tc>
          <w:tcPr>
            <w:tcW w:w="253" w:type="pct"/>
            <w:vAlign w:val="center"/>
          </w:tcPr>
          <w:p w14:paraId="26EE5978">
            <w:pPr>
              <w:pStyle w:val="14"/>
              <w:adjustRightInd w:val="0"/>
              <w:snapToGrid w:val="0"/>
              <w:spacing w:before="0" w:beforeAutospacing="0" w:after="0" w:afterAutospacing="0"/>
              <w:jc w:val="center"/>
              <w:rPr>
                <w:rFonts w:ascii="Times New Roman" w:hAnsi="Times New Roman" w:eastAsia="仿宋"/>
                <w:b/>
              </w:rPr>
            </w:pPr>
            <w:r>
              <w:rPr>
                <w:rFonts w:hint="eastAsia" w:ascii="Times New Roman" w:hAnsi="Times New Roman" w:eastAsia="仿宋"/>
                <w:b/>
              </w:rPr>
              <w:t>数量</w:t>
            </w:r>
          </w:p>
        </w:tc>
        <w:tc>
          <w:tcPr>
            <w:tcW w:w="646" w:type="pct"/>
            <w:vAlign w:val="center"/>
          </w:tcPr>
          <w:p w14:paraId="26EE5979">
            <w:pPr>
              <w:pStyle w:val="14"/>
              <w:adjustRightInd w:val="0"/>
              <w:snapToGrid w:val="0"/>
              <w:spacing w:before="0" w:beforeAutospacing="0" w:after="0" w:afterAutospacing="0"/>
              <w:jc w:val="center"/>
              <w:rPr>
                <w:rFonts w:ascii="Times New Roman" w:hAnsi="Times New Roman" w:eastAsia="仿宋"/>
                <w:b/>
              </w:rPr>
            </w:pPr>
            <w:r>
              <w:rPr>
                <w:rFonts w:hint="eastAsia" w:ascii="Times New Roman" w:hAnsi="Times New Roman" w:eastAsia="仿宋"/>
                <w:b/>
              </w:rPr>
              <w:t>含税单价</w:t>
            </w:r>
          </w:p>
          <w:p w14:paraId="26EE597A">
            <w:pPr>
              <w:pStyle w:val="14"/>
              <w:adjustRightInd w:val="0"/>
              <w:snapToGrid w:val="0"/>
              <w:spacing w:before="0" w:beforeAutospacing="0" w:after="0" w:afterAutospacing="0"/>
              <w:jc w:val="center"/>
              <w:rPr>
                <w:rFonts w:ascii="Times New Roman" w:hAnsi="Times New Roman" w:eastAsia="仿宋"/>
                <w:b/>
              </w:rPr>
            </w:pPr>
            <w:r>
              <w:rPr>
                <w:rFonts w:hint="eastAsia" w:ascii="Times New Roman" w:hAnsi="Times New Roman" w:eastAsia="仿宋"/>
                <w:b/>
              </w:rPr>
              <w:t>（元）</w:t>
            </w:r>
          </w:p>
        </w:tc>
        <w:tc>
          <w:tcPr>
            <w:tcW w:w="471" w:type="pct"/>
            <w:vAlign w:val="center"/>
          </w:tcPr>
          <w:p w14:paraId="26EE597B">
            <w:pPr>
              <w:pStyle w:val="14"/>
              <w:adjustRightInd w:val="0"/>
              <w:snapToGrid w:val="0"/>
              <w:spacing w:before="0" w:beforeAutospacing="0" w:after="0" w:afterAutospacing="0"/>
              <w:jc w:val="center"/>
              <w:rPr>
                <w:rFonts w:ascii="Times New Roman" w:hAnsi="Times New Roman" w:eastAsia="仿宋"/>
                <w:b/>
              </w:rPr>
            </w:pPr>
            <w:r>
              <w:rPr>
                <w:rFonts w:hint="eastAsia" w:ascii="Times New Roman" w:hAnsi="Times New Roman" w:eastAsia="仿宋"/>
                <w:b/>
              </w:rPr>
              <w:t>税率（%）</w:t>
            </w:r>
          </w:p>
        </w:tc>
        <w:tc>
          <w:tcPr>
            <w:tcW w:w="522" w:type="pct"/>
            <w:vAlign w:val="center"/>
          </w:tcPr>
          <w:p w14:paraId="26EE597C">
            <w:pPr>
              <w:pStyle w:val="14"/>
              <w:adjustRightInd w:val="0"/>
              <w:snapToGrid w:val="0"/>
              <w:spacing w:before="0" w:beforeAutospacing="0" w:after="0" w:afterAutospacing="0"/>
              <w:jc w:val="center"/>
              <w:rPr>
                <w:rFonts w:ascii="Times New Roman" w:hAnsi="Times New Roman" w:eastAsia="仿宋"/>
                <w:b/>
              </w:rPr>
            </w:pPr>
            <w:r>
              <w:rPr>
                <w:rFonts w:hint="eastAsia" w:ascii="Times New Roman" w:hAnsi="Times New Roman" w:eastAsia="仿宋"/>
                <w:b/>
              </w:rPr>
              <w:t>小计</w:t>
            </w:r>
          </w:p>
          <w:p w14:paraId="26EE597D">
            <w:pPr>
              <w:pStyle w:val="14"/>
              <w:adjustRightInd w:val="0"/>
              <w:snapToGrid w:val="0"/>
              <w:spacing w:before="0" w:beforeAutospacing="0" w:after="0" w:afterAutospacing="0"/>
              <w:jc w:val="center"/>
              <w:rPr>
                <w:rFonts w:ascii="Times New Roman" w:hAnsi="Times New Roman" w:eastAsia="仿宋"/>
                <w:b/>
              </w:rPr>
            </w:pPr>
            <w:r>
              <w:rPr>
                <w:rFonts w:hint="eastAsia" w:ascii="Times New Roman" w:hAnsi="Times New Roman" w:eastAsia="仿宋"/>
                <w:b/>
              </w:rPr>
              <w:t>（元）</w:t>
            </w:r>
          </w:p>
        </w:tc>
      </w:tr>
      <w:tr w14:paraId="26EE5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282" w:type="pct"/>
            <w:vAlign w:val="center"/>
          </w:tcPr>
          <w:p w14:paraId="26EE597F">
            <w:pPr>
              <w:pStyle w:val="14"/>
              <w:adjustRightInd w:val="0"/>
              <w:snapToGrid w:val="0"/>
              <w:spacing w:before="0" w:beforeAutospacing="0" w:after="0" w:afterAutospacing="0"/>
              <w:jc w:val="center"/>
              <w:rPr>
                <w:rFonts w:ascii="Times New Roman" w:hAnsi="Times New Roman" w:eastAsia="仿宋"/>
              </w:rPr>
            </w:pPr>
            <w:r>
              <w:rPr>
                <w:rFonts w:hint="eastAsia" w:ascii="Times New Roman" w:hAnsi="Times New Roman" w:eastAsia="仿宋"/>
              </w:rPr>
              <w:t>1</w:t>
            </w:r>
          </w:p>
        </w:tc>
        <w:tc>
          <w:tcPr>
            <w:tcW w:w="843" w:type="pct"/>
            <w:vAlign w:val="center"/>
          </w:tcPr>
          <w:p w14:paraId="26EE5980">
            <w:pPr>
              <w:pStyle w:val="14"/>
              <w:adjustRightInd w:val="0"/>
              <w:snapToGrid w:val="0"/>
              <w:spacing w:before="0" w:beforeAutospacing="0" w:after="0" w:afterAutospacing="0"/>
              <w:jc w:val="both"/>
              <w:rPr>
                <w:rFonts w:hint="default" w:ascii="Times New Roman" w:hAnsi="Times New Roman" w:eastAsia="仿宋_GB2312"/>
                <w:bCs/>
                <w:highlight w:val="yellow"/>
                <w:lang w:val="en-US" w:eastAsia="zh-CN"/>
              </w:rPr>
            </w:pPr>
            <w:r>
              <w:rPr>
                <w:rFonts w:ascii="Times New Roman" w:hAnsi="Times New Roman" w:eastAsia="仿宋"/>
                <w:b/>
              </w:rPr>
              <w:t>里程碑</w:t>
            </w:r>
            <w:r>
              <w:rPr>
                <w:rFonts w:hint="eastAsia" w:ascii="Times New Roman" w:hAnsi="Times New Roman" w:eastAsia="仿宋"/>
                <w:b/>
              </w:rPr>
              <w:t>1</w:t>
            </w:r>
            <w:r>
              <w:rPr>
                <w:rFonts w:ascii="Times New Roman" w:hAnsi="Times New Roman" w:eastAsia="仿宋"/>
                <w:b/>
              </w:rPr>
              <w:t>：</w:t>
            </w:r>
            <w:r>
              <w:rPr>
                <w:rFonts w:hint="eastAsia" w:ascii="Times New Roman" w:hAnsi="Times New Roman" w:eastAsia="仿宋_GB2312"/>
                <w:bCs/>
              </w:rPr>
              <w:t>重庆</w:t>
            </w:r>
            <w:r>
              <w:rPr>
                <w:rFonts w:hint="eastAsia" w:ascii="Times New Roman" w:hAnsi="Times New Roman" w:eastAsia="仿宋_GB2312"/>
                <w:bCs/>
                <w:lang w:val="en-US" w:eastAsia="zh-CN"/>
              </w:rPr>
              <w:t>奉溪</w:t>
            </w:r>
            <w:r>
              <w:rPr>
                <w:rFonts w:hint="eastAsia" w:ascii="Times New Roman" w:hAnsi="Times New Roman" w:eastAsia="仿宋_GB2312"/>
                <w:bCs/>
              </w:rPr>
              <w:t>高速公路</w:t>
            </w:r>
            <w:r>
              <w:rPr>
                <w:rFonts w:hint="eastAsia" w:ascii="Times New Roman" w:hAnsi="Times New Roman" w:eastAsia="仿宋_GB2312"/>
                <w:bCs/>
                <w:lang w:val="en-US" w:eastAsia="zh-CN"/>
              </w:rPr>
              <w:t>42</w:t>
            </w:r>
            <w:r>
              <w:rPr>
                <w:rFonts w:hint="eastAsia" w:ascii="Times New Roman" w:hAnsi="Times New Roman" w:eastAsia="仿宋_GB2312"/>
                <w:bCs/>
              </w:rPr>
              <w:t>公里</w:t>
            </w:r>
            <w:r>
              <w:rPr>
                <w:rFonts w:hint="eastAsia" w:ascii="Times New Roman" w:hAnsi="Times New Roman" w:eastAsia="仿宋_GB2312"/>
                <w:bCs/>
                <w:lang w:eastAsia="zh-CN"/>
              </w:rPr>
              <w:t>、</w:t>
            </w:r>
            <w:r>
              <w:rPr>
                <w:rFonts w:hint="eastAsia" w:ascii="Times New Roman" w:hAnsi="Times New Roman" w:eastAsia="仿宋_GB2312"/>
                <w:bCs/>
                <w:lang w:val="en-US" w:eastAsia="zh-CN"/>
              </w:rPr>
              <w:t>绕城高速10公里两端路的SAR数据及光学遥感影像数据获取</w:t>
            </w:r>
          </w:p>
        </w:tc>
        <w:tc>
          <w:tcPr>
            <w:tcW w:w="1701" w:type="pct"/>
            <w:vAlign w:val="center"/>
          </w:tcPr>
          <w:p w14:paraId="7CC2AEC8">
            <w:pPr>
              <w:pStyle w:val="14"/>
              <w:keepNext w:val="0"/>
              <w:keepLines w:val="0"/>
              <w:pageBreakBefore w:val="0"/>
              <w:widowControl/>
              <w:numPr>
                <w:ilvl w:val="0"/>
                <w:numId w:val="1"/>
              </w:numPr>
              <w:kinsoku/>
              <w:wordWrap/>
              <w:overflowPunct/>
              <w:topLinePunct w:val="0"/>
              <w:autoSpaceDE/>
              <w:autoSpaceDN/>
              <w:bidi w:val="0"/>
              <w:adjustRightInd w:val="0"/>
              <w:snapToGrid w:val="0"/>
              <w:spacing w:before="0" w:beforeAutospacing="0" w:after="0" w:afterAutospacing="0"/>
              <w:ind w:left="0" w:leftChars="0" w:firstLine="0" w:firstLineChars="0"/>
              <w:jc w:val="both"/>
              <w:textAlignment w:val="auto"/>
              <w:rPr>
                <w:rFonts w:ascii="Times New Roman" w:hAnsi="Times New Roman" w:eastAsia="仿宋"/>
                <w:lang w:bidi="ar"/>
              </w:rPr>
            </w:pPr>
            <w:r>
              <w:rPr>
                <w:rFonts w:hint="eastAsia" w:ascii="Times New Roman" w:hAnsi="Times New Roman" w:eastAsia="仿宋"/>
                <w:lang w:bidi="ar"/>
              </w:rPr>
              <w:t>1:5万DEM数据</w:t>
            </w:r>
            <w:r>
              <w:rPr>
                <w:rFonts w:hint="eastAsia" w:ascii="Times New Roman" w:hAnsi="Times New Roman" w:eastAsia="仿宋"/>
                <w:lang w:val="en-US" w:eastAsia="zh-CN" w:bidi="ar"/>
              </w:rPr>
              <w:t>1次：</w:t>
            </w:r>
            <w:r>
              <w:rPr>
                <w:rFonts w:hint="eastAsia" w:ascii="Times New Roman" w:hAnsi="Times New Roman" w:eastAsia="仿宋"/>
                <w:lang w:bidi="ar"/>
              </w:rPr>
              <w:t>“.tiff”格式栅格数据。InSAR处理时</w:t>
            </w:r>
            <w:r>
              <w:rPr>
                <w:rFonts w:hint="eastAsia" w:ascii="Times New Roman" w:hAnsi="Times New Roman" w:eastAsia="仿宋"/>
                <w:lang w:eastAsia="zh-CN" w:bidi="ar"/>
              </w:rPr>
              <w:t>，</w:t>
            </w:r>
            <w:r>
              <w:rPr>
                <w:rFonts w:hint="eastAsia" w:ascii="Times New Roman" w:hAnsi="Times New Roman" w:eastAsia="仿宋"/>
                <w:lang w:bidi="ar"/>
              </w:rPr>
              <w:t>DEM用于模拟并剥离地形引起的相位贡献，从而提取出地表形变信息。</w:t>
            </w:r>
          </w:p>
          <w:p w14:paraId="230F3819">
            <w:pPr>
              <w:pStyle w:val="14"/>
              <w:keepNext w:val="0"/>
              <w:keepLines w:val="0"/>
              <w:pageBreakBefore w:val="0"/>
              <w:widowControl/>
              <w:numPr>
                <w:ilvl w:val="0"/>
                <w:numId w:val="1"/>
              </w:numPr>
              <w:kinsoku/>
              <w:wordWrap/>
              <w:overflowPunct/>
              <w:topLinePunct w:val="0"/>
              <w:autoSpaceDE/>
              <w:autoSpaceDN/>
              <w:bidi w:val="0"/>
              <w:adjustRightInd w:val="0"/>
              <w:snapToGrid w:val="0"/>
              <w:spacing w:before="0" w:beforeAutospacing="0" w:after="0" w:afterAutospacing="0"/>
              <w:ind w:left="0" w:leftChars="0" w:firstLine="0" w:firstLineChars="0"/>
              <w:jc w:val="both"/>
              <w:textAlignment w:val="auto"/>
              <w:rPr>
                <w:rFonts w:ascii="Times New Roman" w:hAnsi="Times New Roman" w:eastAsia="仿宋"/>
                <w:lang w:bidi="ar"/>
              </w:rPr>
            </w:pPr>
            <w:r>
              <w:rPr>
                <w:rFonts w:hint="eastAsia" w:ascii="Times New Roman" w:hAnsi="Times New Roman" w:eastAsia="仿宋"/>
                <w:lang w:bidi="ar"/>
              </w:rPr>
              <w:t>奉溪高速</w:t>
            </w:r>
            <w:r>
              <w:rPr>
                <w:rFonts w:hint="eastAsia" w:ascii="Times New Roman" w:hAnsi="Times New Roman" w:eastAsia="仿宋"/>
                <w:lang w:eastAsia="zh-CN" w:bidi="ar"/>
              </w:rPr>
              <w:t>（</w:t>
            </w:r>
            <w:r>
              <w:rPr>
                <w:rFonts w:hint="eastAsia" w:ascii="Times New Roman" w:hAnsi="Times New Roman" w:eastAsia="仿宋"/>
                <w:lang w:bidi="ar"/>
              </w:rPr>
              <w:t>42公里）L波段SAR数据</w:t>
            </w:r>
            <w:r>
              <w:rPr>
                <w:rFonts w:hint="eastAsia" w:ascii="Times New Roman" w:hAnsi="Times New Roman" w:eastAsia="仿宋"/>
                <w:lang w:val="en-US" w:eastAsia="zh-CN" w:bidi="ar"/>
              </w:rPr>
              <w:t>46景</w:t>
            </w:r>
            <w:r>
              <w:rPr>
                <w:rFonts w:hint="eastAsia" w:ascii="Times New Roman" w:hAnsi="Times New Roman" w:eastAsia="仿宋"/>
                <w:lang w:eastAsia="zh-CN" w:bidi="ar"/>
              </w:rPr>
              <w:t>：</w:t>
            </w:r>
            <w:r>
              <w:rPr>
                <w:rFonts w:hint="eastAsia" w:ascii="Times New Roman" w:hAnsi="Times New Roman" w:eastAsia="仿宋"/>
                <w:lang w:bidi="ar"/>
              </w:rPr>
              <w:t>SLC单视复数数据。采用商业 L波段SAR数据，分辨率 3米。时间序列为2023年8月~2026年12月，</w:t>
            </w:r>
            <w:r>
              <w:rPr>
                <w:rFonts w:hint="eastAsia" w:ascii="Times New Roman" w:hAnsi="Times New Roman" w:eastAsia="仿宋"/>
                <w:lang w:val="en-US" w:eastAsia="zh-CN" w:bidi="ar"/>
              </w:rPr>
              <w:t>其中20</w:t>
            </w:r>
            <w:r>
              <w:rPr>
                <w:rFonts w:hint="eastAsia" w:ascii="Times New Roman" w:hAnsi="Times New Roman" w:eastAsia="仿宋"/>
                <w:lang w:bidi="ar"/>
              </w:rPr>
              <w:t>26年6、7、8月汛期2次/月，共计46景，如因拍摄原因</w:t>
            </w:r>
            <w:r>
              <w:rPr>
                <w:rFonts w:hint="eastAsia" w:ascii="Times New Roman" w:hAnsi="Times New Roman" w:eastAsia="仿宋"/>
                <w:lang w:val="en-US" w:eastAsia="zh-CN" w:bidi="ar"/>
              </w:rPr>
              <w:t>20</w:t>
            </w:r>
            <w:r>
              <w:rPr>
                <w:rFonts w:hint="eastAsia" w:ascii="Times New Roman" w:hAnsi="Times New Roman" w:eastAsia="仿宋"/>
                <w:lang w:bidi="ar"/>
              </w:rPr>
              <w:t>26年12月未达到46景，则顺延，直至46景交付。</w:t>
            </w:r>
          </w:p>
          <w:p w14:paraId="1F8D4555">
            <w:pPr>
              <w:pStyle w:val="14"/>
              <w:keepNext w:val="0"/>
              <w:keepLines w:val="0"/>
              <w:pageBreakBefore w:val="0"/>
              <w:widowControl/>
              <w:numPr>
                <w:ilvl w:val="0"/>
                <w:numId w:val="1"/>
              </w:numPr>
              <w:kinsoku/>
              <w:wordWrap/>
              <w:overflowPunct/>
              <w:topLinePunct w:val="0"/>
              <w:autoSpaceDE/>
              <w:autoSpaceDN/>
              <w:bidi w:val="0"/>
              <w:adjustRightInd w:val="0"/>
              <w:snapToGrid w:val="0"/>
              <w:spacing w:before="0" w:beforeAutospacing="0" w:after="0" w:afterAutospacing="0"/>
              <w:ind w:left="0" w:leftChars="0" w:firstLine="0" w:firstLineChars="0"/>
              <w:jc w:val="both"/>
              <w:textAlignment w:val="auto"/>
              <w:rPr>
                <w:rFonts w:hint="eastAsia" w:ascii="Times New Roman" w:hAnsi="Times New Roman" w:eastAsia="仿宋"/>
                <w:lang w:eastAsia="zh-CN" w:bidi="ar"/>
              </w:rPr>
            </w:pPr>
            <w:r>
              <w:rPr>
                <w:rFonts w:hint="eastAsia" w:ascii="Times New Roman" w:hAnsi="Times New Roman" w:eastAsia="仿宋"/>
                <w:lang w:bidi="ar"/>
              </w:rPr>
              <w:t>奉溪高速</w:t>
            </w:r>
            <w:r>
              <w:rPr>
                <w:rFonts w:hint="eastAsia" w:ascii="Times New Roman" w:hAnsi="Times New Roman" w:eastAsia="仿宋"/>
                <w:lang w:eastAsia="zh-CN" w:bidi="ar"/>
              </w:rPr>
              <w:t>（</w:t>
            </w:r>
            <w:r>
              <w:rPr>
                <w:rFonts w:hint="eastAsia" w:ascii="Times New Roman" w:hAnsi="Times New Roman" w:eastAsia="仿宋"/>
                <w:lang w:bidi="ar"/>
              </w:rPr>
              <w:t>42公里）光学遥感影像</w:t>
            </w:r>
            <w:r>
              <w:rPr>
                <w:rFonts w:hint="eastAsia" w:ascii="Times New Roman" w:hAnsi="Times New Roman" w:eastAsia="仿宋"/>
                <w:lang w:eastAsia="zh-CN" w:bidi="ar"/>
              </w:rPr>
              <w:t>：“.tiff”格式栅格数据。0.5m编程数据，L5级正射产品。</w:t>
            </w:r>
          </w:p>
          <w:p w14:paraId="1110B755">
            <w:pPr>
              <w:pStyle w:val="14"/>
              <w:keepNext w:val="0"/>
              <w:keepLines w:val="0"/>
              <w:pageBreakBefore w:val="0"/>
              <w:widowControl/>
              <w:numPr>
                <w:ilvl w:val="0"/>
                <w:numId w:val="1"/>
              </w:numPr>
              <w:kinsoku/>
              <w:wordWrap/>
              <w:overflowPunct/>
              <w:topLinePunct w:val="0"/>
              <w:autoSpaceDE/>
              <w:autoSpaceDN/>
              <w:bidi w:val="0"/>
              <w:adjustRightInd w:val="0"/>
              <w:snapToGrid w:val="0"/>
              <w:spacing w:before="0" w:beforeAutospacing="0" w:after="0" w:afterAutospacing="0"/>
              <w:ind w:left="0" w:leftChars="0" w:firstLine="0" w:firstLineChars="0"/>
              <w:jc w:val="both"/>
              <w:textAlignment w:val="auto"/>
              <w:rPr>
                <w:rFonts w:hint="default" w:ascii="Times New Roman" w:hAnsi="Times New Roman" w:eastAsia="仿宋"/>
                <w:lang w:val="en-US" w:eastAsia="zh-CN" w:bidi="ar"/>
              </w:rPr>
            </w:pPr>
            <w:r>
              <w:rPr>
                <w:rFonts w:hint="eastAsia" w:ascii="Times New Roman" w:hAnsi="Times New Roman" w:eastAsia="仿宋"/>
                <w:lang w:val="en-US" w:eastAsia="zh-CN" w:bidi="ar"/>
              </w:rPr>
              <w:t>绕城高速（10公里）光学遥感影像1期、C波段SAR数据56景。</w:t>
            </w:r>
          </w:p>
        </w:tc>
        <w:tc>
          <w:tcPr>
            <w:tcW w:w="277" w:type="pct"/>
            <w:vAlign w:val="center"/>
          </w:tcPr>
          <w:p w14:paraId="26EE5982">
            <w:pPr>
              <w:pStyle w:val="14"/>
              <w:adjustRightInd w:val="0"/>
              <w:snapToGrid w:val="0"/>
              <w:spacing w:before="0" w:beforeAutospacing="0" w:after="0" w:afterAutospacing="0"/>
              <w:jc w:val="center"/>
              <w:rPr>
                <w:rFonts w:ascii="Times New Roman" w:hAnsi="Times New Roman" w:eastAsia="仿宋"/>
              </w:rPr>
            </w:pPr>
            <w:r>
              <w:rPr>
                <w:rFonts w:hint="eastAsia" w:ascii="Times New Roman" w:hAnsi="Times New Roman" w:eastAsia="仿宋"/>
              </w:rPr>
              <w:t>套</w:t>
            </w:r>
          </w:p>
        </w:tc>
        <w:tc>
          <w:tcPr>
            <w:tcW w:w="253" w:type="pct"/>
            <w:vAlign w:val="center"/>
          </w:tcPr>
          <w:p w14:paraId="26EE5983">
            <w:pPr>
              <w:pStyle w:val="14"/>
              <w:adjustRightInd w:val="0"/>
              <w:snapToGrid w:val="0"/>
              <w:spacing w:before="0" w:beforeAutospacing="0" w:after="0" w:afterAutospacing="0"/>
              <w:jc w:val="center"/>
              <w:rPr>
                <w:rFonts w:ascii="Times New Roman" w:hAnsi="Times New Roman" w:eastAsia="仿宋"/>
              </w:rPr>
            </w:pPr>
            <w:r>
              <w:rPr>
                <w:rFonts w:hint="eastAsia" w:ascii="Times New Roman" w:hAnsi="Times New Roman" w:eastAsia="仿宋"/>
              </w:rPr>
              <w:t>1</w:t>
            </w:r>
          </w:p>
        </w:tc>
        <w:tc>
          <w:tcPr>
            <w:tcW w:w="646" w:type="pct"/>
            <w:shd w:val="clear" w:color="auto" w:fill="auto"/>
            <w:vAlign w:val="center"/>
          </w:tcPr>
          <w:p w14:paraId="26EE5984">
            <w:pPr>
              <w:pStyle w:val="14"/>
              <w:adjustRightInd w:val="0"/>
              <w:snapToGrid w:val="0"/>
              <w:spacing w:before="0" w:beforeAutospacing="0" w:after="0" w:afterAutospacing="0"/>
              <w:jc w:val="center"/>
              <w:rPr>
                <w:rFonts w:hint="default" w:ascii="Times New Roman" w:hAnsi="Times New Roman" w:eastAsia="宋体" w:cs="等线"/>
                <w:kern w:val="0"/>
                <w:sz w:val="24"/>
                <w:szCs w:val="24"/>
                <w:lang w:val="en-US" w:eastAsia="zh-CN" w:bidi="ar-SA"/>
              </w:rPr>
            </w:pPr>
            <w:r>
              <w:rPr>
                <w:rFonts w:hint="eastAsia" w:ascii="Times New Roman" w:hAnsi="Times New Roman" w:eastAsia="宋体"/>
                <w:szCs w:val="22"/>
                <w:lang w:val="en-US" w:eastAsia="zh-CN"/>
              </w:rPr>
              <w:t xml:space="preserve"> </w:t>
            </w:r>
          </w:p>
        </w:tc>
        <w:tc>
          <w:tcPr>
            <w:tcW w:w="471" w:type="pct"/>
            <w:shd w:val="clear" w:color="auto" w:fill="auto"/>
            <w:vAlign w:val="center"/>
          </w:tcPr>
          <w:p w14:paraId="26EE5985">
            <w:pPr>
              <w:pStyle w:val="14"/>
              <w:adjustRightInd w:val="0"/>
              <w:snapToGrid w:val="0"/>
              <w:spacing w:before="0" w:beforeAutospacing="0" w:after="0" w:afterAutospacing="0"/>
              <w:jc w:val="center"/>
              <w:rPr>
                <w:rFonts w:hint="default" w:ascii="Times New Roman" w:hAnsi="Times New Roman" w:eastAsia="仿宋" w:cs="等线"/>
                <w:kern w:val="0"/>
                <w:sz w:val="24"/>
                <w:szCs w:val="24"/>
                <w:lang w:val="en-US" w:eastAsia="zh-CN" w:bidi="ar-SA"/>
              </w:rPr>
            </w:pPr>
          </w:p>
        </w:tc>
        <w:tc>
          <w:tcPr>
            <w:tcW w:w="522" w:type="pct"/>
            <w:shd w:val="clear" w:color="auto" w:fill="auto"/>
            <w:vAlign w:val="center"/>
          </w:tcPr>
          <w:p w14:paraId="26EE5986">
            <w:pPr>
              <w:pStyle w:val="14"/>
              <w:adjustRightInd w:val="0"/>
              <w:snapToGrid w:val="0"/>
              <w:spacing w:before="0" w:beforeAutospacing="0" w:after="0" w:afterAutospacing="0"/>
              <w:jc w:val="center"/>
              <w:rPr>
                <w:rFonts w:hint="default" w:ascii="Times New Roman" w:hAnsi="Times New Roman" w:eastAsia="仿宋" w:cs="等线"/>
                <w:kern w:val="0"/>
                <w:sz w:val="24"/>
                <w:szCs w:val="24"/>
                <w:lang w:val="en-US" w:eastAsia="zh-CN" w:bidi="ar-SA"/>
              </w:rPr>
            </w:pPr>
          </w:p>
        </w:tc>
      </w:tr>
      <w:tr w14:paraId="13969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282" w:type="pct"/>
            <w:shd w:val="clear" w:color="auto" w:fill="auto"/>
            <w:vAlign w:val="center"/>
          </w:tcPr>
          <w:p w14:paraId="47C75E8C">
            <w:pPr>
              <w:pStyle w:val="14"/>
              <w:adjustRightInd w:val="0"/>
              <w:snapToGrid w:val="0"/>
              <w:spacing w:before="0" w:beforeAutospacing="0" w:after="0" w:afterAutospacing="0"/>
              <w:jc w:val="center"/>
              <w:rPr>
                <w:rFonts w:hint="eastAsia" w:ascii="Times New Roman" w:hAnsi="Times New Roman" w:eastAsia="仿宋" w:cs="等线"/>
                <w:kern w:val="0"/>
                <w:sz w:val="24"/>
                <w:szCs w:val="24"/>
                <w:lang w:val="en-US" w:eastAsia="zh-CN" w:bidi="ar-SA"/>
              </w:rPr>
            </w:pPr>
            <w:r>
              <w:rPr>
                <w:rFonts w:hint="eastAsia" w:ascii="Times New Roman" w:hAnsi="Times New Roman" w:eastAsia="仿宋"/>
              </w:rPr>
              <w:t>2</w:t>
            </w:r>
          </w:p>
        </w:tc>
        <w:tc>
          <w:tcPr>
            <w:tcW w:w="843" w:type="pct"/>
            <w:vAlign w:val="center"/>
          </w:tcPr>
          <w:p w14:paraId="11B2FD5C">
            <w:pPr>
              <w:pStyle w:val="14"/>
              <w:adjustRightInd w:val="0"/>
              <w:snapToGrid w:val="0"/>
              <w:spacing w:before="0" w:beforeAutospacing="0" w:after="0" w:afterAutospacing="0"/>
              <w:jc w:val="both"/>
              <w:rPr>
                <w:rFonts w:ascii="Times New Roman" w:hAnsi="Times New Roman" w:eastAsia="仿宋"/>
                <w:b/>
              </w:rPr>
            </w:pPr>
            <w:r>
              <w:rPr>
                <w:rFonts w:ascii="Times New Roman" w:hAnsi="Times New Roman" w:eastAsia="仿宋"/>
                <w:b/>
              </w:rPr>
              <w:t>里程碑</w:t>
            </w:r>
            <w:r>
              <w:rPr>
                <w:rFonts w:hint="eastAsia" w:ascii="Times New Roman" w:hAnsi="Times New Roman" w:eastAsia="仿宋"/>
                <w:b/>
                <w:lang w:val="en-US" w:eastAsia="zh-CN"/>
              </w:rPr>
              <w:t>2</w:t>
            </w:r>
            <w:r>
              <w:rPr>
                <w:rFonts w:ascii="Times New Roman" w:hAnsi="Times New Roman" w:eastAsia="仿宋"/>
                <w:b/>
              </w:rPr>
              <w:t>：</w:t>
            </w:r>
            <w:r>
              <w:rPr>
                <w:rFonts w:hint="eastAsia" w:ascii="Times New Roman" w:hAnsi="Times New Roman" w:eastAsia="仿宋_GB2312"/>
                <w:bCs/>
              </w:rPr>
              <w:t>重庆</w:t>
            </w:r>
            <w:r>
              <w:rPr>
                <w:rFonts w:hint="eastAsia" w:ascii="Times New Roman" w:hAnsi="Times New Roman" w:eastAsia="仿宋_GB2312"/>
                <w:bCs/>
                <w:lang w:val="en-US" w:eastAsia="zh-CN"/>
              </w:rPr>
              <w:t>奉溪</w:t>
            </w:r>
            <w:r>
              <w:rPr>
                <w:rFonts w:hint="eastAsia" w:ascii="Times New Roman" w:hAnsi="Times New Roman" w:eastAsia="仿宋_GB2312"/>
                <w:bCs/>
              </w:rPr>
              <w:t>高速公路</w:t>
            </w:r>
            <w:r>
              <w:rPr>
                <w:rFonts w:hint="eastAsia" w:ascii="Times New Roman" w:hAnsi="Times New Roman" w:eastAsia="仿宋_GB2312"/>
                <w:bCs/>
                <w:lang w:val="en-US" w:eastAsia="zh-CN"/>
              </w:rPr>
              <w:t>42</w:t>
            </w:r>
            <w:r>
              <w:rPr>
                <w:rFonts w:hint="eastAsia" w:ascii="Times New Roman" w:hAnsi="Times New Roman" w:eastAsia="仿宋_GB2312"/>
                <w:bCs/>
              </w:rPr>
              <w:t>公里</w:t>
            </w:r>
            <w:r>
              <w:rPr>
                <w:rFonts w:hint="eastAsia" w:ascii="Times New Roman" w:hAnsi="Times New Roman" w:eastAsia="仿宋_GB2312"/>
                <w:bCs/>
                <w:lang w:eastAsia="zh-CN"/>
              </w:rPr>
              <w:t>、</w:t>
            </w:r>
            <w:r>
              <w:rPr>
                <w:rFonts w:hint="eastAsia" w:ascii="Times New Roman" w:hAnsi="Times New Roman" w:eastAsia="仿宋_GB2312"/>
                <w:bCs/>
                <w:lang w:val="en-US" w:eastAsia="zh-CN"/>
              </w:rPr>
              <w:t>绕城高速10公里两段路网的SAR数据及光学遥感影像数据处理及分析</w:t>
            </w:r>
          </w:p>
        </w:tc>
        <w:tc>
          <w:tcPr>
            <w:tcW w:w="1701" w:type="pct"/>
            <w:vAlign w:val="center"/>
          </w:tcPr>
          <w:p w14:paraId="20EC5BBF">
            <w:pPr>
              <w:pStyle w:val="14"/>
              <w:keepNext w:val="0"/>
              <w:keepLines w:val="0"/>
              <w:pageBreakBefore w:val="0"/>
              <w:widowControl/>
              <w:numPr>
                <w:ilvl w:val="0"/>
                <w:numId w:val="2"/>
              </w:numPr>
              <w:kinsoku/>
              <w:wordWrap/>
              <w:overflowPunct/>
              <w:topLinePunct w:val="0"/>
              <w:autoSpaceDE/>
              <w:autoSpaceDN/>
              <w:bidi w:val="0"/>
              <w:adjustRightInd w:val="0"/>
              <w:snapToGrid w:val="0"/>
              <w:spacing w:before="0" w:beforeAutospacing="0" w:after="0" w:afterAutospacing="0"/>
              <w:ind w:left="0" w:leftChars="0" w:firstLine="0" w:firstLineChars="0"/>
              <w:jc w:val="both"/>
              <w:textAlignment w:val="auto"/>
              <w:rPr>
                <w:rFonts w:hint="default" w:ascii="Times New Roman" w:hAnsi="Times New Roman" w:eastAsia="仿宋"/>
                <w:lang w:val="en-US" w:eastAsia="zh-CN" w:bidi="ar"/>
              </w:rPr>
            </w:pPr>
            <w:r>
              <w:rPr>
                <w:rFonts w:hint="eastAsia" w:ascii="Times New Roman" w:hAnsi="Times New Roman" w:eastAsia="仿宋"/>
                <w:lang w:val="en-US" w:eastAsia="zh-CN" w:bidi="ar"/>
              </w:rPr>
              <w:t>高速公路结构物提取：“.shp”等格式矢量数据。基于高分辨率遥感影像，对告诉公路沿线结构物进行提取，区分道路、桥梁、隧道进出口及边坡，并基于起始里程桩，开展百米桩定点划段。</w:t>
            </w:r>
          </w:p>
          <w:p w14:paraId="0A71CB46">
            <w:pPr>
              <w:pStyle w:val="14"/>
              <w:keepNext w:val="0"/>
              <w:keepLines w:val="0"/>
              <w:pageBreakBefore w:val="0"/>
              <w:widowControl/>
              <w:numPr>
                <w:ilvl w:val="0"/>
                <w:numId w:val="2"/>
              </w:numPr>
              <w:kinsoku/>
              <w:wordWrap/>
              <w:overflowPunct/>
              <w:topLinePunct w:val="0"/>
              <w:autoSpaceDE/>
              <w:autoSpaceDN/>
              <w:bidi w:val="0"/>
              <w:adjustRightInd w:val="0"/>
              <w:snapToGrid w:val="0"/>
              <w:spacing w:before="0" w:beforeAutospacing="0" w:after="0" w:afterAutospacing="0"/>
              <w:ind w:left="0" w:leftChars="0" w:firstLine="0" w:firstLineChars="0"/>
              <w:jc w:val="both"/>
              <w:textAlignment w:val="auto"/>
              <w:rPr>
                <w:rFonts w:hint="default" w:ascii="Times New Roman" w:hAnsi="Times New Roman" w:eastAsia="仿宋"/>
                <w:lang w:val="en-US" w:eastAsia="zh-CN" w:bidi="ar"/>
              </w:rPr>
            </w:pPr>
            <w:r>
              <w:rPr>
                <w:rFonts w:hint="eastAsia" w:ascii="Times New Roman" w:hAnsi="Times New Roman" w:eastAsia="仿宋"/>
                <w:lang w:val="en-US" w:eastAsia="zh-CN" w:bidi="ar"/>
              </w:rPr>
              <w:t>奉溪高速L波段SAR数据、InSAR数据处理：“.shp”等格式矢量数据。采用最优InSAR处理方法处理46景SAR数据。以道路中心线两侧半径500m为缓冲区为处理分析范围，处理分析面积为42km*1km=42km²。</w:t>
            </w:r>
          </w:p>
          <w:p w14:paraId="272DFEB8">
            <w:pPr>
              <w:pStyle w:val="14"/>
              <w:keepNext w:val="0"/>
              <w:keepLines w:val="0"/>
              <w:pageBreakBefore w:val="0"/>
              <w:widowControl/>
              <w:numPr>
                <w:ilvl w:val="0"/>
                <w:numId w:val="2"/>
              </w:numPr>
              <w:kinsoku/>
              <w:wordWrap/>
              <w:overflowPunct/>
              <w:topLinePunct w:val="0"/>
              <w:autoSpaceDE/>
              <w:autoSpaceDN/>
              <w:bidi w:val="0"/>
              <w:adjustRightInd w:val="0"/>
              <w:snapToGrid w:val="0"/>
              <w:spacing w:before="0" w:beforeAutospacing="0" w:after="0" w:afterAutospacing="0"/>
              <w:ind w:left="0" w:leftChars="0" w:firstLine="0" w:firstLineChars="0"/>
              <w:jc w:val="both"/>
              <w:textAlignment w:val="auto"/>
              <w:rPr>
                <w:rFonts w:hint="default" w:ascii="Times New Roman" w:hAnsi="Times New Roman" w:eastAsia="仿宋"/>
                <w:lang w:val="en-US" w:eastAsia="zh-CN" w:bidi="ar"/>
              </w:rPr>
            </w:pPr>
            <w:r>
              <w:rPr>
                <w:rFonts w:hint="default" w:ascii="Times New Roman" w:hAnsi="Times New Roman" w:eastAsia="仿宋"/>
                <w:lang w:val="en-US" w:eastAsia="zh-CN" w:bidi="ar"/>
              </w:rPr>
              <w:t>K99边坡C波段SAR数据</w:t>
            </w:r>
            <w:r>
              <w:rPr>
                <w:rFonts w:hint="eastAsia" w:ascii="Times New Roman" w:hAnsi="Times New Roman" w:eastAsia="仿宋"/>
                <w:lang w:val="en-US" w:eastAsia="zh-CN" w:bidi="ar"/>
              </w:rPr>
              <w:t>、</w:t>
            </w:r>
            <w:r>
              <w:rPr>
                <w:rFonts w:hint="default" w:ascii="Times New Roman" w:hAnsi="Times New Roman" w:eastAsia="仿宋"/>
                <w:lang w:val="en-US" w:eastAsia="zh-CN" w:bidi="ar"/>
              </w:rPr>
              <w:t>InSAR数据处理</w:t>
            </w:r>
            <w:r>
              <w:rPr>
                <w:rFonts w:hint="eastAsia" w:ascii="Times New Roman" w:hAnsi="Times New Roman" w:eastAsia="仿宋"/>
                <w:lang w:val="en-US" w:eastAsia="zh-CN" w:bidi="ar"/>
              </w:rPr>
              <w:t>：“.shp”等格式矢量数据。采用最优InSAR处理方法处理56景SAR数据。</w:t>
            </w:r>
          </w:p>
        </w:tc>
        <w:tc>
          <w:tcPr>
            <w:tcW w:w="277" w:type="pct"/>
            <w:vAlign w:val="center"/>
          </w:tcPr>
          <w:p w14:paraId="11B35019">
            <w:pPr>
              <w:pStyle w:val="14"/>
              <w:adjustRightInd w:val="0"/>
              <w:snapToGrid w:val="0"/>
              <w:spacing w:before="0" w:beforeAutospacing="0" w:after="0" w:afterAutospacing="0"/>
              <w:jc w:val="center"/>
              <w:rPr>
                <w:rFonts w:hint="eastAsia" w:ascii="Times New Roman" w:hAnsi="Times New Roman" w:eastAsia="仿宋"/>
                <w:lang w:val="en-US" w:eastAsia="zh-CN"/>
              </w:rPr>
            </w:pPr>
            <w:r>
              <w:rPr>
                <w:rFonts w:hint="eastAsia" w:ascii="Times New Roman" w:hAnsi="Times New Roman" w:eastAsia="仿宋"/>
                <w:lang w:val="en-US" w:eastAsia="zh-CN"/>
              </w:rPr>
              <w:t>套</w:t>
            </w:r>
          </w:p>
        </w:tc>
        <w:tc>
          <w:tcPr>
            <w:tcW w:w="253" w:type="pct"/>
            <w:vAlign w:val="center"/>
          </w:tcPr>
          <w:p w14:paraId="55CE30A4">
            <w:pPr>
              <w:pStyle w:val="14"/>
              <w:adjustRightInd w:val="0"/>
              <w:snapToGrid w:val="0"/>
              <w:spacing w:before="0" w:beforeAutospacing="0" w:after="0" w:afterAutospacing="0"/>
              <w:jc w:val="center"/>
              <w:rPr>
                <w:rFonts w:hint="eastAsia" w:ascii="Times New Roman" w:hAnsi="Times New Roman" w:eastAsia="仿宋"/>
                <w:lang w:val="en-US" w:eastAsia="zh-CN"/>
              </w:rPr>
            </w:pPr>
            <w:r>
              <w:rPr>
                <w:rFonts w:hint="eastAsia" w:ascii="Times New Roman" w:hAnsi="Times New Roman" w:eastAsia="仿宋"/>
                <w:lang w:val="en-US" w:eastAsia="zh-CN"/>
              </w:rPr>
              <w:t>1</w:t>
            </w:r>
          </w:p>
        </w:tc>
        <w:tc>
          <w:tcPr>
            <w:tcW w:w="646" w:type="pct"/>
            <w:shd w:val="clear" w:color="auto" w:fill="auto"/>
            <w:vAlign w:val="center"/>
          </w:tcPr>
          <w:p w14:paraId="2D31579C">
            <w:pPr>
              <w:pStyle w:val="14"/>
              <w:adjustRightInd w:val="0"/>
              <w:snapToGrid w:val="0"/>
              <w:spacing w:before="0" w:beforeAutospacing="0" w:after="0" w:afterAutospacing="0"/>
              <w:jc w:val="center"/>
              <w:rPr>
                <w:rFonts w:hint="default" w:ascii="Times New Roman" w:hAnsi="Times New Roman" w:eastAsia="仿宋" w:cs="等线"/>
                <w:kern w:val="0"/>
                <w:sz w:val="24"/>
                <w:szCs w:val="24"/>
                <w:lang w:val="en-US" w:eastAsia="zh-CN" w:bidi="ar-SA"/>
              </w:rPr>
            </w:pPr>
            <w:r>
              <w:rPr>
                <w:rFonts w:hint="eastAsia" w:ascii="Times New Roman" w:hAnsi="Times New Roman" w:eastAsia="仿宋"/>
                <w:lang w:val="en-US" w:eastAsia="zh-CN"/>
              </w:rPr>
              <w:t xml:space="preserve"> </w:t>
            </w:r>
          </w:p>
        </w:tc>
        <w:tc>
          <w:tcPr>
            <w:tcW w:w="471" w:type="pct"/>
            <w:shd w:val="clear" w:color="auto" w:fill="auto"/>
            <w:vAlign w:val="center"/>
          </w:tcPr>
          <w:p w14:paraId="6A09FA6E">
            <w:pPr>
              <w:pStyle w:val="14"/>
              <w:adjustRightInd w:val="0"/>
              <w:snapToGrid w:val="0"/>
              <w:spacing w:before="0" w:beforeAutospacing="0" w:after="0" w:afterAutospacing="0"/>
              <w:jc w:val="center"/>
              <w:rPr>
                <w:rFonts w:hint="default" w:ascii="Times New Roman" w:hAnsi="Times New Roman" w:eastAsia="仿宋" w:cs="等线"/>
                <w:kern w:val="0"/>
                <w:sz w:val="24"/>
                <w:szCs w:val="24"/>
                <w:lang w:val="en-US" w:eastAsia="zh-CN" w:bidi="ar-SA"/>
              </w:rPr>
            </w:pPr>
          </w:p>
        </w:tc>
        <w:tc>
          <w:tcPr>
            <w:tcW w:w="522" w:type="pct"/>
            <w:shd w:val="clear" w:color="auto" w:fill="auto"/>
            <w:vAlign w:val="center"/>
          </w:tcPr>
          <w:p w14:paraId="2C374484">
            <w:pPr>
              <w:pStyle w:val="14"/>
              <w:adjustRightInd w:val="0"/>
              <w:snapToGrid w:val="0"/>
              <w:spacing w:before="0" w:beforeAutospacing="0" w:after="0" w:afterAutospacing="0"/>
              <w:jc w:val="center"/>
              <w:rPr>
                <w:rFonts w:hint="default" w:ascii="Times New Roman" w:hAnsi="Times New Roman" w:eastAsia="仿宋" w:cs="等线"/>
                <w:kern w:val="0"/>
                <w:sz w:val="24"/>
                <w:szCs w:val="24"/>
                <w:lang w:val="en-US" w:eastAsia="zh-CN" w:bidi="ar-SA"/>
              </w:rPr>
            </w:pPr>
          </w:p>
        </w:tc>
      </w:tr>
      <w:tr w14:paraId="26EE5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282" w:type="pct"/>
            <w:shd w:val="clear" w:color="auto" w:fill="auto"/>
            <w:vAlign w:val="center"/>
          </w:tcPr>
          <w:p w14:paraId="26EE5988">
            <w:pPr>
              <w:pStyle w:val="14"/>
              <w:adjustRightInd w:val="0"/>
              <w:snapToGrid w:val="0"/>
              <w:spacing w:before="0" w:beforeAutospacing="0" w:after="0" w:afterAutospacing="0"/>
              <w:jc w:val="center"/>
              <w:rPr>
                <w:rFonts w:ascii="Times New Roman" w:hAnsi="Times New Roman" w:eastAsia="仿宋" w:cs="等线"/>
                <w:kern w:val="0"/>
                <w:sz w:val="24"/>
                <w:szCs w:val="24"/>
                <w:lang w:val="en-US" w:eastAsia="zh-CN" w:bidi="ar-SA"/>
              </w:rPr>
            </w:pPr>
            <w:r>
              <w:rPr>
                <w:rFonts w:hint="eastAsia" w:ascii="Times New Roman" w:hAnsi="Times New Roman" w:eastAsia="仿宋"/>
              </w:rPr>
              <w:t>3</w:t>
            </w:r>
          </w:p>
        </w:tc>
        <w:tc>
          <w:tcPr>
            <w:tcW w:w="843" w:type="pct"/>
            <w:vAlign w:val="center"/>
          </w:tcPr>
          <w:p w14:paraId="26EE5989">
            <w:pPr>
              <w:pStyle w:val="14"/>
              <w:adjustRightInd w:val="0"/>
              <w:snapToGrid w:val="0"/>
              <w:spacing w:before="0" w:beforeAutospacing="0" w:after="0" w:afterAutospacing="0"/>
              <w:jc w:val="both"/>
              <w:rPr>
                <w:rFonts w:ascii="Times New Roman" w:hAnsi="Times New Roman" w:eastAsia="仿宋"/>
                <w:bCs/>
                <w:highlight w:val="yellow"/>
              </w:rPr>
            </w:pPr>
            <w:r>
              <w:rPr>
                <w:rFonts w:ascii="Times New Roman" w:hAnsi="Times New Roman" w:eastAsia="仿宋"/>
                <w:b/>
              </w:rPr>
              <w:t>里程碑</w:t>
            </w:r>
            <w:r>
              <w:rPr>
                <w:rFonts w:hint="eastAsia" w:ascii="Times New Roman" w:hAnsi="Times New Roman" w:eastAsia="仿宋"/>
                <w:b/>
                <w:lang w:val="en-US" w:eastAsia="zh-CN"/>
              </w:rPr>
              <w:t>3</w:t>
            </w:r>
            <w:r>
              <w:rPr>
                <w:rFonts w:ascii="Times New Roman" w:hAnsi="Times New Roman" w:eastAsia="仿宋"/>
                <w:b/>
              </w:rPr>
              <w:t>：</w:t>
            </w:r>
            <w:r>
              <w:rPr>
                <w:rFonts w:hint="eastAsia" w:ascii="Times New Roman" w:hAnsi="Times New Roman" w:eastAsia="仿宋_GB2312"/>
                <w:bCs/>
              </w:rPr>
              <w:t>高速公路结构物隐患靶区智能识别模型技术服务</w:t>
            </w:r>
          </w:p>
        </w:tc>
        <w:tc>
          <w:tcPr>
            <w:tcW w:w="1701" w:type="pct"/>
            <w:vAlign w:val="center"/>
          </w:tcPr>
          <w:p w14:paraId="26EE598A">
            <w:pPr>
              <w:pStyle w:val="14"/>
              <w:adjustRightInd w:val="0"/>
              <w:snapToGrid w:val="0"/>
              <w:spacing w:before="0" w:beforeAutospacing="0" w:after="0" w:afterAutospacing="0"/>
              <w:jc w:val="both"/>
              <w:rPr>
                <w:rFonts w:ascii="Times New Roman" w:hAnsi="Times New Roman" w:eastAsia="仿宋"/>
                <w:lang w:bidi="ar"/>
              </w:rPr>
            </w:pPr>
            <w:r>
              <w:rPr>
                <w:rFonts w:hint="eastAsia" w:ascii="Times New Roman" w:hAnsi="Times New Roman" w:eastAsia="仿宋"/>
                <w:lang w:bidi="ar"/>
              </w:rPr>
              <w:t>基于InSAR时序形变数据的隐患靶区智能识别模型</w:t>
            </w:r>
            <w:r>
              <w:rPr>
                <w:rFonts w:hint="eastAsia" w:ascii="Times New Roman" w:hAnsi="Times New Roman" w:eastAsia="仿宋"/>
                <w:lang w:val="en-US" w:eastAsia="zh-CN" w:bidi="ar"/>
              </w:rPr>
              <w:t>开发</w:t>
            </w:r>
            <w:r>
              <w:rPr>
                <w:rFonts w:hint="eastAsia" w:ascii="Times New Roman" w:hAnsi="Times New Roman" w:eastAsia="仿宋"/>
                <w:lang w:bidi="ar"/>
              </w:rPr>
              <w:t>，自动识别并提取风险区域及形变关键信息，实现隐患靶区的自动化、智能化、精准化识别。模型以亚厘米级时序形变场为输入，融合地形坡度、地质背景、历史灾害等信息，自动圈定边坡滑移面、路基不均匀沉降区、桥梁及隧道周边变形区，隐患识别准确率不低于95%；</w:t>
            </w:r>
            <w:r>
              <w:rPr>
                <w:rFonts w:hint="eastAsia" w:ascii="Times New Roman" w:hAnsi="Times New Roman" w:eastAsia="仿宋"/>
                <w:lang w:val="en-US" w:eastAsia="zh-CN" w:bidi="ar"/>
              </w:rPr>
              <w:t>提供发明专利技术交底书1份，支撑甲方完成1项发明专利申请</w:t>
            </w:r>
            <w:r>
              <w:rPr>
                <w:rFonts w:hint="eastAsia" w:ascii="Times New Roman" w:hAnsi="Times New Roman" w:eastAsia="仿宋"/>
                <w:lang w:bidi="ar"/>
              </w:rPr>
              <w:t>。</w:t>
            </w:r>
          </w:p>
        </w:tc>
        <w:tc>
          <w:tcPr>
            <w:tcW w:w="277" w:type="pct"/>
            <w:vAlign w:val="center"/>
          </w:tcPr>
          <w:p w14:paraId="26EE598B">
            <w:pPr>
              <w:pStyle w:val="14"/>
              <w:adjustRightInd w:val="0"/>
              <w:snapToGrid w:val="0"/>
              <w:spacing w:before="0" w:beforeAutospacing="0" w:after="0" w:afterAutospacing="0"/>
              <w:jc w:val="center"/>
              <w:rPr>
                <w:rFonts w:ascii="Times New Roman" w:hAnsi="Times New Roman" w:eastAsia="仿宋"/>
              </w:rPr>
            </w:pPr>
            <w:r>
              <w:rPr>
                <w:rFonts w:hint="eastAsia" w:ascii="Times New Roman" w:hAnsi="Times New Roman" w:eastAsia="仿宋"/>
              </w:rPr>
              <w:t>套</w:t>
            </w:r>
          </w:p>
        </w:tc>
        <w:tc>
          <w:tcPr>
            <w:tcW w:w="253" w:type="pct"/>
            <w:vAlign w:val="center"/>
          </w:tcPr>
          <w:p w14:paraId="26EE598C">
            <w:pPr>
              <w:pStyle w:val="14"/>
              <w:adjustRightInd w:val="0"/>
              <w:snapToGrid w:val="0"/>
              <w:spacing w:before="0" w:beforeAutospacing="0" w:after="0" w:afterAutospacing="0"/>
              <w:jc w:val="center"/>
              <w:rPr>
                <w:rFonts w:ascii="Times New Roman" w:hAnsi="Times New Roman" w:eastAsia="仿宋"/>
              </w:rPr>
            </w:pPr>
            <w:r>
              <w:rPr>
                <w:rFonts w:hint="eastAsia" w:ascii="Times New Roman" w:hAnsi="Times New Roman" w:eastAsia="仿宋"/>
              </w:rPr>
              <w:t>1</w:t>
            </w:r>
          </w:p>
        </w:tc>
        <w:tc>
          <w:tcPr>
            <w:tcW w:w="646" w:type="pct"/>
            <w:shd w:val="clear" w:color="auto" w:fill="auto"/>
            <w:vAlign w:val="center"/>
          </w:tcPr>
          <w:p w14:paraId="26EE598D">
            <w:pPr>
              <w:pStyle w:val="14"/>
              <w:adjustRightInd w:val="0"/>
              <w:snapToGrid w:val="0"/>
              <w:spacing w:before="0" w:beforeAutospacing="0" w:after="0" w:afterAutospacing="0"/>
              <w:jc w:val="center"/>
              <w:rPr>
                <w:rFonts w:hint="default" w:ascii="Times New Roman" w:hAnsi="Times New Roman" w:eastAsia="仿宋" w:cs="等线"/>
                <w:kern w:val="0"/>
                <w:sz w:val="24"/>
                <w:szCs w:val="24"/>
                <w:lang w:val="en-US" w:eastAsia="zh-CN" w:bidi="ar-SA"/>
              </w:rPr>
            </w:pPr>
            <w:r>
              <w:rPr>
                <w:rFonts w:hint="eastAsia" w:ascii="Times New Roman" w:hAnsi="Times New Roman" w:eastAsia="仿宋"/>
                <w:lang w:val="en-US" w:eastAsia="zh-CN"/>
              </w:rPr>
              <w:t xml:space="preserve"> </w:t>
            </w:r>
          </w:p>
        </w:tc>
        <w:tc>
          <w:tcPr>
            <w:tcW w:w="471" w:type="pct"/>
            <w:shd w:val="clear" w:color="auto" w:fill="auto"/>
            <w:vAlign w:val="center"/>
          </w:tcPr>
          <w:p w14:paraId="26EE598E">
            <w:pPr>
              <w:pStyle w:val="14"/>
              <w:adjustRightInd w:val="0"/>
              <w:snapToGrid w:val="0"/>
              <w:spacing w:before="0" w:beforeAutospacing="0" w:after="0" w:afterAutospacing="0"/>
              <w:jc w:val="center"/>
              <w:rPr>
                <w:rFonts w:hint="default" w:ascii="Times New Roman" w:hAnsi="Times New Roman" w:eastAsia="仿宋" w:cs="等线"/>
                <w:kern w:val="0"/>
                <w:sz w:val="24"/>
                <w:szCs w:val="24"/>
                <w:lang w:val="en-US" w:eastAsia="zh-CN" w:bidi="ar-SA"/>
              </w:rPr>
            </w:pPr>
          </w:p>
        </w:tc>
        <w:tc>
          <w:tcPr>
            <w:tcW w:w="522" w:type="pct"/>
            <w:shd w:val="clear" w:color="auto" w:fill="auto"/>
            <w:vAlign w:val="center"/>
          </w:tcPr>
          <w:p w14:paraId="26EE598F">
            <w:pPr>
              <w:pStyle w:val="14"/>
              <w:adjustRightInd w:val="0"/>
              <w:snapToGrid w:val="0"/>
              <w:spacing w:before="0" w:beforeAutospacing="0" w:after="0" w:afterAutospacing="0"/>
              <w:jc w:val="center"/>
              <w:rPr>
                <w:rFonts w:hint="default" w:ascii="Times New Roman" w:hAnsi="Times New Roman" w:eastAsia="仿宋" w:cs="等线"/>
                <w:kern w:val="0"/>
                <w:sz w:val="24"/>
                <w:szCs w:val="24"/>
                <w:lang w:val="en-US" w:eastAsia="zh-CN" w:bidi="ar-SA"/>
              </w:rPr>
            </w:pPr>
          </w:p>
        </w:tc>
      </w:tr>
      <w:tr w14:paraId="26EE5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282" w:type="pct"/>
            <w:shd w:val="clear" w:color="auto" w:fill="auto"/>
            <w:vAlign w:val="center"/>
          </w:tcPr>
          <w:p w14:paraId="26EE5991">
            <w:pPr>
              <w:pStyle w:val="14"/>
              <w:adjustRightInd w:val="0"/>
              <w:snapToGrid w:val="0"/>
              <w:spacing w:before="0" w:beforeAutospacing="0" w:after="0" w:afterAutospacing="0"/>
              <w:jc w:val="center"/>
              <w:rPr>
                <w:rFonts w:ascii="Times New Roman" w:hAnsi="Times New Roman" w:eastAsia="仿宋" w:cs="等线"/>
                <w:kern w:val="0"/>
                <w:sz w:val="24"/>
                <w:szCs w:val="24"/>
                <w:lang w:val="en-US" w:eastAsia="zh-CN" w:bidi="ar-SA"/>
              </w:rPr>
            </w:pPr>
            <w:r>
              <w:rPr>
                <w:rFonts w:hint="eastAsia" w:ascii="Times New Roman" w:hAnsi="Times New Roman" w:eastAsia="仿宋"/>
              </w:rPr>
              <w:t>4</w:t>
            </w:r>
          </w:p>
        </w:tc>
        <w:tc>
          <w:tcPr>
            <w:tcW w:w="843" w:type="pct"/>
            <w:vAlign w:val="center"/>
          </w:tcPr>
          <w:p w14:paraId="26EE5992">
            <w:pPr>
              <w:pStyle w:val="14"/>
              <w:adjustRightInd w:val="0"/>
              <w:snapToGrid w:val="0"/>
              <w:spacing w:before="0" w:beforeAutospacing="0" w:after="0" w:afterAutospacing="0"/>
              <w:jc w:val="both"/>
              <w:rPr>
                <w:rFonts w:ascii="Times New Roman" w:hAnsi="Times New Roman" w:eastAsia="仿宋_GB2312"/>
                <w:bCs/>
              </w:rPr>
            </w:pPr>
            <w:r>
              <w:rPr>
                <w:rFonts w:ascii="Times New Roman" w:hAnsi="Times New Roman" w:eastAsia="仿宋"/>
                <w:b/>
              </w:rPr>
              <w:t>里程碑</w:t>
            </w:r>
            <w:r>
              <w:rPr>
                <w:rFonts w:hint="eastAsia" w:ascii="Times New Roman" w:hAnsi="Times New Roman" w:eastAsia="仿宋"/>
                <w:b/>
                <w:lang w:val="en-US" w:eastAsia="zh-CN"/>
              </w:rPr>
              <w:t>4</w:t>
            </w:r>
            <w:r>
              <w:rPr>
                <w:rFonts w:ascii="Times New Roman" w:hAnsi="Times New Roman" w:eastAsia="仿宋"/>
                <w:b/>
              </w:rPr>
              <w:t>：</w:t>
            </w:r>
            <w:r>
              <w:rPr>
                <w:rFonts w:hint="eastAsia" w:ascii="Times New Roman" w:hAnsi="Times New Roman" w:eastAsia="仿宋_GB2312"/>
                <w:bCs/>
              </w:rPr>
              <w:t>高速公路保护线人为违法扰动监测模型技术</w:t>
            </w:r>
            <w:r>
              <w:rPr>
                <w:rFonts w:hint="eastAsia" w:ascii="Times New Roman" w:hAnsi="Times New Roman" w:eastAsia="仿宋_GB2312"/>
                <w:bCs/>
                <w:szCs w:val="21"/>
              </w:rPr>
              <w:t>服务</w:t>
            </w:r>
          </w:p>
        </w:tc>
        <w:tc>
          <w:tcPr>
            <w:tcW w:w="1701" w:type="pct"/>
            <w:vAlign w:val="center"/>
          </w:tcPr>
          <w:p w14:paraId="26EE5993">
            <w:pPr>
              <w:pStyle w:val="14"/>
              <w:adjustRightInd w:val="0"/>
              <w:snapToGrid w:val="0"/>
              <w:spacing w:before="0" w:beforeAutospacing="0" w:after="0" w:afterAutospacing="0"/>
              <w:jc w:val="both"/>
              <w:rPr>
                <w:rFonts w:ascii="Times New Roman" w:hAnsi="Times New Roman" w:eastAsia="仿宋"/>
                <w:lang w:bidi="ar"/>
              </w:rPr>
            </w:pPr>
            <w:r>
              <w:rPr>
                <w:rFonts w:hint="eastAsia" w:ascii="Times New Roman" w:hAnsi="Times New Roman" w:eastAsia="仿宋"/>
                <w:lang w:bidi="ar"/>
              </w:rPr>
              <w:t>高速公路保护线人为违法扰动监测模型开发</w:t>
            </w:r>
            <w:r>
              <w:rPr>
                <w:rFonts w:hint="eastAsia" w:ascii="Times New Roman" w:hAnsi="Times New Roman" w:eastAsia="仿宋"/>
                <w:lang w:eastAsia="zh-CN" w:bidi="ar"/>
              </w:rPr>
              <w:t>，基于0.5m高分辨光学影像，明确违法侵占、违法搭建等各类场景识别标准与特征指标，可识别违法扰动目标尺寸：违法搭建≥8m*8m，废料堆放≥10m*10m，违法开挖面≥3m*3m，识别准确率不低于90%</w:t>
            </w:r>
            <w:r>
              <w:rPr>
                <w:rFonts w:hint="eastAsia" w:ascii="Times New Roman" w:hAnsi="Times New Roman" w:eastAsia="仿宋"/>
                <w:lang w:bidi="ar"/>
              </w:rPr>
              <w:t>。</w:t>
            </w:r>
          </w:p>
        </w:tc>
        <w:tc>
          <w:tcPr>
            <w:tcW w:w="277" w:type="pct"/>
            <w:vAlign w:val="center"/>
          </w:tcPr>
          <w:p w14:paraId="26EE5994">
            <w:pPr>
              <w:pStyle w:val="14"/>
              <w:adjustRightInd w:val="0"/>
              <w:snapToGrid w:val="0"/>
              <w:spacing w:before="0" w:beforeAutospacing="0" w:after="0" w:afterAutospacing="0"/>
              <w:jc w:val="center"/>
              <w:rPr>
                <w:rFonts w:ascii="Times New Roman" w:hAnsi="Times New Roman" w:eastAsia="仿宋"/>
              </w:rPr>
            </w:pPr>
            <w:r>
              <w:rPr>
                <w:rFonts w:hint="eastAsia" w:ascii="Times New Roman" w:hAnsi="Times New Roman" w:eastAsia="仿宋"/>
              </w:rPr>
              <w:t>套</w:t>
            </w:r>
          </w:p>
        </w:tc>
        <w:tc>
          <w:tcPr>
            <w:tcW w:w="253" w:type="pct"/>
            <w:vAlign w:val="center"/>
          </w:tcPr>
          <w:p w14:paraId="26EE5995">
            <w:pPr>
              <w:pStyle w:val="14"/>
              <w:adjustRightInd w:val="0"/>
              <w:snapToGrid w:val="0"/>
              <w:spacing w:before="0" w:beforeAutospacing="0" w:after="0" w:afterAutospacing="0"/>
              <w:jc w:val="center"/>
              <w:rPr>
                <w:rFonts w:ascii="Times New Roman" w:hAnsi="Times New Roman" w:eastAsia="仿宋"/>
              </w:rPr>
            </w:pPr>
            <w:r>
              <w:rPr>
                <w:rFonts w:hint="eastAsia" w:ascii="Times New Roman" w:hAnsi="Times New Roman" w:eastAsia="仿宋"/>
              </w:rPr>
              <w:t>1</w:t>
            </w:r>
          </w:p>
        </w:tc>
        <w:tc>
          <w:tcPr>
            <w:tcW w:w="646" w:type="pct"/>
            <w:shd w:val="clear" w:color="auto" w:fill="auto"/>
            <w:vAlign w:val="center"/>
          </w:tcPr>
          <w:p w14:paraId="26EE5996">
            <w:pPr>
              <w:pStyle w:val="14"/>
              <w:adjustRightInd w:val="0"/>
              <w:snapToGrid w:val="0"/>
              <w:spacing w:before="0" w:beforeAutospacing="0" w:after="0" w:afterAutospacing="0"/>
              <w:jc w:val="center"/>
              <w:rPr>
                <w:rFonts w:hint="default" w:ascii="Times New Roman" w:hAnsi="Times New Roman" w:eastAsia="宋体" w:cs="等线"/>
                <w:kern w:val="0"/>
                <w:sz w:val="24"/>
                <w:szCs w:val="22"/>
                <w:lang w:val="en-US" w:eastAsia="zh-CN" w:bidi="ar-SA"/>
              </w:rPr>
            </w:pPr>
            <w:r>
              <w:rPr>
                <w:rFonts w:hint="eastAsia" w:ascii="Times New Roman" w:hAnsi="Times New Roman" w:eastAsia="宋体"/>
                <w:szCs w:val="22"/>
                <w:lang w:val="en-US" w:eastAsia="zh-CN"/>
              </w:rPr>
              <w:t xml:space="preserve"> </w:t>
            </w:r>
          </w:p>
        </w:tc>
        <w:tc>
          <w:tcPr>
            <w:tcW w:w="471" w:type="pct"/>
            <w:shd w:val="clear" w:color="auto" w:fill="auto"/>
            <w:vAlign w:val="center"/>
          </w:tcPr>
          <w:p w14:paraId="26EE5997">
            <w:pPr>
              <w:pStyle w:val="14"/>
              <w:adjustRightInd w:val="0"/>
              <w:snapToGrid w:val="0"/>
              <w:spacing w:before="0" w:beforeAutospacing="0" w:after="0" w:afterAutospacing="0"/>
              <w:jc w:val="center"/>
              <w:rPr>
                <w:rFonts w:hint="default" w:ascii="Times New Roman" w:hAnsi="Times New Roman" w:eastAsia="仿宋" w:cs="等线"/>
                <w:kern w:val="0"/>
                <w:sz w:val="24"/>
                <w:szCs w:val="24"/>
                <w:lang w:val="en-US" w:eastAsia="zh-CN" w:bidi="ar-SA"/>
              </w:rPr>
            </w:pPr>
          </w:p>
        </w:tc>
        <w:tc>
          <w:tcPr>
            <w:tcW w:w="522" w:type="pct"/>
            <w:shd w:val="clear" w:color="auto" w:fill="auto"/>
            <w:vAlign w:val="center"/>
          </w:tcPr>
          <w:p w14:paraId="26EE5998">
            <w:pPr>
              <w:pStyle w:val="14"/>
              <w:adjustRightInd w:val="0"/>
              <w:snapToGrid w:val="0"/>
              <w:spacing w:before="0" w:beforeAutospacing="0" w:after="0" w:afterAutospacing="0"/>
              <w:jc w:val="center"/>
              <w:rPr>
                <w:rFonts w:hint="default" w:ascii="Times New Roman" w:hAnsi="Times New Roman" w:eastAsia="宋体" w:cs="等线"/>
                <w:kern w:val="0"/>
                <w:sz w:val="24"/>
                <w:szCs w:val="22"/>
                <w:lang w:val="en-US" w:eastAsia="zh-CN" w:bidi="ar-SA"/>
              </w:rPr>
            </w:pPr>
          </w:p>
        </w:tc>
      </w:tr>
      <w:tr w14:paraId="26EE5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282" w:type="pct"/>
            <w:shd w:val="clear" w:color="auto" w:fill="auto"/>
            <w:vAlign w:val="center"/>
          </w:tcPr>
          <w:p w14:paraId="26EE599A">
            <w:pPr>
              <w:pStyle w:val="14"/>
              <w:adjustRightInd w:val="0"/>
              <w:snapToGrid w:val="0"/>
              <w:spacing w:before="0" w:beforeAutospacing="0" w:after="0" w:afterAutospacing="0"/>
              <w:jc w:val="center"/>
              <w:rPr>
                <w:rFonts w:ascii="Times New Roman" w:hAnsi="Times New Roman" w:eastAsia="仿宋" w:cs="等线"/>
                <w:kern w:val="0"/>
                <w:sz w:val="24"/>
                <w:szCs w:val="24"/>
                <w:lang w:val="en-US" w:eastAsia="zh-CN" w:bidi="ar-SA"/>
              </w:rPr>
            </w:pPr>
            <w:r>
              <w:rPr>
                <w:rFonts w:hint="eastAsia" w:ascii="Times New Roman" w:hAnsi="Times New Roman" w:eastAsia="仿宋"/>
              </w:rPr>
              <w:t>5</w:t>
            </w:r>
          </w:p>
        </w:tc>
        <w:tc>
          <w:tcPr>
            <w:tcW w:w="843" w:type="pct"/>
            <w:vAlign w:val="center"/>
          </w:tcPr>
          <w:p w14:paraId="26EE599B">
            <w:pPr>
              <w:pStyle w:val="14"/>
              <w:adjustRightInd w:val="0"/>
              <w:snapToGrid w:val="0"/>
              <w:spacing w:before="0" w:beforeAutospacing="0" w:after="0" w:afterAutospacing="0"/>
              <w:jc w:val="both"/>
              <w:rPr>
                <w:rFonts w:ascii="Times New Roman" w:hAnsi="Times New Roman" w:eastAsia="仿宋"/>
              </w:rPr>
            </w:pPr>
            <w:r>
              <w:rPr>
                <w:rFonts w:ascii="Times New Roman" w:hAnsi="Times New Roman" w:eastAsia="仿宋"/>
                <w:b/>
              </w:rPr>
              <w:t>里程碑</w:t>
            </w:r>
            <w:r>
              <w:rPr>
                <w:rFonts w:hint="eastAsia" w:ascii="Times New Roman" w:hAnsi="Times New Roman" w:eastAsia="仿宋"/>
                <w:b/>
                <w:lang w:val="en-US" w:eastAsia="zh-CN"/>
              </w:rPr>
              <w:t>5</w:t>
            </w:r>
            <w:r>
              <w:rPr>
                <w:rFonts w:ascii="Times New Roman" w:hAnsi="Times New Roman" w:eastAsia="仿宋"/>
                <w:b/>
              </w:rPr>
              <w:t>：</w:t>
            </w:r>
            <w:r>
              <w:rPr>
                <w:rFonts w:hint="eastAsia" w:ascii="Times New Roman" w:hAnsi="Times New Roman" w:eastAsia="仿宋"/>
                <w:color w:val="000000"/>
                <w:lang w:val="en-US" w:eastAsia="zh-CN" w:bidi="ar"/>
              </w:rPr>
              <w:t>原型平台开发</w:t>
            </w:r>
            <w:r>
              <w:rPr>
                <w:rFonts w:hint="eastAsia" w:ascii="Times New Roman" w:hAnsi="Times New Roman" w:eastAsia="仿宋"/>
                <w:color w:val="000000"/>
                <w:lang w:bidi="ar"/>
              </w:rPr>
              <w:t>技术服务</w:t>
            </w:r>
          </w:p>
        </w:tc>
        <w:tc>
          <w:tcPr>
            <w:tcW w:w="1701" w:type="pct"/>
            <w:vAlign w:val="center"/>
          </w:tcPr>
          <w:p w14:paraId="26EE599C">
            <w:pPr>
              <w:pStyle w:val="14"/>
              <w:adjustRightInd w:val="0"/>
              <w:snapToGrid w:val="0"/>
              <w:spacing w:before="0" w:beforeAutospacing="0" w:after="0" w:afterAutospacing="0"/>
              <w:jc w:val="both"/>
              <w:rPr>
                <w:rFonts w:ascii="Times New Roman" w:hAnsi="Times New Roman" w:eastAsia="仿宋"/>
                <w:lang w:bidi="ar"/>
              </w:rPr>
            </w:pPr>
            <w:r>
              <w:rPr>
                <w:rFonts w:hint="eastAsia" w:ascii="Times New Roman" w:hAnsi="Times New Roman" w:eastAsia="仿宋"/>
                <w:lang w:bidi="ar"/>
              </w:rPr>
              <w:t>InSAR风险监测预警原型平台</w:t>
            </w:r>
            <w:r>
              <w:rPr>
                <w:rFonts w:hint="eastAsia" w:ascii="Times New Roman" w:hAnsi="Times New Roman" w:eastAsia="仿宋"/>
                <w:lang w:val="en-US" w:eastAsia="zh-CN" w:bidi="ar"/>
              </w:rPr>
              <w:t>开发</w:t>
            </w:r>
            <w:r>
              <w:rPr>
                <w:rFonts w:hint="eastAsia" w:ascii="Times New Roman" w:hAnsi="Times New Roman" w:eastAsia="仿宋"/>
                <w:lang w:bidi="ar"/>
              </w:rPr>
              <w:t>，具备多源数据管理、InSAR形变监测、风险智能识别与综合评估等功能</w:t>
            </w:r>
            <w:r>
              <w:rPr>
                <w:rFonts w:hint="eastAsia" w:ascii="Times New Roman" w:hAnsi="Times New Roman" w:eastAsia="仿宋"/>
                <w:lang w:eastAsia="zh-CN" w:bidi="ar"/>
              </w:rPr>
              <w:t>；平台内置动态阈值学习与误报过滤机制，根据实际反馈调整预警灵敏度，确保有效提醒率达标、无效提醒率可控</w:t>
            </w:r>
            <w:r>
              <w:rPr>
                <w:rFonts w:hint="eastAsia" w:ascii="Times New Roman" w:hAnsi="Times New Roman" w:eastAsia="仿宋"/>
                <w:lang w:bidi="ar"/>
              </w:rPr>
              <w:t>。</w:t>
            </w:r>
          </w:p>
        </w:tc>
        <w:tc>
          <w:tcPr>
            <w:tcW w:w="277" w:type="pct"/>
            <w:vAlign w:val="center"/>
          </w:tcPr>
          <w:p w14:paraId="26EE599D">
            <w:pPr>
              <w:pStyle w:val="14"/>
              <w:adjustRightInd w:val="0"/>
              <w:snapToGrid w:val="0"/>
              <w:spacing w:before="0" w:beforeAutospacing="0" w:after="0" w:afterAutospacing="0"/>
              <w:jc w:val="center"/>
              <w:rPr>
                <w:rFonts w:ascii="Times New Roman" w:hAnsi="Times New Roman" w:eastAsia="仿宋"/>
              </w:rPr>
            </w:pPr>
            <w:r>
              <w:rPr>
                <w:rFonts w:hint="eastAsia" w:ascii="Times New Roman" w:hAnsi="Times New Roman" w:eastAsia="仿宋"/>
              </w:rPr>
              <w:t>套</w:t>
            </w:r>
          </w:p>
        </w:tc>
        <w:tc>
          <w:tcPr>
            <w:tcW w:w="253" w:type="pct"/>
            <w:vAlign w:val="center"/>
          </w:tcPr>
          <w:p w14:paraId="26EE599E">
            <w:pPr>
              <w:pStyle w:val="14"/>
              <w:adjustRightInd w:val="0"/>
              <w:snapToGrid w:val="0"/>
              <w:spacing w:before="0" w:beforeAutospacing="0" w:after="0" w:afterAutospacing="0"/>
              <w:jc w:val="center"/>
              <w:rPr>
                <w:rFonts w:ascii="Times New Roman" w:hAnsi="Times New Roman" w:eastAsia="仿宋"/>
              </w:rPr>
            </w:pPr>
            <w:r>
              <w:rPr>
                <w:rFonts w:hint="eastAsia" w:ascii="Times New Roman" w:hAnsi="Times New Roman" w:eastAsia="仿宋"/>
              </w:rPr>
              <w:t>1</w:t>
            </w:r>
          </w:p>
        </w:tc>
        <w:tc>
          <w:tcPr>
            <w:tcW w:w="646" w:type="pct"/>
            <w:shd w:val="clear" w:color="auto" w:fill="auto"/>
            <w:vAlign w:val="center"/>
          </w:tcPr>
          <w:p w14:paraId="26EE599F">
            <w:pPr>
              <w:pStyle w:val="14"/>
              <w:adjustRightInd w:val="0"/>
              <w:snapToGrid w:val="0"/>
              <w:spacing w:before="0" w:beforeAutospacing="0" w:after="0" w:afterAutospacing="0"/>
              <w:jc w:val="center"/>
              <w:rPr>
                <w:rFonts w:hint="default" w:ascii="Times New Roman" w:hAnsi="Times New Roman" w:eastAsia="仿宋" w:cs="等线"/>
                <w:kern w:val="0"/>
                <w:sz w:val="24"/>
                <w:szCs w:val="24"/>
                <w:lang w:val="en-US" w:eastAsia="zh-CN" w:bidi="ar-SA"/>
              </w:rPr>
            </w:pPr>
            <w:r>
              <w:rPr>
                <w:rFonts w:hint="eastAsia" w:ascii="Times New Roman" w:hAnsi="Times New Roman" w:eastAsia="仿宋"/>
                <w:lang w:val="en-US" w:eastAsia="zh-CN"/>
              </w:rPr>
              <w:t xml:space="preserve"> </w:t>
            </w:r>
          </w:p>
        </w:tc>
        <w:tc>
          <w:tcPr>
            <w:tcW w:w="471" w:type="pct"/>
            <w:shd w:val="clear" w:color="auto" w:fill="auto"/>
            <w:vAlign w:val="center"/>
          </w:tcPr>
          <w:p w14:paraId="26EE59A0">
            <w:pPr>
              <w:pStyle w:val="14"/>
              <w:adjustRightInd w:val="0"/>
              <w:snapToGrid w:val="0"/>
              <w:spacing w:before="0" w:beforeAutospacing="0" w:after="0" w:afterAutospacing="0"/>
              <w:jc w:val="center"/>
              <w:rPr>
                <w:rFonts w:hint="default" w:ascii="Times New Roman" w:hAnsi="Times New Roman" w:eastAsia="仿宋" w:cs="等线"/>
                <w:kern w:val="0"/>
                <w:sz w:val="24"/>
                <w:szCs w:val="24"/>
                <w:lang w:val="en-US" w:eastAsia="zh-CN" w:bidi="ar-SA"/>
              </w:rPr>
            </w:pPr>
          </w:p>
        </w:tc>
        <w:tc>
          <w:tcPr>
            <w:tcW w:w="522" w:type="pct"/>
            <w:shd w:val="clear" w:color="auto" w:fill="auto"/>
            <w:vAlign w:val="center"/>
          </w:tcPr>
          <w:p w14:paraId="26EE59A1">
            <w:pPr>
              <w:pStyle w:val="14"/>
              <w:adjustRightInd w:val="0"/>
              <w:snapToGrid w:val="0"/>
              <w:spacing w:before="0" w:beforeAutospacing="0" w:after="0" w:afterAutospacing="0"/>
              <w:jc w:val="center"/>
              <w:rPr>
                <w:rFonts w:hint="default" w:ascii="Times New Roman" w:hAnsi="Times New Roman" w:eastAsia="仿宋" w:cs="等线"/>
                <w:kern w:val="0"/>
                <w:sz w:val="24"/>
                <w:szCs w:val="24"/>
                <w:lang w:val="en-US" w:eastAsia="zh-CN" w:bidi="ar-SA"/>
              </w:rPr>
            </w:pPr>
          </w:p>
        </w:tc>
      </w:tr>
      <w:tr w14:paraId="7B97A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282" w:type="pct"/>
            <w:vAlign w:val="center"/>
          </w:tcPr>
          <w:p w14:paraId="754B338C">
            <w:pPr>
              <w:pStyle w:val="14"/>
              <w:adjustRightInd w:val="0"/>
              <w:snapToGrid w:val="0"/>
              <w:spacing w:before="0" w:beforeAutospacing="0" w:after="0" w:afterAutospacing="0"/>
              <w:jc w:val="center"/>
              <w:rPr>
                <w:rFonts w:hint="eastAsia" w:ascii="Times New Roman" w:hAnsi="Times New Roman" w:eastAsia="仿宋"/>
                <w:lang w:val="en-US" w:eastAsia="zh-CN"/>
              </w:rPr>
            </w:pPr>
            <w:r>
              <w:rPr>
                <w:rFonts w:hint="eastAsia" w:ascii="Times New Roman" w:hAnsi="Times New Roman" w:eastAsia="仿宋"/>
                <w:lang w:val="en-US" w:eastAsia="zh-CN"/>
              </w:rPr>
              <w:t>6</w:t>
            </w:r>
          </w:p>
        </w:tc>
        <w:tc>
          <w:tcPr>
            <w:tcW w:w="843" w:type="pct"/>
            <w:vAlign w:val="center"/>
          </w:tcPr>
          <w:p w14:paraId="340D4CED">
            <w:pPr>
              <w:pStyle w:val="14"/>
              <w:adjustRightInd w:val="0"/>
              <w:snapToGrid w:val="0"/>
              <w:spacing w:before="0" w:beforeAutospacing="0" w:after="0" w:afterAutospacing="0"/>
              <w:jc w:val="both"/>
              <w:rPr>
                <w:rFonts w:hint="default" w:ascii="Times New Roman" w:hAnsi="Times New Roman" w:eastAsia="仿宋"/>
                <w:color w:val="000000"/>
                <w:lang w:val="en-US" w:eastAsia="zh-CN" w:bidi="ar"/>
              </w:rPr>
            </w:pPr>
            <w:r>
              <w:rPr>
                <w:rFonts w:ascii="Times New Roman" w:hAnsi="Times New Roman" w:eastAsia="仿宋"/>
                <w:b/>
              </w:rPr>
              <w:t>里程碑</w:t>
            </w:r>
            <w:r>
              <w:rPr>
                <w:rFonts w:hint="eastAsia" w:ascii="Times New Roman" w:hAnsi="Times New Roman" w:eastAsia="仿宋"/>
                <w:b/>
                <w:lang w:val="en-US" w:eastAsia="zh-CN"/>
              </w:rPr>
              <w:t>6</w:t>
            </w:r>
            <w:r>
              <w:rPr>
                <w:rFonts w:ascii="Times New Roman" w:hAnsi="Times New Roman" w:eastAsia="仿宋"/>
                <w:b/>
              </w:rPr>
              <w:t>：</w:t>
            </w:r>
            <w:r>
              <w:rPr>
                <w:rFonts w:hint="eastAsia" w:ascii="Times New Roman" w:hAnsi="Times New Roman" w:eastAsia="仿宋"/>
                <w:color w:val="000000"/>
                <w:lang w:val="en-US" w:eastAsia="zh-CN" w:bidi="ar"/>
              </w:rPr>
              <w:t>成果报告编制</w:t>
            </w:r>
          </w:p>
        </w:tc>
        <w:tc>
          <w:tcPr>
            <w:tcW w:w="1701" w:type="pct"/>
            <w:vAlign w:val="center"/>
          </w:tcPr>
          <w:p w14:paraId="5B75F892">
            <w:pPr>
              <w:pStyle w:val="14"/>
              <w:adjustRightInd w:val="0"/>
              <w:snapToGrid w:val="0"/>
              <w:spacing w:before="0" w:beforeAutospacing="0" w:after="0" w:afterAutospacing="0"/>
              <w:jc w:val="both"/>
              <w:rPr>
                <w:rFonts w:hint="default" w:ascii="Times New Roman" w:hAnsi="Times New Roman" w:eastAsia="仿宋"/>
                <w:lang w:val="en-US" w:eastAsia="zh-CN" w:bidi="ar"/>
              </w:rPr>
            </w:pPr>
            <w:r>
              <w:rPr>
                <w:rFonts w:hint="eastAsia" w:ascii="Times New Roman" w:hAnsi="Times New Roman" w:eastAsia="仿宋"/>
                <w:lang w:bidi="ar"/>
              </w:rPr>
              <w:t>矢量数据“.shp”格式。文档，电子版（docx格式）/纸质版。开展内业数据编辑整理及报告编制。报告提供道路结构物形变情况和风险分级结果等信息，便于相关部门分析和决策。成果可选择以电子版（docx格式）或纸质版形式提供（含打印费）。月度报告，</w:t>
            </w:r>
            <w:r>
              <w:rPr>
                <w:rFonts w:hint="eastAsia" w:ascii="Times New Roman" w:hAnsi="Times New Roman" w:eastAsia="仿宋"/>
                <w:lang w:val="en-US" w:eastAsia="zh-CN" w:bidi="ar"/>
              </w:rPr>
              <w:t>2026年</w:t>
            </w:r>
            <w:r>
              <w:rPr>
                <w:rFonts w:hint="eastAsia" w:ascii="Times New Roman" w:hAnsi="Times New Roman" w:eastAsia="仿宋"/>
                <w:lang w:bidi="ar"/>
              </w:rPr>
              <w:t>6</w:t>
            </w:r>
            <w:r>
              <w:rPr>
                <w:rFonts w:hint="eastAsia" w:ascii="Times New Roman" w:hAnsi="Times New Roman" w:eastAsia="仿宋"/>
                <w:lang w:val="en-US" w:eastAsia="zh-CN" w:bidi="ar"/>
              </w:rPr>
              <w:t>~</w:t>
            </w:r>
            <w:r>
              <w:rPr>
                <w:rFonts w:hint="eastAsia" w:ascii="Times New Roman" w:hAnsi="Times New Roman" w:eastAsia="仿宋"/>
                <w:lang w:bidi="ar"/>
              </w:rPr>
              <w:t>12月每月提供</w:t>
            </w:r>
            <w:r>
              <w:rPr>
                <w:rFonts w:hint="eastAsia" w:ascii="Times New Roman" w:hAnsi="Times New Roman" w:eastAsia="仿宋"/>
                <w:lang w:val="en-US" w:eastAsia="zh-CN" w:bidi="ar"/>
              </w:rPr>
              <w:t>1期，</w:t>
            </w:r>
            <w:r>
              <w:rPr>
                <w:rFonts w:hint="eastAsia" w:ascii="Times New Roman" w:hAnsi="Times New Roman" w:eastAsia="仿宋"/>
                <w:lang w:bidi="ar"/>
              </w:rPr>
              <w:t>共7期，年度提供年度总结报告1份。</w:t>
            </w:r>
          </w:p>
        </w:tc>
        <w:tc>
          <w:tcPr>
            <w:tcW w:w="277" w:type="pct"/>
            <w:vAlign w:val="center"/>
          </w:tcPr>
          <w:p w14:paraId="27A092E1">
            <w:pPr>
              <w:pStyle w:val="14"/>
              <w:adjustRightInd w:val="0"/>
              <w:snapToGrid w:val="0"/>
              <w:spacing w:before="0" w:beforeAutospacing="0" w:after="0" w:afterAutospacing="0"/>
              <w:jc w:val="center"/>
              <w:rPr>
                <w:rFonts w:hint="eastAsia" w:ascii="Times New Roman" w:hAnsi="Times New Roman" w:eastAsia="仿宋"/>
                <w:lang w:eastAsia="zh-CN"/>
              </w:rPr>
            </w:pPr>
            <w:r>
              <w:rPr>
                <w:rFonts w:hint="eastAsia" w:ascii="Times New Roman" w:hAnsi="Times New Roman" w:eastAsia="仿宋"/>
                <w:lang w:val="en-US" w:eastAsia="zh-CN"/>
              </w:rPr>
              <w:t>项</w:t>
            </w:r>
          </w:p>
        </w:tc>
        <w:tc>
          <w:tcPr>
            <w:tcW w:w="253" w:type="pct"/>
            <w:vAlign w:val="center"/>
          </w:tcPr>
          <w:p w14:paraId="7B65C082">
            <w:pPr>
              <w:pStyle w:val="14"/>
              <w:adjustRightInd w:val="0"/>
              <w:snapToGrid w:val="0"/>
              <w:spacing w:before="0" w:beforeAutospacing="0" w:after="0" w:afterAutospacing="0"/>
              <w:jc w:val="center"/>
              <w:rPr>
                <w:rFonts w:ascii="Times New Roman" w:hAnsi="Times New Roman" w:eastAsia="仿宋"/>
              </w:rPr>
            </w:pPr>
            <w:r>
              <w:rPr>
                <w:rFonts w:hint="eastAsia" w:ascii="Times New Roman" w:hAnsi="Times New Roman" w:eastAsia="仿宋"/>
              </w:rPr>
              <w:t>1</w:t>
            </w:r>
          </w:p>
        </w:tc>
        <w:tc>
          <w:tcPr>
            <w:tcW w:w="646" w:type="pct"/>
            <w:shd w:val="clear" w:color="auto" w:fill="auto"/>
            <w:vAlign w:val="center"/>
          </w:tcPr>
          <w:p w14:paraId="7D534707">
            <w:pPr>
              <w:pStyle w:val="14"/>
              <w:adjustRightInd w:val="0"/>
              <w:snapToGrid w:val="0"/>
              <w:spacing w:before="0" w:beforeAutospacing="0" w:after="0" w:afterAutospacing="0"/>
              <w:jc w:val="center"/>
              <w:rPr>
                <w:rFonts w:hint="default" w:ascii="Times New Roman" w:hAnsi="Times New Roman" w:eastAsia="仿宋" w:cs="等线"/>
                <w:kern w:val="0"/>
                <w:sz w:val="24"/>
                <w:szCs w:val="24"/>
                <w:lang w:val="en-US" w:eastAsia="zh-CN" w:bidi="ar-SA"/>
              </w:rPr>
            </w:pPr>
            <w:r>
              <w:rPr>
                <w:rFonts w:hint="eastAsia" w:ascii="Times New Roman" w:hAnsi="Times New Roman" w:eastAsia="仿宋"/>
                <w:lang w:val="en-US" w:eastAsia="zh-CN"/>
              </w:rPr>
              <w:t xml:space="preserve"> </w:t>
            </w:r>
          </w:p>
        </w:tc>
        <w:tc>
          <w:tcPr>
            <w:tcW w:w="471" w:type="pct"/>
            <w:shd w:val="clear" w:color="auto" w:fill="auto"/>
            <w:vAlign w:val="center"/>
          </w:tcPr>
          <w:p w14:paraId="4DEDE129">
            <w:pPr>
              <w:pStyle w:val="14"/>
              <w:adjustRightInd w:val="0"/>
              <w:snapToGrid w:val="0"/>
              <w:spacing w:before="0" w:beforeAutospacing="0" w:after="0" w:afterAutospacing="0"/>
              <w:jc w:val="center"/>
              <w:rPr>
                <w:rFonts w:hint="default" w:ascii="Times New Roman" w:hAnsi="Times New Roman" w:eastAsia="仿宋" w:cs="等线"/>
                <w:kern w:val="0"/>
                <w:sz w:val="24"/>
                <w:szCs w:val="24"/>
                <w:lang w:val="en-US" w:eastAsia="zh-CN" w:bidi="ar-SA"/>
              </w:rPr>
            </w:pPr>
          </w:p>
        </w:tc>
        <w:tc>
          <w:tcPr>
            <w:tcW w:w="522" w:type="pct"/>
            <w:shd w:val="clear" w:color="auto" w:fill="auto"/>
            <w:vAlign w:val="center"/>
          </w:tcPr>
          <w:p w14:paraId="12CFF967">
            <w:pPr>
              <w:pStyle w:val="14"/>
              <w:adjustRightInd w:val="0"/>
              <w:snapToGrid w:val="0"/>
              <w:spacing w:before="0" w:beforeAutospacing="0" w:after="0" w:afterAutospacing="0"/>
              <w:jc w:val="center"/>
              <w:rPr>
                <w:rFonts w:hint="default" w:ascii="Times New Roman" w:hAnsi="Times New Roman" w:eastAsia="仿宋" w:cs="等线"/>
                <w:kern w:val="0"/>
                <w:sz w:val="24"/>
                <w:szCs w:val="24"/>
                <w:lang w:val="en-US" w:eastAsia="zh-CN" w:bidi="ar-SA"/>
              </w:rPr>
            </w:pPr>
          </w:p>
        </w:tc>
      </w:tr>
      <w:tr w14:paraId="21BC1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jc w:val="center"/>
        </w:trPr>
        <w:tc>
          <w:tcPr>
            <w:tcW w:w="282" w:type="pct"/>
            <w:vAlign w:val="center"/>
          </w:tcPr>
          <w:p w14:paraId="74456A80">
            <w:pPr>
              <w:pStyle w:val="14"/>
              <w:adjustRightInd w:val="0"/>
              <w:snapToGrid w:val="0"/>
              <w:spacing w:before="0" w:beforeAutospacing="0" w:after="0" w:afterAutospacing="0"/>
              <w:jc w:val="center"/>
              <w:rPr>
                <w:rFonts w:hint="default" w:ascii="Times New Roman" w:hAnsi="Times New Roman" w:eastAsia="仿宋"/>
                <w:lang w:val="en-US" w:eastAsia="zh-CN"/>
              </w:rPr>
            </w:pPr>
            <w:r>
              <w:rPr>
                <w:rFonts w:hint="eastAsia" w:ascii="Times New Roman" w:hAnsi="Times New Roman" w:eastAsia="仿宋"/>
                <w:lang w:val="en-US" w:eastAsia="zh-CN"/>
              </w:rPr>
              <w:t>7</w:t>
            </w:r>
          </w:p>
        </w:tc>
        <w:tc>
          <w:tcPr>
            <w:tcW w:w="843" w:type="pct"/>
            <w:vAlign w:val="center"/>
          </w:tcPr>
          <w:p w14:paraId="4E3260D9">
            <w:pPr>
              <w:pStyle w:val="14"/>
              <w:adjustRightInd w:val="0"/>
              <w:snapToGrid w:val="0"/>
              <w:spacing w:before="0" w:beforeAutospacing="0" w:after="0" w:afterAutospacing="0"/>
              <w:jc w:val="both"/>
              <w:rPr>
                <w:rFonts w:ascii="Times New Roman" w:hAnsi="Times New Roman" w:eastAsia="仿宋"/>
                <w:b/>
              </w:rPr>
            </w:pPr>
            <w:r>
              <w:rPr>
                <w:rFonts w:ascii="Times New Roman" w:hAnsi="Times New Roman" w:eastAsia="仿宋"/>
                <w:b/>
              </w:rPr>
              <w:t>里程碑</w:t>
            </w:r>
            <w:r>
              <w:rPr>
                <w:rFonts w:hint="eastAsia" w:ascii="Times New Roman" w:hAnsi="Times New Roman" w:eastAsia="仿宋"/>
                <w:b/>
                <w:lang w:val="en-US" w:eastAsia="zh-CN"/>
              </w:rPr>
              <w:t>7</w:t>
            </w:r>
            <w:r>
              <w:rPr>
                <w:rFonts w:ascii="Times New Roman" w:hAnsi="Times New Roman" w:eastAsia="仿宋"/>
                <w:b/>
              </w:rPr>
              <w:t>：</w:t>
            </w:r>
            <w:r>
              <w:rPr>
                <w:rFonts w:hint="eastAsia" w:ascii="Times New Roman" w:hAnsi="Times New Roman" w:eastAsia="仿宋"/>
                <w:color w:val="000000"/>
                <w:lang w:val="en-US" w:eastAsia="zh-CN" w:bidi="ar"/>
              </w:rPr>
              <w:t>平台/</w:t>
            </w:r>
            <w:r>
              <w:rPr>
                <w:rFonts w:hint="eastAsia" w:ascii="Times New Roman" w:hAnsi="Times New Roman" w:eastAsia="仿宋"/>
                <w:lang w:val="en-US" w:eastAsia="zh-CN"/>
              </w:rPr>
              <w:t>模型</w:t>
            </w:r>
            <w:r>
              <w:rPr>
                <w:rFonts w:hint="eastAsia" w:ascii="Times New Roman" w:hAnsi="Times New Roman" w:eastAsia="仿宋"/>
                <w:color w:val="000000"/>
                <w:lang w:val="en-US" w:eastAsia="zh-CN" w:bidi="ar"/>
              </w:rPr>
              <w:t>稳定运行6个月</w:t>
            </w:r>
          </w:p>
        </w:tc>
        <w:tc>
          <w:tcPr>
            <w:tcW w:w="1701" w:type="pct"/>
            <w:vAlign w:val="center"/>
          </w:tcPr>
          <w:p w14:paraId="36E6155B">
            <w:pPr>
              <w:pStyle w:val="14"/>
              <w:adjustRightInd w:val="0"/>
              <w:snapToGrid w:val="0"/>
              <w:spacing w:before="0" w:beforeAutospacing="0" w:after="0" w:afterAutospacing="0"/>
              <w:jc w:val="both"/>
              <w:rPr>
                <w:rFonts w:hint="eastAsia" w:ascii="Times New Roman" w:hAnsi="Times New Roman" w:eastAsia="仿宋"/>
                <w:lang w:val="en-US" w:eastAsia="zh-CN" w:bidi="ar"/>
              </w:rPr>
            </w:pPr>
            <w:r>
              <w:rPr>
                <w:rFonts w:hint="eastAsia" w:ascii="Times New Roman" w:hAnsi="Times New Roman" w:eastAsia="仿宋"/>
                <w:lang w:val="en-US" w:eastAsia="zh-CN" w:bidi="ar"/>
              </w:rPr>
              <w:t>平台/</w:t>
            </w:r>
            <w:r>
              <w:rPr>
                <w:rFonts w:hint="eastAsia" w:ascii="Times New Roman" w:hAnsi="Times New Roman" w:eastAsia="仿宋"/>
                <w:lang w:val="en-US" w:eastAsia="zh-CN"/>
              </w:rPr>
              <w:t>模型</w:t>
            </w:r>
            <w:r>
              <w:rPr>
                <w:rFonts w:hint="eastAsia" w:ascii="Times New Roman" w:hAnsi="Times New Roman" w:eastAsia="仿宋"/>
                <w:lang w:val="en-US" w:eastAsia="zh-CN" w:bidi="ar"/>
              </w:rPr>
              <w:t>稳定运行6个月。</w:t>
            </w:r>
          </w:p>
        </w:tc>
        <w:tc>
          <w:tcPr>
            <w:tcW w:w="277" w:type="pct"/>
            <w:shd w:val="clear" w:color="auto" w:fill="auto"/>
            <w:vAlign w:val="center"/>
          </w:tcPr>
          <w:p w14:paraId="0A7F7D0E">
            <w:pPr>
              <w:pStyle w:val="14"/>
              <w:adjustRightInd w:val="0"/>
              <w:snapToGrid w:val="0"/>
              <w:spacing w:before="0" w:beforeAutospacing="0" w:after="0" w:afterAutospacing="0"/>
              <w:jc w:val="center"/>
              <w:rPr>
                <w:rFonts w:hint="eastAsia" w:ascii="Times New Roman" w:hAnsi="Times New Roman" w:eastAsia="仿宋" w:cs="等线"/>
                <w:kern w:val="0"/>
                <w:sz w:val="24"/>
                <w:szCs w:val="24"/>
                <w:lang w:val="en-US" w:eastAsia="zh-CN" w:bidi="ar-SA"/>
              </w:rPr>
            </w:pPr>
            <w:r>
              <w:rPr>
                <w:rFonts w:hint="eastAsia" w:ascii="Times New Roman" w:hAnsi="Times New Roman" w:eastAsia="仿宋"/>
                <w:lang w:val="en-US" w:eastAsia="zh-CN"/>
              </w:rPr>
              <w:t>项</w:t>
            </w:r>
          </w:p>
        </w:tc>
        <w:tc>
          <w:tcPr>
            <w:tcW w:w="253" w:type="pct"/>
            <w:shd w:val="clear" w:color="auto" w:fill="auto"/>
            <w:vAlign w:val="center"/>
          </w:tcPr>
          <w:p w14:paraId="1FEF04A7">
            <w:pPr>
              <w:pStyle w:val="14"/>
              <w:adjustRightInd w:val="0"/>
              <w:snapToGrid w:val="0"/>
              <w:spacing w:before="0" w:beforeAutospacing="0" w:after="0" w:afterAutospacing="0"/>
              <w:jc w:val="center"/>
              <w:rPr>
                <w:rFonts w:hint="eastAsia" w:ascii="Times New Roman" w:hAnsi="Times New Roman" w:eastAsia="仿宋" w:cs="等线"/>
                <w:kern w:val="0"/>
                <w:sz w:val="24"/>
                <w:szCs w:val="24"/>
                <w:lang w:val="en-US" w:eastAsia="zh-CN" w:bidi="ar-SA"/>
              </w:rPr>
            </w:pPr>
            <w:r>
              <w:rPr>
                <w:rFonts w:hint="eastAsia" w:ascii="Times New Roman" w:hAnsi="Times New Roman" w:eastAsia="仿宋"/>
              </w:rPr>
              <w:t>1</w:t>
            </w:r>
          </w:p>
        </w:tc>
        <w:tc>
          <w:tcPr>
            <w:tcW w:w="646" w:type="pct"/>
            <w:vAlign w:val="center"/>
          </w:tcPr>
          <w:p w14:paraId="4D9570EB">
            <w:pPr>
              <w:pStyle w:val="14"/>
              <w:adjustRightInd w:val="0"/>
              <w:snapToGrid w:val="0"/>
              <w:spacing w:before="0" w:beforeAutospacing="0" w:after="0" w:afterAutospacing="0"/>
              <w:jc w:val="center"/>
              <w:rPr>
                <w:rFonts w:hint="default" w:ascii="Times New Roman" w:hAnsi="Times New Roman" w:eastAsia="仿宋"/>
                <w:lang w:val="en-US" w:eastAsia="zh-CN"/>
              </w:rPr>
            </w:pPr>
            <w:r>
              <w:rPr>
                <w:rFonts w:hint="eastAsia" w:ascii="Times New Roman" w:hAnsi="Times New Roman" w:eastAsia="仿宋"/>
                <w:lang w:val="en-US" w:eastAsia="zh-CN"/>
              </w:rPr>
              <w:t xml:space="preserve"> </w:t>
            </w:r>
          </w:p>
        </w:tc>
        <w:tc>
          <w:tcPr>
            <w:tcW w:w="471" w:type="pct"/>
            <w:vAlign w:val="center"/>
          </w:tcPr>
          <w:p w14:paraId="3A2F0453">
            <w:pPr>
              <w:adjustRightInd w:val="0"/>
              <w:snapToGrid w:val="0"/>
              <w:spacing w:before="0" w:beforeAutospacing="0" w:after="0" w:afterAutospacing="0"/>
              <w:jc w:val="center"/>
              <w:rPr>
                <w:rFonts w:hint="default" w:ascii="Times New Roman" w:hAnsi="Times New Roman" w:eastAsia="仿宋"/>
                <w:lang w:val="en-US"/>
              </w:rPr>
            </w:pPr>
          </w:p>
        </w:tc>
        <w:tc>
          <w:tcPr>
            <w:tcW w:w="522" w:type="pct"/>
            <w:vAlign w:val="center"/>
          </w:tcPr>
          <w:p w14:paraId="4B739EB0">
            <w:pPr>
              <w:adjustRightInd w:val="0"/>
              <w:snapToGrid w:val="0"/>
              <w:spacing w:before="0" w:beforeAutospacing="0" w:after="0" w:afterAutospacing="0"/>
              <w:jc w:val="center"/>
              <w:rPr>
                <w:rFonts w:hint="default" w:ascii="Times New Roman" w:hAnsi="Times New Roman" w:eastAsia="仿宋"/>
                <w:lang w:val="en-US" w:eastAsia="zh-CN"/>
              </w:rPr>
            </w:pPr>
          </w:p>
        </w:tc>
      </w:tr>
      <w:tr w14:paraId="26EE5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jc w:val="center"/>
        </w:trPr>
        <w:tc>
          <w:tcPr>
            <w:tcW w:w="4477" w:type="pct"/>
            <w:gridSpan w:val="7"/>
            <w:vAlign w:val="center"/>
          </w:tcPr>
          <w:p w14:paraId="26EE59A3">
            <w:pPr>
              <w:pStyle w:val="14"/>
              <w:spacing w:before="0" w:beforeAutospacing="0" w:after="0" w:afterAutospacing="0" w:line="400" w:lineRule="exact"/>
              <w:jc w:val="center"/>
              <w:rPr>
                <w:rFonts w:ascii="Times New Roman" w:hAnsi="Times New Roman" w:eastAsia="仿宋"/>
              </w:rPr>
            </w:pPr>
            <w:r>
              <w:rPr>
                <w:rFonts w:hint="eastAsia" w:ascii="Times New Roman" w:hAnsi="Times New Roman" w:eastAsia="仿宋"/>
              </w:rPr>
              <w:t>合计：</w:t>
            </w:r>
          </w:p>
        </w:tc>
        <w:tc>
          <w:tcPr>
            <w:tcW w:w="522" w:type="pct"/>
            <w:vAlign w:val="center"/>
          </w:tcPr>
          <w:p w14:paraId="26EE59A4">
            <w:pPr>
              <w:pStyle w:val="14"/>
              <w:spacing w:before="0" w:beforeAutospacing="0" w:after="0" w:afterAutospacing="0" w:line="400" w:lineRule="exact"/>
              <w:jc w:val="center"/>
              <w:rPr>
                <w:rFonts w:hint="default" w:ascii="Times New Roman" w:hAnsi="Times New Roman" w:eastAsia="宋体"/>
                <w:szCs w:val="22"/>
                <w:lang w:val="en-US"/>
              </w:rPr>
            </w:pPr>
            <w:r>
              <w:rPr>
                <w:rFonts w:hint="eastAsia" w:ascii="Times New Roman" w:hAnsi="Times New Roman"/>
                <w:szCs w:val="22"/>
                <w:lang w:val="en-US" w:eastAsia="zh-CN"/>
              </w:rPr>
              <w:t xml:space="preserve">  </w:t>
            </w:r>
          </w:p>
        </w:tc>
      </w:tr>
    </w:tbl>
    <w:p w14:paraId="5BF9BF14">
      <w:pPr>
        <w:pStyle w:val="14"/>
        <w:spacing w:before="0" w:beforeAutospacing="0" w:after="0" w:afterAutospacing="0" w:line="400" w:lineRule="exact"/>
        <w:ind w:firstLine="480" w:firstLineChars="200"/>
        <w:jc w:val="both"/>
        <w:rPr>
          <w:rFonts w:ascii="Times New Roman" w:hAnsi="Times New Roman" w:eastAsia="仿宋"/>
        </w:rPr>
      </w:pPr>
    </w:p>
    <w:p w14:paraId="26EE59A8">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 xml:space="preserve">2.2 </w:t>
      </w:r>
      <w:r>
        <w:rPr>
          <w:rFonts w:hint="eastAsia" w:ascii="Times New Roman" w:hAnsi="Times New Roman" w:eastAsia="仿宋"/>
          <w:lang w:val="en-US" w:eastAsia="zh-CN"/>
        </w:rPr>
        <w:t>技术服务</w:t>
      </w:r>
      <w:r>
        <w:rPr>
          <w:rFonts w:ascii="Times New Roman" w:hAnsi="Times New Roman" w:eastAsia="仿宋"/>
        </w:rPr>
        <w:t>目标</w:t>
      </w:r>
    </w:p>
    <w:p w14:paraId="26EE59A9">
      <w:pPr>
        <w:pStyle w:val="14"/>
        <w:spacing w:before="0" w:beforeAutospacing="0" w:after="0" w:afterAutospacing="0" w:line="400" w:lineRule="exact"/>
        <w:ind w:firstLine="480" w:firstLineChars="200"/>
        <w:jc w:val="both"/>
        <w:rPr>
          <w:rFonts w:ascii="Times New Roman" w:hAnsi="Times New Roman" w:eastAsia="仿宋"/>
        </w:rPr>
      </w:pPr>
      <w:r>
        <w:rPr>
          <w:rFonts w:hint="eastAsia" w:ascii="Times New Roman" w:hAnsi="Times New Roman" w:eastAsia="仿宋"/>
          <w:lang w:val="en-US" w:eastAsia="zh-CN"/>
        </w:rPr>
        <w:t>平台/模型</w:t>
      </w:r>
      <w:r>
        <w:rPr>
          <w:rFonts w:ascii="Times New Roman" w:hAnsi="Times New Roman" w:eastAsia="仿宋"/>
        </w:rPr>
        <w:t>整体功能符合甲方所描述的经营和管理等要求，应达到正确性、效率、安全性、可靠性、开放性、实用性等的技术指标。</w:t>
      </w:r>
    </w:p>
    <w:p w14:paraId="26EE59AA">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 xml:space="preserve">2.3 </w:t>
      </w:r>
      <w:r>
        <w:rPr>
          <w:rFonts w:hint="eastAsia" w:ascii="Times New Roman" w:hAnsi="Times New Roman" w:eastAsia="仿宋"/>
          <w:lang w:val="en-US" w:eastAsia="zh-CN"/>
        </w:rPr>
        <w:t>技术服务</w:t>
      </w:r>
      <w:r>
        <w:rPr>
          <w:rFonts w:ascii="Times New Roman" w:hAnsi="Times New Roman" w:eastAsia="仿宋"/>
        </w:rPr>
        <w:t>交付进度和时间</w:t>
      </w:r>
    </w:p>
    <w:p w14:paraId="26EE59AB">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（1）本</w:t>
      </w:r>
      <w:r>
        <w:rPr>
          <w:rFonts w:hint="eastAsia" w:ascii="Times New Roman" w:hAnsi="Times New Roman" w:eastAsia="仿宋"/>
          <w:lang w:val="en-US" w:eastAsia="zh-CN"/>
        </w:rPr>
        <w:t>技术服务</w:t>
      </w:r>
      <w:r>
        <w:rPr>
          <w:rFonts w:ascii="Times New Roman" w:hAnsi="Times New Roman" w:eastAsia="仿宋"/>
        </w:rPr>
        <w:t>交付的时间为</w:t>
      </w:r>
      <w:r>
        <w:rPr>
          <w:rFonts w:ascii="Times New Roman" w:hAnsi="Times New Roman"/>
          <w:color w:val="000000"/>
          <w:u w:val="single"/>
        </w:rPr>
        <w:t>202</w:t>
      </w:r>
      <w:r>
        <w:rPr>
          <w:rFonts w:hint="eastAsia" w:ascii="Times New Roman" w:hAnsi="Times New Roman"/>
          <w:color w:val="000000"/>
          <w:u w:val="single"/>
          <w:lang w:val="en-US" w:eastAsia="zh-CN"/>
        </w:rPr>
        <w:t>6</w:t>
      </w:r>
      <w:r>
        <w:rPr>
          <w:rFonts w:ascii="Times New Roman" w:hAnsi="Times New Roman" w:eastAsia="仿宋"/>
        </w:rPr>
        <w:t>年</w:t>
      </w:r>
      <w:r>
        <w:rPr>
          <w:rFonts w:hint="eastAsia" w:ascii="Times New Roman" w:hAnsi="Times New Roman" w:eastAsia="仿宋"/>
          <w:u w:val="single"/>
          <w:lang w:val="en-US" w:eastAsia="zh-CN"/>
        </w:rPr>
        <w:t>12</w:t>
      </w:r>
      <w:r>
        <w:rPr>
          <w:rFonts w:ascii="Times New Roman" w:hAnsi="Times New Roman" w:eastAsia="仿宋"/>
        </w:rPr>
        <w:t>月</w:t>
      </w:r>
      <w:r>
        <w:rPr>
          <w:rFonts w:ascii="Times New Roman" w:hAnsi="Times New Roman"/>
          <w:color w:val="000000"/>
          <w:u w:val="single"/>
        </w:rPr>
        <w:t>3</w:t>
      </w:r>
      <w:r>
        <w:rPr>
          <w:rFonts w:hint="eastAsia" w:ascii="Times New Roman" w:hAnsi="Times New Roman"/>
          <w:color w:val="000000"/>
          <w:u w:val="single"/>
          <w:lang w:val="en-US" w:eastAsia="zh-CN"/>
        </w:rPr>
        <w:t>1</w:t>
      </w:r>
      <w:r>
        <w:rPr>
          <w:rFonts w:ascii="Times New Roman" w:hAnsi="Times New Roman" w:eastAsia="仿宋"/>
        </w:rPr>
        <w:t>日；</w:t>
      </w:r>
    </w:p>
    <w:p w14:paraId="26EE59AC">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（2）</w:t>
      </w:r>
      <w:r>
        <w:rPr>
          <w:rFonts w:hint="eastAsia" w:ascii="Times New Roman" w:hAnsi="Times New Roman" w:eastAsia="仿宋"/>
          <w:lang w:val="en-US" w:eastAsia="zh-CN"/>
        </w:rPr>
        <w:t>平台/模型技术服务</w:t>
      </w:r>
      <w:r>
        <w:rPr>
          <w:rFonts w:ascii="Times New Roman" w:hAnsi="Times New Roman" w:eastAsia="仿宋"/>
        </w:rPr>
        <w:t>分为</w:t>
      </w:r>
      <w:r>
        <w:rPr>
          <w:rFonts w:ascii="Times New Roman" w:hAnsi="Times New Roman"/>
          <w:color w:val="000000"/>
          <w:u w:val="single"/>
        </w:rPr>
        <w:t xml:space="preserve"> </w:t>
      </w:r>
      <w:r>
        <w:rPr>
          <w:rFonts w:hint="eastAsia" w:ascii="Times New Roman" w:hAnsi="Times New Roman"/>
          <w:color w:val="000000"/>
          <w:u w:val="single"/>
          <w:lang w:val="en-US" w:eastAsia="zh-CN"/>
        </w:rPr>
        <w:t>7</w:t>
      </w:r>
      <w:r>
        <w:rPr>
          <w:rFonts w:ascii="Times New Roman" w:hAnsi="Times New Roman"/>
          <w:color w:val="000000"/>
          <w:u w:val="single"/>
        </w:rPr>
        <w:t xml:space="preserve"> </w:t>
      </w:r>
      <w:r>
        <w:rPr>
          <w:rFonts w:ascii="Times New Roman" w:hAnsi="Times New Roman" w:eastAsia="仿宋"/>
        </w:rPr>
        <w:t>个里程碑阶段，每个里程碑阶段的项目完成后，均应该依据本合</w:t>
      </w:r>
      <w:r>
        <w:rPr>
          <w:rFonts w:hint="eastAsia" w:ascii="Times New Roman" w:hAnsi="Times New Roman" w:eastAsia="仿宋"/>
          <w:lang w:val="en-US" w:eastAsia="zh-CN"/>
        </w:rPr>
        <w:t>同附件三所列的检测标准进行检测和交付。甲方将按照本合同的第8 条规定进行付款。乙方开发平台/模型</w:t>
      </w:r>
      <w:r>
        <w:rPr>
          <w:rFonts w:ascii="Times New Roman" w:hAnsi="Times New Roman" w:eastAsia="仿宋"/>
        </w:rPr>
        <w:t>或引用的检测标准不得低于企业的标准。其具体规格、检测标准、阶段和进度、交付时间与地点、付款方式等见</w:t>
      </w:r>
      <w:r>
        <w:rPr>
          <w:rFonts w:hint="eastAsia" w:ascii="Times New Roman" w:hAnsi="Times New Roman" w:eastAsia="仿宋"/>
        </w:rPr>
        <w:t>本合同及</w:t>
      </w:r>
      <w:r>
        <w:rPr>
          <w:rFonts w:ascii="Times New Roman" w:hAnsi="Times New Roman" w:eastAsia="仿宋"/>
        </w:rPr>
        <w:t>附件。</w:t>
      </w:r>
    </w:p>
    <w:p w14:paraId="26EE59AD">
      <w:pPr>
        <w:tabs>
          <w:tab w:val="left" w:pos="2880"/>
          <w:tab w:val="left" w:pos="7020"/>
        </w:tabs>
        <w:spacing w:line="360" w:lineRule="auto"/>
        <w:ind w:right="178" w:rightChars="85" w:firstLine="482"/>
        <w:rPr>
          <w:rFonts w:hint="eastAsia" w:ascii="Times New Roman" w:hAnsi="Times New Roman" w:eastAsia="仿宋"/>
          <w:lang w:val="en-US" w:eastAsia="zh-CN"/>
        </w:rPr>
      </w:pPr>
      <w:r>
        <w:rPr>
          <w:rFonts w:ascii="Times New Roman" w:hAnsi="Times New Roman" w:eastAsia="仿宋"/>
          <w:b/>
          <w:bCs/>
          <w:kern w:val="0"/>
          <w:sz w:val="24"/>
        </w:rPr>
        <w:t xml:space="preserve">第3条 </w:t>
      </w:r>
      <w:r>
        <w:rPr>
          <w:rFonts w:hint="eastAsia" w:ascii="Times New Roman" w:hAnsi="Times New Roman" w:eastAsia="仿宋"/>
          <w:b/>
          <w:bCs/>
          <w:kern w:val="0"/>
          <w:sz w:val="24"/>
          <w:lang w:val="en-US" w:eastAsia="zh-CN"/>
        </w:rPr>
        <w:t>平台/模型</w:t>
      </w:r>
      <w:r>
        <w:rPr>
          <w:rFonts w:ascii="Times New Roman" w:hAnsi="Times New Roman" w:eastAsia="仿宋"/>
          <w:b/>
          <w:bCs/>
          <w:kern w:val="0"/>
          <w:sz w:val="24"/>
        </w:rPr>
        <w:t>开发</w:t>
      </w:r>
      <w:r>
        <w:rPr>
          <w:rFonts w:hint="eastAsia" w:ascii="Times New Roman" w:hAnsi="Times New Roman" w:eastAsia="仿宋"/>
          <w:b/>
          <w:bCs/>
          <w:kern w:val="0"/>
          <w:sz w:val="24"/>
          <w:lang w:val="en-US" w:eastAsia="zh-CN"/>
        </w:rPr>
        <w:t>服务</w:t>
      </w:r>
    </w:p>
    <w:p w14:paraId="26EE59AE">
      <w:pPr>
        <w:tabs>
          <w:tab w:val="left" w:pos="2880"/>
          <w:tab w:val="left" w:pos="7020"/>
        </w:tabs>
        <w:spacing w:line="360" w:lineRule="auto"/>
        <w:ind w:right="178" w:rightChars="85" w:firstLine="482"/>
        <w:rPr>
          <w:rFonts w:hint="eastAsia" w:ascii="Times New Roman" w:hAnsi="Times New Roman" w:eastAsia="仿宋"/>
          <w:sz w:val="24"/>
          <w:lang w:val="en-US" w:eastAsia="zh-CN"/>
        </w:rPr>
      </w:pPr>
      <w:r>
        <w:rPr>
          <w:rFonts w:ascii="Times New Roman" w:hAnsi="Times New Roman" w:eastAsia="仿宋"/>
          <w:sz w:val="24"/>
        </w:rPr>
        <w:t>3.1 开发</w:t>
      </w:r>
      <w:r>
        <w:rPr>
          <w:rFonts w:hint="eastAsia" w:ascii="Times New Roman" w:hAnsi="Times New Roman" w:eastAsia="仿宋"/>
          <w:sz w:val="24"/>
          <w:lang w:val="en-US" w:eastAsia="zh-CN"/>
        </w:rPr>
        <w:t>服务</w:t>
      </w:r>
    </w:p>
    <w:p w14:paraId="26EE59AF">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自本合同签订之日起，乙方应尽力履行其在开发计划中所规定的义务，按时完成并交付每一项里程碑，其质量标准应符合附件一的规定。</w:t>
      </w:r>
    </w:p>
    <w:p w14:paraId="26EE59B0">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3.2 转包或分包</w:t>
      </w:r>
    </w:p>
    <w:p w14:paraId="26EE59B1">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本合同项下的项目禁止转包和分包。</w:t>
      </w:r>
    </w:p>
    <w:p w14:paraId="26EE59B2">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3.3 项目管理（供选择）</w:t>
      </w:r>
    </w:p>
    <w:p w14:paraId="26EE59B3">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合同各方指派代表组成本</w:t>
      </w:r>
      <w:r>
        <w:rPr>
          <w:rFonts w:hint="eastAsia" w:ascii="Times New Roman" w:hAnsi="Times New Roman" w:eastAsia="仿宋"/>
          <w:lang w:val="en-US" w:eastAsia="zh-CN"/>
        </w:rPr>
        <w:t>项目</w:t>
      </w:r>
      <w:r>
        <w:rPr>
          <w:rFonts w:ascii="Times New Roman" w:hAnsi="Times New Roman" w:eastAsia="仿宋"/>
        </w:rPr>
        <w:t>开发管理小组，管理本</w:t>
      </w:r>
      <w:r>
        <w:rPr>
          <w:rFonts w:hint="eastAsia" w:ascii="Times New Roman" w:hAnsi="Times New Roman" w:eastAsia="仿宋"/>
          <w:lang w:val="en-US" w:eastAsia="zh-CN"/>
        </w:rPr>
        <w:t>项目平台/</w:t>
      </w:r>
      <w:r>
        <w:rPr>
          <w:rFonts w:hint="eastAsia" w:ascii="Times New Roman" w:hAnsi="Times New Roman" w:eastAsia="仿宋"/>
        </w:rPr>
        <w:t>模型</w:t>
      </w:r>
      <w:r>
        <w:rPr>
          <w:rFonts w:ascii="Times New Roman" w:hAnsi="Times New Roman" w:eastAsia="仿宋"/>
        </w:rPr>
        <w:t>的开发。管理小组成员名单和通讯方式见附件四。合同各方可以根据具体情况重新指定本方的管理小组的成员，但应当以书面方式通知另一方；如一方重新指定的小组成员涉及到本项目的重要方面，更换方应事先征得对方的书面同意。另一方应及时审查更换方提出的书面建议，双方在合理、善意、维护双方利益的基础上讨论更换事宜。</w:t>
      </w:r>
      <w:r>
        <w:rPr>
          <w:rFonts w:hint="eastAsia" w:ascii="Times New Roman" w:hAnsi="Times New Roman" w:eastAsia="仿宋"/>
        </w:rPr>
        <w:t>甲方有权在认为必要时，要求乙方更换不符合要求的项目管理小组成员，乙方应在【</w:t>
      </w:r>
      <w:r>
        <w:rPr>
          <w:rFonts w:ascii="Times New Roman" w:hAnsi="Times New Roman" w:eastAsia="仿宋"/>
        </w:rPr>
        <w:t>5</w:t>
      </w:r>
      <w:r>
        <w:rPr>
          <w:rFonts w:hint="eastAsia" w:ascii="Times New Roman" w:hAnsi="Times New Roman" w:eastAsia="仿宋"/>
        </w:rPr>
        <w:t>】个工作日内完成更换，并承担因更换导致的额外费用，若因乙方成员更换导致项目进度或质量受到影响，乙方应承担相应责任。</w:t>
      </w:r>
    </w:p>
    <w:p w14:paraId="26EE59B4">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3.4 信息与资料</w:t>
      </w:r>
    </w:p>
    <w:p w14:paraId="26EE59B5">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甲、乙双方应互相配合，充分沟通。乙方有权根据本合同的规定和项目需要，向甲方了解有关情况，调阅有关资料，向有关职能人员调查、了解甲方现有的相关数据和资料，以对该</w:t>
      </w:r>
      <w:r>
        <w:rPr>
          <w:rFonts w:hint="eastAsia" w:ascii="Times New Roman" w:hAnsi="Times New Roman" w:eastAsia="仿宋"/>
          <w:lang w:val="en-US" w:eastAsia="zh-CN"/>
        </w:rPr>
        <w:t>项目的平台/</w:t>
      </w:r>
      <w:r>
        <w:rPr>
          <w:rFonts w:hint="eastAsia" w:ascii="Times New Roman" w:hAnsi="Times New Roman" w:eastAsia="仿宋"/>
        </w:rPr>
        <w:t>模块</w:t>
      </w:r>
      <w:r>
        <w:rPr>
          <w:rFonts w:ascii="Times New Roman" w:hAnsi="Times New Roman" w:eastAsia="仿宋"/>
        </w:rPr>
        <w:t>进行全面的研究和设计。甲方应予以积极配合，向乙方提供有关信息与资料，特别是有关甲方对开发</w:t>
      </w:r>
      <w:r>
        <w:rPr>
          <w:rFonts w:hint="eastAsia" w:ascii="Times New Roman" w:hAnsi="Times New Roman" w:eastAsia="仿宋"/>
        </w:rPr>
        <w:t>模块</w:t>
      </w:r>
      <w:r>
        <w:rPr>
          <w:rFonts w:ascii="Times New Roman" w:hAnsi="Times New Roman" w:eastAsia="仿宋"/>
        </w:rPr>
        <w:t>的功能和目标需求方面的信息和资料。如甲方对乙方完成本合同所需的甲方所有的信息和资料不予提供，则由甲方承担不予提供的损害后果。</w:t>
      </w:r>
    </w:p>
    <w:p w14:paraId="26EE59B6">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3.5 第三方监理</w:t>
      </w:r>
    </w:p>
    <w:p w14:paraId="26EE59B7">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甲方有权聘请第三方作为本</w:t>
      </w:r>
      <w:r>
        <w:rPr>
          <w:rFonts w:hint="eastAsia" w:ascii="Times New Roman" w:hAnsi="Times New Roman" w:eastAsia="仿宋"/>
          <w:lang w:val="en-US" w:eastAsia="zh-CN"/>
        </w:rPr>
        <w:t>项目平台/模型</w:t>
      </w:r>
      <w:r>
        <w:rPr>
          <w:rFonts w:ascii="Times New Roman" w:hAnsi="Times New Roman" w:eastAsia="仿宋"/>
        </w:rPr>
        <w:t>开发的监理。如甲方指定了第三方作为甲方的监理，依甲方的授权，该监理享有与本合同中所约定的甲方同等的权利，以监理本项目的进行。监理方应拥有相应的资质并依法行使其监理职责，否则乙方有权拒绝接受监理。</w:t>
      </w:r>
    </w:p>
    <w:p w14:paraId="26EE59B9">
      <w:pPr>
        <w:tabs>
          <w:tab w:val="left" w:pos="2880"/>
          <w:tab w:val="left" w:pos="7020"/>
        </w:tabs>
        <w:spacing w:line="360" w:lineRule="auto"/>
        <w:ind w:right="178" w:rightChars="85" w:firstLine="482"/>
        <w:rPr>
          <w:rFonts w:ascii="Times New Roman" w:hAnsi="Times New Roman" w:eastAsia="仿宋"/>
          <w:b/>
          <w:bCs/>
          <w:kern w:val="0"/>
          <w:sz w:val="24"/>
        </w:rPr>
      </w:pPr>
      <w:r>
        <w:rPr>
          <w:rFonts w:ascii="Times New Roman" w:hAnsi="Times New Roman" w:eastAsia="仿宋"/>
          <w:b/>
          <w:bCs/>
          <w:kern w:val="0"/>
          <w:sz w:val="24"/>
        </w:rPr>
        <w:t>第4条 项目变更</w:t>
      </w:r>
    </w:p>
    <w:p w14:paraId="26EE59BA">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为了维护和兼顾各方的利益，确保</w:t>
      </w:r>
      <w:r>
        <w:rPr>
          <w:rFonts w:hint="eastAsia" w:ascii="Times New Roman" w:hAnsi="Times New Roman" w:eastAsia="仿宋"/>
          <w:lang w:val="en-US" w:eastAsia="zh-CN"/>
        </w:rPr>
        <w:t>项目</w:t>
      </w:r>
      <w:r>
        <w:rPr>
          <w:rFonts w:ascii="Times New Roman" w:hAnsi="Times New Roman" w:eastAsia="仿宋"/>
        </w:rPr>
        <w:t>开发</w:t>
      </w:r>
      <w:r>
        <w:rPr>
          <w:rFonts w:hint="eastAsia" w:ascii="Times New Roman" w:hAnsi="Times New Roman" w:eastAsia="仿宋"/>
          <w:lang w:val="en-US" w:eastAsia="zh-CN"/>
        </w:rPr>
        <w:t>平台/模型</w:t>
      </w:r>
      <w:r>
        <w:rPr>
          <w:rFonts w:ascii="Times New Roman" w:hAnsi="Times New Roman" w:eastAsia="仿宋"/>
        </w:rPr>
        <w:t>的质量，在本合同签署后，甲、乙双方均有权在履行本合同的过程中合理地提出变更、扩展、替换或修改本项目的某些部分的请求，包括增加或减少</w:t>
      </w:r>
      <w:r>
        <w:rPr>
          <w:rFonts w:hint="eastAsia" w:ascii="Times New Roman" w:hAnsi="Times New Roman" w:eastAsia="仿宋"/>
          <w:lang w:val="en-US" w:eastAsia="zh-CN"/>
        </w:rPr>
        <w:t>平台/模型</w:t>
      </w:r>
      <w:r>
        <w:rPr>
          <w:rFonts w:ascii="Times New Roman" w:hAnsi="Times New Roman" w:eastAsia="仿宋"/>
        </w:rPr>
        <w:t>的相应功能/提高或提升有关技术参数/变更交付或安装的时间与地点。为此，双方同意：</w:t>
      </w:r>
    </w:p>
    <w:p w14:paraId="26EE59BB">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4.1 若甲方提出部分项目的变更建议，甲方应该将变更请求以书面形式提交给乙方。乙方应当在</w:t>
      </w:r>
      <w:r>
        <w:rPr>
          <w:rFonts w:ascii="Times New Roman" w:hAnsi="Times New Roman"/>
          <w:color w:val="000000"/>
          <w:u w:val="single"/>
        </w:rPr>
        <w:t xml:space="preserve"> 7</w:t>
      </w:r>
      <w:r>
        <w:rPr>
          <w:rFonts w:ascii="Times New Roman" w:hAnsi="Times New Roman" w:eastAsia="仿宋"/>
        </w:rPr>
        <w:t>个工作日内对此作出书面回复，其内容包括该变更对合同价格、项目交付日期、</w:t>
      </w:r>
      <w:r>
        <w:rPr>
          <w:rFonts w:hint="eastAsia" w:ascii="Times New Roman" w:hAnsi="Times New Roman" w:eastAsia="仿宋"/>
          <w:lang w:val="en-US" w:eastAsia="zh-CN"/>
        </w:rPr>
        <w:t>平台/模型</w:t>
      </w:r>
      <w:r>
        <w:rPr>
          <w:rFonts w:ascii="Times New Roman" w:hAnsi="Times New Roman" w:eastAsia="仿宋"/>
        </w:rPr>
        <w:t>的系统性能、项目技术参数的影响和变化以及对合同条款的影响等；</w:t>
      </w:r>
      <w:r>
        <w:rPr>
          <w:rFonts w:hint="eastAsia" w:ascii="Times New Roman" w:hAnsi="Times New Roman" w:eastAsia="仿宋"/>
        </w:rPr>
        <w:t>若乙方未能在规定时间内回复的，则视为已回复且同意甲方提出的所有变更建议。</w:t>
      </w:r>
    </w:p>
    <w:p w14:paraId="26EE59BC">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4.2 甲方在收到乙方的上述回复后，应在</w:t>
      </w:r>
      <w:r>
        <w:rPr>
          <w:rFonts w:ascii="Times New Roman" w:hAnsi="Times New Roman"/>
          <w:color w:val="000000"/>
          <w:u w:val="single"/>
        </w:rPr>
        <w:t xml:space="preserve"> 7</w:t>
      </w:r>
      <w:r>
        <w:rPr>
          <w:rFonts w:hint="eastAsia" w:ascii="Times New Roman" w:hAnsi="Times New Roman" w:eastAsia="仿宋"/>
        </w:rPr>
        <w:t>个</w:t>
      </w:r>
      <w:r>
        <w:rPr>
          <w:rFonts w:ascii="Times New Roman" w:hAnsi="Times New Roman" w:eastAsia="仿宋"/>
        </w:rPr>
        <w:t>工作日内以书面方式通知乙方是否接受上述回复。如果甲方接受乙方的上述回复，则双方应对此变更以书面形式确认，并按变更后的约定履行本合同。</w:t>
      </w:r>
    </w:p>
    <w:p w14:paraId="26EE59BD">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4.3 如果甲方不同意乙方有关合同价格变化和项目交付日期变更的回复，但上述变更如不执行，将会影响开发</w:t>
      </w:r>
      <w:r>
        <w:rPr>
          <w:rFonts w:hint="eastAsia" w:ascii="Times New Roman" w:hAnsi="Times New Roman" w:eastAsia="仿宋"/>
          <w:lang w:val="en-US" w:eastAsia="zh-CN"/>
        </w:rPr>
        <w:t>平台/</w:t>
      </w:r>
      <w:r>
        <w:rPr>
          <w:rFonts w:hint="eastAsia" w:ascii="Times New Roman" w:hAnsi="Times New Roman" w:eastAsia="仿宋"/>
        </w:rPr>
        <w:t>模块</w:t>
      </w:r>
      <w:r>
        <w:rPr>
          <w:rFonts w:ascii="Times New Roman" w:hAnsi="Times New Roman" w:eastAsia="仿宋"/>
        </w:rPr>
        <w:t>的正常使用或主要功能，则乙方应执行</w:t>
      </w:r>
      <w:r>
        <w:rPr>
          <w:rFonts w:hint="eastAsia" w:ascii="Times New Roman" w:hAnsi="Times New Roman" w:eastAsia="仿宋"/>
        </w:rPr>
        <w:t>甲方</w:t>
      </w:r>
      <w:r>
        <w:rPr>
          <w:rFonts w:ascii="Times New Roman" w:hAnsi="Times New Roman" w:eastAsia="仿宋"/>
        </w:rPr>
        <w:t>变更要求。同时，甲、乙双方均有权按照第十三条的规定解决争议。在争议解决之前，乙方应按照甲方的书面通知要求执行。</w:t>
      </w:r>
    </w:p>
    <w:p w14:paraId="26EE59BE">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4.4 如乙方提出部分项目的变更建议，乙方应同时详细阐明该变更对合同价格、项目交付日期、</w:t>
      </w:r>
      <w:r>
        <w:rPr>
          <w:rFonts w:hint="eastAsia" w:ascii="Times New Roman" w:hAnsi="Times New Roman" w:eastAsia="仿宋"/>
          <w:lang w:val="en-US" w:eastAsia="zh-CN"/>
        </w:rPr>
        <w:t>平台/模型</w:t>
      </w:r>
      <w:r>
        <w:rPr>
          <w:rFonts w:ascii="Times New Roman" w:hAnsi="Times New Roman" w:eastAsia="仿宋"/>
        </w:rPr>
        <w:t>性能、项目技术参数的影响以及对合同条款的影响等情况。</w:t>
      </w:r>
    </w:p>
    <w:p w14:paraId="26EE59BF">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4.5 甲方在收到乙方的上述变更建议后，应在</w:t>
      </w:r>
      <w:r>
        <w:rPr>
          <w:rFonts w:ascii="Times New Roman" w:hAnsi="Times New Roman"/>
          <w:color w:val="000000"/>
          <w:u w:val="single"/>
        </w:rPr>
        <w:t xml:space="preserve"> 7 </w:t>
      </w:r>
      <w:r>
        <w:rPr>
          <w:rFonts w:ascii="Times New Roman" w:hAnsi="Times New Roman" w:eastAsia="仿宋"/>
        </w:rPr>
        <w:t>工作日内以书面形式通知乙方是否同意和接受乙方的上述变更建议。如果甲方同意乙方提出的变更建议，则双方对此变更建议以书面形式确认，双方按变更后的约定履行本合同。如甲方不同意乙方的上述建议，双方仍按原合同执行。</w:t>
      </w:r>
    </w:p>
    <w:p w14:paraId="26EE59C0">
      <w:pPr>
        <w:tabs>
          <w:tab w:val="left" w:pos="2880"/>
          <w:tab w:val="left" w:pos="7020"/>
        </w:tabs>
        <w:spacing w:line="360" w:lineRule="auto"/>
        <w:ind w:right="178" w:rightChars="85" w:firstLine="482"/>
        <w:rPr>
          <w:rFonts w:ascii="Times New Roman" w:hAnsi="Times New Roman" w:eastAsia="仿宋"/>
          <w:b/>
          <w:bCs/>
          <w:kern w:val="0"/>
          <w:sz w:val="24"/>
        </w:rPr>
      </w:pPr>
      <w:r>
        <w:rPr>
          <w:rFonts w:ascii="Times New Roman" w:hAnsi="Times New Roman" w:eastAsia="仿宋"/>
          <w:b/>
          <w:bCs/>
          <w:kern w:val="0"/>
          <w:sz w:val="24"/>
        </w:rPr>
        <w:t>第5条 交付、领受与验收</w:t>
      </w:r>
    </w:p>
    <w:p w14:paraId="26EE59C1">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5.1 交付</w:t>
      </w:r>
    </w:p>
    <w:p w14:paraId="26EE59C2">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5.1.1 乙方应在进行每项交付前7个工作日内，以书面方式通知甲方。甲方应当在接到通知后的7个工作日内安排接受交付。乙方在交付前应根据本合同所列的检测标准对该交付件进行测试，以确认其符合本合同的规定。</w:t>
      </w:r>
    </w:p>
    <w:p w14:paraId="26EE59C3">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5.1.2 如由于甲方的原因而导致交付不能按照规定的时间进行，乙方将按延期时间顺延交付。</w:t>
      </w:r>
    </w:p>
    <w:p w14:paraId="26EE59C4">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5.2 交付内容</w:t>
      </w:r>
    </w:p>
    <w:p w14:paraId="26EE59C5">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5.2.1 乙方应按照合同及其附件所约定的内容进行交付，所交付的文档与文件应当是电子版式和可供人阅读的。具体交付内容见附件一。</w:t>
      </w:r>
    </w:p>
    <w:p w14:paraId="26EE59C6">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5.2.2 如乙方所交付项目存在故障或问题，经甲方要求，乙方应在3个工作日内帮助处理此项故障或问题，由此而发生的费用由乙方承担。</w:t>
      </w:r>
      <w:r>
        <w:rPr>
          <w:rFonts w:hint="eastAsia" w:ascii="Times New Roman" w:hAnsi="Times New Roman" w:eastAsia="仿宋"/>
        </w:rPr>
        <w:t>若乙方未能在规定时间内响应或解决问题，甲方有权要求乙方承担由此给甲方带来的所有损失。同时，乙方应在问题解决后的3个工作日内，根据甲方要求向甲方提交详细的问题处理报告，包括问题原因、处理过程及预防措施等。</w:t>
      </w:r>
    </w:p>
    <w:p w14:paraId="26EE59C8">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5.3 领受</w:t>
      </w:r>
    </w:p>
    <w:p w14:paraId="26EE59C9">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甲方在领受了上述交付件后，应立即对该交付件进行测试和评估，以确认其是否符合开发</w:t>
      </w:r>
      <w:r>
        <w:rPr>
          <w:rFonts w:hint="eastAsia" w:ascii="Times New Roman" w:hAnsi="Times New Roman" w:eastAsia="仿宋"/>
        </w:rPr>
        <w:t>模型</w:t>
      </w:r>
      <w:r>
        <w:rPr>
          <w:rFonts w:ascii="Times New Roman" w:hAnsi="Times New Roman" w:eastAsia="仿宋"/>
        </w:rPr>
        <w:t>的功能和规格。如有缺陷，乙方应立即纠正该缺陷，并再次进行测试和评估。甲、乙双方将重复此项程序直至甲方领受，或由甲方依法或依约终止本合同为止。</w:t>
      </w:r>
    </w:p>
    <w:p w14:paraId="26EE59CA">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 xml:space="preserve">5.4 </w:t>
      </w:r>
      <w:r>
        <w:rPr>
          <w:rFonts w:hint="eastAsia" w:ascii="Times New Roman" w:hAnsi="Times New Roman" w:eastAsia="仿宋"/>
          <w:lang w:val="en-US" w:eastAsia="zh-CN"/>
        </w:rPr>
        <w:t>平台/模型</w:t>
      </w:r>
      <w:r>
        <w:rPr>
          <w:rFonts w:ascii="Times New Roman" w:hAnsi="Times New Roman" w:eastAsia="仿宋"/>
        </w:rPr>
        <w:t>试运行</w:t>
      </w:r>
    </w:p>
    <w:p w14:paraId="26EE59CB">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5.4.1 自</w:t>
      </w:r>
      <w:r>
        <w:rPr>
          <w:rFonts w:hint="eastAsia" w:ascii="Times New Roman" w:hAnsi="Times New Roman" w:eastAsia="仿宋"/>
          <w:lang w:val="en-US" w:eastAsia="zh-CN"/>
        </w:rPr>
        <w:t>平台/模型</w:t>
      </w:r>
      <w:r>
        <w:rPr>
          <w:rFonts w:ascii="Times New Roman" w:hAnsi="Times New Roman" w:eastAsia="仿宋"/>
        </w:rPr>
        <w:t>交付通过之日起，甲方拥有</w:t>
      </w:r>
      <w:r>
        <w:rPr>
          <w:rFonts w:hint="eastAsia" w:ascii="Times New Roman" w:hAnsi="Times New Roman" w:eastAsia="仿宋"/>
          <w:lang w:val="en-US" w:eastAsia="zh-CN"/>
        </w:rPr>
        <w:t>6</w:t>
      </w:r>
      <w:r>
        <w:rPr>
          <w:rFonts w:ascii="Times New Roman" w:hAnsi="Times New Roman" w:eastAsia="仿宋"/>
        </w:rPr>
        <w:t>个月试运行权利。</w:t>
      </w:r>
      <w:r>
        <w:rPr>
          <w:rFonts w:hint="eastAsia" w:ascii="Times New Roman" w:hAnsi="Times New Roman" w:eastAsia="仿宋"/>
        </w:rPr>
        <w:t>乙方应在</w:t>
      </w:r>
      <w:r>
        <w:rPr>
          <w:rFonts w:hint="eastAsia" w:ascii="Times New Roman" w:hAnsi="Times New Roman" w:eastAsia="仿宋"/>
          <w:lang w:val="en-US" w:eastAsia="zh-CN"/>
        </w:rPr>
        <w:t>平台/</w:t>
      </w:r>
      <w:r>
        <w:rPr>
          <w:rFonts w:hint="eastAsia" w:ascii="Times New Roman" w:hAnsi="Times New Roman" w:eastAsia="仿宋"/>
        </w:rPr>
        <w:t>模型试运行期间提供持续的技术支持，在甲方提出技术问题后的3个工作日内给予响应。</w:t>
      </w:r>
    </w:p>
    <w:p w14:paraId="26EE59CC">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5.4.2 如由于乙方原因，</w:t>
      </w:r>
      <w:r>
        <w:rPr>
          <w:rFonts w:hint="eastAsia" w:ascii="Times New Roman" w:hAnsi="Times New Roman" w:eastAsia="仿宋"/>
          <w:lang w:val="en-US" w:eastAsia="zh-CN"/>
        </w:rPr>
        <w:t>平台/</w:t>
      </w:r>
      <w:r>
        <w:rPr>
          <w:rFonts w:hint="eastAsia" w:ascii="Times New Roman" w:hAnsi="Times New Roman" w:eastAsia="仿宋"/>
        </w:rPr>
        <w:t>模型</w:t>
      </w:r>
      <w:r>
        <w:rPr>
          <w:rFonts w:ascii="Times New Roman" w:hAnsi="Times New Roman" w:eastAsia="仿宋"/>
        </w:rPr>
        <w:t>在试运行期间出现故障或问题，乙方应及时排除该方面的故障或问题，所引起的相关费用由乙方承担。</w:t>
      </w:r>
      <w:r>
        <w:rPr>
          <w:rFonts w:hint="eastAsia" w:ascii="Times New Roman" w:hAnsi="Times New Roman" w:eastAsia="仿宋"/>
        </w:rPr>
        <w:t>若乙方未履行上述义务，甲方有权要求乙方承担由此给甲方带来的所有损失。</w:t>
      </w:r>
    </w:p>
    <w:p w14:paraId="26EE59CD">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5.4.3 乙方应在合理的期限内排除故障或处理问题。如以上故障或问题影响</w:t>
      </w:r>
      <w:r>
        <w:rPr>
          <w:rFonts w:hint="eastAsia" w:ascii="Times New Roman" w:hAnsi="Times New Roman" w:eastAsia="仿宋"/>
          <w:lang w:val="en-US" w:eastAsia="zh-CN"/>
        </w:rPr>
        <w:t>平台/</w:t>
      </w:r>
      <w:r>
        <w:rPr>
          <w:rFonts w:hint="eastAsia" w:ascii="Times New Roman" w:hAnsi="Times New Roman" w:eastAsia="仿宋"/>
        </w:rPr>
        <w:t>模块</w:t>
      </w:r>
      <w:r>
        <w:rPr>
          <w:rFonts w:ascii="Times New Roman" w:hAnsi="Times New Roman" w:eastAsia="仿宋"/>
        </w:rPr>
        <w:t>基本功能和目标的实现，且排除故障或处理问题的时间超过</w:t>
      </w:r>
      <w:r>
        <w:rPr>
          <w:rFonts w:ascii="Times New Roman" w:hAnsi="Times New Roman"/>
          <w:color w:val="000000"/>
          <w:u w:val="single"/>
        </w:rPr>
        <w:t>15</w:t>
      </w:r>
      <w:r>
        <w:rPr>
          <w:rFonts w:ascii="Times New Roman" w:hAnsi="Times New Roman" w:eastAsia="仿宋"/>
        </w:rPr>
        <w:t>个工作日（自收到甲方通知之日起计），则视为乙方交付违约。</w:t>
      </w:r>
    </w:p>
    <w:p w14:paraId="26EE59CE">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 xml:space="preserve">5.5 </w:t>
      </w:r>
      <w:r>
        <w:rPr>
          <w:rFonts w:hint="eastAsia" w:ascii="Times New Roman" w:hAnsi="Times New Roman" w:eastAsia="仿宋"/>
          <w:lang w:val="en-US" w:eastAsia="zh-CN"/>
        </w:rPr>
        <w:t>平台/模型</w:t>
      </w:r>
      <w:r>
        <w:rPr>
          <w:rFonts w:ascii="Times New Roman" w:hAnsi="Times New Roman" w:eastAsia="仿宋"/>
        </w:rPr>
        <w:t>验收</w:t>
      </w:r>
    </w:p>
    <w:p w14:paraId="26EE59CF">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 xml:space="preserve">5.5.1 </w:t>
      </w:r>
      <w:r>
        <w:rPr>
          <w:rFonts w:hint="eastAsia" w:ascii="Times New Roman" w:hAnsi="Times New Roman" w:eastAsia="仿宋"/>
          <w:lang w:val="en-US" w:eastAsia="zh-CN"/>
        </w:rPr>
        <w:t>模型</w:t>
      </w:r>
      <w:r>
        <w:rPr>
          <w:rFonts w:ascii="Times New Roman" w:hAnsi="Times New Roman" w:eastAsia="仿宋"/>
        </w:rPr>
        <w:t>试运行完成后，甲方应及时按规定对该</w:t>
      </w:r>
      <w:r>
        <w:rPr>
          <w:rFonts w:hint="eastAsia" w:ascii="Times New Roman" w:hAnsi="Times New Roman" w:eastAsia="仿宋"/>
        </w:rPr>
        <w:t>模型</w:t>
      </w:r>
      <w:r>
        <w:rPr>
          <w:rFonts w:ascii="Times New Roman" w:hAnsi="Times New Roman" w:eastAsia="仿宋"/>
        </w:rPr>
        <w:t>进行验收。乙方应以书面形式向甲方递交验收申请书，甲方在收到验收申请书的7个工作日内，安排具体日期，由甲、乙双方按照本合同的规定完成</w:t>
      </w:r>
      <w:r>
        <w:rPr>
          <w:rFonts w:hint="eastAsia" w:ascii="Times New Roman" w:hAnsi="Times New Roman" w:eastAsia="仿宋"/>
          <w:lang w:val="en-US" w:eastAsia="zh-CN"/>
        </w:rPr>
        <w:t>平台/</w:t>
      </w:r>
      <w:r>
        <w:rPr>
          <w:rFonts w:hint="eastAsia" w:ascii="Times New Roman" w:hAnsi="Times New Roman" w:eastAsia="仿宋"/>
        </w:rPr>
        <w:t>模块</w:t>
      </w:r>
      <w:r>
        <w:rPr>
          <w:rFonts w:ascii="Times New Roman" w:hAnsi="Times New Roman" w:eastAsia="仿宋"/>
        </w:rPr>
        <w:t>验收。</w:t>
      </w:r>
    </w:p>
    <w:p w14:paraId="26EE59D0">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5.5.2 如属于甲方原因致使</w:t>
      </w:r>
      <w:r>
        <w:rPr>
          <w:rFonts w:hint="eastAsia" w:ascii="Times New Roman" w:hAnsi="Times New Roman" w:eastAsia="仿宋"/>
          <w:lang w:val="en-US" w:eastAsia="zh-CN"/>
        </w:rPr>
        <w:t>平台/</w:t>
      </w:r>
      <w:r>
        <w:rPr>
          <w:rFonts w:hint="eastAsia" w:ascii="Times New Roman" w:hAnsi="Times New Roman" w:eastAsia="仿宋"/>
        </w:rPr>
        <w:t>模型</w:t>
      </w:r>
      <w:r>
        <w:rPr>
          <w:rFonts w:ascii="Times New Roman" w:hAnsi="Times New Roman" w:eastAsia="仿宋"/>
        </w:rPr>
        <w:t>未通过验收，如属甲方原有计算机系统故障原因，甲方应在合理时间内排除故障，再进行验收。</w:t>
      </w:r>
    </w:p>
    <w:p w14:paraId="26EE59D1">
      <w:pPr>
        <w:tabs>
          <w:tab w:val="left" w:pos="2880"/>
          <w:tab w:val="left" w:pos="7020"/>
        </w:tabs>
        <w:spacing w:line="360" w:lineRule="auto"/>
        <w:ind w:right="178" w:rightChars="85" w:firstLine="482"/>
        <w:rPr>
          <w:rFonts w:ascii="Times New Roman" w:hAnsi="Times New Roman" w:eastAsia="仿宋"/>
          <w:b/>
          <w:bCs/>
          <w:kern w:val="0"/>
          <w:sz w:val="24"/>
        </w:rPr>
      </w:pPr>
      <w:r>
        <w:rPr>
          <w:rFonts w:ascii="Times New Roman" w:hAnsi="Times New Roman" w:eastAsia="仿宋"/>
          <w:b/>
          <w:bCs/>
          <w:kern w:val="0"/>
          <w:sz w:val="24"/>
        </w:rPr>
        <w:t>第6条 知识产权和使用权</w:t>
      </w:r>
    </w:p>
    <w:p w14:paraId="26EE59D2">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6.1 知识产权</w:t>
      </w:r>
    </w:p>
    <w:p w14:paraId="26EE59D3">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甲方拥有开发</w:t>
      </w:r>
      <w:r>
        <w:rPr>
          <w:rFonts w:hint="eastAsia" w:ascii="Times New Roman" w:hAnsi="Times New Roman" w:eastAsia="仿宋"/>
          <w:lang w:val="en-US" w:eastAsia="zh-CN"/>
        </w:rPr>
        <w:t>平台/模型</w:t>
      </w:r>
      <w:r>
        <w:rPr>
          <w:rFonts w:ascii="Times New Roman" w:hAnsi="Times New Roman" w:eastAsia="仿宋"/>
        </w:rPr>
        <w:t>的知识产权。乙方非经</w:t>
      </w:r>
      <w:r>
        <w:rPr>
          <w:rFonts w:hint="eastAsia" w:ascii="Times New Roman" w:hAnsi="Times New Roman" w:eastAsia="仿宋"/>
          <w:lang w:val="en-US" w:eastAsia="zh-CN"/>
        </w:rPr>
        <w:t>甲</w:t>
      </w:r>
      <w:r>
        <w:rPr>
          <w:rFonts w:ascii="Times New Roman" w:hAnsi="Times New Roman" w:eastAsia="仿宋"/>
        </w:rPr>
        <w:t>方同意，不得以任何方式向第三方披露、转让和许可有关的技术成果、计算机软件、技术诀窍、秘密信息、技术资料和文件。除本研发工作需要之外，未得到甲方的书面许可，乙方不得以任何方式商业性地利用上述资料和技术。如乙方违反本条的规定，除立即停止违约行为外，还应支付合同总金额的20%的违约金以及赔偿甲方的损失。</w:t>
      </w:r>
    </w:p>
    <w:p w14:paraId="26EE59D4">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6.2 乙方在使用甲方提供的属于第三方软件时，应当依照甲方与第三方对该软件使用的约定进行，否则乙方需承担因其违约使用而导致甲方需承担的全部违约责任及损失赔偿责任。</w:t>
      </w:r>
    </w:p>
    <w:p w14:paraId="26EE59D5">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6.3 乙方在领受甲方提供的软件后，应严格遵守相关的知识产权及软件版权保护的法律、法规，并在本合同所规定的范围内使用本软件。乙方因非经授权而实施的商业性复制行为构成违约或侵权责任造成甲方损失的，由其承担相关责任。</w:t>
      </w:r>
    </w:p>
    <w:p w14:paraId="26EE59D6">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6.4 本合同项下双方的任何权利和义务不因合同双方发生收购、兼并、重组、分立而发生变化。如发生上述情形之一，则本合同项下的权利和义务随之转移至收购、兼并、重组或分立之单位。如甲、乙双方在本合同项下的各项权利和义务由甲、乙双方之分立单位分别承受的，则甲、乙双方与甲、乙双方之分立单位分别享有和承担相关权利和义务。</w:t>
      </w:r>
    </w:p>
    <w:p w14:paraId="26EE59D7">
      <w:pPr>
        <w:tabs>
          <w:tab w:val="left" w:pos="2880"/>
          <w:tab w:val="left" w:pos="7020"/>
        </w:tabs>
        <w:spacing w:line="360" w:lineRule="auto"/>
        <w:ind w:right="178" w:rightChars="85" w:firstLine="482"/>
        <w:rPr>
          <w:rFonts w:ascii="Times New Roman" w:hAnsi="Times New Roman" w:eastAsia="仿宋"/>
          <w:b/>
          <w:bCs/>
          <w:kern w:val="0"/>
          <w:sz w:val="24"/>
        </w:rPr>
      </w:pPr>
      <w:r>
        <w:rPr>
          <w:rFonts w:ascii="Times New Roman" w:hAnsi="Times New Roman" w:eastAsia="仿宋"/>
          <w:b/>
          <w:bCs/>
          <w:kern w:val="0"/>
          <w:sz w:val="24"/>
        </w:rPr>
        <w:t>第7条 维护和培训</w:t>
      </w:r>
    </w:p>
    <w:p w14:paraId="26EE59D8">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7.1 维护和支持</w:t>
      </w:r>
    </w:p>
    <w:p w14:paraId="26EE59D9">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乙方同意在本合同规定的期限内按照附件五的规定，向甲方提供</w:t>
      </w:r>
      <w:r>
        <w:rPr>
          <w:rFonts w:hint="eastAsia" w:ascii="Times New Roman" w:hAnsi="Times New Roman" w:eastAsia="仿宋"/>
          <w:lang w:val="en-US" w:eastAsia="zh-CN"/>
        </w:rPr>
        <w:t>平台/模型</w:t>
      </w:r>
      <w:r>
        <w:rPr>
          <w:rFonts w:ascii="Times New Roman" w:hAnsi="Times New Roman" w:eastAsia="仿宋"/>
        </w:rPr>
        <w:t>维护和支持服务。</w:t>
      </w:r>
    </w:p>
    <w:p w14:paraId="26EE59DA">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7.2 项目培训</w:t>
      </w:r>
    </w:p>
    <w:p w14:paraId="26EE59DB">
      <w:pPr>
        <w:pStyle w:val="14"/>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480" w:firstLineChars="200"/>
        <w:jc w:val="both"/>
        <w:textAlignment w:val="auto"/>
        <w:rPr>
          <w:rFonts w:ascii="Times New Roman" w:hAnsi="Times New Roman" w:eastAsia="仿宋"/>
        </w:rPr>
      </w:pPr>
      <w:r>
        <w:rPr>
          <w:rFonts w:ascii="Times New Roman" w:hAnsi="Times New Roman" w:eastAsia="仿宋"/>
        </w:rPr>
        <w:t>乙方应及时对甲方的相关人员和最终用户进行培训，</w:t>
      </w:r>
      <w:r>
        <w:rPr>
          <w:rFonts w:hint="eastAsia" w:ascii="Times New Roman" w:hAnsi="Times New Roman" w:eastAsia="仿宋"/>
          <w:lang w:val="en-US" w:eastAsia="zh-CN"/>
        </w:rPr>
        <w:t>并提供详细的用户使用手册以及培训手册，</w:t>
      </w:r>
      <w:r>
        <w:rPr>
          <w:rFonts w:ascii="Times New Roman" w:hAnsi="Times New Roman" w:eastAsia="仿宋"/>
        </w:rPr>
        <w:t>培训目标为受训者能够独立、熟练地完成操作，实现依据本合同所规定的</w:t>
      </w:r>
      <w:r>
        <w:rPr>
          <w:rFonts w:hint="eastAsia" w:ascii="Times New Roman" w:hAnsi="Times New Roman" w:eastAsia="仿宋"/>
        </w:rPr>
        <w:t>模型</w:t>
      </w:r>
      <w:r>
        <w:rPr>
          <w:rFonts w:ascii="Times New Roman" w:hAnsi="Times New Roman" w:eastAsia="仿宋"/>
        </w:rPr>
        <w:t>的目标和功能。</w:t>
      </w:r>
    </w:p>
    <w:p w14:paraId="26EE59DC">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培训计划详见附件五。</w:t>
      </w:r>
    </w:p>
    <w:p w14:paraId="26EE59DD">
      <w:pPr>
        <w:tabs>
          <w:tab w:val="left" w:pos="2880"/>
          <w:tab w:val="left" w:pos="7020"/>
        </w:tabs>
        <w:spacing w:line="360" w:lineRule="auto"/>
        <w:ind w:right="178" w:rightChars="85" w:firstLine="482"/>
        <w:rPr>
          <w:rFonts w:ascii="Times New Roman" w:hAnsi="Times New Roman" w:eastAsia="仿宋"/>
          <w:b/>
          <w:bCs/>
          <w:kern w:val="0"/>
          <w:sz w:val="24"/>
        </w:rPr>
      </w:pPr>
      <w:r>
        <w:rPr>
          <w:rFonts w:ascii="Times New Roman" w:hAnsi="Times New Roman" w:eastAsia="仿宋"/>
          <w:b/>
          <w:bCs/>
          <w:kern w:val="0"/>
          <w:sz w:val="24"/>
        </w:rPr>
        <w:t>第8条 价格与付款方式</w:t>
      </w:r>
    </w:p>
    <w:p w14:paraId="26EE59DE">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8.1 价格</w:t>
      </w:r>
    </w:p>
    <w:p w14:paraId="26EE59DF">
      <w:pPr>
        <w:pStyle w:val="14"/>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480" w:firstLineChars="200"/>
        <w:jc w:val="both"/>
        <w:textAlignment w:val="auto"/>
        <w:rPr>
          <w:rFonts w:ascii="Times New Roman" w:hAnsi="Times New Roman" w:eastAsia="仿宋"/>
        </w:rPr>
      </w:pPr>
      <w:r>
        <w:rPr>
          <w:rFonts w:ascii="Times New Roman" w:hAnsi="Times New Roman" w:eastAsia="TimesNewRomanPSMT"/>
          <w:color w:val="000000"/>
        </w:rPr>
        <w:t>8.1.1</w:t>
      </w:r>
      <w:r>
        <w:rPr>
          <w:rFonts w:ascii="Times New Roman" w:hAnsi="Times New Roman" w:eastAsia="仿宋"/>
          <w:color w:val="000000"/>
        </w:rPr>
        <w:t>合同含税总价款为￥</w:t>
      </w:r>
      <w:r>
        <w:rPr>
          <w:rFonts w:hint="eastAsia" w:ascii="Times New Roman" w:hAnsi="Times New Roman" w:eastAsia="仿宋"/>
          <w:color w:val="000000"/>
          <w:u w:val="single"/>
          <w:lang w:val="en-US" w:eastAsia="zh-CN"/>
        </w:rPr>
        <w:t xml:space="preserve">    </w:t>
      </w:r>
      <w:r>
        <w:rPr>
          <w:rFonts w:ascii="Times New Roman" w:hAnsi="Times New Roman" w:eastAsia="仿宋"/>
          <w:color w:val="000000"/>
        </w:rPr>
        <w:t>元（大写：人民币</w:t>
      </w:r>
      <w:r>
        <w:rPr>
          <w:rFonts w:hint="eastAsia" w:ascii="Times New Roman" w:hAnsi="Times New Roman" w:eastAsia="仿宋"/>
          <w:color w:val="000000"/>
          <w:u w:val="single"/>
          <w:lang w:val="en-US" w:eastAsia="zh-CN"/>
        </w:rPr>
        <w:t xml:space="preserve">    </w:t>
      </w:r>
      <w:r>
        <w:rPr>
          <w:rFonts w:ascii="Times New Roman" w:hAnsi="Times New Roman" w:eastAsia="仿宋"/>
          <w:color w:val="000000"/>
        </w:rPr>
        <w:t>），其中不含税金额为￥</w:t>
      </w:r>
      <w:r>
        <w:rPr>
          <w:rFonts w:hint="eastAsia" w:ascii="Times New Roman" w:hAnsi="Times New Roman" w:eastAsia="仿宋"/>
          <w:color w:val="000000"/>
          <w:u w:val="single"/>
          <w:lang w:val="en-US" w:eastAsia="zh-CN"/>
        </w:rPr>
        <w:t xml:space="preserve">   </w:t>
      </w:r>
      <w:r>
        <w:rPr>
          <w:rFonts w:ascii="Times New Roman" w:hAnsi="Times New Roman" w:eastAsia="仿宋"/>
          <w:color w:val="000000"/>
        </w:rPr>
        <w:t>元（大写：人民币</w:t>
      </w:r>
      <w:r>
        <w:rPr>
          <w:rFonts w:hint="eastAsia" w:ascii="Times New Roman" w:hAnsi="Times New Roman" w:eastAsia="仿宋"/>
          <w:color w:val="000000"/>
          <w:u w:val="single"/>
          <w:lang w:val="en-US" w:eastAsia="zh-CN"/>
        </w:rPr>
        <w:t xml:space="preserve">   </w:t>
      </w:r>
      <w:r>
        <w:rPr>
          <w:rFonts w:ascii="Times New Roman" w:hAnsi="Times New Roman" w:eastAsia="仿宋"/>
          <w:color w:val="000000"/>
        </w:rPr>
        <w:t>），税金为￥</w:t>
      </w:r>
      <w:r>
        <w:rPr>
          <w:rFonts w:hint="eastAsia" w:ascii="Times New Roman" w:hAnsi="Times New Roman" w:eastAsia="仿宋"/>
          <w:color w:val="000000"/>
          <w:u w:val="single"/>
          <w:lang w:val="en-US" w:eastAsia="zh-CN"/>
        </w:rPr>
        <w:t xml:space="preserve">   </w:t>
      </w:r>
      <w:r>
        <w:rPr>
          <w:rFonts w:ascii="Times New Roman" w:hAnsi="Times New Roman" w:eastAsia="仿宋"/>
          <w:color w:val="000000"/>
        </w:rPr>
        <w:t>元（大写：人民币</w:t>
      </w:r>
      <w:r>
        <w:rPr>
          <w:rFonts w:hint="eastAsia" w:ascii="Times New Roman" w:hAnsi="Times New Roman" w:eastAsia="仿宋"/>
          <w:color w:val="000000"/>
          <w:u w:val="single"/>
          <w:lang w:val="en-US" w:eastAsia="zh-CN"/>
        </w:rPr>
        <w:t xml:space="preserve">    </w:t>
      </w:r>
      <w:r>
        <w:rPr>
          <w:rFonts w:ascii="Times New Roman" w:hAnsi="Times New Roman" w:eastAsia="仿宋"/>
          <w:color w:val="000000"/>
        </w:rPr>
        <w:t>），税率为</w:t>
      </w:r>
      <w:r>
        <w:rPr>
          <w:rFonts w:ascii="Times New Roman" w:hAnsi="Times New Roman"/>
          <w:color w:val="000000"/>
          <w:u w:val="single"/>
        </w:rPr>
        <w:t xml:space="preserve"> </w:t>
      </w:r>
      <w:r>
        <w:rPr>
          <w:rFonts w:hint="eastAsia" w:ascii="Times New Roman" w:hAnsi="Times New Roman" w:eastAsia="仿宋"/>
          <w:u w:val="single"/>
          <w:lang w:val="en-US" w:eastAsia="zh-CN"/>
        </w:rPr>
        <w:t xml:space="preserve"> </w:t>
      </w:r>
      <w:r>
        <w:rPr>
          <w:rFonts w:ascii="Times New Roman" w:hAnsi="Times New Roman" w:eastAsia="TimesNewRomanPSMT"/>
          <w:color w:val="000000"/>
          <w:u w:val="single"/>
        </w:rPr>
        <w:t xml:space="preserve"> </w:t>
      </w:r>
      <w:r>
        <w:rPr>
          <w:rFonts w:ascii="Times New Roman" w:hAnsi="Times New Roman" w:eastAsia="TimesNewRomanPSMT"/>
          <w:color w:val="000000"/>
        </w:rPr>
        <w:t>%</w:t>
      </w:r>
      <w:r>
        <w:rPr>
          <w:rFonts w:ascii="Times New Roman" w:hAnsi="Times New Roman" w:eastAsia="仿宋"/>
          <w:color w:val="000000"/>
        </w:rPr>
        <w:t>的增值税专用发票。在合同执行过程中，如因国家税务政策调整，当增值税税率提高，本合同含税总价不变；当增值税税率降低，本合同不含税总价不变，并相应减少增值税金额。</w:t>
      </w:r>
      <w:r>
        <w:rPr>
          <w:rFonts w:ascii="Times New Roman" w:hAnsi="Times New Roman" w:eastAsia="仿宋"/>
        </w:rPr>
        <w:t xml:space="preserve"> </w:t>
      </w:r>
    </w:p>
    <w:p w14:paraId="26EE59E0">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8.2付款方式</w:t>
      </w:r>
    </w:p>
    <w:p w14:paraId="26EE59E1">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8.2.1乙方同意甲方每次向乙方支付的合同款的前提条件是本合同项下的相应</w:t>
      </w:r>
      <w:r>
        <w:rPr>
          <w:rFonts w:hint="eastAsia" w:ascii="Times New Roman" w:hAnsi="Times New Roman" w:eastAsia="仿宋"/>
        </w:rPr>
        <w:t>模块</w:t>
      </w:r>
      <w:r>
        <w:rPr>
          <w:rFonts w:ascii="Times New Roman" w:hAnsi="Times New Roman" w:eastAsia="仿宋"/>
        </w:rPr>
        <w:t>验收合格</w:t>
      </w:r>
      <w:r>
        <w:rPr>
          <w:rFonts w:hint="eastAsia" w:ascii="Times New Roman" w:hAnsi="Times New Roman" w:eastAsia="仿宋"/>
        </w:rPr>
        <w:t>，并根据本合同要求向甲方提供中华人民共和国大陆地区合法有效的等额增值税专用发票</w:t>
      </w:r>
      <w:r>
        <w:rPr>
          <w:rFonts w:ascii="Times New Roman" w:hAnsi="Times New Roman" w:eastAsia="仿宋"/>
        </w:rPr>
        <w:t>。</w:t>
      </w:r>
    </w:p>
    <w:p w14:paraId="26EE59E2">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8.2.2 合同项下所有款额甲方向乙方在本合同中所约定的银行账户以人民币支付。</w:t>
      </w:r>
    </w:p>
    <w:p w14:paraId="26EE59E3">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8.2.3 本合同的支付办法为：</w:t>
      </w:r>
    </w:p>
    <w:p w14:paraId="26EE59E4">
      <w:pPr>
        <w:pStyle w:val="14"/>
        <w:spacing w:before="0" w:beforeAutospacing="0" w:after="0" w:afterAutospacing="0" w:line="400" w:lineRule="exact"/>
        <w:ind w:firstLine="480" w:firstLineChars="200"/>
        <w:jc w:val="both"/>
        <w:rPr>
          <w:rFonts w:hint="eastAsia" w:ascii="Times New Roman" w:hAnsi="Times New Roman" w:eastAsia="仿宋"/>
        </w:rPr>
      </w:pPr>
      <w:r>
        <w:rPr>
          <w:rFonts w:hint="eastAsia" w:ascii="Times New Roman" w:hAnsi="Times New Roman" w:eastAsia="仿宋"/>
        </w:rPr>
        <w:t>（1）完成里程碑1、2、3</w:t>
      </w:r>
      <w:r>
        <w:rPr>
          <w:rFonts w:hint="eastAsia" w:ascii="Times New Roman" w:hAnsi="Times New Roman" w:eastAsia="仿宋"/>
          <w:lang w:eastAsia="zh-CN"/>
        </w:rPr>
        <w:t>、</w:t>
      </w:r>
      <w:r>
        <w:rPr>
          <w:rFonts w:hint="eastAsia" w:ascii="Times New Roman" w:hAnsi="Times New Roman" w:eastAsia="仿宋"/>
        </w:rPr>
        <w:t>4</w:t>
      </w:r>
      <w:r>
        <w:rPr>
          <w:rFonts w:hint="eastAsia" w:ascii="Times New Roman" w:hAnsi="Times New Roman" w:eastAsia="仿宋"/>
          <w:lang w:val="en-US" w:eastAsia="zh-CN"/>
        </w:rPr>
        <w:t>和5</w:t>
      </w:r>
      <w:r>
        <w:rPr>
          <w:rFonts w:hint="eastAsia" w:ascii="Times New Roman" w:hAnsi="Times New Roman" w:eastAsia="仿宋"/>
        </w:rPr>
        <w:t>内容，并将算法模型封装</w:t>
      </w:r>
      <w:r>
        <w:rPr>
          <w:rFonts w:hint="eastAsia" w:ascii="Times New Roman" w:hAnsi="Times New Roman" w:eastAsia="仿宋"/>
          <w:lang w:val="en-US" w:eastAsia="zh-CN"/>
        </w:rPr>
        <w:t>集成到平台中</w:t>
      </w:r>
      <w:r>
        <w:rPr>
          <w:rFonts w:hint="eastAsia" w:ascii="Times New Roman" w:hAnsi="Times New Roman" w:eastAsia="仿宋"/>
        </w:rPr>
        <w:t>，部署到甲方指定的运行环境成功且经验收合格后1个月内支付项目总金额的</w:t>
      </w:r>
      <w:r>
        <w:rPr>
          <w:rFonts w:hint="eastAsia" w:ascii="Times New Roman" w:hAnsi="Times New Roman" w:eastAsia="仿宋"/>
          <w:u w:val="single"/>
          <w:lang w:val="en-US" w:eastAsia="zh-CN"/>
        </w:rPr>
        <w:t xml:space="preserve">   </w:t>
      </w:r>
      <w:r>
        <w:rPr>
          <w:rFonts w:hint="eastAsia" w:ascii="Times New Roman" w:hAnsi="Times New Roman" w:eastAsia="仿宋"/>
        </w:rPr>
        <w:t>%，即人民币</w:t>
      </w:r>
      <w:r>
        <w:rPr>
          <w:rFonts w:hint="eastAsia" w:ascii="Times New Roman" w:hAnsi="Times New Roman" w:eastAsia="仿宋"/>
          <w:u w:val="single"/>
          <w:lang w:val="en-US" w:eastAsia="zh-CN"/>
        </w:rPr>
        <w:t xml:space="preserve"> </w:t>
      </w:r>
      <w:r>
        <w:rPr>
          <w:rFonts w:hint="eastAsia" w:ascii="Times New Roman" w:hAnsi="Times New Roman" w:eastAsia="仿宋"/>
        </w:rPr>
        <w:t>元（大写：人民币</w:t>
      </w:r>
      <w:r>
        <w:rPr>
          <w:rFonts w:hint="eastAsia" w:ascii="Times New Roman" w:hAnsi="Times New Roman" w:eastAsia="仿宋"/>
          <w:u w:val="single"/>
          <w:lang w:val="en-US" w:eastAsia="zh-CN"/>
        </w:rPr>
        <w:t xml:space="preserve">      </w:t>
      </w:r>
      <w:r>
        <w:rPr>
          <w:rFonts w:hint="eastAsia" w:ascii="Times New Roman" w:hAnsi="Times New Roman" w:eastAsia="仿宋"/>
        </w:rPr>
        <w:t>）</w:t>
      </w:r>
    </w:p>
    <w:p w14:paraId="26EE59E6">
      <w:pPr>
        <w:pStyle w:val="14"/>
        <w:spacing w:before="0" w:beforeAutospacing="0" w:after="0" w:afterAutospacing="0" w:line="400" w:lineRule="exact"/>
        <w:ind w:firstLine="480" w:firstLineChars="200"/>
        <w:jc w:val="both"/>
        <w:rPr>
          <w:rFonts w:hint="eastAsia" w:ascii="Times New Roman" w:hAnsi="Times New Roman" w:eastAsia="仿宋"/>
        </w:rPr>
      </w:pPr>
      <w:r>
        <w:rPr>
          <w:rFonts w:hint="eastAsia" w:ascii="Times New Roman" w:hAnsi="Times New Roman" w:eastAsia="仿宋"/>
        </w:rPr>
        <w:t>（</w:t>
      </w:r>
      <w:r>
        <w:rPr>
          <w:rFonts w:hint="eastAsia" w:ascii="Times New Roman" w:hAnsi="Times New Roman" w:eastAsia="仿宋"/>
          <w:lang w:val="en-US" w:eastAsia="zh-CN"/>
        </w:rPr>
        <w:t>2</w:t>
      </w:r>
      <w:r>
        <w:rPr>
          <w:rFonts w:hint="eastAsia" w:ascii="Times New Roman" w:hAnsi="Times New Roman" w:eastAsia="仿宋"/>
        </w:rPr>
        <w:t>）完成里程碑</w:t>
      </w:r>
      <w:r>
        <w:rPr>
          <w:rFonts w:hint="eastAsia" w:ascii="Times New Roman" w:hAnsi="Times New Roman" w:eastAsia="仿宋"/>
          <w:lang w:val="en-US" w:eastAsia="zh-CN"/>
        </w:rPr>
        <w:t>6</w:t>
      </w:r>
      <w:r>
        <w:rPr>
          <w:rFonts w:hint="eastAsia" w:ascii="Times New Roman" w:hAnsi="Times New Roman" w:eastAsia="仿宋"/>
        </w:rPr>
        <w:t>内容，支付项目总金额的</w:t>
      </w:r>
      <w:r>
        <w:rPr>
          <w:rFonts w:hint="eastAsia" w:ascii="Times New Roman" w:hAnsi="Times New Roman" w:eastAsia="仿宋"/>
          <w:u w:val="single"/>
          <w:lang w:val="en-US" w:eastAsia="zh-CN"/>
        </w:rPr>
        <w:t xml:space="preserve">   </w:t>
      </w:r>
      <w:r>
        <w:rPr>
          <w:rFonts w:hint="eastAsia" w:ascii="Times New Roman" w:hAnsi="Times New Roman" w:eastAsia="仿宋"/>
        </w:rPr>
        <w:t>%，即人民币</w:t>
      </w:r>
      <w:r>
        <w:rPr>
          <w:rFonts w:hint="eastAsia" w:ascii="Times New Roman" w:hAnsi="Times New Roman" w:eastAsia="仿宋"/>
          <w:u w:val="single"/>
          <w:lang w:val="en-US" w:eastAsia="zh-CN"/>
        </w:rPr>
        <w:t xml:space="preserve">     </w:t>
      </w:r>
      <w:r>
        <w:rPr>
          <w:rFonts w:hint="eastAsia" w:ascii="Times New Roman" w:hAnsi="Times New Roman" w:eastAsia="仿宋"/>
        </w:rPr>
        <w:t>元（大写：人民币</w:t>
      </w:r>
      <w:r>
        <w:rPr>
          <w:rFonts w:hint="eastAsia" w:ascii="Times New Roman" w:hAnsi="Times New Roman" w:eastAsia="仿宋"/>
          <w:u w:val="single"/>
          <w:lang w:val="en-US" w:eastAsia="zh-CN"/>
        </w:rPr>
        <w:t xml:space="preserve">       </w:t>
      </w:r>
      <w:r>
        <w:rPr>
          <w:rFonts w:hint="eastAsia" w:ascii="Times New Roman" w:hAnsi="Times New Roman" w:eastAsia="仿宋"/>
        </w:rPr>
        <w:t>）。</w:t>
      </w:r>
    </w:p>
    <w:p w14:paraId="27F838D0">
      <w:pPr>
        <w:pStyle w:val="14"/>
        <w:spacing w:before="0" w:beforeAutospacing="0" w:after="0" w:afterAutospacing="0" w:line="400" w:lineRule="exact"/>
        <w:ind w:firstLine="480" w:firstLineChars="200"/>
        <w:jc w:val="both"/>
        <w:rPr>
          <w:rFonts w:hint="eastAsia" w:ascii="Times New Roman" w:hAnsi="Times New Roman" w:eastAsia="仿宋"/>
        </w:rPr>
      </w:pPr>
      <w:r>
        <w:rPr>
          <w:rFonts w:hint="eastAsia" w:ascii="Times New Roman" w:hAnsi="Times New Roman" w:eastAsia="仿宋"/>
        </w:rPr>
        <w:t>（</w:t>
      </w:r>
      <w:r>
        <w:rPr>
          <w:rFonts w:hint="eastAsia" w:ascii="Times New Roman" w:hAnsi="Times New Roman" w:eastAsia="仿宋"/>
          <w:lang w:val="en-US" w:eastAsia="zh-CN"/>
        </w:rPr>
        <w:t>3</w:t>
      </w:r>
      <w:r>
        <w:rPr>
          <w:rFonts w:hint="eastAsia" w:ascii="Times New Roman" w:hAnsi="Times New Roman" w:eastAsia="仿宋"/>
        </w:rPr>
        <w:t>）完成里程碑</w:t>
      </w:r>
      <w:r>
        <w:rPr>
          <w:rFonts w:hint="eastAsia" w:ascii="Times New Roman" w:hAnsi="Times New Roman" w:eastAsia="仿宋"/>
          <w:lang w:val="en-US" w:eastAsia="zh-CN"/>
        </w:rPr>
        <w:t>7</w:t>
      </w:r>
      <w:r>
        <w:rPr>
          <w:rFonts w:hint="eastAsia" w:ascii="Times New Roman" w:hAnsi="Times New Roman" w:eastAsia="仿宋"/>
        </w:rPr>
        <w:t>内容，支付项目总金额的剩余</w:t>
      </w:r>
      <w:r>
        <w:rPr>
          <w:rFonts w:hint="eastAsia" w:ascii="Times New Roman" w:hAnsi="Times New Roman" w:eastAsia="仿宋"/>
          <w:u w:val="single"/>
          <w:lang w:val="en-US" w:eastAsia="zh-CN"/>
        </w:rPr>
        <w:t xml:space="preserve">   </w:t>
      </w:r>
      <w:r>
        <w:rPr>
          <w:rFonts w:hint="eastAsia" w:ascii="Times New Roman" w:hAnsi="Times New Roman" w:eastAsia="仿宋"/>
        </w:rPr>
        <w:t>%，即人民币</w:t>
      </w:r>
      <w:r>
        <w:rPr>
          <w:rFonts w:hint="eastAsia" w:ascii="Times New Roman" w:hAnsi="Times New Roman" w:eastAsia="仿宋"/>
          <w:u w:val="single"/>
          <w:lang w:val="en-US" w:eastAsia="zh-CN"/>
        </w:rPr>
        <w:t xml:space="preserve">    </w:t>
      </w:r>
      <w:r>
        <w:rPr>
          <w:rFonts w:hint="eastAsia" w:ascii="Times New Roman" w:hAnsi="Times New Roman" w:eastAsia="仿宋"/>
        </w:rPr>
        <w:t>元（大写：人民币</w:t>
      </w:r>
      <w:r>
        <w:rPr>
          <w:rFonts w:hint="eastAsia" w:ascii="Times New Roman" w:hAnsi="Times New Roman" w:eastAsia="仿宋"/>
          <w:u w:val="single"/>
          <w:lang w:val="en-US" w:eastAsia="zh-CN"/>
        </w:rPr>
        <w:t xml:space="preserve">      </w:t>
      </w:r>
      <w:r>
        <w:rPr>
          <w:rFonts w:hint="eastAsia" w:ascii="Times New Roman" w:hAnsi="Times New Roman" w:eastAsia="仿宋"/>
        </w:rPr>
        <w:t>）。</w:t>
      </w:r>
    </w:p>
    <w:p w14:paraId="26EE59E7">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8.3 根据本合同的规定，如果乙方有赔偿和/或支付违约金的责任，则甲方有权从上述任何一笔付款中扣除相应金额。</w:t>
      </w:r>
    </w:p>
    <w:p w14:paraId="26EE59E8">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8.4 乙方结算账号：</w:t>
      </w:r>
    </w:p>
    <w:tbl>
      <w:tblPr>
        <w:tblStyle w:val="16"/>
        <w:tblW w:w="8322" w:type="dxa"/>
        <w:jc w:val="center"/>
        <w:tblLayout w:type="fixed"/>
        <w:tblCellMar>
          <w:top w:w="0" w:type="dxa"/>
          <w:left w:w="108" w:type="dxa"/>
          <w:bottom w:w="0" w:type="dxa"/>
          <w:right w:w="108" w:type="dxa"/>
        </w:tblCellMar>
      </w:tblPr>
      <w:tblGrid>
        <w:gridCol w:w="1705"/>
        <w:gridCol w:w="6617"/>
      </w:tblGrid>
      <w:tr w14:paraId="26EE59EB">
        <w:tblPrEx>
          <w:tblCellMar>
            <w:top w:w="0" w:type="dxa"/>
            <w:left w:w="108" w:type="dxa"/>
            <w:bottom w:w="0" w:type="dxa"/>
            <w:right w:w="108" w:type="dxa"/>
          </w:tblCellMar>
        </w:tblPrEx>
        <w:trPr>
          <w:trHeight w:val="353" w:hRule="atLeast"/>
          <w:jc w:val="center"/>
        </w:trPr>
        <w:tc>
          <w:tcPr>
            <w:tcW w:w="1705" w:type="dxa"/>
            <w:tcBorders>
              <w:top w:val="single" w:color="auto" w:sz="6" w:space="0"/>
              <w:left w:val="single" w:color="auto" w:sz="6" w:space="0"/>
              <w:bottom w:val="single" w:color="auto" w:sz="6" w:space="0"/>
              <w:right w:val="single" w:color="auto" w:sz="6" w:space="0"/>
            </w:tcBorders>
            <w:vAlign w:val="center"/>
          </w:tcPr>
          <w:p w14:paraId="26EE59E9">
            <w:pPr>
              <w:tabs>
                <w:tab w:val="left" w:pos="40"/>
              </w:tabs>
              <w:ind w:firstLine="38" w:firstLineChars="16"/>
              <w:jc w:val="center"/>
              <w:rPr>
                <w:rFonts w:ascii="Times New Roman" w:hAnsi="Times New Roman" w:eastAsia="仿宋"/>
                <w:kern w:val="0"/>
                <w:sz w:val="24"/>
              </w:rPr>
            </w:pPr>
            <w:r>
              <w:rPr>
                <w:rFonts w:hint="eastAsia" w:ascii="Times New Roman" w:hAnsi="Times New Roman" w:eastAsia="仿宋"/>
                <w:kern w:val="0"/>
                <w:sz w:val="24"/>
              </w:rPr>
              <w:t>开户银行</w:t>
            </w:r>
          </w:p>
        </w:tc>
        <w:tc>
          <w:tcPr>
            <w:tcW w:w="6617" w:type="dxa"/>
            <w:tcBorders>
              <w:top w:val="single" w:color="auto" w:sz="6" w:space="0"/>
              <w:left w:val="single" w:color="auto" w:sz="6" w:space="0"/>
              <w:bottom w:val="single" w:color="auto" w:sz="6" w:space="0"/>
              <w:right w:val="single" w:color="auto" w:sz="6" w:space="0"/>
            </w:tcBorders>
            <w:shd w:val="clear" w:color="auto" w:fill="auto"/>
            <w:vAlign w:val="center"/>
          </w:tcPr>
          <w:p w14:paraId="26EE59EA">
            <w:pPr>
              <w:widowControl/>
              <w:tabs>
                <w:tab w:val="left" w:pos="410"/>
              </w:tabs>
              <w:autoSpaceDE w:val="0"/>
              <w:autoSpaceDN w:val="0"/>
              <w:ind w:firstLine="480" w:firstLineChars="200"/>
              <w:jc w:val="left"/>
              <w:textAlignment w:val="bottom"/>
              <w:outlineLvl w:val="0"/>
              <w:rPr>
                <w:rFonts w:hint="eastAsia" w:ascii="Times New Roman" w:hAnsi="Times New Roman" w:eastAsia="仿宋"/>
                <w:kern w:val="0"/>
                <w:sz w:val="24"/>
                <w:lang w:eastAsia="zh-CN"/>
              </w:rPr>
            </w:pPr>
            <w:r>
              <w:rPr>
                <w:rFonts w:hint="eastAsia" w:ascii="Times New Roman" w:hAnsi="Times New Roman" w:eastAsia="仿宋"/>
                <w:kern w:val="0"/>
                <w:sz w:val="24"/>
                <w:lang w:val="en-US" w:eastAsia="zh-CN"/>
              </w:rPr>
              <w:t xml:space="preserve"> </w:t>
            </w:r>
          </w:p>
        </w:tc>
      </w:tr>
      <w:tr w14:paraId="26EE59EE">
        <w:tblPrEx>
          <w:tblCellMar>
            <w:top w:w="0" w:type="dxa"/>
            <w:left w:w="108" w:type="dxa"/>
            <w:bottom w:w="0" w:type="dxa"/>
            <w:right w:w="108" w:type="dxa"/>
          </w:tblCellMar>
        </w:tblPrEx>
        <w:trPr>
          <w:trHeight w:val="368" w:hRule="atLeast"/>
          <w:jc w:val="center"/>
        </w:trPr>
        <w:tc>
          <w:tcPr>
            <w:tcW w:w="1705" w:type="dxa"/>
            <w:tcBorders>
              <w:top w:val="single" w:color="auto" w:sz="6" w:space="0"/>
              <w:left w:val="single" w:color="auto" w:sz="6" w:space="0"/>
              <w:bottom w:val="single" w:color="auto" w:sz="6" w:space="0"/>
              <w:right w:val="single" w:color="auto" w:sz="6" w:space="0"/>
            </w:tcBorders>
            <w:vAlign w:val="center"/>
          </w:tcPr>
          <w:p w14:paraId="26EE59EC">
            <w:pPr>
              <w:tabs>
                <w:tab w:val="left" w:pos="40"/>
              </w:tabs>
              <w:ind w:firstLine="38" w:firstLineChars="16"/>
              <w:jc w:val="center"/>
              <w:rPr>
                <w:rFonts w:ascii="Times New Roman" w:hAnsi="Times New Roman" w:eastAsia="仿宋"/>
                <w:kern w:val="0"/>
                <w:sz w:val="24"/>
              </w:rPr>
            </w:pPr>
            <w:r>
              <w:rPr>
                <w:rFonts w:hint="eastAsia" w:ascii="Times New Roman" w:hAnsi="Times New Roman" w:eastAsia="仿宋"/>
                <w:kern w:val="0"/>
                <w:sz w:val="24"/>
              </w:rPr>
              <w:t>银行账号</w:t>
            </w:r>
          </w:p>
        </w:tc>
        <w:tc>
          <w:tcPr>
            <w:tcW w:w="6617" w:type="dxa"/>
            <w:tcBorders>
              <w:top w:val="single" w:color="auto" w:sz="6" w:space="0"/>
              <w:left w:val="single" w:color="auto" w:sz="6" w:space="0"/>
              <w:bottom w:val="single" w:color="auto" w:sz="6" w:space="0"/>
              <w:right w:val="single" w:color="auto" w:sz="6" w:space="0"/>
            </w:tcBorders>
            <w:shd w:val="clear" w:color="auto" w:fill="auto"/>
            <w:vAlign w:val="center"/>
          </w:tcPr>
          <w:p w14:paraId="26EE59ED">
            <w:pPr>
              <w:widowControl/>
              <w:tabs>
                <w:tab w:val="left" w:pos="410"/>
              </w:tabs>
              <w:autoSpaceDE w:val="0"/>
              <w:autoSpaceDN w:val="0"/>
              <w:ind w:firstLine="480" w:firstLineChars="200"/>
              <w:jc w:val="left"/>
              <w:textAlignment w:val="bottom"/>
              <w:outlineLvl w:val="0"/>
              <w:rPr>
                <w:rFonts w:hint="eastAsia" w:ascii="Times New Roman" w:hAnsi="Times New Roman" w:eastAsia="仿宋"/>
                <w:kern w:val="0"/>
                <w:sz w:val="24"/>
                <w:lang w:eastAsia="zh-CN"/>
              </w:rPr>
            </w:pPr>
            <w:r>
              <w:rPr>
                <w:rFonts w:hint="eastAsia" w:ascii="Times New Roman" w:hAnsi="Times New Roman" w:eastAsia="仿宋"/>
                <w:kern w:val="0"/>
                <w:sz w:val="24"/>
                <w:lang w:val="en-US" w:eastAsia="zh-CN"/>
              </w:rPr>
              <w:t xml:space="preserve"> </w:t>
            </w:r>
          </w:p>
        </w:tc>
      </w:tr>
    </w:tbl>
    <w:p w14:paraId="26EE59EF">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乙方如需改变上述账户，应提前十日以书面通知甲方。</w:t>
      </w:r>
      <w:r>
        <w:rPr>
          <w:rFonts w:hint="eastAsia" w:ascii="Times New Roman" w:hAnsi="Times New Roman" w:eastAsia="仿宋"/>
        </w:rPr>
        <w:t>如乙方未按时书面通知甲方变更收款信息时，甲方根据本合同约定的乙方收款信息付款，视为有效履行。</w:t>
      </w:r>
    </w:p>
    <w:p w14:paraId="26EE59F0">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8.5乙方在每次支付</w:t>
      </w:r>
      <w:r>
        <w:rPr>
          <w:rFonts w:ascii="Times New Roman" w:hAnsi="Times New Roman"/>
          <w:color w:val="000000"/>
          <w:u w:val="single"/>
        </w:rPr>
        <w:t xml:space="preserve"> 7</w:t>
      </w:r>
      <w:r>
        <w:rPr>
          <w:rFonts w:ascii="Times New Roman" w:hAnsi="Times New Roman" w:eastAsia="仿宋"/>
        </w:rPr>
        <w:t>天前申请向甲方开具支付款等额合法有效增值税专用发票（发票金额包含用于抵扣乙方赔偿金、违约金的金额等），经甲方认可后，乙方于每次支付7日前向甲方提供合法有效的发票。因乙方未及时申请或开票造成甲方逾期付款的，甲方无需承担任何逾期付款责任。因乙方开具的发票不规范、不合法或涉嫌虚开发票引起税务问题的，乙方需依法向甲方重新开具发票，并向甲方承担赔偿责任，包括但不限于税款、滞纳金、罚款及相关损失等；因乙方未及时开具发票造成甲方无法及时认证、抵扣发票等情形的，乙方需向甲方承担赔偿责任，包括但不限于税款、滞纳金、罚款及相关损失等。</w:t>
      </w:r>
    </w:p>
    <w:p w14:paraId="26EE59F1">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8.6 项目增减定价</w:t>
      </w:r>
    </w:p>
    <w:p w14:paraId="26EE59F2">
      <w:pPr>
        <w:pStyle w:val="14"/>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480" w:firstLineChars="200"/>
        <w:jc w:val="both"/>
        <w:textAlignment w:val="auto"/>
        <w:rPr>
          <w:rFonts w:ascii="Times New Roman" w:hAnsi="Times New Roman" w:eastAsia="仿宋"/>
        </w:rPr>
      </w:pPr>
      <w:r>
        <w:rPr>
          <w:rFonts w:ascii="Times New Roman" w:hAnsi="Times New Roman" w:eastAsia="仿宋"/>
        </w:rPr>
        <w:t>在本项目进展过程中，甲、乙双方依据本合同对项目作出任何变更或经双方同意的功能变化或模块的增减等，一方或双方将以上述规定的价格为原则，商定变更后的具体价格。</w:t>
      </w:r>
    </w:p>
    <w:p w14:paraId="26EE59F3">
      <w:pPr>
        <w:tabs>
          <w:tab w:val="left" w:pos="2880"/>
          <w:tab w:val="left" w:pos="7020"/>
        </w:tabs>
        <w:spacing w:line="360" w:lineRule="auto"/>
        <w:ind w:right="178" w:rightChars="85" w:firstLine="482"/>
        <w:rPr>
          <w:rFonts w:ascii="Times New Roman" w:hAnsi="Times New Roman" w:eastAsia="仿宋"/>
          <w:b/>
          <w:bCs/>
          <w:kern w:val="0"/>
          <w:sz w:val="24"/>
        </w:rPr>
      </w:pPr>
      <w:r>
        <w:rPr>
          <w:rFonts w:ascii="Times New Roman" w:hAnsi="Times New Roman" w:eastAsia="仿宋"/>
          <w:b/>
          <w:bCs/>
          <w:kern w:val="0"/>
          <w:sz w:val="24"/>
        </w:rPr>
        <w:t>第9条 保证与免责</w:t>
      </w:r>
    </w:p>
    <w:p w14:paraId="26EE59F4">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9.1乙方保证</w:t>
      </w:r>
    </w:p>
    <w:p w14:paraId="26EE59F5">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9.1.1 乙方签署和履行本合同或与本合同相关的文件将不会</w:t>
      </w:r>
    </w:p>
    <w:p w14:paraId="26EE59F6">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（1）与乙方的章程或其他适用于乙方的法律法规或判决相冲突；</w:t>
      </w:r>
    </w:p>
    <w:p w14:paraId="26EE59F7">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（2）与乙方同第三人所签署的任何法律文件如保证协议、承诺、合同等规定的义务相冲突或导致任何违约，或使乙方的权利受到约束。</w:t>
      </w:r>
    </w:p>
    <w:p w14:paraId="26EE59F8">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9.1.2 乙方保证：乙方履行本合同项下的义务，授予甲方的许可权没有受到任何第三方的约束或限制，也没有承担任何约束或限制性义务。</w:t>
      </w:r>
    </w:p>
    <w:p w14:paraId="26EE59F9">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9.1.3乙方保证：所提供</w:t>
      </w:r>
      <w:r>
        <w:rPr>
          <w:rFonts w:hint="eastAsia" w:ascii="Times New Roman" w:hAnsi="Times New Roman" w:eastAsia="仿宋"/>
          <w:lang w:val="en-US" w:eastAsia="zh-CN"/>
        </w:rPr>
        <w:t>平台/</w:t>
      </w:r>
      <w:r>
        <w:rPr>
          <w:rFonts w:hint="eastAsia" w:ascii="Times New Roman" w:hAnsi="Times New Roman" w:eastAsia="仿宋"/>
        </w:rPr>
        <w:t>算法模型</w:t>
      </w:r>
      <w:r>
        <w:rPr>
          <w:rFonts w:ascii="Times New Roman" w:hAnsi="Times New Roman" w:eastAsia="仿宋"/>
        </w:rPr>
        <w:t>是标准的、规范的、成熟稳定并可用的；所提供的技术文件是最新的、完备的、清晰的、正确的。</w:t>
      </w:r>
    </w:p>
    <w:p w14:paraId="26EE59FA">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9.1.4乙方保证：乙方所开发的</w:t>
      </w:r>
      <w:r>
        <w:rPr>
          <w:rFonts w:hint="eastAsia" w:ascii="Times New Roman" w:hAnsi="Times New Roman" w:eastAsia="仿宋"/>
          <w:lang w:val="en-US" w:eastAsia="zh-CN"/>
        </w:rPr>
        <w:t>平台/</w:t>
      </w:r>
      <w:r>
        <w:rPr>
          <w:rFonts w:hint="eastAsia" w:ascii="Times New Roman" w:hAnsi="Times New Roman" w:eastAsia="仿宋"/>
        </w:rPr>
        <w:t>模型</w:t>
      </w:r>
      <w:r>
        <w:rPr>
          <w:rFonts w:ascii="Times New Roman" w:hAnsi="Times New Roman" w:eastAsia="仿宋"/>
        </w:rPr>
        <w:t>必须符合国家有关</w:t>
      </w:r>
      <w:r>
        <w:rPr>
          <w:rFonts w:hint="eastAsia" w:ascii="Times New Roman" w:hAnsi="Times New Roman" w:eastAsia="仿宋"/>
          <w:lang w:val="en-US" w:eastAsia="zh-CN"/>
        </w:rPr>
        <w:t>平台/</w:t>
      </w:r>
      <w:r>
        <w:rPr>
          <w:rFonts w:hint="eastAsia" w:ascii="Times New Roman" w:hAnsi="Times New Roman" w:eastAsia="仿宋"/>
        </w:rPr>
        <w:t>模型</w:t>
      </w:r>
      <w:r>
        <w:rPr>
          <w:rFonts w:ascii="Times New Roman" w:hAnsi="Times New Roman" w:eastAsia="仿宋"/>
        </w:rPr>
        <w:t>产品方面的规定和</w:t>
      </w:r>
      <w:r>
        <w:rPr>
          <w:rFonts w:hint="eastAsia" w:ascii="Times New Roman" w:hAnsi="Times New Roman" w:eastAsia="仿宋"/>
          <w:lang w:val="en-US" w:eastAsia="zh-CN"/>
        </w:rPr>
        <w:t>平台/</w:t>
      </w:r>
      <w:r>
        <w:rPr>
          <w:rFonts w:hint="eastAsia" w:ascii="Times New Roman" w:hAnsi="Times New Roman" w:eastAsia="仿宋"/>
        </w:rPr>
        <w:t>模型</w:t>
      </w:r>
      <w:r>
        <w:rPr>
          <w:rFonts w:ascii="Times New Roman" w:hAnsi="Times New Roman" w:eastAsia="仿宋"/>
        </w:rPr>
        <w:t>标准规范以及甲方现行的相关体制标准的产品；如无前述体制标准，则保证其符合相关国际标准；如无国际标准，则保证其符合行业惯常标准。</w:t>
      </w:r>
    </w:p>
    <w:p w14:paraId="26EE59FB">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9.1.5乙方承诺：在本合同</w:t>
      </w:r>
      <w:r>
        <w:rPr>
          <w:rFonts w:hint="eastAsia" w:ascii="Times New Roman" w:hAnsi="Times New Roman" w:eastAsia="仿宋"/>
          <w:lang w:val="en-US" w:eastAsia="zh-CN"/>
        </w:rPr>
        <w:t>平台/</w:t>
      </w:r>
      <w:r>
        <w:rPr>
          <w:rFonts w:hint="eastAsia" w:ascii="Times New Roman" w:hAnsi="Times New Roman" w:eastAsia="仿宋"/>
        </w:rPr>
        <w:t>模型</w:t>
      </w:r>
      <w:r>
        <w:rPr>
          <w:rFonts w:ascii="Times New Roman" w:hAnsi="Times New Roman" w:eastAsia="仿宋"/>
        </w:rPr>
        <w:t>被其它</w:t>
      </w:r>
      <w:r>
        <w:rPr>
          <w:rFonts w:hint="eastAsia" w:ascii="Times New Roman" w:hAnsi="Times New Roman" w:eastAsia="仿宋"/>
          <w:lang w:val="en-US" w:eastAsia="zh-CN"/>
        </w:rPr>
        <w:t>平台/</w:t>
      </w:r>
      <w:r>
        <w:rPr>
          <w:rFonts w:hint="eastAsia" w:ascii="Times New Roman" w:hAnsi="Times New Roman" w:eastAsia="仿宋"/>
        </w:rPr>
        <w:t>模型</w:t>
      </w:r>
      <w:r>
        <w:rPr>
          <w:rFonts w:ascii="Times New Roman" w:hAnsi="Times New Roman" w:eastAsia="仿宋"/>
        </w:rPr>
        <w:t>替换的情况下，乙方应免费配合甲方将合同</w:t>
      </w:r>
      <w:r>
        <w:rPr>
          <w:rFonts w:hint="eastAsia" w:ascii="Times New Roman" w:hAnsi="Times New Roman" w:eastAsia="仿宋"/>
          <w:lang w:val="en-US" w:eastAsia="zh-CN"/>
        </w:rPr>
        <w:t>平台/</w:t>
      </w:r>
      <w:r>
        <w:rPr>
          <w:rFonts w:hint="eastAsia" w:ascii="Times New Roman" w:hAnsi="Times New Roman" w:eastAsia="仿宋"/>
        </w:rPr>
        <w:t>模型</w:t>
      </w:r>
      <w:r>
        <w:rPr>
          <w:rFonts w:ascii="Times New Roman" w:hAnsi="Times New Roman" w:eastAsia="仿宋"/>
        </w:rPr>
        <w:t>中全部用户数据置换为通用的可识别的文件。此种情况下，乙方应免费进行合同</w:t>
      </w:r>
      <w:r>
        <w:rPr>
          <w:rFonts w:hint="eastAsia" w:ascii="Times New Roman" w:hAnsi="Times New Roman" w:eastAsia="仿宋"/>
          <w:lang w:val="en-US" w:eastAsia="zh-CN"/>
        </w:rPr>
        <w:t>平台/</w:t>
      </w:r>
      <w:r>
        <w:rPr>
          <w:rFonts w:hint="eastAsia" w:ascii="Times New Roman" w:hAnsi="Times New Roman" w:eastAsia="仿宋"/>
        </w:rPr>
        <w:t>模型</w:t>
      </w:r>
      <w:r>
        <w:rPr>
          <w:rFonts w:ascii="Times New Roman" w:hAnsi="Times New Roman" w:eastAsia="仿宋"/>
        </w:rPr>
        <w:t>的改造及相关配合工作，以满足甲方的要求。</w:t>
      </w:r>
    </w:p>
    <w:p w14:paraId="26EE59FC">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9.1.6乙方承诺：在甲方要求时免费配合、提供并完成与甲方其它应用系统间的互通性测试，在甲方及相关开发方与乙方签订保密协议并承担保密义务的情形下免费开放相关的接口协议，包括但不限于通信协议、协议的原语、协议中使用的消息集、由协议所交换的数据格式、系统所支持的信息模型、管理目标定义、数据库结构及其他必要的技术文件，上述文件应满足甲方能够自行开发或委托第三方开发与合同</w:t>
      </w:r>
      <w:r>
        <w:rPr>
          <w:rFonts w:hint="eastAsia" w:ascii="Times New Roman" w:hAnsi="Times New Roman" w:eastAsia="仿宋"/>
          <w:lang w:val="en-US" w:eastAsia="zh-CN"/>
        </w:rPr>
        <w:t>平台/</w:t>
      </w:r>
      <w:r>
        <w:rPr>
          <w:rFonts w:hint="eastAsia" w:ascii="Times New Roman" w:hAnsi="Times New Roman" w:eastAsia="仿宋"/>
        </w:rPr>
        <w:t>模型</w:t>
      </w:r>
      <w:r>
        <w:rPr>
          <w:rFonts w:ascii="Times New Roman" w:hAnsi="Times New Roman" w:eastAsia="仿宋"/>
        </w:rPr>
        <w:t>有关的应用</w:t>
      </w:r>
      <w:r>
        <w:rPr>
          <w:rFonts w:hint="eastAsia" w:ascii="Times New Roman" w:hAnsi="Times New Roman" w:eastAsia="仿宋"/>
        </w:rPr>
        <w:t>模块</w:t>
      </w:r>
      <w:r>
        <w:rPr>
          <w:rFonts w:ascii="Times New Roman" w:hAnsi="Times New Roman" w:eastAsia="仿宋"/>
        </w:rPr>
        <w:t>的要求。乙方进行版本升级时应提前1个月提供上述技术文件的修改部分，并在需要时按照买方的技术规范免费修改合同</w:t>
      </w:r>
      <w:r>
        <w:rPr>
          <w:rFonts w:hint="eastAsia" w:ascii="Times New Roman" w:hAnsi="Times New Roman" w:eastAsia="仿宋"/>
          <w:lang w:val="en-US" w:eastAsia="zh-CN"/>
        </w:rPr>
        <w:t>平台/</w:t>
      </w:r>
      <w:r>
        <w:rPr>
          <w:rFonts w:hint="eastAsia" w:ascii="Times New Roman" w:hAnsi="Times New Roman" w:eastAsia="仿宋"/>
        </w:rPr>
        <w:t>模型</w:t>
      </w:r>
      <w:r>
        <w:rPr>
          <w:rFonts w:ascii="Times New Roman" w:hAnsi="Times New Roman" w:eastAsia="仿宋"/>
        </w:rPr>
        <w:t>以满足与甲方其它应用系统互通的要求。</w:t>
      </w:r>
    </w:p>
    <w:p w14:paraId="26EE59FD">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9.1.7 侵权与被诉</w:t>
      </w:r>
    </w:p>
    <w:p w14:paraId="26EE59FE">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乙方保证本</w:t>
      </w:r>
      <w:r>
        <w:rPr>
          <w:rFonts w:hint="eastAsia" w:ascii="Times New Roman" w:hAnsi="Times New Roman" w:eastAsia="仿宋"/>
          <w:lang w:val="en-US" w:eastAsia="zh-CN"/>
        </w:rPr>
        <w:t>项目平台/</w:t>
      </w:r>
      <w:r>
        <w:rPr>
          <w:rFonts w:hint="eastAsia" w:ascii="Times New Roman" w:hAnsi="Times New Roman" w:eastAsia="仿宋"/>
        </w:rPr>
        <w:t>模型</w:t>
      </w:r>
      <w:r>
        <w:rPr>
          <w:rFonts w:ascii="Times New Roman" w:hAnsi="Times New Roman" w:eastAsia="仿宋"/>
        </w:rPr>
        <w:t>或其授予的权利不会侵犯任何第三人的知识产权或其他权利，也没有其他针对乙方拥有本</w:t>
      </w:r>
      <w:r>
        <w:rPr>
          <w:rFonts w:hint="eastAsia" w:ascii="Times New Roman" w:hAnsi="Times New Roman" w:eastAsia="仿宋"/>
          <w:lang w:val="en-US" w:eastAsia="zh-CN"/>
        </w:rPr>
        <w:t>平台/</w:t>
      </w:r>
      <w:r>
        <w:rPr>
          <w:rFonts w:hint="eastAsia" w:ascii="Times New Roman" w:hAnsi="Times New Roman" w:eastAsia="仿宋"/>
        </w:rPr>
        <w:t>模型</w:t>
      </w:r>
      <w:r>
        <w:rPr>
          <w:rFonts w:ascii="Times New Roman" w:hAnsi="Times New Roman" w:eastAsia="仿宋"/>
        </w:rPr>
        <w:t>权利的未决诉讼，或甲方行使乙方所授予的</w:t>
      </w:r>
      <w:r>
        <w:rPr>
          <w:rFonts w:hint="eastAsia" w:ascii="Times New Roman" w:hAnsi="Times New Roman" w:eastAsia="仿宋"/>
          <w:lang w:val="en-US" w:eastAsia="zh-CN"/>
        </w:rPr>
        <w:t>平台/</w:t>
      </w:r>
      <w:r>
        <w:rPr>
          <w:rFonts w:hint="eastAsia" w:ascii="Times New Roman" w:hAnsi="Times New Roman" w:eastAsia="仿宋"/>
        </w:rPr>
        <w:t>模型</w:t>
      </w:r>
      <w:r>
        <w:rPr>
          <w:rFonts w:ascii="Times New Roman" w:hAnsi="Times New Roman" w:eastAsia="仿宋"/>
        </w:rPr>
        <w:t>权利不会侵犯任何第三人的合法权利。</w:t>
      </w:r>
    </w:p>
    <w:p w14:paraId="26EE59FF">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9.1.8 在乙方所交付的</w:t>
      </w:r>
      <w:r>
        <w:rPr>
          <w:rFonts w:hint="eastAsia" w:ascii="Times New Roman" w:hAnsi="Times New Roman" w:eastAsia="仿宋"/>
          <w:lang w:val="en-US" w:eastAsia="zh-CN"/>
        </w:rPr>
        <w:t>平台/</w:t>
      </w:r>
      <w:r>
        <w:rPr>
          <w:rFonts w:hint="eastAsia" w:ascii="Times New Roman" w:hAnsi="Times New Roman" w:eastAsia="仿宋"/>
        </w:rPr>
        <w:t>模型</w:t>
      </w:r>
      <w:r>
        <w:rPr>
          <w:rFonts w:ascii="Times New Roman" w:hAnsi="Times New Roman" w:eastAsia="仿宋"/>
        </w:rPr>
        <w:t>中，不含任何可以自动终止或妨碍系统运作的</w:t>
      </w:r>
      <w:r>
        <w:rPr>
          <w:rFonts w:hint="eastAsia" w:ascii="Times New Roman" w:hAnsi="Times New Roman" w:eastAsia="仿宋"/>
        </w:rPr>
        <w:t>模块</w:t>
      </w:r>
      <w:r>
        <w:rPr>
          <w:rFonts w:ascii="Times New Roman" w:hAnsi="Times New Roman" w:eastAsia="仿宋"/>
        </w:rPr>
        <w:t>。</w:t>
      </w:r>
    </w:p>
    <w:p w14:paraId="26EE5A00">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9.1.9如乙方所交付和许可甲方使用的</w:t>
      </w:r>
      <w:r>
        <w:rPr>
          <w:rFonts w:hint="eastAsia" w:ascii="Times New Roman" w:hAnsi="Times New Roman" w:eastAsia="仿宋"/>
          <w:lang w:val="en-US" w:eastAsia="zh-CN"/>
        </w:rPr>
        <w:t>平台/</w:t>
      </w:r>
      <w:r>
        <w:rPr>
          <w:rFonts w:hint="eastAsia" w:ascii="Times New Roman" w:hAnsi="Times New Roman" w:eastAsia="仿宋"/>
        </w:rPr>
        <w:t>模型</w:t>
      </w:r>
      <w:r>
        <w:rPr>
          <w:rFonts w:ascii="Times New Roman" w:hAnsi="Times New Roman" w:eastAsia="仿宋"/>
        </w:rPr>
        <w:t>需经国家有关部门登记、备案、审批或许可的，乙方应保证所提供的</w:t>
      </w:r>
      <w:r>
        <w:rPr>
          <w:rFonts w:hint="eastAsia" w:ascii="Times New Roman" w:hAnsi="Times New Roman" w:eastAsia="仿宋"/>
          <w:lang w:val="en-US" w:eastAsia="zh-CN"/>
        </w:rPr>
        <w:t>平台/</w:t>
      </w:r>
      <w:r>
        <w:rPr>
          <w:rFonts w:hint="eastAsia" w:ascii="Times New Roman" w:hAnsi="Times New Roman" w:eastAsia="仿宋"/>
        </w:rPr>
        <w:t>模型</w:t>
      </w:r>
      <w:r>
        <w:rPr>
          <w:rFonts w:ascii="Times New Roman" w:hAnsi="Times New Roman" w:eastAsia="仿宋"/>
        </w:rPr>
        <w:t>已完成了上述手续。</w:t>
      </w:r>
    </w:p>
    <w:p w14:paraId="26EE5A01">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9.2 侵权赔偿</w:t>
      </w:r>
    </w:p>
    <w:p w14:paraId="26EE5A02">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9.2.1 乙方同意，如有第三方声称甲方或甲方所分许可的顾客使用本</w:t>
      </w:r>
      <w:r>
        <w:rPr>
          <w:rFonts w:hint="eastAsia" w:ascii="Times New Roman" w:hAnsi="Times New Roman" w:eastAsia="仿宋"/>
          <w:lang w:val="en-US" w:eastAsia="zh-CN"/>
        </w:rPr>
        <w:t>平台/</w:t>
      </w:r>
      <w:r>
        <w:rPr>
          <w:rFonts w:hint="eastAsia" w:ascii="Times New Roman" w:hAnsi="Times New Roman" w:eastAsia="仿宋"/>
        </w:rPr>
        <w:t>模型</w:t>
      </w:r>
      <w:r>
        <w:rPr>
          <w:rFonts w:ascii="Times New Roman" w:hAnsi="Times New Roman" w:eastAsia="仿宋"/>
        </w:rPr>
        <w:t>侵犯了第三方的知识产权或其它财产权利，乙方将对由此而引起的任何诉讼或法律请求进行抗辩。乙方同意支付有关判决或和解所确定的赔偿金额（包括但不限于诉讼费、仲裁费、保全费、违约金、赔偿金等）。甲方同意，一旦发生此类诉讼或请求，甲方将及时通知乙方并对乙方处理该诉讼或请求提供合理的帮助，以便乙方获得应有的权利，并在征得乙方书面同意的情况下处理与此相关的应诉、抗辩或进行和解。甲方有权自费参与针对该项诉请的应诉抗辩或和解。如乙方由于经济或其他原因不能针对该项诉请进行应诉或和解，甲方有权应诉或进行和解，其发生的费用由乙方承担。</w:t>
      </w:r>
    </w:p>
    <w:p w14:paraId="26EE5A03">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9.2.2 如本</w:t>
      </w:r>
      <w:r>
        <w:rPr>
          <w:rFonts w:hint="eastAsia" w:ascii="Times New Roman" w:hAnsi="Times New Roman" w:eastAsia="仿宋"/>
          <w:lang w:val="en-US" w:eastAsia="zh-CN"/>
        </w:rPr>
        <w:t>平台/</w:t>
      </w:r>
      <w:r>
        <w:rPr>
          <w:rFonts w:hint="eastAsia" w:ascii="Times New Roman" w:hAnsi="Times New Roman" w:eastAsia="仿宋"/>
        </w:rPr>
        <w:t>模型</w:t>
      </w:r>
      <w:r>
        <w:rPr>
          <w:rFonts w:ascii="Times New Roman" w:hAnsi="Times New Roman" w:eastAsia="仿宋"/>
        </w:rPr>
        <w:t>或其任何部分被依法认定为侵犯第三人的合法权利，或任何依约定使用或分销该</w:t>
      </w:r>
      <w:r>
        <w:rPr>
          <w:rFonts w:hint="eastAsia" w:ascii="Times New Roman" w:hAnsi="Times New Roman" w:eastAsia="仿宋"/>
          <w:lang w:val="en-US" w:eastAsia="zh-CN"/>
        </w:rPr>
        <w:t>平台/</w:t>
      </w:r>
      <w:r>
        <w:rPr>
          <w:rFonts w:hint="eastAsia" w:ascii="Times New Roman" w:hAnsi="Times New Roman" w:eastAsia="仿宋"/>
        </w:rPr>
        <w:t>模型</w:t>
      </w:r>
      <w:r>
        <w:rPr>
          <w:rFonts w:ascii="Times New Roman" w:hAnsi="Times New Roman" w:eastAsia="仿宋"/>
        </w:rPr>
        <w:t>或行使任何由乙方授予的权利被认定为侵权，乙方应尽力用相等功能的且非侵权的</w:t>
      </w:r>
      <w:r>
        <w:rPr>
          <w:rFonts w:hint="eastAsia" w:ascii="Times New Roman" w:hAnsi="Times New Roman" w:eastAsia="仿宋"/>
        </w:rPr>
        <w:t>模块</w:t>
      </w:r>
      <w:r>
        <w:rPr>
          <w:rFonts w:ascii="Times New Roman" w:hAnsi="Times New Roman" w:eastAsia="仿宋"/>
        </w:rPr>
        <w:t>替换本</w:t>
      </w:r>
      <w:r>
        <w:rPr>
          <w:rFonts w:hint="eastAsia" w:ascii="Times New Roman" w:hAnsi="Times New Roman" w:eastAsia="仿宋"/>
        </w:rPr>
        <w:t>模块</w:t>
      </w:r>
      <w:r>
        <w:rPr>
          <w:rFonts w:ascii="Times New Roman" w:hAnsi="Times New Roman" w:eastAsia="仿宋"/>
        </w:rPr>
        <w:t>，或取得相关授权，以使甲方能够继续享有本合同所规定的各项权利。</w:t>
      </w:r>
    </w:p>
    <w:p w14:paraId="26EE5A04">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9.2.3 如果乙方经合理和具有事实根据的判断，认为本</w:t>
      </w:r>
      <w:r>
        <w:rPr>
          <w:rFonts w:hint="eastAsia" w:ascii="Times New Roman" w:hAnsi="Times New Roman" w:eastAsia="仿宋"/>
          <w:lang w:val="en-US" w:eastAsia="zh-CN"/>
        </w:rPr>
        <w:t>平台/</w:t>
      </w:r>
      <w:r>
        <w:rPr>
          <w:rFonts w:hint="eastAsia" w:ascii="Times New Roman" w:hAnsi="Times New Roman" w:eastAsia="仿宋"/>
        </w:rPr>
        <w:t>模型</w:t>
      </w:r>
      <w:r>
        <w:rPr>
          <w:rFonts w:ascii="Times New Roman" w:hAnsi="Times New Roman" w:eastAsia="仿宋"/>
        </w:rPr>
        <w:t>或其任何部分可能被依法认定为侵犯第三人合法权利的，或使用或分销该</w:t>
      </w:r>
      <w:r>
        <w:rPr>
          <w:rFonts w:hint="eastAsia" w:ascii="Times New Roman" w:hAnsi="Times New Roman" w:eastAsia="仿宋"/>
          <w:lang w:val="en-US" w:eastAsia="zh-CN"/>
        </w:rPr>
        <w:t>平台/</w:t>
      </w:r>
      <w:r>
        <w:rPr>
          <w:rFonts w:hint="eastAsia" w:ascii="Times New Roman" w:hAnsi="Times New Roman" w:eastAsia="仿宋"/>
        </w:rPr>
        <w:t>模型</w:t>
      </w:r>
      <w:r>
        <w:rPr>
          <w:rFonts w:ascii="Times New Roman" w:hAnsi="Times New Roman" w:eastAsia="仿宋"/>
        </w:rPr>
        <w:t>或甲方行使由乙方授予的权利可能被认定为侵权的，乙方可以用相类似的具有相同功能的非侵权</w:t>
      </w:r>
      <w:r>
        <w:rPr>
          <w:rFonts w:hint="eastAsia" w:ascii="Times New Roman" w:hAnsi="Times New Roman" w:eastAsia="仿宋"/>
        </w:rPr>
        <w:t>模块</w:t>
      </w:r>
      <w:r>
        <w:rPr>
          <w:rFonts w:ascii="Times New Roman" w:hAnsi="Times New Roman" w:eastAsia="仿宋"/>
        </w:rPr>
        <w:t>替换本</w:t>
      </w:r>
      <w:r>
        <w:rPr>
          <w:rFonts w:hint="eastAsia" w:ascii="Times New Roman" w:hAnsi="Times New Roman" w:eastAsia="仿宋"/>
        </w:rPr>
        <w:t>模块</w:t>
      </w:r>
      <w:r>
        <w:rPr>
          <w:rFonts w:ascii="Times New Roman" w:hAnsi="Times New Roman" w:eastAsia="仿宋"/>
        </w:rPr>
        <w:t>，或尽力取得必要的相关授权，以使甲方能够继续享有本合同所规定的各项权利，乙方除违约金外，还应赔偿由此给甲方造成的一切直接或间接损失。但乙方对甲方由于使用了相关的非法</w:t>
      </w:r>
      <w:r>
        <w:rPr>
          <w:rFonts w:hint="eastAsia" w:ascii="Times New Roman" w:hAnsi="Times New Roman" w:eastAsia="仿宋"/>
        </w:rPr>
        <w:t>模块</w:t>
      </w:r>
      <w:r>
        <w:rPr>
          <w:rFonts w:ascii="Times New Roman" w:hAnsi="Times New Roman" w:eastAsia="仿宋"/>
        </w:rPr>
        <w:t>，或在本</w:t>
      </w:r>
      <w:r>
        <w:rPr>
          <w:rFonts w:hint="eastAsia" w:ascii="Times New Roman" w:hAnsi="Times New Roman" w:eastAsia="仿宋"/>
          <w:lang w:val="en-US" w:eastAsia="zh-CN"/>
        </w:rPr>
        <w:t>平台/</w:t>
      </w:r>
      <w:r>
        <w:rPr>
          <w:rFonts w:hint="eastAsia" w:ascii="Times New Roman" w:hAnsi="Times New Roman" w:eastAsia="仿宋"/>
        </w:rPr>
        <w:t>模型</w:t>
      </w:r>
      <w:r>
        <w:rPr>
          <w:rFonts w:ascii="Times New Roman" w:hAnsi="Times New Roman" w:eastAsia="仿宋"/>
        </w:rPr>
        <w:t>中使用了非乙方提供的</w:t>
      </w:r>
      <w:r>
        <w:rPr>
          <w:rFonts w:hint="eastAsia" w:ascii="Times New Roman" w:hAnsi="Times New Roman" w:eastAsia="仿宋"/>
        </w:rPr>
        <w:t>模块</w:t>
      </w:r>
      <w:r>
        <w:rPr>
          <w:rFonts w:ascii="Times New Roman" w:hAnsi="Times New Roman" w:eastAsia="仿宋"/>
        </w:rPr>
        <w:t>，或该</w:t>
      </w:r>
      <w:r>
        <w:rPr>
          <w:rFonts w:hint="eastAsia" w:ascii="Times New Roman" w:hAnsi="Times New Roman" w:eastAsia="仿宋"/>
          <w:lang w:val="en-US" w:eastAsia="zh-CN"/>
        </w:rPr>
        <w:t>平台/</w:t>
      </w:r>
      <w:r>
        <w:rPr>
          <w:rFonts w:hint="eastAsia" w:ascii="Times New Roman" w:hAnsi="Times New Roman" w:eastAsia="仿宋"/>
        </w:rPr>
        <w:t>模型</w:t>
      </w:r>
      <w:r>
        <w:rPr>
          <w:rFonts w:ascii="Times New Roman" w:hAnsi="Times New Roman" w:eastAsia="仿宋"/>
        </w:rPr>
        <w:t>中非乙方对本</w:t>
      </w:r>
      <w:r>
        <w:rPr>
          <w:rFonts w:hint="eastAsia" w:ascii="Times New Roman" w:hAnsi="Times New Roman" w:eastAsia="仿宋"/>
        </w:rPr>
        <w:t>模块</w:t>
      </w:r>
      <w:r>
        <w:rPr>
          <w:rFonts w:ascii="Times New Roman" w:hAnsi="Times New Roman" w:eastAsia="仿宋"/>
        </w:rPr>
        <w:t>的修改而导致的侵权不承担责任。</w:t>
      </w:r>
    </w:p>
    <w:p w14:paraId="26EE5A05">
      <w:pPr>
        <w:pStyle w:val="14"/>
        <w:spacing w:before="0" w:beforeAutospacing="0" w:after="0" w:afterAutospacing="0" w:line="400" w:lineRule="exact"/>
        <w:ind w:firstLine="480" w:firstLineChars="200"/>
        <w:jc w:val="both"/>
        <w:rPr>
          <w:rFonts w:ascii="Times New Roman" w:hAnsi="Times New Roman" w:eastAsia="仿宋"/>
        </w:rPr>
      </w:pPr>
      <w:r>
        <w:rPr>
          <w:rFonts w:hint="eastAsia" w:ascii="Times New Roman" w:hAnsi="Times New Roman" w:eastAsia="仿宋"/>
        </w:rPr>
        <w:t>9.2.4 如果乙方及其工作人员出现的安全事故、侵权事件，遭受人身损害或财产损失等均由乙方承担全部责任和费用，与甲方无关。乙方因未履行本合同和（或）其履行不符合本合同的约定而造成安全事故、造成甲方损失和（或）第三方损失的，乙方除应承担违约责任外，还应完全赔偿给甲方和（或）第三方造成的全部损失。</w:t>
      </w:r>
    </w:p>
    <w:p w14:paraId="26EE5A06">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9.3 甲方保证</w:t>
      </w:r>
    </w:p>
    <w:p w14:paraId="26EE5A07">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甲方签署和履行本合同或与本合同相关的文件将不会产生冲突：</w:t>
      </w:r>
    </w:p>
    <w:p w14:paraId="26EE5A08">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（1）与甲方的章程或其他适用于甲方的法律法规或判决等相冲突；</w:t>
      </w:r>
    </w:p>
    <w:p w14:paraId="26EE5A09">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（2）与甲方同第三人所签署的任何法律文件如保证协议、承诺、合同等中的义务相冲突或导致任何违约，或使乙方的权利受到约束。</w:t>
      </w:r>
    </w:p>
    <w:p w14:paraId="26EE5A0B">
      <w:pPr>
        <w:tabs>
          <w:tab w:val="left" w:pos="2880"/>
          <w:tab w:val="left" w:pos="7020"/>
        </w:tabs>
        <w:spacing w:line="360" w:lineRule="auto"/>
        <w:ind w:right="178" w:rightChars="85" w:firstLine="482"/>
        <w:rPr>
          <w:rFonts w:ascii="Times New Roman" w:hAnsi="Times New Roman" w:eastAsia="仿宋"/>
          <w:b/>
          <w:bCs/>
          <w:kern w:val="0"/>
          <w:sz w:val="24"/>
        </w:rPr>
      </w:pPr>
      <w:r>
        <w:rPr>
          <w:rFonts w:ascii="Times New Roman" w:hAnsi="Times New Roman" w:eastAsia="仿宋"/>
          <w:b/>
          <w:bCs/>
          <w:kern w:val="0"/>
          <w:sz w:val="24"/>
        </w:rPr>
        <w:t>第10条 保密</w:t>
      </w:r>
    </w:p>
    <w:p w14:paraId="26EE5A0C">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10.1 信息传递</w:t>
      </w:r>
    </w:p>
    <w:p w14:paraId="26EE5A0D">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在本合同的履行期内，任何一方可以获得与本项目相关的对方的商业秘密，对此双方皆应谨慎地进行披露和接受。</w:t>
      </w:r>
    </w:p>
    <w:p w14:paraId="26EE5A0E">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10.2 保密</w:t>
      </w:r>
    </w:p>
    <w:p w14:paraId="26EE5A0F">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本合同拥有信息的一方（</w:t>
      </w:r>
      <w:r>
        <w:rPr>
          <w:rFonts w:hint="eastAsia" w:ascii="Times New Roman" w:hAnsi="Times New Roman" w:eastAsia="仿宋"/>
          <w:lang w:eastAsia="zh-CN"/>
        </w:rPr>
        <w:t>“</w:t>
      </w:r>
      <w:r>
        <w:rPr>
          <w:rFonts w:ascii="Times New Roman" w:hAnsi="Times New Roman" w:eastAsia="仿宋"/>
        </w:rPr>
        <w:t>提供方</w:t>
      </w:r>
      <w:r>
        <w:rPr>
          <w:rFonts w:hint="eastAsia" w:ascii="Times New Roman" w:hAnsi="Times New Roman" w:eastAsia="仿宋"/>
          <w:lang w:eastAsia="zh-CN"/>
        </w:rPr>
        <w:t>”</w:t>
      </w:r>
      <w:r>
        <w:rPr>
          <w:rFonts w:ascii="Times New Roman" w:hAnsi="Times New Roman" w:eastAsia="仿宋"/>
        </w:rPr>
        <w:t>）根据本合同向另一方（</w:t>
      </w:r>
      <w:r>
        <w:rPr>
          <w:rFonts w:hint="eastAsia" w:ascii="Times New Roman" w:hAnsi="Times New Roman" w:eastAsia="仿宋"/>
          <w:lang w:eastAsia="zh-CN"/>
        </w:rPr>
        <w:t>“</w:t>
      </w:r>
      <w:r>
        <w:rPr>
          <w:rFonts w:ascii="Times New Roman" w:hAnsi="Times New Roman" w:eastAsia="仿宋"/>
        </w:rPr>
        <w:t>接受方</w:t>
      </w:r>
      <w:r>
        <w:rPr>
          <w:rFonts w:hint="eastAsia" w:ascii="Times New Roman" w:hAnsi="Times New Roman" w:eastAsia="仿宋"/>
          <w:lang w:eastAsia="zh-CN"/>
        </w:rPr>
        <w:t>”</w:t>
      </w:r>
      <w:r>
        <w:rPr>
          <w:rFonts w:ascii="Times New Roman" w:hAnsi="Times New Roman" w:eastAsia="仿宋"/>
        </w:rPr>
        <w:t>）提供的信息，包括但不限于技术性信息、商业性信息、文件、程序、计划、技术、图表、模型、参数、数据、标准、专有技术、业务或业务运作方法以及其他专有信息，本合同的条款和与本合同有关的其他商业信息和技术信息(以下统称</w:t>
      </w:r>
      <w:r>
        <w:rPr>
          <w:rFonts w:hint="eastAsia" w:ascii="Times New Roman" w:hAnsi="Times New Roman" w:eastAsia="仿宋"/>
          <w:lang w:eastAsia="zh-CN"/>
        </w:rPr>
        <w:t>“</w:t>
      </w:r>
      <w:r>
        <w:rPr>
          <w:rFonts w:ascii="Times New Roman" w:hAnsi="Times New Roman" w:eastAsia="仿宋"/>
        </w:rPr>
        <w:t>保密信息</w:t>
      </w:r>
      <w:r>
        <w:rPr>
          <w:rFonts w:hint="eastAsia" w:ascii="Times New Roman" w:hAnsi="Times New Roman" w:eastAsia="仿宋"/>
          <w:lang w:eastAsia="zh-CN"/>
        </w:rPr>
        <w:t>”</w:t>
      </w:r>
      <w:r>
        <w:rPr>
          <w:rFonts w:ascii="Times New Roman" w:hAnsi="Times New Roman" w:eastAsia="仿宋"/>
        </w:rPr>
        <w:t>)，只能由接受方及其人员为本合同目的而使用。除本合同另有规定外，对于提供方提供的任何保密信息，未经提供方的书面同意，接受方及其知悉保密信息的人员均不得直接或间接地以任何方式提供或披露给任何</w:t>
      </w:r>
      <w:r>
        <w:rPr>
          <w:rFonts w:hint="eastAsia" w:ascii="Times New Roman" w:hAnsi="Times New Roman" w:eastAsia="仿宋"/>
          <w:lang w:eastAsia="zh-CN"/>
        </w:rPr>
        <w:t>“</w:t>
      </w:r>
      <w:r>
        <w:rPr>
          <w:rFonts w:ascii="Times New Roman" w:hAnsi="Times New Roman" w:eastAsia="仿宋"/>
        </w:rPr>
        <w:t>第三方</w:t>
      </w:r>
      <w:r>
        <w:rPr>
          <w:rFonts w:hint="eastAsia" w:ascii="Times New Roman" w:hAnsi="Times New Roman" w:eastAsia="仿宋"/>
          <w:lang w:eastAsia="zh-CN"/>
        </w:rPr>
        <w:t>”</w:t>
      </w:r>
      <w:r>
        <w:rPr>
          <w:rFonts w:ascii="Times New Roman" w:hAnsi="Times New Roman" w:eastAsia="仿宋"/>
        </w:rPr>
        <w:t>。在本条中，</w:t>
      </w:r>
      <w:r>
        <w:rPr>
          <w:rFonts w:hint="eastAsia" w:ascii="Times New Roman" w:hAnsi="Times New Roman" w:eastAsia="仿宋"/>
          <w:lang w:eastAsia="zh-CN"/>
        </w:rPr>
        <w:t>“</w:t>
      </w:r>
      <w:r>
        <w:rPr>
          <w:rFonts w:ascii="Times New Roman" w:hAnsi="Times New Roman" w:eastAsia="仿宋"/>
        </w:rPr>
        <w:t>第三方</w:t>
      </w:r>
      <w:r>
        <w:rPr>
          <w:rFonts w:hint="eastAsia" w:ascii="Times New Roman" w:hAnsi="Times New Roman" w:eastAsia="仿宋"/>
          <w:lang w:eastAsia="zh-CN"/>
        </w:rPr>
        <w:t>”</w:t>
      </w:r>
      <w:r>
        <w:rPr>
          <w:rFonts w:ascii="Times New Roman" w:hAnsi="Times New Roman" w:eastAsia="仿宋"/>
        </w:rPr>
        <w:t>是指任何自然人、企业或其分支机构、代理、组织或其他实体，但不包括甲方关联公司。</w:t>
      </w:r>
    </w:p>
    <w:p w14:paraId="26EE5A10">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10.3 提供方向接受方提供或披露的保密信息，仅可由接受方为执行本合同需要披露给指定的雇员，并且仅在为执行本合同所需的范围内进行该等披露；但是，接受方在采取一切合理的预防措施之前，不得向其雇员披露任何保密信息，该等预防措施包括但不限于告知该等雇员将要披露信息的保密性质，由该雇员做出至少与本合同保密义务一样严格的保密承诺等，以防止该雇员为个人利益使用保密信息或向任何第三方做出未经授权的任何披露。</w:t>
      </w:r>
    </w:p>
    <w:p w14:paraId="26EE5A11">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10.4 接受方的律师、会计师、承包商和顾问为提供专业协助而需要了解保密信息时，接受方可向其披露保密信息，但是，其应要求上述人员签订保密协议和按照有关职业道德标准履行保密义务。</w:t>
      </w:r>
    </w:p>
    <w:p w14:paraId="26EE5A12">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10.5 如相关政府部门或监管机构要求接受方披露任何保密信息，接受方可在该政府部门或机构要求的范围内做出披露而无需承担本合同项下的责任。但前提是，该接受方应立即将需披露的信息书面通知提供方，以便提供方采取必要的保护措施，且该等通知应尽可能在信息披露前做出，并且接受方应尽合理的努力确保该等被披露的信息获得有关政府机关或机构的保密待遇。</w:t>
      </w:r>
    </w:p>
    <w:p w14:paraId="26EE5A13">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10.6 本条所规定的保密义务永久持续有效。</w:t>
      </w:r>
    </w:p>
    <w:p w14:paraId="26EE5A14">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10.7 非竞争</w:t>
      </w:r>
    </w:p>
    <w:p w14:paraId="26EE5A15">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 xml:space="preserve">甲、乙双方同意，在本合同实施过程中以及本合同履行完毕后的 </w:t>
      </w:r>
      <w:r>
        <w:rPr>
          <w:rFonts w:ascii="Times New Roman" w:hAnsi="Times New Roman"/>
          <w:u w:val="single"/>
        </w:rPr>
        <w:t>3</w:t>
      </w:r>
      <w:r>
        <w:rPr>
          <w:rFonts w:ascii="Times New Roman" w:hAnsi="Times New Roman" w:eastAsia="仿宋"/>
        </w:rPr>
        <w:t>年内，双方均不得使用在履行本项目过程中得到的对方商业秘密，从事与对方有竞争性的业务，也不得采取任何方式聘用本开发项目中的对方相关技术或管理人员。</w:t>
      </w:r>
    </w:p>
    <w:p w14:paraId="26EE5A16">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10.8 上述保密义务不适用以下情况</w:t>
      </w:r>
    </w:p>
    <w:p w14:paraId="26EE5A17">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10.8.1在一方披露时，已经是公众所知的信息，或者在披露后，并非由于接受方或其雇员、律师、会计师、承包商、顾问或者其他人员的过失而成为公众所知的信息；</w:t>
      </w:r>
    </w:p>
    <w:p w14:paraId="26EE5A18">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10.8.2有书面证据证明在披露时已经由接受方掌握的信息，而且信息并非直接或间接来自提供方；</w:t>
      </w:r>
    </w:p>
    <w:p w14:paraId="26EE5A19">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10.8.3 获取该信息一方可以通过合法渠道获取该信息；</w:t>
      </w:r>
    </w:p>
    <w:p w14:paraId="26EE5A1A">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10.8.4获取该信息一方从第三人处合法获取，并且不承担保密义务；</w:t>
      </w:r>
    </w:p>
    <w:p w14:paraId="26EE5A1B">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10.8.5 向第三人披露过的，且第三人不承担保密义务；</w:t>
      </w:r>
    </w:p>
    <w:p w14:paraId="26EE5A1C">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10.8.6 独立开发或获取的信息；</w:t>
      </w:r>
    </w:p>
    <w:p w14:paraId="26EE5A1D">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10.8.7 法律强制披露；</w:t>
      </w:r>
    </w:p>
    <w:p w14:paraId="26EE5A1E">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10.8.8 经披露方书面许可。</w:t>
      </w:r>
    </w:p>
    <w:p w14:paraId="26EE5A1F">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10.9 信息安全</w:t>
      </w:r>
    </w:p>
    <w:p w14:paraId="26EE5A20">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甲、乙双方同意采取相应的安全措施以遵守和履行上述条款所规定的义务。经一方的合理请求，该方可以检查对方所采取的安全措施是否符合上述规定的义务。</w:t>
      </w:r>
    </w:p>
    <w:p w14:paraId="26EE5A21">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10.10当本合同解除或终止时，接受方应立即停止使用且不得许可第三方使用提供方的保密信息，同时，接受方应按照提供方的书面要求，将提供方提供的保密信息退还提供方或予以删除或销毁。</w:t>
      </w:r>
    </w:p>
    <w:p w14:paraId="26EE5A22">
      <w:pPr>
        <w:tabs>
          <w:tab w:val="left" w:pos="2880"/>
          <w:tab w:val="left" w:pos="7020"/>
        </w:tabs>
        <w:spacing w:line="360" w:lineRule="auto"/>
        <w:ind w:right="178" w:rightChars="85" w:firstLine="482"/>
        <w:rPr>
          <w:rFonts w:ascii="Times New Roman" w:hAnsi="Times New Roman" w:eastAsia="仿宋"/>
          <w:b/>
          <w:bCs/>
          <w:kern w:val="0"/>
          <w:sz w:val="24"/>
        </w:rPr>
      </w:pPr>
      <w:r>
        <w:rPr>
          <w:rFonts w:ascii="Times New Roman" w:hAnsi="Times New Roman" w:eastAsia="仿宋"/>
          <w:b/>
          <w:bCs/>
          <w:kern w:val="0"/>
          <w:sz w:val="24"/>
        </w:rPr>
        <w:t>第11条 违约与赔偿责任</w:t>
      </w:r>
    </w:p>
    <w:p w14:paraId="26EE5A23">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11.1 如因甲方变更委托项目、规模、条件、或因提供基础资料错误、或因所提供资料作较大修改，造成乙方需返工时，双方除需另行商议签订补充合同（或另订合同），重新明确有关条款外，按新合同支付费用。</w:t>
      </w:r>
    </w:p>
    <w:p w14:paraId="26EE5A24">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11.2 本合同履行期间，如甲方因自身原因要求中途终止或解除合同，乙方有权根据已开展的实际工作量酌情收取费用。</w:t>
      </w:r>
    </w:p>
    <w:p w14:paraId="26EE5A25">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11.3 甲方应按本合同第四条规定向乙方支付费用。如逾期超过 15 天以上时，乙方有权书面通知甲方暂停履行下阶段工作，每延误支付 1 天，按对被延误方应付费用的千分之二向被延误方支付违约金。</w:t>
      </w:r>
    </w:p>
    <w:p w14:paraId="26EE5A26">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11.4 如由于乙方自身原因未按合同约定的进度和质量要求按时交付成果文件，每延误 1 天，减收乙方合同总费用的千分之二。延误时间在 90 天以上，甲方有权解除合同并要求乙方承担全部损失。</w:t>
      </w:r>
    </w:p>
    <w:p w14:paraId="26EE5A27">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11.5 本合同履行期间，如乙方因自身原因中途终止或解除合同，乙方应向甲方支付乙方项目总费用5%的违约金。</w:t>
      </w:r>
    </w:p>
    <w:p w14:paraId="26EE5A28">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11.6 合同生效后，如乙方要求中途终止或解除合同，乙方应向甲方退回已收的全部合同费。</w:t>
      </w:r>
    </w:p>
    <w:p w14:paraId="26EE5A29">
      <w:pPr>
        <w:pStyle w:val="14"/>
        <w:spacing w:before="0" w:beforeAutospacing="0" w:after="0" w:afterAutospacing="0" w:line="400" w:lineRule="exact"/>
        <w:ind w:firstLine="482" w:firstLineChars="200"/>
        <w:jc w:val="both"/>
        <w:rPr>
          <w:rFonts w:ascii="Times New Roman" w:hAnsi="Times New Roman" w:eastAsia="仿宋"/>
        </w:rPr>
      </w:pPr>
      <w:r>
        <w:rPr>
          <w:rFonts w:hint="eastAsia" w:ascii="Times New Roman" w:hAnsi="Times New Roman" w:eastAsia="仿宋"/>
          <w:b/>
          <w:bCs/>
        </w:rPr>
        <w:t xml:space="preserve">11.7 </w:t>
      </w:r>
      <w:r>
        <w:rPr>
          <w:rFonts w:hint="eastAsia" w:ascii="Times New Roman" w:hAnsi="Times New Roman" w:eastAsia="仿宋"/>
        </w:rPr>
        <w:t>若乙方擅自将项目转包或分包，甲方有权立即解除合同，乙方应返还甲方已支付的款项，并支付合同总价的20%作为违约金，同时赔偿甲方因此遭受的全部损失。</w:t>
      </w:r>
    </w:p>
    <w:p w14:paraId="26EE5A2B">
      <w:pPr>
        <w:keepNext/>
        <w:keepLines w:val="0"/>
        <w:pageBreakBefore w:val="0"/>
        <w:widowControl w:val="0"/>
        <w:tabs>
          <w:tab w:val="left" w:pos="2880"/>
          <w:tab w:val="left" w:pos="7020"/>
        </w:tabs>
        <w:kinsoku/>
        <w:wordWrap/>
        <w:overflowPunct/>
        <w:topLinePunct w:val="0"/>
        <w:autoSpaceDE/>
        <w:autoSpaceDN/>
        <w:bidi w:val="0"/>
        <w:adjustRightInd/>
        <w:snapToGrid/>
        <w:spacing w:line="360" w:lineRule="auto"/>
        <w:ind w:right="178" w:rightChars="85" w:firstLine="482"/>
        <w:textAlignment w:val="auto"/>
        <w:rPr>
          <w:rFonts w:ascii="Times New Roman" w:hAnsi="Times New Roman" w:eastAsia="仿宋"/>
          <w:b/>
          <w:bCs/>
          <w:kern w:val="0"/>
          <w:sz w:val="24"/>
        </w:rPr>
      </w:pPr>
      <w:r>
        <w:rPr>
          <w:rFonts w:ascii="Times New Roman" w:hAnsi="Times New Roman" w:eastAsia="仿宋"/>
          <w:b/>
          <w:bCs/>
          <w:kern w:val="0"/>
          <w:sz w:val="24"/>
        </w:rPr>
        <w:t>第12条 综合条款</w:t>
      </w:r>
    </w:p>
    <w:p w14:paraId="26EE5A2C">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12.1 如本合同附件中的条款或本合同签署之前所签署的任何文件与本合同的条款相冲突或不一致，以本合同为准。</w:t>
      </w:r>
    </w:p>
    <w:p w14:paraId="26EE5A2D">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12.2 任何一方可以根据其经营需要对外披露本合同的存在或其性质，但本合同的具体条款属于保密范围，未经对方的同意，不得向第三方披露。但以下情况除外</w:t>
      </w:r>
    </w:p>
    <w:p w14:paraId="26EE5A2E">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12.2.1 法院或政府有关部门的要求；</w:t>
      </w:r>
    </w:p>
    <w:p w14:paraId="26EE5A2F">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12.2.2 法律规定；</w:t>
      </w:r>
    </w:p>
    <w:p w14:paraId="26EE5A30">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 xml:space="preserve">12.2.3 </w:t>
      </w:r>
      <w:r>
        <w:rPr>
          <w:rFonts w:hint="eastAsia" w:ascii="Times New Roman" w:hAnsi="Times New Roman" w:eastAsia="仿宋"/>
          <w:lang w:val="en-US" w:eastAsia="zh-CN"/>
        </w:rPr>
        <w:t>任何一</w:t>
      </w:r>
      <w:r>
        <w:rPr>
          <w:rFonts w:ascii="Times New Roman" w:hAnsi="Times New Roman" w:eastAsia="仿宋"/>
        </w:rPr>
        <w:t>方向为自己服务的法律顾问披露；</w:t>
      </w:r>
    </w:p>
    <w:p w14:paraId="26EE5A31">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 xml:space="preserve">12.2.4 </w:t>
      </w:r>
      <w:r>
        <w:rPr>
          <w:rFonts w:hint="eastAsia" w:ascii="Times New Roman" w:hAnsi="Times New Roman" w:eastAsia="仿宋"/>
          <w:lang w:val="en-US" w:eastAsia="zh-CN"/>
        </w:rPr>
        <w:t>任何一</w:t>
      </w:r>
      <w:r>
        <w:rPr>
          <w:rFonts w:ascii="Times New Roman" w:hAnsi="Times New Roman" w:eastAsia="仿宋"/>
        </w:rPr>
        <w:t>方向为自己服务的会计、银行、其他的金融机构及其顾问（采取保密措施）披露；</w:t>
      </w:r>
    </w:p>
    <w:p w14:paraId="26EE5A32">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12.2.5 当事人实施收购、兼并或相类似的行为（采取保密措施）。</w:t>
      </w:r>
    </w:p>
    <w:p w14:paraId="26EE5A33">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12.3 不可抗力</w:t>
      </w:r>
    </w:p>
    <w:p w14:paraId="26EE5A34">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12.3.1 由于地震、台风、水灾、火灾、战争以及其他不能预见并对其发生和后果不能预防、不能克服或避免的不可抗力，直接影响本合同的履行或者不能按照合同的约定履行时，遇有上述不可抗力的一方可以免除相关合同责任。但遇有上述不可抗力的一方应立即书面通知对方，并在15天之内提供不可抗力的详细情况及合同不能履行，或者部分不能履行，或者需要延期履行的理由和有效的证明文件。按不可抗力对履行合同影响的程度，由双方协商决定是否解除合同，或者部分免除履行合同的义务，或者延期履行合同。一方迟延履行本合同时发生不可抗力的，迟延方的合同义务不能免除。</w:t>
      </w:r>
    </w:p>
    <w:p w14:paraId="26EE5A35">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12.3.2 受到不可抗力影响的一方，应尽可能地采取合理的行为和适当的措施减轻不可抗力对本合同的履行所造成的影响。没有采取适当措施致使损失扩大的，该方不得就扩大损失的部分要求免责或赔偿。</w:t>
      </w:r>
    </w:p>
    <w:p w14:paraId="26EE5A36">
      <w:pPr>
        <w:tabs>
          <w:tab w:val="left" w:pos="2880"/>
          <w:tab w:val="left" w:pos="7020"/>
        </w:tabs>
        <w:spacing w:line="360" w:lineRule="auto"/>
        <w:ind w:right="178" w:rightChars="85" w:firstLine="482"/>
        <w:rPr>
          <w:rFonts w:ascii="Times New Roman" w:hAnsi="Times New Roman" w:eastAsia="仿宋"/>
          <w:b/>
          <w:bCs/>
          <w:kern w:val="0"/>
          <w:sz w:val="24"/>
        </w:rPr>
      </w:pPr>
      <w:r>
        <w:rPr>
          <w:rFonts w:ascii="Times New Roman" w:hAnsi="Times New Roman" w:eastAsia="仿宋"/>
          <w:b/>
          <w:bCs/>
          <w:kern w:val="0"/>
          <w:sz w:val="24"/>
        </w:rPr>
        <w:t>第13条 争议解决</w:t>
      </w:r>
    </w:p>
    <w:p w14:paraId="26EE5A37">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13.1 如果合同双方在履行本合同过程中发生争议，双方应首先采取友好协商的方式解决该争议。如协商不成，双方同意按下列</w:t>
      </w:r>
      <w:r>
        <w:rPr>
          <w:rFonts w:hint="eastAsia" w:ascii="Times New Roman" w:hAnsi="Times New Roman" w:eastAsia="仿宋"/>
          <w:u w:val="single"/>
        </w:rPr>
        <w:t>（2）</w:t>
      </w:r>
      <w:r>
        <w:rPr>
          <w:rFonts w:ascii="Times New Roman" w:hAnsi="Times New Roman" w:eastAsia="仿宋"/>
        </w:rPr>
        <w:t>方式予以解决。</w:t>
      </w:r>
    </w:p>
    <w:p w14:paraId="26EE5A38">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（1）向重庆仲裁委员会提起仲裁，并按其仲裁规则进行仲裁；</w:t>
      </w:r>
    </w:p>
    <w:p w14:paraId="26EE5A39">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（2）</w:t>
      </w:r>
      <w:r>
        <w:rPr>
          <w:rFonts w:hint="eastAsia" w:ascii="Times New Roman" w:hAnsi="Times New Roman" w:eastAsia="仿宋"/>
        </w:rPr>
        <w:t>向甲方所在地人民法院提起诉讼</w:t>
      </w:r>
      <w:r>
        <w:rPr>
          <w:rFonts w:ascii="Times New Roman" w:hAnsi="Times New Roman" w:eastAsia="仿宋"/>
        </w:rPr>
        <w:t>。</w:t>
      </w:r>
      <w:r>
        <w:rPr>
          <w:rFonts w:hint="eastAsia" w:ascii="Times New Roman" w:hAnsi="Times New Roman" w:eastAsia="仿宋"/>
        </w:rPr>
        <w:t>如因一方的违约行为导致双方发生争议，守约方通过诉讼、调解、非诉等方式向违约方主张权利所发生的一切费用，包括但不限于律师费、诉讼费、保全费、鉴定费、拍卖费、执行费等均由违约方承担。</w:t>
      </w:r>
    </w:p>
    <w:p w14:paraId="26EE5A3A">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13.2 如对任何争议进行仲裁或向人民法院提起诉讼，除争议事项或争议事项所涉及的条款外，双方应继续履行本合同项下的其它义务。</w:t>
      </w:r>
    </w:p>
    <w:p w14:paraId="26EE5A3B">
      <w:pPr>
        <w:tabs>
          <w:tab w:val="left" w:pos="2880"/>
          <w:tab w:val="left" w:pos="7020"/>
        </w:tabs>
        <w:spacing w:line="360" w:lineRule="auto"/>
        <w:ind w:right="178" w:rightChars="85" w:firstLine="482"/>
        <w:rPr>
          <w:rFonts w:ascii="Times New Roman" w:hAnsi="Times New Roman" w:eastAsia="仿宋"/>
          <w:b/>
          <w:bCs/>
          <w:kern w:val="0"/>
          <w:sz w:val="24"/>
        </w:rPr>
      </w:pPr>
      <w:r>
        <w:rPr>
          <w:rFonts w:ascii="Times New Roman" w:hAnsi="Times New Roman" w:eastAsia="仿宋"/>
          <w:b/>
          <w:bCs/>
          <w:kern w:val="0"/>
          <w:sz w:val="24"/>
        </w:rPr>
        <w:t>第14条 通知</w:t>
      </w:r>
    </w:p>
    <w:p w14:paraId="26EE5A3C">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14.1甲方确认其送达地址为：</w:t>
      </w:r>
      <w:r>
        <w:rPr>
          <w:rFonts w:hint="eastAsia" w:ascii="Times New Roman" w:hAnsi="Times New Roman" w:eastAsia="仿宋"/>
          <w:u w:val="single"/>
          <w:lang w:val="en-US" w:eastAsia="zh-CN"/>
        </w:rPr>
        <w:t xml:space="preserve">               </w:t>
      </w:r>
      <w:r>
        <w:rPr>
          <w:rFonts w:ascii="Times New Roman" w:hAnsi="Times New Roman" w:eastAsia="仿宋"/>
        </w:rPr>
        <w:t>，受送达人为：____，联系方式为：</w:t>
      </w:r>
      <w:r>
        <w:rPr>
          <w:rFonts w:hint="eastAsia" w:ascii="Times New Roman" w:hAnsi="Times New Roman" w:eastAsia="仿宋"/>
          <w:u w:val="single"/>
          <w:lang w:val="en-US" w:eastAsia="zh-CN"/>
        </w:rPr>
        <w:t xml:space="preserve">               </w:t>
      </w:r>
      <w:r>
        <w:rPr>
          <w:rFonts w:ascii="Times New Roman" w:hAnsi="Times New Roman" w:eastAsia="仿宋"/>
        </w:rPr>
        <w:t>。</w:t>
      </w:r>
    </w:p>
    <w:p w14:paraId="26EE5A3D">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乙方确认其送达地址为：</w:t>
      </w:r>
      <w:r>
        <w:rPr>
          <w:rFonts w:hint="eastAsia" w:ascii="Times New Roman" w:hAnsi="Times New Roman" w:eastAsia="仿宋"/>
          <w:u w:val="single"/>
          <w:lang w:val="en-US" w:eastAsia="zh-CN"/>
        </w:rPr>
        <w:t xml:space="preserve">               </w:t>
      </w:r>
      <w:r>
        <w:rPr>
          <w:rFonts w:ascii="Times New Roman" w:hAnsi="Times New Roman" w:eastAsia="仿宋"/>
        </w:rPr>
        <w:t>，受送达人为：</w:t>
      </w:r>
      <w:r>
        <w:rPr>
          <w:rFonts w:hint="eastAsia" w:ascii="Times New Roman" w:hAnsi="Times New Roman" w:eastAsia="仿宋"/>
          <w:u w:val="single"/>
          <w:lang w:val="en-US" w:eastAsia="zh-CN"/>
        </w:rPr>
        <w:t xml:space="preserve">            </w:t>
      </w:r>
      <w:r>
        <w:rPr>
          <w:rFonts w:ascii="Times New Roman" w:hAnsi="Times New Roman" w:eastAsia="仿宋"/>
        </w:rPr>
        <w:t>，联系方式为：</w:t>
      </w:r>
      <w:r>
        <w:rPr>
          <w:rFonts w:hint="eastAsia" w:ascii="Times New Roman" w:hAnsi="Times New Roman" w:eastAsia="仿宋"/>
          <w:u w:val="single"/>
          <w:lang w:val="en-US" w:eastAsia="zh-CN"/>
        </w:rPr>
        <w:t xml:space="preserve">                </w:t>
      </w:r>
      <w:r>
        <w:rPr>
          <w:rFonts w:ascii="Times New Roman" w:hAnsi="Times New Roman" w:eastAsia="仿宋"/>
        </w:rPr>
        <w:t>。</w:t>
      </w:r>
    </w:p>
    <w:p w14:paraId="26EE5A3E">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（若联系地址未填写，则以身份证载明的住址或工商登记的住所地为送达地址）</w:t>
      </w:r>
    </w:p>
    <w:p w14:paraId="26EE5A3F">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 xml:space="preserve">14.2以上送达地址适用范围包括但不限于各类告知书、通知书、工作联系单、协议文件、诉讼或仲裁文书，送达主体可以是合同各方、人民法院、仲裁委员会及各行政机关。                         </w:t>
      </w:r>
    </w:p>
    <w:p w14:paraId="26EE5A40">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14.3送达主体按照上述送达地址进行送达，视为有效送达；采用邮寄送达的，以文书签收之日或退回之日视为送达之日；直接送达的，送达人当场在送达回证上记明情况之日视为送达之日。</w:t>
      </w:r>
    </w:p>
    <w:p w14:paraId="26EE5A41">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14.4上述送达地址、受送达人、联系方式发生变更的，变更一方应履行通知义务，因当事人送达地址变更后未及时书面告知，导致未能被当事人实际接收的，邮寄送达的，以文书退回之日视为送达之日；直接送达的，送达人当场在送达回证上记明情况之日视为送达之日；履行送达地址变更通知义务的，以变更后的送达地址为有效送达地址。</w:t>
      </w:r>
    </w:p>
    <w:p w14:paraId="26EE5A42">
      <w:pPr>
        <w:tabs>
          <w:tab w:val="left" w:pos="2880"/>
          <w:tab w:val="left" w:pos="7020"/>
        </w:tabs>
        <w:spacing w:line="360" w:lineRule="auto"/>
        <w:ind w:right="178" w:rightChars="85" w:firstLine="482"/>
        <w:rPr>
          <w:rFonts w:ascii="Times New Roman" w:hAnsi="Times New Roman" w:eastAsia="仿宋"/>
          <w:b/>
          <w:bCs/>
          <w:kern w:val="0"/>
          <w:sz w:val="24"/>
        </w:rPr>
      </w:pPr>
      <w:r>
        <w:rPr>
          <w:rFonts w:ascii="Times New Roman" w:hAnsi="Times New Roman" w:eastAsia="仿宋"/>
          <w:b/>
          <w:bCs/>
          <w:kern w:val="0"/>
          <w:sz w:val="24"/>
        </w:rPr>
        <w:t>第15条 合同的生效、变更与终止</w:t>
      </w:r>
    </w:p>
    <w:p w14:paraId="26EE5A43">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15.1 本合同经双方盖章后生效。</w:t>
      </w:r>
    </w:p>
    <w:p w14:paraId="26EE5A44">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15.2 如发生以下情况，任何一方有权终止合同，但须以书面方式通知对方：</w:t>
      </w:r>
    </w:p>
    <w:p w14:paraId="26EE5A45">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15.2.1 一方进入破产、撤销或已进入清算阶段，或被解散、被依法关闭；</w:t>
      </w:r>
    </w:p>
    <w:p w14:paraId="26EE5A46">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15.2.2 一方财务状况严重恶化，不能支付到期债务；</w:t>
      </w:r>
    </w:p>
    <w:p w14:paraId="26EE5A47">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15.2.3 出现了合同规定的或法定解除事由。</w:t>
      </w:r>
    </w:p>
    <w:p w14:paraId="26EE5A48">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除本合同和法律法规另有规定外，任何一方发生上述情况，将被视作违约，另一方有权依照本合同的规定，追究该方的违约责任。</w:t>
      </w:r>
    </w:p>
    <w:p w14:paraId="26EE5A49">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15.3 本合同一经签署，未经双方同意，任何一方不得随意更改本合同。本合同所列的附件及需求说明书、系统设计书、检测标准等文件，经双方签字后为本合同的组成部分。其它任何口头或未包含在本合同内的，或未依据本合同制定的书面文件，均不对双方发生拘束力。</w:t>
      </w:r>
    </w:p>
    <w:p w14:paraId="26EE5A4A">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如本合同在履行过程中有任何补充或修改，双方应另行签订书面协议。</w:t>
      </w:r>
    </w:p>
    <w:p w14:paraId="26EE5A4B">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15.4 本合同一式</w:t>
      </w:r>
      <w:r>
        <w:rPr>
          <w:rFonts w:ascii="Times New Roman" w:hAnsi="Times New Roman" w:eastAsia="仿宋"/>
          <w:u w:val="single"/>
        </w:rPr>
        <w:t xml:space="preserve">  陆  </w:t>
      </w:r>
      <w:r>
        <w:rPr>
          <w:rFonts w:ascii="Times New Roman" w:hAnsi="Times New Roman" w:eastAsia="仿宋"/>
        </w:rPr>
        <w:t>份，甲方执肆份，乙方执</w:t>
      </w:r>
      <w:r>
        <w:rPr>
          <w:rFonts w:ascii="Times New Roman" w:hAnsi="Times New Roman" w:eastAsia="仿宋"/>
          <w:u w:val="single"/>
        </w:rPr>
        <w:t xml:space="preserve">  贰  </w:t>
      </w:r>
      <w:r>
        <w:rPr>
          <w:rFonts w:ascii="Times New Roman" w:hAnsi="Times New Roman" w:eastAsia="仿宋"/>
        </w:rPr>
        <w:t>份。</w:t>
      </w:r>
    </w:p>
    <w:p w14:paraId="26EE5A4C">
      <w:pPr>
        <w:tabs>
          <w:tab w:val="left" w:pos="2880"/>
          <w:tab w:val="left" w:pos="7020"/>
        </w:tabs>
        <w:spacing w:line="360" w:lineRule="auto"/>
        <w:ind w:right="178" w:rightChars="85" w:firstLine="482"/>
        <w:rPr>
          <w:rFonts w:ascii="Times New Roman" w:hAnsi="Times New Roman" w:eastAsia="仿宋"/>
          <w:b/>
          <w:bCs/>
          <w:kern w:val="0"/>
          <w:sz w:val="24"/>
        </w:rPr>
      </w:pPr>
      <w:r>
        <w:rPr>
          <w:rFonts w:ascii="Times New Roman" w:hAnsi="Times New Roman" w:eastAsia="仿宋"/>
          <w:b/>
          <w:bCs/>
          <w:kern w:val="0"/>
          <w:sz w:val="24"/>
        </w:rPr>
        <w:t>第16条 信用</w:t>
      </w:r>
    </w:p>
    <w:p w14:paraId="26EE5A4D">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16.1 本合同任何一方可以要求对方提供其信用报告。</w:t>
      </w:r>
    </w:p>
    <w:p w14:paraId="26EE5A4E">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16.2 如合同双方在履行本合同过程中发生争议，并进入司法等争端解决程序，任何一方可以将生效判决提交给本市的联合征信机构。</w:t>
      </w:r>
    </w:p>
    <w:p w14:paraId="26EE5A4F">
      <w:pPr>
        <w:pStyle w:val="14"/>
        <w:spacing w:before="0" w:beforeAutospacing="0" w:after="0" w:afterAutospacing="0" w:line="440" w:lineRule="exact"/>
        <w:rPr>
          <w:rFonts w:ascii="Times New Roman" w:hAnsi="Times New Roman" w:eastAsia="仿宋"/>
          <w:color w:val="000000"/>
          <w:kern w:val="2"/>
        </w:rPr>
      </w:pPr>
      <w:r>
        <w:rPr>
          <w:rFonts w:ascii="Times New Roman" w:hAnsi="Times New Roman" w:eastAsia="仿宋"/>
          <w:color w:val="000000"/>
          <w:kern w:val="2"/>
        </w:rPr>
        <w:t>（</w:t>
      </w:r>
      <w:r>
        <w:rPr>
          <w:rFonts w:ascii="Times New Roman" w:hAnsi="Times New Roman" w:eastAsia="仿宋"/>
          <w:kern w:val="2"/>
        </w:rPr>
        <w:t>以下</w:t>
      </w:r>
      <w:r>
        <w:rPr>
          <w:rFonts w:ascii="Times New Roman" w:hAnsi="Times New Roman" w:eastAsia="仿宋"/>
          <w:color w:val="000000"/>
          <w:kern w:val="2"/>
        </w:rPr>
        <w:t>无合同正文）</w:t>
      </w:r>
    </w:p>
    <w:p w14:paraId="26EE5A50">
      <w:pPr>
        <w:pStyle w:val="4"/>
        <w:rPr>
          <w:rFonts w:ascii="Times New Roman" w:hAnsi="Times New Roman"/>
        </w:rPr>
      </w:pPr>
    </w:p>
    <w:tbl>
      <w:tblPr>
        <w:tblStyle w:val="16"/>
        <w:tblW w:w="0" w:type="auto"/>
        <w:tblInd w:w="0" w:type="dxa"/>
        <w:tblLayout w:type="fixed"/>
        <w:tblCellMar>
          <w:top w:w="0" w:type="dxa"/>
          <w:left w:w="108" w:type="dxa"/>
          <w:bottom w:w="0" w:type="dxa"/>
          <w:right w:w="108" w:type="dxa"/>
        </w:tblCellMar>
      </w:tblPr>
      <w:tblGrid>
        <w:gridCol w:w="4896"/>
        <w:gridCol w:w="4583"/>
      </w:tblGrid>
      <w:tr w14:paraId="26EE5A55">
        <w:trPr>
          <w:trHeight w:val="572" w:hRule="atLeast"/>
        </w:trPr>
        <w:tc>
          <w:tcPr>
            <w:tcW w:w="4896" w:type="dxa"/>
          </w:tcPr>
          <w:p w14:paraId="26EE5A51">
            <w:pPr>
              <w:spacing w:line="400" w:lineRule="exact"/>
              <w:jc w:val="left"/>
              <w:rPr>
                <w:rFonts w:ascii="Times New Roman" w:hAnsi="Times New Roman" w:eastAsia="仿宋"/>
                <w:sz w:val="24"/>
              </w:rPr>
            </w:pPr>
            <w:r>
              <w:rPr>
                <w:rFonts w:hint="eastAsia" w:ascii="Times New Roman" w:hAnsi="Times New Roman" w:eastAsia="仿宋"/>
                <w:color w:val="000000"/>
                <w:sz w:val="24"/>
              </w:rPr>
              <w:t>甲方名称：</w:t>
            </w:r>
            <w:r>
              <w:rPr>
                <w:rFonts w:hint="eastAsia" w:ascii="Times New Roman" w:hAnsi="Times New Roman" w:eastAsia="仿宋"/>
                <w:sz w:val="24"/>
                <w:lang w:val="en-US" w:eastAsia="zh-CN"/>
              </w:rPr>
              <w:t xml:space="preserve">   </w:t>
            </w:r>
            <w:r>
              <w:rPr>
                <w:rFonts w:hint="eastAsia" w:ascii="Times New Roman" w:hAnsi="Times New Roman" w:eastAsia="仿宋"/>
                <w:sz w:val="24"/>
              </w:rPr>
              <w:t>（章）</w:t>
            </w:r>
          </w:p>
          <w:p w14:paraId="26EE5A52">
            <w:pPr>
              <w:spacing w:line="400" w:lineRule="exact"/>
              <w:jc w:val="left"/>
              <w:rPr>
                <w:rFonts w:ascii="Times New Roman" w:hAnsi="Times New Roman" w:eastAsia="仿宋"/>
                <w:color w:val="000000"/>
                <w:sz w:val="24"/>
              </w:rPr>
            </w:pPr>
          </w:p>
        </w:tc>
        <w:tc>
          <w:tcPr>
            <w:tcW w:w="4583" w:type="dxa"/>
          </w:tcPr>
          <w:p w14:paraId="26EE5A53">
            <w:pPr>
              <w:spacing w:line="400" w:lineRule="exact"/>
              <w:rPr>
                <w:rFonts w:ascii="Times New Roman" w:hAnsi="Times New Roman" w:eastAsia="仿宋"/>
                <w:color w:val="000000"/>
                <w:sz w:val="24"/>
              </w:rPr>
            </w:pPr>
            <w:r>
              <w:rPr>
                <w:rFonts w:hint="eastAsia" w:ascii="Times New Roman" w:hAnsi="Times New Roman" w:eastAsia="仿宋"/>
                <w:color w:val="000000"/>
                <w:sz w:val="24"/>
              </w:rPr>
              <w:t>乙方名称：</w:t>
            </w:r>
            <w:r>
              <w:rPr>
                <w:rFonts w:hint="eastAsia" w:ascii="Times New Roman" w:hAnsi="Times New Roman" w:eastAsia="仿宋"/>
                <w:color w:val="000000"/>
                <w:sz w:val="24"/>
                <w:lang w:val="en-US" w:eastAsia="zh-CN"/>
              </w:rPr>
              <w:t xml:space="preserve">    </w:t>
            </w:r>
            <w:r>
              <w:rPr>
                <w:rFonts w:hint="eastAsia" w:ascii="Times New Roman" w:hAnsi="Times New Roman" w:eastAsia="仿宋"/>
                <w:color w:val="000000"/>
                <w:sz w:val="24"/>
              </w:rPr>
              <w:t>（章）</w:t>
            </w:r>
          </w:p>
          <w:p w14:paraId="26EE5A54">
            <w:pPr>
              <w:spacing w:line="400" w:lineRule="exact"/>
              <w:rPr>
                <w:rFonts w:ascii="Times New Roman" w:hAnsi="Times New Roman" w:eastAsia="仿宋"/>
                <w:color w:val="000000"/>
                <w:sz w:val="24"/>
              </w:rPr>
            </w:pPr>
          </w:p>
        </w:tc>
      </w:tr>
      <w:tr w14:paraId="26EE5A58">
        <w:tblPrEx>
          <w:tblCellMar>
            <w:top w:w="0" w:type="dxa"/>
            <w:left w:w="108" w:type="dxa"/>
            <w:bottom w:w="0" w:type="dxa"/>
            <w:right w:w="108" w:type="dxa"/>
          </w:tblCellMar>
        </w:tblPrEx>
        <w:trPr>
          <w:trHeight w:val="572" w:hRule="atLeast"/>
        </w:trPr>
        <w:tc>
          <w:tcPr>
            <w:tcW w:w="4896" w:type="dxa"/>
          </w:tcPr>
          <w:p w14:paraId="26EE5A56">
            <w:pPr>
              <w:spacing w:line="400" w:lineRule="exact"/>
              <w:jc w:val="left"/>
              <w:rPr>
                <w:rFonts w:hint="eastAsia" w:ascii="Times New Roman" w:hAnsi="Times New Roman" w:eastAsia="仿宋"/>
                <w:color w:val="000000"/>
                <w:sz w:val="24"/>
                <w:lang w:eastAsia="zh-CN"/>
              </w:rPr>
            </w:pPr>
            <w:r>
              <w:rPr>
                <w:rFonts w:hint="eastAsia" w:ascii="Times New Roman" w:hAnsi="Times New Roman" w:eastAsia="仿宋"/>
                <w:color w:val="000000"/>
                <w:sz w:val="24"/>
              </w:rPr>
              <w:t>单位地址：</w:t>
            </w:r>
            <w:r>
              <w:rPr>
                <w:rFonts w:hint="eastAsia" w:ascii="Times New Roman" w:hAnsi="Times New Roman" w:eastAsia="仿宋"/>
                <w:color w:val="000000"/>
                <w:sz w:val="24"/>
                <w:lang w:val="en-US" w:eastAsia="zh-CN"/>
              </w:rPr>
              <w:t xml:space="preserve"> </w:t>
            </w:r>
            <w:r>
              <w:rPr>
                <w:rFonts w:hint="eastAsia" w:ascii="Times New Roman" w:hAnsi="Times New Roman" w:eastAsia="仿宋"/>
                <w:sz w:val="24"/>
                <w:lang w:val="en-US" w:eastAsia="zh-CN"/>
              </w:rPr>
              <w:t xml:space="preserve"> </w:t>
            </w:r>
          </w:p>
        </w:tc>
        <w:tc>
          <w:tcPr>
            <w:tcW w:w="4583" w:type="dxa"/>
          </w:tcPr>
          <w:p w14:paraId="26EE5A57">
            <w:pPr>
              <w:spacing w:line="400" w:lineRule="exact"/>
              <w:jc w:val="left"/>
              <w:rPr>
                <w:rFonts w:ascii="Times New Roman" w:hAnsi="Times New Roman" w:eastAsia="仿宋"/>
                <w:color w:val="000000"/>
                <w:sz w:val="24"/>
              </w:rPr>
            </w:pPr>
            <w:r>
              <w:rPr>
                <w:rFonts w:hint="eastAsia" w:ascii="Times New Roman" w:hAnsi="Times New Roman" w:eastAsia="仿宋"/>
                <w:color w:val="000000"/>
                <w:sz w:val="24"/>
              </w:rPr>
              <w:t>单位地址：</w:t>
            </w:r>
            <w:r>
              <w:rPr>
                <w:rFonts w:hint="eastAsia" w:ascii="Times New Roman" w:hAnsi="Times New Roman" w:eastAsia="仿宋"/>
                <w:color w:val="000000"/>
                <w:sz w:val="24"/>
                <w:lang w:val="en-US" w:eastAsia="zh-CN"/>
              </w:rPr>
              <w:t xml:space="preserve"> </w:t>
            </w:r>
            <w:r>
              <w:rPr>
                <w:rFonts w:hint="eastAsia" w:ascii="Times New Roman" w:hAnsi="Times New Roman" w:eastAsia="仿宋"/>
                <w:color w:val="auto"/>
                <w:sz w:val="24"/>
                <w:lang w:val="en-US" w:eastAsia="zh-CN"/>
              </w:rPr>
              <w:t xml:space="preserve"> </w:t>
            </w:r>
            <w:r>
              <w:rPr>
                <w:rFonts w:hint="eastAsia" w:ascii="Times New Roman" w:hAnsi="Times New Roman" w:eastAsia="仿宋"/>
                <w:color w:val="auto"/>
                <w:sz w:val="24"/>
              </w:rPr>
              <w:t xml:space="preserve"> </w:t>
            </w:r>
          </w:p>
        </w:tc>
      </w:tr>
      <w:tr w14:paraId="26EE5A5E">
        <w:tblPrEx>
          <w:tblCellMar>
            <w:top w:w="0" w:type="dxa"/>
            <w:left w:w="108" w:type="dxa"/>
            <w:bottom w:w="0" w:type="dxa"/>
            <w:right w:w="108" w:type="dxa"/>
          </w:tblCellMar>
        </w:tblPrEx>
        <w:trPr>
          <w:trHeight w:val="572" w:hRule="atLeast"/>
        </w:trPr>
        <w:tc>
          <w:tcPr>
            <w:tcW w:w="4896" w:type="dxa"/>
          </w:tcPr>
          <w:p w14:paraId="26EE5A59">
            <w:pPr>
              <w:spacing w:line="400" w:lineRule="exact"/>
              <w:rPr>
                <w:rFonts w:ascii="Times New Roman" w:hAnsi="Times New Roman" w:eastAsia="仿宋"/>
                <w:sz w:val="24"/>
              </w:rPr>
            </w:pPr>
            <w:r>
              <w:rPr>
                <w:rFonts w:hint="eastAsia" w:ascii="Times New Roman" w:hAnsi="Times New Roman" w:eastAsia="仿宋"/>
                <w:sz w:val="24"/>
              </w:rPr>
              <w:t>法定代表人或委托代理人：</w:t>
            </w:r>
          </w:p>
          <w:p w14:paraId="26EE5A5A">
            <w:pPr>
              <w:spacing w:line="400" w:lineRule="exact"/>
              <w:rPr>
                <w:rFonts w:ascii="Times New Roman" w:hAnsi="Times New Roman" w:eastAsia="仿宋"/>
                <w:sz w:val="24"/>
              </w:rPr>
            </w:pPr>
          </w:p>
          <w:p w14:paraId="26EE5A5B">
            <w:pPr>
              <w:spacing w:line="400" w:lineRule="exact"/>
              <w:rPr>
                <w:rFonts w:ascii="Times New Roman" w:hAnsi="Times New Roman" w:eastAsia="仿宋"/>
                <w:sz w:val="24"/>
              </w:rPr>
            </w:pPr>
          </w:p>
        </w:tc>
        <w:tc>
          <w:tcPr>
            <w:tcW w:w="4583" w:type="dxa"/>
          </w:tcPr>
          <w:p w14:paraId="26EE5A5C">
            <w:pPr>
              <w:spacing w:line="400" w:lineRule="exact"/>
              <w:rPr>
                <w:rFonts w:ascii="Times New Roman" w:hAnsi="Times New Roman" w:eastAsia="仿宋"/>
                <w:sz w:val="24"/>
              </w:rPr>
            </w:pPr>
            <w:r>
              <w:rPr>
                <w:rFonts w:hint="eastAsia" w:ascii="Times New Roman" w:hAnsi="Times New Roman" w:eastAsia="仿宋"/>
                <w:sz w:val="24"/>
              </w:rPr>
              <w:t>法定代表人或委托代理人：</w:t>
            </w:r>
          </w:p>
          <w:p w14:paraId="26EE5A5D">
            <w:pPr>
              <w:spacing w:line="400" w:lineRule="exact"/>
              <w:jc w:val="left"/>
              <w:rPr>
                <w:rFonts w:ascii="Times New Roman" w:hAnsi="Times New Roman" w:eastAsia="仿宋"/>
                <w:color w:val="000000"/>
                <w:sz w:val="24"/>
              </w:rPr>
            </w:pPr>
          </w:p>
        </w:tc>
      </w:tr>
      <w:tr w14:paraId="26EE5A61">
        <w:tblPrEx>
          <w:tblCellMar>
            <w:top w:w="0" w:type="dxa"/>
            <w:left w:w="108" w:type="dxa"/>
            <w:bottom w:w="0" w:type="dxa"/>
            <w:right w:w="108" w:type="dxa"/>
          </w:tblCellMar>
        </w:tblPrEx>
        <w:trPr>
          <w:trHeight w:val="286" w:hRule="atLeast"/>
        </w:trPr>
        <w:tc>
          <w:tcPr>
            <w:tcW w:w="4896" w:type="dxa"/>
          </w:tcPr>
          <w:p w14:paraId="26EE5A5F">
            <w:pPr>
              <w:spacing w:line="400" w:lineRule="exact"/>
              <w:jc w:val="left"/>
              <w:rPr>
                <w:rFonts w:ascii="Times New Roman" w:hAnsi="Times New Roman" w:eastAsia="仿宋"/>
                <w:color w:val="000000"/>
                <w:sz w:val="24"/>
              </w:rPr>
            </w:pPr>
            <w:r>
              <w:rPr>
                <w:rFonts w:hint="eastAsia" w:ascii="Times New Roman" w:hAnsi="Times New Roman" w:eastAsia="仿宋"/>
                <w:sz w:val="24"/>
              </w:rPr>
              <w:t>经办人</w:t>
            </w:r>
            <w:r>
              <w:rPr>
                <w:rFonts w:hint="eastAsia" w:ascii="Times New Roman" w:hAnsi="Times New Roman" w:eastAsia="仿宋"/>
                <w:color w:val="000000"/>
                <w:sz w:val="24"/>
              </w:rPr>
              <w:t>：</w:t>
            </w:r>
          </w:p>
        </w:tc>
        <w:tc>
          <w:tcPr>
            <w:tcW w:w="4583" w:type="dxa"/>
          </w:tcPr>
          <w:p w14:paraId="26EE5A60">
            <w:pPr>
              <w:spacing w:line="400" w:lineRule="exact"/>
              <w:jc w:val="left"/>
              <w:rPr>
                <w:rFonts w:ascii="Times New Roman" w:hAnsi="Times New Roman" w:eastAsia="仿宋"/>
                <w:color w:val="000000"/>
                <w:sz w:val="24"/>
              </w:rPr>
            </w:pPr>
            <w:r>
              <w:rPr>
                <w:rFonts w:hint="eastAsia" w:ascii="Times New Roman" w:hAnsi="Times New Roman" w:eastAsia="仿宋"/>
                <w:sz w:val="24"/>
              </w:rPr>
              <w:t>经办人</w:t>
            </w:r>
            <w:r>
              <w:rPr>
                <w:rFonts w:hint="eastAsia" w:ascii="Times New Roman" w:hAnsi="Times New Roman" w:eastAsia="仿宋"/>
                <w:color w:val="000000"/>
                <w:sz w:val="24"/>
              </w:rPr>
              <w:t>：</w:t>
            </w:r>
          </w:p>
        </w:tc>
      </w:tr>
      <w:tr w14:paraId="26EE5A64">
        <w:tblPrEx>
          <w:tblCellMar>
            <w:top w:w="0" w:type="dxa"/>
            <w:left w:w="108" w:type="dxa"/>
            <w:bottom w:w="0" w:type="dxa"/>
            <w:right w:w="108" w:type="dxa"/>
          </w:tblCellMar>
        </w:tblPrEx>
        <w:trPr>
          <w:trHeight w:val="286" w:hRule="atLeast"/>
        </w:trPr>
        <w:tc>
          <w:tcPr>
            <w:tcW w:w="4896" w:type="dxa"/>
          </w:tcPr>
          <w:p w14:paraId="26EE5A62">
            <w:pPr>
              <w:spacing w:line="400" w:lineRule="exact"/>
              <w:jc w:val="left"/>
              <w:rPr>
                <w:rFonts w:ascii="Times New Roman" w:hAnsi="Times New Roman" w:eastAsia="仿宋"/>
                <w:color w:val="000000"/>
                <w:sz w:val="24"/>
              </w:rPr>
            </w:pPr>
            <w:r>
              <w:rPr>
                <w:rFonts w:hint="eastAsia" w:ascii="Times New Roman" w:hAnsi="Times New Roman" w:eastAsia="仿宋"/>
                <w:sz w:val="24"/>
              </w:rPr>
              <w:t>公司电话：</w:t>
            </w:r>
            <w:r>
              <w:rPr>
                <w:rFonts w:hint="eastAsia" w:ascii="Times New Roman" w:hAnsi="Times New Roman" w:eastAsia="仿宋"/>
                <w:sz w:val="24"/>
                <w:lang w:val="en-US" w:eastAsia="zh-CN"/>
              </w:rPr>
              <w:t xml:space="preserve"> </w:t>
            </w:r>
            <w:r>
              <w:rPr>
                <w:rFonts w:hint="eastAsia" w:ascii="Times New Roman" w:hAnsi="Times New Roman" w:eastAsia="仿宋"/>
                <w:lang w:val="en-US" w:eastAsia="zh-CN"/>
              </w:rPr>
              <w:t xml:space="preserve"> </w:t>
            </w:r>
            <w:r>
              <w:rPr>
                <w:rFonts w:hint="eastAsia" w:ascii="Times New Roman" w:hAnsi="Times New Roman" w:eastAsia="仿宋"/>
              </w:rPr>
              <w:t xml:space="preserve"> </w:t>
            </w:r>
          </w:p>
        </w:tc>
        <w:tc>
          <w:tcPr>
            <w:tcW w:w="4583" w:type="dxa"/>
          </w:tcPr>
          <w:p w14:paraId="26EE5A63">
            <w:pPr>
              <w:widowControl/>
              <w:spacing w:line="400" w:lineRule="exact"/>
              <w:jc w:val="left"/>
              <w:rPr>
                <w:rFonts w:ascii="Times New Roman" w:hAnsi="Times New Roman" w:eastAsia="仿宋"/>
                <w:sz w:val="24"/>
              </w:rPr>
            </w:pPr>
            <w:r>
              <w:rPr>
                <w:rFonts w:hint="eastAsia" w:ascii="Times New Roman" w:hAnsi="Times New Roman" w:eastAsia="仿宋"/>
                <w:sz w:val="24"/>
              </w:rPr>
              <w:t>公司电话：</w:t>
            </w:r>
          </w:p>
        </w:tc>
      </w:tr>
      <w:tr w14:paraId="26EE5A67">
        <w:tblPrEx>
          <w:tblCellMar>
            <w:top w:w="0" w:type="dxa"/>
            <w:left w:w="108" w:type="dxa"/>
            <w:bottom w:w="0" w:type="dxa"/>
            <w:right w:w="108" w:type="dxa"/>
          </w:tblCellMar>
        </w:tblPrEx>
        <w:trPr>
          <w:trHeight w:val="527" w:hRule="atLeast"/>
        </w:trPr>
        <w:tc>
          <w:tcPr>
            <w:tcW w:w="4896" w:type="dxa"/>
          </w:tcPr>
          <w:p w14:paraId="26EE5A65">
            <w:pPr>
              <w:spacing w:line="400" w:lineRule="exact"/>
              <w:jc w:val="left"/>
              <w:rPr>
                <w:rFonts w:hint="eastAsia" w:ascii="Times New Roman" w:hAnsi="Times New Roman" w:eastAsia="仿宋"/>
                <w:color w:val="000000"/>
                <w:sz w:val="24"/>
                <w:lang w:eastAsia="zh-CN"/>
              </w:rPr>
            </w:pPr>
            <w:r>
              <w:rPr>
                <w:rFonts w:hint="eastAsia" w:ascii="Times New Roman" w:hAnsi="Times New Roman" w:eastAsia="仿宋"/>
                <w:sz w:val="24"/>
              </w:rPr>
              <w:t>开户银行：</w:t>
            </w:r>
            <w:r>
              <w:rPr>
                <w:rFonts w:hint="eastAsia" w:ascii="Times New Roman" w:hAnsi="Times New Roman" w:eastAsia="仿宋"/>
                <w:sz w:val="24"/>
                <w:lang w:val="en-US" w:eastAsia="zh-CN"/>
              </w:rPr>
              <w:t xml:space="preserve">  </w:t>
            </w:r>
          </w:p>
        </w:tc>
        <w:tc>
          <w:tcPr>
            <w:tcW w:w="4583" w:type="dxa"/>
          </w:tcPr>
          <w:p w14:paraId="26EE5A66">
            <w:pPr>
              <w:widowControl/>
              <w:spacing w:line="400" w:lineRule="exact"/>
              <w:jc w:val="left"/>
              <w:rPr>
                <w:rFonts w:ascii="Times New Roman" w:hAnsi="Times New Roman" w:eastAsia="仿宋"/>
                <w:color w:val="000000"/>
                <w:sz w:val="24"/>
              </w:rPr>
            </w:pPr>
            <w:r>
              <w:rPr>
                <w:rFonts w:hint="eastAsia" w:ascii="Times New Roman" w:hAnsi="Times New Roman" w:eastAsia="仿宋"/>
                <w:sz w:val="24"/>
              </w:rPr>
              <w:t>开户银行：</w:t>
            </w:r>
            <w:r>
              <w:rPr>
                <w:rFonts w:hint="eastAsia" w:ascii="Times New Roman" w:hAnsi="Times New Roman" w:eastAsia="仿宋"/>
                <w:sz w:val="24"/>
                <w:lang w:val="en-US" w:eastAsia="zh-CN"/>
              </w:rPr>
              <w:t xml:space="preserve">  </w:t>
            </w:r>
            <w:r>
              <w:rPr>
                <w:rFonts w:hint="eastAsia" w:ascii="Times New Roman" w:hAnsi="Times New Roman" w:eastAsia="仿宋"/>
                <w:color w:val="FF0000"/>
                <w:sz w:val="24"/>
              </w:rPr>
              <w:t xml:space="preserve">                         </w:t>
            </w:r>
          </w:p>
        </w:tc>
      </w:tr>
      <w:tr w14:paraId="26EE5A6A">
        <w:tblPrEx>
          <w:tblCellMar>
            <w:top w:w="0" w:type="dxa"/>
            <w:left w:w="108" w:type="dxa"/>
            <w:bottom w:w="0" w:type="dxa"/>
            <w:right w:w="108" w:type="dxa"/>
          </w:tblCellMar>
        </w:tblPrEx>
        <w:trPr>
          <w:trHeight w:val="527" w:hRule="atLeast"/>
        </w:trPr>
        <w:tc>
          <w:tcPr>
            <w:tcW w:w="4896" w:type="dxa"/>
          </w:tcPr>
          <w:p w14:paraId="26EE5A68">
            <w:pPr>
              <w:spacing w:line="400" w:lineRule="exact"/>
              <w:jc w:val="left"/>
              <w:rPr>
                <w:rFonts w:hint="eastAsia" w:ascii="Times New Roman" w:hAnsi="Times New Roman" w:eastAsia="仿宋"/>
                <w:color w:val="000000"/>
                <w:sz w:val="24"/>
                <w:lang w:eastAsia="zh-CN"/>
              </w:rPr>
            </w:pPr>
            <w:r>
              <w:rPr>
                <w:rFonts w:hint="eastAsia" w:ascii="Times New Roman" w:hAnsi="Times New Roman" w:eastAsia="仿宋"/>
                <w:sz w:val="24"/>
              </w:rPr>
              <w:t>银行账号：</w:t>
            </w:r>
            <w:r>
              <w:rPr>
                <w:rFonts w:hint="eastAsia" w:ascii="Times New Roman" w:hAnsi="Times New Roman" w:eastAsia="仿宋"/>
                <w:sz w:val="24"/>
                <w:lang w:val="en-US" w:eastAsia="zh-CN"/>
              </w:rPr>
              <w:t xml:space="preserve">  </w:t>
            </w:r>
          </w:p>
        </w:tc>
        <w:tc>
          <w:tcPr>
            <w:tcW w:w="4583" w:type="dxa"/>
          </w:tcPr>
          <w:p w14:paraId="26EE5A69">
            <w:pPr>
              <w:widowControl/>
              <w:spacing w:line="400" w:lineRule="exact"/>
              <w:jc w:val="left"/>
              <w:rPr>
                <w:rFonts w:ascii="Times New Roman" w:hAnsi="Times New Roman" w:eastAsia="仿宋"/>
                <w:color w:val="000000"/>
                <w:sz w:val="24"/>
              </w:rPr>
            </w:pPr>
            <w:r>
              <w:rPr>
                <w:rFonts w:hint="eastAsia" w:ascii="Times New Roman" w:hAnsi="Times New Roman" w:eastAsia="仿宋"/>
                <w:sz w:val="24"/>
              </w:rPr>
              <w:t>银行帐号：</w:t>
            </w:r>
            <w:r>
              <w:rPr>
                <w:rFonts w:hint="eastAsia" w:ascii="Times New Roman" w:hAnsi="Times New Roman" w:eastAsia="仿宋"/>
                <w:sz w:val="24"/>
                <w:lang w:val="en-US" w:eastAsia="zh-CN"/>
              </w:rPr>
              <w:t xml:space="preserve"> </w:t>
            </w:r>
            <w:r>
              <w:rPr>
                <w:rFonts w:hint="eastAsia" w:ascii="Times New Roman" w:hAnsi="Times New Roman" w:eastAsia="仿宋"/>
                <w:sz w:val="24"/>
              </w:rPr>
              <w:t xml:space="preserve"> </w:t>
            </w:r>
            <w:r>
              <w:rPr>
                <w:rFonts w:hint="eastAsia" w:ascii="Times New Roman" w:hAnsi="Times New Roman" w:eastAsia="仿宋"/>
                <w:sz w:val="24"/>
                <w:lang w:val="en-US" w:eastAsia="zh-CN"/>
              </w:rPr>
              <w:t xml:space="preserve"> </w:t>
            </w:r>
            <w:r>
              <w:rPr>
                <w:rFonts w:hint="eastAsia" w:ascii="Times New Roman" w:hAnsi="Times New Roman" w:eastAsia="仿宋"/>
                <w:sz w:val="24"/>
              </w:rPr>
              <w:t xml:space="preserve">                            </w:t>
            </w:r>
          </w:p>
        </w:tc>
      </w:tr>
      <w:tr w14:paraId="26EE5A6D">
        <w:tblPrEx>
          <w:tblCellMar>
            <w:top w:w="0" w:type="dxa"/>
            <w:left w:w="108" w:type="dxa"/>
            <w:bottom w:w="0" w:type="dxa"/>
            <w:right w:w="108" w:type="dxa"/>
          </w:tblCellMar>
        </w:tblPrEx>
        <w:trPr>
          <w:trHeight w:val="527" w:hRule="atLeast"/>
        </w:trPr>
        <w:tc>
          <w:tcPr>
            <w:tcW w:w="4896" w:type="dxa"/>
            <w:vAlign w:val="center"/>
          </w:tcPr>
          <w:p w14:paraId="26EE5A6B">
            <w:pPr>
              <w:spacing w:line="400" w:lineRule="exact"/>
              <w:jc w:val="left"/>
              <w:rPr>
                <w:rFonts w:ascii="Times New Roman" w:hAnsi="Times New Roman" w:eastAsia="仿宋"/>
                <w:sz w:val="24"/>
              </w:rPr>
            </w:pPr>
            <w:r>
              <w:rPr>
                <w:rFonts w:hint="eastAsia" w:ascii="Times New Roman" w:hAnsi="Times New Roman" w:eastAsia="仿宋"/>
                <w:sz w:val="24"/>
              </w:rPr>
              <w:t>日期：     年     月     日</w:t>
            </w:r>
          </w:p>
        </w:tc>
        <w:tc>
          <w:tcPr>
            <w:tcW w:w="4583" w:type="dxa"/>
          </w:tcPr>
          <w:p w14:paraId="26EE5A6C">
            <w:pPr>
              <w:spacing w:line="400" w:lineRule="exact"/>
              <w:jc w:val="left"/>
              <w:rPr>
                <w:rFonts w:ascii="Times New Roman" w:hAnsi="Times New Roman" w:eastAsia="仿宋"/>
                <w:sz w:val="24"/>
              </w:rPr>
            </w:pPr>
            <w:r>
              <w:rPr>
                <w:rFonts w:hint="eastAsia" w:ascii="Times New Roman" w:hAnsi="Times New Roman" w:eastAsia="仿宋"/>
                <w:sz w:val="24"/>
              </w:rPr>
              <w:t>日期：     年     月     日</w:t>
            </w:r>
          </w:p>
        </w:tc>
      </w:tr>
    </w:tbl>
    <w:p w14:paraId="26EE5A6E">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 </w:t>
      </w:r>
    </w:p>
    <w:p w14:paraId="26EE5A6F">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ascii="Times New Roman" w:hAnsi="Times New Roman" w:eastAsia="仿宋"/>
          <w:b/>
          <w:kern w:val="0"/>
          <w:sz w:val="32"/>
          <w:szCs w:val="32"/>
        </w:rPr>
      </w:pPr>
      <w:r>
        <w:rPr>
          <w:rFonts w:ascii="Times New Roman" w:hAnsi="Times New Roman" w:eastAsia="仿宋"/>
          <w:b/>
          <w:kern w:val="0"/>
          <w:sz w:val="32"/>
          <w:szCs w:val="32"/>
        </w:rPr>
        <w:br w:type="page"/>
      </w:r>
      <w:r>
        <w:rPr>
          <w:rFonts w:ascii="Times New Roman" w:hAnsi="Times New Roman" w:eastAsia="仿宋"/>
          <w:b/>
          <w:kern w:val="0"/>
          <w:sz w:val="32"/>
          <w:szCs w:val="32"/>
        </w:rPr>
        <w:t>附件一：</w:t>
      </w:r>
      <w:r>
        <w:rPr>
          <w:rFonts w:hint="eastAsia" w:ascii="Times New Roman" w:hAnsi="Times New Roman" w:eastAsia="仿宋"/>
          <w:b/>
          <w:kern w:val="0"/>
          <w:sz w:val="32"/>
          <w:szCs w:val="32"/>
          <w:lang w:val="en-US" w:eastAsia="zh-CN"/>
        </w:rPr>
        <w:t>平台/模型</w:t>
      </w:r>
      <w:r>
        <w:rPr>
          <w:rFonts w:ascii="Times New Roman" w:hAnsi="Times New Roman" w:eastAsia="仿宋"/>
          <w:b/>
          <w:kern w:val="0"/>
          <w:sz w:val="32"/>
          <w:szCs w:val="32"/>
        </w:rPr>
        <w:t>功能及性能描述</w:t>
      </w:r>
    </w:p>
    <w:p w14:paraId="26EE5A7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ascii="Times New Roman" w:hAnsi="Times New Roman" w:eastAsia="仿宋_GB2312"/>
          <w:b/>
          <w:kern w:val="0"/>
          <w:sz w:val="24"/>
        </w:rPr>
      </w:pPr>
      <w:r>
        <w:rPr>
          <w:rFonts w:ascii="Times New Roman" w:hAnsi="Times New Roman" w:eastAsia="仿宋_GB2312"/>
          <w:b/>
          <w:kern w:val="0"/>
          <w:sz w:val="24"/>
        </w:rPr>
        <w:t>1、</w:t>
      </w:r>
      <w:r>
        <w:rPr>
          <w:rFonts w:hint="eastAsia" w:ascii="Times New Roman" w:hAnsi="Times New Roman" w:eastAsia="仿宋_GB2312"/>
          <w:b/>
          <w:kern w:val="0"/>
          <w:sz w:val="24"/>
        </w:rPr>
        <w:t>高速公路结构物隐患靶区智能识别模型</w:t>
      </w:r>
      <w:r>
        <w:rPr>
          <w:rFonts w:ascii="Times New Roman" w:hAnsi="Times New Roman" w:eastAsia="仿宋_GB2312"/>
          <w:b/>
          <w:kern w:val="0"/>
          <w:sz w:val="24"/>
        </w:rPr>
        <w:t>技术</w:t>
      </w:r>
      <w:r>
        <w:rPr>
          <w:rFonts w:hint="eastAsia" w:ascii="Times New Roman" w:hAnsi="Times New Roman" w:eastAsia="仿宋_GB2312"/>
          <w:b/>
          <w:kern w:val="0"/>
          <w:sz w:val="24"/>
        </w:rPr>
        <w:t>开发</w:t>
      </w:r>
    </w:p>
    <w:p w14:paraId="26EE5A71">
      <w:pPr>
        <w:adjustRightInd w:val="0"/>
        <w:snapToGrid w:val="0"/>
        <w:spacing w:line="360" w:lineRule="auto"/>
        <w:ind w:firstLine="422" w:firstLineChars="176"/>
        <w:rPr>
          <w:rFonts w:ascii="Times New Roman" w:hAnsi="Times New Roman" w:eastAsia="仿宋_GB2312"/>
          <w:sz w:val="24"/>
        </w:rPr>
      </w:pPr>
      <w:r>
        <w:rPr>
          <w:rFonts w:hint="eastAsia" w:ascii="Times New Roman" w:hAnsi="Times New Roman" w:eastAsia="仿宋_GB2312"/>
          <w:sz w:val="24"/>
        </w:rPr>
        <w:t>开发基于InSAR时序形变数据的高速公路结构物隐患靶区智能识别模型，自动识别并提取风险区域及形变关键信息，实现隐患靶区的自动化、智能化、精准化识别。模型以亚厘米级时序形变场为输入，融合地形坡度、地质背景、历史灾害等信息，自动圈定边坡滑移面、路基不均匀沉降区、桥梁及隧道</w:t>
      </w:r>
      <w:r>
        <w:rPr>
          <w:rFonts w:hint="eastAsia" w:ascii="Times New Roman" w:hAnsi="Times New Roman" w:eastAsia="仿宋_GB2312"/>
          <w:sz w:val="24"/>
          <w:lang w:val="en-US" w:eastAsia="zh-CN"/>
        </w:rPr>
        <w:t>口</w:t>
      </w:r>
      <w:r>
        <w:rPr>
          <w:rFonts w:hint="eastAsia" w:ascii="Times New Roman" w:hAnsi="Times New Roman" w:eastAsia="仿宋_GB2312"/>
          <w:sz w:val="24"/>
        </w:rPr>
        <w:t>周边变形区，</w:t>
      </w:r>
      <w:r>
        <w:rPr>
          <w:rFonts w:hint="eastAsia" w:ascii="Times New Roman" w:hAnsi="Times New Roman" w:eastAsia="仿宋_GB2312"/>
          <w:sz w:val="24"/>
          <w:lang w:val="en-US" w:eastAsia="zh-CN"/>
        </w:rPr>
        <w:t>满足</w:t>
      </w:r>
      <w:r>
        <w:rPr>
          <w:rFonts w:hint="eastAsia" w:ascii="Times New Roman" w:hAnsi="Times New Roman" w:eastAsia="仿宋_GB2312"/>
          <w:sz w:val="24"/>
        </w:rPr>
        <w:t>隐患识别准确率不低于95%。</w:t>
      </w:r>
    </w:p>
    <w:p w14:paraId="26EE5A72">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ascii="Times New Roman" w:hAnsi="Times New Roman" w:eastAsia="仿宋_GB2312"/>
          <w:b/>
          <w:kern w:val="0"/>
          <w:sz w:val="24"/>
        </w:rPr>
      </w:pPr>
      <w:r>
        <w:rPr>
          <w:rFonts w:hint="eastAsia" w:ascii="Times New Roman" w:hAnsi="Times New Roman" w:eastAsia="仿宋_GB2312"/>
          <w:b/>
          <w:kern w:val="0"/>
          <w:sz w:val="24"/>
        </w:rPr>
        <w:t>1</w:t>
      </w:r>
      <w:r>
        <w:rPr>
          <w:rFonts w:ascii="Times New Roman" w:hAnsi="Times New Roman" w:eastAsia="仿宋_GB2312"/>
          <w:b/>
          <w:kern w:val="0"/>
          <w:sz w:val="24"/>
        </w:rPr>
        <w:t xml:space="preserve">.1 </w:t>
      </w:r>
      <w:r>
        <w:rPr>
          <w:rFonts w:hint="eastAsia" w:ascii="Times New Roman" w:hAnsi="Times New Roman" w:eastAsia="仿宋_GB2312"/>
          <w:b/>
          <w:kern w:val="0"/>
          <w:sz w:val="24"/>
          <w:lang w:val="en-US" w:eastAsia="zh-CN"/>
        </w:rPr>
        <w:t>识别任务管理</w:t>
      </w:r>
    </w:p>
    <w:p w14:paraId="26EE5A74">
      <w:pPr>
        <w:adjustRightInd w:val="0"/>
        <w:snapToGrid w:val="0"/>
        <w:spacing w:line="360" w:lineRule="auto"/>
        <w:ind w:firstLine="422" w:firstLineChars="176"/>
        <w:rPr>
          <w:rFonts w:ascii="Times New Roman" w:hAnsi="Times New Roman" w:eastAsia="仿宋_GB2312"/>
          <w:sz w:val="24"/>
        </w:rPr>
      </w:pPr>
      <w:r>
        <w:rPr>
          <w:rFonts w:hint="eastAsia" w:ascii="Times New Roman" w:hAnsi="Times New Roman" w:eastAsia="仿宋_GB2312"/>
          <w:sz w:val="24"/>
        </w:rPr>
        <w:t>（1）</w:t>
      </w:r>
      <w:r>
        <w:rPr>
          <w:rFonts w:hint="eastAsia" w:ascii="Times New Roman" w:hAnsi="Times New Roman" w:eastAsia="仿宋_GB2312"/>
          <w:sz w:val="24"/>
          <w:lang w:val="en-US" w:eastAsia="zh-CN"/>
        </w:rPr>
        <w:t>InSAR数据选择：支持选择指定周期的InSAR数据，进行历史数据回溯与分析，或创建新的隐患识别任务</w:t>
      </w:r>
      <w:r>
        <w:rPr>
          <w:rFonts w:hint="eastAsia" w:ascii="Times New Roman" w:hAnsi="Times New Roman" w:eastAsia="仿宋_GB2312"/>
          <w:sz w:val="24"/>
        </w:rPr>
        <w:t>；</w:t>
      </w:r>
    </w:p>
    <w:p w14:paraId="26EE5A75">
      <w:pPr>
        <w:adjustRightInd w:val="0"/>
        <w:snapToGrid w:val="0"/>
        <w:spacing w:line="360" w:lineRule="auto"/>
        <w:ind w:firstLine="422" w:firstLineChars="176"/>
        <w:rPr>
          <w:rFonts w:ascii="Times New Roman" w:hAnsi="Times New Roman" w:eastAsia="仿宋_GB2312"/>
          <w:sz w:val="24"/>
        </w:rPr>
      </w:pPr>
      <w:r>
        <w:rPr>
          <w:rFonts w:hint="eastAsia" w:ascii="Times New Roman" w:hAnsi="Times New Roman" w:eastAsia="仿宋_GB2312"/>
          <w:sz w:val="24"/>
        </w:rPr>
        <w:t>（2）</w:t>
      </w:r>
      <w:r>
        <w:rPr>
          <w:rFonts w:hint="eastAsia" w:ascii="Times New Roman" w:hAnsi="Times New Roman" w:eastAsia="仿宋_GB2312"/>
          <w:sz w:val="24"/>
          <w:lang w:val="en-US" w:eastAsia="zh-CN"/>
        </w:rPr>
        <w:t>识别模型配置：支持自定义识别因子值（例如InSAR点数据栅格化像元大小、InSAR点数据栅格化像元大小、热点分析邻域半径、最小形变速率阈值、最终异常区最小面积、空间衰减分数阈值、高斯平滑系数等）</w:t>
      </w:r>
      <w:r>
        <w:rPr>
          <w:rFonts w:hint="eastAsia" w:ascii="Times New Roman" w:hAnsi="Times New Roman" w:eastAsia="仿宋_GB2312"/>
          <w:sz w:val="24"/>
        </w:rPr>
        <w:t>；</w:t>
      </w:r>
    </w:p>
    <w:p w14:paraId="26EE5A76">
      <w:pPr>
        <w:adjustRightInd w:val="0"/>
        <w:snapToGrid w:val="0"/>
        <w:spacing w:line="360" w:lineRule="auto"/>
        <w:ind w:firstLine="422" w:firstLineChars="176"/>
        <w:rPr>
          <w:rFonts w:ascii="Times New Roman" w:hAnsi="Times New Roman" w:eastAsia="仿宋_GB2312"/>
          <w:sz w:val="24"/>
        </w:rPr>
      </w:pPr>
      <w:r>
        <w:rPr>
          <w:rFonts w:hint="eastAsia" w:ascii="Times New Roman" w:hAnsi="Times New Roman" w:eastAsia="仿宋_GB2312"/>
          <w:sz w:val="24"/>
        </w:rPr>
        <w:t>（3）</w:t>
      </w:r>
      <w:r>
        <w:rPr>
          <w:rFonts w:hint="eastAsia" w:ascii="Times New Roman" w:hAnsi="Times New Roman" w:eastAsia="仿宋_GB2312"/>
          <w:sz w:val="24"/>
          <w:lang w:val="en-US" w:eastAsia="zh-CN"/>
        </w:rPr>
        <w:t>自动隐患识别：一键触发模型运算，基于配置参数自动提取疑似隐患靶区</w:t>
      </w:r>
      <w:r>
        <w:rPr>
          <w:rFonts w:hint="eastAsia" w:ascii="Times New Roman" w:hAnsi="Times New Roman" w:eastAsia="仿宋_GB2312"/>
          <w:sz w:val="24"/>
        </w:rPr>
        <w:t>。</w:t>
      </w:r>
    </w:p>
    <w:p w14:paraId="26EE5A77">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imes New Roman" w:hAnsi="Times New Roman" w:eastAsia="仿宋_GB2312"/>
          <w:b/>
          <w:kern w:val="0"/>
          <w:sz w:val="24"/>
        </w:rPr>
      </w:pPr>
      <w:r>
        <w:rPr>
          <w:rFonts w:hint="eastAsia" w:ascii="Times New Roman" w:hAnsi="Times New Roman" w:eastAsia="仿宋_GB2312"/>
          <w:b/>
          <w:kern w:val="0"/>
          <w:sz w:val="24"/>
        </w:rPr>
        <w:t xml:space="preserve">1.2 </w:t>
      </w:r>
      <w:r>
        <w:rPr>
          <w:rFonts w:hint="eastAsia" w:ascii="Times New Roman" w:hAnsi="Times New Roman" w:eastAsia="仿宋_GB2312"/>
          <w:b/>
          <w:kern w:val="0"/>
          <w:sz w:val="24"/>
          <w:lang w:val="en-US" w:eastAsia="zh-CN"/>
        </w:rPr>
        <w:t>成果校验</w:t>
      </w:r>
    </w:p>
    <w:p w14:paraId="26EE5A79">
      <w:pPr>
        <w:adjustRightInd w:val="0"/>
        <w:snapToGrid w:val="0"/>
        <w:spacing w:line="360" w:lineRule="auto"/>
        <w:ind w:firstLine="422" w:firstLineChars="176"/>
        <w:rPr>
          <w:rFonts w:ascii="Times New Roman" w:hAnsi="Times New Roman" w:eastAsia="仿宋_GB2312"/>
          <w:sz w:val="24"/>
        </w:rPr>
      </w:pPr>
      <w:r>
        <w:rPr>
          <w:rFonts w:ascii="Times New Roman" w:hAnsi="Times New Roman" w:eastAsia="仿宋_GB2312"/>
          <w:sz w:val="24"/>
        </w:rPr>
        <w:t>（1）</w:t>
      </w:r>
      <w:r>
        <w:rPr>
          <w:rFonts w:hint="eastAsia" w:ascii="Times New Roman" w:hAnsi="Times New Roman" w:eastAsia="仿宋_GB2312"/>
          <w:sz w:val="24"/>
          <w:lang w:val="en-US" w:eastAsia="zh-CN"/>
        </w:rPr>
        <w:t>变化分析：支持对比同一周期不同参数计算成果的隐患点，展示相对上一期的变化（新增，加剧，减轻，稳定等），支持人工调整</w:t>
      </w:r>
      <w:r>
        <w:rPr>
          <w:rFonts w:ascii="Times New Roman" w:hAnsi="Times New Roman" w:eastAsia="仿宋_GB2312"/>
          <w:sz w:val="24"/>
        </w:rPr>
        <w:t>；</w:t>
      </w:r>
    </w:p>
    <w:p w14:paraId="26EE5A7E">
      <w:pPr>
        <w:adjustRightInd w:val="0"/>
        <w:snapToGrid w:val="0"/>
        <w:spacing w:line="360" w:lineRule="auto"/>
        <w:ind w:firstLine="422" w:firstLineChars="176"/>
        <w:rPr>
          <w:rFonts w:ascii="Times New Roman" w:hAnsi="Times New Roman" w:eastAsia="仿宋_GB2312"/>
          <w:sz w:val="24"/>
        </w:rPr>
      </w:pPr>
      <w:r>
        <w:rPr>
          <w:rFonts w:ascii="Times New Roman" w:hAnsi="Times New Roman" w:eastAsia="仿宋_GB2312"/>
          <w:sz w:val="24"/>
        </w:rPr>
        <w:t>（2）</w:t>
      </w:r>
      <w:r>
        <w:rPr>
          <w:rFonts w:hint="eastAsia" w:ascii="Times New Roman" w:hAnsi="Times New Roman" w:eastAsia="仿宋_GB2312"/>
          <w:sz w:val="24"/>
          <w:lang w:val="en-US" w:eastAsia="zh-CN"/>
        </w:rPr>
        <w:t>成果发布：调整并选择最准确的识别任务成果集，发布为正式成果</w:t>
      </w:r>
      <w:r>
        <w:rPr>
          <w:rFonts w:hint="eastAsia" w:ascii="Times New Roman" w:hAnsi="Times New Roman" w:eastAsia="仿宋_GB2312"/>
          <w:sz w:val="24"/>
        </w:rPr>
        <w:t>。</w:t>
      </w:r>
    </w:p>
    <w:p w14:paraId="26EE5A7F">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default" w:ascii="Times New Roman" w:hAnsi="Times New Roman" w:eastAsia="仿宋_GB2312"/>
          <w:b/>
          <w:kern w:val="0"/>
          <w:sz w:val="24"/>
          <w:lang w:val="en-US"/>
        </w:rPr>
      </w:pPr>
      <w:r>
        <w:rPr>
          <w:rFonts w:hint="eastAsia" w:ascii="Times New Roman" w:hAnsi="Times New Roman" w:eastAsia="仿宋_GB2312"/>
          <w:b/>
          <w:kern w:val="0"/>
          <w:sz w:val="24"/>
        </w:rPr>
        <w:t xml:space="preserve">1.3 </w:t>
      </w:r>
      <w:r>
        <w:rPr>
          <w:rFonts w:hint="eastAsia" w:ascii="Times New Roman" w:hAnsi="Times New Roman" w:eastAsia="仿宋_GB2312"/>
          <w:b/>
          <w:kern w:val="0"/>
          <w:sz w:val="24"/>
          <w:lang w:val="en-US" w:eastAsia="zh-CN"/>
        </w:rPr>
        <w:t>活动性评估</w:t>
      </w:r>
    </w:p>
    <w:p w14:paraId="26EE5A81">
      <w:pPr>
        <w:adjustRightInd w:val="0"/>
        <w:snapToGrid w:val="0"/>
        <w:spacing w:line="360" w:lineRule="auto"/>
        <w:ind w:firstLine="422" w:firstLineChars="176"/>
        <w:rPr>
          <w:rFonts w:ascii="Times New Roman" w:hAnsi="Times New Roman" w:eastAsia="仿宋_GB2312"/>
          <w:sz w:val="24"/>
        </w:rPr>
      </w:pPr>
      <w:r>
        <w:rPr>
          <w:rFonts w:hint="eastAsia" w:ascii="Times New Roman" w:hAnsi="Times New Roman" w:eastAsia="仿宋_GB2312"/>
          <w:sz w:val="24"/>
        </w:rPr>
        <w:t>（1）</w:t>
      </w:r>
      <w:r>
        <w:rPr>
          <w:rFonts w:hint="eastAsia" w:ascii="Times New Roman" w:hAnsi="Times New Roman" w:eastAsia="仿宋_GB2312"/>
          <w:sz w:val="24"/>
          <w:lang w:val="en-US" w:eastAsia="zh-CN"/>
        </w:rPr>
        <w:t>数据与模型配置：选择InSAR数据、评估模型，配置不同风险等级（高/中/低）的形变速度阈值</w:t>
      </w:r>
      <w:r>
        <w:rPr>
          <w:rFonts w:hint="eastAsia" w:ascii="Times New Roman" w:hAnsi="Times New Roman" w:eastAsia="仿宋_GB2312"/>
          <w:sz w:val="24"/>
        </w:rPr>
        <w:t>；</w:t>
      </w:r>
    </w:p>
    <w:p w14:paraId="26EE5A82">
      <w:pPr>
        <w:adjustRightInd w:val="0"/>
        <w:snapToGrid w:val="0"/>
        <w:spacing w:line="360" w:lineRule="auto"/>
        <w:ind w:firstLine="422" w:firstLineChars="176"/>
        <w:rPr>
          <w:rFonts w:ascii="Times New Roman" w:hAnsi="Times New Roman" w:eastAsia="仿宋_GB2312"/>
          <w:sz w:val="24"/>
        </w:rPr>
      </w:pPr>
      <w:r>
        <w:rPr>
          <w:rFonts w:hint="eastAsia" w:ascii="Times New Roman" w:hAnsi="Times New Roman" w:eastAsia="仿宋_GB2312"/>
          <w:sz w:val="24"/>
        </w:rPr>
        <w:t>（2）</w:t>
      </w:r>
      <w:r>
        <w:rPr>
          <w:rFonts w:hint="eastAsia" w:ascii="Times New Roman" w:hAnsi="Times New Roman" w:eastAsia="仿宋_GB2312"/>
          <w:sz w:val="24"/>
          <w:lang w:val="en-US" w:eastAsia="zh-CN"/>
        </w:rPr>
        <w:t>多因子评估配置：勾选地形类（坡度、坡向、地形地貌等）、地质类（地层岩性、斜坡结构等）、环境类（植被覆盖度、距水系距离）评估因子</w:t>
      </w:r>
      <w:r>
        <w:rPr>
          <w:rFonts w:hint="eastAsia" w:ascii="Times New Roman" w:hAnsi="Times New Roman" w:eastAsia="仿宋_GB2312"/>
          <w:sz w:val="24"/>
        </w:rPr>
        <w:t>；</w:t>
      </w:r>
    </w:p>
    <w:p w14:paraId="26EE5A83">
      <w:pPr>
        <w:adjustRightInd w:val="0"/>
        <w:snapToGrid w:val="0"/>
        <w:spacing w:line="360" w:lineRule="auto"/>
        <w:ind w:firstLine="422" w:firstLineChars="176"/>
        <w:rPr>
          <w:rFonts w:ascii="Times New Roman" w:hAnsi="Times New Roman" w:eastAsia="仿宋_GB2312"/>
          <w:sz w:val="24"/>
        </w:rPr>
      </w:pPr>
      <w:r>
        <w:rPr>
          <w:rFonts w:hint="eastAsia" w:ascii="Times New Roman" w:hAnsi="Times New Roman" w:eastAsia="仿宋_GB2312"/>
          <w:sz w:val="24"/>
        </w:rPr>
        <w:t>（3）一键计算与结果展示</w:t>
      </w:r>
      <w:r>
        <w:rPr>
          <w:rFonts w:hint="eastAsia" w:ascii="Times New Roman" w:hAnsi="Times New Roman" w:eastAsia="仿宋_GB2312"/>
          <w:sz w:val="24"/>
          <w:lang w:eastAsia="zh-CN"/>
        </w:rPr>
        <w:t>：自动完成活动性评估，输出风险等级（如高），并记录计算时间、时长，支持重新计算</w:t>
      </w:r>
      <w:r>
        <w:rPr>
          <w:rFonts w:hint="eastAsia" w:ascii="Times New Roman" w:hAnsi="Times New Roman" w:eastAsia="仿宋_GB2312"/>
          <w:sz w:val="24"/>
        </w:rPr>
        <w:t>；</w:t>
      </w:r>
    </w:p>
    <w:p w14:paraId="1AD251A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default" w:ascii="Times New Roman" w:hAnsi="Times New Roman" w:eastAsia="仿宋_GB2312"/>
          <w:b/>
          <w:kern w:val="0"/>
          <w:sz w:val="24"/>
          <w:lang w:val="en-US"/>
        </w:rPr>
      </w:pPr>
      <w:r>
        <w:rPr>
          <w:rFonts w:hint="eastAsia" w:ascii="Times New Roman" w:hAnsi="Times New Roman" w:eastAsia="仿宋_GB2312"/>
          <w:b/>
          <w:kern w:val="0"/>
          <w:sz w:val="24"/>
        </w:rPr>
        <w:t>1.</w:t>
      </w:r>
      <w:r>
        <w:rPr>
          <w:rFonts w:hint="eastAsia" w:ascii="Times New Roman" w:hAnsi="Times New Roman" w:eastAsia="仿宋_GB2312"/>
          <w:b/>
          <w:kern w:val="0"/>
          <w:sz w:val="24"/>
          <w:lang w:val="en-US" w:eastAsia="zh-CN"/>
        </w:rPr>
        <w:t>4</w:t>
      </w:r>
      <w:r>
        <w:rPr>
          <w:rFonts w:hint="eastAsia" w:ascii="Times New Roman" w:hAnsi="Times New Roman" w:eastAsia="仿宋_GB2312"/>
          <w:b/>
          <w:kern w:val="0"/>
          <w:sz w:val="24"/>
        </w:rPr>
        <w:t xml:space="preserve"> </w:t>
      </w:r>
      <w:r>
        <w:rPr>
          <w:rFonts w:hint="eastAsia" w:ascii="Times New Roman" w:hAnsi="Times New Roman" w:eastAsia="仿宋_GB2312"/>
          <w:b/>
          <w:kern w:val="0"/>
          <w:sz w:val="24"/>
          <w:lang w:val="en-US" w:eastAsia="zh-CN"/>
        </w:rPr>
        <w:t>危害性评估</w:t>
      </w:r>
    </w:p>
    <w:p w14:paraId="26EE5A84">
      <w:pPr>
        <w:adjustRightInd w:val="0"/>
        <w:snapToGrid w:val="0"/>
        <w:spacing w:line="360" w:lineRule="auto"/>
        <w:ind w:firstLine="422" w:firstLineChars="176"/>
        <w:rPr>
          <w:rFonts w:hint="eastAsia" w:ascii="Times New Roman" w:hAnsi="Times New Roman" w:eastAsia="仿宋_GB2312"/>
          <w:sz w:val="24"/>
          <w:lang w:eastAsia="zh-CN"/>
        </w:rPr>
      </w:pPr>
      <w:r>
        <w:rPr>
          <w:rFonts w:hint="eastAsia" w:ascii="Times New Roman" w:hAnsi="Times New Roman" w:eastAsia="仿宋_GB2312"/>
          <w:sz w:val="24"/>
        </w:rPr>
        <w:t>（</w:t>
      </w:r>
      <w:r>
        <w:rPr>
          <w:rFonts w:hint="eastAsia" w:ascii="Times New Roman" w:hAnsi="Times New Roman" w:eastAsia="仿宋_GB2312"/>
          <w:sz w:val="24"/>
          <w:lang w:val="en-US" w:eastAsia="zh-CN"/>
        </w:rPr>
        <w:t>1</w:t>
      </w:r>
      <w:r>
        <w:rPr>
          <w:rFonts w:hint="eastAsia" w:ascii="Times New Roman" w:hAnsi="Times New Roman" w:eastAsia="仿宋_GB2312"/>
          <w:sz w:val="24"/>
        </w:rPr>
        <w:t>）</w:t>
      </w:r>
      <w:r>
        <w:rPr>
          <w:rFonts w:hint="eastAsia" w:ascii="Times New Roman" w:hAnsi="Times New Roman" w:eastAsia="仿宋_GB2312"/>
          <w:sz w:val="24"/>
          <w:lang w:val="en-US" w:eastAsia="zh-CN"/>
        </w:rPr>
        <w:t>影响因子配置：配置城镇、交通道路、大江大河、矿山等承灾体的危害等级（高/中/低）</w:t>
      </w:r>
      <w:r>
        <w:rPr>
          <w:rFonts w:hint="eastAsia" w:ascii="Times New Roman" w:hAnsi="Times New Roman" w:eastAsia="仿宋_GB2312"/>
          <w:sz w:val="24"/>
          <w:lang w:eastAsia="zh-CN"/>
        </w:rPr>
        <w:t>；</w:t>
      </w:r>
    </w:p>
    <w:p w14:paraId="6B9884BA">
      <w:pPr>
        <w:adjustRightInd w:val="0"/>
        <w:snapToGrid w:val="0"/>
        <w:spacing w:line="360" w:lineRule="auto"/>
        <w:ind w:firstLine="422" w:firstLineChars="176"/>
        <w:rPr>
          <w:rFonts w:hint="eastAsia" w:ascii="Times New Roman" w:hAnsi="Times New Roman" w:eastAsia="仿宋_GB2312"/>
          <w:sz w:val="24"/>
          <w:lang w:val="en-US" w:eastAsia="zh-CN"/>
        </w:rPr>
      </w:pPr>
      <w:r>
        <w:rPr>
          <w:rFonts w:hint="eastAsia" w:ascii="Times New Roman" w:hAnsi="Times New Roman" w:eastAsia="仿宋_GB2312"/>
          <w:sz w:val="24"/>
          <w:lang w:eastAsia="zh-CN"/>
        </w:rPr>
        <w:t>（</w:t>
      </w:r>
      <w:r>
        <w:rPr>
          <w:rFonts w:hint="eastAsia" w:ascii="Times New Roman" w:hAnsi="Times New Roman" w:eastAsia="仿宋_GB2312"/>
          <w:sz w:val="24"/>
          <w:lang w:val="en-US" w:eastAsia="zh-CN"/>
        </w:rPr>
        <w:t>2</w:t>
      </w:r>
      <w:r>
        <w:rPr>
          <w:rFonts w:hint="eastAsia" w:ascii="Times New Roman" w:hAnsi="Times New Roman" w:eastAsia="仿宋_GB2312"/>
          <w:sz w:val="24"/>
          <w:lang w:eastAsia="zh-CN"/>
        </w:rPr>
        <w:t>）</w:t>
      </w:r>
      <w:r>
        <w:rPr>
          <w:rFonts w:hint="eastAsia" w:ascii="Times New Roman" w:hAnsi="Times New Roman" w:eastAsia="仿宋_GB2312"/>
          <w:sz w:val="24"/>
          <w:lang w:val="en-US" w:eastAsia="zh-CN"/>
        </w:rPr>
        <w:t>AI自动识别：支持AI自动识别隐患周围底物，辅助判别承灾体等级，辅助人工配置；</w:t>
      </w:r>
    </w:p>
    <w:p w14:paraId="01184AFD">
      <w:pPr>
        <w:adjustRightInd w:val="0"/>
        <w:snapToGrid w:val="0"/>
        <w:spacing w:line="360" w:lineRule="auto"/>
        <w:ind w:firstLine="422" w:firstLineChars="176"/>
        <w:rPr>
          <w:rFonts w:hint="eastAsia" w:ascii="Times New Roman" w:hAnsi="Times New Roman" w:eastAsia="仿宋_GB2312"/>
          <w:sz w:val="24"/>
          <w:lang w:val="en-US" w:eastAsia="zh-CN"/>
        </w:rPr>
      </w:pPr>
      <w:r>
        <w:rPr>
          <w:rFonts w:hint="eastAsia" w:ascii="Times New Roman" w:hAnsi="Times New Roman" w:eastAsia="仿宋_GB2312"/>
          <w:sz w:val="24"/>
          <w:lang w:val="en-US" w:eastAsia="zh-CN"/>
        </w:rPr>
        <w:t>（3）一键计算与结果展示：输出不同维度的危害性等级（如高、中），支持重新计算或人工调整；</w:t>
      </w:r>
    </w:p>
    <w:p w14:paraId="01F6A549">
      <w:pPr>
        <w:adjustRightInd w:val="0"/>
        <w:snapToGrid w:val="0"/>
        <w:spacing w:line="360" w:lineRule="auto"/>
        <w:ind w:firstLine="422" w:firstLineChars="176"/>
        <w:rPr>
          <w:rFonts w:hint="eastAsia" w:ascii="Times New Roman" w:hAnsi="Times New Roman" w:eastAsia="仿宋_GB2312"/>
          <w:sz w:val="24"/>
          <w:lang w:val="en-US" w:eastAsia="zh-CN"/>
        </w:rPr>
      </w:pPr>
      <w:r>
        <w:rPr>
          <w:rFonts w:hint="eastAsia" w:ascii="Times New Roman" w:hAnsi="Times New Roman" w:eastAsia="仿宋_GB2312"/>
          <w:sz w:val="24"/>
          <w:lang w:val="en-US" w:eastAsia="zh-CN"/>
        </w:rPr>
        <w:t>（4）批量风险等级调整：支持通过滑动或输入参数，批量调整风险等级。</w:t>
      </w:r>
    </w:p>
    <w:p w14:paraId="0E9D1EE1">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imes New Roman" w:hAnsi="Times New Roman" w:eastAsia="仿宋_GB2312"/>
          <w:b/>
          <w:kern w:val="0"/>
          <w:sz w:val="24"/>
          <w:lang w:val="en-US" w:eastAsia="zh-CN"/>
        </w:rPr>
      </w:pPr>
      <w:r>
        <w:rPr>
          <w:rFonts w:ascii="Times New Roman" w:hAnsi="Times New Roman" w:eastAsia="仿宋_GB2312"/>
          <w:b/>
          <w:bCs/>
          <w:sz w:val="24"/>
        </w:rPr>
        <w:t>1.</w:t>
      </w:r>
      <w:r>
        <w:rPr>
          <w:rFonts w:hint="eastAsia" w:ascii="Times New Roman" w:hAnsi="Times New Roman" w:eastAsia="仿宋_GB2312"/>
          <w:b/>
          <w:bCs/>
          <w:sz w:val="24"/>
          <w:lang w:val="en-US" w:eastAsia="zh-CN"/>
        </w:rPr>
        <w:t>5</w:t>
      </w:r>
      <w:r>
        <w:rPr>
          <w:rFonts w:ascii="Times New Roman" w:hAnsi="Times New Roman" w:eastAsia="仿宋_GB2312"/>
          <w:b/>
          <w:bCs/>
          <w:sz w:val="24"/>
        </w:rPr>
        <w:t xml:space="preserve"> </w:t>
      </w:r>
      <w:r>
        <w:rPr>
          <w:rFonts w:hint="eastAsia" w:ascii="Times New Roman" w:hAnsi="Times New Roman" w:eastAsia="仿宋_GB2312"/>
          <w:b/>
          <w:kern w:val="0"/>
          <w:sz w:val="24"/>
          <w:lang w:val="en-US" w:eastAsia="zh-CN"/>
        </w:rPr>
        <w:t>风险性评估</w:t>
      </w:r>
    </w:p>
    <w:p w14:paraId="5EEF80C1">
      <w:pPr>
        <w:adjustRightInd w:val="0"/>
        <w:snapToGrid w:val="0"/>
        <w:spacing w:line="360" w:lineRule="auto"/>
        <w:ind w:firstLine="422" w:firstLineChars="176"/>
        <w:rPr>
          <w:rFonts w:hint="eastAsia" w:ascii="Times New Roman" w:hAnsi="Times New Roman" w:eastAsia="仿宋_GB2312"/>
          <w:sz w:val="24"/>
          <w:lang w:val="en-US" w:eastAsia="zh-CN"/>
        </w:rPr>
      </w:pPr>
      <w:r>
        <w:rPr>
          <w:rFonts w:hint="eastAsia" w:ascii="Times New Roman" w:hAnsi="Times New Roman" w:eastAsia="仿宋_GB2312"/>
          <w:sz w:val="24"/>
          <w:lang w:val="en-US" w:eastAsia="zh-CN"/>
        </w:rPr>
        <w:t>（1）综合风险计算：输入靶区活动性、道路交通危害性、居民聚集区危害性等前置评估结果，调用模型计算综合风险等级；</w:t>
      </w:r>
    </w:p>
    <w:p w14:paraId="4EAC5152">
      <w:pPr>
        <w:adjustRightInd w:val="0"/>
        <w:snapToGrid w:val="0"/>
        <w:spacing w:line="360" w:lineRule="auto"/>
        <w:ind w:firstLine="422" w:firstLineChars="176"/>
        <w:rPr>
          <w:rFonts w:hint="default" w:ascii="Times New Roman" w:hAnsi="Times New Roman" w:eastAsia="仿宋_GB2312"/>
          <w:sz w:val="24"/>
          <w:lang w:val="en-US" w:eastAsia="zh-CN"/>
        </w:rPr>
      </w:pPr>
      <w:r>
        <w:rPr>
          <w:rFonts w:hint="eastAsia" w:ascii="Times New Roman" w:hAnsi="Times New Roman" w:eastAsia="仿宋_GB2312"/>
          <w:sz w:val="24"/>
          <w:lang w:val="en-US" w:eastAsia="zh-CN"/>
        </w:rPr>
        <w:t>（2）一键计算：基于配置参数完成最终风险性评估，形成完整风险结论。</w:t>
      </w:r>
    </w:p>
    <w:p w14:paraId="26EE5A85">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imes New Roman" w:hAnsi="Times New Roman" w:eastAsia="仿宋_GB2312"/>
          <w:b/>
          <w:kern w:val="0"/>
          <w:sz w:val="24"/>
          <w:lang w:eastAsia="zh-CN"/>
        </w:rPr>
      </w:pPr>
      <w:r>
        <w:rPr>
          <w:rFonts w:ascii="Times New Roman" w:hAnsi="Times New Roman" w:eastAsia="仿宋_GB2312"/>
          <w:b/>
          <w:kern w:val="0"/>
          <w:sz w:val="24"/>
        </w:rPr>
        <w:t>2、</w:t>
      </w:r>
      <w:r>
        <w:rPr>
          <w:rFonts w:hint="eastAsia" w:ascii="Times New Roman" w:hAnsi="Times New Roman" w:eastAsia="仿宋_GB2312"/>
          <w:b/>
          <w:kern w:val="0"/>
          <w:sz w:val="24"/>
        </w:rPr>
        <w:t>高速公路保护线人为违法扰动监测</w:t>
      </w:r>
      <w:r>
        <w:rPr>
          <w:rFonts w:ascii="Times New Roman" w:hAnsi="Times New Roman" w:eastAsia="仿宋_GB2312"/>
          <w:b/>
          <w:kern w:val="0"/>
          <w:sz w:val="24"/>
        </w:rPr>
        <w:t>模型</w:t>
      </w:r>
      <w:r>
        <w:rPr>
          <w:rFonts w:hint="eastAsia" w:ascii="Times New Roman" w:hAnsi="Times New Roman" w:eastAsia="仿宋_GB2312"/>
          <w:b/>
          <w:kern w:val="0"/>
          <w:sz w:val="24"/>
        </w:rPr>
        <w:t>技术</w:t>
      </w:r>
      <w:r>
        <w:rPr>
          <w:rFonts w:hint="eastAsia" w:ascii="Times New Roman" w:hAnsi="Times New Roman" w:eastAsia="仿宋_GB2312"/>
          <w:b/>
          <w:kern w:val="0"/>
          <w:sz w:val="24"/>
          <w:lang w:val="en-US" w:eastAsia="zh-CN"/>
        </w:rPr>
        <w:t>开发</w:t>
      </w:r>
    </w:p>
    <w:p w14:paraId="26EE5A86">
      <w:pPr>
        <w:adjustRightInd w:val="0"/>
        <w:snapToGrid w:val="0"/>
        <w:spacing w:line="360" w:lineRule="auto"/>
        <w:ind w:firstLine="422" w:firstLineChars="176"/>
        <w:rPr>
          <w:rFonts w:ascii="Times New Roman" w:hAnsi="Times New Roman" w:eastAsia="仿宋_GB2312"/>
          <w:sz w:val="24"/>
        </w:rPr>
      </w:pPr>
      <w:r>
        <w:rPr>
          <w:rFonts w:hint="eastAsia" w:ascii="Times New Roman" w:hAnsi="Times New Roman" w:eastAsia="仿宋_GB2312"/>
          <w:sz w:val="24"/>
        </w:rPr>
        <w:t>高速公路保护线人为违法扰动监测模型</w:t>
      </w:r>
      <w:r>
        <w:rPr>
          <w:rFonts w:hint="eastAsia" w:ascii="Times New Roman" w:hAnsi="Times New Roman" w:eastAsia="仿宋_GB2312"/>
          <w:sz w:val="24"/>
          <w:lang w:val="en-US" w:eastAsia="zh-CN"/>
        </w:rPr>
        <w:t>技术</w:t>
      </w:r>
      <w:r>
        <w:rPr>
          <w:rFonts w:hint="eastAsia" w:ascii="Times New Roman" w:hAnsi="Times New Roman" w:eastAsia="仿宋_GB2312"/>
          <w:sz w:val="24"/>
        </w:rPr>
        <w:t>开发，基于0.5m高分辨光学影像，</w:t>
      </w:r>
      <w:r>
        <w:rPr>
          <w:rFonts w:hint="eastAsia" w:ascii="Times New Roman" w:hAnsi="Times New Roman" w:eastAsia="仿宋_GB2312"/>
          <w:sz w:val="24"/>
          <w:lang w:val="en-US" w:eastAsia="zh-CN"/>
        </w:rPr>
        <w:t>结合超分算法，</w:t>
      </w:r>
      <w:r>
        <w:rPr>
          <w:rFonts w:hint="eastAsia" w:ascii="Times New Roman" w:hAnsi="Times New Roman" w:eastAsia="仿宋_GB2312"/>
          <w:sz w:val="24"/>
        </w:rPr>
        <w:t>明确违法侵占、违法搭建等各类场景识别标准与特征指标，可识别违法扰动目标尺寸：违法搭建≥8m*8m，废料堆放≥10m*10m，违法开挖面≥3m*3m，识别准确率不低于90%。识别结果可通过人工现场核查进行验证。</w:t>
      </w:r>
    </w:p>
    <w:p w14:paraId="26EE5A87">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default" w:ascii="Times New Roman" w:hAnsi="Times New Roman" w:eastAsia="仿宋_GB2312"/>
          <w:b/>
          <w:kern w:val="0"/>
          <w:sz w:val="24"/>
          <w:lang w:val="en-US"/>
        </w:rPr>
      </w:pPr>
      <w:r>
        <w:rPr>
          <w:rFonts w:ascii="Times New Roman" w:hAnsi="Times New Roman" w:eastAsia="仿宋_GB2312"/>
          <w:b/>
          <w:kern w:val="0"/>
          <w:sz w:val="24"/>
        </w:rPr>
        <w:t xml:space="preserve">2.1 </w:t>
      </w:r>
      <w:r>
        <w:rPr>
          <w:rFonts w:hint="eastAsia" w:ascii="Times New Roman" w:hAnsi="Times New Roman" w:eastAsia="仿宋_GB2312"/>
          <w:b/>
          <w:kern w:val="0"/>
          <w:sz w:val="24"/>
          <w:lang w:val="en-US" w:eastAsia="zh-CN"/>
        </w:rPr>
        <w:t>影像数据管理</w:t>
      </w:r>
    </w:p>
    <w:p w14:paraId="26EE5A89">
      <w:pPr>
        <w:adjustRightInd w:val="0"/>
        <w:snapToGrid w:val="0"/>
        <w:spacing w:line="360" w:lineRule="auto"/>
        <w:ind w:firstLine="422" w:firstLineChars="176"/>
        <w:rPr>
          <w:rFonts w:ascii="Times New Roman" w:hAnsi="Times New Roman" w:eastAsia="仿宋_GB2312"/>
          <w:sz w:val="24"/>
        </w:rPr>
      </w:pPr>
      <w:r>
        <w:rPr>
          <w:rFonts w:ascii="Times New Roman" w:hAnsi="Times New Roman" w:eastAsia="仿宋_GB2312"/>
          <w:sz w:val="24"/>
        </w:rPr>
        <w:t>（1）</w:t>
      </w:r>
      <w:r>
        <w:rPr>
          <w:rFonts w:hint="eastAsia" w:ascii="Times New Roman" w:hAnsi="Times New Roman" w:eastAsia="仿宋_GB2312"/>
          <w:sz w:val="24"/>
        </w:rPr>
        <w:t>高分辨率影像接入</w:t>
      </w:r>
      <w:r>
        <w:rPr>
          <w:rFonts w:hint="eastAsia" w:ascii="Times New Roman" w:hAnsi="Times New Roman" w:eastAsia="仿宋_GB2312"/>
          <w:sz w:val="24"/>
          <w:lang w:eastAsia="zh-CN"/>
        </w:rPr>
        <w:t>：接入不同时间序列的高分辨率卫星/航空影像，支持选择 对比时间（如2026-01 vs2026-06）、监测路段</w:t>
      </w:r>
      <w:r>
        <w:rPr>
          <w:rFonts w:ascii="Times New Roman" w:hAnsi="Times New Roman" w:eastAsia="仿宋_GB2312"/>
          <w:sz w:val="24"/>
        </w:rPr>
        <w:t>。</w:t>
      </w:r>
    </w:p>
    <w:p w14:paraId="26EE5A8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ascii="Times New Roman" w:hAnsi="Times New Roman" w:eastAsia="仿宋_GB2312"/>
          <w:b/>
          <w:kern w:val="0"/>
          <w:sz w:val="24"/>
        </w:rPr>
      </w:pPr>
      <w:r>
        <w:rPr>
          <w:rFonts w:ascii="Times New Roman" w:hAnsi="Times New Roman" w:eastAsia="仿宋_GB2312"/>
          <w:b/>
          <w:kern w:val="0"/>
          <w:sz w:val="24"/>
        </w:rPr>
        <w:t xml:space="preserve">2.2 </w:t>
      </w:r>
      <w:r>
        <w:rPr>
          <w:rFonts w:hint="eastAsia" w:ascii="Times New Roman" w:hAnsi="Times New Roman" w:eastAsia="仿宋_GB2312"/>
          <w:b/>
          <w:kern w:val="0"/>
          <w:sz w:val="24"/>
          <w:lang w:val="en-US" w:eastAsia="zh-CN"/>
        </w:rPr>
        <w:t>扰动识别与分析</w:t>
      </w:r>
    </w:p>
    <w:p w14:paraId="26EE5A8D">
      <w:pPr>
        <w:adjustRightInd w:val="0"/>
        <w:snapToGrid w:val="0"/>
        <w:spacing w:line="360" w:lineRule="auto"/>
        <w:ind w:firstLine="422" w:firstLineChars="176"/>
        <w:rPr>
          <w:rFonts w:ascii="Times New Roman" w:hAnsi="Times New Roman" w:eastAsia="仿宋_GB2312"/>
          <w:sz w:val="24"/>
        </w:rPr>
      </w:pPr>
      <w:r>
        <w:rPr>
          <w:rFonts w:ascii="Times New Roman" w:hAnsi="Times New Roman" w:eastAsia="仿宋_GB2312"/>
          <w:sz w:val="24"/>
        </w:rPr>
        <w:t>（1）</w:t>
      </w:r>
      <w:r>
        <w:rPr>
          <w:rFonts w:hint="eastAsia" w:ascii="Times New Roman" w:hAnsi="Times New Roman" w:eastAsia="仿宋_GB2312"/>
          <w:sz w:val="24"/>
        </w:rPr>
        <w:t>自动扰动识别</w:t>
      </w:r>
      <w:r>
        <w:rPr>
          <w:rFonts w:hint="eastAsia" w:ascii="Times New Roman" w:hAnsi="Times New Roman" w:eastAsia="仿宋_GB2312"/>
          <w:sz w:val="24"/>
          <w:lang w:eastAsia="zh-CN"/>
        </w:rPr>
        <w:t>：基于AI影像变化检测算法，自动识别高速路沿线的人为扰动区域，标记位置与边界</w:t>
      </w:r>
      <w:r>
        <w:rPr>
          <w:rFonts w:ascii="Times New Roman" w:hAnsi="Times New Roman" w:eastAsia="仿宋_GB2312"/>
          <w:sz w:val="24"/>
        </w:rPr>
        <w:t>；</w:t>
      </w:r>
    </w:p>
    <w:p w14:paraId="26EE5A8E">
      <w:pPr>
        <w:adjustRightInd w:val="0"/>
        <w:snapToGrid w:val="0"/>
        <w:spacing w:line="360" w:lineRule="auto"/>
        <w:ind w:firstLine="422" w:firstLineChars="176"/>
        <w:rPr>
          <w:rFonts w:ascii="Times New Roman" w:hAnsi="Times New Roman" w:eastAsia="仿宋_GB2312"/>
          <w:sz w:val="24"/>
        </w:rPr>
      </w:pPr>
      <w:r>
        <w:rPr>
          <w:rFonts w:hint="eastAsia" w:ascii="Times New Roman" w:hAnsi="Times New Roman" w:eastAsia="仿宋_GB2312"/>
          <w:sz w:val="24"/>
        </w:rPr>
        <w:t>（</w:t>
      </w:r>
      <w:r>
        <w:rPr>
          <w:rFonts w:ascii="Times New Roman" w:hAnsi="Times New Roman" w:eastAsia="仿宋_GB2312"/>
          <w:sz w:val="24"/>
        </w:rPr>
        <w:t>2</w:t>
      </w:r>
      <w:r>
        <w:rPr>
          <w:rFonts w:hint="eastAsia" w:ascii="Times New Roman" w:hAnsi="Times New Roman" w:eastAsia="仿宋_GB2312"/>
          <w:sz w:val="24"/>
        </w:rPr>
        <w:t>）</w:t>
      </w:r>
      <w:r>
        <w:rPr>
          <w:rFonts w:hint="eastAsia" w:ascii="Times New Roman" w:hAnsi="Times New Roman" w:eastAsia="仿宋_GB2312"/>
          <w:sz w:val="24"/>
          <w:lang w:val="en-US" w:eastAsia="zh-CN"/>
        </w:rPr>
        <w:t>扰动类型分类：对识别的扰动进行自动分类：如土方开挖、堆载、施工便道、临时建筑、弃土场等</w:t>
      </w:r>
      <w:r>
        <w:rPr>
          <w:rFonts w:ascii="Times New Roman" w:hAnsi="Times New Roman" w:eastAsia="仿宋_GB2312"/>
          <w:sz w:val="24"/>
        </w:rPr>
        <w:t>；</w:t>
      </w:r>
    </w:p>
    <w:p w14:paraId="26EE5A8F">
      <w:pPr>
        <w:adjustRightInd w:val="0"/>
        <w:snapToGrid w:val="0"/>
        <w:spacing w:line="360" w:lineRule="auto"/>
        <w:ind w:firstLine="422" w:firstLineChars="176"/>
        <w:rPr>
          <w:rFonts w:ascii="Times New Roman" w:hAnsi="Times New Roman" w:eastAsia="仿宋_GB2312"/>
          <w:sz w:val="24"/>
        </w:rPr>
      </w:pPr>
      <w:r>
        <w:rPr>
          <w:rFonts w:hint="eastAsia" w:ascii="Times New Roman" w:hAnsi="Times New Roman" w:eastAsia="仿宋_GB2312"/>
          <w:sz w:val="24"/>
        </w:rPr>
        <w:t>（</w:t>
      </w:r>
      <w:r>
        <w:rPr>
          <w:rFonts w:ascii="Times New Roman" w:hAnsi="Times New Roman" w:eastAsia="仿宋_GB2312"/>
          <w:sz w:val="24"/>
        </w:rPr>
        <w:t>3</w:t>
      </w:r>
      <w:r>
        <w:rPr>
          <w:rFonts w:hint="eastAsia" w:ascii="Times New Roman" w:hAnsi="Times New Roman" w:eastAsia="仿宋_GB2312"/>
          <w:sz w:val="24"/>
        </w:rPr>
        <w:t>）</w:t>
      </w:r>
      <w:r>
        <w:rPr>
          <w:rFonts w:hint="eastAsia" w:ascii="Times New Roman" w:hAnsi="Times New Roman" w:eastAsia="仿宋_GB2312"/>
          <w:sz w:val="24"/>
          <w:lang w:val="en-US" w:eastAsia="zh-CN"/>
        </w:rPr>
        <w:t>扰动参数量化：自动计算扰动的发生时间（影像变化时间）、影响面积（㎡或km²）、扰动程度（低/中/高）</w:t>
      </w:r>
      <w:r>
        <w:rPr>
          <w:rFonts w:ascii="Times New Roman" w:hAnsi="Times New Roman" w:eastAsia="仿宋_GB2312"/>
          <w:sz w:val="24"/>
        </w:rPr>
        <w:t>；</w:t>
      </w:r>
    </w:p>
    <w:p w14:paraId="26EE5A91">
      <w:pPr>
        <w:adjustRightInd w:val="0"/>
        <w:snapToGrid w:val="0"/>
        <w:spacing w:line="360" w:lineRule="auto"/>
        <w:ind w:firstLine="422" w:firstLineChars="176"/>
        <w:rPr>
          <w:rFonts w:hint="eastAsia" w:ascii="Times New Roman" w:hAnsi="Times New Roman" w:eastAsia="仿宋_GB2312"/>
          <w:sz w:val="24"/>
        </w:rPr>
      </w:pPr>
      <w:r>
        <w:rPr>
          <w:rFonts w:hint="eastAsia" w:ascii="Times New Roman" w:hAnsi="Times New Roman" w:eastAsia="仿宋_GB2312"/>
          <w:sz w:val="24"/>
        </w:rPr>
        <w:t>（4）</w:t>
      </w:r>
      <w:r>
        <w:rPr>
          <w:rFonts w:hint="eastAsia" w:ascii="Times New Roman" w:hAnsi="Times New Roman" w:eastAsia="仿宋_GB2312"/>
          <w:sz w:val="24"/>
          <w:lang w:val="en-US" w:eastAsia="zh-CN"/>
        </w:rPr>
        <w:t>扰动趋势对比：支持多期影像对比，展示同一区域扰动的变化过程（如持续扩大、已恢复）</w:t>
      </w:r>
      <w:r>
        <w:rPr>
          <w:rFonts w:hint="eastAsia" w:ascii="Times New Roman" w:hAnsi="Times New Roman" w:eastAsia="仿宋_GB2312"/>
          <w:sz w:val="24"/>
        </w:rPr>
        <w:t>。</w:t>
      </w:r>
    </w:p>
    <w:p w14:paraId="6F867593">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ascii="Times New Roman" w:hAnsi="Times New Roman" w:eastAsia="仿宋_GB2312"/>
          <w:b/>
          <w:kern w:val="0"/>
          <w:sz w:val="24"/>
        </w:rPr>
      </w:pPr>
      <w:r>
        <w:rPr>
          <w:rFonts w:ascii="Times New Roman" w:hAnsi="Times New Roman" w:eastAsia="仿宋_GB2312"/>
          <w:b/>
          <w:kern w:val="0"/>
          <w:sz w:val="24"/>
        </w:rPr>
        <w:t>2.</w:t>
      </w:r>
      <w:r>
        <w:rPr>
          <w:rFonts w:hint="eastAsia" w:ascii="Times New Roman" w:hAnsi="Times New Roman" w:eastAsia="仿宋_GB2312"/>
          <w:b/>
          <w:kern w:val="0"/>
          <w:sz w:val="24"/>
          <w:lang w:val="en-US" w:eastAsia="zh-CN"/>
        </w:rPr>
        <w:t>3</w:t>
      </w:r>
      <w:r>
        <w:rPr>
          <w:rFonts w:ascii="Times New Roman" w:hAnsi="Times New Roman" w:eastAsia="仿宋_GB2312"/>
          <w:b/>
          <w:kern w:val="0"/>
          <w:sz w:val="24"/>
        </w:rPr>
        <w:t xml:space="preserve"> </w:t>
      </w:r>
      <w:r>
        <w:rPr>
          <w:rFonts w:hint="eastAsia" w:ascii="Times New Roman" w:hAnsi="Times New Roman" w:eastAsia="仿宋_GB2312"/>
          <w:b/>
          <w:kern w:val="0"/>
          <w:sz w:val="24"/>
          <w:lang w:val="en-US" w:eastAsia="zh-CN"/>
        </w:rPr>
        <w:t>结果展示与管理</w:t>
      </w:r>
    </w:p>
    <w:p w14:paraId="3286FF4D">
      <w:pPr>
        <w:adjustRightInd w:val="0"/>
        <w:snapToGrid w:val="0"/>
        <w:spacing w:line="360" w:lineRule="auto"/>
        <w:ind w:firstLine="422" w:firstLineChars="176"/>
        <w:rPr>
          <w:rFonts w:ascii="Times New Roman" w:hAnsi="Times New Roman" w:eastAsia="仿宋_GB2312"/>
          <w:sz w:val="24"/>
        </w:rPr>
      </w:pPr>
      <w:r>
        <w:rPr>
          <w:rFonts w:ascii="Times New Roman" w:hAnsi="Times New Roman" w:eastAsia="仿宋_GB2312"/>
          <w:sz w:val="24"/>
        </w:rPr>
        <w:t>（1）</w:t>
      </w:r>
      <w:r>
        <w:rPr>
          <w:rFonts w:hint="eastAsia" w:ascii="Times New Roman" w:hAnsi="Times New Roman" w:eastAsia="仿宋_GB2312"/>
          <w:sz w:val="24"/>
          <w:lang w:val="en-US" w:eastAsia="zh-CN"/>
        </w:rPr>
        <w:t>扰动结果可视化</w:t>
      </w:r>
      <w:r>
        <w:rPr>
          <w:rFonts w:hint="eastAsia" w:ascii="Times New Roman" w:hAnsi="Times New Roman" w:eastAsia="仿宋_GB2312"/>
          <w:sz w:val="24"/>
          <w:lang w:eastAsia="zh-CN"/>
        </w:rPr>
        <w:t>：在三维地图上叠加扰动区域，按类型/时间着色，支持点击查看详情</w:t>
      </w:r>
      <w:r>
        <w:rPr>
          <w:rFonts w:ascii="Times New Roman" w:hAnsi="Times New Roman" w:eastAsia="仿宋_GB2312"/>
          <w:sz w:val="24"/>
        </w:rPr>
        <w:t>；</w:t>
      </w:r>
    </w:p>
    <w:p w14:paraId="72037392">
      <w:pPr>
        <w:adjustRightInd w:val="0"/>
        <w:snapToGrid w:val="0"/>
        <w:spacing w:line="360" w:lineRule="auto"/>
        <w:ind w:firstLine="422" w:firstLineChars="176"/>
        <w:rPr>
          <w:rFonts w:ascii="Times New Roman" w:hAnsi="Times New Roman" w:eastAsia="仿宋_GB2312"/>
          <w:sz w:val="24"/>
        </w:rPr>
      </w:pPr>
      <w:r>
        <w:rPr>
          <w:rFonts w:hint="eastAsia" w:ascii="Times New Roman" w:hAnsi="Times New Roman" w:eastAsia="仿宋_GB2312"/>
          <w:sz w:val="24"/>
        </w:rPr>
        <w:t>（</w:t>
      </w:r>
      <w:r>
        <w:rPr>
          <w:rFonts w:ascii="Times New Roman" w:hAnsi="Times New Roman" w:eastAsia="仿宋_GB2312"/>
          <w:sz w:val="24"/>
        </w:rPr>
        <w:t>2</w:t>
      </w:r>
      <w:r>
        <w:rPr>
          <w:rFonts w:hint="eastAsia" w:ascii="Times New Roman" w:hAnsi="Times New Roman" w:eastAsia="仿宋_GB2312"/>
          <w:sz w:val="24"/>
        </w:rPr>
        <w:t>）</w:t>
      </w:r>
      <w:r>
        <w:rPr>
          <w:rFonts w:hint="eastAsia" w:ascii="Times New Roman" w:hAnsi="Times New Roman" w:eastAsia="仿宋_GB2312"/>
          <w:sz w:val="24"/>
          <w:lang w:val="en-US" w:eastAsia="zh-CN"/>
        </w:rPr>
        <w:t>扰动列表管理：以列表形式展示所有扰动事件，包含扰动位置、类型、面积、发生时间、所属路段、风险等级</w:t>
      </w:r>
      <w:r>
        <w:rPr>
          <w:rFonts w:ascii="Times New Roman" w:hAnsi="Times New Roman" w:eastAsia="仿宋_GB2312"/>
          <w:sz w:val="24"/>
        </w:rPr>
        <w:t>；</w:t>
      </w:r>
    </w:p>
    <w:p w14:paraId="77948E02">
      <w:pPr>
        <w:adjustRightInd w:val="0"/>
        <w:snapToGrid w:val="0"/>
        <w:spacing w:line="360" w:lineRule="auto"/>
        <w:ind w:firstLine="422" w:firstLineChars="176"/>
        <w:rPr>
          <w:rFonts w:ascii="Times New Roman" w:hAnsi="Times New Roman" w:eastAsia="仿宋_GB2312"/>
          <w:sz w:val="24"/>
        </w:rPr>
      </w:pPr>
      <w:r>
        <w:rPr>
          <w:rFonts w:hint="eastAsia" w:ascii="Times New Roman" w:hAnsi="Times New Roman" w:eastAsia="仿宋_GB2312"/>
          <w:sz w:val="24"/>
        </w:rPr>
        <w:t>（</w:t>
      </w:r>
      <w:r>
        <w:rPr>
          <w:rFonts w:ascii="Times New Roman" w:hAnsi="Times New Roman" w:eastAsia="仿宋_GB2312"/>
          <w:sz w:val="24"/>
        </w:rPr>
        <w:t>3</w:t>
      </w:r>
      <w:r>
        <w:rPr>
          <w:rFonts w:hint="eastAsia" w:ascii="Times New Roman" w:hAnsi="Times New Roman" w:eastAsia="仿宋_GB2312"/>
          <w:sz w:val="24"/>
        </w:rPr>
        <w:t>）</w:t>
      </w:r>
      <w:r>
        <w:rPr>
          <w:rFonts w:hint="eastAsia" w:ascii="Times New Roman" w:hAnsi="Times New Roman" w:eastAsia="仿宋_GB2312"/>
          <w:sz w:val="24"/>
          <w:lang w:val="en-US" w:eastAsia="zh-CN"/>
        </w:rPr>
        <w:t>扰动详情弹窗：点击扰动区域/列表项，查看前后影像对比图、参数详情、分析结论</w:t>
      </w:r>
      <w:r>
        <w:rPr>
          <w:rFonts w:ascii="Times New Roman" w:hAnsi="Times New Roman" w:eastAsia="仿宋_GB2312"/>
          <w:sz w:val="24"/>
        </w:rPr>
        <w:t>；</w:t>
      </w:r>
    </w:p>
    <w:p w14:paraId="7577EF2A">
      <w:pPr>
        <w:adjustRightInd w:val="0"/>
        <w:snapToGrid w:val="0"/>
        <w:spacing w:line="360" w:lineRule="auto"/>
        <w:ind w:firstLine="422" w:firstLineChars="176"/>
        <w:rPr>
          <w:rFonts w:hint="eastAsia" w:ascii="Times New Roman" w:hAnsi="Times New Roman" w:eastAsia="仿宋_GB2312"/>
          <w:sz w:val="24"/>
        </w:rPr>
      </w:pPr>
      <w:r>
        <w:rPr>
          <w:rFonts w:hint="eastAsia" w:ascii="Times New Roman" w:hAnsi="Times New Roman" w:eastAsia="仿宋_GB2312"/>
          <w:sz w:val="24"/>
        </w:rPr>
        <w:t>（4）</w:t>
      </w:r>
      <w:r>
        <w:rPr>
          <w:rFonts w:hint="eastAsia" w:ascii="Times New Roman" w:hAnsi="Times New Roman" w:eastAsia="仿宋_GB2312"/>
          <w:sz w:val="24"/>
          <w:lang w:val="en-US" w:eastAsia="zh-CN"/>
        </w:rPr>
        <w:t>扰动报告生成：一键生成监测报告，包含扰动统计、分布分析、风险提示与管控建议</w:t>
      </w:r>
      <w:r>
        <w:rPr>
          <w:rFonts w:hint="eastAsia" w:ascii="Times New Roman" w:hAnsi="Times New Roman" w:eastAsia="仿宋_GB2312"/>
          <w:sz w:val="24"/>
        </w:rPr>
        <w:t>。</w:t>
      </w:r>
    </w:p>
    <w:p w14:paraId="26EE5A92">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ascii="Times New Roman" w:hAnsi="Times New Roman" w:eastAsia="仿宋_GB2312"/>
          <w:b/>
          <w:kern w:val="0"/>
          <w:sz w:val="24"/>
        </w:rPr>
      </w:pPr>
      <w:r>
        <w:rPr>
          <w:rFonts w:ascii="Times New Roman" w:hAnsi="Times New Roman" w:eastAsia="仿宋_GB2312"/>
          <w:b/>
          <w:kern w:val="0"/>
          <w:sz w:val="24"/>
        </w:rPr>
        <w:t>3、</w:t>
      </w:r>
      <w:r>
        <w:rPr>
          <w:rFonts w:hint="eastAsia" w:ascii="Times New Roman" w:hAnsi="Times New Roman" w:eastAsia="仿宋_GB2312"/>
          <w:b/>
          <w:kern w:val="0"/>
          <w:sz w:val="24"/>
          <w:lang w:val="en-US" w:eastAsia="zh-CN"/>
        </w:rPr>
        <w:t>原型平台</w:t>
      </w:r>
      <w:r>
        <w:rPr>
          <w:rFonts w:ascii="Times New Roman" w:hAnsi="Times New Roman" w:eastAsia="仿宋_GB2312"/>
          <w:b/>
          <w:kern w:val="0"/>
          <w:sz w:val="24"/>
        </w:rPr>
        <w:t>开发</w:t>
      </w:r>
    </w:p>
    <w:p w14:paraId="39CB980B">
      <w:pPr>
        <w:adjustRightInd w:val="0"/>
        <w:snapToGrid w:val="0"/>
        <w:spacing w:line="360" w:lineRule="auto"/>
        <w:ind w:firstLine="422" w:firstLineChars="176"/>
        <w:rPr>
          <w:rFonts w:hint="eastAsia" w:ascii="Times New Roman" w:hAnsi="Times New Roman" w:eastAsia="仿宋"/>
          <w:sz w:val="24"/>
        </w:rPr>
      </w:pPr>
      <w:r>
        <w:rPr>
          <w:rFonts w:hint="eastAsia" w:ascii="Times New Roman" w:hAnsi="Times New Roman" w:eastAsia="仿宋"/>
          <w:sz w:val="24"/>
        </w:rPr>
        <w:t>InSAR风险监测预警原型平台开发，具备多源数据管理、InSAR形变监测、风险智能识别与综合评估等功能；平台内置动态阈值学习与误报过滤机制，根据实际反馈调整预警灵敏度，确保有效提醒率达标、无效提醒率可控</w:t>
      </w:r>
      <w:r>
        <w:rPr>
          <w:rFonts w:hint="eastAsia" w:ascii="Times New Roman" w:hAnsi="Times New Roman" w:eastAsia="仿宋"/>
          <w:sz w:val="24"/>
          <w:lang w:eastAsia="zh-CN"/>
        </w:rPr>
        <w:t>，风险漏报率低于5%，误报率控制在10%以内</w:t>
      </w:r>
      <w:r>
        <w:rPr>
          <w:rFonts w:hint="eastAsia" w:ascii="Times New Roman" w:hAnsi="Times New Roman" w:eastAsia="仿宋"/>
          <w:sz w:val="24"/>
        </w:rPr>
        <w:t>。</w:t>
      </w:r>
    </w:p>
    <w:p w14:paraId="26EE5A93">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default" w:ascii="Times New Roman" w:hAnsi="Times New Roman" w:eastAsia="仿宋_GB2312"/>
          <w:b/>
          <w:kern w:val="0"/>
          <w:sz w:val="24"/>
          <w:lang w:val="en-US" w:eastAsia="zh-CN"/>
        </w:rPr>
      </w:pPr>
      <w:r>
        <w:rPr>
          <w:rFonts w:hint="eastAsia" w:ascii="Times New Roman" w:hAnsi="Times New Roman" w:eastAsia="仿宋_GB2312"/>
          <w:b/>
          <w:kern w:val="0"/>
          <w:sz w:val="24"/>
        </w:rPr>
        <w:t>3</w:t>
      </w:r>
      <w:r>
        <w:rPr>
          <w:rFonts w:ascii="Times New Roman" w:hAnsi="Times New Roman" w:eastAsia="仿宋_GB2312"/>
          <w:b/>
          <w:kern w:val="0"/>
          <w:sz w:val="24"/>
        </w:rPr>
        <w:t xml:space="preserve">.1 </w:t>
      </w:r>
      <w:r>
        <w:rPr>
          <w:rFonts w:hint="eastAsia" w:ascii="Times New Roman" w:hAnsi="Times New Roman" w:eastAsia="仿宋_GB2312"/>
          <w:b/>
          <w:kern w:val="0"/>
          <w:sz w:val="24"/>
          <w:lang w:val="en-US" w:eastAsia="zh-CN"/>
        </w:rPr>
        <w:t>系统总览与基础能力</w:t>
      </w:r>
    </w:p>
    <w:p w14:paraId="26EE5A95">
      <w:pPr>
        <w:adjustRightInd w:val="0"/>
        <w:snapToGrid w:val="0"/>
        <w:spacing w:line="360" w:lineRule="auto"/>
        <w:ind w:firstLine="422" w:firstLineChars="176"/>
        <w:rPr>
          <w:rFonts w:ascii="Times New Roman" w:hAnsi="Times New Roman" w:eastAsia="仿宋"/>
          <w:sz w:val="24"/>
        </w:rPr>
      </w:pPr>
      <w:r>
        <w:rPr>
          <w:rFonts w:hint="eastAsia" w:ascii="Times New Roman" w:hAnsi="Times New Roman" w:eastAsia="仿宋"/>
          <w:sz w:val="24"/>
        </w:rPr>
        <w:t>（1）</w:t>
      </w:r>
      <w:r>
        <w:rPr>
          <w:rFonts w:hint="eastAsia" w:ascii="Times New Roman" w:hAnsi="Times New Roman" w:eastAsia="仿宋"/>
          <w:sz w:val="24"/>
          <w:lang w:val="en-US" w:eastAsia="zh-CN"/>
        </w:rPr>
        <w:t>全域风险监测大屏：基于三维卫星地图的高速公路风险监测可视化平台，覆盖奉溪高速及绕城高速试点路网，支持全场景交互与数据联动</w:t>
      </w:r>
      <w:r>
        <w:rPr>
          <w:rFonts w:hint="eastAsia" w:ascii="Times New Roman" w:hAnsi="Times New Roman" w:eastAsia="仿宋"/>
          <w:sz w:val="24"/>
        </w:rPr>
        <w:t>；</w:t>
      </w:r>
    </w:p>
    <w:p w14:paraId="26EE5A96">
      <w:pPr>
        <w:adjustRightInd w:val="0"/>
        <w:snapToGrid w:val="0"/>
        <w:spacing w:line="360" w:lineRule="auto"/>
        <w:ind w:firstLine="422" w:firstLineChars="176"/>
        <w:rPr>
          <w:rFonts w:ascii="Times New Roman" w:hAnsi="Times New Roman" w:eastAsia="仿宋"/>
          <w:sz w:val="24"/>
        </w:rPr>
      </w:pPr>
      <w:r>
        <w:rPr>
          <w:rFonts w:hint="eastAsia" w:ascii="Times New Roman" w:hAnsi="Times New Roman" w:eastAsia="仿宋"/>
          <w:sz w:val="24"/>
        </w:rPr>
        <w:t>（</w:t>
      </w:r>
      <w:r>
        <w:rPr>
          <w:rFonts w:ascii="Times New Roman" w:hAnsi="Times New Roman" w:eastAsia="仿宋"/>
          <w:sz w:val="24"/>
        </w:rPr>
        <w:t>2</w:t>
      </w:r>
      <w:r>
        <w:rPr>
          <w:rFonts w:hint="eastAsia" w:ascii="Times New Roman" w:hAnsi="Times New Roman" w:eastAsia="仿宋"/>
          <w:sz w:val="24"/>
        </w:rPr>
        <w:t>）</w:t>
      </w:r>
      <w:r>
        <w:rPr>
          <w:rFonts w:hint="eastAsia" w:ascii="Times New Roman" w:hAnsi="Times New Roman" w:eastAsia="仿宋"/>
          <w:sz w:val="24"/>
          <w:lang w:val="en-US" w:eastAsia="zh-CN"/>
        </w:rPr>
        <w:t>基础信息展示：显示系统时间、天气、地理位置（重庆），提供用户中心与 AI 助手入口</w:t>
      </w:r>
      <w:r>
        <w:rPr>
          <w:rFonts w:hint="eastAsia" w:ascii="Times New Roman" w:hAnsi="Times New Roman" w:eastAsia="仿宋"/>
          <w:sz w:val="24"/>
        </w:rPr>
        <w:t>；</w:t>
      </w:r>
    </w:p>
    <w:p w14:paraId="26EE5A99">
      <w:pPr>
        <w:adjustRightInd w:val="0"/>
        <w:snapToGrid w:val="0"/>
        <w:spacing w:line="360" w:lineRule="auto"/>
        <w:ind w:firstLine="422" w:firstLineChars="176"/>
        <w:rPr>
          <w:rFonts w:ascii="Times New Roman" w:hAnsi="Times New Roman" w:eastAsia="仿宋"/>
          <w:sz w:val="24"/>
        </w:rPr>
      </w:pPr>
      <w:r>
        <w:rPr>
          <w:rFonts w:hint="eastAsia" w:ascii="Times New Roman" w:hAnsi="Times New Roman" w:eastAsia="仿宋"/>
          <w:sz w:val="24"/>
        </w:rPr>
        <w:t>（</w:t>
      </w:r>
      <w:r>
        <w:rPr>
          <w:rFonts w:ascii="Times New Roman" w:hAnsi="Times New Roman" w:eastAsia="仿宋"/>
          <w:sz w:val="24"/>
        </w:rPr>
        <w:t>3</w:t>
      </w:r>
      <w:r>
        <w:rPr>
          <w:rFonts w:hint="eastAsia" w:ascii="Times New Roman" w:hAnsi="Times New Roman" w:eastAsia="仿宋"/>
          <w:sz w:val="24"/>
        </w:rPr>
        <w:t>）</w:t>
      </w:r>
      <w:r>
        <w:rPr>
          <w:rFonts w:hint="eastAsia" w:ascii="Times New Roman" w:hAnsi="Times New Roman" w:eastAsia="仿宋"/>
          <w:sz w:val="24"/>
          <w:lang w:val="en-US" w:eastAsia="zh-CN"/>
        </w:rPr>
        <w:t>业务场景切换：支持道路交通等业务场景的快速切换，当前聚焦高速公路地灾风险监测</w:t>
      </w:r>
      <w:r>
        <w:rPr>
          <w:rFonts w:hint="eastAsia" w:ascii="Times New Roman" w:hAnsi="Times New Roman" w:eastAsia="仿宋"/>
          <w:sz w:val="24"/>
        </w:rPr>
        <w:t>。</w:t>
      </w:r>
    </w:p>
    <w:p w14:paraId="26EE5A9A">
      <w:pPr>
        <w:adjustRightInd w:val="0"/>
        <w:snapToGrid w:val="0"/>
        <w:spacing w:line="360" w:lineRule="auto"/>
        <w:ind w:firstLine="424" w:firstLineChars="176"/>
        <w:rPr>
          <w:rFonts w:ascii="Times New Roman" w:hAnsi="Times New Roman" w:eastAsia="仿宋_GB2312"/>
          <w:b/>
          <w:bCs/>
          <w:sz w:val="24"/>
        </w:rPr>
      </w:pPr>
      <w:r>
        <w:rPr>
          <w:rFonts w:hint="eastAsia" w:ascii="Times New Roman" w:hAnsi="Times New Roman" w:eastAsia="仿宋_GB2312"/>
          <w:b/>
          <w:bCs/>
          <w:sz w:val="24"/>
        </w:rPr>
        <w:t>3</w:t>
      </w:r>
      <w:r>
        <w:rPr>
          <w:rFonts w:ascii="Times New Roman" w:hAnsi="Times New Roman" w:eastAsia="仿宋_GB2312"/>
          <w:b/>
          <w:bCs/>
          <w:sz w:val="24"/>
        </w:rPr>
        <w:t xml:space="preserve">.2 </w:t>
      </w:r>
      <w:r>
        <w:rPr>
          <w:rFonts w:hint="eastAsia" w:ascii="Times New Roman" w:hAnsi="Times New Roman" w:eastAsia="仿宋_GB2312"/>
          <w:b/>
          <w:bCs/>
          <w:sz w:val="24"/>
          <w:lang w:val="en-US" w:eastAsia="zh-CN"/>
        </w:rPr>
        <w:t>隐患风险一张图</w:t>
      </w:r>
    </w:p>
    <w:p w14:paraId="3A9703AF">
      <w:pPr>
        <w:adjustRightInd w:val="0"/>
        <w:snapToGrid w:val="0"/>
        <w:spacing w:line="360" w:lineRule="auto"/>
        <w:ind w:firstLine="424" w:firstLineChars="176"/>
        <w:rPr>
          <w:rFonts w:hint="eastAsia" w:ascii="Times New Roman" w:hAnsi="Times New Roman" w:eastAsia="仿宋_GB2312"/>
          <w:b/>
          <w:bCs/>
          <w:sz w:val="24"/>
          <w:lang w:val="en-US" w:eastAsia="zh-CN"/>
        </w:rPr>
      </w:pPr>
      <w:r>
        <w:rPr>
          <w:rFonts w:hint="eastAsia" w:ascii="Times New Roman" w:hAnsi="Times New Roman" w:eastAsia="仿宋_GB2312"/>
          <w:b/>
          <w:bCs/>
          <w:sz w:val="24"/>
          <w:lang w:val="en-US" w:eastAsia="zh-CN"/>
        </w:rPr>
        <w:t>3.2.1道路总览</w:t>
      </w:r>
    </w:p>
    <w:p w14:paraId="4D2240D3">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（1）道路基础信息展示：显示当前监测路段（如奉溪高速）、监测里程、桩号范围，明确监测边界。</w:t>
      </w:r>
    </w:p>
    <w:p w14:paraId="1B00F325">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（2）关键设施统计：分类统计高边坡、桥梁、隧道口等关键风险设施的数量，直观呈现监测范围规模。</w:t>
      </w:r>
    </w:p>
    <w:p w14:paraId="670B20A5">
      <w:pPr>
        <w:adjustRightInd w:val="0"/>
        <w:snapToGrid w:val="0"/>
        <w:spacing w:line="360" w:lineRule="auto"/>
        <w:ind w:firstLine="424" w:firstLineChars="176"/>
        <w:rPr>
          <w:rFonts w:hint="eastAsia" w:ascii="Times New Roman" w:hAnsi="Times New Roman" w:eastAsia="仿宋_GB2312"/>
          <w:b/>
          <w:bCs/>
          <w:sz w:val="24"/>
          <w:lang w:val="en-US" w:eastAsia="zh-CN"/>
        </w:rPr>
      </w:pPr>
      <w:r>
        <w:rPr>
          <w:rFonts w:hint="eastAsia" w:ascii="Times New Roman" w:hAnsi="Times New Roman" w:eastAsia="仿宋_GB2312"/>
          <w:b/>
          <w:bCs/>
          <w:sz w:val="24"/>
          <w:lang w:val="en-US" w:eastAsia="zh-CN"/>
        </w:rPr>
        <w:t>3.2.2卫星信息管理</w:t>
      </w:r>
    </w:p>
    <w:p w14:paraId="295F0DC1">
      <w:pPr>
        <w:adjustRightInd w:val="0"/>
        <w:snapToGrid w:val="0"/>
        <w:spacing w:line="360" w:lineRule="auto"/>
        <w:ind w:firstLine="422" w:firstLineChars="176"/>
        <w:rPr>
          <w:rFonts w:hint="default" w:ascii="Times New Roman" w:hAnsi="Times New Roman" w:eastAsia="仿宋"/>
          <w:sz w:val="24"/>
          <w:lang w:val="en-US" w:eastAsia="zh-CN"/>
        </w:rPr>
      </w:pPr>
      <w:r>
        <w:rPr>
          <w:rFonts w:hint="eastAsia" w:ascii="Times New Roman" w:hAnsi="Times New Roman" w:eastAsia="仿宋"/>
          <w:sz w:val="24"/>
          <w:lang w:val="en-US" w:eastAsia="zh-CN"/>
        </w:rPr>
        <w:t>（1）卫星数量资源管理：支持多颗卫星数据接入，展示卫星名称、轨道类型、轨道高度、重访周期、波段等关键参数。</w:t>
      </w:r>
    </w:p>
    <w:p w14:paraId="38B32B27">
      <w:pPr>
        <w:adjustRightInd w:val="0"/>
        <w:snapToGrid w:val="0"/>
        <w:spacing w:line="360" w:lineRule="auto"/>
        <w:ind w:firstLine="422" w:firstLineChars="176"/>
        <w:rPr>
          <w:rFonts w:hint="default" w:ascii="Times New Roman" w:hAnsi="Times New Roman" w:eastAsia="仿宋"/>
          <w:sz w:val="24"/>
          <w:lang w:val="en-US" w:eastAsia="zh-CN"/>
        </w:rPr>
      </w:pPr>
      <w:r>
        <w:rPr>
          <w:rFonts w:hint="eastAsia" w:ascii="Times New Roman" w:hAnsi="Times New Roman" w:eastAsia="仿宋"/>
          <w:sz w:val="24"/>
          <w:lang w:val="en-US" w:eastAsia="zh-CN"/>
        </w:rPr>
        <w:t>（2）数据类型区分：对推扫成像、合成孔径雷达（SAR）等不同数据类型进行标签区分，明确数据来源与技术差异。</w:t>
      </w:r>
    </w:p>
    <w:p w14:paraId="2D977199">
      <w:pPr>
        <w:keepNext/>
        <w:keepLines w:val="0"/>
        <w:pageBreakBefore w:val="0"/>
        <w:widowControl w:val="0"/>
        <w:kinsoku/>
        <w:wordWrap/>
        <w:overflowPunct/>
        <w:topLinePunct w:val="0"/>
        <w:autoSpaceDE/>
        <w:autoSpaceDN/>
        <w:bidi w:val="0"/>
        <w:adjustRightInd w:val="0"/>
        <w:snapToGrid w:val="0"/>
        <w:spacing w:line="360" w:lineRule="auto"/>
        <w:ind w:firstLine="424" w:firstLineChars="176"/>
        <w:textAlignment w:val="auto"/>
        <w:rPr>
          <w:rFonts w:hint="eastAsia" w:ascii="Times New Roman" w:hAnsi="Times New Roman" w:eastAsia="仿宋_GB2312"/>
          <w:b/>
          <w:bCs/>
          <w:sz w:val="24"/>
          <w:lang w:val="en-US" w:eastAsia="zh-CN"/>
        </w:rPr>
      </w:pPr>
      <w:r>
        <w:rPr>
          <w:rFonts w:hint="eastAsia" w:ascii="Times New Roman" w:hAnsi="Times New Roman" w:eastAsia="仿宋_GB2312"/>
          <w:b/>
          <w:bCs/>
          <w:sz w:val="24"/>
          <w:lang w:val="en-US" w:eastAsia="zh-CN"/>
        </w:rPr>
        <w:t>3.3.3风险提醒信息</w:t>
      </w:r>
    </w:p>
    <w:p w14:paraId="059807D3">
      <w:pPr>
        <w:adjustRightInd w:val="0"/>
        <w:snapToGrid w:val="0"/>
        <w:spacing w:line="360" w:lineRule="auto"/>
        <w:ind w:firstLine="422" w:firstLineChars="176"/>
        <w:rPr>
          <w:rFonts w:hint="default" w:ascii="Times New Roman" w:hAnsi="Times New Roman" w:eastAsia="仿宋"/>
          <w:sz w:val="24"/>
          <w:lang w:val="en-US" w:eastAsia="zh-CN"/>
        </w:rPr>
      </w:pPr>
      <w:r>
        <w:rPr>
          <w:rFonts w:hint="eastAsia" w:ascii="Times New Roman" w:hAnsi="Times New Roman" w:eastAsia="仿宋"/>
          <w:sz w:val="24"/>
          <w:lang w:val="en-US" w:eastAsia="zh-CN"/>
        </w:rPr>
        <w:t>（1）风险分级提醒：按高、较高、中、低四级风险分级统计提醒数量，快速掌握整体风险分布。</w:t>
      </w:r>
    </w:p>
    <w:p w14:paraId="3C999D7B">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（2）隐患详情展示：每条提醒包含隐患位置、监测数值，支持快速定位风险点。</w:t>
      </w:r>
    </w:p>
    <w:p w14:paraId="6BAA44C5">
      <w:pPr>
        <w:adjustRightInd w:val="0"/>
        <w:snapToGrid w:val="0"/>
        <w:spacing w:line="360" w:lineRule="auto"/>
        <w:ind w:firstLine="424" w:firstLineChars="176"/>
        <w:rPr>
          <w:rFonts w:hint="eastAsia" w:ascii="Times New Roman" w:hAnsi="Times New Roman" w:eastAsia="仿宋_GB2312"/>
          <w:b/>
          <w:bCs/>
          <w:sz w:val="24"/>
          <w:lang w:val="en-US" w:eastAsia="zh-CN"/>
        </w:rPr>
      </w:pPr>
      <w:r>
        <w:rPr>
          <w:rFonts w:hint="eastAsia" w:ascii="Times New Roman" w:hAnsi="Times New Roman" w:eastAsia="仿宋_GB2312"/>
          <w:b/>
          <w:bCs/>
          <w:sz w:val="24"/>
          <w:lang w:val="en-US" w:eastAsia="zh-CN"/>
        </w:rPr>
        <w:t>3.2.4增量风险提醒</w:t>
      </w:r>
    </w:p>
    <w:p w14:paraId="4DDEFCB9">
      <w:pPr>
        <w:adjustRightInd w:val="0"/>
        <w:snapToGrid w:val="0"/>
        <w:spacing w:line="360" w:lineRule="auto"/>
        <w:ind w:firstLine="422" w:firstLineChars="176"/>
        <w:rPr>
          <w:rFonts w:hint="default" w:ascii="Times New Roman" w:hAnsi="Times New Roman" w:eastAsia="仿宋"/>
          <w:sz w:val="24"/>
          <w:lang w:val="en-US" w:eastAsia="zh-CN"/>
        </w:rPr>
      </w:pPr>
      <w:r>
        <w:rPr>
          <w:rFonts w:hint="eastAsia" w:ascii="Times New Roman" w:hAnsi="Times New Roman" w:eastAsia="仿宋"/>
          <w:sz w:val="24"/>
          <w:lang w:val="en-US" w:eastAsia="zh-CN"/>
        </w:rPr>
        <w:t>（1）高风险隐患聚焦：高亮展示高风险隐患的位置、监测点编号、形变数值，支持快速跳转，优先处置高等级风险。</w:t>
      </w:r>
    </w:p>
    <w:p w14:paraId="07652AF5">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（2）风险动态追踪：基于最新数据更新风险等级，突出形变异常的增量变化，辅助判断风险发展趋势。</w:t>
      </w:r>
    </w:p>
    <w:p w14:paraId="39544350">
      <w:pPr>
        <w:adjustRightInd w:val="0"/>
        <w:snapToGrid w:val="0"/>
        <w:spacing w:line="360" w:lineRule="auto"/>
        <w:ind w:firstLine="424" w:firstLineChars="176"/>
        <w:rPr>
          <w:rFonts w:hint="eastAsia" w:ascii="Times New Roman" w:hAnsi="Times New Roman" w:eastAsia="仿宋_GB2312"/>
          <w:b/>
          <w:bCs/>
          <w:sz w:val="24"/>
          <w:lang w:val="en-US" w:eastAsia="zh-CN"/>
        </w:rPr>
      </w:pPr>
      <w:r>
        <w:rPr>
          <w:rFonts w:hint="eastAsia" w:ascii="Times New Roman" w:hAnsi="Times New Roman" w:eastAsia="仿宋_GB2312"/>
          <w:b/>
          <w:bCs/>
          <w:sz w:val="24"/>
          <w:lang w:val="en-US" w:eastAsia="zh-CN"/>
        </w:rPr>
        <w:t>3.2.5风险异动预警</w:t>
      </w:r>
    </w:p>
    <w:p w14:paraId="66B5AC6B">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（1）动态追踪：提供中危、高危风险持续扩大追踪，报警提醒重点关注。</w:t>
      </w:r>
    </w:p>
    <w:p w14:paraId="535473CE">
      <w:pPr>
        <w:adjustRightInd w:val="0"/>
        <w:snapToGrid w:val="0"/>
        <w:spacing w:line="360" w:lineRule="auto"/>
        <w:ind w:firstLine="424" w:firstLineChars="176"/>
        <w:rPr>
          <w:rFonts w:hint="eastAsia" w:ascii="Times New Roman" w:hAnsi="Times New Roman" w:eastAsia="仿宋_GB2312"/>
          <w:b/>
          <w:bCs/>
          <w:sz w:val="24"/>
          <w:lang w:val="en-US" w:eastAsia="zh-CN"/>
        </w:rPr>
      </w:pPr>
      <w:r>
        <w:rPr>
          <w:rFonts w:hint="eastAsia" w:ascii="Times New Roman" w:hAnsi="Times New Roman" w:eastAsia="仿宋_GB2312"/>
          <w:b/>
          <w:bCs/>
          <w:sz w:val="24"/>
          <w:lang w:val="en-US" w:eastAsia="zh-CN"/>
        </w:rPr>
        <w:t>3.2.6隐患风险分析</w:t>
      </w:r>
    </w:p>
    <w:p w14:paraId="6DE96794">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（1）全域隐患可视化：在三维地图上叠加所有隐患靶区，区分红线内外靶区，按风险等级着色，直观呈现全域风险分布。</w:t>
      </w:r>
    </w:p>
    <w:p w14:paraId="56D02860">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（2）隐患详情弹窗：点击地图上的隐患点，弹出详情窗口，展示隐患名称、资产类型、关联资产、隐患类型、风险等级。</w:t>
      </w:r>
    </w:p>
    <w:p w14:paraId="19652AFA">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（3）InSAR时序曲线展示：在隐患详情弹窗中，展示该隐患点关键监测点的形变时序曲线，直观呈现长期形变趋势与速率。</w:t>
      </w:r>
    </w:p>
    <w:p w14:paraId="061ACD8A">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（4）智能分析报告生成：基于隐患数据自动生成分析内容，包括形变特征、活动状态、隐患分布及处置建议。</w:t>
      </w:r>
    </w:p>
    <w:p w14:paraId="04249621">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（5）无人机任务记录：基于隐患点展示无人机任务记录，以时间轴的形式展示，支持查看航拍照片，一目了然地发现实地变化。</w:t>
      </w:r>
    </w:p>
    <w:p w14:paraId="132F609B">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（6）隐患变更记录：基于隐患点展示其每个周期的状态变化。</w:t>
      </w:r>
    </w:p>
    <w:p w14:paraId="41F3A799">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（7）隐患点卷帘分析：选择当前隐患点不同时期的图层，对比其变化情况。</w:t>
      </w:r>
    </w:p>
    <w:p w14:paraId="65E165B5">
      <w:pPr>
        <w:adjustRightInd w:val="0"/>
        <w:snapToGrid w:val="0"/>
        <w:spacing w:line="360" w:lineRule="auto"/>
        <w:ind w:firstLine="422" w:firstLineChars="176"/>
        <w:rPr>
          <w:rFonts w:hint="default" w:ascii="Times New Roman" w:hAnsi="Times New Roman" w:eastAsia="仿宋"/>
          <w:sz w:val="24"/>
          <w:lang w:val="en-US" w:eastAsia="zh-CN"/>
        </w:rPr>
      </w:pPr>
      <w:r>
        <w:rPr>
          <w:rFonts w:hint="eastAsia" w:ascii="Times New Roman" w:hAnsi="Times New Roman" w:eastAsia="仿宋"/>
          <w:sz w:val="24"/>
          <w:lang w:val="en-US" w:eastAsia="zh-CN"/>
        </w:rPr>
        <w:t>（8）AI模型问答交互：提供侧边栏AI对话入口，支持用户输入问题（如隐患处置建议），结合隐患详情和InSAR数据生成专业分析与建议。</w:t>
      </w:r>
    </w:p>
    <w:p w14:paraId="26EE5A9B">
      <w:pPr>
        <w:adjustRightInd w:val="0"/>
        <w:snapToGrid w:val="0"/>
        <w:spacing w:line="360" w:lineRule="auto"/>
        <w:ind w:firstLine="424" w:firstLineChars="176"/>
        <w:rPr>
          <w:rFonts w:hint="eastAsia" w:ascii="Times New Roman" w:hAnsi="Times New Roman" w:eastAsia="仿宋_GB2312"/>
          <w:b/>
          <w:bCs/>
          <w:sz w:val="24"/>
          <w:lang w:val="en-US" w:eastAsia="zh-CN"/>
        </w:rPr>
      </w:pPr>
      <w:r>
        <w:rPr>
          <w:rFonts w:hint="eastAsia" w:ascii="Times New Roman" w:hAnsi="Times New Roman" w:eastAsia="仿宋_GB2312"/>
          <w:b/>
          <w:bCs/>
          <w:sz w:val="24"/>
          <w:lang w:val="en-US" w:eastAsia="zh-CN"/>
        </w:rPr>
        <w:t>3.2.7图层管理</w:t>
      </w:r>
    </w:p>
    <w:p w14:paraId="6DEFB389">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（1）可选InSAR图层、地灾隐患、人为扰动、里程桩、视频监控、高速红线等。</w:t>
      </w:r>
    </w:p>
    <w:p w14:paraId="59525F6B">
      <w:pPr>
        <w:adjustRightInd w:val="0"/>
        <w:snapToGrid w:val="0"/>
        <w:spacing w:line="360" w:lineRule="auto"/>
        <w:ind w:firstLine="422" w:firstLineChars="176"/>
        <w:rPr>
          <w:rFonts w:hint="default" w:ascii="Times New Roman" w:hAnsi="Times New Roman" w:eastAsia="仿宋"/>
          <w:sz w:val="24"/>
          <w:lang w:val="en-US" w:eastAsia="zh-CN"/>
        </w:rPr>
      </w:pPr>
      <w:r>
        <w:rPr>
          <w:rFonts w:hint="eastAsia" w:ascii="Times New Roman" w:hAnsi="Times New Roman" w:eastAsia="仿宋"/>
          <w:sz w:val="24"/>
          <w:lang w:val="en-US" w:eastAsia="zh-CN"/>
        </w:rPr>
        <w:t>（2）图例展示：根据选中的图层，在地图左下角展示对应的图例样式。</w:t>
      </w:r>
    </w:p>
    <w:p w14:paraId="26EE5AA0">
      <w:pPr>
        <w:adjustRightInd w:val="0"/>
        <w:snapToGrid w:val="0"/>
        <w:spacing w:line="360" w:lineRule="auto"/>
        <w:ind w:firstLine="424" w:firstLineChars="176"/>
        <w:rPr>
          <w:rFonts w:ascii="Times New Roman" w:hAnsi="Times New Roman" w:eastAsia="仿宋"/>
          <w:sz w:val="24"/>
        </w:rPr>
      </w:pPr>
      <w:r>
        <w:rPr>
          <w:rFonts w:hint="eastAsia" w:ascii="Times New Roman" w:hAnsi="Times New Roman" w:eastAsia="仿宋_GB2312"/>
          <w:b/>
          <w:bCs/>
          <w:sz w:val="24"/>
        </w:rPr>
        <w:t>3</w:t>
      </w:r>
      <w:r>
        <w:rPr>
          <w:rFonts w:ascii="Times New Roman" w:hAnsi="Times New Roman" w:eastAsia="仿宋_GB2312"/>
          <w:b/>
          <w:bCs/>
          <w:sz w:val="24"/>
        </w:rPr>
        <w:t xml:space="preserve">.3 </w:t>
      </w:r>
      <w:r>
        <w:rPr>
          <w:rFonts w:hint="eastAsia" w:ascii="Times New Roman" w:hAnsi="Times New Roman" w:eastAsia="仿宋_GB2312"/>
          <w:b/>
          <w:bCs/>
          <w:sz w:val="24"/>
          <w:lang w:val="en-US" w:eastAsia="zh-CN"/>
        </w:rPr>
        <w:t>日常管控</w:t>
      </w:r>
    </w:p>
    <w:p w14:paraId="26EE5AA1">
      <w:pPr>
        <w:adjustRightInd w:val="0"/>
        <w:snapToGrid w:val="0"/>
        <w:spacing w:line="360" w:lineRule="auto"/>
        <w:ind w:firstLine="422" w:firstLineChars="176"/>
        <w:rPr>
          <w:rFonts w:hint="eastAsia" w:ascii="Times New Roman" w:hAnsi="Times New Roman" w:eastAsia="仿宋"/>
          <w:sz w:val="24"/>
          <w:lang w:eastAsia="zh-CN"/>
        </w:rPr>
      </w:pPr>
      <w:r>
        <w:rPr>
          <w:rFonts w:hint="eastAsia" w:ascii="Times New Roman" w:hAnsi="Times New Roman" w:eastAsia="仿宋"/>
          <w:sz w:val="24"/>
          <w:lang w:eastAsia="zh-CN"/>
        </w:rPr>
        <w:t>（1）报警统计：展示当</w:t>
      </w:r>
      <w:r>
        <w:rPr>
          <w:rFonts w:hint="eastAsia" w:ascii="Times New Roman" w:hAnsi="Times New Roman" w:eastAsia="仿宋"/>
          <w:sz w:val="24"/>
          <w:lang w:val="en-US" w:eastAsia="zh-CN"/>
        </w:rPr>
        <w:t>前</w:t>
      </w:r>
      <w:r>
        <w:rPr>
          <w:rFonts w:hint="eastAsia" w:ascii="Times New Roman" w:hAnsi="Times New Roman" w:eastAsia="仿宋"/>
          <w:sz w:val="24"/>
          <w:lang w:eastAsia="zh-CN"/>
        </w:rPr>
        <w:t>报警数量，快速掌握最新异常情况。</w:t>
      </w:r>
    </w:p>
    <w:p w14:paraId="26EE5AA2">
      <w:pPr>
        <w:adjustRightInd w:val="0"/>
        <w:snapToGrid w:val="0"/>
        <w:spacing w:line="360" w:lineRule="auto"/>
        <w:ind w:firstLine="422" w:firstLineChars="176"/>
        <w:rPr>
          <w:rFonts w:hint="eastAsia" w:ascii="Times New Roman" w:hAnsi="Times New Roman" w:eastAsia="仿宋"/>
          <w:sz w:val="24"/>
          <w:lang w:eastAsia="zh-CN"/>
        </w:rPr>
      </w:pPr>
      <w:r>
        <w:rPr>
          <w:rFonts w:hint="eastAsia" w:ascii="Times New Roman" w:hAnsi="Times New Roman" w:eastAsia="仿宋"/>
          <w:sz w:val="24"/>
          <w:lang w:eastAsia="zh-CN"/>
        </w:rPr>
        <w:t>（2）隐患列表管理：以列表形式展示所有在库隐患点，包含隐患名称、预警类型、监测设备数量。</w:t>
      </w:r>
    </w:p>
    <w:p w14:paraId="26EE5AA3">
      <w:pPr>
        <w:adjustRightInd w:val="0"/>
        <w:snapToGrid w:val="0"/>
        <w:spacing w:line="360" w:lineRule="auto"/>
        <w:ind w:firstLine="422" w:firstLineChars="176"/>
        <w:rPr>
          <w:rFonts w:hint="eastAsia" w:ascii="Times New Roman" w:hAnsi="Times New Roman" w:eastAsia="仿宋"/>
          <w:sz w:val="24"/>
        </w:rPr>
      </w:pPr>
      <w:r>
        <w:rPr>
          <w:rFonts w:hint="eastAsia" w:ascii="Times New Roman" w:hAnsi="Times New Roman" w:eastAsia="仿宋"/>
          <w:sz w:val="24"/>
        </w:rPr>
        <w:t>（3）隐患详情查看</w:t>
      </w:r>
      <w:r>
        <w:rPr>
          <w:rFonts w:hint="eastAsia" w:ascii="Times New Roman" w:hAnsi="Times New Roman" w:eastAsia="仿宋"/>
          <w:sz w:val="24"/>
          <w:lang w:eastAsia="zh-CN"/>
        </w:rPr>
        <w:t>：支持查看隐患生命周期，包括新增，加剧，保持，减轻，关闭等状态；支持添加隐患的业务活动，让他无人机巡查资料，人工巡查资料等</w:t>
      </w:r>
      <w:r>
        <w:rPr>
          <w:rFonts w:hint="eastAsia" w:ascii="Times New Roman" w:hAnsi="Times New Roman" w:eastAsia="仿宋"/>
          <w:sz w:val="24"/>
        </w:rPr>
        <w:t>。</w:t>
      </w:r>
    </w:p>
    <w:p w14:paraId="26EE5AA4">
      <w:pPr>
        <w:adjustRightInd w:val="0"/>
        <w:snapToGrid w:val="0"/>
        <w:spacing w:line="360" w:lineRule="auto"/>
        <w:ind w:firstLine="422" w:firstLineChars="176"/>
        <w:rPr>
          <w:rFonts w:hint="eastAsia" w:ascii="Times New Roman" w:hAnsi="Times New Roman" w:eastAsia="仿宋"/>
          <w:sz w:val="24"/>
          <w:lang w:eastAsia="zh-CN"/>
        </w:rPr>
      </w:pPr>
      <w:r>
        <w:rPr>
          <w:rFonts w:hint="eastAsia" w:ascii="Times New Roman" w:hAnsi="Times New Roman" w:eastAsia="仿宋"/>
          <w:sz w:val="24"/>
          <w:lang w:eastAsia="zh-CN"/>
        </w:rPr>
        <w:t>（</w:t>
      </w:r>
      <w:r>
        <w:rPr>
          <w:rFonts w:hint="eastAsia" w:ascii="Times New Roman" w:hAnsi="Times New Roman" w:eastAsia="仿宋"/>
          <w:sz w:val="24"/>
          <w:lang w:val="en-US" w:eastAsia="zh-CN"/>
        </w:rPr>
        <w:t>4</w:t>
      </w:r>
      <w:r>
        <w:rPr>
          <w:rFonts w:hint="eastAsia" w:ascii="Times New Roman" w:hAnsi="Times New Roman" w:eastAsia="仿宋"/>
          <w:sz w:val="24"/>
          <w:lang w:eastAsia="zh-CN"/>
        </w:rPr>
        <w:t>）</w:t>
      </w:r>
      <w:r>
        <w:rPr>
          <w:rFonts w:hint="eastAsia" w:ascii="Times New Roman" w:hAnsi="Times New Roman" w:eastAsia="仿宋"/>
          <w:sz w:val="24"/>
        </w:rPr>
        <w:t>高风险区域传感器接入</w:t>
      </w:r>
      <w:r>
        <w:rPr>
          <w:rFonts w:hint="eastAsia" w:ascii="Times New Roman" w:hAnsi="Times New Roman" w:eastAsia="仿宋"/>
          <w:sz w:val="24"/>
          <w:lang w:eastAsia="zh-CN"/>
        </w:rPr>
        <w:t>：</w:t>
      </w:r>
      <w:r>
        <w:rPr>
          <w:rFonts w:hint="eastAsia" w:ascii="Times New Roman" w:hAnsi="Times New Roman" w:eastAsia="仿宋"/>
          <w:sz w:val="24"/>
          <w:lang w:val="en-US" w:eastAsia="zh-CN"/>
        </w:rPr>
        <w:t>支持</w:t>
      </w:r>
      <w:r>
        <w:rPr>
          <w:rFonts w:hint="eastAsia" w:ascii="Times New Roman" w:hAnsi="Times New Roman" w:eastAsia="仿宋"/>
          <w:sz w:val="24"/>
          <w:lang w:eastAsia="zh-CN"/>
        </w:rPr>
        <w:t>接入高风险区域视频监控、无人机、点云数据、路面传感器等设备，展示实时监测数据与变化趋势。</w:t>
      </w:r>
    </w:p>
    <w:p w14:paraId="3454C812">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（5）无人机平台联动：提供无人机巡检高危区域点位坐标，输出坐标表格，可展示无人机现场巡查图片，支持线上导出。</w:t>
      </w:r>
    </w:p>
    <w:p w14:paraId="1F4A1E36">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（6）报警处置操作：支持「忽略报警」「事件上报」操作，记录处置过程。</w:t>
      </w:r>
    </w:p>
    <w:p w14:paraId="4586D92E">
      <w:pPr>
        <w:adjustRightInd w:val="0"/>
        <w:snapToGrid w:val="0"/>
        <w:spacing w:line="360" w:lineRule="auto"/>
        <w:ind w:firstLine="424" w:firstLineChars="176"/>
        <w:rPr>
          <w:rFonts w:hint="default" w:ascii="Times New Roman" w:hAnsi="Times New Roman" w:eastAsia="仿宋"/>
          <w:sz w:val="24"/>
          <w:lang w:val="en-US"/>
        </w:rPr>
      </w:pPr>
      <w:r>
        <w:rPr>
          <w:rFonts w:hint="eastAsia" w:ascii="Times New Roman" w:hAnsi="Times New Roman" w:eastAsia="仿宋_GB2312"/>
          <w:b/>
          <w:bCs/>
          <w:sz w:val="24"/>
        </w:rPr>
        <w:t>3</w:t>
      </w:r>
      <w:r>
        <w:rPr>
          <w:rFonts w:ascii="Times New Roman" w:hAnsi="Times New Roman" w:eastAsia="仿宋_GB2312"/>
          <w:b/>
          <w:bCs/>
          <w:sz w:val="24"/>
        </w:rPr>
        <w:t>.</w:t>
      </w:r>
      <w:r>
        <w:rPr>
          <w:rFonts w:hint="eastAsia" w:ascii="Times New Roman" w:hAnsi="Times New Roman" w:eastAsia="仿宋_GB2312"/>
          <w:b/>
          <w:bCs/>
          <w:sz w:val="24"/>
          <w:lang w:val="en-US" w:eastAsia="zh-CN"/>
        </w:rPr>
        <w:t>4 后台管理功能</w:t>
      </w:r>
    </w:p>
    <w:p w14:paraId="7BD68700">
      <w:pPr>
        <w:adjustRightInd w:val="0"/>
        <w:snapToGrid w:val="0"/>
        <w:spacing w:line="360" w:lineRule="auto"/>
        <w:ind w:firstLine="424" w:firstLineChars="176"/>
        <w:rPr>
          <w:rFonts w:hint="eastAsia" w:ascii="Times New Roman" w:hAnsi="Times New Roman" w:eastAsia="仿宋_GB2312"/>
          <w:b/>
          <w:bCs/>
          <w:sz w:val="24"/>
          <w:lang w:val="en-US" w:eastAsia="zh-CN"/>
        </w:rPr>
      </w:pPr>
      <w:r>
        <w:rPr>
          <w:rFonts w:hint="eastAsia" w:ascii="Times New Roman" w:hAnsi="Times New Roman" w:eastAsia="仿宋_GB2312"/>
          <w:b/>
          <w:bCs/>
          <w:sz w:val="24"/>
          <w:lang w:val="en-US" w:eastAsia="zh-CN"/>
        </w:rPr>
        <w:t>3.4.1基础配置</w:t>
      </w:r>
    </w:p>
    <w:p w14:paraId="55F56785">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（1）文件中心</w:t>
      </w:r>
    </w:p>
    <w:p w14:paraId="12F5ED15">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对象存储，提供对象存储连接信息的新建、编辑、删除、启用、停用等管理功能，支持对接主流对象存储服务，实现海量文件的分布式存储，保障数据存储的安全性与可扩展性。</w:t>
      </w:r>
    </w:p>
    <w:p w14:paraId="1CACDFD7">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文件管理，支持文件目录的梳理编目与可视化层级管理，提供按目录进行文件上传、编辑、下载、删除等操作，支持文件多条件检索，实现文件的精准查找与高效管理。</w:t>
      </w:r>
    </w:p>
    <w:p w14:paraId="6A500AF5">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（2）基础配置</w:t>
      </w:r>
    </w:p>
    <w:p w14:paraId="1FA038F5">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行政区划，提供树状层级行政区划管理能力，支持行政区划节点新增下级、批量导入，实现行政区划与矢量范围的精准绑定，确保监测数据与行政区域的联动管理。</w:t>
      </w:r>
    </w:p>
    <w:p w14:paraId="41B934DE">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系统配置，支持系统Logo、系统名称、版权信息、备案号等品牌信息的自定义配置，可对登录页背景、主题颜色、系统布局模式、侧边栏/头部导航颜色等视觉样式进行个性化设置，实现系统的品牌化定制。</w:t>
      </w:r>
    </w:p>
    <w:p w14:paraId="4D1598AB">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（3）系统管理</w:t>
      </w:r>
    </w:p>
    <w:p w14:paraId="7954DA7B">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多维组织管理，支持临时性组织的加入与管理，提供组织新建、编辑、删除功能，实现组织与人员、空间信息的数据表关联配置（含关联字段、排序规则、过滤条件），适配高速管理多部门、多标段的组织管理需求。</w:t>
      </w:r>
    </w:p>
    <w:p w14:paraId="2386A946">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动态字典，支持将业务数据中的字典特性数据动态配置为系统字典，提供字典新建、编辑、删除、查询等管理功能，实现业务字典的灵活适配与动态更新。</w:t>
      </w:r>
    </w:p>
    <w:p w14:paraId="29AB97C5">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系统字典，支持系统内部基础字典及字典项的新建、编辑、删除、查询，支持字典项展示颜色的个性化配置，为系统统一数据编码、统一展示标准提供支撑。</w:t>
      </w:r>
    </w:p>
    <w:p w14:paraId="07C4DC4A">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业务字典，支持高速公路监测业务所需字典数据及字典项的全生命周期管理，为业务侧提供标准化的字典数据查询能力，确保业务数据的一致性。</w:t>
      </w:r>
    </w:p>
    <w:p w14:paraId="195C8F19">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菜单管理，支持子应用的新建、编辑、删除，实现多客户端（PC端、移动端）菜单的精细化配置（含菜单属性、打开方式），可对菜单关联的接口权限和数据权限进行精准配置，实现功能权限的细粒度管控。</w:t>
      </w:r>
    </w:p>
    <w:p w14:paraId="570B4AFB">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参数管理，支持系统级运行参数的新建、编辑、删除、查询，提供参数内存缓存与统一的参数获取接口能力，确保系统参数的高效调用与动态更新。</w:t>
      </w:r>
    </w:p>
    <w:p w14:paraId="24024A99">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租户管理，支持产品包的新建、编辑、删除及菜单勾选配置，实现租户的全生命周期管理、批量授权与产品包分配，适配多主体参与的高速监测管理模式。</w:t>
      </w:r>
    </w:p>
    <w:p w14:paraId="66BA18A0">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客户端管理，遵循OAuth2.0标准，实现客户端接入授权管理，提供客户端新建、编辑、删除、查询功能，支持令牌刷新、密码、授权码、验证码等多种授权类型，保障系统接入的安全性。</w:t>
      </w:r>
    </w:p>
    <w:p w14:paraId="03DBA3C6">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（4）组织机构</w:t>
      </w:r>
    </w:p>
    <w:p w14:paraId="4292FB9F">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组织管理，支持组织树状结构的层级管理，提供下级组织维护、组织角色绑定、功能权限配置功能，实现组织与系统权限的精准联动。</w:t>
      </w:r>
    </w:p>
    <w:p w14:paraId="5E50ECCF">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人员管理，支持按组织层级对人员进行精细化管理，提供人员新建、编辑、删除、密码重置、账号解封等功能，支持人员多组织关系绑定、角色分配、岗位职级配置，实现人员信息的全方位管理。</w:t>
      </w:r>
    </w:p>
    <w:p w14:paraId="6DED53DE">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岗位管理，支持岗位数据的新建、编辑、删除、查询等基础管理功能，为人员岗位配置、权限分配提供标准化基础。</w:t>
      </w:r>
    </w:p>
    <w:p w14:paraId="52610248">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（5）角色权限</w:t>
      </w:r>
    </w:p>
    <w:p w14:paraId="602A6D69">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权限分配，支持按组织进行系统功能权限的分配、新增、删除、更新等操作，实现组织层面的权限统一管控。</w:t>
      </w:r>
    </w:p>
    <w:p w14:paraId="41E8384C">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角色管理，支持角色树状结构展示，提供下级角色添加、角色信息编辑、上级角色配置功能，可对角色进行功能权限和数据权限的精准配置，实现角色权限的个性化定制。</w:t>
      </w:r>
    </w:p>
    <w:p w14:paraId="12FDD72D">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人员角色，支持查看人员与角色的关联关系（含人员名称/账号/角色/组织/状态），可对无效的人员角色关联进行删除操作，实现人员权限的动态调整。</w:t>
      </w:r>
    </w:p>
    <w:p w14:paraId="068A8FA5">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（6）日志中心</w:t>
      </w:r>
    </w:p>
    <w:p w14:paraId="507823AF">
      <w:pPr>
        <w:adjustRightInd w:val="0"/>
        <w:snapToGrid w:val="0"/>
        <w:spacing w:line="360" w:lineRule="auto"/>
        <w:ind w:firstLine="422" w:firstLineChars="176"/>
        <w:rPr>
          <w:rFonts w:hint="default" w:ascii="Times New Roman" w:hAnsi="Times New Roman" w:eastAsia="仿宋"/>
          <w:sz w:val="24"/>
          <w:lang w:val="en-US" w:eastAsia="zh-CN"/>
        </w:rPr>
      </w:pPr>
      <w:r>
        <w:rPr>
          <w:rFonts w:hint="default" w:ascii="Times New Roman" w:hAnsi="Times New Roman" w:eastAsia="仿宋"/>
          <w:sz w:val="24"/>
          <w:lang w:val="en-US" w:eastAsia="zh-CN"/>
        </w:rPr>
        <w:t>登录日志，自动收集系统所有登录行为日志，提供日志分页列表展示、多条件查询功能，支持查看日志详情（含追踪ID/租户/用户名/IP/登录状态/登录时间等），实现登录行为的全追溯。</w:t>
      </w:r>
    </w:p>
    <w:p w14:paraId="19590198">
      <w:pPr>
        <w:adjustRightInd w:val="0"/>
        <w:snapToGrid w:val="0"/>
        <w:spacing w:line="360" w:lineRule="auto"/>
        <w:ind w:firstLine="422" w:firstLineChars="176"/>
        <w:rPr>
          <w:rFonts w:hint="default" w:ascii="Times New Roman" w:hAnsi="Times New Roman" w:eastAsia="仿宋"/>
          <w:sz w:val="24"/>
          <w:lang w:val="en-US" w:eastAsia="zh-CN"/>
        </w:rPr>
      </w:pPr>
      <w:r>
        <w:rPr>
          <w:rFonts w:hint="default" w:ascii="Times New Roman" w:hAnsi="Times New Roman" w:eastAsia="仿宋"/>
          <w:sz w:val="24"/>
          <w:lang w:val="en-US" w:eastAsia="zh-CN"/>
        </w:rPr>
        <w:t>操作日志自动收集系统所有业务操作行为日志，提供日志分页列表展示、多条件查询功能，支持查看日志详情（含追踪 ID/操作模块/操作人/IP/操作耗时/操作状态等），实现业务操作的全审计。</w:t>
      </w:r>
    </w:p>
    <w:p w14:paraId="4B7015D1">
      <w:pPr>
        <w:adjustRightInd w:val="0"/>
        <w:snapToGrid w:val="0"/>
        <w:spacing w:line="360" w:lineRule="auto"/>
        <w:ind w:firstLine="422" w:firstLineChars="176"/>
        <w:rPr>
          <w:rFonts w:hint="default" w:ascii="Times New Roman" w:hAnsi="Times New Roman" w:eastAsia="仿宋"/>
          <w:sz w:val="24"/>
          <w:lang w:val="en-US" w:eastAsia="zh-CN"/>
        </w:rPr>
      </w:pPr>
      <w:r>
        <w:rPr>
          <w:rFonts w:hint="default" w:ascii="Times New Roman" w:hAnsi="Times New Roman" w:eastAsia="仿宋"/>
          <w:sz w:val="24"/>
          <w:lang w:val="en-US" w:eastAsia="zh-CN"/>
        </w:rPr>
        <w:t>访问日志自动收集系统所有访问请求日志，提供日志分页列表展示、多条件查询功能，支持查看日志详情（含请求信息/响应信息/错误信息/访问耗时等），实现系统访问的全监控。</w:t>
      </w:r>
    </w:p>
    <w:p w14:paraId="587C2AD5">
      <w:pPr>
        <w:adjustRightInd w:val="0"/>
        <w:snapToGrid w:val="0"/>
        <w:spacing w:line="360" w:lineRule="auto"/>
        <w:ind w:firstLine="424" w:firstLineChars="176"/>
        <w:rPr>
          <w:rFonts w:hint="eastAsia" w:ascii="Times New Roman" w:hAnsi="Times New Roman" w:eastAsia="仿宋_GB2312"/>
          <w:b/>
          <w:bCs/>
          <w:sz w:val="24"/>
          <w:lang w:val="en-US" w:eastAsia="zh-CN"/>
        </w:rPr>
      </w:pPr>
      <w:r>
        <w:rPr>
          <w:rFonts w:hint="eastAsia" w:ascii="Times New Roman" w:hAnsi="Times New Roman" w:eastAsia="仿宋_GB2312"/>
          <w:b/>
          <w:bCs/>
          <w:sz w:val="24"/>
          <w:lang w:val="en-US" w:eastAsia="zh-CN"/>
        </w:rPr>
        <w:t>3.4.2流程中心</w:t>
      </w:r>
    </w:p>
    <w:p w14:paraId="75A5BEDA">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（1）变量管理</w:t>
      </w:r>
    </w:p>
    <w:p w14:paraId="2CADAB49">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支持工作流全局变量的新增、目录分类管理，可实现内置系统变量的自动同步，对变量进行启用/禁用操作，支持变量详情查看，为流程运行提供动态参数支撑。</w:t>
      </w:r>
    </w:p>
    <w:p w14:paraId="166B7465">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（2）流水号管理</w:t>
      </w:r>
    </w:p>
    <w:p w14:paraId="3163D55B">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支持流程业务流水号规则的自定义定义，可配置流水号前缀、日期格式、位数、重置周期等规则，提供规则新增、编辑、查看功能，实现业务流程单据的标准化编号。</w:t>
      </w:r>
    </w:p>
    <w:p w14:paraId="5AC8D5A0">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（3）按钮管理</w:t>
      </w:r>
    </w:p>
    <w:p w14:paraId="51AA5ADB">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支持流程节点操作按钮的新增、删除、启用/禁用、编辑功能，可配置按钮详情（含名称、操作权限、图标、触发动作、审批意见模板等），实现流程操作的标准化与个性化适配。</w:t>
      </w:r>
    </w:p>
    <w:p w14:paraId="2B8990A5">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（4）节点管理</w:t>
      </w:r>
    </w:p>
    <w:p w14:paraId="16E05F21">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支持流程节点的新增、编辑、查看、启用/禁用操作，可精细化配置节点信息（含名称、编码、空间位置、操作权限、触发操作、节点说明等），实现流程节点的规范化管理，适配不同业务流程的节点设置需求。</w:t>
      </w:r>
    </w:p>
    <w:p w14:paraId="111700A0">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（5）表单管理</w:t>
      </w:r>
    </w:p>
    <w:p w14:paraId="2E99D58C">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支持工作流业务表单的新增、删除、设计、编辑、目录管理，提供可视化的表单字段、布局、样式设计能力，适配隐患核实、任务巡检、验收销警等不同业务场景的表单需求，实现业务数据的标准化采集。</w:t>
      </w:r>
    </w:p>
    <w:p w14:paraId="1B44770B">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（6）流程设计</w:t>
      </w:r>
    </w:p>
    <w:p w14:paraId="2E9B0630">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支持工作流目录的层级管理，提供流程新增、启用/禁用操作，采用可视化拖拽式流程设计方式，实现业务流程的快速搭建与修改，支持流程版本管理、流程图在线查看，可一键发起流程运行。支持已发起流程的实时查看与在线处理，可直观展示流程当前运行状态、已完成/待完成节点、节点处理人等信息，实现流程运行的全程可视化监控。</w:t>
      </w:r>
    </w:p>
    <w:p w14:paraId="48406DCA">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（7）任务中心</w:t>
      </w:r>
    </w:p>
    <w:p w14:paraId="05E0F45B">
      <w:pPr>
        <w:adjustRightInd w:val="0"/>
        <w:snapToGrid w:val="0"/>
        <w:spacing w:line="360" w:lineRule="auto"/>
        <w:ind w:firstLine="422" w:firstLineChars="176"/>
        <w:rPr>
          <w:rFonts w:hint="default" w:ascii="Times New Roman" w:hAnsi="Times New Roman" w:eastAsia="仿宋"/>
          <w:sz w:val="24"/>
          <w:lang w:val="en-US" w:eastAsia="zh-CN"/>
        </w:rPr>
      </w:pPr>
      <w:r>
        <w:rPr>
          <w:rFonts w:hint="default" w:ascii="Times New Roman" w:hAnsi="Times New Roman" w:eastAsia="仿宋"/>
          <w:sz w:val="24"/>
          <w:lang w:val="en-US" w:eastAsia="zh-CN"/>
        </w:rPr>
        <w:t>提供所有待办、已办、在办任务的统一列表展示，支持任务名称、流程类型、派发时间等多条件模糊查询，实现任务的精准查找。</w:t>
      </w:r>
    </w:p>
    <w:p w14:paraId="55A6D35B">
      <w:pPr>
        <w:adjustRightInd w:val="0"/>
        <w:snapToGrid w:val="0"/>
        <w:spacing w:line="360" w:lineRule="auto"/>
        <w:ind w:firstLine="422" w:firstLineChars="176"/>
        <w:rPr>
          <w:rFonts w:hint="default" w:ascii="Times New Roman" w:hAnsi="Times New Roman" w:eastAsia="仿宋"/>
          <w:sz w:val="24"/>
          <w:lang w:val="en-US" w:eastAsia="zh-CN"/>
        </w:rPr>
      </w:pPr>
      <w:r>
        <w:rPr>
          <w:rFonts w:hint="default" w:ascii="Times New Roman" w:hAnsi="Times New Roman" w:eastAsia="仿宋"/>
          <w:sz w:val="24"/>
          <w:lang w:val="en-US" w:eastAsia="zh-CN"/>
        </w:rPr>
        <w:t>支持待办任务的在线审批处理，可上传现场核查附件、填写审批意见，集成流程图查看、任务日志追溯功能，实现任务处理的全信息支撑。</w:t>
      </w:r>
    </w:p>
    <w:p w14:paraId="0231AD1C">
      <w:pPr>
        <w:adjustRightInd w:val="0"/>
        <w:snapToGrid w:val="0"/>
        <w:spacing w:line="360" w:lineRule="auto"/>
        <w:ind w:firstLine="422" w:firstLineChars="176"/>
        <w:rPr>
          <w:rFonts w:hint="default" w:ascii="Times New Roman" w:hAnsi="Times New Roman" w:eastAsia="仿宋"/>
          <w:sz w:val="24"/>
          <w:lang w:val="en-US" w:eastAsia="zh-CN"/>
        </w:rPr>
      </w:pPr>
      <w:r>
        <w:rPr>
          <w:rFonts w:hint="default" w:ascii="Times New Roman" w:hAnsi="Times New Roman" w:eastAsia="仿宋"/>
          <w:sz w:val="24"/>
          <w:lang w:val="en-US" w:eastAsia="zh-CN"/>
        </w:rPr>
        <w:t>支持对所有在办任务的全程追踪，可实时查看任务当前节点、处理进度、处理人、处理时间等信息，实现任务运行的全程监控，确保任务按时办结。</w:t>
      </w:r>
    </w:p>
    <w:p w14:paraId="57E1227C">
      <w:pPr>
        <w:adjustRightInd w:val="0"/>
        <w:snapToGrid w:val="0"/>
        <w:spacing w:line="360" w:lineRule="auto"/>
        <w:ind w:firstLine="422" w:firstLineChars="176"/>
        <w:rPr>
          <w:rFonts w:hint="default" w:ascii="Times New Roman" w:hAnsi="Times New Roman" w:eastAsia="仿宋"/>
          <w:sz w:val="24"/>
          <w:lang w:val="en-US" w:eastAsia="zh-CN"/>
        </w:rPr>
      </w:pPr>
      <w:r>
        <w:rPr>
          <w:rFonts w:hint="default" w:ascii="Times New Roman" w:hAnsi="Times New Roman" w:eastAsia="仿宋"/>
          <w:sz w:val="24"/>
          <w:lang w:val="en-US" w:eastAsia="zh-CN"/>
        </w:rPr>
        <w:t>流程类型、处理组织、处理人、时间周期等维度进行任务统计分析，提供任务办结率、逾期率、处理耗时等核心指标统计，为流程优化、人员考核提供数据支撑。</w:t>
      </w:r>
    </w:p>
    <w:p w14:paraId="3EB643C7">
      <w:pPr>
        <w:adjustRightInd w:val="0"/>
        <w:snapToGrid w:val="0"/>
        <w:spacing w:line="360" w:lineRule="auto"/>
        <w:ind w:firstLine="424" w:firstLineChars="176"/>
        <w:rPr>
          <w:rFonts w:hint="default" w:ascii="Times New Roman" w:hAnsi="Times New Roman" w:eastAsia="仿宋_GB2312"/>
          <w:b/>
          <w:bCs/>
          <w:sz w:val="24"/>
          <w:lang w:val="en-US" w:eastAsia="zh-CN"/>
        </w:rPr>
      </w:pPr>
      <w:r>
        <w:rPr>
          <w:rFonts w:hint="eastAsia" w:ascii="Times New Roman" w:hAnsi="Times New Roman" w:eastAsia="仿宋_GB2312"/>
          <w:b/>
          <w:bCs/>
          <w:sz w:val="24"/>
          <w:lang w:val="en-US" w:eastAsia="zh-CN"/>
        </w:rPr>
        <w:t>3.4.3二三维平台</w:t>
      </w:r>
    </w:p>
    <w:p w14:paraId="08A313C9">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（1）基础信息设置</w:t>
      </w:r>
    </w:p>
    <w:p w14:paraId="76ED6EFB">
      <w:pPr>
        <w:adjustRightInd w:val="0"/>
        <w:snapToGrid w:val="0"/>
        <w:spacing w:line="360" w:lineRule="auto"/>
        <w:ind w:firstLine="422" w:firstLineChars="176"/>
        <w:rPr>
          <w:rFonts w:hint="default" w:ascii="Times New Roman" w:hAnsi="Times New Roman" w:eastAsia="仿宋"/>
          <w:sz w:val="24"/>
          <w:lang w:val="en-US" w:eastAsia="zh-CN"/>
        </w:rPr>
      </w:pPr>
      <w:r>
        <w:rPr>
          <w:rFonts w:hint="eastAsia" w:ascii="Times New Roman" w:hAnsi="Times New Roman" w:eastAsia="仿宋"/>
          <w:sz w:val="24"/>
          <w:lang w:val="en-US" w:eastAsia="zh-CN"/>
        </w:rPr>
        <w:t>对专题图名称、描述、封面、初始视角进行设置。</w:t>
      </w:r>
    </w:p>
    <w:p w14:paraId="531AC1CB">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（2）图层管理</w:t>
      </w:r>
    </w:p>
    <w:p w14:paraId="4F8E7F8F">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图层树添加图层目录，图层树添加数据服务。</w:t>
      </w:r>
    </w:p>
    <w:p w14:paraId="2E58BEC0">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对图层目录、图层名称进行重命名，拖拽图层对图层树进行排序。</w:t>
      </w:r>
    </w:p>
    <w:p w14:paraId="161F2EFF">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对矢量数据图斑查看权限进行控制，对图层图例、符号样式、标签等进行设置。</w:t>
      </w:r>
    </w:p>
    <w:p w14:paraId="41C36544">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查看图层基础信息，并对图斑属性信息查看进行设置。</w:t>
      </w:r>
    </w:p>
    <w:p w14:paraId="388386C0">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修改图层初始定位视角,配置图层服务关联的个性化数据模型。</w:t>
      </w:r>
    </w:p>
    <w:p w14:paraId="1ECFC775">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查看图层的服务基本信息，可更改源数据,删除图层，支持批量删除。</w:t>
      </w:r>
    </w:p>
    <w:p w14:paraId="37FEB50A">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控制图层在地图上是否显示,拖拽图层调整其在地图上显示的顺序。</w:t>
      </w:r>
    </w:p>
    <w:p w14:paraId="4707B58F">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专题图快速定位到图层位置,查看图层属性表,调节图层在地图上显示的透明度。</w:t>
      </w:r>
    </w:p>
    <w:p w14:paraId="64BF4F2E">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（3）底图配置</w:t>
      </w:r>
    </w:p>
    <w:p w14:paraId="62926BDA">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设置在专题图加载的互联网地图或系统提供的地图、影像、地形数据。</w:t>
      </w:r>
    </w:p>
    <w:p w14:paraId="09DA8FB7">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（4）基础功能</w:t>
      </w:r>
    </w:p>
    <w:p w14:paraId="374EC660">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通过地名处快速定位地点。</w:t>
      </w:r>
    </w:p>
    <w:p w14:paraId="2ABED180">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测量多点间直线距离及总距离，所选范围的投影面积。</w:t>
      </w:r>
    </w:p>
    <w:p w14:paraId="15928901">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拾取专题图中所选点的坐标信息。</w:t>
      </w:r>
    </w:p>
    <w:p w14:paraId="47B10DA9">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通过经纬度快速定位地点,查看不同时期的历史影像地图。</w:t>
      </w:r>
    </w:p>
    <w:p w14:paraId="46D3D7FE">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左右分屏对比两张专题图,左右分屏对比图层。</w:t>
      </w:r>
    </w:p>
    <w:p w14:paraId="7DCB8910">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快速定位到兴趣位置,查看地图框中所显示的地图在整个图中的位置。</w:t>
      </w:r>
    </w:p>
    <w:p w14:paraId="42B9E6C6">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（5）空间分析</w:t>
      </w:r>
    </w:p>
    <w:p w14:paraId="54006A7B">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绘制或导入范围内，空间数据及其属性查询。</w:t>
      </w:r>
    </w:p>
    <w:p w14:paraId="6583F162">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缓冲区范围内，空间数据及其属性查询。</w:t>
      </w:r>
    </w:p>
    <w:p w14:paraId="4C925CEE">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（6）地图管理组件</w:t>
      </w:r>
    </w:p>
    <w:p w14:paraId="26AC2F8E">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将移动后的专题图恢复初始视角。</w:t>
      </w:r>
    </w:p>
    <w:p w14:paraId="427FDAB5">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放大/缩小地图，全屏展示模式，下载当前专题图截图。</w:t>
      </w:r>
    </w:p>
    <w:p w14:paraId="2DF8966D">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（7）移动地图</w:t>
      </w:r>
    </w:p>
    <w:p w14:paraId="48D4C40E">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支持图层显隐控制、图层定位、属性表查询等操作。</w:t>
      </w:r>
    </w:p>
    <w:p w14:paraId="7813C4A5">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对图斑属性进行查看，专题图定位至设备当前位置。</w:t>
      </w:r>
    </w:p>
    <w:p w14:paraId="57D43593">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（8）专题图管理</w:t>
      </w:r>
    </w:p>
    <w:p w14:paraId="514C7367">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新建专题图，查询自己有权限的专题图。</w:t>
      </w:r>
    </w:p>
    <w:p w14:paraId="7117E522">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编辑修改专题图，为系统用户分配专题图的浏览/编辑权限。</w:t>
      </w:r>
    </w:p>
    <w:p w14:paraId="5E5A6C03">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复制该专题图，删除专题图。</w:t>
      </w:r>
    </w:p>
    <w:p w14:paraId="6876A01F">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（9）资源管理</w:t>
      </w:r>
    </w:p>
    <w:p w14:paraId="3A132BC8">
      <w:pPr>
        <w:adjustRightInd w:val="0"/>
        <w:snapToGrid w:val="0"/>
        <w:spacing w:line="360" w:lineRule="auto"/>
        <w:ind w:firstLine="422" w:firstLineChars="176"/>
        <w:rPr>
          <w:rFonts w:hint="default" w:ascii="Times New Roman" w:hAnsi="Times New Roman" w:eastAsia="仿宋"/>
          <w:sz w:val="24"/>
          <w:lang w:val="en-US" w:eastAsia="zh-CN"/>
        </w:rPr>
      </w:pPr>
      <w:r>
        <w:rPr>
          <w:rFonts w:hint="default" w:ascii="Times New Roman" w:hAnsi="Times New Roman" w:eastAsia="仿宋"/>
          <w:sz w:val="24"/>
          <w:lang w:val="en-US" w:eastAsia="zh-CN"/>
        </w:rPr>
        <w:t>自定义服务资源目录，并对目录进行统一管理，将服务资源注册到平台进行统一管理</w:t>
      </w:r>
      <w:r>
        <w:rPr>
          <w:rFonts w:hint="eastAsia" w:ascii="Times New Roman" w:hAnsi="Times New Roman" w:eastAsia="仿宋"/>
          <w:sz w:val="24"/>
          <w:lang w:val="en-US" w:eastAsia="zh-CN"/>
        </w:rPr>
        <w:t>。</w:t>
      </w:r>
    </w:p>
    <w:p w14:paraId="7CAEC1A8">
      <w:pPr>
        <w:adjustRightInd w:val="0"/>
        <w:snapToGrid w:val="0"/>
        <w:spacing w:line="360" w:lineRule="auto"/>
        <w:ind w:firstLine="422" w:firstLineChars="176"/>
        <w:rPr>
          <w:rFonts w:hint="default" w:ascii="Times New Roman" w:hAnsi="Times New Roman" w:eastAsia="仿宋"/>
          <w:sz w:val="24"/>
          <w:lang w:val="en-US" w:eastAsia="zh-CN"/>
        </w:rPr>
      </w:pPr>
      <w:r>
        <w:rPr>
          <w:rFonts w:hint="default" w:ascii="Times New Roman" w:hAnsi="Times New Roman" w:eastAsia="仿宋"/>
          <w:sz w:val="24"/>
          <w:lang w:val="en-US" w:eastAsia="zh-CN"/>
        </w:rPr>
        <w:t>将第三方地图服务器的服务资源批量注册到平台进行统一管理</w:t>
      </w:r>
      <w:r>
        <w:rPr>
          <w:rFonts w:hint="eastAsia" w:ascii="Times New Roman" w:hAnsi="Times New Roman" w:eastAsia="仿宋"/>
          <w:sz w:val="24"/>
          <w:lang w:val="en-US" w:eastAsia="zh-CN"/>
        </w:rPr>
        <w:t>。</w:t>
      </w:r>
    </w:p>
    <w:p w14:paraId="46A1D9AE">
      <w:pPr>
        <w:adjustRightInd w:val="0"/>
        <w:snapToGrid w:val="0"/>
        <w:spacing w:line="360" w:lineRule="auto"/>
        <w:ind w:firstLine="422" w:firstLineChars="176"/>
        <w:rPr>
          <w:rFonts w:hint="default" w:ascii="Times New Roman" w:hAnsi="Times New Roman" w:eastAsia="仿宋"/>
          <w:sz w:val="24"/>
          <w:lang w:val="en-US" w:eastAsia="zh-CN"/>
        </w:rPr>
      </w:pPr>
      <w:r>
        <w:rPr>
          <w:rFonts w:hint="default" w:ascii="Times New Roman" w:hAnsi="Times New Roman" w:eastAsia="仿宋"/>
          <w:sz w:val="24"/>
          <w:lang w:val="en-US" w:eastAsia="zh-CN"/>
        </w:rPr>
        <w:t>对服务进行快速预览，管理已注册/发布的服务，连接第三方地图服务器，并进行统一管理</w:t>
      </w:r>
      <w:r>
        <w:rPr>
          <w:rFonts w:hint="eastAsia" w:ascii="Times New Roman" w:hAnsi="Times New Roman" w:eastAsia="仿宋"/>
          <w:sz w:val="24"/>
          <w:lang w:val="en-US" w:eastAsia="zh-CN"/>
        </w:rPr>
        <w:t>。</w:t>
      </w:r>
    </w:p>
    <w:p w14:paraId="13105E39">
      <w:pPr>
        <w:adjustRightInd w:val="0"/>
        <w:snapToGrid w:val="0"/>
        <w:spacing w:line="360" w:lineRule="auto"/>
        <w:ind w:firstLine="422" w:firstLineChars="176"/>
        <w:rPr>
          <w:rFonts w:hint="default" w:ascii="Times New Roman" w:hAnsi="Times New Roman" w:eastAsia="仿宋"/>
          <w:sz w:val="24"/>
          <w:lang w:val="en-US" w:eastAsia="zh-CN"/>
        </w:rPr>
      </w:pPr>
      <w:r>
        <w:rPr>
          <w:rFonts w:hint="default" w:ascii="Times New Roman" w:hAnsi="Times New Roman" w:eastAsia="仿宋"/>
          <w:sz w:val="24"/>
          <w:lang w:val="en-US" w:eastAsia="zh-CN"/>
        </w:rPr>
        <w:t>将处理过后的数据上传至平台，并进行服务发布及管理，上传图标，并对图标进行分类管理</w:t>
      </w:r>
      <w:r>
        <w:rPr>
          <w:rFonts w:hint="eastAsia" w:ascii="Times New Roman" w:hAnsi="Times New Roman" w:eastAsia="仿宋"/>
          <w:sz w:val="24"/>
          <w:lang w:val="en-US" w:eastAsia="zh-CN"/>
        </w:rPr>
        <w:t>。</w:t>
      </w:r>
    </w:p>
    <w:p w14:paraId="26EE5AA5">
      <w:pPr>
        <w:keepNext/>
        <w:keepLines w:val="0"/>
        <w:pageBreakBefore w:val="0"/>
        <w:widowControl w:val="0"/>
        <w:kinsoku/>
        <w:wordWrap/>
        <w:overflowPunct/>
        <w:topLinePunct w:val="0"/>
        <w:autoSpaceDE/>
        <w:autoSpaceDN/>
        <w:bidi w:val="0"/>
        <w:adjustRightInd w:val="0"/>
        <w:snapToGrid w:val="0"/>
        <w:spacing w:line="360" w:lineRule="auto"/>
        <w:textAlignment w:val="auto"/>
        <w:rPr>
          <w:rFonts w:ascii="Times New Roman" w:hAnsi="Times New Roman" w:eastAsia="仿宋_GB2312"/>
          <w:b/>
          <w:bCs/>
          <w:sz w:val="24"/>
        </w:rPr>
      </w:pPr>
      <w:r>
        <w:rPr>
          <w:rFonts w:ascii="Times New Roman" w:hAnsi="Times New Roman" w:eastAsia="仿宋_GB2312"/>
          <w:b/>
          <w:bCs/>
          <w:sz w:val="24"/>
        </w:rPr>
        <w:t>4、</w:t>
      </w:r>
      <w:r>
        <w:rPr>
          <w:rFonts w:hint="eastAsia" w:ascii="Times New Roman" w:hAnsi="Times New Roman" w:eastAsia="仿宋_GB2312"/>
          <w:b/>
          <w:bCs/>
          <w:sz w:val="24"/>
          <w:lang w:val="en-US" w:eastAsia="zh-CN"/>
        </w:rPr>
        <w:t>其它</w:t>
      </w:r>
      <w:r>
        <w:rPr>
          <w:rFonts w:ascii="Times New Roman" w:hAnsi="Times New Roman" w:eastAsia="仿宋_GB2312"/>
          <w:b/>
          <w:bCs/>
          <w:sz w:val="24"/>
        </w:rPr>
        <w:t>技术</w:t>
      </w:r>
      <w:r>
        <w:rPr>
          <w:rFonts w:hint="eastAsia" w:ascii="Times New Roman" w:hAnsi="Times New Roman" w:eastAsia="仿宋_GB2312"/>
          <w:b/>
          <w:bCs/>
          <w:sz w:val="24"/>
          <w:lang w:val="en-US" w:eastAsia="zh-CN"/>
        </w:rPr>
        <w:t>服务</w:t>
      </w:r>
      <w:r>
        <w:rPr>
          <w:rFonts w:ascii="Times New Roman" w:hAnsi="Times New Roman" w:eastAsia="仿宋_GB2312"/>
          <w:b/>
          <w:bCs/>
          <w:sz w:val="24"/>
        </w:rPr>
        <w:t>要求</w:t>
      </w:r>
    </w:p>
    <w:p w14:paraId="653880FF">
      <w:pPr>
        <w:adjustRightInd w:val="0"/>
        <w:snapToGrid w:val="0"/>
        <w:spacing w:line="360" w:lineRule="auto"/>
        <w:ind w:firstLine="422" w:firstLineChars="176"/>
        <w:rPr>
          <w:rFonts w:hint="default" w:ascii="Times New Roman" w:hAnsi="Times New Roman" w:eastAsia="仿宋"/>
          <w:sz w:val="24"/>
          <w:lang w:val="en-US" w:eastAsia="zh-CN"/>
        </w:rPr>
      </w:pPr>
      <w:r>
        <w:rPr>
          <w:rFonts w:hint="eastAsia" w:ascii="Times New Roman" w:hAnsi="Times New Roman" w:eastAsia="仿宋"/>
          <w:sz w:val="24"/>
          <w:lang w:val="en-US" w:eastAsia="zh-CN"/>
        </w:rPr>
        <w:t>（1）质保期：项目质保期为1年，质保起始时间以项目竣工验收交付日期为准。</w:t>
      </w:r>
    </w:p>
    <w:p w14:paraId="26EE5AA7">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（2）技术报告编制。开展内业数据编辑整理及报告编制。报告提供道路结构物形变情况和风险分级结果等信息，便于相关部门分析和决策。成果可选择以电子版（docx 格式）或纸质版形式提供（含打印费）。月度报告，2026年6月-12月每月提供1期，共7期，年度提供年度总结报告1份。</w:t>
      </w:r>
    </w:p>
    <w:p w14:paraId="0D695C7B">
      <w:pPr>
        <w:adjustRightInd w:val="0"/>
        <w:snapToGrid w:val="0"/>
        <w:spacing w:line="360" w:lineRule="auto"/>
        <w:ind w:firstLine="422" w:firstLineChars="176"/>
        <w:rPr>
          <w:rFonts w:hint="eastAsia" w:ascii="Times New Roman" w:hAnsi="Times New Roman" w:eastAsia="仿宋"/>
          <w:sz w:val="24"/>
          <w:lang w:val="en-US" w:eastAsia="zh-CN"/>
        </w:rPr>
      </w:pPr>
      <w:r>
        <w:rPr>
          <w:rFonts w:hint="eastAsia" w:ascii="Times New Roman" w:hAnsi="Times New Roman" w:eastAsia="仿宋"/>
          <w:sz w:val="24"/>
          <w:lang w:val="en-US" w:eastAsia="zh-CN"/>
        </w:rPr>
        <w:t>（3）需求变更约定。项目履约期间，若甲方在实际业务使用过程中产生新增需求或原有需求调整变更，乙方须主动、积极配合甲方开展平台功能、算法模型的迭代优化工作，全程完成需求对接、方案设计、开发实施、调试上线全流程，保障新增需求及变更需求落地可用。</w:t>
      </w:r>
    </w:p>
    <w:p w14:paraId="26EE5AAB">
      <w:pPr>
        <w:adjustRightInd w:val="0"/>
        <w:snapToGrid w:val="0"/>
        <w:spacing w:line="360" w:lineRule="auto"/>
        <w:ind w:firstLine="422" w:firstLineChars="176"/>
        <w:rPr>
          <w:rFonts w:ascii="Times New Roman" w:hAnsi="Times New Roman" w:eastAsia="仿宋"/>
          <w:b/>
          <w:kern w:val="0"/>
          <w:sz w:val="32"/>
          <w:szCs w:val="32"/>
        </w:rPr>
      </w:pPr>
      <w:r>
        <w:rPr>
          <w:rFonts w:hint="eastAsia" w:ascii="Times New Roman" w:hAnsi="Times New Roman" w:eastAsia="仿宋"/>
          <w:sz w:val="24"/>
          <w:lang w:val="en-US" w:eastAsia="zh-CN"/>
        </w:rPr>
        <w:t>（4）乙方应于项目验收通过后10个工作日内向甲方交付项目全套完整可运行源代码，核心内容双方可协商。源码无加密、无缺失，甲方享有合同约定的源码使用、修改、二次开发权利。乙方逾期或交付不完整源码的，承担本合同约定违约责任。</w:t>
      </w:r>
      <w:r>
        <w:rPr>
          <w:rFonts w:hint="eastAsia" w:ascii="Times New Roman" w:hAnsi="Times New Roman" w:eastAsia="仿宋"/>
          <w:sz w:val="24"/>
          <w:lang w:val="en-US" w:eastAsia="zh-CN"/>
        </w:rPr>
        <w:br w:type="page"/>
      </w:r>
      <w:r>
        <w:rPr>
          <w:rFonts w:ascii="Times New Roman" w:hAnsi="Times New Roman" w:eastAsia="仿宋"/>
          <w:b/>
          <w:kern w:val="0"/>
          <w:sz w:val="32"/>
          <w:szCs w:val="32"/>
        </w:rPr>
        <w:t>附件二：具体价格清单</w:t>
      </w:r>
    </w:p>
    <w:tbl>
      <w:tblPr>
        <w:tblStyle w:val="16"/>
        <w:tblW w:w="512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593"/>
        <w:gridCol w:w="3213"/>
        <w:gridCol w:w="524"/>
        <w:gridCol w:w="478"/>
        <w:gridCol w:w="1221"/>
        <w:gridCol w:w="890"/>
        <w:gridCol w:w="987"/>
      </w:tblGrid>
      <w:tr w14:paraId="5CBBE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blHeader/>
          <w:jc w:val="center"/>
        </w:trPr>
        <w:tc>
          <w:tcPr>
            <w:tcW w:w="282" w:type="pct"/>
            <w:vAlign w:val="center"/>
          </w:tcPr>
          <w:p w14:paraId="12EBD80F">
            <w:pPr>
              <w:pStyle w:val="14"/>
              <w:adjustRightInd w:val="0"/>
              <w:snapToGrid w:val="0"/>
              <w:spacing w:before="0" w:beforeAutospacing="0" w:after="0" w:afterAutospacing="0"/>
              <w:jc w:val="center"/>
              <w:rPr>
                <w:rFonts w:ascii="Times New Roman" w:hAnsi="Times New Roman" w:eastAsia="仿宋"/>
                <w:b/>
              </w:rPr>
            </w:pPr>
            <w:r>
              <w:rPr>
                <w:rFonts w:hint="eastAsia" w:ascii="Times New Roman" w:hAnsi="Times New Roman" w:eastAsia="仿宋"/>
                <w:b/>
              </w:rPr>
              <w:t>序号</w:t>
            </w:r>
          </w:p>
        </w:tc>
        <w:tc>
          <w:tcPr>
            <w:tcW w:w="843" w:type="pct"/>
            <w:vAlign w:val="center"/>
          </w:tcPr>
          <w:p w14:paraId="6399EBCC">
            <w:pPr>
              <w:pStyle w:val="14"/>
              <w:adjustRightInd w:val="0"/>
              <w:snapToGrid w:val="0"/>
              <w:spacing w:before="0" w:beforeAutospacing="0" w:after="0" w:afterAutospacing="0"/>
              <w:jc w:val="center"/>
              <w:rPr>
                <w:rFonts w:ascii="Times New Roman" w:hAnsi="Times New Roman" w:eastAsia="仿宋"/>
                <w:b/>
              </w:rPr>
            </w:pPr>
            <w:r>
              <w:rPr>
                <w:rFonts w:hint="eastAsia" w:ascii="Times New Roman" w:hAnsi="Times New Roman" w:eastAsia="仿宋"/>
                <w:b/>
              </w:rPr>
              <w:t>工作内容</w:t>
            </w:r>
          </w:p>
        </w:tc>
        <w:tc>
          <w:tcPr>
            <w:tcW w:w="1701" w:type="pct"/>
            <w:vAlign w:val="center"/>
          </w:tcPr>
          <w:p w14:paraId="3DE88C2D">
            <w:pPr>
              <w:pStyle w:val="14"/>
              <w:adjustRightInd w:val="0"/>
              <w:snapToGrid w:val="0"/>
              <w:spacing w:before="0" w:beforeAutospacing="0" w:after="0" w:afterAutospacing="0"/>
              <w:jc w:val="center"/>
              <w:rPr>
                <w:rFonts w:ascii="Times New Roman" w:hAnsi="Times New Roman" w:eastAsia="仿宋"/>
                <w:b/>
              </w:rPr>
            </w:pPr>
            <w:r>
              <w:rPr>
                <w:rFonts w:hint="eastAsia" w:ascii="Times New Roman" w:hAnsi="Times New Roman" w:eastAsia="仿宋"/>
                <w:b/>
              </w:rPr>
              <w:t>服务内容</w:t>
            </w:r>
          </w:p>
        </w:tc>
        <w:tc>
          <w:tcPr>
            <w:tcW w:w="277" w:type="pct"/>
            <w:vAlign w:val="center"/>
          </w:tcPr>
          <w:p w14:paraId="29A03C94">
            <w:pPr>
              <w:pStyle w:val="14"/>
              <w:adjustRightInd w:val="0"/>
              <w:snapToGrid w:val="0"/>
              <w:spacing w:before="0" w:beforeAutospacing="0" w:after="0" w:afterAutospacing="0"/>
              <w:jc w:val="center"/>
              <w:rPr>
                <w:rFonts w:ascii="Times New Roman" w:hAnsi="Times New Roman" w:eastAsia="仿宋"/>
                <w:b/>
              </w:rPr>
            </w:pPr>
            <w:r>
              <w:rPr>
                <w:rFonts w:hint="eastAsia" w:ascii="Times New Roman" w:hAnsi="Times New Roman" w:eastAsia="仿宋"/>
                <w:b/>
              </w:rPr>
              <w:t>单位</w:t>
            </w:r>
          </w:p>
        </w:tc>
        <w:tc>
          <w:tcPr>
            <w:tcW w:w="253" w:type="pct"/>
            <w:vAlign w:val="center"/>
          </w:tcPr>
          <w:p w14:paraId="606E671E">
            <w:pPr>
              <w:pStyle w:val="14"/>
              <w:adjustRightInd w:val="0"/>
              <w:snapToGrid w:val="0"/>
              <w:spacing w:before="0" w:beforeAutospacing="0" w:after="0" w:afterAutospacing="0"/>
              <w:jc w:val="center"/>
              <w:rPr>
                <w:rFonts w:ascii="Times New Roman" w:hAnsi="Times New Roman" w:eastAsia="仿宋"/>
                <w:b/>
              </w:rPr>
            </w:pPr>
            <w:r>
              <w:rPr>
                <w:rFonts w:hint="eastAsia" w:ascii="Times New Roman" w:hAnsi="Times New Roman" w:eastAsia="仿宋"/>
                <w:b/>
              </w:rPr>
              <w:t>数量</w:t>
            </w:r>
          </w:p>
        </w:tc>
        <w:tc>
          <w:tcPr>
            <w:tcW w:w="646" w:type="pct"/>
            <w:vAlign w:val="center"/>
          </w:tcPr>
          <w:p w14:paraId="4206D779">
            <w:pPr>
              <w:pStyle w:val="14"/>
              <w:adjustRightInd w:val="0"/>
              <w:snapToGrid w:val="0"/>
              <w:spacing w:before="0" w:beforeAutospacing="0" w:after="0" w:afterAutospacing="0"/>
              <w:jc w:val="center"/>
              <w:rPr>
                <w:rFonts w:ascii="Times New Roman" w:hAnsi="Times New Roman" w:eastAsia="仿宋"/>
                <w:b/>
              </w:rPr>
            </w:pPr>
            <w:r>
              <w:rPr>
                <w:rFonts w:hint="eastAsia" w:ascii="Times New Roman" w:hAnsi="Times New Roman" w:eastAsia="仿宋"/>
                <w:b/>
              </w:rPr>
              <w:t>含税单价</w:t>
            </w:r>
          </w:p>
          <w:p w14:paraId="5A19D9ED">
            <w:pPr>
              <w:pStyle w:val="14"/>
              <w:adjustRightInd w:val="0"/>
              <w:snapToGrid w:val="0"/>
              <w:spacing w:before="0" w:beforeAutospacing="0" w:after="0" w:afterAutospacing="0"/>
              <w:jc w:val="center"/>
              <w:rPr>
                <w:rFonts w:ascii="Times New Roman" w:hAnsi="Times New Roman" w:eastAsia="仿宋"/>
                <w:b/>
              </w:rPr>
            </w:pPr>
            <w:r>
              <w:rPr>
                <w:rFonts w:hint="eastAsia" w:ascii="Times New Roman" w:hAnsi="Times New Roman" w:eastAsia="仿宋"/>
                <w:b/>
              </w:rPr>
              <w:t>（元）</w:t>
            </w:r>
          </w:p>
        </w:tc>
        <w:tc>
          <w:tcPr>
            <w:tcW w:w="471" w:type="pct"/>
            <w:vAlign w:val="center"/>
          </w:tcPr>
          <w:p w14:paraId="35AC6996">
            <w:pPr>
              <w:pStyle w:val="14"/>
              <w:adjustRightInd w:val="0"/>
              <w:snapToGrid w:val="0"/>
              <w:spacing w:before="0" w:beforeAutospacing="0" w:after="0" w:afterAutospacing="0"/>
              <w:jc w:val="center"/>
              <w:rPr>
                <w:rFonts w:ascii="Times New Roman" w:hAnsi="Times New Roman" w:eastAsia="仿宋"/>
                <w:b/>
              </w:rPr>
            </w:pPr>
            <w:r>
              <w:rPr>
                <w:rFonts w:hint="eastAsia" w:ascii="Times New Roman" w:hAnsi="Times New Roman" w:eastAsia="仿宋"/>
                <w:b/>
              </w:rPr>
              <w:t>税率（%）</w:t>
            </w:r>
          </w:p>
        </w:tc>
        <w:tc>
          <w:tcPr>
            <w:tcW w:w="522" w:type="pct"/>
            <w:vAlign w:val="center"/>
          </w:tcPr>
          <w:p w14:paraId="138021CC">
            <w:pPr>
              <w:pStyle w:val="14"/>
              <w:adjustRightInd w:val="0"/>
              <w:snapToGrid w:val="0"/>
              <w:spacing w:before="0" w:beforeAutospacing="0" w:after="0" w:afterAutospacing="0"/>
              <w:jc w:val="center"/>
              <w:rPr>
                <w:rFonts w:ascii="Times New Roman" w:hAnsi="Times New Roman" w:eastAsia="仿宋"/>
                <w:b/>
              </w:rPr>
            </w:pPr>
            <w:r>
              <w:rPr>
                <w:rFonts w:hint="eastAsia" w:ascii="Times New Roman" w:hAnsi="Times New Roman" w:eastAsia="仿宋"/>
                <w:b/>
              </w:rPr>
              <w:t>小计</w:t>
            </w:r>
          </w:p>
          <w:p w14:paraId="34A314BC">
            <w:pPr>
              <w:pStyle w:val="14"/>
              <w:adjustRightInd w:val="0"/>
              <w:snapToGrid w:val="0"/>
              <w:spacing w:before="0" w:beforeAutospacing="0" w:after="0" w:afterAutospacing="0"/>
              <w:jc w:val="center"/>
              <w:rPr>
                <w:rFonts w:ascii="Times New Roman" w:hAnsi="Times New Roman" w:eastAsia="仿宋"/>
                <w:b/>
              </w:rPr>
            </w:pPr>
            <w:r>
              <w:rPr>
                <w:rFonts w:hint="eastAsia" w:ascii="Times New Roman" w:hAnsi="Times New Roman" w:eastAsia="仿宋"/>
                <w:b/>
              </w:rPr>
              <w:t>（元）</w:t>
            </w:r>
          </w:p>
        </w:tc>
      </w:tr>
      <w:tr w14:paraId="6AAD0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282" w:type="pct"/>
            <w:vAlign w:val="center"/>
          </w:tcPr>
          <w:p w14:paraId="0A34053D">
            <w:pPr>
              <w:pStyle w:val="14"/>
              <w:adjustRightInd w:val="0"/>
              <w:snapToGrid w:val="0"/>
              <w:spacing w:before="0" w:beforeAutospacing="0" w:after="0" w:afterAutospacing="0"/>
              <w:jc w:val="center"/>
              <w:rPr>
                <w:rFonts w:ascii="Times New Roman" w:hAnsi="Times New Roman" w:eastAsia="仿宋"/>
              </w:rPr>
            </w:pPr>
            <w:r>
              <w:rPr>
                <w:rFonts w:hint="eastAsia" w:ascii="Times New Roman" w:hAnsi="Times New Roman" w:eastAsia="仿宋"/>
              </w:rPr>
              <w:t>1</w:t>
            </w:r>
          </w:p>
        </w:tc>
        <w:tc>
          <w:tcPr>
            <w:tcW w:w="843" w:type="pct"/>
            <w:vAlign w:val="center"/>
          </w:tcPr>
          <w:p w14:paraId="32A26C6F">
            <w:pPr>
              <w:pStyle w:val="14"/>
              <w:adjustRightInd w:val="0"/>
              <w:snapToGrid w:val="0"/>
              <w:spacing w:before="0" w:beforeAutospacing="0" w:after="0" w:afterAutospacing="0"/>
              <w:jc w:val="both"/>
              <w:rPr>
                <w:rFonts w:hint="default" w:ascii="Times New Roman" w:hAnsi="Times New Roman" w:eastAsia="仿宋_GB2312"/>
                <w:bCs/>
                <w:highlight w:val="yellow"/>
                <w:lang w:val="en-US" w:eastAsia="zh-CN"/>
              </w:rPr>
            </w:pPr>
            <w:r>
              <w:rPr>
                <w:rFonts w:ascii="Times New Roman" w:hAnsi="Times New Roman" w:eastAsia="仿宋"/>
                <w:b/>
              </w:rPr>
              <w:t>里程碑</w:t>
            </w:r>
            <w:r>
              <w:rPr>
                <w:rFonts w:hint="eastAsia" w:ascii="Times New Roman" w:hAnsi="Times New Roman" w:eastAsia="仿宋"/>
                <w:b/>
              </w:rPr>
              <w:t>1</w:t>
            </w:r>
            <w:r>
              <w:rPr>
                <w:rFonts w:ascii="Times New Roman" w:hAnsi="Times New Roman" w:eastAsia="仿宋"/>
                <w:b/>
              </w:rPr>
              <w:t>：</w:t>
            </w:r>
            <w:r>
              <w:rPr>
                <w:rFonts w:hint="eastAsia" w:ascii="Times New Roman" w:hAnsi="Times New Roman" w:eastAsia="仿宋_GB2312"/>
                <w:bCs/>
              </w:rPr>
              <w:t>重庆</w:t>
            </w:r>
            <w:r>
              <w:rPr>
                <w:rFonts w:hint="eastAsia" w:ascii="Times New Roman" w:hAnsi="Times New Roman" w:eastAsia="仿宋_GB2312"/>
                <w:bCs/>
                <w:lang w:val="en-US" w:eastAsia="zh-CN"/>
              </w:rPr>
              <w:t>奉溪</w:t>
            </w:r>
            <w:r>
              <w:rPr>
                <w:rFonts w:hint="eastAsia" w:ascii="Times New Roman" w:hAnsi="Times New Roman" w:eastAsia="仿宋_GB2312"/>
                <w:bCs/>
              </w:rPr>
              <w:t>高速公路</w:t>
            </w:r>
            <w:r>
              <w:rPr>
                <w:rFonts w:hint="eastAsia" w:ascii="Times New Roman" w:hAnsi="Times New Roman" w:eastAsia="仿宋_GB2312"/>
                <w:bCs/>
                <w:lang w:val="en-US" w:eastAsia="zh-CN"/>
              </w:rPr>
              <w:t>42</w:t>
            </w:r>
            <w:r>
              <w:rPr>
                <w:rFonts w:hint="eastAsia" w:ascii="Times New Roman" w:hAnsi="Times New Roman" w:eastAsia="仿宋_GB2312"/>
                <w:bCs/>
              </w:rPr>
              <w:t>公里</w:t>
            </w:r>
            <w:r>
              <w:rPr>
                <w:rFonts w:hint="eastAsia" w:ascii="Times New Roman" w:hAnsi="Times New Roman" w:eastAsia="仿宋_GB2312"/>
                <w:bCs/>
                <w:lang w:eastAsia="zh-CN"/>
              </w:rPr>
              <w:t>、</w:t>
            </w:r>
            <w:r>
              <w:rPr>
                <w:rFonts w:hint="eastAsia" w:ascii="Times New Roman" w:hAnsi="Times New Roman" w:eastAsia="仿宋_GB2312"/>
                <w:bCs/>
                <w:lang w:val="en-US" w:eastAsia="zh-CN"/>
              </w:rPr>
              <w:t>绕城高速10公里两端路的SAR数据及光学遥感影像数据获取</w:t>
            </w:r>
          </w:p>
        </w:tc>
        <w:tc>
          <w:tcPr>
            <w:tcW w:w="1701" w:type="pct"/>
            <w:vAlign w:val="center"/>
          </w:tcPr>
          <w:p w14:paraId="76C5E9D6">
            <w:pPr>
              <w:pStyle w:val="14"/>
              <w:keepNext w:val="0"/>
              <w:keepLines w:val="0"/>
              <w:pageBreakBefore w:val="0"/>
              <w:widowControl/>
              <w:numPr>
                <w:ilvl w:val="0"/>
                <w:numId w:val="3"/>
              </w:numPr>
              <w:kinsoku/>
              <w:wordWrap/>
              <w:overflowPunct/>
              <w:topLinePunct w:val="0"/>
              <w:autoSpaceDE/>
              <w:autoSpaceDN/>
              <w:bidi w:val="0"/>
              <w:adjustRightInd w:val="0"/>
              <w:snapToGrid w:val="0"/>
              <w:spacing w:before="0" w:beforeAutospacing="0" w:after="0" w:afterAutospacing="0"/>
              <w:ind w:left="0" w:leftChars="0" w:firstLine="0" w:firstLineChars="0"/>
              <w:jc w:val="both"/>
              <w:textAlignment w:val="auto"/>
              <w:rPr>
                <w:rFonts w:ascii="Times New Roman" w:hAnsi="Times New Roman" w:eastAsia="仿宋"/>
                <w:lang w:bidi="ar"/>
              </w:rPr>
            </w:pPr>
            <w:r>
              <w:rPr>
                <w:rFonts w:hint="eastAsia" w:ascii="Times New Roman" w:hAnsi="Times New Roman" w:eastAsia="仿宋"/>
                <w:lang w:bidi="ar"/>
              </w:rPr>
              <w:t>1:5万DEM数据</w:t>
            </w:r>
            <w:r>
              <w:rPr>
                <w:rFonts w:hint="eastAsia" w:ascii="Times New Roman" w:hAnsi="Times New Roman" w:eastAsia="仿宋"/>
                <w:lang w:val="en-US" w:eastAsia="zh-CN" w:bidi="ar"/>
              </w:rPr>
              <w:t>1次：</w:t>
            </w:r>
            <w:r>
              <w:rPr>
                <w:rFonts w:hint="eastAsia" w:ascii="Times New Roman" w:hAnsi="Times New Roman" w:eastAsia="仿宋"/>
                <w:lang w:bidi="ar"/>
              </w:rPr>
              <w:t>“.tiff”格式栅格数据。InSAR处理时</w:t>
            </w:r>
            <w:r>
              <w:rPr>
                <w:rFonts w:hint="eastAsia" w:ascii="Times New Roman" w:hAnsi="Times New Roman" w:eastAsia="仿宋"/>
                <w:lang w:eastAsia="zh-CN" w:bidi="ar"/>
              </w:rPr>
              <w:t>，</w:t>
            </w:r>
            <w:r>
              <w:rPr>
                <w:rFonts w:hint="eastAsia" w:ascii="Times New Roman" w:hAnsi="Times New Roman" w:eastAsia="仿宋"/>
                <w:lang w:bidi="ar"/>
              </w:rPr>
              <w:t>DEM用于模拟并剥离地形引起的相位贡献，从而提取出地表形变信息。</w:t>
            </w:r>
          </w:p>
          <w:p w14:paraId="1A49C23A">
            <w:pPr>
              <w:pStyle w:val="14"/>
              <w:keepNext w:val="0"/>
              <w:keepLines w:val="0"/>
              <w:pageBreakBefore w:val="0"/>
              <w:widowControl/>
              <w:numPr>
                <w:ilvl w:val="0"/>
                <w:numId w:val="3"/>
              </w:numPr>
              <w:kinsoku/>
              <w:wordWrap/>
              <w:overflowPunct/>
              <w:topLinePunct w:val="0"/>
              <w:autoSpaceDE/>
              <w:autoSpaceDN/>
              <w:bidi w:val="0"/>
              <w:adjustRightInd w:val="0"/>
              <w:snapToGrid w:val="0"/>
              <w:spacing w:before="0" w:beforeAutospacing="0" w:after="0" w:afterAutospacing="0"/>
              <w:ind w:left="0" w:leftChars="0" w:firstLine="0" w:firstLineChars="0"/>
              <w:jc w:val="both"/>
              <w:textAlignment w:val="auto"/>
              <w:rPr>
                <w:rFonts w:ascii="Times New Roman" w:hAnsi="Times New Roman" w:eastAsia="仿宋"/>
                <w:lang w:bidi="ar"/>
              </w:rPr>
            </w:pPr>
            <w:r>
              <w:rPr>
                <w:rFonts w:hint="eastAsia" w:ascii="Times New Roman" w:hAnsi="Times New Roman" w:eastAsia="仿宋"/>
                <w:lang w:bidi="ar"/>
              </w:rPr>
              <w:t>奉溪高速</w:t>
            </w:r>
            <w:r>
              <w:rPr>
                <w:rFonts w:hint="eastAsia" w:ascii="Times New Roman" w:hAnsi="Times New Roman" w:eastAsia="仿宋"/>
                <w:lang w:eastAsia="zh-CN" w:bidi="ar"/>
              </w:rPr>
              <w:t>（</w:t>
            </w:r>
            <w:r>
              <w:rPr>
                <w:rFonts w:hint="eastAsia" w:ascii="Times New Roman" w:hAnsi="Times New Roman" w:eastAsia="仿宋"/>
                <w:lang w:bidi="ar"/>
              </w:rPr>
              <w:t>42公里）L 波段SAR数据</w:t>
            </w:r>
            <w:r>
              <w:rPr>
                <w:rFonts w:hint="eastAsia" w:ascii="Times New Roman" w:hAnsi="Times New Roman" w:eastAsia="仿宋"/>
                <w:lang w:val="en-US" w:eastAsia="zh-CN" w:bidi="ar"/>
              </w:rPr>
              <w:t>46景</w:t>
            </w:r>
            <w:r>
              <w:rPr>
                <w:rFonts w:hint="eastAsia" w:ascii="Times New Roman" w:hAnsi="Times New Roman" w:eastAsia="仿宋"/>
                <w:lang w:eastAsia="zh-CN" w:bidi="ar"/>
              </w:rPr>
              <w:t>：</w:t>
            </w:r>
            <w:r>
              <w:rPr>
                <w:rFonts w:hint="eastAsia" w:ascii="Times New Roman" w:hAnsi="Times New Roman" w:eastAsia="仿宋"/>
                <w:lang w:bidi="ar"/>
              </w:rPr>
              <w:t>SLC 单视复数数据。采用商业 L波段SAR数据，分辨率 3米。时间序列为2023年8月~2026年12月，</w:t>
            </w:r>
            <w:r>
              <w:rPr>
                <w:rFonts w:hint="eastAsia" w:ascii="Times New Roman" w:hAnsi="Times New Roman" w:eastAsia="仿宋"/>
                <w:lang w:val="en-US" w:eastAsia="zh-CN" w:bidi="ar"/>
              </w:rPr>
              <w:t>其中20</w:t>
            </w:r>
            <w:r>
              <w:rPr>
                <w:rFonts w:hint="eastAsia" w:ascii="Times New Roman" w:hAnsi="Times New Roman" w:eastAsia="仿宋"/>
                <w:lang w:bidi="ar"/>
              </w:rPr>
              <w:t>26年6、7、8月汛期2次/月，共计46景，如因拍摄原因</w:t>
            </w:r>
            <w:r>
              <w:rPr>
                <w:rFonts w:hint="eastAsia" w:ascii="Times New Roman" w:hAnsi="Times New Roman" w:eastAsia="仿宋"/>
                <w:lang w:val="en-US" w:eastAsia="zh-CN" w:bidi="ar"/>
              </w:rPr>
              <w:t>20</w:t>
            </w:r>
            <w:r>
              <w:rPr>
                <w:rFonts w:hint="eastAsia" w:ascii="Times New Roman" w:hAnsi="Times New Roman" w:eastAsia="仿宋"/>
                <w:lang w:bidi="ar"/>
              </w:rPr>
              <w:t>26年12月未达到46景，则顺延，直至46景交付。</w:t>
            </w:r>
          </w:p>
          <w:p w14:paraId="7D603E1A">
            <w:pPr>
              <w:pStyle w:val="14"/>
              <w:keepNext w:val="0"/>
              <w:keepLines w:val="0"/>
              <w:pageBreakBefore w:val="0"/>
              <w:widowControl/>
              <w:numPr>
                <w:ilvl w:val="0"/>
                <w:numId w:val="3"/>
              </w:numPr>
              <w:kinsoku/>
              <w:wordWrap/>
              <w:overflowPunct/>
              <w:topLinePunct w:val="0"/>
              <w:autoSpaceDE/>
              <w:autoSpaceDN/>
              <w:bidi w:val="0"/>
              <w:adjustRightInd w:val="0"/>
              <w:snapToGrid w:val="0"/>
              <w:spacing w:before="0" w:beforeAutospacing="0" w:after="0" w:afterAutospacing="0"/>
              <w:ind w:left="0" w:leftChars="0" w:firstLine="0" w:firstLineChars="0"/>
              <w:jc w:val="both"/>
              <w:textAlignment w:val="auto"/>
              <w:rPr>
                <w:rFonts w:hint="eastAsia" w:ascii="Times New Roman" w:hAnsi="Times New Roman" w:eastAsia="仿宋"/>
                <w:lang w:eastAsia="zh-CN" w:bidi="ar"/>
              </w:rPr>
            </w:pPr>
            <w:r>
              <w:rPr>
                <w:rFonts w:hint="eastAsia" w:ascii="Times New Roman" w:hAnsi="Times New Roman" w:eastAsia="仿宋"/>
                <w:lang w:bidi="ar"/>
              </w:rPr>
              <w:t>奉溪高速</w:t>
            </w:r>
            <w:r>
              <w:rPr>
                <w:rFonts w:hint="eastAsia" w:ascii="Times New Roman" w:hAnsi="Times New Roman" w:eastAsia="仿宋"/>
                <w:lang w:eastAsia="zh-CN" w:bidi="ar"/>
              </w:rPr>
              <w:t>（</w:t>
            </w:r>
            <w:r>
              <w:rPr>
                <w:rFonts w:hint="eastAsia" w:ascii="Times New Roman" w:hAnsi="Times New Roman" w:eastAsia="仿宋"/>
                <w:lang w:bidi="ar"/>
              </w:rPr>
              <w:t>42公里）光学遥感影像</w:t>
            </w:r>
            <w:r>
              <w:rPr>
                <w:rFonts w:hint="eastAsia" w:ascii="Times New Roman" w:hAnsi="Times New Roman" w:eastAsia="仿宋"/>
                <w:lang w:eastAsia="zh-CN" w:bidi="ar"/>
              </w:rPr>
              <w:t>：“.tiff”格式栅格数据。0.5m编程数据，L5 级正射产品。</w:t>
            </w:r>
          </w:p>
          <w:p w14:paraId="54073CBA">
            <w:pPr>
              <w:pStyle w:val="14"/>
              <w:keepNext w:val="0"/>
              <w:keepLines w:val="0"/>
              <w:pageBreakBefore w:val="0"/>
              <w:widowControl/>
              <w:numPr>
                <w:ilvl w:val="0"/>
                <w:numId w:val="3"/>
              </w:numPr>
              <w:kinsoku/>
              <w:wordWrap/>
              <w:overflowPunct/>
              <w:topLinePunct w:val="0"/>
              <w:autoSpaceDE/>
              <w:autoSpaceDN/>
              <w:bidi w:val="0"/>
              <w:adjustRightInd w:val="0"/>
              <w:snapToGrid w:val="0"/>
              <w:spacing w:before="0" w:beforeAutospacing="0" w:after="0" w:afterAutospacing="0"/>
              <w:ind w:left="0" w:leftChars="0" w:firstLine="0" w:firstLineChars="0"/>
              <w:jc w:val="both"/>
              <w:textAlignment w:val="auto"/>
              <w:rPr>
                <w:rFonts w:hint="default" w:ascii="Times New Roman" w:hAnsi="Times New Roman" w:eastAsia="仿宋"/>
                <w:lang w:val="en-US" w:eastAsia="zh-CN" w:bidi="ar"/>
              </w:rPr>
            </w:pPr>
            <w:r>
              <w:rPr>
                <w:rFonts w:hint="eastAsia" w:ascii="Times New Roman" w:hAnsi="Times New Roman" w:eastAsia="仿宋"/>
                <w:lang w:val="en-US" w:eastAsia="zh-CN" w:bidi="ar"/>
              </w:rPr>
              <w:t>绕城高速（10公里）光学遥感影像1期、C波段SAR数据56景。</w:t>
            </w:r>
          </w:p>
        </w:tc>
        <w:tc>
          <w:tcPr>
            <w:tcW w:w="277" w:type="pct"/>
            <w:vAlign w:val="center"/>
          </w:tcPr>
          <w:p w14:paraId="0EDB0178">
            <w:pPr>
              <w:pStyle w:val="14"/>
              <w:adjustRightInd w:val="0"/>
              <w:snapToGrid w:val="0"/>
              <w:spacing w:before="0" w:beforeAutospacing="0" w:after="0" w:afterAutospacing="0"/>
              <w:jc w:val="center"/>
              <w:rPr>
                <w:rFonts w:ascii="Times New Roman" w:hAnsi="Times New Roman" w:eastAsia="仿宋"/>
              </w:rPr>
            </w:pPr>
            <w:r>
              <w:rPr>
                <w:rFonts w:hint="eastAsia" w:ascii="Times New Roman" w:hAnsi="Times New Roman" w:eastAsia="仿宋"/>
              </w:rPr>
              <w:t>套</w:t>
            </w:r>
          </w:p>
        </w:tc>
        <w:tc>
          <w:tcPr>
            <w:tcW w:w="253" w:type="pct"/>
            <w:vAlign w:val="center"/>
          </w:tcPr>
          <w:p w14:paraId="6073B330">
            <w:pPr>
              <w:pStyle w:val="14"/>
              <w:adjustRightInd w:val="0"/>
              <w:snapToGrid w:val="0"/>
              <w:spacing w:before="0" w:beforeAutospacing="0" w:after="0" w:afterAutospacing="0"/>
              <w:jc w:val="center"/>
              <w:rPr>
                <w:rFonts w:ascii="Times New Roman" w:hAnsi="Times New Roman" w:eastAsia="仿宋"/>
              </w:rPr>
            </w:pPr>
            <w:r>
              <w:rPr>
                <w:rFonts w:hint="eastAsia" w:ascii="Times New Roman" w:hAnsi="Times New Roman" w:eastAsia="仿宋"/>
              </w:rPr>
              <w:t>1</w:t>
            </w:r>
          </w:p>
        </w:tc>
        <w:tc>
          <w:tcPr>
            <w:tcW w:w="646" w:type="pct"/>
            <w:shd w:val="clear" w:color="auto" w:fill="auto"/>
            <w:vAlign w:val="center"/>
          </w:tcPr>
          <w:p w14:paraId="5FF5B38A">
            <w:pPr>
              <w:pStyle w:val="14"/>
              <w:adjustRightInd w:val="0"/>
              <w:snapToGrid w:val="0"/>
              <w:spacing w:before="0" w:beforeAutospacing="0" w:after="0" w:afterAutospacing="0"/>
              <w:jc w:val="center"/>
              <w:rPr>
                <w:rFonts w:hint="default" w:ascii="Times New Roman" w:hAnsi="Times New Roman" w:eastAsia="宋体" w:cs="等线"/>
                <w:kern w:val="0"/>
                <w:sz w:val="24"/>
                <w:szCs w:val="24"/>
                <w:lang w:val="en-US" w:eastAsia="zh-CN" w:bidi="ar-SA"/>
              </w:rPr>
            </w:pPr>
          </w:p>
        </w:tc>
        <w:tc>
          <w:tcPr>
            <w:tcW w:w="471" w:type="pct"/>
            <w:shd w:val="clear" w:color="auto" w:fill="auto"/>
            <w:vAlign w:val="center"/>
          </w:tcPr>
          <w:p w14:paraId="4D2C67D9">
            <w:pPr>
              <w:pStyle w:val="14"/>
              <w:adjustRightInd w:val="0"/>
              <w:snapToGrid w:val="0"/>
              <w:spacing w:before="0" w:beforeAutospacing="0" w:after="0" w:afterAutospacing="0"/>
              <w:jc w:val="center"/>
              <w:rPr>
                <w:rFonts w:ascii="Times New Roman" w:hAnsi="Times New Roman" w:eastAsia="仿宋" w:cs="等线"/>
                <w:kern w:val="0"/>
                <w:sz w:val="24"/>
                <w:szCs w:val="24"/>
                <w:lang w:val="en-US" w:eastAsia="zh-CN" w:bidi="ar-SA"/>
              </w:rPr>
            </w:pPr>
          </w:p>
        </w:tc>
        <w:tc>
          <w:tcPr>
            <w:tcW w:w="522" w:type="pct"/>
            <w:shd w:val="clear" w:color="auto" w:fill="auto"/>
            <w:vAlign w:val="center"/>
          </w:tcPr>
          <w:p w14:paraId="78B8806E">
            <w:pPr>
              <w:pStyle w:val="14"/>
              <w:adjustRightInd w:val="0"/>
              <w:snapToGrid w:val="0"/>
              <w:spacing w:before="0" w:beforeAutospacing="0" w:after="0" w:afterAutospacing="0"/>
              <w:jc w:val="center"/>
              <w:rPr>
                <w:rFonts w:hint="default" w:ascii="Times New Roman" w:hAnsi="Times New Roman" w:eastAsia="仿宋" w:cs="等线"/>
                <w:kern w:val="0"/>
                <w:sz w:val="24"/>
                <w:szCs w:val="24"/>
                <w:lang w:val="en-US" w:eastAsia="zh-CN" w:bidi="ar-SA"/>
              </w:rPr>
            </w:pPr>
          </w:p>
        </w:tc>
      </w:tr>
      <w:tr w14:paraId="04574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282" w:type="pct"/>
            <w:shd w:val="clear" w:color="auto" w:fill="auto"/>
            <w:vAlign w:val="center"/>
          </w:tcPr>
          <w:p w14:paraId="0E4479F6">
            <w:pPr>
              <w:pStyle w:val="14"/>
              <w:adjustRightInd w:val="0"/>
              <w:snapToGrid w:val="0"/>
              <w:spacing w:before="0" w:beforeAutospacing="0" w:after="0" w:afterAutospacing="0"/>
              <w:jc w:val="center"/>
              <w:rPr>
                <w:rFonts w:hint="eastAsia" w:ascii="Times New Roman" w:hAnsi="Times New Roman" w:eastAsia="仿宋" w:cs="等线"/>
                <w:kern w:val="0"/>
                <w:sz w:val="24"/>
                <w:szCs w:val="24"/>
                <w:lang w:val="en-US" w:eastAsia="zh-CN" w:bidi="ar-SA"/>
              </w:rPr>
            </w:pPr>
            <w:r>
              <w:rPr>
                <w:rFonts w:hint="eastAsia" w:ascii="Times New Roman" w:hAnsi="Times New Roman" w:eastAsia="仿宋"/>
              </w:rPr>
              <w:t>2</w:t>
            </w:r>
          </w:p>
        </w:tc>
        <w:tc>
          <w:tcPr>
            <w:tcW w:w="843" w:type="pct"/>
            <w:vAlign w:val="center"/>
          </w:tcPr>
          <w:p w14:paraId="21949719">
            <w:pPr>
              <w:pStyle w:val="14"/>
              <w:adjustRightInd w:val="0"/>
              <w:snapToGrid w:val="0"/>
              <w:spacing w:before="0" w:beforeAutospacing="0" w:after="0" w:afterAutospacing="0"/>
              <w:jc w:val="both"/>
              <w:rPr>
                <w:rFonts w:ascii="Times New Roman" w:hAnsi="Times New Roman" w:eastAsia="仿宋"/>
                <w:b/>
              </w:rPr>
            </w:pPr>
            <w:r>
              <w:rPr>
                <w:rFonts w:ascii="Times New Roman" w:hAnsi="Times New Roman" w:eastAsia="仿宋"/>
                <w:b/>
              </w:rPr>
              <w:t>里程碑</w:t>
            </w:r>
            <w:r>
              <w:rPr>
                <w:rFonts w:hint="eastAsia" w:ascii="Times New Roman" w:hAnsi="Times New Roman" w:eastAsia="仿宋"/>
                <w:b/>
                <w:lang w:val="en-US" w:eastAsia="zh-CN"/>
              </w:rPr>
              <w:t>2</w:t>
            </w:r>
            <w:r>
              <w:rPr>
                <w:rFonts w:ascii="Times New Roman" w:hAnsi="Times New Roman" w:eastAsia="仿宋"/>
                <w:b/>
              </w:rPr>
              <w:t>：</w:t>
            </w:r>
            <w:r>
              <w:rPr>
                <w:rFonts w:hint="eastAsia" w:ascii="Times New Roman" w:hAnsi="Times New Roman" w:eastAsia="仿宋_GB2312"/>
                <w:bCs/>
              </w:rPr>
              <w:t>重庆</w:t>
            </w:r>
            <w:r>
              <w:rPr>
                <w:rFonts w:hint="eastAsia" w:ascii="Times New Roman" w:hAnsi="Times New Roman" w:eastAsia="仿宋_GB2312"/>
                <w:bCs/>
                <w:lang w:val="en-US" w:eastAsia="zh-CN"/>
              </w:rPr>
              <w:t>奉溪</w:t>
            </w:r>
            <w:r>
              <w:rPr>
                <w:rFonts w:hint="eastAsia" w:ascii="Times New Roman" w:hAnsi="Times New Roman" w:eastAsia="仿宋_GB2312"/>
                <w:bCs/>
              </w:rPr>
              <w:t>高速公路</w:t>
            </w:r>
            <w:r>
              <w:rPr>
                <w:rFonts w:hint="eastAsia" w:ascii="Times New Roman" w:hAnsi="Times New Roman" w:eastAsia="仿宋_GB2312"/>
                <w:bCs/>
                <w:lang w:val="en-US" w:eastAsia="zh-CN"/>
              </w:rPr>
              <w:t>42</w:t>
            </w:r>
            <w:r>
              <w:rPr>
                <w:rFonts w:hint="eastAsia" w:ascii="Times New Roman" w:hAnsi="Times New Roman" w:eastAsia="仿宋_GB2312"/>
                <w:bCs/>
              </w:rPr>
              <w:t>公里</w:t>
            </w:r>
            <w:r>
              <w:rPr>
                <w:rFonts w:hint="eastAsia" w:ascii="Times New Roman" w:hAnsi="Times New Roman" w:eastAsia="仿宋_GB2312"/>
                <w:bCs/>
                <w:lang w:eastAsia="zh-CN"/>
              </w:rPr>
              <w:t>、</w:t>
            </w:r>
            <w:r>
              <w:rPr>
                <w:rFonts w:hint="eastAsia" w:ascii="Times New Roman" w:hAnsi="Times New Roman" w:eastAsia="仿宋_GB2312"/>
                <w:bCs/>
                <w:lang w:val="en-US" w:eastAsia="zh-CN"/>
              </w:rPr>
              <w:t>绕城高速10公里两段路的SAR数据及光学遥感影像数据处理及分析</w:t>
            </w:r>
          </w:p>
        </w:tc>
        <w:tc>
          <w:tcPr>
            <w:tcW w:w="1701" w:type="pct"/>
            <w:vAlign w:val="center"/>
          </w:tcPr>
          <w:p w14:paraId="77B82837">
            <w:pPr>
              <w:pStyle w:val="14"/>
              <w:keepNext w:val="0"/>
              <w:keepLines w:val="0"/>
              <w:pageBreakBefore w:val="0"/>
              <w:widowControl/>
              <w:numPr>
                <w:ilvl w:val="0"/>
                <w:numId w:val="4"/>
              </w:numPr>
              <w:kinsoku/>
              <w:wordWrap/>
              <w:overflowPunct/>
              <w:topLinePunct w:val="0"/>
              <w:autoSpaceDE/>
              <w:autoSpaceDN/>
              <w:bidi w:val="0"/>
              <w:adjustRightInd w:val="0"/>
              <w:snapToGrid w:val="0"/>
              <w:spacing w:before="0" w:beforeAutospacing="0" w:after="0" w:afterAutospacing="0"/>
              <w:ind w:left="0" w:leftChars="0" w:firstLine="0" w:firstLineChars="0"/>
              <w:jc w:val="both"/>
              <w:textAlignment w:val="auto"/>
              <w:rPr>
                <w:rFonts w:hint="default" w:ascii="Times New Roman" w:hAnsi="Times New Roman" w:eastAsia="仿宋"/>
                <w:lang w:val="en-US" w:eastAsia="zh-CN" w:bidi="ar"/>
              </w:rPr>
            </w:pPr>
            <w:r>
              <w:rPr>
                <w:rFonts w:hint="eastAsia" w:ascii="Times New Roman" w:hAnsi="Times New Roman" w:eastAsia="仿宋"/>
                <w:lang w:val="en-US" w:eastAsia="zh-CN" w:bidi="ar"/>
              </w:rPr>
              <w:t>高速公路结构物提取：“.shp”等格式矢量数据。基于高分辨率遥感影像，对告诉公路沿线结构物进行提取，区分道路、桥梁、隧道进出口及边坡，并基于起始里程桩，开展百米桩定点划段。</w:t>
            </w:r>
          </w:p>
          <w:p w14:paraId="41BBDBD7">
            <w:pPr>
              <w:pStyle w:val="14"/>
              <w:keepNext w:val="0"/>
              <w:keepLines w:val="0"/>
              <w:pageBreakBefore w:val="0"/>
              <w:widowControl/>
              <w:numPr>
                <w:ilvl w:val="0"/>
                <w:numId w:val="4"/>
              </w:numPr>
              <w:kinsoku/>
              <w:wordWrap/>
              <w:overflowPunct/>
              <w:topLinePunct w:val="0"/>
              <w:autoSpaceDE/>
              <w:autoSpaceDN/>
              <w:bidi w:val="0"/>
              <w:adjustRightInd w:val="0"/>
              <w:snapToGrid w:val="0"/>
              <w:spacing w:before="0" w:beforeAutospacing="0" w:after="0" w:afterAutospacing="0"/>
              <w:ind w:left="0" w:leftChars="0" w:firstLine="0" w:firstLineChars="0"/>
              <w:jc w:val="both"/>
              <w:textAlignment w:val="auto"/>
              <w:rPr>
                <w:rFonts w:hint="default" w:ascii="Times New Roman" w:hAnsi="Times New Roman" w:eastAsia="仿宋"/>
                <w:lang w:val="en-US" w:eastAsia="zh-CN" w:bidi="ar"/>
              </w:rPr>
            </w:pPr>
            <w:r>
              <w:rPr>
                <w:rFonts w:hint="eastAsia" w:ascii="Times New Roman" w:hAnsi="Times New Roman" w:eastAsia="仿宋"/>
                <w:lang w:val="en-US" w:eastAsia="zh-CN" w:bidi="ar"/>
              </w:rPr>
              <w:t>奉溪高速L波段SAR 数据、InSAR数据处理：“.shp”等格式矢量数据。采用最优InSAR处理方法处理46景SAR数据。以道路中心线两侧半径500m为缓冲区为处理分析范围，处理分析面积为42km*1km=42km²。</w:t>
            </w:r>
          </w:p>
          <w:p w14:paraId="6C80A694">
            <w:pPr>
              <w:pStyle w:val="14"/>
              <w:keepNext w:val="0"/>
              <w:keepLines w:val="0"/>
              <w:pageBreakBefore w:val="0"/>
              <w:widowControl/>
              <w:numPr>
                <w:ilvl w:val="0"/>
                <w:numId w:val="4"/>
              </w:numPr>
              <w:kinsoku/>
              <w:wordWrap/>
              <w:overflowPunct/>
              <w:topLinePunct w:val="0"/>
              <w:autoSpaceDE/>
              <w:autoSpaceDN/>
              <w:bidi w:val="0"/>
              <w:adjustRightInd w:val="0"/>
              <w:snapToGrid w:val="0"/>
              <w:spacing w:before="0" w:beforeAutospacing="0" w:after="0" w:afterAutospacing="0"/>
              <w:ind w:left="0" w:leftChars="0" w:firstLine="0" w:firstLineChars="0"/>
              <w:jc w:val="both"/>
              <w:textAlignment w:val="auto"/>
              <w:rPr>
                <w:rFonts w:hint="default" w:ascii="Times New Roman" w:hAnsi="Times New Roman" w:eastAsia="仿宋"/>
                <w:lang w:val="en-US" w:eastAsia="zh-CN" w:bidi="ar"/>
              </w:rPr>
            </w:pPr>
            <w:r>
              <w:rPr>
                <w:rFonts w:hint="default" w:ascii="Times New Roman" w:hAnsi="Times New Roman" w:eastAsia="仿宋"/>
                <w:lang w:val="en-US" w:eastAsia="zh-CN" w:bidi="ar"/>
              </w:rPr>
              <w:t>K99边坡C波段SAR</w:t>
            </w:r>
          </w:p>
          <w:p w14:paraId="209A6895">
            <w:pPr>
              <w:pStyle w:val="14"/>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ind w:leftChars="0"/>
              <w:jc w:val="both"/>
              <w:textAlignment w:val="auto"/>
              <w:rPr>
                <w:rFonts w:hint="default" w:ascii="Times New Roman" w:hAnsi="Times New Roman" w:eastAsia="仿宋"/>
                <w:lang w:val="en-US" w:eastAsia="zh-CN" w:bidi="ar"/>
              </w:rPr>
            </w:pPr>
            <w:r>
              <w:rPr>
                <w:rFonts w:hint="default" w:ascii="Times New Roman" w:hAnsi="Times New Roman" w:eastAsia="仿宋"/>
                <w:lang w:val="en-US" w:eastAsia="zh-CN" w:bidi="ar"/>
              </w:rPr>
              <w:t>数据</w:t>
            </w:r>
            <w:r>
              <w:rPr>
                <w:rFonts w:hint="eastAsia" w:ascii="Times New Roman" w:hAnsi="Times New Roman" w:eastAsia="仿宋"/>
                <w:lang w:val="en-US" w:eastAsia="zh-CN" w:bidi="ar"/>
              </w:rPr>
              <w:t>、</w:t>
            </w:r>
            <w:r>
              <w:rPr>
                <w:rFonts w:hint="default" w:ascii="Times New Roman" w:hAnsi="Times New Roman" w:eastAsia="仿宋"/>
                <w:lang w:val="en-US" w:eastAsia="zh-CN" w:bidi="ar"/>
              </w:rPr>
              <w:t>InSAR数据处理</w:t>
            </w:r>
            <w:r>
              <w:rPr>
                <w:rFonts w:hint="eastAsia" w:ascii="Times New Roman" w:hAnsi="Times New Roman" w:eastAsia="仿宋"/>
                <w:lang w:val="en-US" w:eastAsia="zh-CN" w:bidi="ar"/>
              </w:rPr>
              <w:t>：“.shp”等格式矢量数据。采用最优InSAR处理方法处理56景SAR数据。</w:t>
            </w:r>
          </w:p>
        </w:tc>
        <w:tc>
          <w:tcPr>
            <w:tcW w:w="277" w:type="pct"/>
            <w:vAlign w:val="center"/>
          </w:tcPr>
          <w:p w14:paraId="00070C40">
            <w:pPr>
              <w:pStyle w:val="14"/>
              <w:adjustRightInd w:val="0"/>
              <w:snapToGrid w:val="0"/>
              <w:spacing w:before="0" w:beforeAutospacing="0" w:after="0" w:afterAutospacing="0"/>
              <w:jc w:val="center"/>
              <w:rPr>
                <w:rFonts w:hint="eastAsia" w:ascii="Times New Roman" w:hAnsi="Times New Roman" w:eastAsia="仿宋"/>
                <w:lang w:val="en-US" w:eastAsia="zh-CN"/>
              </w:rPr>
            </w:pPr>
            <w:r>
              <w:rPr>
                <w:rFonts w:hint="eastAsia" w:ascii="Times New Roman" w:hAnsi="Times New Roman" w:eastAsia="仿宋"/>
                <w:lang w:val="en-US" w:eastAsia="zh-CN"/>
              </w:rPr>
              <w:t>套</w:t>
            </w:r>
          </w:p>
        </w:tc>
        <w:tc>
          <w:tcPr>
            <w:tcW w:w="253" w:type="pct"/>
            <w:vAlign w:val="center"/>
          </w:tcPr>
          <w:p w14:paraId="1EAC81DC">
            <w:pPr>
              <w:pStyle w:val="14"/>
              <w:adjustRightInd w:val="0"/>
              <w:snapToGrid w:val="0"/>
              <w:spacing w:before="0" w:beforeAutospacing="0" w:after="0" w:afterAutospacing="0"/>
              <w:jc w:val="center"/>
              <w:rPr>
                <w:rFonts w:hint="eastAsia" w:ascii="Times New Roman" w:hAnsi="Times New Roman" w:eastAsia="仿宋"/>
                <w:lang w:val="en-US" w:eastAsia="zh-CN"/>
              </w:rPr>
            </w:pPr>
            <w:r>
              <w:rPr>
                <w:rFonts w:hint="eastAsia" w:ascii="Times New Roman" w:hAnsi="Times New Roman" w:eastAsia="仿宋"/>
                <w:lang w:val="en-US" w:eastAsia="zh-CN"/>
              </w:rPr>
              <w:t>1</w:t>
            </w:r>
          </w:p>
        </w:tc>
        <w:tc>
          <w:tcPr>
            <w:tcW w:w="646" w:type="pct"/>
            <w:shd w:val="clear" w:color="auto" w:fill="auto"/>
            <w:vAlign w:val="center"/>
          </w:tcPr>
          <w:p w14:paraId="5C7E8BF2">
            <w:pPr>
              <w:pStyle w:val="14"/>
              <w:adjustRightInd w:val="0"/>
              <w:snapToGrid w:val="0"/>
              <w:spacing w:before="0" w:beforeAutospacing="0" w:after="0" w:afterAutospacing="0"/>
              <w:jc w:val="center"/>
              <w:rPr>
                <w:rFonts w:hint="default" w:ascii="Times New Roman" w:hAnsi="Times New Roman" w:eastAsia="仿宋" w:cs="等线"/>
                <w:kern w:val="0"/>
                <w:sz w:val="24"/>
                <w:szCs w:val="24"/>
                <w:lang w:val="en-US" w:eastAsia="zh-CN" w:bidi="ar-SA"/>
              </w:rPr>
            </w:pPr>
          </w:p>
        </w:tc>
        <w:tc>
          <w:tcPr>
            <w:tcW w:w="471" w:type="pct"/>
            <w:shd w:val="clear" w:color="auto" w:fill="auto"/>
            <w:vAlign w:val="center"/>
          </w:tcPr>
          <w:p w14:paraId="13C394AD">
            <w:pPr>
              <w:pStyle w:val="14"/>
              <w:adjustRightInd w:val="0"/>
              <w:snapToGrid w:val="0"/>
              <w:spacing w:before="0" w:beforeAutospacing="0" w:after="0" w:afterAutospacing="0"/>
              <w:jc w:val="center"/>
              <w:rPr>
                <w:rFonts w:hint="eastAsia" w:ascii="Times New Roman" w:hAnsi="Times New Roman" w:eastAsia="仿宋" w:cs="等线"/>
                <w:kern w:val="0"/>
                <w:sz w:val="24"/>
                <w:szCs w:val="24"/>
                <w:lang w:val="en-US" w:eastAsia="zh-CN" w:bidi="ar-SA"/>
              </w:rPr>
            </w:pPr>
          </w:p>
        </w:tc>
        <w:tc>
          <w:tcPr>
            <w:tcW w:w="522" w:type="pct"/>
            <w:shd w:val="clear" w:color="auto" w:fill="auto"/>
            <w:vAlign w:val="center"/>
          </w:tcPr>
          <w:p w14:paraId="1E8E80D6">
            <w:pPr>
              <w:pStyle w:val="14"/>
              <w:adjustRightInd w:val="0"/>
              <w:snapToGrid w:val="0"/>
              <w:spacing w:before="0" w:beforeAutospacing="0" w:after="0" w:afterAutospacing="0"/>
              <w:jc w:val="center"/>
              <w:rPr>
                <w:rFonts w:hint="eastAsia" w:ascii="Times New Roman" w:hAnsi="Times New Roman" w:eastAsia="仿宋" w:cs="等线"/>
                <w:kern w:val="0"/>
                <w:sz w:val="24"/>
                <w:szCs w:val="24"/>
                <w:lang w:val="en-US" w:eastAsia="zh-CN" w:bidi="ar-SA"/>
              </w:rPr>
            </w:pPr>
          </w:p>
        </w:tc>
      </w:tr>
      <w:tr w14:paraId="33BE2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282" w:type="pct"/>
            <w:shd w:val="clear" w:color="auto" w:fill="auto"/>
            <w:vAlign w:val="center"/>
          </w:tcPr>
          <w:p w14:paraId="47698D54">
            <w:pPr>
              <w:pStyle w:val="14"/>
              <w:adjustRightInd w:val="0"/>
              <w:snapToGrid w:val="0"/>
              <w:spacing w:before="0" w:beforeAutospacing="0" w:after="0" w:afterAutospacing="0"/>
              <w:jc w:val="center"/>
              <w:rPr>
                <w:rFonts w:ascii="Times New Roman" w:hAnsi="Times New Roman" w:eastAsia="仿宋" w:cs="等线"/>
                <w:kern w:val="0"/>
                <w:sz w:val="24"/>
                <w:szCs w:val="24"/>
                <w:lang w:val="en-US" w:eastAsia="zh-CN" w:bidi="ar-SA"/>
              </w:rPr>
            </w:pPr>
            <w:r>
              <w:rPr>
                <w:rFonts w:hint="eastAsia" w:ascii="Times New Roman" w:hAnsi="Times New Roman" w:eastAsia="仿宋"/>
              </w:rPr>
              <w:t>3</w:t>
            </w:r>
          </w:p>
        </w:tc>
        <w:tc>
          <w:tcPr>
            <w:tcW w:w="843" w:type="pct"/>
            <w:vAlign w:val="center"/>
          </w:tcPr>
          <w:p w14:paraId="4A982B24">
            <w:pPr>
              <w:pStyle w:val="14"/>
              <w:adjustRightInd w:val="0"/>
              <w:snapToGrid w:val="0"/>
              <w:spacing w:before="0" w:beforeAutospacing="0" w:after="0" w:afterAutospacing="0"/>
              <w:jc w:val="both"/>
              <w:rPr>
                <w:rFonts w:ascii="Times New Roman" w:hAnsi="Times New Roman" w:eastAsia="仿宋"/>
                <w:bCs/>
                <w:highlight w:val="yellow"/>
              </w:rPr>
            </w:pPr>
            <w:r>
              <w:rPr>
                <w:rFonts w:ascii="Times New Roman" w:hAnsi="Times New Roman" w:eastAsia="仿宋"/>
                <w:b/>
              </w:rPr>
              <w:t>里程碑</w:t>
            </w:r>
            <w:r>
              <w:rPr>
                <w:rFonts w:hint="eastAsia" w:ascii="Times New Roman" w:hAnsi="Times New Roman" w:eastAsia="仿宋"/>
                <w:b/>
                <w:lang w:val="en-US" w:eastAsia="zh-CN"/>
              </w:rPr>
              <w:t>3</w:t>
            </w:r>
            <w:r>
              <w:rPr>
                <w:rFonts w:ascii="Times New Roman" w:hAnsi="Times New Roman" w:eastAsia="仿宋"/>
                <w:b/>
              </w:rPr>
              <w:t>：</w:t>
            </w:r>
            <w:r>
              <w:rPr>
                <w:rFonts w:hint="eastAsia" w:ascii="Times New Roman" w:hAnsi="Times New Roman" w:eastAsia="仿宋_GB2312"/>
                <w:bCs/>
              </w:rPr>
              <w:t>高速公路结构物隐患靶区智能识别模型技术开发服务</w:t>
            </w:r>
          </w:p>
        </w:tc>
        <w:tc>
          <w:tcPr>
            <w:tcW w:w="1701" w:type="pct"/>
            <w:vAlign w:val="center"/>
          </w:tcPr>
          <w:p w14:paraId="01DA81E8">
            <w:pPr>
              <w:pStyle w:val="14"/>
              <w:adjustRightInd w:val="0"/>
              <w:snapToGrid w:val="0"/>
              <w:spacing w:before="0" w:beforeAutospacing="0" w:after="0" w:afterAutospacing="0"/>
              <w:jc w:val="both"/>
              <w:rPr>
                <w:rFonts w:ascii="Times New Roman" w:hAnsi="Times New Roman" w:eastAsia="仿宋"/>
                <w:lang w:bidi="ar"/>
              </w:rPr>
            </w:pPr>
            <w:r>
              <w:rPr>
                <w:rFonts w:hint="eastAsia" w:ascii="Times New Roman" w:hAnsi="Times New Roman" w:eastAsia="仿宋"/>
                <w:lang w:bidi="ar"/>
              </w:rPr>
              <w:t>基于InSAR时序形变数据的隐患靶区智能识别模型</w:t>
            </w:r>
            <w:r>
              <w:rPr>
                <w:rFonts w:hint="eastAsia" w:ascii="Times New Roman" w:hAnsi="Times New Roman" w:eastAsia="仿宋"/>
                <w:lang w:val="en-US" w:eastAsia="zh-CN" w:bidi="ar"/>
              </w:rPr>
              <w:t>开发</w:t>
            </w:r>
            <w:r>
              <w:rPr>
                <w:rFonts w:hint="eastAsia" w:ascii="Times New Roman" w:hAnsi="Times New Roman" w:eastAsia="仿宋"/>
                <w:lang w:bidi="ar"/>
              </w:rPr>
              <w:t>，自动识别并提取风险区域及形变关键信息，实现隐患靶区的自动化、智能化、精准化识别。模型以亚厘米级时序形变场为输入，融合地形坡度、地质背景、历史灾害等信息，自动圈定边坡滑移面、路基不均匀沉降区、桥梁及隧道周边变形区，隐患识别准确率不低于95%；</w:t>
            </w:r>
            <w:r>
              <w:rPr>
                <w:rFonts w:hint="eastAsia" w:ascii="Times New Roman" w:hAnsi="Times New Roman" w:eastAsia="仿宋"/>
                <w:lang w:val="en-US" w:eastAsia="zh-CN" w:bidi="ar"/>
              </w:rPr>
              <w:t>提供发明</w:t>
            </w:r>
            <w:r>
              <w:rPr>
                <w:rFonts w:hint="eastAsia" w:ascii="Times New Roman" w:hAnsi="Times New Roman" w:eastAsia="仿宋"/>
                <w:lang w:bidi="ar"/>
              </w:rPr>
              <w:t>专利</w:t>
            </w:r>
            <w:r>
              <w:rPr>
                <w:rFonts w:hint="eastAsia" w:ascii="Times New Roman" w:hAnsi="Times New Roman" w:eastAsia="仿宋"/>
                <w:lang w:val="en-US" w:eastAsia="zh-CN" w:bidi="ar"/>
              </w:rPr>
              <w:t>技术交底书</w:t>
            </w:r>
            <w:r>
              <w:rPr>
                <w:rFonts w:hint="eastAsia" w:ascii="Times New Roman" w:hAnsi="Times New Roman" w:eastAsia="仿宋"/>
                <w:lang w:bidi="ar"/>
              </w:rPr>
              <w:t>1</w:t>
            </w:r>
            <w:r>
              <w:rPr>
                <w:rFonts w:hint="eastAsia" w:ascii="Times New Roman" w:hAnsi="Times New Roman" w:eastAsia="仿宋"/>
                <w:lang w:val="en-US" w:eastAsia="zh-CN" w:bidi="ar"/>
              </w:rPr>
              <w:t>份</w:t>
            </w:r>
            <w:r>
              <w:rPr>
                <w:rFonts w:hint="eastAsia" w:ascii="Times New Roman" w:hAnsi="Times New Roman" w:eastAsia="仿宋"/>
                <w:lang w:eastAsia="zh-CN" w:bidi="ar"/>
              </w:rPr>
              <w:t>，</w:t>
            </w:r>
            <w:r>
              <w:rPr>
                <w:rFonts w:hint="eastAsia" w:ascii="Times New Roman" w:hAnsi="Times New Roman" w:eastAsia="仿宋"/>
                <w:lang w:val="en-US" w:eastAsia="zh-CN" w:bidi="ar"/>
              </w:rPr>
              <w:t>支撑甲方完成1项发明专利申请</w:t>
            </w:r>
            <w:r>
              <w:rPr>
                <w:rFonts w:hint="eastAsia" w:ascii="Times New Roman" w:hAnsi="Times New Roman" w:eastAsia="仿宋"/>
                <w:lang w:bidi="ar"/>
              </w:rPr>
              <w:t>。</w:t>
            </w:r>
          </w:p>
        </w:tc>
        <w:tc>
          <w:tcPr>
            <w:tcW w:w="277" w:type="pct"/>
            <w:vAlign w:val="center"/>
          </w:tcPr>
          <w:p w14:paraId="1EFA5FD3">
            <w:pPr>
              <w:pStyle w:val="14"/>
              <w:adjustRightInd w:val="0"/>
              <w:snapToGrid w:val="0"/>
              <w:spacing w:before="0" w:beforeAutospacing="0" w:after="0" w:afterAutospacing="0"/>
              <w:jc w:val="center"/>
              <w:rPr>
                <w:rFonts w:ascii="Times New Roman" w:hAnsi="Times New Roman" w:eastAsia="仿宋"/>
              </w:rPr>
            </w:pPr>
            <w:r>
              <w:rPr>
                <w:rFonts w:hint="eastAsia" w:ascii="Times New Roman" w:hAnsi="Times New Roman" w:eastAsia="仿宋"/>
              </w:rPr>
              <w:t>套</w:t>
            </w:r>
          </w:p>
        </w:tc>
        <w:tc>
          <w:tcPr>
            <w:tcW w:w="253" w:type="pct"/>
            <w:vAlign w:val="center"/>
          </w:tcPr>
          <w:p w14:paraId="3BDE3EB3">
            <w:pPr>
              <w:pStyle w:val="14"/>
              <w:adjustRightInd w:val="0"/>
              <w:snapToGrid w:val="0"/>
              <w:spacing w:before="0" w:beforeAutospacing="0" w:after="0" w:afterAutospacing="0"/>
              <w:jc w:val="center"/>
              <w:rPr>
                <w:rFonts w:ascii="Times New Roman" w:hAnsi="Times New Roman" w:eastAsia="仿宋"/>
              </w:rPr>
            </w:pPr>
            <w:r>
              <w:rPr>
                <w:rFonts w:hint="eastAsia" w:ascii="Times New Roman" w:hAnsi="Times New Roman" w:eastAsia="仿宋"/>
              </w:rPr>
              <w:t>1</w:t>
            </w:r>
          </w:p>
        </w:tc>
        <w:tc>
          <w:tcPr>
            <w:tcW w:w="646" w:type="pct"/>
            <w:shd w:val="clear" w:color="auto" w:fill="auto"/>
            <w:vAlign w:val="center"/>
          </w:tcPr>
          <w:p w14:paraId="3F629596">
            <w:pPr>
              <w:pStyle w:val="14"/>
              <w:adjustRightInd w:val="0"/>
              <w:snapToGrid w:val="0"/>
              <w:spacing w:before="0" w:beforeAutospacing="0" w:after="0" w:afterAutospacing="0"/>
              <w:jc w:val="center"/>
              <w:rPr>
                <w:rFonts w:hint="default" w:ascii="Times New Roman" w:hAnsi="Times New Roman" w:eastAsia="仿宋" w:cs="等线"/>
                <w:kern w:val="0"/>
                <w:sz w:val="24"/>
                <w:szCs w:val="24"/>
                <w:lang w:val="en-US" w:eastAsia="zh-CN" w:bidi="ar-SA"/>
              </w:rPr>
            </w:pPr>
          </w:p>
        </w:tc>
        <w:tc>
          <w:tcPr>
            <w:tcW w:w="471" w:type="pct"/>
            <w:shd w:val="clear" w:color="auto" w:fill="auto"/>
            <w:vAlign w:val="center"/>
          </w:tcPr>
          <w:p w14:paraId="2AD60CFC">
            <w:pPr>
              <w:pStyle w:val="14"/>
              <w:adjustRightInd w:val="0"/>
              <w:snapToGrid w:val="0"/>
              <w:spacing w:before="0" w:beforeAutospacing="0" w:after="0" w:afterAutospacing="0"/>
              <w:jc w:val="center"/>
              <w:rPr>
                <w:rFonts w:ascii="Times New Roman" w:hAnsi="Times New Roman" w:eastAsia="仿宋" w:cs="等线"/>
                <w:kern w:val="0"/>
                <w:sz w:val="24"/>
                <w:szCs w:val="24"/>
                <w:lang w:val="en-US" w:eastAsia="zh-CN" w:bidi="ar-SA"/>
              </w:rPr>
            </w:pPr>
          </w:p>
        </w:tc>
        <w:tc>
          <w:tcPr>
            <w:tcW w:w="522" w:type="pct"/>
            <w:shd w:val="clear" w:color="auto" w:fill="auto"/>
            <w:vAlign w:val="center"/>
          </w:tcPr>
          <w:p w14:paraId="0AF8FFF9">
            <w:pPr>
              <w:pStyle w:val="14"/>
              <w:adjustRightInd w:val="0"/>
              <w:snapToGrid w:val="0"/>
              <w:spacing w:before="0" w:beforeAutospacing="0" w:after="0" w:afterAutospacing="0"/>
              <w:jc w:val="center"/>
              <w:rPr>
                <w:rFonts w:hint="default" w:ascii="Times New Roman" w:hAnsi="Times New Roman" w:eastAsia="仿宋" w:cs="等线"/>
                <w:kern w:val="0"/>
                <w:sz w:val="24"/>
                <w:szCs w:val="24"/>
                <w:lang w:val="en-US" w:eastAsia="zh-CN" w:bidi="ar-SA"/>
              </w:rPr>
            </w:pPr>
          </w:p>
        </w:tc>
      </w:tr>
      <w:tr w14:paraId="7892B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282" w:type="pct"/>
            <w:shd w:val="clear" w:color="auto" w:fill="auto"/>
            <w:vAlign w:val="center"/>
          </w:tcPr>
          <w:p w14:paraId="15CA6E33">
            <w:pPr>
              <w:pStyle w:val="14"/>
              <w:adjustRightInd w:val="0"/>
              <w:snapToGrid w:val="0"/>
              <w:spacing w:before="0" w:beforeAutospacing="0" w:after="0" w:afterAutospacing="0"/>
              <w:jc w:val="center"/>
              <w:rPr>
                <w:rFonts w:ascii="Times New Roman" w:hAnsi="Times New Roman" w:eastAsia="仿宋" w:cs="等线"/>
                <w:kern w:val="0"/>
                <w:sz w:val="24"/>
                <w:szCs w:val="24"/>
                <w:lang w:val="en-US" w:eastAsia="zh-CN" w:bidi="ar-SA"/>
              </w:rPr>
            </w:pPr>
            <w:r>
              <w:rPr>
                <w:rFonts w:hint="eastAsia" w:ascii="Times New Roman" w:hAnsi="Times New Roman" w:eastAsia="仿宋"/>
              </w:rPr>
              <w:t>4</w:t>
            </w:r>
          </w:p>
        </w:tc>
        <w:tc>
          <w:tcPr>
            <w:tcW w:w="843" w:type="pct"/>
            <w:vAlign w:val="center"/>
          </w:tcPr>
          <w:p w14:paraId="20D26B39">
            <w:pPr>
              <w:pStyle w:val="14"/>
              <w:adjustRightInd w:val="0"/>
              <w:snapToGrid w:val="0"/>
              <w:spacing w:before="0" w:beforeAutospacing="0" w:after="0" w:afterAutospacing="0"/>
              <w:jc w:val="both"/>
              <w:rPr>
                <w:rFonts w:ascii="Times New Roman" w:hAnsi="Times New Roman" w:eastAsia="仿宋_GB2312"/>
                <w:bCs/>
              </w:rPr>
            </w:pPr>
            <w:r>
              <w:rPr>
                <w:rFonts w:ascii="Times New Roman" w:hAnsi="Times New Roman" w:eastAsia="仿宋"/>
                <w:b/>
              </w:rPr>
              <w:t>里程碑</w:t>
            </w:r>
            <w:r>
              <w:rPr>
                <w:rFonts w:hint="eastAsia" w:ascii="Times New Roman" w:hAnsi="Times New Roman" w:eastAsia="仿宋"/>
                <w:b/>
                <w:lang w:val="en-US" w:eastAsia="zh-CN"/>
              </w:rPr>
              <w:t>4</w:t>
            </w:r>
            <w:r>
              <w:rPr>
                <w:rFonts w:ascii="Times New Roman" w:hAnsi="Times New Roman" w:eastAsia="仿宋"/>
                <w:b/>
              </w:rPr>
              <w:t>：</w:t>
            </w:r>
            <w:r>
              <w:rPr>
                <w:rFonts w:hint="eastAsia" w:ascii="Times New Roman" w:hAnsi="Times New Roman" w:eastAsia="仿宋_GB2312"/>
                <w:bCs/>
              </w:rPr>
              <w:t>高速公路保护线人为违法扰动监测模型技术开</w:t>
            </w:r>
            <w:r>
              <w:rPr>
                <w:rFonts w:hint="eastAsia" w:ascii="Times New Roman" w:hAnsi="Times New Roman" w:eastAsia="仿宋_GB2312"/>
                <w:bCs/>
                <w:szCs w:val="21"/>
              </w:rPr>
              <w:t>发服务</w:t>
            </w:r>
          </w:p>
        </w:tc>
        <w:tc>
          <w:tcPr>
            <w:tcW w:w="1701" w:type="pct"/>
            <w:vAlign w:val="center"/>
          </w:tcPr>
          <w:p w14:paraId="3AA37C24">
            <w:pPr>
              <w:pStyle w:val="14"/>
              <w:adjustRightInd w:val="0"/>
              <w:snapToGrid w:val="0"/>
              <w:spacing w:before="0" w:beforeAutospacing="0" w:after="0" w:afterAutospacing="0"/>
              <w:jc w:val="both"/>
              <w:rPr>
                <w:rFonts w:ascii="Times New Roman" w:hAnsi="Times New Roman" w:eastAsia="仿宋"/>
                <w:lang w:bidi="ar"/>
              </w:rPr>
            </w:pPr>
            <w:r>
              <w:rPr>
                <w:rFonts w:hint="eastAsia" w:ascii="Times New Roman" w:hAnsi="Times New Roman" w:eastAsia="仿宋"/>
                <w:lang w:bidi="ar"/>
              </w:rPr>
              <w:t>高速公路保护线人为违法扰动监测模型开发</w:t>
            </w:r>
            <w:r>
              <w:rPr>
                <w:rFonts w:hint="eastAsia" w:ascii="Times New Roman" w:hAnsi="Times New Roman" w:eastAsia="仿宋"/>
                <w:lang w:eastAsia="zh-CN" w:bidi="ar"/>
              </w:rPr>
              <w:t>，基于0.5m高分辨光学影像，明确违法侵占、违法搭建等各类场景识别标准与特征指标，可识别违法扰动目标尺寸：违法搭建≥8m*8m，废料堆放≥10m*10m，违法开挖面≥3m*3m，识别准确率不低于90%</w:t>
            </w:r>
            <w:r>
              <w:rPr>
                <w:rFonts w:hint="eastAsia" w:ascii="Times New Roman" w:hAnsi="Times New Roman" w:eastAsia="仿宋"/>
                <w:lang w:bidi="ar"/>
              </w:rPr>
              <w:t>。</w:t>
            </w:r>
          </w:p>
        </w:tc>
        <w:tc>
          <w:tcPr>
            <w:tcW w:w="277" w:type="pct"/>
            <w:vAlign w:val="center"/>
          </w:tcPr>
          <w:p w14:paraId="45C4E23A">
            <w:pPr>
              <w:pStyle w:val="14"/>
              <w:adjustRightInd w:val="0"/>
              <w:snapToGrid w:val="0"/>
              <w:spacing w:before="0" w:beforeAutospacing="0" w:after="0" w:afterAutospacing="0"/>
              <w:jc w:val="center"/>
              <w:rPr>
                <w:rFonts w:ascii="Times New Roman" w:hAnsi="Times New Roman" w:eastAsia="仿宋"/>
              </w:rPr>
            </w:pPr>
            <w:r>
              <w:rPr>
                <w:rFonts w:hint="eastAsia" w:ascii="Times New Roman" w:hAnsi="Times New Roman" w:eastAsia="仿宋"/>
              </w:rPr>
              <w:t>套</w:t>
            </w:r>
          </w:p>
        </w:tc>
        <w:tc>
          <w:tcPr>
            <w:tcW w:w="253" w:type="pct"/>
            <w:vAlign w:val="center"/>
          </w:tcPr>
          <w:p w14:paraId="7BC05336">
            <w:pPr>
              <w:pStyle w:val="14"/>
              <w:adjustRightInd w:val="0"/>
              <w:snapToGrid w:val="0"/>
              <w:spacing w:before="0" w:beforeAutospacing="0" w:after="0" w:afterAutospacing="0"/>
              <w:jc w:val="center"/>
              <w:rPr>
                <w:rFonts w:ascii="Times New Roman" w:hAnsi="Times New Roman" w:eastAsia="仿宋"/>
              </w:rPr>
            </w:pPr>
            <w:r>
              <w:rPr>
                <w:rFonts w:hint="eastAsia" w:ascii="Times New Roman" w:hAnsi="Times New Roman" w:eastAsia="仿宋"/>
              </w:rPr>
              <w:t>1</w:t>
            </w:r>
          </w:p>
        </w:tc>
        <w:tc>
          <w:tcPr>
            <w:tcW w:w="646" w:type="pct"/>
            <w:shd w:val="clear" w:color="auto" w:fill="auto"/>
            <w:vAlign w:val="center"/>
          </w:tcPr>
          <w:p w14:paraId="2F43179A">
            <w:pPr>
              <w:pStyle w:val="14"/>
              <w:adjustRightInd w:val="0"/>
              <w:snapToGrid w:val="0"/>
              <w:spacing w:before="0" w:beforeAutospacing="0" w:after="0" w:afterAutospacing="0"/>
              <w:jc w:val="center"/>
              <w:rPr>
                <w:rFonts w:hint="default" w:ascii="Times New Roman" w:hAnsi="Times New Roman" w:eastAsia="宋体" w:cs="等线"/>
                <w:kern w:val="0"/>
                <w:sz w:val="24"/>
                <w:szCs w:val="22"/>
                <w:lang w:val="en-US" w:eastAsia="zh-CN" w:bidi="ar-SA"/>
              </w:rPr>
            </w:pPr>
          </w:p>
        </w:tc>
        <w:tc>
          <w:tcPr>
            <w:tcW w:w="471" w:type="pct"/>
            <w:shd w:val="clear" w:color="auto" w:fill="auto"/>
            <w:vAlign w:val="center"/>
          </w:tcPr>
          <w:p w14:paraId="76905ED7">
            <w:pPr>
              <w:pStyle w:val="14"/>
              <w:adjustRightInd w:val="0"/>
              <w:snapToGrid w:val="0"/>
              <w:spacing w:before="0" w:beforeAutospacing="0" w:after="0" w:afterAutospacing="0"/>
              <w:jc w:val="center"/>
              <w:rPr>
                <w:rFonts w:ascii="Times New Roman" w:hAnsi="Times New Roman" w:eastAsia="仿宋" w:cs="等线"/>
                <w:kern w:val="0"/>
                <w:sz w:val="24"/>
                <w:szCs w:val="24"/>
                <w:lang w:val="en-US" w:eastAsia="zh-CN" w:bidi="ar-SA"/>
              </w:rPr>
            </w:pPr>
          </w:p>
        </w:tc>
        <w:tc>
          <w:tcPr>
            <w:tcW w:w="522" w:type="pct"/>
            <w:shd w:val="clear" w:color="auto" w:fill="auto"/>
            <w:vAlign w:val="center"/>
          </w:tcPr>
          <w:p w14:paraId="11ED53F3">
            <w:pPr>
              <w:pStyle w:val="14"/>
              <w:adjustRightInd w:val="0"/>
              <w:snapToGrid w:val="0"/>
              <w:spacing w:before="0" w:beforeAutospacing="0" w:after="0" w:afterAutospacing="0"/>
              <w:jc w:val="center"/>
              <w:rPr>
                <w:rFonts w:hint="default" w:ascii="Times New Roman" w:hAnsi="Times New Roman" w:eastAsia="宋体" w:cs="等线"/>
                <w:kern w:val="0"/>
                <w:sz w:val="24"/>
                <w:szCs w:val="22"/>
                <w:lang w:val="en-US" w:eastAsia="zh-CN" w:bidi="ar-SA"/>
              </w:rPr>
            </w:pPr>
          </w:p>
        </w:tc>
      </w:tr>
      <w:tr w14:paraId="245A6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282" w:type="pct"/>
            <w:shd w:val="clear" w:color="auto" w:fill="auto"/>
            <w:vAlign w:val="center"/>
          </w:tcPr>
          <w:p w14:paraId="0AFB4FB4">
            <w:pPr>
              <w:pStyle w:val="14"/>
              <w:adjustRightInd w:val="0"/>
              <w:snapToGrid w:val="0"/>
              <w:spacing w:before="0" w:beforeAutospacing="0" w:after="0" w:afterAutospacing="0"/>
              <w:jc w:val="center"/>
              <w:rPr>
                <w:rFonts w:ascii="Times New Roman" w:hAnsi="Times New Roman" w:eastAsia="仿宋" w:cs="等线"/>
                <w:kern w:val="0"/>
                <w:sz w:val="24"/>
                <w:szCs w:val="24"/>
                <w:lang w:val="en-US" w:eastAsia="zh-CN" w:bidi="ar-SA"/>
              </w:rPr>
            </w:pPr>
            <w:r>
              <w:rPr>
                <w:rFonts w:hint="eastAsia" w:ascii="Times New Roman" w:hAnsi="Times New Roman" w:eastAsia="仿宋"/>
              </w:rPr>
              <w:t>5</w:t>
            </w:r>
          </w:p>
        </w:tc>
        <w:tc>
          <w:tcPr>
            <w:tcW w:w="843" w:type="pct"/>
            <w:vAlign w:val="center"/>
          </w:tcPr>
          <w:p w14:paraId="628BA912">
            <w:pPr>
              <w:pStyle w:val="14"/>
              <w:adjustRightInd w:val="0"/>
              <w:snapToGrid w:val="0"/>
              <w:spacing w:before="0" w:beforeAutospacing="0" w:after="0" w:afterAutospacing="0"/>
              <w:jc w:val="both"/>
              <w:rPr>
                <w:rFonts w:ascii="Times New Roman" w:hAnsi="Times New Roman" w:eastAsia="仿宋"/>
              </w:rPr>
            </w:pPr>
            <w:r>
              <w:rPr>
                <w:rFonts w:ascii="Times New Roman" w:hAnsi="Times New Roman" w:eastAsia="仿宋"/>
                <w:b/>
              </w:rPr>
              <w:t>里程碑</w:t>
            </w:r>
            <w:r>
              <w:rPr>
                <w:rFonts w:hint="eastAsia" w:ascii="Times New Roman" w:hAnsi="Times New Roman" w:eastAsia="仿宋"/>
                <w:b/>
                <w:lang w:val="en-US" w:eastAsia="zh-CN"/>
              </w:rPr>
              <w:t>5</w:t>
            </w:r>
            <w:r>
              <w:rPr>
                <w:rFonts w:ascii="Times New Roman" w:hAnsi="Times New Roman" w:eastAsia="仿宋"/>
                <w:b/>
              </w:rPr>
              <w:t>：</w:t>
            </w:r>
            <w:r>
              <w:rPr>
                <w:rFonts w:hint="eastAsia" w:ascii="Times New Roman" w:hAnsi="Times New Roman" w:eastAsia="仿宋"/>
                <w:color w:val="000000"/>
                <w:lang w:val="en-US" w:eastAsia="zh-CN" w:bidi="ar"/>
              </w:rPr>
              <w:t>原型平台开发</w:t>
            </w:r>
            <w:r>
              <w:rPr>
                <w:rFonts w:hint="eastAsia" w:ascii="Times New Roman" w:hAnsi="Times New Roman" w:eastAsia="仿宋"/>
                <w:color w:val="000000"/>
                <w:lang w:bidi="ar"/>
              </w:rPr>
              <w:t>技术服务</w:t>
            </w:r>
          </w:p>
        </w:tc>
        <w:tc>
          <w:tcPr>
            <w:tcW w:w="1701" w:type="pct"/>
            <w:vAlign w:val="center"/>
          </w:tcPr>
          <w:p w14:paraId="18205373">
            <w:pPr>
              <w:pStyle w:val="14"/>
              <w:adjustRightInd w:val="0"/>
              <w:snapToGrid w:val="0"/>
              <w:spacing w:before="0" w:beforeAutospacing="0" w:after="0" w:afterAutospacing="0"/>
              <w:jc w:val="both"/>
              <w:rPr>
                <w:rFonts w:ascii="Times New Roman" w:hAnsi="Times New Roman" w:eastAsia="仿宋"/>
                <w:lang w:bidi="ar"/>
              </w:rPr>
            </w:pPr>
            <w:r>
              <w:rPr>
                <w:rFonts w:hint="eastAsia" w:ascii="Times New Roman" w:hAnsi="Times New Roman" w:eastAsia="仿宋"/>
                <w:lang w:bidi="ar"/>
              </w:rPr>
              <w:t>InSAR风险监测预警原型平台</w:t>
            </w:r>
            <w:r>
              <w:rPr>
                <w:rFonts w:hint="eastAsia" w:ascii="Times New Roman" w:hAnsi="Times New Roman" w:eastAsia="仿宋"/>
                <w:lang w:val="en-US" w:eastAsia="zh-CN" w:bidi="ar"/>
              </w:rPr>
              <w:t>开发</w:t>
            </w:r>
            <w:r>
              <w:rPr>
                <w:rFonts w:hint="eastAsia" w:ascii="Times New Roman" w:hAnsi="Times New Roman" w:eastAsia="仿宋"/>
                <w:lang w:bidi="ar"/>
              </w:rPr>
              <w:t>，具备多源数据管理、InSAR形变监测、风险智能识别与综合评估等功能</w:t>
            </w:r>
            <w:r>
              <w:rPr>
                <w:rFonts w:hint="eastAsia" w:ascii="Times New Roman" w:hAnsi="Times New Roman" w:eastAsia="仿宋"/>
                <w:lang w:eastAsia="zh-CN" w:bidi="ar"/>
              </w:rPr>
              <w:t>；平台内置动态阈值学习与误报过滤机制，根据实际反馈调整预警灵敏度，确保有效提醒率达标、无效提醒率可控</w:t>
            </w:r>
            <w:r>
              <w:rPr>
                <w:rFonts w:hint="eastAsia" w:ascii="Times New Roman" w:hAnsi="Times New Roman" w:eastAsia="仿宋"/>
                <w:lang w:bidi="ar"/>
              </w:rPr>
              <w:t>。</w:t>
            </w:r>
          </w:p>
        </w:tc>
        <w:tc>
          <w:tcPr>
            <w:tcW w:w="277" w:type="pct"/>
            <w:vAlign w:val="center"/>
          </w:tcPr>
          <w:p w14:paraId="1CCDB1B4">
            <w:pPr>
              <w:pStyle w:val="14"/>
              <w:adjustRightInd w:val="0"/>
              <w:snapToGrid w:val="0"/>
              <w:spacing w:before="0" w:beforeAutospacing="0" w:after="0" w:afterAutospacing="0"/>
              <w:jc w:val="center"/>
              <w:rPr>
                <w:rFonts w:ascii="Times New Roman" w:hAnsi="Times New Roman" w:eastAsia="仿宋"/>
              </w:rPr>
            </w:pPr>
            <w:r>
              <w:rPr>
                <w:rFonts w:hint="eastAsia" w:ascii="Times New Roman" w:hAnsi="Times New Roman" w:eastAsia="仿宋"/>
              </w:rPr>
              <w:t>套</w:t>
            </w:r>
          </w:p>
        </w:tc>
        <w:tc>
          <w:tcPr>
            <w:tcW w:w="253" w:type="pct"/>
            <w:vAlign w:val="center"/>
          </w:tcPr>
          <w:p w14:paraId="317AB67D">
            <w:pPr>
              <w:pStyle w:val="14"/>
              <w:adjustRightInd w:val="0"/>
              <w:snapToGrid w:val="0"/>
              <w:spacing w:before="0" w:beforeAutospacing="0" w:after="0" w:afterAutospacing="0"/>
              <w:jc w:val="center"/>
              <w:rPr>
                <w:rFonts w:ascii="Times New Roman" w:hAnsi="Times New Roman" w:eastAsia="仿宋"/>
              </w:rPr>
            </w:pPr>
            <w:r>
              <w:rPr>
                <w:rFonts w:hint="eastAsia" w:ascii="Times New Roman" w:hAnsi="Times New Roman" w:eastAsia="仿宋"/>
              </w:rPr>
              <w:t>1</w:t>
            </w:r>
          </w:p>
        </w:tc>
        <w:tc>
          <w:tcPr>
            <w:tcW w:w="646" w:type="pct"/>
            <w:shd w:val="clear" w:color="auto" w:fill="auto"/>
            <w:vAlign w:val="center"/>
          </w:tcPr>
          <w:p w14:paraId="6B0DBB58">
            <w:pPr>
              <w:pStyle w:val="14"/>
              <w:adjustRightInd w:val="0"/>
              <w:snapToGrid w:val="0"/>
              <w:spacing w:before="0" w:beforeAutospacing="0" w:after="0" w:afterAutospacing="0"/>
              <w:jc w:val="center"/>
              <w:rPr>
                <w:rFonts w:hint="default" w:ascii="Times New Roman" w:hAnsi="Times New Roman" w:eastAsia="仿宋" w:cs="等线"/>
                <w:kern w:val="0"/>
                <w:sz w:val="24"/>
                <w:szCs w:val="24"/>
                <w:lang w:val="en-US" w:eastAsia="zh-CN" w:bidi="ar-SA"/>
              </w:rPr>
            </w:pPr>
          </w:p>
        </w:tc>
        <w:tc>
          <w:tcPr>
            <w:tcW w:w="471" w:type="pct"/>
            <w:shd w:val="clear" w:color="auto" w:fill="auto"/>
            <w:vAlign w:val="center"/>
          </w:tcPr>
          <w:p w14:paraId="5B9F226E">
            <w:pPr>
              <w:pStyle w:val="14"/>
              <w:adjustRightInd w:val="0"/>
              <w:snapToGrid w:val="0"/>
              <w:spacing w:before="0" w:beforeAutospacing="0" w:after="0" w:afterAutospacing="0"/>
              <w:jc w:val="center"/>
              <w:rPr>
                <w:rFonts w:ascii="Times New Roman" w:hAnsi="Times New Roman" w:eastAsia="仿宋" w:cs="等线"/>
                <w:kern w:val="0"/>
                <w:sz w:val="24"/>
                <w:szCs w:val="24"/>
                <w:lang w:val="en-US" w:eastAsia="zh-CN" w:bidi="ar-SA"/>
              </w:rPr>
            </w:pPr>
          </w:p>
        </w:tc>
        <w:tc>
          <w:tcPr>
            <w:tcW w:w="522" w:type="pct"/>
            <w:shd w:val="clear" w:color="auto" w:fill="auto"/>
            <w:vAlign w:val="center"/>
          </w:tcPr>
          <w:p w14:paraId="6175F571">
            <w:pPr>
              <w:pStyle w:val="14"/>
              <w:adjustRightInd w:val="0"/>
              <w:snapToGrid w:val="0"/>
              <w:spacing w:before="0" w:beforeAutospacing="0" w:after="0" w:afterAutospacing="0"/>
              <w:jc w:val="center"/>
              <w:rPr>
                <w:rFonts w:hint="default" w:ascii="Times New Roman" w:hAnsi="Times New Roman" w:eastAsia="仿宋" w:cs="等线"/>
                <w:kern w:val="0"/>
                <w:sz w:val="24"/>
                <w:szCs w:val="24"/>
                <w:lang w:val="en-US" w:eastAsia="zh-CN" w:bidi="ar-SA"/>
              </w:rPr>
            </w:pPr>
          </w:p>
        </w:tc>
      </w:tr>
      <w:tr w14:paraId="3E447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282" w:type="pct"/>
            <w:vAlign w:val="center"/>
          </w:tcPr>
          <w:p w14:paraId="0B24CD80">
            <w:pPr>
              <w:pStyle w:val="14"/>
              <w:adjustRightInd w:val="0"/>
              <w:snapToGrid w:val="0"/>
              <w:spacing w:before="0" w:beforeAutospacing="0" w:after="0" w:afterAutospacing="0"/>
              <w:jc w:val="center"/>
              <w:rPr>
                <w:rFonts w:hint="eastAsia" w:ascii="Times New Roman" w:hAnsi="Times New Roman" w:eastAsia="仿宋"/>
                <w:lang w:val="en-US" w:eastAsia="zh-CN"/>
              </w:rPr>
            </w:pPr>
            <w:r>
              <w:rPr>
                <w:rFonts w:hint="eastAsia" w:ascii="Times New Roman" w:hAnsi="Times New Roman" w:eastAsia="仿宋"/>
                <w:lang w:val="en-US" w:eastAsia="zh-CN"/>
              </w:rPr>
              <w:t>6</w:t>
            </w:r>
          </w:p>
        </w:tc>
        <w:tc>
          <w:tcPr>
            <w:tcW w:w="843" w:type="pct"/>
            <w:vAlign w:val="center"/>
          </w:tcPr>
          <w:p w14:paraId="26004912">
            <w:pPr>
              <w:pStyle w:val="14"/>
              <w:adjustRightInd w:val="0"/>
              <w:snapToGrid w:val="0"/>
              <w:spacing w:before="0" w:beforeAutospacing="0" w:after="0" w:afterAutospacing="0"/>
              <w:jc w:val="both"/>
              <w:rPr>
                <w:rFonts w:hint="default" w:ascii="Times New Roman" w:hAnsi="Times New Roman" w:eastAsia="仿宋"/>
                <w:color w:val="000000"/>
                <w:lang w:val="en-US" w:eastAsia="zh-CN" w:bidi="ar"/>
              </w:rPr>
            </w:pPr>
            <w:r>
              <w:rPr>
                <w:rFonts w:ascii="Times New Roman" w:hAnsi="Times New Roman" w:eastAsia="仿宋"/>
                <w:b/>
              </w:rPr>
              <w:t>里程碑</w:t>
            </w:r>
            <w:r>
              <w:rPr>
                <w:rFonts w:hint="eastAsia" w:ascii="Times New Roman" w:hAnsi="Times New Roman" w:eastAsia="仿宋"/>
                <w:b/>
                <w:lang w:val="en-US" w:eastAsia="zh-CN"/>
              </w:rPr>
              <w:t>6</w:t>
            </w:r>
            <w:r>
              <w:rPr>
                <w:rFonts w:ascii="Times New Roman" w:hAnsi="Times New Roman" w:eastAsia="仿宋"/>
                <w:b/>
              </w:rPr>
              <w:t>：</w:t>
            </w:r>
            <w:r>
              <w:rPr>
                <w:rFonts w:hint="eastAsia" w:ascii="Times New Roman" w:hAnsi="Times New Roman" w:eastAsia="仿宋"/>
                <w:color w:val="000000"/>
                <w:lang w:val="en-US" w:eastAsia="zh-CN" w:bidi="ar"/>
              </w:rPr>
              <w:t>成果报告编制</w:t>
            </w:r>
          </w:p>
        </w:tc>
        <w:tc>
          <w:tcPr>
            <w:tcW w:w="1701" w:type="pct"/>
            <w:vAlign w:val="center"/>
          </w:tcPr>
          <w:p w14:paraId="3EF2D04E">
            <w:pPr>
              <w:pStyle w:val="14"/>
              <w:adjustRightInd w:val="0"/>
              <w:snapToGrid w:val="0"/>
              <w:spacing w:before="0" w:beforeAutospacing="0" w:after="0" w:afterAutospacing="0"/>
              <w:jc w:val="both"/>
              <w:rPr>
                <w:rFonts w:hint="default" w:ascii="Times New Roman" w:hAnsi="Times New Roman" w:eastAsia="仿宋"/>
                <w:lang w:val="en-US" w:eastAsia="zh-CN" w:bidi="ar"/>
              </w:rPr>
            </w:pPr>
            <w:r>
              <w:rPr>
                <w:rFonts w:hint="eastAsia" w:ascii="Times New Roman" w:hAnsi="Times New Roman" w:eastAsia="仿宋"/>
                <w:lang w:bidi="ar"/>
              </w:rPr>
              <w:t>矢量数据“.shp”格式。文档，电子版（docx格式）/纸质版。开展内业数据编辑整理及报告编制。报告提供道路结构物形变情况和风险分级结果等信息，便于相关部门分析和决策。成果可选择以电子版（docx格式）或纸质版形式提供（含打印费）。月度报告，</w:t>
            </w:r>
            <w:r>
              <w:rPr>
                <w:rFonts w:hint="eastAsia" w:ascii="Times New Roman" w:hAnsi="Times New Roman" w:eastAsia="仿宋"/>
                <w:lang w:val="en-US" w:eastAsia="zh-CN" w:bidi="ar"/>
              </w:rPr>
              <w:t>2026年</w:t>
            </w:r>
            <w:r>
              <w:rPr>
                <w:rFonts w:hint="eastAsia" w:ascii="Times New Roman" w:hAnsi="Times New Roman" w:eastAsia="仿宋"/>
                <w:lang w:bidi="ar"/>
              </w:rPr>
              <w:t>6</w:t>
            </w:r>
            <w:r>
              <w:rPr>
                <w:rFonts w:hint="eastAsia" w:ascii="Times New Roman" w:hAnsi="Times New Roman" w:eastAsia="仿宋"/>
                <w:lang w:val="en-US" w:eastAsia="zh-CN" w:bidi="ar"/>
              </w:rPr>
              <w:t>~</w:t>
            </w:r>
            <w:r>
              <w:rPr>
                <w:rFonts w:hint="eastAsia" w:ascii="Times New Roman" w:hAnsi="Times New Roman" w:eastAsia="仿宋"/>
                <w:lang w:bidi="ar"/>
              </w:rPr>
              <w:t>12月每月提供</w:t>
            </w:r>
            <w:r>
              <w:rPr>
                <w:rFonts w:hint="eastAsia" w:ascii="Times New Roman" w:hAnsi="Times New Roman" w:eastAsia="仿宋"/>
                <w:lang w:val="en-US" w:eastAsia="zh-CN" w:bidi="ar"/>
              </w:rPr>
              <w:t>1期，</w:t>
            </w:r>
            <w:r>
              <w:rPr>
                <w:rFonts w:hint="eastAsia" w:ascii="Times New Roman" w:hAnsi="Times New Roman" w:eastAsia="仿宋"/>
                <w:lang w:bidi="ar"/>
              </w:rPr>
              <w:t>共7期，年度提供年度总结报告1份。</w:t>
            </w:r>
          </w:p>
        </w:tc>
        <w:tc>
          <w:tcPr>
            <w:tcW w:w="277" w:type="pct"/>
            <w:vAlign w:val="center"/>
          </w:tcPr>
          <w:p w14:paraId="17BBAE95">
            <w:pPr>
              <w:pStyle w:val="14"/>
              <w:adjustRightInd w:val="0"/>
              <w:snapToGrid w:val="0"/>
              <w:spacing w:before="0" w:beforeAutospacing="0" w:after="0" w:afterAutospacing="0"/>
              <w:jc w:val="center"/>
              <w:rPr>
                <w:rFonts w:hint="eastAsia" w:ascii="Times New Roman" w:hAnsi="Times New Roman" w:eastAsia="仿宋"/>
                <w:lang w:eastAsia="zh-CN"/>
              </w:rPr>
            </w:pPr>
            <w:r>
              <w:rPr>
                <w:rFonts w:hint="eastAsia" w:ascii="Times New Roman" w:hAnsi="Times New Roman" w:eastAsia="仿宋"/>
                <w:lang w:val="en-US" w:eastAsia="zh-CN"/>
              </w:rPr>
              <w:t>项</w:t>
            </w:r>
          </w:p>
        </w:tc>
        <w:tc>
          <w:tcPr>
            <w:tcW w:w="253" w:type="pct"/>
            <w:vAlign w:val="center"/>
          </w:tcPr>
          <w:p w14:paraId="0211AFF7">
            <w:pPr>
              <w:pStyle w:val="14"/>
              <w:adjustRightInd w:val="0"/>
              <w:snapToGrid w:val="0"/>
              <w:spacing w:before="0" w:beforeAutospacing="0" w:after="0" w:afterAutospacing="0"/>
              <w:jc w:val="center"/>
              <w:rPr>
                <w:rFonts w:ascii="Times New Roman" w:hAnsi="Times New Roman" w:eastAsia="仿宋"/>
              </w:rPr>
            </w:pPr>
            <w:r>
              <w:rPr>
                <w:rFonts w:hint="eastAsia" w:ascii="Times New Roman" w:hAnsi="Times New Roman" w:eastAsia="仿宋"/>
              </w:rPr>
              <w:t>1</w:t>
            </w:r>
          </w:p>
        </w:tc>
        <w:tc>
          <w:tcPr>
            <w:tcW w:w="646" w:type="pct"/>
            <w:shd w:val="clear" w:color="auto" w:fill="auto"/>
            <w:vAlign w:val="center"/>
          </w:tcPr>
          <w:p w14:paraId="6C11A64A">
            <w:pPr>
              <w:pStyle w:val="14"/>
              <w:adjustRightInd w:val="0"/>
              <w:snapToGrid w:val="0"/>
              <w:spacing w:before="0" w:beforeAutospacing="0" w:after="0" w:afterAutospacing="0"/>
              <w:jc w:val="center"/>
              <w:rPr>
                <w:rFonts w:hint="default" w:ascii="Times New Roman" w:hAnsi="Times New Roman" w:eastAsia="仿宋" w:cs="等线"/>
                <w:kern w:val="0"/>
                <w:sz w:val="24"/>
                <w:szCs w:val="24"/>
                <w:lang w:val="en-US" w:eastAsia="zh-CN" w:bidi="ar-SA"/>
              </w:rPr>
            </w:pPr>
          </w:p>
        </w:tc>
        <w:tc>
          <w:tcPr>
            <w:tcW w:w="471" w:type="pct"/>
            <w:shd w:val="clear" w:color="auto" w:fill="auto"/>
            <w:vAlign w:val="center"/>
          </w:tcPr>
          <w:p w14:paraId="0CA62337">
            <w:pPr>
              <w:pStyle w:val="14"/>
              <w:adjustRightInd w:val="0"/>
              <w:snapToGrid w:val="0"/>
              <w:spacing w:before="0" w:beforeAutospacing="0" w:after="0" w:afterAutospacing="0"/>
              <w:jc w:val="center"/>
              <w:rPr>
                <w:rFonts w:ascii="Times New Roman" w:hAnsi="Times New Roman" w:eastAsia="仿宋" w:cs="等线"/>
                <w:kern w:val="0"/>
                <w:sz w:val="24"/>
                <w:szCs w:val="24"/>
                <w:lang w:val="en-US" w:eastAsia="zh-CN" w:bidi="ar-SA"/>
              </w:rPr>
            </w:pPr>
          </w:p>
        </w:tc>
        <w:tc>
          <w:tcPr>
            <w:tcW w:w="522" w:type="pct"/>
            <w:shd w:val="clear" w:color="auto" w:fill="auto"/>
            <w:vAlign w:val="center"/>
          </w:tcPr>
          <w:p w14:paraId="00CD15AC">
            <w:pPr>
              <w:pStyle w:val="14"/>
              <w:adjustRightInd w:val="0"/>
              <w:snapToGrid w:val="0"/>
              <w:spacing w:before="0" w:beforeAutospacing="0" w:after="0" w:afterAutospacing="0"/>
              <w:jc w:val="center"/>
              <w:rPr>
                <w:rFonts w:hint="default" w:ascii="Times New Roman" w:hAnsi="Times New Roman" w:eastAsia="仿宋" w:cs="等线"/>
                <w:kern w:val="0"/>
                <w:sz w:val="24"/>
                <w:szCs w:val="24"/>
                <w:lang w:val="en-US" w:eastAsia="zh-CN" w:bidi="ar-SA"/>
              </w:rPr>
            </w:pPr>
          </w:p>
        </w:tc>
      </w:tr>
      <w:tr w14:paraId="39D84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282" w:type="pct"/>
            <w:vAlign w:val="center"/>
          </w:tcPr>
          <w:p w14:paraId="44915948">
            <w:pPr>
              <w:pStyle w:val="14"/>
              <w:adjustRightInd w:val="0"/>
              <w:snapToGrid w:val="0"/>
              <w:spacing w:before="0" w:beforeAutospacing="0" w:after="0" w:afterAutospacing="0"/>
              <w:jc w:val="center"/>
              <w:rPr>
                <w:rFonts w:hint="default" w:ascii="Times New Roman" w:hAnsi="Times New Roman" w:eastAsia="仿宋"/>
                <w:lang w:val="en-US" w:eastAsia="zh-CN"/>
              </w:rPr>
            </w:pPr>
            <w:r>
              <w:rPr>
                <w:rFonts w:hint="eastAsia" w:ascii="Times New Roman" w:hAnsi="Times New Roman" w:eastAsia="仿宋"/>
                <w:lang w:val="en-US" w:eastAsia="zh-CN"/>
              </w:rPr>
              <w:t>7</w:t>
            </w:r>
          </w:p>
        </w:tc>
        <w:tc>
          <w:tcPr>
            <w:tcW w:w="843" w:type="pct"/>
            <w:vAlign w:val="center"/>
          </w:tcPr>
          <w:p w14:paraId="53555290">
            <w:pPr>
              <w:pStyle w:val="14"/>
              <w:adjustRightInd w:val="0"/>
              <w:snapToGrid w:val="0"/>
              <w:spacing w:before="0" w:beforeAutospacing="0" w:after="0" w:afterAutospacing="0"/>
              <w:jc w:val="both"/>
              <w:rPr>
                <w:rFonts w:ascii="Times New Roman" w:hAnsi="Times New Roman" w:eastAsia="仿宋"/>
                <w:b/>
              </w:rPr>
            </w:pPr>
            <w:r>
              <w:rPr>
                <w:rFonts w:ascii="Times New Roman" w:hAnsi="Times New Roman" w:eastAsia="仿宋"/>
                <w:b/>
              </w:rPr>
              <w:t>里程碑</w:t>
            </w:r>
            <w:r>
              <w:rPr>
                <w:rFonts w:hint="eastAsia" w:ascii="Times New Roman" w:hAnsi="Times New Roman" w:eastAsia="仿宋"/>
                <w:b/>
                <w:lang w:val="en-US" w:eastAsia="zh-CN"/>
              </w:rPr>
              <w:t>7</w:t>
            </w:r>
            <w:r>
              <w:rPr>
                <w:rFonts w:ascii="Times New Roman" w:hAnsi="Times New Roman" w:eastAsia="仿宋"/>
                <w:b/>
              </w:rPr>
              <w:t>：</w:t>
            </w:r>
            <w:r>
              <w:rPr>
                <w:rFonts w:hint="eastAsia" w:ascii="Times New Roman" w:hAnsi="Times New Roman" w:eastAsia="仿宋"/>
                <w:color w:val="000000"/>
                <w:lang w:val="en-US" w:eastAsia="zh-CN" w:bidi="ar"/>
              </w:rPr>
              <w:t>平台/</w:t>
            </w:r>
            <w:r>
              <w:rPr>
                <w:rFonts w:hint="eastAsia" w:ascii="Times New Roman" w:hAnsi="Times New Roman" w:eastAsia="仿宋"/>
                <w:lang w:val="en-US" w:eastAsia="zh-CN"/>
              </w:rPr>
              <w:t>模型</w:t>
            </w:r>
            <w:r>
              <w:rPr>
                <w:rFonts w:hint="eastAsia" w:ascii="Times New Roman" w:hAnsi="Times New Roman" w:eastAsia="仿宋"/>
                <w:color w:val="000000"/>
                <w:lang w:val="en-US" w:eastAsia="zh-CN" w:bidi="ar"/>
              </w:rPr>
              <w:t>稳定运行6个月</w:t>
            </w:r>
          </w:p>
        </w:tc>
        <w:tc>
          <w:tcPr>
            <w:tcW w:w="1701" w:type="pct"/>
            <w:vAlign w:val="center"/>
          </w:tcPr>
          <w:p w14:paraId="38044D1A">
            <w:pPr>
              <w:pStyle w:val="14"/>
              <w:adjustRightInd w:val="0"/>
              <w:snapToGrid w:val="0"/>
              <w:spacing w:before="0" w:beforeAutospacing="0" w:after="0" w:afterAutospacing="0"/>
              <w:jc w:val="both"/>
              <w:rPr>
                <w:rFonts w:hint="eastAsia" w:ascii="Times New Roman" w:hAnsi="Times New Roman" w:eastAsia="仿宋"/>
                <w:lang w:val="en-US" w:eastAsia="zh-CN" w:bidi="ar"/>
              </w:rPr>
            </w:pPr>
            <w:r>
              <w:rPr>
                <w:rFonts w:hint="eastAsia" w:ascii="Times New Roman" w:hAnsi="Times New Roman" w:eastAsia="仿宋"/>
                <w:lang w:val="en-US" w:eastAsia="zh-CN" w:bidi="ar"/>
              </w:rPr>
              <w:t>平台/</w:t>
            </w:r>
            <w:r>
              <w:rPr>
                <w:rFonts w:hint="eastAsia" w:ascii="Times New Roman" w:hAnsi="Times New Roman" w:eastAsia="仿宋"/>
                <w:lang w:val="en-US" w:eastAsia="zh-CN"/>
              </w:rPr>
              <w:t>模型</w:t>
            </w:r>
            <w:r>
              <w:rPr>
                <w:rFonts w:hint="eastAsia" w:ascii="Times New Roman" w:hAnsi="Times New Roman" w:eastAsia="仿宋"/>
                <w:lang w:val="en-US" w:eastAsia="zh-CN" w:bidi="ar"/>
              </w:rPr>
              <w:t>稳定运行6个月。</w:t>
            </w:r>
          </w:p>
        </w:tc>
        <w:tc>
          <w:tcPr>
            <w:tcW w:w="277" w:type="pct"/>
            <w:shd w:val="clear" w:color="auto" w:fill="auto"/>
            <w:vAlign w:val="center"/>
          </w:tcPr>
          <w:p w14:paraId="57529344">
            <w:pPr>
              <w:pStyle w:val="14"/>
              <w:adjustRightInd w:val="0"/>
              <w:snapToGrid w:val="0"/>
              <w:spacing w:before="0" w:beforeAutospacing="0" w:after="0" w:afterAutospacing="0"/>
              <w:jc w:val="center"/>
              <w:rPr>
                <w:rFonts w:hint="eastAsia" w:ascii="Times New Roman" w:hAnsi="Times New Roman" w:eastAsia="仿宋" w:cs="等线"/>
                <w:kern w:val="0"/>
                <w:sz w:val="24"/>
                <w:szCs w:val="24"/>
                <w:lang w:val="en-US" w:eastAsia="zh-CN" w:bidi="ar-SA"/>
              </w:rPr>
            </w:pPr>
            <w:r>
              <w:rPr>
                <w:rFonts w:hint="eastAsia" w:ascii="Times New Roman" w:hAnsi="Times New Roman" w:eastAsia="仿宋"/>
                <w:lang w:val="en-US" w:eastAsia="zh-CN"/>
              </w:rPr>
              <w:t>项</w:t>
            </w:r>
          </w:p>
        </w:tc>
        <w:tc>
          <w:tcPr>
            <w:tcW w:w="253" w:type="pct"/>
            <w:shd w:val="clear" w:color="auto" w:fill="auto"/>
            <w:vAlign w:val="center"/>
          </w:tcPr>
          <w:p w14:paraId="4E9ACD18">
            <w:pPr>
              <w:pStyle w:val="14"/>
              <w:adjustRightInd w:val="0"/>
              <w:snapToGrid w:val="0"/>
              <w:spacing w:before="0" w:beforeAutospacing="0" w:after="0" w:afterAutospacing="0"/>
              <w:jc w:val="center"/>
              <w:rPr>
                <w:rFonts w:hint="eastAsia" w:ascii="Times New Roman" w:hAnsi="Times New Roman" w:eastAsia="仿宋" w:cs="等线"/>
                <w:kern w:val="0"/>
                <w:sz w:val="24"/>
                <w:szCs w:val="24"/>
                <w:lang w:val="en-US" w:eastAsia="zh-CN" w:bidi="ar-SA"/>
              </w:rPr>
            </w:pPr>
            <w:r>
              <w:rPr>
                <w:rFonts w:hint="eastAsia" w:ascii="Times New Roman" w:hAnsi="Times New Roman" w:eastAsia="仿宋"/>
              </w:rPr>
              <w:t>1</w:t>
            </w:r>
          </w:p>
        </w:tc>
        <w:tc>
          <w:tcPr>
            <w:tcW w:w="646" w:type="pct"/>
            <w:vAlign w:val="center"/>
          </w:tcPr>
          <w:p w14:paraId="4A5FF9E4">
            <w:pPr>
              <w:pStyle w:val="14"/>
              <w:adjustRightInd w:val="0"/>
              <w:snapToGrid w:val="0"/>
              <w:spacing w:before="0" w:beforeAutospacing="0" w:after="0" w:afterAutospacing="0"/>
              <w:jc w:val="center"/>
              <w:rPr>
                <w:rFonts w:hint="default" w:ascii="Times New Roman" w:hAnsi="Times New Roman" w:eastAsia="仿宋"/>
                <w:lang w:val="en-US" w:eastAsia="zh-CN"/>
              </w:rPr>
            </w:pPr>
          </w:p>
        </w:tc>
        <w:tc>
          <w:tcPr>
            <w:tcW w:w="471" w:type="pct"/>
            <w:vAlign w:val="center"/>
          </w:tcPr>
          <w:p w14:paraId="55C2C248">
            <w:pPr>
              <w:adjustRightInd w:val="0"/>
              <w:snapToGrid w:val="0"/>
              <w:spacing w:before="0" w:beforeAutospacing="0" w:after="0" w:afterAutospacing="0"/>
              <w:jc w:val="center"/>
              <w:rPr>
                <w:rFonts w:ascii="Times New Roman" w:hAnsi="Times New Roman" w:eastAsia="仿宋"/>
              </w:rPr>
            </w:pPr>
          </w:p>
        </w:tc>
        <w:tc>
          <w:tcPr>
            <w:tcW w:w="522" w:type="pct"/>
            <w:vAlign w:val="center"/>
          </w:tcPr>
          <w:p w14:paraId="307D55AC">
            <w:pPr>
              <w:adjustRightInd w:val="0"/>
              <w:snapToGrid w:val="0"/>
              <w:spacing w:before="0" w:beforeAutospacing="0" w:after="0" w:afterAutospacing="0"/>
              <w:jc w:val="center"/>
              <w:rPr>
                <w:rFonts w:hint="default" w:ascii="Times New Roman" w:hAnsi="Times New Roman" w:eastAsia="仿宋"/>
                <w:lang w:val="en-US" w:eastAsia="zh-CN"/>
              </w:rPr>
            </w:pPr>
          </w:p>
        </w:tc>
      </w:tr>
      <w:tr w14:paraId="687A7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4477" w:type="pct"/>
            <w:gridSpan w:val="7"/>
            <w:vAlign w:val="center"/>
          </w:tcPr>
          <w:p w14:paraId="7DE176FD">
            <w:pPr>
              <w:pStyle w:val="14"/>
              <w:spacing w:before="0" w:beforeAutospacing="0" w:after="0" w:afterAutospacing="0" w:line="400" w:lineRule="exact"/>
              <w:jc w:val="center"/>
              <w:rPr>
                <w:rFonts w:ascii="Times New Roman" w:hAnsi="Times New Roman" w:eastAsia="仿宋"/>
              </w:rPr>
            </w:pPr>
            <w:r>
              <w:rPr>
                <w:rFonts w:hint="eastAsia" w:ascii="Times New Roman" w:hAnsi="Times New Roman" w:eastAsia="仿宋"/>
              </w:rPr>
              <w:t>合计：</w:t>
            </w:r>
          </w:p>
        </w:tc>
        <w:tc>
          <w:tcPr>
            <w:tcW w:w="522" w:type="pct"/>
            <w:vAlign w:val="center"/>
          </w:tcPr>
          <w:p w14:paraId="76CBA6CA">
            <w:pPr>
              <w:pStyle w:val="14"/>
              <w:spacing w:before="0" w:beforeAutospacing="0" w:after="0" w:afterAutospacing="0" w:line="400" w:lineRule="exact"/>
              <w:jc w:val="center"/>
              <w:rPr>
                <w:rFonts w:ascii="Times New Roman" w:hAnsi="Times New Roman" w:eastAsia="宋体"/>
                <w:szCs w:val="22"/>
              </w:rPr>
            </w:pPr>
          </w:p>
        </w:tc>
      </w:tr>
    </w:tbl>
    <w:p w14:paraId="4B10EC0F">
      <w:pPr>
        <w:rPr>
          <w:rFonts w:ascii="Times New Roman" w:hAnsi="Times New Roman" w:eastAsia="仿宋"/>
          <w:b/>
          <w:kern w:val="0"/>
          <w:sz w:val="32"/>
          <w:szCs w:val="32"/>
        </w:rPr>
      </w:pPr>
    </w:p>
    <w:p w14:paraId="044B3BFA">
      <w:pPr>
        <w:ind w:firstLine="2570" w:firstLineChars="800"/>
        <w:rPr>
          <w:rFonts w:ascii="Times New Roman" w:hAnsi="Times New Roman" w:eastAsia="仿宋"/>
          <w:b/>
          <w:kern w:val="0"/>
          <w:sz w:val="32"/>
          <w:szCs w:val="32"/>
        </w:rPr>
      </w:pPr>
    </w:p>
    <w:p w14:paraId="26EE5ADE">
      <w:pPr>
        <w:pStyle w:val="4"/>
        <w:rPr>
          <w:rFonts w:ascii="Times New Roman" w:hAnsi="Times New Roman"/>
        </w:rPr>
      </w:pPr>
    </w:p>
    <w:p w14:paraId="26EE5ADF">
      <w:pPr>
        <w:ind w:firstLine="2570" w:firstLineChars="800"/>
        <w:rPr>
          <w:rFonts w:ascii="Times New Roman" w:hAnsi="Times New Roman" w:eastAsia="仿宋"/>
          <w:b/>
          <w:kern w:val="0"/>
          <w:sz w:val="32"/>
          <w:szCs w:val="32"/>
        </w:rPr>
      </w:pPr>
      <w:r>
        <w:rPr>
          <w:rFonts w:ascii="Times New Roman" w:hAnsi="Times New Roman" w:eastAsia="仿宋"/>
          <w:b/>
          <w:kern w:val="0"/>
          <w:sz w:val="32"/>
          <w:szCs w:val="32"/>
        </w:rPr>
        <w:br w:type="page"/>
      </w:r>
      <w:r>
        <w:rPr>
          <w:rFonts w:ascii="Times New Roman" w:hAnsi="Times New Roman" w:eastAsia="仿宋"/>
          <w:b/>
          <w:kern w:val="0"/>
          <w:sz w:val="32"/>
          <w:szCs w:val="32"/>
        </w:rPr>
        <w:t>附件三：里程碑工程进度</w:t>
      </w:r>
    </w:p>
    <w:p w14:paraId="6661B7C3">
      <w:pPr>
        <w:pStyle w:val="14"/>
        <w:spacing w:before="0" w:beforeAutospacing="0" w:after="0" w:afterAutospacing="0" w:line="400" w:lineRule="exact"/>
        <w:ind w:firstLine="482" w:firstLineChars="200"/>
        <w:jc w:val="both"/>
        <w:rPr>
          <w:rFonts w:hint="eastAsia" w:ascii="Times New Roman" w:hAnsi="Times New Roman" w:eastAsia="仿宋"/>
          <w:b/>
          <w:lang w:val="en-US" w:eastAsia="zh-CN"/>
        </w:rPr>
      </w:pPr>
      <w:r>
        <w:rPr>
          <w:rFonts w:ascii="Times New Roman" w:hAnsi="Times New Roman" w:eastAsia="仿宋"/>
          <w:b/>
        </w:rPr>
        <w:t>里程碑1：</w:t>
      </w:r>
      <w:r>
        <w:rPr>
          <w:rFonts w:hint="eastAsia" w:ascii="Times New Roman" w:hAnsi="Times New Roman" w:eastAsia="仿宋"/>
          <w:b/>
        </w:rPr>
        <w:t>重庆奉溪高速公路42公里、绕城高速10公里两端路的SAR数据及光学遥感影像数据</w:t>
      </w:r>
      <w:r>
        <w:rPr>
          <w:rFonts w:hint="eastAsia" w:ascii="Times New Roman" w:hAnsi="Times New Roman" w:eastAsia="仿宋"/>
          <w:b/>
          <w:lang w:val="en-US" w:eastAsia="zh-CN"/>
        </w:rPr>
        <w:t>提供</w:t>
      </w:r>
    </w:p>
    <w:p w14:paraId="4398C2A1">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交付时间：202</w:t>
      </w:r>
      <w:r>
        <w:rPr>
          <w:rFonts w:hint="eastAsia" w:ascii="Times New Roman" w:hAnsi="Times New Roman" w:eastAsia="仿宋"/>
          <w:lang w:val="en-US" w:eastAsia="zh-CN"/>
        </w:rPr>
        <w:t>6</w:t>
      </w:r>
      <w:r>
        <w:rPr>
          <w:rFonts w:ascii="Times New Roman" w:hAnsi="Times New Roman" w:eastAsia="仿宋"/>
        </w:rPr>
        <w:t>年</w:t>
      </w:r>
      <w:r>
        <w:rPr>
          <w:rFonts w:hint="eastAsia" w:ascii="Times New Roman" w:hAnsi="Times New Roman" w:eastAsia="仿宋"/>
          <w:lang w:val="en-US" w:eastAsia="zh-CN"/>
        </w:rPr>
        <w:t>08</w:t>
      </w:r>
      <w:r>
        <w:rPr>
          <w:rFonts w:ascii="Times New Roman" w:hAnsi="Times New Roman" w:eastAsia="仿宋"/>
        </w:rPr>
        <w:t>月</w:t>
      </w:r>
      <w:r>
        <w:rPr>
          <w:rFonts w:hint="eastAsia" w:ascii="Times New Roman" w:hAnsi="Times New Roman" w:eastAsia="仿宋"/>
          <w:lang w:val="en-US" w:eastAsia="zh-CN"/>
        </w:rPr>
        <w:t>15</w:t>
      </w:r>
      <w:r>
        <w:rPr>
          <w:rFonts w:ascii="Times New Roman" w:hAnsi="Times New Roman" w:eastAsia="仿宋"/>
        </w:rPr>
        <w:t>日</w:t>
      </w:r>
    </w:p>
    <w:p w14:paraId="2080EF6F">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交付地点：重庆首讯科技股份有限公司</w:t>
      </w:r>
    </w:p>
    <w:p w14:paraId="11F57CBC">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交付内容：</w:t>
      </w:r>
      <w:r>
        <w:rPr>
          <w:rFonts w:hint="eastAsia" w:ascii="Times New Roman" w:hAnsi="Times New Roman" w:eastAsia="仿宋"/>
        </w:rPr>
        <w:t>1:5万DEM数据1次：“.tiff”格式栅格数据</w:t>
      </w:r>
      <w:r>
        <w:rPr>
          <w:rFonts w:hint="eastAsia" w:ascii="Times New Roman" w:hAnsi="Times New Roman" w:eastAsia="仿宋"/>
          <w:lang w:eastAsia="zh-CN"/>
        </w:rPr>
        <w:t>、</w:t>
      </w:r>
      <w:r>
        <w:rPr>
          <w:rFonts w:hint="eastAsia" w:ascii="Times New Roman" w:hAnsi="Times New Roman" w:eastAsia="仿宋"/>
        </w:rPr>
        <w:t>奉溪高速（42公里）L 波段SAR数据46景</w:t>
      </w:r>
      <w:r>
        <w:rPr>
          <w:rFonts w:hint="eastAsia" w:ascii="Times New Roman" w:hAnsi="Times New Roman" w:eastAsia="仿宋"/>
          <w:lang w:val="en-US" w:eastAsia="zh-CN"/>
        </w:rPr>
        <w:t>（2026年08月01日交付39景，2026年12月31日交付7景）</w:t>
      </w:r>
      <w:r>
        <w:rPr>
          <w:rFonts w:hint="eastAsia" w:ascii="Times New Roman" w:hAnsi="Times New Roman" w:eastAsia="仿宋"/>
        </w:rPr>
        <w:t>：SLC单视复数数据</w:t>
      </w:r>
      <w:r>
        <w:rPr>
          <w:rFonts w:hint="eastAsia" w:ascii="Times New Roman" w:hAnsi="Times New Roman" w:eastAsia="仿宋"/>
          <w:lang w:eastAsia="zh-CN"/>
        </w:rPr>
        <w:t>、</w:t>
      </w:r>
      <w:r>
        <w:rPr>
          <w:rFonts w:hint="eastAsia" w:ascii="Times New Roman" w:hAnsi="Times New Roman" w:eastAsia="仿宋"/>
        </w:rPr>
        <w:t>奉溪高速（42公里）光学遥感影像：“.tiff”格式栅格数据</w:t>
      </w:r>
      <w:r>
        <w:rPr>
          <w:rFonts w:hint="eastAsia" w:ascii="Times New Roman" w:hAnsi="Times New Roman" w:eastAsia="仿宋"/>
          <w:lang w:eastAsia="zh-CN"/>
        </w:rPr>
        <w:t>、绕城高速（10公里）光学遥感影像1期，C波段SAR数据56景</w:t>
      </w:r>
      <w:r>
        <w:rPr>
          <w:rFonts w:hint="eastAsia" w:ascii="Times New Roman" w:hAnsi="Times New Roman" w:eastAsia="仿宋"/>
        </w:rPr>
        <w:t>。</w:t>
      </w:r>
    </w:p>
    <w:p w14:paraId="2ADE2138">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阶段性检查的方式与方法：查验</w:t>
      </w:r>
      <w:r>
        <w:rPr>
          <w:rFonts w:hint="eastAsia" w:ascii="Times New Roman" w:hAnsi="Times New Roman" w:eastAsia="仿宋"/>
          <w:lang w:val="en-US" w:eastAsia="zh-CN"/>
        </w:rPr>
        <w:t>数据</w:t>
      </w:r>
      <w:r>
        <w:rPr>
          <w:rFonts w:ascii="Times New Roman" w:hAnsi="Times New Roman" w:eastAsia="仿宋"/>
        </w:rPr>
        <w:t>。</w:t>
      </w:r>
    </w:p>
    <w:p w14:paraId="3F10B9A2">
      <w:pPr>
        <w:pStyle w:val="14"/>
        <w:spacing w:before="0" w:beforeAutospacing="0" w:after="0" w:afterAutospacing="0" w:line="400" w:lineRule="exact"/>
        <w:ind w:firstLine="482" w:firstLineChars="200"/>
        <w:jc w:val="both"/>
        <w:rPr>
          <w:rFonts w:ascii="Times New Roman" w:hAnsi="Times New Roman" w:eastAsia="仿宋"/>
          <w:b/>
        </w:rPr>
      </w:pPr>
    </w:p>
    <w:p w14:paraId="6502FC3A">
      <w:pPr>
        <w:pStyle w:val="14"/>
        <w:spacing w:before="0" w:beforeAutospacing="0" w:after="0" w:afterAutospacing="0" w:line="400" w:lineRule="exact"/>
        <w:ind w:firstLine="482" w:firstLineChars="200"/>
        <w:jc w:val="both"/>
        <w:rPr>
          <w:rFonts w:ascii="Times New Roman" w:hAnsi="Times New Roman" w:eastAsia="仿宋"/>
          <w:b/>
        </w:rPr>
      </w:pPr>
      <w:r>
        <w:rPr>
          <w:rFonts w:ascii="Times New Roman" w:hAnsi="Times New Roman" w:eastAsia="仿宋"/>
          <w:b/>
        </w:rPr>
        <w:t>里程碑</w:t>
      </w:r>
      <w:r>
        <w:rPr>
          <w:rFonts w:hint="eastAsia" w:ascii="Times New Roman" w:hAnsi="Times New Roman" w:eastAsia="仿宋"/>
          <w:b/>
          <w:lang w:val="en-US" w:eastAsia="zh-CN"/>
        </w:rPr>
        <w:t>2</w:t>
      </w:r>
      <w:r>
        <w:rPr>
          <w:rFonts w:ascii="Times New Roman" w:hAnsi="Times New Roman" w:eastAsia="仿宋"/>
          <w:b/>
        </w:rPr>
        <w:t>：</w:t>
      </w:r>
      <w:r>
        <w:rPr>
          <w:rFonts w:hint="eastAsia" w:ascii="Times New Roman" w:hAnsi="Times New Roman" w:eastAsia="仿宋_GB2312" w:cs="等线"/>
          <w:b/>
          <w:bCs w:val="0"/>
          <w:kern w:val="0"/>
          <w:sz w:val="24"/>
          <w:szCs w:val="24"/>
          <w:lang w:val="en-US" w:eastAsia="zh-CN" w:bidi="ar-SA"/>
        </w:rPr>
        <w:t>重庆奉溪高速公路42公里、绕城高速10公里两端路的SAR数据及光学遥感影像数据处理及分析</w:t>
      </w:r>
    </w:p>
    <w:p w14:paraId="79027F45">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交付时间：202</w:t>
      </w:r>
      <w:r>
        <w:rPr>
          <w:rFonts w:hint="eastAsia" w:ascii="Times New Roman" w:hAnsi="Times New Roman" w:eastAsia="仿宋"/>
          <w:lang w:val="en-US" w:eastAsia="zh-CN"/>
        </w:rPr>
        <w:t>6</w:t>
      </w:r>
      <w:r>
        <w:rPr>
          <w:rFonts w:ascii="Times New Roman" w:hAnsi="Times New Roman" w:eastAsia="仿宋"/>
        </w:rPr>
        <w:t>年</w:t>
      </w:r>
      <w:r>
        <w:rPr>
          <w:rFonts w:hint="eastAsia" w:ascii="Times New Roman" w:hAnsi="Times New Roman" w:eastAsia="仿宋"/>
          <w:lang w:val="en-US" w:eastAsia="zh-CN"/>
        </w:rPr>
        <w:t>08</w:t>
      </w:r>
      <w:r>
        <w:rPr>
          <w:rFonts w:ascii="Times New Roman" w:hAnsi="Times New Roman" w:eastAsia="仿宋"/>
        </w:rPr>
        <w:t>月</w:t>
      </w:r>
      <w:r>
        <w:rPr>
          <w:rFonts w:hint="eastAsia" w:ascii="Times New Roman" w:hAnsi="Times New Roman" w:eastAsia="仿宋"/>
          <w:lang w:val="en-US" w:eastAsia="zh-CN"/>
        </w:rPr>
        <w:t>15</w:t>
      </w:r>
      <w:r>
        <w:rPr>
          <w:rFonts w:ascii="Times New Roman" w:hAnsi="Times New Roman" w:eastAsia="仿宋"/>
        </w:rPr>
        <w:t>日</w:t>
      </w:r>
    </w:p>
    <w:p w14:paraId="6AF87548">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交付地点：重庆首讯科技股份有限公司</w:t>
      </w:r>
    </w:p>
    <w:p w14:paraId="35449BFC">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color w:val="000000"/>
          <w:lang w:bidi="ar"/>
        </w:rPr>
        <w:t>交付内容：</w:t>
      </w:r>
      <w:r>
        <w:rPr>
          <w:rFonts w:hint="eastAsia" w:ascii="Times New Roman" w:hAnsi="Times New Roman" w:eastAsia="仿宋"/>
          <w:lang w:bidi="ar"/>
        </w:rPr>
        <w:t>高速公路结构物提取：“.shp”等格式矢量数据</w:t>
      </w:r>
      <w:r>
        <w:rPr>
          <w:rFonts w:hint="eastAsia" w:ascii="Times New Roman" w:hAnsi="Times New Roman" w:eastAsia="仿宋"/>
          <w:color w:val="000000"/>
          <w:lang w:eastAsia="zh-CN" w:bidi="ar"/>
        </w:rPr>
        <w:t>、</w:t>
      </w:r>
      <w:r>
        <w:rPr>
          <w:rFonts w:hint="eastAsia" w:ascii="Times New Roman" w:hAnsi="Times New Roman" w:eastAsia="仿宋"/>
          <w:color w:val="000000"/>
          <w:lang w:bidi="ar"/>
        </w:rPr>
        <w:t>奉溪高速L波段SAR 数据</w:t>
      </w:r>
      <w:r>
        <w:rPr>
          <w:rFonts w:hint="eastAsia" w:ascii="Times New Roman" w:hAnsi="Times New Roman" w:eastAsia="仿宋"/>
          <w:color w:val="000000"/>
          <w:lang w:val="en-US" w:eastAsia="zh-CN" w:bidi="ar"/>
        </w:rPr>
        <w:t>及</w:t>
      </w:r>
      <w:r>
        <w:rPr>
          <w:rFonts w:hint="eastAsia" w:ascii="Times New Roman" w:hAnsi="Times New Roman" w:eastAsia="仿宋"/>
          <w:color w:val="000000"/>
          <w:lang w:bidi="ar"/>
        </w:rPr>
        <w:t>InSAR数据处理：“.shp”等格式矢量数据</w:t>
      </w:r>
      <w:r>
        <w:rPr>
          <w:rFonts w:hint="eastAsia" w:ascii="Times New Roman" w:hAnsi="Times New Roman" w:eastAsia="仿宋"/>
          <w:color w:val="000000"/>
          <w:lang w:eastAsia="zh-CN" w:bidi="ar"/>
        </w:rPr>
        <w:t>、</w:t>
      </w:r>
      <w:r>
        <w:rPr>
          <w:rFonts w:hint="eastAsia" w:ascii="Times New Roman" w:hAnsi="Times New Roman" w:eastAsia="仿宋"/>
          <w:color w:val="000000"/>
          <w:lang w:bidi="ar"/>
        </w:rPr>
        <w:t>K99边坡C波段SAR数据</w:t>
      </w:r>
      <w:r>
        <w:rPr>
          <w:rFonts w:hint="eastAsia" w:ascii="Times New Roman" w:hAnsi="Times New Roman" w:eastAsia="仿宋"/>
          <w:color w:val="000000"/>
          <w:lang w:val="en-US" w:eastAsia="zh-CN" w:bidi="ar"/>
        </w:rPr>
        <w:t>及</w:t>
      </w:r>
      <w:r>
        <w:rPr>
          <w:rFonts w:hint="eastAsia" w:ascii="Times New Roman" w:hAnsi="Times New Roman" w:eastAsia="仿宋"/>
          <w:color w:val="000000"/>
          <w:lang w:bidi="ar"/>
        </w:rPr>
        <w:t>InSAR数据处理：“.shp”等格式矢量数据。</w:t>
      </w:r>
    </w:p>
    <w:p w14:paraId="1DE63E98">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阶段性检查的方式与方法：查验</w:t>
      </w:r>
      <w:r>
        <w:rPr>
          <w:rFonts w:hint="eastAsia" w:ascii="Times New Roman" w:hAnsi="Times New Roman" w:eastAsia="仿宋"/>
          <w:lang w:val="en-US" w:eastAsia="zh-CN"/>
        </w:rPr>
        <w:t>数据</w:t>
      </w:r>
      <w:r>
        <w:rPr>
          <w:rFonts w:ascii="Times New Roman" w:hAnsi="Times New Roman" w:eastAsia="仿宋"/>
        </w:rPr>
        <w:t>。</w:t>
      </w:r>
    </w:p>
    <w:p w14:paraId="68022F9F">
      <w:pPr>
        <w:pStyle w:val="14"/>
        <w:spacing w:before="0" w:beforeAutospacing="0" w:after="0" w:afterAutospacing="0" w:line="400" w:lineRule="exact"/>
        <w:ind w:firstLine="482" w:firstLineChars="200"/>
        <w:jc w:val="both"/>
        <w:rPr>
          <w:rFonts w:ascii="Times New Roman" w:hAnsi="Times New Roman" w:eastAsia="仿宋"/>
          <w:b/>
        </w:rPr>
      </w:pPr>
    </w:p>
    <w:p w14:paraId="26EE5AE0">
      <w:pPr>
        <w:pStyle w:val="14"/>
        <w:spacing w:before="0" w:beforeAutospacing="0" w:after="0" w:afterAutospacing="0" w:line="400" w:lineRule="exact"/>
        <w:ind w:firstLine="482" w:firstLineChars="200"/>
        <w:jc w:val="both"/>
        <w:rPr>
          <w:rFonts w:ascii="Times New Roman" w:hAnsi="Times New Roman" w:eastAsia="仿宋"/>
          <w:b/>
        </w:rPr>
      </w:pPr>
      <w:r>
        <w:rPr>
          <w:rFonts w:ascii="Times New Roman" w:hAnsi="Times New Roman" w:eastAsia="仿宋"/>
          <w:b/>
        </w:rPr>
        <w:t>里程碑</w:t>
      </w:r>
      <w:r>
        <w:rPr>
          <w:rFonts w:hint="eastAsia" w:ascii="Times New Roman" w:hAnsi="Times New Roman" w:eastAsia="仿宋"/>
          <w:b/>
          <w:lang w:val="en-US" w:eastAsia="zh-CN"/>
        </w:rPr>
        <w:t>3</w:t>
      </w:r>
      <w:r>
        <w:rPr>
          <w:rFonts w:ascii="Times New Roman" w:hAnsi="Times New Roman" w:eastAsia="仿宋"/>
          <w:b/>
        </w:rPr>
        <w:t>：</w:t>
      </w:r>
      <w:r>
        <w:rPr>
          <w:rFonts w:hint="eastAsia" w:ascii="Times New Roman" w:hAnsi="Times New Roman" w:eastAsia="仿宋"/>
          <w:b/>
        </w:rPr>
        <w:t>高速公路结构物隐患靶区智能识别模型</w:t>
      </w:r>
      <w:r>
        <w:rPr>
          <w:rFonts w:ascii="Times New Roman" w:hAnsi="Times New Roman" w:eastAsia="仿宋"/>
          <w:b/>
        </w:rPr>
        <w:t>技术</w:t>
      </w:r>
      <w:r>
        <w:rPr>
          <w:rFonts w:hint="eastAsia" w:ascii="Times New Roman" w:hAnsi="Times New Roman" w:eastAsia="仿宋"/>
          <w:b/>
        </w:rPr>
        <w:t>开发服务</w:t>
      </w:r>
    </w:p>
    <w:p w14:paraId="26EE5AE1">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交付时间：202</w:t>
      </w:r>
      <w:r>
        <w:rPr>
          <w:rFonts w:hint="eastAsia" w:ascii="Times New Roman" w:hAnsi="Times New Roman" w:eastAsia="仿宋"/>
          <w:lang w:val="en-US" w:eastAsia="zh-CN"/>
        </w:rPr>
        <w:t>6</w:t>
      </w:r>
      <w:r>
        <w:rPr>
          <w:rFonts w:ascii="Times New Roman" w:hAnsi="Times New Roman" w:eastAsia="仿宋"/>
        </w:rPr>
        <w:t>年</w:t>
      </w:r>
      <w:r>
        <w:rPr>
          <w:rFonts w:hint="eastAsia" w:ascii="Times New Roman" w:hAnsi="Times New Roman" w:eastAsia="仿宋"/>
          <w:lang w:val="en-US" w:eastAsia="zh-CN"/>
        </w:rPr>
        <w:t>09</w:t>
      </w:r>
      <w:r>
        <w:rPr>
          <w:rFonts w:ascii="Times New Roman" w:hAnsi="Times New Roman" w:eastAsia="仿宋"/>
        </w:rPr>
        <w:t>月</w:t>
      </w:r>
      <w:r>
        <w:rPr>
          <w:rFonts w:hint="eastAsia" w:ascii="Times New Roman" w:hAnsi="Times New Roman" w:eastAsia="仿宋"/>
          <w:lang w:val="en-US" w:eastAsia="zh-CN"/>
        </w:rPr>
        <w:t>10</w:t>
      </w:r>
      <w:r>
        <w:rPr>
          <w:rFonts w:ascii="Times New Roman" w:hAnsi="Times New Roman" w:eastAsia="仿宋"/>
        </w:rPr>
        <w:t>日</w:t>
      </w:r>
    </w:p>
    <w:p w14:paraId="26EE5AE2">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交付地点：重庆首讯科技股份有限公司</w:t>
      </w:r>
    </w:p>
    <w:p w14:paraId="26EE5AE3">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color w:val="000000"/>
          <w:lang w:bidi="ar"/>
        </w:rPr>
        <w:t>交付内容：</w:t>
      </w:r>
      <w:r>
        <w:rPr>
          <w:rFonts w:hint="eastAsia" w:ascii="Times New Roman" w:hAnsi="Times New Roman" w:eastAsia="仿宋"/>
          <w:lang w:bidi="ar"/>
        </w:rPr>
        <w:t>高速公路结构物隐患靶区智能识别模型</w:t>
      </w:r>
      <w:r>
        <w:rPr>
          <w:rFonts w:hint="eastAsia" w:ascii="Times New Roman" w:hAnsi="Times New Roman" w:eastAsia="仿宋"/>
          <w:lang w:val="en-US" w:eastAsia="zh-CN" w:bidi="ar"/>
        </w:rPr>
        <w:t>1套</w:t>
      </w:r>
      <w:r>
        <w:rPr>
          <w:rFonts w:hint="eastAsia" w:ascii="Times New Roman" w:hAnsi="Times New Roman" w:eastAsia="仿宋"/>
          <w:color w:val="000000"/>
          <w:lang w:bidi="ar"/>
        </w:rPr>
        <w:t>，隐患识别准确率不低于95%</w:t>
      </w:r>
      <w:r>
        <w:rPr>
          <w:rFonts w:hint="eastAsia" w:ascii="Times New Roman" w:hAnsi="Times New Roman" w:eastAsia="仿宋"/>
          <w:color w:val="000000"/>
          <w:lang w:eastAsia="zh-CN" w:bidi="ar"/>
        </w:rPr>
        <w:t>，</w:t>
      </w:r>
      <w:r>
        <w:rPr>
          <w:rFonts w:hint="eastAsia" w:ascii="Times New Roman" w:hAnsi="Times New Roman" w:eastAsia="仿宋"/>
          <w:color w:val="000000"/>
          <w:lang w:bidi="ar"/>
        </w:rPr>
        <w:t>提供发明专利技术交底书1份，支撑甲方完成1项发明专利申请。</w:t>
      </w:r>
    </w:p>
    <w:p w14:paraId="26EE5AE4">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阶段性检查的方式与方法：查验文档。</w:t>
      </w:r>
    </w:p>
    <w:p w14:paraId="26EE5AE5">
      <w:pPr>
        <w:pStyle w:val="14"/>
        <w:spacing w:before="0" w:beforeAutospacing="0" w:after="0" w:afterAutospacing="0" w:line="400" w:lineRule="exact"/>
        <w:ind w:firstLine="480" w:firstLineChars="200"/>
        <w:jc w:val="both"/>
        <w:rPr>
          <w:rFonts w:ascii="Times New Roman" w:hAnsi="Times New Roman" w:eastAsia="仿宋"/>
        </w:rPr>
      </w:pPr>
    </w:p>
    <w:p w14:paraId="26EE5AE6">
      <w:pPr>
        <w:pStyle w:val="14"/>
        <w:spacing w:before="0" w:beforeAutospacing="0" w:after="0" w:afterAutospacing="0" w:line="400" w:lineRule="exact"/>
        <w:ind w:firstLine="482" w:firstLineChars="200"/>
        <w:jc w:val="both"/>
        <w:rPr>
          <w:rFonts w:ascii="Times New Roman" w:hAnsi="Times New Roman" w:eastAsia="仿宋"/>
          <w:b/>
        </w:rPr>
      </w:pPr>
      <w:r>
        <w:rPr>
          <w:rFonts w:ascii="Times New Roman" w:hAnsi="Times New Roman" w:eastAsia="仿宋"/>
          <w:b/>
        </w:rPr>
        <w:t>里程碑</w:t>
      </w:r>
      <w:r>
        <w:rPr>
          <w:rFonts w:hint="eastAsia" w:ascii="Times New Roman" w:hAnsi="Times New Roman" w:eastAsia="仿宋"/>
          <w:b/>
          <w:lang w:val="en-US" w:eastAsia="zh-CN"/>
        </w:rPr>
        <w:t>4</w:t>
      </w:r>
      <w:r>
        <w:rPr>
          <w:rFonts w:ascii="Times New Roman" w:hAnsi="Times New Roman" w:eastAsia="仿宋"/>
          <w:b/>
        </w:rPr>
        <w:t>：</w:t>
      </w:r>
      <w:r>
        <w:rPr>
          <w:rFonts w:hint="eastAsia" w:ascii="Times New Roman" w:hAnsi="Times New Roman" w:eastAsia="仿宋"/>
          <w:b/>
        </w:rPr>
        <w:t>高速公路保护线人为违法扰动监测模型技术开发</w:t>
      </w:r>
      <w:r>
        <w:rPr>
          <w:rFonts w:ascii="Times New Roman" w:hAnsi="Times New Roman" w:eastAsia="仿宋"/>
          <w:b/>
        </w:rPr>
        <w:t>服务</w:t>
      </w:r>
    </w:p>
    <w:p w14:paraId="26EE5AE7">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交付时间：202</w:t>
      </w:r>
      <w:r>
        <w:rPr>
          <w:rFonts w:hint="eastAsia" w:ascii="Times New Roman" w:hAnsi="Times New Roman" w:eastAsia="仿宋"/>
          <w:lang w:val="en-US" w:eastAsia="zh-CN"/>
        </w:rPr>
        <w:t>6</w:t>
      </w:r>
      <w:r>
        <w:rPr>
          <w:rFonts w:ascii="Times New Roman" w:hAnsi="Times New Roman" w:eastAsia="仿宋"/>
        </w:rPr>
        <w:t>年</w:t>
      </w:r>
      <w:r>
        <w:rPr>
          <w:rFonts w:hint="eastAsia" w:ascii="Times New Roman" w:hAnsi="Times New Roman" w:eastAsia="仿宋"/>
          <w:lang w:val="en-US" w:eastAsia="zh-CN"/>
        </w:rPr>
        <w:t>10</w:t>
      </w:r>
      <w:r>
        <w:rPr>
          <w:rFonts w:ascii="Times New Roman" w:hAnsi="Times New Roman" w:eastAsia="仿宋"/>
        </w:rPr>
        <w:t>月30日</w:t>
      </w:r>
    </w:p>
    <w:p w14:paraId="26EE5AE8">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交付地点：重庆首讯科技股份有限公司</w:t>
      </w:r>
    </w:p>
    <w:p w14:paraId="26EE5AE9">
      <w:pPr>
        <w:pStyle w:val="14"/>
        <w:spacing w:before="0" w:beforeAutospacing="0" w:after="0" w:afterAutospacing="0" w:line="400" w:lineRule="exact"/>
        <w:ind w:firstLine="480" w:firstLineChars="200"/>
        <w:jc w:val="both"/>
        <w:rPr>
          <w:rFonts w:ascii="Times New Roman" w:hAnsi="Times New Roman" w:eastAsia="仿宋"/>
          <w:color w:val="000000"/>
          <w:lang w:bidi="ar"/>
        </w:rPr>
      </w:pPr>
      <w:r>
        <w:rPr>
          <w:rFonts w:ascii="Times New Roman" w:hAnsi="Times New Roman" w:eastAsia="仿宋"/>
          <w:color w:val="000000"/>
          <w:lang w:bidi="ar"/>
        </w:rPr>
        <w:t>交付内容：</w:t>
      </w:r>
      <w:r>
        <w:rPr>
          <w:rFonts w:hint="eastAsia" w:ascii="Times New Roman" w:hAnsi="Times New Roman" w:eastAsia="仿宋"/>
        </w:rPr>
        <w:t>高速公路</w:t>
      </w:r>
      <w:r>
        <w:rPr>
          <w:rFonts w:hint="eastAsia" w:ascii="Times New Roman" w:hAnsi="Times New Roman" w:eastAsia="仿宋"/>
          <w:lang w:bidi="ar"/>
        </w:rPr>
        <w:t>保护线人为违法扰动监测模型</w:t>
      </w:r>
      <w:r>
        <w:rPr>
          <w:rFonts w:hint="eastAsia" w:ascii="Times New Roman" w:hAnsi="Times New Roman" w:eastAsia="仿宋"/>
          <w:lang w:val="en-US" w:eastAsia="zh-CN" w:bidi="ar"/>
        </w:rPr>
        <w:t>1套，可识别违法扰动目标尺寸：违法搭建≥8m*8m，废料堆放≥10m*10m，违法开挖面≥3m*3m，识别准确率不低于90%</w:t>
      </w:r>
      <w:r>
        <w:rPr>
          <w:rFonts w:hint="eastAsia" w:ascii="Times New Roman" w:hAnsi="Times New Roman" w:eastAsia="仿宋"/>
          <w:color w:val="000000"/>
          <w:lang w:bidi="ar"/>
        </w:rPr>
        <w:t>。</w:t>
      </w:r>
    </w:p>
    <w:p w14:paraId="26EE5AEA">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阶段性检查的方式与方法：查验文档。</w:t>
      </w:r>
    </w:p>
    <w:p w14:paraId="26EE5AEB">
      <w:pPr>
        <w:pStyle w:val="14"/>
        <w:spacing w:before="0" w:beforeAutospacing="0" w:after="0" w:afterAutospacing="0" w:line="400" w:lineRule="exact"/>
        <w:ind w:firstLine="480" w:firstLineChars="200"/>
        <w:jc w:val="both"/>
        <w:rPr>
          <w:rFonts w:ascii="Times New Roman" w:hAnsi="Times New Roman" w:eastAsia="仿宋"/>
        </w:rPr>
      </w:pPr>
    </w:p>
    <w:p w14:paraId="26EE5AEC">
      <w:pPr>
        <w:pStyle w:val="14"/>
        <w:spacing w:before="0" w:beforeAutospacing="0" w:after="0" w:afterAutospacing="0" w:line="400" w:lineRule="exact"/>
        <w:ind w:firstLine="482" w:firstLineChars="200"/>
        <w:jc w:val="both"/>
        <w:rPr>
          <w:rFonts w:ascii="Times New Roman" w:hAnsi="Times New Roman" w:eastAsia="仿宋"/>
          <w:b/>
        </w:rPr>
      </w:pPr>
      <w:r>
        <w:rPr>
          <w:rFonts w:ascii="Times New Roman" w:hAnsi="Times New Roman" w:eastAsia="仿宋"/>
          <w:b/>
        </w:rPr>
        <w:t>里程碑</w:t>
      </w:r>
      <w:r>
        <w:rPr>
          <w:rFonts w:hint="eastAsia" w:ascii="Times New Roman" w:hAnsi="Times New Roman" w:eastAsia="仿宋"/>
          <w:b/>
          <w:lang w:val="en-US" w:eastAsia="zh-CN"/>
        </w:rPr>
        <w:t>5</w:t>
      </w:r>
      <w:r>
        <w:rPr>
          <w:rFonts w:ascii="Times New Roman" w:hAnsi="Times New Roman" w:eastAsia="仿宋"/>
          <w:b/>
        </w:rPr>
        <w:t>：</w:t>
      </w:r>
      <w:r>
        <w:rPr>
          <w:rFonts w:hint="eastAsia" w:ascii="Times New Roman" w:hAnsi="Times New Roman" w:eastAsia="仿宋"/>
          <w:b/>
        </w:rPr>
        <w:t>原型平台开发技术服务</w:t>
      </w:r>
    </w:p>
    <w:p w14:paraId="26EE5AED">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交付时间：202</w:t>
      </w:r>
      <w:r>
        <w:rPr>
          <w:rFonts w:hint="eastAsia" w:ascii="Times New Roman" w:hAnsi="Times New Roman" w:eastAsia="仿宋"/>
          <w:lang w:val="en-US" w:eastAsia="zh-CN"/>
        </w:rPr>
        <w:t>6</w:t>
      </w:r>
      <w:r>
        <w:rPr>
          <w:rFonts w:ascii="Times New Roman" w:hAnsi="Times New Roman" w:eastAsia="仿宋"/>
        </w:rPr>
        <w:t>年</w:t>
      </w:r>
      <w:r>
        <w:rPr>
          <w:rFonts w:hint="eastAsia" w:ascii="Times New Roman" w:hAnsi="Times New Roman" w:eastAsia="仿宋"/>
          <w:lang w:val="en-US" w:eastAsia="zh-CN"/>
        </w:rPr>
        <w:t>12</w:t>
      </w:r>
      <w:r>
        <w:rPr>
          <w:rFonts w:ascii="Times New Roman" w:hAnsi="Times New Roman" w:eastAsia="仿宋"/>
        </w:rPr>
        <w:t>月</w:t>
      </w:r>
      <w:r>
        <w:rPr>
          <w:rFonts w:hint="eastAsia" w:ascii="Times New Roman" w:hAnsi="Times New Roman" w:eastAsia="仿宋"/>
          <w:lang w:val="en-US" w:eastAsia="zh-CN"/>
        </w:rPr>
        <w:t>15</w:t>
      </w:r>
      <w:r>
        <w:rPr>
          <w:rFonts w:ascii="Times New Roman" w:hAnsi="Times New Roman" w:eastAsia="仿宋"/>
        </w:rPr>
        <w:t>日</w:t>
      </w:r>
    </w:p>
    <w:p w14:paraId="26EE5AEE">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交付地点：重庆首讯科技股份有限公司</w:t>
      </w:r>
    </w:p>
    <w:p w14:paraId="26EE5AEF">
      <w:pPr>
        <w:pStyle w:val="14"/>
        <w:spacing w:before="0" w:beforeAutospacing="0" w:after="0" w:afterAutospacing="0" w:line="400" w:lineRule="exact"/>
        <w:ind w:firstLine="480" w:firstLineChars="200"/>
        <w:jc w:val="both"/>
        <w:rPr>
          <w:rFonts w:ascii="Times New Roman" w:hAnsi="Times New Roman" w:eastAsia="仿宋"/>
          <w:color w:val="000000"/>
          <w:lang w:bidi="ar"/>
        </w:rPr>
      </w:pPr>
      <w:r>
        <w:rPr>
          <w:rFonts w:ascii="Times New Roman" w:hAnsi="Times New Roman" w:eastAsia="仿宋"/>
          <w:color w:val="000000"/>
          <w:lang w:bidi="ar"/>
        </w:rPr>
        <w:t>交付内容：</w:t>
      </w:r>
      <w:r>
        <w:rPr>
          <w:rFonts w:hint="eastAsia" w:ascii="Times New Roman" w:hAnsi="Times New Roman" w:eastAsia="仿宋"/>
          <w:lang w:bidi="ar"/>
        </w:rPr>
        <w:t>InSAR风险监测预警原型平台</w:t>
      </w:r>
      <w:r>
        <w:rPr>
          <w:rFonts w:hint="eastAsia" w:ascii="Times New Roman" w:hAnsi="Times New Roman" w:eastAsia="仿宋"/>
          <w:lang w:val="en-US" w:eastAsia="zh-CN" w:bidi="ar"/>
        </w:rPr>
        <w:t>1套，具备多源数据管理、InSAR形变监测、风险智能识别与综合评估等功能，风险漏报率低于5%，误报率控制在10%以内</w:t>
      </w:r>
      <w:r>
        <w:rPr>
          <w:rFonts w:hint="eastAsia" w:ascii="Times New Roman" w:hAnsi="Times New Roman" w:eastAsia="仿宋"/>
          <w:color w:val="000000"/>
          <w:lang w:bidi="ar"/>
        </w:rPr>
        <w:t>。</w:t>
      </w:r>
    </w:p>
    <w:p w14:paraId="26EE5AF0">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阶段性检查的方式与方法：查验</w:t>
      </w:r>
      <w:r>
        <w:rPr>
          <w:rFonts w:hint="eastAsia" w:ascii="Times New Roman" w:hAnsi="Times New Roman" w:eastAsia="仿宋"/>
          <w:lang w:val="en-US" w:eastAsia="zh-CN"/>
        </w:rPr>
        <w:t>平台及</w:t>
      </w:r>
      <w:r>
        <w:rPr>
          <w:rFonts w:ascii="Times New Roman" w:hAnsi="Times New Roman" w:eastAsia="仿宋"/>
        </w:rPr>
        <w:t>文档。</w:t>
      </w:r>
    </w:p>
    <w:p w14:paraId="26EE5AF1">
      <w:pPr>
        <w:pStyle w:val="14"/>
        <w:spacing w:before="0" w:beforeAutospacing="0" w:after="0" w:afterAutospacing="0" w:line="400" w:lineRule="exact"/>
        <w:ind w:firstLine="480" w:firstLineChars="200"/>
        <w:jc w:val="both"/>
        <w:rPr>
          <w:rFonts w:ascii="Times New Roman" w:hAnsi="Times New Roman" w:eastAsia="仿宋"/>
        </w:rPr>
      </w:pPr>
    </w:p>
    <w:p w14:paraId="26EE5AF2">
      <w:pPr>
        <w:pStyle w:val="14"/>
        <w:spacing w:before="0" w:beforeAutospacing="0" w:after="0" w:afterAutospacing="0" w:line="400" w:lineRule="exact"/>
        <w:ind w:firstLine="482" w:firstLineChars="200"/>
        <w:jc w:val="both"/>
        <w:rPr>
          <w:rFonts w:hint="default" w:ascii="Times New Roman" w:hAnsi="Times New Roman" w:eastAsia="仿宋"/>
          <w:b/>
          <w:lang w:val="en-US" w:eastAsia="zh-CN"/>
        </w:rPr>
      </w:pPr>
      <w:r>
        <w:rPr>
          <w:rFonts w:ascii="Times New Roman" w:hAnsi="Times New Roman" w:eastAsia="仿宋"/>
          <w:b/>
        </w:rPr>
        <w:t>里程碑</w:t>
      </w:r>
      <w:r>
        <w:rPr>
          <w:rFonts w:hint="eastAsia" w:ascii="Times New Roman" w:hAnsi="Times New Roman" w:eastAsia="仿宋"/>
          <w:b/>
          <w:lang w:val="en-US" w:eastAsia="zh-CN"/>
        </w:rPr>
        <w:t>6</w:t>
      </w:r>
      <w:r>
        <w:rPr>
          <w:rFonts w:ascii="Times New Roman" w:hAnsi="Times New Roman" w:eastAsia="仿宋"/>
          <w:b/>
        </w:rPr>
        <w:t>：</w:t>
      </w:r>
      <w:r>
        <w:rPr>
          <w:rFonts w:hint="eastAsia" w:ascii="Times New Roman" w:hAnsi="Times New Roman" w:eastAsia="仿宋"/>
          <w:b/>
        </w:rPr>
        <w:t>成果报告编制</w:t>
      </w:r>
    </w:p>
    <w:p w14:paraId="26EE5AF3">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交付时间：202</w:t>
      </w:r>
      <w:r>
        <w:rPr>
          <w:rFonts w:hint="eastAsia" w:ascii="Times New Roman" w:hAnsi="Times New Roman" w:eastAsia="仿宋"/>
          <w:lang w:val="en-US" w:eastAsia="zh-CN"/>
        </w:rPr>
        <w:t>6</w:t>
      </w:r>
      <w:r>
        <w:rPr>
          <w:rFonts w:ascii="Times New Roman" w:hAnsi="Times New Roman" w:eastAsia="仿宋"/>
        </w:rPr>
        <w:t>年</w:t>
      </w:r>
      <w:r>
        <w:rPr>
          <w:rFonts w:hint="eastAsia" w:ascii="Times New Roman" w:hAnsi="Times New Roman" w:eastAsia="仿宋"/>
          <w:lang w:val="en-US" w:eastAsia="zh-CN"/>
        </w:rPr>
        <w:t>12</w:t>
      </w:r>
      <w:r>
        <w:rPr>
          <w:rFonts w:ascii="Times New Roman" w:hAnsi="Times New Roman" w:eastAsia="仿宋"/>
        </w:rPr>
        <w:t>月3</w:t>
      </w:r>
      <w:r>
        <w:rPr>
          <w:rFonts w:hint="eastAsia" w:ascii="Times New Roman" w:hAnsi="Times New Roman" w:eastAsia="仿宋"/>
          <w:lang w:val="en-US" w:eastAsia="zh-CN"/>
        </w:rPr>
        <w:t>1</w:t>
      </w:r>
      <w:r>
        <w:rPr>
          <w:rFonts w:ascii="Times New Roman" w:hAnsi="Times New Roman" w:eastAsia="仿宋"/>
        </w:rPr>
        <w:t>日</w:t>
      </w:r>
    </w:p>
    <w:p w14:paraId="26EE5AF4">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交付地点：重庆首讯科技股份有限公司</w:t>
      </w:r>
    </w:p>
    <w:p w14:paraId="26EE5AF5">
      <w:pPr>
        <w:pStyle w:val="14"/>
        <w:spacing w:before="0" w:beforeAutospacing="0" w:after="0" w:afterAutospacing="0" w:line="400" w:lineRule="exact"/>
        <w:ind w:firstLine="480" w:firstLineChars="200"/>
        <w:jc w:val="both"/>
        <w:rPr>
          <w:rFonts w:ascii="Times New Roman" w:hAnsi="Times New Roman" w:eastAsia="仿宋"/>
          <w:color w:val="000000"/>
          <w:lang w:bidi="ar"/>
        </w:rPr>
      </w:pPr>
      <w:r>
        <w:rPr>
          <w:rFonts w:ascii="Times New Roman" w:hAnsi="Times New Roman" w:eastAsia="仿宋"/>
          <w:color w:val="000000"/>
          <w:lang w:bidi="ar"/>
        </w:rPr>
        <w:t>交付内容：</w:t>
      </w:r>
      <w:r>
        <w:rPr>
          <w:rFonts w:hint="eastAsia" w:ascii="Times New Roman" w:hAnsi="Times New Roman" w:eastAsia="仿宋"/>
          <w:color w:val="000000"/>
          <w:lang w:val="en-US" w:eastAsia="zh-CN" w:bidi="ar"/>
        </w:rPr>
        <w:t>成果报告</w:t>
      </w:r>
      <w:r>
        <w:rPr>
          <w:rFonts w:ascii="Times New Roman" w:hAnsi="Times New Roman" w:eastAsia="仿宋"/>
          <w:color w:val="000000"/>
          <w:lang w:bidi="ar"/>
        </w:rPr>
        <w:t>文档</w:t>
      </w:r>
    </w:p>
    <w:p w14:paraId="26EE5AFD">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阶段性检查的方式与方法：查验文档</w:t>
      </w:r>
      <w:r>
        <w:rPr>
          <w:rFonts w:hint="eastAsia" w:ascii="Times New Roman" w:hAnsi="Times New Roman" w:eastAsia="仿宋"/>
          <w:lang w:eastAsia="zh-CN"/>
        </w:rPr>
        <w:t>、</w:t>
      </w:r>
      <w:r>
        <w:rPr>
          <w:rFonts w:hint="eastAsia" w:ascii="Times New Roman" w:hAnsi="Times New Roman" w:eastAsia="仿宋"/>
          <w:lang w:val="en-US" w:eastAsia="zh-CN"/>
        </w:rPr>
        <w:t>平台及模型</w:t>
      </w:r>
      <w:r>
        <w:rPr>
          <w:rFonts w:ascii="Times New Roman" w:hAnsi="Times New Roman" w:eastAsia="仿宋"/>
        </w:rPr>
        <w:t>运行情况。</w:t>
      </w:r>
    </w:p>
    <w:p w14:paraId="1EA074A1">
      <w:pPr>
        <w:pStyle w:val="14"/>
        <w:spacing w:before="0" w:beforeAutospacing="0" w:after="0" w:afterAutospacing="0" w:line="400" w:lineRule="exact"/>
        <w:ind w:firstLine="480" w:firstLineChars="200"/>
        <w:jc w:val="both"/>
        <w:rPr>
          <w:rFonts w:ascii="Times New Roman" w:hAnsi="Times New Roman" w:eastAsia="仿宋"/>
        </w:rPr>
      </w:pPr>
    </w:p>
    <w:p w14:paraId="16CE0154">
      <w:pPr>
        <w:pStyle w:val="14"/>
        <w:spacing w:before="0" w:beforeAutospacing="0" w:after="0" w:afterAutospacing="0" w:line="400" w:lineRule="exact"/>
        <w:ind w:firstLine="482" w:firstLineChars="200"/>
        <w:jc w:val="both"/>
        <w:rPr>
          <w:rFonts w:hint="default" w:ascii="Times New Roman" w:hAnsi="Times New Roman" w:eastAsia="仿宋"/>
          <w:b/>
          <w:lang w:val="en-US" w:eastAsia="zh-CN"/>
        </w:rPr>
      </w:pPr>
      <w:r>
        <w:rPr>
          <w:rFonts w:ascii="Times New Roman" w:hAnsi="Times New Roman" w:eastAsia="仿宋"/>
          <w:b/>
        </w:rPr>
        <w:t>里程碑</w:t>
      </w:r>
      <w:r>
        <w:rPr>
          <w:rFonts w:hint="eastAsia" w:ascii="Times New Roman" w:hAnsi="Times New Roman" w:eastAsia="仿宋"/>
          <w:b/>
          <w:lang w:val="en-US" w:eastAsia="zh-CN"/>
        </w:rPr>
        <w:t>7</w:t>
      </w:r>
      <w:r>
        <w:rPr>
          <w:rFonts w:ascii="Times New Roman" w:hAnsi="Times New Roman" w:eastAsia="仿宋"/>
          <w:b/>
        </w:rPr>
        <w:t>：</w:t>
      </w:r>
      <w:r>
        <w:rPr>
          <w:rFonts w:hint="eastAsia" w:ascii="Times New Roman" w:hAnsi="Times New Roman" w:eastAsia="仿宋"/>
          <w:b/>
          <w:lang w:val="en-US" w:eastAsia="zh-CN"/>
        </w:rPr>
        <w:t>平台/模型稳定运行6月</w:t>
      </w:r>
    </w:p>
    <w:p w14:paraId="45B723BB">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交付时间：202</w:t>
      </w:r>
      <w:r>
        <w:rPr>
          <w:rFonts w:hint="eastAsia" w:ascii="Times New Roman" w:hAnsi="Times New Roman" w:eastAsia="仿宋"/>
          <w:lang w:val="en-US" w:eastAsia="zh-CN"/>
        </w:rPr>
        <w:t>7</w:t>
      </w:r>
      <w:r>
        <w:rPr>
          <w:rFonts w:ascii="Times New Roman" w:hAnsi="Times New Roman" w:eastAsia="仿宋"/>
        </w:rPr>
        <w:t>年</w:t>
      </w:r>
      <w:r>
        <w:rPr>
          <w:rFonts w:hint="eastAsia" w:ascii="Times New Roman" w:hAnsi="Times New Roman" w:eastAsia="仿宋"/>
          <w:lang w:val="en-US" w:eastAsia="zh-CN"/>
        </w:rPr>
        <w:t>06</w:t>
      </w:r>
      <w:r>
        <w:rPr>
          <w:rFonts w:ascii="Times New Roman" w:hAnsi="Times New Roman" w:eastAsia="仿宋"/>
        </w:rPr>
        <w:t>月</w:t>
      </w:r>
      <w:r>
        <w:rPr>
          <w:rFonts w:hint="eastAsia" w:ascii="Times New Roman" w:hAnsi="Times New Roman" w:eastAsia="仿宋"/>
          <w:lang w:val="en-US" w:eastAsia="zh-CN"/>
        </w:rPr>
        <w:t>01</w:t>
      </w:r>
      <w:r>
        <w:rPr>
          <w:rFonts w:ascii="Times New Roman" w:hAnsi="Times New Roman" w:eastAsia="仿宋"/>
        </w:rPr>
        <w:t>日</w:t>
      </w:r>
    </w:p>
    <w:p w14:paraId="0D12D911">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交付地点：重庆首讯科技股份有限公司</w:t>
      </w:r>
    </w:p>
    <w:p w14:paraId="35239A12">
      <w:pPr>
        <w:pStyle w:val="14"/>
        <w:spacing w:before="0" w:beforeAutospacing="0" w:after="0" w:afterAutospacing="0" w:line="400" w:lineRule="exact"/>
        <w:ind w:firstLine="480" w:firstLineChars="200"/>
        <w:jc w:val="both"/>
        <w:rPr>
          <w:rFonts w:ascii="Times New Roman" w:hAnsi="Times New Roman" w:eastAsia="仿宋"/>
          <w:color w:val="000000"/>
          <w:lang w:bidi="ar"/>
        </w:rPr>
      </w:pPr>
      <w:r>
        <w:rPr>
          <w:rFonts w:ascii="Times New Roman" w:hAnsi="Times New Roman" w:eastAsia="仿宋"/>
          <w:color w:val="000000"/>
          <w:lang w:bidi="ar"/>
        </w:rPr>
        <w:t>交付内容：</w:t>
      </w:r>
      <w:r>
        <w:rPr>
          <w:rFonts w:hint="eastAsia" w:ascii="Times New Roman" w:hAnsi="Times New Roman" w:eastAsia="仿宋"/>
          <w:color w:val="000000"/>
          <w:lang w:val="en-US" w:eastAsia="zh-CN" w:bidi="ar"/>
        </w:rPr>
        <w:t>无</w:t>
      </w:r>
    </w:p>
    <w:p w14:paraId="7CCD5969">
      <w:pPr>
        <w:pStyle w:val="14"/>
        <w:spacing w:before="0" w:beforeAutospacing="0" w:after="0" w:afterAutospacing="0" w:line="400" w:lineRule="exact"/>
        <w:ind w:firstLine="480" w:firstLineChars="200"/>
        <w:jc w:val="both"/>
        <w:rPr>
          <w:rFonts w:ascii="Times New Roman" w:hAnsi="Times New Roman" w:eastAsia="仿宋"/>
        </w:rPr>
      </w:pPr>
      <w:r>
        <w:rPr>
          <w:rFonts w:ascii="Times New Roman" w:hAnsi="Times New Roman" w:eastAsia="仿宋"/>
        </w:rPr>
        <w:t>阶段性检查的方式与方法：查验</w:t>
      </w:r>
      <w:r>
        <w:rPr>
          <w:rFonts w:hint="eastAsia" w:ascii="Times New Roman" w:hAnsi="Times New Roman" w:eastAsia="仿宋"/>
          <w:lang w:val="en-US" w:eastAsia="zh-CN"/>
        </w:rPr>
        <w:t>平台及模型</w:t>
      </w:r>
      <w:r>
        <w:rPr>
          <w:rFonts w:ascii="Times New Roman" w:hAnsi="Times New Roman" w:eastAsia="仿宋"/>
        </w:rPr>
        <w:t>运行情况。</w:t>
      </w:r>
    </w:p>
    <w:p w14:paraId="39A2BB40">
      <w:pPr>
        <w:pStyle w:val="14"/>
        <w:spacing w:before="0" w:beforeAutospacing="0" w:after="0" w:afterAutospacing="0" w:line="400" w:lineRule="exact"/>
        <w:ind w:firstLine="480" w:firstLineChars="200"/>
        <w:jc w:val="both"/>
        <w:rPr>
          <w:rFonts w:ascii="Times New Roman" w:hAnsi="Times New Roman" w:eastAsia="仿宋"/>
        </w:rPr>
      </w:pPr>
    </w:p>
    <w:p w14:paraId="304EA137">
      <w:pPr>
        <w:rPr>
          <w:rFonts w:ascii="Times New Roman" w:hAnsi="Times New Roman" w:eastAsia="仿宋"/>
          <w:b/>
          <w:kern w:val="0"/>
          <w:sz w:val="32"/>
          <w:szCs w:val="32"/>
        </w:rPr>
      </w:pPr>
      <w:r>
        <w:rPr>
          <w:rFonts w:ascii="Times New Roman" w:hAnsi="Times New Roman" w:eastAsia="仿宋"/>
          <w:b/>
          <w:kern w:val="0"/>
          <w:sz w:val="32"/>
          <w:szCs w:val="32"/>
        </w:rPr>
        <w:br w:type="page"/>
      </w:r>
    </w:p>
    <w:p w14:paraId="26EE5AFF">
      <w:pPr>
        <w:jc w:val="center"/>
        <w:rPr>
          <w:rFonts w:ascii="Times New Roman" w:hAnsi="Times New Roman" w:eastAsia="仿宋"/>
          <w:b/>
          <w:kern w:val="0"/>
          <w:sz w:val="32"/>
          <w:szCs w:val="32"/>
        </w:rPr>
      </w:pPr>
      <w:r>
        <w:rPr>
          <w:rFonts w:ascii="Times New Roman" w:hAnsi="Times New Roman" w:eastAsia="仿宋"/>
          <w:b/>
          <w:kern w:val="0"/>
          <w:sz w:val="32"/>
          <w:szCs w:val="32"/>
        </w:rPr>
        <w:t>附件四</w:t>
      </w:r>
    </w:p>
    <w:tbl>
      <w:tblPr>
        <w:tblStyle w:val="16"/>
        <w:tblW w:w="4977" w:type="pct"/>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745"/>
        <w:gridCol w:w="1282"/>
        <w:gridCol w:w="1491"/>
        <w:gridCol w:w="3298"/>
        <w:gridCol w:w="2358"/>
      </w:tblGrid>
      <w:tr w14:paraId="26EE5B0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9174" w:type="dxa"/>
            <w:gridSpan w:val="5"/>
            <w:tcBorders>
              <w:top w:val="single" w:color="000000" w:sz="6" w:space="0"/>
              <w:left w:val="single" w:color="000000" w:sz="6" w:space="0"/>
              <w:bottom w:val="single" w:color="000000" w:sz="6" w:space="0"/>
              <w:right w:val="single" w:color="000000" w:sz="6" w:space="0"/>
            </w:tcBorders>
          </w:tcPr>
          <w:p w14:paraId="26EE5B00">
            <w:pPr>
              <w:pStyle w:val="14"/>
              <w:spacing w:before="0" w:beforeAutospacing="0" w:after="0" w:afterAutospacing="0" w:line="400" w:lineRule="exact"/>
              <w:ind w:firstLine="482" w:firstLineChars="200"/>
              <w:jc w:val="center"/>
              <w:rPr>
                <w:rFonts w:ascii="Times New Roman" w:hAnsi="Times New Roman" w:eastAsia="仿宋"/>
                <w:b/>
                <w:color w:val="000000"/>
              </w:rPr>
            </w:pPr>
            <w:r>
              <w:rPr>
                <w:rFonts w:hint="eastAsia" w:ascii="Times New Roman" w:hAnsi="Times New Roman" w:eastAsia="仿宋"/>
                <w:b/>
                <w:color w:val="000000"/>
              </w:rPr>
              <w:t>项目小组成员</w:t>
            </w:r>
          </w:p>
        </w:tc>
      </w:tr>
      <w:tr w14:paraId="26EE5B0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65" w:hRule="atLeast"/>
        </w:trPr>
        <w:tc>
          <w:tcPr>
            <w:tcW w:w="741" w:type="dxa"/>
            <w:tcBorders>
              <w:top w:val="single" w:color="000000" w:sz="6" w:space="0"/>
              <w:left w:val="single" w:color="000000" w:sz="6" w:space="0"/>
              <w:bottom w:val="single" w:color="000000" w:sz="6" w:space="0"/>
              <w:right w:val="single" w:color="000000" w:sz="6" w:space="0"/>
            </w:tcBorders>
            <w:vAlign w:val="center"/>
          </w:tcPr>
          <w:p w14:paraId="26EE5B02">
            <w:pPr>
              <w:pStyle w:val="14"/>
              <w:adjustRightInd w:val="0"/>
              <w:snapToGrid w:val="0"/>
              <w:spacing w:before="78" w:beforeLines="25" w:beforeAutospacing="0" w:after="78" w:afterLines="25" w:afterAutospacing="0"/>
              <w:jc w:val="center"/>
              <w:rPr>
                <w:rFonts w:ascii="Times New Roman" w:hAnsi="Times New Roman" w:eastAsia="仿宋"/>
                <w:b/>
                <w:color w:val="000000"/>
              </w:rPr>
            </w:pPr>
            <w:r>
              <w:rPr>
                <w:rFonts w:hint="eastAsia" w:ascii="Times New Roman" w:hAnsi="Times New Roman" w:eastAsia="仿宋"/>
                <w:b/>
                <w:color w:val="000000"/>
              </w:rPr>
              <w:t>序号</w:t>
            </w:r>
          </w:p>
        </w:tc>
        <w:tc>
          <w:tcPr>
            <w:tcW w:w="1280" w:type="dxa"/>
            <w:tcBorders>
              <w:top w:val="single" w:color="000000" w:sz="6" w:space="0"/>
              <w:left w:val="single" w:color="000000" w:sz="6" w:space="0"/>
              <w:bottom w:val="single" w:color="000000" w:sz="6" w:space="0"/>
              <w:right w:val="single" w:color="000000" w:sz="6" w:space="0"/>
            </w:tcBorders>
            <w:vAlign w:val="center"/>
          </w:tcPr>
          <w:p w14:paraId="26EE5B03">
            <w:pPr>
              <w:pStyle w:val="14"/>
              <w:adjustRightInd w:val="0"/>
              <w:snapToGrid w:val="0"/>
              <w:spacing w:before="78" w:beforeLines="25" w:beforeAutospacing="0" w:after="78" w:afterLines="25" w:afterAutospacing="0"/>
              <w:jc w:val="center"/>
              <w:rPr>
                <w:rFonts w:ascii="Times New Roman" w:hAnsi="Times New Roman" w:eastAsia="仿宋"/>
                <w:b/>
                <w:color w:val="000000"/>
              </w:rPr>
            </w:pPr>
            <w:r>
              <w:rPr>
                <w:rFonts w:hint="eastAsia" w:ascii="Times New Roman" w:hAnsi="Times New Roman" w:eastAsia="仿宋"/>
                <w:b/>
                <w:color w:val="000000"/>
              </w:rPr>
              <w:t>姓名</w:t>
            </w:r>
          </w:p>
        </w:tc>
        <w:tc>
          <w:tcPr>
            <w:tcW w:w="1489" w:type="dxa"/>
            <w:tcBorders>
              <w:top w:val="single" w:color="000000" w:sz="6" w:space="0"/>
              <w:left w:val="single" w:color="000000" w:sz="6" w:space="0"/>
              <w:bottom w:val="single" w:color="000000" w:sz="6" w:space="0"/>
              <w:right w:val="single" w:color="000000" w:sz="6" w:space="0"/>
            </w:tcBorders>
            <w:vAlign w:val="center"/>
          </w:tcPr>
          <w:p w14:paraId="26EE5B04">
            <w:pPr>
              <w:pStyle w:val="14"/>
              <w:adjustRightInd w:val="0"/>
              <w:snapToGrid w:val="0"/>
              <w:spacing w:before="78" w:beforeLines="25" w:beforeAutospacing="0" w:after="78" w:afterLines="25" w:afterAutospacing="0"/>
              <w:jc w:val="center"/>
              <w:rPr>
                <w:rFonts w:ascii="Times New Roman" w:hAnsi="Times New Roman" w:eastAsia="仿宋"/>
                <w:b/>
                <w:color w:val="000000"/>
              </w:rPr>
            </w:pPr>
            <w:r>
              <w:rPr>
                <w:rFonts w:hint="eastAsia" w:ascii="Times New Roman" w:hAnsi="Times New Roman" w:eastAsia="仿宋"/>
                <w:b/>
                <w:color w:val="000000"/>
              </w:rPr>
              <w:t>职务</w:t>
            </w:r>
          </w:p>
        </w:tc>
        <w:tc>
          <w:tcPr>
            <w:tcW w:w="3304" w:type="dxa"/>
            <w:tcBorders>
              <w:top w:val="single" w:color="000000" w:sz="6" w:space="0"/>
              <w:left w:val="single" w:color="000000" w:sz="6" w:space="0"/>
              <w:bottom w:val="single" w:color="000000" w:sz="6" w:space="0"/>
              <w:right w:val="single" w:color="000000" w:sz="6" w:space="0"/>
            </w:tcBorders>
            <w:vAlign w:val="center"/>
          </w:tcPr>
          <w:p w14:paraId="26EE5B05">
            <w:pPr>
              <w:pStyle w:val="14"/>
              <w:adjustRightInd w:val="0"/>
              <w:snapToGrid w:val="0"/>
              <w:spacing w:before="78" w:beforeLines="25" w:beforeAutospacing="0" w:after="78" w:afterLines="25" w:afterAutospacing="0"/>
              <w:jc w:val="center"/>
              <w:rPr>
                <w:rFonts w:ascii="Times New Roman" w:hAnsi="Times New Roman" w:eastAsia="仿宋"/>
                <w:b/>
                <w:color w:val="000000"/>
              </w:rPr>
            </w:pPr>
            <w:r>
              <w:rPr>
                <w:rFonts w:hint="eastAsia" w:ascii="Times New Roman" w:hAnsi="Times New Roman" w:eastAsia="仿宋"/>
                <w:b/>
                <w:color w:val="000000"/>
              </w:rPr>
              <w:t>工作内容</w:t>
            </w:r>
          </w:p>
        </w:tc>
        <w:tc>
          <w:tcPr>
            <w:tcW w:w="2360" w:type="dxa"/>
            <w:tcBorders>
              <w:top w:val="single" w:color="000000" w:sz="6" w:space="0"/>
              <w:left w:val="single" w:color="000000" w:sz="6" w:space="0"/>
              <w:bottom w:val="single" w:color="000000" w:sz="6" w:space="0"/>
              <w:right w:val="single" w:color="000000" w:sz="6" w:space="0"/>
            </w:tcBorders>
            <w:vAlign w:val="center"/>
          </w:tcPr>
          <w:p w14:paraId="26EE5B06">
            <w:pPr>
              <w:pStyle w:val="14"/>
              <w:adjustRightInd w:val="0"/>
              <w:snapToGrid w:val="0"/>
              <w:spacing w:before="78" w:beforeLines="25" w:beforeAutospacing="0" w:after="78" w:afterLines="25" w:afterAutospacing="0"/>
              <w:jc w:val="center"/>
              <w:rPr>
                <w:rFonts w:ascii="Times New Roman" w:hAnsi="Times New Roman" w:eastAsia="仿宋"/>
                <w:b/>
                <w:color w:val="000000"/>
              </w:rPr>
            </w:pPr>
            <w:r>
              <w:rPr>
                <w:rFonts w:hint="eastAsia" w:ascii="Times New Roman" w:hAnsi="Times New Roman" w:eastAsia="仿宋"/>
                <w:b/>
                <w:color w:val="000000"/>
              </w:rPr>
              <w:t>联系方式</w:t>
            </w:r>
          </w:p>
        </w:tc>
      </w:tr>
      <w:tr w14:paraId="26EE5B0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vAlign w:val="center"/>
          </w:tcPr>
          <w:p w14:paraId="26EE5B08">
            <w:pPr>
              <w:pStyle w:val="14"/>
              <w:adjustRightInd w:val="0"/>
              <w:snapToGrid w:val="0"/>
              <w:spacing w:before="78" w:beforeLines="25" w:beforeAutospacing="0" w:after="78" w:afterLines="25" w:afterAutospacing="0"/>
              <w:jc w:val="center"/>
              <w:rPr>
                <w:rFonts w:ascii="Times New Roman" w:hAnsi="Times New Roman" w:eastAsia="仿宋"/>
                <w:color w:val="000000"/>
              </w:rPr>
            </w:pPr>
            <w:r>
              <w:rPr>
                <w:rFonts w:hint="eastAsia" w:ascii="Times New Roman" w:hAnsi="Times New Roman" w:eastAsia="仿宋"/>
                <w:color w:val="000000"/>
              </w:rPr>
              <w:t>1</w:t>
            </w:r>
          </w:p>
        </w:tc>
        <w:tc>
          <w:tcPr>
            <w:tcW w:w="1280" w:type="dxa"/>
            <w:tcBorders>
              <w:top w:val="single" w:color="000000" w:sz="6" w:space="0"/>
              <w:left w:val="single" w:color="000000" w:sz="6" w:space="0"/>
              <w:bottom w:val="single" w:color="000000" w:sz="6" w:space="0"/>
              <w:right w:val="single" w:color="000000" w:sz="6" w:space="0"/>
            </w:tcBorders>
            <w:vAlign w:val="center"/>
          </w:tcPr>
          <w:p w14:paraId="26EE5B09">
            <w:pPr>
              <w:pStyle w:val="14"/>
              <w:adjustRightInd w:val="0"/>
              <w:snapToGrid w:val="0"/>
              <w:spacing w:before="78" w:beforeLines="25" w:beforeAutospacing="0" w:after="78" w:afterLines="25" w:afterAutospacing="0"/>
              <w:jc w:val="center"/>
              <w:rPr>
                <w:rFonts w:ascii="Times New Roman" w:hAnsi="Times New Roman" w:eastAsia="仿宋"/>
                <w:color w:val="000000"/>
              </w:rPr>
            </w:pPr>
          </w:p>
        </w:tc>
        <w:tc>
          <w:tcPr>
            <w:tcW w:w="1489" w:type="dxa"/>
            <w:tcBorders>
              <w:top w:val="single" w:color="000000" w:sz="6" w:space="0"/>
              <w:left w:val="single" w:color="000000" w:sz="6" w:space="0"/>
              <w:bottom w:val="single" w:color="000000" w:sz="6" w:space="0"/>
              <w:right w:val="single" w:color="000000" w:sz="6" w:space="0"/>
            </w:tcBorders>
            <w:vAlign w:val="center"/>
          </w:tcPr>
          <w:p w14:paraId="26EE5B0A">
            <w:pPr>
              <w:pStyle w:val="14"/>
              <w:adjustRightInd w:val="0"/>
              <w:snapToGrid w:val="0"/>
              <w:spacing w:before="78" w:beforeLines="25" w:beforeAutospacing="0" w:after="78" w:afterLines="25" w:afterAutospacing="0"/>
              <w:jc w:val="center"/>
              <w:rPr>
                <w:rFonts w:ascii="Times New Roman" w:hAnsi="Times New Roman" w:eastAsia="仿宋"/>
                <w:color w:val="000000"/>
              </w:rPr>
            </w:pPr>
          </w:p>
        </w:tc>
        <w:tc>
          <w:tcPr>
            <w:tcW w:w="3304" w:type="dxa"/>
            <w:tcBorders>
              <w:top w:val="single" w:color="000000" w:sz="6" w:space="0"/>
              <w:left w:val="single" w:color="000000" w:sz="6" w:space="0"/>
              <w:bottom w:val="single" w:color="000000" w:sz="6" w:space="0"/>
              <w:right w:val="single" w:color="000000" w:sz="6" w:space="0"/>
            </w:tcBorders>
          </w:tcPr>
          <w:p w14:paraId="26EE5B0B">
            <w:pPr>
              <w:pStyle w:val="14"/>
              <w:adjustRightInd w:val="0"/>
              <w:snapToGrid w:val="0"/>
              <w:spacing w:before="78" w:beforeLines="25" w:beforeAutospacing="0" w:after="78" w:afterLines="25" w:afterAutospacing="0"/>
              <w:jc w:val="center"/>
              <w:rPr>
                <w:rFonts w:ascii="Times New Roman" w:hAnsi="Times New Roman" w:eastAsia="仿宋"/>
                <w:color w:val="000000"/>
              </w:rPr>
            </w:pPr>
          </w:p>
        </w:tc>
        <w:tc>
          <w:tcPr>
            <w:tcW w:w="2360" w:type="dxa"/>
            <w:tcBorders>
              <w:top w:val="single" w:color="000000" w:sz="6" w:space="0"/>
              <w:left w:val="single" w:color="000000" w:sz="6" w:space="0"/>
              <w:bottom w:val="single" w:color="000000" w:sz="6" w:space="0"/>
              <w:right w:val="single" w:color="000000" w:sz="6" w:space="0"/>
            </w:tcBorders>
            <w:vAlign w:val="center"/>
          </w:tcPr>
          <w:p w14:paraId="26EE5B0C">
            <w:pPr>
              <w:pStyle w:val="14"/>
              <w:adjustRightInd w:val="0"/>
              <w:snapToGrid w:val="0"/>
              <w:spacing w:before="78" w:beforeLines="25" w:beforeAutospacing="0" w:after="78" w:afterLines="25" w:afterAutospacing="0"/>
              <w:jc w:val="center"/>
              <w:rPr>
                <w:rFonts w:ascii="Times New Roman" w:hAnsi="Times New Roman" w:eastAsia="仿宋"/>
                <w:color w:val="000000"/>
              </w:rPr>
            </w:pPr>
          </w:p>
        </w:tc>
      </w:tr>
      <w:tr w14:paraId="26EE5B1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vAlign w:val="center"/>
          </w:tcPr>
          <w:p w14:paraId="26EE5B0E">
            <w:pPr>
              <w:pStyle w:val="14"/>
              <w:adjustRightInd w:val="0"/>
              <w:snapToGrid w:val="0"/>
              <w:spacing w:before="78" w:beforeLines="25" w:beforeAutospacing="0" w:after="78" w:afterLines="25" w:afterAutospacing="0"/>
              <w:jc w:val="center"/>
              <w:rPr>
                <w:rFonts w:ascii="Times New Roman" w:hAnsi="Times New Roman" w:eastAsia="仿宋"/>
                <w:color w:val="000000"/>
              </w:rPr>
            </w:pPr>
            <w:r>
              <w:rPr>
                <w:rFonts w:hint="eastAsia" w:ascii="Times New Roman" w:hAnsi="Times New Roman" w:eastAsia="仿宋"/>
                <w:color w:val="000000"/>
              </w:rPr>
              <w:t>2</w:t>
            </w:r>
          </w:p>
        </w:tc>
        <w:tc>
          <w:tcPr>
            <w:tcW w:w="1280" w:type="dxa"/>
            <w:tcBorders>
              <w:top w:val="single" w:color="000000" w:sz="6" w:space="0"/>
              <w:left w:val="single" w:color="000000" w:sz="6" w:space="0"/>
              <w:bottom w:val="single" w:color="000000" w:sz="6" w:space="0"/>
              <w:right w:val="single" w:color="000000" w:sz="6" w:space="0"/>
            </w:tcBorders>
            <w:vAlign w:val="center"/>
          </w:tcPr>
          <w:p w14:paraId="26EE5B0F">
            <w:pPr>
              <w:pStyle w:val="14"/>
              <w:adjustRightInd w:val="0"/>
              <w:snapToGrid w:val="0"/>
              <w:spacing w:before="78" w:beforeLines="25" w:beforeAutospacing="0" w:after="78" w:afterLines="25" w:afterAutospacing="0"/>
              <w:jc w:val="center"/>
              <w:rPr>
                <w:rFonts w:ascii="Times New Roman" w:hAnsi="Times New Roman" w:eastAsia="仿宋"/>
                <w:color w:val="000000"/>
              </w:rPr>
            </w:pPr>
          </w:p>
        </w:tc>
        <w:tc>
          <w:tcPr>
            <w:tcW w:w="1489" w:type="dxa"/>
            <w:tcBorders>
              <w:top w:val="single" w:color="000000" w:sz="6" w:space="0"/>
              <w:left w:val="single" w:color="000000" w:sz="6" w:space="0"/>
              <w:bottom w:val="single" w:color="000000" w:sz="6" w:space="0"/>
              <w:right w:val="single" w:color="000000" w:sz="6" w:space="0"/>
            </w:tcBorders>
            <w:vAlign w:val="center"/>
          </w:tcPr>
          <w:p w14:paraId="26EE5B10">
            <w:pPr>
              <w:pStyle w:val="14"/>
              <w:adjustRightInd w:val="0"/>
              <w:snapToGrid w:val="0"/>
              <w:spacing w:before="78" w:beforeLines="25" w:beforeAutospacing="0" w:after="78" w:afterLines="25" w:afterAutospacing="0"/>
              <w:jc w:val="center"/>
              <w:rPr>
                <w:rFonts w:ascii="Times New Roman" w:hAnsi="Times New Roman" w:eastAsia="仿宋"/>
                <w:color w:val="000000"/>
              </w:rPr>
            </w:pPr>
          </w:p>
        </w:tc>
        <w:tc>
          <w:tcPr>
            <w:tcW w:w="3304" w:type="dxa"/>
            <w:tcBorders>
              <w:top w:val="single" w:color="000000" w:sz="6" w:space="0"/>
              <w:left w:val="single" w:color="000000" w:sz="6" w:space="0"/>
              <w:bottom w:val="single" w:color="000000" w:sz="6" w:space="0"/>
              <w:right w:val="single" w:color="000000" w:sz="6" w:space="0"/>
            </w:tcBorders>
          </w:tcPr>
          <w:p w14:paraId="26EE5B11">
            <w:pPr>
              <w:pStyle w:val="14"/>
              <w:adjustRightInd w:val="0"/>
              <w:snapToGrid w:val="0"/>
              <w:spacing w:before="78" w:beforeLines="25" w:beforeAutospacing="0" w:after="78" w:afterLines="25" w:afterAutospacing="0"/>
              <w:jc w:val="center"/>
              <w:rPr>
                <w:rFonts w:ascii="Times New Roman" w:hAnsi="Times New Roman" w:eastAsia="仿宋"/>
                <w:color w:val="000000"/>
              </w:rPr>
            </w:pPr>
          </w:p>
        </w:tc>
        <w:tc>
          <w:tcPr>
            <w:tcW w:w="2360" w:type="dxa"/>
            <w:tcBorders>
              <w:top w:val="single" w:color="000000" w:sz="6" w:space="0"/>
              <w:left w:val="single" w:color="000000" w:sz="6" w:space="0"/>
              <w:bottom w:val="single" w:color="000000" w:sz="6" w:space="0"/>
              <w:right w:val="single" w:color="000000" w:sz="6" w:space="0"/>
            </w:tcBorders>
            <w:vAlign w:val="center"/>
          </w:tcPr>
          <w:p w14:paraId="26EE5B12">
            <w:pPr>
              <w:pStyle w:val="14"/>
              <w:adjustRightInd w:val="0"/>
              <w:snapToGrid w:val="0"/>
              <w:spacing w:before="78" w:beforeLines="25" w:beforeAutospacing="0" w:after="78" w:afterLines="25" w:afterAutospacing="0"/>
              <w:jc w:val="center"/>
              <w:rPr>
                <w:rFonts w:ascii="Times New Roman" w:hAnsi="Times New Roman" w:eastAsia="仿宋"/>
                <w:color w:val="000000"/>
              </w:rPr>
            </w:pPr>
          </w:p>
        </w:tc>
      </w:tr>
      <w:tr w14:paraId="26EE5B1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vAlign w:val="center"/>
          </w:tcPr>
          <w:p w14:paraId="26EE5B14">
            <w:pPr>
              <w:pStyle w:val="14"/>
              <w:adjustRightInd w:val="0"/>
              <w:snapToGrid w:val="0"/>
              <w:spacing w:before="78" w:beforeLines="25" w:beforeAutospacing="0" w:after="78" w:afterLines="25" w:afterAutospacing="0"/>
              <w:jc w:val="center"/>
              <w:rPr>
                <w:rFonts w:ascii="Times New Roman" w:hAnsi="Times New Roman" w:eastAsia="仿宋"/>
                <w:color w:val="000000"/>
              </w:rPr>
            </w:pPr>
            <w:r>
              <w:rPr>
                <w:rFonts w:hint="eastAsia" w:ascii="Times New Roman" w:hAnsi="Times New Roman" w:eastAsia="仿宋"/>
                <w:color w:val="000000"/>
              </w:rPr>
              <w:t>3</w:t>
            </w:r>
          </w:p>
        </w:tc>
        <w:tc>
          <w:tcPr>
            <w:tcW w:w="1280" w:type="dxa"/>
            <w:tcBorders>
              <w:top w:val="single" w:color="000000" w:sz="6" w:space="0"/>
              <w:left w:val="single" w:color="000000" w:sz="6" w:space="0"/>
              <w:bottom w:val="single" w:color="000000" w:sz="6" w:space="0"/>
              <w:right w:val="single" w:color="000000" w:sz="6" w:space="0"/>
            </w:tcBorders>
            <w:vAlign w:val="center"/>
          </w:tcPr>
          <w:p w14:paraId="26EE5B15">
            <w:pPr>
              <w:pStyle w:val="14"/>
              <w:adjustRightInd w:val="0"/>
              <w:snapToGrid w:val="0"/>
              <w:spacing w:before="78" w:beforeLines="25" w:beforeAutospacing="0" w:after="78" w:afterLines="25" w:afterAutospacing="0"/>
              <w:jc w:val="center"/>
              <w:rPr>
                <w:rFonts w:ascii="Times New Roman" w:hAnsi="Times New Roman" w:eastAsia="仿宋"/>
                <w:color w:val="000000"/>
              </w:rPr>
            </w:pPr>
          </w:p>
        </w:tc>
        <w:tc>
          <w:tcPr>
            <w:tcW w:w="1489" w:type="dxa"/>
            <w:tcBorders>
              <w:top w:val="single" w:color="000000" w:sz="6" w:space="0"/>
              <w:left w:val="single" w:color="000000" w:sz="6" w:space="0"/>
              <w:bottom w:val="single" w:color="000000" w:sz="6" w:space="0"/>
              <w:right w:val="single" w:color="000000" w:sz="6" w:space="0"/>
            </w:tcBorders>
            <w:vAlign w:val="center"/>
          </w:tcPr>
          <w:p w14:paraId="26EE5B16">
            <w:pPr>
              <w:pStyle w:val="14"/>
              <w:adjustRightInd w:val="0"/>
              <w:snapToGrid w:val="0"/>
              <w:spacing w:before="78" w:beforeLines="25" w:beforeAutospacing="0" w:after="78" w:afterLines="25" w:afterAutospacing="0"/>
              <w:jc w:val="center"/>
              <w:rPr>
                <w:rFonts w:ascii="Times New Roman" w:hAnsi="Times New Roman" w:eastAsia="仿宋"/>
                <w:color w:val="000000"/>
              </w:rPr>
            </w:pPr>
          </w:p>
        </w:tc>
        <w:tc>
          <w:tcPr>
            <w:tcW w:w="3304" w:type="dxa"/>
            <w:tcBorders>
              <w:top w:val="single" w:color="000000" w:sz="6" w:space="0"/>
              <w:left w:val="single" w:color="000000" w:sz="6" w:space="0"/>
              <w:bottom w:val="single" w:color="000000" w:sz="6" w:space="0"/>
              <w:right w:val="single" w:color="000000" w:sz="6" w:space="0"/>
            </w:tcBorders>
          </w:tcPr>
          <w:p w14:paraId="26EE5B17">
            <w:pPr>
              <w:pStyle w:val="14"/>
              <w:adjustRightInd w:val="0"/>
              <w:snapToGrid w:val="0"/>
              <w:spacing w:before="78" w:beforeLines="25" w:beforeAutospacing="0" w:after="78" w:afterLines="25" w:afterAutospacing="0"/>
              <w:jc w:val="center"/>
              <w:rPr>
                <w:rFonts w:ascii="Times New Roman" w:hAnsi="Times New Roman" w:eastAsia="仿宋"/>
                <w:color w:val="000000"/>
              </w:rPr>
            </w:pPr>
          </w:p>
        </w:tc>
        <w:tc>
          <w:tcPr>
            <w:tcW w:w="2360" w:type="dxa"/>
            <w:tcBorders>
              <w:top w:val="single" w:color="000000" w:sz="6" w:space="0"/>
              <w:left w:val="single" w:color="000000" w:sz="6" w:space="0"/>
              <w:bottom w:val="single" w:color="000000" w:sz="6" w:space="0"/>
              <w:right w:val="single" w:color="000000" w:sz="6" w:space="0"/>
            </w:tcBorders>
            <w:vAlign w:val="center"/>
          </w:tcPr>
          <w:p w14:paraId="26EE5B18">
            <w:pPr>
              <w:pStyle w:val="14"/>
              <w:adjustRightInd w:val="0"/>
              <w:snapToGrid w:val="0"/>
              <w:spacing w:before="78" w:beforeLines="25" w:beforeAutospacing="0" w:after="78" w:afterLines="25" w:afterAutospacing="0"/>
              <w:jc w:val="center"/>
              <w:rPr>
                <w:rFonts w:ascii="Times New Roman" w:hAnsi="Times New Roman" w:eastAsia="仿宋"/>
                <w:color w:val="000000"/>
              </w:rPr>
            </w:pPr>
          </w:p>
        </w:tc>
      </w:tr>
      <w:tr w14:paraId="26EE5B1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vAlign w:val="center"/>
          </w:tcPr>
          <w:p w14:paraId="26EE5B1A">
            <w:pPr>
              <w:pStyle w:val="14"/>
              <w:adjustRightInd w:val="0"/>
              <w:snapToGrid w:val="0"/>
              <w:spacing w:before="78" w:beforeLines="25" w:beforeAutospacing="0" w:after="78" w:afterLines="25" w:afterAutospacing="0"/>
              <w:jc w:val="center"/>
              <w:rPr>
                <w:rFonts w:ascii="Times New Roman" w:hAnsi="Times New Roman" w:eastAsia="仿宋"/>
                <w:color w:val="000000"/>
              </w:rPr>
            </w:pPr>
            <w:r>
              <w:rPr>
                <w:rFonts w:hint="eastAsia" w:ascii="Times New Roman" w:hAnsi="Times New Roman" w:eastAsia="仿宋"/>
                <w:color w:val="000000"/>
              </w:rPr>
              <w:t>4</w:t>
            </w:r>
          </w:p>
        </w:tc>
        <w:tc>
          <w:tcPr>
            <w:tcW w:w="1280" w:type="dxa"/>
            <w:tcBorders>
              <w:top w:val="single" w:color="000000" w:sz="6" w:space="0"/>
              <w:left w:val="single" w:color="000000" w:sz="6" w:space="0"/>
              <w:bottom w:val="single" w:color="000000" w:sz="6" w:space="0"/>
              <w:right w:val="single" w:color="000000" w:sz="6" w:space="0"/>
            </w:tcBorders>
            <w:vAlign w:val="center"/>
          </w:tcPr>
          <w:p w14:paraId="26EE5B1B">
            <w:pPr>
              <w:pStyle w:val="14"/>
              <w:adjustRightInd w:val="0"/>
              <w:snapToGrid w:val="0"/>
              <w:spacing w:before="78" w:beforeLines="25" w:beforeAutospacing="0" w:after="78" w:afterLines="25" w:afterAutospacing="0"/>
              <w:jc w:val="center"/>
              <w:rPr>
                <w:rFonts w:ascii="Times New Roman" w:hAnsi="Times New Roman" w:eastAsia="仿宋"/>
                <w:color w:val="000000"/>
              </w:rPr>
            </w:pPr>
          </w:p>
        </w:tc>
        <w:tc>
          <w:tcPr>
            <w:tcW w:w="1489" w:type="dxa"/>
            <w:tcBorders>
              <w:top w:val="single" w:color="000000" w:sz="6" w:space="0"/>
              <w:left w:val="single" w:color="000000" w:sz="6" w:space="0"/>
              <w:bottom w:val="single" w:color="000000" w:sz="6" w:space="0"/>
              <w:right w:val="single" w:color="000000" w:sz="6" w:space="0"/>
            </w:tcBorders>
            <w:vAlign w:val="center"/>
          </w:tcPr>
          <w:p w14:paraId="26EE5B1C">
            <w:pPr>
              <w:pStyle w:val="14"/>
              <w:adjustRightInd w:val="0"/>
              <w:snapToGrid w:val="0"/>
              <w:spacing w:before="78" w:beforeLines="25" w:beforeAutospacing="0" w:after="78" w:afterLines="25" w:afterAutospacing="0"/>
              <w:jc w:val="center"/>
              <w:rPr>
                <w:rFonts w:ascii="Times New Roman" w:hAnsi="Times New Roman" w:eastAsia="仿宋"/>
                <w:color w:val="000000"/>
              </w:rPr>
            </w:pPr>
          </w:p>
        </w:tc>
        <w:tc>
          <w:tcPr>
            <w:tcW w:w="3304" w:type="dxa"/>
            <w:tcBorders>
              <w:top w:val="single" w:color="000000" w:sz="6" w:space="0"/>
              <w:left w:val="single" w:color="000000" w:sz="6" w:space="0"/>
              <w:bottom w:val="single" w:color="000000" w:sz="6" w:space="0"/>
              <w:right w:val="single" w:color="000000" w:sz="6" w:space="0"/>
            </w:tcBorders>
          </w:tcPr>
          <w:p w14:paraId="26EE5B1D">
            <w:pPr>
              <w:pStyle w:val="14"/>
              <w:adjustRightInd w:val="0"/>
              <w:snapToGrid w:val="0"/>
              <w:spacing w:before="78" w:beforeLines="25" w:beforeAutospacing="0" w:after="78" w:afterLines="25" w:afterAutospacing="0"/>
              <w:jc w:val="center"/>
              <w:rPr>
                <w:rFonts w:ascii="Times New Roman" w:hAnsi="Times New Roman" w:eastAsia="仿宋"/>
                <w:color w:val="000000"/>
              </w:rPr>
            </w:pPr>
          </w:p>
        </w:tc>
        <w:tc>
          <w:tcPr>
            <w:tcW w:w="2360" w:type="dxa"/>
            <w:tcBorders>
              <w:top w:val="single" w:color="000000" w:sz="6" w:space="0"/>
              <w:left w:val="single" w:color="000000" w:sz="6" w:space="0"/>
              <w:bottom w:val="single" w:color="000000" w:sz="6" w:space="0"/>
              <w:right w:val="single" w:color="000000" w:sz="6" w:space="0"/>
            </w:tcBorders>
            <w:vAlign w:val="center"/>
          </w:tcPr>
          <w:p w14:paraId="26EE5B1E">
            <w:pPr>
              <w:pStyle w:val="14"/>
              <w:adjustRightInd w:val="0"/>
              <w:snapToGrid w:val="0"/>
              <w:spacing w:before="78" w:beforeLines="25" w:beforeAutospacing="0" w:after="78" w:afterLines="25" w:afterAutospacing="0"/>
              <w:jc w:val="center"/>
              <w:rPr>
                <w:rFonts w:ascii="Times New Roman" w:hAnsi="Times New Roman" w:eastAsia="仿宋"/>
                <w:color w:val="000000"/>
              </w:rPr>
            </w:pPr>
          </w:p>
        </w:tc>
      </w:tr>
      <w:tr w14:paraId="26EE5B2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vAlign w:val="center"/>
          </w:tcPr>
          <w:p w14:paraId="26EE5B20">
            <w:pPr>
              <w:pStyle w:val="14"/>
              <w:adjustRightInd w:val="0"/>
              <w:snapToGrid w:val="0"/>
              <w:spacing w:before="78" w:beforeLines="25" w:beforeAutospacing="0" w:after="78" w:afterLines="25" w:afterAutospacing="0"/>
              <w:jc w:val="center"/>
              <w:rPr>
                <w:rFonts w:ascii="Times New Roman" w:hAnsi="Times New Roman" w:eastAsia="仿宋"/>
                <w:color w:val="000000"/>
              </w:rPr>
            </w:pPr>
            <w:r>
              <w:rPr>
                <w:rFonts w:hint="eastAsia" w:ascii="Times New Roman" w:hAnsi="Times New Roman" w:eastAsia="仿宋"/>
                <w:color w:val="000000"/>
              </w:rPr>
              <w:t>5</w:t>
            </w:r>
          </w:p>
        </w:tc>
        <w:tc>
          <w:tcPr>
            <w:tcW w:w="1280" w:type="dxa"/>
            <w:tcBorders>
              <w:top w:val="single" w:color="000000" w:sz="6" w:space="0"/>
              <w:left w:val="single" w:color="000000" w:sz="6" w:space="0"/>
              <w:bottom w:val="single" w:color="000000" w:sz="6" w:space="0"/>
              <w:right w:val="single" w:color="000000" w:sz="6" w:space="0"/>
            </w:tcBorders>
            <w:vAlign w:val="center"/>
          </w:tcPr>
          <w:p w14:paraId="26EE5B21">
            <w:pPr>
              <w:pStyle w:val="14"/>
              <w:adjustRightInd w:val="0"/>
              <w:snapToGrid w:val="0"/>
              <w:spacing w:before="78" w:beforeLines="25" w:beforeAutospacing="0" w:after="78" w:afterLines="25" w:afterAutospacing="0"/>
              <w:jc w:val="center"/>
              <w:rPr>
                <w:rFonts w:ascii="Times New Roman" w:hAnsi="Times New Roman" w:eastAsia="仿宋"/>
                <w:color w:val="000000"/>
              </w:rPr>
            </w:pPr>
          </w:p>
        </w:tc>
        <w:tc>
          <w:tcPr>
            <w:tcW w:w="1489" w:type="dxa"/>
            <w:tcBorders>
              <w:top w:val="single" w:color="000000" w:sz="6" w:space="0"/>
              <w:left w:val="single" w:color="000000" w:sz="6" w:space="0"/>
              <w:bottom w:val="single" w:color="000000" w:sz="6" w:space="0"/>
              <w:right w:val="single" w:color="000000" w:sz="6" w:space="0"/>
            </w:tcBorders>
            <w:vAlign w:val="center"/>
          </w:tcPr>
          <w:p w14:paraId="26EE5B22">
            <w:pPr>
              <w:pStyle w:val="14"/>
              <w:adjustRightInd w:val="0"/>
              <w:snapToGrid w:val="0"/>
              <w:spacing w:before="78" w:beforeLines="25" w:beforeAutospacing="0" w:after="78" w:afterLines="25" w:afterAutospacing="0"/>
              <w:jc w:val="center"/>
              <w:rPr>
                <w:rFonts w:ascii="Times New Roman" w:hAnsi="Times New Roman" w:eastAsia="仿宋"/>
                <w:color w:val="000000"/>
              </w:rPr>
            </w:pPr>
          </w:p>
        </w:tc>
        <w:tc>
          <w:tcPr>
            <w:tcW w:w="3304" w:type="dxa"/>
            <w:tcBorders>
              <w:top w:val="single" w:color="000000" w:sz="6" w:space="0"/>
              <w:left w:val="single" w:color="000000" w:sz="6" w:space="0"/>
              <w:bottom w:val="single" w:color="000000" w:sz="6" w:space="0"/>
              <w:right w:val="single" w:color="000000" w:sz="6" w:space="0"/>
            </w:tcBorders>
          </w:tcPr>
          <w:p w14:paraId="26EE5B23">
            <w:pPr>
              <w:pStyle w:val="14"/>
              <w:adjustRightInd w:val="0"/>
              <w:snapToGrid w:val="0"/>
              <w:spacing w:before="78" w:beforeLines="25" w:beforeAutospacing="0" w:after="78" w:afterLines="25" w:afterAutospacing="0"/>
              <w:jc w:val="center"/>
              <w:rPr>
                <w:rFonts w:ascii="Times New Roman" w:hAnsi="Times New Roman" w:eastAsia="仿宋"/>
                <w:color w:val="000000"/>
              </w:rPr>
            </w:pPr>
          </w:p>
        </w:tc>
        <w:tc>
          <w:tcPr>
            <w:tcW w:w="2360" w:type="dxa"/>
            <w:tcBorders>
              <w:top w:val="single" w:color="000000" w:sz="6" w:space="0"/>
              <w:left w:val="single" w:color="000000" w:sz="6" w:space="0"/>
              <w:bottom w:val="single" w:color="000000" w:sz="6" w:space="0"/>
              <w:right w:val="single" w:color="000000" w:sz="6" w:space="0"/>
            </w:tcBorders>
            <w:vAlign w:val="center"/>
          </w:tcPr>
          <w:p w14:paraId="26EE5B24">
            <w:pPr>
              <w:pStyle w:val="14"/>
              <w:adjustRightInd w:val="0"/>
              <w:snapToGrid w:val="0"/>
              <w:spacing w:before="78" w:beforeLines="25" w:beforeAutospacing="0" w:after="78" w:afterLines="25" w:afterAutospacing="0"/>
              <w:jc w:val="center"/>
              <w:rPr>
                <w:rFonts w:ascii="Times New Roman" w:hAnsi="Times New Roman" w:eastAsia="仿宋"/>
                <w:color w:val="000000"/>
              </w:rPr>
            </w:pPr>
          </w:p>
        </w:tc>
      </w:tr>
      <w:tr w14:paraId="26EE5B2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vAlign w:val="center"/>
          </w:tcPr>
          <w:p w14:paraId="26EE5B26">
            <w:pPr>
              <w:pStyle w:val="14"/>
              <w:adjustRightInd w:val="0"/>
              <w:snapToGrid w:val="0"/>
              <w:spacing w:before="78" w:beforeLines="25" w:beforeAutospacing="0" w:after="78" w:afterLines="25" w:afterAutospacing="0"/>
              <w:jc w:val="center"/>
              <w:rPr>
                <w:rFonts w:ascii="Times New Roman" w:hAnsi="Times New Roman" w:eastAsia="仿宋"/>
                <w:color w:val="000000"/>
              </w:rPr>
            </w:pPr>
            <w:r>
              <w:rPr>
                <w:rFonts w:hint="eastAsia" w:ascii="Times New Roman" w:hAnsi="Times New Roman" w:eastAsia="仿宋"/>
                <w:color w:val="000000"/>
              </w:rPr>
              <w:t>6</w:t>
            </w:r>
          </w:p>
        </w:tc>
        <w:tc>
          <w:tcPr>
            <w:tcW w:w="1280" w:type="dxa"/>
            <w:tcBorders>
              <w:top w:val="single" w:color="000000" w:sz="6" w:space="0"/>
              <w:left w:val="single" w:color="000000" w:sz="6" w:space="0"/>
              <w:bottom w:val="single" w:color="000000" w:sz="6" w:space="0"/>
              <w:right w:val="single" w:color="000000" w:sz="6" w:space="0"/>
            </w:tcBorders>
            <w:vAlign w:val="center"/>
          </w:tcPr>
          <w:p w14:paraId="26EE5B27">
            <w:pPr>
              <w:pStyle w:val="14"/>
              <w:adjustRightInd w:val="0"/>
              <w:snapToGrid w:val="0"/>
              <w:spacing w:before="78" w:beforeLines="25" w:beforeAutospacing="0" w:after="78" w:afterLines="25" w:afterAutospacing="0"/>
              <w:jc w:val="center"/>
              <w:rPr>
                <w:rFonts w:ascii="Times New Roman" w:hAnsi="Times New Roman" w:eastAsia="仿宋"/>
                <w:color w:val="000000"/>
              </w:rPr>
            </w:pPr>
          </w:p>
        </w:tc>
        <w:tc>
          <w:tcPr>
            <w:tcW w:w="1489" w:type="dxa"/>
            <w:tcBorders>
              <w:top w:val="single" w:color="000000" w:sz="6" w:space="0"/>
              <w:left w:val="single" w:color="000000" w:sz="6" w:space="0"/>
              <w:bottom w:val="single" w:color="000000" w:sz="6" w:space="0"/>
              <w:right w:val="single" w:color="000000" w:sz="6" w:space="0"/>
            </w:tcBorders>
            <w:vAlign w:val="center"/>
          </w:tcPr>
          <w:p w14:paraId="26EE5B28">
            <w:pPr>
              <w:pStyle w:val="14"/>
              <w:adjustRightInd w:val="0"/>
              <w:snapToGrid w:val="0"/>
              <w:spacing w:before="78" w:beforeLines="25" w:beforeAutospacing="0" w:after="78" w:afterLines="25" w:afterAutospacing="0"/>
              <w:jc w:val="center"/>
              <w:rPr>
                <w:rFonts w:ascii="Times New Roman" w:hAnsi="Times New Roman" w:eastAsia="仿宋"/>
                <w:color w:val="000000"/>
              </w:rPr>
            </w:pPr>
          </w:p>
        </w:tc>
        <w:tc>
          <w:tcPr>
            <w:tcW w:w="3304" w:type="dxa"/>
            <w:tcBorders>
              <w:top w:val="single" w:color="000000" w:sz="6" w:space="0"/>
              <w:left w:val="single" w:color="000000" w:sz="6" w:space="0"/>
              <w:bottom w:val="single" w:color="000000" w:sz="6" w:space="0"/>
              <w:right w:val="single" w:color="000000" w:sz="6" w:space="0"/>
            </w:tcBorders>
          </w:tcPr>
          <w:p w14:paraId="26EE5B29">
            <w:pPr>
              <w:pStyle w:val="14"/>
              <w:adjustRightInd w:val="0"/>
              <w:snapToGrid w:val="0"/>
              <w:spacing w:before="78" w:beforeLines="25" w:beforeAutospacing="0" w:after="78" w:afterLines="25" w:afterAutospacing="0"/>
              <w:jc w:val="center"/>
              <w:rPr>
                <w:rFonts w:ascii="Times New Roman" w:hAnsi="Times New Roman" w:eastAsia="仿宋"/>
                <w:color w:val="000000"/>
              </w:rPr>
            </w:pPr>
          </w:p>
        </w:tc>
        <w:tc>
          <w:tcPr>
            <w:tcW w:w="2360" w:type="dxa"/>
            <w:tcBorders>
              <w:top w:val="single" w:color="000000" w:sz="6" w:space="0"/>
              <w:left w:val="single" w:color="000000" w:sz="6" w:space="0"/>
              <w:bottom w:val="single" w:color="000000" w:sz="6" w:space="0"/>
              <w:right w:val="single" w:color="000000" w:sz="6" w:space="0"/>
            </w:tcBorders>
            <w:vAlign w:val="center"/>
          </w:tcPr>
          <w:p w14:paraId="26EE5B2A">
            <w:pPr>
              <w:pStyle w:val="14"/>
              <w:adjustRightInd w:val="0"/>
              <w:snapToGrid w:val="0"/>
              <w:spacing w:before="78" w:beforeLines="25" w:beforeAutospacing="0" w:after="78" w:afterLines="25" w:afterAutospacing="0"/>
              <w:jc w:val="center"/>
              <w:rPr>
                <w:rFonts w:ascii="Times New Roman" w:hAnsi="Times New Roman" w:eastAsia="仿宋"/>
                <w:color w:val="000000"/>
              </w:rPr>
            </w:pPr>
          </w:p>
        </w:tc>
      </w:tr>
    </w:tbl>
    <w:p w14:paraId="26EE5B2C">
      <w:pPr>
        <w:pStyle w:val="14"/>
        <w:spacing w:before="0" w:beforeAutospacing="0" w:after="0" w:afterAutospacing="0" w:line="440" w:lineRule="exact"/>
        <w:rPr>
          <w:rFonts w:ascii="Times New Roman" w:hAnsi="Times New Roman" w:eastAsia="仿宋"/>
          <w:color w:val="000000"/>
          <w:kern w:val="2"/>
        </w:rPr>
      </w:pPr>
    </w:p>
    <w:p w14:paraId="26EE5B2D">
      <w:pPr>
        <w:pStyle w:val="4"/>
        <w:rPr>
          <w:rFonts w:ascii="Times New Roman" w:hAnsi="Times New Roman"/>
        </w:rPr>
      </w:pPr>
      <w:r>
        <w:br w:type="page"/>
      </w:r>
    </w:p>
    <w:p w14:paraId="26EE5B2E">
      <w:pPr>
        <w:widowControl/>
        <w:jc w:val="center"/>
        <w:rPr>
          <w:rFonts w:ascii="Times New Roman" w:hAnsi="Times New Roman" w:eastAsia="仿宋"/>
          <w:b/>
          <w:kern w:val="0"/>
          <w:sz w:val="32"/>
          <w:szCs w:val="32"/>
        </w:rPr>
      </w:pPr>
      <w:r>
        <w:rPr>
          <w:rFonts w:ascii="Times New Roman" w:hAnsi="Times New Roman" w:eastAsia="仿宋"/>
          <w:b/>
          <w:kern w:val="0"/>
          <w:sz w:val="32"/>
          <w:szCs w:val="32"/>
        </w:rPr>
        <w:t>附件五：维护和培训</w:t>
      </w:r>
    </w:p>
    <w:p w14:paraId="26EE5B2F">
      <w:pPr>
        <w:pStyle w:val="4"/>
        <w:rPr>
          <w:rFonts w:ascii="Times New Roman" w:hAnsi="Times New Roman" w:eastAsia="仿宋"/>
          <w:b w:val="0"/>
          <w:bCs w:val="0"/>
          <w:kern w:val="0"/>
          <w:sz w:val="24"/>
          <w:szCs w:val="24"/>
        </w:rPr>
      </w:pPr>
      <w:r>
        <w:rPr>
          <w:rFonts w:ascii="Times New Roman" w:hAnsi="Times New Roman" w:eastAsia="仿宋"/>
          <w:kern w:val="0"/>
          <w:sz w:val="32"/>
          <w:szCs w:val="32"/>
        </w:rPr>
        <w:t>一、维护要求：</w:t>
      </w:r>
      <w:r>
        <w:rPr>
          <w:rFonts w:ascii="Times New Roman" w:hAnsi="Times New Roman" w:eastAsia="仿宋"/>
          <w:b w:val="0"/>
          <w:bCs w:val="0"/>
          <w:kern w:val="0"/>
          <w:sz w:val="24"/>
          <w:szCs w:val="24"/>
        </w:rPr>
        <w:t>按照甲方要求对提交的</w:t>
      </w:r>
      <w:r>
        <w:rPr>
          <w:rFonts w:hint="eastAsia" w:ascii="Times New Roman" w:hAnsi="Times New Roman" w:eastAsia="仿宋"/>
          <w:b w:val="0"/>
          <w:bCs w:val="0"/>
          <w:kern w:val="0"/>
          <w:sz w:val="24"/>
          <w:szCs w:val="24"/>
          <w:lang w:val="en-US" w:eastAsia="zh-CN"/>
        </w:rPr>
        <w:t>平台/</w:t>
      </w:r>
      <w:r>
        <w:rPr>
          <w:rFonts w:ascii="Times New Roman" w:hAnsi="Times New Roman" w:eastAsia="仿宋"/>
          <w:b w:val="0"/>
          <w:bCs w:val="0"/>
          <w:kern w:val="0"/>
          <w:sz w:val="24"/>
          <w:szCs w:val="24"/>
        </w:rPr>
        <w:t>模</w:t>
      </w:r>
      <w:r>
        <w:rPr>
          <w:rFonts w:hint="eastAsia" w:ascii="Times New Roman" w:hAnsi="Times New Roman" w:eastAsia="仿宋"/>
          <w:b w:val="0"/>
          <w:bCs w:val="0"/>
          <w:kern w:val="0"/>
          <w:sz w:val="24"/>
          <w:szCs w:val="24"/>
          <w:lang w:val="en-US" w:eastAsia="zh-CN"/>
        </w:rPr>
        <w:t>块</w:t>
      </w:r>
      <w:r>
        <w:rPr>
          <w:rFonts w:ascii="Times New Roman" w:hAnsi="Times New Roman" w:eastAsia="仿宋"/>
          <w:b w:val="0"/>
          <w:bCs w:val="0"/>
          <w:kern w:val="0"/>
          <w:sz w:val="24"/>
          <w:szCs w:val="24"/>
        </w:rPr>
        <w:t xml:space="preserve">进行为期 </w:t>
      </w:r>
      <w:r>
        <w:rPr>
          <w:rFonts w:hint="eastAsia" w:ascii="Times New Roman" w:hAnsi="Times New Roman" w:eastAsia="仿宋"/>
          <w:b w:val="0"/>
          <w:bCs w:val="0"/>
          <w:kern w:val="0"/>
          <w:sz w:val="24"/>
          <w:szCs w:val="24"/>
          <w:lang w:val="en-US" w:eastAsia="zh-CN"/>
        </w:rPr>
        <w:t>1</w:t>
      </w:r>
      <w:r>
        <w:rPr>
          <w:rFonts w:ascii="Times New Roman" w:hAnsi="Times New Roman" w:eastAsia="仿宋"/>
          <w:b w:val="0"/>
          <w:bCs w:val="0"/>
          <w:kern w:val="0"/>
          <w:sz w:val="24"/>
          <w:szCs w:val="24"/>
        </w:rPr>
        <w:t>年的免费维护。</w:t>
      </w:r>
    </w:p>
    <w:p w14:paraId="26EE5B30">
      <w:pPr>
        <w:pStyle w:val="4"/>
        <w:rPr>
          <w:rFonts w:ascii="Times New Roman" w:hAnsi="Times New Roman" w:eastAsia="仿宋"/>
          <w:color w:val="000000"/>
        </w:rPr>
      </w:pPr>
      <w:r>
        <w:rPr>
          <w:rFonts w:ascii="Times New Roman" w:hAnsi="Times New Roman" w:eastAsia="仿宋"/>
          <w:kern w:val="0"/>
          <w:sz w:val="32"/>
          <w:szCs w:val="32"/>
        </w:rPr>
        <w:t>二、培训：</w:t>
      </w:r>
    </w:p>
    <w:p w14:paraId="26EE5B31">
      <w:pPr>
        <w:pStyle w:val="14"/>
        <w:spacing w:before="0" w:beforeAutospacing="0" w:after="0" w:afterAutospacing="0" w:line="360" w:lineRule="auto"/>
        <w:ind w:firstLine="480" w:firstLineChars="200"/>
        <w:jc w:val="both"/>
        <w:rPr>
          <w:rFonts w:hint="default" w:ascii="Times New Roman" w:hAnsi="Times New Roman" w:eastAsia="仿宋"/>
          <w:lang w:val="en-US" w:eastAsia="zh-CN"/>
        </w:rPr>
      </w:pPr>
      <w:r>
        <w:rPr>
          <w:rFonts w:ascii="Times New Roman" w:hAnsi="Times New Roman" w:eastAsia="仿宋"/>
        </w:rPr>
        <w:t>培训项目：</w:t>
      </w:r>
      <w:r>
        <w:rPr>
          <w:rFonts w:hint="eastAsia" w:ascii="Times New Roman" w:hAnsi="Times New Roman" w:eastAsia="仿宋"/>
          <w:lang w:val="en-US" w:eastAsia="zh-CN"/>
        </w:rPr>
        <w:t>InSAR风险监测预警原型平台操作使用</w:t>
      </w:r>
    </w:p>
    <w:p w14:paraId="26EE5B33">
      <w:pPr>
        <w:pStyle w:val="14"/>
        <w:spacing w:before="0" w:beforeAutospacing="0" w:after="0" w:afterAutospacing="0" w:line="360" w:lineRule="auto"/>
        <w:ind w:firstLine="480" w:firstLineChars="200"/>
        <w:jc w:val="both"/>
        <w:rPr>
          <w:rFonts w:ascii="Times New Roman" w:hAnsi="Times New Roman" w:eastAsia="仿宋"/>
        </w:rPr>
      </w:pPr>
      <w:r>
        <w:rPr>
          <w:rFonts w:ascii="Times New Roman" w:hAnsi="Times New Roman" w:eastAsia="仿宋"/>
        </w:rPr>
        <w:t>培训对象与人数：</w:t>
      </w:r>
      <w:r>
        <w:rPr>
          <w:rFonts w:hint="eastAsia" w:ascii="Times New Roman" w:hAnsi="Times New Roman" w:eastAsia="仿宋"/>
          <w:lang w:val="en-US" w:eastAsia="zh-CN"/>
        </w:rPr>
        <w:t>平台</w:t>
      </w:r>
      <w:r>
        <w:rPr>
          <w:rFonts w:ascii="Times New Roman" w:hAnsi="Times New Roman" w:eastAsia="仿宋"/>
        </w:rPr>
        <w:t>相关开发、使用和运维人员</w:t>
      </w:r>
    </w:p>
    <w:p w14:paraId="26EE5B34">
      <w:pPr>
        <w:pStyle w:val="14"/>
        <w:spacing w:before="0" w:beforeAutospacing="0" w:after="0" w:afterAutospacing="0" w:line="360" w:lineRule="auto"/>
        <w:ind w:firstLine="480" w:firstLineChars="200"/>
        <w:jc w:val="both"/>
        <w:rPr>
          <w:rFonts w:hint="default" w:ascii="Times New Roman" w:hAnsi="Times New Roman" w:eastAsia="仿宋"/>
          <w:lang w:val="en-US" w:eastAsia="zh-CN"/>
        </w:rPr>
      </w:pPr>
      <w:r>
        <w:rPr>
          <w:rFonts w:ascii="Times New Roman" w:hAnsi="Times New Roman" w:eastAsia="仿宋"/>
        </w:rPr>
        <w:t xml:space="preserve">培训时间： </w:t>
      </w:r>
      <w:r>
        <w:rPr>
          <w:rFonts w:hint="eastAsia" w:ascii="Times New Roman" w:hAnsi="Times New Roman" w:eastAsia="仿宋"/>
          <w:lang w:val="en-US" w:eastAsia="zh-CN"/>
        </w:rPr>
        <w:t>根据甲方时间安排</w:t>
      </w:r>
    </w:p>
    <w:p w14:paraId="26EE5B35">
      <w:pPr>
        <w:widowControl/>
        <w:jc w:val="left"/>
        <w:rPr>
          <w:rFonts w:ascii="Times New Roman" w:hAnsi="Times New Roman" w:eastAsia="仿宋"/>
          <w:b/>
          <w:kern w:val="0"/>
          <w:sz w:val="32"/>
          <w:szCs w:val="32"/>
        </w:rPr>
      </w:pPr>
    </w:p>
    <w:p w14:paraId="26EE5B36">
      <w:pPr>
        <w:widowControl/>
        <w:jc w:val="left"/>
        <w:rPr>
          <w:rFonts w:ascii="Times New Roman" w:hAnsi="Times New Roman" w:eastAsia="仿宋"/>
          <w:b/>
          <w:kern w:val="0"/>
          <w:sz w:val="32"/>
          <w:szCs w:val="32"/>
        </w:rPr>
      </w:pPr>
    </w:p>
    <w:p w14:paraId="26EE5B37">
      <w:pPr>
        <w:widowControl/>
        <w:jc w:val="left"/>
        <w:rPr>
          <w:rFonts w:ascii="Times New Roman" w:hAnsi="Times New Roman" w:eastAsia="仿宋"/>
          <w:b/>
          <w:kern w:val="0"/>
          <w:sz w:val="32"/>
          <w:szCs w:val="32"/>
        </w:rPr>
      </w:pPr>
    </w:p>
    <w:p w14:paraId="26EE5B38">
      <w:pPr>
        <w:widowControl/>
        <w:jc w:val="left"/>
        <w:rPr>
          <w:rFonts w:ascii="Times New Roman" w:hAnsi="Times New Roman" w:eastAsia="仿宋"/>
          <w:b/>
          <w:kern w:val="0"/>
          <w:sz w:val="32"/>
          <w:szCs w:val="32"/>
        </w:rPr>
      </w:pPr>
    </w:p>
    <w:p w14:paraId="26EE5B39">
      <w:pPr>
        <w:widowControl/>
        <w:jc w:val="left"/>
        <w:rPr>
          <w:rFonts w:ascii="Times New Roman" w:hAnsi="Times New Roman" w:eastAsia="仿宋"/>
          <w:b/>
          <w:kern w:val="0"/>
          <w:sz w:val="32"/>
          <w:szCs w:val="32"/>
        </w:rPr>
      </w:pPr>
    </w:p>
    <w:p w14:paraId="26EE5B3A">
      <w:pPr>
        <w:widowControl/>
        <w:jc w:val="left"/>
        <w:rPr>
          <w:rFonts w:ascii="Times New Roman" w:hAnsi="Times New Roman" w:eastAsia="仿宋"/>
          <w:b/>
          <w:kern w:val="0"/>
          <w:sz w:val="32"/>
          <w:szCs w:val="32"/>
        </w:rPr>
      </w:pPr>
    </w:p>
    <w:p w14:paraId="26EE5B3B">
      <w:pPr>
        <w:widowControl/>
        <w:jc w:val="left"/>
        <w:rPr>
          <w:rFonts w:ascii="Times New Roman" w:hAnsi="Times New Roman" w:eastAsia="仿宋"/>
          <w:b/>
          <w:kern w:val="0"/>
          <w:sz w:val="32"/>
          <w:szCs w:val="32"/>
        </w:rPr>
      </w:pPr>
    </w:p>
    <w:p w14:paraId="26EE5B3C">
      <w:pPr>
        <w:widowControl/>
        <w:jc w:val="left"/>
        <w:rPr>
          <w:rFonts w:ascii="Times New Roman" w:hAnsi="Times New Roman" w:eastAsia="仿宋"/>
          <w:b/>
          <w:kern w:val="0"/>
          <w:sz w:val="32"/>
          <w:szCs w:val="32"/>
        </w:rPr>
      </w:pPr>
    </w:p>
    <w:p w14:paraId="26EE5B3D">
      <w:pPr>
        <w:widowControl/>
        <w:jc w:val="left"/>
        <w:rPr>
          <w:rFonts w:ascii="Times New Roman" w:hAnsi="Times New Roman"/>
        </w:rPr>
      </w:pPr>
      <w:r>
        <w:rPr>
          <w:rFonts w:ascii="Times New Roman" w:hAnsi="Times New Roman" w:eastAsia="仿宋"/>
          <w:b/>
          <w:kern w:val="0"/>
          <w:sz w:val="32"/>
          <w:szCs w:val="32"/>
        </w:rPr>
        <w:br w:type="page"/>
      </w:r>
      <w:r>
        <w:rPr>
          <w:rFonts w:ascii="Times New Roman" w:hAnsi="Times New Roman" w:eastAsia="仿宋"/>
          <w:b/>
          <w:kern w:val="0"/>
          <w:sz w:val="32"/>
          <w:szCs w:val="32"/>
        </w:rPr>
        <w:t>附件六：代理人授权委托书原件</w:t>
      </w:r>
    </w:p>
    <w:p w14:paraId="26EE5B3E">
      <w:pPr>
        <w:widowControl/>
        <w:jc w:val="left"/>
        <w:rPr>
          <w:rFonts w:ascii="Times New Roman" w:hAnsi="Times New Roman"/>
        </w:rPr>
      </w:pPr>
    </w:p>
    <w:p w14:paraId="26EE5B3F">
      <w:pPr>
        <w:pStyle w:val="6"/>
      </w:pPr>
    </w:p>
    <w:p w14:paraId="26EE5B40">
      <w:pPr>
        <w:snapToGrid w:val="0"/>
        <w:spacing w:before="156" w:beforeLines="50" w:line="480" w:lineRule="auto"/>
        <w:jc w:val="center"/>
        <w:rPr>
          <w:rFonts w:ascii="Times New Roman" w:hAnsi="Times New Roman"/>
          <w:b/>
          <w:bCs/>
          <w:sz w:val="36"/>
          <w:szCs w:val="36"/>
        </w:rPr>
      </w:pPr>
      <w:bookmarkStart w:id="0" w:name="_Toc60522875"/>
      <w:r>
        <w:rPr>
          <w:rFonts w:ascii="Times New Roman" w:hAnsi="Times New Roman"/>
          <w:b/>
          <w:bCs/>
          <w:sz w:val="36"/>
          <w:szCs w:val="36"/>
        </w:rPr>
        <w:t>法定代表人授权委托书</w:t>
      </w:r>
      <w:bookmarkEnd w:id="0"/>
    </w:p>
    <w:p w14:paraId="26EE5B41">
      <w:pPr>
        <w:snapToGrid w:val="0"/>
        <w:spacing w:before="156" w:beforeLines="50" w:line="480" w:lineRule="auto"/>
        <w:ind w:firstLine="504"/>
        <w:rPr>
          <w:rFonts w:ascii="Times New Roman" w:hAnsi="Times New Roman" w:eastAsia="仿宋"/>
          <w:color w:val="000000"/>
          <w:kern w:val="0"/>
          <w:sz w:val="24"/>
        </w:rPr>
      </w:pPr>
      <w:r>
        <w:rPr>
          <w:rFonts w:ascii="Times New Roman" w:hAnsi="Times New Roman" w:eastAsia="仿宋"/>
          <w:color w:val="000000"/>
          <w:kern w:val="0"/>
          <w:sz w:val="24"/>
        </w:rPr>
        <w:t>致：重庆首讯科技股份有限公司</w:t>
      </w:r>
    </w:p>
    <w:p w14:paraId="26EE5B42">
      <w:pPr>
        <w:snapToGrid w:val="0"/>
        <w:spacing w:before="156" w:beforeLines="50" w:line="480" w:lineRule="auto"/>
        <w:ind w:firstLine="504"/>
        <w:rPr>
          <w:rFonts w:ascii="Times New Roman" w:hAnsi="Times New Roman" w:eastAsia="仿宋"/>
          <w:color w:val="000000"/>
          <w:kern w:val="0"/>
          <w:sz w:val="24"/>
        </w:rPr>
      </w:pPr>
      <w:r>
        <w:rPr>
          <w:rFonts w:ascii="Times New Roman" w:hAnsi="Times New Roman" w:eastAsia="仿宋"/>
          <w:color w:val="000000"/>
          <w:kern w:val="0"/>
          <w:sz w:val="24"/>
        </w:rPr>
        <w:t>本授权书宣告：</w:t>
      </w:r>
      <w:r>
        <w:rPr>
          <w:rFonts w:ascii="Times New Roman" w:hAnsi="Times New Roman" w:eastAsia="仿宋"/>
          <w:u w:val="single"/>
        </w:rPr>
        <w:t xml:space="preserve"> </w:t>
      </w:r>
      <w:r>
        <w:rPr>
          <w:rFonts w:hint="eastAsia" w:ascii="Times New Roman" w:hAnsi="Times New Roman" w:eastAsia="仿宋"/>
          <w:u w:val="single"/>
          <w:lang w:val="en-US" w:eastAsia="zh-CN"/>
        </w:rPr>
        <w:t xml:space="preserve">   </w:t>
      </w:r>
      <w:r>
        <w:rPr>
          <w:rFonts w:ascii="Times New Roman" w:hAnsi="Times New Roman" w:eastAsia="仿宋"/>
          <w:u w:val="single"/>
        </w:rPr>
        <w:t xml:space="preserve"> </w:t>
      </w:r>
      <w:r>
        <w:rPr>
          <w:rFonts w:ascii="Times New Roman" w:hAnsi="Times New Roman" w:eastAsia="仿宋"/>
          <w:color w:val="000000"/>
          <w:kern w:val="0"/>
          <w:sz w:val="24"/>
        </w:rPr>
        <w:t>法定代表人</w:t>
      </w:r>
      <w:r>
        <w:rPr>
          <w:rFonts w:ascii="Times New Roman" w:hAnsi="Times New Roman" w:eastAsia="仿宋"/>
          <w:u w:val="single"/>
        </w:rPr>
        <w:t xml:space="preserve">  </w:t>
      </w:r>
      <w:r>
        <w:rPr>
          <w:rFonts w:hint="eastAsia" w:ascii="Times New Roman" w:hAnsi="Times New Roman" w:eastAsia="仿宋"/>
          <w:u w:val="single"/>
          <w:lang w:val="en-US" w:eastAsia="zh-CN"/>
        </w:rPr>
        <w:t xml:space="preserve">   </w:t>
      </w:r>
      <w:r>
        <w:rPr>
          <w:rFonts w:ascii="Times New Roman" w:hAnsi="Times New Roman" w:eastAsia="仿宋"/>
          <w:u w:val="single"/>
        </w:rPr>
        <w:t xml:space="preserve"> </w:t>
      </w:r>
      <w:r>
        <w:rPr>
          <w:rFonts w:ascii="Times New Roman" w:hAnsi="Times New Roman" w:eastAsia="仿宋"/>
          <w:color w:val="000000"/>
          <w:kern w:val="0"/>
          <w:sz w:val="24"/>
        </w:rPr>
        <w:t>合法地代表我单位，授权</w:t>
      </w:r>
      <w:r>
        <w:rPr>
          <w:rFonts w:ascii="Times New Roman" w:hAnsi="Times New Roman" w:eastAsia="仿宋"/>
          <w:color w:val="000000"/>
          <w:kern w:val="0"/>
          <w:sz w:val="24"/>
          <w:u w:val="single"/>
        </w:rPr>
        <w:t xml:space="preserve"> </w:t>
      </w:r>
      <w:r>
        <w:rPr>
          <w:rFonts w:hint="eastAsia" w:ascii="Times New Roman" w:hAnsi="Times New Roman" w:eastAsia="仿宋"/>
          <w:u w:val="single"/>
          <w:lang w:val="en-US" w:eastAsia="zh-CN"/>
        </w:rPr>
        <w:t xml:space="preserve">   </w:t>
      </w:r>
      <w:r>
        <w:rPr>
          <w:rFonts w:ascii="Times New Roman" w:hAnsi="Times New Roman" w:eastAsia="仿宋"/>
          <w:u w:val="single"/>
        </w:rPr>
        <w:t xml:space="preserve">  </w:t>
      </w:r>
      <w:r>
        <w:rPr>
          <w:rFonts w:ascii="Times New Roman" w:hAnsi="Times New Roman" w:eastAsia="仿宋"/>
          <w:color w:val="000000"/>
          <w:kern w:val="0"/>
          <w:sz w:val="24"/>
        </w:rPr>
        <w:t>的</w:t>
      </w:r>
      <w:r>
        <w:rPr>
          <w:rFonts w:ascii="Times New Roman" w:hAnsi="Times New Roman" w:eastAsia="仿宋"/>
          <w:u w:val="single"/>
        </w:rPr>
        <w:t xml:space="preserve">  </w:t>
      </w:r>
      <w:r>
        <w:rPr>
          <w:rFonts w:hint="eastAsia" w:ascii="Times New Roman" w:hAnsi="Times New Roman" w:eastAsia="仿宋"/>
          <w:u w:val="single"/>
          <w:lang w:val="en-US" w:eastAsia="zh-CN"/>
        </w:rPr>
        <w:t xml:space="preserve">     </w:t>
      </w:r>
      <w:r>
        <w:rPr>
          <w:rFonts w:ascii="Times New Roman" w:hAnsi="Times New Roman" w:eastAsia="仿宋"/>
          <w:u w:val="none"/>
        </w:rPr>
        <w:t>（</w:t>
      </w:r>
      <w:r>
        <w:rPr>
          <w:rFonts w:ascii="Times New Roman" w:hAnsi="Times New Roman" w:eastAsia="仿宋"/>
          <w:u w:val="single"/>
        </w:rPr>
        <w:t>身份证号：</w:t>
      </w:r>
      <w:r>
        <w:rPr>
          <w:rFonts w:hint="eastAsia" w:ascii="Times New Roman" w:hAnsi="Times New Roman" w:eastAsia="仿宋"/>
          <w:u w:val="single"/>
          <w:lang w:val="en-US" w:eastAsia="zh-CN"/>
        </w:rPr>
        <w:t xml:space="preserve">     </w:t>
      </w:r>
      <w:r>
        <w:rPr>
          <w:rFonts w:ascii="Times New Roman" w:hAnsi="Times New Roman" w:eastAsia="仿宋"/>
          <w:u w:val="none"/>
        </w:rPr>
        <w:t xml:space="preserve">） </w:t>
      </w:r>
      <w:r>
        <w:rPr>
          <w:rFonts w:ascii="Times New Roman" w:hAnsi="Times New Roman" w:eastAsia="仿宋"/>
          <w:color w:val="000000"/>
          <w:kern w:val="0"/>
          <w:sz w:val="24"/>
        </w:rPr>
        <w:t>为我单位代理人，该代理人有权代表我单位与你们进行</w:t>
      </w:r>
      <w:r>
        <w:rPr>
          <w:rFonts w:ascii="Times New Roman" w:hAnsi="Times New Roman" w:eastAsia="仿宋"/>
          <w:u w:val="single"/>
        </w:rPr>
        <w:t xml:space="preserve">  </w:t>
      </w:r>
      <w:r>
        <w:rPr>
          <w:rFonts w:hint="eastAsia" w:ascii="Times New Roman" w:hAnsi="Times New Roman" w:eastAsia="仿宋"/>
          <w:u w:val="single"/>
          <w:lang w:val="en-US" w:eastAsia="zh-CN"/>
        </w:rPr>
        <w:t xml:space="preserve">    </w:t>
      </w:r>
      <w:r>
        <w:rPr>
          <w:rFonts w:ascii="Times New Roman" w:hAnsi="Times New Roman" w:eastAsia="仿宋"/>
          <w:u w:val="single"/>
        </w:rPr>
        <w:t xml:space="preserve"> </w:t>
      </w:r>
      <w:r>
        <w:rPr>
          <w:rFonts w:ascii="Times New Roman" w:hAnsi="Times New Roman" w:eastAsia="仿宋"/>
          <w:color w:val="000000"/>
          <w:kern w:val="0"/>
          <w:sz w:val="24"/>
        </w:rPr>
        <w:t>的相关合同签订、签署文件和处理一切与该项目有关的事务。</w:t>
      </w:r>
    </w:p>
    <w:p w14:paraId="26EE5B43">
      <w:pPr>
        <w:snapToGrid w:val="0"/>
        <w:spacing w:before="156" w:beforeLines="50" w:line="480" w:lineRule="auto"/>
        <w:ind w:firstLine="504"/>
        <w:rPr>
          <w:rFonts w:ascii="Times New Roman" w:hAnsi="Times New Roman" w:eastAsia="仿宋"/>
          <w:color w:val="000000"/>
          <w:kern w:val="0"/>
          <w:sz w:val="24"/>
        </w:rPr>
      </w:pPr>
      <w:r>
        <w:rPr>
          <w:rFonts w:ascii="Times New Roman" w:hAnsi="Times New Roman" w:eastAsia="仿宋"/>
          <w:color w:val="000000"/>
          <w:kern w:val="0"/>
          <w:sz w:val="24"/>
        </w:rPr>
        <w:t>在整个过程中，该代理人的一切行为均代表本单位，与本单位的行为具有同等法律效力。本单位将承担该代理人行为的全部法律责任和后果。</w:t>
      </w:r>
    </w:p>
    <w:p w14:paraId="26EE5B44">
      <w:pPr>
        <w:snapToGrid w:val="0"/>
        <w:spacing w:before="156" w:beforeLines="50" w:line="480" w:lineRule="auto"/>
        <w:ind w:firstLine="504"/>
        <w:rPr>
          <w:rFonts w:ascii="Times New Roman" w:hAnsi="Times New Roman" w:eastAsia="仿宋"/>
          <w:color w:val="000000"/>
          <w:kern w:val="0"/>
          <w:sz w:val="24"/>
        </w:rPr>
      </w:pPr>
      <w:r>
        <w:rPr>
          <w:rFonts w:ascii="Times New Roman" w:hAnsi="Times New Roman" w:eastAsia="仿宋"/>
          <w:color w:val="000000"/>
          <w:kern w:val="0"/>
          <w:sz w:val="24"/>
        </w:rPr>
        <w:t xml:space="preserve">委托期限：自出具之日起生效至此项目缺陷责任期结束 。 </w:t>
      </w:r>
    </w:p>
    <w:p w14:paraId="26EE5B45">
      <w:pPr>
        <w:snapToGrid w:val="0"/>
        <w:spacing w:before="156" w:beforeLines="50" w:line="480" w:lineRule="auto"/>
        <w:ind w:firstLine="504"/>
        <w:rPr>
          <w:rFonts w:ascii="Times New Roman" w:hAnsi="Times New Roman" w:eastAsia="仿宋"/>
          <w:color w:val="000000"/>
          <w:kern w:val="0"/>
          <w:sz w:val="24"/>
        </w:rPr>
      </w:pPr>
      <w:r>
        <w:rPr>
          <w:rFonts w:ascii="Times New Roman" w:hAnsi="Times New Roman" w:eastAsia="仿宋"/>
          <w:color w:val="000000"/>
          <w:kern w:val="0"/>
          <w:sz w:val="24"/>
        </w:rPr>
        <w:t>代理人无权转换代理权。特此委托。</w:t>
      </w:r>
    </w:p>
    <w:p w14:paraId="26EE5B46">
      <w:pPr>
        <w:ind w:firstLine="504"/>
        <w:rPr>
          <w:rFonts w:ascii="Times New Roman" w:hAnsi="Times New Roman"/>
        </w:rPr>
      </w:pPr>
    </w:p>
    <w:p w14:paraId="26EE5B47">
      <w:pPr>
        <w:ind w:firstLine="504"/>
        <w:rPr>
          <w:rFonts w:ascii="Times New Roman" w:hAnsi="Times New Roman"/>
        </w:rPr>
      </w:pPr>
    </w:p>
    <w:p w14:paraId="26EE5B48">
      <w:pPr>
        <w:ind w:firstLine="504"/>
        <w:rPr>
          <w:rFonts w:ascii="Times New Roman" w:hAnsi="Times New Roman"/>
        </w:rPr>
      </w:pPr>
    </w:p>
    <w:p w14:paraId="26EE5B49">
      <w:pPr>
        <w:spacing w:line="480" w:lineRule="auto"/>
        <w:jc w:val="right"/>
        <w:rPr>
          <w:rFonts w:ascii="Times New Roman" w:hAnsi="Times New Roman"/>
        </w:rPr>
      </w:pPr>
      <w:r>
        <w:rPr>
          <w:rFonts w:ascii="Times New Roman" w:hAnsi="Times New Roman"/>
        </w:rPr>
        <w:t xml:space="preserve">    单位名称：</w:t>
      </w:r>
      <w:r>
        <w:rPr>
          <w:rFonts w:ascii="Times New Roman" w:hAnsi="Times New Roman"/>
          <w:u w:val="single"/>
        </w:rPr>
        <w:t xml:space="preserve">   </w:t>
      </w:r>
      <w:r>
        <w:rPr>
          <w:rFonts w:hint="eastAsia" w:ascii="Times New Roman" w:hAnsi="Times New Roman"/>
          <w:u w:val="single"/>
          <w:lang w:val="en-US" w:eastAsia="zh-CN"/>
        </w:rPr>
        <w:t xml:space="preserve">       </w:t>
      </w:r>
      <w:r>
        <w:rPr>
          <w:rFonts w:ascii="Times New Roman" w:hAnsi="Times New Roman"/>
          <w:u w:val="single"/>
        </w:rPr>
        <w:t xml:space="preserve">              （盖章）</w:t>
      </w:r>
    </w:p>
    <w:p w14:paraId="26EE5B4A">
      <w:pPr>
        <w:spacing w:line="480" w:lineRule="auto"/>
        <w:ind w:firstLine="365" w:firstLineChars="174"/>
        <w:jc w:val="right"/>
        <w:rPr>
          <w:rFonts w:ascii="Times New Roman" w:hAnsi="Times New Roman"/>
        </w:rPr>
      </w:pPr>
      <w:r>
        <w:rPr>
          <w:rFonts w:ascii="Times New Roman" w:hAnsi="Times New Roman"/>
        </w:rPr>
        <w:t>授权人：</w:t>
      </w:r>
      <w:r>
        <w:rPr>
          <w:rFonts w:ascii="Times New Roman" w:hAnsi="Times New Roman"/>
          <w:u w:val="single"/>
        </w:rPr>
        <w:t xml:space="preserve">                    （签字或盖章）</w:t>
      </w:r>
    </w:p>
    <w:p w14:paraId="26EE5B4B">
      <w:pPr>
        <w:spacing w:line="480" w:lineRule="auto"/>
        <w:jc w:val="right"/>
        <w:rPr>
          <w:rFonts w:ascii="Times New Roman" w:hAnsi="Times New Roman"/>
        </w:rPr>
      </w:pPr>
      <w:r>
        <w:rPr>
          <w:rFonts w:ascii="Times New Roman" w:hAnsi="Times New Roman"/>
        </w:rPr>
        <w:t>被授权的代理人：</w:t>
      </w:r>
      <w:r>
        <w:rPr>
          <w:rFonts w:ascii="Times New Roman" w:hAnsi="Times New Roman"/>
          <w:u w:val="single"/>
        </w:rPr>
        <w:t xml:space="preserve">                  （签字）</w:t>
      </w:r>
    </w:p>
    <w:p w14:paraId="26EE5B4C">
      <w:pPr>
        <w:spacing w:line="480" w:lineRule="auto"/>
        <w:ind w:right="1920" w:firstLine="365" w:firstLineChars="174"/>
        <w:jc w:val="center"/>
        <w:rPr>
          <w:rFonts w:ascii="Times New Roman" w:hAnsi="Times New Roman"/>
        </w:rPr>
      </w:pPr>
      <w:r>
        <w:rPr>
          <w:rFonts w:ascii="Times New Roman" w:hAnsi="Times New Roman"/>
        </w:rPr>
        <w:t xml:space="preserve">                                        日    期：   年   月  日</w:t>
      </w:r>
    </w:p>
    <w:p w14:paraId="26EE5B4D">
      <w:pPr>
        <w:widowControl/>
        <w:jc w:val="left"/>
        <w:rPr>
          <w:rFonts w:ascii="Times New Roman" w:hAnsi="Times New Roman" w:eastAsia="仿宋"/>
          <w:b/>
          <w:kern w:val="0"/>
          <w:sz w:val="32"/>
          <w:szCs w:val="32"/>
        </w:rPr>
      </w:pPr>
    </w:p>
    <w:p w14:paraId="26EE5B4E">
      <w:pPr>
        <w:widowControl/>
        <w:jc w:val="left"/>
        <w:rPr>
          <w:rFonts w:ascii="Times New Roman" w:hAnsi="Times New Roman" w:eastAsia="仿宋"/>
          <w:b/>
          <w:kern w:val="0"/>
          <w:sz w:val="32"/>
          <w:szCs w:val="32"/>
        </w:rPr>
      </w:pPr>
    </w:p>
    <w:p w14:paraId="26EE5B4F">
      <w:pPr>
        <w:keepNext/>
        <w:keepLines w:val="0"/>
        <w:pageBreakBefore w:val="0"/>
        <w:widowControl w:val="0"/>
        <w:kinsoku/>
        <w:wordWrap/>
        <w:overflowPunct/>
        <w:topLinePunct w:val="0"/>
        <w:autoSpaceDE/>
        <w:autoSpaceDN/>
        <w:bidi w:val="0"/>
        <w:adjustRightInd/>
        <w:snapToGrid/>
        <w:jc w:val="left"/>
        <w:textAlignment w:val="auto"/>
        <w:rPr>
          <w:rFonts w:ascii="Times New Roman" w:hAnsi="Times New Roman" w:eastAsia="仿宋"/>
          <w:b/>
          <w:kern w:val="0"/>
          <w:sz w:val="32"/>
          <w:szCs w:val="32"/>
        </w:rPr>
      </w:pPr>
      <w:r>
        <w:rPr>
          <w:rFonts w:ascii="Times New Roman" w:hAnsi="Times New Roman" w:eastAsia="仿宋"/>
          <w:b/>
          <w:kern w:val="0"/>
          <w:sz w:val="32"/>
          <w:szCs w:val="32"/>
        </w:rPr>
        <w:t>附件七：乙方（供方）营业执照复印件（盖乙方公章）</w:t>
      </w:r>
    </w:p>
    <w:p w14:paraId="36B5865E">
      <w:pPr>
        <w:widowControl/>
        <w:jc w:val="center"/>
        <w:rPr>
          <w:rFonts w:ascii="Times New Roman" w:hAnsi="Times New Roman" w:eastAsia="仿宋"/>
          <w:b/>
          <w:kern w:val="0"/>
          <w:sz w:val="32"/>
          <w:szCs w:val="32"/>
        </w:rPr>
      </w:pPr>
    </w:p>
    <w:p w14:paraId="26EE5B50">
      <w:pPr>
        <w:widowControl/>
        <w:jc w:val="left"/>
        <w:rPr>
          <w:rFonts w:ascii="Times New Roman" w:hAnsi="Times New Roman" w:eastAsia="仿宋"/>
          <w:b/>
          <w:kern w:val="0"/>
          <w:sz w:val="32"/>
          <w:szCs w:val="32"/>
        </w:rPr>
      </w:pPr>
      <w:r>
        <w:rPr>
          <w:rFonts w:ascii="Times New Roman" w:hAnsi="Times New Roman" w:eastAsia="仿宋"/>
          <w:b/>
          <w:kern w:val="0"/>
          <w:sz w:val="32"/>
          <w:szCs w:val="32"/>
        </w:rPr>
        <w:br w:type="page"/>
      </w:r>
    </w:p>
    <w:p w14:paraId="26EE5B51">
      <w:pPr>
        <w:widowControl/>
        <w:jc w:val="left"/>
        <w:rPr>
          <w:rFonts w:ascii="Times New Roman" w:hAnsi="Times New Roman" w:eastAsia="仿宋"/>
          <w:b/>
          <w:kern w:val="0"/>
          <w:sz w:val="32"/>
          <w:szCs w:val="32"/>
        </w:rPr>
      </w:pPr>
      <w:r>
        <w:rPr>
          <w:rFonts w:ascii="Times New Roman" w:hAnsi="Times New Roman" w:eastAsia="仿宋"/>
          <w:b/>
          <w:kern w:val="0"/>
          <w:sz w:val="32"/>
          <w:szCs w:val="32"/>
        </w:rPr>
        <w:t>附件八：廉政合同</w:t>
      </w:r>
    </w:p>
    <w:p w14:paraId="26EE5B52">
      <w:pPr>
        <w:pStyle w:val="14"/>
        <w:spacing w:line="500" w:lineRule="exact"/>
        <w:jc w:val="center"/>
        <w:rPr>
          <w:rFonts w:ascii="Times New Roman" w:hAnsi="Times New Roman" w:eastAsia="仿宋"/>
          <w:b/>
          <w:sz w:val="32"/>
          <w:szCs w:val="32"/>
        </w:rPr>
      </w:pPr>
      <w:r>
        <w:rPr>
          <w:rFonts w:ascii="Times New Roman" w:hAnsi="Times New Roman" w:eastAsia="仿宋"/>
          <w:b/>
          <w:sz w:val="32"/>
          <w:szCs w:val="32"/>
        </w:rPr>
        <w:t>廉政合同</w:t>
      </w:r>
    </w:p>
    <w:p w14:paraId="26EE5B53">
      <w:pPr>
        <w:widowControl/>
        <w:spacing w:line="400" w:lineRule="exact"/>
        <w:jc w:val="left"/>
        <w:rPr>
          <w:rFonts w:ascii="Times New Roman" w:hAnsi="Times New Roman" w:eastAsia="仿宋"/>
          <w:sz w:val="24"/>
        </w:rPr>
      </w:pPr>
      <w:r>
        <w:rPr>
          <w:rFonts w:ascii="Times New Roman" w:hAnsi="Times New Roman" w:eastAsia="仿宋"/>
          <w:sz w:val="24"/>
        </w:rPr>
        <w:t>甲方：重庆首讯科技股份有限公司</w:t>
      </w:r>
    </w:p>
    <w:p w14:paraId="26EE5B54">
      <w:pPr>
        <w:widowControl/>
        <w:spacing w:line="400" w:lineRule="exact"/>
        <w:jc w:val="left"/>
        <w:rPr>
          <w:rFonts w:hint="eastAsia" w:ascii="Times New Roman" w:hAnsi="Times New Roman" w:eastAsia="仿宋"/>
          <w:sz w:val="24"/>
          <w:lang w:eastAsia="zh-CN"/>
        </w:rPr>
      </w:pPr>
      <w:r>
        <w:rPr>
          <w:rFonts w:ascii="Times New Roman" w:hAnsi="Times New Roman" w:eastAsia="仿宋"/>
          <w:sz w:val="24"/>
        </w:rPr>
        <w:t>乙方：</w:t>
      </w:r>
      <w:r>
        <w:rPr>
          <w:rFonts w:hint="eastAsia" w:ascii="Times New Roman" w:hAnsi="Times New Roman" w:eastAsia="仿宋"/>
          <w:sz w:val="24"/>
          <w:lang w:val="en-US" w:eastAsia="zh-CN"/>
        </w:rPr>
        <w:t xml:space="preserve"> </w:t>
      </w:r>
    </w:p>
    <w:p w14:paraId="26EE5B55">
      <w:pPr>
        <w:spacing w:line="400" w:lineRule="exact"/>
        <w:ind w:firstLine="480" w:firstLineChars="200"/>
        <w:rPr>
          <w:rFonts w:ascii="Times New Roman" w:hAnsi="Times New Roman" w:eastAsia="仿宋"/>
          <w:sz w:val="24"/>
        </w:rPr>
      </w:pPr>
      <w:r>
        <w:rPr>
          <w:rFonts w:ascii="Times New Roman" w:hAnsi="Times New Roman" w:eastAsia="仿宋"/>
          <w:sz w:val="24"/>
        </w:rPr>
        <w:t>根据交通部《关于在交通基础设施建设中加强廉政建设的若干意见》和《关于在交通基础设施建设中推行廉政合同的通知》以及有关工程建设、廉政建设的规定，为搞好机电工程中的党风廉政建设，保证机电工程工作高效</w:t>
      </w:r>
      <w:bookmarkStart w:id="1" w:name="_GoBack"/>
      <w:bookmarkEnd w:id="1"/>
      <w:r>
        <w:rPr>
          <w:rFonts w:ascii="Times New Roman" w:hAnsi="Times New Roman" w:eastAsia="仿宋"/>
          <w:sz w:val="24"/>
        </w:rPr>
        <w:t>优质，保证机电资金的安全和有效使用及投资效益，重庆首讯科技股份有限公司（以下称甲方）与</w:t>
      </w:r>
      <w:r>
        <w:rPr>
          <w:rFonts w:ascii="Times New Roman" w:hAnsi="Times New Roman" w:eastAsia="仿宋"/>
          <w:color w:val="FF0000"/>
          <w:sz w:val="24"/>
        </w:rPr>
        <w:t xml:space="preserve"> </w:t>
      </w:r>
      <w:r>
        <w:rPr>
          <w:rFonts w:hint="eastAsia" w:ascii="Times New Roman" w:hAnsi="Times New Roman" w:eastAsia="仿宋"/>
          <w:sz w:val="24"/>
          <w:u w:val="single"/>
          <w:lang w:val="en-US" w:eastAsia="zh-CN"/>
        </w:rPr>
        <w:t xml:space="preserve">        </w:t>
      </w:r>
      <w:r>
        <w:rPr>
          <w:rFonts w:ascii="Times New Roman" w:hAnsi="Times New Roman" w:eastAsia="仿宋"/>
          <w:sz w:val="24"/>
        </w:rPr>
        <w:t>（以下称乙方），特订立如下合同。</w:t>
      </w:r>
    </w:p>
    <w:p w14:paraId="26EE5B56">
      <w:pPr>
        <w:spacing w:line="360" w:lineRule="auto"/>
        <w:rPr>
          <w:rFonts w:ascii="Times New Roman" w:hAnsi="Times New Roman" w:eastAsia="仿宋"/>
          <w:b/>
          <w:bCs/>
          <w:sz w:val="24"/>
        </w:rPr>
      </w:pPr>
      <w:r>
        <w:rPr>
          <w:rFonts w:ascii="Times New Roman" w:hAnsi="Times New Roman" w:eastAsia="仿宋"/>
          <w:b/>
          <w:bCs/>
          <w:sz w:val="24"/>
        </w:rPr>
        <w:t>一、甲乙双方的权利和义务</w:t>
      </w:r>
    </w:p>
    <w:p w14:paraId="26EE5B57">
      <w:pPr>
        <w:widowControl/>
        <w:tabs>
          <w:tab w:val="left" w:pos="3936"/>
        </w:tabs>
        <w:spacing w:line="400" w:lineRule="exact"/>
        <w:ind w:firstLine="480" w:firstLineChars="200"/>
        <w:jc w:val="left"/>
        <w:rPr>
          <w:rFonts w:ascii="Times New Roman" w:hAnsi="Times New Roman" w:eastAsia="仿宋"/>
          <w:sz w:val="24"/>
        </w:rPr>
      </w:pPr>
      <w:r>
        <w:rPr>
          <w:rFonts w:ascii="Times New Roman" w:hAnsi="Times New Roman" w:eastAsia="仿宋"/>
          <w:sz w:val="24"/>
        </w:rPr>
        <w:t>（1）严格遵守党的政策规定和国家有关法律法规及交通部的有关规定。</w:t>
      </w:r>
    </w:p>
    <w:p w14:paraId="26EE5B58">
      <w:pPr>
        <w:widowControl/>
        <w:tabs>
          <w:tab w:val="left" w:pos="3936"/>
        </w:tabs>
        <w:spacing w:line="400" w:lineRule="exact"/>
        <w:ind w:firstLine="480" w:firstLineChars="200"/>
        <w:jc w:val="left"/>
        <w:rPr>
          <w:rFonts w:ascii="Times New Roman" w:hAnsi="Times New Roman" w:eastAsia="仿宋"/>
          <w:sz w:val="24"/>
        </w:rPr>
      </w:pPr>
      <w:r>
        <w:rPr>
          <w:rFonts w:ascii="Times New Roman" w:hAnsi="Times New Roman" w:eastAsia="仿宋"/>
          <w:sz w:val="24"/>
        </w:rPr>
        <w:t>（2）双方的业务活动坚持公开、公正、诚信、透明的原则（除法律认定的商业秘密和合同文件另有规定之外），不得损害国家和集体利益。</w:t>
      </w:r>
    </w:p>
    <w:p w14:paraId="26EE5B59">
      <w:pPr>
        <w:widowControl/>
        <w:tabs>
          <w:tab w:val="left" w:pos="3936"/>
        </w:tabs>
        <w:spacing w:line="400" w:lineRule="exact"/>
        <w:ind w:firstLine="480" w:firstLineChars="200"/>
        <w:jc w:val="left"/>
        <w:rPr>
          <w:rFonts w:ascii="Times New Roman" w:hAnsi="Times New Roman" w:eastAsia="仿宋"/>
          <w:sz w:val="24"/>
        </w:rPr>
      </w:pPr>
      <w:r>
        <w:rPr>
          <w:rFonts w:ascii="Times New Roman" w:hAnsi="Times New Roman" w:eastAsia="仿宋"/>
          <w:sz w:val="24"/>
        </w:rPr>
        <w:t>（3）建立健全廉政制度，开展廉政教育，设立廉政告示牌，公布举报电话，监督并认真查处违法违纪行为。</w:t>
      </w:r>
    </w:p>
    <w:p w14:paraId="26EE5B5A">
      <w:pPr>
        <w:widowControl/>
        <w:tabs>
          <w:tab w:val="left" w:pos="3936"/>
        </w:tabs>
        <w:spacing w:line="400" w:lineRule="exact"/>
        <w:ind w:firstLine="480" w:firstLineChars="200"/>
        <w:jc w:val="left"/>
        <w:rPr>
          <w:rFonts w:ascii="Times New Roman" w:hAnsi="Times New Roman" w:eastAsia="仿宋"/>
          <w:sz w:val="24"/>
        </w:rPr>
      </w:pPr>
      <w:r>
        <w:rPr>
          <w:rFonts w:ascii="Times New Roman" w:hAnsi="Times New Roman" w:eastAsia="仿宋"/>
          <w:sz w:val="24"/>
        </w:rPr>
        <w:t>（4）发现对方在业务活动中有违反廉政规定的行为，有及时提醒对方纠正的权利和义务。</w:t>
      </w:r>
    </w:p>
    <w:p w14:paraId="26EE5B5B">
      <w:pPr>
        <w:widowControl/>
        <w:tabs>
          <w:tab w:val="left" w:pos="3936"/>
        </w:tabs>
        <w:spacing w:line="400" w:lineRule="exact"/>
        <w:ind w:firstLine="480" w:firstLineChars="200"/>
        <w:jc w:val="left"/>
        <w:rPr>
          <w:rFonts w:ascii="Times New Roman" w:hAnsi="Times New Roman" w:eastAsia="仿宋"/>
          <w:szCs w:val="21"/>
        </w:rPr>
      </w:pPr>
      <w:r>
        <w:rPr>
          <w:rFonts w:ascii="Times New Roman" w:hAnsi="Times New Roman" w:eastAsia="仿宋"/>
          <w:sz w:val="24"/>
        </w:rPr>
        <w:t>（5）发现对方严重违反本合同义务条款的行为，有向上级有关部门举报、建议给予处理并要求告知处理结果的权利。</w:t>
      </w:r>
    </w:p>
    <w:p w14:paraId="26EE5B5C">
      <w:pPr>
        <w:spacing w:line="360" w:lineRule="auto"/>
        <w:rPr>
          <w:rFonts w:ascii="Times New Roman" w:hAnsi="Times New Roman" w:eastAsia="仿宋"/>
          <w:b/>
          <w:bCs/>
          <w:sz w:val="24"/>
        </w:rPr>
      </w:pPr>
      <w:r>
        <w:rPr>
          <w:rFonts w:ascii="Times New Roman" w:hAnsi="Times New Roman" w:eastAsia="仿宋"/>
          <w:b/>
          <w:bCs/>
          <w:sz w:val="24"/>
        </w:rPr>
        <w:t>二、甲方的义务</w:t>
      </w:r>
    </w:p>
    <w:p w14:paraId="26EE5B5D">
      <w:pPr>
        <w:widowControl/>
        <w:tabs>
          <w:tab w:val="left" w:pos="3936"/>
        </w:tabs>
        <w:spacing w:line="400" w:lineRule="exact"/>
        <w:ind w:firstLine="420" w:firstLineChars="200"/>
        <w:jc w:val="left"/>
        <w:rPr>
          <w:rFonts w:ascii="Times New Roman" w:hAnsi="Times New Roman" w:eastAsia="仿宋"/>
          <w:sz w:val="24"/>
        </w:rPr>
      </w:pPr>
      <w:r>
        <w:rPr>
          <w:rFonts w:ascii="Times New Roman" w:hAnsi="Times New Roman" w:eastAsia="仿宋"/>
          <w:szCs w:val="21"/>
        </w:rPr>
        <w:t>（</w:t>
      </w:r>
      <w:r>
        <w:rPr>
          <w:rFonts w:ascii="Times New Roman" w:hAnsi="Times New Roman" w:eastAsia="仿宋"/>
          <w:sz w:val="24"/>
        </w:rPr>
        <w:t>1）甲方及其工作人员不得索要或接受乙方的礼金、有价证券和贵重物品，不得在乙方报销任何应由甲方或甲方工作人员个人支付的费用等。</w:t>
      </w:r>
    </w:p>
    <w:p w14:paraId="26EE5B5E">
      <w:pPr>
        <w:widowControl/>
        <w:tabs>
          <w:tab w:val="left" w:pos="3936"/>
        </w:tabs>
        <w:spacing w:line="400" w:lineRule="exact"/>
        <w:ind w:firstLine="480" w:firstLineChars="200"/>
        <w:jc w:val="left"/>
        <w:rPr>
          <w:rFonts w:ascii="Times New Roman" w:hAnsi="Times New Roman" w:eastAsia="仿宋"/>
          <w:sz w:val="24"/>
        </w:rPr>
      </w:pPr>
      <w:r>
        <w:rPr>
          <w:rFonts w:ascii="Times New Roman" w:hAnsi="Times New Roman" w:eastAsia="仿宋"/>
          <w:sz w:val="24"/>
        </w:rPr>
        <w:t>（2）甲方工作人员不得参加乙方安排的超标准宴请和娱乐活动；不得接受乙方提供的通讯工具、交通工具和高档办公用品等。</w:t>
      </w:r>
    </w:p>
    <w:p w14:paraId="26EE5B5F">
      <w:pPr>
        <w:widowControl/>
        <w:tabs>
          <w:tab w:val="left" w:pos="3936"/>
        </w:tabs>
        <w:spacing w:line="400" w:lineRule="exact"/>
        <w:ind w:firstLine="480" w:firstLineChars="200"/>
        <w:jc w:val="left"/>
        <w:rPr>
          <w:rFonts w:ascii="Times New Roman" w:hAnsi="Times New Roman" w:eastAsia="仿宋"/>
          <w:sz w:val="24"/>
        </w:rPr>
      </w:pPr>
      <w:r>
        <w:rPr>
          <w:rFonts w:ascii="Times New Roman" w:hAnsi="Times New Roman" w:eastAsia="仿宋"/>
          <w:sz w:val="24"/>
        </w:rPr>
        <w:t>（3）甲方及其工作人员不得要求或者接受乙方为其住房装修、婚丧嫁娶活动、配偶子女的工作安排以及出国出境、旅游等提供方便等。</w:t>
      </w:r>
    </w:p>
    <w:p w14:paraId="26EE5B60">
      <w:pPr>
        <w:widowControl/>
        <w:tabs>
          <w:tab w:val="left" w:pos="3936"/>
        </w:tabs>
        <w:spacing w:line="400" w:lineRule="exact"/>
        <w:ind w:firstLine="480" w:firstLineChars="200"/>
        <w:jc w:val="left"/>
        <w:rPr>
          <w:rFonts w:ascii="Times New Roman" w:hAnsi="Times New Roman" w:eastAsia="仿宋"/>
          <w:sz w:val="24"/>
        </w:rPr>
      </w:pPr>
      <w:r>
        <w:rPr>
          <w:rFonts w:ascii="Times New Roman" w:hAnsi="Times New Roman" w:eastAsia="仿宋"/>
          <w:sz w:val="24"/>
        </w:rPr>
        <w:t>（4）甲方工作人员及其配偶、子女不得从事与甲方工程有关部门的材料设备供应、工程分包、劳务等经济活动等。</w:t>
      </w:r>
    </w:p>
    <w:p w14:paraId="26EE5B61">
      <w:pPr>
        <w:widowControl/>
        <w:tabs>
          <w:tab w:val="left" w:pos="3936"/>
        </w:tabs>
        <w:spacing w:line="400" w:lineRule="exact"/>
        <w:ind w:firstLine="480" w:firstLineChars="200"/>
        <w:jc w:val="left"/>
        <w:rPr>
          <w:rFonts w:ascii="Times New Roman" w:hAnsi="Times New Roman" w:eastAsia="仿宋"/>
          <w:sz w:val="24"/>
        </w:rPr>
      </w:pPr>
      <w:r>
        <w:rPr>
          <w:rFonts w:ascii="Times New Roman" w:hAnsi="Times New Roman" w:eastAsia="仿宋"/>
          <w:sz w:val="24"/>
        </w:rPr>
        <w:t>（5）甲方及其工作人员不得以任何理由向乙方推荐分包单位或推销材料，不得要求乙方购买合同规定外的材料和设备。</w:t>
      </w:r>
    </w:p>
    <w:p w14:paraId="26EE5B62">
      <w:pPr>
        <w:spacing w:line="360" w:lineRule="auto"/>
        <w:rPr>
          <w:rFonts w:ascii="Times New Roman" w:hAnsi="Times New Roman" w:eastAsia="仿宋"/>
          <w:b/>
          <w:bCs/>
          <w:sz w:val="24"/>
        </w:rPr>
      </w:pPr>
    </w:p>
    <w:p w14:paraId="26EE5B63">
      <w:pPr>
        <w:spacing w:line="360" w:lineRule="auto"/>
        <w:rPr>
          <w:rFonts w:ascii="Times New Roman" w:hAnsi="Times New Roman" w:eastAsia="仿宋"/>
          <w:b/>
          <w:bCs/>
          <w:sz w:val="24"/>
        </w:rPr>
      </w:pPr>
      <w:r>
        <w:rPr>
          <w:rFonts w:ascii="Times New Roman" w:hAnsi="Times New Roman" w:eastAsia="仿宋"/>
          <w:b/>
          <w:bCs/>
          <w:sz w:val="24"/>
        </w:rPr>
        <w:t>三、乙方义务</w:t>
      </w:r>
    </w:p>
    <w:p w14:paraId="26EE5B64">
      <w:pPr>
        <w:widowControl/>
        <w:tabs>
          <w:tab w:val="left" w:pos="3936"/>
        </w:tabs>
        <w:spacing w:line="400" w:lineRule="exact"/>
        <w:ind w:firstLine="480" w:firstLineChars="200"/>
        <w:jc w:val="left"/>
        <w:rPr>
          <w:rFonts w:ascii="Times New Roman" w:hAnsi="Times New Roman" w:eastAsia="仿宋"/>
          <w:sz w:val="24"/>
        </w:rPr>
      </w:pPr>
      <w:r>
        <w:rPr>
          <w:rFonts w:ascii="Times New Roman" w:hAnsi="Times New Roman" w:eastAsia="仿宋"/>
          <w:sz w:val="24"/>
        </w:rPr>
        <w:t>（1）乙方不得以任何理由向甲方及其工作人员行贿或馈赠礼金、有价证券、贵重物品。</w:t>
      </w:r>
    </w:p>
    <w:p w14:paraId="26EE5B65">
      <w:pPr>
        <w:widowControl/>
        <w:tabs>
          <w:tab w:val="left" w:pos="3936"/>
        </w:tabs>
        <w:spacing w:line="400" w:lineRule="exact"/>
        <w:ind w:firstLine="480" w:firstLineChars="200"/>
        <w:jc w:val="left"/>
        <w:rPr>
          <w:rFonts w:ascii="Times New Roman" w:hAnsi="Times New Roman" w:eastAsia="仿宋"/>
          <w:sz w:val="24"/>
        </w:rPr>
      </w:pPr>
      <w:r>
        <w:rPr>
          <w:rFonts w:ascii="Times New Roman" w:hAnsi="Times New Roman" w:eastAsia="仿宋"/>
          <w:sz w:val="24"/>
        </w:rPr>
        <w:t>（2）乙方不得以任何名义为甲方及其工作人员报销应由甲方单位或个人支付的任何费用。</w:t>
      </w:r>
    </w:p>
    <w:p w14:paraId="26EE5B66">
      <w:pPr>
        <w:widowControl/>
        <w:tabs>
          <w:tab w:val="left" w:pos="3936"/>
        </w:tabs>
        <w:spacing w:line="400" w:lineRule="exact"/>
        <w:ind w:firstLine="480" w:firstLineChars="200"/>
        <w:jc w:val="left"/>
        <w:rPr>
          <w:rFonts w:ascii="Times New Roman" w:hAnsi="Times New Roman" w:eastAsia="仿宋"/>
          <w:sz w:val="24"/>
        </w:rPr>
      </w:pPr>
      <w:r>
        <w:rPr>
          <w:rFonts w:ascii="Times New Roman" w:hAnsi="Times New Roman" w:eastAsia="仿宋"/>
          <w:sz w:val="24"/>
        </w:rPr>
        <w:t>（3）乙方不得以任何理由邀请甲方工作人员外出旅游或安排甲方人员参加超标准宴请及娱乐活动。</w:t>
      </w:r>
    </w:p>
    <w:p w14:paraId="26EE5B67">
      <w:pPr>
        <w:widowControl/>
        <w:tabs>
          <w:tab w:val="left" w:pos="3936"/>
        </w:tabs>
        <w:spacing w:line="400" w:lineRule="exact"/>
        <w:ind w:firstLine="480" w:firstLineChars="200"/>
        <w:jc w:val="left"/>
        <w:rPr>
          <w:rFonts w:ascii="Times New Roman" w:hAnsi="Times New Roman" w:eastAsia="仿宋"/>
          <w:sz w:val="24"/>
        </w:rPr>
      </w:pPr>
      <w:r>
        <w:rPr>
          <w:rFonts w:ascii="Times New Roman" w:hAnsi="Times New Roman" w:eastAsia="仿宋"/>
          <w:sz w:val="24"/>
        </w:rPr>
        <w:t>（4）乙方不得为甲方单位和个人购置或提供通讯工具、交通工具和高档办公用品等。</w:t>
      </w:r>
    </w:p>
    <w:p w14:paraId="26EE5B68">
      <w:pPr>
        <w:widowControl/>
        <w:tabs>
          <w:tab w:val="left" w:pos="3936"/>
        </w:tabs>
        <w:spacing w:line="400" w:lineRule="exact"/>
        <w:ind w:firstLine="480" w:firstLineChars="200"/>
        <w:jc w:val="left"/>
        <w:rPr>
          <w:rFonts w:ascii="Times New Roman" w:hAnsi="Times New Roman" w:eastAsia="仿宋"/>
          <w:sz w:val="24"/>
        </w:rPr>
      </w:pPr>
      <w:r>
        <w:rPr>
          <w:rFonts w:ascii="Times New Roman" w:hAnsi="Times New Roman" w:eastAsia="仿宋"/>
          <w:sz w:val="24"/>
        </w:rPr>
        <w:t>（5）乙方及其工作人员应严格按监理规程办事，不得为谋取私利向监理人员非法行贿，私下串通，损坏甲方利益。同时必须对监理单位和工程监理人员履行向甲方承诺的上述其他廉政义务。</w:t>
      </w:r>
    </w:p>
    <w:p w14:paraId="26EE5B69">
      <w:pPr>
        <w:widowControl/>
        <w:tabs>
          <w:tab w:val="left" w:pos="3936"/>
        </w:tabs>
        <w:spacing w:line="400" w:lineRule="exact"/>
        <w:ind w:firstLine="480" w:firstLineChars="200"/>
        <w:jc w:val="left"/>
        <w:rPr>
          <w:rFonts w:ascii="Times New Roman" w:hAnsi="Times New Roman" w:eastAsia="仿宋"/>
          <w:sz w:val="24"/>
        </w:rPr>
      </w:pPr>
      <w:r>
        <w:rPr>
          <w:rFonts w:ascii="Times New Roman" w:hAnsi="Times New Roman" w:eastAsia="仿宋"/>
          <w:sz w:val="24"/>
        </w:rPr>
        <w:t>（6）乙方如果发现甲方工作人员或工程监理人员有违反廉政规定的行为，应向甲方组织或上级举报。甲方和工程监理部门均不得找任何借口对乙方进行报复。甲方对举报属实或严格遵守廉政合同的乙方，在同等条件下给予承接后续项目的优先邀请投标权。</w:t>
      </w:r>
    </w:p>
    <w:p w14:paraId="26EE5B6A">
      <w:pPr>
        <w:spacing w:line="360" w:lineRule="auto"/>
        <w:rPr>
          <w:rFonts w:ascii="Times New Roman" w:hAnsi="Times New Roman" w:eastAsia="仿宋"/>
          <w:b/>
          <w:bCs/>
          <w:sz w:val="24"/>
        </w:rPr>
      </w:pPr>
      <w:r>
        <w:rPr>
          <w:rFonts w:ascii="Times New Roman" w:hAnsi="Times New Roman" w:eastAsia="仿宋"/>
          <w:b/>
          <w:bCs/>
          <w:sz w:val="24"/>
        </w:rPr>
        <w:t>四、违约责任</w:t>
      </w:r>
    </w:p>
    <w:p w14:paraId="26EE5B6B">
      <w:pPr>
        <w:widowControl/>
        <w:tabs>
          <w:tab w:val="left" w:pos="3936"/>
        </w:tabs>
        <w:spacing w:line="400" w:lineRule="exact"/>
        <w:ind w:firstLine="480" w:firstLineChars="200"/>
        <w:jc w:val="left"/>
        <w:rPr>
          <w:rFonts w:ascii="Times New Roman" w:hAnsi="Times New Roman" w:eastAsia="仿宋"/>
          <w:sz w:val="24"/>
        </w:rPr>
      </w:pPr>
      <w:r>
        <w:rPr>
          <w:rFonts w:ascii="Times New Roman" w:hAnsi="Times New Roman" w:eastAsia="仿宋"/>
          <w:sz w:val="24"/>
        </w:rPr>
        <w:t>（1）甲方及其工作人员违反本合同第一、二条，按管理权限，依据有关部门规定给予党纪、政纪或组织处理；涉嫌犯罪的，移交司法机关追究刑事责任；给乙方单位造成经济损失的，应予以赔偿。</w:t>
      </w:r>
    </w:p>
    <w:p w14:paraId="26EE5B6C">
      <w:pPr>
        <w:widowControl/>
        <w:tabs>
          <w:tab w:val="left" w:pos="3936"/>
        </w:tabs>
        <w:spacing w:line="400" w:lineRule="exact"/>
        <w:ind w:firstLine="480" w:firstLineChars="200"/>
        <w:jc w:val="left"/>
        <w:rPr>
          <w:rFonts w:ascii="Times New Roman" w:hAnsi="Times New Roman" w:eastAsia="仿宋"/>
          <w:sz w:val="24"/>
        </w:rPr>
      </w:pPr>
      <w:r>
        <w:rPr>
          <w:rFonts w:ascii="Times New Roman" w:hAnsi="Times New Roman" w:eastAsia="仿宋"/>
          <w:sz w:val="24"/>
        </w:rPr>
        <w:t>（2）乙方及其工作人员违反本合同第一、三条，按管理权限，依据有关部门规定给予党纪、政纪或组织处理；给甲方单位造成经济损失的，应予以赔偿；情节严重的，甲方建议交通工程建设主管部门给予乙方一至三年内不得进入其主管的交通工程建设市场的处罚。</w:t>
      </w:r>
    </w:p>
    <w:p w14:paraId="26EE5B6D">
      <w:pPr>
        <w:widowControl/>
        <w:spacing w:line="400" w:lineRule="exact"/>
        <w:jc w:val="left"/>
        <w:rPr>
          <w:rFonts w:ascii="Times New Roman" w:hAnsi="Times New Roman" w:eastAsia="仿宋"/>
          <w:sz w:val="24"/>
        </w:rPr>
      </w:pPr>
      <w:r>
        <w:rPr>
          <w:rFonts w:ascii="Times New Roman" w:hAnsi="Times New Roman" w:eastAsia="仿宋"/>
          <w:b/>
          <w:bCs/>
          <w:sz w:val="24"/>
        </w:rPr>
        <w:t>五、双方约定</w:t>
      </w:r>
      <w:r>
        <w:rPr>
          <w:rFonts w:ascii="Times New Roman" w:hAnsi="Times New Roman" w:eastAsia="仿宋"/>
          <w:szCs w:val="21"/>
        </w:rPr>
        <w:t>：</w:t>
      </w:r>
      <w:r>
        <w:rPr>
          <w:rFonts w:ascii="Times New Roman" w:hAnsi="Times New Roman" w:eastAsia="仿宋"/>
          <w:sz w:val="24"/>
        </w:rPr>
        <w:t>本合同由双方或双方上级单位的纪检监察机关负责监督执行。根据重庆市人民检察院、重庆市交通委员会《关于开展在交通基础设施建设中预防职务犯罪工作的意见》的有关规定，邀请当地检查机关作为本合同执行的法律监督单位，参与对本合同履行情况的监督检查。</w:t>
      </w:r>
    </w:p>
    <w:p w14:paraId="26EE5B6E">
      <w:pPr>
        <w:widowControl/>
        <w:spacing w:line="400" w:lineRule="exact"/>
        <w:jc w:val="left"/>
        <w:rPr>
          <w:rFonts w:ascii="Times New Roman" w:hAnsi="Times New Roman" w:eastAsia="仿宋"/>
          <w:sz w:val="24"/>
        </w:rPr>
      </w:pPr>
      <w:r>
        <w:rPr>
          <w:rFonts w:ascii="Times New Roman" w:hAnsi="Times New Roman" w:eastAsia="仿宋"/>
          <w:b/>
          <w:bCs/>
          <w:sz w:val="24"/>
        </w:rPr>
        <w:t>六、</w:t>
      </w:r>
      <w:r>
        <w:rPr>
          <w:rFonts w:ascii="Times New Roman" w:hAnsi="Times New Roman" w:eastAsia="仿宋"/>
          <w:sz w:val="24"/>
        </w:rPr>
        <w:t>本合同有效期为甲乙双方签署之日起至双方履行完毕全部合同约定义务之日止。</w:t>
      </w:r>
    </w:p>
    <w:p w14:paraId="26EE5B6F">
      <w:pPr>
        <w:widowControl/>
        <w:spacing w:line="400" w:lineRule="exact"/>
        <w:jc w:val="left"/>
        <w:rPr>
          <w:rFonts w:ascii="Times New Roman" w:hAnsi="Times New Roman" w:eastAsia="仿宋"/>
          <w:szCs w:val="21"/>
        </w:rPr>
      </w:pPr>
      <w:r>
        <w:rPr>
          <w:rFonts w:ascii="Times New Roman" w:hAnsi="Times New Roman" w:eastAsia="仿宋"/>
          <w:b/>
          <w:bCs/>
          <w:sz w:val="24"/>
        </w:rPr>
        <w:t>七、</w:t>
      </w:r>
      <w:r>
        <w:rPr>
          <w:rFonts w:ascii="Times New Roman" w:hAnsi="Times New Roman" w:eastAsia="仿宋"/>
          <w:sz w:val="24"/>
        </w:rPr>
        <w:t>本合同一式两份，甲、乙双方各执一份。</w:t>
      </w:r>
    </w:p>
    <w:p w14:paraId="26EE5B70">
      <w:pPr>
        <w:widowControl/>
        <w:spacing w:line="400" w:lineRule="exact"/>
        <w:jc w:val="left"/>
        <w:rPr>
          <w:rFonts w:ascii="Times New Roman" w:hAnsi="Times New Roman" w:eastAsia="仿宋"/>
          <w:sz w:val="24"/>
        </w:rPr>
      </w:pPr>
    </w:p>
    <w:p w14:paraId="26EE5B71">
      <w:pPr>
        <w:widowControl/>
        <w:spacing w:line="400" w:lineRule="exact"/>
        <w:jc w:val="left"/>
        <w:rPr>
          <w:rFonts w:ascii="Times New Roman" w:hAnsi="Times New Roman" w:eastAsia="仿宋"/>
          <w:sz w:val="24"/>
        </w:rPr>
      </w:pPr>
    </w:p>
    <w:p w14:paraId="26EE5B72">
      <w:pPr>
        <w:widowControl/>
        <w:spacing w:line="400" w:lineRule="exact"/>
        <w:jc w:val="left"/>
        <w:rPr>
          <w:rFonts w:ascii="Times New Roman" w:hAnsi="Times New Roman" w:eastAsia="仿宋"/>
          <w:sz w:val="24"/>
        </w:rPr>
      </w:pPr>
    </w:p>
    <w:p w14:paraId="26EE5B73">
      <w:pPr>
        <w:widowControl/>
        <w:spacing w:line="400" w:lineRule="exact"/>
        <w:jc w:val="left"/>
        <w:rPr>
          <w:rFonts w:ascii="Times New Roman" w:hAnsi="Times New Roman" w:eastAsia="仿宋"/>
          <w:sz w:val="24"/>
        </w:rPr>
      </w:pPr>
    </w:p>
    <w:p w14:paraId="26EE5B74">
      <w:pPr>
        <w:widowControl/>
        <w:spacing w:line="400" w:lineRule="exact"/>
        <w:jc w:val="left"/>
        <w:rPr>
          <w:rFonts w:ascii="Times New Roman" w:hAnsi="Times New Roman" w:eastAsia="仿宋"/>
          <w:sz w:val="24"/>
        </w:rPr>
      </w:pPr>
    </w:p>
    <w:p w14:paraId="26EE5B75">
      <w:pPr>
        <w:widowControl/>
        <w:spacing w:line="400" w:lineRule="exact"/>
        <w:jc w:val="left"/>
        <w:rPr>
          <w:rFonts w:ascii="Times New Roman" w:hAnsi="Times New Roman" w:eastAsia="仿宋"/>
          <w:color w:val="FF0000"/>
          <w:sz w:val="24"/>
        </w:rPr>
      </w:pPr>
      <w:r>
        <w:rPr>
          <w:rFonts w:ascii="Times New Roman" w:hAnsi="Times New Roman" w:eastAsia="仿宋"/>
          <w:sz w:val="24"/>
        </w:rPr>
        <w:t>甲方：</w:t>
      </w:r>
      <w:r>
        <w:rPr>
          <w:rFonts w:hint="eastAsia" w:ascii="Times New Roman" w:hAnsi="Times New Roman" w:eastAsia="仿宋"/>
          <w:sz w:val="24"/>
          <w:lang w:val="en-US" w:eastAsia="zh-CN"/>
        </w:rPr>
        <w:t xml:space="preserve">         </w:t>
      </w:r>
      <w:r>
        <w:rPr>
          <w:rFonts w:ascii="Times New Roman" w:hAnsi="Times New Roman" w:eastAsia="仿宋"/>
          <w:sz w:val="24"/>
        </w:rPr>
        <w:t xml:space="preserve">（章）       </w:t>
      </w:r>
      <w:r>
        <w:rPr>
          <w:rFonts w:hint="eastAsia" w:ascii="Times New Roman" w:hAnsi="Times New Roman" w:eastAsia="仿宋"/>
          <w:sz w:val="24"/>
          <w:lang w:val="en-US" w:eastAsia="zh-CN"/>
        </w:rPr>
        <w:t xml:space="preserve">               </w:t>
      </w:r>
      <w:r>
        <w:rPr>
          <w:rFonts w:ascii="Times New Roman" w:hAnsi="Times New Roman" w:eastAsia="仿宋"/>
          <w:sz w:val="24"/>
        </w:rPr>
        <w:t>乙方：</w:t>
      </w:r>
      <w:r>
        <w:rPr>
          <w:rFonts w:hint="eastAsia" w:ascii="Times New Roman" w:hAnsi="Times New Roman" w:eastAsia="仿宋"/>
          <w:sz w:val="24"/>
          <w:lang w:val="en-US" w:eastAsia="zh-CN"/>
        </w:rPr>
        <w:t xml:space="preserve">    </w:t>
      </w:r>
      <w:r>
        <w:rPr>
          <w:rFonts w:ascii="Times New Roman" w:hAnsi="Times New Roman" w:eastAsia="仿宋"/>
          <w:sz w:val="24"/>
        </w:rPr>
        <w:t>（章）</w:t>
      </w:r>
    </w:p>
    <w:p w14:paraId="26EE5B76">
      <w:pPr>
        <w:widowControl/>
        <w:spacing w:line="360" w:lineRule="auto"/>
        <w:jc w:val="left"/>
        <w:rPr>
          <w:rFonts w:ascii="Times New Roman" w:hAnsi="Times New Roman" w:eastAsia="仿宋"/>
          <w:sz w:val="24"/>
        </w:rPr>
      </w:pPr>
    </w:p>
    <w:p w14:paraId="26EE5B77">
      <w:pPr>
        <w:widowControl/>
        <w:spacing w:line="360" w:lineRule="auto"/>
        <w:jc w:val="left"/>
        <w:rPr>
          <w:rFonts w:ascii="Times New Roman" w:hAnsi="Times New Roman" w:eastAsia="仿宋"/>
          <w:sz w:val="24"/>
        </w:rPr>
      </w:pPr>
      <w:r>
        <w:rPr>
          <w:rFonts w:ascii="Times New Roman" w:hAnsi="Times New Roman" w:eastAsia="仿宋"/>
          <w:sz w:val="24"/>
        </w:rPr>
        <w:t>公司负责人或授权代理人：                   公司负责人或授权代理人：</w:t>
      </w:r>
    </w:p>
    <w:p w14:paraId="26EE5B78">
      <w:pPr>
        <w:widowControl/>
        <w:spacing w:line="360" w:lineRule="auto"/>
        <w:jc w:val="left"/>
        <w:rPr>
          <w:rFonts w:ascii="Times New Roman" w:hAnsi="Times New Roman" w:eastAsia="仿宋"/>
          <w:sz w:val="24"/>
        </w:rPr>
      </w:pPr>
    </w:p>
    <w:p w14:paraId="26EE5B79">
      <w:pPr>
        <w:widowControl/>
        <w:spacing w:line="360" w:lineRule="auto"/>
        <w:jc w:val="left"/>
        <w:rPr>
          <w:rFonts w:ascii="Times New Roman" w:hAnsi="Times New Roman" w:eastAsia="仿宋"/>
          <w:sz w:val="24"/>
        </w:rPr>
      </w:pPr>
      <w:r>
        <w:rPr>
          <w:rFonts w:ascii="Times New Roman" w:hAnsi="Times New Roman" w:eastAsia="仿宋"/>
          <w:sz w:val="24"/>
        </w:rPr>
        <w:t>项目经理：</w:t>
      </w:r>
      <w:r>
        <w:rPr>
          <w:rFonts w:ascii="Times New Roman" w:hAnsi="Times New Roman" w:eastAsia="仿宋"/>
          <w:sz w:val="24"/>
        </w:rPr>
        <w:tab/>
      </w:r>
      <w:r>
        <w:rPr>
          <w:rFonts w:ascii="Times New Roman" w:hAnsi="Times New Roman" w:eastAsia="仿宋"/>
          <w:sz w:val="24"/>
        </w:rPr>
        <w:t xml:space="preserve">                                 项目经理：</w:t>
      </w:r>
    </w:p>
    <w:p w14:paraId="26EE5B7A">
      <w:pPr>
        <w:widowControl/>
        <w:spacing w:line="360" w:lineRule="auto"/>
        <w:jc w:val="left"/>
        <w:rPr>
          <w:rFonts w:ascii="Times New Roman" w:hAnsi="Times New Roman" w:eastAsia="仿宋"/>
          <w:sz w:val="24"/>
        </w:rPr>
      </w:pPr>
    </w:p>
    <w:p w14:paraId="26EE5B7B">
      <w:pPr>
        <w:widowControl/>
        <w:spacing w:line="360" w:lineRule="auto"/>
        <w:jc w:val="left"/>
        <w:rPr>
          <w:rFonts w:ascii="Times New Roman" w:hAnsi="Times New Roman" w:eastAsia="仿宋"/>
          <w:sz w:val="24"/>
        </w:rPr>
      </w:pPr>
      <w:r>
        <w:rPr>
          <w:rFonts w:ascii="Times New Roman" w:hAnsi="Times New Roman" w:eastAsia="仿宋"/>
          <w:sz w:val="24"/>
        </w:rPr>
        <w:t>经办人：                                    经办人：</w:t>
      </w:r>
    </w:p>
    <w:p w14:paraId="26EE5B7C">
      <w:pPr>
        <w:widowControl/>
        <w:spacing w:line="360" w:lineRule="auto"/>
        <w:jc w:val="left"/>
        <w:rPr>
          <w:rFonts w:ascii="Times New Roman" w:hAnsi="Times New Roman" w:eastAsia="仿宋"/>
          <w:sz w:val="24"/>
        </w:rPr>
      </w:pPr>
    </w:p>
    <w:p w14:paraId="26EE5B7D">
      <w:pPr>
        <w:spacing w:line="440" w:lineRule="exact"/>
        <w:rPr>
          <w:rFonts w:ascii="Times New Roman" w:hAnsi="Times New Roman" w:eastAsia="仿宋_GB2312"/>
          <w:color w:val="000000"/>
          <w:sz w:val="30"/>
          <w:szCs w:val="30"/>
        </w:rPr>
      </w:pPr>
      <w:r>
        <w:rPr>
          <w:rFonts w:ascii="Times New Roman" w:hAnsi="Times New Roman" w:eastAsia="仿宋"/>
          <w:sz w:val="24"/>
        </w:rPr>
        <w:t xml:space="preserve">日期: </w:t>
      </w:r>
      <w:r>
        <w:rPr>
          <w:rFonts w:ascii="Times New Roman" w:hAnsi="Times New Roman" w:eastAsia="仿宋"/>
          <w:sz w:val="24"/>
        </w:rPr>
        <w:tab/>
      </w:r>
      <w:r>
        <w:rPr>
          <w:rFonts w:ascii="Times New Roman" w:hAnsi="Times New Roman" w:eastAsia="仿宋"/>
          <w:sz w:val="24"/>
        </w:rPr>
        <w:t xml:space="preserve">                                     日期:</w:t>
      </w:r>
    </w:p>
    <w:p w14:paraId="26EE5B7E">
      <w:pPr>
        <w:rPr>
          <w:rFonts w:ascii="Times New Roman" w:hAnsi="Times New Roman"/>
        </w:rPr>
      </w:pPr>
    </w:p>
    <w:p w14:paraId="26EE5B7F">
      <w:pPr>
        <w:rPr>
          <w:rFonts w:ascii="Times New Roman" w:hAnsi="Times New Roman"/>
        </w:rPr>
      </w:pPr>
    </w:p>
    <w:p w14:paraId="26EE5B80">
      <w:pPr>
        <w:widowControl/>
        <w:jc w:val="left"/>
        <w:rPr>
          <w:rFonts w:ascii="Times New Roman" w:hAnsi="Times New Roman" w:eastAsia="仿宋"/>
          <w:b/>
          <w:kern w:val="0"/>
          <w:sz w:val="32"/>
          <w:szCs w:val="32"/>
        </w:rPr>
      </w:pPr>
    </w:p>
    <w:p w14:paraId="26EE5B81">
      <w:pPr>
        <w:widowControl/>
        <w:jc w:val="left"/>
        <w:rPr>
          <w:rFonts w:ascii="Times New Roman" w:hAnsi="Times New Roman" w:eastAsia="仿宋"/>
          <w:b/>
          <w:kern w:val="0"/>
          <w:sz w:val="32"/>
          <w:szCs w:val="32"/>
        </w:rPr>
      </w:pPr>
    </w:p>
    <w:p w14:paraId="26EE5B82">
      <w:pPr>
        <w:widowControl/>
        <w:jc w:val="left"/>
        <w:rPr>
          <w:rFonts w:ascii="Times New Roman" w:hAnsi="Times New Roman" w:eastAsia="仿宋"/>
          <w:b/>
          <w:kern w:val="0"/>
          <w:sz w:val="32"/>
          <w:szCs w:val="32"/>
        </w:rPr>
      </w:pPr>
    </w:p>
    <w:p w14:paraId="26EE5B83">
      <w:pPr>
        <w:widowControl/>
        <w:jc w:val="left"/>
        <w:rPr>
          <w:rFonts w:ascii="Times New Roman" w:hAnsi="Times New Roman" w:eastAsia="仿宋"/>
          <w:b/>
          <w:kern w:val="0"/>
          <w:sz w:val="32"/>
          <w:szCs w:val="32"/>
        </w:rPr>
      </w:pPr>
    </w:p>
    <w:p w14:paraId="26EE5B84">
      <w:pPr>
        <w:widowControl/>
        <w:jc w:val="left"/>
        <w:rPr>
          <w:rFonts w:ascii="Times New Roman" w:hAnsi="Times New Roman" w:eastAsia="仿宋"/>
          <w:b/>
          <w:kern w:val="0"/>
          <w:sz w:val="32"/>
          <w:szCs w:val="32"/>
        </w:rPr>
      </w:pPr>
    </w:p>
    <w:p w14:paraId="26EE5B85">
      <w:pPr>
        <w:widowControl/>
        <w:jc w:val="left"/>
        <w:rPr>
          <w:rFonts w:ascii="Times New Roman" w:hAnsi="Times New Roman" w:eastAsia="仿宋"/>
          <w:b/>
          <w:kern w:val="0"/>
          <w:sz w:val="32"/>
          <w:szCs w:val="32"/>
        </w:rPr>
      </w:pPr>
    </w:p>
    <w:p w14:paraId="26EE5B86">
      <w:pPr>
        <w:widowControl/>
        <w:jc w:val="left"/>
        <w:rPr>
          <w:rFonts w:ascii="Times New Roman" w:hAnsi="Times New Roman" w:eastAsia="仿宋"/>
          <w:b/>
          <w:kern w:val="0"/>
          <w:sz w:val="32"/>
          <w:szCs w:val="32"/>
        </w:rPr>
      </w:pPr>
    </w:p>
    <w:p w14:paraId="26EE5B87">
      <w:pPr>
        <w:widowControl/>
        <w:jc w:val="left"/>
        <w:rPr>
          <w:rFonts w:ascii="Times New Roman" w:hAnsi="Times New Roman" w:eastAsia="仿宋"/>
          <w:b/>
          <w:kern w:val="0"/>
          <w:sz w:val="32"/>
          <w:szCs w:val="32"/>
        </w:rPr>
      </w:pPr>
    </w:p>
    <w:p w14:paraId="26EE5B88">
      <w:pPr>
        <w:widowControl/>
        <w:jc w:val="left"/>
        <w:rPr>
          <w:rFonts w:ascii="Times New Roman" w:hAnsi="Times New Roman" w:eastAsia="仿宋"/>
          <w:b/>
          <w:kern w:val="0"/>
          <w:sz w:val="32"/>
          <w:szCs w:val="32"/>
        </w:rPr>
      </w:pPr>
    </w:p>
    <w:p w14:paraId="26EE5B89">
      <w:pPr>
        <w:widowControl/>
        <w:jc w:val="left"/>
        <w:rPr>
          <w:rFonts w:ascii="Times New Roman" w:hAnsi="Times New Roman" w:eastAsia="仿宋"/>
          <w:b/>
          <w:kern w:val="0"/>
          <w:sz w:val="32"/>
          <w:szCs w:val="32"/>
        </w:rPr>
      </w:pPr>
    </w:p>
    <w:p w14:paraId="26EE5B8A">
      <w:pPr>
        <w:widowControl/>
        <w:jc w:val="left"/>
        <w:rPr>
          <w:rFonts w:ascii="Times New Roman" w:hAnsi="Times New Roman" w:eastAsia="仿宋"/>
          <w:b/>
          <w:kern w:val="0"/>
          <w:sz w:val="32"/>
          <w:szCs w:val="32"/>
        </w:rPr>
      </w:pPr>
    </w:p>
    <w:p w14:paraId="26EE5B8B">
      <w:pPr>
        <w:widowControl/>
        <w:jc w:val="left"/>
        <w:rPr>
          <w:rFonts w:ascii="Times New Roman" w:hAnsi="Times New Roman" w:eastAsia="仿宋"/>
          <w:b/>
          <w:kern w:val="0"/>
          <w:sz w:val="32"/>
          <w:szCs w:val="32"/>
        </w:rPr>
      </w:pPr>
    </w:p>
    <w:p w14:paraId="3EE2A188">
      <w:pPr>
        <w:rPr>
          <w:rFonts w:ascii="Times New Roman" w:hAnsi="Times New Roman"/>
        </w:rPr>
      </w:pPr>
    </w:p>
    <w:sectPr>
      <w:headerReference r:id="rId3" w:type="default"/>
      <w:footerReference r:id="rId4" w:type="default"/>
      <w:footerReference r:id="rId5" w:type="even"/>
      <w:pgSz w:w="11906" w:h="16838"/>
      <w:pgMar w:top="1440" w:right="1646" w:bottom="1440" w:left="126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TimesNewRomanPSMT">
    <w:altName w:val="Times New Roman"/>
    <w:panose1 w:val="00000000000000000000"/>
    <w:charset w:val="00"/>
    <w:family w:val="auto"/>
    <w:pitch w:val="default"/>
    <w:sig w:usb0="00000000" w:usb1="00000000" w:usb2="00000001" w:usb3="00000000" w:csb0="400001BF" w:csb1="DFF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E5B9F">
    <w:pPr>
      <w:pStyle w:val="28"/>
      <w:jc w:val="center"/>
      <w:rPr>
        <w:rFonts w:hint="default"/>
      </w:rPr>
    </w:pPr>
    <w:r>
      <w:rPr>
        <w:rFonts w:ascii="宋体" w:hAnsi="宋体" w:eastAsia="宋体" w:cs="宋体"/>
        <w:kern w:val="0"/>
        <w:lang w:val="zh-TW" w:eastAsia="zh-TW"/>
      </w:rPr>
      <w:t xml:space="preserve">第 </w:t>
    </w:r>
    <w:r>
      <w:rPr>
        <w:kern w:val="0"/>
      </w:rPr>
      <w:fldChar w:fldCharType="begin"/>
    </w:r>
    <w:r>
      <w:rPr>
        <w:kern w:val="0"/>
      </w:rPr>
      <w:instrText xml:space="preserve"> PAGE </w:instrText>
    </w:r>
    <w:r>
      <w:rPr>
        <w:kern w:val="0"/>
      </w:rPr>
      <w:fldChar w:fldCharType="separate"/>
    </w:r>
    <w:r>
      <w:rPr>
        <w:rFonts w:hint="default"/>
        <w:kern w:val="0"/>
      </w:rPr>
      <w:t>1</w:t>
    </w:r>
    <w:r>
      <w:rPr>
        <w:kern w:val="0"/>
      </w:rPr>
      <w:fldChar w:fldCharType="end"/>
    </w:r>
    <w:r>
      <w:rPr>
        <w:rFonts w:ascii="宋体" w:hAnsi="宋体" w:eastAsia="宋体" w:cs="宋体"/>
        <w:kern w:val="0"/>
        <w:lang w:val="zh-TW" w:eastAsia="zh-TW"/>
      </w:rPr>
      <w:t xml:space="preserve"> 页 共 </w:t>
    </w:r>
    <w:r>
      <w:rPr>
        <w:kern w:val="0"/>
      </w:rPr>
      <w:fldChar w:fldCharType="begin"/>
    </w:r>
    <w:r>
      <w:rPr>
        <w:kern w:val="0"/>
      </w:rPr>
      <w:instrText xml:space="preserve"> NUMPAGES </w:instrText>
    </w:r>
    <w:r>
      <w:rPr>
        <w:kern w:val="0"/>
      </w:rPr>
      <w:fldChar w:fldCharType="separate"/>
    </w:r>
    <w:r>
      <w:rPr>
        <w:rFonts w:hint="default"/>
        <w:kern w:val="0"/>
      </w:rPr>
      <w:t>15</w:t>
    </w:r>
    <w:r>
      <w:rPr>
        <w:kern w:val="0"/>
      </w:rPr>
      <w:fldChar w:fldCharType="end"/>
    </w:r>
    <w:r>
      <w:rPr>
        <w:rFonts w:ascii="宋体" w:hAnsi="宋体" w:eastAsia="宋体" w:cs="宋体"/>
        <w:kern w:val="0"/>
        <w:lang w:val="zh-TW" w:eastAsia="zh-TW"/>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E5B9D">
    <w:pPr>
      <w:pStyle w:val="10"/>
      <w:framePr w:wrap="around" w:vAnchor="text" w:hAnchor="margin" w:xAlign="center" w:y="1"/>
      <w:rPr>
        <w:rStyle w:val="19"/>
      </w:rPr>
    </w:pPr>
    <w:r>
      <w:fldChar w:fldCharType="begin"/>
    </w:r>
    <w:r>
      <w:rPr>
        <w:rStyle w:val="19"/>
      </w:rPr>
      <w:instrText xml:space="preserve">PAGE  </w:instrText>
    </w:r>
    <w:r>
      <w:fldChar w:fldCharType="end"/>
    </w:r>
  </w:p>
  <w:p w14:paraId="26EE5B9E">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E5B9A">
    <w:pPr>
      <w:pStyle w:val="11"/>
      <w:pBdr>
        <w:bottom w:val="single" w:color="auto" w:sz="4" w:space="1"/>
      </w:pBdr>
    </w:pPr>
    <w:r>
      <w:rPr>
        <w:rFonts w:hint="eastAsia"/>
      </w:rPr>
      <w:t xml:space="preserve">                                                                          </w:t>
    </w:r>
  </w:p>
  <w:p w14:paraId="26EE5B9B">
    <w:pPr>
      <w:pStyle w:val="11"/>
      <w:pBdr>
        <w:bottom w:val="single" w:color="auto" w:sz="4" w:space="1"/>
      </w:pBdr>
    </w:pPr>
    <w:r>
      <w:rPr>
        <w:rFonts w:hint="eastAsia"/>
      </w:rPr>
      <w:t xml:space="preserve">                                                                           重庆首讯科技股份有限公司</w:t>
    </w:r>
  </w:p>
  <w:p w14:paraId="26EE5B9C">
    <w:pPr>
      <w:pStyle w:val="11"/>
      <w:pBdr>
        <w:bottom w:val="none" w:color="auto" w:sz="0" w:space="0"/>
      </w:pBdr>
      <w:rPr>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2D1E51"/>
    <w:multiLevelType w:val="singleLevel"/>
    <w:tmpl w:val="DB2D1E51"/>
    <w:lvl w:ilvl="0" w:tentative="0">
      <w:start w:val="1"/>
      <w:numFmt w:val="decimal"/>
      <w:suff w:val="space"/>
      <w:lvlText w:val="(%1)"/>
      <w:lvlJc w:val="left"/>
      <w:pPr>
        <w:ind w:left="425" w:hanging="425"/>
      </w:pPr>
      <w:rPr>
        <w:rFonts w:hint="default"/>
      </w:rPr>
    </w:lvl>
  </w:abstractNum>
  <w:abstractNum w:abstractNumId="1">
    <w:nsid w:val="E4B86E78"/>
    <w:multiLevelType w:val="singleLevel"/>
    <w:tmpl w:val="E4B86E78"/>
    <w:lvl w:ilvl="0" w:tentative="0">
      <w:start w:val="1"/>
      <w:numFmt w:val="decimal"/>
      <w:suff w:val="space"/>
      <w:lvlText w:val="(%1)"/>
      <w:lvlJc w:val="left"/>
      <w:pPr>
        <w:ind w:left="425" w:hanging="425"/>
      </w:pPr>
      <w:rPr>
        <w:rFonts w:hint="default"/>
      </w:rPr>
    </w:lvl>
  </w:abstractNum>
  <w:abstractNum w:abstractNumId="2">
    <w:nsid w:val="10732477"/>
    <w:multiLevelType w:val="singleLevel"/>
    <w:tmpl w:val="10732477"/>
    <w:lvl w:ilvl="0" w:tentative="0">
      <w:start w:val="1"/>
      <w:numFmt w:val="decimal"/>
      <w:lvlText w:val="(%1)"/>
      <w:lvlJc w:val="left"/>
      <w:pPr>
        <w:ind w:left="425" w:hanging="425"/>
      </w:pPr>
      <w:rPr>
        <w:rFonts w:hint="default"/>
      </w:rPr>
    </w:lvl>
  </w:abstractNum>
  <w:abstractNum w:abstractNumId="3">
    <w:nsid w:val="52F6E542"/>
    <w:multiLevelType w:val="singleLevel"/>
    <w:tmpl w:val="52F6E542"/>
    <w:lvl w:ilvl="0" w:tentative="0">
      <w:start w:val="1"/>
      <w:numFmt w:val="decimal"/>
      <w:lvlText w:val="(%1)"/>
      <w:lvlJc w:val="left"/>
      <w:pPr>
        <w:ind w:left="425" w:hanging="425"/>
      </w:pPr>
      <w:rPr>
        <w:rFont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U4NzI4NjBmYzAxNjQyYjg0OGNjNmI3YTgzNWRkNzAifQ=="/>
  </w:docVars>
  <w:rsids>
    <w:rsidRoot w:val="31DD6FD9"/>
    <w:rsid w:val="00001C75"/>
    <w:rsid w:val="00012161"/>
    <w:rsid w:val="00017B2D"/>
    <w:rsid w:val="0002244C"/>
    <w:rsid w:val="00025658"/>
    <w:rsid w:val="000351A3"/>
    <w:rsid w:val="00040BA8"/>
    <w:rsid w:val="000444E8"/>
    <w:rsid w:val="0005331F"/>
    <w:rsid w:val="00054E63"/>
    <w:rsid w:val="00065CD4"/>
    <w:rsid w:val="00071F75"/>
    <w:rsid w:val="00083FFB"/>
    <w:rsid w:val="00084640"/>
    <w:rsid w:val="00084A0A"/>
    <w:rsid w:val="00085FA3"/>
    <w:rsid w:val="00090F4F"/>
    <w:rsid w:val="00096B01"/>
    <w:rsid w:val="000A12A7"/>
    <w:rsid w:val="000A152E"/>
    <w:rsid w:val="000B1FE8"/>
    <w:rsid w:val="000D40FA"/>
    <w:rsid w:val="000F3551"/>
    <w:rsid w:val="00120B81"/>
    <w:rsid w:val="00125107"/>
    <w:rsid w:val="00127C0F"/>
    <w:rsid w:val="0013199F"/>
    <w:rsid w:val="001362EA"/>
    <w:rsid w:val="00143A4D"/>
    <w:rsid w:val="00150517"/>
    <w:rsid w:val="001760FE"/>
    <w:rsid w:val="00190D4E"/>
    <w:rsid w:val="001A7C05"/>
    <w:rsid w:val="001B256A"/>
    <w:rsid w:val="001B7E94"/>
    <w:rsid w:val="001D606A"/>
    <w:rsid w:val="001F26B1"/>
    <w:rsid w:val="001F377C"/>
    <w:rsid w:val="001F41FC"/>
    <w:rsid w:val="00204FB2"/>
    <w:rsid w:val="00205206"/>
    <w:rsid w:val="00211F14"/>
    <w:rsid w:val="00220979"/>
    <w:rsid w:val="00234514"/>
    <w:rsid w:val="00237D06"/>
    <w:rsid w:val="00241D3F"/>
    <w:rsid w:val="00252925"/>
    <w:rsid w:val="00254234"/>
    <w:rsid w:val="002546A9"/>
    <w:rsid w:val="00255E53"/>
    <w:rsid w:val="0026237F"/>
    <w:rsid w:val="0026359D"/>
    <w:rsid w:val="0026458E"/>
    <w:rsid w:val="00272895"/>
    <w:rsid w:val="00274BEB"/>
    <w:rsid w:val="00285597"/>
    <w:rsid w:val="002912C2"/>
    <w:rsid w:val="00295388"/>
    <w:rsid w:val="00297A07"/>
    <w:rsid w:val="002A5F00"/>
    <w:rsid w:val="002C6DFD"/>
    <w:rsid w:val="002C7DA0"/>
    <w:rsid w:val="002D1B1C"/>
    <w:rsid w:val="002D5460"/>
    <w:rsid w:val="002F009D"/>
    <w:rsid w:val="002F0259"/>
    <w:rsid w:val="002F02BD"/>
    <w:rsid w:val="002F2707"/>
    <w:rsid w:val="002F29BA"/>
    <w:rsid w:val="002F6018"/>
    <w:rsid w:val="002F6764"/>
    <w:rsid w:val="00301B23"/>
    <w:rsid w:val="003036E8"/>
    <w:rsid w:val="0031009C"/>
    <w:rsid w:val="00313937"/>
    <w:rsid w:val="003147D2"/>
    <w:rsid w:val="00314F7B"/>
    <w:rsid w:val="00317D42"/>
    <w:rsid w:val="003237FA"/>
    <w:rsid w:val="0033329C"/>
    <w:rsid w:val="00334CC8"/>
    <w:rsid w:val="003428C9"/>
    <w:rsid w:val="00342B2A"/>
    <w:rsid w:val="00344598"/>
    <w:rsid w:val="003547B7"/>
    <w:rsid w:val="00363731"/>
    <w:rsid w:val="00375816"/>
    <w:rsid w:val="00381F36"/>
    <w:rsid w:val="00385DD8"/>
    <w:rsid w:val="003B5D1A"/>
    <w:rsid w:val="003C7F91"/>
    <w:rsid w:val="003D51A1"/>
    <w:rsid w:val="003D632E"/>
    <w:rsid w:val="003E6EE2"/>
    <w:rsid w:val="003F78B3"/>
    <w:rsid w:val="0040441B"/>
    <w:rsid w:val="00407615"/>
    <w:rsid w:val="00410FA7"/>
    <w:rsid w:val="00423D6D"/>
    <w:rsid w:val="00427E89"/>
    <w:rsid w:val="00443EB8"/>
    <w:rsid w:val="00445438"/>
    <w:rsid w:val="0044551D"/>
    <w:rsid w:val="00453D18"/>
    <w:rsid w:val="0045555C"/>
    <w:rsid w:val="00457205"/>
    <w:rsid w:val="00464879"/>
    <w:rsid w:val="004748F9"/>
    <w:rsid w:val="00474F52"/>
    <w:rsid w:val="00476D7A"/>
    <w:rsid w:val="00482E23"/>
    <w:rsid w:val="0048703B"/>
    <w:rsid w:val="0049092C"/>
    <w:rsid w:val="004929FD"/>
    <w:rsid w:val="004948AB"/>
    <w:rsid w:val="004A03FA"/>
    <w:rsid w:val="004A27D4"/>
    <w:rsid w:val="004A744A"/>
    <w:rsid w:val="004B3551"/>
    <w:rsid w:val="004C4A50"/>
    <w:rsid w:val="004C644D"/>
    <w:rsid w:val="004C7A55"/>
    <w:rsid w:val="004D190F"/>
    <w:rsid w:val="004E059E"/>
    <w:rsid w:val="004E0B89"/>
    <w:rsid w:val="004E3F08"/>
    <w:rsid w:val="004F0D3E"/>
    <w:rsid w:val="004F68F4"/>
    <w:rsid w:val="00537F15"/>
    <w:rsid w:val="00541229"/>
    <w:rsid w:val="005435E0"/>
    <w:rsid w:val="00550CB9"/>
    <w:rsid w:val="0055117F"/>
    <w:rsid w:val="005564FA"/>
    <w:rsid w:val="00563731"/>
    <w:rsid w:val="005640A6"/>
    <w:rsid w:val="0057095E"/>
    <w:rsid w:val="00583DC7"/>
    <w:rsid w:val="00594853"/>
    <w:rsid w:val="005C5C29"/>
    <w:rsid w:val="005C5C8B"/>
    <w:rsid w:val="005D3164"/>
    <w:rsid w:val="005E163C"/>
    <w:rsid w:val="0060151E"/>
    <w:rsid w:val="00604855"/>
    <w:rsid w:val="00611FCA"/>
    <w:rsid w:val="00613B5F"/>
    <w:rsid w:val="006367E1"/>
    <w:rsid w:val="006437D1"/>
    <w:rsid w:val="006513C3"/>
    <w:rsid w:val="00664266"/>
    <w:rsid w:val="00675575"/>
    <w:rsid w:val="00677EBD"/>
    <w:rsid w:val="00693528"/>
    <w:rsid w:val="00693A12"/>
    <w:rsid w:val="00697690"/>
    <w:rsid w:val="006B425D"/>
    <w:rsid w:val="006B47C8"/>
    <w:rsid w:val="006B4F03"/>
    <w:rsid w:val="006B6FC4"/>
    <w:rsid w:val="006C4F7D"/>
    <w:rsid w:val="006C59D5"/>
    <w:rsid w:val="006C76CE"/>
    <w:rsid w:val="006D7516"/>
    <w:rsid w:val="006F4E6A"/>
    <w:rsid w:val="00702036"/>
    <w:rsid w:val="00711F90"/>
    <w:rsid w:val="00712115"/>
    <w:rsid w:val="007126FC"/>
    <w:rsid w:val="007127A8"/>
    <w:rsid w:val="00712B93"/>
    <w:rsid w:val="007203E7"/>
    <w:rsid w:val="00726497"/>
    <w:rsid w:val="00734647"/>
    <w:rsid w:val="00735C01"/>
    <w:rsid w:val="00746270"/>
    <w:rsid w:val="00746786"/>
    <w:rsid w:val="007467F3"/>
    <w:rsid w:val="0076771A"/>
    <w:rsid w:val="007741FB"/>
    <w:rsid w:val="007849BF"/>
    <w:rsid w:val="007A595C"/>
    <w:rsid w:val="007D6C88"/>
    <w:rsid w:val="007D78AF"/>
    <w:rsid w:val="007D79C9"/>
    <w:rsid w:val="007E310B"/>
    <w:rsid w:val="007E621E"/>
    <w:rsid w:val="007E64FE"/>
    <w:rsid w:val="007E7A8B"/>
    <w:rsid w:val="007F06A3"/>
    <w:rsid w:val="00804DF5"/>
    <w:rsid w:val="008056F6"/>
    <w:rsid w:val="00812FE2"/>
    <w:rsid w:val="00815C61"/>
    <w:rsid w:val="008161BF"/>
    <w:rsid w:val="00840819"/>
    <w:rsid w:val="00844485"/>
    <w:rsid w:val="008464AD"/>
    <w:rsid w:val="00855080"/>
    <w:rsid w:val="008641A9"/>
    <w:rsid w:val="00867D0A"/>
    <w:rsid w:val="00871715"/>
    <w:rsid w:val="008A186A"/>
    <w:rsid w:val="008A6D18"/>
    <w:rsid w:val="008B7A01"/>
    <w:rsid w:val="008C2DCB"/>
    <w:rsid w:val="008D0671"/>
    <w:rsid w:val="008D334A"/>
    <w:rsid w:val="008E484F"/>
    <w:rsid w:val="008F1201"/>
    <w:rsid w:val="008F135B"/>
    <w:rsid w:val="009009F7"/>
    <w:rsid w:val="00900FCB"/>
    <w:rsid w:val="0092088F"/>
    <w:rsid w:val="00921A24"/>
    <w:rsid w:val="00954FA7"/>
    <w:rsid w:val="00955D54"/>
    <w:rsid w:val="009613DF"/>
    <w:rsid w:val="00961F0F"/>
    <w:rsid w:val="00972A6F"/>
    <w:rsid w:val="009776CE"/>
    <w:rsid w:val="00980F3C"/>
    <w:rsid w:val="009824C6"/>
    <w:rsid w:val="00991460"/>
    <w:rsid w:val="009924E6"/>
    <w:rsid w:val="009E64AF"/>
    <w:rsid w:val="009F3A53"/>
    <w:rsid w:val="009F4D32"/>
    <w:rsid w:val="009F57B7"/>
    <w:rsid w:val="00A0172D"/>
    <w:rsid w:val="00A01FCD"/>
    <w:rsid w:val="00A22AA1"/>
    <w:rsid w:val="00A41091"/>
    <w:rsid w:val="00A62A10"/>
    <w:rsid w:val="00A6441A"/>
    <w:rsid w:val="00A80325"/>
    <w:rsid w:val="00A810EF"/>
    <w:rsid w:val="00AA0A68"/>
    <w:rsid w:val="00AB71EF"/>
    <w:rsid w:val="00AC2D5D"/>
    <w:rsid w:val="00AC7E3D"/>
    <w:rsid w:val="00AD3C3B"/>
    <w:rsid w:val="00AD5E1D"/>
    <w:rsid w:val="00AE1576"/>
    <w:rsid w:val="00AE7188"/>
    <w:rsid w:val="00AE7F41"/>
    <w:rsid w:val="00AF14C2"/>
    <w:rsid w:val="00AF20B8"/>
    <w:rsid w:val="00B134F9"/>
    <w:rsid w:val="00B25249"/>
    <w:rsid w:val="00B26F3F"/>
    <w:rsid w:val="00B27F68"/>
    <w:rsid w:val="00B34D43"/>
    <w:rsid w:val="00B40905"/>
    <w:rsid w:val="00B612AB"/>
    <w:rsid w:val="00B822FC"/>
    <w:rsid w:val="00B8756C"/>
    <w:rsid w:val="00B92CF4"/>
    <w:rsid w:val="00B968B5"/>
    <w:rsid w:val="00BA7F5E"/>
    <w:rsid w:val="00BB4CA1"/>
    <w:rsid w:val="00BB5520"/>
    <w:rsid w:val="00BB7985"/>
    <w:rsid w:val="00BC18A2"/>
    <w:rsid w:val="00BC77C4"/>
    <w:rsid w:val="00BD4972"/>
    <w:rsid w:val="00BE2EF6"/>
    <w:rsid w:val="00C1383D"/>
    <w:rsid w:val="00C32B43"/>
    <w:rsid w:val="00C35B00"/>
    <w:rsid w:val="00C42336"/>
    <w:rsid w:val="00C55E36"/>
    <w:rsid w:val="00C72E77"/>
    <w:rsid w:val="00C75E5F"/>
    <w:rsid w:val="00C86F1C"/>
    <w:rsid w:val="00C92873"/>
    <w:rsid w:val="00CB1430"/>
    <w:rsid w:val="00CB2F5D"/>
    <w:rsid w:val="00CD1C05"/>
    <w:rsid w:val="00D02400"/>
    <w:rsid w:val="00D07385"/>
    <w:rsid w:val="00D11407"/>
    <w:rsid w:val="00D14053"/>
    <w:rsid w:val="00D21198"/>
    <w:rsid w:val="00D22451"/>
    <w:rsid w:val="00D24471"/>
    <w:rsid w:val="00D31F95"/>
    <w:rsid w:val="00D72F22"/>
    <w:rsid w:val="00D853E0"/>
    <w:rsid w:val="00D90D52"/>
    <w:rsid w:val="00D97915"/>
    <w:rsid w:val="00DA5A25"/>
    <w:rsid w:val="00DA7C35"/>
    <w:rsid w:val="00DB195E"/>
    <w:rsid w:val="00DB2CB5"/>
    <w:rsid w:val="00DB6969"/>
    <w:rsid w:val="00DC1CDF"/>
    <w:rsid w:val="00DC201D"/>
    <w:rsid w:val="00DC7DC6"/>
    <w:rsid w:val="00DD416E"/>
    <w:rsid w:val="00DE0DC4"/>
    <w:rsid w:val="00DF281F"/>
    <w:rsid w:val="00DF3552"/>
    <w:rsid w:val="00E0022E"/>
    <w:rsid w:val="00E02975"/>
    <w:rsid w:val="00E06547"/>
    <w:rsid w:val="00E22F70"/>
    <w:rsid w:val="00E302D2"/>
    <w:rsid w:val="00E35653"/>
    <w:rsid w:val="00E36BCF"/>
    <w:rsid w:val="00E41FDF"/>
    <w:rsid w:val="00E42E82"/>
    <w:rsid w:val="00E51EBE"/>
    <w:rsid w:val="00E544FE"/>
    <w:rsid w:val="00E63013"/>
    <w:rsid w:val="00E736DF"/>
    <w:rsid w:val="00E7489C"/>
    <w:rsid w:val="00E80D27"/>
    <w:rsid w:val="00E819B0"/>
    <w:rsid w:val="00E83D00"/>
    <w:rsid w:val="00E8493B"/>
    <w:rsid w:val="00EA4C62"/>
    <w:rsid w:val="00EC3CE3"/>
    <w:rsid w:val="00EC4B50"/>
    <w:rsid w:val="00EC776E"/>
    <w:rsid w:val="00ED2F17"/>
    <w:rsid w:val="00ED3101"/>
    <w:rsid w:val="00ED37C3"/>
    <w:rsid w:val="00EE2E15"/>
    <w:rsid w:val="00EE4FE0"/>
    <w:rsid w:val="00F12D1A"/>
    <w:rsid w:val="00F34CA8"/>
    <w:rsid w:val="00F42060"/>
    <w:rsid w:val="00F4350A"/>
    <w:rsid w:val="00F46F06"/>
    <w:rsid w:val="00F554A5"/>
    <w:rsid w:val="00F65592"/>
    <w:rsid w:val="00F7284B"/>
    <w:rsid w:val="00F746BF"/>
    <w:rsid w:val="00F803E4"/>
    <w:rsid w:val="00F8076E"/>
    <w:rsid w:val="00F86EBF"/>
    <w:rsid w:val="00F87981"/>
    <w:rsid w:val="00F93BE5"/>
    <w:rsid w:val="00FA7367"/>
    <w:rsid w:val="00FB04A5"/>
    <w:rsid w:val="00FB1663"/>
    <w:rsid w:val="00FC167F"/>
    <w:rsid w:val="00FC18E9"/>
    <w:rsid w:val="00FC3814"/>
    <w:rsid w:val="00FD3799"/>
    <w:rsid w:val="00FD3F12"/>
    <w:rsid w:val="00FE0157"/>
    <w:rsid w:val="00FE5849"/>
    <w:rsid w:val="00FF7FFB"/>
    <w:rsid w:val="01336A5B"/>
    <w:rsid w:val="01421AD5"/>
    <w:rsid w:val="01661D7E"/>
    <w:rsid w:val="01F707BE"/>
    <w:rsid w:val="01F80A87"/>
    <w:rsid w:val="02CA35F2"/>
    <w:rsid w:val="02E0598D"/>
    <w:rsid w:val="030671D3"/>
    <w:rsid w:val="030D0562"/>
    <w:rsid w:val="03325DF7"/>
    <w:rsid w:val="034E0AE6"/>
    <w:rsid w:val="03CB7A1E"/>
    <w:rsid w:val="03E90000"/>
    <w:rsid w:val="043D6C25"/>
    <w:rsid w:val="04527799"/>
    <w:rsid w:val="04D61FA3"/>
    <w:rsid w:val="04EB0B30"/>
    <w:rsid w:val="04ED5421"/>
    <w:rsid w:val="0525197E"/>
    <w:rsid w:val="05880995"/>
    <w:rsid w:val="05CB04ED"/>
    <w:rsid w:val="06017C6C"/>
    <w:rsid w:val="06272B2D"/>
    <w:rsid w:val="06654211"/>
    <w:rsid w:val="06775502"/>
    <w:rsid w:val="068B2152"/>
    <w:rsid w:val="06AE5BB8"/>
    <w:rsid w:val="070F5BB9"/>
    <w:rsid w:val="071D2E61"/>
    <w:rsid w:val="07446EDF"/>
    <w:rsid w:val="074D008A"/>
    <w:rsid w:val="074D484C"/>
    <w:rsid w:val="076741AC"/>
    <w:rsid w:val="076D15CF"/>
    <w:rsid w:val="0796473D"/>
    <w:rsid w:val="08471E20"/>
    <w:rsid w:val="084F6F27"/>
    <w:rsid w:val="08A74FB5"/>
    <w:rsid w:val="08BA4CE8"/>
    <w:rsid w:val="08C964AF"/>
    <w:rsid w:val="08D969AE"/>
    <w:rsid w:val="096A06A2"/>
    <w:rsid w:val="099D5A03"/>
    <w:rsid w:val="09A82D92"/>
    <w:rsid w:val="09D75426"/>
    <w:rsid w:val="09D93DBE"/>
    <w:rsid w:val="09E54A69"/>
    <w:rsid w:val="0A652A31"/>
    <w:rsid w:val="0AC52B26"/>
    <w:rsid w:val="0ACF7102"/>
    <w:rsid w:val="0B133295"/>
    <w:rsid w:val="0B863E3A"/>
    <w:rsid w:val="0B8D0C18"/>
    <w:rsid w:val="0C0C6FFE"/>
    <w:rsid w:val="0C1A2F26"/>
    <w:rsid w:val="0C451165"/>
    <w:rsid w:val="0C4C0F18"/>
    <w:rsid w:val="0C4F58CA"/>
    <w:rsid w:val="0C59420C"/>
    <w:rsid w:val="0C6E5BC8"/>
    <w:rsid w:val="0CC31C91"/>
    <w:rsid w:val="0CEE31B2"/>
    <w:rsid w:val="0D1149DF"/>
    <w:rsid w:val="0D130CA2"/>
    <w:rsid w:val="0D251768"/>
    <w:rsid w:val="0DB07F22"/>
    <w:rsid w:val="0DFF319D"/>
    <w:rsid w:val="0E2D1AB8"/>
    <w:rsid w:val="0F1358BE"/>
    <w:rsid w:val="0F4F5A2E"/>
    <w:rsid w:val="0FA92FF2"/>
    <w:rsid w:val="0FB139B7"/>
    <w:rsid w:val="0FDA63E8"/>
    <w:rsid w:val="0FFD03B2"/>
    <w:rsid w:val="0FFF3848"/>
    <w:rsid w:val="100625C1"/>
    <w:rsid w:val="10442CA2"/>
    <w:rsid w:val="10511B0D"/>
    <w:rsid w:val="107F278F"/>
    <w:rsid w:val="107F4121"/>
    <w:rsid w:val="11146F5F"/>
    <w:rsid w:val="112459A8"/>
    <w:rsid w:val="113737E0"/>
    <w:rsid w:val="117C3B25"/>
    <w:rsid w:val="12074658"/>
    <w:rsid w:val="121D4606"/>
    <w:rsid w:val="125C6E10"/>
    <w:rsid w:val="12794EC7"/>
    <w:rsid w:val="12E70943"/>
    <w:rsid w:val="13A04ADA"/>
    <w:rsid w:val="13C82749"/>
    <w:rsid w:val="14773A8D"/>
    <w:rsid w:val="14F15624"/>
    <w:rsid w:val="15D01A52"/>
    <w:rsid w:val="15D7674F"/>
    <w:rsid w:val="162C438E"/>
    <w:rsid w:val="16962121"/>
    <w:rsid w:val="17514A69"/>
    <w:rsid w:val="177C2233"/>
    <w:rsid w:val="178816F5"/>
    <w:rsid w:val="17AC336F"/>
    <w:rsid w:val="17AE5E95"/>
    <w:rsid w:val="17B73651"/>
    <w:rsid w:val="18BA7150"/>
    <w:rsid w:val="18BF94A2"/>
    <w:rsid w:val="18D13F79"/>
    <w:rsid w:val="19772F08"/>
    <w:rsid w:val="19CF7EC7"/>
    <w:rsid w:val="1A353B21"/>
    <w:rsid w:val="1AADBA41"/>
    <w:rsid w:val="1AE06CAF"/>
    <w:rsid w:val="1AF4744F"/>
    <w:rsid w:val="1B153CD8"/>
    <w:rsid w:val="1B917B2A"/>
    <w:rsid w:val="1BC82E20"/>
    <w:rsid w:val="1BDD4A5C"/>
    <w:rsid w:val="1BED6051"/>
    <w:rsid w:val="1C4050AC"/>
    <w:rsid w:val="1C61579F"/>
    <w:rsid w:val="1C86186A"/>
    <w:rsid w:val="1C8B0D49"/>
    <w:rsid w:val="1DF2780B"/>
    <w:rsid w:val="1DFFD441"/>
    <w:rsid w:val="1E461D0C"/>
    <w:rsid w:val="1E5A7C4C"/>
    <w:rsid w:val="1E612EFA"/>
    <w:rsid w:val="1E646E41"/>
    <w:rsid w:val="1EF85060"/>
    <w:rsid w:val="1F361886"/>
    <w:rsid w:val="1F380E9A"/>
    <w:rsid w:val="1F7D1AF9"/>
    <w:rsid w:val="1F931487"/>
    <w:rsid w:val="1FA75645"/>
    <w:rsid w:val="1FAE4B27"/>
    <w:rsid w:val="1FC657C1"/>
    <w:rsid w:val="1FFF356F"/>
    <w:rsid w:val="20570270"/>
    <w:rsid w:val="20687A04"/>
    <w:rsid w:val="20EA07B5"/>
    <w:rsid w:val="213D1AC6"/>
    <w:rsid w:val="21E90CBF"/>
    <w:rsid w:val="221104EF"/>
    <w:rsid w:val="228D151D"/>
    <w:rsid w:val="236668F0"/>
    <w:rsid w:val="23B26485"/>
    <w:rsid w:val="23F92711"/>
    <w:rsid w:val="23FD45F2"/>
    <w:rsid w:val="241C4F49"/>
    <w:rsid w:val="245A2A83"/>
    <w:rsid w:val="24936675"/>
    <w:rsid w:val="251D41DD"/>
    <w:rsid w:val="25276E09"/>
    <w:rsid w:val="2533755C"/>
    <w:rsid w:val="25507E22"/>
    <w:rsid w:val="255A4C6C"/>
    <w:rsid w:val="25737025"/>
    <w:rsid w:val="257E3163"/>
    <w:rsid w:val="25922771"/>
    <w:rsid w:val="25D20737"/>
    <w:rsid w:val="26375E13"/>
    <w:rsid w:val="2659489A"/>
    <w:rsid w:val="2661634B"/>
    <w:rsid w:val="26FE4C98"/>
    <w:rsid w:val="274E7F01"/>
    <w:rsid w:val="27BF23DC"/>
    <w:rsid w:val="27DA28A2"/>
    <w:rsid w:val="281E2746"/>
    <w:rsid w:val="288F4F0C"/>
    <w:rsid w:val="28C42264"/>
    <w:rsid w:val="291D33E1"/>
    <w:rsid w:val="29520FC0"/>
    <w:rsid w:val="29CA4161"/>
    <w:rsid w:val="29CA4207"/>
    <w:rsid w:val="29DE0635"/>
    <w:rsid w:val="2AD215C5"/>
    <w:rsid w:val="2B0A3379"/>
    <w:rsid w:val="2B4324C3"/>
    <w:rsid w:val="2B563FA5"/>
    <w:rsid w:val="2B574AA4"/>
    <w:rsid w:val="2B6A5CA2"/>
    <w:rsid w:val="2B7B7EAF"/>
    <w:rsid w:val="2B8723B0"/>
    <w:rsid w:val="2BE71D0A"/>
    <w:rsid w:val="2CAD0C29"/>
    <w:rsid w:val="2D164240"/>
    <w:rsid w:val="2D2F0F51"/>
    <w:rsid w:val="2D7746A6"/>
    <w:rsid w:val="2D9214E0"/>
    <w:rsid w:val="2DD438A6"/>
    <w:rsid w:val="2DE81809"/>
    <w:rsid w:val="2DEF5231"/>
    <w:rsid w:val="2E072088"/>
    <w:rsid w:val="2E19750B"/>
    <w:rsid w:val="2E5E07DC"/>
    <w:rsid w:val="2E61338C"/>
    <w:rsid w:val="2E6609A2"/>
    <w:rsid w:val="2EA17576"/>
    <w:rsid w:val="2EB83EB8"/>
    <w:rsid w:val="2EBE047D"/>
    <w:rsid w:val="2F176675"/>
    <w:rsid w:val="2F5F396F"/>
    <w:rsid w:val="2F61762B"/>
    <w:rsid w:val="2FBB2F70"/>
    <w:rsid w:val="2FC70A80"/>
    <w:rsid w:val="2FD39EC1"/>
    <w:rsid w:val="2FD46B82"/>
    <w:rsid w:val="3009081E"/>
    <w:rsid w:val="30240D78"/>
    <w:rsid w:val="30386E61"/>
    <w:rsid w:val="303F5701"/>
    <w:rsid w:val="30417F49"/>
    <w:rsid w:val="306C0F64"/>
    <w:rsid w:val="307D0225"/>
    <w:rsid w:val="309F019C"/>
    <w:rsid w:val="30E72CC0"/>
    <w:rsid w:val="31285311"/>
    <w:rsid w:val="31673515"/>
    <w:rsid w:val="31DD6FD9"/>
    <w:rsid w:val="31EC39F8"/>
    <w:rsid w:val="32427031"/>
    <w:rsid w:val="3264344B"/>
    <w:rsid w:val="32911D66"/>
    <w:rsid w:val="32F75029"/>
    <w:rsid w:val="32FA6B15"/>
    <w:rsid w:val="337B35D0"/>
    <w:rsid w:val="33941300"/>
    <w:rsid w:val="33B327A0"/>
    <w:rsid w:val="33FCBEA0"/>
    <w:rsid w:val="344F7751"/>
    <w:rsid w:val="3457435E"/>
    <w:rsid w:val="348433AD"/>
    <w:rsid w:val="34C401D1"/>
    <w:rsid w:val="35134CB4"/>
    <w:rsid w:val="358F4A25"/>
    <w:rsid w:val="35900B47"/>
    <w:rsid w:val="35BFD266"/>
    <w:rsid w:val="35F965A0"/>
    <w:rsid w:val="360C45AC"/>
    <w:rsid w:val="36407D2B"/>
    <w:rsid w:val="36940077"/>
    <w:rsid w:val="36C721FA"/>
    <w:rsid w:val="36EA7C97"/>
    <w:rsid w:val="36F56D67"/>
    <w:rsid w:val="375354EA"/>
    <w:rsid w:val="379B777B"/>
    <w:rsid w:val="37AE6F16"/>
    <w:rsid w:val="37F45271"/>
    <w:rsid w:val="38262F51"/>
    <w:rsid w:val="389C7688"/>
    <w:rsid w:val="389E51DD"/>
    <w:rsid w:val="39625096"/>
    <w:rsid w:val="39732340"/>
    <w:rsid w:val="39EA34C8"/>
    <w:rsid w:val="39ED1E87"/>
    <w:rsid w:val="3A173499"/>
    <w:rsid w:val="3A3204AB"/>
    <w:rsid w:val="3A3E4582"/>
    <w:rsid w:val="3A89461D"/>
    <w:rsid w:val="3AA70DA5"/>
    <w:rsid w:val="3AA7481D"/>
    <w:rsid w:val="3ABA0CD9"/>
    <w:rsid w:val="3AD02389"/>
    <w:rsid w:val="3AF70BD4"/>
    <w:rsid w:val="3C9135C2"/>
    <w:rsid w:val="3CEB21D9"/>
    <w:rsid w:val="3D290A1D"/>
    <w:rsid w:val="3D820C29"/>
    <w:rsid w:val="3D9A7C97"/>
    <w:rsid w:val="3D9D0801"/>
    <w:rsid w:val="3DFA1107"/>
    <w:rsid w:val="3DFECE9B"/>
    <w:rsid w:val="3E5C591E"/>
    <w:rsid w:val="3E5F540E"/>
    <w:rsid w:val="3EA73317"/>
    <w:rsid w:val="3EB765A5"/>
    <w:rsid w:val="3F115AAC"/>
    <w:rsid w:val="3F193477"/>
    <w:rsid w:val="3F322AD5"/>
    <w:rsid w:val="3F3603B6"/>
    <w:rsid w:val="3F6F342F"/>
    <w:rsid w:val="3F977C47"/>
    <w:rsid w:val="3FBFCB2D"/>
    <w:rsid w:val="3FD53A8A"/>
    <w:rsid w:val="3FDF5877"/>
    <w:rsid w:val="3FFDFFF5"/>
    <w:rsid w:val="406F1B2F"/>
    <w:rsid w:val="4075358E"/>
    <w:rsid w:val="40E76285"/>
    <w:rsid w:val="40F615BE"/>
    <w:rsid w:val="40F732A4"/>
    <w:rsid w:val="412546ED"/>
    <w:rsid w:val="41FA7928"/>
    <w:rsid w:val="42236E89"/>
    <w:rsid w:val="42C37FD9"/>
    <w:rsid w:val="42E22E42"/>
    <w:rsid w:val="437159C8"/>
    <w:rsid w:val="43AF029E"/>
    <w:rsid w:val="44056110"/>
    <w:rsid w:val="4421163C"/>
    <w:rsid w:val="44786B45"/>
    <w:rsid w:val="448C5BF0"/>
    <w:rsid w:val="44CC0A0B"/>
    <w:rsid w:val="44E1092B"/>
    <w:rsid w:val="45310084"/>
    <w:rsid w:val="453547D3"/>
    <w:rsid w:val="45461CC2"/>
    <w:rsid w:val="454F2556"/>
    <w:rsid w:val="458536EE"/>
    <w:rsid w:val="45AF27D7"/>
    <w:rsid w:val="462705C0"/>
    <w:rsid w:val="46806976"/>
    <w:rsid w:val="46877101"/>
    <w:rsid w:val="468D1D49"/>
    <w:rsid w:val="468E6891"/>
    <w:rsid w:val="47431429"/>
    <w:rsid w:val="47D93B3C"/>
    <w:rsid w:val="47EE7326"/>
    <w:rsid w:val="482444FD"/>
    <w:rsid w:val="48BD520B"/>
    <w:rsid w:val="491E1015"/>
    <w:rsid w:val="49891591"/>
    <w:rsid w:val="49BC54C3"/>
    <w:rsid w:val="49CC2177"/>
    <w:rsid w:val="4A3C1F14"/>
    <w:rsid w:val="4A783AE0"/>
    <w:rsid w:val="4AAB7BB0"/>
    <w:rsid w:val="4ACF9F8E"/>
    <w:rsid w:val="4AED1D7B"/>
    <w:rsid w:val="4BBD6DAD"/>
    <w:rsid w:val="4BE10EBD"/>
    <w:rsid w:val="4C0D7467"/>
    <w:rsid w:val="4C101AF6"/>
    <w:rsid w:val="4C235CCD"/>
    <w:rsid w:val="4C4C3DF3"/>
    <w:rsid w:val="4C891FD4"/>
    <w:rsid w:val="4C923B63"/>
    <w:rsid w:val="4C92464D"/>
    <w:rsid w:val="4CA14D75"/>
    <w:rsid w:val="4D0036E9"/>
    <w:rsid w:val="4D7C44B5"/>
    <w:rsid w:val="4E545C30"/>
    <w:rsid w:val="4E685C19"/>
    <w:rsid w:val="4F570876"/>
    <w:rsid w:val="4FFAA16F"/>
    <w:rsid w:val="4FFD8021"/>
    <w:rsid w:val="50146059"/>
    <w:rsid w:val="5051044E"/>
    <w:rsid w:val="5052092F"/>
    <w:rsid w:val="511D0F3D"/>
    <w:rsid w:val="513D338D"/>
    <w:rsid w:val="514E3EB7"/>
    <w:rsid w:val="515767ED"/>
    <w:rsid w:val="51D66C46"/>
    <w:rsid w:val="528F19C6"/>
    <w:rsid w:val="529B480F"/>
    <w:rsid w:val="5302663C"/>
    <w:rsid w:val="53277C89"/>
    <w:rsid w:val="532B34A4"/>
    <w:rsid w:val="5338205E"/>
    <w:rsid w:val="544750A9"/>
    <w:rsid w:val="54745F93"/>
    <w:rsid w:val="54971006"/>
    <w:rsid w:val="55AEC147"/>
    <w:rsid w:val="55C220B3"/>
    <w:rsid w:val="56405C78"/>
    <w:rsid w:val="56E06ACC"/>
    <w:rsid w:val="5705411C"/>
    <w:rsid w:val="57233025"/>
    <w:rsid w:val="57DD31D4"/>
    <w:rsid w:val="57F25D52"/>
    <w:rsid w:val="5818493D"/>
    <w:rsid w:val="5827444F"/>
    <w:rsid w:val="58BD2C51"/>
    <w:rsid w:val="58DE0511"/>
    <w:rsid w:val="5914152F"/>
    <w:rsid w:val="59CA0B19"/>
    <w:rsid w:val="5A0E58C7"/>
    <w:rsid w:val="5A455061"/>
    <w:rsid w:val="5ABA5A4E"/>
    <w:rsid w:val="5ADB5DCD"/>
    <w:rsid w:val="5AF2347C"/>
    <w:rsid w:val="5B3E13DB"/>
    <w:rsid w:val="5B4D241F"/>
    <w:rsid w:val="5B761B3F"/>
    <w:rsid w:val="5BC32629"/>
    <w:rsid w:val="5BE7FF56"/>
    <w:rsid w:val="5C3F12F2"/>
    <w:rsid w:val="5C737AAE"/>
    <w:rsid w:val="5C853E3A"/>
    <w:rsid w:val="5D5746A1"/>
    <w:rsid w:val="5D9E6DE4"/>
    <w:rsid w:val="5DBA7B13"/>
    <w:rsid w:val="5DBE6B2B"/>
    <w:rsid w:val="5DF41277"/>
    <w:rsid w:val="5DFF0FA9"/>
    <w:rsid w:val="5E1B4A56"/>
    <w:rsid w:val="5EBE2493"/>
    <w:rsid w:val="5EDFA6C3"/>
    <w:rsid w:val="5EFEB7BA"/>
    <w:rsid w:val="5F7E65D5"/>
    <w:rsid w:val="5F872DA5"/>
    <w:rsid w:val="5F93061C"/>
    <w:rsid w:val="5FB55033"/>
    <w:rsid w:val="5FB66ACB"/>
    <w:rsid w:val="5FBF8A59"/>
    <w:rsid w:val="5FFDF0A9"/>
    <w:rsid w:val="60043CF7"/>
    <w:rsid w:val="608A5EC3"/>
    <w:rsid w:val="60C441C4"/>
    <w:rsid w:val="613D1187"/>
    <w:rsid w:val="61A641A2"/>
    <w:rsid w:val="61AA12D8"/>
    <w:rsid w:val="61B2747F"/>
    <w:rsid w:val="622B0FE0"/>
    <w:rsid w:val="62342B87"/>
    <w:rsid w:val="62BB3278"/>
    <w:rsid w:val="62D248A7"/>
    <w:rsid w:val="62E73159"/>
    <w:rsid w:val="62FB6C04"/>
    <w:rsid w:val="633F7B41"/>
    <w:rsid w:val="635839F5"/>
    <w:rsid w:val="638C1942"/>
    <w:rsid w:val="64340620"/>
    <w:rsid w:val="644D5995"/>
    <w:rsid w:val="64524614"/>
    <w:rsid w:val="6489582F"/>
    <w:rsid w:val="64917CBE"/>
    <w:rsid w:val="64BB46ED"/>
    <w:rsid w:val="64FE29DC"/>
    <w:rsid w:val="656942F9"/>
    <w:rsid w:val="65B6440D"/>
    <w:rsid w:val="65CD0875"/>
    <w:rsid w:val="660B26D0"/>
    <w:rsid w:val="6612256E"/>
    <w:rsid w:val="66134265"/>
    <w:rsid w:val="661B51E7"/>
    <w:rsid w:val="664C56ED"/>
    <w:rsid w:val="6655487D"/>
    <w:rsid w:val="66660B66"/>
    <w:rsid w:val="666C5441"/>
    <w:rsid w:val="670047E9"/>
    <w:rsid w:val="67362FA4"/>
    <w:rsid w:val="674401E9"/>
    <w:rsid w:val="67AB0CDF"/>
    <w:rsid w:val="67BFC78C"/>
    <w:rsid w:val="67C05579"/>
    <w:rsid w:val="67D87514"/>
    <w:rsid w:val="681E792D"/>
    <w:rsid w:val="683847C8"/>
    <w:rsid w:val="686D4100"/>
    <w:rsid w:val="687915AF"/>
    <w:rsid w:val="688B0A2A"/>
    <w:rsid w:val="68987196"/>
    <w:rsid w:val="68B43ADD"/>
    <w:rsid w:val="68E64616"/>
    <w:rsid w:val="697B17DF"/>
    <w:rsid w:val="69E93C5A"/>
    <w:rsid w:val="6A1134C2"/>
    <w:rsid w:val="6A860436"/>
    <w:rsid w:val="6A874F26"/>
    <w:rsid w:val="6AAF133E"/>
    <w:rsid w:val="6B2113AF"/>
    <w:rsid w:val="6B340F05"/>
    <w:rsid w:val="6BB16C83"/>
    <w:rsid w:val="6BD452A5"/>
    <w:rsid w:val="6C207F9B"/>
    <w:rsid w:val="6C460B58"/>
    <w:rsid w:val="6C732DB0"/>
    <w:rsid w:val="6CC462B9"/>
    <w:rsid w:val="6CD209D6"/>
    <w:rsid w:val="6CE8063A"/>
    <w:rsid w:val="6CED14B0"/>
    <w:rsid w:val="6D2F7BD6"/>
    <w:rsid w:val="6D9653D7"/>
    <w:rsid w:val="6DA20038"/>
    <w:rsid w:val="6DEF8B9E"/>
    <w:rsid w:val="6E4F6056"/>
    <w:rsid w:val="6E867CCA"/>
    <w:rsid w:val="6E9667D4"/>
    <w:rsid w:val="6EA463A2"/>
    <w:rsid w:val="6EA81344"/>
    <w:rsid w:val="6EB34837"/>
    <w:rsid w:val="6EC627BC"/>
    <w:rsid w:val="6F1F1ECC"/>
    <w:rsid w:val="6F290302"/>
    <w:rsid w:val="6F2BB7D9"/>
    <w:rsid w:val="6F564A4B"/>
    <w:rsid w:val="6FEB0DEC"/>
    <w:rsid w:val="6FF0A93F"/>
    <w:rsid w:val="6FFE8FFA"/>
    <w:rsid w:val="70537581"/>
    <w:rsid w:val="70961D41"/>
    <w:rsid w:val="70BF42FD"/>
    <w:rsid w:val="710B2708"/>
    <w:rsid w:val="71132317"/>
    <w:rsid w:val="71491548"/>
    <w:rsid w:val="720E4037"/>
    <w:rsid w:val="722F16AC"/>
    <w:rsid w:val="725177CA"/>
    <w:rsid w:val="725B76BF"/>
    <w:rsid w:val="73105464"/>
    <w:rsid w:val="737766BD"/>
    <w:rsid w:val="73A81771"/>
    <w:rsid w:val="73E6120B"/>
    <w:rsid w:val="74830E88"/>
    <w:rsid w:val="74DF4E67"/>
    <w:rsid w:val="74F646C9"/>
    <w:rsid w:val="751C5E82"/>
    <w:rsid w:val="75271ADB"/>
    <w:rsid w:val="7535950A"/>
    <w:rsid w:val="75391289"/>
    <w:rsid w:val="75392414"/>
    <w:rsid w:val="754E0E15"/>
    <w:rsid w:val="75992C83"/>
    <w:rsid w:val="75FB7F71"/>
    <w:rsid w:val="766527A5"/>
    <w:rsid w:val="76A6375C"/>
    <w:rsid w:val="76B56597"/>
    <w:rsid w:val="77020B21"/>
    <w:rsid w:val="771FAD8A"/>
    <w:rsid w:val="773E5BF0"/>
    <w:rsid w:val="77844FC2"/>
    <w:rsid w:val="77D61F3D"/>
    <w:rsid w:val="78050B79"/>
    <w:rsid w:val="780779A0"/>
    <w:rsid w:val="782C2BCE"/>
    <w:rsid w:val="78381C16"/>
    <w:rsid w:val="785845DD"/>
    <w:rsid w:val="786138B7"/>
    <w:rsid w:val="78E776BB"/>
    <w:rsid w:val="7916208B"/>
    <w:rsid w:val="79586B23"/>
    <w:rsid w:val="796230E1"/>
    <w:rsid w:val="796729B8"/>
    <w:rsid w:val="79BE525E"/>
    <w:rsid w:val="79DBB70C"/>
    <w:rsid w:val="79E5EE5E"/>
    <w:rsid w:val="79E855C9"/>
    <w:rsid w:val="79E9735F"/>
    <w:rsid w:val="79FB1FEA"/>
    <w:rsid w:val="79FF06F3"/>
    <w:rsid w:val="7A032C2E"/>
    <w:rsid w:val="7A348CF4"/>
    <w:rsid w:val="7A5F3783"/>
    <w:rsid w:val="7B9C9EDB"/>
    <w:rsid w:val="7BBBC071"/>
    <w:rsid w:val="7BBF1B6B"/>
    <w:rsid w:val="7BC1D4DB"/>
    <w:rsid w:val="7BC260B9"/>
    <w:rsid w:val="7BD421CD"/>
    <w:rsid w:val="7BD74987"/>
    <w:rsid w:val="7BEA25B0"/>
    <w:rsid w:val="7BF87F23"/>
    <w:rsid w:val="7C7F474E"/>
    <w:rsid w:val="7C9EDFC9"/>
    <w:rsid w:val="7CA10B6A"/>
    <w:rsid w:val="7CCB4D8B"/>
    <w:rsid w:val="7CEA5613"/>
    <w:rsid w:val="7CFF98D6"/>
    <w:rsid w:val="7D0515AA"/>
    <w:rsid w:val="7D4C0330"/>
    <w:rsid w:val="7D5600F2"/>
    <w:rsid w:val="7D6FE1C5"/>
    <w:rsid w:val="7D9FA9C3"/>
    <w:rsid w:val="7DD8779C"/>
    <w:rsid w:val="7DFBA245"/>
    <w:rsid w:val="7E3A1B26"/>
    <w:rsid w:val="7E4104FA"/>
    <w:rsid w:val="7E4D4360"/>
    <w:rsid w:val="7E59A68D"/>
    <w:rsid w:val="7E6E4EC8"/>
    <w:rsid w:val="7E7E8B8E"/>
    <w:rsid w:val="7E7F428D"/>
    <w:rsid w:val="7ECE4326"/>
    <w:rsid w:val="7EF36746"/>
    <w:rsid w:val="7F09B976"/>
    <w:rsid w:val="7F1B1E6E"/>
    <w:rsid w:val="7F443309"/>
    <w:rsid w:val="7F587460"/>
    <w:rsid w:val="7F983D01"/>
    <w:rsid w:val="7FA65C51"/>
    <w:rsid w:val="7FB15F29"/>
    <w:rsid w:val="7FCB59F1"/>
    <w:rsid w:val="7FD52ED6"/>
    <w:rsid w:val="7FDB57BD"/>
    <w:rsid w:val="7FE70FE0"/>
    <w:rsid w:val="7FEF1EAD"/>
    <w:rsid w:val="7FF78E5A"/>
    <w:rsid w:val="7FFD9240"/>
    <w:rsid w:val="975348F5"/>
    <w:rsid w:val="9FF33E62"/>
    <w:rsid w:val="ACE39576"/>
    <w:rsid w:val="ACFE5ABE"/>
    <w:rsid w:val="B327E7DA"/>
    <w:rsid w:val="B37F5A32"/>
    <w:rsid w:val="B5FEE218"/>
    <w:rsid w:val="B9BBC8D4"/>
    <w:rsid w:val="BAB3F226"/>
    <w:rsid w:val="BAFD896E"/>
    <w:rsid w:val="BBFCC6F3"/>
    <w:rsid w:val="BF8E5DEF"/>
    <w:rsid w:val="BFF3097C"/>
    <w:rsid w:val="BFFB5915"/>
    <w:rsid w:val="BFFCC315"/>
    <w:rsid w:val="CFDE5B99"/>
    <w:rsid w:val="CFDF18F8"/>
    <w:rsid w:val="D5FFF6BF"/>
    <w:rsid w:val="D71AA44E"/>
    <w:rsid w:val="D7F72156"/>
    <w:rsid w:val="DDBB9801"/>
    <w:rsid w:val="DDCF8DAB"/>
    <w:rsid w:val="DF87293E"/>
    <w:rsid w:val="DFBF063E"/>
    <w:rsid w:val="DFCBAE8D"/>
    <w:rsid w:val="DFF7F9A4"/>
    <w:rsid w:val="DFFAD3E1"/>
    <w:rsid w:val="E76ADD5C"/>
    <w:rsid w:val="E9A446F1"/>
    <w:rsid w:val="E9FFDF13"/>
    <w:rsid w:val="EB65CC44"/>
    <w:rsid w:val="EDFF0A27"/>
    <w:rsid w:val="EEF12B0B"/>
    <w:rsid w:val="EFED6922"/>
    <w:rsid w:val="EFFE2A98"/>
    <w:rsid w:val="EFFF16F3"/>
    <w:rsid w:val="F0FF2100"/>
    <w:rsid w:val="F1BDDDD8"/>
    <w:rsid w:val="F67DC26E"/>
    <w:rsid w:val="F6B7B138"/>
    <w:rsid w:val="F6DBE3A3"/>
    <w:rsid w:val="F7552D7B"/>
    <w:rsid w:val="F7CFC6CC"/>
    <w:rsid w:val="F7D7D4DC"/>
    <w:rsid w:val="F7DA71CC"/>
    <w:rsid w:val="F7E5BE36"/>
    <w:rsid w:val="F8FF33D4"/>
    <w:rsid w:val="F97FA2E6"/>
    <w:rsid w:val="F99D1EAD"/>
    <w:rsid w:val="F9F164A1"/>
    <w:rsid w:val="F9F703F8"/>
    <w:rsid w:val="FA7EECC3"/>
    <w:rsid w:val="FB8BBB8A"/>
    <w:rsid w:val="FBE629AF"/>
    <w:rsid w:val="FCEF610D"/>
    <w:rsid w:val="FDDB6DFF"/>
    <w:rsid w:val="FE5F74DA"/>
    <w:rsid w:val="FEF5C4AD"/>
    <w:rsid w:val="FEFB110D"/>
    <w:rsid w:val="FEFF4052"/>
    <w:rsid w:val="FF7B4C4F"/>
    <w:rsid w:val="FF7EF261"/>
    <w:rsid w:val="FF7F4E61"/>
    <w:rsid w:val="FFBACB53"/>
    <w:rsid w:val="FFBF4B68"/>
    <w:rsid w:val="FFDFC0FE"/>
    <w:rsid w:val="FFF7DC84"/>
    <w:rsid w:val="FFFF0759"/>
    <w:rsid w:val="FFFF3D3B"/>
    <w:rsid w:val="FFFFD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等线" w:cs="等线"/>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120" w:line="415" w:lineRule="auto"/>
      <w:outlineLvl w:val="1"/>
    </w:pPr>
    <w:rPr>
      <w:rFonts w:ascii="Arial" w:hAnsi="Arial" w:eastAsia="黑体"/>
      <w:b/>
      <w:bCs/>
      <w:sz w:val="24"/>
      <w:szCs w:val="32"/>
    </w:rPr>
  </w:style>
  <w:style w:type="paragraph" w:styleId="4">
    <w:name w:val="heading 4"/>
    <w:basedOn w:val="1"/>
    <w:next w:val="1"/>
    <w:qFormat/>
    <w:uiPriority w:val="0"/>
    <w:pPr>
      <w:keepNext/>
      <w:keepLines/>
      <w:spacing w:before="280" w:after="290" w:line="372" w:lineRule="auto"/>
      <w:outlineLvl w:val="3"/>
    </w:pPr>
    <w:rPr>
      <w:rFonts w:ascii="Cambria" w:hAnsi="Cambria"/>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2"/>
    <w:qFormat/>
    <w:uiPriority w:val="0"/>
    <w:pPr>
      <w:jc w:val="left"/>
    </w:pPr>
  </w:style>
  <w:style w:type="paragraph" w:styleId="6">
    <w:name w:val="Body Text"/>
    <w:basedOn w:val="1"/>
    <w:next w:val="1"/>
    <w:link w:val="23"/>
    <w:qFormat/>
    <w:uiPriority w:val="99"/>
    <w:pPr>
      <w:widowControl/>
      <w:spacing w:after="120"/>
      <w:jc w:val="left"/>
    </w:pPr>
    <w:rPr>
      <w:rFonts w:ascii="Times New Roman" w:hAnsi="Times New Roman"/>
      <w:kern w:val="0"/>
      <w:sz w:val="20"/>
      <w:szCs w:val="20"/>
    </w:rPr>
  </w:style>
  <w:style w:type="paragraph" w:styleId="7">
    <w:name w:val="toc 3"/>
    <w:basedOn w:val="1"/>
    <w:next w:val="1"/>
    <w:qFormat/>
    <w:uiPriority w:val="39"/>
    <w:pPr>
      <w:tabs>
        <w:tab w:val="right" w:leader="dot" w:pos="8296"/>
      </w:tabs>
      <w:spacing w:line="360" w:lineRule="auto"/>
      <w:ind w:left="420"/>
      <w:jc w:val="left"/>
    </w:pPr>
    <w:rPr>
      <w:szCs w:val="32"/>
    </w:rPr>
  </w:style>
  <w:style w:type="paragraph" w:styleId="8">
    <w:name w:val="Plain Text"/>
    <w:basedOn w:val="1"/>
    <w:qFormat/>
    <w:uiPriority w:val="0"/>
    <w:rPr>
      <w:rFonts w:ascii="宋体" w:hAnsi="Courier New"/>
      <w:szCs w:val="21"/>
    </w:rPr>
  </w:style>
  <w:style w:type="paragraph" w:styleId="9">
    <w:name w:val="Balloon Text"/>
    <w:basedOn w:val="1"/>
    <w:link w:val="24"/>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pPr>
      <w:tabs>
        <w:tab w:val="left" w:pos="1200"/>
        <w:tab w:val="right" w:leader="dot" w:pos="9730"/>
      </w:tabs>
      <w:spacing w:before="120"/>
    </w:pPr>
    <w:rPr>
      <w:rFonts w:ascii="宋体" w:hAnsi="宋体" w:eastAsia="宋体"/>
      <w:b/>
      <w:bCs/>
      <w:sz w:val="28"/>
    </w:rPr>
  </w:style>
  <w:style w:type="paragraph" w:styleId="13">
    <w:name w:val="toc 2"/>
    <w:basedOn w:val="1"/>
    <w:next w:val="1"/>
    <w:qFormat/>
    <w:uiPriority w:val="39"/>
    <w:pPr>
      <w:spacing w:line="360" w:lineRule="auto"/>
      <w:ind w:left="210"/>
      <w:jc w:val="left"/>
    </w:pPr>
    <w:rPr>
      <w:b/>
      <w:smallCaps/>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annotation subject"/>
    <w:basedOn w:val="5"/>
    <w:next w:val="5"/>
    <w:link w:val="25"/>
    <w:qFormat/>
    <w:uiPriority w:val="0"/>
    <w:rPr>
      <w:b/>
      <w:bCs/>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qFormat/>
    <w:uiPriority w:val="0"/>
  </w:style>
  <w:style w:type="character" w:styleId="20">
    <w:name w:val="Hyperlink"/>
    <w:qFormat/>
    <w:uiPriority w:val="99"/>
    <w:rPr>
      <w:color w:val="0000FF"/>
      <w:u w:val="single"/>
    </w:rPr>
  </w:style>
  <w:style w:type="character" w:styleId="21">
    <w:name w:val="annotation reference"/>
    <w:qFormat/>
    <w:uiPriority w:val="0"/>
    <w:rPr>
      <w:sz w:val="21"/>
      <w:szCs w:val="21"/>
    </w:rPr>
  </w:style>
  <w:style w:type="character" w:customStyle="1" w:styleId="22">
    <w:name w:val="批注文字 字符"/>
    <w:link w:val="5"/>
    <w:qFormat/>
    <w:uiPriority w:val="0"/>
    <w:rPr>
      <w:rFonts w:ascii="Calibri" w:hAnsi="Calibri"/>
      <w:kern w:val="2"/>
      <w:sz w:val="21"/>
      <w:szCs w:val="24"/>
    </w:rPr>
  </w:style>
  <w:style w:type="character" w:customStyle="1" w:styleId="23">
    <w:name w:val="正文文本 字符"/>
    <w:basedOn w:val="18"/>
    <w:link w:val="6"/>
    <w:qFormat/>
    <w:uiPriority w:val="0"/>
    <w:rPr>
      <w:rFonts w:ascii="Arial" w:hAnsi="Arial" w:eastAsia="Arial" w:cs="Arial"/>
      <w:snapToGrid/>
      <w:color w:val="000000"/>
      <w:sz w:val="21"/>
      <w:szCs w:val="21"/>
      <w:lang w:eastAsia="en-US"/>
    </w:rPr>
  </w:style>
  <w:style w:type="character" w:customStyle="1" w:styleId="24">
    <w:name w:val="批注框文本 字符"/>
    <w:link w:val="9"/>
    <w:qFormat/>
    <w:uiPriority w:val="0"/>
    <w:rPr>
      <w:rFonts w:ascii="Calibri" w:hAnsi="Calibri"/>
      <w:kern w:val="2"/>
      <w:sz w:val="18"/>
      <w:szCs w:val="18"/>
    </w:rPr>
  </w:style>
  <w:style w:type="character" w:customStyle="1" w:styleId="25">
    <w:name w:val="批注主题 字符"/>
    <w:link w:val="15"/>
    <w:qFormat/>
    <w:uiPriority w:val="0"/>
    <w:rPr>
      <w:rFonts w:ascii="Calibri" w:hAnsi="Calibri"/>
      <w:b/>
      <w:bCs/>
      <w:kern w:val="2"/>
      <w:sz w:val="21"/>
      <w:szCs w:val="24"/>
    </w:rPr>
  </w:style>
  <w:style w:type="paragraph" w:customStyle="1" w:styleId="26">
    <w:name w:val="修订1"/>
    <w:semiHidden/>
    <w:qFormat/>
    <w:uiPriority w:val="99"/>
    <w:rPr>
      <w:rFonts w:ascii="Calibri" w:hAnsi="Calibri" w:eastAsia="等线" w:cs="等线"/>
      <w:kern w:val="2"/>
      <w:sz w:val="21"/>
      <w:szCs w:val="24"/>
      <w:lang w:val="en-US" w:eastAsia="zh-CN" w:bidi="ar-SA"/>
    </w:rPr>
  </w:style>
  <w:style w:type="paragraph" w:customStyle="1" w:styleId="27">
    <w:name w:val="Revision1"/>
    <w:unhideWhenUsed/>
    <w:qFormat/>
    <w:uiPriority w:val="99"/>
    <w:rPr>
      <w:rFonts w:ascii="Calibri" w:hAnsi="Calibri" w:eastAsia="等线" w:cs="等线"/>
      <w:kern w:val="2"/>
      <w:sz w:val="21"/>
      <w:szCs w:val="24"/>
      <w:lang w:val="en-US" w:eastAsia="zh-CN" w:bidi="ar-SA"/>
    </w:rPr>
  </w:style>
  <w:style w:type="paragraph" w:customStyle="1" w:styleId="28">
    <w:name w:val="页脚1"/>
    <w:qFormat/>
    <w:uiPriority w:val="0"/>
    <w:pPr>
      <w:widowControl w:val="0"/>
      <w:tabs>
        <w:tab w:val="center" w:pos="4153"/>
        <w:tab w:val="right" w:pos="8306"/>
      </w:tabs>
    </w:pPr>
    <w:rPr>
      <w:rFonts w:hint="eastAsia" w:ascii="Arial Unicode MS" w:hAnsi="Arial Unicode MS" w:eastAsia="Times New Roman" w:cs="Arial Unicode MS"/>
      <w:color w:val="000000"/>
      <w:kern w:val="2"/>
      <w:sz w:val="18"/>
      <w:szCs w:val="18"/>
      <w:lang w:val="en-US" w:eastAsia="en-US" w:bidi="ar-SA"/>
    </w:rPr>
  </w:style>
  <w:style w:type="table" w:customStyle="1" w:styleId="29">
    <w:name w:val="Table Normal"/>
    <w:qFormat/>
    <w:uiPriority w:val="59"/>
    <w:tblPr>
      <w:tblCellMar>
        <w:top w:w="0" w:type="dxa"/>
        <w:left w:w="108" w:type="dxa"/>
        <w:bottom w:w="0" w:type="dxa"/>
        <w:right w:w="108" w:type="dxa"/>
      </w:tblCellMar>
    </w:tblPr>
  </w:style>
  <w:style w:type="paragraph" w:styleId="30">
    <w:name w:val="List Paragraph"/>
    <w:basedOn w:val="1"/>
    <w:qFormat/>
    <w:uiPriority w:val="34"/>
    <w:pPr>
      <w:ind w:firstLine="420" w:firstLineChars="200"/>
    </w:pPr>
    <w:rPr>
      <w:rFonts w:ascii="等线" w:hAnsi="等线" w:cs="Times New Roman"/>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39</Pages>
  <Words>22910</Words>
  <Characters>24251</Characters>
  <Lines>23</Lines>
  <Paragraphs>40</Paragraphs>
  <TotalTime>4</TotalTime>
  <ScaleCrop>false</ScaleCrop>
  <LinksUpToDate>false</LinksUpToDate>
  <CharactersWithSpaces>25009</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2025-01-16T01:46:00Z</dcterms:created>
  <dc:creator>百小小</dc:creator>
  <cp:lastModifiedBy>25249</cp:lastModifiedBy>
  <cp:lastPrinted>2022-03-02T10:10:00Z</cp:lastPrinted>
  <dcterms:modified xsi:type="dcterms:W3CDTF">2026-07-22T03:42:31Z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7293F04B62494F7E917539F800A4043F_13</vt:lpwstr>
  </property>
  <property fmtid="{D5CDD505-2E9C-101B-9397-08002B2CF9AE}" pid="4" name="KSOTemplateDocerSaveRecord">
    <vt:lpwstr>eyJoZGlkIjoiYjc4MzZhMTFkODBmNzEzY2I4YmU2MjI5YTQ4OWU0OGUiLCJ1c2VySWQiOiI0MzkzMDQ4NDcifQ==</vt:lpwstr>
  </property>
</Properties>
</file>