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BDA556">
      <w:pPr>
        <w:wordWrap/>
        <w:topLinePunct w:val="0"/>
        <w:spacing w:before="624" w:beforeLines="200"/>
        <w:ind w:firstLine="0" w:firstLineChars="0"/>
        <w:jc w:val="center"/>
        <w:rPr>
          <w:rFonts w:hint="eastAsia" w:ascii="宋体" w:hAnsi="宋体" w:cs="宋体"/>
          <w:b/>
          <w:bCs/>
          <w:sz w:val="48"/>
          <w:szCs w:val="48"/>
        </w:rPr>
      </w:pPr>
      <w:r>
        <w:rPr>
          <w:rFonts w:hint="eastAsia" w:ascii="宋体" w:hAnsi="宋体" w:cs="宋体"/>
          <w:b/>
          <w:bCs/>
          <w:sz w:val="48"/>
          <w:szCs w:val="48"/>
        </w:rPr>
        <w:t>重庆公路养护工程（集团）有限公司</w:t>
      </w:r>
    </w:p>
    <w:p w14:paraId="6ADFE5A2">
      <w:pPr>
        <w:pStyle w:val="11"/>
        <w:ind w:firstLine="964"/>
        <w:rPr>
          <w:b/>
          <w:bCs/>
          <w:sz w:val="48"/>
          <w:szCs w:val="48"/>
        </w:rPr>
      </w:pPr>
    </w:p>
    <w:p w14:paraId="4D236511">
      <w:pPr>
        <w:keepNext w:val="0"/>
        <w:keepLines w:val="0"/>
        <w:pageBreakBefore w:val="0"/>
        <w:widowControl/>
        <w:kinsoku/>
        <w:overflowPunct/>
        <w:topLinePunct w:val="0"/>
        <w:bidi w:val="0"/>
        <w:spacing w:before="0" w:beforeAutospacing="0" w:after="0" w:afterAutospacing="0" w:line="510" w:lineRule="atLeast"/>
        <w:ind w:left="0" w:leftChars="0" w:firstLine="0" w:firstLineChars="0"/>
        <w:jc w:val="center"/>
        <w:textAlignment w:val="auto"/>
        <w:rPr>
          <w:rFonts w:hint="eastAsia" w:ascii="宋体" w:hAnsi="宋体" w:cs="宋体"/>
          <w:b/>
          <w:sz w:val="44"/>
          <w:szCs w:val="44"/>
          <w:lang w:eastAsia="zh-CN"/>
        </w:rPr>
      </w:pPr>
      <w:r>
        <w:rPr>
          <w:rFonts w:hint="eastAsia" w:ascii="宋体" w:hAnsi="宋体" w:cs="宋体"/>
          <w:b/>
          <w:sz w:val="44"/>
          <w:szCs w:val="44"/>
          <w:lang w:val="en-US" w:eastAsia="zh-CN"/>
        </w:rPr>
        <w:t>富金坝航电枢纽桥梁缺陷整治施工</w:t>
      </w:r>
      <w:r>
        <w:rPr>
          <w:rFonts w:hint="eastAsia" w:ascii="宋体" w:hAnsi="宋体" w:cs="宋体"/>
          <w:b/>
          <w:sz w:val="44"/>
          <w:szCs w:val="44"/>
          <w:lang w:eastAsia="zh-CN"/>
        </w:rPr>
        <w:t>项目</w:t>
      </w:r>
    </w:p>
    <w:p w14:paraId="36861408">
      <w:pPr>
        <w:keepNext w:val="0"/>
        <w:keepLines w:val="0"/>
        <w:pageBreakBefore w:val="0"/>
        <w:widowControl/>
        <w:kinsoku/>
        <w:overflowPunct/>
        <w:topLinePunct w:val="0"/>
        <w:bidi w:val="0"/>
        <w:spacing w:before="0" w:beforeAutospacing="0" w:after="0" w:afterAutospacing="0" w:line="510" w:lineRule="atLeast"/>
        <w:ind w:left="0" w:leftChars="0" w:firstLine="0" w:firstLineChars="0"/>
        <w:jc w:val="center"/>
        <w:textAlignment w:val="auto"/>
        <w:rPr>
          <w:rFonts w:hint="default" w:ascii="宋体" w:hAnsi="宋体" w:eastAsia="宋体" w:cs="宋体"/>
          <w:sz w:val="36"/>
          <w:szCs w:val="36"/>
          <w:lang w:val="en-US" w:eastAsia="zh-CN"/>
        </w:rPr>
      </w:pPr>
      <w:r>
        <w:rPr>
          <w:rFonts w:hint="eastAsia" w:ascii="宋体" w:hAnsi="宋体" w:cs="宋体"/>
          <w:b/>
          <w:sz w:val="44"/>
          <w:szCs w:val="44"/>
          <w:lang w:val="en-US" w:eastAsia="zh-CN"/>
        </w:rPr>
        <w:t>劳务分包</w:t>
      </w:r>
    </w:p>
    <w:p w14:paraId="5E5E392E">
      <w:pPr>
        <w:wordWrap/>
        <w:topLinePunct w:val="0"/>
        <w:spacing w:before="624" w:beforeLines="200"/>
        <w:ind w:firstLine="0" w:firstLineChars="0"/>
        <w:jc w:val="center"/>
        <w:rPr>
          <w:rFonts w:hint="eastAsia" w:ascii="宋体" w:hAnsi="宋体" w:cs="宋体"/>
          <w:b/>
          <w:bCs/>
          <w:sz w:val="84"/>
          <w:szCs w:val="84"/>
        </w:rPr>
      </w:pPr>
    </w:p>
    <w:p w14:paraId="7BA37EE2">
      <w:pPr>
        <w:wordWrap/>
        <w:topLinePunct w:val="0"/>
        <w:spacing w:before="624" w:beforeLines="200"/>
        <w:ind w:firstLine="0" w:firstLineChars="0"/>
        <w:jc w:val="center"/>
        <w:rPr>
          <w:rFonts w:hint="eastAsia" w:ascii="宋体" w:hAnsi="宋体" w:cs="宋体"/>
          <w:b/>
          <w:bCs/>
          <w:sz w:val="84"/>
          <w:szCs w:val="84"/>
        </w:rPr>
      </w:pPr>
      <w:r>
        <w:rPr>
          <w:rFonts w:hint="eastAsia" w:ascii="宋体" w:hAnsi="宋体" w:cs="宋体"/>
          <w:b/>
          <w:bCs/>
          <w:sz w:val="84"/>
          <w:szCs w:val="84"/>
        </w:rPr>
        <w:t>竞争性比选文件</w:t>
      </w:r>
    </w:p>
    <w:p w14:paraId="714993F4">
      <w:pPr>
        <w:pStyle w:val="11"/>
        <w:ind w:firstLine="0" w:firstLineChars="0"/>
        <w:jc w:val="center"/>
        <w:rPr>
          <w:rFonts w:hint="eastAsia" w:ascii="宋体" w:hAnsi="宋体" w:cs="宋体"/>
          <w:b/>
          <w:bCs/>
          <w:sz w:val="52"/>
          <w:szCs w:val="52"/>
        </w:rPr>
      </w:pPr>
    </w:p>
    <w:p w14:paraId="390F1A32">
      <w:pPr>
        <w:ind w:firstLine="0" w:firstLineChars="0"/>
        <w:jc w:val="center"/>
        <w:rPr>
          <w:rFonts w:hint="eastAsia" w:ascii="宋体" w:hAnsi="宋体" w:cs="宋体"/>
          <w:b/>
          <w:bCs/>
          <w:sz w:val="52"/>
          <w:szCs w:val="52"/>
        </w:rPr>
      </w:pPr>
    </w:p>
    <w:p w14:paraId="56395715">
      <w:pPr>
        <w:ind w:firstLine="0" w:firstLineChars="0"/>
        <w:rPr>
          <w:rFonts w:hint="eastAsia" w:ascii="宋体" w:hAnsi="宋体" w:cs="宋体"/>
          <w:b/>
          <w:bCs/>
          <w:sz w:val="52"/>
          <w:szCs w:val="52"/>
        </w:rPr>
      </w:pPr>
    </w:p>
    <w:p w14:paraId="6B0DAF0A">
      <w:pPr>
        <w:pStyle w:val="11"/>
        <w:ind w:firstLine="0" w:firstLineChars="0"/>
        <w:jc w:val="center"/>
        <w:rPr>
          <w:rFonts w:hint="eastAsia" w:ascii="宋体" w:hAnsi="宋体" w:cs="宋体"/>
          <w:b/>
          <w:bCs/>
          <w:sz w:val="52"/>
          <w:szCs w:val="52"/>
        </w:rPr>
      </w:pPr>
    </w:p>
    <w:p w14:paraId="2FD18CBC">
      <w:pPr>
        <w:ind w:firstLine="0" w:firstLineChars="0"/>
        <w:jc w:val="center"/>
        <w:rPr>
          <w:rFonts w:hint="eastAsia" w:ascii="宋体" w:hAnsi="宋体" w:cs="宋体"/>
          <w:b/>
          <w:bCs/>
          <w:sz w:val="52"/>
          <w:szCs w:val="52"/>
        </w:rPr>
      </w:pPr>
    </w:p>
    <w:p w14:paraId="75F6127B">
      <w:pPr>
        <w:pStyle w:val="20"/>
        <w:jc w:val="center"/>
        <w:rPr>
          <w:rFonts w:hint="eastAsia" w:ascii="宋体" w:hAnsi="宋体" w:eastAsia="宋体" w:cs="宋体"/>
          <w:b/>
          <w:bCs/>
          <w:sz w:val="32"/>
          <w:szCs w:val="32"/>
        </w:rPr>
      </w:pPr>
    </w:p>
    <w:p w14:paraId="6B443DA3">
      <w:pPr>
        <w:pStyle w:val="20"/>
        <w:jc w:val="center"/>
        <w:rPr>
          <w:rFonts w:hint="eastAsia" w:ascii="宋体" w:hAnsi="宋体" w:eastAsia="宋体" w:cs="宋体"/>
          <w:b/>
          <w:bCs/>
          <w:sz w:val="36"/>
          <w:szCs w:val="36"/>
        </w:rPr>
      </w:pPr>
      <w:r>
        <w:rPr>
          <w:rFonts w:hint="eastAsia" w:ascii="宋体" w:hAnsi="宋体" w:eastAsia="宋体" w:cs="宋体"/>
          <w:b/>
          <w:bCs/>
          <w:sz w:val="36"/>
          <w:szCs w:val="36"/>
        </w:rPr>
        <w:t>重庆公路养护工程（集团）有限公司</w:t>
      </w:r>
    </w:p>
    <w:p w14:paraId="2CEE9BD7">
      <w:pPr>
        <w:ind w:firstLine="0" w:firstLineChars="0"/>
        <w:jc w:val="center"/>
        <w:rPr>
          <w:rFonts w:hint="eastAsia" w:ascii="宋体" w:hAnsi="宋体" w:cs="宋体"/>
          <w:b/>
          <w:bCs/>
          <w:sz w:val="36"/>
          <w:szCs w:val="36"/>
        </w:rPr>
      </w:pPr>
      <w:r>
        <w:rPr>
          <w:rFonts w:hint="eastAsia" w:ascii="宋体" w:hAnsi="宋体" w:cs="宋体"/>
          <w:b/>
          <w:bCs/>
          <w:sz w:val="36"/>
          <w:szCs w:val="36"/>
        </w:rPr>
        <w:t>202</w:t>
      </w:r>
      <w:r>
        <w:rPr>
          <w:rFonts w:hint="eastAsia" w:ascii="宋体" w:hAnsi="宋体" w:cs="宋体"/>
          <w:b/>
          <w:bCs/>
          <w:sz w:val="36"/>
          <w:szCs w:val="36"/>
          <w:lang w:val="en-US" w:eastAsia="zh-CN"/>
        </w:rPr>
        <w:t>6</w:t>
      </w:r>
      <w:r>
        <w:rPr>
          <w:rFonts w:hint="eastAsia" w:ascii="宋体" w:hAnsi="宋体" w:cs="宋体"/>
          <w:b/>
          <w:bCs/>
          <w:sz w:val="36"/>
          <w:szCs w:val="36"/>
        </w:rPr>
        <w:t>年</w:t>
      </w:r>
      <w:r>
        <w:rPr>
          <w:rFonts w:hint="eastAsia" w:ascii="宋体" w:hAnsi="宋体" w:cs="宋体"/>
          <w:b/>
          <w:bCs/>
          <w:sz w:val="36"/>
          <w:szCs w:val="36"/>
          <w:lang w:val="en-US" w:eastAsia="zh-CN"/>
        </w:rPr>
        <w:t>7</w:t>
      </w:r>
      <w:r>
        <w:rPr>
          <w:rFonts w:hint="eastAsia" w:ascii="宋体" w:hAnsi="宋体" w:cs="宋体"/>
          <w:b/>
          <w:bCs/>
          <w:sz w:val="36"/>
          <w:szCs w:val="36"/>
        </w:rPr>
        <w:t>月</w:t>
      </w:r>
    </w:p>
    <w:p w14:paraId="16F1E1AD">
      <w:pPr>
        <w:ind w:firstLine="480"/>
        <w:sectPr>
          <w:headerReference r:id="rId7" w:type="first"/>
          <w:footerReference r:id="rId10" w:type="first"/>
          <w:headerReference r:id="rId5" w:type="default"/>
          <w:footerReference r:id="rId8" w:type="default"/>
          <w:headerReference r:id="rId6" w:type="even"/>
          <w:footerReference r:id="rId9" w:type="even"/>
          <w:pgSz w:w="11906" w:h="16838"/>
          <w:pgMar w:top="1134" w:right="1134" w:bottom="1134" w:left="1134" w:header="794" w:footer="782" w:gutter="0"/>
          <w:cols w:space="425" w:num="1"/>
          <w:docGrid w:type="lines" w:linePitch="312" w:charSpace="0"/>
        </w:sectPr>
      </w:pPr>
    </w:p>
    <w:p w14:paraId="7937FA3E">
      <w:pPr>
        <w:pStyle w:val="2"/>
        <w:spacing w:before="312" w:after="312"/>
      </w:pPr>
      <w:r>
        <w:rPr>
          <w:rFonts w:hint="eastAsia"/>
        </w:rPr>
        <w:t>重庆公路养护工程（集团）有限公司</w:t>
      </w:r>
    </w:p>
    <w:p w14:paraId="61AAD864">
      <w:pPr>
        <w:pStyle w:val="2"/>
        <w:spacing w:before="312" w:after="312"/>
      </w:pPr>
      <w:r>
        <w:rPr>
          <w:rFonts w:hint="eastAsia" w:ascii="宋体" w:hAnsi="宋体" w:cs="宋体"/>
          <w:szCs w:val="32"/>
          <w:u w:val="single"/>
          <w:lang w:eastAsia="zh-CN"/>
        </w:rPr>
        <w:t>富金坝航电枢纽桥梁缺陷整治施工项目</w:t>
      </w:r>
      <w:r>
        <w:rPr>
          <w:rFonts w:hint="eastAsia"/>
        </w:rPr>
        <w:t>劳务分包</w:t>
      </w:r>
    </w:p>
    <w:p w14:paraId="55487DFD">
      <w:pPr>
        <w:pStyle w:val="2"/>
        <w:spacing w:before="312" w:after="312"/>
      </w:pPr>
      <w:r>
        <w:rPr>
          <w:rFonts w:hint="eastAsia"/>
        </w:rPr>
        <w:t>竞争性比选公告</w:t>
      </w:r>
    </w:p>
    <w:p w14:paraId="56C6CC37">
      <w:pPr>
        <w:ind w:firstLine="480"/>
      </w:pPr>
      <w:r>
        <w:rPr>
          <w:rFonts w:hint="eastAsia"/>
        </w:rPr>
        <w:t>本项目</w:t>
      </w:r>
      <w:r>
        <w:rPr>
          <w:rFonts w:hint="eastAsia" w:ascii="宋体" w:hAnsi="宋体" w:cs="宋体"/>
          <w:b/>
          <w:u w:val="single"/>
          <w:lang w:eastAsia="zh-CN"/>
        </w:rPr>
        <w:t>富金坝航电枢纽桥梁缺陷整治施工项目</w:t>
      </w:r>
      <w:r>
        <w:rPr>
          <w:rFonts w:hint="eastAsia"/>
        </w:rPr>
        <w:t>施工准备组织实施，重庆公路养护工程（集团）有限公司计划以</w:t>
      </w:r>
      <w:r>
        <w:rPr>
          <w:rFonts w:hint="eastAsia"/>
          <w:b/>
          <w:bCs/>
          <w:u w:val="single"/>
        </w:rPr>
        <w:t>竞争性比选的方式</w:t>
      </w:r>
      <w:r>
        <w:rPr>
          <w:rFonts w:hint="eastAsia"/>
        </w:rPr>
        <w:t>确定</w:t>
      </w:r>
      <w:r>
        <w:rPr>
          <w:rFonts w:hint="eastAsia"/>
          <w:b/>
          <w:bCs/>
          <w:u w:val="single"/>
        </w:rPr>
        <w:t>劳务分包</w:t>
      </w:r>
      <w:r>
        <w:rPr>
          <w:rFonts w:hint="eastAsia"/>
        </w:rPr>
        <w:t>成交单位，具体情况如下：</w:t>
      </w:r>
    </w:p>
    <w:p w14:paraId="373A7BFA">
      <w:pPr>
        <w:pStyle w:val="3"/>
        <w:spacing w:before="0" w:beforeLines="0" w:after="0" w:afterLines="0"/>
      </w:pPr>
      <w:r>
        <w:rPr>
          <w:rFonts w:hint="eastAsia"/>
        </w:rPr>
        <w:t>一、项目概况与竞争性比选范围</w:t>
      </w:r>
    </w:p>
    <w:p w14:paraId="403BBE24">
      <w:pPr>
        <w:ind w:firstLine="480"/>
        <w:jc w:val="left"/>
        <w:outlineLvl w:val="1"/>
        <w:rPr>
          <w:rFonts w:hint="eastAsia" w:ascii="宋体" w:hAnsi="宋体" w:cs="宋体"/>
        </w:rPr>
      </w:pPr>
      <w:bookmarkStart w:id="0" w:name="_Toc22886"/>
      <w:r>
        <w:rPr>
          <w:rFonts w:hint="eastAsia" w:ascii="宋体" w:hAnsi="宋体" w:cs="宋体"/>
        </w:rPr>
        <w:t>1、</w:t>
      </w:r>
      <w:bookmarkEnd w:id="0"/>
      <w:r>
        <w:rPr>
          <w:rFonts w:hint="eastAsia" w:ascii="宋体" w:hAnsi="宋体" w:cs="宋体"/>
          <w:b/>
          <w:u w:val="single"/>
          <w:lang w:eastAsia="zh-CN"/>
        </w:rPr>
        <w:t>富金坝航电枢纽桥梁缺陷整治施工项目</w:t>
      </w:r>
    </w:p>
    <w:p w14:paraId="403DCC5A">
      <w:pPr>
        <w:keepNext w:val="0"/>
        <w:keepLines w:val="0"/>
        <w:pageBreakBefore w:val="0"/>
        <w:widowControl w:val="0"/>
        <w:kinsoku/>
        <w:wordWrap/>
        <w:overflowPunct/>
        <w:topLinePunct w:val="0"/>
        <w:autoSpaceDE/>
        <w:autoSpaceDN/>
        <w:bidi w:val="0"/>
        <w:adjustRightInd/>
        <w:snapToGrid/>
        <w:spacing w:beforeAutospacing="0" w:afterAutospacing="0" w:line="300" w:lineRule="auto"/>
        <w:ind w:left="0" w:leftChars="0" w:right="0" w:rightChars="0" w:firstLine="482" w:firstLineChars="0"/>
        <w:jc w:val="left"/>
        <w:textAlignment w:val="auto"/>
        <w:rPr>
          <w:rFonts w:hint="default" w:ascii="宋体" w:hAnsi="Times New Roman" w:eastAsia="宋体" w:cs="Times New Roman"/>
          <w:bCs/>
          <w:color w:val="auto"/>
          <w:sz w:val="24"/>
          <w:szCs w:val="30"/>
          <w:highlight w:val="none"/>
          <w:lang w:val="en-US" w:eastAsia="zh-CN"/>
        </w:rPr>
      </w:pPr>
      <w:r>
        <w:rPr>
          <w:rFonts w:hint="default" w:ascii="宋体" w:hAnsi="Times New Roman" w:eastAsia="宋体" w:cs="Times New Roman"/>
          <w:bCs/>
          <w:color w:val="auto"/>
          <w:sz w:val="24"/>
          <w:szCs w:val="30"/>
          <w:highlight w:val="none"/>
          <w:lang w:val="en-US" w:eastAsia="zh-CN"/>
        </w:rPr>
        <w:t>1</w:t>
      </w:r>
      <w:r>
        <w:rPr>
          <w:rFonts w:hint="default" w:ascii="宋体" w:hAnsi="Times New Roman" w:eastAsia="宋体" w:cs="Times New Roman"/>
          <w:bCs/>
          <w:color w:val="auto"/>
          <w:sz w:val="24"/>
          <w:szCs w:val="30"/>
          <w:highlight w:val="none"/>
          <w:lang w:eastAsia="zh-CN"/>
        </w:rPr>
        <w:t>.</w:t>
      </w:r>
      <w:r>
        <w:rPr>
          <w:rFonts w:hint="eastAsia" w:ascii="宋体" w:hAnsi="Times New Roman" w:cs="Times New Roman"/>
          <w:bCs/>
          <w:color w:val="auto"/>
          <w:sz w:val="24"/>
          <w:szCs w:val="30"/>
          <w:highlight w:val="none"/>
          <w:lang w:val="en-US" w:eastAsia="zh-CN"/>
        </w:rPr>
        <w:t>1</w:t>
      </w:r>
      <w:r>
        <w:rPr>
          <w:rFonts w:hint="default" w:ascii="宋体" w:hAnsi="Times New Roman" w:eastAsia="宋体" w:cs="Times New Roman"/>
          <w:bCs/>
          <w:color w:val="auto"/>
          <w:sz w:val="24"/>
          <w:szCs w:val="30"/>
          <w:highlight w:val="none"/>
          <w:lang w:val="en-US" w:eastAsia="zh-CN"/>
        </w:rPr>
        <w:t>项目概况</w:t>
      </w:r>
    </w:p>
    <w:p w14:paraId="728A89C4">
      <w:pPr>
        <w:keepNext w:val="0"/>
        <w:keepLines w:val="0"/>
        <w:pageBreakBefore w:val="0"/>
        <w:kinsoku/>
        <w:overflowPunct/>
        <w:topLinePunct w:val="0"/>
        <w:bidi w:val="0"/>
        <w:snapToGrid/>
        <w:spacing w:beforeAutospacing="0" w:afterAutospacing="0" w:line="300" w:lineRule="auto"/>
        <w:ind w:left="0" w:leftChars="0" w:right="0" w:rightChars="0" w:firstLine="482" w:firstLineChars="0"/>
        <w:jc w:val="left"/>
        <w:textAlignment w:val="auto"/>
        <w:rPr>
          <w:rFonts w:hint="default" w:ascii="宋体" w:hAnsi="Times New Roman" w:eastAsia="宋体" w:cs="Times New Roman"/>
          <w:bCs/>
          <w:color w:val="auto"/>
          <w:sz w:val="24"/>
          <w:szCs w:val="32"/>
          <w:highlight w:val="none"/>
          <w:lang w:val="en-US" w:eastAsia="zh-CN"/>
        </w:rPr>
      </w:pPr>
      <w:r>
        <w:rPr>
          <w:rFonts w:hint="default" w:ascii="宋体" w:hAnsi="Times New Roman" w:eastAsia="宋体" w:cs="Times New Roman"/>
          <w:bCs/>
          <w:color w:val="auto"/>
          <w:sz w:val="24"/>
          <w:szCs w:val="32"/>
          <w:highlight w:val="none"/>
          <w:lang w:val="en-US" w:eastAsia="zh-CN"/>
        </w:rPr>
        <w:t xml:space="preserve">厂房进水闸桥 </w:t>
      </w:r>
    </w:p>
    <w:p w14:paraId="5791E2E7">
      <w:pPr>
        <w:keepNext w:val="0"/>
        <w:keepLines w:val="0"/>
        <w:pageBreakBefore w:val="0"/>
        <w:kinsoku/>
        <w:overflowPunct/>
        <w:topLinePunct w:val="0"/>
        <w:bidi w:val="0"/>
        <w:snapToGrid/>
        <w:spacing w:beforeAutospacing="0" w:afterAutospacing="0" w:line="300" w:lineRule="auto"/>
        <w:ind w:left="0" w:leftChars="0" w:right="0" w:rightChars="0" w:firstLine="482" w:firstLineChars="0"/>
        <w:jc w:val="left"/>
        <w:textAlignment w:val="auto"/>
        <w:rPr>
          <w:rFonts w:hint="default" w:ascii="宋体" w:hAnsi="Times New Roman" w:eastAsia="宋体" w:cs="Times New Roman"/>
          <w:bCs/>
          <w:color w:val="auto"/>
          <w:sz w:val="24"/>
          <w:szCs w:val="32"/>
          <w:highlight w:val="none"/>
          <w:lang w:val="en-US" w:eastAsia="zh-CN"/>
        </w:rPr>
      </w:pPr>
      <w:r>
        <w:rPr>
          <w:rFonts w:hint="default" w:ascii="宋体" w:hAnsi="Times New Roman" w:eastAsia="宋体" w:cs="Times New Roman"/>
          <w:bCs/>
          <w:color w:val="auto"/>
          <w:sz w:val="24"/>
          <w:szCs w:val="32"/>
          <w:highlight w:val="none"/>
          <w:lang w:val="en-US" w:eastAsia="zh-CN"/>
        </w:rPr>
        <w:t>厂房进水闸桥位于重庆市合川区太和镇富金坝厂房区，建成于2006年，该桥与大坝相连，右侧为闸门，桥梁全长56.96m，桥面横向布置：0.50m（护栏）+4.50m（车行道）+0.50m（护栏）=5.50m。根据业主提供的资料，桥梁原设计荷载等级为公路-Ⅱ级（04通规），现通行限载30t，限速20km/h，限高2.8m。厂房进水闸桥为 3×（2×6.21）m 钢筋混凝土预制空心板梁桥。上部结构单跨横向共计4片空心板，单块空心板宽1.24m，板高0.4m；下部结构桥台为重力式桥台，扩大基础。铺装为沥青混凝土，厚度2cm。桥面未设置伸缩装置</w:t>
      </w:r>
      <w:r>
        <w:rPr>
          <w:rFonts w:hint="eastAsia" w:ascii="宋体" w:cs="Times New Roman"/>
          <w:bCs/>
          <w:color w:val="auto"/>
          <w:sz w:val="24"/>
          <w:szCs w:val="32"/>
          <w:highlight w:val="none"/>
          <w:lang w:val="en-US" w:eastAsia="zh-CN"/>
        </w:rPr>
        <w:t>；</w:t>
      </w:r>
      <w:r>
        <w:rPr>
          <w:rFonts w:hint="default" w:ascii="宋体" w:hAnsi="Times New Roman" w:eastAsia="宋体" w:cs="Times New Roman"/>
          <w:bCs/>
          <w:color w:val="auto"/>
          <w:sz w:val="24"/>
          <w:szCs w:val="32"/>
          <w:highlight w:val="none"/>
          <w:lang w:val="en-US" w:eastAsia="zh-CN"/>
        </w:rPr>
        <w:t>桥面未设置桥梁管养公示牌。</w:t>
      </w:r>
    </w:p>
    <w:p w14:paraId="329DB424">
      <w:pPr>
        <w:keepNext w:val="0"/>
        <w:keepLines w:val="0"/>
        <w:pageBreakBefore w:val="0"/>
        <w:kinsoku/>
        <w:overflowPunct/>
        <w:topLinePunct w:val="0"/>
        <w:bidi w:val="0"/>
        <w:snapToGrid/>
        <w:spacing w:beforeAutospacing="0" w:afterAutospacing="0" w:line="300" w:lineRule="auto"/>
        <w:ind w:left="0" w:leftChars="0" w:right="0" w:rightChars="0" w:firstLine="482" w:firstLineChars="0"/>
        <w:jc w:val="left"/>
        <w:textAlignment w:val="auto"/>
        <w:rPr>
          <w:rFonts w:hint="default" w:ascii="宋体" w:hAnsi="Times New Roman" w:eastAsia="宋体" w:cs="Times New Roman"/>
          <w:bCs/>
          <w:color w:val="auto"/>
          <w:sz w:val="24"/>
          <w:szCs w:val="32"/>
          <w:highlight w:val="none"/>
          <w:lang w:val="en-US" w:eastAsia="zh-CN"/>
        </w:rPr>
      </w:pPr>
      <w:r>
        <w:rPr>
          <w:rFonts w:hint="default" w:ascii="宋体" w:hAnsi="Times New Roman" w:eastAsia="宋体" w:cs="Times New Roman"/>
          <w:bCs/>
          <w:color w:val="auto"/>
          <w:sz w:val="24"/>
          <w:szCs w:val="32"/>
          <w:highlight w:val="none"/>
          <w:lang w:val="en-US" w:eastAsia="zh-CN"/>
        </w:rPr>
        <w:t xml:space="preserve">大坝交通桥 </w:t>
      </w:r>
    </w:p>
    <w:p w14:paraId="1099EC59">
      <w:pPr>
        <w:keepNext w:val="0"/>
        <w:keepLines w:val="0"/>
        <w:pageBreakBefore w:val="0"/>
        <w:kinsoku/>
        <w:overflowPunct/>
        <w:topLinePunct w:val="0"/>
        <w:bidi w:val="0"/>
        <w:snapToGrid/>
        <w:spacing w:beforeAutospacing="0" w:afterAutospacing="0" w:line="300" w:lineRule="auto"/>
        <w:ind w:left="0" w:leftChars="0" w:right="0" w:rightChars="0" w:firstLine="482" w:firstLineChars="0"/>
        <w:jc w:val="left"/>
        <w:textAlignment w:val="auto"/>
        <w:rPr>
          <w:rFonts w:hint="default"/>
          <w:lang w:val="en-US" w:eastAsia="zh-CN"/>
        </w:rPr>
      </w:pPr>
      <w:r>
        <w:rPr>
          <w:rFonts w:hint="default" w:ascii="宋体" w:hAnsi="Times New Roman" w:eastAsia="宋体" w:cs="Times New Roman"/>
          <w:bCs/>
          <w:color w:val="auto"/>
          <w:sz w:val="24"/>
          <w:szCs w:val="32"/>
          <w:highlight w:val="none"/>
          <w:lang w:val="en-US" w:eastAsia="zh-CN"/>
        </w:rPr>
        <w:t>富金坝枢纽工程大坝位于重庆市合川区太和镇，横跨涪江，交通桥位于该大坝上左侧6m宽的位置，主要负责太和镇与富金坝村车辆和行人的通行。该桥建成于2006年，桥梁全长307m，桥面横向布置：0.5m（护栏）+4.7m（车行道）+0.5m（护栏）=5.7m。根据业主提供的资料，桥梁原设计荷载等级为汽车-20级、挂车-100，现通行限载30t，限速20km/h，限高2.8m。富金坝枢纽工程大坝交通桥为18×13.0m钢筋混凝土简T梁桥。上部结构横向共3片T 梁，板宽均为1.6m，梁高1.1m；下部结构桥墩为重力式桥墩，桥台为重力式桥台，均为扩大基础。桥面铺装为沥青混凝土；桥面未设有桥梁信息管理牌。</w:t>
      </w:r>
    </w:p>
    <w:p w14:paraId="2B7B55BE">
      <w:pPr>
        <w:keepNext w:val="0"/>
        <w:keepLines w:val="0"/>
        <w:pageBreakBefore w:val="0"/>
        <w:kinsoku/>
        <w:overflowPunct/>
        <w:topLinePunct w:val="0"/>
        <w:bidi w:val="0"/>
        <w:snapToGrid/>
        <w:spacing w:beforeAutospacing="0" w:afterAutospacing="0" w:line="300" w:lineRule="auto"/>
        <w:ind w:left="0" w:leftChars="0" w:right="0" w:rightChars="0" w:firstLine="482" w:firstLineChars="0"/>
        <w:jc w:val="left"/>
        <w:textAlignment w:val="auto"/>
        <w:rPr>
          <w:rFonts w:hint="default" w:ascii="宋体" w:hAnsi="Times New Roman" w:eastAsia="宋体" w:cs="Times New Roman"/>
          <w:bCs/>
          <w:color w:val="auto"/>
          <w:kern w:val="2"/>
          <w:sz w:val="24"/>
          <w:szCs w:val="32"/>
          <w:highlight w:val="none"/>
          <w:lang w:val="en-US" w:eastAsia="zh-CN" w:bidi="ar-SA"/>
        </w:rPr>
      </w:pPr>
      <w:r>
        <w:rPr>
          <w:rFonts w:hint="default" w:ascii="宋体" w:hAnsi="Times New Roman" w:eastAsia="宋体" w:cs="Times New Roman"/>
          <w:bCs/>
          <w:color w:val="auto"/>
          <w:sz w:val="24"/>
          <w:szCs w:val="32"/>
          <w:highlight w:val="none"/>
          <w:lang w:val="en-US" w:eastAsia="zh-CN"/>
        </w:rPr>
        <w:t>本次拟计划</w:t>
      </w:r>
      <w:r>
        <w:rPr>
          <w:rFonts w:hint="eastAsia" w:ascii="宋体" w:hAnsi="Times New Roman" w:eastAsia="宋体" w:cs="Times New Roman"/>
          <w:bCs/>
          <w:color w:val="auto"/>
          <w:kern w:val="2"/>
          <w:sz w:val="24"/>
          <w:szCs w:val="32"/>
          <w:highlight w:val="none"/>
          <w:lang w:val="en-US" w:eastAsia="zh-CN" w:bidi="ar-SA"/>
        </w:rPr>
        <w:t>富金坝航电枢纽大坝交通桥和厂房进水闸桥梁缺陷整治施工</w:t>
      </w:r>
      <w:r>
        <w:rPr>
          <w:rFonts w:hint="eastAsia" w:ascii="宋体" w:cs="Times New Roman"/>
          <w:bCs/>
          <w:color w:val="auto"/>
          <w:kern w:val="2"/>
          <w:sz w:val="24"/>
          <w:szCs w:val="32"/>
          <w:highlight w:val="none"/>
          <w:lang w:val="en-US" w:eastAsia="zh-CN" w:bidi="ar-SA"/>
        </w:rPr>
        <w:t>。</w:t>
      </w:r>
    </w:p>
    <w:p w14:paraId="26FC692E">
      <w:pPr>
        <w:keepNext w:val="0"/>
        <w:keepLines w:val="0"/>
        <w:pageBreakBefore w:val="0"/>
        <w:widowControl w:val="0"/>
        <w:numPr>
          <w:ilvl w:val="0"/>
          <w:numId w:val="0"/>
        </w:numPr>
        <w:kinsoku/>
        <w:wordWrap/>
        <w:overflowPunct/>
        <w:topLinePunct w:val="0"/>
        <w:autoSpaceDE/>
        <w:autoSpaceDN/>
        <w:bidi w:val="0"/>
        <w:snapToGrid/>
        <w:spacing w:beforeAutospacing="0" w:afterAutospacing="0" w:line="300" w:lineRule="auto"/>
        <w:ind w:right="0" w:rightChars="0" w:firstLine="480" w:firstLineChars="200"/>
        <w:jc w:val="left"/>
        <w:textAlignment w:val="auto"/>
        <w:rPr>
          <w:rFonts w:hint="default" w:ascii="宋体" w:hAnsi="Times New Roman" w:eastAsia="宋体" w:cs="Times New Roman"/>
          <w:bCs/>
          <w:color w:val="auto"/>
          <w:sz w:val="24"/>
          <w:szCs w:val="30"/>
          <w:highlight w:val="none"/>
          <w:lang w:eastAsia="zh-CN"/>
        </w:rPr>
      </w:pPr>
      <w:r>
        <w:rPr>
          <w:rFonts w:hint="eastAsia" w:ascii="宋体" w:hAnsi="Times New Roman" w:cs="Times New Roman"/>
          <w:bCs/>
          <w:color w:val="auto"/>
          <w:sz w:val="24"/>
          <w:szCs w:val="30"/>
          <w:highlight w:val="none"/>
          <w:lang w:val="en-US" w:eastAsia="zh-CN"/>
        </w:rPr>
        <w:t>1.2</w:t>
      </w:r>
      <w:r>
        <w:rPr>
          <w:rFonts w:hint="eastAsia" w:ascii="宋体" w:hAnsi="Times New Roman" w:eastAsia="宋体" w:cs="Times New Roman"/>
          <w:bCs/>
          <w:color w:val="auto"/>
          <w:sz w:val="24"/>
          <w:szCs w:val="30"/>
          <w:highlight w:val="none"/>
          <w:lang w:val="en-US" w:eastAsia="zh-CN"/>
        </w:rPr>
        <w:t>工作</w:t>
      </w:r>
      <w:r>
        <w:rPr>
          <w:rFonts w:hint="default" w:ascii="宋体" w:hAnsi="Times New Roman" w:eastAsia="宋体" w:cs="Times New Roman"/>
          <w:bCs/>
          <w:color w:val="auto"/>
          <w:sz w:val="24"/>
          <w:szCs w:val="30"/>
          <w:highlight w:val="none"/>
          <w:lang w:eastAsia="zh-CN"/>
        </w:rPr>
        <w:t>范围</w:t>
      </w:r>
    </w:p>
    <w:p w14:paraId="149DC52E">
      <w:pPr>
        <w:pStyle w:val="11"/>
        <w:ind w:firstLine="480"/>
        <w:rPr>
          <w:rFonts w:hint="eastAsia" w:ascii="Times New Roman" w:hAnsi="Times New Roman" w:eastAsia="宋体" w:cstheme="minorBidi"/>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heme="minorBidi"/>
          <w:color w:val="000000" w:themeColor="text1"/>
          <w:kern w:val="2"/>
          <w:sz w:val="24"/>
          <w:szCs w:val="24"/>
          <w:lang w:val="en-US" w:eastAsia="zh-CN" w:bidi="ar-SA"/>
          <w14:textFill>
            <w14:solidFill>
              <w14:schemeClr w14:val="tx1"/>
            </w14:solidFill>
          </w14:textFill>
        </w:rPr>
        <w:t>桥梁裂缝整治、桥梁伸缩缝整治、桥梁支座更换、桥面系整治、桥梁限高架更新和桥梁引道缺陷整治等。具体工作内容详见工程量清单和施工图。</w:t>
      </w:r>
    </w:p>
    <w:p w14:paraId="0CEE5C00">
      <w:pPr>
        <w:pStyle w:val="11"/>
        <w:ind w:firstLine="480"/>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1.3</w:t>
      </w:r>
      <w:r>
        <w:rPr>
          <w:rFonts w:hint="eastAsia"/>
          <w:color w:val="000000" w:themeColor="text1"/>
          <w14:textFill>
            <w14:solidFill>
              <w14:schemeClr w14:val="tx1"/>
            </w14:solidFill>
          </w14:textFill>
        </w:rPr>
        <w:t>施工地点：</w:t>
      </w:r>
      <w:r>
        <w:rPr>
          <w:rFonts w:hint="eastAsia" w:ascii="Times New Roman" w:hAnsi="Times New Roman" w:eastAsia="宋体" w:cstheme="minorBidi"/>
          <w:color w:val="000000" w:themeColor="text1"/>
          <w:kern w:val="2"/>
          <w:sz w:val="24"/>
          <w:szCs w:val="24"/>
          <w:lang w:val="en-US" w:eastAsia="zh-CN" w:bidi="ar-SA"/>
          <w14:textFill>
            <w14:solidFill>
              <w14:schemeClr w14:val="tx1"/>
            </w14:solidFill>
          </w14:textFill>
        </w:rPr>
        <w:t>富金坝航电枢纽</w:t>
      </w:r>
      <w:r>
        <w:rPr>
          <w:rFonts w:hint="eastAsia"/>
          <w:color w:val="000000" w:themeColor="text1"/>
          <w14:textFill>
            <w14:solidFill>
              <w14:schemeClr w14:val="tx1"/>
            </w14:solidFill>
          </w14:textFill>
        </w:rPr>
        <w:t>。</w:t>
      </w:r>
    </w:p>
    <w:p w14:paraId="5D2AED23">
      <w:pPr>
        <w:keepNext w:val="0"/>
        <w:keepLines w:val="0"/>
        <w:pageBreakBefore w:val="0"/>
        <w:widowControl/>
        <w:numPr>
          <w:ilvl w:val="0"/>
          <w:numId w:val="0"/>
        </w:numPr>
        <w:kinsoku/>
        <w:wordWrap/>
        <w:overflowPunct/>
        <w:topLinePunct w:val="0"/>
        <w:autoSpaceDE/>
        <w:autoSpaceDN/>
        <w:bidi w:val="0"/>
        <w:snapToGrid/>
        <w:spacing w:beforeAutospacing="0" w:afterAutospacing="0" w:line="300" w:lineRule="auto"/>
        <w:ind w:left="0" w:leftChars="0" w:right="0" w:rightChars="0" w:firstLine="482" w:firstLineChars="0"/>
        <w:jc w:val="left"/>
        <w:textAlignment w:val="auto"/>
        <w:rPr>
          <w:rFonts w:hint="default" w:ascii="宋体" w:hAnsi="Times New Roman" w:eastAsia="宋体" w:cs="Times New Roman"/>
          <w:bCs/>
          <w:color w:val="auto"/>
          <w:sz w:val="24"/>
          <w:szCs w:val="32"/>
          <w:highlight w:val="none"/>
          <w:lang w:eastAsia="zh-CN"/>
        </w:rPr>
      </w:pPr>
      <w:r>
        <w:rPr>
          <w:rFonts w:hint="eastAsia"/>
          <w:color w:val="000000" w:themeColor="text1"/>
          <w:lang w:val="en-US" w:eastAsia="zh-CN"/>
          <w14:textFill>
            <w14:solidFill>
              <w14:schemeClr w14:val="tx1"/>
            </w14:solidFill>
          </w14:textFill>
        </w:rPr>
        <w:t>2</w:t>
      </w:r>
      <w:r>
        <w:rPr>
          <w:rFonts w:hint="eastAsia"/>
          <w:color w:val="000000" w:themeColor="text1"/>
          <w14:textFill>
            <w14:solidFill>
              <w14:schemeClr w14:val="tx1"/>
            </w14:solidFill>
          </w14:textFill>
        </w:rPr>
        <w:t>、工期要求：</w:t>
      </w:r>
      <w:r>
        <w:rPr>
          <w:rFonts w:hint="default" w:ascii="宋体" w:hAnsi="Times New Roman" w:eastAsia="宋体" w:cs="Times New Roman"/>
          <w:color w:val="auto"/>
          <w:sz w:val="24"/>
          <w:szCs w:val="32"/>
          <w:highlight w:val="none"/>
          <w:lang w:val="en-US" w:eastAsia="zh-CN"/>
        </w:rPr>
        <w:t>合同工期</w:t>
      </w:r>
      <w:r>
        <w:rPr>
          <w:rFonts w:hint="eastAsia" w:ascii="宋体" w:cs="Times New Roman"/>
          <w:color w:val="auto"/>
          <w:sz w:val="24"/>
          <w:szCs w:val="32"/>
          <w:highlight w:val="none"/>
          <w:lang w:val="en-US" w:eastAsia="zh-CN"/>
        </w:rPr>
        <w:t>9</w:t>
      </w:r>
      <w:r>
        <w:rPr>
          <w:rFonts w:hint="eastAsia" w:ascii="宋体" w:hAnsi="Times New Roman" w:eastAsia="宋体" w:cs="Times New Roman"/>
          <w:color w:val="auto"/>
          <w:sz w:val="24"/>
          <w:szCs w:val="32"/>
          <w:highlight w:val="none"/>
          <w:lang w:val="en-US" w:eastAsia="zh-CN"/>
        </w:rPr>
        <w:t>0个日历天</w:t>
      </w:r>
      <w:r>
        <w:rPr>
          <w:rFonts w:hint="default" w:ascii="宋体" w:hAnsi="Times New Roman" w:eastAsia="宋体" w:cs="Times New Roman"/>
          <w:color w:val="auto"/>
          <w:sz w:val="24"/>
          <w:szCs w:val="32"/>
          <w:highlight w:val="none"/>
          <w:lang w:val="en-US" w:eastAsia="zh-CN"/>
        </w:rPr>
        <w:t>，</w:t>
      </w:r>
      <w:r>
        <w:rPr>
          <w:rFonts w:hint="eastAsia" w:ascii="宋体" w:hAnsi="Times New Roman" w:eastAsia="宋体" w:cs="Times New Roman"/>
          <w:bCs/>
          <w:color w:val="auto"/>
          <w:sz w:val="24"/>
          <w:szCs w:val="32"/>
          <w:highlight w:val="none"/>
          <w:lang w:val="en-US" w:eastAsia="zh-CN"/>
        </w:rPr>
        <w:t>开工时间暂定202</w:t>
      </w:r>
      <w:r>
        <w:rPr>
          <w:rFonts w:hint="eastAsia" w:ascii="宋体" w:cs="Times New Roman"/>
          <w:bCs/>
          <w:color w:val="auto"/>
          <w:sz w:val="24"/>
          <w:szCs w:val="32"/>
          <w:highlight w:val="none"/>
          <w:lang w:val="en-US" w:eastAsia="zh-CN"/>
        </w:rPr>
        <w:t>6</w:t>
      </w:r>
      <w:r>
        <w:rPr>
          <w:rFonts w:hint="eastAsia" w:ascii="宋体" w:hAnsi="Times New Roman" w:eastAsia="宋体" w:cs="Times New Roman"/>
          <w:bCs/>
          <w:color w:val="auto"/>
          <w:sz w:val="24"/>
          <w:szCs w:val="32"/>
          <w:highlight w:val="none"/>
          <w:lang w:val="en-US" w:eastAsia="zh-CN"/>
        </w:rPr>
        <w:t>年</w:t>
      </w:r>
      <w:r>
        <w:rPr>
          <w:rFonts w:hint="eastAsia" w:ascii="宋体" w:cs="Times New Roman"/>
          <w:bCs/>
          <w:color w:val="auto"/>
          <w:sz w:val="24"/>
          <w:szCs w:val="32"/>
          <w:highlight w:val="none"/>
          <w:u w:val="single"/>
          <w:lang w:val="en-US" w:eastAsia="zh-CN"/>
        </w:rPr>
        <w:t>7</w:t>
      </w:r>
      <w:r>
        <w:rPr>
          <w:rFonts w:hint="eastAsia" w:ascii="宋体" w:hAnsi="Times New Roman" w:eastAsia="宋体" w:cs="Times New Roman"/>
          <w:bCs/>
          <w:color w:val="auto"/>
          <w:sz w:val="24"/>
          <w:szCs w:val="32"/>
          <w:highlight w:val="none"/>
          <w:lang w:val="en-US" w:eastAsia="zh-CN"/>
        </w:rPr>
        <w:t>月</w:t>
      </w:r>
      <w:r>
        <w:rPr>
          <w:rFonts w:hint="eastAsia" w:ascii="宋体" w:cs="Times New Roman"/>
          <w:bCs/>
          <w:color w:val="auto"/>
          <w:sz w:val="24"/>
          <w:szCs w:val="32"/>
          <w:highlight w:val="none"/>
          <w:u w:val="single"/>
          <w:lang w:val="en-US" w:eastAsia="zh-CN"/>
        </w:rPr>
        <w:t>29</w:t>
      </w:r>
      <w:r>
        <w:rPr>
          <w:rFonts w:hint="eastAsia" w:ascii="宋体" w:hAnsi="Times New Roman" w:eastAsia="宋体" w:cs="Times New Roman"/>
          <w:bCs/>
          <w:color w:val="auto"/>
          <w:sz w:val="24"/>
          <w:szCs w:val="32"/>
          <w:highlight w:val="none"/>
          <w:lang w:val="en-US" w:eastAsia="zh-CN"/>
        </w:rPr>
        <w:t>日</w:t>
      </w:r>
      <w:r>
        <w:rPr>
          <w:rFonts w:hint="eastAsia" w:ascii="宋体" w:hAnsi="Times New Roman" w:eastAsia="宋体" w:cs="Times New Roman"/>
          <w:color w:val="auto"/>
          <w:sz w:val="24"/>
          <w:szCs w:val="32"/>
          <w:highlight w:val="none"/>
          <w:lang w:val="en-US" w:eastAsia="zh-CN"/>
        </w:rPr>
        <w:t>，</w:t>
      </w:r>
      <w:r>
        <w:rPr>
          <w:rFonts w:hint="default" w:ascii="宋体" w:hAnsi="Times New Roman" w:eastAsia="宋体" w:cs="Times New Roman"/>
          <w:bCs/>
          <w:color w:val="auto"/>
          <w:sz w:val="24"/>
          <w:szCs w:val="32"/>
          <w:highlight w:val="none"/>
          <w:lang w:eastAsia="zh-CN"/>
        </w:rPr>
        <w:t>具体进退场时间</w:t>
      </w:r>
      <w:r>
        <w:rPr>
          <w:rFonts w:hint="default" w:ascii="宋体" w:hAnsi="Times New Roman" w:eastAsia="宋体" w:cs="Times New Roman"/>
          <w:bCs/>
          <w:color w:val="auto"/>
          <w:sz w:val="24"/>
          <w:szCs w:val="32"/>
          <w:highlight w:val="none"/>
          <w:lang w:val="en-US" w:eastAsia="zh-CN"/>
        </w:rPr>
        <w:t>以</w:t>
      </w:r>
      <w:r>
        <w:rPr>
          <w:rFonts w:hint="default" w:ascii="宋体" w:hAnsi="Times New Roman" w:eastAsia="宋体" w:cs="Times New Roman"/>
          <w:bCs/>
          <w:color w:val="auto"/>
          <w:sz w:val="24"/>
          <w:szCs w:val="32"/>
          <w:highlight w:val="none"/>
          <w:lang w:eastAsia="zh-CN"/>
        </w:rPr>
        <w:t>发包人</w:t>
      </w:r>
      <w:r>
        <w:rPr>
          <w:rFonts w:hint="eastAsia" w:ascii="宋体" w:hAnsi="Times New Roman" w:eastAsia="宋体" w:cs="Times New Roman"/>
          <w:bCs/>
          <w:color w:val="auto"/>
          <w:sz w:val="24"/>
          <w:szCs w:val="32"/>
          <w:highlight w:val="none"/>
          <w:lang w:eastAsia="zh-CN"/>
        </w:rPr>
        <w:t>（</w:t>
      </w:r>
      <w:r>
        <w:rPr>
          <w:rFonts w:hint="eastAsia" w:ascii="宋体" w:hAnsi="Times New Roman" w:eastAsia="宋体" w:cs="Times New Roman"/>
          <w:bCs/>
          <w:color w:val="auto"/>
          <w:sz w:val="24"/>
          <w:szCs w:val="32"/>
          <w:highlight w:val="none"/>
          <w:lang w:val="en-US" w:eastAsia="zh-CN"/>
        </w:rPr>
        <w:t>或监理</w:t>
      </w:r>
      <w:r>
        <w:rPr>
          <w:rFonts w:hint="eastAsia" w:ascii="宋体" w:hAnsi="Times New Roman" w:eastAsia="宋体" w:cs="Times New Roman"/>
          <w:bCs/>
          <w:color w:val="auto"/>
          <w:sz w:val="24"/>
          <w:szCs w:val="32"/>
          <w:highlight w:val="none"/>
          <w:lang w:eastAsia="zh-CN"/>
        </w:rPr>
        <w:t>）</w:t>
      </w:r>
      <w:r>
        <w:rPr>
          <w:rFonts w:hint="default" w:ascii="宋体" w:hAnsi="Times New Roman" w:eastAsia="宋体" w:cs="Times New Roman"/>
          <w:bCs/>
          <w:color w:val="auto"/>
          <w:sz w:val="24"/>
          <w:szCs w:val="32"/>
          <w:highlight w:val="none"/>
          <w:lang w:eastAsia="zh-CN"/>
        </w:rPr>
        <w:t>通知</w:t>
      </w:r>
      <w:r>
        <w:rPr>
          <w:rFonts w:hint="default" w:ascii="宋体" w:hAnsi="Times New Roman" w:eastAsia="宋体" w:cs="Times New Roman"/>
          <w:bCs/>
          <w:color w:val="auto"/>
          <w:sz w:val="24"/>
          <w:szCs w:val="32"/>
          <w:highlight w:val="none"/>
          <w:lang w:val="en-US" w:eastAsia="zh-CN"/>
        </w:rPr>
        <w:t>为准</w:t>
      </w:r>
      <w:r>
        <w:rPr>
          <w:rFonts w:hint="default" w:ascii="宋体" w:hAnsi="Times New Roman" w:eastAsia="宋体" w:cs="Times New Roman"/>
          <w:bCs/>
          <w:color w:val="auto"/>
          <w:sz w:val="24"/>
          <w:szCs w:val="32"/>
          <w:highlight w:val="none"/>
          <w:lang w:eastAsia="zh-CN"/>
        </w:rPr>
        <w:t>。</w:t>
      </w:r>
    </w:p>
    <w:p w14:paraId="671AB527">
      <w:pPr>
        <w:pStyle w:val="11"/>
        <w:ind w:firstLine="48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3</w:t>
      </w:r>
      <w:r>
        <w:rPr>
          <w:rFonts w:hint="eastAsia"/>
          <w:color w:val="000000" w:themeColor="text1"/>
          <w14:textFill>
            <w14:solidFill>
              <w14:schemeClr w14:val="tx1"/>
            </w14:solidFill>
          </w14:textFill>
        </w:rPr>
        <w:t>、工程内容清单：详见劳务工程量报价清单</w:t>
      </w:r>
    </w:p>
    <w:p w14:paraId="432E4068">
      <w:pPr>
        <w:rPr>
          <w:rFonts w:hint="default" w:eastAsia="宋体"/>
          <w:lang w:val="en-US" w:eastAsia="zh-CN"/>
        </w:rPr>
      </w:pPr>
      <w:r>
        <w:rPr>
          <w:rFonts w:hint="eastAsia"/>
          <w:b/>
          <w:bCs/>
          <w:color w:val="000000" w:themeColor="text1"/>
          <w:lang w:val="en-US" w:eastAsia="zh-CN"/>
          <w14:textFill>
            <w14:solidFill>
              <w14:schemeClr w14:val="tx1"/>
            </w14:solidFill>
          </w14:textFill>
        </w:rPr>
        <w:t>4、其他服务要求：与地方政府建立良好沟通，负责协调交通组织。</w:t>
      </w:r>
    </w:p>
    <w:p w14:paraId="46153529">
      <w:pPr>
        <w:pStyle w:val="3"/>
        <w:spacing w:before="0" w:beforeLines="0" w:after="0" w:afterLines="0"/>
      </w:pPr>
      <w:r>
        <w:rPr>
          <w:rFonts w:hint="eastAsia"/>
        </w:rPr>
        <w:t>二、比选申请人资格要求</w:t>
      </w:r>
    </w:p>
    <w:p w14:paraId="5706CE46">
      <w:pPr>
        <w:pStyle w:val="4"/>
        <w:spacing w:line="360" w:lineRule="auto"/>
        <w:ind w:firstLine="480"/>
        <w:rPr>
          <w:b w:val="0"/>
          <w:bCs/>
        </w:rPr>
      </w:pPr>
      <w:r>
        <w:rPr>
          <w:rFonts w:hint="eastAsia"/>
          <w:b w:val="0"/>
          <w:bCs/>
        </w:rPr>
        <w:t>1、</w:t>
      </w:r>
      <w:r>
        <w:rPr>
          <w:rFonts w:hint="eastAsia" w:ascii="宋体" w:hAnsi="宋体"/>
          <w:b w:val="0"/>
          <w:bCs/>
        </w:rPr>
        <w:t>比选申请人具备下列条件</w:t>
      </w:r>
    </w:p>
    <w:p w14:paraId="58DDCEDC">
      <w:pPr>
        <w:ind w:firstLine="480"/>
      </w:pPr>
      <w:r>
        <w:rPr>
          <w:rFonts w:hint="eastAsia"/>
        </w:rPr>
        <w:t>（1）资质要求</w:t>
      </w:r>
    </w:p>
    <w:p w14:paraId="631ADF42">
      <w:pPr>
        <w:widowControl/>
        <w:topLinePunct w:val="0"/>
        <w:ind w:firstLine="480"/>
        <w:jc w:val="left"/>
        <w:rPr>
          <w:rFonts w:hint="eastAsia"/>
          <w:b/>
          <w:bCs/>
        </w:rPr>
      </w:pPr>
      <w:bookmarkStart w:id="1" w:name="OLE_LINK1"/>
      <w:r>
        <w:t>具有独立法人资格，</w:t>
      </w:r>
      <w:r>
        <w:rPr>
          <w:rFonts w:hint="eastAsia"/>
        </w:rPr>
        <w:t>有效的营业执照、安全生产许可证</w:t>
      </w:r>
      <w:r>
        <w:rPr>
          <w:rFonts w:hint="eastAsia"/>
          <w:lang w:eastAsia="zh-CN"/>
        </w:rPr>
        <w:t>、</w:t>
      </w:r>
      <w:r>
        <w:rPr>
          <w:rFonts w:hint="eastAsia" w:ascii="宋体" w:hAnsi="Times New Roman" w:eastAsia="宋体" w:cs="宋体"/>
          <w:snapToGrid w:val="0"/>
          <w:color w:val="auto"/>
          <w:kern w:val="0"/>
          <w:sz w:val="24"/>
          <w:szCs w:val="24"/>
          <w:lang w:val="en-US" w:eastAsia="zh-CN" w:bidi="ar"/>
        </w:rPr>
        <w:t>开户许可证或基本账户证明</w:t>
      </w:r>
      <w:r>
        <w:rPr>
          <w:rFonts w:hint="eastAsia"/>
        </w:rPr>
        <w:t>，</w:t>
      </w:r>
      <w:r>
        <w:t>具备行政主管部门核发的</w:t>
      </w:r>
      <w:r>
        <w:rPr>
          <w:rFonts w:hint="eastAsia"/>
          <w:b/>
          <w:bCs/>
        </w:rPr>
        <w:t>施工劳务资质。</w:t>
      </w:r>
      <w:bookmarkEnd w:id="1"/>
      <w:r>
        <w:rPr>
          <w:rFonts w:hint="eastAsia"/>
          <w:b/>
          <w:bCs/>
        </w:rPr>
        <w:t>在“信用中国”网站中未被列入失信被执行人名单（黑名单）</w:t>
      </w:r>
      <w:r>
        <w:rPr>
          <w:rFonts w:hint="eastAsia"/>
          <w:b/>
          <w:bCs/>
          <w:lang w:eastAsia="zh-CN"/>
        </w:rPr>
        <w:t>，</w:t>
      </w:r>
      <w:r>
        <w:rPr>
          <w:rFonts w:hint="eastAsia"/>
          <w:b/>
          <w:bCs/>
          <w:lang w:val="en-US" w:eastAsia="zh-CN"/>
        </w:rPr>
        <w:t>提供查询截图</w:t>
      </w:r>
      <w:r>
        <w:rPr>
          <w:rFonts w:hint="eastAsia"/>
          <w:b/>
          <w:bCs/>
        </w:rPr>
        <w:t>。</w:t>
      </w:r>
    </w:p>
    <w:p w14:paraId="76BD8498">
      <w:pPr>
        <w:numPr>
          <w:ilvl w:val="0"/>
          <w:numId w:val="2"/>
        </w:numPr>
        <w:ind w:firstLine="480"/>
        <w:rPr>
          <w:rFonts w:hint="eastAsia"/>
          <w:lang w:val="en-US" w:eastAsia="zh-CN"/>
        </w:rPr>
      </w:pPr>
      <w:r>
        <w:rPr>
          <w:rFonts w:hint="eastAsia"/>
          <w:lang w:val="en-US" w:eastAsia="zh-CN"/>
        </w:rPr>
        <w:t>业绩要求</w:t>
      </w:r>
    </w:p>
    <w:p w14:paraId="479778F3">
      <w:pPr>
        <w:numPr>
          <w:ilvl w:val="0"/>
          <w:numId w:val="0"/>
        </w:numPr>
      </w:pPr>
      <w:r>
        <w:rPr>
          <w:rFonts w:hint="eastAsia"/>
          <w:lang w:val="en-US" w:eastAsia="zh-CN"/>
        </w:rPr>
        <w:t xml:space="preserve">   2020年1月1日至2026年6月30日止，已实施完成的合同金额50万以上的桥梁病害处置类项目的业绩证明。</w:t>
      </w:r>
    </w:p>
    <w:p w14:paraId="17EDD401">
      <w:pPr>
        <w:ind w:firstLine="482"/>
        <w:rPr>
          <w:b/>
          <w:bCs/>
        </w:rPr>
      </w:pPr>
      <w:r>
        <w:rPr>
          <w:rFonts w:hint="eastAsia"/>
          <w:b/>
          <w:bCs/>
          <w:szCs w:val="21"/>
        </w:rPr>
        <w:t>注：须提</w:t>
      </w:r>
      <w:r>
        <w:rPr>
          <w:rFonts w:hint="eastAsia"/>
          <w:b/>
          <w:bCs/>
          <w:szCs w:val="21"/>
          <w:lang w:val="en-US" w:eastAsia="zh-CN"/>
        </w:rPr>
        <w:t>上述材料</w:t>
      </w:r>
      <w:r>
        <w:rPr>
          <w:rFonts w:hint="eastAsia"/>
          <w:b/>
          <w:bCs/>
          <w:szCs w:val="21"/>
        </w:rPr>
        <w:t>的复印件或扫描件，并加盖比选申请人公章。</w:t>
      </w:r>
    </w:p>
    <w:p w14:paraId="048A5F82">
      <w:pPr>
        <w:pStyle w:val="3"/>
        <w:spacing w:before="0" w:beforeLines="0" w:after="0" w:afterLines="0"/>
      </w:pPr>
      <w:r>
        <w:rPr>
          <w:rFonts w:hint="eastAsia"/>
        </w:rPr>
        <w:t>三、比选申请文件的相关要求</w:t>
      </w:r>
    </w:p>
    <w:p w14:paraId="486C89E3">
      <w:pPr>
        <w:ind w:firstLine="482"/>
        <w:rPr>
          <w:b/>
          <w:bCs/>
        </w:rPr>
      </w:pPr>
      <w:r>
        <w:rPr>
          <w:b/>
          <w:bCs/>
        </w:rPr>
        <w:t>1、竞标报价说明</w:t>
      </w:r>
    </w:p>
    <w:p w14:paraId="0B54CF6D">
      <w:pPr>
        <w:ind w:firstLine="480"/>
      </w:pPr>
      <w:r>
        <w:t>（1）比选申请人按照比选人提供的</w:t>
      </w:r>
      <w:r>
        <w:rPr>
          <w:rFonts w:hint="eastAsia"/>
        </w:rPr>
        <w:t>工程施工内容</w:t>
      </w:r>
      <w:r>
        <w:t>，以</w:t>
      </w:r>
      <w:r>
        <w:rPr>
          <w:rFonts w:hint="eastAsia"/>
        </w:rPr>
        <w:t>工程施工内容的</w:t>
      </w:r>
      <w:r>
        <w:rPr>
          <w:rFonts w:hint="eastAsia"/>
          <w:lang w:val="en-US" w:eastAsia="zh-CN"/>
        </w:rPr>
        <w:t>单</w:t>
      </w:r>
      <w:r>
        <w:rPr>
          <w:rFonts w:hint="eastAsia"/>
        </w:rPr>
        <w:t>价</w:t>
      </w:r>
      <w:r>
        <w:t>限价为基础填报</w:t>
      </w:r>
      <w:r>
        <w:rPr>
          <w:rFonts w:hint="eastAsia"/>
        </w:rPr>
        <w:t>金额</w:t>
      </w:r>
      <w:r>
        <w:t>。</w:t>
      </w:r>
    </w:p>
    <w:p w14:paraId="4FA8DFCF">
      <w:pPr>
        <w:ind w:firstLine="480"/>
      </w:pPr>
      <w:r>
        <w:rPr>
          <w:color w:val="000000" w:themeColor="text1"/>
          <w14:textFill>
            <w14:solidFill>
              <w14:schemeClr w14:val="tx1"/>
            </w14:solidFill>
          </w14:textFill>
        </w:rPr>
        <w:t>（</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）本项目最高总</w:t>
      </w:r>
      <w:r>
        <w:rPr>
          <w:rFonts w:hint="eastAsia"/>
          <w:color w:val="000000" w:themeColor="text1"/>
          <w14:textFill>
            <w14:solidFill>
              <w14:schemeClr w14:val="tx1"/>
            </w14:solidFill>
          </w14:textFill>
        </w:rPr>
        <w:t>价限</w:t>
      </w:r>
      <w:r>
        <w:rPr>
          <w:color w:val="000000" w:themeColor="text1"/>
          <w14:textFill>
            <w14:solidFill>
              <w14:schemeClr w14:val="tx1"/>
            </w14:solidFill>
          </w14:textFill>
        </w:rPr>
        <w:t>价</w:t>
      </w:r>
      <w:r>
        <w:rPr>
          <w:rFonts w:hint="eastAsia"/>
          <w:color w:val="000000" w:themeColor="text1"/>
          <w14:textFill>
            <w14:solidFill>
              <w14:schemeClr w14:val="tx1"/>
            </w14:solidFill>
          </w14:textFill>
        </w:rPr>
        <w:t>（含税）</w:t>
      </w:r>
      <w:r>
        <w:rPr>
          <w:color w:val="000000" w:themeColor="text1"/>
          <w14:textFill>
            <w14:solidFill>
              <w14:schemeClr w14:val="tx1"/>
            </w14:solidFill>
          </w14:textFill>
        </w:rPr>
        <w:t>为：</w:t>
      </w:r>
      <w:r>
        <w:rPr>
          <w:rFonts w:hint="eastAsia"/>
          <w:b/>
          <w:bCs/>
          <w:color w:val="auto"/>
          <w:highlight w:val="none"/>
          <w:u w:val="single"/>
          <w:lang w:val="en-US" w:eastAsia="zh-CN"/>
        </w:rPr>
        <w:t>516296.06</w:t>
      </w:r>
      <w:r>
        <w:rPr>
          <w:color w:val="auto"/>
          <w:highlight w:val="none"/>
        </w:rPr>
        <w:t>元（</w:t>
      </w:r>
      <w:r>
        <w:rPr>
          <w:b/>
          <w:bCs/>
          <w:color w:val="auto"/>
          <w:highlight w:val="none"/>
        </w:rPr>
        <w:t>大写：</w:t>
      </w:r>
      <w:r>
        <w:rPr>
          <w:rFonts w:hint="eastAsia"/>
          <w:b/>
          <w:bCs/>
          <w:color w:val="auto"/>
          <w:highlight w:val="none"/>
          <w:lang w:val="en-US" w:eastAsia="zh-CN"/>
        </w:rPr>
        <w:t>伍拾壹万陆仟贰佰玖拾陆元零角陆分）</w:t>
      </w:r>
      <w:r>
        <w:t>注：比选申请人的竞标报价均不得超过比选人公布的相应最高限价否则均为无效竞标（如有单价限价，比选申请人所报的单价不能超过单价限价）。</w:t>
      </w:r>
    </w:p>
    <w:p w14:paraId="36B07F67">
      <w:pPr>
        <w:pStyle w:val="4"/>
        <w:numPr>
          <w:ilvl w:val="0"/>
          <w:numId w:val="3"/>
        </w:numPr>
        <w:spacing w:line="360" w:lineRule="auto"/>
        <w:ind w:firstLine="482"/>
      </w:pPr>
      <w:r>
        <w:rPr>
          <w:rFonts w:hint="eastAsia"/>
        </w:rPr>
        <w:t>单价组成说明</w:t>
      </w:r>
    </w:p>
    <w:p w14:paraId="121ED264">
      <w:pPr>
        <w:ind w:firstLine="480"/>
        <w:rPr>
          <w:highlight w:val="none"/>
        </w:rPr>
      </w:pPr>
      <w:r>
        <w:rPr>
          <w:rFonts w:hint="eastAsia"/>
        </w:rPr>
        <w:t>工程施工内容中的总价:含人工费、辅助材料费（不含甲供材料）、机械费、调试费、管理费、利润、风险费等全部</w:t>
      </w:r>
      <w:r>
        <w:rPr>
          <w:rFonts w:hint="eastAsia"/>
          <w:highlight w:val="none"/>
        </w:rPr>
        <w:t>费用</w:t>
      </w:r>
      <w:r>
        <w:rPr>
          <w:rFonts w:hint="eastAsia"/>
          <w:highlight w:val="none"/>
          <w:lang w:val="en-US" w:eastAsia="zh-CN"/>
        </w:rPr>
        <w:t>。</w:t>
      </w:r>
    </w:p>
    <w:p w14:paraId="51C07556">
      <w:pPr>
        <w:pStyle w:val="4"/>
        <w:spacing w:line="360" w:lineRule="auto"/>
        <w:ind w:firstLine="482"/>
      </w:pPr>
      <w:r>
        <w:rPr>
          <w:rFonts w:hint="eastAsia"/>
        </w:rPr>
        <w:t>3</w:t>
      </w:r>
      <w:r>
        <w:t>、本次比选申请文件的组成</w:t>
      </w:r>
    </w:p>
    <w:p w14:paraId="23FDEA4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参照比选申请文件格式</w:t>
      </w:r>
      <w:r>
        <w:rPr>
          <w:color w:val="000000" w:themeColor="text1"/>
          <w14:textFill>
            <w14:solidFill>
              <w14:schemeClr w14:val="tx1"/>
            </w14:solidFill>
          </w14:textFill>
        </w:rPr>
        <w:t>（注：</w:t>
      </w:r>
      <w:r>
        <w:rPr>
          <w:rFonts w:hint="eastAsia" w:cs="Times New Roman"/>
        </w:rPr>
        <w:t>比选申请文件中的</w:t>
      </w:r>
      <w:r>
        <w:rPr>
          <w:rFonts w:cs="Times New Roman"/>
        </w:rPr>
        <w:t>所有文件均须加盖单位公章</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w:t>
      </w:r>
    </w:p>
    <w:p w14:paraId="59D5DAF7">
      <w:pPr>
        <w:pStyle w:val="4"/>
        <w:spacing w:line="360" w:lineRule="auto"/>
        <w:ind w:firstLine="482"/>
      </w:pPr>
      <w:r>
        <w:rPr>
          <w:rFonts w:hint="eastAsia"/>
        </w:rPr>
        <w:t>4</w:t>
      </w:r>
      <w:r>
        <w:t>、比选申请文件的份数及编制要求</w:t>
      </w:r>
    </w:p>
    <w:p w14:paraId="35EAFD97">
      <w:pPr>
        <w:ind w:firstLine="480"/>
      </w:pPr>
      <w:r>
        <w:t>比选申请文件</w:t>
      </w:r>
      <w:r>
        <w:rPr>
          <w:rFonts w:hint="eastAsia"/>
          <w:b/>
          <w:bCs/>
          <w:u w:val="single"/>
        </w:rPr>
        <w:t xml:space="preserve"> </w:t>
      </w:r>
      <w:r>
        <w:rPr>
          <w:b/>
          <w:bCs/>
          <w:u w:val="single"/>
        </w:rPr>
        <w:t>1</w:t>
      </w:r>
      <w:r>
        <w:rPr>
          <w:rFonts w:hint="eastAsia"/>
          <w:b/>
          <w:bCs/>
          <w:u w:val="single"/>
        </w:rPr>
        <w:t xml:space="preserve"> </w:t>
      </w:r>
      <w:r>
        <w:t>份，比选申请文件按竞争性比选文件中规定格式排版。</w:t>
      </w:r>
    </w:p>
    <w:p w14:paraId="0540B92C">
      <w:pPr>
        <w:pStyle w:val="3"/>
        <w:spacing w:before="0" w:beforeLines="0" w:after="0" w:afterLines="0" w:line="360" w:lineRule="auto"/>
      </w:pPr>
      <w:r>
        <w:rPr>
          <w:rFonts w:hint="eastAsia"/>
        </w:rPr>
        <w:t>四、评标办法</w:t>
      </w:r>
    </w:p>
    <w:p w14:paraId="3C621FCF">
      <w:pPr>
        <w:widowControl/>
        <w:spacing w:line="440" w:lineRule="exact"/>
        <w:ind w:firstLine="480"/>
        <w:jc w:val="left"/>
        <w:rPr>
          <w:rFonts w:ascii="宋体" w:cs="宋体"/>
          <w:snapToGrid w:val="0"/>
          <w:color w:val="000000"/>
          <w:kern w:val="0"/>
          <w:lang w:bidi="ar"/>
        </w:rPr>
      </w:pPr>
      <w:r>
        <w:rPr>
          <w:rFonts w:hint="eastAsia" w:ascii="宋体" w:cs="宋体"/>
          <w:snapToGrid w:val="0"/>
          <w:color w:val="000000"/>
          <w:kern w:val="0"/>
          <w:lang w:bidi="ar"/>
        </w:rPr>
        <w:t>本项目采用</w:t>
      </w:r>
      <w:r>
        <w:rPr>
          <w:rFonts w:hint="eastAsia" w:ascii="宋体" w:cs="宋体"/>
          <w:b/>
          <w:bCs/>
          <w:snapToGrid w:val="0"/>
          <w:color w:val="000000"/>
          <w:kern w:val="0"/>
          <w:u w:val="single"/>
          <w:lang w:bidi="ar"/>
        </w:rPr>
        <w:t>经评审的最低价法</w:t>
      </w:r>
      <w:r>
        <w:rPr>
          <w:rFonts w:hint="eastAsia" w:ascii="宋体" w:cs="宋体"/>
          <w:snapToGrid w:val="0"/>
          <w:color w:val="000000"/>
          <w:kern w:val="0"/>
          <w:lang w:bidi="ar"/>
        </w:rPr>
        <w:t>，在满足比选文件要求的前提下，评标委员会报价从</w:t>
      </w:r>
      <w:r>
        <w:rPr>
          <w:rFonts w:hint="eastAsia" w:ascii="宋体" w:cs="宋体"/>
          <w:b/>
          <w:bCs/>
          <w:snapToGrid w:val="0"/>
          <w:color w:val="000000"/>
          <w:kern w:val="0"/>
          <w:lang w:bidi="ar"/>
        </w:rPr>
        <w:t>低到高</w:t>
      </w:r>
      <w:r>
        <w:rPr>
          <w:rFonts w:hint="eastAsia" w:ascii="宋体" w:cs="宋体"/>
          <w:snapToGrid w:val="0"/>
          <w:color w:val="000000"/>
          <w:kern w:val="0"/>
          <w:lang w:bidi="ar"/>
        </w:rPr>
        <w:t xml:space="preserve">的先后顺序推荐中标候选人。若在满足比选文件所有要求前提下，最低报价相同时，进行第二轮报价。请各报价单位结合自身情况及市场行情进行报价。具体评审标准详见下表：        </w:t>
      </w:r>
    </w:p>
    <w:tbl>
      <w:tblPr>
        <w:tblStyle w:val="14"/>
        <w:tblW w:w="4831" w:type="pct"/>
        <w:tblInd w:w="181"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97"/>
        <w:gridCol w:w="1933"/>
        <w:gridCol w:w="2441"/>
        <w:gridCol w:w="4032"/>
      </w:tblGrid>
      <w:tr w14:paraId="1CB8AC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 w:hRule="atLeast"/>
        </w:trPr>
        <w:tc>
          <w:tcPr>
            <w:tcW w:w="1521" w:type="pct"/>
            <w:gridSpan w:val="2"/>
            <w:tcBorders>
              <w:top w:val="single" w:color="auto" w:sz="4" w:space="0"/>
              <w:bottom w:val="single" w:color="auto" w:sz="4" w:space="0"/>
              <w:right w:val="single" w:color="auto" w:sz="4" w:space="0"/>
            </w:tcBorders>
            <w:vAlign w:val="center"/>
          </w:tcPr>
          <w:p w14:paraId="04F4ED15">
            <w:pPr>
              <w:widowControl/>
              <w:spacing w:line="440" w:lineRule="exact"/>
              <w:ind w:firstLine="0" w:firstLineChars="0"/>
              <w:jc w:val="center"/>
              <w:rPr>
                <w:rFonts w:hint="eastAsia" w:ascii="宋体" w:hAnsi="宋体" w:cs="宋体"/>
                <w:snapToGrid w:val="0"/>
                <w:color w:val="000000"/>
                <w:kern w:val="0"/>
                <w:sz w:val="21"/>
                <w:szCs w:val="21"/>
                <w:lang w:bidi="ar"/>
              </w:rPr>
            </w:pPr>
            <w:r>
              <w:rPr>
                <w:rFonts w:hint="eastAsia" w:ascii="宋体" w:hAnsi="宋体" w:cs="宋体"/>
                <w:snapToGrid w:val="0"/>
                <w:color w:val="000000"/>
                <w:kern w:val="0"/>
                <w:sz w:val="21"/>
                <w:szCs w:val="21"/>
                <w:lang w:bidi="ar"/>
              </w:rPr>
              <w:t>条款号</w:t>
            </w:r>
          </w:p>
        </w:tc>
        <w:tc>
          <w:tcPr>
            <w:tcW w:w="1312" w:type="pct"/>
            <w:tcBorders>
              <w:top w:val="single" w:color="auto" w:sz="4" w:space="0"/>
              <w:left w:val="single" w:color="auto" w:sz="4" w:space="0"/>
              <w:bottom w:val="single" w:color="auto" w:sz="4" w:space="0"/>
              <w:right w:val="single" w:color="auto" w:sz="4" w:space="0"/>
            </w:tcBorders>
            <w:vAlign w:val="center"/>
          </w:tcPr>
          <w:p w14:paraId="0DFCF2AA">
            <w:pPr>
              <w:widowControl/>
              <w:spacing w:line="440" w:lineRule="exact"/>
              <w:ind w:firstLine="420"/>
              <w:jc w:val="left"/>
              <w:rPr>
                <w:rFonts w:hint="eastAsia" w:ascii="宋体" w:hAnsi="宋体" w:cs="宋体"/>
                <w:snapToGrid w:val="0"/>
                <w:color w:val="000000"/>
                <w:kern w:val="0"/>
                <w:sz w:val="21"/>
                <w:szCs w:val="21"/>
                <w:lang w:bidi="ar"/>
              </w:rPr>
            </w:pPr>
            <w:r>
              <w:rPr>
                <w:rFonts w:hint="eastAsia" w:ascii="宋体" w:hAnsi="宋体" w:cs="宋体"/>
                <w:snapToGrid w:val="0"/>
                <w:color w:val="000000"/>
                <w:kern w:val="0"/>
                <w:sz w:val="21"/>
                <w:szCs w:val="21"/>
                <w:lang w:bidi="ar"/>
              </w:rPr>
              <w:t>评审因素</w:t>
            </w:r>
          </w:p>
        </w:tc>
        <w:tc>
          <w:tcPr>
            <w:tcW w:w="2165" w:type="pct"/>
            <w:tcBorders>
              <w:top w:val="single" w:color="auto" w:sz="4" w:space="0"/>
              <w:left w:val="single" w:color="auto" w:sz="4" w:space="0"/>
              <w:bottom w:val="single" w:color="auto" w:sz="4" w:space="0"/>
              <w:right w:val="single" w:color="auto" w:sz="4" w:space="0"/>
            </w:tcBorders>
            <w:vAlign w:val="center"/>
          </w:tcPr>
          <w:p w14:paraId="00E2C5C8">
            <w:pPr>
              <w:widowControl/>
              <w:spacing w:line="440" w:lineRule="exact"/>
              <w:ind w:firstLine="0" w:firstLineChars="0"/>
              <w:jc w:val="center"/>
              <w:rPr>
                <w:rFonts w:hint="eastAsia" w:ascii="宋体" w:hAnsi="宋体" w:cs="宋体"/>
                <w:snapToGrid w:val="0"/>
                <w:color w:val="000000"/>
                <w:kern w:val="0"/>
                <w:sz w:val="21"/>
                <w:szCs w:val="21"/>
                <w:lang w:bidi="ar"/>
              </w:rPr>
            </w:pPr>
            <w:r>
              <w:rPr>
                <w:rFonts w:hint="eastAsia" w:ascii="宋体" w:hAnsi="宋体" w:cs="宋体"/>
                <w:snapToGrid w:val="0"/>
                <w:color w:val="000000"/>
                <w:kern w:val="0"/>
                <w:sz w:val="21"/>
                <w:szCs w:val="21"/>
                <w:lang w:bidi="ar"/>
              </w:rPr>
              <w:t>评审标准</w:t>
            </w:r>
          </w:p>
        </w:tc>
      </w:tr>
      <w:tr w14:paraId="1ECB7E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5" w:hRule="atLeast"/>
        </w:trPr>
        <w:tc>
          <w:tcPr>
            <w:tcW w:w="482" w:type="pct"/>
            <w:vMerge w:val="restart"/>
            <w:tcBorders>
              <w:top w:val="single" w:color="auto" w:sz="4" w:space="0"/>
              <w:right w:val="single" w:color="auto" w:sz="4" w:space="0"/>
            </w:tcBorders>
            <w:vAlign w:val="center"/>
          </w:tcPr>
          <w:p w14:paraId="4D54EE79">
            <w:pPr>
              <w:widowControl/>
              <w:spacing w:line="440" w:lineRule="exact"/>
              <w:ind w:firstLine="0" w:firstLineChars="0"/>
              <w:jc w:val="left"/>
              <w:rPr>
                <w:rFonts w:hint="eastAsia" w:ascii="宋体" w:hAnsi="宋体" w:cs="宋体"/>
                <w:snapToGrid w:val="0"/>
                <w:color w:val="000000"/>
                <w:kern w:val="0"/>
                <w:sz w:val="21"/>
                <w:szCs w:val="21"/>
                <w:lang w:bidi="ar"/>
              </w:rPr>
            </w:pPr>
            <w:r>
              <w:rPr>
                <w:rFonts w:hint="eastAsia" w:ascii="宋体" w:hAnsi="宋体" w:cs="宋体"/>
                <w:snapToGrid w:val="0"/>
                <w:color w:val="000000"/>
                <w:kern w:val="0"/>
                <w:sz w:val="21"/>
                <w:szCs w:val="21"/>
                <w:lang w:bidi="ar"/>
              </w:rPr>
              <w:t>1.1.1</w:t>
            </w:r>
          </w:p>
        </w:tc>
        <w:tc>
          <w:tcPr>
            <w:tcW w:w="1038" w:type="pct"/>
            <w:vMerge w:val="restart"/>
            <w:tcBorders>
              <w:top w:val="single" w:color="auto" w:sz="4" w:space="0"/>
              <w:right w:val="single" w:color="auto" w:sz="4" w:space="0"/>
            </w:tcBorders>
            <w:vAlign w:val="center"/>
          </w:tcPr>
          <w:p w14:paraId="32BCA985">
            <w:pPr>
              <w:widowControl/>
              <w:spacing w:line="440" w:lineRule="exact"/>
              <w:ind w:firstLine="0" w:firstLineChars="0"/>
              <w:jc w:val="left"/>
              <w:rPr>
                <w:rFonts w:hint="eastAsia" w:ascii="宋体" w:hAnsi="宋体" w:cs="宋体"/>
                <w:snapToGrid w:val="0"/>
                <w:color w:val="000000"/>
                <w:kern w:val="0"/>
                <w:sz w:val="21"/>
                <w:szCs w:val="21"/>
                <w:lang w:bidi="ar"/>
              </w:rPr>
            </w:pPr>
            <w:r>
              <w:rPr>
                <w:rFonts w:hint="eastAsia" w:ascii="宋体" w:hAnsi="宋体" w:cs="宋体"/>
                <w:snapToGrid w:val="0"/>
                <w:color w:val="000000"/>
                <w:kern w:val="0"/>
                <w:sz w:val="21"/>
                <w:szCs w:val="21"/>
                <w:lang w:bidi="ar"/>
              </w:rPr>
              <w:t>形式评审标准</w:t>
            </w:r>
          </w:p>
        </w:tc>
        <w:tc>
          <w:tcPr>
            <w:tcW w:w="1312" w:type="pct"/>
            <w:tcBorders>
              <w:top w:val="single" w:color="auto" w:sz="4" w:space="0"/>
              <w:left w:val="single" w:color="auto" w:sz="4" w:space="0"/>
              <w:bottom w:val="single" w:color="auto" w:sz="4" w:space="0"/>
              <w:right w:val="single" w:color="auto" w:sz="4" w:space="0"/>
            </w:tcBorders>
            <w:vAlign w:val="center"/>
          </w:tcPr>
          <w:p w14:paraId="66EA37F2">
            <w:pPr>
              <w:widowControl/>
              <w:spacing w:line="440" w:lineRule="exact"/>
              <w:ind w:firstLine="420"/>
              <w:jc w:val="left"/>
              <w:rPr>
                <w:rFonts w:hint="eastAsia" w:ascii="宋体" w:hAnsi="宋体" w:cs="宋体"/>
                <w:snapToGrid w:val="0"/>
                <w:color w:val="000000"/>
                <w:kern w:val="0"/>
                <w:sz w:val="21"/>
                <w:szCs w:val="21"/>
                <w:lang w:bidi="ar"/>
              </w:rPr>
            </w:pPr>
            <w:r>
              <w:rPr>
                <w:rFonts w:hint="eastAsia" w:ascii="宋体" w:hAnsi="宋体" w:cs="宋体"/>
                <w:snapToGrid w:val="0"/>
                <w:color w:val="000000"/>
                <w:kern w:val="0"/>
                <w:sz w:val="21"/>
                <w:szCs w:val="21"/>
                <w:lang w:bidi="ar"/>
              </w:rPr>
              <w:t>比选申请人名称</w:t>
            </w:r>
          </w:p>
        </w:tc>
        <w:tc>
          <w:tcPr>
            <w:tcW w:w="2165" w:type="pct"/>
            <w:tcBorders>
              <w:top w:val="single" w:color="auto" w:sz="4" w:space="0"/>
              <w:left w:val="single" w:color="auto" w:sz="4" w:space="0"/>
              <w:bottom w:val="single" w:color="auto" w:sz="4" w:space="0"/>
              <w:right w:val="single" w:color="auto" w:sz="4" w:space="0"/>
            </w:tcBorders>
            <w:vAlign w:val="center"/>
          </w:tcPr>
          <w:p w14:paraId="43F01E5B">
            <w:pPr>
              <w:widowControl/>
              <w:spacing w:line="440" w:lineRule="exact"/>
              <w:ind w:firstLine="0" w:firstLineChars="0"/>
              <w:jc w:val="center"/>
              <w:rPr>
                <w:rFonts w:hint="eastAsia" w:ascii="宋体" w:hAnsi="宋体" w:cs="宋体"/>
                <w:snapToGrid w:val="0"/>
                <w:color w:val="000000"/>
                <w:kern w:val="0"/>
                <w:sz w:val="21"/>
                <w:szCs w:val="21"/>
                <w:lang w:bidi="ar"/>
              </w:rPr>
            </w:pPr>
            <w:r>
              <w:rPr>
                <w:rFonts w:hint="eastAsia" w:ascii="宋体" w:hAnsi="宋体" w:cs="宋体"/>
                <w:snapToGrid w:val="0"/>
                <w:color w:val="000000"/>
                <w:kern w:val="0"/>
                <w:sz w:val="21"/>
                <w:szCs w:val="21"/>
                <w:lang w:bidi="ar"/>
              </w:rPr>
              <w:t>与营业执照一致</w:t>
            </w:r>
          </w:p>
        </w:tc>
      </w:tr>
      <w:tr w14:paraId="2C6870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5" w:hRule="atLeast"/>
        </w:trPr>
        <w:tc>
          <w:tcPr>
            <w:tcW w:w="482" w:type="pct"/>
            <w:vMerge w:val="continue"/>
            <w:tcBorders>
              <w:right w:val="single" w:color="auto" w:sz="4" w:space="0"/>
            </w:tcBorders>
            <w:vAlign w:val="center"/>
          </w:tcPr>
          <w:p w14:paraId="21009FD5">
            <w:pPr>
              <w:widowControl/>
              <w:spacing w:line="440" w:lineRule="exact"/>
              <w:ind w:firstLine="0" w:firstLineChars="0"/>
              <w:jc w:val="left"/>
              <w:rPr>
                <w:rFonts w:hint="eastAsia" w:ascii="宋体" w:hAnsi="宋体" w:cs="宋体"/>
                <w:snapToGrid w:val="0"/>
                <w:color w:val="000000"/>
                <w:kern w:val="0"/>
                <w:sz w:val="21"/>
                <w:szCs w:val="21"/>
                <w:lang w:bidi="ar"/>
              </w:rPr>
            </w:pPr>
          </w:p>
        </w:tc>
        <w:tc>
          <w:tcPr>
            <w:tcW w:w="1038" w:type="pct"/>
            <w:vMerge w:val="continue"/>
            <w:tcBorders>
              <w:right w:val="single" w:color="auto" w:sz="4" w:space="0"/>
            </w:tcBorders>
            <w:vAlign w:val="center"/>
          </w:tcPr>
          <w:p w14:paraId="1DCE24F6">
            <w:pPr>
              <w:widowControl/>
              <w:spacing w:line="440" w:lineRule="exact"/>
              <w:ind w:firstLine="0" w:firstLineChars="0"/>
              <w:jc w:val="left"/>
              <w:rPr>
                <w:rFonts w:hint="eastAsia" w:ascii="宋体" w:hAnsi="宋体" w:cs="宋体"/>
                <w:snapToGrid w:val="0"/>
                <w:color w:val="000000"/>
                <w:kern w:val="0"/>
                <w:sz w:val="21"/>
                <w:szCs w:val="21"/>
                <w:lang w:bidi="ar"/>
              </w:rPr>
            </w:pPr>
          </w:p>
        </w:tc>
        <w:tc>
          <w:tcPr>
            <w:tcW w:w="1312" w:type="pct"/>
            <w:tcBorders>
              <w:top w:val="single" w:color="auto" w:sz="4" w:space="0"/>
              <w:left w:val="single" w:color="auto" w:sz="4" w:space="0"/>
              <w:bottom w:val="single" w:color="auto" w:sz="4" w:space="0"/>
              <w:right w:val="single" w:color="auto" w:sz="4" w:space="0"/>
            </w:tcBorders>
            <w:vAlign w:val="center"/>
          </w:tcPr>
          <w:p w14:paraId="4CAD018C">
            <w:pPr>
              <w:widowControl/>
              <w:spacing w:line="440" w:lineRule="exact"/>
              <w:ind w:firstLine="210" w:firstLineChars="100"/>
              <w:jc w:val="left"/>
              <w:rPr>
                <w:rFonts w:hint="default" w:ascii="宋体" w:hAnsi="宋体" w:eastAsia="宋体" w:cs="宋体"/>
                <w:snapToGrid w:val="0"/>
                <w:color w:val="000000"/>
                <w:kern w:val="0"/>
                <w:sz w:val="21"/>
                <w:szCs w:val="21"/>
                <w:lang w:val="en-US" w:eastAsia="zh-CN" w:bidi="ar"/>
              </w:rPr>
            </w:pPr>
            <w:r>
              <w:rPr>
                <w:rFonts w:hint="eastAsia" w:ascii="宋体" w:hAnsi="宋体" w:cs="宋体"/>
                <w:snapToGrid w:val="0"/>
                <w:color w:val="000000"/>
                <w:kern w:val="0"/>
                <w:sz w:val="21"/>
                <w:szCs w:val="21"/>
                <w:lang w:bidi="ar"/>
              </w:rPr>
              <w:t>比选申请文件的签署</w:t>
            </w:r>
            <w:r>
              <w:rPr>
                <w:rFonts w:hint="eastAsia" w:ascii="宋体" w:hAnsi="宋体" w:cs="宋体"/>
                <w:snapToGrid w:val="0"/>
                <w:color w:val="000000"/>
                <w:kern w:val="0"/>
                <w:sz w:val="21"/>
                <w:szCs w:val="21"/>
                <w:lang w:eastAsia="zh-CN" w:bidi="ar"/>
              </w:rPr>
              <w:t>、</w:t>
            </w:r>
            <w:r>
              <w:rPr>
                <w:rFonts w:hint="eastAsia" w:ascii="宋体" w:hAnsi="宋体" w:cs="宋体"/>
                <w:snapToGrid w:val="0"/>
                <w:color w:val="000000"/>
                <w:kern w:val="0"/>
                <w:sz w:val="21"/>
                <w:szCs w:val="21"/>
                <w:lang w:val="en-US" w:eastAsia="zh-CN" w:bidi="ar"/>
              </w:rPr>
              <w:t>盖章</w:t>
            </w:r>
          </w:p>
        </w:tc>
        <w:tc>
          <w:tcPr>
            <w:tcW w:w="2165" w:type="pct"/>
            <w:tcBorders>
              <w:top w:val="single" w:color="auto" w:sz="4" w:space="0"/>
              <w:left w:val="single" w:color="auto" w:sz="4" w:space="0"/>
              <w:bottom w:val="single" w:color="auto" w:sz="4" w:space="0"/>
              <w:right w:val="single" w:color="auto" w:sz="4" w:space="0"/>
            </w:tcBorders>
            <w:vAlign w:val="center"/>
          </w:tcPr>
          <w:p w14:paraId="3ADF1A75">
            <w:pPr>
              <w:widowControl/>
              <w:autoSpaceDE w:val="0"/>
              <w:autoSpaceDN w:val="0"/>
              <w:adjustRightInd w:val="0"/>
              <w:spacing w:line="440" w:lineRule="exact"/>
              <w:ind w:firstLine="0" w:firstLineChars="0"/>
              <w:jc w:val="left"/>
              <w:rPr>
                <w:rFonts w:hint="eastAsia" w:ascii="宋体" w:hAnsi="宋体" w:cs="宋体"/>
                <w:snapToGrid w:val="0"/>
                <w:color w:val="000000"/>
                <w:kern w:val="0"/>
                <w:sz w:val="21"/>
                <w:szCs w:val="21"/>
                <w:lang w:bidi="ar"/>
              </w:rPr>
            </w:pPr>
            <w:r>
              <w:rPr>
                <w:rFonts w:hint="eastAsia" w:ascii="宋体" w:hAnsi="宋体" w:cs="宋体"/>
                <w:snapToGrid w:val="0"/>
                <w:color w:val="000000"/>
                <w:kern w:val="0"/>
                <w:sz w:val="21"/>
                <w:szCs w:val="21"/>
                <w:lang w:bidi="ar"/>
              </w:rPr>
              <w:t>比选申请文件</w:t>
            </w:r>
            <w:r>
              <w:rPr>
                <w:rFonts w:hint="eastAsia" w:ascii="宋体" w:hAnsi="宋体"/>
                <w:kern w:val="0"/>
                <w:sz w:val="21"/>
                <w:szCs w:val="21"/>
              </w:rPr>
              <w:t>格式规定的</w:t>
            </w:r>
            <w:r>
              <w:rPr>
                <w:rFonts w:hint="eastAsia" w:ascii="宋体" w:cs="宋体"/>
                <w:sz w:val="21"/>
                <w:szCs w:val="21"/>
              </w:rPr>
              <w:t>签字</w:t>
            </w:r>
            <w:r>
              <w:rPr>
                <w:rFonts w:hint="eastAsia" w:ascii="宋体" w:cs="宋体"/>
                <w:sz w:val="21"/>
                <w:szCs w:val="21"/>
                <w:lang w:eastAsia="zh-CN"/>
              </w:rPr>
              <w:t>、</w:t>
            </w:r>
            <w:r>
              <w:rPr>
                <w:rFonts w:hint="eastAsia" w:ascii="宋体" w:cs="宋体"/>
                <w:sz w:val="21"/>
                <w:szCs w:val="21"/>
              </w:rPr>
              <w:t>盖章的地方须齐全。</w:t>
            </w:r>
          </w:p>
        </w:tc>
      </w:tr>
      <w:tr w14:paraId="1CD368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5" w:hRule="atLeast"/>
        </w:trPr>
        <w:tc>
          <w:tcPr>
            <w:tcW w:w="482" w:type="pct"/>
            <w:vMerge w:val="continue"/>
            <w:tcBorders>
              <w:right w:val="single" w:color="auto" w:sz="4" w:space="0"/>
            </w:tcBorders>
            <w:vAlign w:val="center"/>
          </w:tcPr>
          <w:p w14:paraId="550FF8F1">
            <w:pPr>
              <w:widowControl/>
              <w:spacing w:line="440" w:lineRule="exact"/>
              <w:ind w:firstLine="0" w:firstLineChars="0"/>
              <w:jc w:val="left"/>
              <w:rPr>
                <w:rFonts w:hint="eastAsia" w:ascii="宋体" w:hAnsi="宋体" w:cs="宋体"/>
                <w:snapToGrid w:val="0"/>
                <w:color w:val="000000"/>
                <w:kern w:val="0"/>
                <w:sz w:val="21"/>
                <w:szCs w:val="21"/>
                <w:lang w:bidi="ar"/>
              </w:rPr>
            </w:pPr>
          </w:p>
        </w:tc>
        <w:tc>
          <w:tcPr>
            <w:tcW w:w="1038" w:type="pct"/>
            <w:vMerge w:val="continue"/>
            <w:tcBorders>
              <w:right w:val="single" w:color="auto" w:sz="4" w:space="0"/>
            </w:tcBorders>
            <w:vAlign w:val="center"/>
          </w:tcPr>
          <w:p w14:paraId="3F920F9F">
            <w:pPr>
              <w:widowControl/>
              <w:spacing w:line="440" w:lineRule="exact"/>
              <w:ind w:firstLine="0" w:firstLineChars="0"/>
              <w:jc w:val="left"/>
              <w:rPr>
                <w:rFonts w:hint="eastAsia" w:ascii="宋体" w:hAnsi="宋体" w:cs="宋体"/>
                <w:snapToGrid w:val="0"/>
                <w:color w:val="000000"/>
                <w:kern w:val="0"/>
                <w:sz w:val="21"/>
                <w:szCs w:val="21"/>
                <w:lang w:bidi="ar"/>
              </w:rPr>
            </w:pPr>
          </w:p>
        </w:tc>
        <w:tc>
          <w:tcPr>
            <w:tcW w:w="1312" w:type="pct"/>
            <w:tcBorders>
              <w:top w:val="single" w:color="auto" w:sz="4" w:space="0"/>
              <w:left w:val="single" w:color="auto" w:sz="4" w:space="0"/>
              <w:bottom w:val="single" w:color="auto" w:sz="4" w:space="0"/>
              <w:right w:val="single" w:color="auto" w:sz="4" w:space="0"/>
            </w:tcBorders>
            <w:vAlign w:val="center"/>
          </w:tcPr>
          <w:p w14:paraId="03A336CC">
            <w:pPr>
              <w:widowControl/>
              <w:spacing w:line="440" w:lineRule="exact"/>
              <w:ind w:firstLine="420"/>
              <w:jc w:val="left"/>
              <w:rPr>
                <w:rFonts w:hint="eastAsia" w:ascii="宋体" w:hAnsi="宋体" w:cs="宋体"/>
                <w:snapToGrid w:val="0"/>
                <w:color w:val="000000"/>
                <w:kern w:val="0"/>
                <w:sz w:val="21"/>
                <w:szCs w:val="21"/>
                <w:lang w:bidi="ar"/>
              </w:rPr>
            </w:pPr>
            <w:r>
              <w:rPr>
                <w:rFonts w:hint="eastAsia" w:ascii="宋体" w:hAnsi="宋体" w:cs="宋体"/>
                <w:snapToGrid w:val="0"/>
                <w:color w:val="000000"/>
                <w:kern w:val="0"/>
                <w:sz w:val="21"/>
                <w:szCs w:val="21"/>
                <w:lang w:bidi="ar"/>
              </w:rPr>
              <w:t>报价唯一</w:t>
            </w:r>
          </w:p>
        </w:tc>
        <w:tc>
          <w:tcPr>
            <w:tcW w:w="2165" w:type="pct"/>
            <w:tcBorders>
              <w:top w:val="single" w:color="auto" w:sz="4" w:space="0"/>
              <w:left w:val="single" w:color="auto" w:sz="4" w:space="0"/>
              <w:bottom w:val="single" w:color="auto" w:sz="4" w:space="0"/>
              <w:right w:val="single" w:color="auto" w:sz="4" w:space="0"/>
            </w:tcBorders>
            <w:vAlign w:val="center"/>
          </w:tcPr>
          <w:p w14:paraId="51B0F01F">
            <w:pPr>
              <w:widowControl/>
              <w:spacing w:line="440" w:lineRule="exact"/>
              <w:ind w:firstLine="420"/>
              <w:rPr>
                <w:rFonts w:hint="eastAsia" w:ascii="宋体" w:hAnsi="宋体" w:cs="宋体"/>
                <w:snapToGrid w:val="0"/>
                <w:color w:val="000000"/>
                <w:kern w:val="0"/>
                <w:sz w:val="21"/>
                <w:szCs w:val="21"/>
                <w:lang w:bidi="ar"/>
              </w:rPr>
            </w:pPr>
            <w:r>
              <w:rPr>
                <w:rFonts w:hint="eastAsia" w:ascii="宋体" w:hAnsi="宋体" w:cs="宋体"/>
                <w:snapToGrid w:val="0"/>
                <w:color w:val="000000"/>
                <w:kern w:val="0"/>
                <w:sz w:val="21"/>
                <w:szCs w:val="21"/>
                <w:lang w:bidi="ar"/>
              </w:rPr>
              <w:t>只能有一个有效报价。</w:t>
            </w:r>
          </w:p>
        </w:tc>
      </w:tr>
      <w:tr w14:paraId="144832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trPr>
        <w:tc>
          <w:tcPr>
            <w:tcW w:w="482" w:type="pct"/>
            <w:vMerge w:val="restart"/>
            <w:tcBorders>
              <w:top w:val="single" w:color="auto" w:sz="4" w:space="0"/>
              <w:right w:val="single" w:color="auto" w:sz="4" w:space="0"/>
            </w:tcBorders>
            <w:vAlign w:val="center"/>
          </w:tcPr>
          <w:p w14:paraId="526976F7">
            <w:pPr>
              <w:widowControl/>
              <w:spacing w:line="440" w:lineRule="exact"/>
              <w:ind w:firstLine="0" w:firstLineChars="0"/>
              <w:jc w:val="left"/>
              <w:rPr>
                <w:rFonts w:hint="eastAsia" w:ascii="宋体" w:hAnsi="宋体" w:cs="宋体"/>
                <w:snapToGrid w:val="0"/>
                <w:color w:val="000000"/>
                <w:kern w:val="0"/>
                <w:sz w:val="21"/>
                <w:szCs w:val="21"/>
                <w:lang w:bidi="ar"/>
              </w:rPr>
            </w:pPr>
            <w:r>
              <w:rPr>
                <w:rFonts w:hint="eastAsia" w:ascii="宋体" w:hAnsi="宋体" w:cs="宋体"/>
                <w:snapToGrid w:val="0"/>
                <w:color w:val="000000"/>
                <w:kern w:val="0"/>
                <w:sz w:val="21"/>
                <w:szCs w:val="21"/>
                <w:lang w:bidi="ar"/>
              </w:rPr>
              <w:t>1.1.2</w:t>
            </w:r>
          </w:p>
        </w:tc>
        <w:tc>
          <w:tcPr>
            <w:tcW w:w="1038" w:type="pct"/>
            <w:vMerge w:val="restart"/>
            <w:tcBorders>
              <w:top w:val="single" w:color="auto" w:sz="4" w:space="0"/>
              <w:right w:val="single" w:color="auto" w:sz="4" w:space="0"/>
            </w:tcBorders>
            <w:vAlign w:val="center"/>
          </w:tcPr>
          <w:p w14:paraId="2E67BA65">
            <w:pPr>
              <w:widowControl/>
              <w:spacing w:line="440" w:lineRule="exact"/>
              <w:ind w:firstLine="0" w:firstLineChars="0"/>
              <w:jc w:val="left"/>
              <w:rPr>
                <w:rFonts w:hint="eastAsia" w:ascii="宋体" w:hAnsi="宋体" w:cs="宋体"/>
                <w:snapToGrid w:val="0"/>
                <w:color w:val="000000"/>
                <w:kern w:val="0"/>
                <w:sz w:val="21"/>
                <w:szCs w:val="21"/>
                <w:lang w:bidi="ar"/>
              </w:rPr>
            </w:pPr>
            <w:r>
              <w:rPr>
                <w:rFonts w:hint="eastAsia" w:ascii="宋体" w:hAnsi="宋体" w:cs="宋体"/>
                <w:snapToGrid w:val="0"/>
                <w:color w:val="000000"/>
                <w:kern w:val="0"/>
                <w:sz w:val="21"/>
                <w:szCs w:val="21"/>
                <w:lang w:bidi="ar"/>
              </w:rPr>
              <w:t>资格评审标准</w:t>
            </w:r>
          </w:p>
        </w:tc>
        <w:tc>
          <w:tcPr>
            <w:tcW w:w="1312" w:type="pct"/>
            <w:tcBorders>
              <w:top w:val="single" w:color="auto" w:sz="4" w:space="0"/>
              <w:left w:val="single" w:color="auto" w:sz="4" w:space="0"/>
              <w:bottom w:val="single" w:color="auto" w:sz="4" w:space="0"/>
              <w:right w:val="single" w:color="auto" w:sz="4" w:space="0"/>
            </w:tcBorders>
            <w:vAlign w:val="center"/>
          </w:tcPr>
          <w:p w14:paraId="663D562E">
            <w:pPr>
              <w:widowControl/>
              <w:spacing w:line="440" w:lineRule="exact"/>
              <w:ind w:left="0" w:leftChars="0" w:firstLine="0" w:firstLineChars="0"/>
              <w:jc w:val="left"/>
              <w:rPr>
                <w:rFonts w:hint="default" w:ascii="宋体" w:hAnsi="宋体" w:eastAsia="宋体" w:cs="宋体"/>
                <w:snapToGrid w:val="0"/>
                <w:color w:val="000000"/>
                <w:kern w:val="0"/>
                <w:sz w:val="21"/>
                <w:szCs w:val="21"/>
                <w:lang w:val="en-US" w:eastAsia="zh-CN" w:bidi="ar"/>
              </w:rPr>
            </w:pPr>
            <w:r>
              <w:rPr>
                <w:rFonts w:hint="eastAsia" w:ascii="宋体" w:hAnsi="宋体" w:cs="宋体"/>
                <w:snapToGrid w:val="0"/>
                <w:color w:val="000000"/>
                <w:kern w:val="0"/>
                <w:sz w:val="21"/>
                <w:szCs w:val="21"/>
                <w:lang w:bidi="ar"/>
              </w:rPr>
              <w:t>营业执照</w:t>
            </w:r>
            <w:r>
              <w:rPr>
                <w:rFonts w:hint="eastAsia" w:ascii="宋体" w:hAnsi="宋体" w:cs="宋体"/>
                <w:snapToGrid w:val="0"/>
                <w:color w:val="000000"/>
                <w:kern w:val="0"/>
                <w:sz w:val="21"/>
                <w:szCs w:val="21"/>
                <w:lang w:eastAsia="zh-CN" w:bidi="ar"/>
              </w:rPr>
              <w:t>、</w:t>
            </w:r>
            <w:r>
              <w:rPr>
                <w:rFonts w:hint="eastAsia" w:ascii="宋体" w:hAnsi="宋体" w:cs="宋体"/>
                <w:snapToGrid w:val="0"/>
                <w:color w:val="000000"/>
                <w:kern w:val="0"/>
                <w:sz w:val="21"/>
                <w:szCs w:val="21"/>
                <w:lang w:val="en-US" w:eastAsia="zh-CN" w:bidi="ar"/>
              </w:rPr>
              <w:t>安全许可证</w:t>
            </w:r>
          </w:p>
        </w:tc>
        <w:tc>
          <w:tcPr>
            <w:tcW w:w="2165" w:type="pct"/>
            <w:tcBorders>
              <w:top w:val="single" w:color="auto" w:sz="4" w:space="0"/>
              <w:left w:val="single" w:color="auto" w:sz="4" w:space="0"/>
              <w:bottom w:val="single" w:color="auto" w:sz="4" w:space="0"/>
              <w:right w:val="single" w:color="auto" w:sz="4" w:space="0"/>
            </w:tcBorders>
            <w:vAlign w:val="center"/>
          </w:tcPr>
          <w:p w14:paraId="6719E0B5">
            <w:pPr>
              <w:widowControl/>
              <w:spacing w:line="440" w:lineRule="exact"/>
              <w:ind w:firstLine="420"/>
              <w:jc w:val="left"/>
              <w:rPr>
                <w:rFonts w:hint="eastAsia" w:ascii="宋体" w:hAnsi="宋体" w:cs="宋体"/>
                <w:snapToGrid w:val="0"/>
                <w:color w:val="000000"/>
                <w:kern w:val="0"/>
                <w:sz w:val="21"/>
                <w:szCs w:val="21"/>
                <w:lang w:bidi="ar"/>
              </w:rPr>
            </w:pPr>
            <w:r>
              <w:rPr>
                <w:rFonts w:hint="eastAsia" w:ascii="宋体" w:hAnsi="宋体" w:cs="宋体"/>
                <w:snapToGrid w:val="0"/>
                <w:color w:val="000000"/>
                <w:kern w:val="0"/>
                <w:sz w:val="21"/>
                <w:szCs w:val="21"/>
                <w:lang w:bidi="ar"/>
              </w:rPr>
              <w:t>符合比选文件规定</w:t>
            </w:r>
          </w:p>
        </w:tc>
      </w:tr>
      <w:tr w14:paraId="42E20D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trPr>
        <w:tc>
          <w:tcPr>
            <w:tcW w:w="482" w:type="pct"/>
            <w:vMerge w:val="continue"/>
            <w:tcBorders>
              <w:right w:val="single" w:color="auto" w:sz="4" w:space="0"/>
            </w:tcBorders>
            <w:vAlign w:val="center"/>
          </w:tcPr>
          <w:p w14:paraId="1DD1045D">
            <w:pPr>
              <w:widowControl/>
              <w:spacing w:line="440" w:lineRule="exact"/>
              <w:ind w:firstLine="420"/>
              <w:jc w:val="left"/>
              <w:rPr>
                <w:rFonts w:hint="eastAsia" w:ascii="宋体" w:hAnsi="宋体" w:cs="宋体"/>
                <w:snapToGrid w:val="0"/>
                <w:color w:val="000000"/>
                <w:kern w:val="0"/>
                <w:sz w:val="21"/>
                <w:szCs w:val="21"/>
                <w:lang w:bidi="ar"/>
              </w:rPr>
            </w:pPr>
          </w:p>
        </w:tc>
        <w:tc>
          <w:tcPr>
            <w:tcW w:w="1038" w:type="pct"/>
            <w:vMerge w:val="continue"/>
            <w:tcBorders>
              <w:right w:val="single" w:color="auto" w:sz="4" w:space="0"/>
            </w:tcBorders>
            <w:vAlign w:val="center"/>
          </w:tcPr>
          <w:p w14:paraId="6B49EA67">
            <w:pPr>
              <w:widowControl/>
              <w:spacing w:line="440" w:lineRule="exact"/>
              <w:ind w:firstLine="420"/>
              <w:jc w:val="left"/>
              <w:rPr>
                <w:rFonts w:hint="eastAsia" w:ascii="宋体" w:hAnsi="宋体" w:cs="宋体"/>
                <w:snapToGrid w:val="0"/>
                <w:color w:val="000000"/>
                <w:kern w:val="0"/>
                <w:sz w:val="21"/>
                <w:szCs w:val="21"/>
                <w:lang w:bidi="ar"/>
              </w:rPr>
            </w:pPr>
          </w:p>
        </w:tc>
        <w:tc>
          <w:tcPr>
            <w:tcW w:w="1312" w:type="pct"/>
            <w:tcBorders>
              <w:top w:val="single" w:color="auto" w:sz="4" w:space="0"/>
              <w:left w:val="single" w:color="auto" w:sz="4" w:space="0"/>
              <w:bottom w:val="single" w:color="auto" w:sz="4" w:space="0"/>
              <w:right w:val="single" w:color="auto" w:sz="4" w:space="0"/>
            </w:tcBorders>
            <w:vAlign w:val="center"/>
          </w:tcPr>
          <w:p w14:paraId="64383171">
            <w:pPr>
              <w:widowControl/>
              <w:spacing w:line="440" w:lineRule="exact"/>
              <w:ind w:firstLine="420"/>
              <w:jc w:val="left"/>
              <w:rPr>
                <w:rFonts w:hint="eastAsia" w:ascii="宋体" w:hAnsi="宋体" w:cs="宋体"/>
                <w:snapToGrid w:val="0"/>
                <w:color w:val="000000"/>
                <w:kern w:val="0"/>
                <w:sz w:val="21"/>
                <w:szCs w:val="21"/>
                <w:lang w:bidi="ar"/>
              </w:rPr>
            </w:pPr>
            <w:r>
              <w:rPr>
                <w:rFonts w:hint="eastAsia" w:ascii="宋体" w:hAnsi="宋体" w:cs="宋体"/>
                <w:snapToGrid w:val="0"/>
                <w:color w:val="000000"/>
                <w:kern w:val="0"/>
                <w:sz w:val="21"/>
                <w:szCs w:val="21"/>
                <w:lang w:bidi="ar"/>
              </w:rPr>
              <w:t>基本账户</w:t>
            </w:r>
          </w:p>
        </w:tc>
        <w:tc>
          <w:tcPr>
            <w:tcW w:w="2165" w:type="pct"/>
            <w:tcBorders>
              <w:top w:val="single" w:color="auto" w:sz="4" w:space="0"/>
              <w:left w:val="single" w:color="auto" w:sz="4" w:space="0"/>
              <w:bottom w:val="single" w:color="auto" w:sz="4" w:space="0"/>
              <w:right w:val="single" w:color="auto" w:sz="4" w:space="0"/>
            </w:tcBorders>
            <w:vAlign w:val="center"/>
          </w:tcPr>
          <w:p w14:paraId="262ACA8A">
            <w:pPr>
              <w:widowControl/>
              <w:spacing w:line="440" w:lineRule="exact"/>
              <w:ind w:firstLine="420"/>
              <w:jc w:val="left"/>
              <w:rPr>
                <w:rFonts w:hint="eastAsia" w:ascii="宋体" w:hAnsi="宋体" w:cs="宋体"/>
                <w:snapToGrid w:val="0"/>
                <w:color w:val="000000"/>
                <w:kern w:val="0"/>
                <w:sz w:val="21"/>
                <w:szCs w:val="21"/>
                <w:lang w:bidi="ar"/>
              </w:rPr>
            </w:pPr>
            <w:r>
              <w:rPr>
                <w:rFonts w:hint="eastAsia" w:ascii="宋体" w:hAnsi="宋体" w:cs="宋体"/>
                <w:snapToGrid w:val="0"/>
                <w:color w:val="000000"/>
                <w:kern w:val="0"/>
                <w:sz w:val="21"/>
                <w:szCs w:val="21"/>
                <w:lang w:bidi="ar"/>
              </w:rPr>
              <w:t>符合比选文件规定</w:t>
            </w:r>
          </w:p>
        </w:tc>
      </w:tr>
      <w:tr w14:paraId="2B36CD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trPr>
        <w:tc>
          <w:tcPr>
            <w:tcW w:w="482" w:type="pct"/>
            <w:vMerge w:val="continue"/>
            <w:tcBorders>
              <w:right w:val="single" w:color="auto" w:sz="4" w:space="0"/>
            </w:tcBorders>
            <w:vAlign w:val="center"/>
          </w:tcPr>
          <w:p w14:paraId="6B7953CC">
            <w:pPr>
              <w:widowControl/>
              <w:spacing w:line="440" w:lineRule="exact"/>
              <w:ind w:firstLine="420"/>
              <w:jc w:val="left"/>
              <w:rPr>
                <w:rFonts w:hint="eastAsia" w:ascii="宋体" w:hAnsi="宋体" w:cs="宋体"/>
                <w:snapToGrid w:val="0"/>
                <w:color w:val="000000"/>
                <w:kern w:val="0"/>
                <w:sz w:val="21"/>
                <w:szCs w:val="21"/>
                <w:lang w:bidi="ar"/>
              </w:rPr>
            </w:pPr>
          </w:p>
        </w:tc>
        <w:tc>
          <w:tcPr>
            <w:tcW w:w="1038" w:type="pct"/>
            <w:vMerge w:val="continue"/>
            <w:tcBorders>
              <w:right w:val="single" w:color="auto" w:sz="4" w:space="0"/>
            </w:tcBorders>
            <w:vAlign w:val="center"/>
          </w:tcPr>
          <w:p w14:paraId="374E9E5C">
            <w:pPr>
              <w:widowControl/>
              <w:spacing w:line="440" w:lineRule="exact"/>
              <w:ind w:firstLine="420"/>
              <w:jc w:val="left"/>
              <w:rPr>
                <w:rFonts w:hint="eastAsia" w:ascii="宋体" w:hAnsi="宋体" w:cs="宋体"/>
                <w:snapToGrid w:val="0"/>
                <w:color w:val="000000"/>
                <w:kern w:val="0"/>
                <w:sz w:val="21"/>
                <w:szCs w:val="21"/>
                <w:lang w:bidi="ar"/>
              </w:rPr>
            </w:pPr>
          </w:p>
        </w:tc>
        <w:tc>
          <w:tcPr>
            <w:tcW w:w="1312" w:type="pct"/>
            <w:tcBorders>
              <w:top w:val="single" w:color="auto" w:sz="4" w:space="0"/>
              <w:left w:val="single" w:color="auto" w:sz="4" w:space="0"/>
              <w:bottom w:val="single" w:color="auto" w:sz="4" w:space="0"/>
              <w:right w:val="single" w:color="auto" w:sz="4" w:space="0"/>
            </w:tcBorders>
            <w:vAlign w:val="center"/>
          </w:tcPr>
          <w:p w14:paraId="6CBD31FF">
            <w:pPr>
              <w:widowControl/>
              <w:spacing w:line="440" w:lineRule="exact"/>
              <w:ind w:left="0" w:leftChars="0" w:firstLine="0" w:firstLineChars="0"/>
              <w:jc w:val="left"/>
              <w:rPr>
                <w:rFonts w:hint="default" w:ascii="宋体" w:hAnsi="宋体" w:eastAsia="宋体" w:cs="宋体"/>
                <w:snapToGrid w:val="0"/>
                <w:color w:val="000000"/>
                <w:kern w:val="0"/>
                <w:sz w:val="21"/>
                <w:szCs w:val="21"/>
                <w:lang w:val="en-US" w:eastAsia="zh-CN" w:bidi="ar"/>
              </w:rPr>
            </w:pPr>
            <w:r>
              <w:rPr>
                <w:rFonts w:hint="eastAsia" w:ascii="宋体" w:hAnsi="宋体" w:cs="宋体"/>
                <w:snapToGrid w:val="0"/>
                <w:color w:val="000000"/>
                <w:kern w:val="0"/>
                <w:sz w:val="21"/>
                <w:szCs w:val="21"/>
                <w:lang w:bidi="ar"/>
              </w:rPr>
              <w:t>资质要求</w:t>
            </w:r>
            <w:r>
              <w:rPr>
                <w:rFonts w:hint="eastAsia" w:ascii="宋体" w:hAnsi="宋体" w:cs="宋体"/>
                <w:snapToGrid w:val="0"/>
                <w:color w:val="000000"/>
                <w:kern w:val="0"/>
                <w:sz w:val="21"/>
                <w:szCs w:val="21"/>
                <w:lang w:eastAsia="zh-CN" w:bidi="ar"/>
              </w:rPr>
              <w:t>、</w:t>
            </w:r>
            <w:r>
              <w:rPr>
                <w:rFonts w:hint="eastAsia" w:ascii="宋体" w:hAnsi="宋体" w:cs="宋体"/>
                <w:snapToGrid w:val="0"/>
                <w:color w:val="000000"/>
                <w:kern w:val="0"/>
                <w:sz w:val="21"/>
                <w:szCs w:val="21"/>
                <w:lang w:val="en-US" w:eastAsia="zh-CN" w:bidi="ar"/>
              </w:rPr>
              <w:t>业绩要求</w:t>
            </w:r>
          </w:p>
        </w:tc>
        <w:tc>
          <w:tcPr>
            <w:tcW w:w="2165" w:type="pct"/>
            <w:tcBorders>
              <w:top w:val="single" w:color="auto" w:sz="4" w:space="0"/>
              <w:left w:val="single" w:color="auto" w:sz="4" w:space="0"/>
              <w:bottom w:val="single" w:color="auto" w:sz="4" w:space="0"/>
              <w:right w:val="single" w:color="auto" w:sz="4" w:space="0"/>
            </w:tcBorders>
            <w:vAlign w:val="center"/>
          </w:tcPr>
          <w:p w14:paraId="1D6B387C">
            <w:pPr>
              <w:widowControl/>
              <w:spacing w:line="440" w:lineRule="exact"/>
              <w:ind w:firstLine="420"/>
              <w:jc w:val="left"/>
              <w:rPr>
                <w:rFonts w:hint="eastAsia" w:ascii="宋体" w:hAnsi="宋体" w:cs="宋体"/>
                <w:snapToGrid w:val="0"/>
                <w:color w:val="000000"/>
                <w:kern w:val="0"/>
                <w:sz w:val="21"/>
                <w:szCs w:val="21"/>
                <w:lang w:bidi="ar"/>
              </w:rPr>
            </w:pPr>
            <w:r>
              <w:rPr>
                <w:rFonts w:hint="eastAsia" w:ascii="宋体" w:hAnsi="宋体" w:cs="宋体"/>
                <w:snapToGrid w:val="0"/>
                <w:color w:val="000000"/>
                <w:kern w:val="0"/>
                <w:sz w:val="21"/>
                <w:szCs w:val="21"/>
                <w:lang w:bidi="ar"/>
              </w:rPr>
              <w:t>符合比选文件规定</w:t>
            </w:r>
          </w:p>
        </w:tc>
      </w:tr>
      <w:tr w14:paraId="24C76B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trPr>
        <w:tc>
          <w:tcPr>
            <w:tcW w:w="482" w:type="pct"/>
            <w:vMerge w:val="continue"/>
            <w:tcBorders>
              <w:right w:val="single" w:color="auto" w:sz="4" w:space="0"/>
            </w:tcBorders>
            <w:vAlign w:val="center"/>
          </w:tcPr>
          <w:p w14:paraId="25706C62">
            <w:pPr>
              <w:widowControl/>
              <w:spacing w:line="440" w:lineRule="exact"/>
              <w:ind w:firstLine="420"/>
              <w:jc w:val="left"/>
              <w:rPr>
                <w:rFonts w:hint="eastAsia" w:ascii="宋体" w:hAnsi="宋体" w:cs="宋体"/>
                <w:snapToGrid w:val="0"/>
                <w:color w:val="000000"/>
                <w:kern w:val="0"/>
                <w:sz w:val="21"/>
                <w:szCs w:val="21"/>
                <w:lang w:bidi="ar"/>
              </w:rPr>
            </w:pPr>
          </w:p>
        </w:tc>
        <w:tc>
          <w:tcPr>
            <w:tcW w:w="1038" w:type="pct"/>
            <w:vMerge w:val="continue"/>
            <w:tcBorders>
              <w:right w:val="single" w:color="auto" w:sz="4" w:space="0"/>
            </w:tcBorders>
            <w:vAlign w:val="center"/>
          </w:tcPr>
          <w:p w14:paraId="4E150370">
            <w:pPr>
              <w:widowControl/>
              <w:spacing w:line="440" w:lineRule="exact"/>
              <w:ind w:firstLine="420"/>
              <w:jc w:val="left"/>
              <w:rPr>
                <w:rFonts w:hint="eastAsia" w:ascii="宋体" w:hAnsi="宋体" w:cs="宋体"/>
                <w:snapToGrid w:val="0"/>
                <w:color w:val="000000"/>
                <w:kern w:val="0"/>
                <w:sz w:val="21"/>
                <w:szCs w:val="21"/>
                <w:lang w:bidi="ar"/>
              </w:rPr>
            </w:pPr>
          </w:p>
        </w:tc>
        <w:tc>
          <w:tcPr>
            <w:tcW w:w="1312" w:type="pct"/>
            <w:tcBorders>
              <w:top w:val="single" w:color="auto" w:sz="4" w:space="0"/>
              <w:left w:val="single" w:color="auto" w:sz="4" w:space="0"/>
              <w:bottom w:val="single" w:color="auto" w:sz="4" w:space="0"/>
              <w:right w:val="single" w:color="auto" w:sz="4" w:space="0"/>
            </w:tcBorders>
            <w:vAlign w:val="center"/>
          </w:tcPr>
          <w:p w14:paraId="12DB3AC7">
            <w:pPr>
              <w:widowControl/>
              <w:spacing w:line="440" w:lineRule="exact"/>
              <w:ind w:firstLine="420" w:firstLineChars="200"/>
              <w:jc w:val="both"/>
              <w:rPr>
                <w:rFonts w:hint="default" w:ascii="宋体" w:hAnsi="宋体" w:eastAsia="宋体" w:cs="宋体"/>
                <w:snapToGrid w:val="0"/>
                <w:color w:val="000000"/>
                <w:kern w:val="0"/>
                <w:sz w:val="21"/>
                <w:szCs w:val="21"/>
                <w:lang w:val="en-US" w:eastAsia="zh-CN" w:bidi="ar"/>
              </w:rPr>
            </w:pPr>
            <w:r>
              <w:rPr>
                <w:rFonts w:hint="eastAsia" w:ascii="宋体" w:hAnsi="宋体" w:cs="宋体"/>
                <w:snapToGrid w:val="0"/>
                <w:color w:val="000000"/>
                <w:kern w:val="0"/>
                <w:sz w:val="21"/>
                <w:szCs w:val="21"/>
                <w:lang w:val="en-US" w:eastAsia="zh-CN" w:bidi="ar"/>
              </w:rPr>
              <w:t>其他要求</w:t>
            </w:r>
          </w:p>
        </w:tc>
        <w:tc>
          <w:tcPr>
            <w:tcW w:w="2165" w:type="pct"/>
            <w:tcBorders>
              <w:top w:val="single" w:color="auto" w:sz="4" w:space="0"/>
              <w:left w:val="single" w:color="auto" w:sz="4" w:space="0"/>
              <w:bottom w:val="single" w:color="auto" w:sz="4" w:space="0"/>
              <w:right w:val="single" w:color="auto" w:sz="4" w:space="0"/>
            </w:tcBorders>
            <w:vAlign w:val="center"/>
          </w:tcPr>
          <w:p w14:paraId="6B1128B9">
            <w:pPr>
              <w:widowControl/>
              <w:spacing w:line="440" w:lineRule="exact"/>
              <w:ind w:firstLine="420"/>
              <w:jc w:val="left"/>
              <w:rPr>
                <w:rFonts w:hint="eastAsia" w:ascii="宋体" w:hAnsi="宋体" w:cs="宋体"/>
                <w:snapToGrid w:val="0"/>
                <w:color w:val="000000"/>
                <w:kern w:val="0"/>
                <w:sz w:val="21"/>
                <w:szCs w:val="21"/>
                <w:lang w:bidi="ar"/>
              </w:rPr>
            </w:pPr>
            <w:r>
              <w:rPr>
                <w:rFonts w:hint="eastAsia" w:ascii="宋体" w:hAnsi="宋体" w:cs="宋体"/>
                <w:snapToGrid w:val="0"/>
                <w:color w:val="000000"/>
                <w:kern w:val="0"/>
                <w:sz w:val="21"/>
                <w:szCs w:val="21"/>
                <w:lang w:bidi="ar"/>
              </w:rPr>
              <w:t>符合比选文件规定</w:t>
            </w:r>
          </w:p>
        </w:tc>
      </w:tr>
      <w:tr w14:paraId="0ECFFD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trPr>
        <w:tc>
          <w:tcPr>
            <w:tcW w:w="482" w:type="pct"/>
            <w:vMerge w:val="restart"/>
            <w:tcBorders>
              <w:top w:val="single" w:color="auto" w:sz="4" w:space="0"/>
              <w:right w:val="single" w:color="auto" w:sz="4" w:space="0"/>
            </w:tcBorders>
            <w:vAlign w:val="center"/>
          </w:tcPr>
          <w:p w14:paraId="3CBBE05F">
            <w:pPr>
              <w:widowControl/>
              <w:spacing w:line="440" w:lineRule="exact"/>
              <w:ind w:firstLine="0" w:firstLineChars="0"/>
              <w:jc w:val="left"/>
              <w:rPr>
                <w:rFonts w:hint="eastAsia" w:ascii="宋体" w:hAnsi="宋体" w:cs="宋体"/>
                <w:snapToGrid w:val="0"/>
                <w:color w:val="000000"/>
                <w:kern w:val="0"/>
                <w:sz w:val="21"/>
                <w:szCs w:val="21"/>
                <w:lang w:bidi="ar"/>
              </w:rPr>
            </w:pPr>
            <w:r>
              <w:rPr>
                <w:rFonts w:hint="eastAsia" w:ascii="宋体" w:hAnsi="宋体" w:cs="宋体"/>
                <w:snapToGrid w:val="0"/>
                <w:color w:val="000000"/>
                <w:kern w:val="0"/>
                <w:sz w:val="21"/>
                <w:szCs w:val="21"/>
                <w:lang w:bidi="ar"/>
              </w:rPr>
              <w:t>1.1.3</w:t>
            </w:r>
          </w:p>
        </w:tc>
        <w:tc>
          <w:tcPr>
            <w:tcW w:w="1038" w:type="pct"/>
            <w:vMerge w:val="restart"/>
            <w:tcBorders>
              <w:top w:val="single" w:color="auto" w:sz="4" w:space="0"/>
              <w:right w:val="single" w:color="auto" w:sz="4" w:space="0"/>
            </w:tcBorders>
            <w:vAlign w:val="center"/>
          </w:tcPr>
          <w:p w14:paraId="1F454073">
            <w:pPr>
              <w:widowControl/>
              <w:spacing w:line="440" w:lineRule="exact"/>
              <w:ind w:firstLine="0" w:firstLineChars="0"/>
              <w:jc w:val="left"/>
              <w:rPr>
                <w:rFonts w:hint="eastAsia" w:ascii="宋体" w:hAnsi="宋体" w:cs="宋体"/>
                <w:snapToGrid w:val="0"/>
                <w:color w:val="000000"/>
                <w:kern w:val="0"/>
                <w:sz w:val="21"/>
                <w:szCs w:val="21"/>
                <w:lang w:bidi="ar"/>
              </w:rPr>
            </w:pPr>
            <w:r>
              <w:rPr>
                <w:rFonts w:hint="eastAsia" w:ascii="宋体" w:hAnsi="宋体" w:cs="宋体"/>
                <w:snapToGrid w:val="0"/>
                <w:color w:val="000000"/>
                <w:kern w:val="0"/>
                <w:sz w:val="21"/>
                <w:szCs w:val="21"/>
                <w:lang w:bidi="ar"/>
              </w:rPr>
              <w:t>响应性评审标准</w:t>
            </w:r>
          </w:p>
        </w:tc>
        <w:tc>
          <w:tcPr>
            <w:tcW w:w="1312" w:type="pct"/>
            <w:tcBorders>
              <w:top w:val="single" w:color="auto" w:sz="4" w:space="0"/>
              <w:left w:val="single" w:color="auto" w:sz="4" w:space="0"/>
              <w:bottom w:val="single" w:color="auto" w:sz="4" w:space="0"/>
              <w:right w:val="single" w:color="auto" w:sz="4" w:space="0"/>
            </w:tcBorders>
            <w:vAlign w:val="center"/>
          </w:tcPr>
          <w:p w14:paraId="69E20668">
            <w:pPr>
              <w:widowControl/>
              <w:spacing w:line="440" w:lineRule="exact"/>
              <w:ind w:firstLine="0" w:firstLineChars="0"/>
              <w:jc w:val="center"/>
              <w:rPr>
                <w:rFonts w:hint="eastAsia" w:ascii="宋体" w:hAnsi="宋体" w:cs="宋体"/>
                <w:snapToGrid w:val="0"/>
                <w:color w:val="000000"/>
                <w:kern w:val="0"/>
                <w:sz w:val="21"/>
                <w:szCs w:val="21"/>
                <w:lang w:bidi="ar"/>
              </w:rPr>
            </w:pPr>
            <w:r>
              <w:rPr>
                <w:rFonts w:hint="eastAsia" w:ascii="宋体" w:hAnsi="宋体" w:cs="宋体"/>
                <w:snapToGrid w:val="0"/>
                <w:color w:val="000000"/>
                <w:kern w:val="0"/>
                <w:sz w:val="21"/>
                <w:szCs w:val="21"/>
                <w:lang w:bidi="ar"/>
              </w:rPr>
              <w:t>竞选报价</w:t>
            </w:r>
          </w:p>
        </w:tc>
        <w:tc>
          <w:tcPr>
            <w:tcW w:w="2165" w:type="pct"/>
            <w:tcBorders>
              <w:top w:val="single" w:color="auto" w:sz="4" w:space="0"/>
              <w:left w:val="single" w:color="auto" w:sz="4" w:space="0"/>
              <w:bottom w:val="single" w:color="auto" w:sz="4" w:space="0"/>
              <w:right w:val="single" w:color="auto" w:sz="4" w:space="0"/>
            </w:tcBorders>
            <w:vAlign w:val="center"/>
          </w:tcPr>
          <w:p w14:paraId="6B373E84">
            <w:pPr>
              <w:widowControl/>
              <w:spacing w:line="440" w:lineRule="exact"/>
              <w:ind w:firstLine="420"/>
              <w:rPr>
                <w:rFonts w:hint="eastAsia" w:ascii="宋体" w:hAnsi="宋体" w:cs="宋体"/>
                <w:snapToGrid w:val="0"/>
                <w:color w:val="000000"/>
                <w:kern w:val="0"/>
                <w:sz w:val="21"/>
                <w:szCs w:val="21"/>
                <w:lang w:bidi="ar"/>
              </w:rPr>
            </w:pPr>
            <w:r>
              <w:rPr>
                <w:rFonts w:hint="eastAsia" w:ascii="宋体" w:hAnsi="宋体" w:cs="宋体"/>
                <w:snapToGrid w:val="0"/>
                <w:color w:val="000000"/>
                <w:kern w:val="0"/>
                <w:sz w:val="21"/>
                <w:szCs w:val="21"/>
                <w:lang w:bidi="ar"/>
              </w:rPr>
              <w:t>符合比选文件规定</w:t>
            </w:r>
          </w:p>
        </w:tc>
      </w:tr>
      <w:tr w14:paraId="689B9B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trPr>
        <w:tc>
          <w:tcPr>
            <w:tcW w:w="482" w:type="pct"/>
            <w:vMerge w:val="continue"/>
            <w:tcBorders>
              <w:right w:val="single" w:color="auto" w:sz="4" w:space="0"/>
            </w:tcBorders>
            <w:vAlign w:val="center"/>
          </w:tcPr>
          <w:p w14:paraId="5F8EC247">
            <w:pPr>
              <w:widowControl/>
              <w:spacing w:line="440" w:lineRule="exact"/>
              <w:ind w:firstLine="0" w:firstLineChars="0"/>
              <w:jc w:val="left"/>
              <w:rPr>
                <w:rFonts w:hint="eastAsia" w:ascii="宋体" w:hAnsi="宋体" w:cs="宋体"/>
                <w:snapToGrid w:val="0"/>
                <w:color w:val="000000"/>
                <w:kern w:val="0"/>
                <w:sz w:val="21"/>
                <w:szCs w:val="21"/>
                <w:lang w:bidi="ar"/>
              </w:rPr>
            </w:pPr>
          </w:p>
        </w:tc>
        <w:tc>
          <w:tcPr>
            <w:tcW w:w="1038" w:type="pct"/>
            <w:vMerge w:val="continue"/>
            <w:tcBorders>
              <w:right w:val="single" w:color="auto" w:sz="4" w:space="0"/>
            </w:tcBorders>
            <w:vAlign w:val="center"/>
          </w:tcPr>
          <w:p w14:paraId="4AC2955E">
            <w:pPr>
              <w:widowControl/>
              <w:spacing w:line="440" w:lineRule="exact"/>
              <w:ind w:firstLine="0" w:firstLineChars="0"/>
              <w:jc w:val="left"/>
              <w:rPr>
                <w:rFonts w:hint="eastAsia" w:ascii="宋体" w:hAnsi="宋体" w:cs="宋体"/>
                <w:snapToGrid w:val="0"/>
                <w:color w:val="000000"/>
                <w:kern w:val="0"/>
                <w:sz w:val="21"/>
                <w:szCs w:val="21"/>
                <w:lang w:bidi="ar"/>
              </w:rPr>
            </w:pPr>
          </w:p>
        </w:tc>
        <w:tc>
          <w:tcPr>
            <w:tcW w:w="1312" w:type="pct"/>
            <w:tcBorders>
              <w:top w:val="single" w:color="auto" w:sz="4" w:space="0"/>
              <w:left w:val="single" w:color="auto" w:sz="4" w:space="0"/>
              <w:bottom w:val="single" w:color="auto" w:sz="4" w:space="0"/>
              <w:right w:val="single" w:color="auto" w:sz="4" w:space="0"/>
            </w:tcBorders>
            <w:vAlign w:val="center"/>
          </w:tcPr>
          <w:p w14:paraId="75DC5DC1">
            <w:pPr>
              <w:widowControl/>
              <w:spacing w:line="440" w:lineRule="exact"/>
              <w:ind w:firstLine="0" w:firstLineChars="0"/>
              <w:jc w:val="center"/>
              <w:rPr>
                <w:rFonts w:hint="eastAsia" w:ascii="宋体" w:hAnsi="宋体" w:cs="宋体"/>
                <w:snapToGrid w:val="0"/>
                <w:color w:val="000000"/>
                <w:kern w:val="0"/>
                <w:sz w:val="21"/>
                <w:szCs w:val="21"/>
                <w:lang w:bidi="ar"/>
              </w:rPr>
            </w:pPr>
            <w:r>
              <w:rPr>
                <w:rFonts w:hint="eastAsia" w:ascii="宋体" w:hAnsi="宋体" w:cs="宋体"/>
                <w:snapToGrid w:val="0"/>
                <w:color w:val="000000"/>
                <w:kern w:val="0"/>
                <w:sz w:val="21"/>
                <w:szCs w:val="21"/>
                <w:lang w:val="en-US" w:eastAsia="zh-CN" w:bidi="ar"/>
              </w:rPr>
              <w:t>工</w:t>
            </w:r>
            <w:r>
              <w:rPr>
                <w:rFonts w:hint="eastAsia" w:ascii="宋体" w:hAnsi="宋体" w:cs="宋体"/>
                <w:snapToGrid w:val="0"/>
                <w:color w:val="000000"/>
                <w:kern w:val="0"/>
                <w:sz w:val="21"/>
                <w:szCs w:val="21"/>
                <w:lang w:bidi="ar"/>
              </w:rPr>
              <w:t>期</w:t>
            </w:r>
          </w:p>
        </w:tc>
        <w:tc>
          <w:tcPr>
            <w:tcW w:w="2165" w:type="pct"/>
            <w:tcBorders>
              <w:top w:val="single" w:color="auto" w:sz="4" w:space="0"/>
              <w:left w:val="single" w:color="auto" w:sz="4" w:space="0"/>
              <w:bottom w:val="single" w:color="auto" w:sz="4" w:space="0"/>
              <w:right w:val="single" w:color="auto" w:sz="4" w:space="0"/>
            </w:tcBorders>
            <w:vAlign w:val="center"/>
          </w:tcPr>
          <w:p w14:paraId="22299E3E">
            <w:pPr>
              <w:widowControl/>
              <w:spacing w:line="440" w:lineRule="exact"/>
              <w:ind w:firstLine="420"/>
              <w:jc w:val="left"/>
              <w:rPr>
                <w:rFonts w:hint="eastAsia" w:ascii="宋体" w:hAnsi="宋体" w:cs="宋体"/>
                <w:snapToGrid w:val="0"/>
                <w:color w:val="000000"/>
                <w:kern w:val="0"/>
                <w:sz w:val="21"/>
                <w:szCs w:val="21"/>
                <w:lang w:bidi="ar"/>
              </w:rPr>
            </w:pPr>
            <w:r>
              <w:rPr>
                <w:rFonts w:hint="eastAsia" w:ascii="宋体" w:hAnsi="宋体" w:cs="宋体"/>
                <w:snapToGrid w:val="0"/>
                <w:color w:val="000000"/>
                <w:kern w:val="0"/>
                <w:sz w:val="21"/>
                <w:szCs w:val="21"/>
                <w:lang w:bidi="ar"/>
              </w:rPr>
              <w:t>符合比选文件规定</w:t>
            </w:r>
          </w:p>
        </w:tc>
      </w:tr>
      <w:tr w14:paraId="06D60E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trPr>
        <w:tc>
          <w:tcPr>
            <w:tcW w:w="482" w:type="pct"/>
            <w:vMerge w:val="continue"/>
            <w:tcBorders>
              <w:right w:val="single" w:color="auto" w:sz="4" w:space="0"/>
            </w:tcBorders>
            <w:vAlign w:val="center"/>
          </w:tcPr>
          <w:p w14:paraId="4760E324">
            <w:pPr>
              <w:widowControl/>
              <w:spacing w:line="440" w:lineRule="exact"/>
              <w:ind w:firstLine="0" w:firstLineChars="0"/>
              <w:jc w:val="left"/>
              <w:rPr>
                <w:rFonts w:hint="eastAsia" w:ascii="宋体" w:hAnsi="宋体" w:cs="宋体"/>
                <w:snapToGrid w:val="0"/>
                <w:color w:val="000000"/>
                <w:kern w:val="0"/>
                <w:sz w:val="21"/>
                <w:szCs w:val="21"/>
                <w:lang w:bidi="ar"/>
              </w:rPr>
            </w:pPr>
          </w:p>
        </w:tc>
        <w:tc>
          <w:tcPr>
            <w:tcW w:w="1038" w:type="pct"/>
            <w:vMerge w:val="continue"/>
            <w:tcBorders>
              <w:right w:val="single" w:color="auto" w:sz="4" w:space="0"/>
            </w:tcBorders>
            <w:vAlign w:val="center"/>
          </w:tcPr>
          <w:p w14:paraId="3A47554A">
            <w:pPr>
              <w:widowControl/>
              <w:spacing w:line="440" w:lineRule="exact"/>
              <w:ind w:firstLine="0" w:firstLineChars="0"/>
              <w:jc w:val="left"/>
              <w:rPr>
                <w:rFonts w:hint="eastAsia" w:ascii="宋体" w:hAnsi="宋体" w:cs="宋体"/>
                <w:snapToGrid w:val="0"/>
                <w:color w:val="000000"/>
                <w:kern w:val="0"/>
                <w:sz w:val="21"/>
                <w:szCs w:val="21"/>
                <w:lang w:bidi="ar"/>
              </w:rPr>
            </w:pPr>
          </w:p>
        </w:tc>
        <w:tc>
          <w:tcPr>
            <w:tcW w:w="1312" w:type="pct"/>
            <w:tcBorders>
              <w:top w:val="single" w:color="auto" w:sz="4" w:space="0"/>
              <w:left w:val="single" w:color="auto" w:sz="4" w:space="0"/>
              <w:bottom w:val="single" w:color="auto" w:sz="4" w:space="0"/>
              <w:right w:val="single" w:color="auto" w:sz="4" w:space="0"/>
            </w:tcBorders>
            <w:vAlign w:val="center"/>
          </w:tcPr>
          <w:p w14:paraId="7FEF01C6">
            <w:pPr>
              <w:widowControl/>
              <w:spacing w:line="440" w:lineRule="exact"/>
              <w:ind w:firstLine="0" w:firstLineChars="0"/>
              <w:jc w:val="center"/>
              <w:rPr>
                <w:rFonts w:hint="eastAsia" w:ascii="宋体" w:hAnsi="宋体" w:cs="宋体"/>
                <w:snapToGrid w:val="0"/>
                <w:color w:val="000000"/>
                <w:kern w:val="0"/>
                <w:sz w:val="21"/>
                <w:szCs w:val="21"/>
                <w:lang w:bidi="ar"/>
              </w:rPr>
            </w:pPr>
            <w:r>
              <w:rPr>
                <w:rFonts w:hint="eastAsia" w:ascii="宋体" w:hAnsi="宋体" w:cs="宋体"/>
                <w:snapToGrid w:val="0"/>
                <w:color w:val="000000"/>
                <w:kern w:val="0"/>
                <w:sz w:val="21"/>
                <w:szCs w:val="21"/>
                <w:lang w:bidi="ar"/>
              </w:rPr>
              <w:t>质量要求</w:t>
            </w:r>
          </w:p>
        </w:tc>
        <w:tc>
          <w:tcPr>
            <w:tcW w:w="2165" w:type="pct"/>
            <w:tcBorders>
              <w:top w:val="single" w:color="auto" w:sz="4" w:space="0"/>
              <w:left w:val="single" w:color="auto" w:sz="4" w:space="0"/>
              <w:bottom w:val="single" w:color="auto" w:sz="4" w:space="0"/>
              <w:right w:val="single" w:color="auto" w:sz="4" w:space="0"/>
            </w:tcBorders>
            <w:vAlign w:val="center"/>
          </w:tcPr>
          <w:p w14:paraId="080E2B73">
            <w:pPr>
              <w:widowControl/>
              <w:spacing w:line="440" w:lineRule="exact"/>
              <w:ind w:firstLine="420"/>
              <w:jc w:val="left"/>
              <w:rPr>
                <w:rFonts w:hint="eastAsia" w:ascii="宋体" w:hAnsi="宋体" w:cs="宋体"/>
                <w:snapToGrid w:val="0"/>
                <w:color w:val="000000"/>
                <w:kern w:val="0"/>
                <w:sz w:val="21"/>
                <w:szCs w:val="21"/>
                <w:lang w:bidi="ar"/>
              </w:rPr>
            </w:pPr>
            <w:r>
              <w:rPr>
                <w:rFonts w:hint="eastAsia" w:ascii="宋体" w:hAnsi="宋体" w:cs="宋体"/>
                <w:snapToGrid w:val="0"/>
                <w:color w:val="000000"/>
                <w:kern w:val="0"/>
                <w:sz w:val="21"/>
                <w:szCs w:val="21"/>
                <w:lang w:bidi="ar"/>
              </w:rPr>
              <w:t>符合比选文件规定</w:t>
            </w:r>
          </w:p>
        </w:tc>
      </w:tr>
      <w:tr w14:paraId="2C7722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9" w:hRule="atLeast"/>
        </w:trPr>
        <w:tc>
          <w:tcPr>
            <w:tcW w:w="5000" w:type="pct"/>
            <w:gridSpan w:val="4"/>
            <w:tcBorders>
              <w:top w:val="single" w:color="auto" w:sz="4" w:space="0"/>
              <w:bottom w:val="single" w:color="auto" w:sz="4" w:space="0"/>
              <w:right w:val="single" w:color="auto" w:sz="4" w:space="0"/>
            </w:tcBorders>
            <w:vAlign w:val="center"/>
          </w:tcPr>
          <w:p w14:paraId="7882183F">
            <w:pPr>
              <w:widowControl/>
              <w:spacing w:line="440" w:lineRule="exact"/>
              <w:ind w:firstLine="0" w:firstLineChars="0"/>
              <w:jc w:val="left"/>
              <w:rPr>
                <w:rFonts w:hint="eastAsia" w:ascii="宋体" w:hAnsi="宋体" w:cs="宋体"/>
                <w:snapToGrid w:val="0"/>
                <w:color w:val="000000"/>
                <w:kern w:val="0"/>
                <w:sz w:val="21"/>
                <w:szCs w:val="21"/>
                <w:lang w:bidi="ar"/>
              </w:rPr>
            </w:pPr>
            <w:r>
              <w:rPr>
                <w:rFonts w:hint="eastAsia" w:ascii="宋体" w:hAnsi="宋体" w:cs="宋体"/>
                <w:snapToGrid w:val="0"/>
                <w:color w:val="000000"/>
                <w:kern w:val="0"/>
                <w:sz w:val="21"/>
                <w:szCs w:val="21"/>
                <w:lang w:bidi="ar"/>
              </w:rPr>
              <w:t>注：条款1.1.1、1.1.2、1.1.3均为强制性要求，竞标人如不满足，按否决竞标处理。</w:t>
            </w:r>
          </w:p>
        </w:tc>
      </w:tr>
      <w:tr w14:paraId="33C145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9" w:hRule="atLeast"/>
        </w:trPr>
        <w:tc>
          <w:tcPr>
            <w:tcW w:w="5000" w:type="pct"/>
            <w:gridSpan w:val="4"/>
            <w:tcBorders>
              <w:top w:val="single" w:color="auto" w:sz="4" w:space="0"/>
              <w:bottom w:val="single" w:color="auto" w:sz="4" w:space="0"/>
              <w:right w:val="single" w:color="auto" w:sz="4" w:space="0"/>
            </w:tcBorders>
            <w:vAlign w:val="center"/>
          </w:tcPr>
          <w:p w14:paraId="1E998760">
            <w:pPr>
              <w:widowControl/>
              <w:spacing w:line="440" w:lineRule="exact"/>
              <w:ind w:firstLine="0" w:firstLineChars="0"/>
              <w:jc w:val="left"/>
              <w:rPr>
                <w:rFonts w:hint="eastAsia" w:ascii="宋体" w:hAnsi="宋体" w:cs="宋体"/>
                <w:snapToGrid w:val="0"/>
                <w:color w:val="000000"/>
                <w:kern w:val="0"/>
                <w:sz w:val="21"/>
                <w:szCs w:val="21"/>
                <w:lang w:bidi="ar"/>
              </w:rPr>
            </w:pPr>
            <w:r>
              <w:rPr>
                <w:rFonts w:hint="eastAsia" w:ascii="宋体" w:hAnsi="宋体" w:cs="宋体"/>
                <w:snapToGrid w:val="0"/>
                <w:color w:val="000000"/>
                <w:kern w:val="0"/>
                <w:sz w:val="21"/>
                <w:szCs w:val="21"/>
                <w:lang w:bidi="ar"/>
              </w:rPr>
              <w:t>有下列情况之一的，直接按否决竞标处理：</w:t>
            </w:r>
          </w:p>
          <w:p w14:paraId="57C7D635">
            <w:pPr>
              <w:widowControl/>
              <w:spacing w:line="440" w:lineRule="exact"/>
              <w:ind w:firstLine="0" w:firstLineChars="0"/>
              <w:jc w:val="left"/>
              <w:rPr>
                <w:rFonts w:hint="eastAsia" w:ascii="宋体" w:hAnsi="宋体" w:cs="宋体"/>
                <w:snapToGrid w:val="0"/>
                <w:color w:val="000000"/>
                <w:kern w:val="0"/>
                <w:sz w:val="21"/>
                <w:szCs w:val="21"/>
                <w:lang w:bidi="ar"/>
              </w:rPr>
            </w:pPr>
            <w:r>
              <w:rPr>
                <w:rFonts w:hint="eastAsia" w:ascii="宋体" w:hAnsi="宋体" w:cs="宋体"/>
                <w:snapToGrid w:val="0"/>
                <w:color w:val="000000"/>
                <w:kern w:val="0"/>
                <w:sz w:val="21"/>
                <w:szCs w:val="21"/>
                <w:lang w:bidi="ar"/>
              </w:rPr>
              <w:t>（1）不同竞标人的竞标文件由同一单位或者个人编制；</w:t>
            </w:r>
          </w:p>
          <w:p w14:paraId="2A2BC88F">
            <w:pPr>
              <w:widowControl/>
              <w:spacing w:line="440" w:lineRule="exact"/>
              <w:ind w:firstLine="0" w:firstLineChars="0"/>
              <w:jc w:val="left"/>
              <w:rPr>
                <w:rFonts w:hint="eastAsia" w:ascii="宋体" w:hAnsi="宋体" w:cs="宋体"/>
                <w:snapToGrid w:val="0"/>
                <w:color w:val="000000"/>
                <w:kern w:val="0"/>
                <w:sz w:val="21"/>
                <w:szCs w:val="21"/>
                <w:lang w:bidi="ar"/>
              </w:rPr>
            </w:pPr>
            <w:r>
              <w:rPr>
                <w:rFonts w:hint="eastAsia" w:ascii="宋体" w:hAnsi="宋体" w:cs="宋体"/>
                <w:snapToGrid w:val="0"/>
                <w:color w:val="000000"/>
                <w:kern w:val="0"/>
                <w:sz w:val="21"/>
                <w:szCs w:val="21"/>
                <w:lang w:bidi="ar"/>
              </w:rPr>
              <w:t>（2）不同竞标人委托同一单位或者个人办理竞标事宜；</w:t>
            </w:r>
          </w:p>
          <w:p w14:paraId="7616242C">
            <w:pPr>
              <w:widowControl/>
              <w:spacing w:line="440" w:lineRule="exact"/>
              <w:ind w:firstLine="0" w:firstLineChars="0"/>
              <w:jc w:val="left"/>
              <w:rPr>
                <w:rFonts w:hint="eastAsia" w:ascii="宋体" w:hAnsi="宋体" w:cs="宋体"/>
                <w:snapToGrid w:val="0"/>
                <w:color w:val="000000"/>
                <w:kern w:val="0"/>
                <w:sz w:val="21"/>
                <w:szCs w:val="21"/>
                <w:lang w:bidi="ar"/>
              </w:rPr>
            </w:pPr>
            <w:r>
              <w:rPr>
                <w:rFonts w:hint="eastAsia" w:ascii="宋体" w:hAnsi="宋体" w:cs="宋体"/>
                <w:snapToGrid w:val="0"/>
                <w:color w:val="000000"/>
                <w:kern w:val="0"/>
                <w:sz w:val="21"/>
                <w:szCs w:val="21"/>
                <w:lang w:bidi="ar"/>
              </w:rPr>
              <w:t>（3）不同竞标人的竞标文件载明的项目管理成员为同一人；</w:t>
            </w:r>
          </w:p>
          <w:p w14:paraId="179CC453">
            <w:pPr>
              <w:widowControl/>
              <w:spacing w:line="440" w:lineRule="exact"/>
              <w:ind w:firstLine="0" w:firstLineChars="0"/>
              <w:jc w:val="left"/>
              <w:rPr>
                <w:rFonts w:hint="eastAsia" w:ascii="宋体" w:hAnsi="宋体" w:cs="宋体"/>
                <w:snapToGrid w:val="0"/>
                <w:color w:val="000000"/>
                <w:kern w:val="0"/>
                <w:sz w:val="21"/>
                <w:szCs w:val="21"/>
                <w:lang w:bidi="ar"/>
              </w:rPr>
            </w:pPr>
            <w:r>
              <w:rPr>
                <w:rFonts w:hint="eastAsia" w:ascii="宋体" w:hAnsi="宋体" w:cs="宋体"/>
                <w:snapToGrid w:val="0"/>
                <w:color w:val="000000"/>
                <w:kern w:val="0"/>
                <w:sz w:val="21"/>
                <w:szCs w:val="21"/>
                <w:lang w:bidi="ar"/>
              </w:rPr>
              <w:t>（4）不同竞标人的竞标文件异常一致或者竞标报价呈规律性差异或报价低于成本不具备竞争性；</w:t>
            </w:r>
          </w:p>
          <w:p w14:paraId="6EDF4B2E">
            <w:pPr>
              <w:widowControl/>
              <w:spacing w:line="440" w:lineRule="exact"/>
              <w:ind w:firstLine="0" w:firstLineChars="0"/>
              <w:jc w:val="left"/>
              <w:rPr>
                <w:rFonts w:hint="eastAsia" w:ascii="宋体" w:hAnsi="宋体" w:cs="宋体"/>
                <w:snapToGrid w:val="0"/>
                <w:color w:val="000000"/>
                <w:kern w:val="0"/>
                <w:sz w:val="21"/>
                <w:szCs w:val="21"/>
                <w:lang w:bidi="ar"/>
              </w:rPr>
            </w:pPr>
            <w:r>
              <w:rPr>
                <w:rFonts w:hint="eastAsia" w:ascii="宋体" w:hAnsi="宋体" w:cs="宋体"/>
                <w:snapToGrid w:val="0"/>
                <w:color w:val="000000"/>
                <w:kern w:val="0"/>
                <w:sz w:val="21"/>
                <w:szCs w:val="21"/>
                <w:lang w:bidi="ar"/>
              </w:rPr>
              <w:t>（5）不同竞标人的竞标文件相互混装；</w:t>
            </w:r>
          </w:p>
          <w:p w14:paraId="0F758E2B">
            <w:pPr>
              <w:widowControl/>
              <w:spacing w:line="440" w:lineRule="exact"/>
              <w:ind w:firstLine="0" w:firstLineChars="0"/>
              <w:jc w:val="left"/>
              <w:rPr>
                <w:rFonts w:hint="eastAsia" w:ascii="宋体" w:hAnsi="宋体" w:cs="宋体"/>
                <w:snapToGrid w:val="0"/>
                <w:color w:val="000000"/>
                <w:kern w:val="0"/>
                <w:sz w:val="21"/>
                <w:szCs w:val="21"/>
                <w:lang w:bidi="ar"/>
              </w:rPr>
            </w:pPr>
            <w:r>
              <w:rPr>
                <w:rFonts w:hint="eastAsia" w:ascii="宋体" w:hAnsi="宋体" w:cs="宋体"/>
                <w:snapToGrid w:val="0"/>
                <w:color w:val="000000"/>
                <w:kern w:val="0"/>
                <w:sz w:val="21"/>
                <w:szCs w:val="21"/>
                <w:lang w:bidi="ar"/>
              </w:rPr>
              <w:t>（6）竞标人必须保证竞标文件的真实性，一经发现提供的文件虚假不真实，直接按否决处理。</w:t>
            </w:r>
          </w:p>
        </w:tc>
      </w:tr>
      <w:tr w14:paraId="5E7B6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1" w:type="pct"/>
            <w:gridSpan w:val="2"/>
            <w:vAlign w:val="center"/>
          </w:tcPr>
          <w:p w14:paraId="5E887593">
            <w:pPr>
              <w:widowControl/>
              <w:spacing w:line="440" w:lineRule="exact"/>
              <w:ind w:firstLine="420"/>
              <w:jc w:val="center"/>
              <w:rPr>
                <w:rFonts w:hint="eastAsia" w:ascii="宋体" w:hAnsi="宋体" w:cs="宋体"/>
                <w:snapToGrid w:val="0"/>
                <w:color w:val="000000"/>
                <w:kern w:val="0"/>
                <w:sz w:val="21"/>
                <w:szCs w:val="21"/>
                <w:lang w:bidi="ar"/>
              </w:rPr>
            </w:pPr>
            <w:r>
              <w:rPr>
                <w:rFonts w:hint="eastAsia" w:ascii="宋体" w:hAnsi="宋体" w:cs="宋体"/>
                <w:snapToGrid w:val="0"/>
                <w:color w:val="000000"/>
                <w:kern w:val="0"/>
                <w:sz w:val="21"/>
                <w:szCs w:val="21"/>
                <w:lang w:bidi="ar"/>
              </w:rPr>
              <w:t>候选人推荐</w:t>
            </w:r>
          </w:p>
        </w:tc>
        <w:tc>
          <w:tcPr>
            <w:tcW w:w="3478" w:type="pct"/>
            <w:gridSpan w:val="2"/>
            <w:vAlign w:val="center"/>
          </w:tcPr>
          <w:p w14:paraId="320CEF44">
            <w:pPr>
              <w:widowControl/>
              <w:spacing w:line="440" w:lineRule="exact"/>
              <w:ind w:firstLine="0" w:firstLineChars="0"/>
              <w:jc w:val="left"/>
              <w:rPr>
                <w:rFonts w:hint="eastAsia" w:ascii="宋体" w:hAnsi="宋体" w:cs="宋体"/>
                <w:snapToGrid w:val="0"/>
                <w:color w:val="000000"/>
                <w:kern w:val="0"/>
                <w:sz w:val="21"/>
                <w:szCs w:val="21"/>
                <w:lang w:bidi="ar"/>
              </w:rPr>
            </w:pPr>
            <w:r>
              <w:rPr>
                <w:rFonts w:hint="eastAsia" w:ascii="宋体" w:hAnsi="宋体" w:cs="宋体"/>
                <w:snapToGrid w:val="0"/>
                <w:color w:val="000000"/>
                <w:kern w:val="0"/>
                <w:sz w:val="21"/>
                <w:szCs w:val="21"/>
                <w:lang w:bidi="ar"/>
              </w:rPr>
              <w:t>经评审合格的候选人按价格由低到高的先后顺序推荐3名中标候选人；若评审合格的候选人不足3名（有效候选人的经济、技术等指标仍然具有市场竞争力，能够满足比选文件要求的），则只选取相应的数量。</w:t>
            </w:r>
          </w:p>
        </w:tc>
      </w:tr>
      <w:tr w14:paraId="0CB9D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1" w:type="pct"/>
            <w:gridSpan w:val="2"/>
            <w:vAlign w:val="center"/>
          </w:tcPr>
          <w:p w14:paraId="165EF91F">
            <w:pPr>
              <w:widowControl/>
              <w:spacing w:line="440" w:lineRule="exact"/>
              <w:ind w:firstLine="0" w:firstLineChars="0"/>
              <w:jc w:val="center"/>
              <w:rPr>
                <w:rFonts w:hint="eastAsia" w:ascii="宋体" w:hAnsi="宋体" w:cs="宋体"/>
                <w:snapToGrid w:val="0"/>
                <w:color w:val="000000"/>
                <w:kern w:val="0"/>
                <w:sz w:val="21"/>
                <w:szCs w:val="21"/>
                <w:lang w:bidi="ar"/>
              </w:rPr>
            </w:pPr>
            <w:r>
              <w:rPr>
                <w:rFonts w:hint="eastAsia" w:ascii="宋体" w:hAnsi="宋体" w:cs="宋体"/>
                <w:snapToGrid w:val="0"/>
                <w:color w:val="000000"/>
                <w:kern w:val="0"/>
                <w:sz w:val="21"/>
                <w:szCs w:val="21"/>
                <w:lang w:bidi="ar"/>
              </w:rPr>
              <w:t>报价算术错误修正</w:t>
            </w:r>
          </w:p>
        </w:tc>
        <w:tc>
          <w:tcPr>
            <w:tcW w:w="3478" w:type="pct"/>
            <w:gridSpan w:val="2"/>
            <w:vAlign w:val="center"/>
          </w:tcPr>
          <w:p w14:paraId="145C063F">
            <w:pPr>
              <w:widowControl/>
              <w:spacing w:line="440" w:lineRule="exact"/>
              <w:ind w:firstLine="0" w:firstLineChars="0"/>
              <w:jc w:val="left"/>
              <w:rPr>
                <w:rFonts w:hint="eastAsia" w:ascii="宋体" w:hAnsi="宋体" w:cs="宋体"/>
                <w:snapToGrid w:val="0"/>
                <w:color w:val="000000"/>
                <w:kern w:val="0"/>
                <w:sz w:val="21"/>
                <w:szCs w:val="21"/>
                <w:lang w:bidi="ar"/>
              </w:rPr>
            </w:pPr>
            <w:r>
              <w:rPr>
                <w:rFonts w:hint="eastAsia" w:ascii="宋体" w:hAnsi="宋体" w:cs="宋体"/>
                <w:snapToGrid w:val="0"/>
                <w:color w:val="000000"/>
                <w:kern w:val="0"/>
                <w:sz w:val="21"/>
                <w:szCs w:val="21"/>
                <w:lang w:bidi="ar"/>
              </w:rPr>
              <w:t>若在评标过程中发现报价存在计算错误，则按以下规则进行算术修正：投标报价为各分项报价金额之和，投标报价与分项报价的合价不一致的，应以各分项合价累计数为准，修正投标报价；如分项报价中存在缺漏项，则视为缺漏项价格已包含在其他分项报价之中。投标大小写金额不一致的，以大写金额为准进行修正。总价金额和单价金额不一致的，以单价金额为准，但是单价金额有明显小数点错误的除外。</w:t>
            </w:r>
          </w:p>
        </w:tc>
      </w:tr>
      <w:tr w14:paraId="0BAA1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1" w:type="pct"/>
            <w:gridSpan w:val="2"/>
            <w:vAlign w:val="center"/>
          </w:tcPr>
          <w:p w14:paraId="4E528741">
            <w:pPr>
              <w:widowControl/>
              <w:spacing w:line="440" w:lineRule="exact"/>
              <w:ind w:firstLine="420"/>
              <w:jc w:val="center"/>
              <w:rPr>
                <w:rFonts w:hint="eastAsia" w:ascii="宋体" w:hAnsi="宋体" w:cs="宋体"/>
                <w:snapToGrid w:val="0"/>
                <w:color w:val="000000"/>
                <w:kern w:val="0"/>
                <w:sz w:val="21"/>
                <w:szCs w:val="21"/>
                <w:lang w:bidi="ar"/>
              </w:rPr>
            </w:pPr>
            <w:r>
              <w:rPr>
                <w:rFonts w:hint="eastAsia" w:ascii="宋体" w:hAnsi="宋体" w:cs="宋体"/>
                <w:snapToGrid w:val="0"/>
                <w:color w:val="000000"/>
                <w:kern w:val="0"/>
                <w:sz w:val="21"/>
                <w:szCs w:val="21"/>
                <w:lang w:bidi="ar"/>
              </w:rPr>
              <w:t>澄清</w:t>
            </w:r>
          </w:p>
        </w:tc>
        <w:tc>
          <w:tcPr>
            <w:tcW w:w="3478" w:type="pct"/>
            <w:gridSpan w:val="2"/>
            <w:vAlign w:val="center"/>
          </w:tcPr>
          <w:p w14:paraId="34BA55AB">
            <w:pPr>
              <w:widowControl/>
              <w:spacing w:line="440" w:lineRule="exact"/>
              <w:ind w:firstLine="0" w:firstLineChars="0"/>
              <w:jc w:val="left"/>
              <w:rPr>
                <w:rFonts w:hint="eastAsia" w:ascii="宋体" w:hAnsi="宋体" w:cs="宋体"/>
                <w:snapToGrid w:val="0"/>
                <w:color w:val="000000"/>
                <w:kern w:val="0"/>
                <w:sz w:val="21"/>
                <w:szCs w:val="21"/>
                <w:lang w:bidi="ar"/>
              </w:rPr>
            </w:pPr>
            <w:r>
              <w:rPr>
                <w:rFonts w:hint="eastAsia" w:ascii="宋体" w:hAnsi="宋体" w:cs="宋体"/>
                <w:snapToGrid w:val="0"/>
                <w:color w:val="000000"/>
                <w:kern w:val="0"/>
                <w:sz w:val="21"/>
                <w:szCs w:val="21"/>
                <w:lang w:bidi="ar"/>
              </w:rPr>
              <w:t>在评标过程中，评审小组可以要求竞标人对所提交投标文件中不明确的内容进行书面澄清或说明，或者对细微偏差进行补正。评标小组不接受竞标人主动提出的澄清、说明或补正。</w:t>
            </w:r>
          </w:p>
        </w:tc>
      </w:tr>
    </w:tbl>
    <w:p w14:paraId="6B05A658">
      <w:pPr>
        <w:numPr>
          <w:ilvl w:val="0"/>
          <w:numId w:val="0"/>
        </w:numPr>
        <w:bidi w:val="0"/>
        <w:rPr>
          <w:rFonts w:hint="eastAsia" w:ascii="宋体" w:hAnsi="宋体" w:eastAsia="宋体" w:cs="宋体"/>
          <w:color w:val="auto"/>
          <w:lang w:val="en-US" w:eastAsia="zh-CN"/>
        </w:rPr>
      </w:pPr>
      <w:r>
        <w:rPr>
          <w:rFonts w:hint="eastAsia" w:ascii="宋体" w:hAnsi="宋体" w:eastAsia="宋体" w:cs="宋体"/>
          <w:b/>
          <w:bCs/>
          <w:color w:val="auto"/>
          <w:kern w:val="2"/>
          <w:sz w:val="24"/>
          <w:szCs w:val="24"/>
          <w:lang w:val="en-US" w:eastAsia="zh-CN" w:bidi="ar-SA"/>
        </w:rPr>
        <w:t>五</w:t>
      </w:r>
      <w:r>
        <w:rPr>
          <w:rFonts w:hint="eastAsia" w:ascii="宋体" w:hAnsi="宋体" w:eastAsia="宋体" w:cs="宋体"/>
          <w:color w:val="auto"/>
          <w:kern w:val="2"/>
          <w:sz w:val="24"/>
          <w:szCs w:val="24"/>
          <w:lang w:val="en-US" w:eastAsia="zh-CN" w:bidi="ar-SA"/>
        </w:rPr>
        <w:t>、</w:t>
      </w:r>
      <w:r>
        <w:rPr>
          <w:rFonts w:hint="eastAsia" w:ascii="宋体" w:hAnsi="宋体" w:eastAsia="宋体" w:cs="宋体"/>
          <w:b/>
          <w:bCs/>
          <w:color w:val="auto"/>
          <w:lang w:val="en-US" w:eastAsia="zh-CN"/>
        </w:rPr>
        <w:t>履约保证金</w:t>
      </w:r>
      <w:r>
        <w:rPr>
          <w:rFonts w:hint="eastAsia" w:ascii="宋体" w:hAnsi="宋体" w:eastAsia="宋体" w:cs="宋体"/>
          <w:color w:val="auto"/>
          <w:lang w:val="en-US" w:eastAsia="zh-CN"/>
        </w:rPr>
        <w:t>：伍万元整，具体缴纳方式详见合同文件。</w:t>
      </w:r>
    </w:p>
    <w:p w14:paraId="591338CE">
      <w:pPr>
        <w:numPr>
          <w:ilvl w:val="0"/>
          <w:numId w:val="0"/>
        </w:numPr>
        <w:bidi w:val="0"/>
        <w:ind w:firstLine="480" w:firstLineChars="200"/>
        <w:rPr>
          <w:rFonts w:hint="eastAsia" w:ascii="宋体" w:hAnsi="宋体" w:eastAsia="宋体" w:cs="宋体"/>
          <w:color w:val="auto"/>
          <w:lang w:val="en-US" w:eastAsia="zh-CN"/>
        </w:rPr>
      </w:pPr>
      <w:r>
        <w:rPr>
          <w:rFonts w:hint="eastAsia" w:ascii="宋体" w:hAnsi="宋体" w:eastAsia="宋体" w:cs="宋体"/>
          <w:color w:val="auto"/>
          <w:lang w:val="en-US" w:eastAsia="zh-CN"/>
        </w:rPr>
        <w:t>账户及收款信息：重庆公路养护工程（集团）有限公司</w:t>
      </w:r>
    </w:p>
    <w:p w14:paraId="20C596BB">
      <w:pPr>
        <w:numPr>
          <w:ilvl w:val="0"/>
          <w:numId w:val="0"/>
        </w:numPr>
        <w:bidi w:val="0"/>
        <w:ind w:firstLine="480" w:firstLineChars="200"/>
        <w:rPr>
          <w:rFonts w:hint="eastAsia" w:ascii="宋体" w:hAnsi="宋体" w:eastAsia="宋体" w:cs="宋体"/>
          <w:color w:val="auto"/>
          <w:lang w:val="en-US" w:eastAsia="zh-CN"/>
        </w:rPr>
      </w:pPr>
      <w:r>
        <w:rPr>
          <w:rFonts w:hint="eastAsia" w:ascii="宋体" w:hAnsi="宋体" w:eastAsia="宋体" w:cs="宋体"/>
          <w:color w:val="auto"/>
          <w:lang w:val="en-US" w:eastAsia="zh-CN"/>
        </w:rPr>
        <w:t>开户行：兴业银行重庆分行营业部</w:t>
      </w:r>
    </w:p>
    <w:p w14:paraId="096B6710">
      <w:pPr>
        <w:numPr>
          <w:ilvl w:val="0"/>
          <w:numId w:val="0"/>
        </w:numPr>
        <w:bidi w:val="0"/>
        <w:ind w:firstLine="480" w:firstLineChars="200"/>
        <w:rPr>
          <w:rFonts w:hint="eastAsia" w:ascii="宋体" w:hAnsi="宋体" w:eastAsia="宋体" w:cs="宋体"/>
          <w:color w:val="auto"/>
          <w:lang w:val="en-US" w:eastAsia="zh-CN"/>
        </w:rPr>
      </w:pPr>
      <w:r>
        <w:rPr>
          <w:rFonts w:hint="eastAsia" w:ascii="宋体" w:hAnsi="宋体" w:eastAsia="宋体" w:cs="宋体"/>
          <w:color w:val="auto"/>
          <w:lang w:val="en-US" w:eastAsia="zh-CN"/>
        </w:rPr>
        <w:t>银行账号：346010100100780766</w:t>
      </w:r>
    </w:p>
    <w:p w14:paraId="3D932A1A">
      <w:pPr>
        <w:pStyle w:val="3"/>
        <w:spacing w:before="0" w:beforeLines="0" w:after="0" w:afterLines="0" w:line="360" w:lineRule="auto"/>
      </w:pPr>
      <w:r>
        <w:rPr>
          <w:rFonts w:hint="eastAsia"/>
          <w:lang w:val="en-US" w:eastAsia="zh-CN"/>
        </w:rPr>
        <w:t>六</w:t>
      </w:r>
      <w:r>
        <w:rPr>
          <w:rFonts w:hint="eastAsia"/>
        </w:rPr>
        <w:t>、竞争性比选须知</w:t>
      </w:r>
    </w:p>
    <w:p w14:paraId="3B423711">
      <w:pPr>
        <w:ind w:firstLine="480"/>
        <w:rPr>
          <w:rFonts w:hint="eastAsia"/>
          <w:lang w:val="en-US" w:eastAsia="zh-CN"/>
        </w:rPr>
      </w:pPr>
      <w:r>
        <w:rPr>
          <w:rFonts w:hint="eastAsia"/>
          <w:lang w:val="en-US" w:eastAsia="zh-CN"/>
        </w:rPr>
        <w:t>1、竞争性比选文件获取方式：凡愿意参加的潜在比选申请人，自挂网起至比选申请文件递交截止时间前，详见</w:t>
      </w:r>
      <w:r>
        <w:rPr>
          <w:rFonts w:hint="eastAsia"/>
          <w:lang w:eastAsia="zh-CN"/>
        </w:rPr>
        <w:t>重庆高速集团官网（https://www.cegc.com.cn/html/col1810480.html）</w:t>
      </w:r>
      <w:r>
        <w:rPr>
          <w:rFonts w:hint="eastAsia"/>
          <w:lang w:val="en-US" w:eastAsia="zh-CN"/>
        </w:rPr>
        <w:t>上发布的本项目竞争性比选公告中的获取方式（链接）自行下载，不管比选申请人是否下载，均视为已知晓竞争性比选文件的全部内容和有关事宜，本项目不需要报名，直接投标。</w:t>
      </w:r>
    </w:p>
    <w:p w14:paraId="1996E223">
      <w:pPr>
        <w:ind w:firstLine="480"/>
        <w:rPr>
          <w:rFonts w:hint="eastAsia"/>
          <w:lang w:val="en-US" w:eastAsia="zh-CN"/>
        </w:rPr>
      </w:pPr>
      <w:r>
        <w:rPr>
          <w:rFonts w:hint="eastAsia"/>
          <w:lang w:val="en-US" w:eastAsia="zh-CN"/>
        </w:rPr>
        <w:t>2、竞争性比选公告及结果公示将在</w:t>
      </w:r>
      <w:r>
        <w:rPr>
          <w:rFonts w:hint="eastAsia"/>
          <w:lang w:eastAsia="zh-CN"/>
        </w:rPr>
        <w:t>重庆高速集团官网（https://www.cegc.com.cn/html/col1810480.html）</w:t>
      </w:r>
      <w:r>
        <w:rPr>
          <w:rFonts w:hint="eastAsia"/>
          <w:lang w:val="en-US" w:eastAsia="zh-CN"/>
        </w:rPr>
        <w:t>上发布。</w:t>
      </w:r>
    </w:p>
    <w:p w14:paraId="04F746A9">
      <w:pPr>
        <w:keepNext w:val="0"/>
        <w:keepLines w:val="0"/>
        <w:pageBreakBefore w:val="0"/>
        <w:widowControl w:val="0"/>
        <w:kinsoku/>
        <w:overflowPunct/>
        <w:autoSpaceDE/>
        <w:autoSpaceDN/>
        <w:bidi w:val="0"/>
        <w:adjustRightInd/>
        <w:snapToGrid/>
        <w:spacing w:line="360" w:lineRule="auto"/>
        <w:textAlignment w:val="auto"/>
        <w:rPr>
          <w:rFonts w:hint="eastAsia"/>
          <w:lang w:val="en-US" w:eastAsia="zh-CN"/>
        </w:rPr>
      </w:pPr>
      <w:r>
        <w:rPr>
          <w:rFonts w:hint="eastAsia"/>
          <w:lang w:val="en-US" w:eastAsia="zh-CN"/>
        </w:rPr>
        <w:t>3、比选申请文件递交地点：重庆公路养护工程（集团）有限公司513室（重庆市沙坪坝区梨高路沙坪坝区档案馆旁五楼）。</w:t>
      </w:r>
    </w:p>
    <w:p w14:paraId="5B4BCCAC">
      <w:pPr>
        <w:keepNext w:val="0"/>
        <w:keepLines w:val="0"/>
        <w:pageBreakBefore w:val="0"/>
        <w:widowControl w:val="0"/>
        <w:kinsoku/>
        <w:overflowPunct/>
        <w:autoSpaceDE/>
        <w:autoSpaceDN/>
        <w:bidi w:val="0"/>
        <w:adjustRightInd/>
        <w:snapToGrid/>
        <w:spacing w:line="360" w:lineRule="auto"/>
        <w:textAlignment w:val="auto"/>
        <w:rPr>
          <w:rFonts w:hint="eastAsia"/>
          <w:lang w:val="en-US" w:eastAsia="zh-CN"/>
        </w:rPr>
      </w:pPr>
      <w:r>
        <w:rPr>
          <w:rFonts w:hint="eastAsia"/>
          <w:lang w:val="en-US" w:eastAsia="zh-CN"/>
        </w:rPr>
        <w:t>4、比选申请文件递交截止时间</w:t>
      </w:r>
      <w:r>
        <w:rPr>
          <w:rFonts w:hint="eastAsia"/>
          <w:highlight w:val="none"/>
          <w:lang w:val="en-US" w:eastAsia="zh-CN"/>
        </w:rPr>
        <w:t>：</w:t>
      </w:r>
      <w:r>
        <w:rPr>
          <w:rFonts w:hint="eastAsia"/>
          <w:color w:val="auto"/>
          <w:highlight w:val="none"/>
          <w:u w:val="single"/>
          <w:lang w:val="en-US" w:eastAsia="zh-CN"/>
        </w:rPr>
        <w:t xml:space="preserve"> </w:t>
      </w:r>
      <w:r>
        <w:rPr>
          <w:rFonts w:hint="eastAsia"/>
          <w:b/>
          <w:bCs/>
          <w:color w:val="auto"/>
          <w:highlight w:val="none"/>
          <w:u w:val="single"/>
          <w:lang w:val="en-US" w:eastAsia="zh-CN"/>
        </w:rPr>
        <w:t xml:space="preserve">2026 </w:t>
      </w:r>
      <w:r>
        <w:rPr>
          <w:rFonts w:hint="eastAsia"/>
          <w:color w:val="auto"/>
          <w:highlight w:val="none"/>
          <w:lang w:val="en-US" w:eastAsia="zh-CN"/>
        </w:rPr>
        <w:t>年</w:t>
      </w:r>
      <w:r>
        <w:rPr>
          <w:rFonts w:hint="eastAsia"/>
          <w:b/>
          <w:bCs/>
          <w:color w:val="auto"/>
          <w:highlight w:val="none"/>
          <w:u w:val="single"/>
          <w:lang w:val="en-US" w:eastAsia="zh-CN"/>
        </w:rPr>
        <w:t xml:space="preserve">  7  </w:t>
      </w:r>
      <w:r>
        <w:rPr>
          <w:rFonts w:hint="eastAsia"/>
          <w:color w:val="auto"/>
          <w:highlight w:val="none"/>
          <w:lang w:val="en-US" w:eastAsia="zh-CN"/>
        </w:rPr>
        <w:t>月</w:t>
      </w:r>
      <w:r>
        <w:rPr>
          <w:rFonts w:hint="eastAsia"/>
          <w:b/>
          <w:bCs/>
          <w:color w:val="auto"/>
          <w:highlight w:val="none"/>
          <w:u w:val="single"/>
          <w:lang w:val="en-US" w:eastAsia="zh-CN"/>
        </w:rPr>
        <w:t xml:space="preserve">  31 </w:t>
      </w:r>
      <w:r>
        <w:rPr>
          <w:rFonts w:hint="eastAsia"/>
          <w:color w:val="auto"/>
          <w:highlight w:val="none"/>
          <w:lang w:val="en-US" w:eastAsia="zh-CN"/>
        </w:rPr>
        <w:t>日</w:t>
      </w:r>
      <w:r>
        <w:rPr>
          <w:rFonts w:hint="eastAsia"/>
          <w:b/>
          <w:bCs/>
          <w:color w:val="auto"/>
          <w:highlight w:val="none"/>
          <w:u w:val="single"/>
          <w:lang w:val="en-US" w:eastAsia="zh-CN"/>
        </w:rPr>
        <w:t xml:space="preserve"> 10 </w:t>
      </w:r>
      <w:r>
        <w:rPr>
          <w:rFonts w:hint="eastAsia"/>
          <w:color w:val="auto"/>
          <w:highlight w:val="none"/>
          <w:lang w:val="en-US" w:eastAsia="zh-CN"/>
        </w:rPr>
        <w:t>时</w:t>
      </w:r>
      <w:r>
        <w:rPr>
          <w:rFonts w:hint="eastAsia"/>
          <w:b/>
          <w:bCs/>
          <w:color w:val="auto"/>
          <w:highlight w:val="none"/>
          <w:u w:val="single"/>
          <w:lang w:val="en-US" w:eastAsia="zh-CN"/>
        </w:rPr>
        <w:t xml:space="preserve"> 00 </w:t>
      </w:r>
      <w:r>
        <w:rPr>
          <w:rFonts w:hint="eastAsia"/>
          <w:color w:val="auto"/>
          <w:highlight w:val="none"/>
          <w:lang w:val="en-US" w:eastAsia="zh-CN"/>
        </w:rPr>
        <w:t>分。</w:t>
      </w:r>
    </w:p>
    <w:p w14:paraId="7AD1CABC">
      <w:pPr>
        <w:ind w:firstLine="480"/>
      </w:pPr>
      <w:r>
        <w:rPr>
          <w:rFonts w:hint="eastAsia"/>
          <w:lang w:val="en-US" w:eastAsia="zh-CN"/>
        </w:rPr>
        <w:t>5</w:t>
      </w:r>
      <w:r>
        <w:rPr>
          <w:rFonts w:hint="eastAsia"/>
        </w:rPr>
        <w:t>、</w:t>
      </w:r>
      <w:r>
        <w:t>比选申请人应根据本次竞争性比选的具体要求，编制规范的比选申请文件（比选申请文件，要求填写规范，密封完好并在封口处加盖公章，所有比选申请文件均只能作一次性提交，提交后不得更改）。当第一次不足三家报名时，不予开标，标书当场退回；第二次不足三家报名时，可按比选文件要求进行开标。</w:t>
      </w:r>
    </w:p>
    <w:p w14:paraId="1872EBA7">
      <w:pPr>
        <w:ind w:firstLine="480"/>
      </w:pPr>
      <w:r>
        <w:rPr>
          <w:rFonts w:hint="eastAsia"/>
          <w:lang w:val="en-US" w:eastAsia="zh-CN"/>
        </w:rPr>
        <w:t>6</w:t>
      </w:r>
      <w:r>
        <w:rPr>
          <w:rFonts w:hint="eastAsia"/>
        </w:rPr>
        <w:t>、</w:t>
      </w:r>
      <w:r>
        <w:t>密封要求：</w:t>
      </w:r>
    </w:p>
    <w:p w14:paraId="49E0A70B">
      <w:pPr>
        <w:ind w:firstLine="480"/>
      </w:pPr>
      <w:r>
        <w:t>按</w:t>
      </w:r>
      <w:r>
        <w:rPr>
          <w:b/>
          <w:bCs/>
        </w:rPr>
        <w:t>第</w:t>
      </w:r>
      <w:r>
        <w:rPr>
          <w:rFonts w:hint="eastAsia"/>
          <w:b/>
          <w:bCs/>
          <w:lang w:val="en-US" w:eastAsia="zh-CN"/>
        </w:rPr>
        <w:t>三</w:t>
      </w:r>
      <w:r>
        <w:rPr>
          <w:b/>
          <w:bCs/>
        </w:rPr>
        <w:t>条</w:t>
      </w:r>
      <w:r>
        <w:t>要求制作比选申请文件，将比选申请文件密封到一个封套中，再在封套上写明：</w:t>
      </w:r>
    </w:p>
    <w:p w14:paraId="5592CA58">
      <w:pPr>
        <w:ind w:firstLine="0" w:firstLineChars="0"/>
        <w:jc w:val="center"/>
        <w:rPr>
          <w:b/>
          <w:bCs/>
          <w:u w:val="single"/>
        </w:rPr>
      </w:pPr>
      <w:r>
        <w:rPr>
          <w:rFonts w:hint="eastAsia"/>
          <w:b/>
          <w:bCs/>
          <w:u w:val="single"/>
        </w:rPr>
        <w:t>重庆公路养护工程（集团）有限公司</w:t>
      </w:r>
    </w:p>
    <w:p w14:paraId="5CF6629C">
      <w:pPr>
        <w:ind w:firstLine="0" w:firstLineChars="0"/>
        <w:jc w:val="center"/>
        <w:rPr>
          <w:b/>
          <w:bCs/>
          <w:u w:val="single"/>
        </w:rPr>
      </w:pPr>
      <w:r>
        <w:rPr>
          <w:rFonts w:hint="eastAsia" w:ascii="宋体" w:hAnsi="宋体" w:cs="宋体"/>
          <w:b/>
          <w:u w:val="single"/>
          <w:lang w:eastAsia="zh-CN"/>
        </w:rPr>
        <w:t>富金坝航电枢纽桥梁缺陷整治施工项目</w:t>
      </w:r>
      <w:r>
        <w:rPr>
          <w:rFonts w:hint="eastAsia"/>
          <w:b/>
          <w:bCs/>
          <w:u w:val="single"/>
        </w:rPr>
        <w:t>劳务分包</w:t>
      </w:r>
      <w:r>
        <w:rPr>
          <w:b/>
          <w:bCs/>
          <w:u w:val="single"/>
        </w:rPr>
        <w:t>比选申请文件</w:t>
      </w:r>
    </w:p>
    <w:p w14:paraId="7D28C7CC">
      <w:pPr>
        <w:ind w:firstLine="0" w:firstLineChars="0"/>
        <w:jc w:val="center"/>
        <w:rPr>
          <w:b/>
          <w:bCs/>
          <w:color w:val="auto"/>
          <w:u w:val="single"/>
        </w:rPr>
      </w:pPr>
      <w:r>
        <w:rPr>
          <w:b/>
          <w:bCs/>
          <w:color w:val="auto"/>
          <w:u w:val="single"/>
        </w:rPr>
        <w:t>在</w:t>
      </w:r>
      <w:r>
        <w:rPr>
          <w:rFonts w:hint="eastAsia"/>
          <w:b/>
          <w:bCs/>
          <w:color w:val="auto"/>
          <w:u w:val="single"/>
          <w:lang w:val="en-US" w:eastAsia="zh-CN"/>
        </w:rPr>
        <w:t>2026</w:t>
      </w:r>
      <w:r>
        <w:rPr>
          <w:b/>
          <w:bCs/>
          <w:color w:val="auto"/>
          <w:u w:val="single"/>
        </w:rPr>
        <w:t xml:space="preserve">年 </w:t>
      </w:r>
      <w:r>
        <w:rPr>
          <w:rFonts w:hint="eastAsia"/>
          <w:b/>
          <w:bCs/>
          <w:color w:val="auto"/>
          <w:u w:val="single"/>
          <w:lang w:val="en-US" w:eastAsia="zh-CN"/>
        </w:rPr>
        <w:t xml:space="preserve">7 </w:t>
      </w:r>
      <w:r>
        <w:rPr>
          <w:b/>
          <w:bCs/>
          <w:color w:val="auto"/>
          <w:u w:val="single"/>
        </w:rPr>
        <w:t xml:space="preserve">月 </w:t>
      </w:r>
      <w:r>
        <w:rPr>
          <w:rFonts w:hint="eastAsia"/>
          <w:b/>
          <w:bCs/>
          <w:color w:val="auto"/>
          <w:u w:val="single"/>
          <w:lang w:val="en-US" w:eastAsia="zh-CN"/>
        </w:rPr>
        <w:t>31</w:t>
      </w:r>
      <w:r>
        <w:rPr>
          <w:rFonts w:hint="eastAsia"/>
          <w:b/>
          <w:bCs/>
          <w:color w:val="auto"/>
          <w:u w:val="single"/>
        </w:rPr>
        <w:t xml:space="preserve"> </w:t>
      </w:r>
      <w:r>
        <w:rPr>
          <w:b/>
          <w:bCs/>
          <w:color w:val="auto"/>
          <w:u w:val="single"/>
        </w:rPr>
        <w:t>日</w:t>
      </w:r>
      <w:r>
        <w:rPr>
          <w:rFonts w:hint="eastAsia"/>
          <w:b/>
          <w:bCs/>
          <w:color w:val="auto"/>
          <w:u w:val="single"/>
        </w:rPr>
        <w:t xml:space="preserve"> </w:t>
      </w:r>
      <w:r>
        <w:rPr>
          <w:rFonts w:hint="eastAsia"/>
          <w:b/>
          <w:bCs/>
          <w:color w:val="auto"/>
          <w:u w:val="single"/>
          <w:lang w:val="en-US" w:eastAsia="zh-CN"/>
        </w:rPr>
        <w:t>10</w:t>
      </w:r>
      <w:r>
        <w:rPr>
          <w:rFonts w:hint="eastAsia"/>
          <w:b/>
          <w:bCs/>
          <w:color w:val="auto"/>
          <w:u w:val="single"/>
        </w:rPr>
        <w:t xml:space="preserve"> </w:t>
      </w:r>
      <w:r>
        <w:rPr>
          <w:b/>
          <w:bCs/>
          <w:color w:val="auto"/>
          <w:u w:val="single"/>
        </w:rPr>
        <w:t>时</w:t>
      </w:r>
      <w:bookmarkStart w:id="7" w:name="_GoBack"/>
      <w:bookmarkEnd w:id="7"/>
      <w:r>
        <w:rPr>
          <w:rFonts w:hint="eastAsia"/>
          <w:b/>
          <w:bCs/>
          <w:color w:val="auto"/>
          <w:u w:val="single"/>
        </w:rPr>
        <w:t xml:space="preserve"> </w:t>
      </w:r>
      <w:r>
        <w:rPr>
          <w:rFonts w:hint="eastAsia"/>
          <w:b/>
          <w:bCs/>
          <w:color w:val="auto"/>
          <w:u w:val="single"/>
          <w:lang w:val="en-US" w:eastAsia="zh-CN"/>
        </w:rPr>
        <w:t>00</w:t>
      </w:r>
      <w:r>
        <w:rPr>
          <w:b/>
          <w:bCs/>
          <w:color w:val="auto"/>
          <w:u w:val="single"/>
        </w:rPr>
        <w:t xml:space="preserve"> 分前不得开启</w:t>
      </w:r>
    </w:p>
    <w:p w14:paraId="0DA0C8F3">
      <w:pPr>
        <w:ind w:firstLine="480"/>
      </w:pPr>
      <w:r>
        <w:rPr>
          <w:rFonts w:hint="eastAsia"/>
        </w:rPr>
        <w:t>6、</w:t>
      </w:r>
      <w:r>
        <w:t>特别提醒：若比选申请人恶意竞标后不与按比选要求与比选人签订合同或履约，比选人将直接将比选申请人及其关联单位（含法人代表与委托代理人）一并拉入黑名单，不得参与</w:t>
      </w:r>
      <w:r>
        <w:rPr>
          <w:rFonts w:hint="eastAsia"/>
        </w:rPr>
        <w:t>养护集团</w:t>
      </w:r>
      <w:r>
        <w:t>所有比选项目报价。</w:t>
      </w:r>
    </w:p>
    <w:p w14:paraId="2AB29914">
      <w:pPr>
        <w:ind w:firstLine="480"/>
      </w:pPr>
      <w:r>
        <w:rPr>
          <w:rFonts w:hint="eastAsia"/>
        </w:rPr>
        <w:t>7、</w:t>
      </w:r>
      <w:r>
        <w:t>廉政约定：</w:t>
      </w:r>
    </w:p>
    <w:p w14:paraId="297A7FD7">
      <w:pPr>
        <w:ind w:firstLine="480"/>
      </w:pPr>
      <w:r>
        <w:t>为杜绝商业贿赂现象，共同营造公平、公正的竞争环境，敬请各竞标人在参与竞标报价过程中，将竞争性比选人明示或暗示要求宴请、招待，或索取礼金、礼品、礼券、其他利益，或故意刁难、显失公平现象，向我司纪检监察人员进行举报（须提供有效线索和相关证据、证明材料）。具体举报渠道告知如下：</w:t>
      </w:r>
    </w:p>
    <w:p w14:paraId="39B99813">
      <w:pPr>
        <w:ind w:firstLine="480"/>
        <w:rPr>
          <w:rFonts w:hint="eastAsia"/>
          <w:lang w:val="en-US" w:eastAsia="zh-CN"/>
        </w:rPr>
      </w:pPr>
      <w:r>
        <w:t>举报联系人：</w:t>
      </w:r>
      <w:r>
        <w:rPr>
          <w:rFonts w:hint="eastAsia"/>
          <w:lang w:val="en-US" w:eastAsia="zh-CN"/>
        </w:rPr>
        <w:t>崔</w:t>
      </w:r>
      <w:r>
        <w:t>老师   举报电话：023-8918</w:t>
      </w:r>
      <w:r>
        <w:rPr>
          <w:rFonts w:hint="eastAsia"/>
          <w:lang w:val="en-US" w:eastAsia="zh-CN"/>
        </w:rPr>
        <w:t>7986</w:t>
      </w:r>
    </w:p>
    <w:p w14:paraId="7204024F">
      <w:pPr>
        <w:ind w:firstLine="480"/>
      </w:pPr>
      <w:r>
        <w:t>我司承诺：对所有举报信息及时调查处理，对举报来源严格保守秘密，对举报单位因举报所可能遭受的利益损害采取特别措施予以保护。</w:t>
      </w:r>
    </w:p>
    <w:p w14:paraId="3FFF27FC">
      <w:pPr>
        <w:ind w:firstLine="480"/>
      </w:pPr>
      <w:r>
        <w:rPr>
          <w:rFonts w:hint="eastAsia"/>
        </w:rPr>
        <w:t>8、</w:t>
      </w:r>
      <w:r>
        <w:t>合同（附后）。</w:t>
      </w:r>
    </w:p>
    <w:p w14:paraId="37F3D875">
      <w:pPr>
        <w:ind w:firstLine="480"/>
      </w:pPr>
      <w:r>
        <w:rPr>
          <w:rFonts w:hint="eastAsia"/>
        </w:rPr>
        <w:t>9、</w:t>
      </w:r>
      <w:r>
        <w:t>比选人联系方式</w:t>
      </w:r>
      <w:r>
        <w:rPr>
          <w:rFonts w:hint="eastAsia"/>
        </w:rPr>
        <w:t>：</w:t>
      </w:r>
    </w:p>
    <w:p w14:paraId="5A7BBCE9">
      <w:pPr>
        <w:ind w:firstLine="480"/>
      </w:pPr>
      <w:r>
        <w:t>比选人：</w:t>
      </w:r>
      <w:r>
        <w:rPr>
          <w:rFonts w:hint="eastAsia"/>
        </w:rPr>
        <w:t>重庆公路养护工程（集团）有限公司</w:t>
      </w:r>
    </w:p>
    <w:p w14:paraId="69FB88E0">
      <w:pPr>
        <w:ind w:firstLine="480"/>
      </w:pPr>
      <w:r>
        <w:t>地址：</w:t>
      </w:r>
      <w:r>
        <w:rPr>
          <w:rFonts w:hint="eastAsia"/>
        </w:rPr>
        <w:t>重庆公路养护工程（集团）有限公司306</w:t>
      </w:r>
      <w:r>
        <w:t>室（重庆市沙坪坝区梨高</w:t>
      </w:r>
      <w:r>
        <w:rPr>
          <w:rFonts w:hint="eastAsia"/>
        </w:rPr>
        <w:t>4号</w:t>
      </w:r>
      <w:r>
        <w:t>）</w:t>
      </w:r>
    </w:p>
    <w:p w14:paraId="1C569CC3">
      <w:pPr>
        <w:pStyle w:val="11"/>
        <w:ind w:firstLine="480"/>
        <w:rPr>
          <w:u w:val="single"/>
        </w:rPr>
        <w:sectPr>
          <w:headerReference r:id="rId11" w:type="default"/>
          <w:footerReference r:id="rId12" w:type="default"/>
          <w:pgSz w:w="11906" w:h="16838"/>
          <w:pgMar w:top="1134" w:right="1134" w:bottom="1134" w:left="1134" w:header="794" w:footer="782" w:gutter="0"/>
          <w:pgNumType w:start="1"/>
          <w:cols w:space="425" w:num="1"/>
          <w:docGrid w:type="lines" w:linePitch="312" w:charSpace="0"/>
        </w:sectPr>
      </w:pPr>
      <w:r>
        <w:rPr>
          <w:rFonts w:hint="eastAsia"/>
        </w:rPr>
        <w:t>联系人：陈老师</w:t>
      </w:r>
      <w:r>
        <w:rPr>
          <w:rFonts w:hint="eastAsia"/>
        </w:rPr>
        <w:tab/>
      </w:r>
      <w:r>
        <w:rPr>
          <w:rFonts w:hint="eastAsia"/>
        </w:rPr>
        <w:tab/>
      </w:r>
      <w:r>
        <w:rPr>
          <w:rFonts w:hint="eastAsia"/>
        </w:rPr>
        <w:tab/>
      </w:r>
      <w:r>
        <w:rPr>
          <w:rFonts w:hint="eastAsia"/>
        </w:rPr>
        <w:t>电话：</w:t>
      </w:r>
      <w:r>
        <w:rPr>
          <w:rFonts w:hint="eastAsia"/>
          <w:u w:val="single"/>
        </w:rPr>
        <w:t>15025508056</w:t>
      </w:r>
    </w:p>
    <w:p w14:paraId="25E63F53">
      <w:pPr>
        <w:pStyle w:val="2"/>
        <w:spacing w:before="312" w:after="312"/>
      </w:pPr>
      <w:r>
        <w:rPr>
          <w:rFonts w:hint="eastAsia"/>
        </w:rPr>
        <w:t>重庆公路养护工程（集团）有限公司</w:t>
      </w:r>
    </w:p>
    <w:p w14:paraId="742D6FE3">
      <w:pPr>
        <w:pStyle w:val="2"/>
        <w:spacing w:before="312" w:after="312"/>
      </w:pPr>
      <w:r>
        <w:rPr>
          <w:rFonts w:hint="eastAsia" w:ascii="宋体" w:hAnsi="宋体" w:cs="宋体"/>
          <w:szCs w:val="32"/>
          <w:lang w:eastAsia="zh-CN"/>
        </w:rPr>
        <w:t>富金坝航电枢纽桥梁缺陷整治施工项目</w:t>
      </w:r>
      <w:r>
        <w:rPr>
          <w:rFonts w:hint="eastAsia"/>
        </w:rPr>
        <w:t>劳务分包合同</w:t>
      </w:r>
    </w:p>
    <w:p w14:paraId="5B7C1912">
      <w:pPr>
        <w:ind w:firstLine="0" w:firstLineChars="0"/>
        <w:rPr>
          <w:b/>
          <w:bCs/>
          <w:u w:val="single"/>
        </w:rPr>
      </w:pPr>
      <w:r>
        <w:rPr>
          <w:rFonts w:hint="eastAsia"/>
        </w:rPr>
        <w:t>甲方：</w:t>
      </w:r>
      <w:r>
        <w:rPr>
          <w:rFonts w:hint="eastAsia"/>
          <w:u w:val="single"/>
        </w:rPr>
        <w:t xml:space="preserve"> </w:t>
      </w:r>
      <w:r>
        <w:rPr>
          <w:rFonts w:hint="eastAsia"/>
          <w:b/>
          <w:bCs/>
          <w:u w:val="single"/>
        </w:rPr>
        <w:t xml:space="preserve">重庆公路养护工程（集团）有限公司 </w:t>
      </w:r>
    </w:p>
    <w:p w14:paraId="1E3BE699">
      <w:pPr>
        <w:ind w:firstLine="0" w:firstLineChars="0"/>
        <w:rPr>
          <w:b/>
          <w:bCs/>
          <w:u w:val="single"/>
        </w:rPr>
      </w:pPr>
      <w:r>
        <w:rPr>
          <w:rFonts w:hint="eastAsia"/>
        </w:rPr>
        <w:t>联系地址：</w:t>
      </w:r>
      <w:r>
        <w:rPr>
          <w:rFonts w:hint="eastAsia"/>
          <w:u w:val="single"/>
        </w:rPr>
        <w:t xml:space="preserve"> </w:t>
      </w:r>
      <w:r>
        <w:rPr>
          <w:rFonts w:hint="eastAsia"/>
          <w:b/>
          <w:bCs/>
          <w:u w:val="single"/>
        </w:rPr>
        <w:t xml:space="preserve">重庆市沙坪坝区梨高路4号 </w:t>
      </w:r>
    </w:p>
    <w:p w14:paraId="050042B5">
      <w:pPr>
        <w:ind w:firstLine="480"/>
      </w:pPr>
    </w:p>
    <w:p w14:paraId="64036EDD">
      <w:pPr>
        <w:ind w:firstLine="0" w:firstLineChars="0"/>
        <w:rPr>
          <w:u w:val="single"/>
        </w:rPr>
      </w:pPr>
      <w:r>
        <w:rPr>
          <w:rFonts w:hint="eastAsia"/>
        </w:rPr>
        <w:t>乙方：</w:t>
      </w:r>
      <w:r>
        <w:rPr>
          <w:rFonts w:hint="eastAsia"/>
          <w:u w:val="single"/>
        </w:rPr>
        <w:t xml:space="preserve">                                  </w:t>
      </w:r>
    </w:p>
    <w:p w14:paraId="412C9A40">
      <w:pPr>
        <w:ind w:firstLine="0" w:firstLineChars="0"/>
        <w:rPr>
          <w:u w:val="single"/>
        </w:rPr>
      </w:pPr>
      <w:r>
        <w:rPr>
          <w:rFonts w:hint="eastAsia"/>
        </w:rPr>
        <w:t>联系地址：</w:t>
      </w:r>
      <w:r>
        <w:rPr>
          <w:rFonts w:hint="eastAsia"/>
          <w:u w:val="single"/>
        </w:rPr>
        <w:t xml:space="preserve">                                           </w:t>
      </w:r>
    </w:p>
    <w:p w14:paraId="75B93AB3">
      <w:pPr>
        <w:wordWrap/>
        <w:topLinePunct w:val="0"/>
        <w:ind w:firstLine="480"/>
      </w:pPr>
      <w:r>
        <w:t>甲方因</w:t>
      </w:r>
      <w:r>
        <w:rPr>
          <w:rFonts w:hint="eastAsia" w:ascii="宋体" w:hAnsi="宋体" w:cs="宋体"/>
          <w:b/>
          <w:u w:val="single"/>
          <w:lang w:eastAsia="zh-CN"/>
        </w:rPr>
        <w:t>富金坝航电枢纽桥梁缺陷整治施工项目</w:t>
      </w:r>
      <w:r>
        <w:t>的需要，现将该工程</w:t>
      </w:r>
      <w:r>
        <w:rPr>
          <w:rFonts w:hint="eastAsia"/>
          <w:b/>
          <w:bCs/>
          <w:u w:val="single"/>
        </w:rPr>
        <w:t>劳务</w:t>
      </w:r>
      <w:r>
        <w:rPr>
          <w:b/>
          <w:bCs/>
          <w:u w:val="single"/>
        </w:rPr>
        <w:t>分包</w:t>
      </w:r>
      <w:r>
        <w:t>给乙方实施；为了明确双方的责任、权利、义务，依照《中华人民共和国民法典》、《中华人民共和国建筑法》及其他有关法律、行政法规，双方在遵循平等、自愿、公平和诚实守信的原则基础上，经协商一致，商定如下条款，共同遵守执行：</w:t>
      </w:r>
    </w:p>
    <w:p w14:paraId="3B5D2ECA">
      <w:pPr>
        <w:pStyle w:val="44"/>
        <w:numPr>
          <w:ilvl w:val="0"/>
          <w:numId w:val="4"/>
        </w:numPr>
        <w:wordWrap/>
        <w:topLinePunct w:val="0"/>
        <w:ind w:firstLineChars="0"/>
      </w:pPr>
      <w:r>
        <w:rPr>
          <w:rFonts w:hint="eastAsia"/>
          <w:b/>
          <w:bCs/>
        </w:rPr>
        <w:t>工程概况</w:t>
      </w:r>
    </w:p>
    <w:p w14:paraId="170D3F6C">
      <w:pPr>
        <w:ind w:firstLine="480"/>
        <w:rPr>
          <w:b/>
          <w:bCs/>
          <w:u w:val="single"/>
        </w:rPr>
      </w:pPr>
      <w:r>
        <w:rPr>
          <w:rFonts w:hint="eastAsia"/>
        </w:rPr>
        <w:t>工程名称：</w:t>
      </w:r>
      <w:r>
        <w:rPr>
          <w:rFonts w:hint="eastAsia" w:ascii="宋体" w:hAnsi="宋体" w:cs="宋体"/>
          <w:b/>
          <w:u w:val="single"/>
          <w:lang w:eastAsia="zh-CN"/>
        </w:rPr>
        <w:t>富金坝航电枢纽桥梁缺陷整治施工项目</w:t>
      </w:r>
      <w:r>
        <w:rPr>
          <w:rFonts w:hint="eastAsia"/>
          <w:b/>
          <w:bCs/>
          <w:u w:val="single"/>
        </w:rPr>
        <w:t>。</w:t>
      </w:r>
    </w:p>
    <w:p w14:paraId="19F1CED6">
      <w:pPr>
        <w:ind w:firstLine="480"/>
        <w:rPr>
          <w:b/>
          <w:bCs/>
          <w:u w:val="single"/>
        </w:rPr>
      </w:pPr>
      <w:r>
        <w:rPr>
          <w:rFonts w:hint="eastAsia"/>
        </w:rPr>
        <w:t>工程地点：</w:t>
      </w:r>
      <w:r>
        <w:rPr>
          <w:rFonts w:hint="eastAsia" w:ascii="宋体" w:cs="Times New Roman"/>
          <w:b/>
          <w:bCs w:val="0"/>
          <w:i w:val="0"/>
          <w:iCs w:val="0"/>
          <w:color w:val="auto"/>
          <w:sz w:val="24"/>
          <w:szCs w:val="32"/>
          <w:highlight w:val="none"/>
          <w:u w:val="single"/>
          <w:lang w:val="en-US" w:eastAsia="zh-CN"/>
        </w:rPr>
        <w:t>富金坝航电枢纽</w:t>
      </w:r>
      <w:r>
        <w:rPr>
          <w:rFonts w:hint="eastAsia"/>
          <w:b/>
          <w:bCs/>
          <w:u w:val="single"/>
        </w:rPr>
        <w:t>。</w:t>
      </w:r>
    </w:p>
    <w:p w14:paraId="3E6E3C26">
      <w:pPr>
        <w:pStyle w:val="11"/>
        <w:ind w:firstLine="480"/>
        <w:rPr>
          <w:color w:val="000000" w:themeColor="text1"/>
          <w:u w:val="single"/>
          <w14:textFill>
            <w14:solidFill>
              <w14:schemeClr w14:val="tx1"/>
            </w14:solidFill>
          </w14:textFill>
        </w:rPr>
      </w:pPr>
      <w:r>
        <w:rPr>
          <w:rFonts w:hint="eastAsia"/>
        </w:rPr>
        <w:t>工程内容：</w:t>
      </w:r>
      <w:r>
        <w:rPr>
          <w:rFonts w:hint="eastAsia" w:ascii="Times New Roman" w:hAnsi="Times New Roman" w:eastAsia="宋体" w:cstheme="minorBidi"/>
          <w:color w:val="000000" w:themeColor="text1"/>
          <w:kern w:val="2"/>
          <w:sz w:val="24"/>
          <w:szCs w:val="24"/>
          <w:u w:val="single"/>
          <w:lang w:val="en-US" w:eastAsia="zh-CN" w:bidi="ar-SA"/>
          <w14:textFill>
            <w14:solidFill>
              <w14:schemeClr w14:val="tx1"/>
            </w14:solidFill>
          </w14:textFill>
        </w:rPr>
        <w:t>桥梁裂缝整治、桥梁伸缩缝整治、桥梁支座更换、桥面系整治、桥梁限高架更新和桥梁引道缺陷整治等。具体工作内容详见工程量清单和施工图。</w:t>
      </w:r>
    </w:p>
    <w:p w14:paraId="4414E5F1">
      <w:pPr>
        <w:pStyle w:val="44"/>
        <w:numPr>
          <w:ilvl w:val="0"/>
          <w:numId w:val="4"/>
        </w:numPr>
        <w:wordWrap/>
        <w:topLinePunct w:val="0"/>
        <w:ind w:firstLineChars="0"/>
        <w:rPr>
          <w:b/>
          <w:bCs/>
        </w:rPr>
      </w:pPr>
      <w:r>
        <w:rPr>
          <w:rFonts w:hint="eastAsia"/>
          <w:b/>
          <w:bCs/>
        </w:rPr>
        <w:t>工程承包范围</w:t>
      </w:r>
    </w:p>
    <w:p w14:paraId="3C98DACC">
      <w:pPr>
        <w:ind w:firstLine="480"/>
      </w:pPr>
      <w:r>
        <w:rPr>
          <w:rFonts w:hint="eastAsia" w:ascii="宋体" w:hAnsi="宋体" w:cs="宋体"/>
          <w:bCs/>
          <w:lang w:eastAsia="zh-CN"/>
        </w:rPr>
        <w:t>富金坝航电枢纽桥梁缺陷整治施工项目</w:t>
      </w:r>
      <w:r>
        <w:rPr>
          <w:rFonts w:hint="eastAsia"/>
        </w:rPr>
        <w:t>劳务相关</w:t>
      </w:r>
      <w:r>
        <w:rPr>
          <w:rFonts w:hint="eastAsia"/>
          <w:color w:val="000000" w:themeColor="text1"/>
          <w14:textFill>
            <w14:solidFill>
              <w14:schemeClr w14:val="tx1"/>
            </w14:solidFill>
          </w14:textFill>
        </w:rPr>
        <w:t>内容，</w:t>
      </w:r>
      <w:r>
        <w:rPr>
          <w:rFonts w:hint="eastAsia"/>
        </w:rPr>
        <w:t>施工所需要的所有材料（除甲供材外）、机械设备、人工辅助均由乙方自行提供</w:t>
      </w:r>
      <w:r>
        <w:rPr>
          <w:rFonts w:hint="eastAsia" w:ascii="宋体" w:hAnsi="宋体"/>
        </w:rPr>
        <w:t>。</w:t>
      </w:r>
    </w:p>
    <w:p w14:paraId="16FF5B9E">
      <w:pPr>
        <w:pStyle w:val="44"/>
        <w:numPr>
          <w:ilvl w:val="0"/>
          <w:numId w:val="4"/>
        </w:numPr>
        <w:wordWrap/>
        <w:topLinePunct w:val="0"/>
        <w:ind w:firstLineChars="0"/>
        <w:rPr>
          <w:rFonts w:hint="eastAsia" w:ascii="宋体" w:hAnsi="宋体" w:eastAsia="宋体" w:cs="宋体"/>
          <w:b/>
          <w:bCs/>
        </w:rPr>
      </w:pPr>
      <w:r>
        <w:rPr>
          <w:rFonts w:hint="eastAsia" w:ascii="宋体" w:hAnsi="宋体" w:cs="宋体"/>
          <w:b/>
          <w:bCs/>
        </w:rPr>
        <w:t>工程工期</w:t>
      </w:r>
    </w:p>
    <w:p w14:paraId="3C09CBF5">
      <w:pPr>
        <w:ind w:firstLine="480"/>
      </w:pPr>
      <w:r>
        <w:rPr>
          <w:rFonts w:hint="eastAsia"/>
        </w:rPr>
        <w:t>1.</w:t>
      </w:r>
      <w:r>
        <w:rPr>
          <w:rFonts w:hint="eastAsia" w:ascii="宋体" w:hAnsi="宋体" w:cs="宋体"/>
          <w:bCs/>
        </w:rPr>
        <w:t xml:space="preserve"> </w:t>
      </w:r>
      <w:r>
        <w:rPr>
          <w:rFonts w:hint="eastAsia" w:ascii="宋体" w:hAnsi="宋体" w:cs="宋体"/>
          <w:bCs/>
          <w:lang w:eastAsia="zh-CN"/>
        </w:rPr>
        <w:t>富金坝航电枢纽桥梁缺陷整治施工项目</w:t>
      </w:r>
      <w:r>
        <w:rPr>
          <w:rFonts w:hint="eastAsia"/>
        </w:rPr>
        <w:t>总日历工作天数为</w:t>
      </w:r>
      <w:r>
        <w:rPr>
          <w:rFonts w:hint="eastAsia" w:ascii="宋体" w:hAnsi="宋体" w:cs="宋体"/>
          <w:b/>
          <w:u w:val="single"/>
          <w:lang w:val="en-US" w:eastAsia="zh-CN"/>
        </w:rPr>
        <w:t>90</w:t>
      </w:r>
      <w:r>
        <w:rPr>
          <w:rFonts w:hint="eastAsia" w:ascii="宋体" w:hAnsi="宋体" w:cs="宋体"/>
          <w:bCs/>
        </w:rPr>
        <w:t>天</w:t>
      </w:r>
      <w:r>
        <w:rPr>
          <w:rFonts w:hint="eastAsia"/>
        </w:rPr>
        <w:t>（从开工之日算起，具体进场施工时间</w:t>
      </w:r>
      <w:r>
        <w:rPr>
          <w:rFonts w:hint="default" w:ascii="宋体" w:hAnsi="Times New Roman" w:eastAsia="宋体" w:cs="Times New Roman"/>
          <w:bCs/>
          <w:color w:val="auto"/>
          <w:sz w:val="24"/>
          <w:szCs w:val="32"/>
          <w:highlight w:val="none"/>
          <w:lang w:val="en-US" w:eastAsia="zh-CN"/>
        </w:rPr>
        <w:t>以</w:t>
      </w:r>
      <w:r>
        <w:rPr>
          <w:rFonts w:hint="default" w:ascii="宋体" w:hAnsi="Times New Roman" w:eastAsia="宋体" w:cs="Times New Roman"/>
          <w:bCs/>
          <w:color w:val="auto"/>
          <w:sz w:val="24"/>
          <w:szCs w:val="32"/>
          <w:highlight w:val="none"/>
          <w:lang w:eastAsia="zh-CN"/>
        </w:rPr>
        <w:t>发包人</w:t>
      </w:r>
      <w:r>
        <w:rPr>
          <w:rFonts w:hint="eastAsia" w:ascii="宋体" w:hAnsi="Times New Roman" w:eastAsia="宋体" w:cs="Times New Roman"/>
          <w:bCs/>
          <w:color w:val="auto"/>
          <w:sz w:val="24"/>
          <w:szCs w:val="32"/>
          <w:highlight w:val="none"/>
          <w:lang w:eastAsia="zh-CN"/>
        </w:rPr>
        <w:t>（</w:t>
      </w:r>
      <w:r>
        <w:rPr>
          <w:rFonts w:hint="eastAsia" w:ascii="宋体" w:hAnsi="Times New Roman" w:eastAsia="宋体" w:cs="Times New Roman"/>
          <w:bCs/>
          <w:color w:val="auto"/>
          <w:sz w:val="24"/>
          <w:szCs w:val="32"/>
          <w:highlight w:val="none"/>
          <w:lang w:val="en-US" w:eastAsia="zh-CN"/>
        </w:rPr>
        <w:t>或监理</w:t>
      </w:r>
      <w:r>
        <w:rPr>
          <w:rFonts w:hint="eastAsia" w:ascii="宋体" w:hAnsi="Times New Roman" w:eastAsia="宋体" w:cs="Times New Roman"/>
          <w:bCs/>
          <w:color w:val="auto"/>
          <w:sz w:val="24"/>
          <w:szCs w:val="32"/>
          <w:highlight w:val="none"/>
          <w:lang w:eastAsia="zh-CN"/>
        </w:rPr>
        <w:t>）</w:t>
      </w:r>
      <w:r>
        <w:rPr>
          <w:rFonts w:hint="default" w:ascii="宋体" w:hAnsi="Times New Roman" w:eastAsia="宋体" w:cs="Times New Roman"/>
          <w:bCs/>
          <w:color w:val="auto"/>
          <w:sz w:val="24"/>
          <w:szCs w:val="32"/>
          <w:highlight w:val="none"/>
          <w:lang w:eastAsia="zh-CN"/>
        </w:rPr>
        <w:t>通知</w:t>
      </w:r>
      <w:r>
        <w:rPr>
          <w:rFonts w:hint="default" w:ascii="宋体" w:hAnsi="Times New Roman" w:eastAsia="宋体" w:cs="Times New Roman"/>
          <w:bCs/>
          <w:color w:val="auto"/>
          <w:sz w:val="24"/>
          <w:szCs w:val="32"/>
          <w:highlight w:val="none"/>
          <w:lang w:val="en-US" w:eastAsia="zh-CN"/>
        </w:rPr>
        <w:t>为准</w:t>
      </w:r>
      <w:r>
        <w:rPr>
          <w:rFonts w:hint="eastAsia"/>
        </w:rPr>
        <w:t>，如因其它因素，双方另行书面约定工期）。</w:t>
      </w:r>
    </w:p>
    <w:p w14:paraId="0227E708">
      <w:pPr>
        <w:ind w:firstLine="480"/>
      </w:pPr>
      <w:r>
        <w:rPr>
          <w:rFonts w:hint="eastAsia"/>
        </w:rPr>
        <w:t>2.乙方应按照合同约定的工期组织施工，确保甲方总工期目标的实现。因乙方原因造成的工期延误和甲方的损失由乙方承担；非乙方原因造成的工期延误，工期顺延。</w:t>
      </w:r>
    </w:p>
    <w:p w14:paraId="6E611A87">
      <w:pPr>
        <w:pStyle w:val="44"/>
        <w:numPr>
          <w:ilvl w:val="0"/>
          <w:numId w:val="4"/>
        </w:numPr>
        <w:wordWrap/>
        <w:topLinePunct w:val="0"/>
        <w:adjustRightInd w:val="0"/>
        <w:snapToGrid w:val="0"/>
        <w:ind w:firstLineChars="0"/>
        <w:textAlignment w:val="baseline"/>
        <w:rPr>
          <w:b/>
          <w:bCs/>
        </w:rPr>
      </w:pPr>
      <w:r>
        <w:rPr>
          <w:rFonts w:hint="eastAsia"/>
          <w:b/>
          <w:bCs/>
        </w:rPr>
        <w:t>工程质量、验收标准</w:t>
      </w:r>
    </w:p>
    <w:p w14:paraId="44E88ADB">
      <w:pPr>
        <w:ind w:firstLine="482"/>
        <w:rPr>
          <w:b/>
          <w:bCs/>
        </w:rPr>
      </w:pPr>
      <w:r>
        <w:rPr>
          <w:b/>
          <w:bCs/>
        </w:rPr>
        <w:t>1、</w:t>
      </w:r>
      <w:r>
        <w:rPr>
          <w:rFonts w:hint="eastAsia"/>
          <w:b/>
          <w:bCs/>
        </w:rPr>
        <w:t>工程质量要求</w:t>
      </w:r>
    </w:p>
    <w:p w14:paraId="0825715F">
      <w:pPr>
        <w:ind w:firstLine="480"/>
      </w:pPr>
      <w:r>
        <w:rPr>
          <w:rFonts w:hint="eastAsia"/>
        </w:rPr>
        <w:t>（1）</w:t>
      </w:r>
      <w:r>
        <w:t>乙方</w:t>
      </w:r>
      <w:r>
        <w:rPr>
          <w:rFonts w:hint="eastAsia"/>
        </w:rPr>
        <w:t>提供</w:t>
      </w:r>
      <w:r>
        <w:t>的</w:t>
      </w:r>
      <w:r>
        <w:rPr>
          <w:rFonts w:hint="eastAsia"/>
        </w:rPr>
        <w:t>主要</w:t>
      </w:r>
      <w:r>
        <w:t>材料</w:t>
      </w:r>
      <w:r>
        <w:rPr>
          <w:rFonts w:hint="eastAsia"/>
        </w:rPr>
        <w:t>须</w:t>
      </w:r>
      <w:r>
        <w:t>满足相关规范和设计要求，甲方可随时抽检并送检。若抽检不合格，乙方须无条件对已使用违规材料工程进行</w:t>
      </w:r>
      <w:r>
        <w:rPr>
          <w:rFonts w:hint="eastAsia"/>
        </w:rPr>
        <w:t>清除</w:t>
      </w:r>
      <w:r>
        <w:t>并返工，由此产生的运费、检测费等一切费用和责任均由乙方负责，并视为乙方单方违约，甲方有权随时终止或解除合同，要求乙方赔偿甲方包括工期延误在内的全部损失</w:t>
      </w:r>
      <w:r>
        <w:rPr>
          <w:rFonts w:hint="eastAsia"/>
        </w:rPr>
        <w:t>。</w:t>
      </w:r>
    </w:p>
    <w:p w14:paraId="327BB54E">
      <w:pPr>
        <w:ind w:firstLine="480"/>
      </w:pPr>
      <w:r>
        <w:rPr>
          <w:rFonts w:hint="eastAsia"/>
        </w:rPr>
        <w:t>（2）</w:t>
      </w:r>
      <w:r>
        <w:t>乙方必须严格按施工图纸、设计说明、设计变更、技术核定单等工程文件中规定和现行的国家、地方颁发的质量验收规范、标准和规定要求组织施工。确保工程质量符合国家现行施工验收规范以及甲方的要求；各项指标达到国家和地方规定的标准，专业质量检验评定达到</w:t>
      </w:r>
      <w:r>
        <w:rPr>
          <w:b/>
          <w:bCs/>
          <w:u w:val="single"/>
        </w:rPr>
        <w:t>合格</w:t>
      </w:r>
      <w:r>
        <w:t>以上。非甲方原因，造成工程质量不符合要求或不合格，甲方可要求乙方停工或返工，返工费用由乙方承担，由此造成的材料浪费及经济损失全部由乙方负责承担或赔偿，由此造成的业主罚款、业主主张的违约金、赔偿等均由乙方承担，工期不予顺延。</w:t>
      </w:r>
    </w:p>
    <w:p w14:paraId="4580E6A8">
      <w:pPr>
        <w:ind w:firstLine="482"/>
        <w:rPr>
          <w:rFonts w:hint="eastAsia" w:eastAsia="宋体"/>
          <w:lang w:eastAsia="zh-CN"/>
        </w:rPr>
      </w:pPr>
      <w:r>
        <w:rPr>
          <w:rFonts w:hint="eastAsia"/>
          <w:b/>
          <w:bCs/>
        </w:rPr>
        <w:t>2</w:t>
      </w:r>
      <w:r>
        <w:rPr>
          <w:b/>
          <w:bCs/>
        </w:rPr>
        <w:t>、质量验收标准</w:t>
      </w:r>
      <w:r>
        <w:rPr>
          <w:rFonts w:hint="eastAsia"/>
          <w:b/>
          <w:bCs/>
        </w:rPr>
        <w:t>：</w:t>
      </w:r>
      <w:r>
        <w:rPr>
          <w:rFonts w:hint="eastAsia"/>
        </w:rPr>
        <w:t>合格</w:t>
      </w:r>
      <w:r>
        <w:rPr>
          <w:rFonts w:hint="eastAsia"/>
          <w:lang w:eastAsia="zh-CN"/>
        </w:rPr>
        <w:t>。</w:t>
      </w:r>
    </w:p>
    <w:p w14:paraId="6381AC2C">
      <w:pPr>
        <w:pStyle w:val="44"/>
        <w:numPr>
          <w:ilvl w:val="0"/>
          <w:numId w:val="4"/>
        </w:numPr>
        <w:wordWrap/>
        <w:topLinePunct w:val="0"/>
        <w:ind w:firstLineChars="0"/>
        <w:rPr>
          <w:b/>
          <w:bCs/>
        </w:rPr>
      </w:pPr>
      <w:r>
        <w:rPr>
          <w:rFonts w:hint="eastAsia"/>
          <w:b/>
          <w:bCs/>
        </w:rPr>
        <w:t>工程量确认</w:t>
      </w:r>
    </w:p>
    <w:p w14:paraId="2868EAB8">
      <w:pPr>
        <w:pStyle w:val="20"/>
        <w:ind w:firstLine="480" w:firstLineChars="200"/>
        <w:rPr>
          <w:b w:val="0"/>
          <w:bCs w:val="0"/>
        </w:rPr>
      </w:pPr>
      <w:r>
        <w:rPr>
          <w:rFonts w:hint="eastAsia" w:ascii="宋体" w:hAnsi="宋体" w:eastAsia="宋体" w:cs="宋体"/>
          <w:b w:val="0"/>
          <w:bCs w:val="0"/>
        </w:rPr>
        <w:t>乙方按甲方要求完成施工作业，甲方根据乙方实际完成的合格工程量进行确认</w:t>
      </w:r>
      <w:r>
        <w:rPr>
          <w:rFonts w:hint="eastAsia"/>
          <w:b w:val="0"/>
          <w:bCs w:val="0"/>
        </w:rPr>
        <w:t>。</w:t>
      </w:r>
    </w:p>
    <w:p w14:paraId="19CC2FA5">
      <w:pPr>
        <w:pStyle w:val="44"/>
        <w:numPr>
          <w:ilvl w:val="0"/>
          <w:numId w:val="4"/>
        </w:numPr>
        <w:wordWrap/>
        <w:topLinePunct w:val="0"/>
        <w:ind w:firstLineChars="0"/>
        <w:rPr>
          <w:b/>
          <w:bCs/>
          <w:color w:val="auto"/>
          <w:u w:val="none"/>
        </w:rPr>
      </w:pPr>
      <w:r>
        <w:rPr>
          <w:rFonts w:hint="eastAsia"/>
          <w:b/>
          <w:bCs/>
          <w:color w:val="auto"/>
          <w:u w:val="none"/>
        </w:rPr>
        <w:t>工程质保期</w:t>
      </w:r>
    </w:p>
    <w:p w14:paraId="038270C9">
      <w:pPr>
        <w:pStyle w:val="44"/>
        <w:numPr>
          <w:ilvl w:val="0"/>
          <w:numId w:val="0"/>
        </w:numPr>
        <w:wordWrap/>
        <w:topLinePunct w:val="0"/>
        <w:ind w:left="482" w:leftChars="0"/>
        <w:rPr>
          <w:b/>
          <w:bCs/>
          <w:color w:val="auto"/>
          <w:highlight w:val="none"/>
          <w:u w:val="none"/>
        </w:rPr>
      </w:pPr>
      <w:r>
        <w:rPr>
          <w:rFonts w:hint="eastAsia" w:ascii="宋体" w:cs="Times New Roman"/>
          <w:color w:val="auto"/>
          <w:kern w:val="0"/>
          <w:sz w:val="24"/>
          <w:szCs w:val="32"/>
          <w:highlight w:val="none"/>
          <w:lang w:val="en-US" w:eastAsia="zh-CN"/>
        </w:rPr>
        <w:t>无</w:t>
      </w:r>
      <w:r>
        <w:rPr>
          <w:rFonts w:hint="eastAsia" w:ascii="宋体" w:hAnsi="Times New Roman" w:cs="Times New Roman"/>
          <w:color w:val="auto"/>
          <w:kern w:val="0"/>
          <w:sz w:val="24"/>
          <w:szCs w:val="32"/>
          <w:highlight w:val="none"/>
          <w:lang w:eastAsia="zh-CN"/>
        </w:rPr>
        <w:t>。</w:t>
      </w:r>
    </w:p>
    <w:p w14:paraId="7380790D">
      <w:pPr>
        <w:pStyle w:val="44"/>
        <w:numPr>
          <w:ilvl w:val="0"/>
          <w:numId w:val="4"/>
        </w:numPr>
        <w:wordWrap/>
        <w:topLinePunct w:val="0"/>
        <w:ind w:firstLineChars="0"/>
        <w:rPr>
          <w:b/>
          <w:bCs/>
        </w:rPr>
      </w:pPr>
      <w:r>
        <w:rPr>
          <w:rFonts w:hint="eastAsia"/>
          <w:b/>
          <w:bCs/>
        </w:rPr>
        <w:t>履约保证金</w:t>
      </w:r>
    </w:p>
    <w:p w14:paraId="78815904">
      <w:pPr>
        <w:keepNext w:val="0"/>
        <w:keepLines w:val="0"/>
        <w:pageBreakBefore w:val="0"/>
        <w:widowControl w:val="0"/>
        <w:numPr>
          <w:ilvl w:val="0"/>
          <w:numId w:val="0"/>
        </w:numPr>
        <w:kinsoku/>
        <w:wordWrap w:val="0"/>
        <w:overflowPunct/>
        <w:topLinePunct/>
        <w:autoSpaceDE/>
        <w:autoSpaceDN/>
        <w:bidi w:val="0"/>
        <w:adjustRightInd/>
        <w:snapToGrid/>
        <w:spacing w:line="360" w:lineRule="auto"/>
        <w:ind w:firstLine="480" w:firstLineChars="200"/>
        <w:textAlignment w:val="auto"/>
        <w:outlineLvl w:val="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本合同项履约保证金为</w:t>
      </w:r>
      <w:r>
        <w:rPr>
          <w:rFonts w:hint="eastAsia" w:ascii="宋体" w:hAnsi="宋体" w:eastAsia="宋体" w:cs="宋体"/>
          <w:color w:val="auto"/>
          <w:sz w:val="24"/>
          <w:szCs w:val="24"/>
          <w:highlight w:val="none"/>
        </w:rPr>
        <w:t>【</w:t>
      </w:r>
      <w:r>
        <w:rPr>
          <w:rFonts w:hint="default" w:ascii="Arial" w:hAnsi="Arial" w:eastAsia="宋体" w:cs="Arial"/>
          <w:color w:val="auto"/>
          <w:sz w:val="24"/>
          <w:szCs w:val="24"/>
          <w:highlight w:val="none"/>
        </w:rPr>
        <w:t>¥</w:t>
      </w:r>
      <w:r>
        <w:rPr>
          <w:rFonts w:hint="eastAsia" w:ascii="宋体" w:hAnsi="宋体" w:eastAsia="宋体" w:cs="宋体"/>
          <w:b/>
          <w:bCs/>
          <w:color w:val="auto"/>
          <w:sz w:val="24"/>
          <w:szCs w:val="24"/>
          <w:highlight w:val="none"/>
          <w:lang w:val="en-US" w:eastAsia="zh-CN"/>
        </w:rPr>
        <w:t>50000.00</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rPr>
        <w:t>元（</w:t>
      </w:r>
      <w:r>
        <w:rPr>
          <w:rFonts w:hint="eastAsia" w:ascii="宋体" w:hAnsi="宋体" w:eastAsia="宋体" w:cs="宋体"/>
          <w:b w:val="0"/>
          <w:bCs w:val="0"/>
          <w:color w:val="auto"/>
          <w:sz w:val="24"/>
          <w:szCs w:val="24"/>
        </w:rPr>
        <w:t>大写金额</w:t>
      </w:r>
      <w:r>
        <w:rPr>
          <w:rFonts w:hint="eastAsia" w:ascii="宋体" w:hAnsi="宋体" w:eastAsia="宋体" w:cs="宋体"/>
          <w:b/>
          <w:bCs/>
          <w:color w:val="auto"/>
          <w:sz w:val="24"/>
          <w:szCs w:val="24"/>
        </w:rPr>
        <w:t>：</w:t>
      </w:r>
      <w:r>
        <w:rPr>
          <w:rFonts w:hint="eastAsia" w:ascii="宋体" w:hAnsi="宋体" w:eastAsia="宋体" w:cs="宋体"/>
          <w:b/>
          <w:bCs/>
          <w:color w:val="auto"/>
          <w:sz w:val="24"/>
          <w:szCs w:val="24"/>
          <w:lang w:val="en-US" w:eastAsia="zh-CN"/>
        </w:rPr>
        <w:t>伍万元整</w:t>
      </w:r>
      <w:r>
        <w:rPr>
          <w:rFonts w:hint="eastAsia" w:ascii="宋体" w:hAnsi="宋体" w:eastAsia="宋体" w:cs="宋体"/>
          <w:color w:val="auto"/>
          <w:sz w:val="24"/>
          <w:szCs w:val="24"/>
        </w:rPr>
        <w:t>），乙方应在</w:t>
      </w:r>
      <w:r>
        <w:rPr>
          <w:rFonts w:hint="eastAsia" w:ascii="宋体" w:hAnsi="宋体" w:eastAsia="宋体" w:cs="宋体"/>
          <w:color w:val="auto"/>
          <w:sz w:val="24"/>
          <w:szCs w:val="24"/>
          <w:lang w:val="en-US" w:eastAsia="zh-CN"/>
        </w:rPr>
        <w:t>收到甲方发出的中标通知书1</w:t>
      </w:r>
      <w:r>
        <w:rPr>
          <w:rFonts w:hint="eastAsia" w:ascii="宋体" w:hAnsi="宋体" w:cs="宋体"/>
          <w:color w:val="auto"/>
          <w:sz w:val="24"/>
          <w:szCs w:val="24"/>
          <w:lang w:val="en-US" w:eastAsia="zh-CN"/>
        </w:rPr>
        <w:t>5个工作</w:t>
      </w:r>
      <w:r>
        <w:rPr>
          <w:rFonts w:hint="eastAsia" w:ascii="宋体" w:hAnsi="宋体" w:eastAsia="宋体" w:cs="宋体"/>
          <w:color w:val="auto"/>
          <w:sz w:val="24"/>
          <w:szCs w:val="24"/>
          <w:lang w:val="en-US" w:eastAsia="zh-CN"/>
        </w:rPr>
        <w:t>日内向</w:t>
      </w:r>
      <w:r>
        <w:rPr>
          <w:rFonts w:hint="eastAsia" w:ascii="宋体" w:hAnsi="宋体" w:eastAsia="宋体" w:cs="宋体"/>
          <w:color w:val="auto"/>
          <w:sz w:val="24"/>
          <w:szCs w:val="24"/>
        </w:rPr>
        <w:t>甲方缴纳履约保证金。</w:t>
      </w:r>
      <w:bookmarkStart w:id="2" w:name="_Toc144896734"/>
      <w:bookmarkStart w:id="3" w:name="_Toc30278846"/>
      <w:bookmarkStart w:id="4" w:name="_Toc16371"/>
      <w:bookmarkStart w:id="5" w:name="_Toc25924336"/>
      <w:bookmarkStart w:id="6" w:name="_Toc30590233"/>
    </w:p>
    <w:p w14:paraId="23D37E49">
      <w:pPr>
        <w:keepNext w:val="0"/>
        <w:keepLines w:val="0"/>
        <w:pageBreakBefore w:val="0"/>
        <w:widowControl w:val="0"/>
        <w:numPr>
          <w:ilvl w:val="0"/>
          <w:numId w:val="0"/>
        </w:numPr>
        <w:kinsoku/>
        <w:wordWrap w:val="0"/>
        <w:overflowPunct/>
        <w:topLinePunct/>
        <w:autoSpaceDE/>
        <w:autoSpaceDN/>
        <w:bidi w:val="0"/>
        <w:adjustRightInd/>
        <w:snapToGrid/>
        <w:spacing w:line="360" w:lineRule="auto"/>
        <w:ind w:firstLine="482" w:firstLineChars="200"/>
        <w:textAlignment w:val="auto"/>
        <w:outlineLvl w:val="0"/>
        <w:rPr>
          <w:rFonts w:hint="eastAsia" w:ascii="宋体" w:hAnsi="宋体" w:eastAsia="宋体" w:cs="宋体"/>
          <w:color w:val="auto"/>
          <w:sz w:val="24"/>
          <w:szCs w:val="24"/>
        </w:rPr>
      </w:pPr>
      <w:r>
        <w:rPr>
          <w:rFonts w:hint="eastAsia" w:ascii="宋体" w:hAnsi="宋体" w:eastAsia="宋体" w:cs="宋体"/>
          <w:b/>
          <w:color w:val="auto"/>
          <w:sz w:val="24"/>
          <w:szCs w:val="24"/>
        </w:rPr>
        <w:t xml:space="preserve"> </w:t>
      </w:r>
      <w:bookmarkEnd w:id="2"/>
      <w:bookmarkEnd w:id="3"/>
      <w:bookmarkEnd w:id="4"/>
      <w:bookmarkEnd w:id="5"/>
      <w:bookmarkEnd w:id="6"/>
      <w:r>
        <w:rPr>
          <w:rFonts w:hint="eastAsia" w:ascii="宋体" w:hAnsi="宋体" w:eastAsia="宋体" w:cs="宋体"/>
          <w:color w:val="auto"/>
          <w:sz w:val="24"/>
          <w:szCs w:val="24"/>
        </w:rPr>
        <w:t>1.1乙方提供履约</w:t>
      </w:r>
      <w:r>
        <w:rPr>
          <w:rFonts w:hint="eastAsia" w:ascii="宋体" w:hAnsi="宋体" w:eastAsia="宋体" w:cs="宋体"/>
          <w:color w:val="auto"/>
          <w:sz w:val="24"/>
          <w:szCs w:val="24"/>
          <w:lang w:val="en-US" w:eastAsia="zh-CN"/>
        </w:rPr>
        <w:t>保证金</w:t>
      </w:r>
      <w:r>
        <w:rPr>
          <w:rFonts w:hint="eastAsia" w:ascii="宋体" w:hAnsi="宋体" w:eastAsia="宋体" w:cs="宋体"/>
          <w:color w:val="auto"/>
          <w:sz w:val="24"/>
          <w:szCs w:val="24"/>
        </w:rPr>
        <w:t xml:space="preserve">的形式、金额及期限： </w:t>
      </w:r>
    </w:p>
    <w:p w14:paraId="28A5AED4">
      <w:pPr>
        <w:keepNext w:val="0"/>
        <w:keepLines w:val="0"/>
        <w:pageBreakBefore w:val="0"/>
        <w:widowControl w:val="0"/>
        <w:kinsoku/>
        <w:wordWrap w:val="0"/>
        <w:overflowPunct/>
        <w:topLinePunct/>
        <w:autoSpaceDE/>
        <w:autoSpaceDN/>
        <w:bidi w:val="0"/>
        <w:adjustRightInd/>
        <w:snapToGrid/>
        <w:spacing w:line="360" w:lineRule="auto"/>
        <w:ind w:left="0" w:leftChars="0" w:firstLine="480" w:firstLineChars="20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（1）履约</w:t>
      </w:r>
      <w:r>
        <w:rPr>
          <w:rFonts w:hint="eastAsia" w:ascii="宋体" w:hAnsi="宋体" w:eastAsia="宋体" w:cs="宋体"/>
          <w:color w:val="auto"/>
          <w:sz w:val="24"/>
          <w:szCs w:val="24"/>
          <w:lang w:val="en-US" w:eastAsia="zh-CN"/>
        </w:rPr>
        <w:t>保证金</w:t>
      </w:r>
      <w:r>
        <w:rPr>
          <w:rFonts w:hint="eastAsia" w:ascii="宋体" w:hAnsi="宋体" w:eastAsia="宋体" w:cs="宋体"/>
          <w:color w:val="auto"/>
          <w:sz w:val="24"/>
          <w:szCs w:val="24"/>
        </w:rPr>
        <w:t>的形式：</w:t>
      </w:r>
      <w:r>
        <w:rPr>
          <w:rFonts w:hint="eastAsia" w:ascii="宋体" w:hAnsi="宋体" w:eastAsia="宋体" w:cs="宋体"/>
          <w:color w:val="auto"/>
          <w:sz w:val="24"/>
          <w:szCs w:val="24"/>
          <w:lang w:val="en-US" w:eastAsia="zh-CN"/>
        </w:rPr>
        <w:t>银行转账或</w:t>
      </w:r>
      <w:r>
        <w:rPr>
          <w:rFonts w:hint="eastAsia" w:ascii="宋体" w:hAnsi="宋体" w:eastAsia="宋体" w:cs="宋体"/>
          <w:color w:val="auto"/>
          <w:lang w:val="en-US" w:eastAsia="zh-CN"/>
        </w:rPr>
        <w:t>见索即付的银行保函。</w:t>
      </w:r>
    </w:p>
    <w:p w14:paraId="4AF27356">
      <w:pPr>
        <w:keepNext w:val="0"/>
        <w:keepLines w:val="0"/>
        <w:pageBreakBefore w:val="0"/>
        <w:widowControl w:val="0"/>
        <w:kinsoku/>
        <w:overflowPunct/>
        <w:bidi w:val="0"/>
        <w:spacing w:line="360" w:lineRule="auto"/>
        <w:ind w:left="0" w:leftChars="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）履约</w:t>
      </w:r>
      <w:r>
        <w:rPr>
          <w:rFonts w:hint="eastAsia" w:ascii="宋体" w:hAnsi="宋体" w:eastAsia="宋体" w:cs="宋体"/>
          <w:color w:val="auto"/>
          <w:sz w:val="24"/>
          <w:szCs w:val="24"/>
          <w:lang w:val="en-US" w:eastAsia="zh-CN"/>
        </w:rPr>
        <w:t>保证金</w:t>
      </w:r>
      <w:r>
        <w:rPr>
          <w:rFonts w:hint="eastAsia" w:ascii="宋体" w:hAnsi="宋体" w:eastAsia="宋体" w:cs="宋体"/>
          <w:color w:val="auto"/>
          <w:sz w:val="24"/>
          <w:szCs w:val="24"/>
        </w:rPr>
        <w:t>的期限：自合同签订之日起至工程</w:t>
      </w:r>
      <w:r>
        <w:rPr>
          <w:rFonts w:hint="eastAsia" w:ascii="宋体" w:hAnsi="宋体" w:eastAsia="宋体" w:cs="宋体"/>
          <w:color w:val="auto"/>
          <w:sz w:val="24"/>
          <w:szCs w:val="24"/>
          <w:lang w:val="en-US" w:eastAsia="zh-CN"/>
        </w:rPr>
        <w:t>完</w:t>
      </w:r>
      <w:r>
        <w:rPr>
          <w:rFonts w:hint="eastAsia" w:ascii="宋体" w:hAnsi="宋体" w:eastAsia="宋体" w:cs="宋体"/>
          <w:color w:val="auto"/>
          <w:sz w:val="24"/>
          <w:szCs w:val="24"/>
        </w:rPr>
        <w:t>工并验收合格。</w:t>
      </w:r>
    </w:p>
    <w:p w14:paraId="6EE45BAC">
      <w:pPr>
        <w:keepNext w:val="0"/>
        <w:keepLines w:val="0"/>
        <w:pageBreakBefore w:val="0"/>
        <w:widowControl w:val="0"/>
        <w:kinsoku/>
        <w:overflowPunct/>
        <w:bidi w:val="0"/>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2、履约保证金</w:t>
      </w:r>
      <w:r>
        <w:rPr>
          <w:rFonts w:hint="eastAsia" w:ascii="宋体" w:hAnsi="宋体" w:eastAsia="宋体" w:cs="宋体"/>
          <w:color w:val="auto"/>
          <w:sz w:val="24"/>
          <w:szCs w:val="24"/>
          <w:highlight w:val="none"/>
          <w:lang w:val="en-US" w:eastAsia="zh-CN"/>
        </w:rPr>
        <w:t>退还方式：在工程完工并验收合格后，在乙方无任何违约或赔偿的情况下14天内</w:t>
      </w:r>
      <w:r>
        <w:rPr>
          <w:rFonts w:hint="eastAsia" w:ascii="宋体" w:hAnsi="宋体" w:eastAsia="宋体" w:cs="宋体"/>
          <w:color w:val="auto"/>
          <w:sz w:val="24"/>
          <w:szCs w:val="24"/>
          <w:highlight w:val="none"/>
        </w:rPr>
        <w:t>予以无息退还。</w:t>
      </w:r>
    </w:p>
    <w:p w14:paraId="6E001619">
      <w:pPr>
        <w:keepNext w:val="0"/>
        <w:keepLines w:val="0"/>
        <w:pageBreakBefore w:val="0"/>
        <w:widowControl w:val="0"/>
        <w:kinsoku/>
        <w:overflowPunct/>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如果乙方发生违约行为，甲方有权按照约定从履约保证金中直接扣除乙方应承担的违约金和损失金等；如果发生意外、安全事故等，产生赔付事项甲方有权在其保证金内扣除乙方应承担部分金额用以支付赔付；若乙方给甲方造成的损失超过履约保证金数额的，乙方还应当对超过部分予以赔偿。</w:t>
      </w:r>
    </w:p>
    <w:p w14:paraId="15BE95BE">
      <w:pPr>
        <w:keepNext w:val="0"/>
        <w:keepLines w:val="0"/>
        <w:pageBreakBefore w:val="0"/>
        <w:widowControl w:val="0"/>
        <w:kinsoku/>
        <w:overflowPunct/>
        <w:bidi w:val="0"/>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4、合同期间，如果乙方无正当理由单方面解除或终止合同，甲方将不予退还其履约保证金。</w:t>
      </w:r>
    </w:p>
    <w:p w14:paraId="0D765E03">
      <w:pPr>
        <w:keepNext w:val="0"/>
        <w:keepLines w:val="0"/>
        <w:pageBreakBefore w:val="0"/>
        <w:widowControl w:val="0"/>
        <w:kinsoku/>
        <w:overflowPunct/>
        <w:bidi w:val="0"/>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5、履约保证金被扣除的，乙方应当在扣除后两日内予以补足，否则按照每日应补足金额的【</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】%向甲方支付迟延违约金。</w:t>
      </w:r>
    </w:p>
    <w:p w14:paraId="78FDFA48">
      <w:pPr>
        <w:keepNext w:val="0"/>
        <w:keepLines w:val="0"/>
        <w:pageBreakBefore w:val="0"/>
        <w:widowControl w:val="0"/>
        <w:kinsoku/>
        <w:overflowPunct/>
        <w:bidi w:val="0"/>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6、对于违反合同约定的保密条款、安全环保条款等，造成甲方或业主损失或面临潜在法律风险的，根据违约情节轻重扣除【</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】%至【</w:t>
      </w: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rPr>
        <w:t>】%的履约保证金，并要求乙方采取补救措施。</w:t>
      </w:r>
    </w:p>
    <w:p w14:paraId="20F3FF3F">
      <w:pPr>
        <w:keepNext w:val="0"/>
        <w:keepLines w:val="0"/>
        <w:pageBreakBefore w:val="0"/>
        <w:widowControl w:val="0"/>
        <w:kinsoku/>
        <w:overflowPunct/>
        <w:bidi w:val="0"/>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7、在合同履行过程中，如果出现不可抗力等特殊情况导致部分条款无法正常履行，双方应协商确定履约保证金的处理方式。</w:t>
      </w:r>
    </w:p>
    <w:p w14:paraId="1A4DF2B3">
      <w:pPr>
        <w:pStyle w:val="44"/>
        <w:numPr>
          <w:ilvl w:val="0"/>
          <w:numId w:val="4"/>
        </w:numPr>
        <w:wordWrap/>
        <w:topLinePunct w:val="0"/>
        <w:ind w:firstLineChars="0"/>
        <w:rPr>
          <w:b/>
          <w:bCs/>
        </w:rPr>
      </w:pPr>
      <w:r>
        <w:rPr>
          <w:rFonts w:hint="eastAsia"/>
          <w:b/>
          <w:bCs/>
        </w:rPr>
        <w:t>工程变更</w:t>
      </w:r>
    </w:p>
    <w:p w14:paraId="40AA6AD7">
      <w:pPr>
        <w:ind w:firstLine="480"/>
      </w:pPr>
      <w:r>
        <w:t>本合同签订后，项目实施过程中</w:t>
      </w:r>
      <w:r>
        <w:rPr>
          <w:rFonts w:hint="eastAsia"/>
        </w:rPr>
        <w:t>若采用固定单价的部分，</w:t>
      </w:r>
      <w:r>
        <w:t>工程量若有变更或新增，变更合同价款按下列方法进行：</w:t>
      </w:r>
    </w:p>
    <w:p w14:paraId="17E6D141">
      <w:pPr>
        <w:ind w:firstLine="480"/>
      </w:pPr>
      <w:r>
        <w:t>1、合同中已有适用于变更工程的价格，按合同已有的价格变更合同价款；</w:t>
      </w:r>
    </w:p>
    <w:p w14:paraId="67FB6734">
      <w:pPr>
        <w:ind w:firstLine="480"/>
      </w:pPr>
      <w:r>
        <w:t>2、合同中只有类似于变更工程的价格，可以参照类似价格变更合同价款；</w:t>
      </w:r>
    </w:p>
    <w:p w14:paraId="7A5D1B0D">
      <w:pPr>
        <w:ind w:firstLine="480"/>
      </w:pPr>
      <w:r>
        <w:t>3、合同中没有适用于变更工程的价格，按甲方审定的价格执行</w:t>
      </w:r>
      <w:r>
        <w:rPr>
          <w:rFonts w:hint="eastAsia"/>
        </w:rPr>
        <w:t>；</w:t>
      </w:r>
    </w:p>
    <w:p w14:paraId="6BCC48DD">
      <w:pPr>
        <w:pStyle w:val="44"/>
        <w:numPr>
          <w:ilvl w:val="0"/>
          <w:numId w:val="4"/>
        </w:numPr>
        <w:wordWrap/>
        <w:topLinePunct w:val="0"/>
        <w:ind w:firstLineChars="0"/>
        <w:rPr>
          <w:b/>
          <w:bCs/>
        </w:rPr>
      </w:pPr>
      <w:r>
        <w:rPr>
          <w:rFonts w:hint="eastAsia"/>
          <w:b/>
          <w:bCs/>
        </w:rPr>
        <w:t>合同价款与支付</w:t>
      </w:r>
    </w:p>
    <w:p w14:paraId="5623AE23">
      <w:pPr>
        <w:ind w:firstLine="480"/>
        <w:rPr>
          <w:rFonts w:ascii="宋体" w:hAnsi="宋体" w:cs="宋体"/>
          <w:bCs/>
          <w:color w:val="FF0000"/>
          <w:u w:val="none"/>
        </w:rPr>
      </w:pPr>
      <w:r>
        <w:rPr>
          <w:bCs/>
          <w:u w:val="none"/>
        </w:rPr>
        <w:t>1</w:t>
      </w:r>
      <w:r>
        <w:rPr>
          <w:rFonts w:hint="eastAsia"/>
          <w:bCs/>
          <w:u w:val="none"/>
        </w:rPr>
        <w:t>.</w:t>
      </w:r>
      <w:r>
        <w:rPr>
          <w:rFonts w:hint="eastAsia" w:ascii="宋体" w:hAnsi="宋体" w:cs="宋体"/>
          <w:bCs/>
          <w:lang w:eastAsia="zh-CN"/>
        </w:rPr>
        <w:t>富金坝航电枢纽桥梁缺陷整治施工项目</w:t>
      </w:r>
      <w:r>
        <w:rPr>
          <w:rFonts w:hint="eastAsia" w:ascii="宋体" w:hAnsi="宋体" w:cs="宋体"/>
          <w:bCs/>
          <w:lang w:val="en-US" w:eastAsia="zh-CN"/>
        </w:rPr>
        <w:t>为</w:t>
      </w:r>
      <w:r>
        <w:rPr>
          <w:rFonts w:hint="eastAsia" w:ascii="宋体" w:hAnsi="宋体" w:cs="宋体"/>
          <w:bCs/>
          <w:color w:val="auto"/>
          <w:u w:val="none"/>
        </w:rPr>
        <w:t>固定</w:t>
      </w:r>
      <w:r>
        <w:rPr>
          <w:rFonts w:hint="eastAsia" w:ascii="宋体" w:hAnsi="宋体" w:cs="宋体"/>
          <w:bCs/>
          <w:color w:val="auto"/>
          <w:u w:val="none"/>
          <w:lang w:val="en-US" w:eastAsia="zh-CN"/>
        </w:rPr>
        <w:t>单</w:t>
      </w:r>
      <w:r>
        <w:rPr>
          <w:rFonts w:hint="eastAsia" w:ascii="宋体" w:hAnsi="宋体" w:cs="宋体"/>
          <w:bCs/>
          <w:color w:val="auto"/>
          <w:u w:val="none"/>
        </w:rPr>
        <w:t>价</w:t>
      </w:r>
      <w:r>
        <w:rPr>
          <w:rFonts w:hint="eastAsia" w:ascii="宋体" w:hAnsi="宋体" w:cs="宋体"/>
          <w:bCs/>
          <w:color w:val="auto"/>
          <w:u w:val="none"/>
          <w:lang w:val="en-US" w:eastAsia="zh-CN"/>
        </w:rPr>
        <w:t>合同。</w:t>
      </w:r>
      <w:r>
        <w:rPr>
          <w:rFonts w:hint="eastAsia"/>
          <w:bCs/>
          <w:color w:val="auto"/>
          <w:u w:val="none"/>
        </w:rPr>
        <w:t>工作内容</w:t>
      </w:r>
      <w:r>
        <w:rPr>
          <w:bCs/>
          <w:color w:val="auto"/>
          <w:u w:val="none"/>
        </w:rPr>
        <w:t>详见后附工程</w:t>
      </w:r>
      <w:r>
        <w:rPr>
          <w:rFonts w:hint="eastAsia"/>
          <w:bCs/>
          <w:color w:val="auto"/>
          <w:u w:val="none"/>
        </w:rPr>
        <w:t>内容</w:t>
      </w:r>
      <w:r>
        <w:rPr>
          <w:bCs/>
          <w:color w:val="auto"/>
          <w:u w:val="none"/>
        </w:rPr>
        <w:t>清单</w:t>
      </w:r>
      <w:r>
        <w:rPr>
          <w:rFonts w:hint="eastAsia" w:ascii="宋体" w:hAnsi="宋体" w:cs="宋体"/>
          <w:bCs/>
          <w:color w:val="auto"/>
          <w:u w:val="none"/>
        </w:rPr>
        <w:t>，施工过程中</w:t>
      </w:r>
      <w:r>
        <w:rPr>
          <w:rFonts w:hint="default" w:ascii="宋体" w:hAnsi="Times New Roman" w:eastAsia="宋体" w:cs="Times New Roman"/>
          <w:kern w:val="2"/>
          <w:sz w:val="24"/>
          <w:szCs w:val="30"/>
          <w:u w:val="none"/>
          <w:lang w:val="en-US" w:eastAsia="zh-CN"/>
        </w:rPr>
        <w:t>合同单价不因国家和地方政策调整、物价变动、工程量的增减等因数的影响而调整</w:t>
      </w:r>
      <w:r>
        <w:rPr>
          <w:rFonts w:hint="eastAsia" w:ascii="宋体" w:hAnsi="宋体" w:cs="宋体"/>
          <w:bCs/>
          <w:color w:val="auto"/>
          <w:u w:val="none"/>
        </w:rPr>
        <w:t>。</w:t>
      </w:r>
    </w:p>
    <w:p w14:paraId="5405E72D">
      <w:pPr>
        <w:ind w:firstLine="480"/>
        <w:rPr>
          <w:rFonts w:hint="eastAsia" w:ascii="宋体" w:hAnsi="宋体"/>
          <w:highlight w:val="yellow"/>
        </w:rPr>
      </w:pPr>
      <w:r>
        <w:rPr>
          <w:rFonts w:hint="eastAsia"/>
          <w:bCs/>
          <w:lang w:val="en-US" w:eastAsia="zh-CN"/>
        </w:rPr>
        <w:t>2</w:t>
      </w:r>
      <w:r>
        <w:rPr>
          <w:rFonts w:hint="eastAsia"/>
          <w:bCs/>
        </w:rPr>
        <w:t>、本合同</w:t>
      </w:r>
      <w:r>
        <w:rPr>
          <w:rFonts w:hint="eastAsia"/>
          <w:bCs/>
          <w:color w:val="000000" w:themeColor="text1"/>
          <w14:textFill>
            <w14:solidFill>
              <w14:schemeClr w14:val="tx1"/>
            </w14:solidFill>
          </w14:textFill>
        </w:rPr>
        <w:t>暂定</w:t>
      </w:r>
      <w:r>
        <w:rPr>
          <w:bCs/>
          <w:color w:val="000000" w:themeColor="text1"/>
          <w14:textFill>
            <w14:solidFill>
              <w14:schemeClr w14:val="tx1"/>
            </w14:solidFill>
          </w14:textFill>
        </w:rPr>
        <w:t>总金额（</w:t>
      </w:r>
      <w:r>
        <w:rPr>
          <w:rFonts w:hint="eastAsia"/>
          <w:bCs/>
          <w:color w:val="000000" w:themeColor="text1"/>
          <w14:textFill>
            <w14:solidFill>
              <w14:schemeClr w14:val="tx1"/>
            </w14:solidFill>
          </w14:textFill>
        </w:rPr>
        <w:t>含</w:t>
      </w:r>
      <w:r>
        <w:rPr>
          <w:bCs/>
          <w:color w:val="000000" w:themeColor="text1"/>
          <w14:textFill>
            <w14:solidFill>
              <w14:schemeClr w14:val="tx1"/>
            </w14:solidFill>
          </w14:textFill>
        </w:rPr>
        <w:t>税）</w:t>
      </w:r>
      <w:r>
        <w:rPr>
          <w:bCs/>
        </w:rPr>
        <w:t>（大写）：</w:t>
      </w:r>
      <w:r>
        <w:rPr>
          <w:rFonts w:hint="eastAsia"/>
          <w:bCs/>
          <w:u w:val="single"/>
        </w:rPr>
        <w:t xml:space="preserve">          </w:t>
      </w:r>
      <w:r>
        <w:rPr>
          <w:bCs/>
        </w:rPr>
        <w:t>元整（¥：</w:t>
      </w:r>
      <w:r>
        <w:rPr>
          <w:rFonts w:hint="eastAsia"/>
          <w:bCs/>
          <w:u w:val="single"/>
        </w:rPr>
        <w:t xml:space="preserve">          </w:t>
      </w:r>
      <w:r>
        <w:rPr>
          <w:bCs/>
        </w:rPr>
        <w:t>元整）</w:t>
      </w:r>
      <w:r>
        <w:rPr>
          <w:rFonts w:hint="eastAsia"/>
          <w:bCs/>
          <w:highlight w:val="none"/>
          <w:lang w:val="en-US" w:eastAsia="zh-CN"/>
        </w:rPr>
        <w:t>不含税费用：</w:t>
      </w:r>
      <w:r>
        <w:rPr>
          <w:rFonts w:hint="eastAsia"/>
          <w:bCs/>
          <w:highlight w:val="none"/>
        </w:rPr>
        <w:t xml:space="preserve">¥ </w:t>
      </w:r>
      <w:r>
        <w:rPr>
          <w:rFonts w:hint="eastAsia"/>
          <w:bCs/>
          <w:highlight w:val="none"/>
          <w:u w:val="single"/>
          <w:lang w:val="en-US" w:eastAsia="zh-CN"/>
        </w:rPr>
        <w:t xml:space="preserve">       </w:t>
      </w:r>
      <w:r>
        <w:rPr>
          <w:rFonts w:hint="eastAsia"/>
          <w:bCs/>
          <w:highlight w:val="none"/>
        </w:rPr>
        <w:t>元；税费：¥</w:t>
      </w:r>
      <w:r>
        <w:rPr>
          <w:rFonts w:hint="eastAsia"/>
          <w:bCs/>
          <w:highlight w:val="none"/>
          <w:u w:val="single"/>
          <w:lang w:val="en-US" w:eastAsia="zh-CN"/>
        </w:rPr>
        <w:t xml:space="preserve">        </w:t>
      </w:r>
      <w:r>
        <w:rPr>
          <w:rFonts w:hint="eastAsia"/>
          <w:bCs/>
          <w:highlight w:val="none"/>
        </w:rPr>
        <w:t>元</w:t>
      </w:r>
      <w:r>
        <w:rPr>
          <w:bCs/>
        </w:rPr>
        <w:t>。</w:t>
      </w:r>
      <w:r>
        <w:rPr>
          <w:bCs/>
          <w:highlight w:val="none"/>
        </w:rPr>
        <w:t>乙方提供的发票应为增值税专用发票，且抵扣税率为</w:t>
      </w:r>
      <w:r>
        <w:rPr>
          <w:rFonts w:hint="eastAsia"/>
          <w:bCs/>
          <w:color w:val="auto"/>
          <w:highlight w:val="none"/>
          <w:u w:val="single"/>
        </w:rPr>
        <w:t xml:space="preserve"> </w:t>
      </w:r>
      <w:r>
        <w:rPr>
          <w:rFonts w:hint="eastAsia"/>
          <w:bCs/>
          <w:color w:val="auto"/>
          <w:highlight w:val="none"/>
          <w:u w:val="single"/>
          <w:lang w:val="en-US" w:eastAsia="zh-CN"/>
        </w:rPr>
        <w:t>9</w:t>
      </w:r>
      <w:r>
        <w:rPr>
          <w:rFonts w:hint="eastAsia"/>
          <w:bCs/>
          <w:color w:val="auto"/>
          <w:highlight w:val="none"/>
          <w:u w:val="single"/>
        </w:rPr>
        <w:t xml:space="preserve">% </w:t>
      </w:r>
      <w:r>
        <w:rPr>
          <w:bCs/>
          <w:highlight w:val="none"/>
        </w:rPr>
        <w:t>。</w:t>
      </w:r>
    </w:p>
    <w:p w14:paraId="4F24DF03">
      <w:pPr>
        <w:ind w:firstLine="480"/>
        <w:rPr>
          <w:bCs/>
          <w:color w:val="auto"/>
        </w:rPr>
      </w:pPr>
      <w:r>
        <w:rPr>
          <w:rFonts w:hint="eastAsia"/>
          <w:bCs/>
          <w:lang w:val="en-US" w:eastAsia="zh-CN"/>
        </w:rPr>
        <w:t>3、</w:t>
      </w:r>
      <w:r>
        <w:rPr>
          <w:rFonts w:hint="eastAsia"/>
          <w:bCs/>
          <w:color w:val="auto"/>
          <w:highlight w:val="none"/>
          <w:lang w:val="en-US" w:eastAsia="zh-CN"/>
        </w:rPr>
        <w:t>工</w:t>
      </w:r>
      <w:r>
        <w:rPr>
          <w:rFonts w:hint="eastAsia"/>
          <w:bCs/>
          <w:color w:val="auto"/>
          <w:highlight w:val="none"/>
        </w:rPr>
        <w:t>程内容清单的固定单价：含人工费、材料费、机械费、调试费、管理费、利润、风险费、措施费、规费、安全文明施工费、税金等全部费用</w:t>
      </w:r>
      <w:r>
        <w:rPr>
          <w:rFonts w:hint="eastAsia"/>
          <w:bCs/>
          <w:color w:val="auto"/>
          <w:highlight w:val="none"/>
          <w:lang w:val="en-US" w:eastAsia="zh-CN"/>
        </w:rPr>
        <w:t>。</w:t>
      </w:r>
      <w:r>
        <w:rPr>
          <w:bCs/>
          <w:color w:val="auto"/>
          <w:highlight w:val="none"/>
        </w:rPr>
        <w:t>双方约定的合同</w:t>
      </w:r>
      <w:r>
        <w:rPr>
          <w:rFonts w:hint="eastAsia"/>
          <w:bCs/>
          <w:color w:val="auto"/>
          <w:highlight w:val="none"/>
        </w:rPr>
        <w:t>固定单</w:t>
      </w:r>
      <w:r>
        <w:rPr>
          <w:bCs/>
          <w:color w:val="auto"/>
          <w:highlight w:val="none"/>
        </w:rPr>
        <w:t>价已包含了全部风险范围的费用，在合同签订后，任何一方不得擅自改变或调整。</w:t>
      </w:r>
    </w:p>
    <w:p w14:paraId="16DB8EB1">
      <w:pPr>
        <w:ind w:firstLine="480"/>
      </w:pPr>
      <w:r>
        <w:rPr>
          <w:rFonts w:hint="eastAsia"/>
          <w:lang w:val="en-US" w:eastAsia="zh-CN"/>
        </w:rPr>
        <w:t>4、</w:t>
      </w:r>
      <w:r>
        <w:t>工程费用的计量方法</w:t>
      </w:r>
    </w:p>
    <w:p w14:paraId="6BB4291E">
      <w:pPr>
        <w:ind w:firstLine="480"/>
        <w:rPr>
          <w:color w:val="000000" w:themeColor="text1"/>
          <w14:textFill>
            <w14:solidFill>
              <w14:schemeClr w14:val="tx1"/>
            </w14:solidFill>
          </w14:textFill>
        </w:rPr>
      </w:pPr>
      <w:r>
        <w:rPr>
          <w:rFonts w:hint="eastAsia"/>
        </w:rPr>
        <w:t>按合同要求完成约定内容后支付乙方结算价格</w:t>
      </w:r>
      <w:r>
        <w:rPr>
          <w:color w:val="000000" w:themeColor="text1"/>
          <w14:textFill>
            <w14:solidFill>
              <w14:schemeClr w14:val="tx1"/>
            </w14:solidFill>
          </w14:textFill>
        </w:rPr>
        <w:t>。</w:t>
      </w:r>
    </w:p>
    <w:p w14:paraId="47DF766B">
      <w:pPr>
        <w:ind w:firstLine="480"/>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5、</w:t>
      </w:r>
      <w:r>
        <w:rPr>
          <w:color w:val="000000" w:themeColor="text1"/>
          <w14:textFill>
            <w14:solidFill>
              <w14:schemeClr w14:val="tx1"/>
            </w14:solidFill>
          </w14:textFill>
        </w:rPr>
        <w:t>工程款的支付</w:t>
      </w:r>
    </w:p>
    <w:p w14:paraId="04AF65A6">
      <w:pPr>
        <w:ind w:firstLine="482"/>
        <w:rPr>
          <w:b w:val="0"/>
          <w:bCs w:val="0"/>
        </w:rPr>
      </w:pPr>
      <w:r>
        <w:rPr>
          <w:b w:val="0"/>
          <w:bCs w:val="0"/>
        </w:rPr>
        <w:t>（1）本工程无预付款</w:t>
      </w:r>
      <w:r>
        <w:rPr>
          <w:rFonts w:hint="eastAsia"/>
          <w:b w:val="0"/>
          <w:bCs w:val="0"/>
        </w:rPr>
        <w:t>。</w:t>
      </w:r>
    </w:p>
    <w:p w14:paraId="2F695574">
      <w:pPr>
        <w:ind w:firstLine="482"/>
        <w:rPr>
          <w:rFonts w:hint="eastAsia"/>
          <w:color w:val="auto"/>
          <w:highlight w:val="none"/>
        </w:rPr>
      </w:pPr>
      <w:r>
        <w:rPr>
          <w:rFonts w:hint="eastAsia"/>
          <w:b w:val="0"/>
          <w:bCs w:val="0"/>
          <w:color w:val="auto"/>
          <w:highlight w:val="none"/>
        </w:rPr>
        <w:t>（2）</w:t>
      </w:r>
      <w:r>
        <w:rPr>
          <w:rFonts w:hint="eastAsia"/>
          <w:color w:val="auto"/>
          <w:highlight w:val="none"/>
        </w:rPr>
        <w:t>结算支付</w:t>
      </w:r>
      <w:r>
        <w:rPr>
          <w:rFonts w:hint="eastAsia"/>
          <w:color w:val="auto"/>
          <w:highlight w:val="none"/>
          <w:lang w:eastAsia="zh-CN"/>
        </w:rPr>
        <w:t>：</w:t>
      </w:r>
      <w:r>
        <w:rPr>
          <w:rFonts w:hint="eastAsia"/>
          <w:color w:val="auto"/>
          <w:highlight w:val="none"/>
          <w:lang w:val="en-US" w:eastAsia="zh-CN"/>
        </w:rPr>
        <w:t>工程</w:t>
      </w:r>
      <w:r>
        <w:rPr>
          <w:rFonts w:hint="eastAsia" w:ascii="宋体" w:hAnsi="Times New Roman" w:cs="Times New Roman"/>
          <w:color w:val="auto"/>
          <w:sz w:val="24"/>
          <w:szCs w:val="30"/>
          <w:highlight w:val="none"/>
          <w:u w:val="none"/>
          <w:lang w:val="en-US" w:eastAsia="zh-CN"/>
        </w:rPr>
        <w:t>经</w:t>
      </w:r>
      <w:r>
        <w:rPr>
          <w:rFonts w:hint="eastAsia" w:ascii="宋体" w:hAnsi="Times New Roman" w:eastAsia="宋体" w:cs="Times New Roman"/>
          <w:color w:val="auto"/>
          <w:sz w:val="24"/>
          <w:szCs w:val="30"/>
          <w:highlight w:val="none"/>
          <w:u w:val="none"/>
          <w:lang w:val="en-US" w:eastAsia="zh-CN"/>
        </w:rPr>
        <w:t>验收合格后</w:t>
      </w:r>
      <w:r>
        <w:rPr>
          <w:rFonts w:hint="eastAsia"/>
          <w:b w:val="0"/>
          <w:bCs w:val="0"/>
          <w:color w:val="auto"/>
          <w:highlight w:val="none"/>
          <w:lang w:val="en-US" w:eastAsia="zh-CN"/>
        </w:rPr>
        <w:t>乙方</w:t>
      </w:r>
      <w:r>
        <w:rPr>
          <w:rFonts w:hint="eastAsia"/>
          <w:color w:val="auto"/>
          <w:highlight w:val="none"/>
        </w:rPr>
        <w:t>向甲方递交完工资料及合法且符合甲方要求的增值税专用发票，经甲方审核</w:t>
      </w:r>
      <w:r>
        <w:rPr>
          <w:rFonts w:hint="eastAsia"/>
          <w:color w:val="auto"/>
          <w:highlight w:val="none"/>
          <w:lang w:val="en-US" w:eastAsia="zh-CN"/>
        </w:rPr>
        <w:t>无误后</w:t>
      </w:r>
      <w:r>
        <w:rPr>
          <w:rFonts w:hint="eastAsia" w:ascii="宋体" w:hAnsi="Times New Roman" w:eastAsia="宋体" w:cs="Times New Roman"/>
          <w:color w:val="auto"/>
          <w:sz w:val="24"/>
          <w:szCs w:val="30"/>
          <w:highlight w:val="none"/>
          <w:u w:val="none"/>
          <w:lang w:val="en-US" w:eastAsia="zh-CN"/>
        </w:rPr>
        <w:t>付至合同金额的9</w:t>
      </w:r>
      <w:r>
        <w:rPr>
          <w:rFonts w:hint="eastAsia" w:ascii="宋体" w:cs="Times New Roman"/>
          <w:color w:val="auto"/>
          <w:sz w:val="24"/>
          <w:szCs w:val="30"/>
          <w:highlight w:val="none"/>
          <w:u w:val="none"/>
          <w:lang w:val="en-US" w:eastAsia="zh-CN"/>
        </w:rPr>
        <w:t>8</w:t>
      </w:r>
      <w:r>
        <w:rPr>
          <w:rFonts w:hint="eastAsia" w:ascii="宋体" w:hAnsi="Times New Roman" w:eastAsia="宋体" w:cs="Times New Roman"/>
          <w:color w:val="auto"/>
          <w:sz w:val="24"/>
          <w:szCs w:val="30"/>
          <w:highlight w:val="none"/>
          <w:u w:val="none"/>
          <w:lang w:val="en-US" w:eastAsia="zh-CN"/>
        </w:rPr>
        <w:t>%；交工验收合格</w:t>
      </w:r>
      <w:r>
        <w:rPr>
          <w:rFonts w:hint="eastAsia" w:ascii="宋体" w:hAnsi="Times New Roman" w:cs="Times New Roman"/>
          <w:color w:val="auto"/>
          <w:sz w:val="24"/>
          <w:szCs w:val="30"/>
          <w:highlight w:val="none"/>
          <w:u w:val="none"/>
          <w:lang w:val="en-US" w:eastAsia="zh-CN"/>
        </w:rPr>
        <w:t>后，</w:t>
      </w:r>
      <w:r>
        <w:rPr>
          <w:rFonts w:hint="eastAsia" w:ascii="宋体" w:hAnsi="Times New Roman" w:eastAsia="宋体" w:cs="Times New Roman"/>
          <w:color w:val="auto"/>
          <w:sz w:val="24"/>
          <w:szCs w:val="30"/>
          <w:highlight w:val="none"/>
          <w:u w:val="none"/>
          <w:lang w:val="en-US" w:eastAsia="zh-CN"/>
        </w:rPr>
        <w:t>乙方向甲方提交《不拖欠民工工资承诺书》和民工工资支付清单，甲方审核无误后，15个工作日内支付农民工保证金</w:t>
      </w:r>
      <w:r>
        <w:rPr>
          <w:rFonts w:hint="eastAsia" w:ascii="宋体" w:cs="Times New Roman"/>
          <w:color w:val="auto"/>
          <w:sz w:val="24"/>
          <w:szCs w:val="30"/>
          <w:highlight w:val="none"/>
          <w:u w:val="none"/>
          <w:lang w:val="en-US" w:eastAsia="zh-CN"/>
        </w:rPr>
        <w:t>（合同金额</w:t>
      </w:r>
      <w:r>
        <w:rPr>
          <w:rFonts w:hint="eastAsia" w:ascii="宋体" w:hAnsi="Times New Roman" w:eastAsia="宋体" w:cs="Times New Roman"/>
          <w:color w:val="auto"/>
          <w:sz w:val="24"/>
          <w:szCs w:val="30"/>
          <w:highlight w:val="none"/>
          <w:u w:val="none"/>
          <w:lang w:val="en-US" w:eastAsia="zh-CN"/>
        </w:rPr>
        <w:t>2%</w:t>
      </w:r>
      <w:r>
        <w:rPr>
          <w:rFonts w:hint="eastAsia" w:ascii="宋体" w:cs="Times New Roman"/>
          <w:color w:val="auto"/>
          <w:sz w:val="24"/>
          <w:szCs w:val="30"/>
          <w:highlight w:val="none"/>
          <w:u w:val="none"/>
          <w:lang w:val="en-US" w:eastAsia="zh-CN"/>
        </w:rPr>
        <w:t>）</w:t>
      </w:r>
      <w:r>
        <w:rPr>
          <w:rFonts w:hint="eastAsia"/>
          <w:color w:val="auto"/>
          <w:highlight w:val="none"/>
          <w:lang w:eastAsia="zh-CN"/>
        </w:rPr>
        <w:t>。</w:t>
      </w:r>
      <w:r>
        <w:rPr>
          <w:rFonts w:hint="eastAsia"/>
          <w:color w:val="auto"/>
          <w:highlight w:val="none"/>
        </w:rPr>
        <w:t>若乙方未按约定提供发票和相关结算资料或未结清民工工资及商业保费及其他费用和款项的，甲方的付款期限相应顺延。</w:t>
      </w:r>
    </w:p>
    <w:p w14:paraId="30DCC0AC">
      <w:pPr>
        <w:adjustRightInd w:val="0"/>
        <w:snapToGrid w:val="0"/>
        <w:spacing w:line="520" w:lineRule="exact"/>
        <w:ind w:left="0" w:leftChars="0" w:firstLine="480" w:firstLineChars="200"/>
        <w:textAlignment w:val="baseline"/>
        <w:rPr>
          <w:b w:val="0"/>
          <w:bCs w:val="0"/>
        </w:rPr>
      </w:pPr>
      <w:r>
        <w:rPr>
          <w:rFonts w:hint="eastAsia"/>
          <w:b w:val="0"/>
          <w:bCs w:val="0"/>
          <w:lang w:val="en-US" w:eastAsia="zh-CN"/>
        </w:rPr>
        <w:t>6、</w:t>
      </w:r>
      <w:r>
        <w:rPr>
          <w:b w:val="0"/>
          <w:bCs w:val="0"/>
        </w:rPr>
        <w:t>发票的开具</w:t>
      </w:r>
    </w:p>
    <w:p w14:paraId="7468CBD1">
      <w:pPr>
        <w:ind w:left="0" w:leftChars="0" w:firstLine="480" w:firstLineChars="200"/>
      </w:pPr>
      <w:r>
        <w:t>（1）</w:t>
      </w:r>
      <w:r>
        <w:rPr>
          <w:rFonts w:hint="eastAsia"/>
        </w:rPr>
        <w:t>采用一票制结算。</w:t>
      </w:r>
      <w:r>
        <w:t>在甲方向乙方支付合同价款前，乙方应</w:t>
      </w:r>
      <w:r>
        <w:rPr>
          <w:rFonts w:hint="eastAsia"/>
          <w:lang w:val="en-US" w:eastAsia="zh-CN"/>
        </w:rPr>
        <w:t>按项目名称</w:t>
      </w:r>
      <w:r>
        <w:t>向甲方开具增值税专用发票，且抵扣税率为</w:t>
      </w:r>
      <w:r>
        <w:rPr>
          <w:rFonts w:hint="eastAsia"/>
          <w:b/>
          <w:bCs/>
          <w:color w:val="auto"/>
          <w:u w:val="single"/>
        </w:rPr>
        <w:t xml:space="preserve"> </w:t>
      </w:r>
      <w:r>
        <w:rPr>
          <w:rFonts w:hint="eastAsia"/>
          <w:b/>
          <w:bCs/>
          <w:color w:val="auto"/>
          <w:u w:val="single"/>
          <w:lang w:val="en-US" w:eastAsia="zh-CN"/>
        </w:rPr>
        <w:t>9</w:t>
      </w:r>
      <w:r>
        <w:rPr>
          <w:rFonts w:hint="eastAsia"/>
          <w:b/>
          <w:bCs/>
          <w:color w:val="auto"/>
          <w:u w:val="single"/>
        </w:rPr>
        <w:t xml:space="preserve">% </w:t>
      </w:r>
      <w:r>
        <w:t>，并配合甲方验证发票的真伪。否则，甲方有权拒绝付款并顺延付款时间。因乙方开具的发票不规范、不合法或涉嫌虚开发票引起税务问题的，乙方需依法向甲方重新开具发票，并向甲方承担赔偿责任，包括但不限于税款、滞纳金、罚款及相关损失等。</w:t>
      </w:r>
    </w:p>
    <w:p w14:paraId="0CD603F6">
      <w:pPr>
        <w:ind w:firstLine="480"/>
      </w:pPr>
      <w:r>
        <w:t>（2）乙方应按照甲方要求，及时向甲方开具可以抵扣税款的增值税专用发票。因乙方开具发票不及时给甲方造成无法及时认证、抵扣发票等情形的，乙方需向甲方承担赔偿责任，包括但不限于税款、滞纳金、罚款及相关损失等。</w:t>
      </w:r>
    </w:p>
    <w:p w14:paraId="76E4C94D">
      <w:pPr>
        <w:pStyle w:val="44"/>
        <w:numPr>
          <w:ilvl w:val="0"/>
          <w:numId w:val="4"/>
        </w:numPr>
        <w:wordWrap/>
        <w:topLinePunct w:val="0"/>
        <w:ind w:firstLineChars="0"/>
        <w:rPr>
          <w:b/>
          <w:bCs/>
        </w:rPr>
      </w:pPr>
      <w:r>
        <w:rPr>
          <w:rFonts w:hint="eastAsia"/>
          <w:b/>
          <w:bCs/>
        </w:rPr>
        <w:t>双方的责任、权利与义务</w:t>
      </w:r>
    </w:p>
    <w:p w14:paraId="4061C16C">
      <w:pPr>
        <w:ind w:firstLine="480"/>
      </w:pPr>
      <w:r>
        <w:rPr>
          <w:rFonts w:hint="eastAsia"/>
        </w:rPr>
        <w:t>1.</w:t>
      </w:r>
      <w:r>
        <w:t>甲方</w:t>
      </w:r>
    </w:p>
    <w:p w14:paraId="453668D5">
      <w:pPr>
        <w:ind w:firstLine="480"/>
      </w:pPr>
      <w:r>
        <w:rPr>
          <w:rFonts w:hint="eastAsia"/>
        </w:rPr>
        <w:t>（1）</w:t>
      </w:r>
      <w:r>
        <w:t>甲方指定</w:t>
      </w:r>
      <w:r>
        <w:rPr>
          <w:rFonts w:hint="eastAsia"/>
          <w:b/>
          <w:bCs/>
          <w:u w:val="single"/>
        </w:rPr>
        <w:t xml:space="preserve">        </w:t>
      </w:r>
      <w:r>
        <w:t>为本工程的项目代表，由项目代表负责协调各方关系，做好协调管理工作</w:t>
      </w:r>
      <w:r>
        <w:rPr>
          <w:rFonts w:hint="eastAsia"/>
        </w:rPr>
        <w:t>，办理相关的工程签证等手续。</w:t>
      </w:r>
    </w:p>
    <w:p w14:paraId="1ECA3D3C">
      <w:pPr>
        <w:ind w:firstLine="480"/>
      </w:pPr>
      <w:r>
        <w:rPr>
          <w:rFonts w:hint="eastAsia"/>
        </w:rPr>
        <w:t>（2）</w:t>
      </w:r>
      <w:r>
        <w:t>在工程完工验收合格后，审核完成工程</w:t>
      </w:r>
      <w:r>
        <w:rPr>
          <w:rFonts w:hint="eastAsia"/>
        </w:rPr>
        <w:t>内容</w:t>
      </w:r>
      <w:r>
        <w:t>办理结算。</w:t>
      </w:r>
    </w:p>
    <w:p w14:paraId="24497515">
      <w:pPr>
        <w:ind w:firstLine="480"/>
      </w:pPr>
      <w:r>
        <w:rPr>
          <w:rFonts w:hint="eastAsia"/>
        </w:rPr>
        <w:t>（3）</w:t>
      </w:r>
      <w:r>
        <w:t>向乙方承诺按照合同约定的期限和方式支付合同价款及其他应当支付的款项。</w:t>
      </w:r>
    </w:p>
    <w:p w14:paraId="52E465FF">
      <w:pPr>
        <w:ind w:firstLine="480"/>
      </w:pPr>
      <w:r>
        <w:rPr>
          <w:rFonts w:hint="eastAsia"/>
        </w:rPr>
        <w:t>2、</w:t>
      </w:r>
      <w:r>
        <w:t>乙方</w:t>
      </w:r>
    </w:p>
    <w:p w14:paraId="4EDD9DE4">
      <w:pPr>
        <w:ind w:firstLine="405" w:firstLineChars="169"/>
        <w:textAlignment w:val="baseline"/>
        <w:rPr>
          <w:b/>
          <w:u w:val="single"/>
        </w:rPr>
      </w:pPr>
      <w:r>
        <w:rPr>
          <w:rFonts w:hint="eastAsia"/>
        </w:rPr>
        <w:t>（1）</w:t>
      </w:r>
      <w:r>
        <w:rPr>
          <w:color w:val="000000" w:themeColor="text1"/>
          <w14:textFill>
            <w14:solidFill>
              <w14:schemeClr w14:val="tx1"/>
            </w14:solidFill>
          </w14:textFill>
        </w:rPr>
        <w:t>乙方指派</w:t>
      </w:r>
      <w:r>
        <w:rPr>
          <w:rFonts w:hint="eastAsia"/>
          <w:b/>
          <w:bCs/>
          <w:color w:val="000000" w:themeColor="text1"/>
          <w:u w:val="single"/>
          <w14:textFill>
            <w14:solidFill>
              <w14:schemeClr w14:val="tx1"/>
            </w14:solidFill>
          </w14:textFill>
        </w:rPr>
        <w:t xml:space="preserve">        身份证号码             联系电话          </w:t>
      </w:r>
      <w:r>
        <w:rPr>
          <w:color w:val="000000" w:themeColor="text1"/>
          <w14:textFill>
            <w14:solidFill>
              <w14:schemeClr w14:val="tx1"/>
            </w14:solidFill>
          </w14:textFill>
        </w:rPr>
        <w:t>为本工程的项目负责人</w:t>
      </w:r>
      <w:r>
        <w:t>，</w:t>
      </w:r>
      <w:r>
        <w:rPr>
          <w:rFonts w:hint="eastAsia" w:ascii="宋体"/>
        </w:rPr>
        <w:t>配合甲方处理好各种关系，并对本工程实施管理工作；</w:t>
      </w:r>
      <w:r>
        <w:rPr>
          <w:rFonts w:hint="eastAsia"/>
        </w:rPr>
        <w:t>负责施工现场作业人员的工作安排、配套机具设备的使用、安全教育培训及安全生产管理</w:t>
      </w:r>
      <w:r>
        <w:rPr>
          <w:rFonts w:hint="eastAsia"/>
          <w:lang w:eastAsia="zh-CN"/>
        </w:rPr>
        <w:t>、</w:t>
      </w:r>
      <w:r>
        <w:rPr>
          <w:rFonts w:hint="eastAsia"/>
          <w:lang w:val="en-US" w:eastAsia="zh-CN"/>
        </w:rPr>
        <w:t>资料汇总、技术安全、工程质量等工作</w:t>
      </w:r>
      <w:r>
        <w:rPr>
          <w:rFonts w:hint="eastAsia"/>
        </w:rPr>
        <w:t>。确保施工作业人员的现场操作满足规范要求、安全防护设施设备配备到位、施工作业质量可靠。该负责人必须始终驻守现场。</w:t>
      </w:r>
    </w:p>
    <w:p w14:paraId="72EC5DD1">
      <w:pPr>
        <w:ind w:firstLine="480"/>
      </w:pPr>
      <w:r>
        <w:rPr>
          <w:rFonts w:hint="eastAsia"/>
        </w:rPr>
        <w:t>（2）乙方应成立项目部并报送甲方备案。乙方在进场前3天内，将其人员姓名、性别、身份证号码、岗位、职责权限、联系电话等情况进行明确并书面报送甲方备案。如乙方未及时报送备案，其人员的职责权限将按照最大范围理解，即其所有人员的任何行为均视为乙方行为，并由乙方承担法律责任。</w:t>
      </w:r>
    </w:p>
    <w:p w14:paraId="5912C816">
      <w:pPr>
        <w:ind w:firstLine="480"/>
      </w:pPr>
      <w:r>
        <w:rPr>
          <w:rFonts w:hint="eastAsia"/>
        </w:rPr>
        <w:t>（3）</w:t>
      </w:r>
      <w:r>
        <w:t>严格执行国家现行施工技术验收规范和标准；尊重和服从甲方管理人员的监督与指挥。</w:t>
      </w:r>
    </w:p>
    <w:p w14:paraId="5B56CF66">
      <w:pPr>
        <w:ind w:firstLine="480"/>
      </w:pPr>
      <w:r>
        <w:rPr>
          <w:rFonts w:hint="eastAsia"/>
        </w:rPr>
        <w:t>（4）</w:t>
      </w:r>
      <w:r>
        <w:t>贯彻执行</w:t>
      </w:r>
      <w:r>
        <w:rPr>
          <w:rFonts w:hint="eastAsia"/>
        </w:rPr>
        <w:t>“</w:t>
      </w:r>
      <w:r>
        <w:t>谁施工，谁负责安全</w:t>
      </w:r>
      <w:r>
        <w:rPr>
          <w:rFonts w:hint="eastAsia"/>
        </w:rPr>
        <w:t>”</w:t>
      </w:r>
      <w:r>
        <w:t>的原则，严格按照国家</w:t>
      </w:r>
      <w:r>
        <w:rPr>
          <w:rFonts w:hint="eastAsia"/>
        </w:rPr>
        <w:t>相关规定</w:t>
      </w:r>
      <w:r>
        <w:t>要求组织施工，遵守相关管理规定，执行操作规程，提高安全认识，加强安全检查、督促，及时纠正安全隐患，承担</w:t>
      </w:r>
      <w:r>
        <w:rPr>
          <w:rFonts w:hint="eastAsia"/>
        </w:rPr>
        <w:t>因自身</w:t>
      </w:r>
      <w:r>
        <w:t>施工安全责任和因</w:t>
      </w:r>
      <w:r>
        <w:rPr>
          <w:rFonts w:hint="eastAsia"/>
        </w:rPr>
        <w:t>自身</w:t>
      </w:r>
      <w:r>
        <w:t>安全责任造成的一切经济损失及法律责任。</w:t>
      </w:r>
    </w:p>
    <w:p w14:paraId="59855042">
      <w:pPr>
        <w:ind w:firstLine="480"/>
      </w:pPr>
      <w:r>
        <w:rPr>
          <w:rFonts w:hint="eastAsia"/>
        </w:rPr>
        <w:t>（5）</w:t>
      </w:r>
      <w:r>
        <w:t>乙方必须严格遵守和执行甲方制定的各项规章制度及有关条例。如有违反，甲方可立即解除本合同、责令乙方立即退场，并有权另行安排其他队伍或委托第三方组织实施，由此产生的一切费用和法律责任均由乙方承担，且甲方有权要求乙方赔偿由此给甲方造成的全部损失。</w:t>
      </w:r>
    </w:p>
    <w:p w14:paraId="6604A878">
      <w:pPr>
        <w:ind w:firstLine="480"/>
      </w:pPr>
      <w:r>
        <w:rPr>
          <w:rFonts w:hint="eastAsia"/>
        </w:rPr>
        <w:t>（6）</w:t>
      </w:r>
      <w:r>
        <w:t>乙方及其施工人员必须服从业主、监理及甲方的统一指挥、调配、指导及管理，执行作业计划，加强环保意识，坚持文明安全施工，确保公司的良好声誉及形象，保质保量地按期完成工程任务</w:t>
      </w:r>
      <w:r>
        <w:rPr>
          <w:rFonts w:hint="eastAsia"/>
        </w:rPr>
        <w:t>。</w:t>
      </w:r>
    </w:p>
    <w:p w14:paraId="7859A883">
      <w:pPr>
        <w:ind w:firstLine="480"/>
      </w:pPr>
      <w:r>
        <w:rPr>
          <w:rFonts w:hint="eastAsia"/>
        </w:rPr>
        <w:t>（7）</w:t>
      </w:r>
      <w:r>
        <w:t>乙方向甲方承诺必须按照合同的约定进行施工，确保进场人员的技术素质并对其进行安全教育，须持证人员按国家规定持证上岗，保证乙方人员证照持续有效。在施工责任期内，未经甲方许可，乙方不得随意更换施工队伍和人员，以保证该项目技术力量和施工队伍的稳定性；否则因此而造成的延期交工、完工、工程质量等问题均由乙方承担。</w:t>
      </w:r>
    </w:p>
    <w:p w14:paraId="05CA202A">
      <w:pPr>
        <w:ind w:firstLine="480"/>
      </w:pPr>
      <w:r>
        <w:rPr>
          <w:rFonts w:hint="eastAsia"/>
        </w:rPr>
        <w:t>（8）</w:t>
      </w:r>
      <w:r>
        <w:t>乙方承诺严格按甲方要求建立民工工资公示牌，决不拖欠。一经发现未按时按量支付民工工资，甲方有权要求乙方在</w:t>
      </w:r>
      <w:r>
        <w:rPr>
          <w:rFonts w:hint="eastAsia"/>
          <w:b/>
          <w:bCs/>
          <w:u w:val="single"/>
        </w:rPr>
        <w:t xml:space="preserve"> 10 </w:t>
      </w:r>
      <w:r>
        <w:t>个工作日内予以全额发放。若逾期仍未发放的，甲方将按未发放工资总额的双倍向乙方收取违约金，该部分违约金从应付乙方工程款中予以直接扣除，并由乙方自行承担由此造成一切法律责任和相关的经济损失。</w:t>
      </w:r>
    </w:p>
    <w:p w14:paraId="3FB7A060">
      <w:pPr>
        <w:ind w:firstLine="480"/>
      </w:pPr>
      <w:r>
        <w:rPr>
          <w:rFonts w:hint="eastAsia"/>
        </w:rPr>
        <w:t>（9）</w:t>
      </w:r>
      <w:r>
        <w:t>按照国家文明施工、环境保护的相关规定，做好施工组织管理，保持现场清洁、道路畅通、器材堆放整齐，及时清理建筑垃圾，做到文明施工。</w:t>
      </w:r>
    </w:p>
    <w:p w14:paraId="2CB97331">
      <w:pPr>
        <w:ind w:firstLine="480"/>
      </w:pPr>
      <w:r>
        <w:rPr>
          <w:rFonts w:hint="eastAsia"/>
        </w:rPr>
        <w:t>（10）</w:t>
      </w:r>
      <w:r>
        <w:t>负责提供施工过程中的自检资料及项目完工后所有的交（竣）工资料，并按照甲方及行业有关主管部门的要求完善项目竣工验收需要的相关资料。</w:t>
      </w:r>
    </w:p>
    <w:p w14:paraId="404588A6">
      <w:pPr>
        <w:ind w:firstLine="480"/>
      </w:pPr>
      <w:r>
        <w:rPr>
          <w:rFonts w:hint="eastAsia"/>
        </w:rPr>
        <w:t>（11）</w:t>
      </w:r>
      <w:r>
        <w:t>乙方应当妥善处理与建筑工人及其他材料供应商等各方的关系，如因此等纠纷影响施工进度，导致逾期完工或者工程质量下降的，甲方有权立即解除本合同，并有权要求乙方支付逾期违约金</w:t>
      </w:r>
      <w:r>
        <w:rPr>
          <w:rFonts w:hint="eastAsia"/>
          <w:b/>
          <w:bCs/>
          <w:u w:val="single"/>
        </w:rPr>
        <w:t xml:space="preserve"> </w:t>
      </w:r>
      <w:r>
        <w:rPr>
          <w:b/>
          <w:bCs/>
          <w:u w:val="single"/>
        </w:rPr>
        <w:t>2000元/天</w:t>
      </w:r>
      <w:r>
        <w:rPr>
          <w:rFonts w:hint="eastAsia"/>
          <w:b/>
          <w:bCs/>
          <w:u w:val="single"/>
        </w:rPr>
        <w:t xml:space="preserve"> </w:t>
      </w:r>
      <w:r>
        <w:t>和赔偿由此给甲方造成的一切损失。</w:t>
      </w:r>
    </w:p>
    <w:p w14:paraId="5C97C284">
      <w:pPr>
        <w:ind w:firstLine="480"/>
      </w:pPr>
      <w:r>
        <w:rPr>
          <w:rFonts w:hint="eastAsia"/>
        </w:rPr>
        <w:t>（12）</w:t>
      </w:r>
      <w:r>
        <w:t>乙方承诺具备履行本合同所需的全部资质、许可、授权等，并保证其持续合法有效。</w:t>
      </w:r>
    </w:p>
    <w:p w14:paraId="79D83593">
      <w:pPr>
        <w:ind w:firstLine="480"/>
      </w:pPr>
      <w:r>
        <w:rPr>
          <w:rFonts w:hint="eastAsia"/>
        </w:rPr>
        <w:t>（13）</w:t>
      </w:r>
      <w:r>
        <w:t>乙方严格按照国家行业标准组建项目管理部，主要管理人员和特种作业人员严格按照要求持证上岗。乙方应当安排具备相应资质的人员进行施工，对施工人员进行培训，对施工过程中的事故负责。乙方应当与施工人员建立劳动合同关系，承担用人/用工主体责任。</w:t>
      </w:r>
    </w:p>
    <w:p w14:paraId="115884E1">
      <w:pPr>
        <w:ind w:firstLine="480"/>
      </w:pPr>
      <w:r>
        <w:rPr>
          <w:rFonts w:hint="eastAsia"/>
        </w:rPr>
        <w:t>（14）</w:t>
      </w:r>
      <w:r>
        <w:t>设备要求：乙方提供的所有设备必须满足甲方关于施工质量、进度和安全文明施工的要求；主要设备应采用满足甲方要求且性能可靠的设备，所投入的设备要求技术状况良好。</w:t>
      </w:r>
    </w:p>
    <w:p w14:paraId="10F91DF4">
      <w:pPr>
        <w:pStyle w:val="44"/>
        <w:numPr>
          <w:ilvl w:val="0"/>
          <w:numId w:val="4"/>
        </w:numPr>
        <w:wordWrap/>
        <w:topLinePunct w:val="0"/>
        <w:ind w:firstLineChars="0"/>
        <w:rPr>
          <w:b/>
          <w:bCs/>
        </w:rPr>
      </w:pPr>
      <w:r>
        <w:rPr>
          <w:rFonts w:hint="eastAsia"/>
          <w:b/>
          <w:bCs/>
        </w:rPr>
        <w:t>保险管理</w:t>
      </w:r>
    </w:p>
    <w:p w14:paraId="3B4084A1">
      <w:pPr>
        <w:ind w:firstLine="480"/>
      </w:pPr>
      <w:r>
        <w:rPr>
          <w:rFonts w:hint="eastAsia"/>
        </w:rPr>
        <w:t>1.</w:t>
      </w:r>
      <w:r>
        <w:t>为加强对乙方人员保险管理，乙方必须按照国家《劳动法》、《劳动合同法》等相关规定规范用工并为从业人员购买社保（</w:t>
      </w:r>
      <w:r>
        <w:rPr>
          <w:rFonts w:hint="eastAsia"/>
        </w:rPr>
        <w:t>须</w:t>
      </w:r>
      <w:r>
        <w:t>含工伤保险）及其他商业险种。乙方商业险种应按照甲方要求购买</w:t>
      </w:r>
      <w:r>
        <w:rPr>
          <w:b/>
          <w:bCs/>
        </w:rPr>
        <w:t>雇主责任险</w:t>
      </w:r>
      <w:r>
        <w:t>（保险额度为</w:t>
      </w:r>
      <w:r>
        <w:rPr>
          <w:rFonts w:hint="eastAsia"/>
          <w:b/>
          <w:bCs/>
          <w:u w:val="single"/>
        </w:rPr>
        <w:t xml:space="preserve"> </w:t>
      </w:r>
      <w:r>
        <w:rPr>
          <w:rFonts w:hint="eastAsia"/>
          <w:b/>
          <w:bCs/>
          <w:u w:val="single"/>
          <w:lang w:val="en-US" w:eastAsia="zh-CN"/>
        </w:rPr>
        <w:t>20</w:t>
      </w:r>
      <w:r>
        <w:rPr>
          <w:b/>
          <w:bCs/>
          <w:u w:val="single"/>
        </w:rPr>
        <w:t>0万/人</w:t>
      </w:r>
      <w:r>
        <w:rPr>
          <w:rFonts w:hint="eastAsia"/>
          <w:b/>
          <w:bCs/>
          <w:u w:val="single"/>
        </w:rPr>
        <w:t xml:space="preserve"> </w:t>
      </w:r>
      <w:r>
        <w:t>；附加医疗保险</w:t>
      </w:r>
      <w:r>
        <w:rPr>
          <w:rFonts w:hint="eastAsia"/>
          <w:b/>
          <w:bCs/>
          <w:u w:val="single"/>
        </w:rPr>
        <w:t xml:space="preserve"> </w:t>
      </w:r>
      <w:r>
        <w:rPr>
          <w:rFonts w:hint="eastAsia"/>
          <w:b/>
          <w:bCs/>
          <w:u w:val="single"/>
          <w:lang w:val="en-US" w:eastAsia="zh-CN"/>
        </w:rPr>
        <w:t>2</w:t>
      </w:r>
      <w:r>
        <w:rPr>
          <w:rFonts w:hint="eastAsia"/>
          <w:b/>
          <w:bCs/>
          <w:u w:val="single"/>
        </w:rPr>
        <w:t>0</w:t>
      </w:r>
      <w:r>
        <w:rPr>
          <w:b/>
          <w:bCs/>
          <w:u w:val="single"/>
        </w:rPr>
        <w:t>万/人</w:t>
      </w:r>
      <w:r>
        <w:rPr>
          <w:rFonts w:hint="eastAsia"/>
          <w:b/>
          <w:bCs/>
          <w:u w:val="single"/>
        </w:rPr>
        <w:t xml:space="preserve"> </w:t>
      </w:r>
      <w:r>
        <w:t>），并自行承担相应的保费。乙方雇主责任险的购买可自行选择保险公司，也可与甲方作业人员参保单位一致，便于事故理赔。</w:t>
      </w:r>
    </w:p>
    <w:p w14:paraId="543ADD98">
      <w:pPr>
        <w:ind w:firstLine="480"/>
      </w:pPr>
      <w:r>
        <w:rPr>
          <w:rFonts w:hint="eastAsia"/>
        </w:rPr>
        <w:t>2.</w:t>
      </w:r>
      <w:r>
        <w:t>若发生保险事故，由乙方自行承担事故处理、保险责任、保险理赔有关事宜及费用等工作。如因乙方处理事故不及时或不当，对甲方造成稳定风险和产生不良社会影响，因此对甲方造成经济、名誉或其他一切损失，甲方有权向乙方追偿。</w:t>
      </w:r>
    </w:p>
    <w:p w14:paraId="58876B7A">
      <w:pPr>
        <w:ind w:firstLine="480"/>
      </w:pPr>
      <w:r>
        <w:rPr>
          <w:rFonts w:hint="eastAsia"/>
        </w:rPr>
        <w:t>3.</w:t>
      </w:r>
      <w:r>
        <w:t>乙方在项目开工前，须提前向甲方提供乙方从业人员保险名单（包括姓名、性别、身份证复印件）备案，并保证其真实合法有效。</w:t>
      </w:r>
    </w:p>
    <w:p w14:paraId="7607CFF6">
      <w:pPr>
        <w:ind w:firstLine="480"/>
      </w:pPr>
      <w:r>
        <w:rPr>
          <w:rFonts w:hint="eastAsia"/>
        </w:rPr>
        <w:t>4.</w:t>
      </w:r>
      <w:r>
        <w:t>项目实施过程中，乙方从业人员如发生变更，乙方须及时将变更人员名单（包括进出人员姓名、性别、身份证复印件）提供给甲方备案，待乙方变更人员投保后方可进出施工现场作业。</w:t>
      </w:r>
    </w:p>
    <w:p w14:paraId="387BE79E">
      <w:pPr>
        <w:ind w:firstLine="480"/>
      </w:pPr>
      <w:r>
        <w:rPr>
          <w:rFonts w:hint="eastAsia"/>
        </w:rPr>
        <w:t>5.</w:t>
      </w:r>
      <w:r>
        <w:t>乙方从业人员未购买保险，严禁进入施工现场作业，否则由此造成的一切后果责任均由乙方自行承担。</w:t>
      </w:r>
    </w:p>
    <w:p w14:paraId="3A17ADFD">
      <w:pPr>
        <w:ind w:firstLine="480"/>
      </w:pPr>
      <w:r>
        <w:rPr>
          <w:rFonts w:hint="eastAsia"/>
        </w:rPr>
        <w:t>6.</w:t>
      </w:r>
      <w:r>
        <w:t>如因乙方违约，甲方可按照有关规定对乙方主张违约责任，并由乙方承担由此给甲方造成的一切损失及后果。</w:t>
      </w:r>
    </w:p>
    <w:p w14:paraId="3829B2EF">
      <w:pPr>
        <w:pStyle w:val="44"/>
        <w:numPr>
          <w:ilvl w:val="0"/>
          <w:numId w:val="4"/>
        </w:numPr>
        <w:wordWrap/>
        <w:topLinePunct w:val="0"/>
        <w:ind w:firstLineChars="0"/>
        <w:rPr>
          <w:b/>
          <w:bCs/>
        </w:rPr>
      </w:pPr>
      <w:r>
        <w:rPr>
          <w:rFonts w:hint="eastAsia"/>
          <w:b/>
          <w:bCs/>
        </w:rPr>
        <w:t>安全施工</w:t>
      </w:r>
    </w:p>
    <w:p w14:paraId="7089F319">
      <w:pPr>
        <w:ind w:firstLine="480"/>
      </w:pPr>
      <w:r>
        <w:t>1、甲乙双方必须贯彻执行国家、地方和行业主管部门颁布实施的有关安全生产的法律法规及各项规定，认真履行各自的安全生产职责，严格按有关的安全规范和要求组织施工。</w:t>
      </w:r>
    </w:p>
    <w:p w14:paraId="39242B5B">
      <w:pPr>
        <w:ind w:firstLine="480"/>
      </w:pPr>
      <w:r>
        <w:t>2、乙方在岗施工作业人员要求男性年龄</w:t>
      </w:r>
      <w:r>
        <w:rPr>
          <w:rFonts w:hint="eastAsia"/>
          <w:u w:val="single"/>
        </w:rPr>
        <w:t xml:space="preserve"> </w:t>
      </w:r>
      <w:r>
        <w:rPr>
          <w:rFonts w:hint="eastAsia"/>
          <w:b/>
          <w:bCs/>
          <w:u w:val="single"/>
        </w:rPr>
        <w:t xml:space="preserve">60 </w:t>
      </w:r>
      <w:r>
        <w:t>岁以下、女性年龄</w:t>
      </w:r>
      <w:r>
        <w:rPr>
          <w:rFonts w:hint="eastAsia"/>
          <w:b/>
          <w:bCs/>
          <w:color w:val="000000" w:themeColor="text1"/>
          <w:u w:val="single"/>
          <w14:textFill>
            <w14:solidFill>
              <w14:schemeClr w14:val="tx1"/>
            </w14:solidFill>
          </w14:textFill>
        </w:rPr>
        <w:t xml:space="preserve"> 55 </w:t>
      </w:r>
      <w:r>
        <w:t>岁以下且人员身体健康。</w:t>
      </w:r>
    </w:p>
    <w:p w14:paraId="51DD6B3A">
      <w:pPr>
        <w:ind w:firstLine="480"/>
      </w:pPr>
      <w:r>
        <w:t>3、</w:t>
      </w:r>
      <w:r>
        <w:rPr>
          <w:rFonts w:hint="eastAsia"/>
        </w:rPr>
        <w:t>乙方应保证甲方不因该工程的分包而承担任何因人身伤亡或财产损失所发生一切责任，保证甲方不承担任何属于乙方及其施工人员引起之诉讼、控告、索赔责任及可能发生的相关费用。若因乙方人员的安全事故纠纷而导致甲方被任何第三方主张权利的，甲方有权向乙方全额追偿，并有权要求乙方赔偿甲方因此而遭受的全部损失。</w:t>
      </w:r>
    </w:p>
    <w:p w14:paraId="4F95EAD0">
      <w:pPr>
        <w:ind w:firstLine="480"/>
      </w:pPr>
      <w:r>
        <w:t>4</w:t>
      </w:r>
      <w:r>
        <w:rPr>
          <w:rFonts w:hint="eastAsia"/>
        </w:rPr>
        <w:t>.</w:t>
      </w:r>
      <w:r>
        <w:t>乙方应严格执行交通部</w:t>
      </w:r>
      <w:r>
        <w:rPr>
          <w:rFonts w:hint="eastAsia"/>
        </w:rPr>
        <w:t>、重庆市</w:t>
      </w:r>
      <w:r>
        <w:t>以及</w:t>
      </w:r>
      <w:r>
        <w:rPr>
          <w:rFonts w:hint="eastAsia"/>
        </w:rPr>
        <w:t>甲方</w:t>
      </w:r>
      <w:r>
        <w:t>《协作（分包）单位安全生产考核办法》（附后）等有关</w:t>
      </w:r>
      <w:r>
        <w:rPr>
          <w:rFonts w:hint="eastAsia"/>
        </w:rPr>
        <w:t>安全管理</w:t>
      </w:r>
      <w:r>
        <w:t>规定。若有违反，应自觉接受甲方按</w:t>
      </w:r>
      <w:r>
        <w:rPr>
          <w:rFonts w:hint="eastAsia"/>
        </w:rPr>
        <w:t>《</w:t>
      </w:r>
      <w:r>
        <w:t>协作（分包）单位安全生产考核标准</w:t>
      </w:r>
      <w:r>
        <w:rPr>
          <w:rFonts w:hint="eastAsia"/>
        </w:rPr>
        <w:t>》（附后）</w:t>
      </w:r>
      <w:r>
        <w:t>进行的同等处罚。</w:t>
      </w:r>
    </w:p>
    <w:p w14:paraId="5346677E">
      <w:pPr>
        <w:ind w:firstLine="480"/>
      </w:pPr>
      <w:r>
        <w:t>5</w:t>
      </w:r>
      <w:r>
        <w:rPr>
          <w:rFonts w:hint="eastAsia"/>
        </w:rPr>
        <w:t>.</w:t>
      </w:r>
      <w:r>
        <w:t>乙方上路作业车辆必须按国家规定购买相关规费，严格遵守高速公路道路交通有关规定。</w:t>
      </w:r>
    </w:p>
    <w:p w14:paraId="25F864A1">
      <w:pPr>
        <w:ind w:firstLine="480"/>
      </w:pPr>
      <w:r>
        <w:t>6</w:t>
      </w:r>
      <w:r>
        <w:rPr>
          <w:rFonts w:hint="eastAsia"/>
        </w:rPr>
        <w:t>.</w:t>
      </w:r>
      <w:r>
        <w:t>乙方应定期或不定期组织安全检查，对检查发现的安全隐患，及时整改。对甲方安全检查过程中发现的安全隐患，口头通知或下达整改书后，乙方在限定时间内整改，因整改不及时或延误，由此造成的安全事故，由乙方承担一切责任和经济损失。</w:t>
      </w:r>
    </w:p>
    <w:p w14:paraId="4A1AE383">
      <w:pPr>
        <w:ind w:firstLine="480"/>
      </w:pPr>
      <w:r>
        <w:t>7</w:t>
      </w:r>
      <w:r>
        <w:rPr>
          <w:rFonts w:hint="eastAsia"/>
        </w:rPr>
        <w:t>.</w:t>
      </w:r>
      <w:r>
        <w:t>乙方施工作业人员和车辆在施工作业区域应服从甲方管理人员的监督管理，并自觉接受上级有关部门和甲方安全检查人员依法实施的监督检查，采取必要的安全防护措施，消除事故隐患。并由此承担相应的安全责任、义务及赔偿；由于乙方安全措施不力造成事故责任和经济损失，由乙方承担。</w:t>
      </w:r>
    </w:p>
    <w:p w14:paraId="1FB844EE">
      <w:pPr>
        <w:ind w:firstLine="480"/>
      </w:pPr>
      <w:r>
        <w:t>8</w:t>
      </w:r>
      <w:r>
        <w:rPr>
          <w:rFonts w:hint="eastAsia"/>
        </w:rPr>
        <w:t>.</w:t>
      </w:r>
      <w:r>
        <w:t>事故处置</w:t>
      </w:r>
    </w:p>
    <w:p w14:paraId="362F2F8A">
      <w:pPr>
        <w:ind w:firstLine="480"/>
      </w:pPr>
      <w:r>
        <w:rPr>
          <w:rFonts w:hint="eastAsia"/>
        </w:rPr>
        <w:t>（1）乙方发生安全事故，应按事故报告有关规定立即上报有关部门并通知甲方项目代表，同时按照相关规定及要求处置。</w:t>
      </w:r>
    </w:p>
    <w:p w14:paraId="4C900193">
      <w:pPr>
        <w:ind w:firstLine="480"/>
      </w:pPr>
      <w:r>
        <w:rPr>
          <w:rFonts w:hint="eastAsia"/>
        </w:rPr>
        <w:t>（2）乙方发生安全事故，若事故实际造成的经济损失超过雇主责任险理赔金额，超过部分由乙方自行承担。</w:t>
      </w:r>
    </w:p>
    <w:p w14:paraId="55ED5B72">
      <w:pPr>
        <w:ind w:firstLine="480"/>
      </w:pPr>
      <w:r>
        <w:rPr>
          <w:rFonts w:hint="eastAsia"/>
        </w:rPr>
        <w:t>（3）双方对事故责任有争议时，应按政府有关职能部门的认定执行。</w:t>
      </w:r>
    </w:p>
    <w:p w14:paraId="14A1A769">
      <w:pPr>
        <w:pStyle w:val="44"/>
        <w:numPr>
          <w:ilvl w:val="0"/>
          <w:numId w:val="4"/>
        </w:numPr>
        <w:wordWrap/>
        <w:topLinePunct w:val="0"/>
        <w:ind w:firstLineChars="0"/>
        <w:rPr>
          <w:b/>
          <w:bCs/>
        </w:rPr>
      </w:pPr>
      <w:r>
        <w:rPr>
          <w:rFonts w:hint="eastAsia"/>
          <w:b/>
          <w:bCs/>
        </w:rPr>
        <w:t>违约和争议</w:t>
      </w:r>
    </w:p>
    <w:p w14:paraId="2A42D7A7">
      <w:pPr>
        <w:ind w:firstLine="482"/>
        <w:rPr>
          <w:b/>
          <w:bCs/>
        </w:rPr>
      </w:pPr>
      <w:r>
        <w:rPr>
          <w:b/>
          <w:bCs/>
        </w:rPr>
        <w:t>（一）违约</w:t>
      </w:r>
    </w:p>
    <w:p w14:paraId="4B3F0311">
      <w:pPr>
        <w:pStyle w:val="4"/>
        <w:ind w:firstLine="482"/>
      </w:pPr>
      <w:r>
        <w:t>1</w:t>
      </w:r>
      <w:r>
        <w:rPr>
          <w:rFonts w:hint="eastAsia"/>
        </w:rPr>
        <w:t>.</w:t>
      </w:r>
      <w:r>
        <w:t>甲方违约：</w:t>
      </w:r>
    </w:p>
    <w:p w14:paraId="7994372F">
      <w:pPr>
        <w:ind w:firstLine="480"/>
      </w:pPr>
      <w:r>
        <w:t>当发生下列情况时，甲方承担违约责任。</w:t>
      </w:r>
    </w:p>
    <w:p w14:paraId="57EB0A52">
      <w:pPr>
        <w:ind w:firstLine="480"/>
      </w:pPr>
      <w:r>
        <w:t>（1）甲方在收到乙方提交的发票并经乙方发出书面催告函后无正当理由不支付</w:t>
      </w:r>
      <w:r>
        <w:rPr>
          <w:rFonts w:hint="eastAsia"/>
        </w:rPr>
        <w:t>合同</w:t>
      </w:r>
      <w:r>
        <w:t>价款；</w:t>
      </w:r>
    </w:p>
    <w:p w14:paraId="35B7140E">
      <w:pPr>
        <w:ind w:firstLine="480"/>
      </w:pPr>
      <w:r>
        <w:t>（2）甲方不履行合同义务或不按合同约定履行义务的其他情况。</w:t>
      </w:r>
    </w:p>
    <w:p w14:paraId="7ADD07A5">
      <w:pPr>
        <w:pStyle w:val="4"/>
        <w:ind w:firstLine="482"/>
      </w:pPr>
      <w:r>
        <w:t>2</w:t>
      </w:r>
      <w:r>
        <w:rPr>
          <w:rFonts w:hint="eastAsia"/>
        </w:rPr>
        <w:t>.</w:t>
      </w:r>
      <w:r>
        <w:t>乙方违约</w:t>
      </w:r>
    </w:p>
    <w:p w14:paraId="29D81273">
      <w:pPr>
        <w:ind w:firstLine="480"/>
      </w:pPr>
      <w:r>
        <w:t>（1）本项目严禁转包，一经发现则视为乙方违约，甲方将随时终止或解除本合同，并将该项目的所有工程款支付给实际实施方；同时，甲方有权要求乙方支付合同总金额</w:t>
      </w:r>
      <w:r>
        <w:rPr>
          <w:rFonts w:hint="eastAsia"/>
          <w:u w:val="single"/>
        </w:rPr>
        <w:t xml:space="preserve"> </w:t>
      </w:r>
      <w:r>
        <w:rPr>
          <w:b/>
          <w:bCs/>
          <w:u w:val="single"/>
        </w:rPr>
        <w:t>30%</w:t>
      </w:r>
      <w:r>
        <w:rPr>
          <w:rFonts w:hint="eastAsia"/>
          <w:b/>
          <w:bCs/>
          <w:u w:val="single"/>
        </w:rPr>
        <w:t xml:space="preserve"> </w:t>
      </w:r>
      <w:r>
        <w:t>的违约金。若出现因转包而导致纠纷及其他问题，甲方将随时终止或解除本合同，仅对于已完工并验收合格的工程办理结算，对未完成工程不再计量。甲方不承担任何因转包而造成的一切责任。所造成的一切经济损失及相关费用由乙方自行承担，导致甲方被任何第三方主张权利的，甲方有权向乙方全额追偿，并有权要求乙方赔偿甲方因此而遭受的全部损失。</w:t>
      </w:r>
    </w:p>
    <w:p w14:paraId="4C48312D">
      <w:pPr>
        <w:ind w:firstLine="480"/>
      </w:pPr>
      <w:r>
        <w:t>（2）乙方不履行合同义务或不按合同约定履行义务的其他情况：</w:t>
      </w:r>
    </w:p>
    <w:p w14:paraId="2BD85AB7">
      <w:pPr>
        <w:ind w:firstLine="482"/>
        <w:rPr>
          <w:b/>
          <w:bCs/>
        </w:rPr>
      </w:pPr>
      <w:r>
        <w:rPr>
          <w:b/>
          <w:bCs/>
        </w:rPr>
        <w:t>A、人员违约：</w:t>
      </w:r>
    </w:p>
    <w:p w14:paraId="64DFD398">
      <w:pPr>
        <w:ind w:firstLine="480"/>
      </w:pPr>
      <w:r>
        <w:t>①乙方必须按照质量标准和甲方要求进行施工作业，以保证施工进度要求，若不按此约定组织生产，由此造成的一切损失及后果全部由乙方承担。</w:t>
      </w:r>
    </w:p>
    <w:p w14:paraId="18F4312A">
      <w:pPr>
        <w:ind w:firstLine="480"/>
      </w:pPr>
      <w:r>
        <w:t>②若乙方在施工过程中不服从管理、违章操作等造成的一切损失由乙方全部承担；未按要求安排人员作业或自备设备无法满足工程进度要求，乙方应按照要求增加设备或人员以满足施工质量和进度的要求，否则甲方将另寻施工队伍以加快施工进度满足施工要求，乙方无权对甲方另寻的施工队伍索赔或驱逐，并将承担拖延工期损失赔偿金和因另寻施工队伍增加的费用；</w:t>
      </w:r>
    </w:p>
    <w:p w14:paraId="48F010A0">
      <w:pPr>
        <w:ind w:firstLine="480"/>
      </w:pPr>
      <w:r>
        <w:t>③项目负责人未驻守现场，一经发现，乙方将承担</w:t>
      </w:r>
      <w:r>
        <w:rPr>
          <w:rFonts w:hint="eastAsia"/>
          <w:u w:val="single"/>
        </w:rPr>
        <w:t xml:space="preserve"> </w:t>
      </w:r>
      <w:r>
        <w:rPr>
          <w:b/>
          <w:bCs/>
          <w:u w:val="single"/>
        </w:rPr>
        <w:t>1000元/次</w:t>
      </w:r>
      <w:r>
        <w:rPr>
          <w:rFonts w:hint="eastAsia"/>
          <w:b/>
          <w:bCs/>
          <w:u w:val="single"/>
        </w:rPr>
        <w:t xml:space="preserve"> </w:t>
      </w:r>
      <w:r>
        <w:t>的违约责任。</w:t>
      </w:r>
    </w:p>
    <w:p w14:paraId="6854494D">
      <w:pPr>
        <w:ind w:firstLine="480"/>
      </w:pPr>
      <w:r>
        <w:t>④乙方技术工种人员无技术技能资格证，乙方将承担</w:t>
      </w:r>
      <w:r>
        <w:rPr>
          <w:rFonts w:hint="eastAsia"/>
          <w:u w:val="single"/>
        </w:rPr>
        <w:t xml:space="preserve"> </w:t>
      </w:r>
      <w:r>
        <w:rPr>
          <w:b/>
          <w:bCs/>
          <w:u w:val="single"/>
        </w:rPr>
        <w:t>1000元/人•次</w:t>
      </w:r>
      <w:r>
        <w:rPr>
          <w:rFonts w:hint="eastAsia"/>
          <w:b/>
          <w:bCs/>
          <w:u w:val="single"/>
        </w:rPr>
        <w:t xml:space="preserve"> </w:t>
      </w:r>
      <w:r>
        <w:t>的违约责任。</w:t>
      </w:r>
    </w:p>
    <w:p w14:paraId="09EA10F9">
      <w:pPr>
        <w:ind w:firstLine="482"/>
        <w:rPr>
          <w:b/>
          <w:bCs/>
        </w:rPr>
      </w:pPr>
      <w:r>
        <w:rPr>
          <w:b/>
          <w:bCs/>
        </w:rPr>
        <w:t>B、质量进度违约：</w:t>
      </w:r>
    </w:p>
    <w:p w14:paraId="5E579B02">
      <w:pPr>
        <w:ind w:firstLine="480"/>
      </w:pPr>
      <w:r>
        <w:t>合同签订并履行后，乙方必须按照甲方的要求组织实施，严密施工，确保质量和进度，在规定工期内完成本合同约定的工程任务。</w:t>
      </w:r>
    </w:p>
    <w:p w14:paraId="2CD42083">
      <w:pPr>
        <w:ind w:firstLine="480"/>
      </w:pPr>
      <w:r>
        <w:t>①非甲方原因造成工程质量不符合验收标准的，甲方可要求乙方停工或返工，返工费用由乙方承担，由此造成</w:t>
      </w:r>
      <w:r>
        <w:rPr>
          <w:rFonts w:hint="eastAsia"/>
        </w:rPr>
        <w:t>的</w:t>
      </w:r>
      <w:r>
        <w:t>材料浪费、经济损失以及甲方因此受到的损失等一切后果责任全部由乙方承担，且工期不予顺延。</w:t>
      </w:r>
    </w:p>
    <w:p w14:paraId="604A454A">
      <w:pPr>
        <w:ind w:firstLine="480"/>
      </w:pPr>
      <w:r>
        <w:rPr>
          <w:rFonts w:hint="default"/>
        </w:rPr>
        <w:t>②</w:t>
      </w:r>
      <w:r>
        <w:t>乙方未在甲方电话通知进场时间</w:t>
      </w:r>
      <w:r>
        <w:rPr>
          <w:rFonts w:hint="eastAsia"/>
          <w:b/>
          <w:bCs/>
          <w:u w:val="single"/>
        </w:rPr>
        <w:t xml:space="preserve"> </w:t>
      </w:r>
      <w:r>
        <w:rPr>
          <w:b/>
          <w:bCs/>
          <w:u w:val="single"/>
        </w:rPr>
        <w:t>24小时</w:t>
      </w:r>
      <w:r>
        <w:rPr>
          <w:rFonts w:hint="eastAsia"/>
          <w:b/>
          <w:bCs/>
          <w:u w:val="single"/>
        </w:rPr>
        <w:t xml:space="preserve"> </w:t>
      </w:r>
      <w:r>
        <w:t>内组织相关设备及人员进场施工，将承担</w:t>
      </w:r>
      <w:r>
        <w:rPr>
          <w:rFonts w:hint="eastAsia"/>
          <w:b/>
          <w:bCs/>
          <w:u w:val="single"/>
        </w:rPr>
        <w:t xml:space="preserve"> </w:t>
      </w:r>
      <w:r>
        <w:rPr>
          <w:b/>
          <w:bCs/>
          <w:u w:val="single"/>
        </w:rPr>
        <w:t>2000元/天</w:t>
      </w:r>
      <w:r>
        <w:rPr>
          <w:rFonts w:hint="eastAsia"/>
          <w:b/>
          <w:bCs/>
          <w:u w:val="single"/>
        </w:rPr>
        <w:t xml:space="preserve"> </w:t>
      </w:r>
      <w:r>
        <w:t>的拖期违约金；如因乙方原因导致工程无法按期交工，乙方将承担</w:t>
      </w:r>
      <w:r>
        <w:rPr>
          <w:rFonts w:hint="eastAsia"/>
          <w:u w:val="single"/>
        </w:rPr>
        <w:t xml:space="preserve"> </w:t>
      </w:r>
      <w:r>
        <w:rPr>
          <w:b/>
          <w:bCs/>
          <w:u w:val="single"/>
        </w:rPr>
        <w:t>2000元/天</w:t>
      </w:r>
      <w:r>
        <w:rPr>
          <w:rFonts w:hint="eastAsia"/>
          <w:b/>
          <w:bCs/>
          <w:u w:val="single"/>
        </w:rPr>
        <w:t xml:space="preserve"> </w:t>
      </w:r>
      <w:r>
        <w:t>的拖期违约金；同时，乙方应赔偿甲方全部损失，甲方有权立即终止或解除合同。</w:t>
      </w:r>
    </w:p>
    <w:p w14:paraId="5C31E40F">
      <w:pPr>
        <w:ind w:firstLine="480"/>
      </w:pPr>
      <w:r>
        <w:rPr>
          <w:rFonts w:hint="eastAsia"/>
        </w:rPr>
        <w:t>③乙方未按照甲方要求的工程节点完成相应的施工内容的，每逾期一日，乙方应向甲方支付逾期完工违约金【】元；逾期【】日以上仍未完成工程节点施工内容的，甲方有权单方解除合同并要求乙方除支付逾期完工违约金外，另行支付解除合同违约金【】元。同时双方确认，甲方将按照经甲方验收合格的工程量下浮【】%进行计量，乙方对此予以确认并同意按照此执行。在此情形下无论甲方是否解除合同，甲方均有权自行委托第三方进行施工，因此产生的费用由乙方自行承担，甲方有权从乙方提交的履约保证金中直接扣除，同时乙方应承担发包人要求甲方承担的违约责任、罚款等后果。</w:t>
      </w:r>
    </w:p>
    <w:p w14:paraId="3E7E212E">
      <w:pPr>
        <w:ind w:firstLine="480"/>
      </w:pPr>
      <w:r>
        <w:rPr>
          <w:rFonts w:hint="eastAsia"/>
          <w:lang w:val="en-US" w:eastAsia="zh-CN"/>
        </w:rPr>
        <w:t>④</w:t>
      </w:r>
      <w:r>
        <w:rPr>
          <w:rFonts w:hint="eastAsia"/>
        </w:rPr>
        <w:t>乙方逾期完工的，每逾期一日应向甲方支付逾期完工违约金【】元；逾期【】日以上仍未完工的，甲方有权单独解除合同并要求乙方除支付逾期完工违约金外，另行支付解除合同违约金【】元。同时双方确认，甲方将按照经甲方验收合格的工程量下浮【】%进行计量，乙方对此予以确认并同意按照此执行。</w:t>
      </w:r>
    </w:p>
    <w:p w14:paraId="4D9F4E70">
      <w:pPr>
        <w:ind w:firstLine="482"/>
        <w:rPr>
          <w:b/>
          <w:bCs/>
        </w:rPr>
      </w:pPr>
      <w:r>
        <w:rPr>
          <w:b/>
          <w:bCs/>
        </w:rPr>
        <w:t>C、资料违约：</w:t>
      </w:r>
    </w:p>
    <w:p w14:paraId="7A8FAAF1">
      <w:pPr>
        <w:ind w:firstLine="480"/>
      </w:pPr>
      <w:r>
        <w:rPr>
          <w:rFonts w:hint="eastAsia"/>
        </w:rPr>
        <w:t>①</w:t>
      </w:r>
      <w:r>
        <w:t>完工验收合格后，乙方应</w:t>
      </w:r>
      <w:r>
        <w:rPr>
          <w:rFonts w:hint="eastAsia"/>
        </w:rPr>
        <w:t>按甲方要求</w:t>
      </w:r>
      <w:r>
        <w:t>在</w:t>
      </w:r>
      <w:r>
        <w:rPr>
          <w:rFonts w:hint="eastAsia"/>
          <w:u w:val="single"/>
        </w:rPr>
        <w:t xml:space="preserve"> </w:t>
      </w:r>
      <w:r>
        <w:rPr>
          <w:b/>
          <w:bCs/>
          <w:u w:val="single"/>
        </w:rPr>
        <w:t>10</w:t>
      </w:r>
      <w:r>
        <w:rPr>
          <w:rFonts w:hint="eastAsia"/>
          <w:b/>
          <w:bCs/>
          <w:u w:val="single"/>
        </w:rPr>
        <w:t xml:space="preserve"> </w:t>
      </w:r>
      <w:r>
        <w:t>个工作日内向甲方递交结算资料和发票，逾期按结算总额的</w:t>
      </w:r>
      <w:r>
        <w:rPr>
          <w:rFonts w:hint="eastAsia"/>
          <w:u w:val="single"/>
        </w:rPr>
        <w:t xml:space="preserve"> </w:t>
      </w:r>
      <w:r>
        <w:rPr>
          <w:b/>
          <w:bCs/>
          <w:u w:val="single"/>
        </w:rPr>
        <w:t>1‰/天</w:t>
      </w:r>
      <w:r>
        <w:rPr>
          <w:rFonts w:hint="eastAsia"/>
          <w:b/>
          <w:bCs/>
          <w:u w:val="single"/>
        </w:rPr>
        <w:t xml:space="preserve"> </w:t>
      </w:r>
      <w:r>
        <w:t>向甲方支付违约金。</w:t>
      </w:r>
    </w:p>
    <w:p w14:paraId="655E1BB2">
      <w:pPr>
        <w:ind w:firstLine="480"/>
      </w:pPr>
      <w:r>
        <w:rPr>
          <w:rFonts w:hint="eastAsia"/>
        </w:rPr>
        <w:t>②乙方逾期未全部提交结算材料或者发票的，双方确认并同意在此情形下，甲方将自行编制结算材料并与乙方办理相应结算，乙方对此无异议。</w:t>
      </w:r>
    </w:p>
    <w:p w14:paraId="40092CEB">
      <w:pPr>
        <w:ind w:firstLine="480"/>
      </w:pPr>
      <w:r>
        <w:rPr>
          <w:rFonts w:hint="eastAsia"/>
        </w:rPr>
        <w:t>③双方办理结算时乙方应无条件配合甲方提交、确认相应的结算材料；若乙方或乙方指定经办人逾期或拒绝提交、确认相应结算材料的，甲方有权以甲方自行确认的结算材料与乙方办理最终结算，乙方对此无异议。</w:t>
      </w:r>
    </w:p>
    <w:p w14:paraId="11A66908">
      <w:pPr>
        <w:ind w:firstLine="482"/>
        <w:rPr>
          <w:b/>
          <w:bCs/>
        </w:rPr>
      </w:pPr>
      <w:r>
        <w:rPr>
          <w:b/>
          <w:bCs/>
        </w:rPr>
        <w:t>D、安全违约：</w:t>
      </w:r>
    </w:p>
    <w:p w14:paraId="06397B4A">
      <w:pPr>
        <w:ind w:firstLine="480"/>
      </w:pPr>
      <w:r>
        <w:rPr>
          <w:rFonts w:hint="eastAsia"/>
        </w:rPr>
        <w:t>①</w:t>
      </w:r>
      <w:r>
        <w:t>乙方应严格遵守国家和政府、行业主管部门颁布实施的有关安全生产的法律法规及各项规定，若有违反，视为违约，乙方将无条件接受甲方按本合同的相关约定主张违约责任。</w:t>
      </w:r>
    </w:p>
    <w:p w14:paraId="3A9C612A">
      <w:pPr>
        <w:ind w:firstLine="480"/>
      </w:pPr>
      <w:r>
        <w:t>一方违约后，另一方要求违约方继续履行合同时，违约方承担上述违约责任后仍应继续履行合同。</w:t>
      </w:r>
    </w:p>
    <w:p w14:paraId="7F53060C">
      <w:pPr>
        <w:ind w:firstLine="480"/>
      </w:pPr>
      <w:r>
        <w:rPr>
          <w:rFonts w:hint="eastAsia"/>
        </w:rPr>
        <w:t>乙方施工过程中，非因甲方原因造成人员人身伤害、财产损失的，由乙方自行承担一切后果；甲方因此被追究责任的，甲方有权要求乙方承担因此产生的一切费用包括但不限于赔偿款、诉讼费、公证费、担保费、律师费等。</w:t>
      </w:r>
    </w:p>
    <w:p w14:paraId="129EA685">
      <w:pPr>
        <w:ind w:firstLine="482"/>
      </w:pPr>
      <w:r>
        <w:rPr>
          <w:b/>
          <w:bCs/>
        </w:rPr>
        <w:t>E</w:t>
      </w:r>
      <w:r>
        <w:t>、本合同约定的甲方损失包括工期延误损失、甲方向第三人承担的违约金、赔偿金、甲方预期利润等全部直接和间接损失及甲方为索赔支出的诉讼费、仲裁费、律师费、保全费、保全担保费、交通费、鉴定费、评估费、拍卖费等全部费用。针对合同履行过程中乙方应向甲方支付的任何违约金或赔偿的损失，甲方均有权在应付款项中直接扣除。</w:t>
      </w:r>
    </w:p>
    <w:p w14:paraId="19E48DDA">
      <w:pPr>
        <w:ind w:firstLine="482"/>
        <w:rPr>
          <w:b/>
          <w:bCs/>
        </w:rPr>
      </w:pPr>
      <w:r>
        <w:rPr>
          <w:b/>
          <w:bCs/>
        </w:rPr>
        <w:t>（二）争议</w:t>
      </w:r>
    </w:p>
    <w:p w14:paraId="0D485C1C">
      <w:pPr>
        <w:ind w:firstLine="480"/>
      </w:pPr>
      <w:r>
        <w:t>1、甲方乙方在履行合同时发生争议，可以和解或者要求有关主管部门调解；当事人不愿和解、调解或者和解、调解不成的，双方均同意向</w:t>
      </w:r>
      <w:r>
        <w:rPr>
          <w:rFonts w:hint="eastAsia"/>
        </w:rPr>
        <w:t>甲方所在地法院提起诉讼</w:t>
      </w:r>
      <w:r>
        <w:t>。</w:t>
      </w:r>
    </w:p>
    <w:p w14:paraId="0C9EB747">
      <w:pPr>
        <w:ind w:firstLine="480"/>
      </w:pPr>
      <w:r>
        <w:t>2、发生争议后，除非出现下列情况的，双方都应继续履行合同：</w:t>
      </w:r>
    </w:p>
    <w:p w14:paraId="7EB18274">
      <w:pPr>
        <w:ind w:firstLine="480"/>
      </w:pPr>
      <w:r>
        <w:t>（1）单方违约导致合同确已无法履行，双方协议停止施工；</w:t>
      </w:r>
    </w:p>
    <w:p w14:paraId="3B230235">
      <w:pPr>
        <w:ind w:firstLine="480"/>
      </w:pPr>
      <w:r>
        <w:t>（2）调解要求停止施工，且为双方接受；</w:t>
      </w:r>
    </w:p>
    <w:p w14:paraId="5704A3C2">
      <w:pPr>
        <w:ind w:firstLine="480"/>
      </w:pPr>
      <w:r>
        <w:t>（3）仲裁机构要求停止施工；</w:t>
      </w:r>
    </w:p>
    <w:p w14:paraId="3DFC3005">
      <w:pPr>
        <w:ind w:firstLine="480"/>
      </w:pPr>
      <w:r>
        <w:t>（4）法院要求停止施工。</w:t>
      </w:r>
    </w:p>
    <w:p w14:paraId="1B26F3F6">
      <w:pPr>
        <w:pStyle w:val="44"/>
        <w:numPr>
          <w:ilvl w:val="0"/>
          <w:numId w:val="4"/>
        </w:numPr>
        <w:wordWrap/>
        <w:topLinePunct w:val="0"/>
        <w:ind w:firstLineChars="0"/>
        <w:rPr>
          <w:b/>
          <w:bCs/>
        </w:rPr>
      </w:pPr>
      <w:r>
        <w:rPr>
          <w:rFonts w:hint="eastAsia"/>
          <w:b/>
          <w:bCs/>
        </w:rPr>
        <w:t>送达地址</w:t>
      </w:r>
    </w:p>
    <w:p w14:paraId="36A5FA26">
      <w:pPr>
        <w:wordWrap/>
        <w:topLinePunct w:val="0"/>
        <w:ind w:left="0" w:firstLine="480" w:firstLineChars="200"/>
        <w:rPr>
          <w:rFonts w:hint="eastAsia" w:ascii="宋体" w:hAnsi="宋体" w:cs="宋体"/>
          <w:b w:val="0"/>
          <w:bCs w:val="0"/>
        </w:rPr>
      </w:pPr>
      <w:r>
        <w:rPr>
          <w:rFonts w:hint="eastAsia" w:ascii="宋体" w:hAnsi="宋体" w:cs="宋体"/>
          <w:b w:val="0"/>
          <w:bCs w:val="0"/>
        </w:rPr>
        <w:t>1、甲、乙双方确认本合同项下文书，包括因本合同履行产生的争议进入仲裁程序、民事诉讼程序后的一审程序、二审程序和执行程序的法律文书的送达地址为：</w:t>
      </w:r>
    </w:p>
    <w:p w14:paraId="3DC3233C">
      <w:pPr>
        <w:wordWrap/>
        <w:topLinePunct w:val="0"/>
        <w:ind w:left="0" w:firstLine="0" w:firstLineChars="0"/>
        <w:rPr>
          <w:rFonts w:hint="eastAsia" w:ascii="宋体" w:hAnsi="宋体" w:cs="宋体"/>
          <w:b w:val="0"/>
          <w:bCs w:val="0"/>
        </w:rPr>
      </w:pPr>
      <w:r>
        <w:rPr>
          <w:rFonts w:hint="eastAsia" w:ascii="宋体" w:hAnsi="宋体" w:cs="宋体"/>
          <w:b w:val="0"/>
          <w:bCs w:val="0"/>
        </w:rPr>
        <w:t>甲方送达地址：</w:t>
      </w:r>
    </w:p>
    <w:p w14:paraId="48B70F2B">
      <w:pPr>
        <w:wordWrap/>
        <w:topLinePunct w:val="0"/>
        <w:ind w:left="0" w:firstLine="0" w:firstLineChars="0"/>
        <w:rPr>
          <w:rFonts w:hint="eastAsia" w:ascii="宋体" w:hAnsi="宋体" w:cs="宋体"/>
          <w:b w:val="0"/>
          <w:bCs w:val="0"/>
        </w:rPr>
      </w:pPr>
      <w:r>
        <w:rPr>
          <w:rFonts w:hint="eastAsia" w:ascii="宋体" w:hAnsi="宋体" w:cs="宋体"/>
          <w:b w:val="0"/>
          <w:bCs w:val="0"/>
        </w:rPr>
        <w:t xml:space="preserve">甲方联系人及联系电话： </w:t>
      </w:r>
    </w:p>
    <w:p w14:paraId="5830CB31">
      <w:pPr>
        <w:wordWrap/>
        <w:topLinePunct w:val="0"/>
        <w:ind w:left="0" w:firstLine="0" w:firstLineChars="0"/>
        <w:rPr>
          <w:rFonts w:hint="eastAsia" w:ascii="宋体" w:hAnsi="宋体" w:cs="宋体"/>
          <w:b w:val="0"/>
          <w:bCs w:val="0"/>
        </w:rPr>
      </w:pPr>
      <w:r>
        <w:rPr>
          <w:rFonts w:hint="eastAsia" w:ascii="宋体" w:hAnsi="宋体" w:cs="宋体"/>
          <w:b w:val="0"/>
          <w:bCs w:val="0"/>
        </w:rPr>
        <w:t>乙方送达地址：</w:t>
      </w:r>
    </w:p>
    <w:p w14:paraId="0C365CB3">
      <w:pPr>
        <w:wordWrap/>
        <w:topLinePunct w:val="0"/>
        <w:ind w:left="0" w:firstLine="0" w:firstLineChars="0"/>
        <w:rPr>
          <w:rFonts w:hint="eastAsia" w:ascii="宋体" w:hAnsi="宋体" w:cs="宋体"/>
          <w:b w:val="0"/>
          <w:bCs w:val="0"/>
        </w:rPr>
      </w:pPr>
      <w:r>
        <w:rPr>
          <w:rFonts w:hint="eastAsia" w:ascii="宋体" w:hAnsi="宋体" w:cs="宋体"/>
          <w:b w:val="0"/>
          <w:bCs w:val="0"/>
        </w:rPr>
        <w:t xml:space="preserve">乙方联系人及联系电话： </w:t>
      </w:r>
    </w:p>
    <w:p w14:paraId="61EBDA9A">
      <w:pPr>
        <w:wordWrap/>
        <w:topLinePunct w:val="0"/>
        <w:ind w:left="0" w:firstLine="480" w:firstLineChars="200"/>
        <w:rPr>
          <w:rFonts w:hint="eastAsia" w:ascii="宋体" w:hAnsi="宋体" w:cs="宋体"/>
          <w:b w:val="0"/>
          <w:bCs w:val="0"/>
        </w:rPr>
      </w:pPr>
      <w:r>
        <w:rPr>
          <w:rFonts w:hint="eastAsia" w:ascii="宋体" w:hAnsi="宋体" w:cs="宋体"/>
          <w:b w:val="0"/>
          <w:bCs w:val="0"/>
        </w:rPr>
        <w:t>2、任何一方送达地址发生变更的，应当在变更后七日内以书面方式通知对方；一方送达地址发生后未按要求的时间、形式通知对方的，原送达地址仍为有效送达地址。</w:t>
      </w:r>
    </w:p>
    <w:p w14:paraId="6177AE58">
      <w:pPr>
        <w:wordWrap/>
        <w:topLinePunct w:val="0"/>
        <w:ind w:left="0" w:firstLine="480" w:firstLineChars="200"/>
        <w:rPr>
          <w:rFonts w:hint="eastAsia" w:ascii="宋体" w:hAnsi="宋体" w:cs="宋体"/>
          <w:b w:val="0"/>
          <w:bCs w:val="0"/>
        </w:rPr>
      </w:pPr>
      <w:r>
        <w:rPr>
          <w:rFonts w:hint="eastAsia" w:ascii="宋体" w:hAnsi="宋体" w:cs="宋体"/>
          <w:b w:val="0"/>
          <w:bCs w:val="0"/>
        </w:rPr>
        <w:t>3、一方或司法机关按照约定地址向对方送达法律文书的，视为有效送达；对方拒绝签收或由他人签收的，不影响送达的效力。</w:t>
      </w:r>
    </w:p>
    <w:p w14:paraId="723A1B1B">
      <w:pPr>
        <w:wordWrap/>
        <w:topLinePunct w:val="0"/>
        <w:ind w:left="0" w:firstLine="480" w:firstLineChars="200"/>
        <w:rPr>
          <w:rFonts w:hint="eastAsia" w:ascii="宋体" w:hAnsi="宋体" w:cs="宋体"/>
          <w:b w:val="0"/>
          <w:bCs w:val="0"/>
        </w:rPr>
      </w:pPr>
      <w:r>
        <w:rPr>
          <w:rFonts w:hint="eastAsia" w:ascii="宋体" w:hAnsi="宋体" w:cs="宋体"/>
          <w:b w:val="0"/>
          <w:bCs w:val="0"/>
        </w:rPr>
        <w:t>4、因一方提供或者确认的送达地址不准确、送达地址变更后未及时依程序告知对方和法院、当事人或指定接收人拒绝签收等原因，导致诉讼文书未能被当事人实际接收的，邮寄送达的，以文书退回之日视为送达之日；直接送达的，送达人当场在送达回证上证明情况之日视为送达之日；发送信息的，从信息发出之日视为有效送达。</w:t>
      </w:r>
    </w:p>
    <w:p w14:paraId="6A1D5BA7">
      <w:pPr>
        <w:pStyle w:val="44"/>
        <w:numPr>
          <w:ilvl w:val="0"/>
          <w:numId w:val="4"/>
        </w:numPr>
        <w:wordWrap/>
        <w:topLinePunct w:val="0"/>
        <w:ind w:firstLineChars="0"/>
        <w:rPr>
          <w:b/>
          <w:bCs/>
        </w:rPr>
      </w:pPr>
      <w:r>
        <w:rPr>
          <w:rFonts w:hint="eastAsia"/>
          <w:b/>
          <w:bCs/>
        </w:rPr>
        <w:t>其他约定或补充条款</w:t>
      </w:r>
    </w:p>
    <w:p w14:paraId="2FC8A47F">
      <w:pPr>
        <w:ind w:firstLine="480"/>
      </w:pPr>
      <w:r>
        <w:t>1、本合同其它未尽事宜双方可协商补充，需要有文字根据的，要有双方签字的备忘录。</w:t>
      </w:r>
    </w:p>
    <w:p w14:paraId="38339295">
      <w:pPr>
        <w:ind w:firstLine="480"/>
      </w:pPr>
      <w:r>
        <w:t>2、该工程项目的</w:t>
      </w:r>
      <w:r>
        <w:rPr>
          <w:b/>
          <w:bCs/>
        </w:rPr>
        <w:t>比选文件</w:t>
      </w:r>
      <w:r>
        <w:t>和乙方的</w:t>
      </w:r>
      <w:r>
        <w:rPr>
          <w:b/>
          <w:bCs/>
        </w:rPr>
        <w:t>报价文件</w:t>
      </w:r>
      <w:r>
        <w:t>作为本合同不可分割的附件，具有同等法律效力；若存有矛盾或不一致时，以本合同条款为准。</w:t>
      </w:r>
    </w:p>
    <w:p w14:paraId="4888929A">
      <w:pPr>
        <w:pStyle w:val="44"/>
        <w:numPr>
          <w:ilvl w:val="0"/>
          <w:numId w:val="4"/>
        </w:numPr>
        <w:wordWrap/>
        <w:topLinePunct w:val="0"/>
        <w:spacing w:before="156" w:after="156"/>
        <w:ind w:firstLineChars="0"/>
      </w:pPr>
      <w:r>
        <w:rPr>
          <w:rFonts w:hint="eastAsia"/>
          <w:b/>
          <w:bCs/>
        </w:rPr>
        <w:t>合同订立地点、份数及时效</w:t>
      </w:r>
    </w:p>
    <w:p w14:paraId="3B86892C">
      <w:pPr>
        <w:ind w:firstLine="480"/>
        <w:rPr>
          <w:b/>
          <w:bCs/>
          <w:u w:val="single"/>
        </w:rPr>
      </w:pPr>
      <w:r>
        <w:t>1、本合同签订于</w:t>
      </w:r>
      <w:r>
        <w:rPr>
          <w:rFonts w:hint="eastAsia"/>
          <w:b/>
          <w:bCs/>
          <w:u w:val="single"/>
        </w:rPr>
        <w:t>重庆市沙坪坝区梨高路4号</w:t>
      </w:r>
    </w:p>
    <w:p w14:paraId="54AAC030">
      <w:pPr>
        <w:ind w:firstLine="480"/>
      </w:pPr>
      <w:r>
        <w:t>2、本合同一式</w:t>
      </w:r>
      <w:r>
        <w:rPr>
          <w:b/>
          <w:bCs/>
          <w:u w:val="single"/>
        </w:rPr>
        <w:t xml:space="preserve"> 陆 </w:t>
      </w:r>
      <w:r>
        <w:t>份，甲方执</w:t>
      </w:r>
      <w:r>
        <w:rPr>
          <w:b/>
          <w:bCs/>
          <w:u w:val="single"/>
        </w:rPr>
        <w:t xml:space="preserve"> 肆 </w:t>
      </w:r>
      <w:r>
        <w:t>份，乙方执</w:t>
      </w:r>
      <w:r>
        <w:rPr>
          <w:b/>
          <w:bCs/>
          <w:u w:val="single"/>
        </w:rPr>
        <w:t xml:space="preserve"> 贰 </w:t>
      </w:r>
      <w:r>
        <w:t>份；具有同等法律效力；自双方签字并盖章后生效，甲乙双方履行合同全部义务、结算价款支付完毕后，本合同即告终止。</w:t>
      </w:r>
    </w:p>
    <w:p w14:paraId="763AAB57">
      <w:pPr>
        <w:ind w:firstLine="480"/>
      </w:pPr>
      <w:r>
        <w:rPr>
          <w:rFonts w:hint="eastAsia"/>
        </w:rPr>
        <w:t>（以下无正文）</w:t>
      </w:r>
    </w:p>
    <w:p w14:paraId="6040550E">
      <w:pPr>
        <w:ind w:firstLine="480"/>
      </w:pPr>
    </w:p>
    <w:p w14:paraId="14D46635">
      <w:pPr>
        <w:ind w:firstLine="480"/>
      </w:pPr>
    </w:p>
    <w:p w14:paraId="3676AD85">
      <w:pPr>
        <w:ind w:firstLine="480"/>
      </w:pPr>
    </w:p>
    <w:p w14:paraId="4D8986B4">
      <w:pPr>
        <w:ind w:firstLine="480"/>
      </w:pPr>
    </w:p>
    <w:p w14:paraId="595C6DA9">
      <w:pPr>
        <w:ind w:firstLine="480"/>
      </w:pPr>
    </w:p>
    <w:p w14:paraId="159D1E41">
      <w:pPr>
        <w:ind w:firstLine="480"/>
      </w:pPr>
    </w:p>
    <w:p w14:paraId="22B2D675">
      <w:pPr>
        <w:ind w:firstLine="480"/>
      </w:pPr>
      <w:r>
        <w:t>甲方：（盖章）</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t>乙方：（盖章）</w:t>
      </w:r>
    </w:p>
    <w:p w14:paraId="508D1112">
      <w:pPr>
        <w:ind w:firstLine="482"/>
        <w:rPr>
          <w:b/>
          <w:bCs/>
        </w:rPr>
      </w:pPr>
      <w:r>
        <w:rPr>
          <w:rFonts w:hint="eastAsia"/>
          <w:b/>
          <w:bCs/>
        </w:rPr>
        <w:t>重庆公路养护工程（集团）有限公司</w:t>
      </w:r>
    </w:p>
    <w:p w14:paraId="5D94329B">
      <w:pPr>
        <w:ind w:firstLine="480"/>
      </w:pPr>
      <w:r>
        <w:t>法定代表人</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t>法定代表人</w:t>
      </w:r>
    </w:p>
    <w:p w14:paraId="2907CB18">
      <w:pPr>
        <w:ind w:firstLine="480"/>
      </w:pPr>
      <w:r>
        <w:t>或授权代表：</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t>或授权代表：</w:t>
      </w:r>
    </w:p>
    <w:p w14:paraId="0944A680">
      <w:pPr>
        <w:ind w:firstLine="480"/>
      </w:pPr>
    </w:p>
    <w:p w14:paraId="787F6466">
      <w:pPr>
        <w:ind w:firstLine="480"/>
      </w:pPr>
      <w:r>
        <w:t>部门负责人：</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t>部门负责人：</w:t>
      </w:r>
    </w:p>
    <w:p w14:paraId="6538475A">
      <w:pPr>
        <w:ind w:firstLine="480"/>
      </w:pPr>
    </w:p>
    <w:p w14:paraId="4E2A1275">
      <w:pPr>
        <w:ind w:firstLine="480"/>
      </w:pPr>
      <w:r>
        <w:t>经办人：</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t>经办人</w:t>
      </w:r>
      <w:r>
        <w:rPr>
          <w:rFonts w:hint="eastAsia"/>
        </w:rPr>
        <w:t>：</w:t>
      </w:r>
    </w:p>
    <w:p w14:paraId="2287372A">
      <w:pPr>
        <w:ind w:firstLine="480"/>
      </w:pPr>
      <w:r>
        <w:t>日期：</w:t>
      </w:r>
      <w:r>
        <w:rPr>
          <w:rFonts w:hint="eastAsia"/>
          <w:b/>
          <w:bCs/>
          <w:u w:val="single"/>
        </w:rPr>
        <w:t xml:space="preserve">     </w:t>
      </w:r>
      <w:r>
        <w:t>年</w:t>
      </w:r>
      <w:r>
        <w:rPr>
          <w:rFonts w:hint="eastAsia"/>
          <w:b/>
          <w:bCs/>
          <w:u w:val="single"/>
        </w:rPr>
        <w:t xml:space="preserve">   </w:t>
      </w:r>
      <w:r>
        <w:t>月</w:t>
      </w:r>
      <w:r>
        <w:rPr>
          <w:rFonts w:hint="eastAsia"/>
          <w:b/>
          <w:bCs/>
          <w:u w:val="single"/>
        </w:rPr>
        <w:t xml:space="preserve">   </w:t>
      </w:r>
      <w:r>
        <w:rPr>
          <w:rFonts w:hint="eastAsia"/>
        </w:rPr>
        <w:t>日</w:t>
      </w:r>
      <w:r>
        <w:rPr>
          <w:rFonts w:hint="eastAsia"/>
        </w:rPr>
        <w:tab/>
      </w:r>
      <w:r>
        <w:rPr>
          <w:rFonts w:hint="eastAsia"/>
        </w:rPr>
        <w:tab/>
      </w:r>
      <w:r>
        <w:rPr>
          <w:rFonts w:hint="eastAsia"/>
        </w:rPr>
        <w:tab/>
      </w:r>
      <w:r>
        <w:rPr>
          <w:rFonts w:hint="eastAsia"/>
        </w:rPr>
        <w:tab/>
      </w:r>
      <w:r>
        <w:rPr>
          <w:rFonts w:hint="eastAsia"/>
        </w:rPr>
        <w:tab/>
      </w:r>
      <w:r>
        <w:rPr>
          <w:rFonts w:hint="eastAsia"/>
        </w:rPr>
        <w:t xml:space="preserve">    </w:t>
      </w:r>
      <w:r>
        <w:t>日期：</w:t>
      </w:r>
      <w:r>
        <w:rPr>
          <w:rFonts w:hint="eastAsia"/>
          <w:b/>
          <w:bCs/>
          <w:u w:val="single"/>
        </w:rPr>
        <w:t xml:space="preserve">     </w:t>
      </w:r>
      <w:r>
        <w:t>年</w:t>
      </w:r>
      <w:r>
        <w:rPr>
          <w:rFonts w:hint="eastAsia"/>
          <w:b/>
          <w:bCs/>
          <w:u w:val="single"/>
        </w:rPr>
        <w:t xml:space="preserve">   </w:t>
      </w:r>
      <w:r>
        <w:t>月</w:t>
      </w:r>
      <w:r>
        <w:rPr>
          <w:rFonts w:hint="eastAsia"/>
          <w:b/>
          <w:bCs/>
          <w:u w:val="single"/>
        </w:rPr>
        <w:t xml:space="preserve">   </w:t>
      </w:r>
      <w:r>
        <w:rPr>
          <w:rFonts w:hint="eastAsia"/>
        </w:rPr>
        <w:t>日</w:t>
      </w:r>
    </w:p>
    <w:p w14:paraId="4F7B1FE7">
      <w:pPr>
        <w:pStyle w:val="12"/>
        <w:ind w:firstLine="240"/>
        <w:sectPr>
          <w:headerReference r:id="rId13" w:type="default"/>
          <w:pgSz w:w="11906" w:h="16838"/>
          <w:pgMar w:top="1134" w:right="1134" w:bottom="1134" w:left="1134" w:header="794" w:footer="782" w:gutter="0"/>
          <w:pgNumType w:start="1"/>
          <w:cols w:space="425" w:num="1"/>
          <w:docGrid w:type="lines" w:linePitch="312" w:charSpace="0"/>
        </w:sectPr>
      </w:pPr>
    </w:p>
    <w:p w14:paraId="7BF95332">
      <w:pPr>
        <w:pStyle w:val="2"/>
        <w:spacing w:before="312" w:after="312"/>
      </w:pPr>
      <w:r>
        <w:rPr>
          <w:rFonts w:hint="eastAsia"/>
        </w:rPr>
        <w:t>重庆公路养护工程（集团）有限公司</w:t>
      </w:r>
    </w:p>
    <w:p w14:paraId="6A1718B7">
      <w:pPr>
        <w:pStyle w:val="2"/>
        <w:spacing w:before="312" w:after="312"/>
      </w:pPr>
      <w:r>
        <w:rPr>
          <w:rFonts w:hint="eastAsia" w:ascii="宋体" w:hAnsi="宋体" w:cs="宋体"/>
          <w:szCs w:val="32"/>
          <w:u w:val="single"/>
          <w:lang w:eastAsia="zh-CN"/>
        </w:rPr>
        <w:t>富金坝航电枢纽桥梁缺陷整治施工项目</w:t>
      </w:r>
      <w:r>
        <w:rPr>
          <w:rFonts w:hint="eastAsia"/>
          <w:szCs w:val="32"/>
        </w:rPr>
        <w:t>劳务分包</w:t>
      </w:r>
      <w:r>
        <w:rPr>
          <w:rFonts w:hint="eastAsia"/>
        </w:rPr>
        <w:t>之安全生产合同</w:t>
      </w:r>
    </w:p>
    <w:p w14:paraId="3D36B1F1">
      <w:pPr>
        <w:ind w:firstLine="480"/>
      </w:pPr>
      <w:r>
        <w:t>为在</w:t>
      </w:r>
      <w:r>
        <w:rPr>
          <w:rFonts w:hint="eastAsia" w:ascii="宋体" w:hAnsi="宋体" w:cs="宋体"/>
          <w:b/>
          <w:u w:val="single"/>
          <w:lang w:eastAsia="zh-CN"/>
        </w:rPr>
        <w:t>富金坝航电枢纽桥梁缺陷整治施工项目</w:t>
      </w:r>
      <w:r>
        <w:rPr>
          <w:rFonts w:hint="eastAsia"/>
          <w:b/>
          <w:bCs/>
          <w:u w:val="single"/>
        </w:rPr>
        <w:t>劳务分包</w:t>
      </w:r>
      <w:r>
        <w:t>施工实施过程中创造安全、高效的施工环境，切实搞好本项目工程的安全管理工作，</w:t>
      </w:r>
      <w:r>
        <w:rPr>
          <w:rFonts w:hint="eastAsia"/>
        </w:rPr>
        <w:t>本项目</w:t>
      </w:r>
      <w:r>
        <w:t>发包</w:t>
      </w:r>
      <w:r>
        <w:rPr>
          <w:rFonts w:hint="eastAsia"/>
        </w:rPr>
        <w:t>人</w:t>
      </w:r>
      <w:r>
        <w:rPr>
          <w:rFonts w:hint="eastAsia"/>
          <w:u w:val="single"/>
        </w:rPr>
        <w:t xml:space="preserve"> </w:t>
      </w:r>
      <w:r>
        <w:rPr>
          <w:rFonts w:hint="eastAsia"/>
          <w:b/>
          <w:bCs/>
          <w:u w:val="single"/>
        </w:rPr>
        <w:t xml:space="preserve">重庆公路养护工程（集团）有限公司 </w:t>
      </w:r>
      <w:r>
        <w:t>（以下简称</w:t>
      </w:r>
      <w:r>
        <w:rPr>
          <w:b/>
          <w:bCs/>
        </w:rPr>
        <w:t>甲方</w:t>
      </w:r>
      <w:r>
        <w:t>）与承包单位</w:t>
      </w:r>
      <w:r>
        <w:rPr>
          <w:rFonts w:hint="eastAsia"/>
          <w:b/>
          <w:bCs/>
          <w:u w:val="single"/>
        </w:rPr>
        <w:t xml:space="preserve">                     </w:t>
      </w:r>
      <w:r>
        <w:t>（以下简称</w:t>
      </w:r>
      <w:r>
        <w:rPr>
          <w:b/>
          <w:bCs/>
        </w:rPr>
        <w:t>乙方</w:t>
      </w:r>
      <w:r>
        <w:t>）特此签订如下安全生产合同：</w:t>
      </w:r>
    </w:p>
    <w:p w14:paraId="52676EB6">
      <w:pPr>
        <w:ind w:firstLine="482"/>
        <w:rPr>
          <w:b/>
          <w:bCs/>
        </w:rPr>
      </w:pPr>
      <w:r>
        <w:rPr>
          <w:rFonts w:hint="eastAsia"/>
          <w:b/>
          <w:bCs/>
        </w:rPr>
        <w:t>一、</w:t>
      </w:r>
      <w:r>
        <w:rPr>
          <w:b/>
          <w:bCs/>
        </w:rPr>
        <w:t>甲方职责</w:t>
      </w:r>
    </w:p>
    <w:p w14:paraId="7791178D">
      <w:pPr>
        <w:ind w:firstLine="480"/>
        <w:textAlignment w:val="baseline"/>
      </w:pPr>
      <w:r>
        <w:t>1、</w:t>
      </w:r>
      <w:r>
        <w:rPr>
          <w:rFonts w:hint="eastAsia"/>
        </w:rPr>
        <w:t>严格遵守并贯彻执行国家有关安全生产法律法规规定，认真履行安全监督管理职责。</w:t>
      </w:r>
    </w:p>
    <w:p w14:paraId="236014BD">
      <w:pPr>
        <w:ind w:firstLine="480"/>
        <w:textAlignment w:val="baseline"/>
      </w:pPr>
      <w:r>
        <w:rPr>
          <w:rFonts w:hint="eastAsia"/>
        </w:rPr>
        <w:t>2、按照“安全第一、预防为主、综合治理”和 “谁主管，谁负责”的原则进行安全生产管理，生产与安全工作同时计划、布置、检查、总结和评比。</w:t>
      </w:r>
    </w:p>
    <w:p w14:paraId="44718B7A">
      <w:pPr>
        <w:ind w:firstLine="480"/>
        <w:textAlignment w:val="baseline"/>
      </w:pPr>
      <w:r>
        <w:rPr>
          <w:rFonts w:hint="eastAsia"/>
        </w:rPr>
        <w:t>3、监督乙方安全生产费用的提取和使用，重要的安全设施坚持与主体工程“三同时”的原则，即：同时设计、审批，同时施工，同时验收，投入使用。</w:t>
      </w:r>
    </w:p>
    <w:p w14:paraId="1F26DA27">
      <w:pPr>
        <w:ind w:firstLine="480"/>
        <w:textAlignment w:val="baseline"/>
      </w:pPr>
      <w:r>
        <w:rPr>
          <w:rFonts w:hint="eastAsia"/>
        </w:rPr>
        <w:t>4、定期召开安全生产调度会，及时传达中央及地方有关安全生产的精神，协调解决乙方安全生产过程中出现的有关问题。</w:t>
      </w:r>
    </w:p>
    <w:p w14:paraId="7F50C63A">
      <w:pPr>
        <w:ind w:firstLine="480"/>
        <w:textAlignment w:val="baseline"/>
      </w:pPr>
      <w:r>
        <w:rPr>
          <w:rFonts w:hint="eastAsia"/>
        </w:rPr>
        <w:t>5、在施工前组织对乙方管理人员进行有关高速公路施工作业的安全知识教育培训和安全技术交底，监督检查乙方对其作业人员的安全教育培训和安全技术交底工作，审核乙方提交的乙方进场人员的资格资料。</w:t>
      </w:r>
    </w:p>
    <w:p w14:paraId="426CF12E">
      <w:pPr>
        <w:ind w:firstLine="480"/>
        <w:textAlignment w:val="baseline"/>
      </w:pPr>
      <w:r>
        <w:rPr>
          <w:rFonts w:hint="eastAsia"/>
        </w:rPr>
        <w:t>6、不定期组织人员对乙方人员和车辆运输安全管理、安全生产行为、安全措施落实情况进行检查，监督乙方及时处理和整改发现的各种安全隐患，督促各项安全措施落到实处。</w:t>
      </w:r>
    </w:p>
    <w:p w14:paraId="73651CC6">
      <w:pPr>
        <w:ind w:firstLine="480"/>
        <w:textAlignment w:val="baseline"/>
      </w:pPr>
      <w:r>
        <w:rPr>
          <w:rFonts w:hint="eastAsia"/>
        </w:rPr>
        <w:t>7、对乙方违反安全生产的各种违法违纪行为，有权予以制止并按照相关规定进行处理。</w:t>
      </w:r>
    </w:p>
    <w:p w14:paraId="2EE26097">
      <w:pPr>
        <w:ind w:firstLine="480"/>
      </w:pPr>
      <w:r>
        <w:rPr>
          <w:rFonts w:hint="eastAsia"/>
        </w:rPr>
        <w:t>8、甲方的上述职责不代表甲方对乙方的合同履行行为做任何安全方面明示或暗示的保证，乙方仍应自行负责处理并自行承担合同履行过程中可能出现的一切安全事故责任与风险等。</w:t>
      </w:r>
    </w:p>
    <w:p w14:paraId="4E8AC612">
      <w:pPr>
        <w:ind w:firstLine="482"/>
        <w:rPr>
          <w:b/>
          <w:bCs/>
        </w:rPr>
      </w:pPr>
      <w:r>
        <w:rPr>
          <w:rFonts w:hint="eastAsia"/>
          <w:b/>
          <w:bCs/>
        </w:rPr>
        <w:t>二、</w:t>
      </w:r>
      <w:r>
        <w:rPr>
          <w:b/>
          <w:bCs/>
        </w:rPr>
        <w:t>乙方职责</w:t>
      </w:r>
    </w:p>
    <w:p w14:paraId="06CD68E5">
      <w:pPr>
        <w:ind w:firstLine="480"/>
        <w:textAlignment w:val="baseline"/>
        <w:rPr>
          <w:rFonts w:hint="eastAsia" w:ascii="宋体" w:hAnsi="宋体"/>
        </w:rPr>
      </w:pPr>
      <w:r>
        <w:rPr>
          <w:rFonts w:hint="eastAsia" w:ascii="宋体" w:hAnsi="宋体"/>
        </w:rPr>
        <w:t>1、严格遵守并贯彻执行国家有关安全生产的法律法规，认真履行安全管理职责。乙方作为承包方，是施工安全生产的责任主体，在施工过程中所发生的一切安全事故，由乙方承担全部责任。</w:t>
      </w:r>
    </w:p>
    <w:p w14:paraId="7F275979">
      <w:pPr>
        <w:ind w:firstLine="480"/>
        <w:textAlignment w:val="baseline"/>
        <w:rPr>
          <w:rFonts w:hint="eastAsia" w:ascii="宋体" w:hAnsi="宋体"/>
        </w:rPr>
      </w:pPr>
      <w:r>
        <w:rPr>
          <w:rFonts w:hint="eastAsia" w:ascii="宋体" w:hAnsi="宋体"/>
        </w:rPr>
        <w:t>2、严格遵守和认真执行工程承包合同以及本合同中的有关安全要求。</w:t>
      </w:r>
    </w:p>
    <w:p w14:paraId="415F3C71">
      <w:pPr>
        <w:ind w:firstLine="480"/>
        <w:textAlignment w:val="baseline"/>
        <w:rPr>
          <w:rFonts w:hint="eastAsia" w:ascii="宋体" w:hAnsi="宋体"/>
        </w:rPr>
      </w:pPr>
      <w:r>
        <w:rPr>
          <w:rFonts w:hint="eastAsia" w:ascii="宋体" w:hAnsi="宋体"/>
        </w:rPr>
        <w:t>3、坚持“安全第一，预防为主，综合治理”方针和“谁主管、谁负责”的原则。建立健全各项安全生产管理机构和安全生产管理制度，依照国家有关规定保证安全生产费用的投入，配备专职或兼职安全管理人员，安全管理人员必须经过培训并获得相关的资格。乙方应有组织有领导地开展安全生产活动，加强安全生产宣传教育，组织对其作业人员进行施工前和岗前的安全教育培训和安全技术交底，增强全员安全生产意识，严格遵守有关安全规定及本条款的各项规定。乙方各级领导、工程技术人员、生产管理人员和具体操作人员，必须熟悉和遵守有关安全规定及本条款的各项规定，做到生产与安全工作同时计划、布置、检查、总结和评比。</w:t>
      </w:r>
    </w:p>
    <w:p w14:paraId="48C0CE6F">
      <w:pPr>
        <w:ind w:firstLine="480"/>
        <w:textAlignment w:val="baseline"/>
        <w:rPr>
          <w:rFonts w:hint="eastAsia" w:ascii="宋体" w:hAnsi="宋体"/>
        </w:rPr>
      </w:pPr>
      <w:r>
        <w:rPr>
          <w:rFonts w:hint="eastAsia" w:ascii="宋体" w:hAnsi="宋体"/>
        </w:rPr>
        <w:t>4、建立健全安全生产责任制。从派往项目实施的项目负责人到作业人员(包括临时雇请的民工和人员)的安全生产保障体系必须做到纵向到底，横向到边，一环不漏，将安全生产责任制落到每个人或岗位上，做到安全生产人人有责。项目负责人是安全生产的第一责任人，安全管理人员为直接责任人。现场设置的安全管理组织机构，配备安全人员，专门负责施工现场人员、设备、交通标志标牌、交通疏导、治安保卫等安全管理工作，有效防止各种安全事故发生。现场安全管理机构，依职责有权按有关规定发布指令，并采取保护性措施防止安全事故的发生；同时，服从甲方的安全监督管理。</w:t>
      </w:r>
    </w:p>
    <w:p w14:paraId="386FF709">
      <w:pPr>
        <w:ind w:firstLine="480"/>
        <w:textAlignment w:val="baseline"/>
        <w:rPr>
          <w:rFonts w:hint="eastAsia" w:ascii="宋体" w:hAnsi="宋体"/>
        </w:rPr>
      </w:pPr>
      <w:r>
        <w:rPr>
          <w:rFonts w:hint="eastAsia" w:ascii="宋体" w:hAnsi="宋体"/>
        </w:rPr>
        <w:t>5、乙方作业人员不得违章作业、冒险作业和疲劳作业，乙方应根据施工现场实际情况，采取各种合理的预防措施，防止其作业人员发生任何违法、违禁、暴力或妨碍治安的行为。</w:t>
      </w:r>
    </w:p>
    <w:p w14:paraId="1D6644EF">
      <w:pPr>
        <w:ind w:firstLine="480"/>
        <w:textAlignment w:val="baseline"/>
        <w:rPr>
          <w:rFonts w:hint="eastAsia" w:ascii="宋体" w:hAnsi="宋体"/>
        </w:rPr>
      </w:pPr>
      <w:r>
        <w:rPr>
          <w:rFonts w:hint="eastAsia" w:ascii="宋体" w:hAnsi="宋体"/>
        </w:rPr>
        <w:t>6、乙方进入施工现场的操作人员上岗作业，必须按规定穿戴防护用品。施工负责人和安全管理人员应随时检查劳动防护用品的穿戴情况，不按规定穿戴防护用品的人员不得上岗。因违规造成的安全事故，由乙方承担一切法律责任、赔偿全部经济损失。</w:t>
      </w:r>
    </w:p>
    <w:p w14:paraId="5D13CDEA">
      <w:pPr>
        <w:ind w:firstLine="480"/>
        <w:textAlignment w:val="baseline"/>
        <w:rPr>
          <w:rFonts w:hint="eastAsia" w:ascii="宋体" w:hAnsi="宋体"/>
        </w:rPr>
      </w:pPr>
      <w:r>
        <w:rPr>
          <w:rFonts w:hint="eastAsia" w:ascii="宋体" w:hAnsi="宋体"/>
        </w:rPr>
        <w:t>7、乙方必须具有管理部门颁发的安全生产许可证书，参加施工的作业人员，必须接受安全技术教育及培训，熟知和遵守本岗位工种的各项安全技术操作规程，合格者方准上岗操作。特种作业人员须按国家有关规定持证上岗。乙方必须保证相关人员所持证照在合同和施工期内持续有效。施工现场如出现有关人员无证操作、证照失效等的，所发生的安全事故，由乙方承担一切法律责任、赔偿全部经济损失。</w:t>
      </w:r>
    </w:p>
    <w:p w14:paraId="5F0CE54E">
      <w:pPr>
        <w:ind w:firstLine="480"/>
        <w:textAlignment w:val="baseline"/>
        <w:rPr>
          <w:rFonts w:hint="eastAsia" w:ascii="宋体" w:hAnsi="宋体"/>
        </w:rPr>
      </w:pPr>
      <w:r>
        <w:rPr>
          <w:rFonts w:hint="eastAsia" w:ascii="宋体" w:hAnsi="宋体"/>
        </w:rPr>
        <w:t>8、严格执行《中华人民共和国消防法》，易燃易爆的材料除应设专人专门负责管理外，还应配备足够的和有效的消防设施，并作好材料收发记录台帐，避免遗失和流失。所有施工作业人员应熟悉消防设备的性能和使用方法，施工场地、住宿、办公场所等还应按规定配备足够的消防设施。乙方不得将任何种类的爆炸物给予、易货或以其他方式转让给任何其他人。</w:t>
      </w:r>
    </w:p>
    <w:p w14:paraId="5D5F2AB8">
      <w:pPr>
        <w:ind w:firstLine="480"/>
        <w:textAlignment w:val="baseline"/>
        <w:rPr>
          <w:rFonts w:hint="eastAsia" w:ascii="宋体" w:hAnsi="宋体"/>
        </w:rPr>
      </w:pPr>
      <w:r>
        <w:rPr>
          <w:rFonts w:hint="eastAsia" w:ascii="宋体" w:hAnsi="宋体"/>
        </w:rPr>
        <w:t>9、所有施工机具设备和高空作业的设备均应定期检查，施工车辆必须符合《道路安全法》、《车辆安全技术规定》等规定，并有管理人员的检查签字记录，保证其始终处于良好完备状态。不合格的机具、设备和劳动保护用品严禁使用。因违反相关规定和要求，所造成的安全事故，由乙方承担一切责任和经济损失。</w:t>
      </w:r>
    </w:p>
    <w:p w14:paraId="113D2000">
      <w:pPr>
        <w:ind w:firstLine="480"/>
        <w:textAlignment w:val="baseline"/>
        <w:rPr>
          <w:rFonts w:hint="eastAsia" w:ascii="宋体" w:hAnsi="宋体"/>
        </w:rPr>
      </w:pPr>
      <w:r>
        <w:rPr>
          <w:rFonts w:hint="eastAsia" w:ascii="宋体" w:hAnsi="宋体"/>
        </w:rPr>
        <w:t>10、施工中采用新技术、新工艺、新设备、新材料时，必须制定相应的安全技术措施，施工现场必须具有相关的安全标志牌。</w:t>
      </w:r>
    </w:p>
    <w:p w14:paraId="6677C716">
      <w:pPr>
        <w:ind w:firstLine="480"/>
        <w:textAlignment w:val="baseline"/>
        <w:rPr>
          <w:rFonts w:hint="eastAsia" w:ascii="宋体" w:hAnsi="宋体"/>
        </w:rPr>
      </w:pPr>
      <w:r>
        <w:rPr>
          <w:rFonts w:hint="eastAsia" w:ascii="宋体" w:hAnsi="宋体"/>
        </w:rPr>
        <w:t>11、定期或不定期组织安全检查，对检查发现的安全隐患，及时整改。对甲方安全检查过程中发现的安全隐患，乙方应立即整改；在口头通知或下达整改书后，乙方应在限定时间内整改；因整改不及时或不到位导致的安全事故，由乙方承担一切法律责任、赔偿全部经济损失。</w:t>
      </w:r>
    </w:p>
    <w:p w14:paraId="73C7A3D7">
      <w:pPr>
        <w:ind w:firstLine="480"/>
        <w:textAlignment w:val="baseline"/>
        <w:rPr>
          <w:rFonts w:hint="eastAsia" w:ascii="宋体" w:hAnsi="宋体"/>
        </w:rPr>
      </w:pPr>
      <w:r>
        <w:rPr>
          <w:rFonts w:hint="eastAsia" w:ascii="宋体" w:hAnsi="宋体"/>
        </w:rPr>
        <w:t>12、乙方合同单价中已包含安全责任保险费用。乙方如在工作中发生的上路作业人员伤、亡事故，或违反安全施工、野蛮操作等造成的人员伤亡和财产损失均由乙方自行承担全部法律责任和经济责任，与甲方无关。</w:t>
      </w:r>
    </w:p>
    <w:p w14:paraId="341B64B7">
      <w:pPr>
        <w:ind w:firstLine="480"/>
        <w:textAlignment w:val="baseline"/>
        <w:rPr>
          <w:rFonts w:hint="eastAsia" w:ascii="宋体" w:hAnsi="宋体"/>
        </w:rPr>
      </w:pPr>
      <w:r>
        <w:rPr>
          <w:rFonts w:hint="eastAsia" w:ascii="宋体" w:hAnsi="宋体"/>
        </w:rPr>
        <w:t>13、乙方必须按照本工程项目特点，组织制定本工程实施中的生产安全事故应急救援预案。如果发生安全事故，应按照《生产安全事故报告和调查处理条例》以及其他有关规定，及时上报有关部门，并坚持“四不放过”的原则，严肃处理相关责任人。</w:t>
      </w:r>
    </w:p>
    <w:p w14:paraId="2B0E5355">
      <w:pPr>
        <w:ind w:firstLine="480"/>
        <w:textAlignment w:val="baseline"/>
        <w:outlineLvl w:val="0"/>
        <w:rPr>
          <w:rFonts w:hint="eastAsia" w:ascii="宋体" w:hAnsi="宋体" w:cs="宋体"/>
          <w:b/>
          <w:bCs/>
          <w:u w:val="single"/>
        </w:rPr>
      </w:pPr>
      <w:r>
        <w:rPr>
          <w:rFonts w:ascii="宋体" w:hAnsi="宋体"/>
        </w:rPr>
        <w:t>1</w:t>
      </w:r>
      <w:r>
        <w:rPr>
          <w:rFonts w:hint="eastAsia" w:ascii="宋体" w:hAnsi="宋体"/>
        </w:rPr>
        <w:t>4、乙方指定项目现场安全责任人：</w:t>
      </w:r>
      <w:r>
        <w:rPr>
          <w:rFonts w:hint="eastAsia" w:ascii="宋体" w:hAnsi="宋体"/>
          <w:b/>
          <w:bCs/>
          <w:u w:val="single"/>
        </w:rPr>
        <w:t xml:space="preserve">                </w:t>
      </w:r>
    </w:p>
    <w:p w14:paraId="073FE539">
      <w:pPr>
        <w:ind w:firstLine="482"/>
        <w:rPr>
          <w:b/>
          <w:bCs/>
        </w:rPr>
      </w:pPr>
      <w:r>
        <w:rPr>
          <w:rFonts w:hint="eastAsia"/>
          <w:b/>
          <w:bCs/>
        </w:rPr>
        <w:t>六、</w:t>
      </w:r>
      <w:r>
        <w:rPr>
          <w:b/>
          <w:bCs/>
        </w:rPr>
        <w:t>违约责任</w:t>
      </w:r>
    </w:p>
    <w:p w14:paraId="15BB5B28">
      <w:pPr>
        <w:ind w:firstLine="480"/>
      </w:pPr>
      <w:r>
        <w:t>1、本合同有效期内，如乙方违约，甲方依据有关条款对乙方给予违约处罚；因乙方原因造成安全事故的，由乙方承担全部责任。</w:t>
      </w:r>
    </w:p>
    <w:p w14:paraId="29F483BB">
      <w:pPr>
        <w:ind w:firstLine="480"/>
      </w:pPr>
      <w:r>
        <w:t>2、本合同有效期内，如因乙方或乙方工作人员过错给甲方造成损失，由乙方负责向甲方赔偿，甲方有权直接从乙方工程款中将相关损失赔偿款进行抵扣。</w:t>
      </w:r>
    </w:p>
    <w:p w14:paraId="3ACA89BC">
      <w:pPr>
        <w:ind w:firstLine="480"/>
      </w:pPr>
      <w:r>
        <w:t>3、如因甲方或乙方违约造成安全事故，将依法按照国家有关法律法规进行处理。</w:t>
      </w:r>
    </w:p>
    <w:p w14:paraId="418ABE72">
      <w:pPr>
        <w:ind w:firstLine="482"/>
      </w:pPr>
      <w:r>
        <w:rPr>
          <w:rFonts w:hint="eastAsia"/>
          <w:b/>
          <w:bCs/>
        </w:rPr>
        <w:t>七、</w:t>
      </w:r>
      <w:r>
        <w:t>本合同作为《</w:t>
      </w:r>
      <w:r>
        <w:rPr>
          <w:rFonts w:hint="eastAsia" w:ascii="宋体" w:hAnsi="宋体" w:cs="宋体"/>
          <w:b/>
          <w:u w:val="single"/>
          <w:lang w:eastAsia="zh-CN"/>
        </w:rPr>
        <w:t>富金坝航电枢纽桥梁缺陷整治施工项目</w:t>
      </w:r>
      <w:r>
        <w:rPr>
          <w:rFonts w:hint="eastAsia"/>
          <w:b/>
          <w:bCs/>
        </w:rPr>
        <w:t>劳务分包</w:t>
      </w:r>
      <w:r>
        <w:rPr>
          <w:b/>
          <w:bCs/>
        </w:rPr>
        <w:t>合同</w:t>
      </w:r>
      <w:r>
        <w:t>》的附件，与工程施工合同具有同等的法律效力。</w:t>
      </w:r>
    </w:p>
    <w:p w14:paraId="599A28AC">
      <w:pPr>
        <w:ind w:firstLine="482"/>
        <w:rPr>
          <w:b/>
          <w:bCs/>
          <w:u w:val="single"/>
        </w:rPr>
      </w:pPr>
      <w:r>
        <w:rPr>
          <w:rFonts w:hint="eastAsia"/>
          <w:b/>
          <w:bCs/>
        </w:rPr>
        <w:t>八</w:t>
      </w:r>
      <w:r>
        <w:rPr>
          <w:b/>
          <w:bCs/>
        </w:rPr>
        <w:t>、</w:t>
      </w:r>
      <w:r>
        <w:t>合同签约地：</w:t>
      </w:r>
      <w:r>
        <w:rPr>
          <w:rFonts w:hint="eastAsia"/>
          <w:b/>
          <w:bCs/>
          <w:u w:val="single"/>
        </w:rPr>
        <w:t>重庆市沙坪坝区梨高路4号</w:t>
      </w:r>
    </w:p>
    <w:p w14:paraId="502B0C9A">
      <w:pPr>
        <w:ind w:firstLine="482"/>
      </w:pPr>
      <w:r>
        <w:rPr>
          <w:rFonts w:hint="eastAsia"/>
          <w:b/>
          <w:bCs/>
        </w:rPr>
        <w:t>九</w:t>
      </w:r>
      <w:r>
        <w:rPr>
          <w:b/>
          <w:bCs/>
        </w:rPr>
        <w:t>、</w:t>
      </w:r>
      <w:r>
        <w:t>本合同一式</w:t>
      </w:r>
      <w:r>
        <w:rPr>
          <w:rFonts w:hint="eastAsia"/>
          <w:u w:val="single"/>
        </w:rPr>
        <w:t xml:space="preserve"> </w:t>
      </w:r>
      <w:r>
        <w:rPr>
          <w:b/>
          <w:bCs/>
          <w:u w:val="single"/>
        </w:rPr>
        <w:t>陆</w:t>
      </w:r>
      <w:r>
        <w:rPr>
          <w:rFonts w:hint="eastAsia"/>
          <w:b/>
          <w:bCs/>
          <w:u w:val="single"/>
        </w:rPr>
        <w:t xml:space="preserve"> </w:t>
      </w:r>
      <w:r>
        <w:t>份，甲方执</w:t>
      </w:r>
      <w:r>
        <w:rPr>
          <w:rFonts w:hint="eastAsia"/>
          <w:u w:val="single"/>
        </w:rPr>
        <w:t xml:space="preserve"> </w:t>
      </w:r>
      <w:r>
        <w:rPr>
          <w:b/>
          <w:bCs/>
          <w:u w:val="single"/>
        </w:rPr>
        <w:t>肆</w:t>
      </w:r>
      <w:r>
        <w:rPr>
          <w:rFonts w:hint="eastAsia"/>
          <w:b/>
          <w:bCs/>
          <w:u w:val="single"/>
        </w:rPr>
        <w:t xml:space="preserve"> </w:t>
      </w:r>
      <w:r>
        <w:t>份，乙方执</w:t>
      </w:r>
      <w:r>
        <w:rPr>
          <w:rFonts w:hint="eastAsia"/>
          <w:b/>
          <w:bCs/>
          <w:u w:val="single"/>
        </w:rPr>
        <w:t xml:space="preserve"> </w:t>
      </w:r>
      <w:r>
        <w:rPr>
          <w:b/>
          <w:bCs/>
          <w:u w:val="single"/>
        </w:rPr>
        <w:t>贰</w:t>
      </w:r>
      <w:r>
        <w:rPr>
          <w:rFonts w:hint="eastAsia"/>
          <w:b/>
          <w:bCs/>
          <w:u w:val="single"/>
        </w:rPr>
        <w:t xml:space="preserve"> </w:t>
      </w:r>
      <w:r>
        <w:t>份；由双方法定代表人或其授权代表签署与加盖公章后生效，全部工程竣工验收后终止。</w:t>
      </w:r>
    </w:p>
    <w:p w14:paraId="274F4C57">
      <w:pPr>
        <w:pStyle w:val="11"/>
        <w:ind w:firstLine="480"/>
        <w:sectPr>
          <w:pgSz w:w="11906" w:h="16838"/>
          <w:pgMar w:top="1134" w:right="1134" w:bottom="1134" w:left="1134" w:header="794" w:footer="782" w:gutter="0"/>
          <w:cols w:space="425" w:num="1"/>
          <w:docGrid w:type="lines" w:linePitch="312" w:charSpace="0"/>
        </w:sectPr>
      </w:pPr>
    </w:p>
    <w:p w14:paraId="22231917">
      <w:pPr>
        <w:pStyle w:val="20"/>
      </w:pPr>
    </w:p>
    <w:p w14:paraId="0285DB6A">
      <w:pPr>
        <w:ind w:firstLine="480"/>
      </w:pPr>
      <w:r>
        <w:t>甲方：（盖章）</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t>乙方：（盖章）</w:t>
      </w:r>
    </w:p>
    <w:p w14:paraId="4D986CB0">
      <w:pPr>
        <w:ind w:firstLine="482"/>
        <w:rPr>
          <w:b/>
          <w:bCs/>
        </w:rPr>
      </w:pPr>
      <w:r>
        <w:rPr>
          <w:rFonts w:hint="eastAsia"/>
          <w:b/>
          <w:bCs/>
        </w:rPr>
        <w:t>重庆公路养护工程（集团）有限公司</w:t>
      </w:r>
    </w:p>
    <w:p w14:paraId="5C129952">
      <w:pPr>
        <w:ind w:firstLine="480"/>
      </w:pPr>
    </w:p>
    <w:p w14:paraId="57928121">
      <w:pPr>
        <w:ind w:firstLine="480"/>
      </w:pPr>
      <w:r>
        <w:t>法定代表人</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t>法定代表人</w:t>
      </w:r>
    </w:p>
    <w:p w14:paraId="56709D04">
      <w:pPr>
        <w:ind w:firstLine="480"/>
      </w:pPr>
      <w:r>
        <w:t>或授权代表：</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t>或授权代表：</w:t>
      </w:r>
    </w:p>
    <w:p w14:paraId="6E6C38C4">
      <w:pPr>
        <w:ind w:firstLine="480"/>
      </w:pPr>
    </w:p>
    <w:p w14:paraId="2F3CBE05">
      <w:pPr>
        <w:ind w:firstLine="480"/>
      </w:pPr>
      <w:r>
        <w:rPr>
          <w:rFonts w:hint="eastAsia"/>
        </w:rPr>
        <w:t>项目</w:t>
      </w:r>
      <w:r>
        <w:t>负责人：</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项目</w:t>
      </w:r>
      <w:r>
        <w:t>负责人：</w:t>
      </w:r>
    </w:p>
    <w:p w14:paraId="56C9381C">
      <w:pPr>
        <w:ind w:firstLine="480"/>
      </w:pPr>
    </w:p>
    <w:p w14:paraId="44E64858">
      <w:pPr>
        <w:ind w:firstLine="480"/>
      </w:pPr>
      <w:r>
        <w:t>经办人：</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t>经办人：</w:t>
      </w:r>
    </w:p>
    <w:p w14:paraId="195C28B9">
      <w:pPr>
        <w:ind w:firstLine="480"/>
      </w:pPr>
    </w:p>
    <w:p w14:paraId="5A6B8950">
      <w:pPr>
        <w:ind w:firstLine="480"/>
      </w:pPr>
      <w:r>
        <w:t>日期：</w:t>
      </w:r>
      <w:r>
        <w:rPr>
          <w:b/>
          <w:bCs/>
          <w:u w:val="single"/>
        </w:rPr>
        <w:t xml:space="preserve"> </w:t>
      </w:r>
      <w:r>
        <w:rPr>
          <w:rFonts w:hint="eastAsia"/>
          <w:b/>
          <w:bCs/>
          <w:u w:val="single"/>
        </w:rPr>
        <w:t xml:space="preserve">  </w:t>
      </w:r>
      <w:r>
        <w:rPr>
          <w:b/>
          <w:bCs/>
          <w:u w:val="single"/>
        </w:rPr>
        <w:t xml:space="preserve"> </w:t>
      </w:r>
      <w:r>
        <w:t>年</w:t>
      </w:r>
      <w:r>
        <w:rPr>
          <w:b/>
          <w:bCs/>
          <w:u w:val="single"/>
        </w:rPr>
        <w:t xml:space="preserve">  </w:t>
      </w:r>
      <w:r>
        <w:rPr>
          <w:rFonts w:hint="eastAsia"/>
          <w:b/>
          <w:bCs/>
          <w:u w:val="single"/>
        </w:rPr>
        <w:t xml:space="preserve"> </w:t>
      </w:r>
      <w:r>
        <w:rPr>
          <w:b/>
          <w:bCs/>
          <w:u w:val="single"/>
        </w:rPr>
        <w:t xml:space="preserve"> </w:t>
      </w:r>
      <w:r>
        <w:t>月</w:t>
      </w:r>
      <w:r>
        <w:rPr>
          <w:b/>
          <w:bCs/>
          <w:u w:val="single"/>
        </w:rPr>
        <w:t xml:space="preserve">  </w:t>
      </w:r>
      <w:r>
        <w:rPr>
          <w:rFonts w:hint="eastAsia"/>
          <w:b/>
          <w:bCs/>
          <w:u w:val="single"/>
        </w:rPr>
        <w:t xml:space="preserve"> </w:t>
      </w:r>
      <w:r>
        <w:rPr>
          <w:b/>
          <w:bCs/>
          <w:u w:val="single"/>
        </w:rPr>
        <w:t xml:space="preserve"> </w:t>
      </w:r>
      <w:r>
        <w:t>日</w:t>
      </w:r>
      <w:r>
        <w:rPr>
          <w:rFonts w:hint="eastAsia"/>
        </w:rPr>
        <w:tab/>
      </w:r>
      <w:r>
        <w:rPr>
          <w:rFonts w:hint="eastAsia"/>
        </w:rPr>
        <w:tab/>
      </w:r>
      <w:r>
        <w:rPr>
          <w:rFonts w:hint="eastAsia"/>
        </w:rPr>
        <w:tab/>
      </w:r>
      <w:r>
        <w:rPr>
          <w:rFonts w:hint="eastAsia"/>
        </w:rPr>
        <w:tab/>
      </w:r>
      <w:r>
        <w:rPr>
          <w:rFonts w:hint="eastAsia"/>
        </w:rPr>
        <w:tab/>
      </w:r>
      <w:r>
        <w:rPr>
          <w:rFonts w:hint="eastAsia"/>
        </w:rPr>
        <w:tab/>
      </w:r>
      <w:r>
        <w:t>日期：</w:t>
      </w:r>
      <w:r>
        <w:rPr>
          <w:b/>
          <w:bCs/>
          <w:u w:val="single"/>
        </w:rPr>
        <w:t xml:space="preserve"> </w:t>
      </w:r>
      <w:r>
        <w:rPr>
          <w:rFonts w:hint="eastAsia"/>
          <w:b/>
          <w:bCs/>
          <w:u w:val="single"/>
        </w:rPr>
        <w:t xml:space="preserve">  </w:t>
      </w:r>
      <w:r>
        <w:rPr>
          <w:b/>
          <w:bCs/>
          <w:u w:val="single"/>
        </w:rPr>
        <w:t xml:space="preserve"> </w:t>
      </w:r>
      <w:r>
        <w:t>年</w:t>
      </w:r>
      <w:r>
        <w:rPr>
          <w:b/>
          <w:bCs/>
          <w:u w:val="single"/>
        </w:rPr>
        <w:t xml:space="preserve"> </w:t>
      </w:r>
      <w:r>
        <w:rPr>
          <w:rFonts w:hint="eastAsia"/>
          <w:b/>
          <w:bCs/>
          <w:u w:val="single"/>
        </w:rPr>
        <w:t xml:space="preserve"> </w:t>
      </w:r>
      <w:r>
        <w:rPr>
          <w:b/>
          <w:bCs/>
          <w:u w:val="single"/>
        </w:rPr>
        <w:t xml:space="preserve">  </w:t>
      </w:r>
      <w:r>
        <w:t>月</w:t>
      </w:r>
      <w:r>
        <w:rPr>
          <w:b/>
          <w:bCs/>
          <w:u w:val="single"/>
        </w:rPr>
        <w:t xml:space="preserve"> </w:t>
      </w:r>
      <w:r>
        <w:rPr>
          <w:rFonts w:hint="eastAsia"/>
          <w:b/>
          <w:bCs/>
          <w:u w:val="single"/>
        </w:rPr>
        <w:t xml:space="preserve"> </w:t>
      </w:r>
      <w:r>
        <w:rPr>
          <w:b/>
          <w:bCs/>
          <w:u w:val="single"/>
        </w:rPr>
        <w:t xml:space="preserve">  </w:t>
      </w:r>
      <w:r>
        <w:t>日</w:t>
      </w:r>
    </w:p>
    <w:p w14:paraId="7F165BB8">
      <w:pPr>
        <w:pStyle w:val="11"/>
        <w:ind w:firstLine="480"/>
        <w:sectPr>
          <w:pgSz w:w="11906" w:h="16838"/>
          <w:pgMar w:top="1134" w:right="1134" w:bottom="1134" w:left="1134" w:header="794" w:footer="782" w:gutter="0"/>
          <w:cols w:space="425" w:num="1"/>
          <w:docGrid w:type="lines" w:linePitch="312" w:charSpace="0"/>
        </w:sectPr>
      </w:pPr>
    </w:p>
    <w:p w14:paraId="25B2C61D">
      <w:pPr>
        <w:pStyle w:val="2"/>
        <w:spacing w:before="312" w:after="312"/>
      </w:pPr>
      <w:r>
        <w:rPr>
          <w:rFonts w:hint="eastAsia"/>
        </w:rPr>
        <w:t>重庆公路养护工程（集团）有限公司</w:t>
      </w:r>
    </w:p>
    <w:p w14:paraId="7C99CCF5">
      <w:pPr>
        <w:pStyle w:val="2"/>
        <w:spacing w:before="312" w:after="312"/>
      </w:pPr>
      <w:r>
        <w:rPr>
          <w:rFonts w:hint="eastAsia" w:ascii="宋体" w:hAnsi="宋体" w:cs="宋体"/>
          <w:szCs w:val="32"/>
          <w:u w:val="single"/>
          <w:lang w:eastAsia="zh-CN"/>
        </w:rPr>
        <w:t>富金坝航电枢纽桥梁缺陷整治施工项目</w:t>
      </w:r>
      <w:r>
        <w:rPr>
          <w:rFonts w:hint="eastAsia"/>
          <w:szCs w:val="32"/>
        </w:rPr>
        <w:t>劳务分包</w:t>
      </w:r>
      <w:r>
        <w:rPr>
          <w:rFonts w:hint="eastAsia"/>
        </w:rPr>
        <w:t>之廉政合同</w:t>
      </w:r>
    </w:p>
    <w:p w14:paraId="104260DE">
      <w:pPr>
        <w:ind w:firstLine="480"/>
      </w:pPr>
      <w:r>
        <w:t>根据交通部《关于在交通基础设施建设中加强廉政建设的若干意见》和《关于在交通基础设施建设中推行廉政合同的通知》以及有关工程建设、廉政建设的规定，为做好工程建设中的党风廉政建设，保证工程建设高效优质，保证建设资金的安全和有效使用及投资效益，</w:t>
      </w:r>
      <w:r>
        <w:rPr>
          <w:rFonts w:hint="eastAsia"/>
          <w:u w:val="single"/>
        </w:rPr>
        <w:t xml:space="preserve"> </w:t>
      </w:r>
      <w:r>
        <w:rPr>
          <w:rFonts w:hint="eastAsia"/>
          <w:b/>
          <w:bCs/>
          <w:u w:val="single"/>
        </w:rPr>
        <w:t xml:space="preserve">重庆公路养护工程（集团）有限公司 </w:t>
      </w:r>
      <w:r>
        <w:t>（以下称</w:t>
      </w:r>
      <w:r>
        <w:rPr>
          <w:b/>
          <w:bCs/>
        </w:rPr>
        <w:t>甲方</w:t>
      </w:r>
      <w:r>
        <w:t>）与</w:t>
      </w:r>
      <w:r>
        <w:rPr>
          <w:rFonts w:hint="eastAsia"/>
          <w:b/>
          <w:bCs/>
          <w:u w:val="single"/>
        </w:rPr>
        <w:t xml:space="preserve">                               </w:t>
      </w:r>
      <w:r>
        <w:t>（以下称</w:t>
      </w:r>
      <w:r>
        <w:rPr>
          <w:b/>
          <w:bCs/>
        </w:rPr>
        <w:t>乙方</w:t>
      </w:r>
      <w:r>
        <w:t>），特订立如下合同。</w:t>
      </w:r>
    </w:p>
    <w:p w14:paraId="4EC2BE21">
      <w:pPr>
        <w:ind w:firstLine="0" w:firstLineChars="0"/>
        <w:rPr>
          <w:b/>
          <w:bCs/>
        </w:rPr>
      </w:pPr>
      <w:r>
        <w:rPr>
          <w:rFonts w:hint="eastAsia"/>
          <w:b/>
          <w:bCs/>
        </w:rPr>
        <w:t xml:space="preserve">第一条  </w:t>
      </w:r>
      <w:r>
        <w:rPr>
          <w:b/>
          <w:bCs/>
        </w:rPr>
        <w:t>甲乙双方的权利和义务</w:t>
      </w:r>
    </w:p>
    <w:p w14:paraId="2EDA8730">
      <w:pPr>
        <w:ind w:firstLine="480"/>
      </w:pPr>
      <w:r>
        <w:rPr>
          <w:rFonts w:hint="eastAsia"/>
        </w:rPr>
        <w:t>1、</w:t>
      </w:r>
      <w:r>
        <w:t>严格遵守党和国家有关法律法规及交通部的有关规定。</w:t>
      </w:r>
    </w:p>
    <w:p w14:paraId="3173D038">
      <w:pPr>
        <w:ind w:firstLine="480"/>
      </w:pPr>
      <w:r>
        <w:rPr>
          <w:rFonts w:hint="eastAsia"/>
        </w:rPr>
        <w:t>2、</w:t>
      </w:r>
      <w:r>
        <w:t>严格执行《</w:t>
      </w:r>
      <w:r>
        <w:rPr>
          <w:rFonts w:hint="eastAsia" w:ascii="宋体" w:hAnsi="宋体" w:cs="宋体"/>
          <w:b/>
          <w:u w:val="single"/>
          <w:lang w:eastAsia="zh-CN"/>
        </w:rPr>
        <w:t>富金坝航电枢纽桥梁缺陷整治施工项目</w:t>
      </w:r>
      <w:r>
        <w:rPr>
          <w:rFonts w:hint="eastAsia"/>
          <w:b/>
          <w:bCs/>
        </w:rPr>
        <w:t>劳务分包</w:t>
      </w:r>
      <w:r>
        <w:rPr>
          <w:b/>
          <w:bCs/>
        </w:rPr>
        <w:t>合同</w:t>
      </w:r>
      <w:r>
        <w:t>》的相关条款，自觉按合同办事。</w:t>
      </w:r>
    </w:p>
    <w:p w14:paraId="43715E6C">
      <w:pPr>
        <w:ind w:firstLine="480"/>
      </w:pPr>
      <w:r>
        <w:rPr>
          <w:rFonts w:hint="eastAsia"/>
        </w:rPr>
        <w:t>3、</w:t>
      </w:r>
      <w:r>
        <w:t>双方的业务活动坚持公开、公正、诚信、透明的原则（除法律认定的商业秘密和合同文件另有规定之外），不得损害国家和集体利益，违反工程建设管理规章制度。</w:t>
      </w:r>
    </w:p>
    <w:p w14:paraId="2902C36A">
      <w:pPr>
        <w:ind w:firstLine="480"/>
      </w:pPr>
      <w:r>
        <w:rPr>
          <w:rFonts w:hint="eastAsia"/>
        </w:rPr>
        <w:t>4、</w:t>
      </w:r>
      <w:r>
        <w:t>建立健全廉政制度，开展廉政教育，设立廉政告示牌，公布举报电话，监督并认真查处违法违纪行为。</w:t>
      </w:r>
    </w:p>
    <w:p w14:paraId="09397069">
      <w:pPr>
        <w:ind w:firstLine="480"/>
      </w:pPr>
      <w:r>
        <w:rPr>
          <w:rFonts w:hint="eastAsia"/>
        </w:rPr>
        <w:t>5、</w:t>
      </w:r>
      <w:r>
        <w:t>发现对方在业务活动中有违反廉政规定的行为，有及时提醒对方纠正的权利和义务。</w:t>
      </w:r>
    </w:p>
    <w:p w14:paraId="57787836">
      <w:pPr>
        <w:ind w:firstLine="480"/>
      </w:pPr>
      <w:r>
        <w:rPr>
          <w:rFonts w:hint="eastAsia"/>
        </w:rPr>
        <w:t>6、</w:t>
      </w:r>
      <w:r>
        <w:t>发现对方严重违反本合同义务条款的行为，有向其上级有关部门举报、建议给予处理并要求告知处理结果的权利。</w:t>
      </w:r>
    </w:p>
    <w:p w14:paraId="17E77C87">
      <w:pPr>
        <w:ind w:firstLine="0" w:firstLineChars="0"/>
        <w:rPr>
          <w:b/>
          <w:bCs/>
        </w:rPr>
      </w:pPr>
      <w:r>
        <w:rPr>
          <w:rFonts w:hint="eastAsia"/>
          <w:b/>
          <w:bCs/>
        </w:rPr>
        <w:t xml:space="preserve">第二条  </w:t>
      </w:r>
      <w:r>
        <w:rPr>
          <w:b/>
          <w:bCs/>
        </w:rPr>
        <w:t>甲方的义务</w:t>
      </w:r>
    </w:p>
    <w:p w14:paraId="1A789DF7">
      <w:pPr>
        <w:ind w:firstLine="480"/>
      </w:pPr>
      <w:r>
        <w:rPr>
          <w:rFonts w:hint="eastAsia"/>
        </w:rPr>
        <w:t>1、</w:t>
      </w:r>
      <w:r>
        <w:t>甲方及其工作人员不得索要或接受乙方的礼金、有价证券和贵重物品，不得在乙方报销任何应由甲方或个人支付的费用等。</w:t>
      </w:r>
    </w:p>
    <w:p w14:paraId="0BF4B9D4">
      <w:pPr>
        <w:ind w:firstLine="480"/>
      </w:pPr>
      <w:r>
        <w:rPr>
          <w:rFonts w:hint="eastAsia"/>
        </w:rPr>
        <w:t>2、</w:t>
      </w:r>
      <w:r>
        <w:t>甲方工作人员不得参加乙方安排的超标准宴请或可能对公正执行公务有影响的其他宴请和娱乐活动。不得接受乙方提供的通讯工具、交通工具和高档办公用品等。</w:t>
      </w:r>
    </w:p>
    <w:p w14:paraId="3A6E5B83">
      <w:pPr>
        <w:ind w:firstLine="480"/>
      </w:pPr>
      <w:r>
        <w:rPr>
          <w:rFonts w:hint="eastAsia"/>
        </w:rPr>
        <w:t>3、</w:t>
      </w:r>
      <w:r>
        <w:t>甲方及其工作人员不得要求或者接受乙方为其住房装修、婚丧嫁娶活动、配偶子女的工作安排以及出国出境、旅游等提供方便等。</w:t>
      </w:r>
    </w:p>
    <w:p w14:paraId="59BD2DCB">
      <w:pPr>
        <w:ind w:firstLine="480"/>
      </w:pPr>
      <w:r>
        <w:rPr>
          <w:rFonts w:hint="eastAsia"/>
        </w:rPr>
        <w:t>4、</w:t>
      </w:r>
      <w:r>
        <w:t>甲方工作人员的配偶、子女不得从事与甲方工程有关的材料设备供应、工程分包、劳务等经济活动等。</w:t>
      </w:r>
    </w:p>
    <w:p w14:paraId="370D1076">
      <w:pPr>
        <w:ind w:firstLine="480"/>
      </w:pPr>
      <w:r>
        <w:rPr>
          <w:rFonts w:hint="eastAsia"/>
        </w:rPr>
        <w:t>5、</w:t>
      </w:r>
      <w:r>
        <w:t>甲方及其工作人员不得以任何理由向乙方推荐分包单位，不得要求乙方购买合同规定外的材料和设备。</w:t>
      </w:r>
    </w:p>
    <w:p w14:paraId="474D87B7">
      <w:pPr>
        <w:ind w:firstLine="0" w:firstLineChars="0"/>
        <w:rPr>
          <w:b/>
          <w:bCs/>
        </w:rPr>
      </w:pPr>
      <w:r>
        <w:rPr>
          <w:rFonts w:hint="eastAsia"/>
          <w:b/>
          <w:bCs/>
        </w:rPr>
        <w:t xml:space="preserve">第三条  </w:t>
      </w:r>
      <w:r>
        <w:rPr>
          <w:b/>
          <w:bCs/>
        </w:rPr>
        <w:t>乙方义务</w:t>
      </w:r>
    </w:p>
    <w:p w14:paraId="67C6655B">
      <w:pPr>
        <w:ind w:firstLine="480"/>
      </w:pPr>
      <w:r>
        <w:rPr>
          <w:rFonts w:hint="eastAsia"/>
        </w:rPr>
        <w:t>1、</w:t>
      </w:r>
      <w:r>
        <w:t>乙方不得以任何理由向甲方及其工作人员行贿或馈赠礼金、有价证券、贵重礼品。</w:t>
      </w:r>
    </w:p>
    <w:p w14:paraId="160A3460">
      <w:pPr>
        <w:ind w:firstLine="480"/>
      </w:pPr>
      <w:r>
        <w:rPr>
          <w:rFonts w:hint="eastAsia"/>
        </w:rPr>
        <w:t>2、</w:t>
      </w:r>
      <w:r>
        <w:t>乙方不得以任何名义为甲方及其工作从员报销应由甲方单位或个人支付的任何费用。</w:t>
      </w:r>
    </w:p>
    <w:p w14:paraId="3B99CFDA">
      <w:pPr>
        <w:ind w:firstLine="480"/>
      </w:pPr>
      <w:r>
        <w:rPr>
          <w:rFonts w:hint="eastAsia"/>
        </w:rPr>
        <w:t>3、</w:t>
      </w:r>
      <w:r>
        <w:t>乙方不得以任何理由邀请甲方工作人员外出旅游或安排甲方工作人员参加超标准宴请及娱乐活动。</w:t>
      </w:r>
    </w:p>
    <w:p w14:paraId="7C7F0506">
      <w:pPr>
        <w:ind w:firstLine="480"/>
      </w:pPr>
      <w:r>
        <w:rPr>
          <w:rFonts w:hint="eastAsia"/>
        </w:rPr>
        <w:t>4、</w:t>
      </w:r>
      <w:r>
        <w:t>乙方不得为甲方单位和个人购置或提供通讯工具、交通工具和高档办公用品等。</w:t>
      </w:r>
    </w:p>
    <w:p w14:paraId="5B5E4A62">
      <w:pPr>
        <w:ind w:firstLine="480"/>
      </w:pPr>
      <w:r>
        <w:rPr>
          <w:rFonts w:hint="eastAsia"/>
        </w:rPr>
        <w:t>5、</w:t>
      </w:r>
      <w:r>
        <w:t>乙方及其工作人员应严格按监理规程办事，不得为谋取私利向监理人员非法行贿，私下串通，损害甲方利益。同时必须对监理单位和工程监理人员履行向甲方承诺的上述其他廉政义务。</w:t>
      </w:r>
    </w:p>
    <w:p w14:paraId="520F51CF">
      <w:pPr>
        <w:ind w:firstLine="480"/>
      </w:pPr>
      <w:r>
        <w:rPr>
          <w:rFonts w:hint="eastAsia"/>
        </w:rPr>
        <w:t>6、</w:t>
      </w:r>
      <w:r>
        <w:t>乙方如果发现甲方工作人员或工程监理人员有违反廉政规定的行为，应向甲方组织或上级单位举报。甲方和工程监理部门均不得找任何借口对乙方进行报复。甲方对举报属实或严格遵守廉政合同的乙方，在同等条件下给予承接后续工程的优先邀请投标权。</w:t>
      </w:r>
    </w:p>
    <w:p w14:paraId="48537C40">
      <w:pPr>
        <w:ind w:firstLine="0" w:firstLineChars="0"/>
        <w:rPr>
          <w:b/>
          <w:bCs/>
        </w:rPr>
      </w:pPr>
      <w:r>
        <w:rPr>
          <w:rFonts w:hint="eastAsia"/>
          <w:b/>
          <w:bCs/>
        </w:rPr>
        <w:t xml:space="preserve">第四条  </w:t>
      </w:r>
      <w:r>
        <w:rPr>
          <w:b/>
          <w:bCs/>
        </w:rPr>
        <w:t>违约责任</w:t>
      </w:r>
    </w:p>
    <w:p w14:paraId="217A7A17">
      <w:pPr>
        <w:ind w:firstLine="480"/>
      </w:pPr>
      <w:r>
        <w:rPr>
          <w:rFonts w:hint="eastAsia"/>
        </w:rPr>
        <w:t>1、</w:t>
      </w:r>
      <w:r>
        <w:t>甲方及其工作人员违反本合同第一、二条，按管理权限，依据有关规定给予党纪、政纪或组织处理；涉嫌犯罪的，移交司法机关追究刑事责任感；给乙方单位造成经济损失的，应予以赔偿。</w:t>
      </w:r>
    </w:p>
    <w:p w14:paraId="080029F3">
      <w:pPr>
        <w:ind w:firstLine="480"/>
      </w:pPr>
      <w:r>
        <w:rPr>
          <w:rFonts w:hint="eastAsia"/>
        </w:rPr>
        <w:t>2、</w:t>
      </w:r>
      <w:r>
        <w:t>乙方及其工作人员违反本合同第一、三条，按管理权限，依据有关规定，给予党纪、政纪或组织处理；给甲方单位造成经济损失的，应予以赔偿；情节严重的，甲方建议交通工程建设主管部门给予乙方二至五年内不得进入其主管的交通工程市场的处罚。</w:t>
      </w:r>
    </w:p>
    <w:p w14:paraId="638F7341">
      <w:pPr>
        <w:ind w:firstLine="0" w:firstLineChars="0"/>
        <w:rPr>
          <w:b/>
          <w:bCs/>
        </w:rPr>
      </w:pPr>
      <w:r>
        <w:rPr>
          <w:rFonts w:hint="eastAsia"/>
          <w:b/>
          <w:bCs/>
        </w:rPr>
        <w:t xml:space="preserve">第五条  </w:t>
      </w:r>
      <w:r>
        <w:rPr>
          <w:b/>
          <w:bCs/>
        </w:rPr>
        <w:t>双方约定</w:t>
      </w:r>
    </w:p>
    <w:p w14:paraId="73383417">
      <w:pPr>
        <w:ind w:firstLine="480"/>
      </w:pPr>
      <w:r>
        <w:t>本合同由双方或双方上级单位的纪检监察部门负责监督执行。</w:t>
      </w:r>
    </w:p>
    <w:p w14:paraId="440CB660">
      <w:pPr>
        <w:ind w:firstLine="0" w:firstLineChars="0"/>
      </w:pPr>
      <w:r>
        <w:rPr>
          <w:rFonts w:hint="eastAsia"/>
          <w:b/>
          <w:bCs/>
        </w:rPr>
        <w:t xml:space="preserve">第六条  </w:t>
      </w:r>
      <w:r>
        <w:t>本合同作为《</w:t>
      </w:r>
      <w:r>
        <w:rPr>
          <w:rFonts w:hint="eastAsia" w:ascii="宋体" w:hAnsi="宋体" w:cs="宋体"/>
          <w:b/>
          <w:u w:val="single"/>
          <w:lang w:eastAsia="zh-CN"/>
        </w:rPr>
        <w:t>富金坝航电枢纽桥梁缺陷整治施工项目</w:t>
      </w:r>
      <w:r>
        <w:rPr>
          <w:rFonts w:hint="eastAsia"/>
          <w:b/>
          <w:bCs/>
        </w:rPr>
        <w:t>劳务分包</w:t>
      </w:r>
      <w:r>
        <w:rPr>
          <w:b/>
          <w:bCs/>
        </w:rPr>
        <w:t>合同</w:t>
      </w:r>
      <w:r>
        <w:t>》的附件，具有同等的法律效力，经合同双方签署立即生效。</w:t>
      </w:r>
    </w:p>
    <w:p w14:paraId="5D657391">
      <w:pPr>
        <w:ind w:firstLine="0" w:firstLineChars="0"/>
      </w:pPr>
      <w:r>
        <w:rPr>
          <w:rFonts w:hint="eastAsia"/>
          <w:b/>
          <w:bCs/>
        </w:rPr>
        <w:t>第七条</w:t>
      </w:r>
      <w:r>
        <w:rPr>
          <w:rFonts w:hint="eastAsia"/>
        </w:rPr>
        <w:t xml:space="preserve">  </w:t>
      </w:r>
      <w:r>
        <w:t>本合同一式</w:t>
      </w:r>
      <w:r>
        <w:rPr>
          <w:rFonts w:hint="eastAsia"/>
          <w:b/>
          <w:bCs/>
          <w:u w:val="single"/>
        </w:rPr>
        <w:t xml:space="preserve"> </w:t>
      </w:r>
      <w:r>
        <w:rPr>
          <w:b/>
          <w:bCs/>
          <w:u w:val="single"/>
        </w:rPr>
        <w:t>陆</w:t>
      </w:r>
      <w:r>
        <w:rPr>
          <w:rFonts w:hint="eastAsia"/>
          <w:b/>
          <w:bCs/>
          <w:u w:val="single"/>
        </w:rPr>
        <w:t xml:space="preserve"> </w:t>
      </w:r>
      <w:r>
        <w:t>份，甲方执</w:t>
      </w:r>
      <w:r>
        <w:rPr>
          <w:rFonts w:hint="eastAsia"/>
          <w:b/>
          <w:bCs/>
          <w:u w:val="single"/>
        </w:rPr>
        <w:t xml:space="preserve"> </w:t>
      </w:r>
      <w:r>
        <w:rPr>
          <w:b/>
          <w:bCs/>
          <w:u w:val="single"/>
        </w:rPr>
        <w:t>肆</w:t>
      </w:r>
      <w:r>
        <w:rPr>
          <w:rFonts w:hint="eastAsia"/>
          <w:b/>
          <w:bCs/>
          <w:u w:val="single"/>
        </w:rPr>
        <w:t xml:space="preserve"> </w:t>
      </w:r>
      <w:r>
        <w:t>份，乙方执</w:t>
      </w:r>
      <w:r>
        <w:rPr>
          <w:rFonts w:hint="eastAsia"/>
          <w:b/>
          <w:bCs/>
          <w:u w:val="single"/>
        </w:rPr>
        <w:t xml:space="preserve"> </w:t>
      </w:r>
      <w:r>
        <w:rPr>
          <w:b/>
          <w:bCs/>
          <w:u w:val="single"/>
        </w:rPr>
        <w:t>贰</w:t>
      </w:r>
      <w:r>
        <w:rPr>
          <w:rFonts w:hint="eastAsia"/>
          <w:b/>
          <w:bCs/>
          <w:u w:val="single"/>
        </w:rPr>
        <w:t xml:space="preserve"> </w:t>
      </w:r>
      <w:r>
        <w:t>份；具有同等法律效力；自双方签字并盖章后生效，甲乙双方履行合同全部义务、结算价款支付完毕后，本合同即告终止。</w:t>
      </w:r>
    </w:p>
    <w:p w14:paraId="2BC99E20">
      <w:pPr>
        <w:ind w:firstLine="480"/>
      </w:pPr>
    </w:p>
    <w:p w14:paraId="247C9D7B">
      <w:pPr>
        <w:ind w:firstLine="480"/>
      </w:pPr>
    </w:p>
    <w:p w14:paraId="5426A87E">
      <w:pPr>
        <w:ind w:firstLine="480"/>
      </w:pPr>
    </w:p>
    <w:p w14:paraId="02337170">
      <w:pPr>
        <w:ind w:firstLine="480"/>
      </w:pPr>
    </w:p>
    <w:p w14:paraId="698A2184">
      <w:pPr>
        <w:ind w:firstLine="480"/>
      </w:pPr>
    </w:p>
    <w:p w14:paraId="3155997D">
      <w:pPr>
        <w:ind w:firstLine="480"/>
      </w:pPr>
    </w:p>
    <w:p w14:paraId="634BEFB5">
      <w:pPr>
        <w:ind w:firstLine="480"/>
      </w:pPr>
      <w:r>
        <w:t>甲方：（盖章）</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t>乙方：（盖章）</w:t>
      </w:r>
    </w:p>
    <w:p w14:paraId="41B93957">
      <w:pPr>
        <w:ind w:firstLine="482"/>
        <w:rPr>
          <w:b/>
          <w:bCs/>
        </w:rPr>
      </w:pPr>
      <w:r>
        <w:rPr>
          <w:rFonts w:hint="eastAsia"/>
          <w:b/>
          <w:bCs/>
        </w:rPr>
        <w:t>重庆公路养护工程（集团）有限公司</w:t>
      </w:r>
    </w:p>
    <w:p w14:paraId="595B1BE0">
      <w:pPr>
        <w:ind w:firstLine="480"/>
      </w:pPr>
    </w:p>
    <w:p w14:paraId="07EA0820">
      <w:pPr>
        <w:ind w:firstLine="480"/>
      </w:pPr>
      <w:r>
        <w:t>法定代表人</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t>法定代表人</w:t>
      </w:r>
    </w:p>
    <w:p w14:paraId="4D6FDC75">
      <w:pPr>
        <w:ind w:firstLine="480"/>
      </w:pPr>
      <w:r>
        <w:t>或授权代表：</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t>或授权代表：</w:t>
      </w:r>
    </w:p>
    <w:p w14:paraId="76DA5D81">
      <w:pPr>
        <w:ind w:firstLine="480"/>
      </w:pPr>
    </w:p>
    <w:p w14:paraId="06BE68B3">
      <w:pPr>
        <w:ind w:firstLine="480"/>
      </w:pPr>
      <w:r>
        <w:t>经办人：</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t>经办人：</w:t>
      </w:r>
    </w:p>
    <w:p w14:paraId="6AC3DA8A">
      <w:pPr>
        <w:ind w:firstLine="480"/>
      </w:pPr>
    </w:p>
    <w:p w14:paraId="54EB9D03">
      <w:pPr>
        <w:ind w:firstLine="480"/>
      </w:pPr>
      <w:r>
        <w:t>日期：</w:t>
      </w:r>
      <w:r>
        <w:rPr>
          <w:rFonts w:hint="eastAsia"/>
          <w:b/>
          <w:bCs/>
          <w:u w:val="single"/>
        </w:rPr>
        <w:t xml:space="preserve">    </w:t>
      </w:r>
      <w:r>
        <w:t>年</w:t>
      </w:r>
      <w:r>
        <w:rPr>
          <w:rFonts w:hint="eastAsia"/>
          <w:b/>
          <w:bCs/>
          <w:u w:val="single"/>
        </w:rPr>
        <w:t xml:space="preserve">   </w:t>
      </w:r>
      <w:r>
        <w:t>月</w:t>
      </w:r>
      <w:r>
        <w:rPr>
          <w:rFonts w:hint="eastAsia"/>
          <w:b/>
          <w:bCs/>
          <w:u w:val="single"/>
        </w:rPr>
        <w:t xml:space="preserve">   </w:t>
      </w:r>
      <w:r>
        <w:t>日</w:t>
      </w:r>
      <w:r>
        <w:rPr>
          <w:rFonts w:hint="eastAsia"/>
        </w:rPr>
        <w:tab/>
      </w:r>
      <w:r>
        <w:rPr>
          <w:rFonts w:hint="eastAsia"/>
        </w:rPr>
        <w:tab/>
      </w:r>
      <w:r>
        <w:rPr>
          <w:rFonts w:hint="eastAsia"/>
        </w:rPr>
        <w:tab/>
      </w:r>
      <w:r>
        <w:rPr>
          <w:rFonts w:hint="eastAsia"/>
        </w:rPr>
        <w:tab/>
      </w:r>
      <w:r>
        <w:rPr>
          <w:rFonts w:hint="eastAsia"/>
        </w:rPr>
        <w:tab/>
      </w:r>
      <w:r>
        <w:rPr>
          <w:rFonts w:hint="eastAsia"/>
        </w:rPr>
        <w:tab/>
      </w:r>
      <w:r>
        <w:t>日期：</w:t>
      </w:r>
      <w:r>
        <w:rPr>
          <w:rFonts w:hint="eastAsia"/>
          <w:b/>
          <w:bCs/>
          <w:u w:val="single"/>
        </w:rPr>
        <w:t xml:space="preserve">    </w:t>
      </w:r>
      <w:r>
        <w:t>年</w:t>
      </w:r>
      <w:r>
        <w:rPr>
          <w:rFonts w:hint="eastAsia"/>
          <w:b/>
          <w:bCs/>
          <w:u w:val="single"/>
        </w:rPr>
        <w:t xml:space="preserve">   </w:t>
      </w:r>
      <w:r>
        <w:t>月</w:t>
      </w:r>
      <w:r>
        <w:rPr>
          <w:rFonts w:hint="eastAsia"/>
          <w:b/>
          <w:bCs/>
          <w:u w:val="single"/>
        </w:rPr>
        <w:t xml:space="preserve">   </w:t>
      </w:r>
      <w:r>
        <w:t>日</w:t>
      </w:r>
    </w:p>
    <w:p w14:paraId="0F20F6FA">
      <w:pPr>
        <w:ind w:firstLine="0" w:firstLineChars="0"/>
        <w:sectPr>
          <w:pgSz w:w="11906" w:h="16838"/>
          <w:pgMar w:top="1134" w:right="1134" w:bottom="1134" w:left="1134" w:header="794" w:footer="782" w:gutter="0"/>
          <w:cols w:space="425" w:num="1"/>
          <w:docGrid w:type="lines" w:linePitch="312" w:charSpace="0"/>
        </w:sectPr>
      </w:pPr>
    </w:p>
    <w:p w14:paraId="571D12CC">
      <w:pPr>
        <w:pStyle w:val="2"/>
        <w:spacing w:before="312" w:after="312"/>
      </w:pPr>
      <w:r>
        <w:rPr>
          <w:rFonts w:hint="eastAsia"/>
        </w:rPr>
        <w:t>重庆公路养护工程（集团）有限公司</w:t>
      </w:r>
    </w:p>
    <w:p w14:paraId="0B882623">
      <w:pPr>
        <w:pStyle w:val="2"/>
        <w:spacing w:before="312" w:after="312"/>
      </w:pPr>
      <w:r>
        <w:rPr>
          <w:rFonts w:hint="eastAsia" w:ascii="宋体" w:hAnsi="宋体" w:cs="宋体"/>
          <w:szCs w:val="32"/>
          <w:u w:val="single"/>
          <w:lang w:eastAsia="zh-CN"/>
        </w:rPr>
        <w:t>富金坝航电枢纽桥梁缺陷整治施工项目</w:t>
      </w:r>
      <w:r>
        <w:rPr>
          <w:rFonts w:hint="eastAsia"/>
        </w:rPr>
        <w:t>劳务分包</w:t>
      </w:r>
      <w:r>
        <w:t>之</w:t>
      </w:r>
      <w:r>
        <w:rPr>
          <w:rFonts w:hint="eastAsia"/>
        </w:rPr>
        <w:t>环境保护</w:t>
      </w:r>
      <w:r>
        <w:t>合同</w:t>
      </w:r>
    </w:p>
    <w:p w14:paraId="74AE1CB6">
      <w:pPr>
        <w:ind w:firstLine="482"/>
        <w:rPr>
          <w:u w:val="single"/>
        </w:rPr>
      </w:pPr>
      <w:r>
        <w:rPr>
          <w:b/>
          <w:bCs/>
        </w:rPr>
        <w:t>甲方：</w:t>
      </w:r>
      <w:r>
        <w:rPr>
          <w:rFonts w:hint="eastAsia"/>
          <w:b/>
          <w:bCs/>
          <w:u w:val="single"/>
        </w:rPr>
        <w:t xml:space="preserve"> 重庆公路养护工程（集团）有限公司 </w:t>
      </w:r>
    </w:p>
    <w:p w14:paraId="17854CE1">
      <w:pPr>
        <w:ind w:firstLine="480"/>
      </w:pPr>
    </w:p>
    <w:p w14:paraId="4C8263A2">
      <w:pPr>
        <w:ind w:firstLine="482"/>
        <w:rPr>
          <w:b/>
          <w:bCs/>
          <w:u w:val="single"/>
        </w:rPr>
      </w:pPr>
      <w:r>
        <w:rPr>
          <w:b/>
          <w:bCs/>
        </w:rPr>
        <w:t>乙方：</w:t>
      </w:r>
      <w:r>
        <w:rPr>
          <w:rFonts w:hint="eastAsia"/>
          <w:b/>
          <w:bCs/>
          <w:u w:val="single"/>
        </w:rPr>
        <w:t xml:space="preserve">                                  </w:t>
      </w:r>
    </w:p>
    <w:p w14:paraId="40983167">
      <w:pPr>
        <w:ind w:firstLine="480"/>
      </w:pPr>
      <w:r>
        <w:t>为在</w:t>
      </w:r>
      <w:r>
        <w:rPr>
          <w:rFonts w:hint="eastAsia" w:ascii="宋体" w:hAnsi="宋体" w:cs="宋体"/>
          <w:b/>
          <w:u w:val="single"/>
          <w:lang w:eastAsia="zh-CN"/>
        </w:rPr>
        <w:t>富金坝航电枢纽桥梁缺陷整治施工项目</w:t>
      </w:r>
      <w:r>
        <w:t>施工实施过程中创造良好的施工环境，切实搞好本项目的环境保护工作，甲乙双方本着平等、自愿、公平的原则，经协商一致，签订以下环境保护合同</w:t>
      </w:r>
      <w:r>
        <w:rPr>
          <w:rFonts w:hint="eastAsia"/>
        </w:rPr>
        <w:t>：</w:t>
      </w:r>
    </w:p>
    <w:p w14:paraId="55738586">
      <w:pPr>
        <w:ind w:firstLine="0" w:firstLineChars="0"/>
        <w:rPr>
          <w:b/>
          <w:bCs/>
        </w:rPr>
      </w:pPr>
      <w:r>
        <w:rPr>
          <w:rFonts w:hint="eastAsia"/>
          <w:b/>
          <w:bCs/>
        </w:rPr>
        <w:t xml:space="preserve">第一条  </w:t>
      </w:r>
      <w:r>
        <w:rPr>
          <w:b/>
          <w:bCs/>
        </w:rPr>
        <w:t>双方的义务</w:t>
      </w:r>
    </w:p>
    <w:p w14:paraId="2A06B787">
      <w:pPr>
        <w:ind w:firstLine="480"/>
      </w:pPr>
      <w:r>
        <w:rPr>
          <w:rFonts w:hint="eastAsia"/>
        </w:rPr>
        <w:t>1、</w:t>
      </w:r>
      <w:r>
        <w:t>严格遵守国家有关环境保护的法律法规和规章制度，包括但不限于《中华人民共和国环境保护法》、《中华人民共和国环境影响评价法》、《建设项目环境保护管理条例》、《交通行业环境保护管理规定》、《重庆市环境保护条例》等，认真执行工程承包合同中的有关环境保护要求。</w:t>
      </w:r>
    </w:p>
    <w:p w14:paraId="6D3F2F69">
      <w:pPr>
        <w:ind w:firstLine="480"/>
      </w:pPr>
      <w:r>
        <w:rPr>
          <w:rFonts w:hint="eastAsia"/>
        </w:rPr>
        <w:t>2、</w:t>
      </w:r>
      <w:r>
        <w:t>环境保护工作坚持</w:t>
      </w:r>
      <w:r>
        <w:rPr>
          <w:rFonts w:hint="eastAsia"/>
        </w:rPr>
        <w:t>“</w:t>
      </w:r>
      <w:r>
        <w:t>预防为主、防治结合、综合治理、谁污染谁治理</w:t>
      </w:r>
      <w:r>
        <w:rPr>
          <w:rFonts w:hint="eastAsia"/>
        </w:rPr>
        <w:t>”</w:t>
      </w:r>
      <w:r>
        <w:t>的原则。</w:t>
      </w:r>
    </w:p>
    <w:p w14:paraId="46E302CF">
      <w:pPr>
        <w:ind w:firstLine="0" w:firstLineChars="0"/>
        <w:rPr>
          <w:b/>
          <w:bCs/>
        </w:rPr>
      </w:pPr>
      <w:r>
        <w:rPr>
          <w:rFonts w:hint="eastAsia"/>
          <w:b/>
          <w:bCs/>
        </w:rPr>
        <w:t xml:space="preserve">第二条  </w:t>
      </w:r>
      <w:r>
        <w:rPr>
          <w:b/>
          <w:bCs/>
        </w:rPr>
        <w:t>甲方的权利</w:t>
      </w:r>
    </w:p>
    <w:p w14:paraId="78ABECC4">
      <w:pPr>
        <w:ind w:firstLine="480"/>
      </w:pPr>
      <w:r>
        <w:rPr>
          <w:rFonts w:hint="eastAsia"/>
        </w:rPr>
        <w:t>1、</w:t>
      </w:r>
      <w:r>
        <w:t>有权要求乙方针对工程项目施工作业的具体情况制定环保措施方案，并进行审查和备案。</w:t>
      </w:r>
    </w:p>
    <w:p w14:paraId="64C38D0A">
      <w:pPr>
        <w:ind w:firstLine="480"/>
      </w:pPr>
      <w:r>
        <w:rPr>
          <w:rFonts w:hint="eastAsia"/>
        </w:rPr>
        <w:t>2、</w:t>
      </w:r>
      <w:r>
        <w:t>有权组织对乙方的施工现场进行环保工作检查，督促乙方及时处理发现的各种环境污染问题。</w:t>
      </w:r>
    </w:p>
    <w:p w14:paraId="48D018C2">
      <w:pPr>
        <w:ind w:firstLine="480"/>
      </w:pPr>
      <w:r>
        <w:rPr>
          <w:rFonts w:hint="eastAsia"/>
        </w:rPr>
        <w:t>3、</w:t>
      </w:r>
      <w:r>
        <w:t>发生环境污染事故后，有权根据相关法律法规和规章制度的规定组织或参与事故的调查。</w:t>
      </w:r>
    </w:p>
    <w:p w14:paraId="0E4FD8C2">
      <w:pPr>
        <w:ind w:firstLine="0" w:firstLineChars="0"/>
        <w:rPr>
          <w:b/>
          <w:bCs/>
        </w:rPr>
      </w:pPr>
      <w:r>
        <w:rPr>
          <w:rFonts w:hint="eastAsia"/>
          <w:b/>
          <w:bCs/>
        </w:rPr>
        <w:t xml:space="preserve">第三条  </w:t>
      </w:r>
      <w:r>
        <w:rPr>
          <w:b/>
          <w:bCs/>
        </w:rPr>
        <w:t>乙方的义务</w:t>
      </w:r>
    </w:p>
    <w:p w14:paraId="00A576AB">
      <w:pPr>
        <w:ind w:firstLine="480"/>
      </w:pPr>
      <w:r>
        <w:rPr>
          <w:rFonts w:hint="eastAsia"/>
        </w:rPr>
        <w:t>1、</w:t>
      </w:r>
      <w:r>
        <w:t>根据工程项目施工作业的需要，乙方应当编制环保措施方案，并报经甲方审查和备案。</w:t>
      </w:r>
    </w:p>
    <w:p w14:paraId="7B6B8F5A">
      <w:pPr>
        <w:ind w:firstLine="480"/>
      </w:pPr>
      <w:r>
        <w:rPr>
          <w:rFonts w:hint="eastAsia"/>
        </w:rPr>
        <w:t>2、</w:t>
      </w:r>
      <w:r>
        <w:t>加强施工过程中的扬尘与噪声管控，推行公路施工、养护作业机械尾气处理，尤其在靠近城区、居民区等环境敏感区域施工，应高度重视并加强环境保护措施，降低施工对环境的影响。</w:t>
      </w:r>
    </w:p>
    <w:p w14:paraId="792C0F4C">
      <w:pPr>
        <w:ind w:firstLine="480"/>
      </w:pPr>
      <w:r>
        <w:rPr>
          <w:rFonts w:hint="eastAsia"/>
        </w:rPr>
        <w:t>3、</w:t>
      </w:r>
      <w:r>
        <w:t>在施工过程中采取有效措施加强施工现场周边水源及土壤的环境保护，不得随意倾倒施工垃圾，杜绝施工造成环境污染。</w:t>
      </w:r>
    </w:p>
    <w:p w14:paraId="2C4BBBED">
      <w:pPr>
        <w:ind w:firstLine="480"/>
      </w:pPr>
      <w:r>
        <w:rPr>
          <w:rFonts w:hint="eastAsia"/>
        </w:rPr>
        <w:t>4、</w:t>
      </w:r>
      <w:r>
        <w:t>施工车辆在运输及装卸过程中，必须采取封闭措施，避免材料、渣土</w:t>
      </w:r>
      <w:r>
        <w:rPr>
          <w:rFonts w:hint="eastAsia"/>
        </w:rPr>
        <w:t>“</w:t>
      </w:r>
      <w:r>
        <w:t>抛、洒、滴、漏</w:t>
      </w:r>
      <w:r>
        <w:rPr>
          <w:rFonts w:hint="eastAsia"/>
        </w:rPr>
        <w:t>”</w:t>
      </w:r>
      <w:r>
        <w:t>影响污染环境。</w:t>
      </w:r>
    </w:p>
    <w:p w14:paraId="062A667D">
      <w:pPr>
        <w:ind w:firstLine="480"/>
      </w:pPr>
      <w:r>
        <w:rPr>
          <w:rFonts w:hint="eastAsia"/>
        </w:rPr>
        <w:t>5、</w:t>
      </w:r>
      <w:r>
        <w:t>施工机械在路面</w:t>
      </w:r>
      <w:r>
        <w:rPr>
          <w:rFonts w:hint="eastAsia"/>
        </w:rPr>
        <w:t>清除</w:t>
      </w:r>
      <w:r>
        <w:t>等作业时，必须采取喷洒水雾等措施，防止扬尘。</w:t>
      </w:r>
    </w:p>
    <w:p w14:paraId="5A02188E">
      <w:pPr>
        <w:ind w:firstLine="480"/>
      </w:pPr>
      <w:r>
        <w:rPr>
          <w:rFonts w:hint="eastAsia"/>
        </w:rPr>
        <w:t>6、</w:t>
      </w:r>
      <w:r>
        <w:t>施工中应采取相应的降噪措施和合理的作业时间安排，尽量减少对正常工作和生活的影响。</w:t>
      </w:r>
    </w:p>
    <w:p w14:paraId="0BC6F8C5">
      <w:pPr>
        <w:ind w:firstLine="480"/>
      </w:pPr>
      <w:r>
        <w:rPr>
          <w:rFonts w:hint="eastAsia"/>
        </w:rPr>
        <w:t>7、</w:t>
      </w:r>
      <w:r>
        <w:t>施工工地离居民区较近，对超过噪声标准作业，应采取有效的噪声污染防治措施（如：夜间禁止作业、设置临时隔音墙等），并提前告知相关监管部门。</w:t>
      </w:r>
    </w:p>
    <w:p w14:paraId="169F70B8">
      <w:pPr>
        <w:ind w:firstLine="0" w:firstLineChars="0"/>
        <w:rPr>
          <w:b/>
          <w:bCs/>
        </w:rPr>
      </w:pPr>
      <w:r>
        <w:rPr>
          <w:rFonts w:hint="eastAsia"/>
          <w:b/>
          <w:bCs/>
        </w:rPr>
        <w:t xml:space="preserve">第四条  </w:t>
      </w:r>
      <w:r>
        <w:rPr>
          <w:b/>
          <w:bCs/>
        </w:rPr>
        <w:t>违约责任</w:t>
      </w:r>
    </w:p>
    <w:p w14:paraId="17E33FD6">
      <w:pPr>
        <w:ind w:firstLine="480"/>
      </w:pPr>
      <w:r>
        <w:rPr>
          <w:rFonts w:hint="eastAsia"/>
        </w:rPr>
        <w:t>1、</w:t>
      </w:r>
      <w:r>
        <w:t>如因乙方原因造成环境污染事故，由乙方承担由此产生的经济赔偿责任及法律责任，并按合同约定承担合同结算金额</w:t>
      </w:r>
      <w:r>
        <w:rPr>
          <w:rFonts w:hint="eastAsia"/>
          <w:b/>
          <w:bCs/>
          <w:u w:val="single"/>
        </w:rPr>
        <w:t xml:space="preserve"> </w:t>
      </w:r>
      <w:r>
        <w:rPr>
          <w:b/>
          <w:bCs/>
          <w:u w:val="single"/>
        </w:rPr>
        <w:t>5%</w:t>
      </w:r>
      <w:r>
        <w:rPr>
          <w:rFonts w:hint="eastAsia"/>
          <w:b/>
          <w:bCs/>
          <w:u w:val="single"/>
        </w:rPr>
        <w:t xml:space="preserve"> </w:t>
      </w:r>
      <w:r>
        <w:t>的违约金。</w:t>
      </w:r>
    </w:p>
    <w:p w14:paraId="2653B2D4">
      <w:pPr>
        <w:ind w:firstLine="480"/>
      </w:pPr>
      <w:r>
        <w:rPr>
          <w:rFonts w:hint="eastAsia"/>
        </w:rPr>
        <w:t>2、</w:t>
      </w:r>
      <w:r>
        <w:t>若发生环境污染事故，事故的报告、调查和责任确定应当按照相关法律法规和规章制度的规定进行。</w:t>
      </w:r>
    </w:p>
    <w:p w14:paraId="4C03AC5F">
      <w:pPr>
        <w:ind w:firstLine="0" w:firstLineChars="0"/>
        <w:rPr>
          <w:b/>
          <w:bCs/>
        </w:rPr>
      </w:pPr>
      <w:r>
        <w:rPr>
          <w:rFonts w:hint="eastAsia"/>
          <w:b/>
          <w:bCs/>
        </w:rPr>
        <w:t xml:space="preserve">第五条  </w:t>
      </w:r>
      <w:r>
        <w:rPr>
          <w:b/>
          <w:bCs/>
        </w:rPr>
        <w:t>其它约定</w:t>
      </w:r>
    </w:p>
    <w:p w14:paraId="2C6C75CB">
      <w:pPr>
        <w:ind w:firstLine="480"/>
      </w:pPr>
      <w:r>
        <w:rPr>
          <w:rFonts w:hint="eastAsia"/>
        </w:rPr>
        <w:t>1、</w:t>
      </w:r>
      <w:r>
        <w:t>本合同作为《</w:t>
      </w:r>
      <w:r>
        <w:rPr>
          <w:rFonts w:hint="eastAsia" w:ascii="宋体" w:hAnsi="宋体" w:cs="宋体"/>
          <w:b/>
          <w:u w:val="single"/>
          <w:lang w:eastAsia="zh-CN"/>
        </w:rPr>
        <w:t>富金坝航电枢纽桥梁缺陷整治施工项目</w:t>
      </w:r>
      <w:r>
        <w:rPr>
          <w:rFonts w:hint="eastAsia"/>
          <w:b/>
          <w:bCs/>
        </w:rPr>
        <w:t>劳务分包</w:t>
      </w:r>
      <w:r>
        <w:rPr>
          <w:b/>
          <w:bCs/>
        </w:rPr>
        <w:t>合同</w:t>
      </w:r>
      <w:r>
        <w:t>》的附件，具有同等的法律效力。</w:t>
      </w:r>
    </w:p>
    <w:p w14:paraId="69554DFE">
      <w:pPr>
        <w:ind w:firstLine="480"/>
      </w:pPr>
      <w:r>
        <w:rPr>
          <w:rFonts w:hint="eastAsia"/>
        </w:rPr>
        <w:t>2、</w:t>
      </w:r>
      <w:r>
        <w:t>本合同履行过程中发生的任何争议、纠纷，双方应通过友好协商方式解决；协商不成，按照工程承包合同中所约定的争议解决方式解决。</w:t>
      </w:r>
    </w:p>
    <w:p w14:paraId="3ACE8AA3">
      <w:pPr>
        <w:ind w:firstLine="480"/>
      </w:pPr>
      <w:r>
        <w:rPr>
          <w:rFonts w:hint="eastAsia"/>
        </w:rPr>
        <w:t>3、</w:t>
      </w:r>
      <w:r>
        <w:t>本合同一式</w:t>
      </w:r>
      <w:r>
        <w:rPr>
          <w:rFonts w:hint="eastAsia"/>
          <w:u w:val="single"/>
        </w:rPr>
        <w:t xml:space="preserve"> </w:t>
      </w:r>
      <w:r>
        <w:rPr>
          <w:b/>
          <w:bCs/>
          <w:u w:val="single"/>
        </w:rPr>
        <w:t>陆</w:t>
      </w:r>
      <w:r>
        <w:rPr>
          <w:rFonts w:hint="eastAsia"/>
          <w:b/>
          <w:bCs/>
          <w:u w:val="single"/>
        </w:rPr>
        <w:t xml:space="preserve"> </w:t>
      </w:r>
      <w:r>
        <w:t>份，甲方执</w:t>
      </w:r>
      <w:r>
        <w:rPr>
          <w:rFonts w:hint="eastAsia"/>
          <w:b/>
          <w:bCs/>
          <w:u w:val="single"/>
        </w:rPr>
        <w:t xml:space="preserve"> </w:t>
      </w:r>
      <w:r>
        <w:rPr>
          <w:b/>
          <w:bCs/>
          <w:u w:val="single"/>
        </w:rPr>
        <w:t>肆</w:t>
      </w:r>
      <w:r>
        <w:rPr>
          <w:rFonts w:hint="eastAsia"/>
          <w:b/>
          <w:bCs/>
          <w:u w:val="single"/>
        </w:rPr>
        <w:t xml:space="preserve"> </w:t>
      </w:r>
      <w:r>
        <w:t>份，乙方执</w:t>
      </w:r>
      <w:r>
        <w:rPr>
          <w:rFonts w:hint="eastAsia"/>
          <w:b/>
          <w:bCs/>
          <w:u w:val="single"/>
        </w:rPr>
        <w:t xml:space="preserve"> </w:t>
      </w:r>
      <w:r>
        <w:rPr>
          <w:b/>
          <w:bCs/>
          <w:u w:val="single"/>
        </w:rPr>
        <w:t>贰</w:t>
      </w:r>
      <w:r>
        <w:rPr>
          <w:rFonts w:hint="eastAsia"/>
          <w:b/>
          <w:bCs/>
          <w:u w:val="single"/>
        </w:rPr>
        <w:t xml:space="preserve"> </w:t>
      </w:r>
      <w:r>
        <w:t>份。由双方法定代表人或其委托代理人签署并加盖公章后生效，全部工程完工验收后终止。</w:t>
      </w:r>
    </w:p>
    <w:p w14:paraId="0493939D">
      <w:pPr>
        <w:pStyle w:val="5"/>
        <w:numPr>
          <w:ilvl w:val="3"/>
          <w:numId w:val="0"/>
        </w:numPr>
        <w:tabs>
          <w:tab w:val="clear" w:pos="2340"/>
        </w:tabs>
        <w:rPr>
          <w:lang w:eastAsia="zh-CN"/>
        </w:rPr>
      </w:pPr>
    </w:p>
    <w:p w14:paraId="7031BC5B">
      <w:pPr>
        <w:pStyle w:val="11"/>
        <w:ind w:firstLine="480"/>
      </w:pPr>
      <w:r>
        <w:t>甲方：（盖章）</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t>乙方：（盖章）</w:t>
      </w:r>
    </w:p>
    <w:p w14:paraId="73429C04">
      <w:pPr>
        <w:pStyle w:val="11"/>
        <w:ind w:firstLine="482"/>
        <w:rPr>
          <w:b/>
          <w:bCs/>
        </w:rPr>
      </w:pPr>
      <w:r>
        <w:rPr>
          <w:rFonts w:hint="eastAsia"/>
          <w:b/>
          <w:bCs/>
        </w:rPr>
        <w:t>重庆公路养护工程（集团）有限公司</w:t>
      </w:r>
    </w:p>
    <w:p w14:paraId="0096E600">
      <w:pPr>
        <w:pStyle w:val="11"/>
        <w:ind w:firstLine="480"/>
      </w:pPr>
    </w:p>
    <w:p w14:paraId="0F287B85">
      <w:pPr>
        <w:pStyle w:val="11"/>
        <w:ind w:firstLine="480"/>
      </w:pPr>
      <w:r>
        <w:t>法定代表人</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t>法定代表人</w:t>
      </w:r>
    </w:p>
    <w:p w14:paraId="0EAB1E5F">
      <w:pPr>
        <w:pStyle w:val="11"/>
        <w:ind w:firstLine="480"/>
      </w:pPr>
      <w:r>
        <w:t>或授权代表：</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t>或授权代表：</w:t>
      </w:r>
    </w:p>
    <w:p w14:paraId="5FAEB358">
      <w:pPr>
        <w:pStyle w:val="11"/>
        <w:ind w:firstLine="480"/>
      </w:pPr>
    </w:p>
    <w:p w14:paraId="096AC517">
      <w:pPr>
        <w:pStyle w:val="11"/>
        <w:ind w:firstLine="480"/>
      </w:pPr>
      <w:r>
        <w:t>项目负责人：</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t>项目负责人：</w:t>
      </w:r>
    </w:p>
    <w:p w14:paraId="5B599589">
      <w:pPr>
        <w:pStyle w:val="11"/>
        <w:ind w:firstLine="480"/>
      </w:pPr>
    </w:p>
    <w:p w14:paraId="7D52BE30">
      <w:pPr>
        <w:pStyle w:val="11"/>
        <w:ind w:firstLine="480"/>
      </w:pPr>
      <w:r>
        <w:t>经办人：</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t>经办人：</w:t>
      </w:r>
    </w:p>
    <w:p w14:paraId="272F597B">
      <w:pPr>
        <w:pStyle w:val="11"/>
        <w:ind w:firstLine="480"/>
        <w:sectPr>
          <w:pgSz w:w="11906" w:h="16838"/>
          <w:pgMar w:top="1134" w:right="1134" w:bottom="1134" w:left="1134" w:header="794" w:footer="782" w:gutter="0"/>
          <w:cols w:space="425" w:num="1"/>
          <w:docGrid w:type="lines" w:linePitch="312" w:charSpace="0"/>
        </w:sectPr>
      </w:pPr>
      <w:r>
        <w:t>日期：</w:t>
      </w:r>
      <w:r>
        <w:rPr>
          <w:rFonts w:hint="eastAsia"/>
          <w:b/>
          <w:bCs/>
          <w:u w:val="single"/>
        </w:rPr>
        <w:t xml:space="preserve">    </w:t>
      </w:r>
      <w:r>
        <w:t>年</w:t>
      </w:r>
      <w:r>
        <w:rPr>
          <w:b/>
          <w:bCs/>
          <w:u w:val="single"/>
        </w:rPr>
        <w:t xml:space="preserve">   </w:t>
      </w:r>
      <w:r>
        <w:t>月</w:t>
      </w:r>
      <w:r>
        <w:rPr>
          <w:b/>
          <w:bCs/>
          <w:u w:val="single"/>
        </w:rPr>
        <w:t xml:space="preserve">   </w:t>
      </w:r>
      <w:r>
        <w:t>日</w:t>
      </w:r>
      <w:r>
        <w:rPr>
          <w:rFonts w:hint="eastAsia"/>
        </w:rPr>
        <w:tab/>
      </w:r>
      <w:r>
        <w:rPr>
          <w:rFonts w:hint="eastAsia"/>
        </w:rPr>
        <w:tab/>
      </w:r>
      <w:r>
        <w:rPr>
          <w:rFonts w:hint="eastAsia"/>
        </w:rPr>
        <w:tab/>
      </w:r>
      <w:r>
        <w:rPr>
          <w:rFonts w:hint="eastAsia"/>
        </w:rPr>
        <w:tab/>
      </w:r>
      <w:r>
        <w:rPr>
          <w:rFonts w:hint="eastAsia"/>
        </w:rPr>
        <w:tab/>
      </w:r>
      <w:r>
        <w:rPr>
          <w:rFonts w:hint="eastAsia"/>
        </w:rPr>
        <w:tab/>
      </w:r>
      <w:r>
        <w:t>日期：</w:t>
      </w:r>
      <w:r>
        <w:rPr>
          <w:rFonts w:hint="eastAsia"/>
          <w:b/>
          <w:bCs/>
          <w:u w:val="single"/>
        </w:rPr>
        <w:t xml:space="preserve">    </w:t>
      </w:r>
      <w:r>
        <w:t>年</w:t>
      </w:r>
      <w:r>
        <w:rPr>
          <w:b/>
          <w:bCs/>
          <w:u w:val="single"/>
        </w:rPr>
        <w:t xml:space="preserve">   </w:t>
      </w:r>
      <w:r>
        <w:t>月</w:t>
      </w:r>
      <w:r>
        <w:rPr>
          <w:b/>
          <w:bCs/>
          <w:u w:val="single"/>
        </w:rPr>
        <w:t xml:space="preserve">   </w:t>
      </w:r>
      <w:r>
        <w:t>日</w:t>
      </w:r>
    </w:p>
    <w:p w14:paraId="5BAACF9D">
      <w:pPr>
        <w:pStyle w:val="2"/>
        <w:spacing w:before="312" w:after="312"/>
      </w:pPr>
      <w:r>
        <w:t>协作（分包）单位安全生产考核办法</w:t>
      </w:r>
    </w:p>
    <w:p w14:paraId="21AFA130">
      <w:pPr>
        <w:ind w:firstLine="480"/>
      </w:pPr>
      <w:r>
        <w:t>为规范</w:t>
      </w:r>
      <w:r>
        <w:rPr>
          <w:rFonts w:hint="eastAsia"/>
          <w:b/>
          <w:bCs/>
          <w:u w:val="single"/>
        </w:rPr>
        <w:t xml:space="preserve"> 重庆公路养护工程（集团）有限公司 </w:t>
      </w:r>
      <w:r>
        <w:t>协作单位安全生产管理考核工作，进一步强化日常、专项工程协作（分包）单位的安全意识，促进协作（分包）单位提高安全管理水平</w:t>
      </w:r>
      <w:r>
        <w:rPr>
          <w:rFonts w:hint="eastAsia"/>
        </w:rPr>
        <w:t>，</w:t>
      </w:r>
      <w:r>
        <w:t>制定本考核办法。</w:t>
      </w:r>
    </w:p>
    <w:p w14:paraId="65F448E6">
      <w:pPr>
        <w:ind w:firstLine="0" w:firstLineChars="0"/>
        <w:rPr>
          <w:b/>
          <w:bCs/>
        </w:rPr>
      </w:pPr>
      <w:r>
        <w:rPr>
          <w:b/>
          <w:bCs/>
        </w:rPr>
        <w:t>一、适用范围</w:t>
      </w:r>
    </w:p>
    <w:p w14:paraId="1EF4314D">
      <w:pPr>
        <w:ind w:firstLine="480"/>
      </w:pPr>
      <w:r>
        <w:t>本考核办法适用于</w:t>
      </w:r>
      <w:r>
        <w:rPr>
          <w:rFonts w:hint="eastAsia"/>
          <w:b/>
          <w:bCs/>
        </w:rPr>
        <w:t>重庆公路养护工程（集团）有限公司</w:t>
      </w:r>
      <w:r>
        <w:t>对各路段养护协作（分包）单位实施安全生产考核工作</w:t>
      </w:r>
      <w:r>
        <w:rPr>
          <w:rFonts w:hint="eastAsia"/>
        </w:rPr>
        <w:t>。</w:t>
      </w:r>
    </w:p>
    <w:p w14:paraId="627D958D">
      <w:pPr>
        <w:ind w:firstLine="0" w:firstLineChars="0"/>
        <w:rPr>
          <w:b/>
          <w:bCs/>
        </w:rPr>
      </w:pPr>
      <w:r>
        <w:rPr>
          <w:rFonts w:hint="eastAsia"/>
          <w:b/>
          <w:bCs/>
        </w:rPr>
        <w:t>二、</w:t>
      </w:r>
      <w:r>
        <w:rPr>
          <w:b/>
          <w:bCs/>
        </w:rPr>
        <w:t>考核依据</w:t>
      </w:r>
    </w:p>
    <w:p w14:paraId="1D90A105">
      <w:pPr>
        <w:ind w:firstLine="480"/>
      </w:pPr>
      <w:r>
        <w:t>（一）国家和行业现行的有关高速公路养护工程生产安全法律法规、部门规章和规范性文件；</w:t>
      </w:r>
    </w:p>
    <w:p w14:paraId="7A2979B6">
      <w:pPr>
        <w:ind w:firstLine="480"/>
      </w:pPr>
      <w:r>
        <w:t>（二）行业标准、规范、规程、强制性条文；</w:t>
      </w:r>
    </w:p>
    <w:p w14:paraId="338C45CD">
      <w:pPr>
        <w:ind w:firstLine="480"/>
      </w:pPr>
      <w:r>
        <w:t>（三）地方性管理条例、办法；</w:t>
      </w:r>
    </w:p>
    <w:p w14:paraId="209654CE">
      <w:pPr>
        <w:ind w:firstLine="480"/>
      </w:pPr>
      <w:r>
        <w:t>（四）设计文件、合同文件及相关管理办法。</w:t>
      </w:r>
    </w:p>
    <w:p w14:paraId="0D85997D">
      <w:pPr>
        <w:ind w:firstLine="0" w:firstLineChars="0"/>
        <w:rPr>
          <w:b/>
          <w:bCs/>
        </w:rPr>
      </w:pPr>
      <w:r>
        <w:rPr>
          <w:b/>
          <w:bCs/>
        </w:rPr>
        <w:t>三、考核责任部门</w:t>
      </w:r>
    </w:p>
    <w:p w14:paraId="54784A8B">
      <w:pPr>
        <w:ind w:firstLine="480"/>
      </w:pPr>
      <w:r>
        <w:t>业务部门为考核单位，在协作工程合同中必须罗列安全生产考核责任，协作前进行安全教育时向协作（分包）单位出具考核文件并由协作单位签字确认。</w:t>
      </w:r>
    </w:p>
    <w:p w14:paraId="56E67939">
      <w:pPr>
        <w:ind w:firstLine="0" w:firstLineChars="0"/>
        <w:rPr>
          <w:b/>
          <w:bCs/>
        </w:rPr>
      </w:pPr>
      <w:r>
        <w:rPr>
          <w:b/>
          <w:bCs/>
        </w:rPr>
        <w:t>四、考核对象</w:t>
      </w:r>
    </w:p>
    <w:p w14:paraId="7DD56357">
      <w:pPr>
        <w:ind w:firstLine="0" w:firstLineChars="0"/>
      </w:pPr>
      <w:r>
        <w:t>各路段养护维护日常、专项工程协作（分包）单位为考核对象。</w:t>
      </w:r>
    </w:p>
    <w:p w14:paraId="14ECD830">
      <w:pPr>
        <w:ind w:firstLine="0" w:firstLineChars="0"/>
        <w:rPr>
          <w:b/>
          <w:bCs/>
        </w:rPr>
      </w:pPr>
      <w:r>
        <w:rPr>
          <w:b/>
          <w:bCs/>
        </w:rPr>
        <w:t>五、考核工作程序</w:t>
      </w:r>
    </w:p>
    <w:p w14:paraId="2E94A706">
      <w:pPr>
        <w:pStyle w:val="4"/>
        <w:ind w:firstLine="482"/>
      </w:pPr>
      <w:r>
        <w:t>（一）开展安全检查</w:t>
      </w:r>
    </w:p>
    <w:p w14:paraId="34600E23">
      <w:pPr>
        <w:ind w:firstLine="480"/>
      </w:pPr>
      <w:r>
        <w:t>1.安全检查采取查阅资料、查看现场、询问核查、随机抽检等方式进行，是</w:t>
      </w:r>
      <w:r>
        <w:rPr>
          <w:b/>
          <w:bCs/>
        </w:rPr>
        <w:t>公司</w:t>
      </w:r>
      <w:r>
        <w:t>协作（分包）单位的安全生产责任制落实和安全生产管理情况进行检查。</w:t>
      </w:r>
    </w:p>
    <w:p w14:paraId="3926EF9B">
      <w:pPr>
        <w:ind w:firstLine="480"/>
      </w:pPr>
      <w:r>
        <w:t>2.安全检查记录中必须留下必要的影像资料，如实填写检查情况，由检查部门、检查对象签字确认。</w:t>
      </w:r>
    </w:p>
    <w:p w14:paraId="71CAF3F3">
      <w:pPr>
        <w:ind w:firstLine="480"/>
      </w:pPr>
      <w:r>
        <w:t xml:space="preserve">3.安全管理部门可将检查记录复印件送至业务主管部门实施考核。 </w:t>
      </w:r>
    </w:p>
    <w:p w14:paraId="21CE4676">
      <w:pPr>
        <w:pStyle w:val="4"/>
        <w:ind w:firstLine="482"/>
      </w:pPr>
      <w:r>
        <w:t>（二）发布考核通知</w:t>
      </w:r>
    </w:p>
    <w:p w14:paraId="2B2E77A3">
      <w:pPr>
        <w:ind w:firstLine="480"/>
      </w:pPr>
      <w:r>
        <w:t>对检查中发现的协作（分包）单位安全违规行为、安全生产一般问题及隐患按《协作（分包）单位安全生产考核标准》中的规定进行经济处罚，由业务主管单位向协作（分包）单位出具处罚通知书，协作（分包）单位签字确认。</w:t>
      </w:r>
    </w:p>
    <w:p w14:paraId="01363A07">
      <w:pPr>
        <w:pStyle w:val="4"/>
        <w:ind w:firstLine="482"/>
      </w:pPr>
      <w:r>
        <w:t>（三）考核结果反馈</w:t>
      </w:r>
    </w:p>
    <w:p w14:paraId="4633D1AA">
      <w:pPr>
        <w:ind w:firstLine="480"/>
      </w:pPr>
      <w:r>
        <w:t>1.协作（分包）单位在规定时限内将安全违规行为、安全生产一般问题及隐患整改落实情况以书面形式回复业务主管部门</w:t>
      </w:r>
      <w:r>
        <w:rPr>
          <w:rFonts w:hint="eastAsia"/>
        </w:rPr>
        <w:t>。</w:t>
      </w:r>
    </w:p>
    <w:p w14:paraId="03D222F2">
      <w:pPr>
        <w:ind w:firstLine="480"/>
      </w:pPr>
      <w:r>
        <w:t>2.协作（分包）单位根据处罚通知书向公司账户汇入足额罚金，银行回单送至业务主管部门审查。</w:t>
      </w:r>
    </w:p>
    <w:p w14:paraId="3AF427D6">
      <w:pPr>
        <w:ind w:firstLine="0" w:firstLineChars="0"/>
        <w:rPr>
          <w:b/>
          <w:bCs/>
        </w:rPr>
      </w:pPr>
      <w:r>
        <w:rPr>
          <w:b/>
          <w:bCs/>
        </w:rPr>
        <w:t>六、考核工作要求</w:t>
      </w:r>
    </w:p>
    <w:p w14:paraId="38096143">
      <w:pPr>
        <w:ind w:firstLine="480"/>
      </w:pPr>
      <w:r>
        <w:t>（一）协作（分包）单位安全生产考核工作必须坚持</w:t>
      </w:r>
      <w:r>
        <w:rPr>
          <w:rFonts w:hint="eastAsia"/>
        </w:rPr>
        <w:t>“</w:t>
      </w:r>
      <w:r>
        <w:t>严肃、科学、客观、公正</w:t>
      </w:r>
      <w:r>
        <w:rPr>
          <w:rFonts w:hint="eastAsia"/>
        </w:rPr>
        <w:t>”</w:t>
      </w:r>
      <w:r>
        <w:t>的原则，考核人员应自觉遵守各项廉政规定。</w:t>
      </w:r>
    </w:p>
    <w:p w14:paraId="44B1315C">
      <w:pPr>
        <w:ind w:firstLine="480"/>
      </w:pPr>
      <w:r>
        <w:t>（二）协作（分包）单位安全生产考核资料应由专人整理、归档备查。考核资料包括检查记录、处罚通知、整改回复、银行回单以及必要的影像资料等。</w:t>
      </w:r>
    </w:p>
    <w:p w14:paraId="53B22C32">
      <w:pPr>
        <w:pStyle w:val="11"/>
        <w:ind w:firstLine="480"/>
        <w:sectPr>
          <w:pgSz w:w="11906" w:h="16838"/>
          <w:pgMar w:top="1134" w:right="1134" w:bottom="1134" w:left="1134" w:header="794" w:footer="782" w:gutter="0"/>
          <w:cols w:space="425" w:num="1"/>
          <w:docGrid w:type="lines" w:linePitch="312" w:charSpace="0"/>
        </w:sectPr>
      </w:pPr>
    </w:p>
    <w:p w14:paraId="4697C622">
      <w:pPr>
        <w:pStyle w:val="2"/>
        <w:spacing w:before="312" w:after="312"/>
      </w:pPr>
      <w:r>
        <w:t>协作（分包）单位安全生产考核标准</w:t>
      </w:r>
    </w:p>
    <w:p w14:paraId="6BED5735">
      <w:pPr>
        <w:ind w:firstLine="480"/>
      </w:pPr>
      <w:r>
        <w:t>一、协作（分包）单位施工现场未摆放标志标牌，每次处罚</w:t>
      </w:r>
      <w:r>
        <w:rPr>
          <w:b/>
          <w:bCs/>
          <w:u w:val="single"/>
        </w:rPr>
        <w:t xml:space="preserve"> 1000 </w:t>
      </w:r>
      <w:r>
        <w:t>元；</w:t>
      </w:r>
    </w:p>
    <w:p w14:paraId="633ED7CC">
      <w:pPr>
        <w:ind w:firstLine="480"/>
      </w:pPr>
      <w:r>
        <w:t>二、协作（分包）单位施工现场标志标牌、安全防护设施摆放不规范，每次处罚</w:t>
      </w:r>
      <w:r>
        <w:rPr>
          <w:b/>
          <w:bCs/>
          <w:u w:val="single"/>
        </w:rPr>
        <w:t xml:space="preserve"> 500 </w:t>
      </w:r>
      <w:r>
        <w:t>元；</w:t>
      </w:r>
    </w:p>
    <w:p w14:paraId="783B70B9">
      <w:pPr>
        <w:ind w:firstLine="480"/>
      </w:pPr>
      <w:r>
        <w:t>三、协作（分包）单位施工现场未配备安全员，每次处罚</w:t>
      </w:r>
      <w:r>
        <w:rPr>
          <w:b/>
          <w:bCs/>
          <w:u w:val="single"/>
        </w:rPr>
        <w:t xml:space="preserve"> 1000 </w:t>
      </w:r>
      <w:r>
        <w:t>元；</w:t>
      </w:r>
    </w:p>
    <w:p w14:paraId="51864290">
      <w:pPr>
        <w:ind w:firstLine="480"/>
      </w:pPr>
      <w:r>
        <w:t>四、协作（分包）单位施工现场安全员未履行职责，每次处罚</w:t>
      </w:r>
      <w:r>
        <w:rPr>
          <w:b/>
          <w:bCs/>
          <w:u w:val="single"/>
        </w:rPr>
        <w:t xml:space="preserve"> 500 </w:t>
      </w:r>
      <w:r>
        <w:t>元；</w:t>
      </w:r>
    </w:p>
    <w:p w14:paraId="5536D206">
      <w:pPr>
        <w:ind w:firstLine="480"/>
      </w:pPr>
      <w:r>
        <w:t>五、协作（分包）单位施工人员未按要求着工作装、佩戴反光背心、安全头盔，每次处罚</w:t>
      </w:r>
      <w:r>
        <w:rPr>
          <w:b/>
          <w:bCs/>
          <w:u w:val="single"/>
        </w:rPr>
        <w:t xml:space="preserve"> 500 </w:t>
      </w:r>
      <w:r>
        <w:t>元；使用质量不合格防护用品，每次处罚</w:t>
      </w:r>
      <w:r>
        <w:rPr>
          <w:b/>
          <w:bCs/>
          <w:u w:val="single"/>
        </w:rPr>
        <w:t xml:space="preserve"> 1000 </w:t>
      </w:r>
      <w:r>
        <w:t>元；</w:t>
      </w:r>
    </w:p>
    <w:p w14:paraId="33E2A132">
      <w:pPr>
        <w:ind w:firstLine="480"/>
      </w:pPr>
      <w:r>
        <w:t>六、协作（分包）单位施工现场协作车辆停放不规范，每次处罚</w:t>
      </w:r>
      <w:r>
        <w:rPr>
          <w:b/>
          <w:bCs/>
          <w:u w:val="single"/>
        </w:rPr>
        <w:t xml:space="preserve"> 500 </w:t>
      </w:r>
      <w:r>
        <w:t>元；</w:t>
      </w:r>
    </w:p>
    <w:p w14:paraId="2EB334BE">
      <w:pPr>
        <w:ind w:firstLine="480"/>
      </w:pPr>
      <w:r>
        <w:t>七、协作（分包）单位施工人员违反安全操作规程，每人次处罚</w:t>
      </w:r>
      <w:r>
        <w:rPr>
          <w:b/>
          <w:bCs/>
          <w:u w:val="single"/>
        </w:rPr>
        <w:t xml:space="preserve"> 500 </w:t>
      </w:r>
      <w:r>
        <w:t>元；</w:t>
      </w:r>
    </w:p>
    <w:p w14:paraId="46BE607E">
      <w:pPr>
        <w:ind w:firstLine="480"/>
      </w:pPr>
      <w:r>
        <w:t>八、协作（分包）单位占道施工时，未按相关要求通知业主公司监控站，每次处罚</w:t>
      </w:r>
      <w:r>
        <w:rPr>
          <w:b/>
          <w:bCs/>
          <w:u w:val="single"/>
        </w:rPr>
        <w:t xml:space="preserve"> 500 </w:t>
      </w:r>
      <w:r>
        <w:t>元；</w:t>
      </w:r>
    </w:p>
    <w:p w14:paraId="1500D842">
      <w:pPr>
        <w:ind w:firstLine="480"/>
      </w:pPr>
      <w:r>
        <w:t>九、特种作业人员未持证上岗，每人次处罚</w:t>
      </w:r>
      <w:r>
        <w:rPr>
          <w:b/>
          <w:bCs/>
          <w:u w:val="single"/>
        </w:rPr>
        <w:t xml:space="preserve"> 500 </w:t>
      </w:r>
      <w:r>
        <w:t>元；</w:t>
      </w:r>
    </w:p>
    <w:p w14:paraId="5B0099E9">
      <w:pPr>
        <w:ind w:firstLine="480"/>
      </w:pPr>
      <w:r>
        <w:t>十、高空作业无操作平台，无安全防护网，无上下人梯</w:t>
      </w:r>
      <w:r>
        <w:rPr>
          <w:rFonts w:hint="eastAsia"/>
        </w:rPr>
        <w:t>，</w:t>
      </w:r>
      <w:r>
        <w:t>必要时作业面下方未设置安全区域，每项处罚</w:t>
      </w:r>
      <w:r>
        <w:rPr>
          <w:b/>
          <w:bCs/>
          <w:u w:val="single"/>
        </w:rPr>
        <w:t xml:space="preserve"> 1000 </w:t>
      </w:r>
      <w:r>
        <w:t>元；高空作业人员未佩戴安全带、安全帽，每人次处罚</w:t>
      </w:r>
      <w:r>
        <w:rPr>
          <w:b/>
          <w:bCs/>
          <w:u w:val="single"/>
        </w:rPr>
        <w:t xml:space="preserve"> 1000 </w:t>
      </w:r>
      <w:r>
        <w:t>元；</w:t>
      </w:r>
    </w:p>
    <w:p w14:paraId="7F54BAE4">
      <w:pPr>
        <w:ind w:firstLine="480"/>
      </w:pPr>
      <w:r>
        <w:t>十一、协作（分包）单位施工现场作业人员穿拖鞋、赤膊、酒后上岗等，每人次处罚</w:t>
      </w:r>
      <w:r>
        <w:rPr>
          <w:b/>
          <w:bCs/>
          <w:u w:val="single"/>
        </w:rPr>
        <w:t xml:space="preserve"> 500 </w:t>
      </w:r>
      <w:r>
        <w:t>元；</w:t>
      </w:r>
    </w:p>
    <w:p w14:paraId="6B1204FE">
      <w:pPr>
        <w:ind w:firstLine="480"/>
      </w:pPr>
      <w:r>
        <w:t>十</w:t>
      </w:r>
      <w:r>
        <w:rPr>
          <w:rFonts w:hint="eastAsia"/>
        </w:rPr>
        <w:t>二</w:t>
      </w:r>
      <w:r>
        <w:t>、电焊作业人员不按规定佩戴防护用品，每次处罚</w:t>
      </w:r>
      <w:r>
        <w:rPr>
          <w:rFonts w:hint="eastAsia"/>
          <w:b/>
          <w:bCs/>
          <w:u w:val="single"/>
        </w:rPr>
        <w:t xml:space="preserve"> </w:t>
      </w:r>
      <w:r>
        <w:rPr>
          <w:b/>
          <w:bCs/>
          <w:u w:val="single"/>
        </w:rPr>
        <w:t xml:space="preserve">500 </w:t>
      </w:r>
      <w:r>
        <w:t>元；</w:t>
      </w:r>
    </w:p>
    <w:p w14:paraId="1B8FF182">
      <w:pPr>
        <w:ind w:firstLine="480"/>
      </w:pPr>
      <w:r>
        <w:t>十</w:t>
      </w:r>
      <w:r>
        <w:rPr>
          <w:rFonts w:hint="eastAsia"/>
        </w:rPr>
        <w:t>三</w:t>
      </w:r>
      <w:r>
        <w:t>、氧气、乙炔瓶使用、放置不符合安全规定，每处处罚</w:t>
      </w:r>
      <w:r>
        <w:rPr>
          <w:b/>
          <w:bCs/>
          <w:u w:val="single"/>
        </w:rPr>
        <w:t xml:space="preserve"> 1000 </w:t>
      </w:r>
      <w:r>
        <w:t>元；</w:t>
      </w:r>
    </w:p>
    <w:p w14:paraId="2D86371A">
      <w:pPr>
        <w:ind w:firstLine="480"/>
      </w:pPr>
      <w:r>
        <w:t>十</w:t>
      </w:r>
      <w:r>
        <w:rPr>
          <w:rFonts w:hint="eastAsia"/>
        </w:rPr>
        <w:t>四</w:t>
      </w:r>
      <w:r>
        <w:t>、协作（分包）单位施工现场材料、弃料堆放不规范，每次处罚</w:t>
      </w:r>
      <w:r>
        <w:rPr>
          <w:b/>
          <w:bCs/>
          <w:u w:val="single"/>
        </w:rPr>
        <w:t xml:space="preserve"> 500 </w:t>
      </w:r>
      <w:r>
        <w:t>元；</w:t>
      </w:r>
    </w:p>
    <w:p w14:paraId="319D27C3">
      <w:pPr>
        <w:ind w:firstLine="480"/>
      </w:pPr>
      <w:r>
        <w:t>十</w:t>
      </w:r>
      <w:r>
        <w:rPr>
          <w:rFonts w:hint="eastAsia"/>
        </w:rPr>
        <w:t>五</w:t>
      </w:r>
      <w:r>
        <w:t>、协作（分包）单位施工现场临时用电未按</w:t>
      </w:r>
      <w:r>
        <w:rPr>
          <w:rFonts w:hint="eastAsia"/>
        </w:rPr>
        <w:t>“</w:t>
      </w:r>
      <w:r>
        <w:t>一机、一箱、一闸、一漏</w:t>
      </w:r>
      <w:r>
        <w:rPr>
          <w:rFonts w:hint="eastAsia"/>
        </w:rPr>
        <w:t>”</w:t>
      </w:r>
      <w:r>
        <w:t>三级配电二级保护设置，每处处罚</w:t>
      </w:r>
      <w:r>
        <w:rPr>
          <w:b/>
          <w:bCs/>
          <w:u w:val="single"/>
        </w:rPr>
        <w:t xml:space="preserve"> 1000</w:t>
      </w:r>
      <w:r>
        <w:rPr>
          <w:rFonts w:hint="eastAsia"/>
          <w:b/>
          <w:bCs/>
          <w:u w:val="single"/>
        </w:rPr>
        <w:t xml:space="preserve"> </w:t>
      </w:r>
      <w:r>
        <w:t>元；</w:t>
      </w:r>
    </w:p>
    <w:p w14:paraId="0D944F0F">
      <w:pPr>
        <w:ind w:firstLine="480"/>
      </w:pPr>
      <w:r>
        <w:t>十</w:t>
      </w:r>
      <w:r>
        <w:rPr>
          <w:rFonts w:hint="eastAsia"/>
        </w:rPr>
        <w:t>六</w:t>
      </w:r>
      <w:r>
        <w:t>、协作（分包）单位施工人员工前安全教育不到位或无相关资料，每项处罚</w:t>
      </w:r>
      <w:r>
        <w:rPr>
          <w:b/>
          <w:bCs/>
          <w:u w:val="single"/>
        </w:rPr>
        <w:t xml:space="preserve"> 500 </w:t>
      </w:r>
      <w:r>
        <w:t>元；</w:t>
      </w:r>
    </w:p>
    <w:p w14:paraId="02B9509D">
      <w:pPr>
        <w:ind w:firstLine="480"/>
      </w:pPr>
      <w:r>
        <w:t>十</w:t>
      </w:r>
      <w:r>
        <w:rPr>
          <w:rFonts w:hint="eastAsia"/>
        </w:rPr>
        <w:t>七</w:t>
      </w:r>
      <w:r>
        <w:t>、协作（分包）单位每月安全资料不齐全，每项处罚</w:t>
      </w:r>
      <w:r>
        <w:rPr>
          <w:b/>
          <w:bCs/>
          <w:u w:val="single"/>
        </w:rPr>
        <w:t xml:space="preserve"> 500 </w:t>
      </w:r>
      <w:r>
        <w:t>元；</w:t>
      </w:r>
    </w:p>
    <w:p w14:paraId="64A0F41B">
      <w:pPr>
        <w:ind w:firstLine="480"/>
      </w:pPr>
      <w:r>
        <w:t>十</w:t>
      </w:r>
      <w:r>
        <w:rPr>
          <w:rFonts w:hint="eastAsia"/>
        </w:rPr>
        <w:t>八</w:t>
      </w:r>
      <w:r>
        <w:t>、协作（分包）单位养护工区材料堆放不规范，每次处罚</w:t>
      </w:r>
      <w:r>
        <w:rPr>
          <w:b/>
          <w:bCs/>
          <w:u w:val="single"/>
        </w:rPr>
        <w:t xml:space="preserve"> 500 </w:t>
      </w:r>
      <w:r>
        <w:t>元；</w:t>
      </w:r>
    </w:p>
    <w:p w14:paraId="07BC03A8">
      <w:pPr>
        <w:ind w:firstLine="480"/>
      </w:pPr>
      <w:r>
        <w:t>十</w:t>
      </w:r>
      <w:r>
        <w:rPr>
          <w:rFonts w:hint="eastAsia"/>
        </w:rPr>
        <w:t>九</w:t>
      </w:r>
      <w:r>
        <w:t>、协作（分包）单位办公区域消防器材配置不齐全或摆放不规范，每次处罚</w:t>
      </w:r>
      <w:r>
        <w:rPr>
          <w:b/>
          <w:bCs/>
          <w:u w:val="single"/>
        </w:rPr>
        <w:t xml:space="preserve"> 500 </w:t>
      </w:r>
      <w:r>
        <w:t>元；</w:t>
      </w:r>
    </w:p>
    <w:p w14:paraId="10B0E0FC">
      <w:pPr>
        <w:ind w:firstLine="480"/>
      </w:pPr>
      <w:r>
        <w:rPr>
          <w:rFonts w:hint="eastAsia"/>
        </w:rPr>
        <w:t>二十</w:t>
      </w:r>
      <w:r>
        <w:t>、协作（分包）单位办公区域违规使用电器、乱搭电力线路，每次处罚</w:t>
      </w:r>
      <w:r>
        <w:rPr>
          <w:b/>
          <w:bCs/>
          <w:u w:val="single"/>
        </w:rPr>
        <w:t xml:space="preserve"> 500 </w:t>
      </w:r>
      <w:r>
        <w:t>元；</w:t>
      </w:r>
    </w:p>
    <w:p w14:paraId="2ADB43EF">
      <w:pPr>
        <w:ind w:firstLine="480"/>
      </w:pPr>
      <w:r>
        <w:t>二十</w:t>
      </w:r>
      <w:r>
        <w:rPr>
          <w:rFonts w:hint="eastAsia"/>
        </w:rPr>
        <w:t>一</w:t>
      </w:r>
      <w:r>
        <w:t>、协作（分包）单位办公生活区域不按规定存放可燃气体，每次处罚</w:t>
      </w:r>
      <w:r>
        <w:rPr>
          <w:b/>
          <w:bCs/>
          <w:u w:val="single"/>
        </w:rPr>
        <w:t xml:space="preserve"> 500 </w:t>
      </w:r>
      <w:r>
        <w:t>元；</w:t>
      </w:r>
    </w:p>
    <w:p w14:paraId="68F855F0">
      <w:pPr>
        <w:ind w:firstLine="480"/>
      </w:pPr>
      <w:r>
        <w:t>二十</w:t>
      </w:r>
      <w:r>
        <w:rPr>
          <w:rFonts w:hint="eastAsia"/>
        </w:rPr>
        <w:t>二</w:t>
      </w:r>
      <w:r>
        <w:t>、协作（分包）单位未按规定时限落实安全隐患整改，每次处罚</w:t>
      </w:r>
      <w:r>
        <w:rPr>
          <w:b/>
          <w:bCs/>
          <w:u w:val="single"/>
        </w:rPr>
        <w:t xml:space="preserve"> 1000 </w:t>
      </w:r>
      <w:r>
        <w:t>元；未及时回复整改情况，每次处罚</w:t>
      </w:r>
      <w:r>
        <w:rPr>
          <w:b/>
          <w:bCs/>
          <w:u w:val="single"/>
        </w:rPr>
        <w:t xml:space="preserve"> 500</w:t>
      </w:r>
      <w:r>
        <w:rPr>
          <w:rFonts w:hint="eastAsia"/>
          <w:b/>
          <w:bCs/>
          <w:u w:val="single"/>
        </w:rPr>
        <w:t xml:space="preserve"> </w:t>
      </w:r>
      <w:r>
        <w:t>元。</w:t>
      </w:r>
    </w:p>
    <w:p w14:paraId="73336228">
      <w:pPr>
        <w:ind w:firstLine="480"/>
      </w:pPr>
      <w:r>
        <w:t>二十</w:t>
      </w:r>
      <w:r>
        <w:rPr>
          <w:rFonts w:hint="eastAsia"/>
        </w:rPr>
        <w:t>三</w:t>
      </w:r>
      <w:r>
        <w:t>、上级部门检查中指出存在的安全问题或提出批评，按上级部门处罚金额翻倍进行处罚，每次处罚最低</w:t>
      </w:r>
      <w:r>
        <w:rPr>
          <w:b/>
          <w:bCs/>
          <w:u w:val="single"/>
        </w:rPr>
        <w:t xml:space="preserve"> 2000 </w:t>
      </w:r>
      <w:r>
        <w:t>元。</w:t>
      </w:r>
    </w:p>
    <w:p w14:paraId="3431203E">
      <w:pPr>
        <w:ind w:firstLine="480"/>
        <w:sectPr>
          <w:pgSz w:w="11906" w:h="16838"/>
          <w:pgMar w:top="1134" w:right="1134" w:bottom="1134" w:left="1134" w:header="794" w:footer="782" w:gutter="0"/>
          <w:cols w:space="425" w:num="1"/>
          <w:docGrid w:type="lines" w:linePitch="312" w:charSpace="0"/>
        </w:sectPr>
      </w:pPr>
      <w:r>
        <w:t>二十</w:t>
      </w:r>
      <w:r>
        <w:rPr>
          <w:rFonts w:hint="eastAsia"/>
        </w:rPr>
        <w:t>四</w:t>
      </w:r>
      <w:r>
        <w:t>、因协作（分包）单位未落实安全管理承担责任的事故，除承担相应赔付外通力公司将依法追偿。</w:t>
      </w:r>
    </w:p>
    <w:p w14:paraId="1178B8AC">
      <w:pPr>
        <w:pStyle w:val="11"/>
        <w:ind w:firstLine="0" w:firstLineChars="0"/>
        <w:jc w:val="center"/>
        <w:rPr>
          <w:rFonts w:cs="Times New Roman"/>
          <w:b/>
          <w:bCs/>
          <w:sz w:val="28"/>
          <w:szCs w:val="28"/>
        </w:rPr>
      </w:pPr>
    </w:p>
    <w:p w14:paraId="4607B1B1">
      <w:pPr>
        <w:pStyle w:val="11"/>
        <w:ind w:firstLine="0" w:firstLineChars="0"/>
        <w:jc w:val="center"/>
        <w:rPr>
          <w:rFonts w:cs="Times New Roman"/>
          <w:b/>
          <w:bCs/>
          <w:sz w:val="28"/>
          <w:szCs w:val="28"/>
        </w:rPr>
      </w:pPr>
      <w:r>
        <w:rPr>
          <w:rFonts w:hint="eastAsia" w:cs="Times New Roman"/>
          <w:b/>
          <w:bCs/>
          <w:sz w:val="28"/>
          <w:szCs w:val="28"/>
        </w:rPr>
        <w:t>重庆公路养护工程（集团）有限公司</w:t>
      </w:r>
    </w:p>
    <w:p w14:paraId="29A700ED">
      <w:pPr>
        <w:pStyle w:val="11"/>
        <w:ind w:firstLine="0" w:firstLineChars="0"/>
        <w:jc w:val="center"/>
        <w:rPr>
          <w:rFonts w:cs="Times New Roman"/>
          <w:b/>
          <w:bCs/>
          <w:sz w:val="28"/>
          <w:szCs w:val="28"/>
        </w:rPr>
      </w:pPr>
      <w:r>
        <w:rPr>
          <w:rFonts w:hint="eastAsia" w:cs="Times New Roman"/>
          <w:b/>
          <w:bCs/>
          <w:sz w:val="28"/>
          <w:szCs w:val="28"/>
        </w:rPr>
        <w:t>协作（分包）单位安全生产考核处罚通知单（存根）</w:t>
      </w:r>
    </w:p>
    <w:p w14:paraId="4A02AB06">
      <w:pPr>
        <w:pStyle w:val="11"/>
        <w:ind w:left="4200" w:firstLine="420" w:firstLineChars="0"/>
        <w:jc w:val="center"/>
        <w:rPr>
          <w:rFonts w:cs="Times New Roman"/>
        </w:rPr>
      </w:pPr>
      <w:r>
        <w:rPr>
          <w:rFonts w:hint="eastAsia" w:cs="Times New Roman"/>
        </w:rPr>
        <w:t>编号：</w:t>
      </w:r>
    </w:p>
    <w:tbl>
      <w:tblPr>
        <w:tblStyle w:val="15"/>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988"/>
        <w:gridCol w:w="2820"/>
        <w:gridCol w:w="2069"/>
        <w:gridCol w:w="2741"/>
      </w:tblGrid>
      <w:tr w14:paraId="3E18F9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2027" w:type="dxa"/>
            <w:tcBorders>
              <w:tl2br w:val="nil"/>
              <w:tr2bl w:val="nil"/>
            </w:tcBorders>
            <w:vAlign w:val="center"/>
          </w:tcPr>
          <w:p w14:paraId="6E6B49A3">
            <w:pPr>
              <w:spacing w:line="240" w:lineRule="auto"/>
              <w:ind w:firstLine="0" w:firstLineChars="0"/>
              <w:jc w:val="center"/>
            </w:pPr>
            <w:r>
              <w:rPr>
                <w:rFonts w:hint="eastAsia"/>
              </w:rPr>
              <w:t>路段：</w:t>
            </w:r>
          </w:p>
        </w:tc>
        <w:tc>
          <w:tcPr>
            <w:tcW w:w="2899" w:type="dxa"/>
            <w:tcBorders>
              <w:tl2br w:val="nil"/>
              <w:tr2bl w:val="nil"/>
            </w:tcBorders>
            <w:vAlign w:val="center"/>
          </w:tcPr>
          <w:p w14:paraId="432DC07D">
            <w:pPr>
              <w:spacing w:line="240" w:lineRule="auto"/>
              <w:ind w:firstLine="0" w:firstLineChars="0"/>
              <w:jc w:val="center"/>
              <w:rPr>
                <w:rFonts w:cs="Times New Roman"/>
              </w:rPr>
            </w:pPr>
          </w:p>
        </w:tc>
        <w:tc>
          <w:tcPr>
            <w:tcW w:w="2111" w:type="dxa"/>
            <w:tcBorders>
              <w:tl2br w:val="nil"/>
              <w:tr2bl w:val="nil"/>
            </w:tcBorders>
            <w:vAlign w:val="center"/>
          </w:tcPr>
          <w:p w14:paraId="204DFCC3">
            <w:pPr>
              <w:spacing w:line="240" w:lineRule="auto"/>
              <w:ind w:firstLine="0" w:firstLineChars="0"/>
              <w:jc w:val="center"/>
              <w:rPr>
                <w:rFonts w:cs="Times New Roman"/>
              </w:rPr>
            </w:pPr>
            <w:r>
              <w:rPr>
                <w:rFonts w:hint="eastAsia" w:cs="Times New Roman"/>
              </w:rPr>
              <w:t>日期：</w:t>
            </w:r>
          </w:p>
        </w:tc>
        <w:tc>
          <w:tcPr>
            <w:tcW w:w="2817" w:type="dxa"/>
            <w:tcBorders>
              <w:tl2br w:val="nil"/>
              <w:tr2bl w:val="nil"/>
            </w:tcBorders>
            <w:vAlign w:val="center"/>
          </w:tcPr>
          <w:p w14:paraId="3E48C555">
            <w:pPr>
              <w:spacing w:line="240" w:lineRule="auto"/>
              <w:ind w:firstLine="0" w:firstLineChars="0"/>
              <w:jc w:val="center"/>
              <w:rPr>
                <w:rFonts w:cs="Times New Roman"/>
              </w:rPr>
            </w:pPr>
          </w:p>
        </w:tc>
      </w:tr>
      <w:tr w14:paraId="06FD6B6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2027" w:type="dxa"/>
            <w:tcBorders>
              <w:tl2br w:val="nil"/>
              <w:tr2bl w:val="nil"/>
            </w:tcBorders>
            <w:vAlign w:val="center"/>
          </w:tcPr>
          <w:p w14:paraId="4739CF65">
            <w:pPr>
              <w:spacing w:line="240" w:lineRule="auto"/>
              <w:ind w:firstLine="0" w:firstLineChars="0"/>
              <w:jc w:val="center"/>
              <w:rPr>
                <w:rFonts w:cs="Times New Roman"/>
              </w:rPr>
            </w:pPr>
            <w:r>
              <w:rPr>
                <w:rFonts w:hint="eastAsia" w:cs="Times New Roman"/>
              </w:rPr>
              <w:t>工程项目：</w:t>
            </w:r>
          </w:p>
        </w:tc>
        <w:tc>
          <w:tcPr>
            <w:tcW w:w="2899" w:type="dxa"/>
            <w:tcBorders>
              <w:tl2br w:val="nil"/>
              <w:tr2bl w:val="nil"/>
            </w:tcBorders>
            <w:vAlign w:val="center"/>
          </w:tcPr>
          <w:p w14:paraId="50A463AB">
            <w:pPr>
              <w:spacing w:line="240" w:lineRule="auto"/>
              <w:ind w:firstLine="0" w:firstLineChars="0"/>
              <w:jc w:val="center"/>
              <w:rPr>
                <w:rFonts w:cs="Times New Roman"/>
              </w:rPr>
            </w:pPr>
          </w:p>
        </w:tc>
        <w:tc>
          <w:tcPr>
            <w:tcW w:w="2111" w:type="dxa"/>
            <w:tcBorders>
              <w:tl2br w:val="nil"/>
              <w:tr2bl w:val="nil"/>
            </w:tcBorders>
            <w:vAlign w:val="center"/>
          </w:tcPr>
          <w:p w14:paraId="76260FA4">
            <w:pPr>
              <w:spacing w:line="240" w:lineRule="auto"/>
              <w:ind w:firstLine="0" w:firstLineChars="0"/>
              <w:jc w:val="center"/>
              <w:rPr>
                <w:rFonts w:cs="Times New Roman"/>
              </w:rPr>
            </w:pPr>
            <w:r>
              <w:rPr>
                <w:rFonts w:hint="eastAsia" w:cs="Times New Roman"/>
              </w:rPr>
              <w:t>（桩号）位置：</w:t>
            </w:r>
          </w:p>
        </w:tc>
        <w:tc>
          <w:tcPr>
            <w:tcW w:w="2817" w:type="dxa"/>
            <w:tcBorders>
              <w:tl2br w:val="nil"/>
              <w:tr2bl w:val="nil"/>
            </w:tcBorders>
            <w:vAlign w:val="center"/>
          </w:tcPr>
          <w:p w14:paraId="6059C87D">
            <w:pPr>
              <w:spacing w:line="240" w:lineRule="auto"/>
              <w:ind w:firstLine="0" w:firstLineChars="0"/>
              <w:jc w:val="center"/>
              <w:rPr>
                <w:rFonts w:cs="Times New Roman"/>
              </w:rPr>
            </w:pPr>
          </w:p>
        </w:tc>
      </w:tr>
      <w:tr w14:paraId="16A37F6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2027" w:type="dxa"/>
            <w:tcBorders>
              <w:tl2br w:val="nil"/>
              <w:tr2bl w:val="nil"/>
            </w:tcBorders>
            <w:vAlign w:val="center"/>
          </w:tcPr>
          <w:p w14:paraId="4DCA867A">
            <w:pPr>
              <w:spacing w:line="240" w:lineRule="auto"/>
              <w:ind w:firstLine="0" w:firstLineChars="0"/>
              <w:jc w:val="center"/>
              <w:rPr>
                <w:rFonts w:cs="Times New Roman"/>
              </w:rPr>
            </w:pPr>
            <w:r>
              <w:rPr>
                <w:rFonts w:hint="eastAsia" w:cs="Times New Roman"/>
              </w:rPr>
              <w:t>被处罚单位：</w:t>
            </w:r>
          </w:p>
        </w:tc>
        <w:tc>
          <w:tcPr>
            <w:tcW w:w="2899" w:type="dxa"/>
            <w:tcBorders>
              <w:tl2br w:val="nil"/>
              <w:tr2bl w:val="nil"/>
            </w:tcBorders>
            <w:vAlign w:val="center"/>
          </w:tcPr>
          <w:p w14:paraId="783E4FE8">
            <w:pPr>
              <w:spacing w:line="240" w:lineRule="auto"/>
              <w:ind w:firstLine="0" w:firstLineChars="0"/>
              <w:jc w:val="center"/>
              <w:rPr>
                <w:rFonts w:cs="Times New Roman"/>
              </w:rPr>
            </w:pPr>
          </w:p>
        </w:tc>
        <w:tc>
          <w:tcPr>
            <w:tcW w:w="2111" w:type="dxa"/>
            <w:tcBorders>
              <w:tl2br w:val="nil"/>
              <w:tr2bl w:val="nil"/>
            </w:tcBorders>
            <w:vAlign w:val="center"/>
          </w:tcPr>
          <w:p w14:paraId="429D9CA1">
            <w:pPr>
              <w:spacing w:line="240" w:lineRule="auto"/>
              <w:ind w:firstLine="0" w:firstLineChars="0"/>
              <w:jc w:val="center"/>
              <w:rPr>
                <w:rFonts w:cs="Times New Roman"/>
              </w:rPr>
            </w:pPr>
            <w:r>
              <w:rPr>
                <w:rFonts w:hint="eastAsia" w:cs="Times New Roman"/>
              </w:rPr>
              <w:t>处罚金额：</w:t>
            </w:r>
          </w:p>
        </w:tc>
        <w:tc>
          <w:tcPr>
            <w:tcW w:w="2817" w:type="dxa"/>
            <w:tcBorders>
              <w:tl2br w:val="nil"/>
              <w:tr2bl w:val="nil"/>
            </w:tcBorders>
            <w:vAlign w:val="center"/>
          </w:tcPr>
          <w:p w14:paraId="523DE6D3">
            <w:pPr>
              <w:spacing w:line="240" w:lineRule="auto"/>
              <w:ind w:firstLine="0" w:firstLineChars="0"/>
              <w:jc w:val="center"/>
              <w:rPr>
                <w:rFonts w:cs="Times New Roman"/>
              </w:rPr>
            </w:pPr>
          </w:p>
        </w:tc>
      </w:tr>
      <w:tr w14:paraId="0857A9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9854" w:type="dxa"/>
            <w:gridSpan w:val="4"/>
            <w:tcBorders>
              <w:tl2br w:val="nil"/>
              <w:tr2bl w:val="nil"/>
            </w:tcBorders>
            <w:vAlign w:val="center"/>
          </w:tcPr>
          <w:p w14:paraId="03CEF6ED">
            <w:pPr>
              <w:spacing w:line="240" w:lineRule="auto"/>
              <w:ind w:firstLine="0" w:firstLineChars="0"/>
            </w:pPr>
            <w:r>
              <w:rPr>
                <w:rFonts w:hint="eastAsia"/>
              </w:rPr>
              <w:t>处罚理由：</w:t>
            </w:r>
          </w:p>
          <w:p w14:paraId="407448C2">
            <w:pPr>
              <w:pStyle w:val="11"/>
              <w:ind w:firstLine="480"/>
            </w:pPr>
          </w:p>
          <w:p w14:paraId="007496E3">
            <w:pPr>
              <w:ind w:firstLine="480"/>
            </w:pPr>
          </w:p>
          <w:p w14:paraId="1BDD4DD8">
            <w:pPr>
              <w:pStyle w:val="11"/>
              <w:ind w:firstLine="480"/>
            </w:pPr>
          </w:p>
          <w:p w14:paraId="280A4853">
            <w:pPr>
              <w:ind w:firstLine="480"/>
            </w:pPr>
          </w:p>
        </w:tc>
      </w:tr>
    </w:tbl>
    <w:p w14:paraId="60A9CA6D">
      <w:pPr>
        <w:ind w:firstLine="0" w:firstLineChars="0"/>
      </w:pPr>
    </w:p>
    <w:p w14:paraId="0DA4A688">
      <w:pPr>
        <w:ind w:firstLine="0" w:firstLineChars="0"/>
      </w:pPr>
      <w:r>
        <w:rPr>
          <w:rFonts w:hint="eastAsia"/>
        </w:rPr>
        <w:t>签发部门：</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签发部门经办人：</w:t>
      </w:r>
    </w:p>
    <w:p w14:paraId="01756E1C">
      <w:pPr>
        <w:ind w:firstLine="0" w:firstLineChars="0"/>
      </w:pPr>
      <w:r>
        <w:rPr>
          <w:rFonts w:hint="eastAsia"/>
        </w:rPr>
        <w:t>被处罚单位经办人：</w:t>
      </w:r>
    </w:p>
    <w:p w14:paraId="5AC74627">
      <w:pPr>
        <w:ind w:firstLine="0" w:firstLineChars="0"/>
        <w:jc w:val="left"/>
        <w:rPr>
          <w:b/>
          <w:bCs/>
        </w:rPr>
      </w:pPr>
      <w:r>
        <w:rPr>
          <w:rFonts w:hint="eastAsia"/>
          <w:b/>
          <w:bCs/>
        </w:rPr>
        <w:t>·················签发部门盖章··················</w:t>
      </w:r>
    </w:p>
    <w:p w14:paraId="1341E512">
      <w:pPr>
        <w:pStyle w:val="11"/>
        <w:ind w:firstLine="0" w:firstLineChars="0"/>
        <w:jc w:val="center"/>
        <w:rPr>
          <w:rFonts w:cs="Times New Roman"/>
          <w:b/>
          <w:bCs/>
          <w:sz w:val="28"/>
          <w:szCs w:val="28"/>
        </w:rPr>
      </w:pPr>
      <w:r>
        <w:rPr>
          <w:rFonts w:hint="eastAsia" w:cs="Times New Roman"/>
          <w:b/>
          <w:bCs/>
          <w:sz w:val="28"/>
          <w:szCs w:val="28"/>
        </w:rPr>
        <w:t>重庆公路养护工程（集团）有限公司</w:t>
      </w:r>
    </w:p>
    <w:p w14:paraId="5CCA0878">
      <w:pPr>
        <w:pStyle w:val="11"/>
        <w:ind w:firstLine="0" w:firstLineChars="0"/>
        <w:jc w:val="center"/>
        <w:rPr>
          <w:rFonts w:cs="Times New Roman"/>
          <w:b/>
          <w:bCs/>
          <w:sz w:val="28"/>
          <w:szCs w:val="28"/>
        </w:rPr>
      </w:pPr>
      <w:r>
        <w:rPr>
          <w:rFonts w:hint="eastAsia" w:cs="Times New Roman"/>
          <w:b/>
          <w:bCs/>
          <w:sz w:val="28"/>
          <w:szCs w:val="28"/>
        </w:rPr>
        <w:t>协作（分包）单位安全生产考核处罚通知单（副联）</w:t>
      </w:r>
    </w:p>
    <w:p w14:paraId="6BA8D720">
      <w:pPr>
        <w:pStyle w:val="11"/>
        <w:ind w:left="4200" w:firstLine="420" w:firstLineChars="0"/>
        <w:jc w:val="center"/>
        <w:rPr>
          <w:rFonts w:cs="Times New Roman"/>
        </w:rPr>
      </w:pPr>
      <w:r>
        <w:rPr>
          <w:rFonts w:hint="eastAsia" w:cs="Times New Roman"/>
        </w:rPr>
        <w:t>编号：</w:t>
      </w:r>
    </w:p>
    <w:tbl>
      <w:tblPr>
        <w:tblStyle w:val="15"/>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988"/>
        <w:gridCol w:w="2820"/>
        <w:gridCol w:w="2069"/>
        <w:gridCol w:w="2741"/>
      </w:tblGrid>
      <w:tr w14:paraId="3F0F87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2027" w:type="dxa"/>
            <w:tcBorders>
              <w:tl2br w:val="nil"/>
              <w:tr2bl w:val="nil"/>
            </w:tcBorders>
            <w:vAlign w:val="center"/>
          </w:tcPr>
          <w:p w14:paraId="643C34D3">
            <w:pPr>
              <w:spacing w:line="240" w:lineRule="auto"/>
              <w:ind w:firstLine="0" w:firstLineChars="0"/>
              <w:jc w:val="center"/>
            </w:pPr>
            <w:r>
              <w:rPr>
                <w:rFonts w:hint="eastAsia"/>
              </w:rPr>
              <w:t>路段：</w:t>
            </w:r>
          </w:p>
        </w:tc>
        <w:tc>
          <w:tcPr>
            <w:tcW w:w="2899" w:type="dxa"/>
            <w:tcBorders>
              <w:tl2br w:val="nil"/>
              <w:tr2bl w:val="nil"/>
            </w:tcBorders>
            <w:vAlign w:val="center"/>
          </w:tcPr>
          <w:p w14:paraId="27143A51">
            <w:pPr>
              <w:spacing w:line="240" w:lineRule="auto"/>
              <w:ind w:firstLine="0" w:firstLineChars="0"/>
              <w:jc w:val="center"/>
              <w:rPr>
                <w:rFonts w:cs="Times New Roman"/>
              </w:rPr>
            </w:pPr>
          </w:p>
        </w:tc>
        <w:tc>
          <w:tcPr>
            <w:tcW w:w="2111" w:type="dxa"/>
            <w:tcBorders>
              <w:tl2br w:val="nil"/>
              <w:tr2bl w:val="nil"/>
            </w:tcBorders>
            <w:vAlign w:val="center"/>
          </w:tcPr>
          <w:p w14:paraId="21EC0B8B">
            <w:pPr>
              <w:spacing w:line="240" w:lineRule="auto"/>
              <w:ind w:firstLine="0" w:firstLineChars="0"/>
              <w:jc w:val="center"/>
              <w:rPr>
                <w:rFonts w:cs="Times New Roman"/>
              </w:rPr>
            </w:pPr>
            <w:r>
              <w:rPr>
                <w:rFonts w:hint="eastAsia" w:cs="Times New Roman"/>
              </w:rPr>
              <w:t>日期：</w:t>
            </w:r>
          </w:p>
        </w:tc>
        <w:tc>
          <w:tcPr>
            <w:tcW w:w="2817" w:type="dxa"/>
            <w:tcBorders>
              <w:tl2br w:val="nil"/>
              <w:tr2bl w:val="nil"/>
            </w:tcBorders>
            <w:vAlign w:val="center"/>
          </w:tcPr>
          <w:p w14:paraId="0E54F78E">
            <w:pPr>
              <w:spacing w:line="240" w:lineRule="auto"/>
              <w:ind w:firstLine="0" w:firstLineChars="0"/>
              <w:jc w:val="center"/>
              <w:rPr>
                <w:rFonts w:cs="Times New Roman"/>
              </w:rPr>
            </w:pPr>
          </w:p>
        </w:tc>
      </w:tr>
      <w:tr w14:paraId="7442FE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2027" w:type="dxa"/>
            <w:tcBorders>
              <w:tl2br w:val="nil"/>
              <w:tr2bl w:val="nil"/>
            </w:tcBorders>
            <w:vAlign w:val="center"/>
          </w:tcPr>
          <w:p w14:paraId="444EA863">
            <w:pPr>
              <w:spacing w:line="240" w:lineRule="auto"/>
              <w:ind w:firstLine="0" w:firstLineChars="0"/>
              <w:jc w:val="center"/>
              <w:rPr>
                <w:rFonts w:cs="Times New Roman"/>
              </w:rPr>
            </w:pPr>
            <w:r>
              <w:rPr>
                <w:rFonts w:hint="eastAsia" w:cs="Times New Roman"/>
              </w:rPr>
              <w:t>工程项目：</w:t>
            </w:r>
          </w:p>
        </w:tc>
        <w:tc>
          <w:tcPr>
            <w:tcW w:w="2899" w:type="dxa"/>
            <w:tcBorders>
              <w:tl2br w:val="nil"/>
              <w:tr2bl w:val="nil"/>
            </w:tcBorders>
            <w:vAlign w:val="center"/>
          </w:tcPr>
          <w:p w14:paraId="31C65E3A">
            <w:pPr>
              <w:spacing w:line="240" w:lineRule="auto"/>
              <w:ind w:firstLine="0" w:firstLineChars="0"/>
              <w:jc w:val="center"/>
              <w:rPr>
                <w:rFonts w:cs="Times New Roman"/>
              </w:rPr>
            </w:pPr>
          </w:p>
        </w:tc>
        <w:tc>
          <w:tcPr>
            <w:tcW w:w="2111" w:type="dxa"/>
            <w:tcBorders>
              <w:tl2br w:val="nil"/>
              <w:tr2bl w:val="nil"/>
            </w:tcBorders>
            <w:vAlign w:val="center"/>
          </w:tcPr>
          <w:p w14:paraId="27EC4F91">
            <w:pPr>
              <w:spacing w:line="240" w:lineRule="auto"/>
              <w:ind w:firstLine="0" w:firstLineChars="0"/>
              <w:jc w:val="center"/>
              <w:rPr>
                <w:rFonts w:cs="Times New Roman"/>
              </w:rPr>
            </w:pPr>
            <w:r>
              <w:rPr>
                <w:rFonts w:hint="eastAsia" w:cs="Times New Roman"/>
              </w:rPr>
              <w:t>（桩号）位置：</w:t>
            </w:r>
          </w:p>
        </w:tc>
        <w:tc>
          <w:tcPr>
            <w:tcW w:w="2817" w:type="dxa"/>
            <w:tcBorders>
              <w:tl2br w:val="nil"/>
              <w:tr2bl w:val="nil"/>
            </w:tcBorders>
            <w:vAlign w:val="center"/>
          </w:tcPr>
          <w:p w14:paraId="02326E09">
            <w:pPr>
              <w:spacing w:line="240" w:lineRule="auto"/>
              <w:ind w:firstLine="0" w:firstLineChars="0"/>
              <w:jc w:val="center"/>
              <w:rPr>
                <w:rFonts w:cs="Times New Roman"/>
              </w:rPr>
            </w:pPr>
          </w:p>
        </w:tc>
      </w:tr>
      <w:tr w14:paraId="53554A4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2027" w:type="dxa"/>
            <w:tcBorders>
              <w:tl2br w:val="nil"/>
              <w:tr2bl w:val="nil"/>
            </w:tcBorders>
            <w:vAlign w:val="center"/>
          </w:tcPr>
          <w:p w14:paraId="30A3860E">
            <w:pPr>
              <w:spacing w:line="240" w:lineRule="auto"/>
              <w:ind w:firstLine="0" w:firstLineChars="0"/>
              <w:jc w:val="center"/>
              <w:rPr>
                <w:rFonts w:cs="Times New Roman"/>
              </w:rPr>
            </w:pPr>
            <w:r>
              <w:rPr>
                <w:rFonts w:hint="eastAsia" w:cs="Times New Roman"/>
              </w:rPr>
              <w:t>被处罚单位：</w:t>
            </w:r>
          </w:p>
        </w:tc>
        <w:tc>
          <w:tcPr>
            <w:tcW w:w="2899" w:type="dxa"/>
            <w:tcBorders>
              <w:tl2br w:val="nil"/>
              <w:tr2bl w:val="nil"/>
            </w:tcBorders>
            <w:vAlign w:val="center"/>
          </w:tcPr>
          <w:p w14:paraId="45E961BE">
            <w:pPr>
              <w:spacing w:line="240" w:lineRule="auto"/>
              <w:ind w:firstLine="0" w:firstLineChars="0"/>
              <w:jc w:val="center"/>
              <w:rPr>
                <w:rFonts w:cs="Times New Roman"/>
              </w:rPr>
            </w:pPr>
          </w:p>
        </w:tc>
        <w:tc>
          <w:tcPr>
            <w:tcW w:w="2111" w:type="dxa"/>
            <w:tcBorders>
              <w:tl2br w:val="nil"/>
              <w:tr2bl w:val="nil"/>
            </w:tcBorders>
            <w:vAlign w:val="center"/>
          </w:tcPr>
          <w:p w14:paraId="2E69ADAE">
            <w:pPr>
              <w:spacing w:line="240" w:lineRule="auto"/>
              <w:ind w:firstLine="0" w:firstLineChars="0"/>
              <w:jc w:val="center"/>
              <w:rPr>
                <w:rFonts w:cs="Times New Roman"/>
              </w:rPr>
            </w:pPr>
            <w:r>
              <w:rPr>
                <w:rFonts w:hint="eastAsia" w:cs="Times New Roman"/>
              </w:rPr>
              <w:t>处罚金额：</w:t>
            </w:r>
          </w:p>
        </w:tc>
        <w:tc>
          <w:tcPr>
            <w:tcW w:w="2817" w:type="dxa"/>
            <w:tcBorders>
              <w:tl2br w:val="nil"/>
              <w:tr2bl w:val="nil"/>
            </w:tcBorders>
            <w:vAlign w:val="center"/>
          </w:tcPr>
          <w:p w14:paraId="7CA86CAF">
            <w:pPr>
              <w:spacing w:line="240" w:lineRule="auto"/>
              <w:ind w:firstLine="0" w:firstLineChars="0"/>
              <w:jc w:val="center"/>
              <w:rPr>
                <w:rFonts w:cs="Times New Roman"/>
              </w:rPr>
            </w:pPr>
          </w:p>
        </w:tc>
      </w:tr>
      <w:tr w14:paraId="5231D6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9854" w:type="dxa"/>
            <w:gridSpan w:val="4"/>
            <w:tcBorders>
              <w:tl2br w:val="nil"/>
              <w:tr2bl w:val="nil"/>
            </w:tcBorders>
            <w:vAlign w:val="center"/>
          </w:tcPr>
          <w:p w14:paraId="020D7A1E">
            <w:pPr>
              <w:spacing w:line="240" w:lineRule="auto"/>
              <w:ind w:firstLine="0" w:firstLineChars="0"/>
            </w:pPr>
            <w:r>
              <w:rPr>
                <w:rFonts w:hint="eastAsia"/>
              </w:rPr>
              <w:t>处罚理由：</w:t>
            </w:r>
          </w:p>
          <w:p w14:paraId="6F780B21">
            <w:pPr>
              <w:pStyle w:val="11"/>
              <w:ind w:firstLine="480"/>
            </w:pPr>
          </w:p>
          <w:p w14:paraId="0A206BFA">
            <w:pPr>
              <w:ind w:firstLine="480"/>
            </w:pPr>
          </w:p>
          <w:p w14:paraId="73A936DE">
            <w:pPr>
              <w:pStyle w:val="11"/>
              <w:ind w:firstLine="480"/>
            </w:pPr>
          </w:p>
          <w:p w14:paraId="37AB76F7">
            <w:pPr>
              <w:ind w:firstLine="480"/>
            </w:pPr>
          </w:p>
        </w:tc>
      </w:tr>
    </w:tbl>
    <w:p w14:paraId="3A8784BD">
      <w:pPr>
        <w:ind w:firstLine="0" w:firstLineChars="0"/>
      </w:pPr>
    </w:p>
    <w:p w14:paraId="56CFBC73">
      <w:pPr>
        <w:ind w:firstLine="0" w:firstLineChars="0"/>
      </w:pPr>
      <w:r>
        <w:rPr>
          <w:rFonts w:hint="eastAsia"/>
        </w:rPr>
        <w:t>签发部门：</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签发部门经办人：</w:t>
      </w:r>
    </w:p>
    <w:p w14:paraId="6683810E">
      <w:pPr>
        <w:ind w:firstLine="0" w:firstLineChars="0"/>
      </w:pPr>
      <w:r>
        <w:rPr>
          <w:rFonts w:hint="eastAsia"/>
        </w:rPr>
        <w:t>被处罚单位经办人：</w:t>
      </w:r>
    </w:p>
    <w:p w14:paraId="459AE5F2">
      <w:pPr>
        <w:pStyle w:val="5"/>
        <w:rPr>
          <w:lang w:eastAsia="zh-CN"/>
        </w:rPr>
        <w:sectPr>
          <w:pgSz w:w="11906" w:h="16838"/>
          <w:pgMar w:top="1134" w:right="1134" w:bottom="1134" w:left="1134" w:header="794" w:footer="782" w:gutter="0"/>
          <w:cols w:space="425" w:num="1"/>
          <w:docGrid w:type="lines" w:linePitch="312" w:charSpace="0"/>
        </w:sectPr>
      </w:pPr>
    </w:p>
    <w:p w14:paraId="52DB0C35">
      <w:pPr>
        <w:ind w:firstLine="0" w:firstLineChars="0"/>
        <w:jc w:val="center"/>
        <w:rPr>
          <w:sz w:val="48"/>
          <w:szCs w:val="48"/>
        </w:rPr>
      </w:pPr>
    </w:p>
    <w:p w14:paraId="02967B1F">
      <w:pPr>
        <w:ind w:firstLine="0" w:firstLineChars="0"/>
        <w:jc w:val="center"/>
        <w:rPr>
          <w:b/>
          <w:bCs/>
          <w:sz w:val="48"/>
          <w:szCs w:val="48"/>
        </w:rPr>
      </w:pPr>
      <w:r>
        <w:rPr>
          <w:rFonts w:hint="eastAsia"/>
          <w:b/>
          <w:bCs/>
          <w:sz w:val="48"/>
          <w:szCs w:val="48"/>
        </w:rPr>
        <w:t>比选申请</w:t>
      </w:r>
      <w:r>
        <w:rPr>
          <w:b/>
          <w:bCs/>
          <w:sz w:val="48"/>
          <w:szCs w:val="48"/>
        </w:rPr>
        <w:t>文件格式</w:t>
      </w:r>
    </w:p>
    <w:p w14:paraId="33207B1B">
      <w:pPr>
        <w:ind w:firstLine="480"/>
      </w:pPr>
    </w:p>
    <w:p w14:paraId="416DFC40">
      <w:pPr>
        <w:ind w:firstLine="0" w:firstLineChars="0"/>
        <w:jc w:val="center"/>
        <w:rPr>
          <w:b/>
          <w:bCs/>
        </w:rPr>
        <w:sectPr>
          <w:headerReference r:id="rId14" w:type="default"/>
          <w:pgSz w:w="11906" w:h="16838"/>
          <w:pgMar w:top="1134" w:right="1134" w:bottom="1134" w:left="1134" w:header="794" w:footer="782" w:gutter="0"/>
          <w:cols w:space="425" w:num="1"/>
          <w:docGrid w:type="lines" w:linePitch="312" w:charSpace="0"/>
        </w:sectPr>
      </w:pPr>
      <w:r>
        <w:rPr>
          <w:b/>
          <w:bCs/>
        </w:rPr>
        <w:t>（以下内容为示例）</w:t>
      </w:r>
    </w:p>
    <w:p w14:paraId="04D43E02">
      <w:pPr>
        <w:ind w:firstLine="0" w:firstLineChars="0"/>
        <w:jc w:val="center"/>
      </w:pPr>
    </w:p>
    <w:p w14:paraId="39AED6D8">
      <w:pPr>
        <w:ind w:firstLine="0" w:firstLineChars="0"/>
        <w:jc w:val="center"/>
      </w:pPr>
    </w:p>
    <w:p w14:paraId="13B955D6">
      <w:pPr>
        <w:ind w:firstLine="0" w:firstLineChars="0"/>
        <w:jc w:val="center"/>
      </w:pPr>
    </w:p>
    <w:p w14:paraId="0B453492">
      <w:pPr>
        <w:ind w:firstLine="0" w:firstLineChars="0"/>
        <w:jc w:val="center"/>
        <w:rPr>
          <w:b/>
          <w:bCs/>
          <w:sz w:val="36"/>
          <w:szCs w:val="36"/>
          <w:u w:val="single"/>
        </w:rPr>
      </w:pPr>
      <w:r>
        <w:rPr>
          <w:rFonts w:hint="eastAsia"/>
          <w:b/>
          <w:bCs/>
          <w:sz w:val="36"/>
          <w:szCs w:val="36"/>
          <w:u w:val="single"/>
        </w:rPr>
        <w:t>重庆公路养护工程（集团）有限公司</w:t>
      </w:r>
    </w:p>
    <w:p w14:paraId="14990718">
      <w:pPr>
        <w:ind w:firstLine="0" w:firstLineChars="0"/>
        <w:jc w:val="center"/>
        <w:rPr>
          <w:rFonts w:hint="eastAsia" w:eastAsia="宋体"/>
          <w:b/>
          <w:bCs/>
          <w:sz w:val="36"/>
          <w:szCs w:val="36"/>
          <w:u w:val="single"/>
          <w:lang w:eastAsia="zh-CN"/>
        </w:rPr>
      </w:pPr>
      <w:r>
        <w:rPr>
          <w:rFonts w:hint="eastAsia" w:ascii="宋体" w:hAnsi="宋体" w:cs="宋体"/>
          <w:b/>
          <w:sz w:val="36"/>
          <w:szCs w:val="36"/>
          <w:u w:val="single"/>
          <w:lang w:eastAsia="zh-CN"/>
        </w:rPr>
        <w:t>富金坝航电枢纽桥梁缺陷整治施工项目</w:t>
      </w:r>
    </w:p>
    <w:p w14:paraId="05A4ACEB">
      <w:pPr>
        <w:ind w:firstLine="0" w:firstLineChars="0"/>
        <w:jc w:val="center"/>
        <w:rPr>
          <w:b/>
          <w:bCs/>
          <w:sz w:val="36"/>
          <w:szCs w:val="36"/>
          <w:u w:val="single"/>
        </w:rPr>
      </w:pPr>
      <w:r>
        <w:rPr>
          <w:rFonts w:hint="eastAsia"/>
          <w:b/>
          <w:bCs/>
          <w:sz w:val="36"/>
          <w:szCs w:val="36"/>
          <w:u w:val="single"/>
        </w:rPr>
        <w:t>劳务分包比选申请</w:t>
      </w:r>
      <w:r>
        <w:rPr>
          <w:b/>
          <w:bCs/>
          <w:sz w:val="36"/>
          <w:szCs w:val="36"/>
          <w:u w:val="single"/>
        </w:rPr>
        <w:t>文件</w:t>
      </w:r>
    </w:p>
    <w:p w14:paraId="72668F06">
      <w:pPr>
        <w:ind w:firstLine="0" w:firstLineChars="0"/>
        <w:jc w:val="center"/>
      </w:pPr>
    </w:p>
    <w:p w14:paraId="56B9661B">
      <w:pPr>
        <w:ind w:firstLine="480"/>
        <w:jc w:val="center"/>
      </w:pPr>
    </w:p>
    <w:p w14:paraId="603ABE67">
      <w:pPr>
        <w:ind w:firstLine="480"/>
        <w:jc w:val="center"/>
      </w:pPr>
    </w:p>
    <w:p w14:paraId="2E1661B6">
      <w:pPr>
        <w:ind w:firstLine="480"/>
        <w:jc w:val="center"/>
      </w:pPr>
    </w:p>
    <w:p w14:paraId="4F8F8C56">
      <w:pPr>
        <w:ind w:firstLine="480"/>
        <w:jc w:val="center"/>
      </w:pPr>
    </w:p>
    <w:p w14:paraId="0B612226">
      <w:pPr>
        <w:ind w:firstLine="480"/>
        <w:jc w:val="center"/>
      </w:pPr>
    </w:p>
    <w:p w14:paraId="2887BE80">
      <w:pPr>
        <w:ind w:firstLine="480"/>
        <w:jc w:val="center"/>
      </w:pPr>
    </w:p>
    <w:p w14:paraId="3C2BA04B">
      <w:pPr>
        <w:ind w:firstLine="480"/>
        <w:jc w:val="center"/>
      </w:pPr>
    </w:p>
    <w:p w14:paraId="66065E4C">
      <w:pPr>
        <w:ind w:firstLine="480"/>
        <w:jc w:val="center"/>
      </w:pPr>
    </w:p>
    <w:p w14:paraId="273DDF78">
      <w:pPr>
        <w:ind w:firstLine="480"/>
        <w:jc w:val="center"/>
      </w:pPr>
    </w:p>
    <w:p w14:paraId="3F202EDC">
      <w:pPr>
        <w:ind w:firstLine="480"/>
        <w:jc w:val="center"/>
      </w:pPr>
    </w:p>
    <w:p w14:paraId="3B4FBC85">
      <w:pPr>
        <w:ind w:firstLine="480"/>
        <w:jc w:val="center"/>
      </w:pPr>
    </w:p>
    <w:p w14:paraId="052A3E41">
      <w:pPr>
        <w:ind w:firstLine="480"/>
        <w:jc w:val="center"/>
      </w:pPr>
    </w:p>
    <w:p w14:paraId="754BD827">
      <w:pPr>
        <w:ind w:firstLine="480"/>
        <w:jc w:val="center"/>
      </w:pPr>
    </w:p>
    <w:p w14:paraId="5EFE2285">
      <w:pPr>
        <w:ind w:firstLine="480"/>
        <w:jc w:val="center"/>
      </w:pPr>
    </w:p>
    <w:p w14:paraId="58678689">
      <w:pPr>
        <w:pStyle w:val="11"/>
        <w:ind w:firstLine="480"/>
        <w:jc w:val="center"/>
      </w:pPr>
    </w:p>
    <w:p w14:paraId="73613CEB">
      <w:pPr>
        <w:ind w:firstLine="480"/>
        <w:jc w:val="center"/>
      </w:pPr>
    </w:p>
    <w:p w14:paraId="33DCC6E1">
      <w:pPr>
        <w:pStyle w:val="11"/>
        <w:ind w:firstLine="480"/>
        <w:jc w:val="center"/>
      </w:pPr>
    </w:p>
    <w:p w14:paraId="14CEE4F7">
      <w:pPr>
        <w:ind w:firstLine="480"/>
        <w:jc w:val="center"/>
      </w:pPr>
    </w:p>
    <w:p w14:paraId="2DBAB954">
      <w:pPr>
        <w:pStyle w:val="5"/>
        <w:numPr>
          <w:ilvl w:val="3"/>
          <w:numId w:val="0"/>
        </w:numPr>
        <w:tabs>
          <w:tab w:val="clear" w:pos="2340"/>
        </w:tabs>
        <w:ind w:left="480" w:leftChars="200"/>
        <w:rPr>
          <w:lang w:eastAsia="zh-CN"/>
        </w:rPr>
      </w:pPr>
    </w:p>
    <w:p w14:paraId="59AD1014">
      <w:pPr>
        <w:pStyle w:val="11"/>
        <w:ind w:firstLine="480"/>
        <w:jc w:val="center"/>
      </w:pPr>
    </w:p>
    <w:p w14:paraId="6A6D9FC7">
      <w:pPr>
        <w:ind w:firstLine="0" w:firstLineChars="0"/>
        <w:jc w:val="center"/>
        <w:rPr>
          <w:b/>
          <w:bCs/>
          <w:sz w:val="32"/>
          <w:szCs w:val="32"/>
        </w:rPr>
        <w:sectPr>
          <w:pgSz w:w="11906" w:h="16838"/>
          <w:pgMar w:top="1134" w:right="1134" w:bottom="1134" w:left="1134" w:header="794" w:footer="782" w:gutter="0"/>
          <w:cols w:space="425" w:num="1"/>
          <w:docGrid w:type="lines" w:linePitch="312" w:charSpace="0"/>
        </w:sectPr>
      </w:pPr>
      <w:r>
        <w:rPr>
          <w:rFonts w:hint="eastAsia"/>
          <w:b/>
          <w:bCs/>
          <w:sz w:val="32"/>
          <w:szCs w:val="32"/>
        </w:rPr>
        <w:t>比选申请</w:t>
      </w:r>
      <w:r>
        <w:rPr>
          <w:b/>
          <w:bCs/>
          <w:sz w:val="32"/>
          <w:szCs w:val="32"/>
        </w:rPr>
        <w:t>单位名称全称（盖单位公章）</w:t>
      </w:r>
    </w:p>
    <w:p w14:paraId="4F3FCE3F">
      <w:pPr>
        <w:pStyle w:val="11"/>
        <w:ind w:firstLine="480"/>
      </w:pPr>
    </w:p>
    <w:p w14:paraId="7B7A6583">
      <w:pPr>
        <w:pStyle w:val="11"/>
        <w:ind w:firstLine="0" w:firstLineChars="0"/>
        <w:jc w:val="center"/>
        <w:rPr>
          <w:b/>
          <w:bCs/>
          <w:sz w:val="28"/>
          <w:szCs w:val="28"/>
        </w:rPr>
      </w:pPr>
      <w:r>
        <w:rPr>
          <w:b/>
          <w:bCs/>
          <w:sz w:val="28"/>
          <w:szCs w:val="28"/>
        </w:rPr>
        <w:t>目  录</w:t>
      </w:r>
    </w:p>
    <w:p w14:paraId="0D6BF994">
      <w:pPr>
        <w:pStyle w:val="4"/>
        <w:ind w:firstLine="482"/>
      </w:pPr>
      <w:r>
        <w:rPr>
          <w:rFonts w:hint="eastAsia"/>
        </w:rPr>
        <w:t>一、</w:t>
      </w:r>
      <w:r>
        <w:t>报价书。</w:t>
      </w:r>
    </w:p>
    <w:p w14:paraId="7FBEC919">
      <w:pPr>
        <w:pStyle w:val="4"/>
        <w:ind w:firstLine="482"/>
      </w:pPr>
      <w:r>
        <w:rPr>
          <w:rFonts w:hint="eastAsia"/>
        </w:rPr>
        <w:t>二、</w:t>
      </w:r>
      <w:r>
        <w:t>法定代表人身份证明及授权委托书。</w:t>
      </w:r>
    </w:p>
    <w:p w14:paraId="1E7017FF">
      <w:pPr>
        <w:pStyle w:val="4"/>
        <w:ind w:firstLine="482"/>
      </w:pPr>
      <w:r>
        <w:rPr>
          <w:rFonts w:hint="eastAsia"/>
        </w:rPr>
        <w:t>三、</w:t>
      </w:r>
      <w:r>
        <w:t>比选申请</w:t>
      </w:r>
      <w:r>
        <w:rPr>
          <w:rFonts w:hint="eastAsia"/>
        </w:rPr>
        <w:t>人</w:t>
      </w:r>
      <w:r>
        <w:t>有效的营业执照、安全生产许可证、资质证书</w:t>
      </w:r>
      <w:r>
        <w:rPr>
          <w:rFonts w:hint="eastAsia"/>
          <w:lang w:eastAsia="zh-CN"/>
        </w:rPr>
        <w:t>、</w:t>
      </w:r>
      <w:r>
        <w:rPr>
          <w:rFonts w:hint="eastAsia"/>
          <w:lang w:val="en-US" w:eastAsia="zh-CN"/>
        </w:rPr>
        <w:t>业绩证明</w:t>
      </w:r>
      <w:r>
        <w:t>。</w:t>
      </w:r>
    </w:p>
    <w:p w14:paraId="13EBD8F8">
      <w:pPr>
        <w:pStyle w:val="4"/>
        <w:ind w:firstLine="482"/>
      </w:pPr>
      <w:r>
        <w:rPr>
          <w:rFonts w:hint="eastAsia"/>
        </w:rPr>
        <w:t>四、</w:t>
      </w:r>
      <w:r>
        <w:t>比选申请</w:t>
      </w:r>
      <w:r>
        <w:rPr>
          <w:rFonts w:hint="eastAsia"/>
        </w:rPr>
        <w:t>人</w:t>
      </w:r>
      <w:r>
        <w:t>自行承诺部分。</w:t>
      </w:r>
    </w:p>
    <w:p w14:paraId="4512D69F">
      <w:pPr>
        <w:pStyle w:val="4"/>
        <w:ind w:firstLine="482"/>
        <w:rPr>
          <w:rFonts w:hint="default"/>
          <w:lang w:val="en-US" w:eastAsia="zh-CN"/>
        </w:rPr>
        <w:sectPr>
          <w:pgSz w:w="11906" w:h="16838"/>
          <w:pgMar w:top="1134" w:right="1134" w:bottom="1134" w:left="1134" w:header="794" w:footer="782" w:gutter="0"/>
          <w:pgNumType w:start="1"/>
          <w:cols w:space="425" w:num="1"/>
          <w:docGrid w:type="lines" w:linePitch="312" w:charSpace="0"/>
        </w:sectPr>
      </w:pPr>
      <w:r>
        <w:rPr>
          <w:rFonts w:hint="eastAsia"/>
          <w:lang w:val="en-US" w:eastAsia="zh-CN"/>
        </w:rPr>
        <w:t>五、劳务工程量报价清单。</w:t>
      </w:r>
    </w:p>
    <w:p w14:paraId="760FC039">
      <w:pPr>
        <w:pStyle w:val="11"/>
        <w:ind w:firstLine="0" w:firstLineChars="0"/>
        <w:jc w:val="center"/>
        <w:rPr>
          <w:b/>
          <w:bCs/>
          <w:sz w:val="28"/>
          <w:szCs w:val="28"/>
        </w:rPr>
      </w:pPr>
      <w:r>
        <w:rPr>
          <w:b/>
          <w:bCs/>
          <w:sz w:val="28"/>
          <w:szCs w:val="28"/>
        </w:rPr>
        <w:t>一、报价书</w:t>
      </w:r>
    </w:p>
    <w:p w14:paraId="7CDC9A12">
      <w:pPr>
        <w:pStyle w:val="11"/>
        <w:ind w:firstLine="0" w:firstLineChars="0"/>
        <w:rPr>
          <w:b/>
          <w:bCs/>
          <w:u w:val="single"/>
        </w:rPr>
      </w:pPr>
      <w:r>
        <w:rPr>
          <w:b/>
          <w:bCs/>
        </w:rPr>
        <w:t>致：</w:t>
      </w:r>
      <w:r>
        <w:rPr>
          <w:rFonts w:hint="eastAsia"/>
          <w:b/>
          <w:bCs/>
          <w:u w:val="single"/>
        </w:rPr>
        <w:t>重庆公路养护工程（集团）有限公司</w:t>
      </w:r>
    </w:p>
    <w:p w14:paraId="73F1D00A">
      <w:pPr>
        <w:ind w:firstLine="480"/>
      </w:pPr>
      <w:r>
        <w:t>1.我方已仔细研究了</w:t>
      </w:r>
      <w:r>
        <w:rPr>
          <w:rFonts w:hint="eastAsia" w:ascii="宋体" w:hAnsi="宋体" w:cs="宋体"/>
          <w:b/>
          <w:u w:val="single"/>
          <w:lang w:eastAsia="zh-CN"/>
        </w:rPr>
        <w:t>富金坝航电枢纽桥梁缺陷整治施工项目</w:t>
      </w:r>
      <w:r>
        <w:rPr>
          <w:rFonts w:hint="eastAsia"/>
          <w:b/>
          <w:bCs/>
          <w:u w:val="single"/>
        </w:rPr>
        <w:t>劳务分包</w:t>
      </w:r>
      <w:r>
        <w:rPr>
          <w:b/>
          <w:bCs/>
          <w:u w:val="single"/>
        </w:rPr>
        <w:t>竞争性比选文件</w:t>
      </w:r>
      <w:r>
        <w:t>的全部内容，根据相关取费标准，</w:t>
      </w:r>
      <w:r>
        <w:rPr>
          <w:rFonts w:hint="eastAsia" w:ascii="宋体" w:hAnsi="宋体" w:cs="宋体"/>
        </w:rPr>
        <w:t>愿意在工程内容清单</w:t>
      </w:r>
      <w:r>
        <w:rPr>
          <w:rFonts w:hint="eastAsia" w:ascii="宋体" w:hAnsi="宋体" w:cs="宋体"/>
          <w:lang w:val="en-US" w:eastAsia="zh-CN"/>
        </w:rPr>
        <w:t>单</w:t>
      </w:r>
      <w:r>
        <w:rPr>
          <w:rFonts w:hint="eastAsia" w:ascii="宋体" w:hAnsi="宋体" w:cs="宋体"/>
        </w:rPr>
        <w:t>价限价基础上以</w:t>
      </w:r>
      <w:r>
        <w:rPr>
          <w:rFonts w:hint="eastAsia"/>
          <w:szCs w:val="21"/>
        </w:rPr>
        <w:t>总报价为</w:t>
      </w:r>
      <w:r>
        <w:rPr>
          <w:b/>
          <w:bCs/>
        </w:rPr>
        <w:t>¥</w:t>
      </w:r>
      <w:r>
        <w:rPr>
          <w:b/>
          <w:bCs/>
          <w:u w:val="single"/>
        </w:rPr>
        <w:t xml:space="preserve">                </w:t>
      </w:r>
      <w:r>
        <w:rPr>
          <w:b/>
          <w:bCs/>
        </w:rPr>
        <w:t>元</w:t>
      </w:r>
      <w:r>
        <w:t>（大写：</w:t>
      </w:r>
      <w:r>
        <w:rPr>
          <w:b/>
          <w:bCs/>
          <w:u w:val="single"/>
        </w:rPr>
        <w:t xml:space="preserve">                </w:t>
      </w:r>
      <w:r>
        <w:t>）</w:t>
      </w:r>
      <w:r>
        <w:rPr>
          <w:rFonts w:hint="eastAsia"/>
        </w:rPr>
        <w:t>进行竞标</w:t>
      </w:r>
      <w:r>
        <w:t>，</w:t>
      </w:r>
      <w:r>
        <w:rPr>
          <w:rFonts w:hint="eastAsia" w:ascii="宋体" w:hAnsi="宋体" w:cs="宋体"/>
          <w:bCs/>
        </w:rPr>
        <w:t>工期</w:t>
      </w:r>
      <w:r>
        <w:rPr>
          <w:rFonts w:hint="eastAsia" w:ascii="宋体" w:hAnsi="宋体" w:cs="宋体"/>
          <w:b/>
          <w:u w:val="single"/>
          <w:lang w:val="en-US" w:eastAsia="zh-CN"/>
        </w:rPr>
        <w:t>90</w:t>
      </w:r>
      <w:r>
        <w:rPr>
          <w:rFonts w:hint="eastAsia" w:ascii="宋体" w:hAnsi="宋体" w:cs="宋体"/>
          <w:bCs/>
        </w:rPr>
        <w:t>日历天</w:t>
      </w:r>
      <w:r>
        <w:rPr>
          <w:rFonts w:hint="eastAsia"/>
        </w:rPr>
        <w:t>，</w:t>
      </w:r>
      <w:r>
        <w:t>质量检验评定达到</w:t>
      </w:r>
      <w:r>
        <w:rPr>
          <w:b/>
          <w:bCs/>
          <w:u w:val="single"/>
        </w:rPr>
        <w:t>合格</w:t>
      </w:r>
      <w:r>
        <w:t>以上</w:t>
      </w:r>
      <w:r>
        <w:rPr>
          <w:rFonts w:hint="eastAsia"/>
          <w:lang w:eastAsia="zh-CN"/>
        </w:rPr>
        <w:t>，</w:t>
      </w:r>
      <w:r>
        <w:t>并按约定实施。</w:t>
      </w:r>
    </w:p>
    <w:p w14:paraId="1155E834">
      <w:pPr>
        <w:ind w:firstLine="480"/>
      </w:pPr>
      <w:r>
        <w:t>2．我方承诺在投标有效期内不修改、撤销</w:t>
      </w:r>
      <w:r>
        <w:rPr>
          <w:rFonts w:hint="eastAsia"/>
        </w:rPr>
        <w:t>比选申请文件</w:t>
      </w:r>
      <w:r>
        <w:t>。</w:t>
      </w:r>
    </w:p>
    <w:p w14:paraId="377ED7A6">
      <w:pPr>
        <w:ind w:firstLine="480"/>
      </w:pPr>
      <w:r>
        <w:t>3．我方在此声明，所递交的</w:t>
      </w:r>
      <w:r>
        <w:rPr>
          <w:rFonts w:hint="eastAsia"/>
        </w:rPr>
        <w:t>比选申请文件</w:t>
      </w:r>
      <w:r>
        <w:t>及有关资料内容完整、真实和准确。</w:t>
      </w:r>
    </w:p>
    <w:p w14:paraId="47AF19A0">
      <w:pPr>
        <w:ind w:firstLine="480"/>
      </w:pPr>
      <w:r>
        <w:t>4．在合同协议书正式签署生效之前，本报价书连同你方的中标通知书将构成我们双方之间共同遵守的文件，对双方具有约束力。</w:t>
      </w:r>
    </w:p>
    <w:p w14:paraId="303A3075">
      <w:pPr>
        <w:pStyle w:val="11"/>
        <w:ind w:firstLine="0" w:firstLineChars="0"/>
      </w:pPr>
    </w:p>
    <w:p w14:paraId="4410869C">
      <w:pPr>
        <w:pStyle w:val="11"/>
        <w:ind w:left="3780" w:firstLine="420" w:firstLineChars="0"/>
      </w:pPr>
      <w:r>
        <w:rPr>
          <w:rFonts w:hint="eastAsia"/>
        </w:rPr>
        <w:t>比选申请人</w:t>
      </w:r>
      <w:r>
        <w:t>：</w:t>
      </w:r>
      <w:r>
        <w:rPr>
          <w:u w:val="single"/>
        </w:rPr>
        <w:t xml:space="preserve">                       </w:t>
      </w:r>
      <w:r>
        <w:t>（盖单位章）</w:t>
      </w:r>
    </w:p>
    <w:p w14:paraId="5A6B2F90">
      <w:pPr>
        <w:pStyle w:val="11"/>
        <w:ind w:left="3780" w:firstLine="420" w:firstLineChars="0"/>
      </w:pPr>
      <w:r>
        <w:t>法定代表人或其委托代理人：</w:t>
      </w:r>
      <w:r>
        <w:rPr>
          <w:u w:val="single"/>
        </w:rPr>
        <w:t xml:space="preserve">         </w:t>
      </w:r>
      <w:r>
        <w:t>（签字）</w:t>
      </w:r>
    </w:p>
    <w:p w14:paraId="3111D000">
      <w:pPr>
        <w:pStyle w:val="11"/>
        <w:ind w:left="3780" w:firstLine="420" w:firstLineChars="0"/>
        <w:rPr>
          <w:u w:val="single"/>
        </w:rPr>
      </w:pPr>
      <w:r>
        <w:t>地址：</w:t>
      </w:r>
      <w:r>
        <w:rPr>
          <w:u w:val="single"/>
        </w:rPr>
        <w:t xml:space="preserve">                                   </w:t>
      </w:r>
    </w:p>
    <w:p w14:paraId="4B0BA835">
      <w:pPr>
        <w:pStyle w:val="11"/>
        <w:ind w:left="3780" w:firstLine="420" w:firstLineChars="0"/>
        <w:rPr>
          <w:u w:val="single"/>
        </w:rPr>
      </w:pPr>
      <w:r>
        <w:t>电话：</w:t>
      </w:r>
      <w:r>
        <w:rPr>
          <w:u w:val="single"/>
        </w:rPr>
        <w:t xml:space="preserve">                                   </w:t>
      </w:r>
    </w:p>
    <w:p w14:paraId="76E4CF64">
      <w:pPr>
        <w:pStyle w:val="11"/>
        <w:ind w:left="5040" w:firstLine="1380" w:firstLineChars="575"/>
        <w:sectPr>
          <w:pgSz w:w="11906" w:h="16838"/>
          <w:pgMar w:top="1134" w:right="1134" w:bottom="1134" w:left="1134" w:header="794" w:footer="782" w:gutter="0"/>
          <w:cols w:space="425" w:num="1"/>
          <w:docGrid w:type="lines" w:linePitch="312" w:charSpace="0"/>
        </w:sectPr>
      </w:pPr>
      <w:r>
        <w:t>年</w:t>
      </w:r>
      <w:r>
        <w:rPr>
          <w:rFonts w:hint="eastAsia"/>
        </w:rPr>
        <w:t xml:space="preserve">    </w:t>
      </w:r>
      <w:r>
        <w:t>月</w:t>
      </w:r>
      <w:r>
        <w:rPr>
          <w:rFonts w:hint="eastAsia"/>
        </w:rPr>
        <w:t xml:space="preserve">    </w:t>
      </w:r>
      <w:r>
        <w:t>日</w:t>
      </w:r>
    </w:p>
    <w:p w14:paraId="5A32546C">
      <w:pPr>
        <w:ind w:firstLine="480"/>
      </w:pPr>
    </w:p>
    <w:p w14:paraId="3D8E0CDD">
      <w:pPr>
        <w:pStyle w:val="11"/>
        <w:ind w:firstLine="0" w:firstLineChars="0"/>
        <w:jc w:val="center"/>
        <w:rPr>
          <w:b/>
          <w:bCs/>
          <w:sz w:val="28"/>
          <w:szCs w:val="28"/>
        </w:rPr>
      </w:pPr>
      <w:r>
        <w:rPr>
          <w:b/>
          <w:bCs/>
          <w:sz w:val="28"/>
          <w:szCs w:val="28"/>
        </w:rPr>
        <w:t>二、法定代表人身份证明及授权委托书</w:t>
      </w:r>
    </w:p>
    <w:p w14:paraId="2DFFA7BE">
      <w:pPr>
        <w:pStyle w:val="11"/>
        <w:ind w:firstLine="0" w:firstLineChars="0"/>
      </w:pPr>
    </w:p>
    <w:p w14:paraId="490CDA2C">
      <w:pPr>
        <w:pStyle w:val="11"/>
        <w:ind w:firstLine="0" w:firstLineChars="0"/>
        <w:jc w:val="center"/>
        <w:rPr>
          <w:b/>
          <w:bCs/>
        </w:rPr>
      </w:pPr>
      <w:r>
        <w:rPr>
          <w:b/>
          <w:bCs/>
        </w:rPr>
        <w:t>（一）法定代表人身份证明</w:t>
      </w:r>
    </w:p>
    <w:p w14:paraId="716B2CE3">
      <w:pPr>
        <w:pStyle w:val="11"/>
        <w:ind w:firstLine="0" w:firstLineChars="0"/>
        <w:rPr>
          <w:u w:val="single"/>
        </w:rPr>
      </w:pPr>
      <w:r>
        <w:rPr>
          <w:rFonts w:hint="eastAsia"/>
        </w:rPr>
        <w:t>比选申请人</w:t>
      </w:r>
      <w:r>
        <w:t>名称：</w:t>
      </w:r>
      <w:r>
        <w:rPr>
          <w:u w:val="single"/>
        </w:rPr>
        <w:t xml:space="preserve">                              </w:t>
      </w:r>
    </w:p>
    <w:p w14:paraId="1430CB8C">
      <w:pPr>
        <w:pStyle w:val="11"/>
        <w:ind w:firstLine="0" w:firstLineChars="0"/>
        <w:rPr>
          <w:u w:val="single"/>
        </w:rPr>
      </w:pPr>
      <w:r>
        <w:t>单位性质：</w:t>
      </w:r>
      <w:r>
        <w:rPr>
          <w:u w:val="single"/>
        </w:rPr>
        <w:t xml:space="preserve">                                </w:t>
      </w:r>
    </w:p>
    <w:p w14:paraId="359AEC35">
      <w:pPr>
        <w:pStyle w:val="11"/>
        <w:ind w:firstLine="0" w:firstLineChars="0"/>
        <w:rPr>
          <w:u w:val="single"/>
        </w:rPr>
      </w:pPr>
      <w:r>
        <w:t>地址：</w:t>
      </w:r>
      <w:r>
        <w:rPr>
          <w:u w:val="single"/>
        </w:rPr>
        <w:t xml:space="preserve">                                    </w:t>
      </w:r>
    </w:p>
    <w:p w14:paraId="0FAD4C9F">
      <w:pPr>
        <w:pStyle w:val="11"/>
        <w:ind w:firstLine="0" w:firstLineChars="0"/>
      </w:pPr>
      <w:r>
        <w:t>成立时间：</w:t>
      </w:r>
      <w:r>
        <w:rPr>
          <w:u w:val="single"/>
        </w:rPr>
        <w:t xml:space="preserve">          </w:t>
      </w:r>
      <w:r>
        <w:t>年</w:t>
      </w:r>
      <w:r>
        <w:rPr>
          <w:u w:val="single"/>
        </w:rPr>
        <w:t xml:space="preserve">        </w:t>
      </w:r>
      <w:r>
        <w:t>月</w:t>
      </w:r>
      <w:r>
        <w:rPr>
          <w:u w:val="single"/>
        </w:rPr>
        <w:t xml:space="preserve">        </w:t>
      </w:r>
      <w:r>
        <w:t>日</w:t>
      </w:r>
    </w:p>
    <w:p w14:paraId="26E0E2E6">
      <w:pPr>
        <w:pStyle w:val="11"/>
        <w:ind w:firstLine="0" w:firstLineChars="0"/>
        <w:rPr>
          <w:u w:val="single"/>
        </w:rPr>
      </w:pPr>
      <w:r>
        <w:t>经营期限：</w:t>
      </w:r>
      <w:r>
        <w:rPr>
          <w:u w:val="single"/>
        </w:rPr>
        <w:t xml:space="preserve">                                </w:t>
      </w:r>
    </w:p>
    <w:p w14:paraId="524465B5">
      <w:pPr>
        <w:pStyle w:val="11"/>
        <w:ind w:firstLine="0" w:firstLineChars="0"/>
      </w:pPr>
      <w:r>
        <w:t>姓名：</w:t>
      </w:r>
      <w:r>
        <w:rPr>
          <w:u w:val="single"/>
        </w:rPr>
        <w:t xml:space="preserve">            </w:t>
      </w:r>
      <w:r>
        <w:t>（法</w:t>
      </w:r>
      <w:r>
        <w:rPr>
          <w:rFonts w:hint="eastAsia"/>
        </w:rPr>
        <w:t>定代表</w:t>
      </w:r>
      <w:r>
        <w:t>人手签）性别：</w:t>
      </w:r>
      <w:r>
        <w:rPr>
          <w:u w:val="single"/>
        </w:rPr>
        <w:t xml:space="preserve">    </w:t>
      </w:r>
      <w:r>
        <w:t>年龄：</w:t>
      </w:r>
      <w:r>
        <w:rPr>
          <w:u w:val="single"/>
        </w:rPr>
        <w:t xml:space="preserve">    </w:t>
      </w:r>
      <w:r>
        <w:t>职务：</w:t>
      </w:r>
      <w:r>
        <w:rPr>
          <w:u w:val="single"/>
        </w:rPr>
        <w:t xml:space="preserve">        </w:t>
      </w:r>
    </w:p>
    <w:p w14:paraId="30075C75">
      <w:pPr>
        <w:pStyle w:val="11"/>
        <w:ind w:firstLine="0" w:firstLineChars="0"/>
      </w:pPr>
      <w:r>
        <w:t>系</w:t>
      </w:r>
      <w:r>
        <w:rPr>
          <w:u w:val="single"/>
        </w:rPr>
        <w:t xml:space="preserve">                              </w:t>
      </w:r>
      <w:r>
        <w:t>（</w:t>
      </w:r>
      <w:r>
        <w:rPr>
          <w:rFonts w:hint="eastAsia"/>
        </w:rPr>
        <w:t>比选申请人</w:t>
      </w:r>
      <w:r>
        <w:t>名称）的法定代表人。</w:t>
      </w:r>
    </w:p>
    <w:p w14:paraId="6AFD65BF">
      <w:pPr>
        <w:ind w:firstLine="480"/>
      </w:pPr>
      <w:r>
        <w:t>特此证明。</w:t>
      </w:r>
    </w:p>
    <w:p w14:paraId="127A849D">
      <w:pPr>
        <w:pStyle w:val="11"/>
        <w:ind w:firstLine="0" w:firstLineChars="0"/>
      </w:pPr>
    </w:p>
    <w:p w14:paraId="09745432">
      <w:pPr>
        <w:pStyle w:val="11"/>
        <w:ind w:firstLine="0" w:firstLineChars="0"/>
      </w:pPr>
    </w:p>
    <w:p w14:paraId="4A0A516B">
      <w:pPr>
        <w:pStyle w:val="11"/>
        <w:ind w:firstLine="0" w:firstLineChars="0"/>
        <w:jc w:val="right"/>
      </w:pPr>
      <w:r>
        <w:rPr>
          <w:rFonts w:hint="eastAsia"/>
        </w:rPr>
        <w:t>比选申请人</w:t>
      </w:r>
      <w:r>
        <w:t>：</w:t>
      </w:r>
      <w:r>
        <w:rPr>
          <w:u w:val="single"/>
        </w:rPr>
        <w:t xml:space="preserve">                      </w:t>
      </w:r>
      <w:r>
        <w:t>（盖单位章）</w:t>
      </w:r>
    </w:p>
    <w:p w14:paraId="3E1F4902">
      <w:pPr>
        <w:pStyle w:val="11"/>
        <w:ind w:firstLine="0" w:firstLineChars="0"/>
      </w:pPr>
    </w:p>
    <w:p w14:paraId="0FA82E0E">
      <w:pPr>
        <w:pStyle w:val="11"/>
        <w:ind w:left="1680" w:firstLine="4713" w:firstLineChars="1964"/>
      </w:pPr>
      <w:r>
        <w:t>年</w:t>
      </w:r>
      <w:r>
        <w:rPr>
          <w:rFonts w:hint="eastAsia"/>
        </w:rPr>
        <w:t xml:space="preserve">    </w:t>
      </w:r>
      <w:r>
        <w:t>月</w:t>
      </w:r>
      <w:r>
        <w:rPr>
          <w:rFonts w:hint="eastAsia"/>
        </w:rPr>
        <w:t xml:space="preserve">    </w:t>
      </w:r>
      <w:r>
        <w:t>日</w:t>
      </w:r>
    </w:p>
    <w:p w14:paraId="471C7C8F">
      <w:pPr>
        <w:pStyle w:val="11"/>
        <w:ind w:firstLine="0" w:firstLineChars="0"/>
      </w:pPr>
    </w:p>
    <w:p w14:paraId="19E90FCD">
      <w:pPr>
        <w:pStyle w:val="11"/>
        <w:ind w:firstLine="0" w:firstLineChars="0"/>
      </w:pPr>
    </w:p>
    <w:p w14:paraId="3F86B0EE">
      <w:pPr>
        <w:pStyle w:val="11"/>
        <w:ind w:firstLine="0" w:firstLineChars="0"/>
      </w:pPr>
    </w:p>
    <w:p w14:paraId="3E6DCBDB">
      <w:pPr>
        <w:pStyle w:val="11"/>
        <w:ind w:firstLine="0" w:firstLineChars="0"/>
      </w:pPr>
    </w:p>
    <w:p w14:paraId="4E6CEA61">
      <w:pPr>
        <w:pStyle w:val="11"/>
        <w:ind w:firstLine="0" w:firstLineChars="0"/>
        <w:rPr>
          <w:b/>
          <w:bCs/>
          <w:color w:val="auto"/>
        </w:rPr>
        <w:sectPr>
          <w:pgSz w:w="11906" w:h="16838"/>
          <w:pgMar w:top="1134" w:right="1134" w:bottom="1134" w:left="1134" w:header="794" w:footer="782" w:gutter="0"/>
          <w:cols w:space="425" w:num="1"/>
          <w:docGrid w:type="lines" w:linePitch="312" w:charSpace="0"/>
        </w:sectPr>
      </w:pPr>
      <w:r>
        <w:rPr>
          <w:b/>
          <w:bCs/>
          <w:color w:val="auto"/>
        </w:rPr>
        <w:t>注：法定代表人的签字必须是亲笔签名，不得用印章、签名章或其他电子制版签名。</w:t>
      </w:r>
    </w:p>
    <w:p w14:paraId="4FCB22DE">
      <w:pPr>
        <w:ind w:firstLine="480"/>
      </w:pPr>
    </w:p>
    <w:p w14:paraId="59BEB7FA">
      <w:pPr>
        <w:pStyle w:val="11"/>
        <w:ind w:firstLine="0" w:firstLineChars="0"/>
        <w:jc w:val="center"/>
        <w:rPr>
          <w:b/>
          <w:bCs/>
          <w:sz w:val="28"/>
          <w:szCs w:val="28"/>
        </w:rPr>
      </w:pPr>
      <w:r>
        <w:rPr>
          <w:b/>
          <w:bCs/>
          <w:sz w:val="28"/>
          <w:szCs w:val="28"/>
        </w:rPr>
        <w:t>（二）授权委托书</w:t>
      </w:r>
    </w:p>
    <w:p w14:paraId="1409ED9F">
      <w:pPr>
        <w:pStyle w:val="11"/>
        <w:ind w:firstLine="0" w:firstLineChars="0"/>
      </w:pPr>
    </w:p>
    <w:p w14:paraId="7A9FDFEE">
      <w:pPr>
        <w:ind w:firstLine="480"/>
      </w:pPr>
      <w:r>
        <w:t>本人</w:t>
      </w:r>
      <w:r>
        <w:rPr>
          <w:u w:val="single"/>
        </w:rPr>
        <w:t xml:space="preserve">        </w:t>
      </w:r>
      <w:r>
        <w:t>（姓名）系</w:t>
      </w:r>
      <w:r>
        <w:rPr>
          <w:u w:val="single"/>
        </w:rPr>
        <w:t xml:space="preserve">                       </w:t>
      </w:r>
      <w:r>
        <w:t>（</w:t>
      </w:r>
      <w:r>
        <w:rPr>
          <w:rFonts w:hint="eastAsia"/>
        </w:rPr>
        <w:t>比选申请人</w:t>
      </w:r>
      <w:r>
        <w:t>名称）的法定代表人，现委托</w:t>
      </w:r>
      <w:r>
        <w:rPr>
          <w:u w:val="single"/>
        </w:rPr>
        <w:t xml:space="preserve">        </w:t>
      </w:r>
      <w:r>
        <w:t>（姓名）为我方代理人。代理人根据授权，以我方名义签署、澄清、说明、补正、递交、撤回、修改</w:t>
      </w:r>
      <w:r>
        <w:rPr>
          <w:rFonts w:hint="eastAsia" w:ascii="宋体" w:hAnsi="宋体" w:cs="宋体"/>
          <w:b/>
          <w:u w:val="single"/>
          <w:lang w:eastAsia="zh-CN"/>
        </w:rPr>
        <w:t>富金坝航电枢纽桥梁缺陷整治施工项目</w:t>
      </w:r>
      <w:r>
        <w:rPr>
          <w:rFonts w:hint="eastAsia"/>
          <w:b/>
          <w:bCs/>
          <w:u w:val="single"/>
        </w:rPr>
        <w:t>劳务分包</w:t>
      </w:r>
      <w:r>
        <w:t>报价书、签订合同和处理有关事宜，其法律后果由我方承担。</w:t>
      </w:r>
    </w:p>
    <w:p w14:paraId="2F1ABD4F">
      <w:pPr>
        <w:ind w:firstLine="480"/>
      </w:pPr>
      <w:r>
        <w:t>委托期限：</w:t>
      </w:r>
      <w:r>
        <w:rPr>
          <w:u w:val="single"/>
        </w:rPr>
        <w:t xml:space="preserve">                    </w:t>
      </w:r>
      <w:r>
        <w:t>。</w:t>
      </w:r>
    </w:p>
    <w:p w14:paraId="5BC42CF8">
      <w:pPr>
        <w:ind w:firstLine="480"/>
      </w:pPr>
      <w:r>
        <w:t>代理人无转委托权。</w:t>
      </w:r>
    </w:p>
    <w:p w14:paraId="174BC969">
      <w:pPr>
        <w:ind w:firstLine="482"/>
        <w:rPr>
          <w:b/>
          <w:bCs/>
        </w:rPr>
      </w:pPr>
      <w:r>
        <w:rPr>
          <w:b/>
          <w:bCs/>
        </w:rPr>
        <w:t>附：法定代表人及委托代理人身份证复印件。</w:t>
      </w:r>
    </w:p>
    <w:tbl>
      <w:tblPr>
        <w:tblStyle w:val="14"/>
        <w:tblpPr w:leftFromText="180" w:rightFromText="180" w:vertAnchor="text" w:horzAnchor="page" w:tblpXSpec="center" w:tblpY="340"/>
        <w:tblOverlap w:val="never"/>
        <w:tblW w:w="0" w:type="auto"/>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830"/>
        <w:gridCol w:w="4830"/>
      </w:tblGrid>
      <w:tr w14:paraId="438A0B33">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783" w:hRule="atLeast"/>
          <w:jc w:val="center"/>
        </w:trPr>
        <w:tc>
          <w:tcPr>
            <w:tcW w:w="4830" w:type="dxa"/>
            <w:vAlign w:val="center"/>
          </w:tcPr>
          <w:p w14:paraId="1A582845">
            <w:pPr>
              <w:spacing w:line="500" w:lineRule="exact"/>
              <w:ind w:firstLine="0" w:firstLineChars="0"/>
              <w:jc w:val="center"/>
              <w:rPr>
                <w:sz w:val="28"/>
              </w:rPr>
            </w:pPr>
            <w:r>
              <w:rPr>
                <w:rFonts w:hint="eastAsia" w:ascii="宋体" w:hAnsi="宋体" w:cs="宋体"/>
              </w:rPr>
              <w:t>法定代表人身份证正面</w:t>
            </w:r>
          </w:p>
        </w:tc>
        <w:tc>
          <w:tcPr>
            <w:tcW w:w="4830" w:type="dxa"/>
            <w:vAlign w:val="center"/>
          </w:tcPr>
          <w:p w14:paraId="08E5FAD2">
            <w:pPr>
              <w:spacing w:line="500" w:lineRule="exact"/>
              <w:ind w:firstLine="0" w:firstLineChars="0"/>
              <w:jc w:val="center"/>
              <w:rPr>
                <w:sz w:val="28"/>
              </w:rPr>
            </w:pPr>
            <w:r>
              <w:rPr>
                <w:rFonts w:hint="eastAsia" w:ascii="宋体" w:hAnsi="宋体" w:cs="宋体"/>
              </w:rPr>
              <w:t>法定代表人身份证反面</w:t>
            </w:r>
          </w:p>
        </w:tc>
      </w:tr>
      <w:tr w14:paraId="0160DF79">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808" w:hRule="atLeast"/>
          <w:jc w:val="center"/>
        </w:trPr>
        <w:tc>
          <w:tcPr>
            <w:tcW w:w="4830" w:type="dxa"/>
            <w:vAlign w:val="center"/>
          </w:tcPr>
          <w:p w14:paraId="5C413057">
            <w:pPr>
              <w:spacing w:line="500" w:lineRule="exact"/>
              <w:ind w:firstLine="0" w:firstLineChars="0"/>
              <w:jc w:val="center"/>
              <w:rPr>
                <w:sz w:val="28"/>
              </w:rPr>
            </w:pPr>
            <w:r>
              <w:rPr>
                <w:rFonts w:hint="eastAsia" w:ascii="宋体" w:hAnsi="宋体" w:cs="宋体"/>
              </w:rPr>
              <w:t>代理人身份证正面</w:t>
            </w:r>
          </w:p>
        </w:tc>
        <w:tc>
          <w:tcPr>
            <w:tcW w:w="4830" w:type="dxa"/>
            <w:vAlign w:val="center"/>
          </w:tcPr>
          <w:p w14:paraId="4EA767E4">
            <w:pPr>
              <w:spacing w:line="500" w:lineRule="exact"/>
              <w:ind w:firstLine="0" w:firstLineChars="0"/>
              <w:jc w:val="center"/>
              <w:rPr>
                <w:sz w:val="28"/>
              </w:rPr>
            </w:pPr>
            <w:r>
              <w:rPr>
                <w:rFonts w:hint="eastAsia" w:ascii="宋体" w:hAnsi="宋体" w:cs="宋体"/>
              </w:rPr>
              <w:t>代理人身份证反面</w:t>
            </w:r>
          </w:p>
        </w:tc>
      </w:tr>
    </w:tbl>
    <w:p w14:paraId="0B8AB642">
      <w:pPr>
        <w:pStyle w:val="11"/>
        <w:ind w:left="2100" w:firstLine="420" w:firstLineChars="0"/>
        <w:jc w:val="both"/>
      </w:pPr>
      <w:r>
        <w:rPr>
          <w:rFonts w:hint="eastAsia"/>
        </w:rPr>
        <w:t>比选申请</w:t>
      </w:r>
      <w:r>
        <w:t>人：</w:t>
      </w:r>
      <w:r>
        <w:rPr>
          <w:u w:val="single"/>
        </w:rPr>
        <w:t xml:space="preserve">                    </w:t>
      </w:r>
      <w:r>
        <w:t>（盖单位公章）</w:t>
      </w:r>
    </w:p>
    <w:p w14:paraId="33A97425">
      <w:pPr>
        <w:pStyle w:val="11"/>
        <w:ind w:left="2100" w:firstLine="420" w:firstLineChars="0"/>
        <w:jc w:val="both"/>
      </w:pPr>
      <w:r>
        <w:t>法定代表人：</w:t>
      </w:r>
      <w:r>
        <w:rPr>
          <w:u w:val="single"/>
        </w:rPr>
        <w:t xml:space="preserve">        </w:t>
      </w:r>
      <w:r>
        <w:t>（签字）</w:t>
      </w:r>
    </w:p>
    <w:p w14:paraId="61520440">
      <w:pPr>
        <w:pStyle w:val="11"/>
        <w:ind w:left="2100" w:firstLine="420" w:firstLineChars="0"/>
        <w:jc w:val="both"/>
      </w:pPr>
      <w:r>
        <w:t>身份证号码：</w:t>
      </w:r>
    </w:p>
    <w:p w14:paraId="7F95D4CD">
      <w:pPr>
        <w:pStyle w:val="11"/>
        <w:ind w:left="2100" w:firstLine="420" w:firstLineChars="0"/>
        <w:jc w:val="both"/>
      </w:pPr>
      <w:r>
        <w:t>委托代理人：</w:t>
      </w:r>
      <w:r>
        <w:rPr>
          <w:u w:val="single"/>
        </w:rPr>
        <w:t xml:space="preserve">        </w:t>
      </w:r>
      <w:r>
        <w:t>（签字）</w:t>
      </w:r>
    </w:p>
    <w:p w14:paraId="5A212534">
      <w:pPr>
        <w:pStyle w:val="11"/>
        <w:ind w:left="2100" w:firstLine="420" w:firstLineChars="0"/>
        <w:jc w:val="both"/>
      </w:pPr>
      <w:r>
        <w:t>身份证号码：</w:t>
      </w:r>
    </w:p>
    <w:p w14:paraId="562738E1">
      <w:pPr>
        <w:pStyle w:val="11"/>
        <w:ind w:left="3360" w:firstLine="420" w:firstLineChars="0"/>
        <w:jc w:val="both"/>
      </w:pPr>
    </w:p>
    <w:p w14:paraId="0C2CC684">
      <w:pPr>
        <w:pStyle w:val="11"/>
        <w:ind w:left="3360" w:firstLine="1140" w:firstLineChars="475"/>
        <w:jc w:val="both"/>
        <w:sectPr>
          <w:pgSz w:w="11906" w:h="16838"/>
          <w:pgMar w:top="1134" w:right="1134" w:bottom="1134" w:left="1134" w:header="794" w:footer="782" w:gutter="0"/>
          <w:cols w:space="425" w:num="1"/>
          <w:docGrid w:type="lines" w:linePitch="312" w:charSpace="0"/>
        </w:sectPr>
      </w:pPr>
      <w:r>
        <w:t>年</w:t>
      </w:r>
      <w:r>
        <w:rPr>
          <w:rFonts w:hint="eastAsia"/>
        </w:rPr>
        <w:t xml:space="preserve">    </w:t>
      </w:r>
      <w:r>
        <w:t>月</w:t>
      </w:r>
      <w:r>
        <w:rPr>
          <w:rFonts w:hint="eastAsia"/>
        </w:rPr>
        <w:t xml:space="preserve">    </w:t>
      </w:r>
      <w:r>
        <w:t>日</w:t>
      </w:r>
    </w:p>
    <w:p w14:paraId="0A0FB308">
      <w:pPr>
        <w:ind w:firstLine="480"/>
      </w:pPr>
    </w:p>
    <w:p w14:paraId="0E291531">
      <w:pPr>
        <w:pStyle w:val="11"/>
        <w:ind w:firstLine="0" w:firstLineChars="0"/>
        <w:jc w:val="center"/>
        <w:rPr>
          <w:rFonts w:hint="default" w:eastAsia="宋体"/>
          <w:b/>
          <w:bCs/>
          <w:sz w:val="28"/>
          <w:szCs w:val="28"/>
          <w:lang w:val="en-US" w:eastAsia="zh-CN"/>
        </w:rPr>
        <w:sectPr>
          <w:pgSz w:w="11906" w:h="16838"/>
          <w:pgMar w:top="1134" w:right="1134" w:bottom="1134" w:left="1134" w:header="794" w:footer="782" w:gutter="0"/>
          <w:cols w:space="425" w:num="1"/>
          <w:docGrid w:type="lines" w:linePitch="312" w:charSpace="0"/>
        </w:sectPr>
      </w:pPr>
      <w:r>
        <w:rPr>
          <w:b/>
          <w:bCs/>
          <w:sz w:val="28"/>
          <w:szCs w:val="28"/>
        </w:rPr>
        <w:t>三、比选申请</w:t>
      </w:r>
      <w:r>
        <w:rPr>
          <w:rFonts w:hint="eastAsia"/>
          <w:b/>
          <w:bCs/>
          <w:sz w:val="28"/>
          <w:szCs w:val="28"/>
        </w:rPr>
        <w:t>人</w:t>
      </w:r>
      <w:r>
        <w:rPr>
          <w:b/>
          <w:bCs/>
          <w:sz w:val="28"/>
          <w:szCs w:val="28"/>
        </w:rPr>
        <w:t>有效的营业执照、安全生产许可证、资质证书</w:t>
      </w:r>
      <w:r>
        <w:rPr>
          <w:rFonts w:hint="eastAsia"/>
          <w:b/>
          <w:bCs/>
          <w:sz w:val="28"/>
          <w:szCs w:val="28"/>
          <w:lang w:eastAsia="zh-CN"/>
        </w:rPr>
        <w:t>、</w:t>
      </w:r>
      <w:r>
        <w:rPr>
          <w:rFonts w:hint="eastAsia"/>
          <w:b/>
          <w:bCs/>
          <w:sz w:val="28"/>
          <w:szCs w:val="28"/>
          <w:lang w:val="en-US" w:eastAsia="zh-CN"/>
        </w:rPr>
        <w:t>业绩证明</w:t>
      </w:r>
    </w:p>
    <w:p w14:paraId="2947BC74">
      <w:pPr>
        <w:pStyle w:val="11"/>
        <w:ind w:firstLine="0" w:firstLineChars="0"/>
      </w:pPr>
    </w:p>
    <w:p w14:paraId="7C3F5085">
      <w:pPr>
        <w:pStyle w:val="11"/>
        <w:ind w:firstLine="0" w:firstLineChars="0"/>
        <w:jc w:val="center"/>
        <w:rPr>
          <w:b/>
          <w:bCs/>
          <w:sz w:val="28"/>
          <w:szCs w:val="28"/>
        </w:rPr>
      </w:pPr>
      <w:r>
        <w:rPr>
          <w:rFonts w:hint="eastAsia"/>
          <w:b/>
          <w:bCs/>
          <w:sz w:val="28"/>
          <w:szCs w:val="28"/>
        </w:rPr>
        <w:t>四、比选申请人自行承诺部分</w:t>
      </w:r>
    </w:p>
    <w:p w14:paraId="75E5BB08">
      <w:pPr>
        <w:ind w:firstLine="0" w:firstLineChars="0"/>
        <w:rPr>
          <w:b/>
          <w:bCs/>
        </w:rPr>
      </w:pPr>
      <w:r>
        <w:rPr>
          <w:rFonts w:hint="eastAsia"/>
          <w:b/>
          <w:bCs/>
        </w:rPr>
        <w:t>重庆公路养护工程（集团）有限公司：</w:t>
      </w:r>
    </w:p>
    <w:p w14:paraId="68E27124">
      <w:pPr>
        <w:ind w:firstLine="480"/>
      </w:pPr>
      <w:r>
        <w:rPr>
          <w:rFonts w:hint="eastAsia"/>
        </w:rPr>
        <w:t>我司承诺本次比选申请文件的所有资料、业绩均为真实材料。我司将按照合同要求提供设备、施工人员及辅助材料。若违背竞争性比选文件及合同要求，我司将按照约定接受处罚。</w:t>
      </w:r>
    </w:p>
    <w:p w14:paraId="27758C6B">
      <w:pPr>
        <w:ind w:firstLine="480"/>
      </w:pPr>
      <w:r>
        <w:rPr>
          <w:rFonts w:hint="eastAsia"/>
        </w:rPr>
        <w:t>我司承诺在最近三年没有出现违法违规或失信行为；无拖欠劳务费的败诉记录；没有无故弃标的不良记录；未处于被责令停业，歇业，投标资格被取消，财产被接管、被采取强制措施、破产状态，并将按照竞争性比选文件要求实施项目。</w:t>
      </w:r>
    </w:p>
    <w:p w14:paraId="27C4979F">
      <w:pPr>
        <w:ind w:firstLine="480"/>
      </w:pPr>
    </w:p>
    <w:p w14:paraId="53C8287F">
      <w:pPr>
        <w:ind w:firstLine="0" w:firstLineChars="0"/>
        <w:jc w:val="right"/>
      </w:pPr>
      <w:r>
        <w:rPr>
          <w:rFonts w:hint="eastAsia"/>
        </w:rPr>
        <w:t>比选申请人：</w:t>
      </w:r>
      <w:r>
        <w:rPr>
          <w:rFonts w:hint="eastAsia"/>
          <w:u w:val="single"/>
        </w:rPr>
        <w:t xml:space="preserve">                 </w:t>
      </w:r>
      <w:r>
        <w:rPr>
          <w:rFonts w:hint="eastAsia"/>
        </w:rPr>
        <w:t>（盖单位章）</w:t>
      </w:r>
    </w:p>
    <w:p w14:paraId="5CB756BB">
      <w:pPr>
        <w:pStyle w:val="7"/>
        <w:wordWrap/>
        <w:ind w:firstLine="480"/>
        <w:jc w:val="right"/>
      </w:pPr>
      <w:r>
        <w:rPr>
          <w:rFonts w:hint="eastAsia"/>
        </w:rPr>
        <w:t>年    月    日</w:t>
      </w:r>
    </w:p>
    <w:p w14:paraId="2EB0933E">
      <w:pPr>
        <w:ind w:firstLine="480"/>
      </w:pPr>
    </w:p>
    <w:p w14:paraId="17EB6658">
      <w:pPr>
        <w:ind w:firstLine="480"/>
      </w:pPr>
    </w:p>
    <w:p w14:paraId="4ED944C6">
      <w:pPr>
        <w:ind w:firstLine="480"/>
      </w:pPr>
    </w:p>
    <w:p w14:paraId="0763FA1E">
      <w:pPr>
        <w:ind w:firstLine="480"/>
      </w:pPr>
    </w:p>
    <w:p w14:paraId="699135AB">
      <w:pPr>
        <w:ind w:firstLine="480"/>
      </w:pPr>
    </w:p>
    <w:p w14:paraId="20E46630">
      <w:pPr>
        <w:ind w:firstLine="480"/>
      </w:pPr>
    </w:p>
    <w:p w14:paraId="650E7CFF">
      <w:pPr>
        <w:ind w:firstLine="480"/>
      </w:pPr>
    </w:p>
    <w:p w14:paraId="026F484B">
      <w:pPr>
        <w:ind w:firstLine="480"/>
      </w:pPr>
    </w:p>
    <w:p w14:paraId="15F3C980">
      <w:pPr>
        <w:ind w:firstLine="480"/>
      </w:pPr>
    </w:p>
    <w:p w14:paraId="6A7465F9">
      <w:pPr>
        <w:ind w:firstLine="480"/>
      </w:pPr>
    </w:p>
    <w:p w14:paraId="05622428">
      <w:pPr>
        <w:ind w:firstLine="480"/>
      </w:pPr>
    </w:p>
    <w:p w14:paraId="7968C473">
      <w:pPr>
        <w:ind w:firstLine="480"/>
      </w:pPr>
    </w:p>
    <w:p w14:paraId="25E01CDC">
      <w:pPr>
        <w:ind w:firstLine="480"/>
      </w:pPr>
    </w:p>
    <w:p w14:paraId="2AB48BC6">
      <w:pPr>
        <w:ind w:firstLine="480"/>
      </w:pPr>
    </w:p>
    <w:p w14:paraId="47A579F3">
      <w:pPr>
        <w:ind w:firstLine="480"/>
      </w:pPr>
    </w:p>
    <w:p w14:paraId="3224BE0B">
      <w:pPr>
        <w:ind w:firstLine="480"/>
      </w:pPr>
    </w:p>
    <w:p w14:paraId="3D0C1C91">
      <w:pPr>
        <w:ind w:firstLine="480"/>
      </w:pPr>
    </w:p>
    <w:p w14:paraId="2A907D64">
      <w:pPr>
        <w:ind w:firstLine="480"/>
      </w:pPr>
    </w:p>
    <w:p w14:paraId="45CF83AC">
      <w:pPr>
        <w:ind w:firstLine="480"/>
      </w:pPr>
    </w:p>
    <w:p w14:paraId="505DF2E1">
      <w:pPr>
        <w:pStyle w:val="11"/>
        <w:ind w:firstLine="0" w:firstLineChars="0"/>
        <w:jc w:val="center"/>
        <w:rPr>
          <w:rFonts w:hint="default" w:eastAsia="宋体"/>
          <w:lang w:val="en-US" w:eastAsia="zh-CN"/>
        </w:rPr>
      </w:pPr>
      <w:r>
        <w:rPr>
          <w:rFonts w:hint="eastAsia"/>
          <w:b/>
          <w:bCs/>
          <w:sz w:val="28"/>
          <w:szCs w:val="28"/>
          <w:lang w:val="en-US" w:eastAsia="zh-CN"/>
        </w:rPr>
        <w:t>五、劳务工程量报价清单</w:t>
      </w:r>
    </w:p>
    <w:tbl>
      <w:tblPr>
        <w:tblStyle w:val="14"/>
        <w:tblW w:w="100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8"/>
        <w:gridCol w:w="2460"/>
        <w:gridCol w:w="588"/>
        <w:gridCol w:w="852"/>
        <w:gridCol w:w="1200"/>
        <w:gridCol w:w="1248"/>
        <w:gridCol w:w="1212"/>
        <w:gridCol w:w="1236"/>
        <w:gridCol w:w="663"/>
      </w:tblGrid>
      <w:tr w14:paraId="62531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10077" w:type="dxa"/>
            <w:gridSpan w:val="9"/>
            <w:shd w:val="clear" w:color="auto" w:fill="auto"/>
            <w:noWrap w:val="0"/>
            <w:tcMar>
              <w:top w:w="-1" w:type="dxa"/>
              <w:left w:w="-1" w:type="dxa"/>
              <w:bottom w:w="-1" w:type="dxa"/>
              <w:right w:w="-1" w:type="dxa"/>
            </w:tcMar>
            <w:vAlign w:val="center"/>
          </w:tcPr>
          <w:p w14:paraId="168129BA">
            <w:pPr>
              <w:pStyle w:val="11"/>
              <w:ind w:firstLine="0" w:firstLineChars="0"/>
              <w:jc w:val="center"/>
              <w:rPr>
                <w:rFonts w:hint="eastAsia" w:ascii="宋体" w:hAnsi="宋体" w:cs="宋体"/>
                <w:b/>
                <w:bCs/>
                <w:color w:val="000000"/>
                <w:kern w:val="0"/>
                <w:sz w:val="32"/>
                <w:szCs w:val="32"/>
                <w:lang w:bidi="ar"/>
              </w:rPr>
            </w:pPr>
            <w:r>
              <w:rPr>
                <w:rFonts w:hint="eastAsia"/>
                <w:b/>
                <w:bCs/>
                <w:sz w:val="28"/>
                <w:szCs w:val="28"/>
                <w:lang w:val="en-US" w:eastAsia="zh-CN"/>
              </w:rPr>
              <w:t>劳务工程量报价清单</w:t>
            </w:r>
          </w:p>
        </w:tc>
      </w:tr>
      <w:tr w14:paraId="1F131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6966" w:type="dxa"/>
            <w:gridSpan w:val="6"/>
            <w:shd w:val="clear" w:color="auto" w:fill="auto"/>
            <w:noWrap w:val="0"/>
            <w:tcMar>
              <w:top w:w="-1" w:type="dxa"/>
              <w:left w:w="-1" w:type="dxa"/>
              <w:bottom w:w="-1" w:type="dxa"/>
              <w:right w:w="-1" w:type="dxa"/>
            </w:tcMar>
            <w:vAlign w:val="center"/>
          </w:tcPr>
          <w:p w14:paraId="1634D9C9">
            <w:pPr>
              <w:keepNext w:val="0"/>
              <w:keepLines w:val="0"/>
              <w:widowControl/>
              <w:suppressLineNumbers w:val="0"/>
              <w:wordWrap/>
              <w:snapToGrid w:val="0"/>
              <w:ind w:left="0" w:leftChars="0" w:firstLine="0" w:firstLineChars="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项目名称：富金坝航电枢纽桥梁缺陷整治施工项目</w:t>
            </w:r>
          </w:p>
        </w:tc>
        <w:tc>
          <w:tcPr>
            <w:tcW w:w="3111" w:type="dxa"/>
            <w:gridSpan w:val="3"/>
            <w:shd w:val="clear" w:color="auto" w:fill="auto"/>
            <w:noWrap w:val="0"/>
            <w:tcMar>
              <w:top w:w="-1" w:type="dxa"/>
              <w:left w:w="-1" w:type="dxa"/>
              <w:bottom w:w="-1" w:type="dxa"/>
              <w:right w:w="-1" w:type="dxa"/>
            </w:tcMar>
            <w:vAlign w:val="center"/>
          </w:tcPr>
          <w:p w14:paraId="35A43147">
            <w:pPr>
              <w:keepNext w:val="0"/>
              <w:keepLines w:val="0"/>
              <w:widowControl/>
              <w:suppressLineNumbers w:val="0"/>
              <w:snapToGrid w:val="0"/>
              <w:ind w:left="0" w:leftChars="0" w:firstLine="0" w:firstLineChars="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货币单位：人民币  元</w:t>
            </w:r>
          </w:p>
        </w:tc>
      </w:tr>
      <w:tr w14:paraId="311B8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618" w:type="dxa"/>
            <w:noWrap w:val="0"/>
            <w:tcMar>
              <w:top w:w="-1" w:type="dxa"/>
              <w:left w:w="-1" w:type="dxa"/>
              <w:bottom w:w="-1" w:type="dxa"/>
              <w:right w:w="-1" w:type="dxa"/>
            </w:tcMar>
            <w:vAlign w:val="center"/>
          </w:tcPr>
          <w:p w14:paraId="10BF3AA9">
            <w:pPr>
              <w:keepNext w:val="0"/>
              <w:keepLines w:val="0"/>
              <w:widowControl/>
              <w:suppressLineNumbers w:val="0"/>
              <w:snapToGrid w:val="0"/>
              <w:ind w:left="0" w:leftChars="0" w:firstLine="0" w:firstLineChars="0"/>
              <w:jc w:val="center"/>
              <w:textAlignment w:val="center"/>
              <w:rPr>
                <w:rFonts w:ascii="方正仿宋_GBK" w:hAnsi="方正仿宋_GBK" w:eastAsia="方正仿宋_GBK" w:cs="方正仿宋_GBK"/>
                <w:i w:val="0"/>
                <w:iCs w:val="0"/>
                <w:color w:val="000000"/>
                <w:sz w:val="20"/>
                <w:szCs w:val="20"/>
                <w:u w:val="none"/>
              </w:rPr>
            </w:pPr>
            <w:r>
              <w:rPr>
                <w:rFonts w:hint="default" w:ascii="方正仿宋_GBK" w:hAnsi="方正仿宋_GBK" w:eastAsia="方正仿宋_GBK" w:cs="方正仿宋_GBK"/>
                <w:i w:val="0"/>
                <w:iCs w:val="0"/>
                <w:color w:val="000000"/>
                <w:kern w:val="0"/>
                <w:sz w:val="20"/>
                <w:szCs w:val="20"/>
                <w:u w:val="none"/>
                <w:lang w:val="en-US" w:eastAsia="zh-CN" w:bidi="ar"/>
              </w:rPr>
              <w:t>序号</w:t>
            </w:r>
          </w:p>
        </w:tc>
        <w:tc>
          <w:tcPr>
            <w:tcW w:w="2460" w:type="dxa"/>
            <w:noWrap w:val="0"/>
            <w:tcMar>
              <w:top w:w="-1" w:type="dxa"/>
              <w:left w:w="-1" w:type="dxa"/>
              <w:bottom w:w="-1" w:type="dxa"/>
              <w:right w:w="-1" w:type="dxa"/>
            </w:tcMar>
            <w:vAlign w:val="center"/>
          </w:tcPr>
          <w:p w14:paraId="284B3ED0">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sz w:val="20"/>
                <w:szCs w:val="20"/>
                <w:u w:val="none"/>
              </w:rPr>
            </w:pPr>
            <w:r>
              <w:rPr>
                <w:rFonts w:hint="default" w:ascii="方正仿宋_GBK" w:hAnsi="方正仿宋_GBK" w:eastAsia="方正仿宋_GBK" w:cs="方正仿宋_GBK"/>
                <w:i w:val="0"/>
                <w:iCs w:val="0"/>
                <w:color w:val="000000"/>
                <w:kern w:val="0"/>
                <w:sz w:val="20"/>
                <w:szCs w:val="20"/>
                <w:u w:val="none"/>
                <w:lang w:val="en-US" w:eastAsia="zh-CN" w:bidi="ar"/>
              </w:rPr>
              <w:t>项目名称</w:t>
            </w:r>
          </w:p>
        </w:tc>
        <w:tc>
          <w:tcPr>
            <w:tcW w:w="588" w:type="dxa"/>
            <w:noWrap w:val="0"/>
            <w:tcMar>
              <w:top w:w="-1" w:type="dxa"/>
              <w:left w:w="-1" w:type="dxa"/>
              <w:bottom w:w="-1" w:type="dxa"/>
              <w:right w:w="-1" w:type="dxa"/>
            </w:tcMar>
            <w:vAlign w:val="center"/>
          </w:tcPr>
          <w:p w14:paraId="5AC05529">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sz w:val="20"/>
                <w:szCs w:val="20"/>
                <w:u w:val="none"/>
              </w:rPr>
            </w:pPr>
            <w:r>
              <w:rPr>
                <w:rFonts w:hint="default" w:ascii="方正仿宋_GBK" w:hAnsi="方正仿宋_GBK" w:eastAsia="方正仿宋_GBK" w:cs="方正仿宋_GBK"/>
                <w:i w:val="0"/>
                <w:iCs w:val="0"/>
                <w:color w:val="000000"/>
                <w:kern w:val="0"/>
                <w:sz w:val="20"/>
                <w:szCs w:val="20"/>
                <w:u w:val="none"/>
                <w:lang w:val="en-US" w:eastAsia="zh-CN" w:bidi="ar"/>
              </w:rPr>
              <w:t>单位</w:t>
            </w:r>
          </w:p>
        </w:tc>
        <w:tc>
          <w:tcPr>
            <w:tcW w:w="852" w:type="dxa"/>
            <w:noWrap w:val="0"/>
            <w:tcMar>
              <w:top w:w="-1" w:type="dxa"/>
              <w:left w:w="-1" w:type="dxa"/>
              <w:bottom w:w="-1" w:type="dxa"/>
              <w:right w:w="-1" w:type="dxa"/>
            </w:tcMar>
            <w:vAlign w:val="center"/>
          </w:tcPr>
          <w:p w14:paraId="4BA9DB7D">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sz w:val="20"/>
                <w:szCs w:val="20"/>
                <w:u w:val="none"/>
              </w:rPr>
            </w:pPr>
            <w:r>
              <w:rPr>
                <w:rFonts w:hint="default" w:ascii="方正仿宋_GBK" w:hAnsi="方正仿宋_GBK" w:eastAsia="方正仿宋_GBK" w:cs="方正仿宋_GBK"/>
                <w:i w:val="0"/>
                <w:iCs w:val="0"/>
                <w:color w:val="000000"/>
                <w:kern w:val="0"/>
                <w:sz w:val="20"/>
                <w:szCs w:val="20"/>
                <w:u w:val="none"/>
                <w:lang w:val="en-US" w:eastAsia="zh-CN" w:bidi="ar"/>
              </w:rPr>
              <w:t>工程数量</w:t>
            </w:r>
          </w:p>
        </w:tc>
        <w:tc>
          <w:tcPr>
            <w:tcW w:w="1200" w:type="dxa"/>
            <w:noWrap w:val="0"/>
            <w:tcMar>
              <w:top w:w="-1" w:type="dxa"/>
              <w:left w:w="-1" w:type="dxa"/>
              <w:bottom w:w="-1" w:type="dxa"/>
              <w:right w:w="-1" w:type="dxa"/>
            </w:tcMar>
            <w:vAlign w:val="center"/>
          </w:tcPr>
          <w:p w14:paraId="684BE0EC">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限价单价</w:t>
            </w:r>
          </w:p>
        </w:tc>
        <w:tc>
          <w:tcPr>
            <w:tcW w:w="1248" w:type="dxa"/>
            <w:noWrap w:val="0"/>
            <w:tcMar>
              <w:top w:w="-1" w:type="dxa"/>
              <w:left w:w="-1" w:type="dxa"/>
              <w:bottom w:w="-1" w:type="dxa"/>
              <w:right w:w="-1" w:type="dxa"/>
            </w:tcMar>
            <w:vAlign w:val="center"/>
          </w:tcPr>
          <w:p w14:paraId="48A5402F">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sz w:val="20"/>
                <w:szCs w:val="20"/>
                <w:u w:val="none"/>
                <w:lang w:val="en-US"/>
              </w:rPr>
            </w:pPr>
            <w:r>
              <w:rPr>
                <w:rFonts w:hint="eastAsia" w:ascii="方正仿宋_GBK" w:hAnsi="方正仿宋_GBK" w:eastAsia="方正仿宋_GBK" w:cs="方正仿宋_GBK"/>
                <w:i w:val="0"/>
                <w:iCs w:val="0"/>
                <w:color w:val="000000"/>
                <w:kern w:val="0"/>
                <w:sz w:val="20"/>
                <w:szCs w:val="20"/>
                <w:u w:val="none"/>
                <w:lang w:val="en-US" w:eastAsia="zh-CN" w:bidi="ar"/>
              </w:rPr>
              <w:t>限价总价</w:t>
            </w:r>
          </w:p>
        </w:tc>
        <w:tc>
          <w:tcPr>
            <w:tcW w:w="1212" w:type="dxa"/>
            <w:noWrap w:val="0"/>
            <w:tcMar>
              <w:top w:w="-1" w:type="dxa"/>
              <w:left w:w="-1" w:type="dxa"/>
              <w:bottom w:w="-1" w:type="dxa"/>
              <w:right w:w="-1" w:type="dxa"/>
            </w:tcMar>
            <w:vAlign w:val="center"/>
          </w:tcPr>
          <w:p w14:paraId="56B5772A">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投标单价</w:t>
            </w:r>
          </w:p>
        </w:tc>
        <w:tc>
          <w:tcPr>
            <w:tcW w:w="1236" w:type="dxa"/>
            <w:noWrap w:val="0"/>
            <w:tcMar>
              <w:top w:w="-1" w:type="dxa"/>
              <w:left w:w="-1" w:type="dxa"/>
              <w:bottom w:w="-1" w:type="dxa"/>
              <w:right w:w="-1" w:type="dxa"/>
            </w:tcMar>
            <w:vAlign w:val="center"/>
          </w:tcPr>
          <w:p w14:paraId="7D6FAC1C">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sz w:val="20"/>
                <w:szCs w:val="20"/>
                <w:u w:val="none"/>
                <w:lang w:val="en-US"/>
              </w:rPr>
            </w:pPr>
            <w:r>
              <w:rPr>
                <w:rFonts w:hint="eastAsia" w:ascii="方正仿宋_GBK" w:hAnsi="方正仿宋_GBK" w:eastAsia="方正仿宋_GBK" w:cs="方正仿宋_GBK"/>
                <w:i w:val="0"/>
                <w:iCs w:val="0"/>
                <w:color w:val="000000"/>
                <w:kern w:val="0"/>
                <w:sz w:val="20"/>
                <w:szCs w:val="20"/>
                <w:u w:val="none"/>
                <w:lang w:val="en-US" w:eastAsia="zh-CN" w:bidi="ar"/>
              </w:rPr>
              <w:t>投标总价</w:t>
            </w:r>
          </w:p>
        </w:tc>
        <w:tc>
          <w:tcPr>
            <w:tcW w:w="663" w:type="dxa"/>
            <w:noWrap w:val="0"/>
            <w:tcMar>
              <w:top w:w="-1" w:type="dxa"/>
              <w:left w:w="-1" w:type="dxa"/>
              <w:bottom w:w="-1" w:type="dxa"/>
              <w:right w:w="-1" w:type="dxa"/>
            </w:tcMar>
            <w:vAlign w:val="center"/>
          </w:tcPr>
          <w:p w14:paraId="24B1777C">
            <w:pPr>
              <w:keepNext w:val="0"/>
              <w:keepLines w:val="0"/>
              <w:widowControl/>
              <w:suppressLineNumbers w:val="0"/>
              <w:snapToGrid w:val="0"/>
              <w:ind w:left="0" w:leftChars="0" w:firstLine="0" w:firstLineChars="0"/>
              <w:jc w:val="center"/>
              <w:textAlignment w:val="center"/>
              <w:rPr>
                <w:rFonts w:hint="eastAsia" w:ascii="宋体" w:hAnsi="宋体" w:eastAsia="宋体" w:cs="宋体"/>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备注</w:t>
            </w:r>
          </w:p>
        </w:tc>
      </w:tr>
      <w:tr w14:paraId="56279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8" w:type="dxa"/>
            <w:noWrap w:val="0"/>
            <w:tcMar>
              <w:top w:w="-1" w:type="dxa"/>
              <w:left w:w="-1" w:type="dxa"/>
              <w:bottom w:w="-1" w:type="dxa"/>
              <w:right w:w="-1" w:type="dxa"/>
            </w:tcMar>
            <w:vAlign w:val="center"/>
          </w:tcPr>
          <w:p w14:paraId="37CD7A77">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b/>
                <w:bCs/>
                <w:i w:val="0"/>
                <w:iCs w:val="0"/>
                <w:color w:val="000000"/>
                <w:sz w:val="20"/>
                <w:szCs w:val="20"/>
                <w:u w:val="none"/>
              </w:rPr>
            </w:pPr>
            <w:r>
              <w:rPr>
                <w:rFonts w:hint="default" w:ascii="方正仿宋_GBK" w:hAnsi="方正仿宋_GBK" w:eastAsia="方正仿宋_GBK" w:cs="方正仿宋_GBK"/>
                <w:b/>
                <w:bCs/>
                <w:i w:val="0"/>
                <w:iCs w:val="0"/>
                <w:color w:val="000000"/>
                <w:kern w:val="0"/>
                <w:sz w:val="20"/>
                <w:szCs w:val="20"/>
                <w:u w:val="none"/>
                <w:lang w:val="en-US" w:eastAsia="zh-CN" w:bidi="ar"/>
              </w:rPr>
              <w:t>一</w:t>
            </w:r>
          </w:p>
        </w:tc>
        <w:tc>
          <w:tcPr>
            <w:tcW w:w="2460" w:type="dxa"/>
            <w:noWrap w:val="0"/>
            <w:tcMar>
              <w:top w:w="-1" w:type="dxa"/>
              <w:left w:w="-1" w:type="dxa"/>
              <w:bottom w:w="-1" w:type="dxa"/>
              <w:right w:w="-1" w:type="dxa"/>
            </w:tcMar>
            <w:vAlign w:val="center"/>
          </w:tcPr>
          <w:p w14:paraId="74024468">
            <w:pPr>
              <w:keepNext w:val="0"/>
              <w:keepLines w:val="0"/>
              <w:widowControl/>
              <w:suppressLineNumbers w:val="0"/>
              <w:snapToGrid w:val="0"/>
              <w:jc w:val="center"/>
              <w:textAlignment w:val="center"/>
              <w:rPr>
                <w:rFonts w:hint="default" w:ascii="方正仿宋_GBK" w:hAnsi="方正仿宋_GBK" w:eastAsia="方正仿宋_GBK" w:cs="方正仿宋_GBK"/>
                <w:b/>
                <w:bCs/>
                <w:i w:val="0"/>
                <w:iCs w:val="0"/>
                <w:color w:val="000000"/>
                <w:sz w:val="20"/>
                <w:szCs w:val="20"/>
                <w:u w:val="none"/>
              </w:rPr>
            </w:pPr>
            <w:r>
              <w:rPr>
                <w:rFonts w:hint="default" w:ascii="方正仿宋_GBK" w:hAnsi="方正仿宋_GBK" w:eastAsia="方正仿宋_GBK" w:cs="方正仿宋_GBK"/>
                <w:b/>
                <w:bCs/>
                <w:i w:val="0"/>
                <w:iCs w:val="0"/>
                <w:color w:val="000000"/>
                <w:kern w:val="0"/>
                <w:sz w:val="20"/>
                <w:szCs w:val="20"/>
                <w:u w:val="none"/>
                <w:lang w:val="en-US" w:eastAsia="zh-CN" w:bidi="ar"/>
              </w:rPr>
              <w:t>厂房进水闸桥</w:t>
            </w:r>
          </w:p>
        </w:tc>
        <w:tc>
          <w:tcPr>
            <w:tcW w:w="588" w:type="dxa"/>
            <w:noWrap w:val="0"/>
            <w:tcMar>
              <w:top w:w="-1" w:type="dxa"/>
              <w:left w:w="-1" w:type="dxa"/>
              <w:bottom w:w="-1" w:type="dxa"/>
              <w:right w:w="-1" w:type="dxa"/>
            </w:tcMar>
            <w:vAlign w:val="center"/>
          </w:tcPr>
          <w:p w14:paraId="681F7563">
            <w:pPr>
              <w:snapToGrid w:val="0"/>
              <w:jc w:val="center"/>
              <w:rPr>
                <w:rFonts w:hint="default" w:ascii="方正仿宋_GBK" w:hAnsi="方正仿宋_GBK" w:eastAsia="方正仿宋_GBK" w:cs="方正仿宋_GBK"/>
                <w:i w:val="0"/>
                <w:iCs w:val="0"/>
                <w:color w:val="000000"/>
                <w:sz w:val="20"/>
                <w:szCs w:val="20"/>
                <w:u w:val="none"/>
              </w:rPr>
            </w:pPr>
          </w:p>
        </w:tc>
        <w:tc>
          <w:tcPr>
            <w:tcW w:w="852" w:type="dxa"/>
            <w:noWrap w:val="0"/>
            <w:tcMar>
              <w:top w:w="-1" w:type="dxa"/>
              <w:left w:w="-1" w:type="dxa"/>
              <w:bottom w:w="-1" w:type="dxa"/>
              <w:right w:w="-1" w:type="dxa"/>
            </w:tcMar>
            <w:vAlign w:val="center"/>
          </w:tcPr>
          <w:p w14:paraId="6635CF7E">
            <w:pPr>
              <w:snapToGrid w:val="0"/>
              <w:jc w:val="center"/>
              <w:rPr>
                <w:rFonts w:hint="default" w:ascii="方正仿宋_GBK" w:hAnsi="方正仿宋_GBK" w:eastAsia="方正仿宋_GBK" w:cs="方正仿宋_GBK"/>
                <w:i w:val="0"/>
                <w:iCs w:val="0"/>
                <w:color w:val="000000"/>
                <w:sz w:val="20"/>
                <w:szCs w:val="20"/>
                <w:u w:val="none"/>
              </w:rPr>
            </w:pPr>
          </w:p>
        </w:tc>
        <w:tc>
          <w:tcPr>
            <w:tcW w:w="1200" w:type="dxa"/>
            <w:noWrap w:val="0"/>
            <w:tcMar>
              <w:top w:w="-1" w:type="dxa"/>
              <w:left w:w="-1" w:type="dxa"/>
              <w:bottom w:w="-1" w:type="dxa"/>
              <w:right w:w="-1" w:type="dxa"/>
            </w:tcMar>
            <w:vAlign w:val="center"/>
          </w:tcPr>
          <w:p w14:paraId="32C6EFBE">
            <w:pPr>
              <w:snapToGrid w:val="0"/>
              <w:jc w:val="center"/>
              <w:rPr>
                <w:rFonts w:hint="default" w:ascii="方正仿宋_GBK" w:hAnsi="方正仿宋_GBK" w:eastAsia="方正仿宋_GBK" w:cs="方正仿宋_GBK"/>
                <w:i w:val="0"/>
                <w:iCs w:val="0"/>
                <w:color w:val="000000"/>
                <w:sz w:val="20"/>
                <w:szCs w:val="20"/>
                <w:u w:val="none"/>
              </w:rPr>
            </w:pPr>
          </w:p>
        </w:tc>
        <w:tc>
          <w:tcPr>
            <w:tcW w:w="1248" w:type="dxa"/>
            <w:noWrap w:val="0"/>
            <w:tcMar>
              <w:top w:w="-1" w:type="dxa"/>
              <w:left w:w="-1" w:type="dxa"/>
              <w:bottom w:w="-1" w:type="dxa"/>
              <w:right w:w="-1" w:type="dxa"/>
            </w:tcMar>
            <w:vAlign w:val="center"/>
          </w:tcPr>
          <w:p w14:paraId="1F3F0126">
            <w:pPr>
              <w:snapToGrid w:val="0"/>
              <w:jc w:val="center"/>
              <w:rPr>
                <w:rFonts w:hint="default" w:ascii="方正仿宋_GBK" w:hAnsi="方正仿宋_GBK" w:eastAsia="方正仿宋_GBK" w:cs="方正仿宋_GBK"/>
                <w:i w:val="0"/>
                <w:iCs w:val="0"/>
                <w:color w:val="000000"/>
                <w:sz w:val="20"/>
                <w:szCs w:val="20"/>
                <w:u w:val="none"/>
              </w:rPr>
            </w:pPr>
          </w:p>
        </w:tc>
        <w:tc>
          <w:tcPr>
            <w:tcW w:w="1212" w:type="dxa"/>
            <w:noWrap w:val="0"/>
            <w:tcMar>
              <w:top w:w="-1" w:type="dxa"/>
              <w:left w:w="-1" w:type="dxa"/>
              <w:bottom w:w="-1" w:type="dxa"/>
              <w:right w:w="-1" w:type="dxa"/>
            </w:tcMar>
            <w:vAlign w:val="center"/>
          </w:tcPr>
          <w:p w14:paraId="2CF22281">
            <w:pPr>
              <w:snapToGrid w:val="0"/>
              <w:ind w:left="0" w:leftChars="0" w:firstLine="0" w:firstLineChars="0"/>
              <w:jc w:val="center"/>
              <w:rPr>
                <w:rFonts w:hint="default" w:ascii="方正仿宋_GBK" w:hAnsi="方正仿宋_GBK" w:eastAsia="方正仿宋_GBK" w:cs="方正仿宋_GBK"/>
                <w:i w:val="0"/>
                <w:iCs w:val="0"/>
                <w:color w:val="000000"/>
                <w:sz w:val="20"/>
                <w:szCs w:val="20"/>
                <w:u w:val="none"/>
              </w:rPr>
            </w:pPr>
          </w:p>
        </w:tc>
        <w:tc>
          <w:tcPr>
            <w:tcW w:w="1236" w:type="dxa"/>
            <w:noWrap w:val="0"/>
            <w:tcMar>
              <w:top w:w="-1" w:type="dxa"/>
              <w:left w:w="-1" w:type="dxa"/>
              <w:bottom w:w="-1" w:type="dxa"/>
              <w:right w:w="-1" w:type="dxa"/>
            </w:tcMar>
            <w:vAlign w:val="center"/>
          </w:tcPr>
          <w:p w14:paraId="526B3CFB">
            <w:pPr>
              <w:snapToGrid w:val="0"/>
              <w:jc w:val="center"/>
              <w:rPr>
                <w:rFonts w:hint="default" w:ascii="方正仿宋_GBK" w:hAnsi="方正仿宋_GBK" w:eastAsia="方正仿宋_GBK" w:cs="方正仿宋_GBK"/>
                <w:i w:val="0"/>
                <w:iCs w:val="0"/>
                <w:color w:val="000000"/>
                <w:sz w:val="20"/>
                <w:szCs w:val="20"/>
                <w:u w:val="none"/>
              </w:rPr>
            </w:pPr>
          </w:p>
        </w:tc>
        <w:tc>
          <w:tcPr>
            <w:tcW w:w="663" w:type="dxa"/>
            <w:noWrap w:val="0"/>
            <w:tcMar>
              <w:top w:w="-1" w:type="dxa"/>
              <w:left w:w="-1" w:type="dxa"/>
              <w:bottom w:w="-1" w:type="dxa"/>
              <w:right w:w="-1" w:type="dxa"/>
            </w:tcMar>
            <w:vAlign w:val="center"/>
          </w:tcPr>
          <w:p w14:paraId="3321473B">
            <w:pPr>
              <w:snapToGrid w:val="0"/>
              <w:jc w:val="center"/>
              <w:rPr>
                <w:rFonts w:hint="eastAsia" w:ascii="宋体" w:hAnsi="宋体" w:eastAsia="宋体" w:cs="宋体"/>
                <w:i w:val="0"/>
                <w:iCs w:val="0"/>
                <w:color w:val="000000"/>
                <w:sz w:val="20"/>
                <w:szCs w:val="20"/>
                <w:u w:val="none"/>
              </w:rPr>
            </w:pPr>
          </w:p>
        </w:tc>
      </w:tr>
      <w:tr w14:paraId="31EE4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8" w:type="dxa"/>
            <w:noWrap w:val="0"/>
            <w:tcMar>
              <w:top w:w="-1" w:type="dxa"/>
              <w:left w:w="-1" w:type="dxa"/>
              <w:bottom w:w="-1" w:type="dxa"/>
              <w:right w:w="-1" w:type="dxa"/>
            </w:tcMar>
            <w:vAlign w:val="center"/>
          </w:tcPr>
          <w:p w14:paraId="7877F19F">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w:t>
            </w:r>
          </w:p>
        </w:tc>
        <w:tc>
          <w:tcPr>
            <w:tcW w:w="2460" w:type="dxa"/>
            <w:noWrap w:val="0"/>
            <w:tcMar>
              <w:top w:w="-1" w:type="dxa"/>
              <w:left w:w="-1" w:type="dxa"/>
              <w:bottom w:w="-1" w:type="dxa"/>
              <w:right w:w="-1" w:type="dxa"/>
            </w:tcMar>
            <w:vAlign w:val="center"/>
          </w:tcPr>
          <w:p w14:paraId="5DFA3C55">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破损露筋表面修补</w:t>
            </w:r>
          </w:p>
        </w:tc>
        <w:tc>
          <w:tcPr>
            <w:tcW w:w="588" w:type="dxa"/>
            <w:noWrap w:val="0"/>
            <w:tcMar>
              <w:top w:w="-1" w:type="dxa"/>
              <w:left w:w="-1" w:type="dxa"/>
              <w:bottom w:w="-1" w:type="dxa"/>
              <w:right w:w="-1" w:type="dxa"/>
            </w:tcMar>
            <w:vAlign w:val="center"/>
          </w:tcPr>
          <w:p w14:paraId="5624E4A2">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m2</w:t>
            </w:r>
          </w:p>
        </w:tc>
        <w:tc>
          <w:tcPr>
            <w:tcW w:w="852" w:type="dxa"/>
            <w:noWrap w:val="0"/>
            <w:tcMar>
              <w:top w:w="-1" w:type="dxa"/>
              <w:left w:w="-1" w:type="dxa"/>
              <w:bottom w:w="-1" w:type="dxa"/>
              <w:right w:w="-1" w:type="dxa"/>
            </w:tcMar>
            <w:vAlign w:val="center"/>
          </w:tcPr>
          <w:p w14:paraId="775AA8B8">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0.91</w:t>
            </w:r>
          </w:p>
        </w:tc>
        <w:tc>
          <w:tcPr>
            <w:tcW w:w="1200" w:type="dxa"/>
            <w:noWrap w:val="0"/>
            <w:tcMar>
              <w:top w:w="-1" w:type="dxa"/>
              <w:left w:w="-1" w:type="dxa"/>
              <w:bottom w:w="-1" w:type="dxa"/>
              <w:right w:w="-1" w:type="dxa"/>
            </w:tcMar>
            <w:vAlign w:val="center"/>
          </w:tcPr>
          <w:p w14:paraId="07E95C98">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240.00</w:t>
            </w:r>
          </w:p>
        </w:tc>
        <w:tc>
          <w:tcPr>
            <w:tcW w:w="1248" w:type="dxa"/>
            <w:noWrap w:val="0"/>
            <w:tcMar>
              <w:top w:w="-1" w:type="dxa"/>
              <w:left w:w="-1" w:type="dxa"/>
              <w:bottom w:w="-1" w:type="dxa"/>
              <w:right w:w="-1" w:type="dxa"/>
            </w:tcMar>
            <w:vAlign w:val="center"/>
          </w:tcPr>
          <w:p w14:paraId="05A8D9EB">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218.40</w:t>
            </w:r>
          </w:p>
        </w:tc>
        <w:tc>
          <w:tcPr>
            <w:tcW w:w="1212" w:type="dxa"/>
            <w:noWrap w:val="0"/>
            <w:tcMar>
              <w:top w:w="-1" w:type="dxa"/>
              <w:left w:w="-1" w:type="dxa"/>
              <w:bottom w:w="-1" w:type="dxa"/>
              <w:right w:w="-1" w:type="dxa"/>
            </w:tcMar>
            <w:vAlign w:val="center"/>
          </w:tcPr>
          <w:p w14:paraId="0B9FCB30">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1236" w:type="dxa"/>
            <w:noWrap w:val="0"/>
            <w:tcMar>
              <w:top w:w="-1" w:type="dxa"/>
              <w:left w:w="-1" w:type="dxa"/>
              <w:bottom w:w="-1" w:type="dxa"/>
              <w:right w:w="-1" w:type="dxa"/>
            </w:tcMar>
            <w:vAlign w:val="center"/>
          </w:tcPr>
          <w:p w14:paraId="05DB07BF">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663" w:type="dxa"/>
            <w:noWrap w:val="0"/>
            <w:tcMar>
              <w:top w:w="-1" w:type="dxa"/>
              <w:left w:w="-1" w:type="dxa"/>
              <w:bottom w:w="-1" w:type="dxa"/>
              <w:right w:w="-1" w:type="dxa"/>
            </w:tcMar>
            <w:vAlign w:val="center"/>
          </w:tcPr>
          <w:p w14:paraId="5B401930">
            <w:pPr>
              <w:keepNext w:val="0"/>
              <w:keepLines w:val="0"/>
              <w:widowControl/>
              <w:suppressLineNumbers w:val="0"/>
              <w:snapToGrid w:val="0"/>
              <w:ind w:left="0" w:leftChars="0" w:firstLine="0" w:firstLineChars="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p>
        </w:tc>
      </w:tr>
      <w:tr w14:paraId="6CCBB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8" w:type="dxa"/>
            <w:noWrap w:val="0"/>
            <w:tcMar>
              <w:top w:w="-1" w:type="dxa"/>
              <w:left w:w="-1" w:type="dxa"/>
              <w:bottom w:w="-1" w:type="dxa"/>
              <w:right w:w="-1" w:type="dxa"/>
            </w:tcMar>
            <w:vAlign w:val="center"/>
          </w:tcPr>
          <w:p w14:paraId="22944D63">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2</w:t>
            </w:r>
          </w:p>
        </w:tc>
        <w:tc>
          <w:tcPr>
            <w:tcW w:w="2460" w:type="dxa"/>
            <w:noWrap w:val="0"/>
            <w:tcMar>
              <w:top w:w="-1" w:type="dxa"/>
              <w:left w:w="-1" w:type="dxa"/>
              <w:bottom w:w="-1" w:type="dxa"/>
              <w:right w:w="-1" w:type="dxa"/>
            </w:tcMar>
            <w:vAlign w:val="center"/>
          </w:tcPr>
          <w:p w14:paraId="68B66C32">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清理水渍</w:t>
            </w:r>
          </w:p>
        </w:tc>
        <w:tc>
          <w:tcPr>
            <w:tcW w:w="588" w:type="dxa"/>
            <w:noWrap w:val="0"/>
            <w:tcMar>
              <w:top w:w="-1" w:type="dxa"/>
              <w:left w:w="-1" w:type="dxa"/>
              <w:bottom w:w="-1" w:type="dxa"/>
              <w:right w:w="-1" w:type="dxa"/>
            </w:tcMar>
            <w:vAlign w:val="center"/>
          </w:tcPr>
          <w:p w14:paraId="06C8C3A5">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m2</w:t>
            </w:r>
          </w:p>
        </w:tc>
        <w:tc>
          <w:tcPr>
            <w:tcW w:w="852" w:type="dxa"/>
            <w:noWrap w:val="0"/>
            <w:tcMar>
              <w:top w:w="-1" w:type="dxa"/>
              <w:left w:w="-1" w:type="dxa"/>
              <w:bottom w:w="-1" w:type="dxa"/>
              <w:right w:w="-1" w:type="dxa"/>
            </w:tcMar>
            <w:vAlign w:val="center"/>
          </w:tcPr>
          <w:p w14:paraId="1E5A4111">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31</w:t>
            </w:r>
          </w:p>
        </w:tc>
        <w:tc>
          <w:tcPr>
            <w:tcW w:w="1200" w:type="dxa"/>
            <w:noWrap w:val="0"/>
            <w:tcMar>
              <w:top w:w="-1" w:type="dxa"/>
              <w:left w:w="-1" w:type="dxa"/>
              <w:bottom w:w="-1" w:type="dxa"/>
              <w:right w:w="-1" w:type="dxa"/>
            </w:tcMar>
            <w:vAlign w:val="center"/>
          </w:tcPr>
          <w:p w14:paraId="02B00316">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37.00</w:t>
            </w:r>
          </w:p>
        </w:tc>
        <w:tc>
          <w:tcPr>
            <w:tcW w:w="1248" w:type="dxa"/>
            <w:noWrap w:val="0"/>
            <w:tcMar>
              <w:top w:w="-1" w:type="dxa"/>
              <w:left w:w="-1" w:type="dxa"/>
              <w:bottom w:w="-1" w:type="dxa"/>
              <w:right w:w="-1" w:type="dxa"/>
            </w:tcMar>
            <w:vAlign w:val="center"/>
          </w:tcPr>
          <w:p w14:paraId="66DD884C">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1147.00</w:t>
            </w:r>
          </w:p>
        </w:tc>
        <w:tc>
          <w:tcPr>
            <w:tcW w:w="1212" w:type="dxa"/>
            <w:noWrap w:val="0"/>
            <w:tcMar>
              <w:top w:w="-1" w:type="dxa"/>
              <w:left w:w="-1" w:type="dxa"/>
              <w:bottom w:w="-1" w:type="dxa"/>
              <w:right w:w="-1" w:type="dxa"/>
            </w:tcMar>
            <w:vAlign w:val="center"/>
          </w:tcPr>
          <w:p w14:paraId="55C37D01">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1236" w:type="dxa"/>
            <w:noWrap w:val="0"/>
            <w:tcMar>
              <w:top w:w="-1" w:type="dxa"/>
              <w:left w:w="-1" w:type="dxa"/>
              <w:bottom w:w="-1" w:type="dxa"/>
              <w:right w:w="-1" w:type="dxa"/>
            </w:tcMar>
            <w:vAlign w:val="center"/>
          </w:tcPr>
          <w:p w14:paraId="2088F48C">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663" w:type="dxa"/>
            <w:noWrap w:val="0"/>
            <w:tcMar>
              <w:top w:w="-1" w:type="dxa"/>
              <w:left w:w="-1" w:type="dxa"/>
              <w:bottom w:w="-1" w:type="dxa"/>
              <w:right w:w="-1" w:type="dxa"/>
            </w:tcMar>
            <w:vAlign w:val="center"/>
          </w:tcPr>
          <w:p w14:paraId="0D46E277">
            <w:pPr>
              <w:keepNext w:val="0"/>
              <w:keepLines w:val="0"/>
              <w:widowControl/>
              <w:suppressLineNumbers w:val="0"/>
              <w:snapToGrid w:val="0"/>
              <w:ind w:left="0" w:leftChars="0" w:firstLine="0" w:firstLineChars="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p>
        </w:tc>
      </w:tr>
      <w:tr w14:paraId="748D9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618" w:type="dxa"/>
            <w:noWrap w:val="0"/>
            <w:tcMar>
              <w:top w:w="-1" w:type="dxa"/>
              <w:left w:w="-1" w:type="dxa"/>
              <w:bottom w:w="-1" w:type="dxa"/>
              <w:right w:w="-1" w:type="dxa"/>
            </w:tcMar>
            <w:vAlign w:val="center"/>
          </w:tcPr>
          <w:p w14:paraId="3008C1C1">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3</w:t>
            </w:r>
          </w:p>
        </w:tc>
        <w:tc>
          <w:tcPr>
            <w:tcW w:w="2460" w:type="dxa"/>
            <w:noWrap w:val="0"/>
            <w:tcMar>
              <w:top w:w="-1" w:type="dxa"/>
              <w:left w:w="-1" w:type="dxa"/>
              <w:bottom w:w="-1" w:type="dxa"/>
              <w:right w:w="-1" w:type="dxa"/>
            </w:tcMar>
            <w:vAlign w:val="center"/>
          </w:tcPr>
          <w:p w14:paraId="30B448C2">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2.5cm沥青铣刨后重新铺装AC-10C</w:t>
            </w:r>
          </w:p>
        </w:tc>
        <w:tc>
          <w:tcPr>
            <w:tcW w:w="588" w:type="dxa"/>
            <w:noWrap w:val="0"/>
            <w:tcMar>
              <w:top w:w="-1" w:type="dxa"/>
              <w:left w:w="-1" w:type="dxa"/>
              <w:bottom w:w="-1" w:type="dxa"/>
              <w:right w:w="-1" w:type="dxa"/>
            </w:tcMar>
            <w:vAlign w:val="center"/>
          </w:tcPr>
          <w:p w14:paraId="00661C7D">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m³</w:t>
            </w:r>
          </w:p>
        </w:tc>
        <w:tc>
          <w:tcPr>
            <w:tcW w:w="852" w:type="dxa"/>
            <w:noWrap w:val="0"/>
            <w:tcMar>
              <w:top w:w="-1" w:type="dxa"/>
              <w:left w:w="-1" w:type="dxa"/>
              <w:bottom w:w="-1" w:type="dxa"/>
              <w:right w:w="-1" w:type="dxa"/>
            </w:tcMar>
            <w:vAlign w:val="center"/>
          </w:tcPr>
          <w:p w14:paraId="682E80AD">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8.93</w:t>
            </w:r>
          </w:p>
        </w:tc>
        <w:tc>
          <w:tcPr>
            <w:tcW w:w="1200" w:type="dxa"/>
            <w:noWrap w:val="0"/>
            <w:tcMar>
              <w:top w:w="-1" w:type="dxa"/>
              <w:left w:w="-1" w:type="dxa"/>
              <w:bottom w:w="-1" w:type="dxa"/>
              <w:right w:w="-1" w:type="dxa"/>
            </w:tcMar>
            <w:vAlign w:val="center"/>
          </w:tcPr>
          <w:p w14:paraId="7F1D31E1">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1969.98</w:t>
            </w:r>
          </w:p>
        </w:tc>
        <w:tc>
          <w:tcPr>
            <w:tcW w:w="1248" w:type="dxa"/>
            <w:noWrap w:val="0"/>
            <w:tcMar>
              <w:top w:w="-1" w:type="dxa"/>
              <w:left w:w="-1" w:type="dxa"/>
              <w:bottom w:w="-1" w:type="dxa"/>
              <w:right w:w="-1" w:type="dxa"/>
            </w:tcMar>
            <w:vAlign w:val="center"/>
          </w:tcPr>
          <w:p w14:paraId="5CF84D8A">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17591.92</w:t>
            </w:r>
          </w:p>
        </w:tc>
        <w:tc>
          <w:tcPr>
            <w:tcW w:w="1212" w:type="dxa"/>
            <w:noWrap w:val="0"/>
            <w:tcMar>
              <w:top w:w="-1" w:type="dxa"/>
              <w:left w:w="-1" w:type="dxa"/>
              <w:bottom w:w="-1" w:type="dxa"/>
              <w:right w:w="-1" w:type="dxa"/>
            </w:tcMar>
            <w:vAlign w:val="center"/>
          </w:tcPr>
          <w:p w14:paraId="0BF60423">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1236" w:type="dxa"/>
            <w:noWrap w:val="0"/>
            <w:tcMar>
              <w:top w:w="-1" w:type="dxa"/>
              <w:left w:w="-1" w:type="dxa"/>
              <w:bottom w:w="-1" w:type="dxa"/>
              <w:right w:w="-1" w:type="dxa"/>
            </w:tcMar>
            <w:vAlign w:val="center"/>
          </w:tcPr>
          <w:p w14:paraId="0BBAC913">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663" w:type="dxa"/>
            <w:noWrap w:val="0"/>
            <w:tcMar>
              <w:top w:w="-1" w:type="dxa"/>
              <w:left w:w="-1" w:type="dxa"/>
              <w:bottom w:w="-1" w:type="dxa"/>
              <w:right w:w="-1" w:type="dxa"/>
            </w:tcMar>
            <w:vAlign w:val="center"/>
          </w:tcPr>
          <w:p w14:paraId="4C154A26">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甲供材</w:t>
            </w:r>
          </w:p>
        </w:tc>
      </w:tr>
      <w:tr w14:paraId="5C318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618" w:type="dxa"/>
            <w:noWrap w:val="0"/>
            <w:tcMar>
              <w:top w:w="-1" w:type="dxa"/>
              <w:left w:w="-1" w:type="dxa"/>
              <w:bottom w:w="-1" w:type="dxa"/>
              <w:right w:w="-1" w:type="dxa"/>
            </w:tcMar>
            <w:vAlign w:val="center"/>
          </w:tcPr>
          <w:p w14:paraId="37B1ED33">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4</w:t>
            </w:r>
          </w:p>
        </w:tc>
        <w:tc>
          <w:tcPr>
            <w:tcW w:w="2460" w:type="dxa"/>
            <w:noWrap w:val="0"/>
            <w:tcMar>
              <w:top w:w="-1" w:type="dxa"/>
              <w:left w:w="-1" w:type="dxa"/>
              <w:bottom w:w="-1" w:type="dxa"/>
              <w:right w:w="-1" w:type="dxa"/>
            </w:tcMar>
            <w:vAlign w:val="center"/>
          </w:tcPr>
          <w:p w14:paraId="4404DD9E">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桥面增设FYT一1防水层</w:t>
            </w:r>
          </w:p>
        </w:tc>
        <w:tc>
          <w:tcPr>
            <w:tcW w:w="588" w:type="dxa"/>
            <w:noWrap w:val="0"/>
            <w:tcMar>
              <w:top w:w="-1" w:type="dxa"/>
              <w:left w:w="-1" w:type="dxa"/>
              <w:bottom w:w="-1" w:type="dxa"/>
              <w:right w:w="-1" w:type="dxa"/>
            </w:tcMar>
            <w:vAlign w:val="center"/>
          </w:tcPr>
          <w:p w14:paraId="0188EC58">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m2</w:t>
            </w:r>
          </w:p>
        </w:tc>
        <w:tc>
          <w:tcPr>
            <w:tcW w:w="852" w:type="dxa"/>
            <w:noWrap w:val="0"/>
            <w:tcMar>
              <w:top w:w="-1" w:type="dxa"/>
              <w:left w:w="-1" w:type="dxa"/>
              <w:bottom w:w="-1" w:type="dxa"/>
              <w:right w:w="-1" w:type="dxa"/>
            </w:tcMar>
            <w:vAlign w:val="center"/>
          </w:tcPr>
          <w:p w14:paraId="1D81F77E">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358.2</w:t>
            </w:r>
          </w:p>
        </w:tc>
        <w:tc>
          <w:tcPr>
            <w:tcW w:w="1200" w:type="dxa"/>
            <w:noWrap w:val="0"/>
            <w:tcMar>
              <w:top w:w="-1" w:type="dxa"/>
              <w:left w:w="-1" w:type="dxa"/>
              <w:bottom w:w="-1" w:type="dxa"/>
              <w:right w:w="-1" w:type="dxa"/>
            </w:tcMar>
            <w:vAlign w:val="center"/>
          </w:tcPr>
          <w:p w14:paraId="3961F559">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7.40</w:t>
            </w:r>
          </w:p>
        </w:tc>
        <w:tc>
          <w:tcPr>
            <w:tcW w:w="1248" w:type="dxa"/>
            <w:noWrap w:val="0"/>
            <w:tcMar>
              <w:top w:w="-1" w:type="dxa"/>
              <w:left w:w="-1" w:type="dxa"/>
              <w:bottom w:w="-1" w:type="dxa"/>
              <w:right w:w="-1" w:type="dxa"/>
            </w:tcMar>
            <w:vAlign w:val="center"/>
          </w:tcPr>
          <w:p w14:paraId="60EE2D17">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2650.68</w:t>
            </w:r>
          </w:p>
        </w:tc>
        <w:tc>
          <w:tcPr>
            <w:tcW w:w="1212" w:type="dxa"/>
            <w:noWrap w:val="0"/>
            <w:tcMar>
              <w:top w:w="-1" w:type="dxa"/>
              <w:left w:w="-1" w:type="dxa"/>
              <w:bottom w:w="-1" w:type="dxa"/>
              <w:right w:w="-1" w:type="dxa"/>
            </w:tcMar>
            <w:vAlign w:val="center"/>
          </w:tcPr>
          <w:p w14:paraId="171A5087">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1236" w:type="dxa"/>
            <w:noWrap w:val="0"/>
            <w:tcMar>
              <w:top w:w="-1" w:type="dxa"/>
              <w:left w:w="-1" w:type="dxa"/>
              <w:bottom w:w="-1" w:type="dxa"/>
              <w:right w:w="-1" w:type="dxa"/>
            </w:tcMar>
            <w:vAlign w:val="center"/>
          </w:tcPr>
          <w:p w14:paraId="3E026989">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663" w:type="dxa"/>
            <w:noWrap w:val="0"/>
            <w:tcMar>
              <w:top w:w="-1" w:type="dxa"/>
              <w:left w:w="-1" w:type="dxa"/>
              <w:bottom w:w="-1" w:type="dxa"/>
              <w:right w:w="-1" w:type="dxa"/>
            </w:tcMar>
            <w:vAlign w:val="center"/>
          </w:tcPr>
          <w:p w14:paraId="3F99DE9C">
            <w:pPr>
              <w:keepNext w:val="0"/>
              <w:keepLines w:val="0"/>
              <w:widowControl/>
              <w:suppressLineNumbers w:val="0"/>
              <w:snapToGrid w:val="0"/>
              <w:ind w:left="0" w:leftChars="0" w:firstLine="0" w:firstLineChars="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甲供材</w:t>
            </w:r>
          </w:p>
        </w:tc>
      </w:tr>
      <w:tr w14:paraId="31748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618" w:type="dxa"/>
            <w:noWrap w:val="0"/>
            <w:tcMar>
              <w:top w:w="-1" w:type="dxa"/>
              <w:left w:w="-1" w:type="dxa"/>
              <w:bottom w:w="-1" w:type="dxa"/>
              <w:right w:w="-1" w:type="dxa"/>
            </w:tcMar>
            <w:vAlign w:val="center"/>
          </w:tcPr>
          <w:p w14:paraId="58505323">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5</w:t>
            </w:r>
          </w:p>
        </w:tc>
        <w:tc>
          <w:tcPr>
            <w:tcW w:w="2460" w:type="dxa"/>
            <w:noWrap w:val="0"/>
            <w:tcMar>
              <w:top w:w="-1" w:type="dxa"/>
              <w:left w:w="-1" w:type="dxa"/>
              <w:bottom w:w="-1" w:type="dxa"/>
              <w:right w:w="-1" w:type="dxa"/>
            </w:tcMar>
            <w:vAlign w:val="center"/>
          </w:tcPr>
          <w:p w14:paraId="3CFA719D">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增设泄水管</w:t>
            </w:r>
          </w:p>
        </w:tc>
        <w:tc>
          <w:tcPr>
            <w:tcW w:w="588" w:type="dxa"/>
            <w:noWrap w:val="0"/>
            <w:tcMar>
              <w:top w:w="-1" w:type="dxa"/>
              <w:left w:w="-1" w:type="dxa"/>
              <w:bottom w:w="-1" w:type="dxa"/>
              <w:right w:w="-1" w:type="dxa"/>
            </w:tcMar>
            <w:vAlign w:val="center"/>
          </w:tcPr>
          <w:p w14:paraId="70507913">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m</w:t>
            </w:r>
          </w:p>
        </w:tc>
        <w:tc>
          <w:tcPr>
            <w:tcW w:w="852" w:type="dxa"/>
            <w:noWrap w:val="0"/>
            <w:tcMar>
              <w:top w:w="-1" w:type="dxa"/>
              <w:left w:w="-1" w:type="dxa"/>
              <w:bottom w:w="-1" w:type="dxa"/>
              <w:right w:w="-1" w:type="dxa"/>
            </w:tcMar>
            <w:vAlign w:val="center"/>
          </w:tcPr>
          <w:p w14:paraId="2BB70CD7">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23.8</w:t>
            </w:r>
          </w:p>
        </w:tc>
        <w:tc>
          <w:tcPr>
            <w:tcW w:w="1200" w:type="dxa"/>
            <w:noWrap w:val="0"/>
            <w:tcMar>
              <w:top w:w="-1" w:type="dxa"/>
              <w:left w:w="-1" w:type="dxa"/>
              <w:bottom w:w="-1" w:type="dxa"/>
              <w:right w:w="-1" w:type="dxa"/>
            </w:tcMar>
            <w:vAlign w:val="center"/>
          </w:tcPr>
          <w:p w14:paraId="2452E934">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57.00</w:t>
            </w:r>
          </w:p>
        </w:tc>
        <w:tc>
          <w:tcPr>
            <w:tcW w:w="1248" w:type="dxa"/>
            <w:noWrap w:val="0"/>
            <w:tcMar>
              <w:top w:w="-1" w:type="dxa"/>
              <w:left w:w="-1" w:type="dxa"/>
              <w:bottom w:w="-1" w:type="dxa"/>
              <w:right w:w="-1" w:type="dxa"/>
            </w:tcMar>
            <w:vAlign w:val="center"/>
          </w:tcPr>
          <w:p w14:paraId="4D75FEA2">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1356.60</w:t>
            </w:r>
          </w:p>
        </w:tc>
        <w:tc>
          <w:tcPr>
            <w:tcW w:w="1212" w:type="dxa"/>
            <w:noWrap w:val="0"/>
            <w:tcMar>
              <w:top w:w="-1" w:type="dxa"/>
              <w:left w:w="-1" w:type="dxa"/>
              <w:bottom w:w="-1" w:type="dxa"/>
              <w:right w:w="-1" w:type="dxa"/>
            </w:tcMar>
            <w:vAlign w:val="center"/>
          </w:tcPr>
          <w:p w14:paraId="1D959DA7">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1236" w:type="dxa"/>
            <w:noWrap w:val="0"/>
            <w:tcMar>
              <w:top w:w="-1" w:type="dxa"/>
              <w:left w:w="-1" w:type="dxa"/>
              <w:bottom w:w="-1" w:type="dxa"/>
              <w:right w:w="-1" w:type="dxa"/>
            </w:tcMar>
            <w:vAlign w:val="center"/>
          </w:tcPr>
          <w:p w14:paraId="3E3D1806">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663" w:type="dxa"/>
            <w:noWrap w:val="0"/>
            <w:tcMar>
              <w:top w:w="-1" w:type="dxa"/>
              <w:left w:w="-1" w:type="dxa"/>
              <w:bottom w:w="-1" w:type="dxa"/>
              <w:right w:w="-1" w:type="dxa"/>
            </w:tcMar>
            <w:vAlign w:val="center"/>
          </w:tcPr>
          <w:p w14:paraId="3EA765FD">
            <w:pPr>
              <w:keepNext w:val="0"/>
              <w:keepLines w:val="0"/>
              <w:widowControl/>
              <w:suppressLineNumbers w:val="0"/>
              <w:snapToGrid w:val="0"/>
              <w:ind w:left="0" w:leftChars="0" w:firstLine="0" w:firstLineChars="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p>
        </w:tc>
      </w:tr>
      <w:tr w14:paraId="587CF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8" w:type="dxa"/>
            <w:noWrap w:val="0"/>
            <w:tcMar>
              <w:top w:w="-1" w:type="dxa"/>
              <w:left w:w="-1" w:type="dxa"/>
              <w:bottom w:w="-1" w:type="dxa"/>
              <w:right w:w="-1" w:type="dxa"/>
            </w:tcMar>
            <w:vAlign w:val="center"/>
          </w:tcPr>
          <w:p w14:paraId="792F6E12">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6</w:t>
            </w:r>
          </w:p>
        </w:tc>
        <w:tc>
          <w:tcPr>
            <w:tcW w:w="2460" w:type="dxa"/>
            <w:noWrap w:val="0"/>
            <w:tcMar>
              <w:top w:w="-1" w:type="dxa"/>
              <w:left w:w="-1" w:type="dxa"/>
              <w:bottom w:w="-1" w:type="dxa"/>
              <w:right w:w="-1" w:type="dxa"/>
            </w:tcMar>
            <w:vAlign w:val="center"/>
          </w:tcPr>
          <w:p w14:paraId="2C7B8590">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增设桥梁铭牌</w:t>
            </w:r>
          </w:p>
        </w:tc>
        <w:tc>
          <w:tcPr>
            <w:tcW w:w="588" w:type="dxa"/>
            <w:noWrap w:val="0"/>
            <w:tcMar>
              <w:top w:w="-1" w:type="dxa"/>
              <w:left w:w="-1" w:type="dxa"/>
              <w:bottom w:w="-1" w:type="dxa"/>
              <w:right w:w="-1" w:type="dxa"/>
            </w:tcMar>
            <w:vAlign w:val="center"/>
          </w:tcPr>
          <w:p w14:paraId="525DD038">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个</w:t>
            </w:r>
          </w:p>
        </w:tc>
        <w:tc>
          <w:tcPr>
            <w:tcW w:w="852" w:type="dxa"/>
            <w:noWrap w:val="0"/>
            <w:tcMar>
              <w:top w:w="-1" w:type="dxa"/>
              <w:left w:w="-1" w:type="dxa"/>
              <w:bottom w:w="-1" w:type="dxa"/>
              <w:right w:w="-1" w:type="dxa"/>
            </w:tcMar>
            <w:vAlign w:val="center"/>
          </w:tcPr>
          <w:p w14:paraId="2E1093EF">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w:t>
            </w:r>
          </w:p>
        </w:tc>
        <w:tc>
          <w:tcPr>
            <w:tcW w:w="1200" w:type="dxa"/>
            <w:noWrap w:val="0"/>
            <w:tcMar>
              <w:top w:w="-1" w:type="dxa"/>
              <w:left w:w="-1" w:type="dxa"/>
              <w:bottom w:w="-1" w:type="dxa"/>
              <w:right w:w="-1" w:type="dxa"/>
            </w:tcMar>
            <w:vAlign w:val="center"/>
          </w:tcPr>
          <w:p w14:paraId="52C80996">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310.00</w:t>
            </w:r>
          </w:p>
        </w:tc>
        <w:tc>
          <w:tcPr>
            <w:tcW w:w="1248" w:type="dxa"/>
            <w:noWrap w:val="0"/>
            <w:tcMar>
              <w:top w:w="-1" w:type="dxa"/>
              <w:left w:w="-1" w:type="dxa"/>
              <w:bottom w:w="-1" w:type="dxa"/>
              <w:right w:w="-1" w:type="dxa"/>
            </w:tcMar>
            <w:vAlign w:val="center"/>
          </w:tcPr>
          <w:p w14:paraId="6B0A0A5C">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310.00</w:t>
            </w:r>
          </w:p>
        </w:tc>
        <w:tc>
          <w:tcPr>
            <w:tcW w:w="1212" w:type="dxa"/>
            <w:noWrap w:val="0"/>
            <w:tcMar>
              <w:top w:w="-1" w:type="dxa"/>
              <w:left w:w="-1" w:type="dxa"/>
              <w:bottom w:w="-1" w:type="dxa"/>
              <w:right w:w="-1" w:type="dxa"/>
            </w:tcMar>
            <w:vAlign w:val="center"/>
          </w:tcPr>
          <w:p w14:paraId="4101FA0A">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1236" w:type="dxa"/>
            <w:noWrap w:val="0"/>
            <w:tcMar>
              <w:top w:w="-1" w:type="dxa"/>
              <w:left w:w="-1" w:type="dxa"/>
              <w:bottom w:w="-1" w:type="dxa"/>
              <w:right w:w="-1" w:type="dxa"/>
            </w:tcMar>
            <w:vAlign w:val="center"/>
          </w:tcPr>
          <w:p w14:paraId="68C5938A">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663" w:type="dxa"/>
            <w:noWrap w:val="0"/>
            <w:tcMar>
              <w:top w:w="-1" w:type="dxa"/>
              <w:left w:w="-1" w:type="dxa"/>
              <w:bottom w:w="-1" w:type="dxa"/>
              <w:right w:w="-1" w:type="dxa"/>
            </w:tcMar>
            <w:vAlign w:val="center"/>
          </w:tcPr>
          <w:p w14:paraId="2599CD43">
            <w:pPr>
              <w:keepNext w:val="0"/>
              <w:keepLines w:val="0"/>
              <w:widowControl/>
              <w:suppressLineNumbers w:val="0"/>
              <w:snapToGrid w:val="0"/>
              <w:ind w:left="0" w:leftChars="0" w:firstLine="0" w:firstLineChars="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p>
        </w:tc>
      </w:tr>
      <w:tr w14:paraId="5E49D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618" w:type="dxa"/>
            <w:noWrap w:val="0"/>
            <w:tcMar>
              <w:top w:w="-1" w:type="dxa"/>
              <w:left w:w="-1" w:type="dxa"/>
              <w:bottom w:w="-1" w:type="dxa"/>
              <w:right w:w="-1" w:type="dxa"/>
            </w:tcMar>
            <w:vAlign w:val="center"/>
          </w:tcPr>
          <w:p w14:paraId="31B7ADF4">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7</w:t>
            </w:r>
          </w:p>
        </w:tc>
        <w:tc>
          <w:tcPr>
            <w:tcW w:w="2460" w:type="dxa"/>
            <w:noWrap w:val="0"/>
            <w:tcMar>
              <w:top w:w="-1" w:type="dxa"/>
              <w:left w:w="-1" w:type="dxa"/>
              <w:bottom w:w="-1" w:type="dxa"/>
              <w:right w:w="-1" w:type="dxa"/>
            </w:tcMar>
            <w:vAlign w:val="center"/>
          </w:tcPr>
          <w:p w14:paraId="61D8D053">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重画标线(热熔型标线1.8mm厚)</w:t>
            </w:r>
          </w:p>
        </w:tc>
        <w:tc>
          <w:tcPr>
            <w:tcW w:w="588" w:type="dxa"/>
            <w:noWrap w:val="0"/>
            <w:tcMar>
              <w:top w:w="-1" w:type="dxa"/>
              <w:left w:w="-1" w:type="dxa"/>
              <w:bottom w:w="-1" w:type="dxa"/>
              <w:right w:w="-1" w:type="dxa"/>
            </w:tcMar>
            <w:vAlign w:val="center"/>
          </w:tcPr>
          <w:p w14:paraId="2B23AEBE">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m2</w:t>
            </w:r>
          </w:p>
        </w:tc>
        <w:tc>
          <w:tcPr>
            <w:tcW w:w="852" w:type="dxa"/>
            <w:noWrap w:val="0"/>
            <w:tcMar>
              <w:top w:w="-1" w:type="dxa"/>
              <w:left w:w="-1" w:type="dxa"/>
              <w:bottom w:w="-1" w:type="dxa"/>
              <w:right w:w="-1" w:type="dxa"/>
            </w:tcMar>
            <w:vAlign w:val="center"/>
          </w:tcPr>
          <w:p w14:paraId="21435A80">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17.1</w:t>
            </w:r>
          </w:p>
        </w:tc>
        <w:tc>
          <w:tcPr>
            <w:tcW w:w="1200" w:type="dxa"/>
            <w:noWrap w:val="0"/>
            <w:tcMar>
              <w:top w:w="-1" w:type="dxa"/>
              <w:left w:w="-1" w:type="dxa"/>
              <w:bottom w:w="-1" w:type="dxa"/>
              <w:right w:w="-1" w:type="dxa"/>
            </w:tcMar>
            <w:vAlign w:val="center"/>
          </w:tcPr>
          <w:p w14:paraId="5810ACAC">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32.00</w:t>
            </w:r>
          </w:p>
        </w:tc>
        <w:tc>
          <w:tcPr>
            <w:tcW w:w="1248" w:type="dxa"/>
            <w:noWrap w:val="0"/>
            <w:tcMar>
              <w:top w:w="-1" w:type="dxa"/>
              <w:left w:w="-1" w:type="dxa"/>
              <w:bottom w:w="-1" w:type="dxa"/>
              <w:right w:w="-1" w:type="dxa"/>
            </w:tcMar>
            <w:vAlign w:val="center"/>
          </w:tcPr>
          <w:p w14:paraId="466D794D">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547.20</w:t>
            </w:r>
          </w:p>
        </w:tc>
        <w:tc>
          <w:tcPr>
            <w:tcW w:w="1212" w:type="dxa"/>
            <w:noWrap w:val="0"/>
            <w:tcMar>
              <w:top w:w="-1" w:type="dxa"/>
              <w:left w:w="-1" w:type="dxa"/>
              <w:bottom w:w="-1" w:type="dxa"/>
              <w:right w:w="-1" w:type="dxa"/>
            </w:tcMar>
            <w:vAlign w:val="center"/>
          </w:tcPr>
          <w:p w14:paraId="31EFC897">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1236" w:type="dxa"/>
            <w:noWrap w:val="0"/>
            <w:tcMar>
              <w:top w:w="-1" w:type="dxa"/>
              <w:left w:w="-1" w:type="dxa"/>
              <w:bottom w:w="-1" w:type="dxa"/>
              <w:right w:w="-1" w:type="dxa"/>
            </w:tcMar>
            <w:vAlign w:val="center"/>
          </w:tcPr>
          <w:p w14:paraId="3A883259">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663" w:type="dxa"/>
            <w:noWrap w:val="0"/>
            <w:tcMar>
              <w:top w:w="-1" w:type="dxa"/>
              <w:left w:w="-1" w:type="dxa"/>
              <w:bottom w:w="-1" w:type="dxa"/>
              <w:right w:w="-1" w:type="dxa"/>
            </w:tcMar>
            <w:vAlign w:val="center"/>
          </w:tcPr>
          <w:p w14:paraId="34AFD699">
            <w:pPr>
              <w:keepNext w:val="0"/>
              <w:keepLines w:val="0"/>
              <w:widowControl/>
              <w:suppressLineNumbers w:val="0"/>
              <w:snapToGrid w:val="0"/>
              <w:ind w:left="0" w:leftChars="0" w:firstLine="0" w:firstLineChars="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p>
        </w:tc>
      </w:tr>
      <w:tr w14:paraId="4BED5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618" w:type="dxa"/>
            <w:noWrap w:val="0"/>
            <w:tcMar>
              <w:top w:w="-1" w:type="dxa"/>
              <w:left w:w="-1" w:type="dxa"/>
              <w:bottom w:w="-1" w:type="dxa"/>
              <w:right w:w="-1" w:type="dxa"/>
            </w:tcMar>
            <w:vAlign w:val="center"/>
          </w:tcPr>
          <w:p w14:paraId="19D42A36">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8</w:t>
            </w:r>
          </w:p>
        </w:tc>
        <w:tc>
          <w:tcPr>
            <w:tcW w:w="2460" w:type="dxa"/>
            <w:noWrap w:val="0"/>
            <w:tcMar>
              <w:top w:w="-1" w:type="dxa"/>
              <w:left w:w="-1" w:type="dxa"/>
              <w:bottom w:w="-1" w:type="dxa"/>
              <w:right w:w="-1" w:type="dxa"/>
            </w:tcMar>
            <w:vAlign w:val="center"/>
          </w:tcPr>
          <w:p w14:paraId="2B75B1FB">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护栏钢构件除锈刷漆</w:t>
            </w:r>
          </w:p>
        </w:tc>
        <w:tc>
          <w:tcPr>
            <w:tcW w:w="588" w:type="dxa"/>
            <w:noWrap w:val="0"/>
            <w:tcMar>
              <w:top w:w="-1" w:type="dxa"/>
              <w:left w:w="-1" w:type="dxa"/>
              <w:bottom w:w="-1" w:type="dxa"/>
              <w:right w:w="-1" w:type="dxa"/>
            </w:tcMar>
            <w:vAlign w:val="center"/>
          </w:tcPr>
          <w:p w14:paraId="575D4EFE">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m2</w:t>
            </w:r>
          </w:p>
        </w:tc>
        <w:tc>
          <w:tcPr>
            <w:tcW w:w="852" w:type="dxa"/>
            <w:noWrap w:val="0"/>
            <w:tcMar>
              <w:top w:w="-1" w:type="dxa"/>
              <w:left w:w="-1" w:type="dxa"/>
              <w:bottom w:w="-1" w:type="dxa"/>
              <w:right w:w="-1" w:type="dxa"/>
            </w:tcMar>
            <w:vAlign w:val="center"/>
          </w:tcPr>
          <w:p w14:paraId="714B1874">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180.86</w:t>
            </w:r>
          </w:p>
        </w:tc>
        <w:tc>
          <w:tcPr>
            <w:tcW w:w="1200" w:type="dxa"/>
            <w:noWrap w:val="0"/>
            <w:tcMar>
              <w:top w:w="-1" w:type="dxa"/>
              <w:left w:w="-1" w:type="dxa"/>
              <w:bottom w:w="-1" w:type="dxa"/>
              <w:right w:w="-1" w:type="dxa"/>
            </w:tcMar>
            <w:vAlign w:val="center"/>
          </w:tcPr>
          <w:p w14:paraId="0C39827B">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45.00</w:t>
            </w:r>
          </w:p>
        </w:tc>
        <w:tc>
          <w:tcPr>
            <w:tcW w:w="1248" w:type="dxa"/>
            <w:noWrap w:val="0"/>
            <w:tcMar>
              <w:top w:w="-1" w:type="dxa"/>
              <w:left w:w="-1" w:type="dxa"/>
              <w:bottom w:w="-1" w:type="dxa"/>
              <w:right w:w="-1" w:type="dxa"/>
            </w:tcMar>
            <w:vAlign w:val="center"/>
          </w:tcPr>
          <w:p w14:paraId="1A2312DA">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8138.70</w:t>
            </w:r>
          </w:p>
        </w:tc>
        <w:tc>
          <w:tcPr>
            <w:tcW w:w="1212" w:type="dxa"/>
            <w:noWrap w:val="0"/>
            <w:tcMar>
              <w:top w:w="-1" w:type="dxa"/>
              <w:left w:w="-1" w:type="dxa"/>
              <w:bottom w:w="-1" w:type="dxa"/>
              <w:right w:w="-1" w:type="dxa"/>
            </w:tcMar>
            <w:vAlign w:val="center"/>
          </w:tcPr>
          <w:p w14:paraId="0C080BEF">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1236" w:type="dxa"/>
            <w:noWrap w:val="0"/>
            <w:tcMar>
              <w:top w:w="-1" w:type="dxa"/>
              <w:left w:w="-1" w:type="dxa"/>
              <w:bottom w:w="-1" w:type="dxa"/>
              <w:right w:w="-1" w:type="dxa"/>
            </w:tcMar>
            <w:vAlign w:val="center"/>
          </w:tcPr>
          <w:p w14:paraId="30AD2450">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663" w:type="dxa"/>
            <w:noWrap w:val="0"/>
            <w:tcMar>
              <w:top w:w="-1" w:type="dxa"/>
              <w:left w:w="-1" w:type="dxa"/>
              <w:bottom w:w="-1" w:type="dxa"/>
              <w:right w:w="-1" w:type="dxa"/>
            </w:tcMar>
            <w:vAlign w:val="center"/>
          </w:tcPr>
          <w:p w14:paraId="76165C0A">
            <w:pPr>
              <w:keepNext w:val="0"/>
              <w:keepLines w:val="0"/>
              <w:widowControl/>
              <w:suppressLineNumbers w:val="0"/>
              <w:snapToGrid w:val="0"/>
              <w:ind w:left="0" w:leftChars="0" w:firstLine="0" w:firstLineChars="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p>
        </w:tc>
      </w:tr>
      <w:tr w14:paraId="1D950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8" w:type="dxa"/>
            <w:noWrap w:val="0"/>
            <w:tcMar>
              <w:top w:w="-1" w:type="dxa"/>
              <w:left w:w="-1" w:type="dxa"/>
              <w:bottom w:w="-1" w:type="dxa"/>
              <w:right w:w="-1" w:type="dxa"/>
            </w:tcMar>
            <w:vAlign w:val="center"/>
          </w:tcPr>
          <w:p w14:paraId="56B9558D">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9</w:t>
            </w:r>
          </w:p>
        </w:tc>
        <w:tc>
          <w:tcPr>
            <w:tcW w:w="2460" w:type="dxa"/>
            <w:noWrap w:val="0"/>
            <w:tcMar>
              <w:top w:w="-1" w:type="dxa"/>
              <w:left w:w="-1" w:type="dxa"/>
              <w:bottom w:w="-1" w:type="dxa"/>
              <w:right w:w="-1" w:type="dxa"/>
            </w:tcMar>
            <w:vAlign w:val="center"/>
          </w:tcPr>
          <w:p w14:paraId="107956B5">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更换护栏钢构件</w:t>
            </w:r>
          </w:p>
        </w:tc>
        <w:tc>
          <w:tcPr>
            <w:tcW w:w="588" w:type="dxa"/>
            <w:noWrap w:val="0"/>
            <w:tcMar>
              <w:top w:w="-1" w:type="dxa"/>
              <w:left w:w="-1" w:type="dxa"/>
              <w:bottom w:w="-1" w:type="dxa"/>
              <w:right w:w="-1" w:type="dxa"/>
            </w:tcMar>
            <w:vAlign w:val="center"/>
          </w:tcPr>
          <w:p w14:paraId="31BF9A9E">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m</w:t>
            </w:r>
          </w:p>
        </w:tc>
        <w:tc>
          <w:tcPr>
            <w:tcW w:w="852" w:type="dxa"/>
            <w:noWrap w:val="0"/>
            <w:tcMar>
              <w:top w:w="-1" w:type="dxa"/>
              <w:left w:w="-1" w:type="dxa"/>
              <w:bottom w:w="-1" w:type="dxa"/>
              <w:right w:w="-1" w:type="dxa"/>
            </w:tcMar>
            <w:vAlign w:val="center"/>
          </w:tcPr>
          <w:p w14:paraId="14F35267">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6</w:t>
            </w:r>
          </w:p>
        </w:tc>
        <w:tc>
          <w:tcPr>
            <w:tcW w:w="1200" w:type="dxa"/>
            <w:noWrap w:val="0"/>
            <w:tcMar>
              <w:top w:w="-1" w:type="dxa"/>
              <w:left w:w="-1" w:type="dxa"/>
              <w:bottom w:w="-1" w:type="dxa"/>
              <w:right w:w="-1" w:type="dxa"/>
            </w:tcMar>
            <w:vAlign w:val="center"/>
          </w:tcPr>
          <w:p w14:paraId="389264DD">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120.00</w:t>
            </w:r>
          </w:p>
        </w:tc>
        <w:tc>
          <w:tcPr>
            <w:tcW w:w="1248" w:type="dxa"/>
            <w:noWrap w:val="0"/>
            <w:tcMar>
              <w:top w:w="-1" w:type="dxa"/>
              <w:left w:w="-1" w:type="dxa"/>
              <w:bottom w:w="-1" w:type="dxa"/>
              <w:right w:w="-1" w:type="dxa"/>
            </w:tcMar>
            <w:vAlign w:val="center"/>
          </w:tcPr>
          <w:p w14:paraId="371463F6">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720.00</w:t>
            </w:r>
          </w:p>
        </w:tc>
        <w:tc>
          <w:tcPr>
            <w:tcW w:w="1212" w:type="dxa"/>
            <w:noWrap w:val="0"/>
            <w:tcMar>
              <w:top w:w="-1" w:type="dxa"/>
              <w:left w:w="-1" w:type="dxa"/>
              <w:bottom w:w="-1" w:type="dxa"/>
              <w:right w:w="-1" w:type="dxa"/>
            </w:tcMar>
            <w:vAlign w:val="center"/>
          </w:tcPr>
          <w:p w14:paraId="2F4DB90D">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1236" w:type="dxa"/>
            <w:noWrap w:val="0"/>
            <w:tcMar>
              <w:top w:w="-1" w:type="dxa"/>
              <w:left w:w="-1" w:type="dxa"/>
              <w:bottom w:w="-1" w:type="dxa"/>
              <w:right w:w="-1" w:type="dxa"/>
            </w:tcMar>
            <w:vAlign w:val="center"/>
          </w:tcPr>
          <w:p w14:paraId="4B6F6FD4">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663" w:type="dxa"/>
            <w:noWrap w:val="0"/>
            <w:tcMar>
              <w:top w:w="-1" w:type="dxa"/>
              <w:left w:w="-1" w:type="dxa"/>
              <w:bottom w:w="-1" w:type="dxa"/>
              <w:right w:w="-1" w:type="dxa"/>
            </w:tcMar>
            <w:vAlign w:val="center"/>
          </w:tcPr>
          <w:p w14:paraId="3226E615">
            <w:pPr>
              <w:keepNext w:val="0"/>
              <w:keepLines w:val="0"/>
              <w:widowControl/>
              <w:suppressLineNumbers w:val="0"/>
              <w:snapToGrid w:val="0"/>
              <w:ind w:left="0" w:leftChars="0" w:firstLine="0" w:firstLineChars="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p>
        </w:tc>
      </w:tr>
      <w:tr w14:paraId="3D3F3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8" w:type="dxa"/>
            <w:noWrap w:val="0"/>
            <w:tcMar>
              <w:top w:w="-1" w:type="dxa"/>
              <w:left w:w="-1" w:type="dxa"/>
              <w:bottom w:w="-1" w:type="dxa"/>
              <w:right w:w="-1" w:type="dxa"/>
            </w:tcMar>
            <w:vAlign w:val="center"/>
          </w:tcPr>
          <w:p w14:paraId="3D265B74">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w:t>
            </w:r>
            <w:r>
              <w:rPr>
                <w:rFonts w:hint="eastAsia" w:ascii="方正仿宋_GBK" w:hAnsi="方正仿宋_GBK" w:eastAsia="方正仿宋_GBK" w:cs="方正仿宋_GBK"/>
                <w:i w:val="0"/>
                <w:iCs w:val="0"/>
                <w:color w:val="000000"/>
                <w:kern w:val="0"/>
                <w:sz w:val="20"/>
                <w:szCs w:val="20"/>
                <w:u w:val="none"/>
                <w:lang w:val="en-US" w:eastAsia="zh-CN" w:bidi="ar"/>
              </w:rPr>
              <w:t>0</w:t>
            </w:r>
          </w:p>
        </w:tc>
        <w:tc>
          <w:tcPr>
            <w:tcW w:w="2460" w:type="dxa"/>
            <w:noWrap w:val="0"/>
            <w:tcMar>
              <w:top w:w="-1" w:type="dxa"/>
              <w:left w:w="-1" w:type="dxa"/>
              <w:bottom w:w="-1" w:type="dxa"/>
              <w:right w:w="-1" w:type="dxa"/>
            </w:tcMar>
            <w:vAlign w:val="center"/>
          </w:tcPr>
          <w:p w14:paraId="0EB234EE">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增设弹性体无缝式伸缩缝</w:t>
            </w:r>
          </w:p>
        </w:tc>
        <w:tc>
          <w:tcPr>
            <w:tcW w:w="588" w:type="dxa"/>
            <w:noWrap w:val="0"/>
            <w:tcMar>
              <w:top w:w="-1" w:type="dxa"/>
              <w:left w:w="-1" w:type="dxa"/>
              <w:bottom w:w="-1" w:type="dxa"/>
              <w:right w:w="-1" w:type="dxa"/>
            </w:tcMar>
            <w:vAlign w:val="center"/>
          </w:tcPr>
          <w:p w14:paraId="7A2A0A52">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m</w:t>
            </w:r>
          </w:p>
        </w:tc>
        <w:tc>
          <w:tcPr>
            <w:tcW w:w="852" w:type="dxa"/>
            <w:noWrap w:val="0"/>
            <w:tcMar>
              <w:top w:w="-1" w:type="dxa"/>
              <w:left w:w="-1" w:type="dxa"/>
              <w:bottom w:w="-1" w:type="dxa"/>
              <w:right w:w="-1" w:type="dxa"/>
            </w:tcMar>
            <w:vAlign w:val="center"/>
          </w:tcPr>
          <w:p w14:paraId="79D6DB69">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9</w:t>
            </w:r>
          </w:p>
        </w:tc>
        <w:tc>
          <w:tcPr>
            <w:tcW w:w="1200" w:type="dxa"/>
            <w:noWrap w:val="0"/>
            <w:tcMar>
              <w:top w:w="-1" w:type="dxa"/>
              <w:left w:w="-1" w:type="dxa"/>
              <w:bottom w:w="-1" w:type="dxa"/>
              <w:right w:w="-1" w:type="dxa"/>
            </w:tcMar>
            <w:vAlign w:val="center"/>
          </w:tcPr>
          <w:p w14:paraId="47BBA793">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180.00</w:t>
            </w:r>
          </w:p>
        </w:tc>
        <w:tc>
          <w:tcPr>
            <w:tcW w:w="1248" w:type="dxa"/>
            <w:noWrap w:val="0"/>
            <w:tcMar>
              <w:top w:w="-1" w:type="dxa"/>
              <w:left w:w="-1" w:type="dxa"/>
              <w:bottom w:w="-1" w:type="dxa"/>
              <w:right w:w="-1" w:type="dxa"/>
            </w:tcMar>
            <w:vAlign w:val="center"/>
          </w:tcPr>
          <w:p w14:paraId="63CB195E">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1620.00</w:t>
            </w:r>
          </w:p>
        </w:tc>
        <w:tc>
          <w:tcPr>
            <w:tcW w:w="1212" w:type="dxa"/>
            <w:noWrap w:val="0"/>
            <w:tcMar>
              <w:top w:w="-1" w:type="dxa"/>
              <w:left w:w="-1" w:type="dxa"/>
              <w:bottom w:w="-1" w:type="dxa"/>
              <w:right w:w="-1" w:type="dxa"/>
            </w:tcMar>
            <w:vAlign w:val="center"/>
          </w:tcPr>
          <w:p w14:paraId="440C1904">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1236" w:type="dxa"/>
            <w:noWrap w:val="0"/>
            <w:tcMar>
              <w:top w:w="-1" w:type="dxa"/>
              <w:left w:w="-1" w:type="dxa"/>
              <w:bottom w:w="-1" w:type="dxa"/>
              <w:right w:w="-1" w:type="dxa"/>
            </w:tcMar>
            <w:vAlign w:val="center"/>
          </w:tcPr>
          <w:p w14:paraId="1608D28A">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663" w:type="dxa"/>
            <w:noWrap w:val="0"/>
            <w:tcMar>
              <w:top w:w="-1" w:type="dxa"/>
              <w:left w:w="-1" w:type="dxa"/>
              <w:bottom w:w="-1" w:type="dxa"/>
              <w:right w:w="-1" w:type="dxa"/>
            </w:tcMar>
            <w:vAlign w:val="center"/>
          </w:tcPr>
          <w:p w14:paraId="5F21AA35">
            <w:pPr>
              <w:keepNext w:val="0"/>
              <w:keepLines w:val="0"/>
              <w:widowControl/>
              <w:suppressLineNumbers w:val="0"/>
              <w:snapToGrid w:val="0"/>
              <w:ind w:left="0" w:leftChars="0" w:firstLine="0" w:firstLineChars="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p>
        </w:tc>
      </w:tr>
      <w:tr w14:paraId="5DDBD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8" w:type="dxa"/>
            <w:noWrap w:val="0"/>
            <w:tcMar>
              <w:top w:w="-1" w:type="dxa"/>
              <w:left w:w="-1" w:type="dxa"/>
              <w:bottom w:w="-1" w:type="dxa"/>
              <w:right w:w="-1" w:type="dxa"/>
            </w:tcMar>
            <w:vAlign w:val="center"/>
          </w:tcPr>
          <w:p w14:paraId="3A32C4CD">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w:t>
            </w:r>
            <w:r>
              <w:rPr>
                <w:rFonts w:hint="eastAsia" w:ascii="方正仿宋_GBK" w:hAnsi="方正仿宋_GBK" w:eastAsia="方正仿宋_GBK" w:cs="方正仿宋_GBK"/>
                <w:i w:val="0"/>
                <w:iCs w:val="0"/>
                <w:color w:val="000000"/>
                <w:kern w:val="0"/>
                <w:sz w:val="20"/>
                <w:szCs w:val="20"/>
                <w:u w:val="none"/>
                <w:lang w:val="en-US" w:eastAsia="zh-CN" w:bidi="ar"/>
              </w:rPr>
              <w:t>1</w:t>
            </w:r>
          </w:p>
        </w:tc>
        <w:tc>
          <w:tcPr>
            <w:tcW w:w="2460" w:type="dxa"/>
            <w:noWrap w:val="0"/>
            <w:tcMar>
              <w:top w:w="-1" w:type="dxa"/>
              <w:left w:w="-1" w:type="dxa"/>
              <w:bottom w:w="-1" w:type="dxa"/>
              <w:right w:w="-1" w:type="dxa"/>
            </w:tcMar>
            <w:vAlign w:val="center"/>
          </w:tcPr>
          <w:p w14:paraId="597CFE03">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引道铣刨后重新铺装(5cm AC-13C细粒式沥青砼)</w:t>
            </w:r>
          </w:p>
        </w:tc>
        <w:tc>
          <w:tcPr>
            <w:tcW w:w="588" w:type="dxa"/>
            <w:noWrap w:val="0"/>
            <w:tcMar>
              <w:top w:w="-1" w:type="dxa"/>
              <w:left w:w="-1" w:type="dxa"/>
              <w:bottom w:w="-1" w:type="dxa"/>
              <w:right w:w="-1" w:type="dxa"/>
            </w:tcMar>
            <w:vAlign w:val="center"/>
          </w:tcPr>
          <w:p w14:paraId="189D2F1D">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m³</w:t>
            </w:r>
          </w:p>
        </w:tc>
        <w:tc>
          <w:tcPr>
            <w:tcW w:w="852" w:type="dxa"/>
            <w:noWrap w:val="0"/>
            <w:tcMar>
              <w:top w:w="-1" w:type="dxa"/>
              <w:left w:w="-1" w:type="dxa"/>
              <w:bottom w:w="-1" w:type="dxa"/>
              <w:right w:w="-1" w:type="dxa"/>
            </w:tcMar>
            <w:vAlign w:val="center"/>
          </w:tcPr>
          <w:p w14:paraId="6BB89321">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24</w:t>
            </w:r>
          </w:p>
        </w:tc>
        <w:tc>
          <w:tcPr>
            <w:tcW w:w="1200" w:type="dxa"/>
            <w:noWrap w:val="0"/>
            <w:tcMar>
              <w:top w:w="-1" w:type="dxa"/>
              <w:left w:w="-1" w:type="dxa"/>
              <w:bottom w:w="-1" w:type="dxa"/>
              <w:right w:w="-1" w:type="dxa"/>
            </w:tcMar>
            <w:vAlign w:val="center"/>
          </w:tcPr>
          <w:p w14:paraId="620FB4E8">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1969.98</w:t>
            </w:r>
          </w:p>
        </w:tc>
        <w:tc>
          <w:tcPr>
            <w:tcW w:w="1248" w:type="dxa"/>
            <w:noWrap w:val="0"/>
            <w:tcMar>
              <w:top w:w="-1" w:type="dxa"/>
              <w:left w:w="-1" w:type="dxa"/>
              <w:bottom w:w="-1" w:type="dxa"/>
              <w:right w:w="-1" w:type="dxa"/>
            </w:tcMar>
            <w:vAlign w:val="center"/>
          </w:tcPr>
          <w:p w14:paraId="38A45FA5">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47279.5</w:t>
            </w:r>
            <w:r>
              <w:rPr>
                <w:rFonts w:hint="eastAsia" w:ascii="方正仿宋_GBK" w:hAnsi="方正仿宋_GBK" w:eastAsia="方正仿宋_GBK" w:cs="方正仿宋_GBK"/>
                <w:i w:val="0"/>
                <w:iCs w:val="0"/>
                <w:color w:val="000000"/>
                <w:kern w:val="0"/>
                <w:sz w:val="20"/>
                <w:szCs w:val="20"/>
                <w:u w:val="none"/>
                <w:lang w:val="en-US" w:eastAsia="zh-CN" w:bidi="ar"/>
              </w:rPr>
              <w:t>2</w:t>
            </w:r>
          </w:p>
        </w:tc>
        <w:tc>
          <w:tcPr>
            <w:tcW w:w="1212" w:type="dxa"/>
            <w:noWrap w:val="0"/>
            <w:tcMar>
              <w:top w:w="-1" w:type="dxa"/>
              <w:left w:w="-1" w:type="dxa"/>
              <w:bottom w:w="-1" w:type="dxa"/>
              <w:right w:w="-1" w:type="dxa"/>
            </w:tcMar>
            <w:vAlign w:val="center"/>
          </w:tcPr>
          <w:p w14:paraId="65B03591">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1236" w:type="dxa"/>
            <w:noWrap w:val="0"/>
            <w:tcMar>
              <w:top w:w="-1" w:type="dxa"/>
              <w:left w:w="-1" w:type="dxa"/>
              <w:bottom w:w="-1" w:type="dxa"/>
              <w:right w:w="-1" w:type="dxa"/>
            </w:tcMar>
            <w:vAlign w:val="center"/>
          </w:tcPr>
          <w:p w14:paraId="12F92D3F">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663" w:type="dxa"/>
            <w:noWrap w:val="0"/>
            <w:tcMar>
              <w:top w:w="-1" w:type="dxa"/>
              <w:left w:w="-1" w:type="dxa"/>
              <w:bottom w:w="-1" w:type="dxa"/>
              <w:right w:w="-1" w:type="dxa"/>
            </w:tcMar>
            <w:vAlign w:val="center"/>
          </w:tcPr>
          <w:p w14:paraId="5DFEA18C">
            <w:pPr>
              <w:keepNext w:val="0"/>
              <w:keepLines w:val="0"/>
              <w:widowControl/>
              <w:suppressLineNumbers w:val="0"/>
              <w:snapToGrid w:val="0"/>
              <w:ind w:left="0" w:leftChars="0" w:firstLine="0" w:firstLineChars="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甲供材</w:t>
            </w:r>
          </w:p>
        </w:tc>
      </w:tr>
      <w:tr w14:paraId="3FD72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8" w:type="dxa"/>
            <w:noWrap w:val="0"/>
            <w:tcMar>
              <w:top w:w="-1" w:type="dxa"/>
              <w:left w:w="-1" w:type="dxa"/>
              <w:bottom w:w="-1" w:type="dxa"/>
              <w:right w:w="-1" w:type="dxa"/>
            </w:tcMar>
            <w:vAlign w:val="center"/>
          </w:tcPr>
          <w:p w14:paraId="12E79781">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w:t>
            </w:r>
            <w:r>
              <w:rPr>
                <w:rFonts w:hint="eastAsia" w:ascii="方正仿宋_GBK" w:hAnsi="方正仿宋_GBK" w:eastAsia="方正仿宋_GBK" w:cs="方正仿宋_GBK"/>
                <w:i w:val="0"/>
                <w:iCs w:val="0"/>
                <w:color w:val="000000"/>
                <w:kern w:val="0"/>
                <w:sz w:val="20"/>
                <w:szCs w:val="20"/>
                <w:u w:val="none"/>
                <w:lang w:val="en-US" w:eastAsia="zh-CN" w:bidi="ar"/>
              </w:rPr>
              <w:t>2</w:t>
            </w:r>
          </w:p>
        </w:tc>
        <w:tc>
          <w:tcPr>
            <w:tcW w:w="2460" w:type="dxa"/>
            <w:noWrap w:val="0"/>
            <w:tcMar>
              <w:top w:w="-1" w:type="dxa"/>
              <w:left w:w="-1" w:type="dxa"/>
              <w:bottom w:w="-1" w:type="dxa"/>
              <w:right w:w="-1" w:type="dxa"/>
            </w:tcMar>
            <w:vAlign w:val="center"/>
          </w:tcPr>
          <w:p w14:paraId="4600EFA7">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引道挖补修复路基、路面</w:t>
            </w:r>
          </w:p>
        </w:tc>
        <w:tc>
          <w:tcPr>
            <w:tcW w:w="588" w:type="dxa"/>
            <w:noWrap w:val="0"/>
            <w:tcMar>
              <w:top w:w="-1" w:type="dxa"/>
              <w:left w:w="-1" w:type="dxa"/>
              <w:bottom w:w="-1" w:type="dxa"/>
              <w:right w:w="-1" w:type="dxa"/>
            </w:tcMar>
            <w:vAlign w:val="center"/>
          </w:tcPr>
          <w:p w14:paraId="6062E38D">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m2</w:t>
            </w:r>
          </w:p>
        </w:tc>
        <w:tc>
          <w:tcPr>
            <w:tcW w:w="852" w:type="dxa"/>
            <w:noWrap w:val="0"/>
            <w:tcMar>
              <w:top w:w="-1" w:type="dxa"/>
              <w:left w:w="-1" w:type="dxa"/>
              <w:bottom w:w="-1" w:type="dxa"/>
              <w:right w:w="-1" w:type="dxa"/>
            </w:tcMar>
            <w:vAlign w:val="center"/>
          </w:tcPr>
          <w:p w14:paraId="791D0D5D">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10</w:t>
            </w:r>
          </w:p>
        </w:tc>
        <w:tc>
          <w:tcPr>
            <w:tcW w:w="1200" w:type="dxa"/>
            <w:noWrap w:val="0"/>
            <w:tcMar>
              <w:top w:w="-1" w:type="dxa"/>
              <w:left w:w="-1" w:type="dxa"/>
              <w:bottom w:w="-1" w:type="dxa"/>
              <w:right w:w="-1" w:type="dxa"/>
            </w:tcMar>
            <w:vAlign w:val="center"/>
          </w:tcPr>
          <w:p w14:paraId="1564A661">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310.00</w:t>
            </w:r>
          </w:p>
        </w:tc>
        <w:tc>
          <w:tcPr>
            <w:tcW w:w="1248" w:type="dxa"/>
            <w:noWrap w:val="0"/>
            <w:tcMar>
              <w:top w:w="-1" w:type="dxa"/>
              <w:left w:w="-1" w:type="dxa"/>
              <w:bottom w:w="-1" w:type="dxa"/>
              <w:right w:w="-1" w:type="dxa"/>
            </w:tcMar>
            <w:vAlign w:val="center"/>
          </w:tcPr>
          <w:p w14:paraId="44F80B1A">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3100.00</w:t>
            </w:r>
          </w:p>
        </w:tc>
        <w:tc>
          <w:tcPr>
            <w:tcW w:w="1212" w:type="dxa"/>
            <w:noWrap w:val="0"/>
            <w:tcMar>
              <w:top w:w="-1" w:type="dxa"/>
              <w:left w:w="-1" w:type="dxa"/>
              <w:bottom w:w="-1" w:type="dxa"/>
              <w:right w:w="-1" w:type="dxa"/>
            </w:tcMar>
            <w:vAlign w:val="center"/>
          </w:tcPr>
          <w:p w14:paraId="212A7262">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1236" w:type="dxa"/>
            <w:noWrap w:val="0"/>
            <w:tcMar>
              <w:top w:w="-1" w:type="dxa"/>
              <w:left w:w="-1" w:type="dxa"/>
              <w:bottom w:w="-1" w:type="dxa"/>
              <w:right w:w="-1" w:type="dxa"/>
            </w:tcMar>
            <w:vAlign w:val="center"/>
          </w:tcPr>
          <w:p w14:paraId="2DBD0974">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663" w:type="dxa"/>
            <w:noWrap w:val="0"/>
            <w:tcMar>
              <w:top w:w="-1" w:type="dxa"/>
              <w:left w:w="-1" w:type="dxa"/>
              <w:bottom w:w="-1" w:type="dxa"/>
              <w:right w:w="-1" w:type="dxa"/>
            </w:tcMar>
            <w:vAlign w:val="center"/>
          </w:tcPr>
          <w:p w14:paraId="3F596A58">
            <w:pPr>
              <w:keepNext w:val="0"/>
              <w:keepLines w:val="0"/>
              <w:widowControl/>
              <w:suppressLineNumbers w:val="0"/>
              <w:snapToGrid w:val="0"/>
              <w:ind w:left="0" w:leftChars="0" w:firstLine="0" w:firstLineChars="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p>
        </w:tc>
      </w:tr>
      <w:tr w14:paraId="1332D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8" w:type="dxa"/>
            <w:noWrap w:val="0"/>
            <w:tcMar>
              <w:top w:w="-1" w:type="dxa"/>
              <w:left w:w="-1" w:type="dxa"/>
              <w:bottom w:w="-1" w:type="dxa"/>
              <w:right w:w="-1" w:type="dxa"/>
            </w:tcMar>
            <w:vAlign w:val="center"/>
          </w:tcPr>
          <w:p w14:paraId="5466348D">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w:t>
            </w:r>
            <w:r>
              <w:rPr>
                <w:rFonts w:hint="eastAsia" w:ascii="方正仿宋_GBK" w:hAnsi="方正仿宋_GBK" w:eastAsia="方正仿宋_GBK" w:cs="方正仿宋_GBK"/>
                <w:i w:val="0"/>
                <w:iCs w:val="0"/>
                <w:color w:val="000000"/>
                <w:kern w:val="0"/>
                <w:sz w:val="20"/>
                <w:szCs w:val="20"/>
                <w:u w:val="none"/>
                <w:lang w:val="en-US" w:eastAsia="zh-CN" w:bidi="ar"/>
              </w:rPr>
              <w:t>3</w:t>
            </w:r>
          </w:p>
        </w:tc>
        <w:tc>
          <w:tcPr>
            <w:tcW w:w="2460" w:type="dxa"/>
            <w:noWrap w:val="0"/>
            <w:tcMar>
              <w:top w:w="-1" w:type="dxa"/>
              <w:left w:w="-1" w:type="dxa"/>
              <w:bottom w:w="-1" w:type="dxa"/>
              <w:right w:w="-1" w:type="dxa"/>
            </w:tcMar>
            <w:vAlign w:val="center"/>
          </w:tcPr>
          <w:p w14:paraId="0E495477">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50cm厚片石补强路基</w:t>
            </w:r>
          </w:p>
        </w:tc>
        <w:tc>
          <w:tcPr>
            <w:tcW w:w="588" w:type="dxa"/>
            <w:noWrap w:val="0"/>
            <w:tcMar>
              <w:top w:w="-1" w:type="dxa"/>
              <w:left w:w="-1" w:type="dxa"/>
              <w:bottom w:w="-1" w:type="dxa"/>
              <w:right w:w="-1" w:type="dxa"/>
            </w:tcMar>
            <w:vAlign w:val="center"/>
          </w:tcPr>
          <w:p w14:paraId="3F8351D1">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m2</w:t>
            </w:r>
          </w:p>
        </w:tc>
        <w:tc>
          <w:tcPr>
            <w:tcW w:w="852" w:type="dxa"/>
            <w:noWrap w:val="0"/>
            <w:tcMar>
              <w:top w:w="-1" w:type="dxa"/>
              <w:left w:w="-1" w:type="dxa"/>
              <w:bottom w:w="-1" w:type="dxa"/>
              <w:right w:w="-1" w:type="dxa"/>
            </w:tcMar>
            <w:vAlign w:val="center"/>
          </w:tcPr>
          <w:p w14:paraId="3AD32AE0">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20</w:t>
            </w:r>
          </w:p>
        </w:tc>
        <w:tc>
          <w:tcPr>
            <w:tcW w:w="1200" w:type="dxa"/>
            <w:noWrap w:val="0"/>
            <w:tcMar>
              <w:top w:w="-1" w:type="dxa"/>
              <w:left w:w="-1" w:type="dxa"/>
              <w:bottom w:w="-1" w:type="dxa"/>
              <w:right w:w="-1" w:type="dxa"/>
            </w:tcMar>
            <w:vAlign w:val="center"/>
          </w:tcPr>
          <w:p w14:paraId="5FE594AC">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265.00</w:t>
            </w:r>
          </w:p>
        </w:tc>
        <w:tc>
          <w:tcPr>
            <w:tcW w:w="1248" w:type="dxa"/>
            <w:noWrap w:val="0"/>
            <w:tcMar>
              <w:top w:w="-1" w:type="dxa"/>
              <w:left w:w="-1" w:type="dxa"/>
              <w:bottom w:w="-1" w:type="dxa"/>
              <w:right w:w="-1" w:type="dxa"/>
            </w:tcMar>
            <w:vAlign w:val="center"/>
          </w:tcPr>
          <w:p w14:paraId="7AF22BBB">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5300.00</w:t>
            </w:r>
          </w:p>
        </w:tc>
        <w:tc>
          <w:tcPr>
            <w:tcW w:w="1212" w:type="dxa"/>
            <w:noWrap w:val="0"/>
            <w:tcMar>
              <w:top w:w="-1" w:type="dxa"/>
              <w:left w:w="-1" w:type="dxa"/>
              <w:bottom w:w="-1" w:type="dxa"/>
              <w:right w:w="-1" w:type="dxa"/>
            </w:tcMar>
            <w:vAlign w:val="center"/>
          </w:tcPr>
          <w:p w14:paraId="4E507021">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1236" w:type="dxa"/>
            <w:noWrap w:val="0"/>
            <w:tcMar>
              <w:top w:w="-1" w:type="dxa"/>
              <w:left w:w="-1" w:type="dxa"/>
              <w:bottom w:w="-1" w:type="dxa"/>
              <w:right w:w="-1" w:type="dxa"/>
            </w:tcMar>
            <w:vAlign w:val="center"/>
          </w:tcPr>
          <w:p w14:paraId="60D3919F">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663" w:type="dxa"/>
            <w:noWrap w:val="0"/>
            <w:tcMar>
              <w:top w:w="-1" w:type="dxa"/>
              <w:left w:w="-1" w:type="dxa"/>
              <w:bottom w:w="-1" w:type="dxa"/>
              <w:right w:w="-1" w:type="dxa"/>
            </w:tcMar>
            <w:vAlign w:val="center"/>
          </w:tcPr>
          <w:p w14:paraId="6565CFA2">
            <w:pPr>
              <w:keepNext w:val="0"/>
              <w:keepLines w:val="0"/>
              <w:widowControl/>
              <w:suppressLineNumbers w:val="0"/>
              <w:snapToGrid w:val="0"/>
              <w:ind w:left="0" w:leftChars="0" w:firstLine="0" w:firstLineChars="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p>
        </w:tc>
      </w:tr>
      <w:tr w14:paraId="4E658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8" w:type="dxa"/>
            <w:noWrap w:val="0"/>
            <w:tcMar>
              <w:top w:w="-1" w:type="dxa"/>
              <w:left w:w="-1" w:type="dxa"/>
              <w:bottom w:w="-1" w:type="dxa"/>
              <w:right w:w="-1" w:type="dxa"/>
            </w:tcMar>
            <w:vAlign w:val="center"/>
          </w:tcPr>
          <w:p w14:paraId="156197CC">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w:t>
            </w:r>
            <w:r>
              <w:rPr>
                <w:rFonts w:hint="eastAsia" w:ascii="方正仿宋_GBK" w:hAnsi="方正仿宋_GBK" w:eastAsia="方正仿宋_GBK" w:cs="方正仿宋_GBK"/>
                <w:i w:val="0"/>
                <w:iCs w:val="0"/>
                <w:color w:val="000000"/>
                <w:kern w:val="0"/>
                <w:sz w:val="20"/>
                <w:szCs w:val="20"/>
                <w:u w:val="none"/>
                <w:lang w:val="en-US" w:eastAsia="zh-CN" w:bidi="ar"/>
              </w:rPr>
              <w:t>4</w:t>
            </w:r>
          </w:p>
        </w:tc>
        <w:tc>
          <w:tcPr>
            <w:tcW w:w="2460" w:type="dxa"/>
            <w:noWrap w:val="0"/>
            <w:tcMar>
              <w:top w:w="-1" w:type="dxa"/>
              <w:left w:w="-1" w:type="dxa"/>
              <w:bottom w:w="-1" w:type="dxa"/>
              <w:right w:w="-1" w:type="dxa"/>
            </w:tcMar>
            <w:vAlign w:val="center"/>
          </w:tcPr>
          <w:p w14:paraId="4E1BB91A">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引道C20钢筋混凝面层</w:t>
            </w:r>
          </w:p>
        </w:tc>
        <w:tc>
          <w:tcPr>
            <w:tcW w:w="588" w:type="dxa"/>
            <w:noWrap w:val="0"/>
            <w:tcMar>
              <w:top w:w="-1" w:type="dxa"/>
              <w:left w:w="-1" w:type="dxa"/>
              <w:bottom w:w="-1" w:type="dxa"/>
              <w:right w:w="-1" w:type="dxa"/>
            </w:tcMar>
            <w:vAlign w:val="center"/>
          </w:tcPr>
          <w:p w14:paraId="6C5FAE1F">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m³</w:t>
            </w:r>
          </w:p>
        </w:tc>
        <w:tc>
          <w:tcPr>
            <w:tcW w:w="852" w:type="dxa"/>
            <w:noWrap w:val="0"/>
            <w:tcMar>
              <w:top w:w="-1" w:type="dxa"/>
              <w:left w:w="-1" w:type="dxa"/>
              <w:bottom w:w="-1" w:type="dxa"/>
              <w:right w:w="-1" w:type="dxa"/>
            </w:tcMar>
            <w:vAlign w:val="center"/>
          </w:tcPr>
          <w:p w14:paraId="6CF893BC">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20</w:t>
            </w:r>
          </w:p>
        </w:tc>
        <w:tc>
          <w:tcPr>
            <w:tcW w:w="1200" w:type="dxa"/>
            <w:noWrap w:val="0"/>
            <w:tcMar>
              <w:top w:w="-1" w:type="dxa"/>
              <w:left w:w="-1" w:type="dxa"/>
              <w:bottom w:w="-1" w:type="dxa"/>
              <w:right w:w="-1" w:type="dxa"/>
            </w:tcMar>
            <w:vAlign w:val="center"/>
          </w:tcPr>
          <w:p w14:paraId="72FE0966">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450.00</w:t>
            </w:r>
          </w:p>
        </w:tc>
        <w:tc>
          <w:tcPr>
            <w:tcW w:w="1248" w:type="dxa"/>
            <w:noWrap w:val="0"/>
            <w:tcMar>
              <w:top w:w="-1" w:type="dxa"/>
              <w:left w:w="-1" w:type="dxa"/>
              <w:bottom w:w="-1" w:type="dxa"/>
              <w:right w:w="-1" w:type="dxa"/>
            </w:tcMar>
            <w:vAlign w:val="center"/>
          </w:tcPr>
          <w:p w14:paraId="79F56AC6">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9000.00</w:t>
            </w:r>
          </w:p>
        </w:tc>
        <w:tc>
          <w:tcPr>
            <w:tcW w:w="1212" w:type="dxa"/>
            <w:noWrap w:val="0"/>
            <w:tcMar>
              <w:top w:w="-1" w:type="dxa"/>
              <w:left w:w="-1" w:type="dxa"/>
              <w:bottom w:w="-1" w:type="dxa"/>
              <w:right w:w="-1" w:type="dxa"/>
            </w:tcMar>
            <w:vAlign w:val="center"/>
          </w:tcPr>
          <w:p w14:paraId="79EAAC89">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1236" w:type="dxa"/>
            <w:noWrap w:val="0"/>
            <w:tcMar>
              <w:top w:w="-1" w:type="dxa"/>
              <w:left w:w="-1" w:type="dxa"/>
              <w:bottom w:w="-1" w:type="dxa"/>
              <w:right w:w="-1" w:type="dxa"/>
            </w:tcMar>
            <w:vAlign w:val="center"/>
          </w:tcPr>
          <w:p w14:paraId="142457A4">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663" w:type="dxa"/>
            <w:noWrap w:val="0"/>
            <w:tcMar>
              <w:top w:w="-1" w:type="dxa"/>
              <w:left w:w="-1" w:type="dxa"/>
              <w:bottom w:w="-1" w:type="dxa"/>
              <w:right w:w="-1" w:type="dxa"/>
            </w:tcMar>
            <w:vAlign w:val="center"/>
          </w:tcPr>
          <w:p w14:paraId="22BA0C99">
            <w:pPr>
              <w:keepNext w:val="0"/>
              <w:keepLines w:val="0"/>
              <w:widowControl/>
              <w:suppressLineNumbers w:val="0"/>
              <w:snapToGrid w:val="0"/>
              <w:ind w:left="0" w:leftChars="0" w:firstLine="0" w:firstLineChars="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砼甲供</w:t>
            </w:r>
          </w:p>
        </w:tc>
      </w:tr>
      <w:tr w14:paraId="374F8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8" w:type="dxa"/>
            <w:noWrap w:val="0"/>
            <w:tcMar>
              <w:top w:w="-1" w:type="dxa"/>
              <w:left w:w="-1" w:type="dxa"/>
              <w:bottom w:w="-1" w:type="dxa"/>
              <w:right w:w="-1" w:type="dxa"/>
            </w:tcMar>
            <w:vAlign w:val="center"/>
          </w:tcPr>
          <w:p w14:paraId="13646C20">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w:t>
            </w:r>
            <w:r>
              <w:rPr>
                <w:rFonts w:hint="eastAsia" w:ascii="方正仿宋_GBK" w:hAnsi="方正仿宋_GBK" w:eastAsia="方正仿宋_GBK" w:cs="方正仿宋_GBK"/>
                <w:i w:val="0"/>
                <w:iCs w:val="0"/>
                <w:color w:val="000000"/>
                <w:kern w:val="0"/>
                <w:sz w:val="20"/>
                <w:szCs w:val="20"/>
                <w:u w:val="none"/>
                <w:lang w:val="en-US" w:eastAsia="zh-CN" w:bidi="ar"/>
              </w:rPr>
              <w:t>5</w:t>
            </w:r>
          </w:p>
        </w:tc>
        <w:tc>
          <w:tcPr>
            <w:tcW w:w="2460" w:type="dxa"/>
            <w:noWrap w:val="0"/>
            <w:tcMar>
              <w:top w:w="-1" w:type="dxa"/>
              <w:left w:w="-1" w:type="dxa"/>
              <w:bottom w:w="-1" w:type="dxa"/>
              <w:right w:w="-1" w:type="dxa"/>
            </w:tcMar>
            <w:vAlign w:val="center"/>
          </w:tcPr>
          <w:p w14:paraId="0846A8CB">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更换减速带</w:t>
            </w:r>
          </w:p>
        </w:tc>
        <w:tc>
          <w:tcPr>
            <w:tcW w:w="588" w:type="dxa"/>
            <w:noWrap w:val="0"/>
            <w:tcMar>
              <w:top w:w="-1" w:type="dxa"/>
              <w:left w:w="-1" w:type="dxa"/>
              <w:bottom w:w="-1" w:type="dxa"/>
              <w:right w:w="-1" w:type="dxa"/>
            </w:tcMar>
            <w:vAlign w:val="center"/>
          </w:tcPr>
          <w:p w14:paraId="2163623A">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m</w:t>
            </w:r>
          </w:p>
        </w:tc>
        <w:tc>
          <w:tcPr>
            <w:tcW w:w="852" w:type="dxa"/>
            <w:noWrap w:val="0"/>
            <w:tcMar>
              <w:top w:w="-1" w:type="dxa"/>
              <w:left w:w="-1" w:type="dxa"/>
              <w:bottom w:w="-1" w:type="dxa"/>
              <w:right w:w="-1" w:type="dxa"/>
            </w:tcMar>
            <w:vAlign w:val="center"/>
          </w:tcPr>
          <w:p w14:paraId="067FF06A">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24.5</w:t>
            </w:r>
          </w:p>
        </w:tc>
        <w:tc>
          <w:tcPr>
            <w:tcW w:w="1200" w:type="dxa"/>
            <w:noWrap w:val="0"/>
            <w:tcMar>
              <w:top w:w="-1" w:type="dxa"/>
              <w:left w:w="-1" w:type="dxa"/>
              <w:bottom w:w="-1" w:type="dxa"/>
              <w:right w:w="-1" w:type="dxa"/>
            </w:tcMar>
            <w:vAlign w:val="center"/>
          </w:tcPr>
          <w:p w14:paraId="1274A259">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260.00</w:t>
            </w:r>
          </w:p>
        </w:tc>
        <w:tc>
          <w:tcPr>
            <w:tcW w:w="1248" w:type="dxa"/>
            <w:noWrap w:val="0"/>
            <w:tcMar>
              <w:top w:w="-1" w:type="dxa"/>
              <w:left w:w="-1" w:type="dxa"/>
              <w:bottom w:w="-1" w:type="dxa"/>
              <w:right w:w="-1" w:type="dxa"/>
            </w:tcMar>
            <w:vAlign w:val="center"/>
          </w:tcPr>
          <w:p w14:paraId="38FDBEA1">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6370.00</w:t>
            </w:r>
          </w:p>
        </w:tc>
        <w:tc>
          <w:tcPr>
            <w:tcW w:w="1212" w:type="dxa"/>
            <w:noWrap w:val="0"/>
            <w:tcMar>
              <w:top w:w="-1" w:type="dxa"/>
              <w:left w:w="-1" w:type="dxa"/>
              <w:bottom w:w="-1" w:type="dxa"/>
              <w:right w:w="-1" w:type="dxa"/>
            </w:tcMar>
            <w:vAlign w:val="center"/>
          </w:tcPr>
          <w:p w14:paraId="4097365D">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1236" w:type="dxa"/>
            <w:noWrap w:val="0"/>
            <w:tcMar>
              <w:top w:w="-1" w:type="dxa"/>
              <w:left w:w="-1" w:type="dxa"/>
              <w:bottom w:w="-1" w:type="dxa"/>
              <w:right w:w="-1" w:type="dxa"/>
            </w:tcMar>
            <w:vAlign w:val="center"/>
          </w:tcPr>
          <w:p w14:paraId="58418946">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663" w:type="dxa"/>
            <w:noWrap w:val="0"/>
            <w:tcMar>
              <w:top w:w="-1" w:type="dxa"/>
              <w:left w:w="-1" w:type="dxa"/>
              <w:bottom w:w="-1" w:type="dxa"/>
              <w:right w:w="-1" w:type="dxa"/>
            </w:tcMar>
            <w:vAlign w:val="center"/>
          </w:tcPr>
          <w:p w14:paraId="0CAF59C6">
            <w:pPr>
              <w:keepNext w:val="0"/>
              <w:keepLines w:val="0"/>
              <w:widowControl/>
              <w:suppressLineNumbers w:val="0"/>
              <w:snapToGrid w:val="0"/>
              <w:ind w:left="0" w:leftChars="0" w:firstLine="0" w:firstLineChars="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p>
        </w:tc>
      </w:tr>
      <w:tr w14:paraId="0B1D2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8" w:type="dxa"/>
            <w:noWrap w:val="0"/>
            <w:tcMar>
              <w:top w:w="-1" w:type="dxa"/>
              <w:left w:w="-1" w:type="dxa"/>
              <w:bottom w:w="-1" w:type="dxa"/>
              <w:right w:w="-1" w:type="dxa"/>
            </w:tcMar>
            <w:vAlign w:val="center"/>
          </w:tcPr>
          <w:p w14:paraId="6EBA4B5B">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w:t>
            </w:r>
            <w:r>
              <w:rPr>
                <w:rFonts w:hint="eastAsia" w:ascii="方正仿宋_GBK" w:hAnsi="方正仿宋_GBK" w:eastAsia="方正仿宋_GBK" w:cs="方正仿宋_GBK"/>
                <w:i w:val="0"/>
                <w:iCs w:val="0"/>
                <w:color w:val="000000"/>
                <w:kern w:val="0"/>
                <w:sz w:val="20"/>
                <w:szCs w:val="20"/>
                <w:u w:val="none"/>
                <w:lang w:val="en-US" w:eastAsia="zh-CN" w:bidi="ar"/>
              </w:rPr>
              <w:t>6</w:t>
            </w:r>
          </w:p>
        </w:tc>
        <w:tc>
          <w:tcPr>
            <w:tcW w:w="2460" w:type="dxa"/>
            <w:noWrap w:val="0"/>
            <w:tcMar>
              <w:top w:w="-1" w:type="dxa"/>
              <w:left w:w="-1" w:type="dxa"/>
              <w:bottom w:w="-1" w:type="dxa"/>
              <w:right w:w="-1" w:type="dxa"/>
            </w:tcMar>
            <w:vAlign w:val="center"/>
          </w:tcPr>
          <w:p w14:paraId="09CD91AE">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C30砼电缆沟检修盖板</w:t>
            </w:r>
          </w:p>
        </w:tc>
        <w:tc>
          <w:tcPr>
            <w:tcW w:w="588" w:type="dxa"/>
            <w:noWrap w:val="0"/>
            <w:tcMar>
              <w:top w:w="-1" w:type="dxa"/>
              <w:left w:w="-1" w:type="dxa"/>
              <w:bottom w:w="-1" w:type="dxa"/>
              <w:right w:w="-1" w:type="dxa"/>
            </w:tcMar>
            <w:vAlign w:val="center"/>
          </w:tcPr>
          <w:p w14:paraId="0CD136A8">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m³</w:t>
            </w:r>
          </w:p>
        </w:tc>
        <w:tc>
          <w:tcPr>
            <w:tcW w:w="852" w:type="dxa"/>
            <w:noWrap w:val="0"/>
            <w:tcMar>
              <w:top w:w="-1" w:type="dxa"/>
              <w:left w:w="-1" w:type="dxa"/>
              <w:bottom w:w="-1" w:type="dxa"/>
              <w:right w:w="-1" w:type="dxa"/>
            </w:tcMar>
            <w:vAlign w:val="center"/>
          </w:tcPr>
          <w:p w14:paraId="0C2B4CDB">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0.36</w:t>
            </w:r>
          </w:p>
        </w:tc>
        <w:tc>
          <w:tcPr>
            <w:tcW w:w="1200" w:type="dxa"/>
            <w:noWrap w:val="0"/>
            <w:tcMar>
              <w:top w:w="-1" w:type="dxa"/>
              <w:left w:w="-1" w:type="dxa"/>
              <w:bottom w:w="-1" w:type="dxa"/>
              <w:right w:w="-1" w:type="dxa"/>
            </w:tcMar>
            <w:vAlign w:val="center"/>
          </w:tcPr>
          <w:p w14:paraId="16D70AEA">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550.00</w:t>
            </w:r>
          </w:p>
        </w:tc>
        <w:tc>
          <w:tcPr>
            <w:tcW w:w="1248" w:type="dxa"/>
            <w:noWrap w:val="0"/>
            <w:tcMar>
              <w:top w:w="-1" w:type="dxa"/>
              <w:left w:w="-1" w:type="dxa"/>
              <w:bottom w:w="-1" w:type="dxa"/>
              <w:right w:w="-1" w:type="dxa"/>
            </w:tcMar>
            <w:vAlign w:val="center"/>
          </w:tcPr>
          <w:p w14:paraId="79DC07C9">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198.00</w:t>
            </w:r>
          </w:p>
        </w:tc>
        <w:tc>
          <w:tcPr>
            <w:tcW w:w="1212" w:type="dxa"/>
            <w:noWrap w:val="0"/>
            <w:tcMar>
              <w:top w:w="-1" w:type="dxa"/>
              <w:left w:w="-1" w:type="dxa"/>
              <w:bottom w:w="-1" w:type="dxa"/>
              <w:right w:w="-1" w:type="dxa"/>
            </w:tcMar>
            <w:vAlign w:val="center"/>
          </w:tcPr>
          <w:p w14:paraId="7E648927">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1236" w:type="dxa"/>
            <w:noWrap w:val="0"/>
            <w:tcMar>
              <w:top w:w="-1" w:type="dxa"/>
              <w:left w:w="-1" w:type="dxa"/>
              <w:bottom w:w="-1" w:type="dxa"/>
              <w:right w:w="-1" w:type="dxa"/>
            </w:tcMar>
            <w:vAlign w:val="center"/>
          </w:tcPr>
          <w:p w14:paraId="2E3D3399">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663" w:type="dxa"/>
            <w:noWrap w:val="0"/>
            <w:tcMar>
              <w:top w:w="-1" w:type="dxa"/>
              <w:left w:w="-1" w:type="dxa"/>
              <w:bottom w:w="-1" w:type="dxa"/>
              <w:right w:w="-1" w:type="dxa"/>
            </w:tcMar>
            <w:vAlign w:val="center"/>
          </w:tcPr>
          <w:p w14:paraId="6678CC4F">
            <w:pPr>
              <w:keepNext w:val="0"/>
              <w:keepLines w:val="0"/>
              <w:widowControl/>
              <w:suppressLineNumbers w:val="0"/>
              <w:snapToGrid w:val="0"/>
              <w:ind w:left="0" w:leftChars="0" w:firstLine="0" w:firstLineChars="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p>
        </w:tc>
      </w:tr>
      <w:tr w14:paraId="422A3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8" w:type="dxa"/>
            <w:noWrap w:val="0"/>
            <w:tcMar>
              <w:top w:w="-1" w:type="dxa"/>
              <w:left w:w="-1" w:type="dxa"/>
              <w:bottom w:w="-1" w:type="dxa"/>
              <w:right w:w="-1" w:type="dxa"/>
            </w:tcMar>
            <w:vAlign w:val="center"/>
          </w:tcPr>
          <w:p w14:paraId="57AA3F30">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w:t>
            </w:r>
            <w:r>
              <w:rPr>
                <w:rFonts w:hint="eastAsia" w:ascii="方正仿宋_GBK" w:hAnsi="方正仿宋_GBK" w:eastAsia="方正仿宋_GBK" w:cs="方正仿宋_GBK"/>
                <w:i w:val="0"/>
                <w:iCs w:val="0"/>
                <w:color w:val="000000"/>
                <w:kern w:val="0"/>
                <w:sz w:val="20"/>
                <w:szCs w:val="20"/>
                <w:u w:val="none"/>
                <w:lang w:val="en-US" w:eastAsia="zh-CN" w:bidi="ar"/>
              </w:rPr>
              <w:t>7</w:t>
            </w:r>
          </w:p>
        </w:tc>
        <w:tc>
          <w:tcPr>
            <w:tcW w:w="2460" w:type="dxa"/>
            <w:noWrap w:val="0"/>
            <w:tcMar>
              <w:top w:w="-1" w:type="dxa"/>
              <w:left w:w="-1" w:type="dxa"/>
              <w:bottom w:w="-1" w:type="dxa"/>
              <w:right w:w="-1" w:type="dxa"/>
            </w:tcMar>
            <w:vAlign w:val="center"/>
          </w:tcPr>
          <w:p w14:paraId="7B08335A">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电缆沟检修盖板钢筋</w:t>
            </w:r>
          </w:p>
        </w:tc>
        <w:tc>
          <w:tcPr>
            <w:tcW w:w="588" w:type="dxa"/>
            <w:noWrap w:val="0"/>
            <w:tcMar>
              <w:top w:w="-1" w:type="dxa"/>
              <w:left w:w="-1" w:type="dxa"/>
              <w:bottom w:w="-1" w:type="dxa"/>
              <w:right w:w="-1" w:type="dxa"/>
            </w:tcMar>
            <w:vAlign w:val="center"/>
          </w:tcPr>
          <w:p w14:paraId="46451249">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kg</w:t>
            </w:r>
          </w:p>
        </w:tc>
        <w:tc>
          <w:tcPr>
            <w:tcW w:w="852" w:type="dxa"/>
            <w:noWrap w:val="0"/>
            <w:tcMar>
              <w:top w:w="-1" w:type="dxa"/>
              <w:left w:w="-1" w:type="dxa"/>
              <w:bottom w:w="-1" w:type="dxa"/>
              <w:right w:w="-1" w:type="dxa"/>
            </w:tcMar>
            <w:vAlign w:val="center"/>
          </w:tcPr>
          <w:p w14:paraId="3B3A2031">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146.44</w:t>
            </w:r>
          </w:p>
        </w:tc>
        <w:tc>
          <w:tcPr>
            <w:tcW w:w="1200" w:type="dxa"/>
            <w:noWrap w:val="0"/>
            <w:tcMar>
              <w:top w:w="-1" w:type="dxa"/>
              <w:left w:w="-1" w:type="dxa"/>
              <w:bottom w:w="-1" w:type="dxa"/>
              <w:right w:w="-1" w:type="dxa"/>
            </w:tcMar>
            <w:vAlign w:val="center"/>
          </w:tcPr>
          <w:p w14:paraId="3BCDB8AB">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5.20</w:t>
            </w:r>
          </w:p>
        </w:tc>
        <w:tc>
          <w:tcPr>
            <w:tcW w:w="1248" w:type="dxa"/>
            <w:noWrap w:val="0"/>
            <w:tcMar>
              <w:top w:w="-1" w:type="dxa"/>
              <w:left w:w="-1" w:type="dxa"/>
              <w:bottom w:w="-1" w:type="dxa"/>
              <w:right w:w="-1" w:type="dxa"/>
            </w:tcMar>
            <w:vAlign w:val="center"/>
          </w:tcPr>
          <w:p w14:paraId="7E8D1FCB">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761.49</w:t>
            </w:r>
          </w:p>
        </w:tc>
        <w:tc>
          <w:tcPr>
            <w:tcW w:w="1212" w:type="dxa"/>
            <w:noWrap w:val="0"/>
            <w:tcMar>
              <w:top w:w="-1" w:type="dxa"/>
              <w:left w:w="-1" w:type="dxa"/>
              <w:bottom w:w="-1" w:type="dxa"/>
              <w:right w:w="-1" w:type="dxa"/>
            </w:tcMar>
            <w:vAlign w:val="center"/>
          </w:tcPr>
          <w:p w14:paraId="0E84EC6C">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1236" w:type="dxa"/>
            <w:noWrap w:val="0"/>
            <w:tcMar>
              <w:top w:w="-1" w:type="dxa"/>
              <w:left w:w="-1" w:type="dxa"/>
              <w:bottom w:w="-1" w:type="dxa"/>
              <w:right w:w="-1" w:type="dxa"/>
            </w:tcMar>
            <w:vAlign w:val="center"/>
          </w:tcPr>
          <w:p w14:paraId="739A2B48">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663" w:type="dxa"/>
            <w:noWrap w:val="0"/>
            <w:tcMar>
              <w:top w:w="-1" w:type="dxa"/>
              <w:left w:w="-1" w:type="dxa"/>
              <w:bottom w:w="-1" w:type="dxa"/>
              <w:right w:w="-1" w:type="dxa"/>
            </w:tcMar>
            <w:vAlign w:val="center"/>
          </w:tcPr>
          <w:p w14:paraId="52DD3591">
            <w:pPr>
              <w:keepNext w:val="0"/>
              <w:keepLines w:val="0"/>
              <w:widowControl/>
              <w:suppressLineNumbers w:val="0"/>
              <w:snapToGrid w:val="0"/>
              <w:ind w:left="0" w:leftChars="0" w:firstLine="0" w:firstLineChars="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p>
        </w:tc>
      </w:tr>
      <w:tr w14:paraId="08265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8" w:type="dxa"/>
            <w:noWrap w:val="0"/>
            <w:tcMar>
              <w:top w:w="-1" w:type="dxa"/>
              <w:left w:w="-1" w:type="dxa"/>
              <w:bottom w:w="-1" w:type="dxa"/>
              <w:right w:w="-1" w:type="dxa"/>
            </w:tcMar>
            <w:vAlign w:val="center"/>
          </w:tcPr>
          <w:p w14:paraId="736CFD5D">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w:t>
            </w:r>
            <w:r>
              <w:rPr>
                <w:rFonts w:hint="eastAsia" w:ascii="方正仿宋_GBK" w:hAnsi="方正仿宋_GBK" w:eastAsia="方正仿宋_GBK" w:cs="方正仿宋_GBK"/>
                <w:i w:val="0"/>
                <w:iCs w:val="0"/>
                <w:color w:val="000000"/>
                <w:kern w:val="0"/>
                <w:sz w:val="20"/>
                <w:szCs w:val="20"/>
                <w:u w:val="none"/>
                <w:lang w:val="en-US" w:eastAsia="zh-CN" w:bidi="ar"/>
              </w:rPr>
              <w:t>8</w:t>
            </w:r>
          </w:p>
        </w:tc>
        <w:tc>
          <w:tcPr>
            <w:tcW w:w="2460" w:type="dxa"/>
            <w:noWrap w:val="0"/>
            <w:tcMar>
              <w:top w:w="-1" w:type="dxa"/>
              <w:left w:w="-1" w:type="dxa"/>
              <w:bottom w:w="-1" w:type="dxa"/>
              <w:right w:w="-1" w:type="dxa"/>
            </w:tcMar>
            <w:vAlign w:val="center"/>
          </w:tcPr>
          <w:p w14:paraId="4663F167">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升降式限高架</w:t>
            </w:r>
          </w:p>
        </w:tc>
        <w:tc>
          <w:tcPr>
            <w:tcW w:w="588" w:type="dxa"/>
            <w:noWrap w:val="0"/>
            <w:tcMar>
              <w:top w:w="-1" w:type="dxa"/>
              <w:left w:w="-1" w:type="dxa"/>
              <w:bottom w:w="-1" w:type="dxa"/>
              <w:right w:w="-1" w:type="dxa"/>
            </w:tcMar>
            <w:vAlign w:val="center"/>
          </w:tcPr>
          <w:p w14:paraId="5A9FAAEE">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套</w:t>
            </w:r>
          </w:p>
        </w:tc>
        <w:tc>
          <w:tcPr>
            <w:tcW w:w="852" w:type="dxa"/>
            <w:noWrap w:val="0"/>
            <w:tcMar>
              <w:top w:w="-1" w:type="dxa"/>
              <w:left w:w="-1" w:type="dxa"/>
              <w:bottom w:w="-1" w:type="dxa"/>
              <w:right w:w="-1" w:type="dxa"/>
            </w:tcMar>
            <w:vAlign w:val="center"/>
          </w:tcPr>
          <w:p w14:paraId="67F7E8C0">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w:t>
            </w:r>
          </w:p>
        </w:tc>
        <w:tc>
          <w:tcPr>
            <w:tcW w:w="1200" w:type="dxa"/>
            <w:noWrap w:val="0"/>
            <w:tcMar>
              <w:top w:w="-1" w:type="dxa"/>
              <w:left w:w="-1" w:type="dxa"/>
              <w:bottom w:w="-1" w:type="dxa"/>
              <w:right w:w="-1" w:type="dxa"/>
            </w:tcMar>
            <w:vAlign w:val="center"/>
          </w:tcPr>
          <w:p w14:paraId="12BDCA84">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900.00</w:t>
            </w:r>
          </w:p>
        </w:tc>
        <w:tc>
          <w:tcPr>
            <w:tcW w:w="1248" w:type="dxa"/>
            <w:noWrap w:val="0"/>
            <w:tcMar>
              <w:top w:w="-1" w:type="dxa"/>
              <w:left w:w="-1" w:type="dxa"/>
              <w:bottom w:w="-1" w:type="dxa"/>
              <w:right w:w="-1" w:type="dxa"/>
            </w:tcMar>
            <w:vAlign w:val="center"/>
          </w:tcPr>
          <w:p w14:paraId="2C6205B5">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900.00</w:t>
            </w:r>
          </w:p>
        </w:tc>
        <w:tc>
          <w:tcPr>
            <w:tcW w:w="1212" w:type="dxa"/>
            <w:noWrap w:val="0"/>
            <w:tcMar>
              <w:top w:w="-1" w:type="dxa"/>
              <w:left w:w="-1" w:type="dxa"/>
              <w:bottom w:w="-1" w:type="dxa"/>
              <w:right w:w="-1" w:type="dxa"/>
            </w:tcMar>
            <w:vAlign w:val="center"/>
          </w:tcPr>
          <w:p w14:paraId="46767AF9">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1236" w:type="dxa"/>
            <w:noWrap w:val="0"/>
            <w:tcMar>
              <w:top w:w="-1" w:type="dxa"/>
              <w:left w:w="-1" w:type="dxa"/>
              <w:bottom w:w="-1" w:type="dxa"/>
              <w:right w:w="-1" w:type="dxa"/>
            </w:tcMar>
            <w:vAlign w:val="center"/>
          </w:tcPr>
          <w:p w14:paraId="50E99E70">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663" w:type="dxa"/>
            <w:noWrap w:val="0"/>
            <w:tcMar>
              <w:top w:w="-1" w:type="dxa"/>
              <w:left w:w="-1" w:type="dxa"/>
              <w:bottom w:w="-1" w:type="dxa"/>
              <w:right w:w="-1" w:type="dxa"/>
            </w:tcMar>
            <w:vAlign w:val="center"/>
          </w:tcPr>
          <w:p w14:paraId="60336D48">
            <w:pPr>
              <w:keepNext w:val="0"/>
              <w:keepLines w:val="0"/>
              <w:widowControl/>
              <w:suppressLineNumbers w:val="0"/>
              <w:snapToGrid w:val="0"/>
              <w:ind w:left="0" w:leftChars="0" w:firstLine="0" w:firstLineChars="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p>
        </w:tc>
      </w:tr>
      <w:tr w14:paraId="79EFB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8" w:type="dxa"/>
            <w:noWrap w:val="0"/>
            <w:tcMar>
              <w:top w:w="-1" w:type="dxa"/>
              <w:left w:w="-1" w:type="dxa"/>
              <w:bottom w:w="-1" w:type="dxa"/>
              <w:right w:w="-1" w:type="dxa"/>
            </w:tcMar>
            <w:vAlign w:val="center"/>
          </w:tcPr>
          <w:p w14:paraId="1D69A755">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19</w:t>
            </w:r>
          </w:p>
        </w:tc>
        <w:tc>
          <w:tcPr>
            <w:tcW w:w="2460" w:type="dxa"/>
            <w:noWrap w:val="0"/>
            <w:tcMar>
              <w:top w:w="-1" w:type="dxa"/>
              <w:left w:w="-1" w:type="dxa"/>
              <w:bottom w:w="-1" w:type="dxa"/>
              <w:right w:w="-1" w:type="dxa"/>
            </w:tcMar>
            <w:vAlign w:val="center"/>
          </w:tcPr>
          <w:p w14:paraId="52C041FB">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限高架基础</w:t>
            </w:r>
          </w:p>
        </w:tc>
        <w:tc>
          <w:tcPr>
            <w:tcW w:w="588" w:type="dxa"/>
            <w:noWrap w:val="0"/>
            <w:tcMar>
              <w:top w:w="-1" w:type="dxa"/>
              <w:left w:w="-1" w:type="dxa"/>
              <w:bottom w:w="-1" w:type="dxa"/>
              <w:right w:w="-1" w:type="dxa"/>
            </w:tcMar>
            <w:vAlign w:val="center"/>
          </w:tcPr>
          <w:p w14:paraId="1796B521">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个</w:t>
            </w:r>
          </w:p>
        </w:tc>
        <w:tc>
          <w:tcPr>
            <w:tcW w:w="852" w:type="dxa"/>
            <w:noWrap w:val="0"/>
            <w:tcMar>
              <w:top w:w="-1" w:type="dxa"/>
              <w:left w:w="-1" w:type="dxa"/>
              <w:bottom w:w="-1" w:type="dxa"/>
              <w:right w:w="-1" w:type="dxa"/>
            </w:tcMar>
            <w:vAlign w:val="center"/>
          </w:tcPr>
          <w:p w14:paraId="18815E86">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2</w:t>
            </w:r>
          </w:p>
        </w:tc>
        <w:tc>
          <w:tcPr>
            <w:tcW w:w="1200" w:type="dxa"/>
            <w:noWrap w:val="0"/>
            <w:tcMar>
              <w:top w:w="-1" w:type="dxa"/>
              <w:left w:w="-1" w:type="dxa"/>
              <w:bottom w:w="-1" w:type="dxa"/>
              <w:right w:w="-1" w:type="dxa"/>
            </w:tcMar>
            <w:vAlign w:val="center"/>
          </w:tcPr>
          <w:p w14:paraId="38B6E693">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770.00</w:t>
            </w:r>
          </w:p>
        </w:tc>
        <w:tc>
          <w:tcPr>
            <w:tcW w:w="1248" w:type="dxa"/>
            <w:noWrap w:val="0"/>
            <w:tcMar>
              <w:top w:w="-1" w:type="dxa"/>
              <w:left w:w="-1" w:type="dxa"/>
              <w:bottom w:w="-1" w:type="dxa"/>
              <w:right w:w="-1" w:type="dxa"/>
            </w:tcMar>
            <w:vAlign w:val="center"/>
          </w:tcPr>
          <w:p w14:paraId="7CB22957">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1540.00</w:t>
            </w:r>
          </w:p>
        </w:tc>
        <w:tc>
          <w:tcPr>
            <w:tcW w:w="1212" w:type="dxa"/>
            <w:noWrap w:val="0"/>
            <w:tcMar>
              <w:top w:w="-1" w:type="dxa"/>
              <w:left w:w="-1" w:type="dxa"/>
              <w:bottom w:w="-1" w:type="dxa"/>
              <w:right w:w="-1" w:type="dxa"/>
            </w:tcMar>
            <w:vAlign w:val="center"/>
          </w:tcPr>
          <w:p w14:paraId="6EF064FE">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1236" w:type="dxa"/>
            <w:noWrap w:val="0"/>
            <w:tcMar>
              <w:top w:w="-1" w:type="dxa"/>
              <w:left w:w="-1" w:type="dxa"/>
              <w:bottom w:w="-1" w:type="dxa"/>
              <w:right w:w="-1" w:type="dxa"/>
            </w:tcMar>
            <w:vAlign w:val="center"/>
          </w:tcPr>
          <w:p w14:paraId="3F1BEC29">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663" w:type="dxa"/>
            <w:noWrap w:val="0"/>
            <w:tcMar>
              <w:top w:w="-1" w:type="dxa"/>
              <w:left w:w="-1" w:type="dxa"/>
              <w:bottom w:w="-1" w:type="dxa"/>
              <w:right w:w="-1" w:type="dxa"/>
            </w:tcMar>
            <w:vAlign w:val="center"/>
          </w:tcPr>
          <w:p w14:paraId="5133CF99">
            <w:pPr>
              <w:keepNext w:val="0"/>
              <w:keepLines w:val="0"/>
              <w:widowControl/>
              <w:suppressLineNumbers w:val="0"/>
              <w:snapToGrid w:val="0"/>
              <w:ind w:left="0" w:leftChars="0" w:firstLine="0" w:firstLineChars="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砼甲供</w:t>
            </w:r>
          </w:p>
        </w:tc>
      </w:tr>
      <w:tr w14:paraId="2E122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8" w:type="dxa"/>
            <w:noWrap w:val="0"/>
            <w:tcMar>
              <w:top w:w="-1" w:type="dxa"/>
              <w:left w:w="-1" w:type="dxa"/>
              <w:bottom w:w="-1" w:type="dxa"/>
              <w:right w:w="-1" w:type="dxa"/>
            </w:tcMar>
            <w:vAlign w:val="center"/>
          </w:tcPr>
          <w:p w14:paraId="28F6412C">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b/>
                <w:bCs/>
                <w:i w:val="0"/>
                <w:iCs w:val="0"/>
                <w:color w:val="000000"/>
                <w:kern w:val="0"/>
                <w:sz w:val="20"/>
                <w:szCs w:val="20"/>
                <w:u w:val="none"/>
                <w:lang w:val="en-US" w:eastAsia="zh-CN" w:bidi="ar"/>
              </w:rPr>
            </w:pPr>
            <w:r>
              <w:rPr>
                <w:rFonts w:hint="default" w:ascii="方正仿宋_GBK" w:hAnsi="方正仿宋_GBK" w:eastAsia="方正仿宋_GBK" w:cs="方正仿宋_GBK"/>
                <w:b/>
                <w:bCs/>
                <w:i w:val="0"/>
                <w:iCs w:val="0"/>
                <w:color w:val="000000"/>
                <w:kern w:val="0"/>
                <w:sz w:val="20"/>
                <w:szCs w:val="20"/>
                <w:u w:val="none"/>
                <w:lang w:val="en-US" w:eastAsia="zh-CN" w:bidi="ar"/>
              </w:rPr>
              <w:t>二</w:t>
            </w:r>
          </w:p>
        </w:tc>
        <w:tc>
          <w:tcPr>
            <w:tcW w:w="2460" w:type="dxa"/>
            <w:noWrap w:val="0"/>
            <w:tcMar>
              <w:top w:w="-1" w:type="dxa"/>
              <w:left w:w="-1" w:type="dxa"/>
              <w:bottom w:w="-1" w:type="dxa"/>
              <w:right w:w="-1" w:type="dxa"/>
            </w:tcMar>
            <w:vAlign w:val="center"/>
          </w:tcPr>
          <w:p w14:paraId="36F83548">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b/>
                <w:bCs/>
                <w:i w:val="0"/>
                <w:iCs w:val="0"/>
                <w:color w:val="000000"/>
                <w:kern w:val="0"/>
                <w:sz w:val="20"/>
                <w:szCs w:val="20"/>
                <w:u w:val="none"/>
                <w:lang w:val="en-US" w:eastAsia="zh-CN" w:bidi="ar"/>
              </w:rPr>
            </w:pPr>
            <w:r>
              <w:rPr>
                <w:rFonts w:hint="default" w:ascii="方正仿宋_GBK" w:hAnsi="方正仿宋_GBK" w:eastAsia="方正仿宋_GBK" w:cs="方正仿宋_GBK"/>
                <w:b/>
                <w:bCs/>
                <w:i w:val="0"/>
                <w:iCs w:val="0"/>
                <w:color w:val="000000"/>
                <w:kern w:val="0"/>
                <w:sz w:val="20"/>
                <w:szCs w:val="20"/>
                <w:u w:val="none"/>
                <w:lang w:val="en-US" w:eastAsia="zh-CN" w:bidi="ar"/>
              </w:rPr>
              <w:t>大坝交通桥</w:t>
            </w:r>
          </w:p>
        </w:tc>
        <w:tc>
          <w:tcPr>
            <w:tcW w:w="588" w:type="dxa"/>
            <w:noWrap w:val="0"/>
            <w:tcMar>
              <w:top w:w="-1" w:type="dxa"/>
              <w:left w:w="-1" w:type="dxa"/>
              <w:bottom w:w="-1" w:type="dxa"/>
              <w:right w:w="-1" w:type="dxa"/>
            </w:tcMar>
            <w:vAlign w:val="center"/>
          </w:tcPr>
          <w:p w14:paraId="1D382A51">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852" w:type="dxa"/>
            <w:noWrap w:val="0"/>
            <w:tcMar>
              <w:top w:w="-1" w:type="dxa"/>
              <w:left w:w="-1" w:type="dxa"/>
              <w:bottom w:w="-1" w:type="dxa"/>
              <w:right w:w="-1" w:type="dxa"/>
            </w:tcMar>
            <w:vAlign w:val="center"/>
          </w:tcPr>
          <w:p w14:paraId="4414D14F">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1200" w:type="dxa"/>
            <w:noWrap w:val="0"/>
            <w:tcMar>
              <w:top w:w="-1" w:type="dxa"/>
              <w:left w:w="-1" w:type="dxa"/>
              <w:bottom w:w="-1" w:type="dxa"/>
              <w:right w:w="-1" w:type="dxa"/>
            </w:tcMar>
            <w:vAlign w:val="center"/>
          </w:tcPr>
          <w:p w14:paraId="1E0C9C9D">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1248" w:type="dxa"/>
            <w:noWrap w:val="0"/>
            <w:tcMar>
              <w:top w:w="-1" w:type="dxa"/>
              <w:left w:w="-1" w:type="dxa"/>
              <w:bottom w:w="-1" w:type="dxa"/>
              <w:right w:w="-1" w:type="dxa"/>
            </w:tcMar>
            <w:vAlign w:val="center"/>
          </w:tcPr>
          <w:p w14:paraId="3FC32200">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1212" w:type="dxa"/>
            <w:noWrap w:val="0"/>
            <w:tcMar>
              <w:top w:w="-1" w:type="dxa"/>
              <w:left w:w="-1" w:type="dxa"/>
              <w:bottom w:w="-1" w:type="dxa"/>
              <w:right w:w="-1" w:type="dxa"/>
            </w:tcMar>
            <w:vAlign w:val="center"/>
          </w:tcPr>
          <w:p w14:paraId="76179068">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1236" w:type="dxa"/>
            <w:noWrap w:val="0"/>
            <w:tcMar>
              <w:top w:w="-1" w:type="dxa"/>
              <w:left w:w="-1" w:type="dxa"/>
              <w:bottom w:w="-1" w:type="dxa"/>
              <w:right w:w="-1" w:type="dxa"/>
            </w:tcMar>
            <w:vAlign w:val="center"/>
          </w:tcPr>
          <w:p w14:paraId="4031E3FD">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663" w:type="dxa"/>
            <w:noWrap w:val="0"/>
            <w:tcMar>
              <w:top w:w="-1" w:type="dxa"/>
              <w:left w:w="-1" w:type="dxa"/>
              <w:bottom w:w="-1" w:type="dxa"/>
              <w:right w:w="-1" w:type="dxa"/>
            </w:tcMar>
            <w:vAlign w:val="center"/>
          </w:tcPr>
          <w:p w14:paraId="192B89B2">
            <w:pPr>
              <w:keepNext w:val="0"/>
              <w:keepLines w:val="0"/>
              <w:widowControl/>
              <w:suppressLineNumbers w:val="0"/>
              <w:snapToGrid w:val="0"/>
              <w:ind w:left="0" w:leftChars="0" w:firstLine="0" w:firstLineChars="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p>
        </w:tc>
      </w:tr>
      <w:tr w14:paraId="14D49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8" w:type="dxa"/>
            <w:noWrap w:val="0"/>
            <w:tcMar>
              <w:top w:w="-1" w:type="dxa"/>
              <w:left w:w="-1" w:type="dxa"/>
              <w:bottom w:w="-1" w:type="dxa"/>
              <w:right w:w="-1" w:type="dxa"/>
            </w:tcMar>
            <w:vAlign w:val="center"/>
          </w:tcPr>
          <w:p w14:paraId="5C1490EF">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w:t>
            </w:r>
          </w:p>
        </w:tc>
        <w:tc>
          <w:tcPr>
            <w:tcW w:w="2460" w:type="dxa"/>
            <w:noWrap w:val="0"/>
            <w:tcMar>
              <w:top w:w="-1" w:type="dxa"/>
              <w:left w:w="-1" w:type="dxa"/>
              <w:bottom w:w="-1" w:type="dxa"/>
              <w:right w:w="-1" w:type="dxa"/>
            </w:tcMar>
            <w:vAlign w:val="center"/>
          </w:tcPr>
          <w:p w14:paraId="31113BE9">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破损露筋表面修补</w:t>
            </w:r>
          </w:p>
        </w:tc>
        <w:tc>
          <w:tcPr>
            <w:tcW w:w="588" w:type="dxa"/>
            <w:noWrap w:val="0"/>
            <w:tcMar>
              <w:top w:w="-1" w:type="dxa"/>
              <w:left w:w="-1" w:type="dxa"/>
              <w:bottom w:w="-1" w:type="dxa"/>
              <w:right w:w="-1" w:type="dxa"/>
            </w:tcMar>
            <w:vAlign w:val="center"/>
          </w:tcPr>
          <w:p w14:paraId="5A2BD58D">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m²</w:t>
            </w:r>
          </w:p>
        </w:tc>
        <w:tc>
          <w:tcPr>
            <w:tcW w:w="852" w:type="dxa"/>
            <w:noWrap w:val="0"/>
            <w:tcMar>
              <w:top w:w="-1" w:type="dxa"/>
              <w:left w:w="-1" w:type="dxa"/>
              <w:bottom w:w="-1" w:type="dxa"/>
              <w:right w:w="-1" w:type="dxa"/>
            </w:tcMar>
            <w:vAlign w:val="center"/>
          </w:tcPr>
          <w:p w14:paraId="48245172">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2.72</w:t>
            </w:r>
          </w:p>
        </w:tc>
        <w:tc>
          <w:tcPr>
            <w:tcW w:w="1200" w:type="dxa"/>
            <w:noWrap w:val="0"/>
            <w:tcMar>
              <w:top w:w="-1" w:type="dxa"/>
              <w:left w:w="-1" w:type="dxa"/>
              <w:bottom w:w="-1" w:type="dxa"/>
              <w:right w:w="-1" w:type="dxa"/>
            </w:tcMar>
            <w:vAlign w:val="center"/>
          </w:tcPr>
          <w:p w14:paraId="218954BD">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240.00</w:t>
            </w:r>
          </w:p>
        </w:tc>
        <w:tc>
          <w:tcPr>
            <w:tcW w:w="1248" w:type="dxa"/>
            <w:noWrap w:val="0"/>
            <w:tcMar>
              <w:top w:w="-1" w:type="dxa"/>
              <w:left w:w="-1" w:type="dxa"/>
              <w:bottom w:w="-1" w:type="dxa"/>
              <w:right w:w="-1" w:type="dxa"/>
            </w:tcMar>
            <w:vAlign w:val="center"/>
          </w:tcPr>
          <w:p w14:paraId="15623AEF">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652.80</w:t>
            </w:r>
          </w:p>
        </w:tc>
        <w:tc>
          <w:tcPr>
            <w:tcW w:w="1212" w:type="dxa"/>
            <w:noWrap w:val="0"/>
            <w:tcMar>
              <w:top w:w="-1" w:type="dxa"/>
              <w:left w:w="-1" w:type="dxa"/>
              <w:bottom w:w="-1" w:type="dxa"/>
              <w:right w:w="-1" w:type="dxa"/>
            </w:tcMar>
            <w:vAlign w:val="center"/>
          </w:tcPr>
          <w:p w14:paraId="7F33A57B">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1236" w:type="dxa"/>
            <w:noWrap w:val="0"/>
            <w:tcMar>
              <w:top w:w="-1" w:type="dxa"/>
              <w:left w:w="-1" w:type="dxa"/>
              <w:bottom w:w="-1" w:type="dxa"/>
              <w:right w:w="-1" w:type="dxa"/>
            </w:tcMar>
            <w:vAlign w:val="center"/>
          </w:tcPr>
          <w:p w14:paraId="4A075681">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663" w:type="dxa"/>
            <w:noWrap w:val="0"/>
            <w:tcMar>
              <w:top w:w="-1" w:type="dxa"/>
              <w:left w:w="-1" w:type="dxa"/>
              <w:bottom w:w="-1" w:type="dxa"/>
              <w:right w:w="-1" w:type="dxa"/>
            </w:tcMar>
            <w:vAlign w:val="center"/>
          </w:tcPr>
          <w:p w14:paraId="5269C283">
            <w:pPr>
              <w:keepNext w:val="0"/>
              <w:keepLines w:val="0"/>
              <w:widowControl/>
              <w:suppressLineNumbers w:val="0"/>
              <w:snapToGrid w:val="0"/>
              <w:ind w:left="0" w:leftChars="0" w:firstLine="0" w:firstLineChars="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p>
        </w:tc>
      </w:tr>
      <w:tr w14:paraId="6060C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8" w:type="dxa"/>
            <w:noWrap w:val="0"/>
            <w:tcMar>
              <w:top w:w="-1" w:type="dxa"/>
              <w:left w:w="-1" w:type="dxa"/>
              <w:bottom w:w="-1" w:type="dxa"/>
              <w:right w:w="-1" w:type="dxa"/>
            </w:tcMar>
            <w:vAlign w:val="center"/>
          </w:tcPr>
          <w:p w14:paraId="0826F695">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2</w:t>
            </w:r>
          </w:p>
        </w:tc>
        <w:tc>
          <w:tcPr>
            <w:tcW w:w="2460" w:type="dxa"/>
            <w:noWrap w:val="0"/>
            <w:tcMar>
              <w:top w:w="-1" w:type="dxa"/>
              <w:left w:w="-1" w:type="dxa"/>
              <w:bottom w:w="-1" w:type="dxa"/>
              <w:right w:w="-1" w:type="dxa"/>
            </w:tcMar>
            <w:vAlign w:val="center"/>
          </w:tcPr>
          <w:p w14:paraId="61D597D6">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砼裂缝封闭处理</w:t>
            </w:r>
          </w:p>
        </w:tc>
        <w:tc>
          <w:tcPr>
            <w:tcW w:w="588" w:type="dxa"/>
            <w:noWrap w:val="0"/>
            <w:tcMar>
              <w:top w:w="-1" w:type="dxa"/>
              <w:left w:w="-1" w:type="dxa"/>
              <w:bottom w:w="-1" w:type="dxa"/>
              <w:right w:w="-1" w:type="dxa"/>
            </w:tcMar>
            <w:vAlign w:val="center"/>
          </w:tcPr>
          <w:p w14:paraId="508AC09A">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m</w:t>
            </w:r>
          </w:p>
        </w:tc>
        <w:tc>
          <w:tcPr>
            <w:tcW w:w="852" w:type="dxa"/>
            <w:noWrap w:val="0"/>
            <w:tcMar>
              <w:top w:w="-1" w:type="dxa"/>
              <w:left w:w="-1" w:type="dxa"/>
              <w:bottom w:w="-1" w:type="dxa"/>
              <w:right w:w="-1" w:type="dxa"/>
            </w:tcMar>
            <w:vAlign w:val="center"/>
          </w:tcPr>
          <w:p w14:paraId="3B1FA045">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324.52</w:t>
            </w:r>
          </w:p>
        </w:tc>
        <w:tc>
          <w:tcPr>
            <w:tcW w:w="1200" w:type="dxa"/>
            <w:noWrap w:val="0"/>
            <w:tcMar>
              <w:top w:w="-1" w:type="dxa"/>
              <w:left w:w="-1" w:type="dxa"/>
              <w:bottom w:w="-1" w:type="dxa"/>
              <w:right w:w="-1" w:type="dxa"/>
            </w:tcMar>
            <w:vAlign w:val="center"/>
          </w:tcPr>
          <w:p w14:paraId="100D98C8">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57.00</w:t>
            </w:r>
          </w:p>
        </w:tc>
        <w:tc>
          <w:tcPr>
            <w:tcW w:w="1248" w:type="dxa"/>
            <w:noWrap w:val="0"/>
            <w:tcMar>
              <w:top w:w="-1" w:type="dxa"/>
              <w:left w:w="-1" w:type="dxa"/>
              <w:bottom w:w="-1" w:type="dxa"/>
              <w:right w:w="-1" w:type="dxa"/>
            </w:tcMar>
            <w:vAlign w:val="center"/>
          </w:tcPr>
          <w:p w14:paraId="265DBA0A">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18497.64</w:t>
            </w:r>
          </w:p>
        </w:tc>
        <w:tc>
          <w:tcPr>
            <w:tcW w:w="1212" w:type="dxa"/>
            <w:noWrap w:val="0"/>
            <w:tcMar>
              <w:top w:w="-1" w:type="dxa"/>
              <w:left w:w="-1" w:type="dxa"/>
              <w:bottom w:w="-1" w:type="dxa"/>
              <w:right w:w="-1" w:type="dxa"/>
            </w:tcMar>
            <w:vAlign w:val="center"/>
          </w:tcPr>
          <w:p w14:paraId="0A9097F3">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1236" w:type="dxa"/>
            <w:noWrap w:val="0"/>
            <w:tcMar>
              <w:top w:w="-1" w:type="dxa"/>
              <w:left w:w="-1" w:type="dxa"/>
              <w:bottom w:w="-1" w:type="dxa"/>
              <w:right w:w="-1" w:type="dxa"/>
            </w:tcMar>
            <w:vAlign w:val="center"/>
          </w:tcPr>
          <w:p w14:paraId="7459355E">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663" w:type="dxa"/>
            <w:noWrap w:val="0"/>
            <w:tcMar>
              <w:top w:w="-1" w:type="dxa"/>
              <w:left w:w="-1" w:type="dxa"/>
              <w:bottom w:w="-1" w:type="dxa"/>
              <w:right w:w="-1" w:type="dxa"/>
            </w:tcMar>
            <w:vAlign w:val="center"/>
          </w:tcPr>
          <w:p w14:paraId="713C994C">
            <w:pPr>
              <w:keepNext w:val="0"/>
              <w:keepLines w:val="0"/>
              <w:widowControl/>
              <w:suppressLineNumbers w:val="0"/>
              <w:snapToGrid w:val="0"/>
              <w:ind w:left="0" w:leftChars="0" w:firstLine="0" w:firstLineChars="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p>
        </w:tc>
      </w:tr>
      <w:tr w14:paraId="6ED0D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8" w:type="dxa"/>
            <w:noWrap w:val="0"/>
            <w:tcMar>
              <w:top w:w="-1" w:type="dxa"/>
              <w:left w:w="-1" w:type="dxa"/>
              <w:bottom w:w="-1" w:type="dxa"/>
              <w:right w:w="-1" w:type="dxa"/>
            </w:tcMar>
            <w:vAlign w:val="center"/>
          </w:tcPr>
          <w:p w14:paraId="02932B53">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3</w:t>
            </w:r>
          </w:p>
        </w:tc>
        <w:tc>
          <w:tcPr>
            <w:tcW w:w="2460" w:type="dxa"/>
            <w:noWrap w:val="0"/>
            <w:tcMar>
              <w:top w:w="-1" w:type="dxa"/>
              <w:left w:w="-1" w:type="dxa"/>
              <w:bottom w:w="-1" w:type="dxa"/>
              <w:right w:w="-1" w:type="dxa"/>
            </w:tcMar>
            <w:vAlign w:val="center"/>
          </w:tcPr>
          <w:p w14:paraId="5A4A88FD">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环氧砂浆修补</w:t>
            </w:r>
          </w:p>
        </w:tc>
        <w:tc>
          <w:tcPr>
            <w:tcW w:w="588" w:type="dxa"/>
            <w:noWrap w:val="0"/>
            <w:tcMar>
              <w:top w:w="-1" w:type="dxa"/>
              <w:left w:w="-1" w:type="dxa"/>
              <w:bottom w:w="-1" w:type="dxa"/>
              <w:right w:w="-1" w:type="dxa"/>
            </w:tcMar>
            <w:vAlign w:val="center"/>
          </w:tcPr>
          <w:p w14:paraId="4AE32081">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m²</w:t>
            </w:r>
          </w:p>
        </w:tc>
        <w:tc>
          <w:tcPr>
            <w:tcW w:w="852" w:type="dxa"/>
            <w:noWrap w:val="0"/>
            <w:tcMar>
              <w:top w:w="-1" w:type="dxa"/>
              <w:left w:w="-1" w:type="dxa"/>
              <w:bottom w:w="-1" w:type="dxa"/>
              <w:right w:w="-1" w:type="dxa"/>
            </w:tcMar>
            <w:vAlign w:val="center"/>
          </w:tcPr>
          <w:p w14:paraId="69D3F5AE">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6.5</w:t>
            </w:r>
          </w:p>
        </w:tc>
        <w:tc>
          <w:tcPr>
            <w:tcW w:w="1200" w:type="dxa"/>
            <w:noWrap w:val="0"/>
            <w:tcMar>
              <w:top w:w="-1" w:type="dxa"/>
              <w:left w:w="-1" w:type="dxa"/>
              <w:bottom w:w="-1" w:type="dxa"/>
              <w:right w:w="-1" w:type="dxa"/>
            </w:tcMar>
            <w:vAlign w:val="center"/>
          </w:tcPr>
          <w:p w14:paraId="19461B10">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240.00</w:t>
            </w:r>
          </w:p>
        </w:tc>
        <w:tc>
          <w:tcPr>
            <w:tcW w:w="1248" w:type="dxa"/>
            <w:noWrap w:val="0"/>
            <w:tcMar>
              <w:top w:w="-1" w:type="dxa"/>
              <w:left w:w="-1" w:type="dxa"/>
              <w:bottom w:w="-1" w:type="dxa"/>
              <w:right w:w="-1" w:type="dxa"/>
            </w:tcMar>
            <w:vAlign w:val="center"/>
          </w:tcPr>
          <w:p w14:paraId="1E541889">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1560.00</w:t>
            </w:r>
          </w:p>
        </w:tc>
        <w:tc>
          <w:tcPr>
            <w:tcW w:w="1212" w:type="dxa"/>
            <w:noWrap w:val="0"/>
            <w:tcMar>
              <w:top w:w="-1" w:type="dxa"/>
              <w:left w:w="-1" w:type="dxa"/>
              <w:bottom w:w="-1" w:type="dxa"/>
              <w:right w:w="-1" w:type="dxa"/>
            </w:tcMar>
            <w:vAlign w:val="center"/>
          </w:tcPr>
          <w:p w14:paraId="765CE55F">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1236" w:type="dxa"/>
            <w:noWrap w:val="0"/>
            <w:tcMar>
              <w:top w:w="-1" w:type="dxa"/>
              <w:left w:w="-1" w:type="dxa"/>
              <w:bottom w:w="-1" w:type="dxa"/>
              <w:right w:w="-1" w:type="dxa"/>
            </w:tcMar>
            <w:vAlign w:val="center"/>
          </w:tcPr>
          <w:p w14:paraId="3341E6C5">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663" w:type="dxa"/>
            <w:noWrap w:val="0"/>
            <w:tcMar>
              <w:top w:w="-1" w:type="dxa"/>
              <w:left w:w="-1" w:type="dxa"/>
              <w:bottom w:w="-1" w:type="dxa"/>
              <w:right w:w="-1" w:type="dxa"/>
            </w:tcMar>
            <w:vAlign w:val="center"/>
          </w:tcPr>
          <w:p w14:paraId="6185A5D5">
            <w:pPr>
              <w:keepNext w:val="0"/>
              <w:keepLines w:val="0"/>
              <w:widowControl/>
              <w:suppressLineNumbers w:val="0"/>
              <w:snapToGrid w:val="0"/>
              <w:ind w:left="0" w:leftChars="0" w:firstLine="0" w:firstLineChars="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p>
        </w:tc>
      </w:tr>
      <w:tr w14:paraId="0CCFF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8" w:type="dxa"/>
            <w:noWrap w:val="0"/>
            <w:tcMar>
              <w:top w:w="-1" w:type="dxa"/>
              <w:left w:w="-1" w:type="dxa"/>
              <w:bottom w:w="-1" w:type="dxa"/>
              <w:right w:w="-1" w:type="dxa"/>
            </w:tcMar>
            <w:vAlign w:val="center"/>
          </w:tcPr>
          <w:p w14:paraId="38A05494">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4</w:t>
            </w:r>
          </w:p>
        </w:tc>
        <w:tc>
          <w:tcPr>
            <w:tcW w:w="2460" w:type="dxa"/>
            <w:noWrap w:val="0"/>
            <w:tcMar>
              <w:top w:w="-1" w:type="dxa"/>
              <w:left w:w="-1" w:type="dxa"/>
              <w:bottom w:w="-1" w:type="dxa"/>
              <w:right w:w="-1" w:type="dxa"/>
            </w:tcMar>
            <w:vAlign w:val="center"/>
          </w:tcPr>
          <w:p w14:paraId="1CE5D0B2">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清理水渍</w:t>
            </w:r>
          </w:p>
        </w:tc>
        <w:tc>
          <w:tcPr>
            <w:tcW w:w="588" w:type="dxa"/>
            <w:noWrap w:val="0"/>
            <w:tcMar>
              <w:top w:w="-1" w:type="dxa"/>
              <w:left w:w="-1" w:type="dxa"/>
              <w:bottom w:w="-1" w:type="dxa"/>
              <w:right w:w="-1" w:type="dxa"/>
            </w:tcMar>
            <w:vAlign w:val="center"/>
          </w:tcPr>
          <w:p w14:paraId="6D542085">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m²</w:t>
            </w:r>
          </w:p>
        </w:tc>
        <w:tc>
          <w:tcPr>
            <w:tcW w:w="852" w:type="dxa"/>
            <w:noWrap w:val="0"/>
            <w:tcMar>
              <w:top w:w="-1" w:type="dxa"/>
              <w:left w:w="-1" w:type="dxa"/>
              <w:bottom w:w="-1" w:type="dxa"/>
              <w:right w:w="-1" w:type="dxa"/>
            </w:tcMar>
            <w:vAlign w:val="center"/>
          </w:tcPr>
          <w:p w14:paraId="5709981B">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44.16</w:t>
            </w:r>
          </w:p>
        </w:tc>
        <w:tc>
          <w:tcPr>
            <w:tcW w:w="1200" w:type="dxa"/>
            <w:noWrap w:val="0"/>
            <w:tcMar>
              <w:top w:w="-1" w:type="dxa"/>
              <w:left w:w="-1" w:type="dxa"/>
              <w:bottom w:w="-1" w:type="dxa"/>
              <w:right w:w="-1" w:type="dxa"/>
            </w:tcMar>
            <w:vAlign w:val="center"/>
          </w:tcPr>
          <w:p w14:paraId="7F10EF5B">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37.00</w:t>
            </w:r>
          </w:p>
        </w:tc>
        <w:tc>
          <w:tcPr>
            <w:tcW w:w="1248" w:type="dxa"/>
            <w:noWrap w:val="0"/>
            <w:tcMar>
              <w:top w:w="-1" w:type="dxa"/>
              <w:left w:w="-1" w:type="dxa"/>
              <w:bottom w:w="-1" w:type="dxa"/>
              <w:right w:w="-1" w:type="dxa"/>
            </w:tcMar>
            <w:vAlign w:val="center"/>
          </w:tcPr>
          <w:p w14:paraId="49D0F09F">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1633.92</w:t>
            </w:r>
          </w:p>
        </w:tc>
        <w:tc>
          <w:tcPr>
            <w:tcW w:w="1212" w:type="dxa"/>
            <w:noWrap w:val="0"/>
            <w:tcMar>
              <w:top w:w="-1" w:type="dxa"/>
              <w:left w:w="-1" w:type="dxa"/>
              <w:bottom w:w="-1" w:type="dxa"/>
              <w:right w:w="-1" w:type="dxa"/>
            </w:tcMar>
            <w:vAlign w:val="center"/>
          </w:tcPr>
          <w:p w14:paraId="2B4AD540">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1236" w:type="dxa"/>
            <w:noWrap w:val="0"/>
            <w:tcMar>
              <w:top w:w="-1" w:type="dxa"/>
              <w:left w:w="-1" w:type="dxa"/>
              <w:bottom w:w="-1" w:type="dxa"/>
              <w:right w:w="-1" w:type="dxa"/>
            </w:tcMar>
            <w:vAlign w:val="center"/>
          </w:tcPr>
          <w:p w14:paraId="527EA30C">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663" w:type="dxa"/>
            <w:noWrap w:val="0"/>
            <w:tcMar>
              <w:top w:w="-1" w:type="dxa"/>
              <w:left w:w="-1" w:type="dxa"/>
              <w:bottom w:w="-1" w:type="dxa"/>
              <w:right w:w="-1" w:type="dxa"/>
            </w:tcMar>
            <w:vAlign w:val="center"/>
          </w:tcPr>
          <w:p w14:paraId="21EEB366">
            <w:pPr>
              <w:keepNext w:val="0"/>
              <w:keepLines w:val="0"/>
              <w:widowControl/>
              <w:suppressLineNumbers w:val="0"/>
              <w:snapToGrid w:val="0"/>
              <w:ind w:left="0" w:leftChars="0" w:firstLine="0" w:firstLineChars="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p>
        </w:tc>
      </w:tr>
      <w:tr w14:paraId="3E212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8" w:type="dxa"/>
            <w:noWrap w:val="0"/>
            <w:tcMar>
              <w:top w:w="-1" w:type="dxa"/>
              <w:left w:w="-1" w:type="dxa"/>
              <w:bottom w:w="-1" w:type="dxa"/>
              <w:right w:w="-1" w:type="dxa"/>
            </w:tcMar>
            <w:vAlign w:val="center"/>
          </w:tcPr>
          <w:p w14:paraId="4D973B9C">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5</w:t>
            </w:r>
          </w:p>
        </w:tc>
        <w:tc>
          <w:tcPr>
            <w:tcW w:w="2460" w:type="dxa"/>
            <w:noWrap w:val="0"/>
            <w:tcMar>
              <w:top w:w="-1" w:type="dxa"/>
              <w:left w:w="-1" w:type="dxa"/>
              <w:bottom w:w="-1" w:type="dxa"/>
              <w:right w:w="-1" w:type="dxa"/>
            </w:tcMar>
            <w:vAlign w:val="center"/>
          </w:tcPr>
          <w:p w14:paraId="0A75BBE7">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增设弹性体无缝式伸缩缝</w:t>
            </w:r>
          </w:p>
        </w:tc>
        <w:tc>
          <w:tcPr>
            <w:tcW w:w="588" w:type="dxa"/>
            <w:noWrap w:val="0"/>
            <w:tcMar>
              <w:top w:w="-1" w:type="dxa"/>
              <w:left w:w="-1" w:type="dxa"/>
              <w:bottom w:w="-1" w:type="dxa"/>
              <w:right w:w="-1" w:type="dxa"/>
            </w:tcMar>
            <w:vAlign w:val="center"/>
          </w:tcPr>
          <w:p w14:paraId="056487A7">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m</w:t>
            </w:r>
          </w:p>
        </w:tc>
        <w:tc>
          <w:tcPr>
            <w:tcW w:w="852" w:type="dxa"/>
            <w:noWrap w:val="0"/>
            <w:tcMar>
              <w:top w:w="-1" w:type="dxa"/>
              <w:left w:w="-1" w:type="dxa"/>
              <w:bottom w:w="-1" w:type="dxa"/>
              <w:right w:w="-1" w:type="dxa"/>
            </w:tcMar>
            <w:vAlign w:val="center"/>
          </w:tcPr>
          <w:p w14:paraId="1390B69A">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47</w:t>
            </w:r>
          </w:p>
        </w:tc>
        <w:tc>
          <w:tcPr>
            <w:tcW w:w="1200" w:type="dxa"/>
            <w:noWrap w:val="0"/>
            <w:tcMar>
              <w:top w:w="-1" w:type="dxa"/>
              <w:left w:w="-1" w:type="dxa"/>
              <w:bottom w:w="-1" w:type="dxa"/>
              <w:right w:w="-1" w:type="dxa"/>
            </w:tcMar>
            <w:vAlign w:val="center"/>
          </w:tcPr>
          <w:p w14:paraId="60624E2C">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180.00</w:t>
            </w:r>
          </w:p>
        </w:tc>
        <w:tc>
          <w:tcPr>
            <w:tcW w:w="1248" w:type="dxa"/>
            <w:noWrap w:val="0"/>
            <w:tcMar>
              <w:top w:w="-1" w:type="dxa"/>
              <w:left w:w="-1" w:type="dxa"/>
              <w:bottom w:w="-1" w:type="dxa"/>
              <w:right w:w="-1" w:type="dxa"/>
            </w:tcMar>
            <w:vAlign w:val="center"/>
          </w:tcPr>
          <w:p w14:paraId="051E154A">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8460.00</w:t>
            </w:r>
          </w:p>
        </w:tc>
        <w:tc>
          <w:tcPr>
            <w:tcW w:w="1212" w:type="dxa"/>
            <w:noWrap w:val="0"/>
            <w:tcMar>
              <w:top w:w="-1" w:type="dxa"/>
              <w:left w:w="-1" w:type="dxa"/>
              <w:bottom w:w="-1" w:type="dxa"/>
              <w:right w:w="-1" w:type="dxa"/>
            </w:tcMar>
            <w:vAlign w:val="center"/>
          </w:tcPr>
          <w:p w14:paraId="2CCDD960">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1236" w:type="dxa"/>
            <w:noWrap w:val="0"/>
            <w:tcMar>
              <w:top w:w="-1" w:type="dxa"/>
              <w:left w:w="-1" w:type="dxa"/>
              <w:bottom w:w="-1" w:type="dxa"/>
              <w:right w:w="-1" w:type="dxa"/>
            </w:tcMar>
            <w:vAlign w:val="center"/>
          </w:tcPr>
          <w:p w14:paraId="563D2977">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663" w:type="dxa"/>
            <w:noWrap w:val="0"/>
            <w:tcMar>
              <w:top w:w="-1" w:type="dxa"/>
              <w:left w:w="-1" w:type="dxa"/>
              <w:bottom w:w="-1" w:type="dxa"/>
              <w:right w:w="-1" w:type="dxa"/>
            </w:tcMar>
            <w:vAlign w:val="center"/>
          </w:tcPr>
          <w:p w14:paraId="7A909063">
            <w:pPr>
              <w:keepNext w:val="0"/>
              <w:keepLines w:val="0"/>
              <w:widowControl/>
              <w:suppressLineNumbers w:val="0"/>
              <w:snapToGrid w:val="0"/>
              <w:ind w:left="0" w:leftChars="0" w:firstLine="0" w:firstLineChars="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p>
        </w:tc>
      </w:tr>
      <w:tr w14:paraId="37361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8" w:type="dxa"/>
            <w:noWrap w:val="0"/>
            <w:tcMar>
              <w:top w:w="-1" w:type="dxa"/>
              <w:left w:w="-1" w:type="dxa"/>
              <w:bottom w:w="-1" w:type="dxa"/>
              <w:right w:w="-1" w:type="dxa"/>
            </w:tcMar>
            <w:vAlign w:val="center"/>
          </w:tcPr>
          <w:p w14:paraId="7AAD0FD1">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6</w:t>
            </w:r>
          </w:p>
        </w:tc>
        <w:tc>
          <w:tcPr>
            <w:tcW w:w="2460" w:type="dxa"/>
            <w:noWrap w:val="0"/>
            <w:tcMar>
              <w:top w:w="-1" w:type="dxa"/>
              <w:left w:w="-1" w:type="dxa"/>
              <w:bottom w:w="-1" w:type="dxa"/>
              <w:right w:w="-1" w:type="dxa"/>
            </w:tcMar>
            <w:vAlign w:val="center"/>
          </w:tcPr>
          <w:p w14:paraId="70969CA1">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增设排水孔</w:t>
            </w:r>
          </w:p>
        </w:tc>
        <w:tc>
          <w:tcPr>
            <w:tcW w:w="588" w:type="dxa"/>
            <w:noWrap w:val="0"/>
            <w:tcMar>
              <w:top w:w="-1" w:type="dxa"/>
              <w:left w:w="-1" w:type="dxa"/>
              <w:bottom w:w="-1" w:type="dxa"/>
              <w:right w:w="-1" w:type="dxa"/>
            </w:tcMar>
            <w:vAlign w:val="center"/>
          </w:tcPr>
          <w:p w14:paraId="29BDA125">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m</w:t>
            </w:r>
          </w:p>
        </w:tc>
        <w:tc>
          <w:tcPr>
            <w:tcW w:w="852" w:type="dxa"/>
            <w:noWrap w:val="0"/>
            <w:tcMar>
              <w:top w:w="-1" w:type="dxa"/>
              <w:left w:w="-1" w:type="dxa"/>
              <w:bottom w:w="-1" w:type="dxa"/>
              <w:right w:w="-1" w:type="dxa"/>
            </w:tcMar>
            <w:vAlign w:val="center"/>
          </w:tcPr>
          <w:p w14:paraId="007AFBA5">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88.2</w:t>
            </w:r>
          </w:p>
        </w:tc>
        <w:tc>
          <w:tcPr>
            <w:tcW w:w="1200" w:type="dxa"/>
            <w:noWrap w:val="0"/>
            <w:tcMar>
              <w:top w:w="-1" w:type="dxa"/>
              <w:left w:w="-1" w:type="dxa"/>
              <w:bottom w:w="-1" w:type="dxa"/>
              <w:right w:w="-1" w:type="dxa"/>
            </w:tcMar>
            <w:vAlign w:val="center"/>
          </w:tcPr>
          <w:p w14:paraId="17321F1F">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310.00</w:t>
            </w:r>
          </w:p>
        </w:tc>
        <w:tc>
          <w:tcPr>
            <w:tcW w:w="1248" w:type="dxa"/>
            <w:noWrap w:val="0"/>
            <w:tcMar>
              <w:top w:w="-1" w:type="dxa"/>
              <w:left w:w="-1" w:type="dxa"/>
              <w:bottom w:w="-1" w:type="dxa"/>
              <w:right w:w="-1" w:type="dxa"/>
            </w:tcMar>
            <w:vAlign w:val="center"/>
          </w:tcPr>
          <w:p w14:paraId="3A9E31ED">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27342.00</w:t>
            </w:r>
          </w:p>
        </w:tc>
        <w:tc>
          <w:tcPr>
            <w:tcW w:w="1212" w:type="dxa"/>
            <w:noWrap w:val="0"/>
            <w:tcMar>
              <w:top w:w="-1" w:type="dxa"/>
              <w:left w:w="-1" w:type="dxa"/>
              <w:bottom w:w="-1" w:type="dxa"/>
              <w:right w:w="-1" w:type="dxa"/>
            </w:tcMar>
            <w:vAlign w:val="center"/>
          </w:tcPr>
          <w:p w14:paraId="113F22D1">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1236" w:type="dxa"/>
            <w:noWrap w:val="0"/>
            <w:tcMar>
              <w:top w:w="-1" w:type="dxa"/>
              <w:left w:w="-1" w:type="dxa"/>
              <w:bottom w:w="-1" w:type="dxa"/>
              <w:right w:w="-1" w:type="dxa"/>
            </w:tcMar>
            <w:vAlign w:val="center"/>
          </w:tcPr>
          <w:p w14:paraId="27AA8515">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663" w:type="dxa"/>
            <w:noWrap w:val="0"/>
            <w:tcMar>
              <w:top w:w="-1" w:type="dxa"/>
              <w:left w:w="-1" w:type="dxa"/>
              <w:bottom w:w="-1" w:type="dxa"/>
              <w:right w:w="-1" w:type="dxa"/>
            </w:tcMar>
            <w:vAlign w:val="center"/>
          </w:tcPr>
          <w:p w14:paraId="6D4528B6">
            <w:pPr>
              <w:keepNext w:val="0"/>
              <w:keepLines w:val="0"/>
              <w:widowControl/>
              <w:suppressLineNumbers w:val="0"/>
              <w:snapToGrid w:val="0"/>
              <w:ind w:left="0" w:leftChars="0" w:firstLine="0" w:firstLineChars="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p>
        </w:tc>
      </w:tr>
      <w:tr w14:paraId="4AE67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8" w:type="dxa"/>
            <w:noWrap w:val="0"/>
            <w:tcMar>
              <w:top w:w="-1" w:type="dxa"/>
              <w:left w:w="-1" w:type="dxa"/>
              <w:bottom w:w="-1" w:type="dxa"/>
              <w:right w:w="-1" w:type="dxa"/>
            </w:tcMar>
            <w:vAlign w:val="center"/>
          </w:tcPr>
          <w:p w14:paraId="5A653D68">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7</w:t>
            </w:r>
          </w:p>
        </w:tc>
        <w:tc>
          <w:tcPr>
            <w:tcW w:w="2460" w:type="dxa"/>
            <w:noWrap w:val="0"/>
            <w:tcMar>
              <w:top w:w="-1" w:type="dxa"/>
              <w:left w:w="-1" w:type="dxa"/>
              <w:bottom w:w="-1" w:type="dxa"/>
              <w:right w:w="-1" w:type="dxa"/>
            </w:tcMar>
            <w:vAlign w:val="center"/>
          </w:tcPr>
          <w:p w14:paraId="7D631446">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增设桥梁铭牌</w:t>
            </w:r>
          </w:p>
        </w:tc>
        <w:tc>
          <w:tcPr>
            <w:tcW w:w="588" w:type="dxa"/>
            <w:noWrap w:val="0"/>
            <w:tcMar>
              <w:top w:w="-1" w:type="dxa"/>
              <w:left w:w="-1" w:type="dxa"/>
              <w:bottom w:w="-1" w:type="dxa"/>
              <w:right w:w="-1" w:type="dxa"/>
            </w:tcMar>
            <w:vAlign w:val="center"/>
          </w:tcPr>
          <w:p w14:paraId="14C26E9C">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个</w:t>
            </w:r>
          </w:p>
        </w:tc>
        <w:tc>
          <w:tcPr>
            <w:tcW w:w="852" w:type="dxa"/>
            <w:noWrap w:val="0"/>
            <w:tcMar>
              <w:top w:w="-1" w:type="dxa"/>
              <w:left w:w="-1" w:type="dxa"/>
              <w:bottom w:w="-1" w:type="dxa"/>
              <w:right w:w="-1" w:type="dxa"/>
            </w:tcMar>
            <w:vAlign w:val="center"/>
          </w:tcPr>
          <w:p w14:paraId="7D2CD33D">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w:t>
            </w:r>
          </w:p>
        </w:tc>
        <w:tc>
          <w:tcPr>
            <w:tcW w:w="1200" w:type="dxa"/>
            <w:noWrap w:val="0"/>
            <w:tcMar>
              <w:top w:w="-1" w:type="dxa"/>
              <w:left w:w="-1" w:type="dxa"/>
              <w:bottom w:w="-1" w:type="dxa"/>
              <w:right w:w="-1" w:type="dxa"/>
            </w:tcMar>
            <w:vAlign w:val="center"/>
          </w:tcPr>
          <w:p w14:paraId="41E7911E">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310.00</w:t>
            </w:r>
          </w:p>
        </w:tc>
        <w:tc>
          <w:tcPr>
            <w:tcW w:w="1248" w:type="dxa"/>
            <w:noWrap w:val="0"/>
            <w:tcMar>
              <w:top w:w="-1" w:type="dxa"/>
              <w:left w:w="-1" w:type="dxa"/>
              <w:bottom w:w="-1" w:type="dxa"/>
              <w:right w:w="-1" w:type="dxa"/>
            </w:tcMar>
            <w:vAlign w:val="center"/>
          </w:tcPr>
          <w:p w14:paraId="346F11FF">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310.00</w:t>
            </w:r>
          </w:p>
        </w:tc>
        <w:tc>
          <w:tcPr>
            <w:tcW w:w="1212" w:type="dxa"/>
            <w:noWrap w:val="0"/>
            <w:tcMar>
              <w:top w:w="-1" w:type="dxa"/>
              <w:left w:w="-1" w:type="dxa"/>
              <w:bottom w:w="-1" w:type="dxa"/>
              <w:right w:w="-1" w:type="dxa"/>
            </w:tcMar>
            <w:vAlign w:val="center"/>
          </w:tcPr>
          <w:p w14:paraId="6F69D043">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1236" w:type="dxa"/>
            <w:noWrap w:val="0"/>
            <w:tcMar>
              <w:top w:w="-1" w:type="dxa"/>
              <w:left w:w="-1" w:type="dxa"/>
              <w:bottom w:w="-1" w:type="dxa"/>
              <w:right w:w="-1" w:type="dxa"/>
            </w:tcMar>
            <w:vAlign w:val="center"/>
          </w:tcPr>
          <w:p w14:paraId="733C8A2E">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663" w:type="dxa"/>
            <w:noWrap w:val="0"/>
            <w:tcMar>
              <w:top w:w="-1" w:type="dxa"/>
              <w:left w:w="-1" w:type="dxa"/>
              <w:bottom w:w="-1" w:type="dxa"/>
              <w:right w:w="-1" w:type="dxa"/>
            </w:tcMar>
            <w:vAlign w:val="center"/>
          </w:tcPr>
          <w:p w14:paraId="69968FCA">
            <w:pPr>
              <w:keepNext w:val="0"/>
              <w:keepLines w:val="0"/>
              <w:widowControl/>
              <w:suppressLineNumbers w:val="0"/>
              <w:snapToGrid w:val="0"/>
              <w:ind w:left="0" w:leftChars="0" w:firstLine="0" w:firstLineChars="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p>
        </w:tc>
      </w:tr>
      <w:tr w14:paraId="6FA95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8" w:type="dxa"/>
            <w:noWrap w:val="0"/>
            <w:tcMar>
              <w:top w:w="-1" w:type="dxa"/>
              <w:left w:w="-1" w:type="dxa"/>
              <w:bottom w:w="-1" w:type="dxa"/>
              <w:right w:w="-1" w:type="dxa"/>
            </w:tcMar>
            <w:vAlign w:val="center"/>
          </w:tcPr>
          <w:p w14:paraId="2BD6A20F">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8</w:t>
            </w:r>
          </w:p>
        </w:tc>
        <w:tc>
          <w:tcPr>
            <w:tcW w:w="2460" w:type="dxa"/>
            <w:noWrap w:val="0"/>
            <w:tcMar>
              <w:top w:w="-1" w:type="dxa"/>
              <w:left w:w="-1" w:type="dxa"/>
              <w:bottom w:w="-1" w:type="dxa"/>
              <w:right w:w="-1" w:type="dxa"/>
            </w:tcMar>
            <w:vAlign w:val="center"/>
          </w:tcPr>
          <w:p w14:paraId="5606D4EA">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重画标线(热熔型标线1.8mm厚)</w:t>
            </w:r>
          </w:p>
        </w:tc>
        <w:tc>
          <w:tcPr>
            <w:tcW w:w="588" w:type="dxa"/>
            <w:noWrap w:val="0"/>
            <w:tcMar>
              <w:top w:w="-1" w:type="dxa"/>
              <w:left w:w="-1" w:type="dxa"/>
              <w:bottom w:w="-1" w:type="dxa"/>
              <w:right w:w="-1" w:type="dxa"/>
            </w:tcMar>
            <w:vAlign w:val="center"/>
          </w:tcPr>
          <w:p w14:paraId="1607D149">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m²</w:t>
            </w:r>
          </w:p>
        </w:tc>
        <w:tc>
          <w:tcPr>
            <w:tcW w:w="852" w:type="dxa"/>
            <w:noWrap w:val="0"/>
            <w:tcMar>
              <w:top w:w="-1" w:type="dxa"/>
              <w:left w:w="-1" w:type="dxa"/>
              <w:bottom w:w="-1" w:type="dxa"/>
              <w:right w:w="-1" w:type="dxa"/>
            </w:tcMar>
            <w:vAlign w:val="center"/>
          </w:tcPr>
          <w:p w14:paraId="479AA0BC">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17.1</w:t>
            </w:r>
          </w:p>
        </w:tc>
        <w:tc>
          <w:tcPr>
            <w:tcW w:w="1200" w:type="dxa"/>
            <w:noWrap w:val="0"/>
            <w:tcMar>
              <w:top w:w="-1" w:type="dxa"/>
              <w:left w:w="-1" w:type="dxa"/>
              <w:bottom w:w="-1" w:type="dxa"/>
              <w:right w:w="-1" w:type="dxa"/>
            </w:tcMar>
            <w:vAlign w:val="center"/>
          </w:tcPr>
          <w:p w14:paraId="157EECD6">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32.00</w:t>
            </w:r>
          </w:p>
        </w:tc>
        <w:tc>
          <w:tcPr>
            <w:tcW w:w="1248" w:type="dxa"/>
            <w:noWrap w:val="0"/>
            <w:tcMar>
              <w:top w:w="-1" w:type="dxa"/>
              <w:left w:w="-1" w:type="dxa"/>
              <w:bottom w:w="-1" w:type="dxa"/>
              <w:right w:w="-1" w:type="dxa"/>
            </w:tcMar>
            <w:vAlign w:val="center"/>
          </w:tcPr>
          <w:p w14:paraId="1FFF90FC">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547.20</w:t>
            </w:r>
          </w:p>
        </w:tc>
        <w:tc>
          <w:tcPr>
            <w:tcW w:w="1212" w:type="dxa"/>
            <w:noWrap w:val="0"/>
            <w:tcMar>
              <w:top w:w="-1" w:type="dxa"/>
              <w:left w:w="-1" w:type="dxa"/>
              <w:bottom w:w="-1" w:type="dxa"/>
              <w:right w:w="-1" w:type="dxa"/>
            </w:tcMar>
            <w:vAlign w:val="center"/>
          </w:tcPr>
          <w:p w14:paraId="02E16CF6">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1236" w:type="dxa"/>
            <w:noWrap w:val="0"/>
            <w:tcMar>
              <w:top w:w="-1" w:type="dxa"/>
              <w:left w:w="-1" w:type="dxa"/>
              <w:bottom w:w="-1" w:type="dxa"/>
              <w:right w:w="-1" w:type="dxa"/>
            </w:tcMar>
            <w:vAlign w:val="center"/>
          </w:tcPr>
          <w:p w14:paraId="7913E64C">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663" w:type="dxa"/>
            <w:noWrap w:val="0"/>
            <w:tcMar>
              <w:top w:w="-1" w:type="dxa"/>
              <w:left w:w="-1" w:type="dxa"/>
              <w:bottom w:w="-1" w:type="dxa"/>
              <w:right w:w="-1" w:type="dxa"/>
            </w:tcMar>
            <w:vAlign w:val="center"/>
          </w:tcPr>
          <w:p w14:paraId="1B6ED8CD">
            <w:pPr>
              <w:keepNext w:val="0"/>
              <w:keepLines w:val="0"/>
              <w:widowControl/>
              <w:suppressLineNumbers w:val="0"/>
              <w:snapToGrid w:val="0"/>
              <w:ind w:left="0" w:leftChars="0" w:firstLine="0" w:firstLineChars="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p>
        </w:tc>
      </w:tr>
      <w:tr w14:paraId="27D5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8" w:type="dxa"/>
            <w:noWrap w:val="0"/>
            <w:tcMar>
              <w:top w:w="-1" w:type="dxa"/>
              <w:left w:w="-1" w:type="dxa"/>
              <w:bottom w:w="-1" w:type="dxa"/>
              <w:right w:w="-1" w:type="dxa"/>
            </w:tcMar>
            <w:vAlign w:val="center"/>
          </w:tcPr>
          <w:p w14:paraId="0CB839E5">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9</w:t>
            </w:r>
          </w:p>
        </w:tc>
        <w:tc>
          <w:tcPr>
            <w:tcW w:w="2460" w:type="dxa"/>
            <w:noWrap w:val="0"/>
            <w:tcMar>
              <w:top w:w="-1" w:type="dxa"/>
              <w:left w:w="-1" w:type="dxa"/>
              <w:bottom w:w="-1" w:type="dxa"/>
              <w:right w:w="-1" w:type="dxa"/>
            </w:tcMar>
            <w:vAlign w:val="center"/>
          </w:tcPr>
          <w:p w14:paraId="55FACDA6">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更换支座</w:t>
            </w:r>
          </w:p>
        </w:tc>
        <w:tc>
          <w:tcPr>
            <w:tcW w:w="588" w:type="dxa"/>
            <w:noWrap w:val="0"/>
            <w:tcMar>
              <w:top w:w="-1" w:type="dxa"/>
              <w:left w:w="-1" w:type="dxa"/>
              <w:bottom w:w="-1" w:type="dxa"/>
              <w:right w:w="-1" w:type="dxa"/>
            </w:tcMar>
            <w:vAlign w:val="center"/>
          </w:tcPr>
          <w:p w14:paraId="2010B22E">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个</w:t>
            </w:r>
          </w:p>
        </w:tc>
        <w:tc>
          <w:tcPr>
            <w:tcW w:w="852" w:type="dxa"/>
            <w:noWrap w:val="0"/>
            <w:tcMar>
              <w:top w:w="-1" w:type="dxa"/>
              <w:left w:w="-1" w:type="dxa"/>
              <w:bottom w:w="-1" w:type="dxa"/>
              <w:right w:w="-1" w:type="dxa"/>
            </w:tcMar>
            <w:vAlign w:val="center"/>
          </w:tcPr>
          <w:p w14:paraId="12EA333E">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3</w:t>
            </w:r>
          </w:p>
        </w:tc>
        <w:tc>
          <w:tcPr>
            <w:tcW w:w="1200" w:type="dxa"/>
            <w:noWrap w:val="0"/>
            <w:tcMar>
              <w:top w:w="-1" w:type="dxa"/>
              <w:left w:w="-1" w:type="dxa"/>
              <w:bottom w:w="-1" w:type="dxa"/>
              <w:right w:w="-1" w:type="dxa"/>
            </w:tcMar>
            <w:vAlign w:val="center"/>
          </w:tcPr>
          <w:p w14:paraId="01D42600">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4400.00</w:t>
            </w:r>
          </w:p>
        </w:tc>
        <w:tc>
          <w:tcPr>
            <w:tcW w:w="1248" w:type="dxa"/>
            <w:noWrap w:val="0"/>
            <w:tcMar>
              <w:top w:w="-1" w:type="dxa"/>
              <w:left w:w="-1" w:type="dxa"/>
              <w:bottom w:w="-1" w:type="dxa"/>
              <w:right w:w="-1" w:type="dxa"/>
            </w:tcMar>
            <w:vAlign w:val="center"/>
          </w:tcPr>
          <w:p w14:paraId="2356ECFF">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13200.0</w:t>
            </w:r>
          </w:p>
        </w:tc>
        <w:tc>
          <w:tcPr>
            <w:tcW w:w="1212" w:type="dxa"/>
            <w:noWrap w:val="0"/>
            <w:tcMar>
              <w:top w:w="-1" w:type="dxa"/>
              <w:left w:w="-1" w:type="dxa"/>
              <w:bottom w:w="-1" w:type="dxa"/>
              <w:right w:w="-1" w:type="dxa"/>
            </w:tcMar>
            <w:vAlign w:val="center"/>
          </w:tcPr>
          <w:p w14:paraId="25D6311A">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1236" w:type="dxa"/>
            <w:noWrap w:val="0"/>
            <w:tcMar>
              <w:top w:w="-1" w:type="dxa"/>
              <w:left w:w="-1" w:type="dxa"/>
              <w:bottom w:w="-1" w:type="dxa"/>
              <w:right w:w="-1" w:type="dxa"/>
            </w:tcMar>
            <w:vAlign w:val="center"/>
          </w:tcPr>
          <w:p w14:paraId="71313E81">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663" w:type="dxa"/>
            <w:noWrap w:val="0"/>
            <w:tcMar>
              <w:top w:w="-1" w:type="dxa"/>
              <w:left w:w="-1" w:type="dxa"/>
              <w:bottom w:w="-1" w:type="dxa"/>
              <w:right w:w="-1" w:type="dxa"/>
            </w:tcMar>
            <w:vAlign w:val="center"/>
          </w:tcPr>
          <w:p w14:paraId="17EB8347">
            <w:pPr>
              <w:keepNext w:val="0"/>
              <w:keepLines w:val="0"/>
              <w:widowControl/>
              <w:suppressLineNumbers w:val="0"/>
              <w:snapToGrid w:val="0"/>
              <w:ind w:left="0" w:leftChars="0" w:firstLine="0" w:firstLineChars="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p>
        </w:tc>
      </w:tr>
      <w:tr w14:paraId="4AA2D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8" w:type="dxa"/>
            <w:noWrap w:val="0"/>
            <w:tcMar>
              <w:top w:w="-1" w:type="dxa"/>
              <w:left w:w="-1" w:type="dxa"/>
              <w:bottom w:w="-1" w:type="dxa"/>
              <w:right w:w="-1" w:type="dxa"/>
            </w:tcMar>
            <w:vAlign w:val="center"/>
          </w:tcPr>
          <w:p w14:paraId="5B5F6205">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10</w:t>
            </w:r>
          </w:p>
        </w:tc>
        <w:tc>
          <w:tcPr>
            <w:tcW w:w="2460" w:type="dxa"/>
            <w:noWrap w:val="0"/>
            <w:tcMar>
              <w:top w:w="-1" w:type="dxa"/>
              <w:left w:w="-1" w:type="dxa"/>
              <w:bottom w:w="-1" w:type="dxa"/>
              <w:right w:w="-1" w:type="dxa"/>
            </w:tcMar>
            <w:vAlign w:val="center"/>
          </w:tcPr>
          <w:p w14:paraId="60258D41">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清理支座处混凝土</w:t>
            </w:r>
          </w:p>
        </w:tc>
        <w:tc>
          <w:tcPr>
            <w:tcW w:w="588" w:type="dxa"/>
            <w:noWrap w:val="0"/>
            <w:tcMar>
              <w:top w:w="-1" w:type="dxa"/>
              <w:left w:w="-1" w:type="dxa"/>
              <w:bottom w:w="-1" w:type="dxa"/>
              <w:right w:w="-1" w:type="dxa"/>
            </w:tcMar>
            <w:vAlign w:val="center"/>
          </w:tcPr>
          <w:p w14:paraId="1A7779D7">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m³</w:t>
            </w:r>
          </w:p>
        </w:tc>
        <w:tc>
          <w:tcPr>
            <w:tcW w:w="852" w:type="dxa"/>
            <w:noWrap w:val="0"/>
            <w:tcMar>
              <w:top w:w="-1" w:type="dxa"/>
              <w:left w:w="-1" w:type="dxa"/>
              <w:bottom w:w="-1" w:type="dxa"/>
              <w:right w:w="-1" w:type="dxa"/>
            </w:tcMar>
            <w:vAlign w:val="center"/>
          </w:tcPr>
          <w:p w14:paraId="28D6FC72">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11.4</w:t>
            </w:r>
          </w:p>
        </w:tc>
        <w:tc>
          <w:tcPr>
            <w:tcW w:w="1200" w:type="dxa"/>
            <w:noWrap w:val="0"/>
            <w:tcMar>
              <w:top w:w="-1" w:type="dxa"/>
              <w:left w:w="-1" w:type="dxa"/>
              <w:bottom w:w="-1" w:type="dxa"/>
              <w:right w:w="-1" w:type="dxa"/>
            </w:tcMar>
            <w:vAlign w:val="center"/>
          </w:tcPr>
          <w:p w14:paraId="1AB1DA1E">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158.00</w:t>
            </w:r>
          </w:p>
        </w:tc>
        <w:tc>
          <w:tcPr>
            <w:tcW w:w="1248" w:type="dxa"/>
            <w:noWrap w:val="0"/>
            <w:tcMar>
              <w:top w:w="-1" w:type="dxa"/>
              <w:left w:w="-1" w:type="dxa"/>
              <w:bottom w:w="-1" w:type="dxa"/>
              <w:right w:w="-1" w:type="dxa"/>
            </w:tcMar>
            <w:vAlign w:val="center"/>
          </w:tcPr>
          <w:p w14:paraId="4D6843F2">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1801.20</w:t>
            </w:r>
          </w:p>
        </w:tc>
        <w:tc>
          <w:tcPr>
            <w:tcW w:w="1212" w:type="dxa"/>
            <w:noWrap w:val="0"/>
            <w:tcMar>
              <w:top w:w="-1" w:type="dxa"/>
              <w:left w:w="-1" w:type="dxa"/>
              <w:bottom w:w="-1" w:type="dxa"/>
              <w:right w:w="-1" w:type="dxa"/>
            </w:tcMar>
            <w:vAlign w:val="center"/>
          </w:tcPr>
          <w:p w14:paraId="1376DC33">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1236" w:type="dxa"/>
            <w:noWrap w:val="0"/>
            <w:tcMar>
              <w:top w:w="-1" w:type="dxa"/>
              <w:left w:w="-1" w:type="dxa"/>
              <w:bottom w:w="-1" w:type="dxa"/>
              <w:right w:w="-1" w:type="dxa"/>
            </w:tcMar>
            <w:vAlign w:val="center"/>
          </w:tcPr>
          <w:p w14:paraId="2318C08F">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663" w:type="dxa"/>
            <w:noWrap w:val="0"/>
            <w:tcMar>
              <w:top w:w="-1" w:type="dxa"/>
              <w:left w:w="-1" w:type="dxa"/>
              <w:bottom w:w="-1" w:type="dxa"/>
              <w:right w:w="-1" w:type="dxa"/>
            </w:tcMar>
            <w:vAlign w:val="center"/>
          </w:tcPr>
          <w:p w14:paraId="285BE712">
            <w:pPr>
              <w:keepNext w:val="0"/>
              <w:keepLines w:val="0"/>
              <w:widowControl/>
              <w:suppressLineNumbers w:val="0"/>
              <w:snapToGrid w:val="0"/>
              <w:ind w:left="0" w:leftChars="0" w:firstLine="0" w:firstLineChars="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p>
        </w:tc>
      </w:tr>
      <w:tr w14:paraId="6CFC4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8" w:type="dxa"/>
            <w:noWrap w:val="0"/>
            <w:tcMar>
              <w:top w:w="-1" w:type="dxa"/>
              <w:left w:w="-1" w:type="dxa"/>
              <w:bottom w:w="-1" w:type="dxa"/>
              <w:right w:w="-1" w:type="dxa"/>
            </w:tcMar>
            <w:vAlign w:val="center"/>
          </w:tcPr>
          <w:p w14:paraId="180ABC19">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11</w:t>
            </w:r>
          </w:p>
        </w:tc>
        <w:tc>
          <w:tcPr>
            <w:tcW w:w="2460" w:type="dxa"/>
            <w:noWrap w:val="0"/>
            <w:tcMar>
              <w:top w:w="-1" w:type="dxa"/>
              <w:left w:w="-1" w:type="dxa"/>
              <w:bottom w:w="-1" w:type="dxa"/>
              <w:right w:w="-1" w:type="dxa"/>
            </w:tcMar>
            <w:vAlign w:val="center"/>
          </w:tcPr>
          <w:p w14:paraId="6DFD14E8">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2cm厚沥青木板</w:t>
            </w:r>
          </w:p>
        </w:tc>
        <w:tc>
          <w:tcPr>
            <w:tcW w:w="588" w:type="dxa"/>
            <w:noWrap w:val="0"/>
            <w:tcMar>
              <w:top w:w="-1" w:type="dxa"/>
              <w:left w:w="-1" w:type="dxa"/>
              <w:bottom w:w="-1" w:type="dxa"/>
              <w:right w:w="-1" w:type="dxa"/>
            </w:tcMar>
            <w:vAlign w:val="center"/>
          </w:tcPr>
          <w:p w14:paraId="6C114EF5">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m</w:t>
            </w:r>
          </w:p>
        </w:tc>
        <w:tc>
          <w:tcPr>
            <w:tcW w:w="852" w:type="dxa"/>
            <w:noWrap w:val="0"/>
            <w:tcMar>
              <w:top w:w="-1" w:type="dxa"/>
              <w:left w:w="-1" w:type="dxa"/>
              <w:bottom w:w="-1" w:type="dxa"/>
              <w:right w:w="-1" w:type="dxa"/>
            </w:tcMar>
            <w:vAlign w:val="center"/>
          </w:tcPr>
          <w:p w14:paraId="2AFDB3CC">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159.8</w:t>
            </w:r>
          </w:p>
        </w:tc>
        <w:tc>
          <w:tcPr>
            <w:tcW w:w="1200" w:type="dxa"/>
            <w:noWrap w:val="0"/>
            <w:tcMar>
              <w:top w:w="-1" w:type="dxa"/>
              <w:left w:w="-1" w:type="dxa"/>
              <w:bottom w:w="-1" w:type="dxa"/>
              <w:right w:w="-1" w:type="dxa"/>
            </w:tcMar>
            <w:vAlign w:val="center"/>
          </w:tcPr>
          <w:p w14:paraId="33651A1C">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105.00</w:t>
            </w:r>
          </w:p>
        </w:tc>
        <w:tc>
          <w:tcPr>
            <w:tcW w:w="1248" w:type="dxa"/>
            <w:noWrap w:val="0"/>
            <w:tcMar>
              <w:top w:w="-1" w:type="dxa"/>
              <w:left w:w="-1" w:type="dxa"/>
              <w:bottom w:w="-1" w:type="dxa"/>
              <w:right w:w="-1" w:type="dxa"/>
            </w:tcMar>
            <w:vAlign w:val="center"/>
          </w:tcPr>
          <w:p w14:paraId="1F5161A6">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16779.0</w:t>
            </w:r>
            <w:r>
              <w:rPr>
                <w:rFonts w:hint="eastAsia" w:ascii="方正仿宋_GBK" w:hAnsi="方正仿宋_GBK" w:eastAsia="方正仿宋_GBK" w:cs="方正仿宋_GBK"/>
                <w:i w:val="0"/>
                <w:iCs w:val="0"/>
                <w:color w:val="000000"/>
                <w:kern w:val="0"/>
                <w:sz w:val="20"/>
                <w:szCs w:val="20"/>
                <w:u w:val="none"/>
                <w:lang w:val="en-US" w:eastAsia="zh-CN" w:bidi="ar"/>
              </w:rPr>
              <w:t>0</w:t>
            </w:r>
          </w:p>
        </w:tc>
        <w:tc>
          <w:tcPr>
            <w:tcW w:w="1212" w:type="dxa"/>
            <w:noWrap w:val="0"/>
            <w:tcMar>
              <w:top w:w="-1" w:type="dxa"/>
              <w:left w:w="-1" w:type="dxa"/>
              <w:bottom w:w="-1" w:type="dxa"/>
              <w:right w:w="-1" w:type="dxa"/>
            </w:tcMar>
            <w:vAlign w:val="center"/>
          </w:tcPr>
          <w:p w14:paraId="39B4BA5A">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1236" w:type="dxa"/>
            <w:noWrap w:val="0"/>
            <w:tcMar>
              <w:top w:w="-1" w:type="dxa"/>
              <w:left w:w="-1" w:type="dxa"/>
              <w:bottom w:w="-1" w:type="dxa"/>
              <w:right w:w="-1" w:type="dxa"/>
            </w:tcMar>
            <w:vAlign w:val="center"/>
          </w:tcPr>
          <w:p w14:paraId="5B6C7127">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663" w:type="dxa"/>
            <w:noWrap w:val="0"/>
            <w:tcMar>
              <w:top w:w="-1" w:type="dxa"/>
              <w:left w:w="-1" w:type="dxa"/>
              <w:bottom w:w="-1" w:type="dxa"/>
              <w:right w:w="-1" w:type="dxa"/>
            </w:tcMar>
            <w:vAlign w:val="center"/>
          </w:tcPr>
          <w:p w14:paraId="354ADD8E">
            <w:pPr>
              <w:keepNext w:val="0"/>
              <w:keepLines w:val="0"/>
              <w:widowControl/>
              <w:suppressLineNumbers w:val="0"/>
              <w:snapToGrid w:val="0"/>
              <w:ind w:left="0" w:leftChars="0" w:firstLine="0" w:firstLineChars="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p>
        </w:tc>
      </w:tr>
      <w:tr w14:paraId="283AB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8" w:type="dxa"/>
            <w:noWrap w:val="0"/>
            <w:tcMar>
              <w:top w:w="-1" w:type="dxa"/>
              <w:left w:w="-1" w:type="dxa"/>
              <w:bottom w:w="-1" w:type="dxa"/>
              <w:right w:w="-1" w:type="dxa"/>
            </w:tcMar>
            <w:vAlign w:val="center"/>
          </w:tcPr>
          <w:p w14:paraId="59A52E61">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12</w:t>
            </w:r>
          </w:p>
        </w:tc>
        <w:tc>
          <w:tcPr>
            <w:tcW w:w="2460" w:type="dxa"/>
            <w:noWrap w:val="0"/>
            <w:tcMar>
              <w:top w:w="-1" w:type="dxa"/>
              <w:left w:w="-1" w:type="dxa"/>
              <w:bottom w:w="-1" w:type="dxa"/>
              <w:right w:w="-1" w:type="dxa"/>
            </w:tcMar>
            <w:vAlign w:val="center"/>
          </w:tcPr>
          <w:p w14:paraId="33D50F8C">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2.5cm沥青镜创后重新链装AC-10C</w:t>
            </w:r>
          </w:p>
        </w:tc>
        <w:tc>
          <w:tcPr>
            <w:tcW w:w="588" w:type="dxa"/>
            <w:noWrap w:val="0"/>
            <w:tcMar>
              <w:top w:w="-1" w:type="dxa"/>
              <w:left w:w="-1" w:type="dxa"/>
              <w:bottom w:w="-1" w:type="dxa"/>
              <w:right w:w="-1" w:type="dxa"/>
            </w:tcMar>
            <w:vAlign w:val="center"/>
          </w:tcPr>
          <w:p w14:paraId="2020E9E1">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m³</w:t>
            </w:r>
          </w:p>
        </w:tc>
        <w:tc>
          <w:tcPr>
            <w:tcW w:w="852" w:type="dxa"/>
            <w:noWrap w:val="0"/>
            <w:tcMar>
              <w:top w:w="-1" w:type="dxa"/>
              <w:left w:w="-1" w:type="dxa"/>
              <w:bottom w:w="-1" w:type="dxa"/>
              <w:right w:w="-1" w:type="dxa"/>
            </w:tcMar>
            <w:vAlign w:val="center"/>
          </w:tcPr>
          <w:p w14:paraId="580A0837">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36.07</w:t>
            </w:r>
          </w:p>
        </w:tc>
        <w:tc>
          <w:tcPr>
            <w:tcW w:w="1200" w:type="dxa"/>
            <w:noWrap w:val="0"/>
            <w:tcMar>
              <w:top w:w="-1" w:type="dxa"/>
              <w:left w:w="-1" w:type="dxa"/>
              <w:bottom w:w="-1" w:type="dxa"/>
              <w:right w:w="-1" w:type="dxa"/>
            </w:tcMar>
            <w:vAlign w:val="center"/>
          </w:tcPr>
          <w:p w14:paraId="68E10296">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1969.98</w:t>
            </w:r>
          </w:p>
        </w:tc>
        <w:tc>
          <w:tcPr>
            <w:tcW w:w="1248" w:type="dxa"/>
            <w:noWrap w:val="0"/>
            <w:tcMar>
              <w:top w:w="-1" w:type="dxa"/>
              <w:left w:w="-1" w:type="dxa"/>
              <w:bottom w:w="-1" w:type="dxa"/>
              <w:right w:w="-1" w:type="dxa"/>
            </w:tcMar>
            <w:vAlign w:val="center"/>
          </w:tcPr>
          <w:p w14:paraId="001469C2">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71057.18</w:t>
            </w:r>
          </w:p>
        </w:tc>
        <w:tc>
          <w:tcPr>
            <w:tcW w:w="1212" w:type="dxa"/>
            <w:noWrap w:val="0"/>
            <w:tcMar>
              <w:top w:w="-1" w:type="dxa"/>
              <w:left w:w="-1" w:type="dxa"/>
              <w:bottom w:w="-1" w:type="dxa"/>
              <w:right w:w="-1" w:type="dxa"/>
            </w:tcMar>
            <w:vAlign w:val="center"/>
          </w:tcPr>
          <w:p w14:paraId="1DE8C458">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1236" w:type="dxa"/>
            <w:noWrap w:val="0"/>
            <w:tcMar>
              <w:top w:w="-1" w:type="dxa"/>
              <w:left w:w="-1" w:type="dxa"/>
              <w:bottom w:w="-1" w:type="dxa"/>
              <w:right w:w="-1" w:type="dxa"/>
            </w:tcMar>
            <w:vAlign w:val="center"/>
          </w:tcPr>
          <w:p w14:paraId="64524194">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663" w:type="dxa"/>
            <w:noWrap w:val="0"/>
            <w:tcMar>
              <w:top w:w="-1" w:type="dxa"/>
              <w:left w:w="-1" w:type="dxa"/>
              <w:bottom w:w="-1" w:type="dxa"/>
              <w:right w:w="-1" w:type="dxa"/>
            </w:tcMar>
            <w:vAlign w:val="center"/>
          </w:tcPr>
          <w:p w14:paraId="119F53F7">
            <w:pPr>
              <w:keepNext w:val="0"/>
              <w:keepLines w:val="0"/>
              <w:widowControl/>
              <w:suppressLineNumbers w:val="0"/>
              <w:snapToGrid w:val="0"/>
              <w:ind w:left="0" w:leftChars="0" w:firstLine="0" w:firstLineChars="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甲供材</w:t>
            </w:r>
          </w:p>
        </w:tc>
      </w:tr>
      <w:tr w14:paraId="555BA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8" w:type="dxa"/>
            <w:noWrap w:val="0"/>
            <w:tcMar>
              <w:top w:w="-1" w:type="dxa"/>
              <w:left w:w="-1" w:type="dxa"/>
              <w:bottom w:w="-1" w:type="dxa"/>
              <w:right w:w="-1" w:type="dxa"/>
            </w:tcMar>
            <w:vAlign w:val="center"/>
          </w:tcPr>
          <w:p w14:paraId="03C5AF7E">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13</w:t>
            </w:r>
          </w:p>
        </w:tc>
        <w:tc>
          <w:tcPr>
            <w:tcW w:w="2460" w:type="dxa"/>
            <w:noWrap w:val="0"/>
            <w:tcMar>
              <w:top w:w="-1" w:type="dxa"/>
              <w:left w:w="-1" w:type="dxa"/>
              <w:bottom w:w="-1" w:type="dxa"/>
              <w:right w:w="-1" w:type="dxa"/>
            </w:tcMar>
            <w:vAlign w:val="center"/>
          </w:tcPr>
          <w:p w14:paraId="7CC410AF">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桥面增设FYT-1防水层</w:t>
            </w:r>
          </w:p>
        </w:tc>
        <w:tc>
          <w:tcPr>
            <w:tcW w:w="588" w:type="dxa"/>
            <w:noWrap w:val="0"/>
            <w:tcMar>
              <w:top w:w="-1" w:type="dxa"/>
              <w:left w:w="-1" w:type="dxa"/>
              <w:bottom w:w="-1" w:type="dxa"/>
              <w:right w:w="-1" w:type="dxa"/>
            </w:tcMar>
            <w:vAlign w:val="center"/>
          </w:tcPr>
          <w:p w14:paraId="02EDEDBB">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m²</w:t>
            </w:r>
          </w:p>
        </w:tc>
        <w:tc>
          <w:tcPr>
            <w:tcW w:w="852" w:type="dxa"/>
            <w:noWrap w:val="0"/>
            <w:tcMar>
              <w:top w:w="-1" w:type="dxa"/>
              <w:left w:w="-1" w:type="dxa"/>
              <w:bottom w:w="-1" w:type="dxa"/>
              <w:right w:w="-1" w:type="dxa"/>
            </w:tcMar>
            <w:vAlign w:val="center"/>
          </w:tcPr>
          <w:p w14:paraId="74DA8000">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1442.9</w:t>
            </w:r>
          </w:p>
        </w:tc>
        <w:tc>
          <w:tcPr>
            <w:tcW w:w="1200" w:type="dxa"/>
            <w:noWrap w:val="0"/>
            <w:tcMar>
              <w:top w:w="-1" w:type="dxa"/>
              <w:left w:w="-1" w:type="dxa"/>
              <w:bottom w:w="-1" w:type="dxa"/>
              <w:right w:w="-1" w:type="dxa"/>
            </w:tcMar>
            <w:vAlign w:val="center"/>
          </w:tcPr>
          <w:p w14:paraId="555A6162">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7.40</w:t>
            </w:r>
          </w:p>
        </w:tc>
        <w:tc>
          <w:tcPr>
            <w:tcW w:w="1248" w:type="dxa"/>
            <w:noWrap w:val="0"/>
            <w:tcMar>
              <w:top w:w="-1" w:type="dxa"/>
              <w:left w:w="-1" w:type="dxa"/>
              <w:bottom w:w="-1" w:type="dxa"/>
              <w:right w:w="-1" w:type="dxa"/>
            </w:tcMar>
            <w:vAlign w:val="center"/>
          </w:tcPr>
          <w:p w14:paraId="03443C2C">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10677.46</w:t>
            </w:r>
          </w:p>
        </w:tc>
        <w:tc>
          <w:tcPr>
            <w:tcW w:w="1212" w:type="dxa"/>
            <w:noWrap w:val="0"/>
            <w:tcMar>
              <w:top w:w="-1" w:type="dxa"/>
              <w:left w:w="-1" w:type="dxa"/>
              <w:bottom w:w="-1" w:type="dxa"/>
              <w:right w:w="-1" w:type="dxa"/>
            </w:tcMar>
            <w:vAlign w:val="center"/>
          </w:tcPr>
          <w:p w14:paraId="5900580F">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1236" w:type="dxa"/>
            <w:noWrap w:val="0"/>
            <w:tcMar>
              <w:top w:w="-1" w:type="dxa"/>
              <w:left w:w="-1" w:type="dxa"/>
              <w:bottom w:w="-1" w:type="dxa"/>
              <w:right w:w="-1" w:type="dxa"/>
            </w:tcMar>
            <w:vAlign w:val="center"/>
          </w:tcPr>
          <w:p w14:paraId="57325CC1">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663" w:type="dxa"/>
            <w:noWrap w:val="0"/>
            <w:tcMar>
              <w:top w:w="-1" w:type="dxa"/>
              <w:left w:w="-1" w:type="dxa"/>
              <w:bottom w:w="-1" w:type="dxa"/>
              <w:right w:w="-1" w:type="dxa"/>
            </w:tcMar>
            <w:vAlign w:val="center"/>
          </w:tcPr>
          <w:p w14:paraId="5C691F15">
            <w:pPr>
              <w:keepNext w:val="0"/>
              <w:keepLines w:val="0"/>
              <w:widowControl/>
              <w:suppressLineNumbers w:val="0"/>
              <w:snapToGrid w:val="0"/>
              <w:ind w:left="0" w:leftChars="0" w:firstLine="0" w:firstLineChars="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甲供材</w:t>
            </w:r>
          </w:p>
        </w:tc>
      </w:tr>
      <w:tr w14:paraId="5961D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8" w:type="dxa"/>
            <w:noWrap w:val="0"/>
            <w:tcMar>
              <w:top w:w="-1" w:type="dxa"/>
              <w:left w:w="-1" w:type="dxa"/>
              <w:bottom w:w="-1" w:type="dxa"/>
              <w:right w:w="-1" w:type="dxa"/>
            </w:tcMar>
            <w:vAlign w:val="center"/>
          </w:tcPr>
          <w:p w14:paraId="7DF1DB93">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14</w:t>
            </w:r>
          </w:p>
        </w:tc>
        <w:tc>
          <w:tcPr>
            <w:tcW w:w="2460" w:type="dxa"/>
            <w:noWrap w:val="0"/>
            <w:tcMar>
              <w:top w:w="-1" w:type="dxa"/>
              <w:left w:w="-1" w:type="dxa"/>
              <w:bottom w:w="-1" w:type="dxa"/>
              <w:right w:w="-1" w:type="dxa"/>
            </w:tcMar>
            <w:vAlign w:val="center"/>
          </w:tcPr>
          <w:p w14:paraId="212BB120">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引道铣创后重新铺装(5cm AC-13C细粒式沥青砼)</w:t>
            </w:r>
          </w:p>
        </w:tc>
        <w:tc>
          <w:tcPr>
            <w:tcW w:w="588" w:type="dxa"/>
            <w:noWrap w:val="0"/>
            <w:tcMar>
              <w:top w:w="-1" w:type="dxa"/>
              <w:left w:w="-1" w:type="dxa"/>
              <w:bottom w:w="-1" w:type="dxa"/>
              <w:right w:w="-1" w:type="dxa"/>
            </w:tcMar>
            <w:vAlign w:val="center"/>
          </w:tcPr>
          <w:p w14:paraId="038E5B11">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m³</w:t>
            </w:r>
          </w:p>
        </w:tc>
        <w:tc>
          <w:tcPr>
            <w:tcW w:w="852" w:type="dxa"/>
            <w:noWrap w:val="0"/>
            <w:tcMar>
              <w:top w:w="-1" w:type="dxa"/>
              <w:left w:w="-1" w:type="dxa"/>
              <w:bottom w:w="-1" w:type="dxa"/>
              <w:right w:w="-1" w:type="dxa"/>
            </w:tcMar>
            <w:vAlign w:val="center"/>
          </w:tcPr>
          <w:p w14:paraId="6981F3BA">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95.1</w:t>
            </w:r>
          </w:p>
        </w:tc>
        <w:tc>
          <w:tcPr>
            <w:tcW w:w="1200" w:type="dxa"/>
            <w:noWrap w:val="0"/>
            <w:tcMar>
              <w:top w:w="-1" w:type="dxa"/>
              <w:left w:w="-1" w:type="dxa"/>
              <w:bottom w:w="-1" w:type="dxa"/>
              <w:right w:w="-1" w:type="dxa"/>
            </w:tcMar>
            <w:vAlign w:val="center"/>
          </w:tcPr>
          <w:p w14:paraId="24975D9C">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1969.98</w:t>
            </w:r>
          </w:p>
        </w:tc>
        <w:tc>
          <w:tcPr>
            <w:tcW w:w="1248" w:type="dxa"/>
            <w:noWrap w:val="0"/>
            <w:tcMar>
              <w:top w:w="-1" w:type="dxa"/>
              <w:left w:w="-1" w:type="dxa"/>
              <w:bottom w:w="-1" w:type="dxa"/>
              <w:right w:w="-1" w:type="dxa"/>
            </w:tcMar>
            <w:vAlign w:val="center"/>
          </w:tcPr>
          <w:p w14:paraId="4B6D338E">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187345.10</w:t>
            </w:r>
          </w:p>
        </w:tc>
        <w:tc>
          <w:tcPr>
            <w:tcW w:w="1212" w:type="dxa"/>
            <w:noWrap w:val="0"/>
            <w:tcMar>
              <w:top w:w="-1" w:type="dxa"/>
              <w:left w:w="-1" w:type="dxa"/>
              <w:bottom w:w="-1" w:type="dxa"/>
              <w:right w:w="-1" w:type="dxa"/>
            </w:tcMar>
            <w:vAlign w:val="center"/>
          </w:tcPr>
          <w:p w14:paraId="28B0E460">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1236" w:type="dxa"/>
            <w:noWrap w:val="0"/>
            <w:tcMar>
              <w:top w:w="-1" w:type="dxa"/>
              <w:left w:w="-1" w:type="dxa"/>
              <w:bottom w:w="-1" w:type="dxa"/>
              <w:right w:w="-1" w:type="dxa"/>
            </w:tcMar>
            <w:vAlign w:val="center"/>
          </w:tcPr>
          <w:p w14:paraId="08B22267">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663" w:type="dxa"/>
            <w:noWrap w:val="0"/>
            <w:tcMar>
              <w:top w:w="-1" w:type="dxa"/>
              <w:left w:w="-1" w:type="dxa"/>
              <w:bottom w:w="-1" w:type="dxa"/>
              <w:right w:w="-1" w:type="dxa"/>
            </w:tcMar>
            <w:vAlign w:val="center"/>
          </w:tcPr>
          <w:p w14:paraId="4C93F7A1">
            <w:pPr>
              <w:keepNext w:val="0"/>
              <w:keepLines w:val="0"/>
              <w:widowControl/>
              <w:suppressLineNumbers w:val="0"/>
              <w:snapToGrid w:val="0"/>
              <w:ind w:left="0" w:leftChars="0" w:firstLine="0" w:firstLineChars="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甲供材</w:t>
            </w:r>
          </w:p>
        </w:tc>
      </w:tr>
      <w:tr w14:paraId="246A4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8" w:type="dxa"/>
            <w:noWrap w:val="0"/>
            <w:tcMar>
              <w:top w:w="-1" w:type="dxa"/>
              <w:left w:w="-1" w:type="dxa"/>
              <w:bottom w:w="-1" w:type="dxa"/>
              <w:right w:w="-1" w:type="dxa"/>
            </w:tcMar>
            <w:vAlign w:val="center"/>
          </w:tcPr>
          <w:p w14:paraId="43D4143F">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15</w:t>
            </w:r>
          </w:p>
        </w:tc>
        <w:tc>
          <w:tcPr>
            <w:tcW w:w="2460" w:type="dxa"/>
            <w:noWrap w:val="0"/>
            <w:tcMar>
              <w:top w:w="-1" w:type="dxa"/>
              <w:left w:w="-1" w:type="dxa"/>
              <w:bottom w:w="-1" w:type="dxa"/>
              <w:right w:w="-1" w:type="dxa"/>
            </w:tcMar>
            <w:vAlign w:val="center"/>
          </w:tcPr>
          <w:p w14:paraId="4105D4B6">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护栏除锈刷漆</w:t>
            </w:r>
          </w:p>
        </w:tc>
        <w:tc>
          <w:tcPr>
            <w:tcW w:w="588" w:type="dxa"/>
            <w:noWrap w:val="0"/>
            <w:tcMar>
              <w:top w:w="-1" w:type="dxa"/>
              <w:left w:w="-1" w:type="dxa"/>
              <w:bottom w:w="-1" w:type="dxa"/>
              <w:right w:w="-1" w:type="dxa"/>
            </w:tcMar>
            <w:vAlign w:val="center"/>
          </w:tcPr>
          <w:p w14:paraId="314C8EF9">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m²</w:t>
            </w:r>
          </w:p>
        </w:tc>
        <w:tc>
          <w:tcPr>
            <w:tcW w:w="852" w:type="dxa"/>
            <w:noWrap w:val="0"/>
            <w:tcMar>
              <w:top w:w="-1" w:type="dxa"/>
              <w:left w:w="-1" w:type="dxa"/>
              <w:bottom w:w="-1" w:type="dxa"/>
              <w:right w:w="-1" w:type="dxa"/>
            </w:tcMar>
            <w:vAlign w:val="center"/>
          </w:tcPr>
          <w:p w14:paraId="2250949A">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694.07</w:t>
            </w:r>
          </w:p>
        </w:tc>
        <w:tc>
          <w:tcPr>
            <w:tcW w:w="1200" w:type="dxa"/>
            <w:noWrap w:val="0"/>
            <w:tcMar>
              <w:top w:w="-1" w:type="dxa"/>
              <w:left w:w="-1" w:type="dxa"/>
              <w:bottom w:w="-1" w:type="dxa"/>
              <w:right w:w="-1" w:type="dxa"/>
            </w:tcMar>
            <w:vAlign w:val="center"/>
          </w:tcPr>
          <w:p w14:paraId="25FC0721">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45.00</w:t>
            </w:r>
          </w:p>
        </w:tc>
        <w:tc>
          <w:tcPr>
            <w:tcW w:w="1248" w:type="dxa"/>
            <w:noWrap w:val="0"/>
            <w:tcMar>
              <w:top w:w="-1" w:type="dxa"/>
              <w:left w:w="-1" w:type="dxa"/>
              <w:bottom w:w="-1" w:type="dxa"/>
              <w:right w:w="-1" w:type="dxa"/>
            </w:tcMar>
            <w:vAlign w:val="center"/>
          </w:tcPr>
          <w:p w14:paraId="327CA91B">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31233.15</w:t>
            </w:r>
          </w:p>
        </w:tc>
        <w:tc>
          <w:tcPr>
            <w:tcW w:w="1212" w:type="dxa"/>
            <w:noWrap w:val="0"/>
            <w:tcMar>
              <w:top w:w="-1" w:type="dxa"/>
              <w:left w:w="-1" w:type="dxa"/>
              <w:bottom w:w="-1" w:type="dxa"/>
              <w:right w:w="-1" w:type="dxa"/>
            </w:tcMar>
            <w:vAlign w:val="center"/>
          </w:tcPr>
          <w:p w14:paraId="77E569C6">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1236" w:type="dxa"/>
            <w:noWrap w:val="0"/>
            <w:tcMar>
              <w:top w:w="-1" w:type="dxa"/>
              <w:left w:w="-1" w:type="dxa"/>
              <w:bottom w:w="-1" w:type="dxa"/>
              <w:right w:w="-1" w:type="dxa"/>
            </w:tcMar>
            <w:vAlign w:val="center"/>
          </w:tcPr>
          <w:p w14:paraId="2E4A99CD">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663" w:type="dxa"/>
            <w:noWrap w:val="0"/>
            <w:tcMar>
              <w:top w:w="-1" w:type="dxa"/>
              <w:left w:w="-1" w:type="dxa"/>
              <w:bottom w:w="-1" w:type="dxa"/>
              <w:right w:w="-1" w:type="dxa"/>
            </w:tcMar>
            <w:vAlign w:val="center"/>
          </w:tcPr>
          <w:p w14:paraId="139261BB">
            <w:pPr>
              <w:keepNext w:val="0"/>
              <w:keepLines w:val="0"/>
              <w:widowControl/>
              <w:suppressLineNumbers w:val="0"/>
              <w:snapToGrid w:val="0"/>
              <w:ind w:left="0" w:leftChars="0" w:firstLine="0" w:firstLineChars="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p>
        </w:tc>
      </w:tr>
      <w:tr w14:paraId="03210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8" w:type="dxa"/>
            <w:noWrap w:val="0"/>
            <w:tcMar>
              <w:top w:w="-1" w:type="dxa"/>
              <w:left w:w="-1" w:type="dxa"/>
              <w:bottom w:w="-1" w:type="dxa"/>
              <w:right w:w="-1" w:type="dxa"/>
            </w:tcMar>
            <w:vAlign w:val="center"/>
          </w:tcPr>
          <w:p w14:paraId="62DCCCFE">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16</w:t>
            </w:r>
          </w:p>
        </w:tc>
        <w:tc>
          <w:tcPr>
            <w:tcW w:w="2460" w:type="dxa"/>
            <w:noWrap w:val="0"/>
            <w:tcMar>
              <w:top w:w="-1" w:type="dxa"/>
              <w:left w:w="-1" w:type="dxa"/>
              <w:bottom w:w="-1" w:type="dxa"/>
              <w:right w:w="-1" w:type="dxa"/>
            </w:tcMar>
            <w:vAlign w:val="center"/>
          </w:tcPr>
          <w:p w14:paraId="7D81E9FD">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更换减速带</w:t>
            </w:r>
          </w:p>
        </w:tc>
        <w:tc>
          <w:tcPr>
            <w:tcW w:w="588" w:type="dxa"/>
            <w:noWrap w:val="0"/>
            <w:tcMar>
              <w:top w:w="-1" w:type="dxa"/>
              <w:left w:w="-1" w:type="dxa"/>
              <w:bottom w:w="-1" w:type="dxa"/>
              <w:right w:w="-1" w:type="dxa"/>
            </w:tcMar>
            <w:vAlign w:val="center"/>
          </w:tcPr>
          <w:p w14:paraId="7B441987">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m</w:t>
            </w:r>
          </w:p>
        </w:tc>
        <w:tc>
          <w:tcPr>
            <w:tcW w:w="852" w:type="dxa"/>
            <w:noWrap w:val="0"/>
            <w:tcMar>
              <w:top w:w="-1" w:type="dxa"/>
              <w:left w:w="-1" w:type="dxa"/>
              <w:bottom w:w="-1" w:type="dxa"/>
              <w:right w:w="-1" w:type="dxa"/>
            </w:tcMar>
            <w:vAlign w:val="center"/>
          </w:tcPr>
          <w:p w14:paraId="793D4272">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16</w:t>
            </w:r>
          </w:p>
        </w:tc>
        <w:tc>
          <w:tcPr>
            <w:tcW w:w="1200" w:type="dxa"/>
            <w:noWrap w:val="0"/>
            <w:tcMar>
              <w:top w:w="-1" w:type="dxa"/>
              <w:left w:w="-1" w:type="dxa"/>
              <w:bottom w:w="-1" w:type="dxa"/>
              <w:right w:w="-1" w:type="dxa"/>
            </w:tcMar>
            <w:vAlign w:val="center"/>
          </w:tcPr>
          <w:p w14:paraId="286C32CD">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260.00</w:t>
            </w:r>
          </w:p>
        </w:tc>
        <w:tc>
          <w:tcPr>
            <w:tcW w:w="1248" w:type="dxa"/>
            <w:noWrap w:val="0"/>
            <w:tcMar>
              <w:top w:w="-1" w:type="dxa"/>
              <w:left w:w="-1" w:type="dxa"/>
              <w:bottom w:w="-1" w:type="dxa"/>
              <w:right w:w="-1" w:type="dxa"/>
            </w:tcMar>
            <w:vAlign w:val="center"/>
          </w:tcPr>
          <w:p w14:paraId="4A837635">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4160.00</w:t>
            </w:r>
          </w:p>
        </w:tc>
        <w:tc>
          <w:tcPr>
            <w:tcW w:w="1212" w:type="dxa"/>
            <w:noWrap w:val="0"/>
            <w:tcMar>
              <w:top w:w="-1" w:type="dxa"/>
              <w:left w:w="-1" w:type="dxa"/>
              <w:bottom w:w="-1" w:type="dxa"/>
              <w:right w:w="-1" w:type="dxa"/>
            </w:tcMar>
            <w:vAlign w:val="center"/>
          </w:tcPr>
          <w:p w14:paraId="6364AC75">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1236" w:type="dxa"/>
            <w:noWrap w:val="0"/>
            <w:tcMar>
              <w:top w:w="-1" w:type="dxa"/>
              <w:left w:w="-1" w:type="dxa"/>
              <w:bottom w:w="-1" w:type="dxa"/>
              <w:right w:w="-1" w:type="dxa"/>
            </w:tcMar>
            <w:vAlign w:val="center"/>
          </w:tcPr>
          <w:p w14:paraId="4068DFD7">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663" w:type="dxa"/>
            <w:noWrap w:val="0"/>
            <w:tcMar>
              <w:top w:w="-1" w:type="dxa"/>
              <w:left w:w="-1" w:type="dxa"/>
              <w:bottom w:w="-1" w:type="dxa"/>
              <w:right w:w="-1" w:type="dxa"/>
            </w:tcMar>
            <w:vAlign w:val="center"/>
          </w:tcPr>
          <w:p w14:paraId="044B84EC">
            <w:pPr>
              <w:keepNext w:val="0"/>
              <w:keepLines w:val="0"/>
              <w:widowControl/>
              <w:suppressLineNumbers w:val="0"/>
              <w:snapToGrid w:val="0"/>
              <w:ind w:left="0" w:leftChars="0" w:firstLine="0" w:firstLineChars="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p>
        </w:tc>
      </w:tr>
      <w:tr w14:paraId="0DB7E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8" w:type="dxa"/>
            <w:noWrap w:val="0"/>
            <w:tcMar>
              <w:top w:w="-1" w:type="dxa"/>
              <w:left w:w="-1" w:type="dxa"/>
              <w:bottom w:w="-1" w:type="dxa"/>
              <w:right w:w="-1" w:type="dxa"/>
            </w:tcMar>
            <w:vAlign w:val="center"/>
          </w:tcPr>
          <w:p w14:paraId="36789DE5">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17</w:t>
            </w:r>
          </w:p>
        </w:tc>
        <w:tc>
          <w:tcPr>
            <w:tcW w:w="2460" w:type="dxa"/>
            <w:noWrap w:val="0"/>
            <w:tcMar>
              <w:top w:w="-1" w:type="dxa"/>
              <w:left w:w="-1" w:type="dxa"/>
              <w:bottom w:w="-1" w:type="dxa"/>
              <w:right w:w="-1" w:type="dxa"/>
            </w:tcMar>
            <w:vAlign w:val="center"/>
          </w:tcPr>
          <w:p w14:paraId="5A15420A">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升降式限高架</w:t>
            </w:r>
          </w:p>
        </w:tc>
        <w:tc>
          <w:tcPr>
            <w:tcW w:w="588" w:type="dxa"/>
            <w:noWrap w:val="0"/>
            <w:tcMar>
              <w:top w:w="-1" w:type="dxa"/>
              <w:left w:w="-1" w:type="dxa"/>
              <w:bottom w:w="-1" w:type="dxa"/>
              <w:right w:w="-1" w:type="dxa"/>
            </w:tcMar>
            <w:vAlign w:val="center"/>
          </w:tcPr>
          <w:p w14:paraId="2918F047">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套</w:t>
            </w:r>
          </w:p>
        </w:tc>
        <w:tc>
          <w:tcPr>
            <w:tcW w:w="852" w:type="dxa"/>
            <w:noWrap w:val="0"/>
            <w:tcMar>
              <w:top w:w="-1" w:type="dxa"/>
              <w:left w:w="-1" w:type="dxa"/>
              <w:bottom w:w="-1" w:type="dxa"/>
              <w:right w:w="-1" w:type="dxa"/>
            </w:tcMar>
            <w:vAlign w:val="center"/>
          </w:tcPr>
          <w:p w14:paraId="1A9CE994">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w:t>
            </w:r>
          </w:p>
        </w:tc>
        <w:tc>
          <w:tcPr>
            <w:tcW w:w="1200" w:type="dxa"/>
            <w:noWrap w:val="0"/>
            <w:tcMar>
              <w:top w:w="-1" w:type="dxa"/>
              <w:left w:w="-1" w:type="dxa"/>
              <w:bottom w:w="-1" w:type="dxa"/>
              <w:right w:w="-1" w:type="dxa"/>
            </w:tcMar>
            <w:vAlign w:val="center"/>
          </w:tcPr>
          <w:p w14:paraId="445D1916">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900.00</w:t>
            </w:r>
          </w:p>
        </w:tc>
        <w:tc>
          <w:tcPr>
            <w:tcW w:w="1248" w:type="dxa"/>
            <w:noWrap w:val="0"/>
            <w:tcMar>
              <w:top w:w="-1" w:type="dxa"/>
              <w:left w:w="-1" w:type="dxa"/>
              <w:bottom w:w="-1" w:type="dxa"/>
              <w:right w:w="-1" w:type="dxa"/>
            </w:tcMar>
            <w:vAlign w:val="center"/>
          </w:tcPr>
          <w:p w14:paraId="1A832170">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900.00</w:t>
            </w:r>
          </w:p>
        </w:tc>
        <w:tc>
          <w:tcPr>
            <w:tcW w:w="1212" w:type="dxa"/>
            <w:noWrap w:val="0"/>
            <w:tcMar>
              <w:top w:w="-1" w:type="dxa"/>
              <w:left w:w="-1" w:type="dxa"/>
              <w:bottom w:w="-1" w:type="dxa"/>
              <w:right w:w="-1" w:type="dxa"/>
            </w:tcMar>
            <w:vAlign w:val="center"/>
          </w:tcPr>
          <w:p w14:paraId="0BECF5AE">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1236" w:type="dxa"/>
            <w:noWrap w:val="0"/>
            <w:tcMar>
              <w:top w:w="-1" w:type="dxa"/>
              <w:left w:w="-1" w:type="dxa"/>
              <w:bottom w:w="-1" w:type="dxa"/>
              <w:right w:w="-1" w:type="dxa"/>
            </w:tcMar>
            <w:vAlign w:val="center"/>
          </w:tcPr>
          <w:p w14:paraId="765F0113">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663" w:type="dxa"/>
            <w:noWrap w:val="0"/>
            <w:tcMar>
              <w:top w:w="-1" w:type="dxa"/>
              <w:left w:w="-1" w:type="dxa"/>
              <w:bottom w:w="-1" w:type="dxa"/>
              <w:right w:w="-1" w:type="dxa"/>
            </w:tcMar>
            <w:vAlign w:val="center"/>
          </w:tcPr>
          <w:p w14:paraId="539E20A5">
            <w:pPr>
              <w:keepNext w:val="0"/>
              <w:keepLines w:val="0"/>
              <w:widowControl/>
              <w:suppressLineNumbers w:val="0"/>
              <w:snapToGrid w:val="0"/>
              <w:ind w:left="0" w:leftChars="0" w:firstLine="0" w:firstLineChars="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p>
        </w:tc>
      </w:tr>
      <w:tr w14:paraId="7E148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8" w:type="dxa"/>
            <w:noWrap w:val="0"/>
            <w:tcMar>
              <w:top w:w="-1" w:type="dxa"/>
              <w:left w:w="-1" w:type="dxa"/>
              <w:bottom w:w="-1" w:type="dxa"/>
              <w:right w:w="-1" w:type="dxa"/>
            </w:tcMar>
            <w:vAlign w:val="center"/>
          </w:tcPr>
          <w:p w14:paraId="1B4A81EC">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18</w:t>
            </w:r>
          </w:p>
        </w:tc>
        <w:tc>
          <w:tcPr>
            <w:tcW w:w="2460" w:type="dxa"/>
            <w:noWrap w:val="0"/>
            <w:tcMar>
              <w:top w:w="-1" w:type="dxa"/>
              <w:left w:w="-1" w:type="dxa"/>
              <w:bottom w:w="-1" w:type="dxa"/>
              <w:right w:w="-1" w:type="dxa"/>
            </w:tcMar>
            <w:vAlign w:val="center"/>
          </w:tcPr>
          <w:p w14:paraId="15CB2AFB">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限高架基础</w:t>
            </w:r>
          </w:p>
        </w:tc>
        <w:tc>
          <w:tcPr>
            <w:tcW w:w="588" w:type="dxa"/>
            <w:noWrap w:val="0"/>
            <w:tcMar>
              <w:top w:w="-1" w:type="dxa"/>
              <w:left w:w="-1" w:type="dxa"/>
              <w:bottom w:w="-1" w:type="dxa"/>
              <w:right w:w="-1" w:type="dxa"/>
            </w:tcMar>
            <w:vAlign w:val="center"/>
          </w:tcPr>
          <w:p w14:paraId="25E3AC4D">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个</w:t>
            </w:r>
          </w:p>
        </w:tc>
        <w:tc>
          <w:tcPr>
            <w:tcW w:w="852" w:type="dxa"/>
            <w:noWrap w:val="0"/>
            <w:tcMar>
              <w:top w:w="-1" w:type="dxa"/>
              <w:left w:w="-1" w:type="dxa"/>
              <w:bottom w:w="-1" w:type="dxa"/>
              <w:right w:w="-1" w:type="dxa"/>
            </w:tcMar>
            <w:vAlign w:val="center"/>
          </w:tcPr>
          <w:p w14:paraId="5D6A0850">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2</w:t>
            </w:r>
          </w:p>
        </w:tc>
        <w:tc>
          <w:tcPr>
            <w:tcW w:w="1200" w:type="dxa"/>
            <w:noWrap w:val="0"/>
            <w:tcMar>
              <w:top w:w="-1" w:type="dxa"/>
              <w:left w:w="-1" w:type="dxa"/>
              <w:bottom w:w="-1" w:type="dxa"/>
              <w:right w:w="-1" w:type="dxa"/>
            </w:tcMar>
            <w:vAlign w:val="center"/>
          </w:tcPr>
          <w:p w14:paraId="6A59EBF4">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770.00</w:t>
            </w:r>
          </w:p>
        </w:tc>
        <w:tc>
          <w:tcPr>
            <w:tcW w:w="1248" w:type="dxa"/>
            <w:noWrap w:val="0"/>
            <w:tcMar>
              <w:top w:w="-1" w:type="dxa"/>
              <w:left w:w="-1" w:type="dxa"/>
              <w:bottom w:w="-1" w:type="dxa"/>
              <w:right w:w="-1" w:type="dxa"/>
            </w:tcMar>
            <w:vAlign w:val="center"/>
          </w:tcPr>
          <w:p w14:paraId="2D15047A">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1540.00</w:t>
            </w:r>
          </w:p>
        </w:tc>
        <w:tc>
          <w:tcPr>
            <w:tcW w:w="1212" w:type="dxa"/>
            <w:noWrap w:val="0"/>
            <w:tcMar>
              <w:top w:w="-1" w:type="dxa"/>
              <w:left w:w="-1" w:type="dxa"/>
              <w:bottom w:w="-1" w:type="dxa"/>
              <w:right w:w="-1" w:type="dxa"/>
            </w:tcMar>
            <w:vAlign w:val="center"/>
          </w:tcPr>
          <w:p w14:paraId="351FE384">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1236" w:type="dxa"/>
            <w:noWrap w:val="0"/>
            <w:tcMar>
              <w:top w:w="-1" w:type="dxa"/>
              <w:left w:w="-1" w:type="dxa"/>
              <w:bottom w:w="-1" w:type="dxa"/>
              <w:right w:w="-1" w:type="dxa"/>
            </w:tcMar>
            <w:vAlign w:val="center"/>
          </w:tcPr>
          <w:p w14:paraId="10072D53">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663" w:type="dxa"/>
            <w:noWrap w:val="0"/>
            <w:tcMar>
              <w:top w:w="-1" w:type="dxa"/>
              <w:left w:w="-1" w:type="dxa"/>
              <w:bottom w:w="-1" w:type="dxa"/>
              <w:right w:w="-1" w:type="dxa"/>
            </w:tcMar>
            <w:vAlign w:val="center"/>
          </w:tcPr>
          <w:p w14:paraId="5067F469">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砼甲供</w:t>
            </w:r>
          </w:p>
        </w:tc>
      </w:tr>
      <w:tr w14:paraId="53F23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618" w:type="dxa"/>
            <w:noWrap w:val="0"/>
            <w:tcMar>
              <w:top w:w="-1" w:type="dxa"/>
              <w:left w:w="-1" w:type="dxa"/>
              <w:bottom w:w="-1" w:type="dxa"/>
              <w:right w:w="-1" w:type="dxa"/>
            </w:tcMar>
            <w:vAlign w:val="center"/>
          </w:tcPr>
          <w:p w14:paraId="312B407C">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19</w:t>
            </w:r>
          </w:p>
        </w:tc>
        <w:tc>
          <w:tcPr>
            <w:tcW w:w="2460" w:type="dxa"/>
            <w:noWrap w:val="0"/>
            <w:tcMar>
              <w:top w:w="-1" w:type="dxa"/>
              <w:left w:w="-1" w:type="dxa"/>
              <w:bottom w:w="-1" w:type="dxa"/>
              <w:right w:w="-1" w:type="dxa"/>
            </w:tcMar>
            <w:vAlign w:val="center"/>
          </w:tcPr>
          <w:p w14:paraId="0233A09F">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弃土场铺装（5cm AC-13C细粒式沥青砼）</w:t>
            </w:r>
          </w:p>
        </w:tc>
        <w:tc>
          <w:tcPr>
            <w:tcW w:w="588" w:type="dxa"/>
            <w:noWrap w:val="0"/>
            <w:tcMar>
              <w:top w:w="-1" w:type="dxa"/>
              <w:left w:w="-1" w:type="dxa"/>
              <w:bottom w:w="-1" w:type="dxa"/>
              <w:right w:w="-1" w:type="dxa"/>
            </w:tcMar>
            <w:vAlign w:val="center"/>
          </w:tcPr>
          <w:p w14:paraId="5D919F7C">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m³</w:t>
            </w:r>
          </w:p>
        </w:tc>
        <w:tc>
          <w:tcPr>
            <w:tcW w:w="852" w:type="dxa"/>
            <w:noWrap w:val="0"/>
            <w:tcMar>
              <w:top w:w="-1" w:type="dxa"/>
              <w:left w:w="-1" w:type="dxa"/>
              <w:bottom w:w="-1" w:type="dxa"/>
              <w:right w:w="-1" w:type="dxa"/>
            </w:tcMar>
            <w:vAlign w:val="center"/>
          </w:tcPr>
          <w:p w14:paraId="01B387C3">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5</w:t>
            </w:r>
          </w:p>
        </w:tc>
        <w:tc>
          <w:tcPr>
            <w:tcW w:w="1200" w:type="dxa"/>
            <w:noWrap w:val="0"/>
            <w:tcMar>
              <w:top w:w="-1" w:type="dxa"/>
              <w:left w:w="-1" w:type="dxa"/>
              <w:bottom w:w="-1" w:type="dxa"/>
              <w:right w:w="-1" w:type="dxa"/>
            </w:tcMar>
            <w:vAlign w:val="center"/>
          </w:tcPr>
          <w:p w14:paraId="568FEC53">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1969.98</w:t>
            </w:r>
          </w:p>
        </w:tc>
        <w:tc>
          <w:tcPr>
            <w:tcW w:w="1248" w:type="dxa"/>
            <w:noWrap w:val="0"/>
            <w:tcMar>
              <w:top w:w="-1" w:type="dxa"/>
              <w:left w:w="-1" w:type="dxa"/>
              <w:bottom w:w="-1" w:type="dxa"/>
              <w:right w:w="-1" w:type="dxa"/>
            </w:tcMar>
            <w:vAlign w:val="center"/>
          </w:tcPr>
          <w:p w14:paraId="15CFCFE8">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9849.90</w:t>
            </w:r>
          </w:p>
        </w:tc>
        <w:tc>
          <w:tcPr>
            <w:tcW w:w="1212" w:type="dxa"/>
            <w:noWrap w:val="0"/>
            <w:tcMar>
              <w:top w:w="-1" w:type="dxa"/>
              <w:left w:w="-1" w:type="dxa"/>
              <w:bottom w:w="-1" w:type="dxa"/>
              <w:right w:w="-1" w:type="dxa"/>
            </w:tcMar>
            <w:vAlign w:val="center"/>
          </w:tcPr>
          <w:p w14:paraId="5F606EFA">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1236" w:type="dxa"/>
            <w:noWrap w:val="0"/>
            <w:tcMar>
              <w:top w:w="-1" w:type="dxa"/>
              <w:left w:w="-1" w:type="dxa"/>
              <w:bottom w:w="-1" w:type="dxa"/>
              <w:right w:w="-1" w:type="dxa"/>
            </w:tcMar>
            <w:vAlign w:val="center"/>
          </w:tcPr>
          <w:p w14:paraId="62DB90B0">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p>
        </w:tc>
        <w:tc>
          <w:tcPr>
            <w:tcW w:w="663" w:type="dxa"/>
            <w:noWrap w:val="0"/>
            <w:tcMar>
              <w:top w:w="-1" w:type="dxa"/>
              <w:left w:w="-1" w:type="dxa"/>
              <w:bottom w:w="-1" w:type="dxa"/>
              <w:right w:w="-1" w:type="dxa"/>
            </w:tcMar>
            <w:vAlign w:val="center"/>
          </w:tcPr>
          <w:p w14:paraId="0D2504F7">
            <w:pPr>
              <w:keepNext w:val="0"/>
              <w:keepLines w:val="0"/>
              <w:widowControl/>
              <w:suppressLineNumbers w:val="0"/>
              <w:snapToGrid w:val="0"/>
              <w:ind w:left="0" w:leftChars="0" w:firstLine="0" w:firstLineChars="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甲供材</w:t>
            </w:r>
          </w:p>
        </w:tc>
      </w:tr>
      <w:tr w14:paraId="1D973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8" w:type="dxa"/>
            <w:noWrap w:val="0"/>
            <w:tcMar>
              <w:top w:w="-1" w:type="dxa"/>
              <w:left w:w="-1" w:type="dxa"/>
              <w:bottom w:w="-1" w:type="dxa"/>
              <w:right w:w="-1" w:type="dxa"/>
            </w:tcMar>
            <w:vAlign w:val="center"/>
          </w:tcPr>
          <w:p w14:paraId="1B7644EA">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sz w:val="20"/>
                <w:szCs w:val="20"/>
                <w:u w:val="none"/>
              </w:rPr>
            </w:pPr>
          </w:p>
        </w:tc>
        <w:tc>
          <w:tcPr>
            <w:tcW w:w="5100" w:type="dxa"/>
            <w:gridSpan w:val="4"/>
            <w:noWrap w:val="0"/>
            <w:tcMar>
              <w:top w:w="-1" w:type="dxa"/>
              <w:left w:w="-1" w:type="dxa"/>
              <w:bottom w:w="-1" w:type="dxa"/>
              <w:right w:w="-1" w:type="dxa"/>
            </w:tcMar>
            <w:vAlign w:val="center"/>
          </w:tcPr>
          <w:p w14:paraId="1CA139CD">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default" w:ascii="方正仿宋_GBK" w:hAnsi="方正仿宋_GBK" w:eastAsia="方正仿宋_GBK" w:cs="方正仿宋_GBK"/>
                <w:i w:val="0"/>
                <w:iCs w:val="0"/>
                <w:color w:val="000000"/>
                <w:kern w:val="0"/>
                <w:sz w:val="20"/>
                <w:szCs w:val="20"/>
                <w:u w:val="none"/>
                <w:lang w:val="en-US" w:eastAsia="zh-CN" w:bidi="ar"/>
              </w:rPr>
              <w:t>总计</w:t>
            </w:r>
          </w:p>
        </w:tc>
        <w:tc>
          <w:tcPr>
            <w:tcW w:w="1248" w:type="dxa"/>
            <w:noWrap w:val="0"/>
            <w:tcMar>
              <w:top w:w="-1" w:type="dxa"/>
              <w:left w:w="-1" w:type="dxa"/>
              <w:bottom w:w="-1" w:type="dxa"/>
              <w:right w:w="-1" w:type="dxa"/>
            </w:tcMar>
            <w:vAlign w:val="center"/>
          </w:tcPr>
          <w:p w14:paraId="651FBF47">
            <w:pPr>
              <w:keepNext w:val="0"/>
              <w:keepLines w:val="0"/>
              <w:widowControl/>
              <w:suppressLineNumbers w:val="0"/>
              <w:snapToGrid w:val="0"/>
              <w:ind w:left="0" w:lef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516296.06</w:t>
            </w:r>
          </w:p>
        </w:tc>
        <w:tc>
          <w:tcPr>
            <w:tcW w:w="1212" w:type="dxa"/>
            <w:noWrap w:val="0"/>
            <w:tcMar>
              <w:top w:w="-1" w:type="dxa"/>
              <w:left w:w="-1" w:type="dxa"/>
              <w:bottom w:w="-1" w:type="dxa"/>
              <w:right w:w="-1" w:type="dxa"/>
            </w:tcMar>
            <w:vAlign w:val="center"/>
          </w:tcPr>
          <w:p w14:paraId="1799B69A">
            <w:pPr>
              <w:snapToGrid w:val="0"/>
              <w:ind w:left="0" w:leftChars="0" w:firstLine="0" w:firstLineChars="0"/>
              <w:jc w:val="center"/>
              <w:rPr>
                <w:rFonts w:hint="eastAsia" w:ascii="宋体" w:hAnsi="宋体" w:eastAsia="宋体" w:cs="宋体"/>
                <w:i w:val="0"/>
                <w:iCs w:val="0"/>
                <w:color w:val="000000"/>
                <w:sz w:val="20"/>
                <w:szCs w:val="20"/>
                <w:u w:val="none"/>
              </w:rPr>
            </w:pPr>
          </w:p>
        </w:tc>
        <w:tc>
          <w:tcPr>
            <w:tcW w:w="1236" w:type="dxa"/>
            <w:noWrap w:val="0"/>
            <w:tcMar>
              <w:top w:w="-1" w:type="dxa"/>
              <w:left w:w="-1" w:type="dxa"/>
              <w:bottom w:w="-1" w:type="dxa"/>
              <w:right w:w="-1" w:type="dxa"/>
            </w:tcMar>
            <w:vAlign w:val="center"/>
          </w:tcPr>
          <w:p w14:paraId="049E24D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p>
        </w:tc>
        <w:tc>
          <w:tcPr>
            <w:tcW w:w="663" w:type="dxa"/>
            <w:noWrap w:val="0"/>
            <w:tcMar>
              <w:top w:w="-1" w:type="dxa"/>
              <w:left w:w="-1" w:type="dxa"/>
              <w:bottom w:w="-1" w:type="dxa"/>
              <w:right w:w="-1" w:type="dxa"/>
            </w:tcMar>
            <w:vAlign w:val="center"/>
          </w:tcPr>
          <w:p w14:paraId="75A60855">
            <w:pPr>
              <w:snapToGrid w:val="0"/>
              <w:jc w:val="center"/>
              <w:rPr>
                <w:rFonts w:hint="eastAsia" w:ascii="宋体" w:hAnsi="宋体" w:eastAsia="宋体" w:cs="宋体"/>
                <w:i w:val="0"/>
                <w:iCs w:val="0"/>
                <w:color w:val="000000"/>
                <w:sz w:val="20"/>
                <w:szCs w:val="20"/>
                <w:u w:val="none"/>
              </w:rPr>
            </w:pPr>
          </w:p>
        </w:tc>
      </w:tr>
      <w:tr w14:paraId="25F24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9" w:hRule="atLeast"/>
          <w:jc w:val="center"/>
        </w:trPr>
        <w:tc>
          <w:tcPr>
            <w:tcW w:w="10077" w:type="dxa"/>
            <w:gridSpan w:val="9"/>
            <w:noWrap w:val="0"/>
            <w:tcMar>
              <w:top w:w="-1" w:type="dxa"/>
              <w:left w:w="-1" w:type="dxa"/>
              <w:bottom w:w="-1" w:type="dxa"/>
              <w:right w:w="-1" w:type="dxa"/>
            </w:tcMar>
            <w:vAlign w:val="center"/>
          </w:tcPr>
          <w:p w14:paraId="33DCF2A5">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说明：</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1、清单中的单价为综合单价:含人工费、零星辅料、机械费、管理费、利润、风险费、措施费、规费、税金等全部费用。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2、竞标人需提供合法有效且符合比选人要求的增值税专用发票，抵扣税率9%。</w:t>
            </w:r>
          </w:p>
        </w:tc>
      </w:tr>
    </w:tbl>
    <w:p w14:paraId="137BE8CF">
      <w:pPr>
        <w:keepNext w:val="0"/>
        <w:keepLines w:val="0"/>
        <w:pageBreakBefore w:val="0"/>
        <w:kinsoku/>
        <w:overflowPunct/>
        <w:autoSpaceDE/>
        <w:autoSpaceDN/>
        <w:bidi w:val="0"/>
        <w:adjustRightInd/>
        <w:snapToGrid/>
        <w:spacing w:line="240" w:lineRule="auto"/>
        <w:ind w:firstLine="0" w:firstLineChars="0"/>
        <w:jc w:val="center"/>
      </w:pPr>
    </w:p>
    <w:sectPr>
      <w:pgSz w:w="11906" w:h="16838"/>
      <w:pgMar w:top="1134" w:right="1134" w:bottom="1134" w:left="1134" w:header="794" w:footer="78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BEB06">
    <w:pPr>
      <w:pStyle w:val="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2FD21">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D1535">
    <w:pPr>
      <w:pStyle w:val="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7F48F">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5F78F">
    <w:pPr>
      <w:pStyle w:val="10"/>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6E03F">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20068">
    <w:pPr>
      <w:pStyle w:val="10"/>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8C234">
    <w:pPr>
      <w:ind w:firstLine="48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39DAB">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ind w:firstLine="0" w:firstLineChars="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7B1E4">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ind w:firstLine="0" w:firstLineChars="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47DF6B"/>
    <w:multiLevelType w:val="singleLevel"/>
    <w:tmpl w:val="9B47DF6B"/>
    <w:lvl w:ilvl="0" w:tentative="0">
      <w:start w:val="2"/>
      <w:numFmt w:val="decimal"/>
      <w:suff w:val="nothing"/>
      <w:lvlText w:val="（%1）"/>
      <w:lvlJc w:val="left"/>
    </w:lvl>
  </w:abstractNum>
  <w:abstractNum w:abstractNumId="1">
    <w:nsid w:val="E350D939"/>
    <w:multiLevelType w:val="singleLevel"/>
    <w:tmpl w:val="E350D939"/>
    <w:lvl w:ilvl="0" w:tentative="0">
      <w:start w:val="2"/>
      <w:numFmt w:val="decimal"/>
      <w:suff w:val="nothing"/>
      <w:lvlText w:val="%1、"/>
      <w:lvlJc w:val="left"/>
    </w:lvl>
  </w:abstractNum>
  <w:abstractNum w:abstractNumId="2">
    <w:nsid w:val="271D30CE"/>
    <w:multiLevelType w:val="multilevel"/>
    <w:tmpl w:val="271D30CE"/>
    <w:lvl w:ilvl="0" w:tentative="0">
      <w:start w:val="1"/>
      <w:numFmt w:val="chineseCountingThousand"/>
      <w:lvlText w:val="第%1条"/>
      <w:lvlJc w:val="right"/>
      <w:pPr>
        <w:ind w:left="922" w:hanging="440"/>
      </w:pPr>
      <w:rPr>
        <w:rFonts w:hint="eastAsia"/>
        <w:b/>
        <w:bCs/>
        <w:color w:val="auto"/>
      </w:rPr>
    </w:lvl>
    <w:lvl w:ilvl="1" w:tentative="0">
      <w:start w:val="1"/>
      <w:numFmt w:val="lowerLetter"/>
      <w:lvlText w:val="%2)"/>
      <w:lvlJc w:val="left"/>
      <w:pPr>
        <w:ind w:left="1362" w:hanging="440"/>
      </w:pPr>
    </w:lvl>
    <w:lvl w:ilvl="2" w:tentative="0">
      <w:start w:val="1"/>
      <w:numFmt w:val="lowerRoman"/>
      <w:lvlText w:val="%3."/>
      <w:lvlJc w:val="right"/>
      <w:pPr>
        <w:ind w:left="1802" w:hanging="440"/>
      </w:pPr>
    </w:lvl>
    <w:lvl w:ilvl="3" w:tentative="0">
      <w:start w:val="1"/>
      <w:numFmt w:val="decimal"/>
      <w:lvlText w:val="%4."/>
      <w:lvlJc w:val="left"/>
      <w:pPr>
        <w:ind w:left="2242" w:hanging="440"/>
      </w:pPr>
    </w:lvl>
    <w:lvl w:ilvl="4" w:tentative="0">
      <w:start w:val="1"/>
      <w:numFmt w:val="lowerLetter"/>
      <w:lvlText w:val="%5)"/>
      <w:lvlJc w:val="left"/>
      <w:pPr>
        <w:ind w:left="2682" w:hanging="440"/>
      </w:pPr>
    </w:lvl>
    <w:lvl w:ilvl="5" w:tentative="0">
      <w:start w:val="1"/>
      <w:numFmt w:val="lowerRoman"/>
      <w:lvlText w:val="%6."/>
      <w:lvlJc w:val="right"/>
      <w:pPr>
        <w:ind w:left="3122" w:hanging="440"/>
      </w:pPr>
    </w:lvl>
    <w:lvl w:ilvl="6" w:tentative="0">
      <w:start w:val="1"/>
      <w:numFmt w:val="decimal"/>
      <w:lvlText w:val="%7."/>
      <w:lvlJc w:val="left"/>
      <w:pPr>
        <w:ind w:left="3562" w:hanging="440"/>
      </w:pPr>
    </w:lvl>
    <w:lvl w:ilvl="7" w:tentative="0">
      <w:start w:val="1"/>
      <w:numFmt w:val="lowerLetter"/>
      <w:lvlText w:val="%8)"/>
      <w:lvlJc w:val="left"/>
      <w:pPr>
        <w:ind w:left="4002" w:hanging="440"/>
      </w:pPr>
    </w:lvl>
    <w:lvl w:ilvl="8" w:tentative="0">
      <w:start w:val="1"/>
      <w:numFmt w:val="lowerRoman"/>
      <w:lvlText w:val="%9."/>
      <w:lvlJc w:val="right"/>
      <w:pPr>
        <w:ind w:left="4442" w:hanging="440"/>
      </w:pPr>
    </w:lvl>
  </w:abstractNum>
  <w:abstractNum w:abstractNumId="3">
    <w:nsid w:val="57C97233"/>
    <w:multiLevelType w:val="multilevel"/>
    <w:tmpl w:val="57C97233"/>
    <w:lvl w:ilvl="0" w:tentative="0">
      <w:start w:val="1"/>
      <w:numFmt w:val="japaneseCounting"/>
      <w:lvlText w:val="%1、"/>
      <w:lvlJc w:val="left"/>
      <w:pPr>
        <w:tabs>
          <w:tab w:val="left" w:pos="1380"/>
        </w:tabs>
        <w:ind w:left="1380" w:hanging="720"/>
      </w:pPr>
      <w:rPr>
        <w:rFonts w:hint="default"/>
      </w:rPr>
    </w:lvl>
    <w:lvl w:ilvl="1" w:tentative="0">
      <w:start w:val="1"/>
      <w:numFmt w:val="lowerLetter"/>
      <w:lvlText w:val="%2)"/>
      <w:lvlJc w:val="left"/>
      <w:pPr>
        <w:tabs>
          <w:tab w:val="left" w:pos="1500"/>
        </w:tabs>
        <w:ind w:left="1500" w:hanging="420"/>
      </w:pPr>
    </w:lvl>
    <w:lvl w:ilvl="2" w:tentative="0">
      <w:start w:val="1"/>
      <w:numFmt w:val="lowerRoman"/>
      <w:lvlText w:val="%3."/>
      <w:lvlJc w:val="right"/>
      <w:pPr>
        <w:tabs>
          <w:tab w:val="left" w:pos="1920"/>
        </w:tabs>
        <w:ind w:left="1920" w:hanging="420"/>
      </w:pPr>
    </w:lvl>
    <w:lvl w:ilvl="3" w:tentative="0">
      <w:start w:val="1"/>
      <w:numFmt w:val="decimal"/>
      <w:pStyle w:val="5"/>
      <w:lvlText w:val="%4."/>
      <w:lvlJc w:val="left"/>
      <w:pPr>
        <w:tabs>
          <w:tab w:val="left" w:pos="2340"/>
        </w:tabs>
        <w:ind w:left="2340" w:hanging="420"/>
      </w:pPr>
    </w:lvl>
    <w:lvl w:ilvl="4" w:tentative="0">
      <w:start w:val="1"/>
      <w:numFmt w:val="lowerLetter"/>
      <w:lvlText w:val="%5)"/>
      <w:lvlJc w:val="left"/>
      <w:pPr>
        <w:tabs>
          <w:tab w:val="left" w:pos="2760"/>
        </w:tabs>
        <w:ind w:left="2760" w:hanging="420"/>
      </w:pPr>
    </w:lvl>
    <w:lvl w:ilvl="5" w:tentative="0">
      <w:start w:val="1"/>
      <w:numFmt w:val="lowerRoman"/>
      <w:lvlText w:val="%6."/>
      <w:lvlJc w:val="right"/>
      <w:pPr>
        <w:tabs>
          <w:tab w:val="left" w:pos="3180"/>
        </w:tabs>
        <w:ind w:left="3180" w:hanging="420"/>
      </w:pPr>
    </w:lvl>
    <w:lvl w:ilvl="6" w:tentative="0">
      <w:start w:val="1"/>
      <w:numFmt w:val="decimal"/>
      <w:lvlText w:val="%7."/>
      <w:lvlJc w:val="left"/>
      <w:pPr>
        <w:tabs>
          <w:tab w:val="left" w:pos="3600"/>
        </w:tabs>
        <w:ind w:left="3600" w:hanging="420"/>
      </w:pPr>
    </w:lvl>
    <w:lvl w:ilvl="7" w:tentative="0">
      <w:start w:val="1"/>
      <w:numFmt w:val="lowerLetter"/>
      <w:lvlText w:val="%8)"/>
      <w:lvlJc w:val="left"/>
      <w:pPr>
        <w:tabs>
          <w:tab w:val="left" w:pos="4020"/>
        </w:tabs>
        <w:ind w:left="4020" w:hanging="420"/>
      </w:pPr>
    </w:lvl>
    <w:lvl w:ilvl="8" w:tentative="0">
      <w:start w:val="1"/>
      <w:numFmt w:val="lowerRoman"/>
      <w:lvlText w:val="%9."/>
      <w:lvlJc w:val="right"/>
      <w:pPr>
        <w:tabs>
          <w:tab w:val="left" w:pos="4440"/>
        </w:tabs>
        <w:ind w:left="4440"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E3NWVjMDI3NzY0YTg0N2MxODdmMTFhMTM2MTYxY2MifQ=="/>
  </w:docVars>
  <w:rsids>
    <w:rsidRoot w:val="002F7080"/>
    <w:rsid w:val="000C1FF9"/>
    <w:rsid w:val="000C6894"/>
    <w:rsid w:val="000D178B"/>
    <w:rsid w:val="001770BA"/>
    <w:rsid w:val="00207230"/>
    <w:rsid w:val="00250D1F"/>
    <w:rsid w:val="002D5EA2"/>
    <w:rsid w:val="002F7080"/>
    <w:rsid w:val="00382DEE"/>
    <w:rsid w:val="00394452"/>
    <w:rsid w:val="003C28DE"/>
    <w:rsid w:val="00425131"/>
    <w:rsid w:val="00592502"/>
    <w:rsid w:val="006140F3"/>
    <w:rsid w:val="006D3963"/>
    <w:rsid w:val="00724552"/>
    <w:rsid w:val="007A4B55"/>
    <w:rsid w:val="00804EDA"/>
    <w:rsid w:val="00861BAF"/>
    <w:rsid w:val="008946EF"/>
    <w:rsid w:val="008B5614"/>
    <w:rsid w:val="008E323A"/>
    <w:rsid w:val="008E55C6"/>
    <w:rsid w:val="009073FC"/>
    <w:rsid w:val="00944012"/>
    <w:rsid w:val="009449BE"/>
    <w:rsid w:val="00A73405"/>
    <w:rsid w:val="00AC6F67"/>
    <w:rsid w:val="00AF57DF"/>
    <w:rsid w:val="00B21E3F"/>
    <w:rsid w:val="00B303A0"/>
    <w:rsid w:val="00B334C6"/>
    <w:rsid w:val="00B41574"/>
    <w:rsid w:val="00B6145D"/>
    <w:rsid w:val="00B93F2F"/>
    <w:rsid w:val="00BA1791"/>
    <w:rsid w:val="00BA5FA8"/>
    <w:rsid w:val="00C36874"/>
    <w:rsid w:val="00C36B5B"/>
    <w:rsid w:val="00D03AE6"/>
    <w:rsid w:val="00D15FE4"/>
    <w:rsid w:val="00D26D9F"/>
    <w:rsid w:val="00D924CB"/>
    <w:rsid w:val="00DC2F70"/>
    <w:rsid w:val="00E41080"/>
    <w:rsid w:val="00E42D8C"/>
    <w:rsid w:val="00E50B86"/>
    <w:rsid w:val="00F06AE5"/>
    <w:rsid w:val="00F155F7"/>
    <w:rsid w:val="00F3410C"/>
    <w:rsid w:val="0104047C"/>
    <w:rsid w:val="011754A4"/>
    <w:rsid w:val="01247870"/>
    <w:rsid w:val="012F41F1"/>
    <w:rsid w:val="01345939"/>
    <w:rsid w:val="013637D1"/>
    <w:rsid w:val="0148113C"/>
    <w:rsid w:val="015D0D5E"/>
    <w:rsid w:val="016A1536"/>
    <w:rsid w:val="016B748F"/>
    <w:rsid w:val="017E2A82"/>
    <w:rsid w:val="01963290"/>
    <w:rsid w:val="01A55EB5"/>
    <w:rsid w:val="01A933D4"/>
    <w:rsid w:val="01B579CC"/>
    <w:rsid w:val="01BD066E"/>
    <w:rsid w:val="01C04E49"/>
    <w:rsid w:val="01C34939"/>
    <w:rsid w:val="01D3489A"/>
    <w:rsid w:val="01D56482"/>
    <w:rsid w:val="01EC6458"/>
    <w:rsid w:val="01F176F8"/>
    <w:rsid w:val="01F20A6A"/>
    <w:rsid w:val="01F93170"/>
    <w:rsid w:val="02005B8D"/>
    <w:rsid w:val="02021905"/>
    <w:rsid w:val="020C260E"/>
    <w:rsid w:val="021F710B"/>
    <w:rsid w:val="02275933"/>
    <w:rsid w:val="022A49B8"/>
    <w:rsid w:val="022A7296"/>
    <w:rsid w:val="022C24DE"/>
    <w:rsid w:val="023024AD"/>
    <w:rsid w:val="02311CF2"/>
    <w:rsid w:val="023C09A2"/>
    <w:rsid w:val="023F7064"/>
    <w:rsid w:val="02422784"/>
    <w:rsid w:val="02465F06"/>
    <w:rsid w:val="024D1735"/>
    <w:rsid w:val="024E1185"/>
    <w:rsid w:val="026C5261"/>
    <w:rsid w:val="026C7EA7"/>
    <w:rsid w:val="02771A0C"/>
    <w:rsid w:val="028374FB"/>
    <w:rsid w:val="02990161"/>
    <w:rsid w:val="029925FF"/>
    <w:rsid w:val="029C58B6"/>
    <w:rsid w:val="02A0322B"/>
    <w:rsid w:val="02A604E3"/>
    <w:rsid w:val="02AE1145"/>
    <w:rsid w:val="02B10BE0"/>
    <w:rsid w:val="02BC3229"/>
    <w:rsid w:val="02BF1AC9"/>
    <w:rsid w:val="02CF6D65"/>
    <w:rsid w:val="02D4691A"/>
    <w:rsid w:val="02DC21C1"/>
    <w:rsid w:val="02DD00A0"/>
    <w:rsid w:val="02E1151B"/>
    <w:rsid w:val="02F70A3F"/>
    <w:rsid w:val="02F94AB6"/>
    <w:rsid w:val="03101E00"/>
    <w:rsid w:val="03172BDE"/>
    <w:rsid w:val="033C2BF5"/>
    <w:rsid w:val="033F6241"/>
    <w:rsid w:val="03492720"/>
    <w:rsid w:val="034B2E38"/>
    <w:rsid w:val="034E134A"/>
    <w:rsid w:val="035077D4"/>
    <w:rsid w:val="035208DE"/>
    <w:rsid w:val="03541CED"/>
    <w:rsid w:val="0356753F"/>
    <w:rsid w:val="035B2834"/>
    <w:rsid w:val="03667C72"/>
    <w:rsid w:val="036D1000"/>
    <w:rsid w:val="036D7252"/>
    <w:rsid w:val="03722CF1"/>
    <w:rsid w:val="037800D1"/>
    <w:rsid w:val="038555BB"/>
    <w:rsid w:val="038835A3"/>
    <w:rsid w:val="0388509A"/>
    <w:rsid w:val="038B15A1"/>
    <w:rsid w:val="039137C9"/>
    <w:rsid w:val="03914CEF"/>
    <w:rsid w:val="03941A09"/>
    <w:rsid w:val="03947AA8"/>
    <w:rsid w:val="03960557"/>
    <w:rsid w:val="0397607D"/>
    <w:rsid w:val="039E565E"/>
    <w:rsid w:val="03A35341"/>
    <w:rsid w:val="03A66DA0"/>
    <w:rsid w:val="03B24C65"/>
    <w:rsid w:val="03C40E0D"/>
    <w:rsid w:val="03DC0EDB"/>
    <w:rsid w:val="03DD7BB8"/>
    <w:rsid w:val="03E412BC"/>
    <w:rsid w:val="03E9252C"/>
    <w:rsid w:val="03EE5931"/>
    <w:rsid w:val="03F31506"/>
    <w:rsid w:val="03F51722"/>
    <w:rsid w:val="03FA670D"/>
    <w:rsid w:val="040633C4"/>
    <w:rsid w:val="04157345"/>
    <w:rsid w:val="04182317"/>
    <w:rsid w:val="04185BAD"/>
    <w:rsid w:val="041F00BA"/>
    <w:rsid w:val="04221D61"/>
    <w:rsid w:val="042F62B6"/>
    <w:rsid w:val="043A7135"/>
    <w:rsid w:val="04402271"/>
    <w:rsid w:val="04402BB9"/>
    <w:rsid w:val="045846B9"/>
    <w:rsid w:val="046206A5"/>
    <w:rsid w:val="046259F7"/>
    <w:rsid w:val="046F2FDF"/>
    <w:rsid w:val="047C31D5"/>
    <w:rsid w:val="047F5A83"/>
    <w:rsid w:val="04853F98"/>
    <w:rsid w:val="048B3E34"/>
    <w:rsid w:val="0492080C"/>
    <w:rsid w:val="04990C45"/>
    <w:rsid w:val="04A05B73"/>
    <w:rsid w:val="04A75503"/>
    <w:rsid w:val="04BE6DAF"/>
    <w:rsid w:val="04C27998"/>
    <w:rsid w:val="04C74ED7"/>
    <w:rsid w:val="04DD346E"/>
    <w:rsid w:val="04E07778"/>
    <w:rsid w:val="04F5250B"/>
    <w:rsid w:val="04F5708B"/>
    <w:rsid w:val="04FE63B4"/>
    <w:rsid w:val="05116CCD"/>
    <w:rsid w:val="051B5518"/>
    <w:rsid w:val="052D7BC8"/>
    <w:rsid w:val="05373674"/>
    <w:rsid w:val="05414EAF"/>
    <w:rsid w:val="05424CF8"/>
    <w:rsid w:val="0543026B"/>
    <w:rsid w:val="05663F59"/>
    <w:rsid w:val="05664E45"/>
    <w:rsid w:val="0576404C"/>
    <w:rsid w:val="058E6682"/>
    <w:rsid w:val="059E05DD"/>
    <w:rsid w:val="05A00A07"/>
    <w:rsid w:val="05B70671"/>
    <w:rsid w:val="05B72A07"/>
    <w:rsid w:val="05BB6D23"/>
    <w:rsid w:val="05BC39D9"/>
    <w:rsid w:val="05D25374"/>
    <w:rsid w:val="05F257ED"/>
    <w:rsid w:val="060317A8"/>
    <w:rsid w:val="060945B1"/>
    <w:rsid w:val="060B565C"/>
    <w:rsid w:val="06187B10"/>
    <w:rsid w:val="063619E2"/>
    <w:rsid w:val="063D7BCB"/>
    <w:rsid w:val="064A73D7"/>
    <w:rsid w:val="064B1610"/>
    <w:rsid w:val="065829DB"/>
    <w:rsid w:val="0659586C"/>
    <w:rsid w:val="065C6FB1"/>
    <w:rsid w:val="06632C55"/>
    <w:rsid w:val="06635F4B"/>
    <w:rsid w:val="06674D73"/>
    <w:rsid w:val="06677F89"/>
    <w:rsid w:val="06693D01"/>
    <w:rsid w:val="06787A83"/>
    <w:rsid w:val="06862B05"/>
    <w:rsid w:val="068B011B"/>
    <w:rsid w:val="06915006"/>
    <w:rsid w:val="06931F7B"/>
    <w:rsid w:val="069F60A6"/>
    <w:rsid w:val="06A542D1"/>
    <w:rsid w:val="06AD6562"/>
    <w:rsid w:val="06B335FC"/>
    <w:rsid w:val="06B45345"/>
    <w:rsid w:val="06D66EBD"/>
    <w:rsid w:val="06E45A7E"/>
    <w:rsid w:val="06EA7A00"/>
    <w:rsid w:val="06F55595"/>
    <w:rsid w:val="07015637"/>
    <w:rsid w:val="07021945"/>
    <w:rsid w:val="070439D4"/>
    <w:rsid w:val="07131EBF"/>
    <w:rsid w:val="071C09FE"/>
    <w:rsid w:val="071E69CB"/>
    <w:rsid w:val="071F6AB6"/>
    <w:rsid w:val="072005D8"/>
    <w:rsid w:val="07211C87"/>
    <w:rsid w:val="07221B76"/>
    <w:rsid w:val="072C677C"/>
    <w:rsid w:val="07304CAE"/>
    <w:rsid w:val="073A569E"/>
    <w:rsid w:val="073B20CB"/>
    <w:rsid w:val="07404335"/>
    <w:rsid w:val="07406F3C"/>
    <w:rsid w:val="07454017"/>
    <w:rsid w:val="07504618"/>
    <w:rsid w:val="075E230F"/>
    <w:rsid w:val="076444C8"/>
    <w:rsid w:val="076B0D2F"/>
    <w:rsid w:val="07794A8D"/>
    <w:rsid w:val="07824941"/>
    <w:rsid w:val="0786391D"/>
    <w:rsid w:val="07886409"/>
    <w:rsid w:val="07893F2F"/>
    <w:rsid w:val="079072F0"/>
    <w:rsid w:val="07B76CEE"/>
    <w:rsid w:val="07BB0887"/>
    <w:rsid w:val="07C03DF5"/>
    <w:rsid w:val="07C2547A"/>
    <w:rsid w:val="07C41B48"/>
    <w:rsid w:val="07CA09F7"/>
    <w:rsid w:val="07D25149"/>
    <w:rsid w:val="07D512E4"/>
    <w:rsid w:val="07E15B19"/>
    <w:rsid w:val="07E63E23"/>
    <w:rsid w:val="07EE6BCD"/>
    <w:rsid w:val="07F25F78"/>
    <w:rsid w:val="07F7667D"/>
    <w:rsid w:val="07F817E1"/>
    <w:rsid w:val="07FB4E2D"/>
    <w:rsid w:val="08021A4A"/>
    <w:rsid w:val="0803686A"/>
    <w:rsid w:val="080A5070"/>
    <w:rsid w:val="080F7F45"/>
    <w:rsid w:val="08100620"/>
    <w:rsid w:val="08167EB9"/>
    <w:rsid w:val="084411C1"/>
    <w:rsid w:val="085632BE"/>
    <w:rsid w:val="08564759"/>
    <w:rsid w:val="085B6F84"/>
    <w:rsid w:val="08601644"/>
    <w:rsid w:val="086073C5"/>
    <w:rsid w:val="086630A4"/>
    <w:rsid w:val="08703E5E"/>
    <w:rsid w:val="087F014B"/>
    <w:rsid w:val="088410BD"/>
    <w:rsid w:val="08956482"/>
    <w:rsid w:val="089F7EAE"/>
    <w:rsid w:val="08A47272"/>
    <w:rsid w:val="08B35707"/>
    <w:rsid w:val="08B87D63"/>
    <w:rsid w:val="08BA53E7"/>
    <w:rsid w:val="08C175CE"/>
    <w:rsid w:val="08D17D60"/>
    <w:rsid w:val="08E73603"/>
    <w:rsid w:val="08ED512C"/>
    <w:rsid w:val="08FF0AB9"/>
    <w:rsid w:val="0900680C"/>
    <w:rsid w:val="090F3097"/>
    <w:rsid w:val="092772CD"/>
    <w:rsid w:val="092C7E22"/>
    <w:rsid w:val="092E710D"/>
    <w:rsid w:val="09380145"/>
    <w:rsid w:val="094840A2"/>
    <w:rsid w:val="09540C99"/>
    <w:rsid w:val="095A4012"/>
    <w:rsid w:val="095B64F7"/>
    <w:rsid w:val="095D302C"/>
    <w:rsid w:val="095E1B17"/>
    <w:rsid w:val="09623D23"/>
    <w:rsid w:val="096B4234"/>
    <w:rsid w:val="09725BF6"/>
    <w:rsid w:val="09743C63"/>
    <w:rsid w:val="097F53A4"/>
    <w:rsid w:val="098A46BA"/>
    <w:rsid w:val="098B0897"/>
    <w:rsid w:val="098D3EBA"/>
    <w:rsid w:val="098F027E"/>
    <w:rsid w:val="09954E0D"/>
    <w:rsid w:val="09A11F8F"/>
    <w:rsid w:val="09AB63DF"/>
    <w:rsid w:val="09BB5B7C"/>
    <w:rsid w:val="09BC5FC4"/>
    <w:rsid w:val="09BE3E32"/>
    <w:rsid w:val="09C86F91"/>
    <w:rsid w:val="09CC1C44"/>
    <w:rsid w:val="09D84367"/>
    <w:rsid w:val="09DA6CC4"/>
    <w:rsid w:val="09DB62D2"/>
    <w:rsid w:val="09E11439"/>
    <w:rsid w:val="09E51954"/>
    <w:rsid w:val="09F07801"/>
    <w:rsid w:val="09F608F2"/>
    <w:rsid w:val="09F636DA"/>
    <w:rsid w:val="09F815C7"/>
    <w:rsid w:val="09F93341"/>
    <w:rsid w:val="09FC0451"/>
    <w:rsid w:val="0A0B72A2"/>
    <w:rsid w:val="0A380A32"/>
    <w:rsid w:val="0A394F6F"/>
    <w:rsid w:val="0A5B56A4"/>
    <w:rsid w:val="0A636CB9"/>
    <w:rsid w:val="0A73514E"/>
    <w:rsid w:val="0A7B56C8"/>
    <w:rsid w:val="0A860CA6"/>
    <w:rsid w:val="0A876E4C"/>
    <w:rsid w:val="0A920F77"/>
    <w:rsid w:val="0A992DC5"/>
    <w:rsid w:val="0AAD1D63"/>
    <w:rsid w:val="0AAE7EA8"/>
    <w:rsid w:val="0AB87005"/>
    <w:rsid w:val="0AC534D0"/>
    <w:rsid w:val="0ACE6829"/>
    <w:rsid w:val="0AD007F3"/>
    <w:rsid w:val="0AD05807"/>
    <w:rsid w:val="0AE34D36"/>
    <w:rsid w:val="0AEA3B2F"/>
    <w:rsid w:val="0AEC0217"/>
    <w:rsid w:val="0AF0679F"/>
    <w:rsid w:val="0B002DD9"/>
    <w:rsid w:val="0B04224A"/>
    <w:rsid w:val="0B097CC4"/>
    <w:rsid w:val="0B154457"/>
    <w:rsid w:val="0B183F48"/>
    <w:rsid w:val="0B1D7075"/>
    <w:rsid w:val="0B285DCD"/>
    <w:rsid w:val="0B2C35D7"/>
    <w:rsid w:val="0B34199B"/>
    <w:rsid w:val="0B372620"/>
    <w:rsid w:val="0B374507"/>
    <w:rsid w:val="0B437B71"/>
    <w:rsid w:val="0B45777B"/>
    <w:rsid w:val="0B464F9C"/>
    <w:rsid w:val="0B4B7E79"/>
    <w:rsid w:val="0B4C4C63"/>
    <w:rsid w:val="0B4C5ADC"/>
    <w:rsid w:val="0B4D3BF1"/>
    <w:rsid w:val="0B696C40"/>
    <w:rsid w:val="0B711F0A"/>
    <w:rsid w:val="0B73117E"/>
    <w:rsid w:val="0B743834"/>
    <w:rsid w:val="0B7834AF"/>
    <w:rsid w:val="0B82301F"/>
    <w:rsid w:val="0B905A54"/>
    <w:rsid w:val="0B9A2BAF"/>
    <w:rsid w:val="0BB41B12"/>
    <w:rsid w:val="0BBF2B7A"/>
    <w:rsid w:val="0BC55E7E"/>
    <w:rsid w:val="0BC83F2B"/>
    <w:rsid w:val="0BF45340"/>
    <w:rsid w:val="0BF9275E"/>
    <w:rsid w:val="0BFB523A"/>
    <w:rsid w:val="0C105847"/>
    <w:rsid w:val="0C2A2F00"/>
    <w:rsid w:val="0C2C7CAB"/>
    <w:rsid w:val="0C3D3881"/>
    <w:rsid w:val="0C642B0B"/>
    <w:rsid w:val="0C6540C4"/>
    <w:rsid w:val="0C724618"/>
    <w:rsid w:val="0C7451AE"/>
    <w:rsid w:val="0C767178"/>
    <w:rsid w:val="0C871385"/>
    <w:rsid w:val="0C9413AC"/>
    <w:rsid w:val="0C977AC9"/>
    <w:rsid w:val="0C992E66"/>
    <w:rsid w:val="0C9B6BDE"/>
    <w:rsid w:val="0C9E76AC"/>
    <w:rsid w:val="0CA3012A"/>
    <w:rsid w:val="0CBB4B8B"/>
    <w:rsid w:val="0CBD0903"/>
    <w:rsid w:val="0CC2416B"/>
    <w:rsid w:val="0CCC323C"/>
    <w:rsid w:val="0CD043C9"/>
    <w:rsid w:val="0CEE6D0E"/>
    <w:rsid w:val="0CF169D5"/>
    <w:rsid w:val="0CF87B8D"/>
    <w:rsid w:val="0CF91F6F"/>
    <w:rsid w:val="0D122E03"/>
    <w:rsid w:val="0D1F336B"/>
    <w:rsid w:val="0D2B7F62"/>
    <w:rsid w:val="0D2C3CDA"/>
    <w:rsid w:val="0D2E4CED"/>
    <w:rsid w:val="0D321DF0"/>
    <w:rsid w:val="0D335069"/>
    <w:rsid w:val="0D446CCD"/>
    <w:rsid w:val="0D4E31D7"/>
    <w:rsid w:val="0D5079C9"/>
    <w:rsid w:val="0D660F9A"/>
    <w:rsid w:val="0D6945E7"/>
    <w:rsid w:val="0D747AD0"/>
    <w:rsid w:val="0D7F669B"/>
    <w:rsid w:val="0D8B06DD"/>
    <w:rsid w:val="0D8F0992"/>
    <w:rsid w:val="0D913B3D"/>
    <w:rsid w:val="0D915C7D"/>
    <w:rsid w:val="0DAE649D"/>
    <w:rsid w:val="0DB1195D"/>
    <w:rsid w:val="0DB22527"/>
    <w:rsid w:val="0DB32B79"/>
    <w:rsid w:val="0DB95271"/>
    <w:rsid w:val="0DBB22E6"/>
    <w:rsid w:val="0DC363ED"/>
    <w:rsid w:val="0DD26630"/>
    <w:rsid w:val="0DEC0DC7"/>
    <w:rsid w:val="0DED6FC6"/>
    <w:rsid w:val="0DF04D08"/>
    <w:rsid w:val="0DF76096"/>
    <w:rsid w:val="0E0A0CB7"/>
    <w:rsid w:val="0E1A3B33"/>
    <w:rsid w:val="0E276871"/>
    <w:rsid w:val="0E2D1AB8"/>
    <w:rsid w:val="0E2D48CC"/>
    <w:rsid w:val="0E3E3CC5"/>
    <w:rsid w:val="0E4137B5"/>
    <w:rsid w:val="0E470F7A"/>
    <w:rsid w:val="0E4B479C"/>
    <w:rsid w:val="0E5371B3"/>
    <w:rsid w:val="0E5A04C7"/>
    <w:rsid w:val="0E5B375A"/>
    <w:rsid w:val="0E5E7ADE"/>
    <w:rsid w:val="0E63421B"/>
    <w:rsid w:val="0E6D0107"/>
    <w:rsid w:val="0E6D45AA"/>
    <w:rsid w:val="0E800CBA"/>
    <w:rsid w:val="0E846821"/>
    <w:rsid w:val="0E8604A4"/>
    <w:rsid w:val="0E8A515C"/>
    <w:rsid w:val="0E966E50"/>
    <w:rsid w:val="0E9A3B90"/>
    <w:rsid w:val="0E9C279A"/>
    <w:rsid w:val="0EA13A10"/>
    <w:rsid w:val="0EB16245"/>
    <w:rsid w:val="0EB63039"/>
    <w:rsid w:val="0EB96257"/>
    <w:rsid w:val="0EBF3F9D"/>
    <w:rsid w:val="0EC73CBB"/>
    <w:rsid w:val="0ECA7307"/>
    <w:rsid w:val="0ECC7523"/>
    <w:rsid w:val="0ECE329B"/>
    <w:rsid w:val="0EE04D7C"/>
    <w:rsid w:val="0F0E3698"/>
    <w:rsid w:val="0F113188"/>
    <w:rsid w:val="0F134F8A"/>
    <w:rsid w:val="0F183713"/>
    <w:rsid w:val="0F1A028E"/>
    <w:rsid w:val="0F1D47EF"/>
    <w:rsid w:val="0F257299"/>
    <w:rsid w:val="0F260AC3"/>
    <w:rsid w:val="0F361A91"/>
    <w:rsid w:val="0F3F5F47"/>
    <w:rsid w:val="0F477C47"/>
    <w:rsid w:val="0F490EEA"/>
    <w:rsid w:val="0F563291"/>
    <w:rsid w:val="0F59068B"/>
    <w:rsid w:val="0F5A09AF"/>
    <w:rsid w:val="0F5F5CA1"/>
    <w:rsid w:val="0F795403"/>
    <w:rsid w:val="0F7C098A"/>
    <w:rsid w:val="0F81030D"/>
    <w:rsid w:val="0F8D7360"/>
    <w:rsid w:val="0F9059D3"/>
    <w:rsid w:val="0F973065"/>
    <w:rsid w:val="0F9A13CF"/>
    <w:rsid w:val="0FBD74F4"/>
    <w:rsid w:val="0FED7751"/>
    <w:rsid w:val="0FF2165B"/>
    <w:rsid w:val="0FF40E2E"/>
    <w:rsid w:val="0FFC1742"/>
    <w:rsid w:val="100151A3"/>
    <w:rsid w:val="100B5E29"/>
    <w:rsid w:val="100D46FE"/>
    <w:rsid w:val="100F24CE"/>
    <w:rsid w:val="100F47C7"/>
    <w:rsid w:val="10133ED0"/>
    <w:rsid w:val="102500D3"/>
    <w:rsid w:val="102B64CB"/>
    <w:rsid w:val="102D7096"/>
    <w:rsid w:val="10313F0D"/>
    <w:rsid w:val="103F5AD3"/>
    <w:rsid w:val="10480D80"/>
    <w:rsid w:val="104C270D"/>
    <w:rsid w:val="105009A4"/>
    <w:rsid w:val="105772C0"/>
    <w:rsid w:val="106371AD"/>
    <w:rsid w:val="106A2B50"/>
    <w:rsid w:val="106F7302"/>
    <w:rsid w:val="107C30FB"/>
    <w:rsid w:val="107C6D27"/>
    <w:rsid w:val="10817E99"/>
    <w:rsid w:val="10830390"/>
    <w:rsid w:val="108A32D4"/>
    <w:rsid w:val="109E6A5F"/>
    <w:rsid w:val="10A32505"/>
    <w:rsid w:val="10AE617A"/>
    <w:rsid w:val="10B34C22"/>
    <w:rsid w:val="10BC5375"/>
    <w:rsid w:val="10C02BCE"/>
    <w:rsid w:val="10C6111E"/>
    <w:rsid w:val="10CC380A"/>
    <w:rsid w:val="10D83BA8"/>
    <w:rsid w:val="10DD5A17"/>
    <w:rsid w:val="10E12B00"/>
    <w:rsid w:val="10FD55F2"/>
    <w:rsid w:val="11020FDA"/>
    <w:rsid w:val="111A126D"/>
    <w:rsid w:val="111A2D88"/>
    <w:rsid w:val="111B7A31"/>
    <w:rsid w:val="11321B76"/>
    <w:rsid w:val="11447A33"/>
    <w:rsid w:val="11527370"/>
    <w:rsid w:val="11551A52"/>
    <w:rsid w:val="117874EE"/>
    <w:rsid w:val="11871891"/>
    <w:rsid w:val="11951E4E"/>
    <w:rsid w:val="119A6768"/>
    <w:rsid w:val="11A80DAC"/>
    <w:rsid w:val="11B56A61"/>
    <w:rsid w:val="11B82180"/>
    <w:rsid w:val="11CF182E"/>
    <w:rsid w:val="11D010D8"/>
    <w:rsid w:val="11D014EE"/>
    <w:rsid w:val="11D32976"/>
    <w:rsid w:val="11DD55A3"/>
    <w:rsid w:val="11EE155E"/>
    <w:rsid w:val="11F37CD4"/>
    <w:rsid w:val="11F71AD2"/>
    <w:rsid w:val="12003929"/>
    <w:rsid w:val="12080872"/>
    <w:rsid w:val="120824A5"/>
    <w:rsid w:val="120E25D2"/>
    <w:rsid w:val="12192A7F"/>
    <w:rsid w:val="121A609B"/>
    <w:rsid w:val="122319C9"/>
    <w:rsid w:val="1226519C"/>
    <w:rsid w:val="122E5DFF"/>
    <w:rsid w:val="12353003"/>
    <w:rsid w:val="12385DAF"/>
    <w:rsid w:val="123F625E"/>
    <w:rsid w:val="12492C39"/>
    <w:rsid w:val="124A417A"/>
    <w:rsid w:val="124D44D7"/>
    <w:rsid w:val="125C471A"/>
    <w:rsid w:val="12614426"/>
    <w:rsid w:val="126217A1"/>
    <w:rsid w:val="12743395"/>
    <w:rsid w:val="127D3ABF"/>
    <w:rsid w:val="127E28E2"/>
    <w:rsid w:val="127F665A"/>
    <w:rsid w:val="12887057"/>
    <w:rsid w:val="129B1E80"/>
    <w:rsid w:val="12A73DF4"/>
    <w:rsid w:val="12B97DBE"/>
    <w:rsid w:val="12C34799"/>
    <w:rsid w:val="12C45C80"/>
    <w:rsid w:val="12C847AB"/>
    <w:rsid w:val="12E110C3"/>
    <w:rsid w:val="12E72478"/>
    <w:rsid w:val="12E84200"/>
    <w:rsid w:val="12EB2439"/>
    <w:rsid w:val="12EB6188"/>
    <w:rsid w:val="12FB41D8"/>
    <w:rsid w:val="130F38E3"/>
    <w:rsid w:val="13160D6D"/>
    <w:rsid w:val="1316262F"/>
    <w:rsid w:val="13172320"/>
    <w:rsid w:val="13172A52"/>
    <w:rsid w:val="1319260B"/>
    <w:rsid w:val="13221FAB"/>
    <w:rsid w:val="13223BB5"/>
    <w:rsid w:val="132403AC"/>
    <w:rsid w:val="132563C4"/>
    <w:rsid w:val="13277902"/>
    <w:rsid w:val="132F1DC1"/>
    <w:rsid w:val="132F270C"/>
    <w:rsid w:val="13354F63"/>
    <w:rsid w:val="13446468"/>
    <w:rsid w:val="13462690"/>
    <w:rsid w:val="13480DDB"/>
    <w:rsid w:val="134E46B0"/>
    <w:rsid w:val="13564CAE"/>
    <w:rsid w:val="136A10B9"/>
    <w:rsid w:val="137141F5"/>
    <w:rsid w:val="13767A5D"/>
    <w:rsid w:val="138001B2"/>
    <w:rsid w:val="13952768"/>
    <w:rsid w:val="1396304D"/>
    <w:rsid w:val="139D4FEA"/>
    <w:rsid w:val="13A520F1"/>
    <w:rsid w:val="13A77899"/>
    <w:rsid w:val="13AE369B"/>
    <w:rsid w:val="13BE5805"/>
    <w:rsid w:val="13D24B95"/>
    <w:rsid w:val="13D318FD"/>
    <w:rsid w:val="13E34C75"/>
    <w:rsid w:val="13E807CD"/>
    <w:rsid w:val="13F015BE"/>
    <w:rsid w:val="13FC2F9C"/>
    <w:rsid w:val="13FD1EA1"/>
    <w:rsid w:val="141B4D6B"/>
    <w:rsid w:val="1422114D"/>
    <w:rsid w:val="14237BE5"/>
    <w:rsid w:val="142B4CEC"/>
    <w:rsid w:val="142D2812"/>
    <w:rsid w:val="143122CC"/>
    <w:rsid w:val="1432722E"/>
    <w:rsid w:val="143739AD"/>
    <w:rsid w:val="14444958"/>
    <w:rsid w:val="1444680B"/>
    <w:rsid w:val="144B713C"/>
    <w:rsid w:val="144E2788"/>
    <w:rsid w:val="14587030"/>
    <w:rsid w:val="145A5CC5"/>
    <w:rsid w:val="145E003B"/>
    <w:rsid w:val="14647234"/>
    <w:rsid w:val="146A6575"/>
    <w:rsid w:val="146B6E96"/>
    <w:rsid w:val="14706D19"/>
    <w:rsid w:val="147C5547"/>
    <w:rsid w:val="148C79F4"/>
    <w:rsid w:val="148D50BF"/>
    <w:rsid w:val="14934502"/>
    <w:rsid w:val="149B705B"/>
    <w:rsid w:val="14A032C8"/>
    <w:rsid w:val="14A30D26"/>
    <w:rsid w:val="14A32AD4"/>
    <w:rsid w:val="14A3531F"/>
    <w:rsid w:val="14A35336"/>
    <w:rsid w:val="14AD78E5"/>
    <w:rsid w:val="14B67407"/>
    <w:rsid w:val="14BC1DE8"/>
    <w:rsid w:val="14D9384F"/>
    <w:rsid w:val="14E320B1"/>
    <w:rsid w:val="14EF1B0D"/>
    <w:rsid w:val="14F275B8"/>
    <w:rsid w:val="14F86DA6"/>
    <w:rsid w:val="15007A6A"/>
    <w:rsid w:val="15011E0A"/>
    <w:rsid w:val="1508071B"/>
    <w:rsid w:val="15117BE9"/>
    <w:rsid w:val="15206707"/>
    <w:rsid w:val="15250D7E"/>
    <w:rsid w:val="152712C5"/>
    <w:rsid w:val="152A3612"/>
    <w:rsid w:val="15303B95"/>
    <w:rsid w:val="153C0833"/>
    <w:rsid w:val="154C4262"/>
    <w:rsid w:val="155115DA"/>
    <w:rsid w:val="155C4739"/>
    <w:rsid w:val="155E5864"/>
    <w:rsid w:val="1561662D"/>
    <w:rsid w:val="156D4E90"/>
    <w:rsid w:val="15755E18"/>
    <w:rsid w:val="158439B5"/>
    <w:rsid w:val="15980307"/>
    <w:rsid w:val="15A16720"/>
    <w:rsid w:val="15A70F9F"/>
    <w:rsid w:val="15A93034"/>
    <w:rsid w:val="15AB07E8"/>
    <w:rsid w:val="15AC4354"/>
    <w:rsid w:val="15BD0706"/>
    <w:rsid w:val="15C233B4"/>
    <w:rsid w:val="15C727F2"/>
    <w:rsid w:val="15C96420"/>
    <w:rsid w:val="15CB2FC8"/>
    <w:rsid w:val="15D715F9"/>
    <w:rsid w:val="15DC7015"/>
    <w:rsid w:val="15E374B0"/>
    <w:rsid w:val="15EC4007"/>
    <w:rsid w:val="15F94675"/>
    <w:rsid w:val="15FD6214"/>
    <w:rsid w:val="16026A1F"/>
    <w:rsid w:val="16072265"/>
    <w:rsid w:val="160C28FB"/>
    <w:rsid w:val="160C46A9"/>
    <w:rsid w:val="160E0421"/>
    <w:rsid w:val="16150F86"/>
    <w:rsid w:val="161A5018"/>
    <w:rsid w:val="161D0664"/>
    <w:rsid w:val="163170C8"/>
    <w:rsid w:val="16390CD1"/>
    <w:rsid w:val="163E5542"/>
    <w:rsid w:val="16491459"/>
    <w:rsid w:val="165B2CD3"/>
    <w:rsid w:val="166D323B"/>
    <w:rsid w:val="1679683E"/>
    <w:rsid w:val="169322FD"/>
    <w:rsid w:val="169956D8"/>
    <w:rsid w:val="169E7934"/>
    <w:rsid w:val="16A843D2"/>
    <w:rsid w:val="16B014D8"/>
    <w:rsid w:val="16B74E39"/>
    <w:rsid w:val="16B8213B"/>
    <w:rsid w:val="16BA5EB3"/>
    <w:rsid w:val="16C60CFC"/>
    <w:rsid w:val="16C63B1D"/>
    <w:rsid w:val="16CB61D6"/>
    <w:rsid w:val="16CF0153"/>
    <w:rsid w:val="16D57191"/>
    <w:rsid w:val="16E9090D"/>
    <w:rsid w:val="16F16621"/>
    <w:rsid w:val="16F41BB2"/>
    <w:rsid w:val="16F5513D"/>
    <w:rsid w:val="16F75866"/>
    <w:rsid w:val="16FC2CBF"/>
    <w:rsid w:val="16FD15D7"/>
    <w:rsid w:val="170867EA"/>
    <w:rsid w:val="171C091C"/>
    <w:rsid w:val="1721297A"/>
    <w:rsid w:val="172D4F29"/>
    <w:rsid w:val="173F4CA8"/>
    <w:rsid w:val="174D72B8"/>
    <w:rsid w:val="174F2E99"/>
    <w:rsid w:val="17505504"/>
    <w:rsid w:val="1762468A"/>
    <w:rsid w:val="17746062"/>
    <w:rsid w:val="177B3894"/>
    <w:rsid w:val="17884203"/>
    <w:rsid w:val="178F5592"/>
    <w:rsid w:val="179B3F36"/>
    <w:rsid w:val="17A2432D"/>
    <w:rsid w:val="17A76437"/>
    <w:rsid w:val="17AF1796"/>
    <w:rsid w:val="17B217D1"/>
    <w:rsid w:val="17B71346"/>
    <w:rsid w:val="17BA332A"/>
    <w:rsid w:val="17C0399D"/>
    <w:rsid w:val="17CD1C16"/>
    <w:rsid w:val="17E551B2"/>
    <w:rsid w:val="17EF7DDE"/>
    <w:rsid w:val="17FC7C95"/>
    <w:rsid w:val="1818137A"/>
    <w:rsid w:val="18190E11"/>
    <w:rsid w:val="18217BA6"/>
    <w:rsid w:val="183323C1"/>
    <w:rsid w:val="183D0B4A"/>
    <w:rsid w:val="1854765E"/>
    <w:rsid w:val="185A5921"/>
    <w:rsid w:val="186525CD"/>
    <w:rsid w:val="187121FB"/>
    <w:rsid w:val="18732A3E"/>
    <w:rsid w:val="18734C3F"/>
    <w:rsid w:val="187622AE"/>
    <w:rsid w:val="18811CEB"/>
    <w:rsid w:val="189337C1"/>
    <w:rsid w:val="18AB1F57"/>
    <w:rsid w:val="18AF02E8"/>
    <w:rsid w:val="18BC4164"/>
    <w:rsid w:val="18C42B6E"/>
    <w:rsid w:val="18CF3DAF"/>
    <w:rsid w:val="18D416B1"/>
    <w:rsid w:val="18DF42F7"/>
    <w:rsid w:val="18EA6B25"/>
    <w:rsid w:val="18F26875"/>
    <w:rsid w:val="190333AC"/>
    <w:rsid w:val="19065D25"/>
    <w:rsid w:val="190B0C48"/>
    <w:rsid w:val="19197809"/>
    <w:rsid w:val="192815C2"/>
    <w:rsid w:val="19281EA7"/>
    <w:rsid w:val="19375EE1"/>
    <w:rsid w:val="19381E2D"/>
    <w:rsid w:val="1943673A"/>
    <w:rsid w:val="19461C80"/>
    <w:rsid w:val="194F5F83"/>
    <w:rsid w:val="19525D0F"/>
    <w:rsid w:val="195260BA"/>
    <w:rsid w:val="19537B89"/>
    <w:rsid w:val="19597C05"/>
    <w:rsid w:val="195E346D"/>
    <w:rsid w:val="196A6FCE"/>
    <w:rsid w:val="1977008B"/>
    <w:rsid w:val="19792A9C"/>
    <w:rsid w:val="19802B1D"/>
    <w:rsid w:val="19882298"/>
    <w:rsid w:val="198847B3"/>
    <w:rsid w:val="198D4F3A"/>
    <w:rsid w:val="19A075E2"/>
    <w:rsid w:val="19A215AC"/>
    <w:rsid w:val="19B27315"/>
    <w:rsid w:val="19BE7BF6"/>
    <w:rsid w:val="19CA2FFF"/>
    <w:rsid w:val="19DB061A"/>
    <w:rsid w:val="19DC4392"/>
    <w:rsid w:val="19DD2787"/>
    <w:rsid w:val="19EF50F4"/>
    <w:rsid w:val="19F920AC"/>
    <w:rsid w:val="19FB00DC"/>
    <w:rsid w:val="1A1C65DC"/>
    <w:rsid w:val="1A2024D1"/>
    <w:rsid w:val="1A244F0A"/>
    <w:rsid w:val="1A29090C"/>
    <w:rsid w:val="1A2D143F"/>
    <w:rsid w:val="1A300500"/>
    <w:rsid w:val="1A3047BC"/>
    <w:rsid w:val="1A33280D"/>
    <w:rsid w:val="1A345F7C"/>
    <w:rsid w:val="1A3D3083"/>
    <w:rsid w:val="1A447240"/>
    <w:rsid w:val="1A4B1C44"/>
    <w:rsid w:val="1A530AF8"/>
    <w:rsid w:val="1A9874D8"/>
    <w:rsid w:val="1A9F3D3E"/>
    <w:rsid w:val="1AA2559A"/>
    <w:rsid w:val="1AA255DC"/>
    <w:rsid w:val="1AB3738D"/>
    <w:rsid w:val="1AC61259"/>
    <w:rsid w:val="1ACE5968"/>
    <w:rsid w:val="1AD27C6F"/>
    <w:rsid w:val="1AD734D7"/>
    <w:rsid w:val="1ADC6D40"/>
    <w:rsid w:val="1AEB6E67"/>
    <w:rsid w:val="1AF44B38"/>
    <w:rsid w:val="1AFF246B"/>
    <w:rsid w:val="1B1F6C2C"/>
    <w:rsid w:val="1B3F2D75"/>
    <w:rsid w:val="1B405118"/>
    <w:rsid w:val="1B435AFE"/>
    <w:rsid w:val="1B486F64"/>
    <w:rsid w:val="1B4B7268"/>
    <w:rsid w:val="1B7E1622"/>
    <w:rsid w:val="1B844B8B"/>
    <w:rsid w:val="1B904D56"/>
    <w:rsid w:val="1B997FF3"/>
    <w:rsid w:val="1BA02800"/>
    <w:rsid w:val="1BB11F7A"/>
    <w:rsid w:val="1BB235FD"/>
    <w:rsid w:val="1BB84DC3"/>
    <w:rsid w:val="1BC25322"/>
    <w:rsid w:val="1BD9327F"/>
    <w:rsid w:val="1BDD1EE4"/>
    <w:rsid w:val="1BDD347E"/>
    <w:rsid w:val="1BEC5A73"/>
    <w:rsid w:val="1BF57C63"/>
    <w:rsid w:val="1BF619A9"/>
    <w:rsid w:val="1BFE4902"/>
    <w:rsid w:val="1C095800"/>
    <w:rsid w:val="1C0A51BD"/>
    <w:rsid w:val="1C1721F3"/>
    <w:rsid w:val="1C197B20"/>
    <w:rsid w:val="1C2353CC"/>
    <w:rsid w:val="1C3B1844"/>
    <w:rsid w:val="1C3F6C42"/>
    <w:rsid w:val="1C422520"/>
    <w:rsid w:val="1C4A0837"/>
    <w:rsid w:val="1C511068"/>
    <w:rsid w:val="1C60129B"/>
    <w:rsid w:val="1C621D67"/>
    <w:rsid w:val="1C627CB7"/>
    <w:rsid w:val="1C670CFF"/>
    <w:rsid w:val="1C684514"/>
    <w:rsid w:val="1C6C509C"/>
    <w:rsid w:val="1C7E5CAE"/>
    <w:rsid w:val="1C821221"/>
    <w:rsid w:val="1C8739AF"/>
    <w:rsid w:val="1C946EDD"/>
    <w:rsid w:val="1C9E4B45"/>
    <w:rsid w:val="1CA71F00"/>
    <w:rsid w:val="1CAB1777"/>
    <w:rsid w:val="1CB05D8E"/>
    <w:rsid w:val="1CB13875"/>
    <w:rsid w:val="1CB87339"/>
    <w:rsid w:val="1CBA3025"/>
    <w:rsid w:val="1CC24BE6"/>
    <w:rsid w:val="1CC91332"/>
    <w:rsid w:val="1CD113CB"/>
    <w:rsid w:val="1CDE7D3D"/>
    <w:rsid w:val="1CDF49FB"/>
    <w:rsid w:val="1CE04199"/>
    <w:rsid w:val="1CEA3B76"/>
    <w:rsid w:val="1CF3211F"/>
    <w:rsid w:val="1CFD2F9D"/>
    <w:rsid w:val="1CFF2872"/>
    <w:rsid w:val="1D0205B4"/>
    <w:rsid w:val="1D13475D"/>
    <w:rsid w:val="1D135F32"/>
    <w:rsid w:val="1D174721"/>
    <w:rsid w:val="1D183933"/>
    <w:rsid w:val="1D20524D"/>
    <w:rsid w:val="1D2D5379"/>
    <w:rsid w:val="1D3268C6"/>
    <w:rsid w:val="1D34018A"/>
    <w:rsid w:val="1D3437CE"/>
    <w:rsid w:val="1D4F2D9E"/>
    <w:rsid w:val="1D50131F"/>
    <w:rsid w:val="1D570B0E"/>
    <w:rsid w:val="1D5E6E79"/>
    <w:rsid w:val="1D5E6FE0"/>
    <w:rsid w:val="1D751E8C"/>
    <w:rsid w:val="1D752B34"/>
    <w:rsid w:val="1D8124AA"/>
    <w:rsid w:val="1D824CAF"/>
    <w:rsid w:val="1D84052E"/>
    <w:rsid w:val="1D872DC8"/>
    <w:rsid w:val="1D8C2D57"/>
    <w:rsid w:val="1D985B5A"/>
    <w:rsid w:val="1D9A259A"/>
    <w:rsid w:val="1DAF3EA3"/>
    <w:rsid w:val="1DAF4298"/>
    <w:rsid w:val="1DC51D0D"/>
    <w:rsid w:val="1DC615E1"/>
    <w:rsid w:val="1DCB4D63"/>
    <w:rsid w:val="1DD710F6"/>
    <w:rsid w:val="1DEA52D0"/>
    <w:rsid w:val="1DFE0D7B"/>
    <w:rsid w:val="1E0740D4"/>
    <w:rsid w:val="1E14059F"/>
    <w:rsid w:val="1E1F09CF"/>
    <w:rsid w:val="1E253C56"/>
    <w:rsid w:val="1E28732F"/>
    <w:rsid w:val="1E2D3137"/>
    <w:rsid w:val="1E310BA3"/>
    <w:rsid w:val="1E347CC6"/>
    <w:rsid w:val="1E380731"/>
    <w:rsid w:val="1E381144"/>
    <w:rsid w:val="1E397DD3"/>
    <w:rsid w:val="1E4D21C5"/>
    <w:rsid w:val="1E522E75"/>
    <w:rsid w:val="1E566E09"/>
    <w:rsid w:val="1E5906A7"/>
    <w:rsid w:val="1E5B11C2"/>
    <w:rsid w:val="1E62755C"/>
    <w:rsid w:val="1E636E30"/>
    <w:rsid w:val="1E670F48"/>
    <w:rsid w:val="1E716FCC"/>
    <w:rsid w:val="1E7C7DEF"/>
    <w:rsid w:val="1E7D5920"/>
    <w:rsid w:val="1E8A6E29"/>
    <w:rsid w:val="1E8C45D9"/>
    <w:rsid w:val="1E8D47DD"/>
    <w:rsid w:val="1E962794"/>
    <w:rsid w:val="1E990AA4"/>
    <w:rsid w:val="1E9A4F48"/>
    <w:rsid w:val="1EA210FC"/>
    <w:rsid w:val="1EA57449"/>
    <w:rsid w:val="1EBD29E4"/>
    <w:rsid w:val="1EC21DA9"/>
    <w:rsid w:val="1EC5611E"/>
    <w:rsid w:val="1ECC5192"/>
    <w:rsid w:val="1ECF4D3F"/>
    <w:rsid w:val="1EDA17E8"/>
    <w:rsid w:val="1EDD517F"/>
    <w:rsid w:val="1EE12DF7"/>
    <w:rsid w:val="1EEA5239"/>
    <w:rsid w:val="1EEF5255"/>
    <w:rsid w:val="1EF67CA4"/>
    <w:rsid w:val="1F010B23"/>
    <w:rsid w:val="1F065DFC"/>
    <w:rsid w:val="1F08404B"/>
    <w:rsid w:val="1F1B1E42"/>
    <w:rsid w:val="1F1B5195"/>
    <w:rsid w:val="1F1C6425"/>
    <w:rsid w:val="1F2814A2"/>
    <w:rsid w:val="1F4837CD"/>
    <w:rsid w:val="1F69491A"/>
    <w:rsid w:val="1F7D3F22"/>
    <w:rsid w:val="1F934C95"/>
    <w:rsid w:val="1F9D524A"/>
    <w:rsid w:val="1F9F20EA"/>
    <w:rsid w:val="1FA3607E"/>
    <w:rsid w:val="1FD072B2"/>
    <w:rsid w:val="1FDB678E"/>
    <w:rsid w:val="1FE04BDC"/>
    <w:rsid w:val="1FEE321D"/>
    <w:rsid w:val="1FF24910"/>
    <w:rsid w:val="1FF27BF4"/>
    <w:rsid w:val="200E11E1"/>
    <w:rsid w:val="200E73C1"/>
    <w:rsid w:val="20162D1D"/>
    <w:rsid w:val="202A5E57"/>
    <w:rsid w:val="202E214A"/>
    <w:rsid w:val="20354072"/>
    <w:rsid w:val="20377BD0"/>
    <w:rsid w:val="203B1E13"/>
    <w:rsid w:val="204A5A01"/>
    <w:rsid w:val="204B2298"/>
    <w:rsid w:val="20503DB7"/>
    <w:rsid w:val="20507BE9"/>
    <w:rsid w:val="2058075B"/>
    <w:rsid w:val="20580C17"/>
    <w:rsid w:val="20591FFE"/>
    <w:rsid w:val="205F3D7E"/>
    <w:rsid w:val="206C01CF"/>
    <w:rsid w:val="208B65E6"/>
    <w:rsid w:val="208F6294"/>
    <w:rsid w:val="209D487B"/>
    <w:rsid w:val="20AC4ABE"/>
    <w:rsid w:val="20AE4305"/>
    <w:rsid w:val="20B94861"/>
    <w:rsid w:val="20C47F52"/>
    <w:rsid w:val="20D6313C"/>
    <w:rsid w:val="20D83B05"/>
    <w:rsid w:val="20E029BA"/>
    <w:rsid w:val="20E57FD0"/>
    <w:rsid w:val="20EE157B"/>
    <w:rsid w:val="20F4122F"/>
    <w:rsid w:val="20F95B33"/>
    <w:rsid w:val="20FA7C8F"/>
    <w:rsid w:val="20FB77F4"/>
    <w:rsid w:val="20FC424D"/>
    <w:rsid w:val="21061C7A"/>
    <w:rsid w:val="21064799"/>
    <w:rsid w:val="21134E75"/>
    <w:rsid w:val="21137224"/>
    <w:rsid w:val="212F3728"/>
    <w:rsid w:val="213A656E"/>
    <w:rsid w:val="214E13A8"/>
    <w:rsid w:val="21565719"/>
    <w:rsid w:val="21577120"/>
    <w:rsid w:val="215A451A"/>
    <w:rsid w:val="21687A42"/>
    <w:rsid w:val="216929AF"/>
    <w:rsid w:val="216D2E7B"/>
    <w:rsid w:val="216F5597"/>
    <w:rsid w:val="217204EB"/>
    <w:rsid w:val="217557F8"/>
    <w:rsid w:val="217A2058"/>
    <w:rsid w:val="217B0218"/>
    <w:rsid w:val="217E57CD"/>
    <w:rsid w:val="218B66AD"/>
    <w:rsid w:val="218C6BC8"/>
    <w:rsid w:val="218E68BA"/>
    <w:rsid w:val="2195586B"/>
    <w:rsid w:val="219A700D"/>
    <w:rsid w:val="21A0321A"/>
    <w:rsid w:val="21A55D32"/>
    <w:rsid w:val="21A848A5"/>
    <w:rsid w:val="21B225A8"/>
    <w:rsid w:val="21B3221C"/>
    <w:rsid w:val="21B75063"/>
    <w:rsid w:val="21BC6E11"/>
    <w:rsid w:val="21D256E8"/>
    <w:rsid w:val="21D56297"/>
    <w:rsid w:val="21D7200F"/>
    <w:rsid w:val="21D93BF6"/>
    <w:rsid w:val="21DB7DD5"/>
    <w:rsid w:val="21DF2C72"/>
    <w:rsid w:val="21E45A4E"/>
    <w:rsid w:val="21E92549"/>
    <w:rsid w:val="21EA7EFB"/>
    <w:rsid w:val="21EF2407"/>
    <w:rsid w:val="21F17113"/>
    <w:rsid w:val="22115BED"/>
    <w:rsid w:val="22165C5C"/>
    <w:rsid w:val="221E65E6"/>
    <w:rsid w:val="22246E4D"/>
    <w:rsid w:val="222731FC"/>
    <w:rsid w:val="222B32A6"/>
    <w:rsid w:val="222C1D3E"/>
    <w:rsid w:val="22342FBD"/>
    <w:rsid w:val="225B0AF9"/>
    <w:rsid w:val="22655811"/>
    <w:rsid w:val="22676561"/>
    <w:rsid w:val="227C6712"/>
    <w:rsid w:val="22813D29"/>
    <w:rsid w:val="22830B45"/>
    <w:rsid w:val="22832E96"/>
    <w:rsid w:val="228C57AA"/>
    <w:rsid w:val="22910410"/>
    <w:rsid w:val="22A85759"/>
    <w:rsid w:val="22B0187A"/>
    <w:rsid w:val="22B236E2"/>
    <w:rsid w:val="22BE4F7D"/>
    <w:rsid w:val="22BF7A32"/>
    <w:rsid w:val="22C24A6D"/>
    <w:rsid w:val="22C72083"/>
    <w:rsid w:val="22CC31F6"/>
    <w:rsid w:val="22DC6DEC"/>
    <w:rsid w:val="22DE4CE7"/>
    <w:rsid w:val="22E70030"/>
    <w:rsid w:val="22E96A84"/>
    <w:rsid w:val="22EE7610"/>
    <w:rsid w:val="22F64717"/>
    <w:rsid w:val="22F658BE"/>
    <w:rsid w:val="23072480"/>
    <w:rsid w:val="230E1A60"/>
    <w:rsid w:val="231352C9"/>
    <w:rsid w:val="231A6657"/>
    <w:rsid w:val="231C425A"/>
    <w:rsid w:val="23290648"/>
    <w:rsid w:val="232D7716"/>
    <w:rsid w:val="23326BD7"/>
    <w:rsid w:val="23332D5A"/>
    <w:rsid w:val="23393949"/>
    <w:rsid w:val="233E57C7"/>
    <w:rsid w:val="233F4503"/>
    <w:rsid w:val="23471D7C"/>
    <w:rsid w:val="23576472"/>
    <w:rsid w:val="235A5FA1"/>
    <w:rsid w:val="23720241"/>
    <w:rsid w:val="2375458A"/>
    <w:rsid w:val="23792A54"/>
    <w:rsid w:val="237D4E14"/>
    <w:rsid w:val="237D5A2B"/>
    <w:rsid w:val="23957A8C"/>
    <w:rsid w:val="23964DC7"/>
    <w:rsid w:val="23A61C99"/>
    <w:rsid w:val="23AB72AF"/>
    <w:rsid w:val="23B00D6A"/>
    <w:rsid w:val="23B26890"/>
    <w:rsid w:val="23B75C54"/>
    <w:rsid w:val="23B81C69"/>
    <w:rsid w:val="23C95987"/>
    <w:rsid w:val="23E26A49"/>
    <w:rsid w:val="23E629DD"/>
    <w:rsid w:val="23E83D57"/>
    <w:rsid w:val="23E90762"/>
    <w:rsid w:val="23EA6DE4"/>
    <w:rsid w:val="23F563F2"/>
    <w:rsid w:val="24030F08"/>
    <w:rsid w:val="24166A5F"/>
    <w:rsid w:val="241755BE"/>
    <w:rsid w:val="241D744D"/>
    <w:rsid w:val="24284DA4"/>
    <w:rsid w:val="242B219E"/>
    <w:rsid w:val="242D4168"/>
    <w:rsid w:val="242E574F"/>
    <w:rsid w:val="24356FB4"/>
    <w:rsid w:val="24412C88"/>
    <w:rsid w:val="24561106"/>
    <w:rsid w:val="24671B19"/>
    <w:rsid w:val="2472601F"/>
    <w:rsid w:val="247B4ED4"/>
    <w:rsid w:val="24894A18"/>
    <w:rsid w:val="24927E99"/>
    <w:rsid w:val="249441E7"/>
    <w:rsid w:val="249B3B4A"/>
    <w:rsid w:val="24A0493A"/>
    <w:rsid w:val="24B65F0C"/>
    <w:rsid w:val="24C5546B"/>
    <w:rsid w:val="24DA16F8"/>
    <w:rsid w:val="24E00A2E"/>
    <w:rsid w:val="24E345BA"/>
    <w:rsid w:val="24F107A4"/>
    <w:rsid w:val="24FB7C97"/>
    <w:rsid w:val="250D560D"/>
    <w:rsid w:val="251315B0"/>
    <w:rsid w:val="25184594"/>
    <w:rsid w:val="251B0465"/>
    <w:rsid w:val="252065AF"/>
    <w:rsid w:val="25222A26"/>
    <w:rsid w:val="2524556B"/>
    <w:rsid w:val="25284C83"/>
    <w:rsid w:val="2539508D"/>
    <w:rsid w:val="253B0B07"/>
    <w:rsid w:val="2547125A"/>
    <w:rsid w:val="255D31FD"/>
    <w:rsid w:val="25627E42"/>
    <w:rsid w:val="2567340A"/>
    <w:rsid w:val="257B7155"/>
    <w:rsid w:val="257C2142"/>
    <w:rsid w:val="258E6E89"/>
    <w:rsid w:val="2593449F"/>
    <w:rsid w:val="25950217"/>
    <w:rsid w:val="25956469"/>
    <w:rsid w:val="25967928"/>
    <w:rsid w:val="25975FC6"/>
    <w:rsid w:val="259A3A7F"/>
    <w:rsid w:val="25A26FFC"/>
    <w:rsid w:val="25AB132A"/>
    <w:rsid w:val="25C603D0"/>
    <w:rsid w:val="25CB3C39"/>
    <w:rsid w:val="25CF098A"/>
    <w:rsid w:val="25D33752"/>
    <w:rsid w:val="25D36F91"/>
    <w:rsid w:val="25DA5882"/>
    <w:rsid w:val="25E127D7"/>
    <w:rsid w:val="25E50975"/>
    <w:rsid w:val="25EF68AB"/>
    <w:rsid w:val="25F37380"/>
    <w:rsid w:val="25FD7B6A"/>
    <w:rsid w:val="260643A5"/>
    <w:rsid w:val="26187602"/>
    <w:rsid w:val="261A071C"/>
    <w:rsid w:val="261C0B4F"/>
    <w:rsid w:val="261E44D9"/>
    <w:rsid w:val="26357304"/>
    <w:rsid w:val="263E5DB0"/>
    <w:rsid w:val="26417612"/>
    <w:rsid w:val="26457AFD"/>
    <w:rsid w:val="264B2FCC"/>
    <w:rsid w:val="26571970"/>
    <w:rsid w:val="265B0767"/>
    <w:rsid w:val="26680770"/>
    <w:rsid w:val="266B71CA"/>
    <w:rsid w:val="26717AB2"/>
    <w:rsid w:val="267918E7"/>
    <w:rsid w:val="267B6D14"/>
    <w:rsid w:val="26926A95"/>
    <w:rsid w:val="2699711B"/>
    <w:rsid w:val="269B176C"/>
    <w:rsid w:val="26B80661"/>
    <w:rsid w:val="26BE554B"/>
    <w:rsid w:val="26E825C8"/>
    <w:rsid w:val="26EE4083"/>
    <w:rsid w:val="26EE47CD"/>
    <w:rsid w:val="26EF1BA9"/>
    <w:rsid w:val="26EF3957"/>
    <w:rsid w:val="26F123E0"/>
    <w:rsid w:val="26FC5D51"/>
    <w:rsid w:val="270236E3"/>
    <w:rsid w:val="270513CC"/>
    <w:rsid w:val="270A119E"/>
    <w:rsid w:val="270C4509"/>
    <w:rsid w:val="270E644F"/>
    <w:rsid w:val="27182D28"/>
    <w:rsid w:val="27317983"/>
    <w:rsid w:val="273E727A"/>
    <w:rsid w:val="27427F2B"/>
    <w:rsid w:val="27435A51"/>
    <w:rsid w:val="2759134E"/>
    <w:rsid w:val="276022E1"/>
    <w:rsid w:val="276460F3"/>
    <w:rsid w:val="27646459"/>
    <w:rsid w:val="27713986"/>
    <w:rsid w:val="2790513A"/>
    <w:rsid w:val="27960276"/>
    <w:rsid w:val="279B1E88"/>
    <w:rsid w:val="279F537D"/>
    <w:rsid w:val="27A92ED2"/>
    <w:rsid w:val="27BD41E7"/>
    <w:rsid w:val="27BD79CF"/>
    <w:rsid w:val="27C2358D"/>
    <w:rsid w:val="27CC165C"/>
    <w:rsid w:val="27CC6DC2"/>
    <w:rsid w:val="27DD5043"/>
    <w:rsid w:val="27E15995"/>
    <w:rsid w:val="27E36678"/>
    <w:rsid w:val="27E43042"/>
    <w:rsid w:val="27EA7A39"/>
    <w:rsid w:val="28071805"/>
    <w:rsid w:val="280B47C0"/>
    <w:rsid w:val="281318C7"/>
    <w:rsid w:val="281E79D4"/>
    <w:rsid w:val="28227149"/>
    <w:rsid w:val="282B49AC"/>
    <w:rsid w:val="28324925"/>
    <w:rsid w:val="28375B88"/>
    <w:rsid w:val="2841337E"/>
    <w:rsid w:val="284954E1"/>
    <w:rsid w:val="285024AA"/>
    <w:rsid w:val="285442B2"/>
    <w:rsid w:val="28551EE0"/>
    <w:rsid w:val="285E6CEA"/>
    <w:rsid w:val="28705167"/>
    <w:rsid w:val="2877156A"/>
    <w:rsid w:val="2879506B"/>
    <w:rsid w:val="287A36F4"/>
    <w:rsid w:val="288679DE"/>
    <w:rsid w:val="28884063"/>
    <w:rsid w:val="28A236DD"/>
    <w:rsid w:val="28A773D8"/>
    <w:rsid w:val="28B40260"/>
    <w:rsid w:val="28B634BE"/>
    <w:rsid w:val="28B92D56"/>
    <w:rsid w:val="28C70BCC"/>
    <w:rsid w:val="28CB3411"/>
    <w:rsid w:val="28DE1ED5"/>
    <w:rsid w:val="28DF1B50"/>
    <w:rsid w:val="28E03E9F"/>
    <w:rsid w:val="28E24501"/>
    <w:rsid w:val="28F27F55"/>
    <w:rsid w:val="28F416F8"/>
    <w:rsid w:val="28F42069"/>
    <w:rsid w:val="28F611DB"/>
    <w:rsid w:val="28F96133"/>
    <w:rsid w:val="28FD4CED"/>
    <w:rsid w:val="290044C2"/>
    <w:rsid w:val="29014A88"/>
    <w:rsid w:val="291122AA"/>
    <w:rsid w:val="291A2082"/>
    <w:rsid w:val="293643E8"/>
    <w:rsid w:val="293A3B8A"/>
    <w:rsid w:val="293C4AAB"/>
    <w:rsid w:val="293E3CDE"/>
    <w:rsid w:val="29407826"/>
    <w:rsid w:val="294A57BC"/>
    <w:rsid w:val="294A756A"/>
    <w:rsid w:val="295B1778"/>
    <w:rsid w:val="29606D8E"/>
    <w:rsid w:val="29662672"/>
    <w:rsid w:val="29674E2D"/>
    <w:rsid w:val="296E188F"/>
    <w:rsid w:val="296F7582"/>
    <w:rsid w:val="2976035F"/>
    <w:rsid w:val="29823E46"/>
    <w:rsid w:val="29872497"/>
    <w:rsid w:val="29961BDB"/>
    <w:rsid w:val="29A86111"/>
    <w:rsid w:val="29B76C15"/>
    <w:rsid w:val="29B84D06"/>
    <w:rsid w:val="29BD5B5A"/>
    <w:rsid w:val="29C72969"/>
    <w:rsid w:val="29D511CB"/>
    <w:rsid w:val="29DC7BDE"/>
    <w:rsid w:val="29DF5F05"/>
    <w:rsid w:val="29F00112"/>
    <w:rsid w:val="29F5293C"/>
    <w:rsid w:val="29F57031"/>
    <w:rsid w:val="2A013F2D"/>
    <w:rsid w:val="2A017FF7"/>
    <w:rsid w:val="2A0239A1"/>
    <w:rsid w:val="2A0D59AB"/>
    <w:rsid w:val="2A157B78"/>
    <w:rsid w:val="2A1A6C43"/>
    <w:rsid w:val="2A1D6A2D"/>
    <w:rsid w:val="2A202079"/>
    <w:rsid w:val="2A265858"/>
    <w:rsid w:val="2A2B4DF0"/>
    <w:rsid w:val="2A2D1BE4"/>
    <w:rsid w:val="2A3C6E8C"/>
    <w:rsid w:val="2A5A6EA2"/>
    <w:rsid w:val="2A603E38"/>
    <w:rsid w:val="2A677CA8"/>
    <w:rsid w:val="2A6D270B"/>
    <w:rsid w:val="2A6D7663"/>
    <w:rsid w:val="2A6D785A"/>
    <w:rsid w:val="2A7C7844"/>
    <w:rsid w:val="2A7F74F9"/>
    <w:rsid w:val="2A8217F7"/>
    <w:rsid w:val="2A850740"/>
    <w:rsid w:val="2AA25140"/>
    <w:rsid w:val="2AA6767D"/>
    <w:rsid w:val="2AA84549"/>
    <w:rsid w:val="2AAB4E5A"/>
    <w:rsid w:val="2ABC6246"/>
    <w:rsid w:val="2AC55FB0"/>
    <w:rsid w:val="2ADC1EA6"/>
    <w:rsid w:val="2AED4651"/>
    <w:rsid w:val="2AEF232A"/>
    <w:rsid w:val="2AF578DD"/>
    <w:rsid w:val="2AF7102C"/>
    <w:rsid w:val="2AF92773"/>
    <w:rsid w:val="2AFC6642"/>
    <w:rsid w:val="2B000074"/>
    <w:rsid w:val="2B047451"/>
    <w:rsid w:val="2B050B4C"/>
    <w:rsid w:val="2B077FC4"/>
    <w:rsid w:val="2B082A19"/>
    <w:rsid w:val="2B0F3BB4"/>
    <w:rsid w:val="2B105104"/>
    <w:rsid w:val="2B127F89"/>
    <w:rsid w:val="2B14398C"/>
    <w:rsid w:val="2B160E6F"/>
    <w:rsid w:val="2B2160A9"/>
    <w:rsid w:val="2B256C9A"/>
    <w:rsid w:val="2B2838DB"/>
    <w:rsid w:val="2B365FF8"/>
    <w:rsid w:val="2B41103E"/>
    <w:rsid w:val="2B4C72C7"/>
    <w:rsid w:val="2B501995"/>
    <w:rsid w:val="2B5841C1"/>
    <w:rsid w:val="2B5E3EEA"/>
    <w:rsid w:val="2B6761B2"/>
    <w:rsid w:val="2B7B339F"/>
    <w:rsid w:val="2B8054C5"/>
    <w:rsid w:val="2B820CF7"/>
    <w:rsid w:val="2B836D64"/>
    <w:rsid w:val="2B9213A6"/>
    <w:rsid w:val="2B945CC1"/>
    <w:rsid w:val="2BA07916"/>
    <w:rsid w:val="2BAA609E"/>
    <w:rsid w:val="2BAF1907"/>
    <w:rsid w:val="2BB22C0D"/>
    <w:rsid w:val="2BB67139"/>
    <w:rsid w:val="2BB94533"/>
    <w:rsid w:val="2BBB73EB"/>
    <w:rsid w:val="2BC15D4F"/>
    <w:rsid w:val="2BD001FB"/>
    <w:rsid w:val="2BDC4FAF"/>
    <w:rsid w:val="2BDD477A"/>
    <w:rsid w:val="2BEF7575"/>
    <w:rsid w:val="2BFE2121"/>
    <w:rsid w:val="2BFE53DE"/>
    <w:rsid w:val="2C012143"/>
    <w:rsid w:val="2C161986"/>
    <w:rsid w:val="2C2E4F21"/>
    <w:rsid w:val="2C303F75"/>
    <w:rsid w:val="2C305FCA"/>
    <w:rsid w:val="2C3137C8"/>
    <w:rsid w:val="2C316A50"/>
    <w:rsid w:val="2C337909"/>
    <w:rsid w:val="2C3A0808"/>
    <w:rsid w:val="2C3C1C68"/>
    <w:rsid w:val="2C4216CD"/>
    <w:rsid w:val="2C42277B"/>
    <w:rsid w:val="2C436AD7"/>
    <w:rsid w:val="2C4A5C10"/>
    <w:rsid w:val="2C56697C"/>
    <w:rsid w:val="2C5C1A8E"/>
    <w:rsid w:val="2C6A387F"/>
    <w:rsid w:val="2C723060"/>
    <w:rsid w:val="2C7A0167"/>
    <w:rsid w:val="2C8965FC"/>
    <w:rsid w:val="2C8D17D0"/>
    <w:rsid w:val="2C9034E6"/>
    <w:rsid w:val="2C9254B0"/>
    <w:rsid w:val="2C9315C7"/>
    <w:rsid w:val="2C941C5A"/>
    <w:rsid w:val="2C972AC7"/>
    <w:rsid w:val="2CAB03C0"/>
    <w:rsid w:val="2CCE339B"/>
    <w:rsid w:val="2CD662EA"/>
    <w:rsid w:val="2CE0346D"/>
    <w:rsid w:val="2CE13D42"/>
    <w:rsid w:val="2CE83322"/>
    <w:rsid w:val="2CF03F85"/>
    <w:rsid w:val="2CF07995"/>
    <w:rsid w:val="2D0217E1"/>
    <w:rsid w:val="2D085772"/>
    <w:rsid w:val="2D095047"/>
    <w:rsid w:val="2D0B7011"/>
    <w:rsid w:val="2D1608C3"/>
    <w:rsid w:val="2D2461BD"/>
    <w:rsid w:val="2D2A4CC6"/>
    <w:rsid w:val="2D32459D"/>
    <w:rsid w:val="2D554BDA"/>
    <w:rsid w:val="2D57096C"/>
    <w:rsid w:val="2D5F43B3"/>
    <w:rsid w:val="2D684463"/>
    <w:rsid w:val="2D6C2058"/>
    <w:rsid w:val="2D792F67"/>
    <w:rsid w:val="2D7E77E3"/>
    <w:rsid w:val="2D8A58B9"/>
    <w:rsid w:val="2D8D5C78"/>
    <w:rsid w:val="2D934F38"/>
    <w:rsid w:val="2D937732"/>
    <w:rsid w:val="2D9708A4"/>
    <w:rsid w:val="2D997224"/>
    <w:rsid w:val="2DB378B3"/>
    <w:rsid w:val="2DC76A07"/>
    <w:rsid w:val="2DCC4DCE"/>
    <w:rsid w:val="2DCD3827"/>
    <w:rsid w:val="2DE0073E"/>
    <w:rsid w:val="2DE03118"/>
    <w:rsid w:val="2DE27D71"/>
    <w:rsid w:val="2DEB4D21"/>
    <w:rsid w:val="2DF6381D"/>
    <w:rsid w:val="2DFA155F"/>
    <w:rsid w:val="2DFA4B7D"/>
    <w:rsid w:val="2DFE0923"/>
    <w:rsid w:val="2E0E55FB"/>
    <w:rsid w:val="2E1865DF"/>
    <w:rsid w:val="2E1B3283"/>
    <w:rsid w:val="2E1F44DE"/>
    <w:rsid w:val="2E211EF1"/>
    <w:rsid w:val="2E2B1237"/>
    <w:rsid w:val="2E2D2142"/>
    <w:rsid w:val="2E2F642C"/>
    <w:rsid w:val="2E304F81"/>
    <w:rsid w:val="2E406AAD"/>
    <w:rsid w:val="2E416D02"/>
    <w:rsid w:val="2E5642BC"/>
    <w:rsid w:val="2E6168ED"/>
    <w:rsid w:val="2E7110F5"/>
    <w:rsid w:val="2E7330BF"/>
    <w:rsid w:val="2E7574BC"/>
    <w:rsid w:val="2E76081F"/>
    <w:rsid w:val="2E854EF0"/>
    <w:rsid w:val="2E8D612C"/>
    <w:rsid w:val="2E953DDE"/>
    <w:rsid w:val="2E962111"/>
    <w:rsid w:val="2E9D013C"/>
    <w:rsid w:val="2EA24C5A"/>
    <w:rsid w:val="2EA94D33"/>
    <w:rsid w:val="2EAA38B2"/>
    <w:rsid w:val="2EAD4823"/>
    <w:rsid w:val="2EAF6A86"/>
    <w:rsid w:val="2EB51B59"/>
    <w:rsid w:val="2EB90A79"/>
    <w:rsid w:val="2EBC6814"/>
    <w:rsid w:val="2EE06AD9"/>
    <w:rsid w:val="2EED10C4"/>
    <w:rsid w:val="2F0553EA"/>
    <w:rsid w:val="2F10090E"/>
    <w:rsid w:val="2F2B25A4"/>
    <w:rsid w:val="2F3C7955"/>
    <w:rsid w:val="2F432A92"/>
    <w:rsid w:val="2F4B5DEA"/>
    <w:rsid w:val="2F4F1437"/>
    <w:rsid w:val="2F631386"/>
    <w:rsid w:val="2F6A6149"/>
    <w:rsid w:val="2F712264"/>
    <w:rsid w:val="2F753C9F"/>
    <w:rsid w:val="2F772127"/>
    <w:rsid w:val="2F8E5F05"/>
    <w:rsid w:val="2F954BD1"/>
    <w:rsid w:val="2F9B28CE"/>
    <w:rsid w:val="2FA774C5"/>
    <w:rsid w:val="2FAA7FCD"/>
    <w:rsid w:val="2FB35E69"/>
    <w:rsid w:val="2FBA62AE"/>
    <w:rsid w:val="2FCA2F6F"/>
    <w:rsid w:val="2FD37E43"/>
    <w:rsid w:val="2FDE27BA"/>
    <w:rsid w:val="2FE34F56"/>
    <w:rsid w:val="2FEA115F"/>
    <w:rsid w:val="2FF26266"/>
    <w:rsid w:val="2FF44E67"/>
    <w:rsid w:val="2FFA5A70"/>
    <w:rsid w:val="2FFE2E5D"/>
    <w:rsid w:val="300A1801"/>
    <w:rsid w:val="30110DE2"/>
    <w:rsid w:val="302D797D"/>
    <w:rsid w:val="30355F16"/>
    <w:rsid w:val="30383D09"/>
    <w:rsid w:val="3043098E"/>
    <w:rsid w:val="30464C0C"/>
    <w:rsid w:val="30521A01"/>
    <w:rsid w:val="30530F4B"/>
    <w:rsid w:val="30654E9B"/>
    <w:rsid w:val="30657F03"/>
    <w:rsid w:val="306C7963"/>
    <w:rsid w:val="307153DD"/>
    <w:rsid w:val="307F7AFA"/>
    <w:rsid w:val="308D0868"/>
    <w:rsid w:val="309A2B85"/>
    <w:rsid w:val="309B6BB6"/>
    <w:rsid w:val="309D08C8"/>
    <w:rsid w:val="30A657B3"/>
    <w:rsid w:val="30B023A9"/>
    <w:rsid w:val="30BB5AB0"/>
    <w:rsid w:val="30DA7426"/>
    <w:rsid w:val="30DC13F0"/>
    <w:rsid w:val="30DD0CC4"/>
    <w:rsid w:val="30DD740C"/>
    <w:rsid w:val="30EB1633"/>
    <w:rsid w:val="30FE1366"/>
    <w:rsid w:val="310B3A83"/>
    <w:rsid w:val="310B3EA9"/>
    <w:rsid w:val="310D15A9"/>
    <w:rsid w:val="310F3573"/>
    <w:rsid w:val="311C538E"/>
    <w:rsid w:val="312367E6"/>
    <w:rsid w:val="313308E4"/>
    <w:rsid w:val="3135514F"/>
    <w:rsid w:val="313F3BAF"/>
    <w:rsid w:val="31427349"/>
    <w:rsid w:val="314E11DF"/>
    <w:rsid w:val="31580AE3"/>
    <w:rsid w:val="31587E54"/>
    <w:rsid w:val="31697FA0"/>
    <w:rsid w:val="317343A3"/>
    <w:rsid w:val="31776230"/>
    <w:rsid w:val="31792734"/>
    <w:rsid w:val="31794E91"/>
    <w:rsid w:val="319A0963"/>
    <w:rsid w:val="319A202B"/>
    <w:rsid w:val="31AE6D29"/>
    <w:rsid w:val="31B71515"/>
    <w:rsid w:val="31B934DF"/>
    <w:rsid w:val="31B9528D"/>
    <w:rsid w:val="31B96A50"/>
    <w:rsid w:val="31BE14C2"/>
    <w:rsid w:val="31C003CA"/>
    <w:rsid w:val="31C0486E"/>
    <w:rsid w:val="31C16993"/>
    <w:rsid w:val="31C27769"/>
    <w:rsid w:val="31CF3DE3"/>
    <w:rsid w:val="31DF072D"/>
    <w:rsid w:val="31EB414D"/>
    <w:rsid w:val="31F6354B"/>
    <w:rsid w:val="31FE0EF2"/>
    <w:rsid w:val="321D581C"/>
    <w:rsid w:val="322577D6"/>
    <w:rsid w:val="322A10CC"/>
    <w:rsid w:val="32353776"/>
    <w:rsid w:val="3236068C"/>
    <w:rsid w:val="323A64F5"/>
    <w:rsid w:val="3253457F"/>
    <w:rsid w:val="325F4087"/>
    <w:rsid w:val="3270139B"/>
    <w:rsid w:val="328238D1"/>
    <w:rsid w:val="328C2093"/>
    <w:rsid w:val="32957AA8"/>
    <w:rsid w:val="32981347"/>
    <w:rsid w:val="329D6D06"/>
    <w:rsid w:val="32A10005"/>
    <w:rsid w:val="32A67851"/>
    <w:rsid w:val="32B03889"/>
    <w:rsid w:val="32B631E8"/>
    <w:rsid w:val="32C0338F"/>
    <w:rsid w:val="32C32C2D"/>
    <w:rsid w:val="32C40139"/>
    <w:rsid w:val="32C65EB4"/>
    <w:rsid w:val="32EB40DE"/>
    <w:rsid w:val="32F318C8"/>
    <w:rsid w:val="32FC18D5"/>
    <w:rsid w:val="3307027A"/>
    <w:rsid w:val="330C5891"/>
    <w:rsid w:val="330E7F86"/>
    <w:rsid w:val="331B78A5"/>
    <w:rsid w:val="33302CA3"/>
    <w:rsid w:val="3338748E"/>
    <w:rsid w:val="333D29FC"/>
    <w:rsid w:val="33484B1B"/>
    <w:rsid w:val="335817EB"/>
    <w:rsid w:val="335A3B37"/>
    <w:rsid w:val="335B03B1"/>
    <w:rsid w:val="3369683F"/>
    <w:rsid w:val="336A6C54"/>
    <w:rsid w:val="33723946"/>
    <w:rsid w:val="337326FE"/>
    <w:rsid w:val="337662DA"/>
    <w:rsid w:val="3379087E"/>
    <w:rsid w:val="33906D58"/>
    <w:rsid w:val="339E0BDF"/>
    <w:rsid w:val="33A1422B"/>
    <w:rsid w:val="33A4732D"/>
    <w:rsid w:val="33AC46F4"/>
    <w:rsid w:val="33AD497E"/>
    <w:rsid w:val="33B02300"/>
    <w:rsid w:val="33BE4DDD"/>
    <w:rsid w:val="33C00B55"/>
    <w:rsid w:val="33D12D62"/>
    <w:rsid w:val="33D450AD"/>
    <w:rsid w:val="33E23A40"/>
    <w:rsid w:val="33EF31E8"/>
    <w:rsid w:val="33F64577"/>
    <w:rsid w:val="3411315F"/>
    <w:rsid w:val="342509B8"/>
    <w:rsid w:val="342C61EA"/>
    <w:rsid w:val="342E1F62"/>
    <w:rsid w:val="3431735D"/>
    <w:rsid w:val="344A35CC"/>
    <w:rsid w:val="344B692F"/>
    <w:rsid w:val="344C0E83"/>
    <w:rsid w:val="34586FDF"/>
    <w:rsid w:val="345F6F7C"/>
    <w:rsid w:val="34605E94"/>
    <w:rsid w:val="346239BA"/>
    <w:rsid w:val="346C65E7"/>
    <w:rsid w:val="3486094E"/>
    <w:rsid w:val="34981672"/>
    <w:rsid w:val="34A71D15"/>
    <w:rsid w:val="34A74692"/>
    <w:rsid w:val="34A83438"/>
    <w:rsid w:val="34B72838"/>
    <w:rsid w:val="34CC49DA"/>
    <w:rsid w:val="34DC74C9"/>
    <w:rsid w:val="34E81B07"/>
    <w:rsid w:val="34F07CF9"/>
    <w:rsid w:val="35163D5E"/>
    <w:rsid w:val="352073D1"/>
    <w:rsid w:val="35270760"/>
    <w:rsid w:val="352C58C9"/>
    <w:rsid w:val="35325A82"/>
    <w:rsid w:val="35386C3E"/>
    <w:rsid w:val="35454F68"/>
    <w:rsid w:val="35490860"/>
    <w:rsid w:val="356674DA"/>
    <w:rsid w:val="35702107"/>
    <w:rsid w:val="35814314"/>
    <w:rsid w:val="358C2057"/>
    <w:rsid w:val="358D2CB9"/>
    <w:rsid w:val="35956011"/>
    <w:rsid w:val="35A3072E"/>
    <w:rsid w:val="35B31C73"/>
    <w:rsid w:val="35B84DC4"/>
    <w:rsid w:val="35D5640E"/>
    <w:rsid w:val="35D7488E"/>
    <w:rsid w:val="35DA44A6"/>
    <w:rsid w:val="35E054DE"/>
    <w:rsid w:val="35F44D57"/>
    <w:rsid w:val="35FF348B"/>
    <w:rsid w:val="36074474"/>
    <w:rsid w:val="361B4126"/>
    <w:rsid w:val="361C12AE"/>
    <w:rsid w:val="36260A17"/>
    <w:rsid w:val="36280C33"/>
    <w:rsid w:val="36375112"/>
    <w:rsid w:val="363A5366"/>
    <w:rsid w:val="36476346"/>
    <w:rsid w:val="36527A5E"/>
    <w:rsid w:val="36534DB6"/>
    <w:rsid w:val="365B397E"/>
    <w:rsid w:val="365B6913"/>
    <w:rsid w:val="366003CD"/>
    <w:rsid w:val="36611C66"/>
    <w:rsid w:val="366757E9"/>
    <w:rsid w:val="366F5EC5"/>
    <w:rsid w:val="36876F5F"/>
    <w:rsid w:val="368A369C"/>
    <w:rsid w:val="368D0A96"/>
    <w:rsid w:val="36A91D74"/>
    <w:rsid w:val="36AE6DFE"/>
    <w:rsid w:val="36AE7D6D"/>
    <w:rsid w:val="36B44275"/>
    <w:rsid w:val="36C24BE4"/>
    <w:rsid w:val="36CE3589"/>
    <w:rsid w:val="36D641EB"/>
    <w:rsid w:val="36D97C98"/>
    <w:rsid w:val="36E15EDB"/>
    <w:rsid w:val="36E83F1F"/>
    <w:rsid w:val="36EA7C97"/>
    <w:rsid w:val="36EF4595"/>
    <w:rsid w:val="36F079A3"/>
    <w:rsid w:val="36F11025"/>
    <w:rsid w:val="36F124AB"/>
    <w:rsid w:val="370E7982"/>
    <w:rsid w:val="371F2036"/>
    <w:rsid w:val="372401A9"/>
    <w:rsid w:val="372E47B1"/>
    <w:rsid w:val="372F4140"/>
    <w:rsid w:val="37524DD8"/>
    <w:rsid w:val="375673C9"/>
    <w:rsid w:val="375A306E"/>
    <w:rsid w:val="375B2943"/>
    <w:rsid w:val="3762274C"/>
    <w:rsid w:val="37661A13"/>
    <w:rsid w:val="37691359"/>
    <w:rsid w:val="376B74E1"/>
    <w:rsid w:val="37797999"/>
    <w:rsid w:val="378400EB"/>
    <w:rsid w:val="378620B5"/>
    <w:rsid w:val="378B53EB"/>
    <w:rsid w:val="378C18BF"/>
    <w:rsid w:val="3792328B"/>
    <w:rsid w:val="379311B6"/>
    <w:rsid w:val="379540A7"/>
    <w:rsid w:val="379C65F2"/>
    <w:rsid w:val="37A2092D"/>
    <w:rsid w:val="37A3244B"/>
    <w:rsid w:val="37A55601"/>
    <w:rsid w:val="37BF2ED1"/>
    <w:rsid w:val="37BF4362"/>
    <w:rsid w:val="37BF6C75"/>
    <w:rsid w:val="37C80C1D"/>
    <w:rsid w:val="37CF6961"/>
    <w:rsid w:val="37D1642E"/>
    <w:rsid w:val="37D80D68"/>
    <w:rsid w:val="37EC2055"/>
    <w:rsid w:val="38033706"/>
    <w:rsid w:val="380A1F4E"/>
    <w:rsid w:val="380C620D"/>
    <w:rsid w:val="380F3B6F"/>
    <w:rsid w:val="38205A61"/>
    <w:rsid w:val="38231C68"/>
    <w:rsid w:val="382F2E3F"/>
    <w:rsid w:val="38327B47"/>
    <w:rsid w:val="38390ED3"/>
    <w:rsid w:val="385941B9"/>
    <w:rsid w:val="385D4C77"/>
    <w:rsid w:val="385D67FB"/>
    <w:rsid w:val="388A34DF"/>
    <w:rsid w:val="388E7B99"/>
    <w:rsid w:val="38A77A2B"/>
    <w:rsid w:val="38AF73EA"/>
    <w:rsid w:val="38C03D99"/>
    <w:rsid w:val="38C22436"/>
    <w:rsid w:val="38D32F0B"/>
    <w:rsid w:val="38D34C8F"/>
    <w:rsid w:val="38D34E86"/>
    <w:rsid w:val="38D42855"/>
    <w:rsid w:val="38D87B6E"/>
    <w:rsid w:val="38DD610C"/>
    <w:rsid w:val="38E23FA1"/>
    <w:rsid w:val="38EE7BCB"/>
    <w:rsid w:val="38F66909"/>
    <w:rsid w:val="38F700DB"/>
    <w:rsid w:val="38F72886"/>
    <w:rsid w:val="38FD1F03"/>
    <w:rsid w:val="39002FB3"/>
    <w:rsid w:val="392576AC"/>
    <w:rsid w:val="39321638"/>
    <w:rsid w:val="39355B41"/>
    <w:rsid w:val="393752BA"/>
    <w:rsid w:val="395104A1"/>
    <w:rsid w:val="395227DA"/>
    <w:rsid w:val="39573107"/>
    <w:rsid w:val="396362BD"/>
    <w:rsid w:val="39763A64"/>
    <w:rsid w:val="397670D8"/>
    <w:rsid w:val="39882115"/>
    <w:rsid w:val="39893797"/>
    <w:rsid w:val="39934616"/>
    <w:rsid w:val="39972358"/>
    <w:rsid w:val="39974567"/>
    <w:rsid w:val="399A7A15"/>
    <w:rsid w:val="39AA6164"/>
    <w:rsid w:val="39B20F40"/>
    <w:rsid w:val="39B71F7E"/>
    <w:rsid w:val="39B85EE5"/>
    <w:rsid w:val="39BB7E3A"/>
    <w:rsid w:val="39C8164D"/>
    <w:rsid w:val="39CA27A2"/>
    <w:rsid w:val="39CD6E21"/>
    <w:rsid w:val="39E04D3E"/>
    <w:rsid w:val="39EA037F"/>
    <w:rsid w:val="39F134F7"/>
    <w:rsid w:val="39FE4185"/>
    <w:rsid w:val="3A0061DE"/>
    <w:rsid w:val="3A06128C"/>
    <w:rsid w:val="3A0B6D69"/>
    <w:rsid w:val="3A0C1B46"/>
    <w:rsid w:val="3A17591F"/>
    <w:rsid w:val="3A255BB6"/>
    <w:rsid w:val="3A3C73EE"/>
    <w:rsid w:val="3A511C9E"/>
    <w:rsid w:val="3A5C0EAC"/>
    <w:rsid w:val="3A751DD8"/>
    <w:rsid w:val="3A773126"/>
    <w:rsid w:val="3A7D23E5"/>
    <w:rsid w:val="3A807412"/>
    <w:rsid w:val="3A813292"/>
    <w:rsid w:val="3A886145"/>
    <w:rsid w:val="3A8B353F"/>
    <w:rsid w:val="3A8F3AB2"/>
    <w:rsid w:val="3A900BCA"/>
    <w:rsid w:val="3A922B1F"/>
    <w:rsid w:val="3A992100"/>
    <w:rsid w:val="3A9E24F5"/>
    <w:rsid w:val="3AA52E1F"/>
    <w:rsid w:val="3AB67E2C"/>
    <w:rsid w:val="3ABB4A86"/>
    <w:rsid w:val="3ABE579D"/>
    <w:rsid w:val="3AD1189A"/>
    <w:rsid w:val="3AD16151"/>
    <w:rsid w:val="3AD311DC"/>
    <w:rsid w:val="3AD715ED"/>
    <w:rsid w:val="3ADA7576"/>
    <w:rsid w:val="3AED2517"/>
    <w:rsid w:val="3AF55AF2"/>
    <w:rsid w:val="3AFC5249"/>
    <w:rsid w:val="3AFD268F"/>
    <w:rsid w:val="3B110B02"/>
    <w:rsid w:val="3B1B5A6D"/>
    <w:rsid w:val="3B1D688D"/>
    <w:rsid w:val="3B221CD7"/>
    <w:rsid w:val="3B223C86"/>
    <w:rsid w:val="3B44206B"/>
    <w:rsid w:val="3B463F60"/>
    <w:rsid w:val="3B4C30F3"/>
    <w:rsid w:val="3B585B17"/>
    <w:rsid w:val="3B5953EB"/>
    <w:rsid w:val="3B5D4EDB"/>
    <w:rsid w:val="3B5F6EA5"/>
    <w:rsid w:val="3B6645B3"/>
    <w:rsid w:val="3B675476"/>
    <w:rsid w:val="3B7E1450"/>
    <w:rsid w:val="3B806E1C"/>
    <w:rsid w:val="3B844E9C"/>
    <w:rsid w:val="3B850DFC"/>
    <w:rsid w:val="3B8F65D9"/>
    <w:rsid w:val="3B9A612F"/>
    <w:rsid w:val="3BA56A65"/>
    <w:rsid w:val="3BB0325D"/>
    <w:rsid w:val="3BB70D02"/>
    <w:rsid w:val="3BB95AB5"/>
    <w:rsid w:val="3BC31295"/>
    <w:rsid w:val="3BD15C40"/>
    <w:rsid w:val="3BD3519D"/>
    <w:rsid w:val="3BD7580C"/>
    <w:rsid w:val="3BDF7FE6"/>
    <w:rsid w:val="3BE253E0"/>
    <w:rsid w:val="3BE525DB"/>
    <w:rsid w:val="3BE80D0E"/>
    <w:rsid w:val="3BE916F5"/>
    <w:rsid w:val="3BEB24E7"/>
    <w:rsid w:val="3BEB5FEA"/>
    <w:rsid w:val="3BF006BA"/>
    <w:rsid w:val="3BF95C74"/>
    <w:rsid w:val="3C072058"/>
    <w:rsid w:val="3C0B0DDB"/>
    <w:rsid w:val="3C1177F7"/>
    <w:rsid w:val="3C1F03E3"/>
    <w:rsid w:val="3C203AF8"/>
    <w:rsid w:val="3C236125"/>
    <w:rsid w:val="3C257550"/>
    <w:rsid w:val="3C37572C"/>
    <w:rsid w:val="3C381726"/>
    <w:rsid w:val="3C3B2C20"/>
    <w:rsid w:val="3C3D0E11"/>
    <w:rsid w:val="3C425A27"/>
    <w:rsid w:val="3C59132B"/>
    <w:rsid w:val="3C6808A7"/>
    <w:rsid w:val="3C683B38"/>
    <w:rsid w:val="3C744744"/>
    <w:rsid w:val="3C7E15AD"/>
    <w:rsid w:val="3C926E07"/>
    <w:rsid w:val="3C94492D"/>
    <w:rsid w:val="3C97266F"/>
    <w:rsid w:val="3C9F32D2"/>
    <w:rsid w:val="3CAD3C40"/>
    <w:rsid w:val="3CB67C81"/>
    <w:rsid w:val="3CD32C34"/>
    <w:rsid w:val="3CD33019"/>
    <w:rsid w:val="3CD70CBD"/>
    <w:rsid w:val="3CEF6723"/>
    <w:rsid w:val="3CF467B2"/>
    <w:rsid w:val="3CF505DC"/>
    <w:rsid w:val="3D13402A"/>
    <w:rsid w:val="3D177FC6"/>
    <w:rsid w:val="3D233F03"/>
    <w:rsid w:val="3D3437B4"/>
    <w:rsid w:val="3D476D1A"/>
    <w:rsid w:val="3D4E0F7F"/>
    <w:rsid w:val="3D4F6AA6"/>
    <w:rsid w:val="3D537EE9"/>
    <w:rsid w:val="3D5642D8"/>
    <w:rsid w:val="3D595B76"/>
    <w:rsid w:val="3D6D7401"/>
    <w:rsid w:val="3D8175A7"/>
    <w:rsid w:val="3D850719"/>
    <w:rsid w:val="3D8A0472"/>
    <w:rsid w:val="3D8E52AA"/>
    <w:rsid w:val="3D90017F"/>
    <w:rsid w:val="3D9557FB"/>
    <w:rsid w:val="3D9A7961"/>
    <w:rsid w:val="3DA50FB7"/>
    <w:rsid w:val="3DC33B04"/>
    <w:rsid w:val="3DC44227"/>
    <w:rsid w:val="3DC96858"/>
    <w:rsid w:val="3DCA4932"/>
    <w:rsid w:val="3DD75C3B"/>
    <w:rsid w:val="3DD86087"/>
    <w:rsid w:val="3DE511B8"/>
    <w:rsid w:val="3DEA6820"/>
    <w:rsid w:val="3DF335A7"/>
    <w:rsid w:val="3DFC7ECA"/>
    <w:rsid w:val="3E047890"/>
    <w:rsid w:val="3E051AF3"/>
    <w:rsid w:val="3E2F371D"/>
    <w:rsid w:val="3E4B3711"/>
    <w:rsid w:val="3E4B54BF"/>
    <w:rsid w:val="3E4B796F"/>
    <w:rsid w:val="3E502AD5"/>
    <w:rsid w:val="3E611186"/>
    <w:rsid w:val="3E66679D"/>
    <w:rsid w:val="3E734AB2"/>
    <w:rsid w:val="3E92212F"/>
    <w:rsid w:val="3E962575"/>
    <w:rsid w:val="3E9A70F7"/>
    <w:rsid w:val="3E9C3F6D"/>
    <w:rsid w:val="3E9D5CD6"/>
    <w:rsid w:val="3EA51073"/>
    <w:rsid w:val="3EAE5695"/>
    <w:rsid w:val="3EB147D9"/>
    <w:rsid w:val="3EB43064"/>
    <w:rsid w:val="3EBA27E5"/>
    <w:rsid w:val="3ECB249A"/>
    <w:rsid w:val="3ECB2F50"/>
    <w:rsid w:val="3ECF60F0"/>
    <w:rsid w:val="3ED27A61"/>
    <w:rsid w:val="3EE43BF5"/>
    <w:rsid w:val="3EE65EEB"/>
    <w:rsid w:val="3EE72563"/>
    <w:rsid w:val="3EF75647"/>
    <w:rsid w:val="3EF84272"/>
    <w:rsid w:val="3F007804"/>
    <w:rsid w:val="3F073483"/>
    <w:rsid w:val="3F0F0BE2"/>
    <w:rsid w:val="3F130659"/>
    <w:rsid w:val="3F1A3BE6"/>
    <w:rsid w:val="3F1A53BA"/>
    <w:rsid w:val="3F2A1578"/>
    <w:rsid w:val="3F360F38"/>
    <w:rsid w:val="3F36616F"/>
    <w:rsid w:val="3F3E5024"/>
    <w:rsid w:val="3F536E41"/>
    <w:rsid w:val="3F544847"/>
    <w:rsid w:val="3F650802"/>
    <w:rsid w:val="3F696545"/>
    <w:rsid w:val="3F6B3A63"/>
    <w:rsid w:val="3F7212C5"/>
    <w:rsid w:val="3F731171"/>
    <w:rsid w:val="3F736C9E"/>
    <w:rsid w:val="3F77294A"/>
    <w:rsid w:val="3F892743"/>
    <w:rsid w:val="3F9966FE"/>
    <w:rsid w:val="3F9D61EE"/>
    <w:rsid w:val="3FA52189"/>
    <w:rsid w:val="3FAC6EB2"/>
    <w:rsid w:val="3FB672B0"/>
    <w:rsid w:val="3FD24335"/>
    <w:rsid w:val="3FD634AE"/>
    <w:rsid w:val="3FD80FD4"/>
    <w:rsid w:val="3FF027C2"/>
    <w:rsid w:val="3FF17BEA"/>
    <w:rsid w:val="3FF658FE"/>
    <w:rsid w:val="40104C12"/>
    <w:rsid w:val="40112738"/>
    <w:rsid w:val="40147B00"/>
    <w:rsid w:val="401A15ED"/>
    <w:rsid w:val="402E6E46"/>
    <w:rsid w:val="40396FB8"/>
    <w:rsid w:val="40397AD2"/>
    <w:rsid w:val="403F1053"/>
    <w:rsid w:val="404829AC"/>
    <w:rsid w:val="404B149D"/>
    <w:rsid w:val="406E7B8B"/>
    <w:rsid w:val="407927B7"/>
    <w:rsid w:val="407C4056"/>
    <w:rsid w:val="40893A78"/>
    <w:rsid w:val="408A72C5"/>
    <w:rsid w:val="408D1ACD"/>
    <w:rsid w:val="409A63CA"/>
    <w:rsid w:val="40A23390"/>
    <w:rsid w:val="40AA1B67"/>
    <w:rsid w:val="40AB2ABE"/>
    <w:rsid w:val="40B10E01"/>
    <w:rsid w:val="40B7508E"/>
    <w:rsid w:val="40BB579B"/>
    <w:rsid w:val="40C15F0C"/>
    <w:rsid w:val="40C32619"/>
    <w:rsid w:val="40C55510"/>
    <w:rsid w:val="40C5787D"/>
    <w:rsid w:val="40C81049"/>
    <w:rsid w:val="40CD7132"/>
    <w:rsid w:val="40D21EC7"/>
    <w:rsid w:val="40D73C1A"/>
    <w:rsid w:val="40DB769D"/>
    <w:rsid w:val="40E45124"/>
    <w:rsid w:val="40E75795"/>
    <w:rsid w:val="40EB2CD8"/>
    <w:rsid w:val="40EF6587"/>
    <w:rsid w:val="40F305F4"/>
    <w:rsid w:val="40F43382"/>
    <w:rsid w:val="40F938F8"/>
    <w:rsid w:val="40FD1849"/>
    <w:rsid w:val="40FD3D78"/>
    <w:rsid w:val="40FE6422"/>
    <w:rsid w:val="410870D2"/>
    <w:rsid w:val="412175F4"/>
    <w:rsid w:val="412A1D04"/>
    <w:rsid w:val="412B5E67"/>
    <w:rsid w:val="412D2A38"/>
    <w:rsid w:val="412D60B5"/>
    <w:rsid w:val="412E1C47"/>
    <w:rsid w:val="41311285"/>
    <w:rsid w:val="413761CE"/>
    <w:rsid w:val="41377F7D"/>
    <w:rsid w:val="413A5CC9"/>
    <w:rsid w:val="414146A3"/>
    <w:rsid w:val="4147577D"/>
    <w:rsid w:val="415154E2"/>
    <w:rsid w:val="416C4270"/>
    <w:rsid w:val="41731383"/>
    <w:rsid w:val="417B7DFB"/>
    <w:rsid w:val="417C2FC1"/>
    <w:rsid w:val="417D0085"/>
    <w:rsid w:val="418D4E55"/>
    <w:rsid w:val="4191556C"/>
    <w:rsid w:val="419572FE"/>
    <w:rsid w:val="4197536B"/>
    <w:rsid w:val="419929E5"/>
    <w:rsid w:val="41A035C6"/>
    <w:rsid w:val="41A537BA"/>
    <w:rsid w:val="41AE46E3"/>
    <w:rsid w:val="41B11ADD"/>
    <w:rsid w:val="41B6350B"/>
    <w:rsid w:val="41CC6917"/>
    <w:rsid w:val="41E52FE2"/>
    <w:rsid w:val="41F145CF"/>
    <w:rsid w:val="41F21CB5"/>
    <w:rsid w:val="41F8055F"/>
    <w:rsid w:val="41FD1D52"/>
    <w:rsid w:val="42003A11"/>
    <w:rsid w:val="42010CB6"/>
    <w:rsid w:val="42062970"/>
    <w:rsid w:val="420F0972"/>
    <w:rsid w:val="421C10BF"/>
    <w:rsid w:val="421E2B6E"/>
    <w:rsid w:val="42204D86"/>
    <w:rsid w:val="4221337B"/>
    <w:rsid w:val="4223738F"/>
    <w:rsid w:val="42275980"/>
    <w:rsid w:val="42332027"/>
    <w:rsid w:val="423D7815"/>
    <w:rsid w:val="42485183"/>
    <w:rsid w:val="424906F3"/>
    <w:rsid w:val="42544718"/>
    <w:rsid w:val="42675F26"/>
    <w:rsid w:val="426976B5"/>
    <w:rsid w:val="42722497"/>
    <w:rsid w:val="42774880"/>
    <w:rsid w:val="42780528"/>
    <w:rsid w:val="4287590B"/>
    <w:rsid w:val="428A15BF"/>
    <w:rsid w:val="428C7F53"/>
    <w:rsid w:val="42905B96"/>
    <w:rsid w:val="42A16ABB"/>
    <w:rsid w:val="42A17DA3"/>
    <w:rsid w:val="42AA58A6"/>
    <w:rsid w:val="42B53419"/>
    <w:rsid w:val="42C779E1"/>
    <w:rsid w:val="42CB3072"/>
    <w:rsid w:val="42D846F2"/>
    <w:rsid w:val="42DF6AC0"/>
    <w:rsid w:val="42EB3E57"/>
    <w:rsid w:val="42EC1D57"/>
    <w:rsid w:val="42F44377"/>
    <w:rsid w:val="42F45FB4"/>
    <w:rsid w:val="42F64A81"/>
    <w:rsid w:val="42FB28B5"/>
    <w:rsid w:val="430A2CDD"/>
    <w:rsid w:val="430E4A32"/>
    <w:rsid w:val="4313001A"/>
    <w:rsid w:val="431542ED"/>
    <w:rsid w:val="43185181"/>
    <w:rsid w:val="43193DDE"/>
    <w:rsid w:val="432931AA"/>
    <w:rsid w:val="43362BE2"/>
    <w:rsid w:val="434075BC"/>
    <w:rsid w:val="43476B07"/>
    <w:rsid w:val="435C3CCA"/>
    <w:rsid w:val="43657023"/>
    <w:rsid w:val="43703710"/>
    <w:rsid w:val="43790444"/>
    <w:rsid w:val="437F1EFC"/>
    <w:rsid w:val="4385578E"/>
    <w:rsid w:val="43860D47"/>
    <w:rsid w:val="438F63B9"/>
    <w:rsid w:val="43A46B34"/>
    <w:rsid w:val="43A536A7"/>
    <w:rsid w:val="43AD0A53"/>
    <w:rsid w:val="43BC5391"/>
    <w:rsid w:val="43BD464E"/>
    <w:rsid w:val="43C13FD1"/>
    <w:rsid w:val="43C53F65"/>
    <w:rsid w:val="43CA50D8"/>
    <w:rsid w:val="43DE267D"/>
    <w:rsid w:val="43E22422"/>
    <w:rsid w:val="43E3619A"/>
    <w:rsid w:val="43E86AB2"/>
    <w:rsid w:val="43F03657"/>
    <w:rsid w:val="43FD246D"/>
    <w:rsid w:val="43FD725B"/>
    <w:rsid w:val="440C56F0"/>
    <w:rsid w:val="44226CC2"/>
    <w:rsid w:val="4437390E"/>
    <w:rsid w:val="443D52B5"/>
    <w:rsid w:val="44580936"/>
    <w:rsid w:val="44601DDB"/>
    <w:rsid w:val="446612A5"/>
    <w:rsid w:val="44702DC7"/>
    <w:rsid w:val="4476700E"/>
    <w:rsid w:val="447868E3"/>
    <w:rsid w:val="447D214A"/>
    <w:rsid w:val="44880FAF"/>
    <w:rsid w:val="448D11B9"/>
    <w:rsid w:val="44996FB3"/>
    <w:rsid w:val="449B1B50"/>
    <w:rsid w:val="44AB315B"/>
    <w:rsid w:val="44B06EF4"/>
    <w:rsid w:val="44B147C4"/>
    <w:rsid w:val="44BC0EC5"/>
    <w:rsid w:val="44BC2C73"/>
    <w:rsid w:val="44D2343E"/>
    <w:rsid w:val="44DE24B9"/>
    <w:rsid w:val="44DF1057"/>
    <w:rsid w:val="44E20620"/>
    <w:rsid w:val="44EA41C0"/>
    <w:rsid w:val="44F14961"/>
    <w:rsid w:val="44F20D8A"/>
    <w:rsid w:val="44F92119"/>
    <w:rsid w:val="450B2D49"/>
    <w:rsid w:val="451E7A5C"/>
    <w:rsid w:val="451F1453"/>
    <w:rsid w:val="45211F32"/>
    <w:rsid w:val="45232CF2"/>
    <w:rsid w:val="45252F0E"/>
    <w:rsid w:val="45294080"/>
    <w:rsid w:val="452D591E"/>
    <w:rsid w:val="454519B2"/>
    <w:rsid w:val="454A2974"/>
    <w:rsid w:val="45544139"/>
    <w:rsid w:val="45575091"/>
    <w:rsid w:val="4567362F"/>
    <w:rsid w:val="456A7B2D"/>
    <w:rsid w:val="45705EE9"/>
    <w:rsid w:val="45726799"/>
    <w:rsid w:val="4574093D"/>
    <w:rsid w:val="45821073"/>
    <w:rsid w:val="45B57955"/>
    <w:rsid w:val="45C757DB"/>
    <w:rsid w:val="45D5789E"/>
    <w:rsid w:val="45D92EE0"/>
    <w:rsid w:val="45DF46C4"/>
    <w:rsid w:val="45E00BE3"/>
    <w:rsid w:val="45E87A97"/>
    <w:rsid w:val="45ED50AE"/>
    <w:rsid w:val="460348D1"/>
    <w:rsid w:val="46050649"/>
    <w:rsid w:val="460E39A2"/>
    <w:rsid w:val="462636DE"/>
    <w:rsid w:val="462D2AAF"/>
    <w:rsid w:val="464A0752"/>
    <w:rsid w:val="464E0242"/>
    <w:rsid w:val="46567BDC"/>
    <w:rsid w:val="465B3CD6"/>
    <w:rsid w:val="46601D24"/>
    <w:rsid w:val="46603AD2"/>
    <w:rsid w:val="466B2BA2"/>
    <w:rsid w:val="467001B9"/>
    <w:rsid w:val="46921EA0"/>
    <w:rsid w:val="469D3C4C"/>
    <w:rsid w:val="46A61E2C"/>
    <w:rsid w:val="46B75DE7"/>
    <w:rsid w:val="46B8426C"/>
    <w:rsid w:val="46C12A7F"/>
    <w:rsid w:val="46DA2C8E"/>
    <w:rsid w:val="46EA20CA"/>
    <w:rsid w:val="46FA31D8"/>
    <w:rsid w:val="46FD7572"/>
    <w:rsid w:val="470628CB"/>
    <w:rsid w:val="47092ACF"/>
    <w:rsid w:val="470A2EDA"/>
    <w:rsid w:val="470E2FC1"/>
    <w:rsid w:val="4710717A"/>
    <w:rsid w:val="4715611C"/>
    <w:rsid w:val="471843AC"/>
    <w:rsid w:val="47207AF2"/>
    <w:rsid w:val="472B0583"/>
    <w:rsid w:val="47345342"/>
    <w:rsid w:val="473F7B8B"/>
    <w:rsid w:val="4746716B"/>
    <w:rsid w:val="474F4272"/>
    <w:rsid w:val="47501D98"/>
    <w:rsid w:val="47705F96"/>
    <w:rsid w:val="47743271"/>
    <w:rsid w:val="47816B06"/>
    <w:rsid w:val="47925F0D"/>
    <w:rsid w:val="47972309"/>
    <w:rsid w:val="479E443D"/>
    <w:rsid w:val="47A704C2"/>
    <w:rsid w:val="47AD5015"/>
    <w:rsid w:val="47C50090"/>
    <w:rsid w:val="47C55D0D"/>
    <w:rsid w:val="47EE7FD8"/>
    <w:rsid w:val="48037F85"/>
    <w:rsid w:val="481574F1"/>
    <w:rsid w:val="48277687"/>
    <w:rsid w:val="482D766D"/>
    <w:rsid w:val="48360F8E"/>
    <w:rsid w:val="48382F58"/>
    <w:rsid w:val="4838597E"/>
    <w:rsid w:val="4841484B"/>
    <w:rsid w:val="48511459"/>
    <w:rsid w:val="48607861"/>
    <w:rsid w:val="486A0C38"/>
    <w:rsid w:val="487234E4"/>
    <w:rsid w:val="48733F90"/>
    <w:rsid w:val="48734B0C"/>
    <w:rsid w:val="48865607"/>
    <w:rsid w:val="488A1A20"/>
    <w:rsid w:val="488A6A80"/>
    <w:rsid w:val="48997B05"/>
    <w:rsid w:val="489F017A"/>
    <w:rsid w:val="48A26623"/>
    <w:rsid w:val="48A95C04"/>
    <w:rsid w:val="48B61D91"/>
    <w:rsid w:val="48B63E7D"/>
    <w:rsid w:val="48D03190"/>
    <w:rsid w:val="48D43EDE"/>
    <w:rsid w:val="48D4417B"/>
    <w:rsid w:val="48DA5DBD"/>
    <w:rsid w:val="48EF22A9"/>
    <w:rsid w:val="48F66139"/>
    <w:rsid w:val="48FE5033"/>
    <w:rsid w:val="4910358D"/>
    <w:rsid w:val="49184391"/>
    <w:rsid w:val="49366D6C"/>
    <w:rsid w:val="493F3856"/>
    <w:rsid w:val="49406EF3"/>
    <w:rsid w:val="49456B57"/>
    <w:rsid w:val="494726C3"/>
    <w:rsid w:val="494871CB"/>
    <w:rsid w:val="495E22E4"/>
    <w:rsid w:val="495E6C4C"/>
    <w:rsid w:val="49651847"/>
    <w:rsid w:val="496752CE"/>
    <w:rsid w:val="496B0A2E"/>
    <w:rsid w:val="496B208C"/>
    <w:rsid w:val="49776866"/>
    <w:rsid w:val="498412E6"/>
    <w:rsid w:val="49871ABB"/>
    <w:rsid w:val="49956188"/>
    <w:rsid w:val="49995C33"/>
    <w:rsid w:val="499D4335"/>
    <w:rsid w:val="49B06B1E"/>
    <w:rsid w:val="49BF7F36"/>
    <w:rsid w:val="49C10D2B"/>
    <w:rsid w:val="49C72384"/>
    <w:rsid w:val="49EF0E55"/>
    <w:rsid w:val="49EF3AEA"/>
    <w:rsid w:val="49EF65FB"/>
    <w:rsid w:val="49F27A54"/>
    <w:rsid w:val="49F66C27"/>
    <w:rsid w:val="4A064990"/>
    <w:rsid w:val="4A16659F"/>
    <w:rsid w:val="4A177A2E"/>
    <w:rsid w:val="4A187581"/>
    <w:rsid w:val="4A1E77D6"/>
    <w:rsid w:val="4A2319E6"/>
    <w:rsid w:val="4A2A01E9"/>
    <w:rsid w:val="4A3A2110"/>
    <w:rsid w:val="4A4220A1"/>
    <w:rsid w:val="4A4432F0"/>
    <w:rsid w:val="4A4B5300"/>
    <w:rsid w:val="4A530593"/>
    <w:rsid w:val="4A5606EB"/>
    <w:rsid w:val="4A561E76"/>
    <w:rsid w:val="4A636B15"/>
    <w:rsid w:val="4A64355D"/>
    <w:rsid w:val="4A6A1F3F"/>
    <w:rsid w:val="4A6C513B"/>
    <w:rsid w:val="4A77763C"/>
    <w:rsid w:val="4A802994"/>
    <w:rsid w:val="4A8565B6"/>
    <w:rsid w:val="4A936E43"/>
    <w:rsid w:val="4AA16BFF"/>
    <w:rsid w:val="4AAA0845"/>
    <w:rsid w:val="4AAF15AF"/>
    <w:rsid w:val="4AB64608"/>
    <w:rsid w:val="4ABD14F2"/>
    <w:rsid w:val="4ABE4879"/>
    <w:rsid w:val="4ACC5BD9"/>
    <w:rsid w:val="4AEC627C"/>
    <w:rsid w:val="4AFE6152"/>
    <w:rsid w:val="4B001E00"/>
    <w:rsid w:val="4B100586"/>
    <w:rsid w:val="4B201A81"/>
    <w:rsid w:val="4B2430FE"/>
    <w:rsid w:val="4B251736"/>
    <w:rsid w:val="4B38501D"/>
    <w:rsid w:val="4B3A6FE7"/>
    <w:rsid w:val="4B3D6AD7"/>
    <w:rsid w:val="4B46598C"/>
    <w:rsid w:val="4B785786"/>
    <w:rsid w:val="4B785A06"/>
    <w:rsid w:val="4B8B15F1"/>
    <w:rsid w:val="4B8C06DF"/>
    <w:rsid w:val="4B9243A6"/>
    <w:rsid w:val="4B9528E6"/>
    <w:rsid w:val="4B9D2AFF"/>
    <w:rsid w:val="4B9D30F9"/>
    <w:rsid w:val="4BB22A5F"/>
    <w:rsid w:val="4BB25068"/>
    <w:rsid w:val="4BB907A7"/>
    <w:rsid w:val="4BBA07A8"/>
    <w:rsid w:val="4BC35C57"/>
    <w:rsid w:val="4BCB40E3"/>
    <w:rsid w:val="4BCC4495"/>
    <w:rsid w:val="4BCD4D43"/>
    <w:rsid w:val="4BD42F98"/>
    <w:rsid w:val="4BDC1DA5"/>
    <w:rsid w:val="4BDD7467"/>
    <w:rsid w:val="4BDE5BC4"/>
    <w:rsid w:val="4BE76FE2"/>
    <w:rsid w:val="4BE92CC9"/>
    <w:rsid w:val="4BEC1396"/>
    <w:rsid w:val="4BF52F0E"/>
    <w:rsid w:val="4BF63300"/>
    <w:rsid w:val="4BF90C50"/>
    <w:rsid w:val="4C0E6BF0"/>
    <w:rsid w:val="4C1710F2"/>
    <w:rsid w:val="4C173E92"/>
    <w:rsid w:val="4C1930A0"/>
    <w:rsid w:val="4C1B7828"/>
    <w:rsid w:val="4C1C66ED"/>
    <w:rsid w:val="4C2171F4"/>
    <w:rsid w:val="4C431ECB"/>
    <w:rsid w:val="4C464C3E"/>
    <w:rsid w:val="4C476642"/>
    <w:rsid w:val="4C577725"/>
    <w:rsid w:val="4C5C2F8D"/>
    <w:rsid w:val="4C610119"/>
    <w:rsid w:val="4C6202B3"/>
    <w:rsid w:val="4C6F11F6"/>
    <w:rsid w:val="4C7B600A"/>
    <w:rsid w:val="4C8C5620"/>
    <w:rsid w:val="4CB44811"/>
    <w:rsid w:val="4CB643F1"/>
    <w:rsid w:val="4CCB4B47"/>
    <w:rsid w:val="4CCE6546"/>
    <w:rsid w:val="4CDE2597"/>
    <w:rsid w:val="4CE033A3"/>
    <w:rsid w:val="4CFA4C80"/>
    <w:rsid w:val="4D001B6A"/>
    <w:rsid w:val="4D024FAA"/>
    <w:rsid w:val="4D044ABB"/>
    <w:rsid w:val="4D0C050F"/>
    <w:rsid w:val="4D263A50"/>
    <w:rsid w:val="4D2B308B"/>
    <w:rsid w:val="4D3B625B"/>
    <w:rsid w:val="4D4001B9"/>
    <w:rsid w:val="4D503CC1"/>
    <w:rsid w:val="4D545062"/>
    <w:rsid w:val="4D55598A"/>
    <w:rsid w:val="4D6143BC"/>
    <w:rsid w:val="4D6F1E09"/>
    <w:rsid w:val="4D7713D6"/>
    <w:rsid w:val="4D785BA5"/>
    <w:rsid w:val="4D8502C3"/>
    <w:rsid w:val="4D865376"/>
    <w:rsid w:val="4D8A6D4B"/>
    <w:rsid w:val="4D8E53C8"/>
    <w:rsid w:val="4D912CC0"/>
    <w:rsid w:val="4D9A1FBF"/>
    <w:rsid w:val="4DA31D1B"/>
    <w:rsid w:val="4DA42A79"/>
    <w:rsid w:val="4DAE3D6C"/>
    <w:rsid w:val="4DB210B7"/>
    <w:rsid w:val="4DBE7648"/>
    <w:rsid w:val="4DC628ED"/>
    <w:rsid w:val="4DD85A1D"/>
    <w:rsid w:val="4DDA0653"/>
    <w:rsid w:val="4DDA685F"/>
    <w:rsid w:val="4DEB1CF5"/>
    <w:rsid w:val="4DFA097D"/>
    <w:rsid w:val="4DFA35A2"/>
    <w:rsid w:val="4E0D4B11"/>
    <w:rsid w:val="4E1C0C26"/>
    <w:rsid w:val="4E1C5E4B"/>
    <w:rsid w:val="4E243A7A"/>
    <w:rsid w:val="4E387539"/>
    <w:rsid w:val="4E3C57C3"/>
    <w:rsid w:val="4E475808"/>
    <w:rsid w:val="4E524648"/>
    <w:rsid w:val="4E6036C6"/>
    <w:rsid w:val="4E6B19D2"/>
    <w:rsid w:val="4E7E3BB9"/>
    <w:rsid w:val="4E850579"/>
    <w:rsid w:val="4E8F13F8"/>
    <w:rsid w:val="4E93488F"/>
    <w:rsid w:val="4E951F64"/>
    <w:rsid w:val="4E962786"/>
    <w:rsid w:val="4E9C1C47"/>
    <w:rsid w:val="4EA45B1A"/>
    <w:rsid w:val="4EAA23C5"/>
    <w:rsid w:val="4EAA4484"/>
    <w:rsid w:val="4EAB3F28"/>
    <w:rsid w:val="4EB470B0"/>
    <w:rsid w:val="4EBB1E76"/>
    <w:rsid w:val="4ED4505D"/>
    <w:rsid w:val="4ED75A8F"/>
    <w:rsid w:val="4EDE5BC3"/>
    <w:rsid w:val="4EE03A01"/>
    <w:rsid w:val="4EEA4880"/>
    <w:rsid w:val="4EF70D4B"/>
    <w:rsid w:val="4F005B3B"/>
    <w:rsid w:val="4F02606E"/>
    <w:rsid w:val="4F082F58"/>
    <w:rsid w:val="4F106710"/>
    <w:rsid w:val="4F170F1E"/>
    <w:rsid w:val="4F214CA4"/>
    <w:rsid w:val="4F3E67AA"/>
    <w:rsid w:val="4F4C1097"/>
    <w:rsid w:val="4F563356"/>
    <w:rsid w:val="4F587F31"/>
    <w:rsid w:val="4F631D57"/>
    <w:rsid w:val="4F6511CC"/>
    <w:rsid w:val="4F6519D5"/>
    <w:rsid w:val="4F6939F7"/>
    <w:rsid w:val="4F724D9C"/>
    <w:rsid w:val="4F7800DE"/>
    <w:rsid w:val="4F90367A"/>
    <w:rsid w:val="4F960564"/>
    <w:rsid w:val="4F9F566B"/>
    <w:rsid w:val="4FB235F0"/>
    <w:rsid w:val="4FB732C2"/>
    <w:rsid w:val="4FC979FE"/>
    <w:rsid w:val="4FCB5091"/>
    <w:rsid w:val="4FDC0404"/>
    <w:rsid w:val="4FEB08B0"/>
    <w:rsid w:val="4FF15F71"/>
    <w:rsid w:val="4FF97471"/>
    <w:rsid w:val="4FFC2ABD"/>
    <w:rsid w:val="500C5A9C"/>
    <w:rsid w:val="50130E56"/>
    <w:rsid w:val="502A53FE"/>
    <w:rsid w:val="5038161B"/>
    <w:rsid w:val="50406E4E"/>
    <w:rsid w:val="5046028B"/>
    <w:rsid w:val="504849EA"/>
    <w:rsid w:val="50526470"/>
    <w:rsid w:val="505653FD"/>
    <w:rsid w:val="505D4760"/>
    <w:rsid w:val="50697EBE"/>
    <w:rsid w:val="506D5769"/>
    <w:rsid w:val="506F14E1"/>
    <w:rsid w:val="50724B2D"/>
    <w:rsid w:val="5072546B"/>
    <w:rsid w:val="507B7E86"/>
    <w:rsid w:val="507C1E50"/>
    <w:rsid w:val="50804820"/>
    <w:rsid w:val="508425C3"/>
    <w:rsid w:val="50B10B52"/>
    <w:rsid w:val="50B11AF9"/>
    <w:rsid w:val="50B40155"/>
    <w:rsid w:val="50B60EBE"/>
    <w:rsid w:val="50BC3FFA"/>
    <w:rsid w:val="50D14389"/>
    <w:rsid w:val="50D61560"/>
    <w:rsid w:val="50D83A2F"/>
    <w:rsid w:val="50D922CE"/>
    <w:rsid w:val="50E227AC"/>
    <w:rsid w:val="50E7551B"/>
    <w:rsid w:val="50F25C6E"/>
    <w:rsid w:val="50F639B0"/>
    <w:rsid w:val="51103707"/>
    <w:rsid w:val="511269E9"/>
    <w:rsid w:val="511D44EC"/>
    <w:rsid w:val="513C259C"/>
    <w:rsid w:val="51464F5A"/>
    <w:rsid w:val="515245C0"/>
    <w:rsid w:val="51537D4F"/>
    <w:rsid w:val="515D6729"/>
    <w:rsid w:val="516F72BF"/>
    <w:rsid w:val="51840A50"/>
    <w:rsid w:val="51856AE2"/>
    <w:rsid w:val="5192187A"/>
    <w:rsid w:val="51932ED0"/>
    <w:rsid w:val="51980673"/>
    <w:rsid w:val="51990E91"/>
    <w:rsid w:val="51A626FF"/>
    <w:rsid w:val="51A62B12"/>
    <w:rsid w:val="51A72608"/>
    <w:rsid w:val="51B722DE"/>
    <w:rsid w:val="51BA2C30"/>
    <w:rsid w:val="51BA49DE"/>
    <w:rsid w:val="51BD69E0"/>
    <w:rsid w:val="51C25640"/>
    <w:rsid w:val="51D51818"/>
    <w:rsid w:val="51E22044"/>
    <w:rsid w:val="51F06651"/>
    <w:rsid w:val="51F75F23"/>
    <w:rsid w:val="52020133"/>
    <w:rsid w:val="52093373"/>
    <w:rsid w:val="52171E30"/>
    <w:rsid w:val="521C2FA3"/>
    <w:rsid w:val="521E31BF"/>
    <w:rsid w:val="52263E21"/>
    <w:rsid w:val="523302EC"/>
    <w:rsid w:val="52340DF5"/>
    <w:rsid w:val="523A5769"/>
    <w:rsid w:val="524322D0"/>
    <w:rsid w:val="52495D62"/>
    <w:rsid w:val="52544EFE"/>
    <w:rsid w:val="52583355"/>
    <w:rsid w:val="52773C52"/>
    <w:rsid w:val="527C7EE5"/>
    <w:rsid w:val="528C30D7"/>
    <w:rsid w:val="529808A7"/>
    <w:rsid w:val="52A478EB"/>
    <w:rsid w:val="52A52B61"/>
    <w:rsid w:val="52AD009F"/>
    <w:rsid w:val="52B25150"/>
    <w:rsid w:val="52B551A5"/>
    <w:rsid w:val="52C378C2"/>
    <w:rsid w:val="52C42A56"/>
    <w:rsid w:val="52C70A40"/>
    <w:rsid w:val="52C760EF"/>
    <w:rsid w:val="52C8137C"/>
    <w:rsid w:val="52CD0741"/>
    <w:rsid w:val="52D531FF"/>
    <w:rsid w:val="52D80132"/>
    <w:rsid w:val="52F325E7"/>
    <w:rsid w:val="52FE591A"/>
    <w:rsid w:val="52FF27B4"/>
    <w:rsid w:val="5302488E"/>
    <w:rsid w:val="53037459"/>
    <w:rsid w:val="5308270A"/>
    <w:rsid w:val="53190296"/>
    <w:rsid w:val="5325232B"/>
    <w:rsid w:val="532C5467"/>
    <w:rsid w:val="5345498A"/>
    <w:rsid w:val="53491493"/>
    <w:rsid w:val="534F63B9"/>
    <w:rsid w:val="53707572"/>
    <w:rsid w:val="53737FF0"/>
    <w:rsid w:val="53971E88"/>
    <w:rsid w:val="539A6B9F"/>
    <w:rsid w:val="53A25729"/>
    <w:rsid w:val="53AD30CC"/>
    <w:rsid w:val="53B813F1"/>
    <w:rsid w:val="53C102A5"/>
    <w:rsid w:val="53C121BA"/>
    <w:rsid w:val="53C874EC"/>
    <w:rsid w:val="53CB2ED2"/>
    <w:rsid w:val="53DD49B3"/>
    <w:rsid w:val="53E03CC9"/>
    <w:rsid w:val="53E144A4"/>
    <w:rsid w:val="53E378A6"/>
    <w:rsid w:val="53E775E0"/>
    <w:rsid w:val="53E92DED"/>
    <w:rsid w:val="53F67A80"/>
    <w:rsid w:val="53FE4367"/>
    <w:rsid w:val="54070484"/>
    <w:rsid w:val="540C09E6"/>
    <w:rsid w:val="5418775C"/>
    <w:rsid w:val="54221F90"/>
    <w:rsid w:val="54297BF9"/>
    <w:rsid w:val="542B3971"/>
    <w:rsid w:val="543341E6"/>
    <w:rsid w:val="54375CA9"/>
    <w:rsid w:val="543C70B5"/>
    <w:rsid w:val="54460422"/>
    <w:rsid w:val="5454026B"/>
    <w:rsid w:val="54626DFA"/>
    <w:rsid w:val="54630F25"/>
    <w:rsid w:val="54666186"/>
    <w:rsid w:val="546F0237"/>
    <w:rsid w:val="547A60F6"/>
    <w:rsid w:val="54803D82"/>
    <w:rsid w:val="548545DE"/>
    <w:rsid w:val="54890697"/>
    <w:rsid w:val="548F4039"/>
    <w:rsid w:val="549E4DB5"/>
    <w:rsid w:val="54A44DCE"/>
    <w:rsid w:val="54A819D0"/>
    <w:rsid w:val="54B703B7"/>
    <w:rsid w:val="54E12281"/>
    <w:rsid w:val="54EA116B"/>
    <w:rsid w:val="54F73EBB"/>
    <w:rsid w:val="54F975CB"/>
    <w:rsid w:val="54FC1518"/>
    <w:rsid w:val="54FF095A"/>
    <w:rsid w:val="55050666"/>
    <w:rsid w:val="550B7745"/>
    <w:rsid w:val="550F1F72"/>
    <w:rsid w:val="550F6B75"/>
    <w:rsid w:val="551E1C88"/>
    <w:rsid w:val="552A6999"/>
    <w:rsid w:val="552E04E7"/>
    <w:rsid w:val="55322ADD"/>
    <w:rsid w:val="55354717"/>
    <w:rsid w:val="55393E6B"/>
    <w:rsid w:val="553C395C"/>
    <w:rsid w:val="55621D0E"/>
    <w:rsid w:val="55635DB9"/>
    <w:rsid w:val="55656194"/>
    <w:rsid w:val="55665EE0"/>
    <w:rsid w:val="556A4576"/>
    <w:rsid w:val="55833339"/>
    <w:rsid w:val="558508DF"/>
    <w:rsid w:val="55870769"/>
    <w:rsid w:val="5591604C"/>
    <w:rsid w:val="559259F7"/>
    <w:rsid w:val="55A72A24"/>
    <w:rsid w:val="55A754D7"/>
    <w:rsid w:val="55AD03B6"/>
    <w:rsid w:val="55B06110"/>
    <w:rsid w:val="55B57EBA"/>
    <w:rsid w:val="55BA0DFB"/>
    <w:rsid w:val="55C51BA3"/>
    <w:rsid w:val="55C755C6"/>
    <w:rsid w:val="55E2789E"/>
    <w:rsid w:val="55E307EA"/>
    <w:rsid w:val="55F45FE4"/>
    <w:rsid w:val="55FE3540"/>
    <w:rsid w:val="560124DF"/>
    <w:rsid w:val="560573A5"/>
    <w:rsid w:val="56085BF4"/>
    <w:rsid w:val="56107F60"/>
    <w:rsid w:val="56156687"/>
    <w:rsid w:val="561B7A15"/>
    <w:rsid w:val="562C1C22"/>
    <w:rsid w:val="562C56CA"/>
    <w:rsid w:val="563123DC"/>
    <w:rsid w:val="563A7E9B"/>
    <w:rsid w:val="5644297F"/>
    <w:rsid w:val="56506A7B"/>
    <w:rsid w:val="565B2B1B"/>
    <w:rsid w:val="56633896"/>
    <w:rsid w:val="56644F18"/>
    <w:rsid w:val="56721497"/>
    <w:rsid w:val="56743DF1"/>
    <w:rsid w:val="5676340F"/>
    <w:rsid w:val="567B607E"/>
    <w:rsid w:val="5683492D"/>
    <w:rsid w:val="568425ED"/>
    <w:rsid w:val="568D22DF"/>
    <w:rsid w:val="56981066"/>
    <w:rsid w:val="569A1B2D"/>
    <w:rsid w:val="56A215E3"/>
    <w:rsid w:val="56A76246"/>
    <w:rsid w:val="56A778A0"/>
    <w:rsid w:val="56AE5190"/>
    <w:rsid w:val="56B20379"/>
    <w:rsid w:val="56C836F9"/>
    <w:rsid w:val="56CD246E"/>
    <w:rsid w:val="56DE5E88"/>
    <w:rsid w:val="56E542AB"/>
    <w:rsid w:val="56F62596"/>
    <w:rsid w:val="57074F61"/>
    <w:rsid w:val="5713049E"/>
    <w:rsid w:val="572823EA"/>
    <w:rsid w:val="573B036F"/>
    <w:rsid w:val="573C45A4"/>
    <w:rsid w:val="573D7768"/>
    <w:rsid w:val="57416AEB"/>
    <w:rsid w:val="57511940"/>
    <w:rsid w:val="5757697E"/>
    <w:rsid w:val="575D4045"/>
    <w:rsid w:val="576C1E33"/>
    <w:rsid w:val="576D604E"/>
    <w:rsid w:val="57723665"/>
    <w:rsid w:val="57781E7A"/>
    <w:rsid w:val="57801197"/>
    <w:rsid w:val="578A6C00"/>
    <w:rsid w:val="578E59A2"/>
    <w:rsid w:val="57925AB5"/>
    <w:rsid w:val="57AE07FF"/>
    <w:rsid w:val="57B21AE6"/>
    <w:rsid w:val="57B51D6F"/>
    <w:rsid w:val="57BB325E"/>
    <w:rsid w:val="57C9597B"/>
    <w:rsid w:val="57D0118D"/>
    <w:rsid w:val="57D07B57"/>
    <w:rsid w:val="57E01EF4"/>
    <w:rsid w:val="57E246F9"/>
    <w:rsid w:val="57EA063D"/>
    <w:rsid w:val="57F0550D"/>
    <w:rsid w:val="57FB365A"/>
    <w:rsid w:val="57FD73D2"/>
    <w:rsid w:val="58112E7E"/>
    <w:rsid w:val="5814471C"/>
    <w:rsid w:val="581D375C"/>
    <w:rsid w:val="58206796"/>
    <w:rsid w:val="58207091"/>
    <w:rsid w:val="582232D6"/>
    <w:rsid w:val="5837423F"/>
    <w:rsid w:val="58413FE2"/>
    <w:rsid w:val="584274DB"/>
    <w:rsid w:val="58564764"/>
    <w:rsid w:val="58580AAD"/>
    <w:rsid w:val="58622F91"/>
    <w:rsid w:val="586236D9"/>
    <w:rsid w:val="586248E2"/>
    <w:rsid w:val="587040E6"/>
    <w:rsid w:val="58705DF6"/>
    <w:rsid w:val="58724ED5"/>
    <w:rsid w:val="58856D1A"/>
    <w:rsid w:val="58891716"/>
    <w:rsid w:val="589D576F"/>
    <w:rsid w:val="589F604D"/>
    <w:rsid w:val="58A513BA"/>
    <w:rsid w:val="58B02697"/>
    <w:rsid w:val="58BA2095"/>
    <w:rsid w:val="58CC790E"/>
    <w:rsid w:val="58CE6A98"/>
    <w:rsid w:val="58D17048"/>
    <w:rsid w:val="58D53208"/>
    <w:rsid w:val="58D97E3F"/>
    <w:rsid w:val="58DA737E"/>
    <w:rsid w:val="58DF2F7C"/>
    <w:rsid w:val="58E42164"/>
    <w:rsid w:val="58F272EA"/>
    <w:rsid w:val="58F5279F"/>
    <w:rsid w:val="58F9403E"/>
    <w:rsid w:val="58FE1CA0"/>
    <w:rsid w:val="58FE5EB3"/>
    <w:rsid w:val="59073A6D"/>
    <w:rsid w:val="590A624B"/>
    <w:rsid w:val="590B1F96"/>
    <w:rsid w:val="593212FE"/>
    <w:rsid w:val="594563CA"/>
    <w:rsid w:val="59485853"/>
    <w:rsid w:val="59590F80"/>
    <w:rsid w:val="59605CC1"/>
    <w:rsid w:val="59626555"/>
    <w:rsid w:val="596767DA"/>
    <w:rsid w:val="596D2336"/>
    <w:rsid w:val="598D0C2A"/>
    <w:rsid w:val="59916024"/>
    <w:rsid w:val="59B2243E"/>
    <w:rsid w:val="59BA70D4"/>
    <w:rsid w:val="59C77C98"/>
    <w:rsid w:val="59CA3C2C"/>
    <w:rsid w:val="59CB7C35"/>
    <w:rsid w:val="59DF7417"/>
    <w:rsid w:val="59E90F29"/>
    <w:rsid w:val="5A2A1E7E"/>
    <w:rsid w:val="5A2E65CD"/>
    <w:rsid w:val="5A380B96"/>
    <w:rsid w:val="5A3B5EFF"/>
    <w:rsid w:val="5A4A1D86"/>
    <w:rsid w:val="5A4F2019"/>
    <w:rsid w:val="5A5F6122"/>
    <w:rsid w:val="5A682E48"/>
    <w:rsid w:val="5A736072"/>
    <w:rsid w:val="5A7A6A7D"/>
    <w:rsid w:val="5A8C2C8F"/>
    <w:rsid w:val="5A8F6DEE"/>
    <w:rsid w:val="5A935588"/>
    <w:rsid w:val="5AA951C3"/>
    <w:rsid w:val="5AB3021C"/>
    <w:rsid w:val="5AC407A7"/>
    <w:rsid w:val="5AC716D6"/>
    <w:rsid w:val="5ACC12DE"/>
    <w:rsid w:val="5ACC1A3E"/>
    <w:rsid w:val="5ADD34EB"/>
    <w:rsid w:val="5AE44879"/>
    <w:rsid w:val="5AF3793E"/>
    <w:rsid w:val="5AF75792"/>
    <w:rsid w:val="5AF947C9"/>
    <w:rsid w:val="5AFA409D"/>
    <w:rsid w:val="5AFB6684"/>
    <w:rsid w:val="5AFE66DB"/>
    <w:rsid w:val="5AFF7905"/>
    <w:rsid w:val="5B0D2665"/>
    <w:rsid w:val="5B0F5D9A"/>
    <w:rsid w:val="5B1E3AA3"/>
    <w:rsid w:val="5B207004"/>
    <w:rsid w:val="5B350406"/>
    <w:rsid w:val="5B3A26EB"/>
    <w:rsid w:val="5B3A465E"/>
    <w:rsid w:val="5B3C438A"/>
    <w:rsid w:val="5B475D65"/>
    <w:rsid w:val="5B4E7697"/>
    <w:rsid w:val="5B5163B3"/>
    <w:rsid w:val="5B5E16B7"/>
    <w:rsid w:val="5B6011B2"/>
    <w:rsid w:val="5B6339F0"/>
    <w:rsid w:val="5B70435F"/>
    <w:rsid w:val="5B7058AE"/>
    <w:rsid w:val="5B7415E4"/>
    <w:rsid w:val="5B7B2587"/>
    <w:rsid w:val="5B867ED9"/>
    <w:rsid w:val="5B891426"/>
    <w:rsid w:val="5B8B1199"/>
    <w:rsid w:val="5B907CC8"/>
    <w:rsid w:val="5B9462A0"/>
    <w:rsid w:val="5B9D3BB4"/>
    <w:rsid w:val="5BAB3E2A"/>
    <w:rsid w:val="5BAD7361"/>
    <w:rsid w:val="5BBE2C55"/>
    <w:rsid w:val="5BD35B0E"/>
    <w:rsid w:val="5BDF4CD3"/>
    <w:rsid w:val="5BEE3AE8"/>
    <w:rsid w:val="5BF311C5"/>
    <w:rsid w:val="5BF83360"/>
    <w:rsid w:val="5C1B076F"/>
    <w:rsid w:val="5C266BA5"/>
    <w:rsid w:val="5C34538D"/>
    <w:rsid w:val="5C3B2DCC"/>
    <w:rsid w:val="5C3C48A0"/>
    <w:rsid w:val="5C3C676C"/>
    <w:rsid w:val="5C5101CD"/>
    <w:rsid w:val="5C510FE4"/>
    <w:rsid w:val="5C596FB2"/>
    <w:rsid w:val="5C7B745F"/>
    <w:rsid w:val="5C841E06"/>
    <w:rsid w:val="5C927D30"/>
    <w:rsid w:val="5C9833B9"/>
    <w:rsid w:val="5CA249EC"/>
    <w:rsid w:val="5CA73DB1"/>
    <w:rsid w:val="5CAB0425"/>
    <w:rsid w:val="5CAB1AF3"/>
    <w:rsid w:val="5CB63FF4"/>
    <w:rsid w:val="5CB96D77"/>
    <w:rsid w:val="5CBC5284"/>
    <w:rsid w:val="5CBD5382"/>
    <w:rsid w:val="5CD8418D"/>
    <w:rsid w:val="5CD9335B"/>
    <w:rsid w:val="5D033226"/>
    <w:rsid w:val="5D0A0615"/>
    <w:rsid w:val="5D0A1C05"/>
    <w:rsid w:val="5D130CC2"/>
    <w:rsid w:val="5D131F3E"/>
    <w:rsid w:val="5D134B5D"/>
    <w:rsid w:val="5D1B58BB"/>
    <w:rsid w:val="5D261179"/>
    <w:rsid w:val="5D27443D"/>
    <w:rsid w:val="5D3E6ACE"/>
    <w:rsid w:val="5D415FB3"/>
    <w:rsid w:val="5D4804BB"/>
    <w:rsid w:val="5D4C332A"/>
    <w:rsid w:val="5D63417B"/>
    <w:rsid w:val="5D67458F"/>
    <w:rsid w:val="5D6879E4"/>
    <w:rsid w:val="5D6E7BA4"/>
    <w:rsid w:val="5D731C08"/>
    <w:rsid w:val="5D7A7078"/>
    <w:rsid w:val="5D867E6A"/>
    <w:rsid w:val="5D8D2FA6"/>
    <w:rsid w:val="5DA56E3A"/>
    <w:rsid w:val="5DA6050C"/>
    <w:rsid w:val="5DA87DE0"/>
    <w:rsid w:val="5DB02008"/>
    <w:rsid w:val="5DD60DF1"/>
    <w:rsid w:val="5DDB6408"/>
    <w:rsid w:val="5DDC4D27"/>
    <w:rsid w:val="5DE11544"/>
    <w:rsid w:val="5DFC2EA3"/>
    <w:rsid w:val="5E081DBD"/>
    <w:rsid w:val="5E106CD8"/>
    <w:rsid w:val="5E1436C8"/>
    <w:rsid w:val="5E177185"/>
    <w:rsid w:val="5E1F590B"/>
    <w:rsid w:val="5E203E1A"/>
    <w:rsid w:val="5E22500C"/>
    <w:rsid w:val="5E286C26"/>
    <w:rsid w:val="5E2F5BAB"/>
    <w:rsid w:val="5E3946C7"/>
    <w:rsid w:val="5E4D6843"/>
    <w:rsid w:val="5E74419C"/>
    <w:rsid w:val="5E761C8C"/>
    <w:rsid w:val="5E8D0544"/>
    <w:rsid w:val="5E9A0BFE"/>
    <w:rsid w:val="5EBC25D6"/>
    <w:rsid w:val="5EC621CB"/>
    <w:rsid w:val="5EDD371E"/>
    <w:rsid w:val="5EDD61AF"/>
    <w:rsid w:val="5EDE0503"/>
    <w:rsid w:val="5EE94B96"/>
    <w:rsid w:val="5EEC1F4F"/>
    <w:rsid w:val="5EFA0B0F"/>
    <w:rsid w:val="5F092B3E"/>
    <w:rsid w:val="5F1A2E20"/>
    <w:rsid w:val="5F1A2F60"/>
    <w:rsid w:val="5F1C0CF6"/>
    <w:rsid w:val="5F2913F5"/>
    <w:rsid w:val="5F2B2A77"/>
    <w:rsid w:val="5F2D2542"/>
    <w:rsid w:val="5F304531"/>
    <w:rsid w:val="5F316E49"/>
    <w:rsid w:val="5F3202A9"/>
    <w:rsid w:val="5F3E6C4E"/>
    <w:rsid w:val="5F441D8B"/>
    <w:rsid w:val="5F4924A6"/>
    <w:rsid w:val="5F4B3119"/>
    <w:rsid w:val="5F4B69DB"/>
    <w:rsid w:val="5F5A7800"/>
    <w:rsid w:val="5F610B8F"/>
    <w:rsid w:val="5F61293D"/>
    <w:rsid w:val="5F6D7427"/>
    <w:rsid w:val="5F767138"/>
    <w:rsid w:val="5F776171"/>
    <w:rsid w:val="5F7E0A90"/>
    <w:rsid w:val="5F8B0850"/>
    <w:rsid w:val="5F901381"/>
    <w:rsid w:val="5F9C5277"/>
    <w:rsid w:val="5FAF36A8"/>
    <w:rsid w:val="5FBB2996"/>
    <w:rsid w:val="5FBD6D3D"/>
    <w:rsid w:val="5FC829BC"/>
    <w:rsid w:val="5FC86518"/>
    <w:rsid w:val="5FD72BFF"/>
    <w:rsid w:val="5FD757C3"/>
    <w:rsid w:val="5FDB2A76"/>
    <w:rsid w:val="5FE02CDF"/>
    <w:rsid w:val="5FE13CAB"/>
    <w:rsid w:val="5FE8661E"/>
    <w:rsid w:val="5FEC48FC"/>
    <w:rsid w:val="5FF35701"/>
    <w:rsid w:val="5FF91E73"/>
    <w:rsid w:val="5FFF053F"/>
    <w:rsid w:val="60043CF7"/>
    <w:rsid w:val="6005776C"/>
    <w:rsid w:val="60060DDB"/>
    <w:rsid w:val="60145C01"/>
    <w:rsid w:val="601B6F8F"/>
    <w:rsid w:val="601C2DC1"/>
    <w:rsid w:val="60234096"/>
    <w:rsid w:val="60234345"/>
    <w:rsid w:val="604A33D1"/>
    <w:rsid w:val="604F6C39"/>
    <w:rsid w:val="6056012F"/>
    <w:rsid w:val="60575AEE"/>
    <w:rsid w:val="607B6286"/>
    <w:rsid w:val="608368E3"/>
    <w:rsid w:val="60855B90"/>
    <w:rsid w:val="60856724"/>
    <w:rsid w:val="608B0C2E"/>
    <w:rsid w:val="608C4E2A"/>
    <w:rsid w:val="608D150F"/>
    <w:rsid w:val="608F34D9"/>
    <w:rsid w:val="60943235"/>
    <w:rsid w:val="60B3541A"/>
    <w:rsid w:val="60CA62C0"/>
    <w:rsid w:val="60D14AE5"/>
    <w:rsid w:val="60D36CFD"/>
    <w:rsid w:val="60DD6C14"/>
    <w:rsid w:val="60EA1488"/>
    <w:rsid w:val="60F34A00"/>
    <w:rsid w:val="60FF240D"/>
    <w:rsid w:val="6102465E"/>
    <w:rsid w:val="610717CB"/>
    <w:rsid w:val="61080584"/>
    <w:rsid w:val="61096DE8"/>
    <w:rsid w:val="61142B0A"/>
    <w:rsid w:val="61314591"/>
    <w:rsid w:val="61484CE4"/>
    <w:rsid w:val="614A05E2"/>
    <w:rsid w:val="61680128"/>
    <w:rsid w:val="616D381B"/>
    <w:rsid w:val="61731105"/>
    <w:rsid w:val="6176321C"/>
    <w:rsid w:val="617A182A"/>
    <w:rsid w:val="617C580C"/>
    <w:rsid w:val="617F70AA"/>
    <w:rsid w:val="61842912"/>
    <w:rsid w:val="6191468E"/>
    <w:rsid w:val="6192359D"/>
    <w:rsid w:val="619A3EE4"/>
    <w:rsid w:val="61A62889"/>
    <w:rsid w:val="61A82AA5"/>
    <w:rsid w:val="61B054B5"/>
    <w:rsid w:val="61B47BF9"/>
    <w:rsid w:val="61B52ACC"/>
    <w:rsid w:val="61BC4F02"/>
    <w:rsid w:val="61C032D8"/>
    <w:rsid w:val="61C356D6"/>
    <w:rsid w:val="61C55405"/>
    <w:rsid w:val="61DE0933"/>
    <w:rsid w:val="61E30195"/>
    <w:rsid w:val="61F112E0"/>
    <w:rsid w:val="61F45CEA"/>
    <w:rsid w:val="6200782D"/>
    <w:rsid w:val="6203312B"/>
    <w:rsid w:val="62035F2D"/>
    <w:rsid w:val="620C17C8"/>
    <w:rsid w:val="6211064A"/>
    <w:rsid w:val="621179C1"/>
    <w:rsid w:val="62124839"/>
    <w:rsid w:val="62165C60"/>
    <w:rsid w:val="621A0DD7"/>
    <w:rsid w:val="623065F6"/>
    <w:rsid w:val="623670BD"/>
    <w:rsid w:val="62426A55"/>
    <w:rsid w:val="625A4D07"/>
    <w:rsid w:val="62624253"/>
    <w:rsid w:val="626761E0"/>
    <w:rsid w:val="62691B04"/>
    <w:rsid w:val="626B762E"/>
    <w:rsid w:val="62744814"/>
    <w:rsid w:val="628A26CC"/>
    <w:rsid w:val="62920225"/>
    <w:rsid w:val="629C4A32"/>
    <w:rsid w:val="62A27323"/>
    <w:rsid w:val="62A33B72"/>
    <w:rsid w:val="62A74B0A"/>
    <w:rsid w:val="62B11967"/>
    <w:rsid w:val="62B92A90"/>
    <w:rsid w:val="62B92CB7"/>
    <w:rsid w:val="62C27093"/>
    <w:rsid w:val="62D90BB8"/>
    <w:rsid w:val="62FB30A8"/>
    <w:rsid w:val="630026F1"/>
    <w:rsid w:val="630F445E"/>
    <w:rsid w:val="630F4A8D"/>
    <w:rsid w:val="63100901"/>
    <w:rsid w:val="63133F4E"/>
    <w:rsid w:val="63201601"/>
    <w:rsid w:val="6321770A"/>
    <w:rsid w:val="63361DAD"/>
    <w:rsid w:val="6348748F"/>
    <w:rsid w:val="634B40C9"/>
    <w:rsid w:val="635310EE"/>
    <w:rsid w:val="635660C5"/>
    <w:rsid w:val="63632655"/>
    <w:rsid w:val="6365612C"/>
    <w:rsid w:val="636676B9"/>
    <w:rsid w:val="637C50D4"/>
    <w:rsid w:val="637D7527"/>
    <w:rsid w:val="63884B55"/>
    <w:rsid w:val="63912164"/>
    <w:rsid w:val="6391602E"/>
    <w:rsid w:val="63927568"/>
    <w:rsid w:val="63A262EC"/>
    <w:rsid w:val="63B31953"/>
    <w:rsid w:val="63C17E4E"/>
    <w:rsid w:val="63CC7CF8"/>
    <w:rsid w:val="63CE715B"/>
    <w:rsid w:val="63D93329"/>
    <w:rsid w:val="63DB14DC"/>
    <w:rsid w:val="63DE010A"/>
    <w:rsid w:val="63DF2082"/>
    <w:rsid w:val="63E92F01"/>
    <w:rsid w:val="63F87FE7"/>
    <w:rsid w:val="63F9470A"/>
    <w:rsid w:val="63FA3360"/>
    <w:rsid w:val="64047D3A"/>
    <w:rsid w:val="64110FE2"/>
    <w:rsid w:val="64194E18"/>
    <w:rsid w:val="64233AEB"/>
    <w:rsid w:val="64272C97"/>
    <w:rsid w:val="64300555"/>
    <w:rsid w:val="6436036D"/>
    <w:rsid w:val="643E149E"/>
    <w:rsid w:val="64424ADE"/>
    <w:rsid w:val="64460353"/>
    <w:rsid w:val="644F5BB6"/>
    <w:rsid w:val="64626256"/>
    <w:rsid w:val="64794284"/>
    <w:rsid w:val="64796648"/>
    <w:rsid w:val="647F336B"/>
    <w:rsid w:val="6481138B"/>
    <w:rsid w:val="64986E59"/>
    <w:rsid w:val="649A7A33"/>
    <w:rsid w:val="64A5552C"/>
    <w:rsid w:val="64A623A4"/>
    <w:rsid w:val="64A91509"/>
    <w:rsid w:val="64B654D9"/>
    <w:rsid w:val="64C71494"/>
    <w:rsid w:val="64C77A69"/>
    <w:rsid w:val="64DE2A4A"/>
    <w:rsid w:val="64E05052"/>
    <w:rsid w:val="64E2007C"/>
    <w:rsid w:val="64EA6F30"/>
    <w:rsid w:val="64F47DAF"/>
    <w:rsid w:val="65024D2A"/>
    <w:rsid w:val="65026775"/>
    <w:rsid w:val="65037448"/>
    <w:rsid w:val="651A7040"/>
    <w:rsid w:val="651D5FBD"/>
    <w:rsid w:val="652D7DDC"/>
    <w:rsid w:val="652F2B95"/>
    <w:rsid w:val="65314B5F"/>
    <w:rsid w:val="65406E15"/>
    <w:rsid w:val="65442E10"/>
    <w:rsid w:val="654622CF"/>
    <w:rsid w:val="6549634D"/>
    <w:rsid w:val="655820EC"/>
    <w:rsid w:val="655E7079"/>
    <w:rsid w:val="656971BD"/>
    <w:rsid w:val="657075EA"/>
    <w:rsid w:val="65707AE6"/>
    <w:rsid w:val="65757A93"/>
    <w:rsid w:val="657F58CB"/>
    <w:rsid w:val="65827169"/>
    <w:rsid w:val="65890210"/>
    <w:rsid w:val="658B44C7"/>
    <w:rsid w:val="658C1382"/>
    <w:rsid w:val="658E5B0E"/>
    <w:rsid w:val="6592268F"/>
    <w:rsid w:val="65982A36"/>
    <w:rsid w:val="659C0A6D"/>
    <w:rsid w:val="659F7D1B"/>
    <w:rsid w:val="65A04CEF"/>
    <w:rsid w:val="65A82B34"/>
    <w:rsid w:val="65A85481"/>
    <w:rsid w:val="65BB7E77"/>
    <w:rsid w:val="65C46D6B"/>
    <w:rsid w:val="65C550E9"/>
    <w:rsid w:val="65CC4888"/>
    <w:rsid w:val="65D22AB0"/>
    <w:rsid w:val="65D440CD"/>
    <w:rsid w:val="65DC28B8"/>
    <w:rsid w:val="65E120E1"/>
    <w:rsid w:val="65E224DB"/>
    <w:rsid w:val="65F30067"/>
    <w:rsid w:val="65FE0EE5"/>
    <w:rsid w:val="65FF351C"/>
    <w:rsid w:val="661862E0"/>
    <w:rsid w:val="661A5489"/>
    <w:rsid w:val="661F49D8"/>
    <w:rsid w:val="662445B5"/>
    <w:rsid w:val="66262559"/>
    <w:rsid w:val="66292B1B"/>
    <w:rsid w:val="663F2013"/>
    <w:rsid w:val="66422056"/>
    <w:rsid w:val="66600A8C"/>
    <w:rsid w:val="66652D12"/>
    <w:rsid w:val="66682803"/>
    <w:rsid w:val="66744A83"/>
    <w:rsid w:val="667C370B"/>
    <w:rsid w:val="667D545A"/>
    <w:rsid w:val="668339D2"/>
    <w:rsid w:val="6687395E"/>
    <w:rsid w:val="668F3101"/>
    <w:rsid w:val="669479F5"/>
    <w:rsid w:val="66962436"/>
    <w:rsid w:val="669B6734"/>
    <w:rsid w:val="669D5DBA"/>
    <w:rsid w:val="66A32834"/>
    <w:rsid w:val="66B01F41"/>
    <w:rsid w:val="66BF1CA9"/>
    <w:rsid w:val="66C31762"/>
    <w:rsid w:val="66C44081"/>
    <w:rsid w:val="66D35331"/>
    <w:rsid w:val="66D63188"/>
    <w:rsid w:val="66D659BE"/>
    <w:rsid w:val="66EC3434"/>
    <w:rsid w:val="66EF5F5C"/>
    <w:rsid w:val="670047E9"/>
    <w:rsid w:val="67045B3C"/>
    <w:rsid w:val="67074241"/>
    <w:rsid w:val="670752CC"/>
    <w:rsid w:val="670C014C"/>
    <w:rsid w:val="67242BCD"/>
    <w:rsid w:val="67257A73"/>
    <w:rsid w:val="672861AD"/>
    <w:rsid w:val="672E1BB9"/>
    <w:rsid w:val="6734582B"/>
    <w:rsid w:val="674072DB"/>
    <w:rsid w:val="6749074B"/>
    <w:rsid w:val="674F37D0"/>
    <w:rsid w:val="67581A94"/>
    <w:rsid w:val="675B2CE5"/>
    <w:rsid w:val="676141CE"/>
    <w:rsid w:val="67694A84"/>
    <w:rsid w:val="677376B1"/>
    <w:rsid w:val="677C1FA7"/>
    <w:rsid w:val="678278F4"/>
    <w:rsid w:val="67982214"/>
    <w:rsid w:val="67995AB7"/>
    <w:rsid w:val="67A046CE"/>
    <w:rsid w:val="67A258FD"/>
    <w:rsid w:val="67A32D82"/>
    <w:rsid w:val="67AA4E8D"/>
    <w:rsid w:val="67AE06E9"/>
    <w:rsid w:val="67B53825"/>
    <w:rsid w:val="67C51AFB"/>
    <w:rsid w:val="67C65A33"/>
    <w:rsid w:val="67CF29F6"/>
    <w:rsid w:val="67D069EC"/>
    <w:rsid w:val="67D909CE"/>
    <w:rsid w:val="67DA328C"/>
    <w:rsid w:val="67DF08A2"/>
    <w:rsid w:val="67DF317F"/>
    <w:rsid w:val="67E14777"/>
    <w:rsid w:val="67E45EB9"/>
    <w:rsid w:val="67EC4126"/>
    <w:rsid w:val="67F64880"/>
    <w:rsid w:val="67F716EB"/>
    <w:rsid w:val="6804096E"/>
    <w:rsid w:val="681220D8"/>
    <w:rsid w:val="68172E80"/>
    <w:rsid w:val="681C1094"/>
    <w:rsid w:val="681F68BD"/>
    <w:rsid w:val="682765CF"/>
    <w:rsid w:val="682E0D73"/>
    <w:rsid w:val="682E182A"/>
    <w:rsid w:val="682E396D"/>
    <w:rsid w:val="6841330B"/>
    <w:rsid w:val="684F3BE8"/>
    <w:rsid w:val="68516C64"/>
    <w:rsid w:val="686078BC"/>
    <w:rsid w:val="686A60E7"/>
    <w:rsid w:val="687356C5"/>
    <w:rsid w:val="687C0FEF"/>
    <w:rsid w:val="687C4343"/>
    <w:rsid w:val="687F1538"/>
    <w:rsid w:val="689C196E"/>
    <w:rsid w:val="68BA3681"/>
    <w:rsid w:val="68BA6BB3"/>
    <w:rsid w:val="68BD7EE0"/>
    <w:rsid w:val="68C14732"/>
    <w:rsid w:val="68C502E8"/>
    <w:rsid w:val="68C57892"/>
    <w:rsid w:val="68C91CB5"/>
    <w:rsid w:val="68D61DFE"/>
    <w:rsid w:val="68E40C6F"/>
    <w:rsid w:val="68EE753B"/>
    <w:rsid w:val="68FA5E47"/>
    <w:rsid w:val="690305C1"/>
    <w:rsid w:val="69117181"/>
    <w:rsid w:val="691263B3"/>
    <w:rsid w:val="691D108D"/>
    <w:rsid w:val="6927127C"/>
    <w:rsid w:val="692A6FFB"/>
    <w:rsid w:val="692B0A7E"/>
    <w:rsid w:val="692C21DF"/>
    <w:rsid w:val="692F0435"/>
    <w:rsid w:val="69300CDD"/>
    <w:rsid w:val="69385358"/>
    <w:rsid w:val="693E5A9D"/>
    <w:rsid w:val="694E2184"/>
    <w:rsid w:val="695452C0"/>
    <w:rsid w:val="695663C1"/>
    <w:rsid w:val="69581560"/>
    <w:rsid w:val="695834CC"/>
    <w:rsid w:val="695E7EED"/>
    <w:rsid w:val="69731BEA"/>
    <w:rsid w:val="69786BE7"/>
    <w:rsid w:val="698D3379"/>
    <w:rsid w:val="699807EF"/>
    <w:rsid w:val="69B361E6"/>
    <w:rsid w:val="69D72179"/>
    <w:rsid w:val="69F53438"/>
    <w:rsid w:val="69F75EAD"/>
    <w:rsid w:val="69FD15D4"/>
    <w:rsid w:val="69FD6745"/>
    <w:rsid w:val="6A084C0C"/>
    <w:rsid w:val="6A0A2F43"/>
    <w:rsid w:val="6A236A13"/>
    <w:rsid w:val="6A246E8E"/>
    <w:rsid w:val="6A2A5B40"/>
    <w:rsid w:val="6A2E2D16"/>
    <w:rsid w:val="6A3A6264"/>
    <w:rsid w:val="6A554E4C"/>
    <w:rsid w:val="6A571F61"/>
    <w:rsid w:val="6A596BB3"/>
    <w:rsid w:val="6A5F23E9"/>
    <w:rsid w:val="6A630BD6"/>
    <w:rsid w:val="6A687275"/>
    <w:rsid w:val="6A6D6639"/>
    <w:rsid w:val="6A707ED8"/>
    <w:rsid w:val="6A7A2B04"/>
    <w:rsid w:val="6A874758"/>
    <w:rsid w:val="6A8E1313"/>
    <w:rsid w:val="6A9F0D7B"/>
    <w:rsid w:val="6AA22FB5"/>
    <w:rsid w:val="6AA54025"/>
    <w:rsid w:val="6AA812D0"/>
    <w:rsid w:val="6AB853DB"/>
    <w:rsid w:val="6AB90C22"/>
    <w:rsid w:val="6ABD560C"/>
    <w:rsid w:val="6AC83870"/>
    <w:rsid w:val="6AC940D9"/>
    <w:rsid w:val="6AD22940"/>
    <w:rsid w:val="6ADE49A3"/>
    <w:rsid w:val="6AE732AA"/>
    <w:rsid w:val="6AE73AD7"/>
    <w:rsid w:val="6AED32D6"/>
    <w:rsid w:val="6B072EEC"/>
    <w:rsid w:val="6B160A7F"/>
    <w:rsid w:val="6B1828E5"/>
    <w:rsid w:val="6B1C0E5D"/>
    <w:rsid w:val="6B23319C"/>
    <w:rsid w:val="6B3E76ED"/>
    <w:rsid w:val="6B421874"/>
    <w:rsid w:val="6B5030B0"/>
    <w:rsid w:val="6B5C045C"/>
    <w:rsid w:val="6B5E5F82"/>
    <w:rsid w:val="6B612E33"/>
    <w:rsid w:val="6B635FD8"/>
    <w:rsid w:val="6B6A4927"/>
    <w:rsid w:val="6B6A4A84"/>
    <w:rsid w:val="6B705AFF"/>
    <w:rsid w:val="6B7457A6"/>
    <w:rsid w:val="6B754DB0"/>
    <w:rsid w:val="6B797260"/>
    <w:rsid w:val="6B7E6624"/>
    <w:rsid w:val="6B8302D1"/>
    <w:rsid w:val="6B8C7670"/>
    <w:rsid w:val="6B9F578E"/>
    <w:rsid w:val="6B9F6CC6"/>
    <w:rsid w:val="6BAC1411"/>
    <w:rsid w:val="6BC763BF"/>
    <w:rsid w:val="6BC7725C"/>
    <w:rsid w:val="6BD30A63"/>
    <w:rsid w:val="6BD46244"/>
    <w:rsid w:val="6BD6020E"/>
    <w:rsid w:val="6BE34AE3"/>
    <w:rsid w:val="6BE474E7"/>
    <w:rsid w:val="6BF80185"/>
    <w:rsid w:val="6BFD579B"/>
    <w:rsid w:val="6C066D46"/>
    <w:rsid w:val="6C131F09"/>
    <w:rsid w:val="6C15502B"/>
    <w:rsid w:val="6C2965D9"/>
    <w:rsid w:val="6C452F30"/>
    <w:rsid w:val="6C5A2ECB"/>
    <w:rsid w:val="6C5C682C"/>
    <w:rsid w:val="6C5D2313"/>
    <w:rsid w:val="6C6A1F0A"/>
    <w:rsid w:val="6C704B01"/>
    <w:rsid w:val="6C806999"/>
    <w:rsid w:val="6C830396"/>
    <w:rsid w:val="6C983716"/>
    <w:rsid w:val="6CA04553"/>
    <w:rsid w:val="6CA4030D"/>
    <w:rsid w:val="6CA46F50"/>
    <w:rsid w:val="6CAF0051"/>
    <w:rsid w:val="6CBD4F2A"/>
    <w:rsid w:val="6CC26E3A"/>
    <w:rsid w:val="6CC86ABE"/>
    <w:rsid w:val="6CCE66C2"/>
    <w:rsid w:val="6CEC27E4"/>
    <w:rsid w:val="6CF070AE"/>
    <w:rsid w:val="6CF9024F"/>
    <w:rsid w:val="6D106453"/>
    <w:rsid w:val="6D1164EA"/>
    <w:rsid w:val="6D121F14"/>
    <w:rsid w:val="6D1F6BF7"/>
    <w:rsid w:val="6D321474"/>
    <w:rsid w:val="6D3C0545"/>
    <w:rsid w:val="6D3C2EDA"/>
    <w:rsid w:val="6D40651E"/>
    <w:rsid w:val="6D4855E4"/>
    <w:rsid w:val="6D4C69DA"/>
    <w:rsid w:val="6D531B4C"/>
    <w:rsid w:val="6D611D5A"/>
    <w:rsid w:val="6D612E22"/>
    <w:rsid w:val="6D6F7099"/>
    <w:rsid w:val="6D741A8D"/>
    <w:rsid w:val="6D76699B"/>
    <w:rsid w:val="6D7970A3"/>
    <w:rsid w:val="6D7B106D"/>
    <w:rsid w:val="6D7E4754"/>
    <w:rsid w:val="6D836897"/>
    <w:rsid w:val="6D8C4613"/>
    <w:rsid w:val="6D901CA1"/>
    <w:rsid w:val="6D922F0B"/>
    <w:rsid w:val="6D9304B1"/>
    <w:rsid w:val="6D9D219A"/>
    <w:rsid w:val="6D9E2FAE"/>
    <w:rsid w:val="6DA011CA"/>
    <w:rsid w:val="6DA36BE3"/>
    <w:rsid w:val="6DA71E80"/>
    <w:rsid w:val="6DAB0885"/>
    <w:rsid w:val="6DBD3434"/>
    <w:rsid w:val="6DC0145F"/>
    <w:rsid w:val="6DCC18C9"/>
    <w:rsid w:val="6DD27132"/>
    <w:rsid w:val="6DD32BD0"/>
    <w:rsid w:val="6DDE54E3"/>
    <w:rsid w:val="6DE36C13"/>
    <w:rsid w:val="6DE60142"/>
    <w:rsid w:val="6DEA40C2"/>
    <w:rsid w:val="6DEB25C2"/>
    <w:rsid w:val="6DED6C90"/>
    <w:rsid w:val="6DF203D6"/>
    <w:rsid w:val="6DFD5F26"/>
    <w:rsid w:val="6E0F7E98"/>
    <w:rsid w:val="6E184BA7"/>
    <w:rsid w:val="6E25260F"/>
    <w:rsid w:val="6E466999"/>
    <w:rsid w:val="6E4F0316"/>
    <w:rsid w:val="6E5A4D66"/>
    <w:rsid w:val="6E677844"/>
    <w:rsid w:val="6E6F7F59"/>
    <w:rsid w:val="6E7D2BC3"/>
    <w:rsid w:val="6E827BD4"/>
    <w:rsid w:val="6E865C72"/>
    <w:rsid w:val="6E90674D"/>
    <w:rsid w:val="6E9A5FD8"/>
    <w:rsid w:val="6EA97E5C"/>
    <w:rsid w:val="6EBD1212"/>
    <w:rsid w:val="6EBD4449"/>
    <w:rsid w:val="6ECF03BC"/>
    <w:rsid w:val="6EDB2459"/>
    <w:rsid w:val="6F0915C6"/>
    <w:rsid w:val="6F125A01"/>
    <w:rsid w:val="6F141779"/>
    <w:rsid w:val="6F151FBB"/>
    <w:rsid w:val="6F152DFC"/>
    <w:rsid w:val="6F1963A1"/>
    <w:rsid w:val="6F1C062E"/>
    <w:rsid w:val="6F210EE5"/>
    <w:rsid w:val="6F213E96"/>
    <w:rsid w:val="6F3A0AB4"/>
    <w:rsid w:val="6F3C482C"/>
    <w:rsid w:val="6F707C45"/>
    <w:rsid w:val="6F802B9B"/>
    <w:rsid w:val="6F8166E3"/>
    <w:rsid w:val="6F857F81"/>
    <w:rsid w:val="6F8A0AAC"/>
    <w:rsid w:val="6F8E3749"/>
    <w:rsid w:val="6F92269E"/>
    <w:rsid w:val="6F9D176F"/>
    <w:rsid w:val="6FA15608"/>
    <w:rsid w:val="6FA354E6"/>
    <w:rsid w:val="6FA93A6C"/>
    <w:rsid w:val="6FAB5B5D"/>
    <w:rsid w:val="6FAF28BC"/>
    <w:rsid w:val="6FB6638D"/>
    <w:rsid w:val="6FBC771B"/>
    <w:rsid w:val="6FC76740"/>
    <w:rsid w:val="6FCB1C46"/>
    <w:rsid w:val="6FCE0A38"/>
    <w:rsid w:val="6FCF5CF4"/>
    <w:rsid w:val="6FD11419"/>
    <w:rsid w:val="6FD902CD"/>
    <w:rsid w:val="6FDA652B"/>
    <w:rsid w:val="6FF43738"/>
    <w:rsid w:val="6FFB6495"/>
    <w:rsid w:val="6FFE5F86"/>
    <w:rsid w:val="6FFF1440"/>
    <w:rsid w:val="700B12B6"/>
    <w:rsid w:val="700E2F57"/>
    <w:rsid w:val="701B281E"/>
    <w:rsid w:val="701B6B38"/>
    <w:rsid w:val="703636FD"/>
    <w:rsid w:val="703D7B21"/>
    <w:rsid w:val="7040659E"/>
    <w:rsid w:val="704A2F79"/>
    <w:rsid w:val="70525BEA"/>
    <w:rsid w:val="70587B36"/>
    <w:rsid w:val="7060454A"/>
    <w:rsid w:val="706D7FB1"/>
    <w:rsid w:val="706E4EB9"/>
    <w:rsid w:val="707D334E"/>
    <w:rsid w:val="708E3A5B"/>
    <w:rsid w:val="70912956"/>
    <w:rsid w:val="709E5305"/>
    <w:rsid w:val="70A408DB"/>
    <w:rsid w:val="70A61347"/>
    <w:rsid w:val="70AF7493"/>
    <w:rsid w:val="70C26FB3"/>
    <w:rsid w:val="70D72A5F"/>
    <w:rsid w:val="70DF7B65"/>
    <w:rsid w:val="70E24C52"/>
    <w:rsid w:val="70E667F1"/>
    <w:rsid w:val="70F57389"/>
    <w:rsid w:val="70F829D5"/>
    <w:rsid w:val="70F84783"/>
    <w:rsid w:val="70FE236E"/>
    <w:rsid w:val="710B6BAC"/>
    <w:rsid w:val="71121CE9"/>
    <w:rsid w:val="71147A0E"/>
    <w:rsid w:val="71160B0E"/>
    <w:rsid w:val="71267542"/>
    <w:rsid w:val="71282A8D"/>
    <w:rsid w:val="713954C7"/>
    <w:rsid w:val="714329E1"/>
    <w:rsid w:val="7143684E"/>
    <w:rsid w:val="714D3F8B"/>
    <w:rsid w:val="7152126B"/>
    <w:rsid w:val="71530DD1"/>
    <w:rsid w:val="71593474"/>
    <w:rsid w:val="715A3DFD"/>
    <w:rsid w:val="715E1BEB"/>
    <w:rsid w:val="7161057A"/>
    <w:rsid w:val="71654D19"/>
    <w:rsid w:val="71724535"/>
    <w:rsid w:val="7175396E"/>
    <w:rsid w:val="71791D68"/>
    <w:rsid w:val="717C3606"/>
    <w:rsid w:val="717D7692"/>
    <w:rsid w:val="71836742"/>
    <w:rsid w:val="71894823"/>
    <w:rsid w:val="718A7AD1"/>
    <w:rsid w:val="718D5813"/>
    <w:rsid w:val="718D7821"/>
    <w:rsid w:val="71A072F4"/>
    <w:rsid w:val="71CD79BE"/>
    <w:rsid w:val="71E116BB"/>
    <w:rsid w:val="71E322A7"/>
    <w:rsid w:val="71E33BD9"/>
    <w:rsid w:val="71E511AB"/>
    <w:rsid w:val="71FB3E65"/>
    <w:rsid w:val="7205184D"/>
    <w:rsid w:val="72055317"/>
    <w:rsid w:val="72061D2C"/>
    <w:rsid w:val="7211200F"/>
    <w:rsid w:val="721C2D17"/>
    <w:rsid w:val="721D0945"/>
    <w:rsid w:val="72273572"/>
    <w:rsid w:val="72287F0A"/>
    <w:rsid w:val="722A4599"/>
    <w:rsid w:val="72380CDE"/>
    <w:rsid w:val="723847E6"/>
    <w:rsid w:val="72451C4A"/>
    <w:rsid w:val="725229DF"/>
    <w:rsid w:val="72600832"/>
    <w:rsid w:val="727E6F0A"/>
    <w:rsid w:val="728979D1"/>
    <w:rsid w:val="729643AC"/>
    <w:rsid w:val="72990EF0"/>
    <w:rsid w:val="729D2441"/>
    <w:rsid w:val="72A13695"/>
    <w:rsid w:val="72A74CC9"/>
    <w:rsid w:val="72B773A9"/>
    <w:rsid w:val="72CA6037"/>
    <w:rsid w:val="72CE0CF0"/>
    <w:rsid w:val="72E252FE"/>
    <w:rsid w:val="72E27499"/>
    <w:rsid w:val="72E4155E"/>
    <w:rsid w:val="72EC5C12"/>
    <w:rsid w:val="72F84F0E"/>
    <w:rsid w:val="72FA517B"/>
    <w:rsid w:val="72FB055A"/>
    <w:rsid w:val="72FB3B76"/>
    <w:rsid w:val="72FC6D7F"/>
    <w:rsid w:val="73012015"/>
    <w:rsid w:val="730356C1"/>
    <w:rsid w:val="730B4C41"/>
    <w:rsid w:val="73155AC0"/>
    <w:rsid w:val="73266D6F"/>
    <w:rsid w:val="732C5E1E"/>
    <w:rsid w:val="7338361D"/>
    <w:rsid w:val="735419D9"/>
    <w:rsid w:val="73641C15"/>
    <w:rsid w:val="736A0EAD"/>
    <w:rsid w:val="73717F81"/>
    <w:rsid w:val="7375408D"/>
    <w:rsid w:val="737640E3"/>
    <w:rsid w:val="737A3B75"/>
    <w:rsid w:val="73816F33"/>
    <w:rsid w:val="73836ECE"/>
    <w:rsid w:val="738C18CB"/>
    <w:rsid w:val="739A40D1"/>
    <w:rsid w:val="739C3AEB"/>
    <w:rsid w:val="73A213F2"/>
    <w:rsid w:val="73AE0B04"/>
    <w:rsid w:val="73B74605"/>
    <w:rsid w:val="73B91D05"/>
    <w:rsid w:val="73BC418E"/>
    <w:rsid w:val="73C31078"/>
    <w:rsid w:val="73C60B68"/>
    <w:rsid w:val="73EC4A73"/>
    <w:rsid w:val="740F250F"/>
    <w:rsid w:val="741D4EEC"/>
    <w:rsid w:val="74301304"/>
    <w:rsid w:val="74324450"/>
    <w:rsid w:val="74337932"/>
    <w:rsid w:val="74343D24"/>
    <w:rsid w:val="74351019"/>
    <w:rsid w:val="744D2BC1"/>
    <w:rsid w:val="744E128A"/>
    <w:rsid w:val="744F7410"/>
    <w:rsid w:val="74561EEC"/>
    <w:rsid w:val="745919DD"/>
    <w:rsid w:val="745D76C1"/>
    <w:rsid w:val="745D771F"/>
    <w:rsid w:val="745E6FF3"/>
    <w:rsid w:val="74621C6D"/>
    <w:rsid w:val="746C5BB4"/>
    <w:rsid w:val="746F3611"/>
    <w:rsid w:val="74736F42"/>
    <w:rsid w:val="747618E6"/>
    <w:rsid w:val="748277F2"/>
    <w:rsid w:val="748418A9"/>
    <w:rsid w:val="74884070"/>
    <w:rsid w:val="749018A2"/>
    <w:rsid w:val="749110D8"/>
    <w:rsid w:val="7494387F"/>
    <w:rsid w:val="749A733D"/>
    <w:rsid w:val="74BE2BE4"/>
    <w:rsid w:val="74BF5CE3"/>
    <w:rsid w:val="74CD2A2C"/>
    <w:rsid w:val="74CE3D89"/>
    <w:rsid w:val="74D071BE"/>
    <w:rsid w:val="74D177C5"/>
    <w:rsid w:val="74D63713"/>
    <w:rsid w:val="74DD616A"/>
    <w:rsid w:val="74E92352"/>
    <w:rsid w:val="74EF066E"/>
    <w:rsid w:val="75007CA2"/>
    <w:rsid w:val="75063912"/>
    <w:rsid w:val="7507118B"/>
    <w:rsid w:val="7509405B"/>
    <w:rsid w:val="750E6C6B"/>
    <w:rsid w:val="75121283"/>
    <w:rsid w:val="751A116C"/>
    <w:rsid w:val="751F2C26"/>
    <w:rsid w:val="752318C5"/>
    <w:rsid w:val="752E0CF2"/>
    <w:rsid w:val="752E19CE"/>
    <w:rsid w:val="752F0ACE"/>
    <w:rsid w:val="752F1751"/>
    <w:rsid w:val="75316815"/>
    <w:rsid w:val="75357D54"/>
    <w:rsid w:val="75427C48"/>
    <w:rsid w:val="75472AE0"/>
    <w:rsid w:val="754B7577"/>
    <w:rsid w:val="75670E51"/>
    <w:rsid w:val="756E770A"/>
    <w:rsid w:val="7577036C"/>
    <w:rsid w:val="758A7D5A"/>
    <w:rsid w:val="758B02BC"/>
    <w:rsid w:val="758B7BB6"/>
    <w:rsid w:val="75992300"/>
    <w:rsid w:val="75A46202"/>
    <w:rsid w:val="75AF17A3"/>
    <w:rsid w:val="75B46F86"/>
    <w:rsid w:val="75CF01AA"/>
    <w:rsid w:val="75D538C5"/>
    <w:rsid w:val="75D94BDF"/>
    <w:rsid w:val="75E7062A"/>
    <w:rsid w:val="75E83A0E"/>
    <w:rsid w:val="75F13733"/>
    <w:rsid w:val="760F2C9B"/>
    <w:rsid w:val="7610431D"/>
    <w:rsid w:val="761A7827"/>
    <w:rsid w:val="761B3047"/>
    <w:rsid w:val="761E2EDE"/>
    <w:rsid w:val="76313CD0"/>
    <w:rsid w:val="7647231B"/>
    <w:rsid w:val="764F26BE"/>
    <w:rsid w:val="76515D20"/>
    <w:rsid w:val="765A38CE"/>
    <w:rsid w:val="76616639"/>
    <w:rsid w:val="767C19B2"/>
    <w:rsid w:val="768070C1"/>
    <w:rsid w:val="76970754"/>
    <w:rsid w:val="76A827A7"/>
    <w:rsid w:val="76A97D2E"/>
    <w:rsid w:val="76AA446F"/>
    <w:rsid w:val="76C375E1"/>
    <w:rsid w:val="76CB19E4"/>
    <w:rsid w:val="76D771FC"/>
    <w:rsid w:val="76EE0B02"/>
    <w:rsid w:val="76FE0FDF"/>
    <w:rsid w:val="77084DC5"/>
    <w:rsid w:val="770A3543"/>
    <w:rsid w:val="770A5BE1"/>
    <w:rsid w:val="771D3195"/>
    <w:rsid w:val="77222C27"/>
    <w:rsid w:val="77244524"/>
    <w:rsid w:val="77300194"/>
    <w:rsid w:val="7737522B"/>
    <w:rsid w:val="77470212"/>
    <w:rsid w:val="774B0ED1"/>
    <w:rsid w:val="774D3A7A"/>
    <w:rsid w:val="776A1F45"/>
    <w:rsid w:val="776C0250"/>
    <w:rsid w:val="776E4F4F"/>
    <w:rsid w:val="77726652"/>
    <w:rsid w:val="777F175A"/>
    <w:rsid w:val="778F2841"/>
    <w:rsid w:val="77903967"/>
    <w:rsid w:val="77996AFD"/>
    <w:rsid w:val="77996CC0"/>
    <w:rsid w:val="779C055E"/>
    <w:rsid w:val="779D1363"/>
    <w:rsid w:val="77A45665"/>
    <w:rsid w:val="77AC0051"/>
    <w:rsid w:val="77B7569A"/>
    <w:rsid w:val="77B77146"/>
    <w:rsid w:val="77C74EAF"/>
    <w:rsid w:val="77D6253C"/>
    <w:rsid w:val="77D93560"/>
    <w:rsid w:val="77E31CE9"/>
    <w:rsid w:val="77F263D0"/>
    <w:rsid w:val="77F959B0"/>
    <w:rsid w:val="78054355"/>
    <w:rsid w:val="78060AE0"/>
    <w:rsid w:val="7807431B"/>
    <w:rsid w:val="781403E1"/>
    <w:rsid w:val="781917F7"/>
    <w:rsid w:val="78205A3B"/>
    <w:rsid w:val="783267CC"/>
    <w:rsid w:val="783373F5"/>
    <w:rsid w:val="78397B5B"/>
    <w:rsid w:val="78485FF0"/>
    <w:rsid w:val="784C7808"/>
    <w:rsid w:val="784F4498"/>
    <w:rsid w:val="78520DCC"/>
    <w:rsid w:val="785A520E"/>
    <w:rsid w:val="786050BD"/>
    <w:rsid w:val="7872727F"/>
    <w:rsid w:val="78900EC7"/>
    <w:rsid w:val="78937D0F"/>
    <w:rsid w:val="78A452B4"/>
    <w:rsid w:val="78AA7021"/>
    <w:rsid w:val="78AD0549"/>
    <w:rsid w:val="78B03166"/>
    <w:rsid w:val="78B542E7"/>
    <w:rsid w:val="78BD5028"/>
    <w:rsid w:val="78CC3CF7"/>
    <w:rsid w:val="78CF4963"/>
    <w:rsid w:val="78DB6C4C"/>
    <w:rsid w:val="78E12584"/>
    <w:rsid w:val="79075EAB"/>
    <w:rsid w:val="791660EE"/>
    <w:rsid w:val="79185268"/>
    <w:rsid w:val="79192B10"/>
    <w:rsid w:val="791B1956"/>
    <w:rsid w:val="79202AC9"/>
    <w:rsid w:val="79254583"/>
    <w:rsid w:val="79281437"/>
    <w:rsid w:val="792868A3"/>
    <w:rsid w:val="792E51E6"/>
    <w:rsid w:val="79314CD6"/>
    <w:rsid w:val="794964C4"/>
    <w:rsid w:val="794A61C6"/>
    <w:rsid w:val="79551143"/>
    <w:rsid w:val="7956473D"/>
    <w:rsid w:val="796630C2"/>
    <w:rsid w:val="79694470"/>
    <w:rsid w:val="797833E0"/>
    <w:rsid w:val="797D616D"/>
    <w:rsid w:val="79816B6D"/>
    <w:rsid w:val="79900617"/>
    <w:rsid w:val="79907C49"/>
    <w:rsid w:val="79920EBF"/>
    <w:rsid w:val="79951709"/>
    <w:rsid w:val="79951A24"/>
    <w:rsid w:val="79A436FA"/>
    <w:rsid w:val="79A454A8"/>
    <w:rsid w:val="79AD36A8"/>
    <w:rsid w:val="79B11428"/>
    <w:rsid w:val="79B11DE3"/>
    <w:rsid w:val="79C455AA"/>
    <w:rsid w:val="79C52FFC"/>
    <w:rsid w:val="79CD23B2"/>
    <w:rsid w:val="79D97847"/>
    <w:rsid w:val="79F20909"/>
    <w:rsid w:val="79F521A7"/>
    <w:rsid w:val="79F91C98"/>
    <w:rsid w:val="79FF552D"/>
    <w:rsid w:val="7A024BBA"/>
    <w:rsid w:val="7A0B6966"/>
    <w:rsid w:val="7A150FBD"/>
    <w:rsid w:val="7A1C295B"/>
    <w:rsid w:val="7A245B57"/>
    <w:rsid w:val="7A2465E9"/>
    <w:rsid w:val="7A2C31CA"/>
    <w:rsid w:val="7A2F1845"/>
    <w:rsid w:val="7A340CDB"/>
    <w:rsid w:val="7A432F13"/>
    <w:rsid w:val="7A450734"/>
    <w:rsid w:val="7A50013B"/>
    <w:rsid w:val="7A582B82"/>
    <w:rsid w:val="7A5B07FC"/>
    <w:rsid w:val="7A5F6238"/>
    <w:rsid w:val="7A811C8D"/>
    <w:rsid w:val="7A883902"/>
    <w:rsid w:val="7A8B4471"/>
    <w:rsid w:val="7AA2737A"/>
    <w:rsid w:val="7AAA515E"/>
    <w:rsid w:val="7AAF3215"/>
    <w:rsid w:val="7AB50705"/>
    <w:rsid w:val="7AB523B8"/>
    <w:rsid w:val="7ABE2BF1"/>
    <w:rsid w:val="7AC35E02"/>
    <w:rsid w:val="7AC80001"/>
    <w:rsid w:val="7ACA7190"/>
    <w:rsid w:val="7ACF1CED"/>
    <w:rsid w:val="7AD718AD"/>
    <w:rsid w:val="7ADE38D2"/>
    <w:rsid w:val="7AEA3C1B"/>
    <w:rsid w:val="7AFB559C"/>
    <w:rsid w:val="7AFE508C"/>
    <w:rsid w:val="7B0B2534"/>
    <w:rsid w:val="7B0C77A9"/>
    <w:rsid w:val="7B124191"/>
    <w:rsid w:val="7B160FC2"/>
    <w:rsid w:val="7B174635"/>
    <w:rsid w:val="7B242D44"/>
    <w:rsid w:val="7B494559"/>
    <w:rsid w:val="7B4E0C57"/>
    <w:rsid w:val="7B5978BD"/>
    <w:rsid w:val="7B5B603A"/>
    <w:rsid w:val="7B6E5D6D"/>
    <w:rsid w:val="7B6E7AA8"/>
    <w:rsid w:val="7B71585E"/>
    <w:rsid w:val="7B780263"/>
    <w:rsid w:val="7B7F441F"/>
    <w:rsid w:val="7B854934"/>
    <w:rsid w:val="7B8B4B71"/>
    <w:rsid w:val="7B9456F2"/>
    <w:rsid w:val="7BB90488"/>
    <w:rsid w:val="7BBD6CF5"/>
    <w:rsid w:val="7BBF0CBF"/>
    <w:rsid w:val="7BC71922"/>
    <w:rsid w:val="7BCD4928"/>
    <w:rsid w:val="7BD24719"/>
    <w:rsid w:val="7BD52290"/>
    <w:rsid w:val="7BE058A2"/>
    <w:rsid w:val="7BE55BF4"/>
    <w:rsid w:val="7BE73D72"/>
    <w:rsid w:val="7BF02C26"/>
    <w:rsid w:val="7BFE34EE"/>
    <w:rsid w:val="7C055A26"/>
    <w:rsid w:val="7C0641F8"/>
    <w:rsid w:val="7C0A096C"/>
    <w:rsid w:val="7C1166C0"/>
    <w:rsid w:val="7C15268D"/>
    <w:rsid w:val="7C2A25DC"/>
    <w:rsid w:val="7C2F23FE"/>
    <w:rsid w:val="7C330C44"/>
    <w:rsid w:val="7C4433D0"/>
    <w:rsid w:val="7C495C19"/>
    <w:rsid w:val="7C4E03C1"/>
    <w:rsid w:val="7C4F3DF1"/>
    <w:rsid w:val="7C5642AE"/>
    <w:rsid w:val="7C5A34B2"/>
    <w:rsid w:val="7C600D7D"/>
    <w:rsid w:val="7C7020FB"/>
    <w:rsid w:val="7C765821"/>
    <w:rsid w:val="7C842E0F"/>
    <w:rsid w:val="7C84733F"/>
    <w:rsid w:val="7C8B7220"/>
    <w:rsid w:val="7C931D06"/>
    <w:rsid w:val="7C951B78"/>
    <w:rsid w:val="7CA56B30"/>
    <w:rsid w:val="7CB22D12"/>
    <w:rsid w:val="7CB57E18"/>
    <w:rsid w:val="7CB94462"/>
    <w:rsid w:val="7CC12815"/>
    <w:rsid w:val="7CD4603F"/>
    <w:rsid w:val="7CE45CF6"/>
    <w:rsid w:val="7CE77205"/>
    <w:rsid w:val="7CF1611B"/>
    <w:rsid w:val="7CF3686D"/>
    <w:rsid w:val="7CFF308A"/>
    <w:rsid w:val="7CFF43BA"/>
    <w:rsid w:val="7D0842E7"/>
    <w:rsid w:val="7D0D203B"/>
    <w:rsid w:val="7D0D324F"/>
    <w:rsid w:val="7D4162DE"/>
    <w:rsid w:val="7D452408"/>
    <w:rsid w:val="7D483B9D"/>
    <w:rsid w:val="7D555E34"/>
    <w:rsid w:val="7D573AAA"/>
    <w:rsid w:val="7D5A2AD7"/>
    <w:rsid w:val="7D5F62B6"/>
    <w:rsid w:val="7D627B54"/>
    <w:rsid w:val="7D6438CC"/>
    <w:rsid w:val="7D7358BD"/>
    <w:rsid w:val="7D756300"/>
    <w:rsid w:val="7D7653AD"/>
    <w:rsid w:val="7D8550E1"/>
    <w:rsid w:val="7DA368C4"/>
    <w:rsid w:val="7DA939D5"/>
    <w:rsid w:val="7DBA3B1F"/>
    <w:rsid w:val="7DC12ACC"/>
    <w:rsid w:val="7DC91672"/>
    <w:rsid w:val="7DCB394B"/>
    <w:rsid w:val="7DD30A52"/>
    <w:rsid w:val="7DD95507"/>
    <w:rsid w:val="7DDF11A4"/>
    <w:rsid w:val="7DE1623C"/>
    <w:rsid w:val="7DF32EA2"/>
    <w:rsid w:val="7DFD39E1"/>
    <w:rsid w:val="7DFF1847"/>
    <w:rsid w:val="7E0D7DE9"/>
    <w:rsid w:val="7E1315B5"/>
    <w:rsid w:val="7E15752C"/>
    <w:rsid w:val="7E186464"/>
    <w:rsid w:val="7E1A2E6F"/>
    <w:rsid w:val="7E1B64A6"/>
    <w:rsid w:val="7E1F7289"/>
    <w:rsid w:val="7E271BD7"/>
    <w:rsid w:val="7E3F7F06"/>
    <w:rsid w:val="7E46334C"/>
    <w:rsid w:val="7E57615A"/>
    <w:rsid w:val="7E5B17AD"/>
    <w:rsid w:val="7E694C76"/>
    <w:rsid w:val="7E6F077A"/>
    <w:rsid w:val="7E7E09BD"/>
    <w:rsid w:val="7E85354B"/>
    <w:rsid w:val="7E8863C6"/>
    <w:rsid w:val="7E967BB5"/>
    <w:rsid w:val="7E9C7095"/>
    <w:rsid w:val="7EA94257"/>
    <w:rsid w:val="7EB63D13"/>
    <w:rsid w:val="7EC16749"/>
    <w:rsid w:val="7EC5758E"/>
    <w:rsid w:val="7ED938EC"/>
    <w:rsid w:val="7EE051D4"/>
    <w:rsid w:val="7EE862DB"/>
    <w:rsid w:val="7EF173E1"/>
    <w:rsid w:val="7EF23159"/>
    <w:rsid w:val="7EFD5F4C"/>
    <w:rsid w:val="7F076C05"/>
    <w:rsid w:val="7F111831"/>
    <w:rsid w:val="7F220A10"/>
    <w:rsid w:val="7F233313"/>
    <w:rsid w:val="7F2A644F"/>
    <w:rsid w:val="7F2D7CEE"/>
    <w:rsid w:val="7F334FB6"/>
    <w:rsid w:val="7F3820DE"/>
    <w:rsid w:val="7F3F5CD4"/>
    <w:rsid w:val="7F441C8E"/>
    <w:rsid w:val="7F482311"/>
    <w:rsid w:val="7F4E65E2"/>
    <w:rsid w:val="7F4F4108"/>
    <w:rsid w:val="7F54171E"/>
    <w:rsid w:val="7F604567"/>
    <w:rsid w:val="7F616700"/>
    <w:rsid w:val="7F676911"/>
    <w:rsid w:val="7F6B7180"/>
    <w:rsid w:val="7F7E679B"/>
    <w:rsid w:val="7F947824"/>
    <w:rsid w:val="7F983D01"/>
    <w:rsid w:val="7FA36726"/>
    <w:rsid w:val="7FAB0615"/>
    <w:rsid w:val="7FAF2DF8"/>
    <w:rsid w:val="7FB421BD"/>
    <w:rsid w:val="7FCE7BE0"/>
    <w:rsid w:val="7FDD030C"/>
    <w:rsid w:val="7FEC1957"/>
    <w:rsid w:val="7FF97B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wordWrap w:val="0"/>
      <w:topLinePunct/>
      <w:spacing w:line="360" w:lineRule="auto"/>
      <w:ind w:firstLine="1044" w:firstLineChars="200"/>
      <w:jc w:val="both"/>
    </w:pPr>
    <w:rPr>
      <w:rFonts w:ascii="Times New Roman" w:hAnsi="Times New Roman" w:eastAsia="宋体" w:cstheme="minorBidi"/>
      <w:kern w:val="2"/>
      <w:sz w:val="24"/>
      <w:szCs w:val="24"/>
      <w:lang w:val="en-US" w:eastAsia="zh-CN" w:bidi="ar-SA"/>
    </w:rPr>
  </w:style>
  <w:style w:type="paragraph" w:styleId="2">
    <w:name w:val="heading 1"/>
    <w:basedOn w:val="1"/>
    <w:next w:val="1"/>
    <w:qFormat/>
    <w:uiPriority w:val="0"/>
    <w:pPr>
      <w:keepNext/>
      <w:keepLines/>
      <w:spacing w:before="100" w:beforeLines="100" w:after="100" w:afterLines="100" w:line="480" w:lineRule="exact"/>
      <w:ind w:firstLine="0" w:firstLineChars="0"/>
      <w:jc w:val="center"/>
      <w:outlineLvl w:val="0"/>
    </w:pPr>
    <w:rPr>
      <w:b/>
      <w:kern w:val="44"/>
      <w:sz w:val="32"/>
    </w:rPr>
  </w:style>
  <w:style w:type="paragraph" w:styleId="3">
    <w:name w:val="heading 2"/>
    <w:basedOn w:val="1"/>
    <w:next w:val="1"/>
    <w:unhideWhenUsed/>
    <w:qFormat/>
    <w:uiPriority w:val="0"/>
    <w:pPr>
      <w:keepNext/>
      <w:keepLines/>
      <w:spacing w:before="50" w:beforeLines="50" w:after="50" w:afterLines="50" w:line="480" w:lineRule="exact"/>
      <w:ind w:firstLine="0" w:firstLineChars="0"/>
      <w:outlineLvl w:val="1"/>
    </w:pPr>
    <w:rPr>
      <w:b/>
      <w:bCs/>
    </w:rPr>
  </w:style>
  <w:style w:type="paragraph" w:styleId="4">
    <w:name w:val="heading 3"/>
    <w:basedOn w:val="1"/>
    <w:next w:val="1"/>
    <w:unhideWhenUsed/>
    <w:qFormat/>
    <w:uiPriority w:val="0"/>
    <w:pPr>
      <w:keepNext/>
      <w:keepLines/>
      <w:spacing w:line="480" w:lineRule="exact"/>
      <w:outlineLvl w:val="2"/>
    </w:pPr>
    <w:rPr>
      <w:b/>
    </w:rPr>
  </w:style>
  <w:style w:type="paragraph" w:styleId="5">
    <w:name w:val="heading 4"/>
    <w:basedOn w:val="1"/>
    <w:next w:val="1"/>
    <w:qFormat/>
    <w:uiPriority w:val="0"/>
    <w:pPr>
      <w:widowControl/>
      <w:numPr>
        <w:ilvl w:val="3"/>
        <w:numId w:val="1"/>
      </w:numPr>
      <w:tabs>
        <w:tab w:val="left" w:pos="567"/>
      </w:tabs>
      <w:spacing w:line="240" w:lineRule="auto"/>
      <w:ind w:left="0" w:firstLine="0" w:firstLineChars="0"/>
      <w:jc w:val="center"/>
      <w:outlineLvl w:val="3"/>
    </w:pPr>
    <w:rPr>
      <w:rFonts w:ascii="Arial" w:hAnsi="Arial" w:eastAsia="黑体" w:cs="Arial"/>
      <w:color w:val="000000"/>
      <w:kern w:val="0"/>
      <w:sz w:val="20"/>
      <w:lang w:eastAsia="en-US"/>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qFormat/>
    <w:uiPriority w:val="0"/>
    <w:pPr>
      <w:jc w:val="left"/>
    </w:pPr>
    <w:rPr>
      <w:rFonts w:eastAsiaTheme="minorEastAsia"/>
    </w:rPr>
  </w:style>
  <w:style w:type="paragraph" w:styleId="7">
    <w:name w:val="Body Text"/>
    <w:basedOn w:val="1"/>
    <w:next w:val="1"/>
    <w:qFormat/>
    <w:uiPriority w:val="0"/>
    <w:pPr>
      <w:spacing w:after="120"/>
    </w:pPr>
  </w:style>
  <w:style w:type="paragraph" w:styleId="8">
    <w:name w:val="Body Text Indent"/>
    <w:basedOn w:val="1"/>
    <w:qFormat/>
    <w:uiPriority w:val="0"/>
    <w:pPr>
      <w:adjustRightInd w:val="0"/>
      <w:snapToGrid w:val="0"/>
      <w:spacing w:line="360" w:lineRule="auto"/>
      <w:ind w:firstLine="420" w:firstLineChars="200"/>
    </w:pPr>
    <w:rPr>
      <w:rFonts w:ascii="宋体" w:hAnsi="宋体"/>
      <w:kern w:val="0"/>
      <w:sz w:val="20"/>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1">
    <w:name w:val="toc 1"/>
    <w:basedOn w:val="1"/>
    <w:next w:val="1"/>
    <w:qFormat/>
    <w:uiPriority w:val="0"/>
  </w:style>
  <w:style w:type="paragraph" w:styleId="12">
    <w:name w:val="Body Text First Indent"/>
    <w:basedOn w:val="7"/>
    <w:qFormat/>
    <w:uiPriority w:val="0"/>
    <w:pPr>
      <w:ind w:firstLine="420" w:firstLineChars="100"/>
    </w:pPr>
    <w:rPr>
      <w:rFonts w:ascii="Calibri" w:hAnsi="Calibri" w:cs="Times New Roman"/>
    </w:rPr>
  </w:style>
  <w:style w:type="paragraph" w:styleId="13">
    <w:name w:val="Body Text First Indent 2"/>
    <w:basedOn w:val="8"/>
    <w:qFormat/>
    <w:uiPriority w:val="0"/>
    <w:pPr>
      <w:adjustRightInd/>
      <w:snapToGrid/>
      <w:spacing w:after="120" w:line="240" w:lineRule="auto"/>
      <w:ind w:left="420" w:leftChars="20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styleId="18">
    <w:name w:val="FollowedHyperlink"/>
    <w:basedOn w:val="16"/>
    <w:qFormat/>
    <w:uiPriority w:val="0"/>
    <w:rPr>
      <w:rFonts w:hint="default" w:ascii="Arial" w:hAnsi="Arial" w:eastAsia="Arial" w:cs="Arial"/>
      <w:color w:val="333333"/>
      <w:sz w:val="14"/>
      <w:szCs w:val="14"/>
      <w:u w:val="none"/>
    </w:rPr>
  </w:style>
  <w:style w:type="character" w:styleId="19">
    <w:name w:val="Hyperlink"/>
    <w:basedOn w:val="16"/>
    <w:qFormat/>
    <w:uiPriority w:val="0"/>
    <w:rPr>
      <w:rFonts w:ascii="Arial" w:hAnsi="Arial" w:eastAsia="Arial" w:cs="Arial"/>
      <w:color w:val="333333"/>
      <w:sz w:val="14"/>
      <w:szCs w:val="14"/>
      <w:u w:val="none"/>
    </w:rPr>
  </w:style>
  <w:style w:type="paragraph" w:customStyle="1" w:styleId="20">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21">
    <w:name w:val="Blockquote"/>
    <w:basedOn w:val="1"/>
    <w:qFormat/>
    <w:uiPriority w:val="0"/>
    <w:pPr>
      <w:autoSpaceDE w:val="0"/>
      <w:autoSpaceDN w:val="0"/>
      <w:adjustRightInd w:val="0"/>
      <w:spacing w:before="100" w:after="100"/>
      <w:ind w:left="360" w:right="360"/>
      <w:jc w:val="left"/>
    </w:pPr>
    <w:rPr>
      <w:kern w:val="0"/>
      <w:szCs w:val="20"/>
    </w:rPr>
  </w:style>
  <w:style w:type="character" w:customStyle="1" w:styleId="22">
    <w:name w:val="font112"/>
    <w:basedOn w:val="16"/>
    <w:qFormat/>
    <w:uiPriority w:val="0"/>
    <w:rPr>
      <w:rFonts w:hint="eastAsia" w:ascii="宋体" w:hAnsi="宋体" w:eastAsia="宋体" w:cs="宋体"/>
      <w:color w:val="000000"/>
      <w:sz w:val="18"/>
      <w:szCs w:val="18"/>
      <w:u w:val="none"/>
    </w:rPr>
  </w:style>
  <w:style w:type="character" w:customStyle="1" w:styleId="23">
    <w:name w:val="font01"/>
    <w:basedOn w:val="16"/>
    <w:qFormat/>
    <w:uiPriority w:val="0"/>
    <w:rPr>
      <w:rFonts w:hint="eastAsia" w:ascii="宋体" w:hAnsi="宋体" w:eastAsia="宋体" w:cs="宋体"/>
      <w:color w:val="000000"/>
      <w:sz w:val="18"/>
      <w:szCs w:val="18"/>
      <w:u w:val="none"/>
      <w:vertAlign w:val="superscript"/>
    </w:rPr>
  </w:style>
  <w:style w:type="character" w:customStyle="1" w:styleId="24">
    <w:name w:val="font61"/>
    <w:basedOn w:val="16"/>
    <w:qFormat/>
    <w:uiPriority w:val="0"/>
    <w:rPr>
      <w:rFonts w:hint="eastAsia" w:ascii="宋体" w:hAnsi="宋体" w:eastAsia="宋体" w:cs="宋体"/>
      <w:color w:val="000000"/>
      <w:sz w:val="18"/>
      <w:szCs w:val="18"/>
      <w:u w:val="none"/>
    </w:rPr>
  </w:style>
  <w:style w:type="character" w:customStyle="1" w:styleId="25">
    <w:name w:val="font41"/>
    <w:basedOn w:val="16"/>
    <w:qFormat/>
    <w:uiPriority w:val="0"/>
    <w:rPr>
      <w:rFonts w:hint="eastAsia" w:ascii="宋体" w:hAnsi="宋体" w:eastAsia="宋体" w:cs="宋体"/>
      <w:color w:val="000000"/>
      <w:sz w:val="18"/>
      <w:szCs w:val="18"/>
      <w:u w:val="none"/>
    </w:rPr>
  </w:style>
  <w:style w:type="character" w:customStyle="1" w:styleId="26">
    <w:name w:val="font31"/>
    <w:basedOn w:val="16"/>
    <w:qFormat/>
    <w:uiPriority w:val="0"/>
    <w:rPr>
      <w:rFonts w:hint="eastAsia" w:ascii="宋体" w:hAnsi="宋体" w:eastAsia="宋体" w:cs="宋体"/>
      <w:color w:val="000000"/>
      <w:sz w:val="18"/>
      <w:szCs w:val="18"/>
      <w:u w:val="none"/>
    </w:rPr>
  </w:style>
  <w:style w:type="character" w:customStyle="1" w:styleId="27">
    <w:name w:val="credit"/>
    <w:basedOn w:val="16"/>
    <w:qFormat/>
    <w:uiPriority w:val="0"/>
    <w:rPr>
      <w:sz w:val="12"/>
      <w:szCs w:val="12"/>
    </w:rPr>
  </w:style>
  <w:style w:type="character" w:customStyle="1" w:styleId="28">
    <w:name w:val="after"/>
    <w:basedOn w:val="16"/>
    <w:qFormat/>
    <w:uiPriority w:val="0"/>
    <w:rPr>
      <w:bdr w:val="dashed" w:color="auto" w:sz="36" w:space="0"/>
    </w:rPr>
  </w:style>
  <w:style w:type="character" w:customStyle="1" w:styleId="29">
    <w:name w:val="before"/>
    <w:basedOn w:val="16"/>
    <w:qFormat/>
    <w:uiPriority w:val="0"/>
    <w:rPr>
      <w:bdr w:val="single" w:color="auto" w:sz="36" w:space="0"/>
    </w:rPr>
  </w:style>
  <w:style w:type="character" w:customStyle="1" w:styleId="30">
    <w:name w:val="hover48"/>
    <w:basedOn w:val="16"/>
    <w:qFormat/>
    <w:uiPriority w:val="0"/>
    <w:rPr>
      <w:shd w:val="clear" w:color="auto" w:fill="346AC3"/>
    </w:rPr>
  </w:style>
  <w:style w:type="character" w:customStyle="1" w:styleId="31">
    <w:name w:val="hover49"/>
    <w:basedOn w:val="16"/>
    <w:qFormat/>
    <w:uiPriority w:val="0"/>
    <w:rPr>
      <w:color w:val="4285F4"/>
    </w:rPr>
  </w:style>
  <w:style w:type="character" w:customStyle="1" w:styleId="32">
    <w:name w:val="hover50"/>
    <w:basedOn w:val="16"/>
    <w:qFormat/>
    <w:uiPriority w:val="0"/>
    <w:rPr>
      <w:color w:val="1A85D7"/>
    </w:rPr>
  </w:style>
  <w:style w:type="character" w:customStyle="1" w:styleId="33">
    <w:name w:val="hover51"/>
    <w:basedOn w:val="16"/>
    <w:qFormat/>
    <w:uiPriority w:val="0"/>
    <w:rPr>
      <w:color w:val="4285F4"/>
      <w:u w:val="none"/>
    </w:rPr>
  </w:style>
  <w:style w:type="character" w:customStyle="1" w:styleId="34">
    <w:name w:val="hover52"/>
    <w:basedOn w:val="16"/>
    <w:qFormat/>
    <w:uiPriority w:val="0"/>
  </w:style>
  <w:style w:type="character" w:customStyle="1" w:styleId="35">
    <w:name w:val="first-child"/>
    <w:basedOn w:val="16"/>
    <w:qFormat/>
    <w:uiPriority w:val="0"/>
  </w:style>
  <w:style w:type="character" w:customStyle="1" w:styleId="36">
    <w:name w:val="after3"/>
    <w:basedOn w:val="16"/>
    <w:qFormat/>
    <w:uiPriority w:val="0"/>
    <w:rPr>
      <w:bdr w:val="dashed" w:color="auto" w:sz="36" w:space="0"/>
    </w:rPr>
  </w:style>
  <w:style w:type="character" w:customStyle="1" w:styleId="37">
    <w:name w:val="font81"/>
    <w:basedOn w:val="16"/>
    <w:qFormat/>
    <w:uiPriority w:val="0"/>
    <w:rPr>
      <w:rFonts w:hint="default" w:ascii="Times New Roman" w:hAnsi="Times New Roman" w:cs="Times New Roman"/>
      <w:b/>
      <w:bCs/>
      <w:color w:val="000000"/>
      <w:sz w:val="20"/>
      <w:szCs w:val="20"/>
      <w:u w:val="none"/>
    </w:rPr>
  </w:style>
  <w:style w:type="character" w:customStyle="1" w:styleId="38">
    <w:name w:val="font71"/>
    <w:basedOn w:val="16"/>
    <w:qFormat/>
    <w:uiPriority w:val="0"/>
    <w:rPr>
      <w:rFonts w:hint="eastAsia" w:ascii="宋体" w:hAnsi="宋体" w:eastAsia="宋体" w:cs="宋体"/>
      <w:color w:val="000000"/>
      <w:sz w:val="20"/>
      <w:szCs w:val="20"/>
      <w:u w:val="none"/>
    </w:rPr>
  </w:style>
  <w:style w:type="character" w:customStyle="1" w:styleId="39">
    <w:name w:val="font21"/>
    <w:basedOn w:val="16"/>
    <w:qFormat/>
    <w:uiPriority w:val="0"/>
    <w:rPr>
      <w:rFonts w:hint="eastAsia" w:ascii="宋体" w:hAnsi="宋体" w:eastAsia="宋体" w:cs="宋体"/>
      <w:color w:val="000000"/>
      <w:sz w:val="20"/>
      <w:szCs w:val="20"/>
      <w:u w:val="none"/>
    </w:rPr>
  </w:style>
  <w:style w:type="character" w:customStyle="1" w:styleId="40">
    <w:name w:val="font51"/>
    <w:basedOn w:val="16"/>
    <w:qFormat/>
    <w:uiPriority w:val="0"/>
    <w:rPr>
      <w:rFonts w:hint="default" w:ascii="Times New Roman" w:hAnsi="Times New Roman" w:cs="Times New Roman"/>
      <w:color w:val="000000"/>
      <w:sz w:val="20"/>
      <w:szCs w:val="20"/>
      <w:u w:val="none"/>
    </w:rPr>
  </w:style>
  <w:style w:type="character" w:customStyle="1" w:styleId="41">
    <w:name w:val="font11"/>
    <w:basedOn w:val="16"/>
    <w:qFormat/>
    <w:uiPriority w:val="0"/>
    <w:rPr>
      <w:rFonts w:hint="default" w:ascii="Times New Roman" w:hAnsi="Times New Roman" w:cs="Times New Roman"/>
      <w:color w:val="000000"/>
      <w:sz w:val="20"/>
      <w:szCs w:val="20"/>
      <w:u w:val="none"/>
    </w:rPr>
  </w:style>
  <w:style w:type="character" w:customStyle="1" w:styleId="42">
    <w:name w:val="占位符文本1"/>
    <w:basedOn w:val="16"/>
    <w:semiHidden/>
    <w:qFormat/>
    <w:uiPriority w:val="99"/>
    <w:rPr>
      <w:color w:val="808080"/>
    </w:rPr>
  </w:style>
  <w:style w:type="paragraph" w:customStyle="1" w:styleId="43">
    <w:name w:val="Revision"/>
    <w:hidden/>
    <w:unhideWhenUsed/>
    <w:qFormat/>
    <w:uiPriority w:val="99"/>
    <w:rPr>
      <w:rFonts w:ascii="Times New Roman" w:hAnsi="Times New Roman" w:eastAsia="宋体" w:cstheme="minorBidi"/>
      <w:kern w:val="2"/>
      <w:sz w:val="24"/>
      <w:szCs w:val="24"/>
      <w:lang w:val="en-US" w:eastAsia="zh-CN" w:bidi="ar-SA"/>
    </w:rPr>
  </w:style>
  <w:style w:type="paragraph" w:styleId="44">
    <w:name w:val="List Paragraph"/>
    <w:basedOn w:val="1"/>
    <w:unhideWhenUsed/>
    <w:qFormat/>
    <w:uiPriority w:val="99"/>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theme" Target="theme/theme1.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40</Pages>
  <Words>3396</Words>
  <Characters>3688</Characters>
  <Lines>1185</Lines>
  <Paragraphs>986</Paragraphs>
  <TotalTime>3</TotalTime>
  <ScaleCrop>false</ScaleCrop>
  <LinksUpToDate>false</LinksUpToDate>
  <CharactersWithSpaces>3774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2025-04-09T04:41:00Z</dcterms:created>
  <dc:creator>ACER</dc:creator>
  <cp:lastModifiedBy>X</cp:lastModifiedBy>
  <cp:lastPrinted>2022-05-25T01:10:00Z</cp:lastPrinted>
  <dcterms:modified xsi:type="dcterms:W3CDTF">2026-07-22T12:11:05Z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F1F32C16B6404BE097326619E3055A1A_13</vt:lpwstr>
  </property>
  <property fmtid="{D5CDD505-2E9C-101B-9397-08002B2CF9AE}" pid="4" name="KSOTemplateDocerSaveRecord">
    <vt:lpwstr>eyJoZGlkIjoiMTRhOThiZjk3ZWU2MTQ0OTVkOThiZGI2MzU5ZDgyMTciLCJ1c2VySWQiOiIyODkzNTQwMjMifQ==</vt:lpwstr>
  </property>
</Properties>
</file>