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3622A">
      <w:pPr>
        <w:jc w:val="center"/>
        <w:rPr>
          <w:rFonts w:ascii="Times New Roman" w:hAnsi="Times New Roman" w:eastAsia="方正黑体_GBK" w:cs="Times New Roman"/>
          <w:sz w:val="36"/>
          <w:szCs w:val="36"/>
        </w:rPr>
      </w:pPr>
      <w:r>
        <w:rPr>
          <w:rFonts w:ascii="Times New Roman" w:eastAsia="方正黑体_GBK" w:cs="Times New Roman"/>
          <w:sz w:val="36"/>
          <w:szCs w:val="36"/>
        </w:rPr>
        <w:t>医用耗材采购清单</w:t>
      </w:r>
      <w:bookmarkStart w:id="0" w:name="_GoBack"/>
      <w:bookmarkEnd w:id="0"/>
    </w:p>
    <w:tbl>
      <w:tblPr>
        <w:tblStyle w:val="6"/>
        <w:tblW w:w="9705" w:type="dxa"/>
        <w:tblInd w:w="270" w:type="dxa"/>
        <w:tblLayout w:type="fixed"/>
        <w:tblCellMar>
          <w:top w:w="0" w:type="dxa"/>
          <w:left w:w="108" w:type="dxa"/>
          <w:bottom w:w="0" w:type="dxa"/>
          <w:right w:w="108" w:type="dxa"/>
        </w:tblCellMar>
      </w:tblPr>
      <w:tblGrid>
        <w:gridCol w:w="903"/>
        <w:gridCol w:w="2284"/>
        <w:gridCol w:w="4752"/>
        <w:gridCol w:w="1766"/>
      </w:tblGrid>
      <w:tr w14:paraId="15DB8085">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830A">
            <w:pPr>
              <w:widowControl/>
              <w:jc w:val="center"/>
              <w:textAlignment w:val="center"/>
              <w:rPr>
                <w:rFonts w:ascii="Times New Roman" w:hAnsi="Times New Roman" w:eastAsia="方正黑体_GBK" w:cs="Times New Roman"/>
                <w:color w:val="000000"/>
                <w:kern w:val="2"/>
                <w:sz w:val="22"/>
                <w:szCs w:val="22"/>
                <w:lang w:val="en-US" w:eastAsia="zh-CN" w:bidi="ar-SA"/>
              </w:rPr>
            </w:pPr>
            <w:r>
              <w:rPr>
                <w:rFonts w:ascii="Times New Roman" w:hAnsi="方正黑体_GBK" w:eastAsia="方正黑体_GBK" w:cs="Times New Roman"/>
                <w:color w:val="000000"/>
                <w:kern w:val="0"/>
                <w:sz w:val="22"/>
                <w:szCs w:val="22"/>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6A94">
            <w:pPr>
              <w:widowControl/>
              <w:jc w:val="center"/>
              <w:textAlignment w:val="center"/>
              <w:rPr>
                <w:rFonts w:ascii="Times New Roman" w:hAnsi="Times New Roman" w:eastAsia="方正黑体_GBK" w:cs="Times New Roman"/>
                <w:color w:val="000000"/>
                <w:kern w:val="2"/>
                <w:sz w:val="22"/>
                <w:szCs w:val="22"/>
                <w:lang w:val="en-US" w:eastAsia="zh-CN" w:bidi="ar-SA"/>
              </w:rPr>
            </w:pPr>
            <w:r>
              <w:rPr>
                <w:rFonts w:ascii="Times New Roman" w:hAnsi="方正黑体_GBK" w:eastAsia="方正黑体_GBK" w:cs="Times New Roman"/>
                <w:color w:val="000000"/>
                <w:kern w:val="0"/>
                <w:sz w:val="22"/>
                <w:szCs w:val="22"/>
              </w:rPr>
              <w:t>医用耗材名称</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221">
            <w:pPr>
              <w:widowControl/>
              <w:jc w:val="center"/>
              <w:textAlignment w:val="center"/>
              <w:rPr>
                <w:rFonts w:ascii="Times New Roman" w:hAnsi="Times New Roman" w:eastAsia="方正黑体_GBK" w:cs="Times New Roman"/>
                <w:color w:val="000000"/>
                <w:kern w:val="2"/>
                <w:sz w:val="22"/>
                <w:szCs w:val="22"/>
                <w:lang w:val="en-US" w:eastAsia="zh-CN" w:bidi="ar-SA"/>
              </w:rPr>
            </w:pPr>
            <w:r>
              <w:rPr>
                <w:rFonts w:ascii="Times New Roman" w:hAnsi="方正黑体_GBK" w:eastAsia="方正黑体_GBK" w:cs="Times New Roman"/>
                <w:color w:val="000000"/>
                <w:kern w:val="0"/>
                <w:sz w:val="22"/>
                <w:szCs w:val="22"/>
              </w:rPr>
              <w:t>主要用途及配置要求</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87B5">
            <w:pPr>
              <w:widowControl/>
              <w:jc w:val="center"/>
              <w:textAlignment w:val="center"/>
              <w:rPr>
                <w:rFonts w:hint="default" w:ascii="Times New Roman" w:hAnsi="方正黑体_GBK" w:eastAsia="方正黑体_GBK" w:cs="Times New Roman"/>
                <w:color w:val="000000"/>
                <w:kern w:val="0"/>
                <w:sz w:val="22"/>
                <w:szCs w:val="22"/>
                <w:lang w:val="en-US" w:eastAsia="zh-CN"/>
              </w:rPr>
            </w:pPr>
            <w:r>
              <w:rPr>
                <w:rFonts w:hint="eastAsia" w:ascii="Times New Roman" w:hAnsi="方正黑体_GBK" w:eastAsia="方正黑体_GBK" w:cs="Times New Roman"/>
                <w:color w:val="000000"/>
                <w:kern w:val="0"/>
                <w:sz w:val="22"/>
                <w:szCs w:val="22"/>
                <w:lang w:val="en-US" w:eastAsia="zh-CN"/>
              </w:rPr>
              <w:t>使用科室</w:t>
            </w:r>
          </w:p>
        </w:tc>
      </w:tr>
      <w:tr w14:paraId="01A77EE1">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DDB0">
            <w:pPr>
              <w:widowControl/>
              <w:jc w:val="center"/>
              <w:textAlignment w:val="center"/>
              <w:rPr>
                <w:rFonts w:hint="eastAsia"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1</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B3BF">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DAB显色试剂（ultraView Universal DAB Detection Kit）（免疫显色试剂：二抗，专机专用）</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E8F2">
            <w:pPr>
              <w:widowControl/>
              <w:numPr>
                <w:ilvl w:val="0"/>
                <w:numId w:val="1"/>
              </w:numPr>
              <w:jc w:val="left"/>
              <w:textAlignment w:val="center"/>
              <w:rPr>
                <w:rFonts w:hint="eastAsia" w:ascii="方正仿宋_GBK" w:hAnsi="方正仿宋_GBK" w:eastAsia="方正仿宋_GBK" w:cs="方正仿宋_GBK"/>
                <w:b w:val="0"/>
                <w:bCs w:val="0"/>
                <w:sz w:val="22"/>
                <w:szCs w:val="22"/>
              </w:rPr>
            </w:pPr>
            <w:r>
              <w:rPr>
                <w:rFonts w:hint="eastAsia" w:ascii="方正仿宋_GBK" w:hAnsi="方正仿宋_GBK" w:eastAsia="方正仿宋_GBK" w:cs="方正仿宋_GBK"/>
                <w:b w:val="0"/>
                <w:bCs w:val="0"/>
                <w:sz w:val="22"/>
                <w:szCs w:val="22"/>
              </w:rPr>
              <w:t>在免疫组织化学（IHC）实验中，免疫显色试剂与一抗结合，通过显色反应将靶点进行标记。这种标记使得研究人员能够在显微镜下观察和分析组织中的特定抗原。</w:t>
            </w:r>
          </w:p>
          <w:p w14:paraId="32D12C78">
            <w:pPr>
              <w:widowControl/>
              <w:numPr>
                <w:ilvl w:val="0"/>
                <w:numId w:val="1"/>
              </w:numPr>
              <w:jc w:val="left"/>
              <w:textAlignment w:val="center"/>
              <w:rPr>
                <w:rFonts w:hint="eastAsia" w:ascii="方正仿宋_GBK" w:hAnsi="方正仿宋_GBK" w:eastAsia="方正仿宋_GBK" w:cs="方正仿宋_GBK"/>
                <w:b w:val="0"/>
                <w:bCs w:val="0"/>
                <w:sz w:val="22"/>
                <w:szCs w:val="22"/>
              </w:rPr>
            </w:pPr>
            <w:r>
              <w:rPr>
                <w:rFonts w:hint="eastAsia" w:ascii="方正仿宋_GBK" w:hAnsi="方正仿宋_GBK" w:eastAsia="方正仿宋_GBK" w:cs="方正仿宋_GBK"/>
                <w:b w:val="0"/>
                <w:bCs w:val="0"/>
                <w:sz w:val="22"/>
                <w:szCs w:val="22"/>
              </w:rPr>
              <w:t>有，罗氏BenchMark U1tra</w:t>
            </w:r>
            <w:r>
              <w:rPr>
                <w:rFonts w:hint="eastAsia" w:ascii="方正仿宋_GBK" w:hAnsi="方正仿宋_GBK" w:eastAsia="方正仿宋_GBK" w:cs="方正仿宋_GBK"/>
                <w:b w:val="0"/>
                <w:bCs w:val="0"/>
                <w:sz w:val="22"/>
                <w:szCs w:val="22"/>
                <w:lang w:eastAsia="zh-CN"/>
              </w:rPr>
              <w:t>。</w:t>
            </w:r>
          </w:p>
          <w:p w14:paraId="2DD04D71">
            <w:pPr>
              <w:widowControl/>
              <w:numPr>
                <w:ilvl w:val="0"/>
                <w:numId w:val="1"/>
              </w:numPr>
              <w:jc w:val="left"/>
              <w:textAlignment w:val="center"/>
              <w:rPr>
                <w:rFonts w:hint="eastAsia" w:ascii="方正仿宋_GBK" w:hAnsi="方正仿宋_GBK" w:eastAsia="方正仿宋_GBK" w:cs="方正仿宋_GBK"/>
                <w:b w:val="0"/>
                <w:bCs w:val="0"/>
                <w:sz w:val="22"/>
                <w:szCs w:val="22"/>
              </w:rPr>
            </w:pPr>
            <w:r>
              <w:rPr>
                <w:rFonts w:hint="eastAsia" w:ascii="方正仿宋_GBK" w:hAnsi="方正仿宋_GBK" w:eastAsia="方正仿宋_GBK" w:cs="方正仿宋_GBK"/>
                <w:b w:val="0"/>
                <w:bCs w:val="0"/>
                <w:sz w:val="22"/>
                <w:szCs w:val="22"/>
              </w:rPr>
              <w:t>规格：250测试/盒</w:t>
            </w:r>
            <w:r>
              <w:rPr>
                <w:rFonts w:hint="eastAsia" w:ascii="方正仿宋_GBK" w:hAnsi="方正仿宋_GBK" w:eastAsia="方正仿宋_GBK" w:cs="方正仿宋_GBK"/>
                <w:b w:val="0"/>
                <w:bCs w:val="0"/>
                <w:sz w:val="22"/>
                <w:szCs w:val="22"/>
                <w:lang w:eastAsia="zh-CN"/>
              </w:rPr>
              <w:t>，</w:t>
            </w:r>
            <w:r>
              <w:rPr>
                <w:rFonts w:hint="eastAsia" w:ascii="方正仿宋_GBK" w:hAnsi="方正仿宋_GBK" w:eastAsia="方正仿宋_GBK" w:cs="方正仿宋_GBK"/>
                <w:b w:val="0"/>
                <w:bCs w:val="0"/>
                <w:sz w:val="22"/>
                <w:szCs w:val="22"/>
              </w:rPr>
              <w:t>DAB染色液包含：COPPER、INHIBITOR、HRP UNIV MULT、DAB、DAB H2O2</w:t>
            </w:r>
            <w:r>
              <w:rPr>
                <w:rFonts w:hint="eastAsia" w:ascii="方正仿宋_GBK" w:hAnsi="方正仿宋_GBK" w:eastAsia="方正仿宋_GBK" w:cs="方正仿宋_GBK"/>
                <w:b w:val="0"/>
                <w:bCs w:val="0"/>
                <w:sz w:val="22"/>
                <w:szCs w:val="22"/>
                <w:lang w:eastAsia="zh-CN"/>
              </w:rPr>
              <w:t>、返蓝液、苏木素染色液。</w:t>
            </w:r>
          </w:p>
          <w:p w14:paraId="29B8E751">
            <w:pPr>
              <w:widowControl/>
              <w:numPr>
                <w:ilvl w:val="0"/>
                <w:numId w:val="1"/>
              </w:numPr>
              <w:jc w:val="left"/>
              <w:textAlignment w:val="center"/>
              <w:rPr>
                <w:rFonts w:hint="eastAsia" w:ascii="方正仿宋_GBK" w:hAnsi="方正仿宋_GBK" w:eastAsia="方正仿宋_GBK" w:cs="方正仿宋_GBK"/>
                <w:b w:val="0"/>
                <w:bCs w:val="0"/>
                <w:sz w:val="22"/>
                <w:szCs w:val="22"/>
              </w:rPr>
            </w:pPr>
            <w:r>
              <w:rPr>
                <w:rFonts w:hint="eastAsia" w:ascii="方正仿宋_GBK" w:hAnsi="方正仿宋_GBK" w:eastAsia="方正仿宋_GBK" w:cs="方正仿宋_GBK"/>
                <w:b w:val="0"/>
                <w:bCs w:val="0"/>
                <w:sz w:val="22"/>
                <w:szCs w:val="22"/>
              </w:rPr>
              <w:t>返蓝液（BLUING REAGENT）</w:t>
            </w:r>
            <w:r>
              <w:rPr>
                <w:rFonts w:hint="eastAsia" w:ascii="方正仿宋_GBK" w:hAnsi="方正仿宋_GBK" w:eastAsia="方正仿宋_GBK" w:cs="方正仿宋_GBK"/>
                <w:b w:val="0"/>
                <w:bCs w:val="0"/>
                <w:sz w:val="22"/>
                <w:szCs w:val="22"/>
                <w:lang w:eastAsia="zh-CN"/>
              </w:rPr>
              <w:t>、苏木素染色液（HEMATOXYLINⅡ）</w:t>
            </w:r>
            <w:r>
              <w:rPr>
                <w:rFonts w:hint="eastAsia" w:ascii="方正仿宋_GBK" w:hAnsi="方正仿宋_GBK" w:eastAsia="方正仿宋_GBK" w:cs="方正仿宋_GBK"/>
                <w:b w:val="0"/>
                <w:bCs w:val="0"/>
                <w:sz w:val="22"/>
                <w:szCs w:val="22"/>
              </w:rPr>
              <w:t>规格：25ml/盒。</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D12A">
            <w:pPr>
              <w:widowControl/>
              <w:numPr>
                <w:numId w:val="0"/>
              </w:numPr>
              <w:jc w:val="center"/>
              <w:textAlignment w:val="center"/>
              <w:rPr>
                <w:rFonts w:hint="eastAsia"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11897DE5">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269">
            <w:pPr>
              <w:widowControl/>
              <w:jc w:val="center"/>
              <w:textAlignment w:val="center"/>
              <w:rPr>
                <w:rFonts w:hint="eastAsia"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2</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264">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DAB显色试剂（optiview DAB IHC Detection Kit）（免疫显色试剂：二抗，专机专用）</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ED8">
            <w:pPr>
              <w:widowControl/>
              <w:jc w:val="left"/>
              <w:textAlignment w:val="center"/>
              <w:rPr>
                <w:rFonts w:hint="default"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rPr>
              <w:t>1、在免疫组织化学（IHC）实验中，免疫显色试剂与一抗结合，通过显色反应将靶点进行标记。这种标记使得研究人员能够在显微镜下观察和分析组织中的特定抗原。</w:t>
            </w:r>
            <w:r>
              <w:rPr>
                <w:rFonts w:hint="eastAsia" w:ascii="方正仿宋_GBK" w:hAnsi="方正仿宋_GBK" w:eastAsia="方正仿宋_GBK" w:cs="方正仿宋_GBK"/>
                <w:b w:val="0"/>
                <w:bCs w:val="0"/>
                <w:sz w:val="22"/>
                <w:szCs w:val="22"/>
                <w:lang w:val="en-US" w:eastAsia="zh-CN"/>
              </w:rPr>
              <w:t>此为增强型显色试剂用于PMS2等抗体。</w:t>
            </w:r>
          </w:p>
          <w:p w14:paraId="08D61DAF">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rPr>
              <w:t>2、有，罗氏BenchMark U1tra</w:t>
            </w:r>
            <w:r>
              <w:rPr>
                <w:rFonts w:hint="eastAsia" w:ascii="方正仿宋_GBK" w:hAnsi="方正仿宋_GBK" w:eastAsia="方正仿宋_GBK" w:cs="方正仿宋_GBK"/>
                <w:b w:val="0"/>
                <w:bCs w:val="0"/>
                <w:sz w:val="22"/>
                <w:szCs w:val="22"/>
                <w:lang w:eastAsia="zh-CN"/>
              </w:rPr>
              <w:t>。</w:t>
            </w:r>
          </w:p>
          <w:p w14:paraId="34BD2371">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lang w:val="en-US" w:eastAsia="zh-CN"/>
              </w:rPr>
              <w:t>3、</w:t>
            </w:r>
            <w:r>
              <w:rPr>
                <w:rFonts w:hint="eastAsia" w:ascii="方正仿宋_GBK" w:hAnsi="方正仿宋_GBK" w:eastAsia="方正仿宋_GBK" w:cs="方正仿宋_GBK"/>
                <w:b w:val="0"/>
                <w:bCs w:val="0"/>
                <w:sz w:val="22"/>
                <w:szCs w:val="22"/>
              </w:rPr>
              <w:t>规格：250测试/盒</w:t>
            </w:r>
            <w:r>
              <w:rPr>
                <w:rFonts w:hint="eastAsia" w:ascii="方正仿宋_GBK" w:hAnsi="方正仿宋_GBK" w:eastAsia="方正仿宋_GBK" w:cs="方正仿宋_GBK"/>
                <w:b w:val="0"/>
                <w:bCs w:val="0"/>
                <w:sz w:val="22"/>
                <w:szCs w:val="22"/>
                <w:lang w:eastAsia="zh-CN"/>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5F3F">
            <w:pPr>
              <w:widowControl/>
              <w:jc w:val="center"/>
              <w:textAlignment w:val="center"/>
              <w:rPr>
                <w:rFonts w:hint="eastAsia"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5553D050">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5D72">
            <w:pPr>
              <w:widowControl/>
              <w:jc w:val="center"/>
              <w:textAlignment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3</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58F8">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兔单克隆阴性质控抗体（免疫显色试剂：二抗，专机专用）</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07ED">
            <w:pPr>
              <w:widowControl/>
              <w:jc w:val="left"/>
              <w:textAlignment w:val="center"/>
              <w:rPr>
                <w:rFonts w:hint="default"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rPr>
              <w:t>1、在免疫组织化学（IHC）实验中，免疫显色试剂与一抗结合，通过显色反应将靶点进行标记。这种标记使得研究人员能够在显微镜下观察和分析组织中的特定抗原。</w:t>
            </w:r>
            <w:r>
              <w:rPr>
                <w:rFonts w:hint="eastAsia" w:ascii="方正仿宋_GBK" w:hAnsi="方正仿宋_GBK" w:eastAsia="方正仿宋_GBK" w:cs="方正仿宋_GBK"/>
                <w:b w:val="0"/>
                <w:bCs w:val="0"/>
                <w:sz w:val="22"/>
                <w:szCs w:val="22"/>
                <w:lang w:val="en-US" w:eastAsia="zh-CN"/>
              </w:rPr>
              <w:t>此为阴性对照片质控抗体。</w:t>
            </w:r>
          </w:p>
          <w:p w14:paraId="7BB1CB0B">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rPr>
              <w:t>2、有，罗氏BenchMark U1tra</w:t>
            </w:r>
            <w:r>
              <w:rPr>
                <w:rFonts w:hint="eastAsia" w:ascii="方正仿宋_GBK" w:hAnsi="方正仿宋_GBK" w:eastAsia="方正仿宋_GBK" w:cs="方正仿宋_GBK"/>
                <w:b w:val="0"/>
                <w:bCs w:val="0"/>
                <w:sz w:val="22"/>
                <w:szCs w:val="22"/>
                <w:lang w:eastAsia="zh-CN"/>
              </w:rPr>
              <w:t>。</w:t>
            </w:r>
          </w:p>
          <w:p w14:paraId="65873849">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lang w:val="en-US" w:eastAsia="zh-CN"/>
              </w:rPr>
              <w:t>3、</w:t>
            </w:r>
            <w:r>
              <w:rPr>
                <w:rFonts w:hint="eastAsia" w:ascii="方正仿宋_GBK" w:hAnsi="方正仿宋_GBK" w:eastAsia="方正仿宋_GBK" w:cs="方正仿宋_GBK"/>
                <w:b w:val="0"/>
                <w:bCs w:val="0"/>
                <w:sz w:val="22"/>
                <w:szCs w:val="22"/>
              </w:rPr>
              <w:t>规格：250测试/盒</w:t>
            </w:r>
            <w:r>
              <w:rPr>
                <w:rFonts w:hint="eastAsia" w:ascii="方正仿宋_GBK" w:hAnsi="方正仿宋_GBK" w:eastAsia="方正仿宋_GBK" w:cs="方正仿宋_GBK"/>
                <w:b w:val="0"/>
                <w:bCs w:val="0"/>
                <w:sz w:val="22"/>
                <w:szCs w:val="22"/>
                <w:lang w:eastAsia="zh-CN"/>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BDA1">
            <w:pPr>
              <w:widowControl/>
              <w:jc w:val="center"/>
              <w:textAlignment w:val="center"/>
              <w:rPr>
                <w:rFonts w:hint="eastAsia"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670FFB0C">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747">
            <w:pPr>
              <w:widowControl/>
              <w:jc w:val="center"/>
              <w:textAlignment w:val="center"/>
              <w:rPr>
                <w:rFonts w:hint="eastAsia"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4</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986C">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DAB染色增强液（免疫显色试剂：二抗，专机专用）</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3EA2">
            <w:pPr>
              <w:widowControl/>
              <w:jc w:val="left"/>
              <w:textAlignment w:val="center"/>
              <w:rPr>
                <w:rFonts w:hint="default"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rPr>
              <w:t>1、在免疫组织化学（IHC）实验中，免疫显色试剂与一抗结合，通过显色反应将靶点进行标记。这种标记使得研究人员能够在显微镜下观察和分析组织中的特定抗原。</w:t>
            </w:r>
            <w:r>
              <w:rPr>
                <w:rFonts w:hint="eastAsia" w:ascii="方正仿宋_GBK" w:hAnsi="方正仿宋_GBK" w:eastAsia="方正仿宋_GBK" w:cs="方正仿宋_GBK"/>
                <w:b w:val="0"/>
                <w:bCs w:val="0"/>
                <w:sz w:val="22"/>
                <w:szCs w:val="22"/>
                <w:lang w:val="en-US" w:eastAsia="zh-CN"/>
              </w:rPr>
              <w:t>此为辅助诊断试剂染色所需增强液。</w:t>
            </w:r>
          </w:p>
          <w:p w14:paraId="3856120D">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rPr>
              <w:t>2、有，罗氏BenchMark U1tra</w:t>
            </w:r>
            <w:r>
              <w:rPr>
                <w:rFonts w:hint="eastAsia" w:ascii="方正仿宋_GBK" w:hAnsi="方正仿宋_GBK" w:eastAsia="方正仿宋_GBK" w:cs="方正仿宋_GBK"/>
                <w:b w:val="0"/>
                <w:bCs w:val="0"/>
                <w:sz w:val="22"/>
                <w:szCs w:val="22"/>
                <w:lang w:eastAsia="zh-CN"/>
              </w:rPr>
              <w:t>。</w:t>
            </w:r>
          </w:p>
          <w:p w14:paraId="768EF0FC">
            <w:pPr>
              <w:widowControl/>
              <w:jc w:val="left"/>
              <w:textAlignment w:val="center"/>
              <w:rPr>
                <w:rFonts w:hint="eastAsia" w:ascii="方正仿宋_GBK" w:hAnsi="方正仿宋_GBK" w:eastAsia="方正仿宋_GBK" w:cs="方正仿宋_GBK"/>
                <w:b w:val="0"/>
                <w:bCs w:val="0"/>
                <w:sz w:val="22"/>
                <w:szCs w:val="22"/>
                <w:lang w:eastAsia="zh-CN"/>
              </w:rPr>
            </w:pPr>
            <w:r>
              <w:rPr>
                <w:rFonts w:hint="eastAsia" w:ascii="方正仿宋_GBK" w:hAnsi="方正仿宋_GBK" w:eastAsia="方正仿宋_GBK" w:cs="方正仿宋_GBK"/>
                <w:b w:val="0"/>
                <w:bCs w:val="0"/>
                <w:sz w:val="22"/>
                <w:szCs w:val="22"/>
                <w:lang w:val="en-US" w:eastAsia="zh-CN"/>
              </w:rPr>
              <w:t>3、</w:t>
            </w:r>
            <w:r>
              <w:rPr>
                <w:rFonts w:hint="eastAsia" w:ascii="方正仿宋_GBK" w:hAnsi="方正仿宋_GBK" w:eastAsia="方正仿宋_GBK" w:cs="方正仿宋_GBK"/>
                <w:b w:val="0"/>
                <w:bCs w:val="0"/>
                <w:sz w:val="22"/>
                <w:szCs w:val="22"/>
              </w:rPr>
              <w:t>规格：250测试/盒</w:t>
            </w:r>
            <w:r>
              <w:rPr>
                <w:rFonts w:hint="eastAsia" w:ascii="方正仿宋_GBK" w:hAnsi="方正仿宋_GBK" w:eastAsia="方正仿宋_GBK" w:cs="方正仿宋_GBK"/>
                <w:b w:val="0"/>
                <w:bCs w:val="0"/>
                <w:sz w:val="22"/>
                <w:szCs w:val="22"/>
                <w:lang w:eastAsia="zh-CN"/>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7DB3">
            <w:pPr>
              <w:widowControl/>
              <w:jc w:val="center"/>
              <w:textAlignment w:val="center"/>
              <w:rPr>
                <w:rFonts w:hint="eastAsia"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52E88261">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E5CB">
            <w:pPr>
              <w:widowControl/>
              <w:jc w:val="center"/>
              <w:textAlignment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lang w:val="en-US" w:eastAsia="zh-CN"/>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CDA6">
            <w:pPr>
              <w:widowControl/>
              <w:jc w:val="center"/>
              <w:textAlignment w:val="center"/>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color w:val="000000"/>
                <w:kern w:val="0"/>
                <w:sz w:val="22"/>
                <w:szCs w:val="22"/>
              </w:rPr>
              <w:t>免疫组化抗原修复缓冲液（开放试剂）</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7E04">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1、在免疫组织化学（IHC）实验中，免疫显色试剂与一抗结合，通过显色反应将靶点进行标记。这种标记使得研究人员能够在显微镜下观察和分析组织中的特定抗原。</w:t>
            </w:r>
          </w:p>
          <w:p w14:paraId="7A929ADB">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2、手工，开放试剂</w:t>
            </w:r>
          </w:p>
          <w:p w14:paraId="294769CE">
            <w:pPr>
              <w:widowControl/>
              <w:jc w:val="left"/>
              <w:textAlignment w:val="center"/>
              <w:rPr>
                <w:rFonts w:hint="eastAsia" w:ascii="方正仿宋_GBK" w:hAnsi="方正仿宋_GBK" w:eastAsia="方正仿宋_GBK" w:cs="方正仿宋_GBK"/>
                <w:b w:val="0"/>
                <w:bCs w:val="0"/>
                <w:color w:val="000000"/>
                <w:kern w:val="2"/>
                <w:sz w:val="22"/>
                <w:szCs w:val="22"/>
                <w:lang w:val="en-US" w:eastAsia="zh-CN" w:bidi="ar-SA"/>
              </w:rPr>
            </w:pPr>
            <w:r>
              <w:rPr>
                <w:rFonts w:hint="eastAsia" w:ascii="方正仿宋_GBK" w:hAnsi="方正仿宋_GBK" w:eastAsia="方正仿宋_GBK" w:cs="方正仿宋_GBK"/>
                <w:b w:val="0"/>
                <w:bCs w:val="0"/>
                <w:sz w:val="22"/>
                <w:szCs w:val="22"/>
                <w:lang w:val="en-US" w:eastAsia="zh-CN"/>
              </w:rPr>
              <w:t>3、规格：</w:t>
            </w:r>
            <w:r>
              <w:rPr>
                <w:rFonts w:hint="eastAsia" w:ascii="方正仿宋_GBK" w:hAnsi="方正仿宋_GBK" w:eastAsia="方正仿宋_GBK" w:cs="方正仿宋_GBK"/>
                <w:b w:val="0"/>
                <w:bCs w:val="0"/>
                <w:sz w:val="22"/>
                <w:szCs w:val="22"/>
              </w:rPr>
              <w:t>PH 9.0、PH8.0，10ml/瓶、30ml/瓶、60ml/瓶、100ml/瓶、200ml、500ml/瓶，1L/瓶)，柠檬酸盐PH 6.0，10袋/包</w:t>
            </w:r>
            <w:r>
              <w:rPr>
                <w:rFonts w:hint="eastAsia" w:ascii="方正仿宋_GBK" w:hAnsi="方正仿宋_GBK" w:eastAsia="方正仿宋_GBK" w:cs="方正仿宋_GBK"/>
                <w:b w:val="0"/>
                <w:bCs w:val="0"/>
                <w:sz w:val="22"/>
                <w:szCs w:val="22"/>
                <w:lang w:eastAsia="zh-CN"/>
              </w:rPr>
              <w:t>；</w:t>
            </w:r>
            <w:r>
              <w:rPr>
                <w:rFonts w:hint="default" w:ascii="方正仿宋_GBK" w:hAnsi="方正仿宋_GBK" w:eastAsia="方正仿宋_GBK" w:cs="方正仿宋_GBK"/>
                <w:b w:val="0"/>
                <w:bCs w:val="0"/>
                <w:i w:val="0"/>
                <w:iCs w:val="0"/>
                <w:color w:val="000000"/>
                <w:kern w:val="0"/>
                <w:sz w:val="22"/>
                <w:szCs w:val="22"/>
                <w:highlight w:val="none"/>
                <w:vertAlign w:val="baseline"/>
                <w:lang w:val="en-US" w:eastAsia="zh-CN" w:bidi="ar-SA"/>
              </w:rPr>
              <w:t>抗体稀释液</w:t>
            </w:r>
            <w:r>
              <w:rPr>
                <w:rFonts w:hint="eastAsia" w:ascii="方正仿宋_GBK" w:hAnsi="方正仿宋_GBK" w:eastAsia="方正仿宋_GBK" w:cs="方正仿宋_GBK"/>
                <w:b w:val="0"/>
                <w:bCs w:val="0"/>
                <w:i w:val="0"/>
                <w:iCs w:val="0"/>
                <w:color w:val="000000"/>
                <w:kern w:val="0"/>
                <w:sz w:val="22"/>
                <w:szCs w:val="22"/>
                <w:highlight w:val="none"/>
                <w:vertAlign w:val="baseline"/>
                <w:lang w:val="en-US" w:eastAsia="zh-CN" w:bidi="ar-SA"/>
              </w:rPr>
              <w:t>：</w:t>
            </w:r>
            <w:r>
              <w:rPr>
                <w:rFonts w:hint="default" w:ascii="方正仿宋_GBK" w:hAnsi="方正仿宋_GBK" w:eastAsia="方正仿宋_GBK" w:cs="方正仿宋_GBK"/>
                <w:b w:val="0"/>
                <w:bCs w:val="0"/>
                <w:i w:val="0"/>
                <w:iCs w:val="0"/>
                <w:color w:val="000000"/>
                <w:kern w:val="2"/>
                <w:sz w:val="22"/>
                <w:szCs w:val="22"/>
                <w:highlight w:val="none"/>
                <w:vertAlign w:val="baseline"/>
                <w:lang w:val="en-US" w:eastAsia="zh-CN" w:bidi="ar-SA"/>
              </w:rPr>
              <w:t>规格20 ml/瓶，50 ml/瓶，100ml/瓶，500ml/瓶。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2636">
            <w:pPr>
              <w:widowControl/>
              <w:jc w:val="center"/>
              <w:textAlignment w:val="center"/>
              <w:rPr>
                <w:rFonts w:hint="eastAsia" w:ascii="方正仿宋_GBK" w:hAnsi="方正仿宋_GBK" w:eastAsia="方正仿宋_GBK" w:cs="方正仿宋_GBK"/>
                <w:b w:val="0"/>
                <w:bCs w:val="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1AAED2BB">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B2AD">
            <w:pPr>
              <w:widowControl/>
              <w:jc w:val="center"/>
              <w:textAlignment w:val="center"/>
              <w:rPr>
                <w:rFonts w:hint="eastAsia"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6</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0C7A">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PBS 缓冲液粉末（开放试剂）</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C104">
            <w:pPr>
              <w:widowControl/>
              <w:jc w:val="left"/>
              <w:textAlignment w:val="center"/>
              <w:rPr>
                <w:rFonts w:hint="eastAsia" w:ascii="方正仿宋_GBK" w:hAnsi="方正仿宋_GBK" w:eastAsia="方正仿宋_GBK" w:cs="方正仿宋_GBK"/>
                <w:b w:val="0"/>
                <w:bCs w:val="0"/>
                <w:kern w:val="2"/>
                <w:sz w:val="22"/>
                <w:szCs w:val="22"/>
                <w:lang w:val="en-US" w:eastAsia="zh-CN" w:bidi="ar-SA"/>
              </w:rPr>
            </w:pPr>
            <w:r>
              <w:rPr>
                <w:rFonts w:hint="eastAsia" w:ascii="方正仿宋_GBK" w:hAnsi="方正仿宋_GBK" w:eastAsia="方正仿宋_GBK" w:cs="方正仿宋_GBK"/>
                <w:b w:val="0"/>
                <w:bCs w:val="0"/>
                <w:kern w:val="2"/>
                <w:sz w:val="22"/>
                <w:szCs w:val="22"/>
                <w:lang w:val="en-US" w:eastAsia="zh-CN" w:bidi="ar-SA"/>
              </w:rPr>
              <w:t>1</w:t>
            </w:r>
            <w:r>
              <w:rPr>
                <w:rFonts w:hint="eastAsia" w:ascii="方正仿宋_GBK" w:hAnsi="方正仿宋_GBK" w:eastAsia="方正仿宋_GBK" w:cs="方正仿宋_GBK"/>
                <w:b w:val="0"/>
                <w:bCs w:val="0"/>
                <w:sz w:val="22"/>
                <w:szCs w:val="22"/>
                <w:lang w:val="en-US" w:eastAsia="zh-CN"/>
              </w:rPr>
              <w:t>、</w:t>
            </w:r>
            <w:r>
              <w:rPr>
                <w:rFonts w:hint="default" w:ascii="方正仿宋_GBK" w:hAnsi="方正仿宋_GBK" w:eastAsia="方正仿宋_GBK" w:cs="方正仿宋_GBK"/>
                <w:b w:val="0"/>
                <w:bCs w:val="0"/>
                <w:sz w:val="22"/>
                <w:szCs w:val="22"/>
                <w:lang w:val="en-US" w:eastAsia="zh-CN"/>
              </w:rPr>
              <w:t>维持pH与渗透压稳定</w:t>
            </w:r>
            <w:r>
              <w:rPr>
                <w:rFonts w:hint="eastAsia" w:ascii="方正仿宋_GBK" w:hAnsi="方正仿宋_GBK" w:eastAsia="方正仿宋_GBK" w:cs="方正仿宋_GBK"/>
                <w:b w:val="0"/>
                <w:bCs w:val="0"/>
                <w:sz w:val="22"/>
                <w:szCs w:val="22"/>
                <w:lang w:val="en-US" w:eastAsia="zh-CN"/>
              </w:rPr>
              <w:t>，</w:t>
            </w:r>
            <w:r>
              <w:rPr>
                <w:rFonts w:hint="default" w:ascii="方正仿宋_GBK" w:hAnsi="方正仿宋_GBK" w:eastAsia="方正仿宋_GBK" w:cs="方正仿宋_GBK"/>
                <w:b w:val="0"/>
                <w:bCs w:val="0"/>
                <w:sz w:val="22"/>
                <w:szCs w:val="22"/>
                <w:lang w:val="en-US" w:eastAsia="zh-CN"/>
              </w:rPr>
              <w:t>确保抗体（尤其是IgG类）的免疫结合活性</w:t>
            </w:r>
            <w:r>
              <w:rPr>
                <w:rFonts w:hint="eastAsia" w:ascii="方正仿宋_GBK" w:hAnsi="方正仿宋_GBK" w:eastAsia="方正仿宋_GBK" w:cs="方正仿宋_GBK"/>
                <w:b w:val="0"/>
                <w:bCs w:val="0"/>
                <w:sz w:val="22"/>
                <w:szCs w:val="22"/>
                <w:lang w:val="en-US" w:eastAsia="zh-CN"/>
              </w:rPr>
              <w:t>；用于手工免疫组化染色过程的洗涤、</w:t>
            </w:r>
            <w:r>
              <w:rPr>
                <w:rFonts w:hint="eastAsia" w:ascii="方正仿宋_GBK" w:hAnsi="方正仿宋_GBK" w:eastAsia="方正仿宋_GBK" w:cs="方正仿宋_GBK"/>
                <w:b w:val="0"/>
                <w:bCs w:val="0"/>
                <w:sz w:val="22"/>
                <w:szCs w:val="22"/>
              </w:rPr>
              <w:t>稀释试剂</w:t>
            </w:r>
            <w:r>
              <w:rPr>
                <w:rFonts w:hint="eastAsia" w:ascii="方正仿宋_GBK" w:hAnsi="方正仿宋_GBK" w:eastAsia="方正仿宋_GBK" w:cs="方正仿宋_GBK"/>
                <w:b w:val="0"/>
                <w:bCs w:val="0"/>
                <w:sz w:val="22"/>
                <w:szCs w:val="22"/>
                <w:lang w:eastAsia="zh-CN"/>
              </w:rPr>
              <w:t>、</w:t>
            </w:r>
            <w:r>
              <w:rPr>
                <w:rFonts w:hint="eastAsia" w:ascii="方正仿宋_GBK" w:hAnsi="方正仿宋_GBK" w:eastAsia="方正仿宋_GBK" w:cs="方正仿宋_GBK"/>
                <w:b w:val="0"/>
                <w:bCs w:val="0"/>
                <w:sz w:val="22"/>
                <w:szCs w:val="22"/>
                <w:lang w:val="en-US" w:eastAsia="zh-CN"/>
              </w:rPr>
              <w:t>配制封闭液。</w:t>
            </w:r>
          </w:p>
          <w:p w14:paraId="796F70D0">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2、手工，开放试剂</w:t>
            </w:r>
          </w:p>
          <w:p w14:paraId="60FEC3D0">
            <w:pPr>
              <w:widowControl/>
              <w:jc w:val="left"/>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rPr>
              <w:t>3、规格： pH7.3</w:t>
            </w:r>
            <w:r>
              <w:rPr>
                <w:rFonts w:hint="eastAsia" w:ascii="方正仿宋_GBK" w:hAnsi="方正仿宋_GBK" w:eastAsia="方正仿宋_GBK" w:cs="方正仿宋_GBK"/>
                <w:b w:val="0"/>
                <w:bCs w:val="0"/>
                <w:color w:val="000000"/>
                <w:sz w:val="22"/>
                <w:szCs w:val="22"/>
                <w:lang w:eastAsia="zh-CN"/>
              </w:rPr>
              <w:t>，23.48g/袋（</w:t>
            </w:r>
            <w:r>
              <w:rPr>
                <w:rFonts w:hint="eastAsia" w:ascii="方正仿宋_GBK" w:hAnsi="方正仿宋_GBK" w:eastAsia="方正仿宋_GBK" w:cs="方正仿宋_GBK"/>
                <w:b w:val="0"/>
                <w:bCs w:val="0"/>
                <w:color w:val="000000"/>
                <w:sz w:val="22"/>
                <w:szCs w:val="22"/>
                <w:lang w:val="en-US" w:eastAsia="zh-CN"/>
              </w:rPr>
              <w:t>可配2L</w:t>
            </w:r>
            <w:r>
              <w:rPr>
                <w:rFonts w:hint="eastAsia" w:ascii="方正仿宋_GBK" w:hAnsi="方正仿宋_GBK" w:eastAsia="方正仿宋_GBK" w:cs="方正仿宋_GBK"/>
                <w:b w:val="0"/>
                <w:bCs w:val="0"/>
                <w:color w:val="000000"/>
                <w:sz w:val="22"/>
                <w:szCs w:val="22"/>
                <w:lang w:eastAsia="zh-CN"/>
              </w:rPr>
              <w:t>）</w:t>
            </w:r>
          </w:p>
          <w:p w14:paraId="44049DD0">
            <w:pPr>
              <w:widowControl/>
              <w:jc w:val="left"/>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lang w:val="en-US" w:eastAsia="zh-CN"/>
              </w:rPr>
              <w:t>4、</w:t>
            </w:r>
            <w:r>
              <w:rPr>
                <w:rFonts w:hint="eastAsia" w:ascii="方正仿宋_GBK" w:hAnsi="方正仿宋_GBK" w:eastAsia="方正仿宋_GBK" w:cs="方正仿宋_GBK"/>
                <w:b w:val="0"/>
                <w:bCs w:val="0"/>
                <w:color w:val="000000"/>
                <w:sz w:val="22"/>
                <w:szCs w:val="22"/>
                <w:lang w:eastAsia="zh-CN"/>
              </w:rPr>
              <w:t>待测物清洗液/洗脱液，规格：10克/包，100克/包，2000ml/包，1L/瓶。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2F31">
            <w:pPr>
              <w:widowControl/>
              <w:jc w:val="center"/>
              <w:textAlignment w:val="center"/>
              <w:rPr>
                <w:rFonts w:hint="eastAsia" w:ascii="方正仿宋_GBK" w:hAnsi="方正仿宋_GBK" w:eastAsia="方正仿宋_GBK" w:cs="方正仿宋_GBK"/>
                <w:b w:val="0"/>
                <w:bCs w:val="0"/>
                <w:color w:val="000000"/>
                <w:sz w:val="22"/>
                <w:szCs w:val="22"/>
                <w:lang w:val="en-US" w:eastAsia="zh-CN"/>
              </w:rPr>
            </w:pPr>
            <w:r>
              <w:rPr>
                <w:rFonts w:hint="eastAsia" w:ascii="方正仿宋_GBK" w:hAnsi="方正仿宋_GBK" w:eastAsia="方正仿宋_GBK" w:cs="方正仿宋_GBK"/>
                <w:b w:val="0"/>
                <w:bCs w:val="0"/>
                <w:sz w:val="22"/>
                <w:szCs w:val="22"/>
                <w:lang w:val="en-US" w:eastAsia="zh-CN"/>
              </w:rPr>
              <w:t>病理科</w:t>
            </w:r>
          </w:p>
        </w:tc>
      </w:tr>
      <w:tr w14:paraId="63F6F3AE">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DDA4">
            <w:pPr>
              <w:widowControl/>
              <w:jc w:val="center"/>
              <w:textAlignment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7</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35D4">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Tween 20（吐温20）（开放试剂）</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C92B">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1、在免疫组织化学（IHC）实验中，免疫显色试剂与一抗结合，通过显色反应将靶点进行标记。这种标记使得研究人员能够在显微镜下观察和分析组织中的特定抗原。</w:t>
            </w:r>
          </w:p>
          <w:p w14:paraId="452E806E">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2、手工，开放试剂</w:t>
            </w:r>
          </w:p>
          <w:p w14:paraId="0FE6B3BA">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3、规格：</w:t>
            </w:r>
            <w:r>
              <w:rPr>
                <w:rFonts w:hint="eastAsia" w:ascii="方正仿宋_GBK" w:hAnsi="方正仿宋_GBK" w:eastAsia="方正仿宋_GBK" w:cs="方正仿宋_GBK"/>
                <w:b w:val="0"/>
                <w:bCs w:val="0"/>
                <w:color w:val="000000"/>
                <w:sz w:val="22"/>
                <w:szCs w:val="22"/>
                <w:lang w:val="en-US" w:eastAsia="zh-CN"/>
              </w:rPr>
              <w:t>2</w:t>
            </w:r>
            <w:r>
              <w:rPr>
                <w:rFonts w:hint="eastAsia" w:ascii="方正仿宋_GBK" w:hAnsi="方正仿宋_GBK" w:eastAsia="方正仿宋_GBK" w:cs="方正仿宋_GBK"/>
                <w:b w:val="0"/>
                <w:bCs w:val="0"/>
                <w:color w:val="000000"/>
                <w:sz w:val="22"/>
                <w:szCs w:val="22"/>
              </w:rPr>
              <w:t>00mL/瓶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5BA">
            <w:pPr>
              <w:widowControl/>
              <w:jc w:val="center"/>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sz w:val="22"/>
                <w:szCs w:val="22"/>
                <w:lang w:val="en-US" w:eastAsia="zh-CN"/>
              </w:rPr>
              <w:t>病理科</w:t>
            </w:r>
          </w:p>
        </w:tc>
      </w:tr>
      <w:tr w14:paraId="33606B10">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91ED">
            <w:pPr>
              <w:widowControl/>
              <w:jc w:val="center"/>
              <w:textAlignment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8</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3977">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免疫组化笔（开放</w:t>
            </w:r>
            <w:r>
              <w:rPr>
                <w:rFonts w:hint="eastAsia" w:ascii="方正仿宋_GBK" w:hAnsi="方正仿宋_GBK" w:eastAsia="方正仿宋_GBK" w:cs="方正仿宋_GBK"/>
                <w:color w:val="000000"/>
                <w:kern w:val="0"/>
                <w:sz w:val="22"/>
                <w:szCs w:val="22"/>
                <w:lang w:val="en-US" w:eastAsia="zh-CN"/>
              </w:rPr>
              <w:t>耗材</w:t>
            </w:r>
            <w:r>
              <w:rPr>
                <w:rFonts w:hint="eastAsia" w:ascii="方正仿宋_GBK" w:hAnsi="方正仿宋_GBK" w:eastAsia="方正仿宋_GBK" w:cs="方正仿宋_GBK"/>
                <w:color w:val="000000"/>
                <w:kern w:val="0"/>
                <w:sz w:val="22"/>
                <w:szCs w:val="22"/>
              </w:rPr>
              <w:t>）</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A6A5">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1、在免疫组织化学（IHC）实验中，免疫显色试剂与一抗结合，通过显色反应将靶点进行标记。这种标记使得研究人员能够在显微镜下观察和分析组织中的特定抗原。</w:t>
            </w:r>
          </w:p>
          <w:p w14:paraId="3AAE4033">
            <w:pPr>
              <w:widowControl/>
              <w:jc w:val="left"/>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rPr>
              <w:t>2、手工，开放</w:t>
            </w:r>
            <w:r>
              <w:rPr>
                <w:rFonts w:hint="eastAsia" w:ascii="方正仿宋_GBK" w:hAnsi="方正仿宋_GBK" w:eastAsia="方正仿宋_GBK" w:cs="方正仿宋_GBK"/>
                <w:b w:val="0"/>
                <w:bCs w:val="0"/>
                <w:color w:val="000000"/>
                <w:sz w:val="22"/>
                <w:szCs w:val="22"/>
                <w:lang w:val="en-US" w:eastAsia="zh-CN"/>
              </w:rPr>
              <w:t>耗材</w:t>
            </w:r>
          </w:p>
          <w:p w14:paraId="2B06F5D2">
            <w:pPr>
              <w:widowControl/>
              <w:jc w:val="left"/>
              <w:textAlignment w:val="center"/>
              <w:rPr>
                <w:rFonts w:hint="eastAsia" w:ascii="方正仿宋_GBK" w:hAnsi="方正仿宋_GBK" w:eastAsia="方正仿宋_GBK" w:cs="方正仿宋_GBK"/>
                <w:b w:val="0"/>
                <w:bCs w:val="0"/>
                <w:color w:val="000000"/>
                <w:sz w:val="22"/>
                <w:szCs w:val="22"/>
                <w:lang w:eastAsia="zh-CN"/>
              </w:rPr>
            </w:pPr>
            <w:r>
              <w:rPr>
                <w:rFonts w:hint="eastAsia" w:ascii="方正仿宋_GBK" w:hAnsi="方正仿宋_GBK" w:eastAsia="方正仿宋_GBK" w:cs="方正仿宋_GBK"/>
                <w:b w:val="0"/>
                <w:bCs w:val="0"/>
                <w:color w:val="000000"/>
                <w:sz w:val="22"/>
                <w:szCs w:val="22"/>
              </w:rPr>
              <w:t>3、规格：支</w:t>
            </w:r>
            <w:r>
              <w:rPr>
                <w:rFonts w:hint="eastAsia" w:ascii="方正仿宋_GBK" w:hAnsi="方正仿宋_GBK" w:eastAsia="方正仿宋_GBK" w:cs="方正仿宋_GBK"/>
                <w:b w:val="0"/>
                <w:bCs w:val="0"/>
                <w:color w:val="000000"/>
                <w:sz w:val="22"/>
                <w:szCs w:val="22"/>
                <w:lang w:eastAsia="zh-CN"/>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FE1F">
            <w:pPr>
              <w:widowControl/>
              <w:jc w:val="center"/>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sz w:val="22"/>
                <w:szCs w:val="22"/>
                <w:lang w:val="en-US" w:eastAsia="zh-CN"/>
              </w:rPr>
              <w:t>病理科</w:t>
            </w:r>
          </w:p>
        </w:tc>
      </w:tr>
      <w:tr w14:paraId="0C750E0B">
        <w:tblPrEx>
          <w:tblCellMar>
            <w:top w:w="0" w:type="dxa"/>
            <w:left w:w="108" w:type="dxa"/>
            <w:bottom w:w="0" w:type="dxa"/>
            <w:right w:w="108" w:type="dxa"/>
          </w:tblCellMar>
        </w:tblPrEx>
        <w:trPr>
          <w:trHeight w:val="7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0BE3">
            <w:pPr>
              <w:widowControl/>
              <w:jc w:val="center"/>
              <w:textAlignment w:val="center"/>
              <w:rPr>
                <w:rFonts w:hint="default" w:ascii="方正仿宋_GBK" w:hAnsi="方正仿宋_GBK" w:eastAsia="方正仿宋_GBK" w:cs="方正仿宋_GBK"/>
                <w:color w:val="000000"/>
                <w:kern w:val="0"/>
                <w:sz w:val="22"/>
                <w:szCs w:val="22"/>
                <w:lang w:val="en-US" w:eastAsia="zh-CN"/>
              </w:rPr>
            </w:pPr>
            <w:r>
              <w:rPr>
                <w:rFonts w:hint="eastAsia" w:ascii="方正仿宋_GBK" w:hAnsi="方正仿宋_GBK" w:eastAsia="方正仿宋_GBK" w:cs="方正仿宋_GBK"/>
                <w:color w:val="000000"/>
                <w:kern w:val="0"/>
                <w:sz w:val="22"/>
                <w:szCs w:val="22"/>
                <w:lang w:val="en-US" w:eastAsia="zh-CN"/>
              </w:rPr>
              <w:t>9</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B460">
            <w:pPr>
              <w:widowControl/>
              <w:jc w:val="center"/>
              <w:textAlignment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DAB显色试剂（聚合物法）</w:t>
            </w:r>
          </w:p>
        </w:tc>
        <w:tc>
          <w:tcPr>
            <w:tcW w:w="4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616">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1、在免疫组织化学（IHC）实验中，免疫显色试剂与一抗结合，通过显色反应将靶点进行标记。这种标记使得研究人员能够在显微镜下观察和分析组织中的特定抗原。</w:t>
            </w:r>
          </w:p>
          <w:p w14:paraId="569ADD93">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2、手工，开放试剂</w:t>
            </w:r>
          </w:p>
          <w:p w14:paraId="79D16D55">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3、显色试剂盒：规格：180测试/盒，300测试/盒，550测试/盒，1100测试/盒，包括酶标羊抗鼠/兔 IgG 聚合物、DAB 染色液、内源性过氧化物酶阻断剂。</w:t>
            </w:r>
          </w:p>
          <w:p w14:paraId="12FF020D">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lang w:val="en-US" w:eastAsia="zh-CN"/>
              </w:rPr>
              <w:t>具体如下：</w:t>
            </w:r>
            <w:r>
              <w:rPr>
                <w:rFonts w:hint="eastAsia" w:ascii="方正仿宋_GBK" w:hAnsi="方正仿宋_GBK" w:eastAsia="方正仿宋_GBK" w:cs="方正仿宋_GBK"/>
                <w:b w:val="0"/>
                <w:bCs w:val="0"/>
                <w:color w:val="000000"/>
                <w:sz w:val="22"/>
                <w:szCs w:val="22"/>
              </w:rPr>
              <w:t>免疫显色试剂(HRP鼠/兔）（即用型PolymerHRP羊抗鼠/兔通用型二抗）：10ml/盒、30ml/盒、60ml/盒、100ml/盒、200ml/盒</w:t>
            </w:r>
          </w:p>
          <w:p w14:paraId="2C126536">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DAB 染色液 规格：10ml/瓶、30ml/瓶、60ml/瓶、100ml/瓶、200ml/瓶</w:t>
            </w:r>
          </w:p>
          <w:p w14:paraId="6E12B469">
            <w:pPr>
              <w:widowControl/>
              <w:jc w:val="left"/>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color w:val="000000"/>
                <w:sz w:val="22"/>
                <w:szCs w:val="22"/>
              </w:rPr>
              <w:t>内源性过氧化物酶阻断剂 规格：30ml/瓶、60ml/瓶、100ml/瓶</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B19">
            <w:pPr>
              <w:widowControl/>
              <w:jc w:val="center"/>
              <w:textAlignment w:val="center"/>
              <w:rPr>
                <w:rFonts w:hint="eastAsia" w:ascii="方正仿宋_GBK" w:hAnsi="方正仿宋_GBK" w:eastAsia="方正仿宋_GBK" w:cs="方正仿宋_GBK"/>
                <w:b w:val="0"/>
                <w:bCs w:val="0"/>
                <w:color w:val="000000"/>
                <w:sz w:val="22"/>
                <w:szCs w:val="22"/>
              </w:rPr>
            </w:pPr>
            <w:r>
              <w:rPr>
                <w:rFonts w:hint="eastAsia" w:ascii="方正仿宋_GBK" w:hAnsi="方正仿宋_GBK" w:eastAsia="方正仿宋_GBK" w:cs="方正仿宋_GBK"/>
                <w:b w:val="0"/>
                <w:bCs w:val="0"/>
                <w:sz w:val="22"/>
                <w:szCs w:val="22"/>
                <w:lang w:val="en-US" w:eastAsia="zh-CN"/>
              </w:rPr>
              <w:t>病理科</w:t>
            </w:r>
          </w:p>
        </w:tc>
      </w:tr>
    </w:tbl>
    <w:p w14:paraId="1CF17A88">
      <w:pPr>
        <w:rPr>
          <w:rFonts w:ascii="Times New Roman" w:hAnsi="Times New Roman" w:cs="Times New Roman"/>
        </w:rPr>
      </w:pPr>
    </w:p>
    <w:sectPr>
      <w:pgSz w:w="11906" w:h="16838"/>
      <w:pgMar w:top="873" w:right="669" w:bottom="873"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C9AAAC08-9991-457C-B75A-1C43239D7806}"/>
  </w:font>
  <w:font w:name="方正黑体_GBK">
    <w:panose1 w:val="03000509000000000000"/>
    <w:charset w:val="86"/>
    <w:family w:val="script"/>
    <w:pitch w:val="default"/>
    <w:sig w:usb0="00000001" w:usb1="080E0000" w:usb2="00000000" w:usb3="00000000" w:csb0="00040000" w:csb1="00000000"/>
    <w:embedRegular r:id="rId2" w:fontKey="{C1788D35-D6E0-47A1-B4B7-5EC0FB5BCB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53C7"/>
    <w:rsid w:val="1B50103A"/>
    <w:rsid w:val="45BF2471"/>
    <w:rsid w:val="5EE70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font41"/>
    <w:basedOn w:val="7"/>
    <w:qFormat/>
    <w:uiPriority w:val="0"/>
    <w:rPr>
      <w:rFonts w:hint="eastAsia" w:ascii="方正仿宋_GBK" w:hAnsi="方正仿宋_GBK" w:eastAsia="方正仿宋_GBK" w:cs="方正仿宋_GBK"/>
      <w:color w:val="000000"/>
      <w:sz w:val="22"/>
      <w:szCs w:val="22"/>
      <w:u w:val="none"/>
    </w:rPr>
  </w:style>
  <w:style w:type="character" w:customStyle="1" w:styleId="10">
    <w:name w:val="font31"/>
    <w:basedOn w:val="7"/>
    <w:qFormat/>
    <w:uiPriority w:val="0"/>
    <w:rPr>
      <w:rFonts w:hint="eastAsia" w:ascii="方正仿宋_GBK" w:hAnsi="方正仿宋_GBK" w:eastAsia="方正仿宋_GBK" w:cs="方正仿宋_GBK"/>
      <w:color w:val="000000"/>
      <w:sz w:val="22"/>
      <w:szCs w:val="22"/>
      <w:u w:val="none"/>
    </w:rPr>
  </w:style>
  <w:style w:type="character" w:customStyle="1" w:styleId="11">
    <w:name w:val="font61"/>
    <w:basedOn w:val="7"/>
    <w:qFormat/>
    <w:uiPriority w:val="0"/>
    <w:rPr>
      <w:rFonts w:hint="eastAsia" w:ascii="方正仿宋_GBK" w:hAnsi="方正仿宋_GBK" w:eastAsia="方正仿宋_GBK" w:cs="方正仿宋_GBK"/>
      <w:color w:val="000000"/>
      <w:sz w:val="22"/>
      <w:szCs w:val="22"/>
      <w:u w:val="none"/>
    </w:rPr>
  </w:style>
  <w:style w:type="character" w:customStyle="1" w:styleId="12">
    <w:name w:val="font21"/>
    <w:basedOn w:val="7"/>
    <w:qFormat/>
    <w:uiPriority w:val="0"/>
    <w:rPr>
      <w:rFonts w:hint="eastAsia" w:ascii="方正仿宋_GBK" w:hAnsi="方正仿宋_GBK" w:eastAsia="方正仿宋_GBK" w:cs="方正仿宋_GBK"/>
      <w:color w:val="000000"/>
      <w:sz w:val="22"/>
      <w:szCs w:val="22"/>
      <w:u w:val="none"/>
    </w:rPr>
  </w:style>
  <w:style w:type="character" w:customStyle="1" w:styleId="13">
    <w:name w:val="页眉 Char"/>
    <w:basedOn w:val="7"/>
    <w:link w:val="4"/>
    <w:qFormat/>
    <w:uiPriority w:val="0"/>
    <w:rPr>
      <w:rFonts w:ascii="Calibri" w:hAnsi="Calibri" w:eastAsia="宋体" w:cs="宋体"/>
      <w:kern w:val="2"/>
      <w:sz w:val="18"/>
      <w:szCs w:val="18"/>
    </w:rPr>
  </w:style>
  <w:style w:type="character" w:customStyle="1" w:styleId="14">
    <w:name w:val="页脚 Char"/>
    <w:basedOn w:val="7"/>
    <w:link w:val="3"/>
    <w:qFormat/>
    <w:uiPriority w:val="0"/>
    <w:rPr>
      <w:rFonts w:ascii="Calibri" w:hAnsi="Calibri" w:eastAsia="宋体" w:cs="宋体"/>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1342</Words>
  <Characters>1707</Characters>
  <Paragraphs>72</Paragraphs>
  <TotalTime>0</TotalTime>
  <ScaleCrop>false</ScaleCrop>
  <LinksUpToDate>false</LinksUpToDate>
  <CharactersWithSpaces>1736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2025-03-14T00:48:00Z</dcterms:created>
  <dc:creator>某某小吃货</dc:creator>
  <cp:lastModifiedBy>某某小吃货</cp:lastModifiedBy>
  <dcterms:modified xsi:type="dcterms:W3CDTF">2025-07-02T07:12:19Z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43FAB67EB4EE4A34BD9DF718C7CFA841_13</vt:lpwstr>
  </property>
  <property fmtid="{D5CDD505-2E9C-101B-9397-08002B2CF9AE}" pid="4" name="KSOTemplateDocerSaveRecord">
    <vt:lpwstr>eyJoZGlkIjoiYjUwZjU0Y2E5MDliNjJlMGRlNjM5NDNmNWIyMzZkNDYiLCJ1c2VySWQiOiI1MzUwNjA1ODkifQ==</vt:lpwstr>
  </property>
</Properties>
</file>