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3D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  <w:r>
        <w:rPr>
          <w:rFonts w:hint="default" w:ascii="方正小标宋_GBK" w:hAnsi="Calibri" w:eastAsia="方正小标宋_GBK" w:cs="Times New Roman"/>
          <w:sz w:val="44"/>
          <w:szCs w:val="44"/>
          <w:lang w:val="en-US" w:eastAsia="zh-CN"/>
        </w:rPr>
        <w:t>智能化维保</w:t>
      </w: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服务采购需求</w:t>
      </w:r>
    </w:p>
    <w:p w14:paraId="0BF07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</w:pPr>
    </w:p>
    <w:p w14:paraId="4D78E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7" w:leftChars="94" w:right="0" w:rightChars="0" w:firstLine="441" w:firstLineChars="138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服务内容</w:t>
      </w:r>
    </w:p>
    <w:p w14:paraId="598F80D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  <w:t>（一）服务覆盖范围</w:t>
      </w:r>
    </w:p>
    <w:p w14:paraId="79C4ACE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综合布线（含网络设备）、计算机软硬件（不含业务系统）、打印机软硬件、电话系统、门禁系统、停车场管理系统、视频监控、报警系统、会议系统、LED显示屏、有线电视系统、中心机房系统：精密空调、UPS不间断供电系统、动环监控、防雷接地、机房工程（防静电地板、吊顶以及机房装修装饰），共计12个系统，较2024年合同对比减少楼宇控制系统、取号叫号系统、信息发布系统，增加计算机软硬件、打印机软硬件、电话系统。</w:t>
      </w:r>
    </w:p>
    <w:p w14:paraId="5AFF592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  <w:t>（二）服务的内容</w:t>
      </w:r>
    </w:p>
    <w:p w14:paraId="4E9C3637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日常巡检及维护保养</w:t>
      </w:r>
    </w:p>
    <w:p w14:paraId="0552FC8A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各系统软硬件设备的日常巡查、保养、除尘保洁，并建立日常巡检保养报告单由院方签字确认，中心机房UPS电源及精密空调须提供原厂厂家每季度专业的巡检保养报告。</w:t>
      </w:r>
    </w:p>
    <w:p w14:paraId="1405B4D2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故障检修</w:t>
      </w:r>
    </w:p>
    <w:p w14:paraId="0095CF2A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both"/>
        <w:rPr>
          <w:rFonts w:hint="eastAsia" w:ascii="仿宋_GB2312" w:hAnsi="宋体" w:eastAsia="仿宋_GB2312"/>
          <w:sz w:val="24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包含对故障及时响应、故障修复、设备更换。设备及其组件的故障可以通过维修方法低成本解决时，不能随意采用整体换件的方式以达到排除故障的目的，故障维修完成后需建立维修工单由院方验收签字确认</w:t>
      </w:r>
      <w:r>
        <w:rPr>
          <w:rFonts w:hint="eastAsia" w:ascii="仿宋_GB2312" w:hAnsi="宋体" w:eastAsia="仿宋_GB2312"/>
          <w:sz w:val="24"/>
        </w:rPr>
        <w:t>。</w:t>
      </w:r>
    </w:p>
    <w:p w14:paraId="57158DD9">
      <w:pPr>
        <w:numPr>
          <w:ilvl w:val="0"/>
          <w:numId w:val="2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维保档案建立</w:t>
      </w:r>
    </w:p>
    <w:p w14:paraId="5DE025A9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包含补充制作完善各子系统综合布线图纸、子系统新增的设备和点位图。院方签字确认的日常巡检单、维修工单、工作统计内容、设备原厂厂家巡检报告、半年运维报告及合理建议等文档。</w:t>
      </w:r>
    </w:p>
    <w:p w14:paraId="425FE6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kern w:val="2"/>
          <w:sz w:val="32"/>
          <w:szCs w:val="32"/>
          <w:lang w:val="en-US" w:eastAsia="zh-CN" w:bidi="ar-SA"/>
        </w:rPr>
        <w:t>（三）服务的要求</w:t>
      </w:r>
    </w:p>
    <w:p w14:paraId="619BCD7B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供应商指派1名以上专业维保人员进行驻场维保工作，驻场时间严格遵循业主单位的考勤时间，工作日需对整个弱电智能化系统的工作状态有无异常进行检查确认，并建立日常巡检报告单。工作时间接到故障处理需求后15分钟内到达现场，非工作时间24小时待命，一旦系统出现故障，1小时到达现场。</w:t>
      </w:r>
    </w:p>
    <w:p w14:paraId="0128ED78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维保服务开始前，供应商协同院方对智能化系统进行一次整体的巡检排查，对存在的异常现象（设备异响、外观破损、运行异常的现象、设备管理间杂乱不规范现象，标识标牌不清楚、脱落）作完整记录并妥善解决处理。对有故障现象或有故障前兆的设施设备作好记录并立即解决处理，上述所有工作内容须建立工单由院方签字确认。</w:t>
      </w:r>
    </w:p>
    <w:p w14:paraId="23FA0229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供应商的运维负责人或主管领导每个月进行一次不定期巡检，主要检查医院的维保人员的工作状况，系统的运行情况，并建立巡检记录由院方签字确认。</w:t>
      </w:r>
    </w:p>
    <w:p w14:paraId="7AC2AD2A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维保期内供应商需建立备品备件库，向院方提供各系统设备原厂的备品备件并建立进出库台账。</w:t>
      </w:r>
    </w:p>
    <w:p w14:paraId="5A0FEBA6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供应商在故障检修过程中，质保期内的设备故障由供应商自行处理或协调厂家处理，质保期外的设备因设备损坏导致的故障检修，优先通过维修方式解决，不能随意采用整体换件的方式以达到排除故障的目的。</w:t>
      </w:r>
    </w:p>
    <w:p w14:paraId="5BFDC6E4"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各智能化系统维修过程中需要更换硬件或配件的，设备及配件更换费用小于等于1000元由维保单位承担，设备更换费用大于1000元的，由院方自行采购后，维保单位进行更换维修。</w:t>
      </w:r>
    </w:p>
    <w:p w14:paraId="2365F960">
      <w:pPr>
        <w:keepNext w:val="0"/>
        <w:keepLines w:val="0"/>
        <w:widowControl/>
        <w:suppressLineNumbers w:val="0"/>
        <w:jc w:val="left"/>
        <w:rPr>
          <w:rStyle w:val="11"/>
          <w:rFonts w:hint="default" w:eastAsia="仿宋_GB2312"/>
          <w:sz w:val="24"/>
          <w:szCs w:val="24"/>
          <w:lang w:val="en-US" w:eastAsia="zh-CN"/>
        </w:rPr>
      </w:pPr>
      <w:bookmarkStart w:id="0" w:name="_GoBack"/>
      <w:bookmarkEnd w:id="0"/>
    </w:p>
    <w:p w14:paraId="2D63635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24" w:lineRule="atLeast"/>
        <w:ind w:leftChars="0"/>
        <w:textAlignment w:val="baseline"/>
        <w:rPr>
          <w:rFonts w:hint="default" w:ascii="Segoe UI" w:hAnsi="Segoe UI" w:eastAsia="宋体" w:cs="Segoe UI"/>
          <w:b/>
          <w:bCs/>
          <w:caps w:val="0"/>
          <w:spacing w:val="0"/>
          <w:shd w:val="clear" w:fill="FCFCFC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AD32AB-9ABF-4F6C-A85B-58B3ABB4D7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88F852-B7C4-47FB-9FDB-60A22A1745F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85075E3-ED8A-44A6-B70F-834A87FD924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E3A95EE-9EEF-44CA-B7F1-E4C17FBF98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6297ACB-91A0-4E88-93BF-E6C09775330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7B9A1423-2388-4757-83DA-A67BE32DC3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CBDA11C-A3BC-4EB6-A412-E06079D11AC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8" w:fontKey="{2E8876BE-5C85-419D-B08A-9C35F7ECEF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E0F96"/>
    <w:multiLevelType w:val="singleLevel"/>
    <w:tmpl w:val="182E0F96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840"/>
      </w:pPr>
      <w:rPr>
        <w:rFonts w:hint="eastAsia"/>
      </w:rPr>
    </w:lvl>
  </w:abstractNum>
  <w:abstractNum w:abstractNumId="1">
    <w:nsid w:val="19263149"/>
    <w:multiLevelType w:val="singleLevel"/>
    <w:tmpl w:val="19263149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2">
    <w:nsid w:val="71D9FE14"/>
    <w:multiLevelType w:val="singleLevel"/>
    <w:tmpl w:val="71D9FE1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4B66"/>
    <w:rsid w:val="085E4526"/>
    <w:rsid w:val="08AD6E6F"/>
    <w:rsid w:val="2E2B4B66"/>
    <w:rsid w:val="636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unhideWhenUsed/>
    <w:qFormat/>
    <w:uiPriority w:val="99"/>
    <w:pPr>
      <w:ind w:firstLine="840"/>
    </w:pPr>
  </w:style>
  <w:style w:type="paragraph" w:styleId="5">
    <w:name w:val="Body Text Indent"/>
    <w:basedOn w:val="1"/>
    <w:next w:val="4"/>
    <w:unhideWhenUsed/>
    <w:qFormat/>
    <w:uiPriority w:val="99"/>
    <w:pPr>
      <w:ind w:firstLine="1280" w:firstLineChars="400"/>
    </w:pPr>
    <w:rPr>
      <w:sz w:val="32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unhideWhenUsed/>
    <w:qFormat/>
    <w:uiPriority w:val="99"/>
    <w:pPr>
      <w:spacing w:after="0"/>
      <w:ind w:firstLine="420" w:firstLineChars="200"/>
    </w:pPr>
    <w:rPr>
      <w:rFonts w:ascii="Calibri" w:hAnsi="Calibri" w:eastAsia="宋体" w:cs="Times New Roman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para1"/>
    <w:qFormat/>
    <w:uiPriority w:val="0"/>
    <w:rPr>
      <w:rFonts w:hint="default" w:ascii="Arial" w:hAnsi="Arial" w:cs="Arial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1743</Words>
  <Characters>1797</Characters>
  <Lines>0</Lines>
  <Paragraphs>0</Paragraphs>
  <TotalTime>20</TotalTime>
  <ScaleCrop>false</ScaleCrop>
  <LinksUpToDate>false</LinksUpToDate>
  <CharactersWithSpaces>1805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2025-09-11T05:28:00Z</dcterms:created>
  <dc:creator>Magic and Optimistic</dc:creator>
  <cp:lastModifiedBy>某某小吃货</cp:lastModifiedBy>
  <dcterms:modified xsi:type="dcterms:W3CDTF">2025-09-16T01:50:51Z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6572852A38AB4C8B8FD21CE2EBDEEE68_11</vt:lpwstr>
  </property>
  <property fmtid="{D5CDD505-2E9C-101B-9397-08002B2CF9AE}" pid="4" name="KSOTemplateDocerSaveRecord">
    <vt:lpwstr>eyJoZGlkIjoiYjUwZjU0Y2E5MDliNjJlMGRlNjM5NDNmNWIyMzZkNDYiLCJ1c2VySWQiOiI1MzUwNjA1ODkifQ==</vt:lpwstr>
  </property>
</Properties>
</file>