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15DF0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仙山里酒店公众责任险续保竞争性谈判报价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单（第二次）</w:t>
      </w:r>
    </w:p>
    <w:p w14:paraId="4BE4973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4"/>
          <w:szCs w:val="24"/>
          <w:lang w:val="en-US" w:eastAsia="zh-CN" w:bidi="ar-SA"/>
        </w:rPr>
        <w:t>一、基础信息：</w:t>
      </w:r>
    </w:p>
    <w:p w14:paraId="2BDED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>、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>招标人、投保人及被保险人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>：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eastAsia="zh-CN"/>
        </w:rPr>
        <w:t>重庆仙山里酒店管理有限公司</w:t>
      </w:r>
    </w:p>
    <w:p w14:paraId="3473F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>2、招标人地址：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  <w:t>重庆市武隆区仙女山街道银杏大道157号</w:t>
      </w:r>
    </w:p>
    <w:p w14:paraId="162B1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>、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>承保相关信息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>：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酒店房间数量：186间；酒店面积：22058.36㎡；电梯数量：7台；酒店类型：度假型酒店；有无游泳池：无；有无停车场（是否承保）：有/是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val="en-US" w:eastAsia="zh-CN"/>
        </w:rPr>
        <w:t>划线停车位共369个，其中室内259个，室外110个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；</w:t>
      </w:r>
    </w:p>
    <w:p w14:paraId="520E0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>4、保险责任：</w:t>
      </w:r>
    </w:p>
    <w:p w14:paraId="3F521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>1）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>公众责任险保额：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  <w:t>累计赔偿限额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1000万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每次事故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  <w:t>赔偿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限额500万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  <w:t>其中：财产损失累计赔偿限额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1000万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每次事故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  <w:t>赔偿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限额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0万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eastAsia="zh-CN"/>
        </w:rPr>
        <w:t>；人身伤害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  <w:t>累计赔偿限额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1000万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每次事故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  <w:t>赔偿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限额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  <w:t>500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万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eastAsia="zh-CN"/>
        </w:rPr>
        <w:t>（其中:人身伤害每人每次事故赔偿限额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  <w:t>80万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eastAsia="zh-CN"/>
        </w:rPr>
        <w:t>））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；</w:t>
      </w:r>
    </w:p>
    <w:p w14:paraId="5710E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>2）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>附加条款：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附加电梯责任保险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eastAsia="zh-CN"/>
        </w:rPr>
        <w:t>；食品、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val="en-US" w:eastAsia="zh-CN"/>
        </w:rPr>
        <w:t>饮料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eastAsia="zh-CN"/>
        </w:rPr>
        <w:t>安全责任保险；火灾爆炸责任保险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。</w:t>
      </w:r>
    </w:p>
    <w:p w14:paraId="3E0A5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>3）免赔信息：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val="en-US" w:eastAsia="zh-CN"/>
        </w:rPr>
        <w:t>公众责任保险条款-公众责任:每次事故绝对免赔额为CNY300.00元或损失金额的5%，两者按高为准。</w:t>
      </w:r>
    </w:p>
    <w:p w14:paraId="0E7C9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>5、保险期限：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  <w:t>1年，具体承保起始日期以甲方实际购买日期为准。</w:t>
      </w:r>
    </w:p>
    <w:p w14:paraId="6E7E5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>6、相关要求：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具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  <w:t>有有效的营业执照；具备中国保险监督管理部门批准开展保险业务资格的保险公司或分(支)公司；分（支）公司参与投标需提供具备独立法人（或二级法人）资格的上级公司出具的唯一授权书（认可电子签章）。</w:t>
      </w:r>
    </w:p>
    <w:p w14:paraId="37B8F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highlight w:val="none"/>
          <w:lang w:val="en-US" w:eastAsia="zh-CN"/>
        </w:rPr>
        <w:t>谈判最高限价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val="en-US" w:eastAsia="zh-CN"/>
        </w:rPr>
        <w:t>最高限价13980元/年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。</w:t>
      </w:r>
    </w:p>
    <w:p w14:paraId="501E4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highlight w:val="none"/>
        </w:rPr>
        <w:t>、评标方式：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val="en-US" w:eastAsia="zh-CN"/>
        </w:rPr>
        <w:t>经评审的最低价法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。</w:t>
      </w:r>
    </w:p>
    <w:p w14:paraId="0891A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highlight w:val="none"/>
          <w:lang w:val="en-US" w:eastAsia="zh-CN"/>
        </w:rPr>
        <w:t>投标报价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highlight w:val="none"/>
        </w:rPr>
        <w:t>提交：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提交密封盖章响应文件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1份（内含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报价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val="en-US" w:eastAsia="zh-CN"/>
        </w:rPr>
        <w:t>函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、公司营业执照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val="en-US" w:eastAsia="zh-CN"/>
        </w:rPr>
        <w:t>及资质文件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val="en-US" w:eastAsia="zh-CN"/>
        </w:rPr>
        <w:t>营业执照及资质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复印件加盖公章）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eastAsia="zh-CN"/>
        </w:rPr>
        <w:t>。</w:t>
      </w:r>
    </w:p>
    <w:p w14:paraId="62EAB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highlight w:val="none"/>
        </w:rPr>
        <w:t>提交地点：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eastAsia="zh-CN"/>
        </w:rPr>
        <w:t>重庆中域财众旅游文化产业投资有限公司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eastAsia="zh-CN"/>
        </w:rPr>
        <w:t>重庆市武隆区仙女山镇银杏大道157号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val="en-US" w:eastAsia="zh-CN"/>
        </w:rPr>
        <w:t>3栋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）；</w:t>
      </w:r>
    </w:p>
    <w:p w14:paraId="030DF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提交日期：2024年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u w:val="singl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日下午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点前；</w:t>
      </w:r>
    </w:p>
    <w:p w14:paraId="1F642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  <w:highlight w:val="none"/>
        </w:rPr>
        <w:t>联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系人：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  <w:t>李杰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，15812087772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  <w:t>。</w:t>
      </w:r>
    </w:p>
    <w:p w14:paraId="77315C8C">
      <w:pPr>
        <w:spacing w:line="36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</w:p>
    <w:p w14:paraId="7050BBDF">
      <w:pPr>
        <w:spacing w:line="36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</w:p>
    <w:p w14:paraId="5E79EFE0">
      <w:pPr>
        <w:spacing w:line="360" w:lineRule="auto"/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FED1CF">
      <w:pPr>
        <w:spacing w:line="360" w:lineRule="auto"/>
        <w:jc w:val="center"/>
        <w:rPr>
          <w:rFonts w:hint="eastAsia" w:ascii="方正小标宋_GBK" w:hAnsi="方正小标宋_GBK" w:cs="方正小标宋_GBK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二、投标</w:t>
      </w:r>
      <w:r>
        <w:rPr>
          <w:rFonts w:hint="eastAsia" w:ascii="宋体" w:hAnsi="宋体"/>
          <w:b/>
          <w:bCs w:val="0"/>
          <w:sz w:val="24"/>
          <w:szCs w:val="24"/>
          <w:highlight w:val="none"/>
        </w:rPr>
        <w:t>报价</w:t>
      </w: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函</w:t>
      </w:r>
    </w:p>
    <w:p w14:paraId="097BDA47">
      <w:pPr>
        <w:tabs>
          <w:tab w:val="left" w:pos="2640"/>
        </w:tabs>
        <w:autoSpaceDE w:val="0"/>
        <w:autoSpaceDN w:val="0"/>
        <w:adjustRightInd w:val="0"/>
        <w:spacing w:line="360" w:lineRule="auto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u w:val="single"/>
        </w:rPr>
        <w:t>重庆仙山里酒店管理有限公司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招标人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名称）：</w:t>
      </w:r>
    </w:p>
    <w:p w14:paraId="06CCD2B9">
      <w:pPr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245"/>
        </w:tabs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1. 我方已仔细研究了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u w:val="single"/>
        </w:rPr>
        <w:t>仙山里酒店公众责任险续保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第二次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u w:val="singl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（项目名称）竞争性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谈判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文件的全部内容，愿意按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含税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人民币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 xml:space="preserve"> 元（大写：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元）作为报价，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lang w:eastAsia="zh-CN"/>
        </w:rPr>
        <w:t>费率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%，税率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%，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lang w:eastAsia="zh-CN"/>
        </w:rPr>
        <w:t>协议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期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lang w:eastAsia="zh-CN"/>
        </w:rPr>
        <w:t>限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我方承诺按合同约定完成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eastAsia="zh-CN"/>
        </w:rPr>
        <w:t>相关保险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工作，达到项目要求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。</w:t>
      </w:r>
    </w:p>
    <w:p w14:paraId="23777FAD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2. 我方承诺在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60天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有效期内不修改、撤销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谈判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文件。</w:t>
      </w:r>
    </w:p>
    <w:p w14:paraId="584D2B64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3. 如我方中标：</w:t>
      </w:r>
    </w:p>
    <w:p w14:paraId="438D4A5B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（1）我方承诺在收到中标通知书后，在中标通知书规定的期限内与你方签订合同。</w:t>
      </w:r>
    </w:p>
    <w:p w14:paraId="59D22DB3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（2）我方承诺在合同约定的期限内完成全部内容。</w:t>
      </w:r>
    </w:p>
    <w:p w14:paraId="669E98A9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4. 我方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pacing w:val="-2"/>
          <w:kern w:val="0"/>
          <w:sz w:val="24"/>
          <w:szCs w:val="24"/>
          <w:highlight w:val="none"/>
        </w:rPr>
        <w:t>在此声明，所递交的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pacing w:val="-2"/>
          <w:kern w:val="0"/>
          <w:sz w:val="24"/>
          <w:szCs w:val="24"/>
          <w:highlight w:val="none"/>
          <w:lang w:val="en-US" w:eastAsia="zh-CN"/>
        </w:rPr>
        <w:t>谈判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pacing w:val="-2"/>
          <w:kern w:val="0"/>
          <w:sz w:val="24"/>
          <w:szCs w:val="24"/>
          <w:highlight w:val="none"/>
        </w:rPr>
        <w:t>文件及有关资料内容完整、真实和准确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4"/>
          <w:szCs w:val="24"/>
          <w:highlight w:val="none"/>
        </w:rPr>
        <w:t>。</w:t>
      </w:r>
    </w:p>
    <w:p w14:paraId="4EF8AAFA">
      <w:pPr>
        <w:spacing w:line="480" w:lineRule="exact"/>
        <w:ind w:firstLine="1920" w:firstLineChars="800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申请人：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（盖单位公章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或保单专用章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）</w:t>
      </w:r>
    </w:p>
    <w:p w14:paraId="4862EED0">
      <w:pPr>
        <w:suppressAutoHyphens/>
        <w:spacing w:line="360" w:lineRule="auto"/>
        <w:ind w:firstLine="437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 xml:space="preserve">             法定代表人或其委托代理人：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（签字或盖章）</w:t>
      </w:r>
    </w:p>
    <w:p w14:paraId="373F8701">
      <w:pPr>
        <w:spacing w:line="360" w:lineRule="auto"/>
        <w:ind w:firstLine="437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 xml:space="preserve">  单位地址：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 w14:paraId="64FE724B">
      <w:pPr>
        <w:spacing w:line="360" w:lineRule="auto"/>
        <w:ind w:firstLine="437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联 系 人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 w14:paraId="01FE6CE9">
      <w:pPr>
        <w:spacing w:line="360" w:lineRule="auto"/>
        <w:ind w:firstLine="3374" w:firstLineChars="1406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电    话：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 w14:paraId="19EF038D">
      <w:pPr>
        <w:spacing w:line="360" w:lineRule="auto"/>
        <w:ind w:firstLine="3360" w:firstLineChars="1400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传    真：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 w14:paraId="240F678E">
      <w:pPr>
        <w:tabs>
          <w:tab w:val="left" w:pos="5760"/>
        </w:tabs>
        <w:adjustRightInd w:val="0"/>
        <w:snapToGrid w:val="0"/>
        <w:spacing w:line="300" w:lineRule="exact"/>
        <w:ind w:left="917" w:right="11" w:hanging="386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 xml:space="preserve"> 日    期：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日</w:t>
      </w:r>
    </w:p>
    <w:p w14:paraId="5015D888">
      <w:pPr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GVjZjhjYzBlNTkzMWRhZDY5ZjUzNzQyNzc4ZTgifQ=="/>
  </w:docVars>
  <w:rsids>
    <w:rsidRoot w:val="00000000"/>
    <w:rsid w:val="01030BC5"/>
    <w:rsid w:val="03BE23AB"/>
    <w:rsid w:val="06901650"/>
    <w:rsid w:val="0E7A6F2C"/>
    <w:rsid w:val="0EFD76DC"/>
    <w:rsid w:val="155E0C86"/>
    <w:rsid w:val="17021F45"/>
    <w:rsid w:val="1B487F31"/>
    <w:rsid w:val="1EC919FE"/>
    <w:rsid w:val="26C11E25"/>
    <w:rsid w:val="298079D5"/>
    <w:rsid w:val="2DAE5EF9"/>
    <w:rsid w:val="37DB0DAB"/>
    <w:rsid w:val="3D436353"/>
    <w:rsid w:val="427F77F8"/>
    <w:rsid w:val="4D216607"/>
    <w:rsid w:val="4E8B2AAF"/>
    <w:rsid w:val="507D05F9"/>
    <w:rsid w:val="50BB6F20"/>
    <w:rsid w:val="52510765"/>
    <w:rsid w:val="533F5D62"/>
    <w:rsid w:val="5496214A"/>
    <w:rsid w:val="5F872D0C"/>
    <w:rsid w:val="68865FE2"/>
    <w:rsid w:val="6DE44E65"/>
    <w:rsid w:val="6DF27FFF"/>
    <w:rsid w:val="7027103E"/>
    <w:rsid w:val="706C5EB3"/>
    <w:rsid w:val="713003C1"/>
    <w:rsid w:val="753C7334"/>
    <w:rsid w:val="79873AB3"/>
    <w:rsid w:val="7BC2255D"/>
    <w:rsid w:val="7D6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after="120"/>
      <w:ind w:firstLine="100" w:firstLineChars="100"/>
      <w:jc w:val="both"/>
    </w:pPr>
    <w:rPr>
      <w:rFonts w:ascii="Times New Roman" w:hAnsi="Times New Roman" w:cs="Times New Roman"/>
    </w:rPr>
  </w:style>
  <w:style w:type="paragraph" w:styleId="3">
    <w:name w:val="Body Text"/>
    <w:basedOn w:val="1"/>
    <w:next w:val="1"/>
    <w:qFormat/>
    <w:uiPriority w:val="0"/>
    <w:pPr>
      <w:jc w:val="left"/>
    </w:pPr>
    <w:rPr>
      <w:rFonts w:ascii="宋体" w:hAnsi="宋体" w:cs="宋体"/>
      <w:sz w:val="28"/>
      <w:szCs w:val="28"/>
    </w:rPr>
  </w:style>
  <w:style w:type="paragraph" w:styleId="4">
    <w:name w:val="annotation text"/>
    <w:basedOn w:val="1"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982</Words>
  <Characters>1053</Characters>
  <Lines>0</Lines>
  <Paragraphs>0</Paragraphs>
  <TotalTime>10</TotalTime>
  <ScaleCrop>false</ScaleCrop>
  <LinksUpToDate>false</LinksUpToDate>
  <CharactersWithSpaces>1299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2024-10-30T01:24:00Z</dcterms:created>
  <dc:creator>ZYCZ-招采</dc:creator>
  <cp:lastModifiedBy>sunshine.</cp:lastModifiedBy>
  <cp:lastPrinted>2024-11-12T08:16:00Z</cp:lastPrinted>
  <dcterms:modified xsi:type="dcterms:W3CDTF">2024-11-13T08:53:57Z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02ADA84DEF8141C1917AF7C585B0537F_12</vt:lpwstr>
  </property>
</Properties>
</file>