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Cs w:val="32"/>
        </w:rPr>
      </w:pPr>
      <w:bookmarkStart w:id="1" w:name="_GoBack"/>
      <w:r>
        <w:rPr>
          <w:rFonts w:hint="eastAsia" w:ascii="宋体" w:hAnsi="宋体" w:eastAsia="宋体"/>
          <w:b/>
          <w:szCs w:val="32"/>
        </w:rPr>
        <w:t>重庆星际未来城下属酒店</w:t>
      </w:r>
    </w:p>
    <w:p>
      <w:pPr>
        <w:jc w:val="center"/>
        <w:rPr>
          <w:rFonts w:hint="eastAsia" w:ascii="宋体" w:hAnsi="宋体" w:eastAsia="宋体"/>
          <w:b/>
          <w:szCs w:val="32"/>
        </w:rPr>
      </w:pPr>
      <w:r>
        <w:rPr>
          <w:rFonts w:ascii="宋体" w:hAnsi="宋体" w:eastAsia="宋体"/>
          <w:b/>
          <w:szCs w:val="32"/>
        </w:rPr>
        <w:t>2024年厨房排油烟设备及隔油处理机组清洗服务</w:t>
      </w:r>
      <w:r>
        <w:rPr>
          <w:rFonts w:hint="eastAsia" w:ascii="宋体" w:hAnsi="宋体" w:eastAsia="宋体"/>
          <w:b/>
          <w:szCs w:val="32"/>
        </w:rPr>
        <w:t>（第二次）</w:t>
      </w:r>
    </w:p>
    <w:p>
      <w:pPr>
        <w:jc w:val="center"/>
        <w:rPr>
          <w:rFonts w:ascii="宋体" w:hAnsi="宋体" w:eastAsia="宋体"/>
          <w:b/>
          <w:szCs w:val="32"/>
        </w:rPr>
      </w:pPr>
      <w:r>
        <w:rPr>
          <w:rFonts w:ascii="宋体" w:hAnsi="宋体" w:eastAsia="宋体"/>
          <w:b/>
          <w:szCs w:val="32"/>
        </w:rPr>
        <w:t>报价要求</w:t>
      </w:r>
    </w:p>
    <w:p>
      <w:pPr>
        <w:spacing w:line="579" w:lineRule="exact"/>
      </w:pPr>
    </w:p>
    <w:p>
      <w:pPr>
        <w:spacing w:line="579" w:lineRule="exact"/>
        <w:ind w:firstLine="640" w:firstLineChars="200"/>
      </w:pPr>
      <w:r>
        <w:rPr>
          <w:rFonts w:hint="eastAsia"/>
          <w:b/>
          <w:bCs/>
        </w:rPr>
        <w:t>一、招标人</w:t>
      </w:r>
      <w:r>
        <w:rPr>
          <w:rFonts w:hint="eastAsia"/>
        </w:rPr>
        <w:t>：重庆仙山里物业服务有限公司</w:t>
      </w:r>
    </w:p>
    <w:p>
      <w:pPr>
        <w:pStyle w:val="13"/>
        <w:numPr>
          <w:ilvl w:val="0"/>
          <w:numId w:val="0"/>
        </w:numPr>
        <w:spacing w:line="579" w:lineRule="exact"/>
        <w:ind w:firstLine="640" w:firstLineChars="200"/>
        <w:rPr>
          <w:rFonts w:ascii="Times New Roman" w:hAnsi="Times New Roman" w:eastAsia="方正仿宋_GBK" w:cs="Times New Roman"/>
          <w:szCs w:val="24"/>
        </w:rPr>
      </w:pPr>
      <w:r>
        <w:rPr>
          <w:rFonts w:hint="eastAsia" w:ascii="Times New Roman" w:hAnsi="Times New Roman" w:eastAsia="方正仿宋_GBK" w:cs="Times New Roman"/>
          <w:b/>
          <w:bCs/>
          <w:szCs w:val="24"/>
        </w:rPr>
        <w:t>二、报价范围</w:t>
      </w:r>
      <w:r>
        <w:rPr>
          <w:rFonts w:hint="eastAsia" w:ascii="Times New Roman" w:hAnsi="Times New Roman" w:eastAsia="方正仿宋_GBK" w:cs="Times New Roman"/>
          <w:szCs w:val="24"/>
        </w:rPr>
        <w:t>：完成重庆星际未来城下属酒店2024年厨房排油烟设备及隔油处理机组清洗服务工作，具体以甲方确认的内容、清单及指令为准（以后期确定酒店名称为准）。</w:t>
      </w:r>
    </w:p>
    <w:p>
      <w:pPr>
        <w:spacing w:line="579" w:lineRule="exact"/>
        <w:ind w:firstLine="640" w:firstLineChars="200"/>
      </w:pPr>
      <w:r>
        <w:rPr>
          <w:rFonts w:hint="eastAsia"/>
          <w:b/>
          <w:bCs/>
        </w:rPr>
        <w:t xml:space="preserve">三、服务时间： </w:t>
      </w:r>
      <w:r>
        <w:rPr>
          <w:rFonts w:hint="eastAsia"/>
        </w:rPr>
        <w:t>1年，具体时间根据甲方要求为准。</w:t>
      </w:r>
    </w:p>
    <w:p>
      <w:pPr>
        <w:spacing w:line="579" w:lineRule="exact"/>
        <w:ind w:firstLine="640" w:firstLineChars="200"/>
      </w:pPr>
      <w:r>
        <w:rPr>
          <w:rFonts w:hint="eastAsia"/>
          <w:b/>
        </w:rPr>
        <w:t>四、服务内容：</w:t>
      </w:r>
      <w:r>
        <w:rPr>
          <w:snapToGrid w:val="0"/>
        </w:rPr>
        <w:t>重庆星际未来城下属酒店2024年酒店各厨房（含中城财众公司员工食堂厨房及隔油池）排油烟设备、油烟管道及隔油处理机组清洗服务，确保设备、设施安全高效运行，符合当地消防主管部门的消防安全管理制度及要求，每季度必须对油烟管道及设备进行清洗保养，以彻底消除火灾隐患，保障商业安全正常运行</w:t>
      </w:r>
      <w:r>
        <w:rPr>
          <w:rFonts w:hint="eastAsia"/>
        </w:rPr>
        <w:t>。</w:t>
      </w:r>
    </w:p>
    <w:p>
      <w:pPr>
        <w:spacing w:line="579" w:lineRule="exact"/>
        <w:ind w:firstLine="640" w:firstLineChars="200"/>
      </w:pPr>
      <w:r>
        <w:rPr>
          <w:rFonts w:hint="eastAsia"/>
          <w:b/>
          <w:bCs/>
        </w:rPr>
        <w:t>五、比选最高限价</w:t>
      </w:r>
      <w:r>
        <w:rPr>
          <w:rFonts w:hint="eastAsia"/>
        </w:rPr>
        <w:t>：22</w:t>
      </w:r>
      <w:r>
        <w:t>,</w:t>
      </w:r>
      <w:r>
        <w:rPr>
          <w:rFonts w:hint="eastAsia"/>
        </w:rPr>
        <w:t>000元（不含税）大写：贰万贰仟元整（不含税）。</w:t>
      </w:r>
    </w:p>
    <w:p>
      <w:pPr>
        <w:spacing w:line="579" w:lineRule="exact"/>
        <w:ind w:firstLine="640" w:firstLineChars="200"/>
      </w:pPr>
      <w:r>
        <w:rPr>
          <w:rFonts w:hint="eastAsia"/>
          <w:b/>
          <w:bCs/>
        </w:rPr>
        <w:t>六、付款方式</w:t>
      </w:r>
      <w:r>
        <w:rPr>
          <w:rFonts w:hint="eastAsia"/>
        </w:rPr>
        <w:t>：双方签妥本合同协议后，乙方在每季度服务完成结算一次。</w:t>
      </w:r>
    </w:p>
    <w:p>
      <w:pPr>
        <w:spacing w:line="579" w:lineRule="exact"/>
        <w:ind w:firstLine="640" w:firstLineChars="200"/>
      </w:pPr>
      <w:r>
        <w:rPr>
          <w:rFonts w:hint="eastAsia"/>
          <w:b/>
          <w:bCs/>
        </w:rPr>
        <w:t>七、评标方式：</w:t>
      </w:r>
      <w:r>
        <w:rPr>
          <w:rFonts w:hint="eastAsia"/>
        </w:rPr>
        <w:t>经评审的最低价法。</w:t>
      </w:r>
    </w:p>
    <w:p>
      <w:pPr>
        <w:spacing w:line="579" w:lineRule="exact"/>
        <w:ind w:firstLine="640" w:firstLineChars="200"/>
      </w:pPr>
      <w:r>
        <w:rPr>
          <w:rFonts w:hint="eastAsia"/>
          <w:b/>
        </w:rPr>
        <w:t>八、</w:t>
      </w:r>
      <w:r>
        <w:rPr>
          <w:rFonts w:hint="eastAsia"/>
          <w:b/>
          <w:bCs/>
          <w:kern w:val="0"/>
        </w:rPr>
        <w:t>投标人资格要求：</w:t>
      </w:r>
      <w:r>
        <w:rPr>
          <w:rFonts w:hint="eastAsia"/>
          <w:kern w:val="0"/>
        </w:rPr>
        <w:t>1、</w:t>
      </w:r>
      <w:r>
        <w:rPr>
          <w:rFonts w:hint="eastAsia"/>
        </w:rPr>
        <w:t>在中华人民共和国境内注册的独立法人或其分支机构2、</w:t>
      </w:r>
      <w:r>
        <w:rPr>
          <w:rFonts w:hint="eastAsia"/>
          <w:bCs/>
        </w:rPr>
        <w:t>需要能够</w:t>
      </w:r>
      <w:r>
        <w:rPr>
          <w:rFonts w:hint="eastAsia"/>
        </w:rPr>
        <w:t>提供相关履约能力资质。</w:t>
      </w:r>
    </w:p>
    <w:p>
      <w:pPr>
        <w:spacing w:line="579" w:lineRule="exact"/>
        <w:ind w:firstLine="640" w:firstLineChars="200"/>
      </w:pPr>
      <w:r>
        <w:rPr>
          <w:rFonts w:hint="eastAsia"/>
          <w:b/>
          <w:bCs/>
        </w:rPr>
        <w:t>九、业绩要求：</w:t>
      </w:r>
      <w:r>
        <w:rPr>
          <w:rFonts w:hint="eastAsia"/>
        </w:rPr>
        <w:t>近三年（2021年1月1日至今）承担过1个及以上类似业绩（类似业绩是指五星级及以上酒店等清洗服务项目，业绩证明材料需提供合同协议书及业绩对应的发票财务凭证材料）；不接受联合体投标。</w:t>
      </w:r>
    </w:p>
    <w:p>
      <w:pPr>
        <w:spacing w:line="579" w:lineRule="exact"/>
        <w:ind w:firstLine="640" w:firstLineChars="200"/>
      </w:pPr>
      <w:r>
        <w:rPr>
          <w:rFonts w:hint="eastAsia"/>
          <w:b/>
          <w:bCs/>
        </w:rPr>
        <w:t>十、响应文件提交：</w:t>
      </w:r>
      <w:r>
        <w:rPr>
          <w:rFonts w:hint="eastAsia"/>
        </w:rPr>
        <w:t>提交密封盖章响应文件1份（内含报价表、公司营业执照（副本复印件加盖公章）、业绩合同1份），提交地点：重庆市武隆区仙女山镇银杏大道重庆星际未来城下属酒店财务部；提交日期：2024年</w:t>
      </w:r>
      <w:r>
        <w:rPr>
          <w:rFonts w:hint="eastAsia"/>
          <w:highlight w:val="none"/>
          <w:lang w:val="en-US" w:eastAsia="zh-CN"/>
        </w:rPr>
        <w:t>5</w:t>
      </w:r>
      <w:r>
        <w:rPr>
          <w:rFonts w:hint="eastAsia"/>
          <w:highlight w:val="none"/>
        </w:rPr>
        <w:t>月</w:t>
      </w:r>
      <w:r>
        <w:rPr>
          <w:rFonts w:hint="eastAsia"/>
          <w:highlight w:val="none"/>
          <w:lang w:val="en-US" w:eastAsia="zh-CN"/>
        </w:rPr>
        <w:t>7</w:t>
      </w:r>
      <w:r>
        <w:rPr>
          <w:rFonts w:hint="eastAsia"/>
          <w:highlight w:val="none"/>
        </w:rPr>
        <w:t>日</w:t>
      </w:r>
      <w:r>
        <w:rPr>
          <w:rFonts w:hint="eastAsia"/>
          <w:lang w:val="en-US" w:eastAsia="zh-CN"/>
        </w:rPr>
        <w:t>上</w:t>
      </w:r>
      <w:r>
        <w:rPr>
          <w:rFonts w:hint="eastAsia"/>
        </w:rPr>
        <w:t>午</w:t>
      </w:r>
      <w:r>
        <w:rPr>
          <w:rFonts w:hint="eastAsia"/>
          <w:lang w:val="en-US" w:eastAsia="zh-CN"/>
        </w:rPr>
        <w:t>10</w:t>
      </w:r>
      <w:r>
        <w:rPr>
          <w:rFonts w:hint="eastAsia"/>
        </w:rPr>
        <w:t>：30前；联系人：徐晖，13632848557。</w:t>
      </w:r>
    </w:p>
    <w:bookmarkEnd w:id="1"/>
    <w:p>
      <w:pPr>
        <w:spacing w:line="579" w:lineRule="exact"/>
        <w:ind w:firstLine="640" w:firstLineChars="200"/>
        <w:rPr>
          <w:b/>
          <w:bCs/>
        </w:rPr>
      </w:pPr>
      <w:r>
        <w:rPr>
          <w:rFonts w:hint="eastAsia"/>
          <w:b/>
          <w:bCs/>
        </w:rPr>
        <w:t>十一、要求条款</w:t>
      </w:r>
    </w:p>
    <w:p>
      <w:pPr>
        <w:spacing w:line="579" w:lineRule="exact"/>
        <w:ind w:firstLine="640" w:firstLineChars="200"/>
        <w:rPr>
          <w:b/>
          <w:color w:val="222A35" w:themeColor="text2" w:themeShade="80"/>
        </w:rPr>
      </w:pPr>
      <w:r>
        <w:rPr>
          <w:rFonts w:hint="eastAsia"/>
        </w:rPr>
        <w:t>排油烟风管及设备清洗方案</w:t>
      </w:r>
    </w:p>
    <w:p>
      <w:pPr>
        <w:pStyle w:val="13"/>
        <w:numPr>
          <w:ilvl w:val="0"/>
          <w:numId w:val="2"/>
        </w:numPr>
        <w:spacing w:line="579" w:lineRule="exact"/>
        <w:ind w:left="0" w:firstLine="640" w:firstLineChars="200"/>
        <w:rPr>
          <w:rFonts w:ascii="Times New Roman" w:hAnsi="Times New Roman" w:eastAsia="方正仿宋_GBK" w:cs="Times New Roman"/>
          <w:szCs w:val="24"/>
        </w:rPr>
      </w:pPr>
      <w:r>
        <w:rPr>
          <w:rFonts w:hint="eastAsia" w:ascii="Times New Roman" w:hAnsi="Times New Roman" w:eastAsia="方正仿宋_GBK" w:cs="Times New Roman"/>
          <w:szCs w:val="24"/>
        </w:rPr>
        <w:t>清洗目的：</w:t>
      </w:r>
      <w:r>
        <w:rPr>
          <w:rFonts w:hint="eastAsia" w:ascii="Times New Roman" w:hAnsi="Times New Roman" w:eastAsia="方正仿宋_GBK" w:cs="Times New Roman"/>
          <w:szCs w:val="24"/>
        </w:rPr>
        <w:br w:type="textWrapping"/>
      </w:r>
      <w:r>
        <w:rPr>
          <w:rFonts w:hint="eastAsia" w:ascii="Times New Roman" w:hAnsi="Times New Roman" w:eastAsia="方正仿宋_GBK" w:cs="Times New Roman"/>
          <w:szCs w:val="24"/>
        </w:rPr>
        <w:t> 排油烟管道经过长期使用，会在表面沉积一层油垢。按照重庆消防安全管理制度每季度需对排油烟管道的主管道进行一次清洗，以彻底消除火灾隐患，确保商业正常运行。</w:t>
      </w:r>
    </w:p>
    <w:p>
      <w:pPr>
        <w:pStyle w:val="13"/>
        <w:numPr>
          <w:ilvl w:val="0"/>
          <w:numId w:val="2"/>
        </w:numPr>
        <w:spacing w:line="579" w:lineRule="exact"/>
        <w:ind w:left="0" w:firstLine="640" w:firstLineChars="200"/>
        <w:rPr>
          <w:rFonts w:ascii="Times New Roman" w:hAnsi="Times New Roman" w:eastAsia="方正仿宋_GBK" w:cs="Times New Roman"/>
          <w:szCs w:val="24"/>
        </w:rPr>
      </w:pPr>
      <w:r>
        <w:rPr>
          <w:rFonts w:hint="eastAsia" w:ascii="Times New Roman" w:hAnsi="Times New Roman" w:eastAsia="方正仿宋_GBK" w:cs="Times New Roman"/>
          <w:szCs w:val="24"/>
        </w:rPr>
        <w:t>清洗内容：</w:t>
      </w:r>
      <w:r>
        <w:rPr>
          <w:rFonts w:hint="eastAsia" w:ascii="Times New Roman" w:hAnsi="Times New Roman" w:eastAsia="方正仿宋_GBK" w:cs="Times New Roman"/>
          <w:szCs w:val="24"/>
        </w:rPr>
        <w:br w:type="textWrapping"/>
      </w:r>
      <w:r>
        <w:rPr>
          <w:rFonts w:hint="eastAsia" w:ascii="Times New Roman" w:hAnsi="Times New Roman" w:eastAsia="方正仿宋_GBK" w:cs="Times New Roman"/>
          <w:szCs w:val="24"/>
        </w:rPr>
        <w:t>包括主油烟管道、排风机、油烟净化器。清洁重点部位是 主油烟管道内面、排风机叶轮和底座、油烟净化器内净化装置等。 </w:t>
      </w:r>
    </w:p>
    <w:p>
      <w:pPr>
        <w:pStyle w:val="13"/>
        <w:numPr>
          <w:ilvl w:val="0"/>
          <w:numId w:val="2"/>
        </w:numPr>
        <w:spacing w:line="579" w:lineRule="exact"/>
        <w:ind w:left="0" w:firstLine="640" w:firstLineChars="200"/>
        <w:rPr>
          <w:rFonts w:ascii="Times New Roman" w:hAnsi="Times New Roman" w:eastAsia="方正仿宋_GBK" w:cs="Times New Roman"/>
          <w:szCs w:val="24"/>
        </w:rPr>
      </w:pPr>
      <w:r>
        <w:rPr>
          <w:rFonts w:hint="eastAsia" w:ascii="Times New Roman" w:hAnsi="Times New Roman" w:eastAsia="方正仿宋_GBK" w:cs="Times New Roman"/>
          <w:szCs w:val="24"/>
        </w:rPr>
        <w:t>施工方案：</w:t>
      </w:r>
    </w:p>
    <w:p>
      <w:pPr>
        <w:spacing w:line="579" w:lineRule="exact"/>
        <w:ind w:firstLine="640" w:firstLineChars="200"/>
      </w:pPr>
      <w:r>
        <w:rPr>
          <w:rFonts w:hint="eastAsia"/>
        </w:rPr>
        <w:t>（1）时间安排：晚上22</w:t>
      </w:r>
      <w:r>
        <w:t>:</w:t>
      </w:r>
      <w:r>
        <w:rPr>
          <w:rFonts w:hint="eastAsia"/>
        </w:rPr>
        <w:t>00-次日早上08:00进行，具体实施时间可调节，以不影响正常营业为前提；</w:t>
      </w:r>
    </w:p>
    <w:p>
      <w:pPr>
        <w:spacing w:line="579" w:lineRule="exact"/>
        <w:ind w:firstLine="640" w:firstLineChars="200"/>
      </w:pPr>
      <w:r>
        <w:rPr>
          <w:rFonts w:hint="eastAsia"/>
        </w:rPr>
        <w:t>（2）清洗药剂：碱性化油剂按清洗需要按比例1:50与水混合，12＜PH值＞7不会对排油烟管道内壁产生腐蚀；</w:t>
      </w:r>
    </w:p>
    <w:p>
      <w:pPr>
        <w:spacing w:line="579" w:lineRule="exact"/>
        <w:ind w:firstLine="640" w:firstLineChars="200"/>
      </w:pPr>
      <w:r>
        <w:rPr>
          <w:rFonts w:hint="eastAsia"/>
        </w:rPr>
        <w:t>（3）对油烟道内壁采用人工进入烟道内部进行清洁。用高压清洗机以及各种手工和电动工具对油烟道内表面的清洗采用进入式人工清洗和化学药品机械清洗相结合的方法：先进行人工开口，施工人员进入烟道用铲刀进行人工铲除，再用油污剥离剂喷洒烟道内表面，清洗完成后用高压水枪冲洗，最后清理管道残留水渍，密封开口处。</w:t>
      </w:r>
    </w:p>
    <w:p>
      <w:pPr>
        <w:spacing w:line="579" w:lineRule="exact"/>
        <w:ind w:firstLine="640" w:firstLineChars="200"/>
      </w:pPr>
      <w:r>
        <w:rPr>
          <w:rFonts w:hint="eastAsia"/>
        </w:rPr>
        <w:t>(4) 风机清洗：关闭电源，工人由净化器箱进入，喷洒药剂于风机叶片，5-10分钟后开始清洗叶片和机座底部油污，清洗完成后用高压水枪冲洗，最后清理管道残留水渍。</w:t>
      </w:r>
    </w:p>
    <w:p>
      <w:pPr>
        <w:spacing w:line="579" w:lineRule="exact"/>
        <w:ind w:firstLine="640" w:firstLineChars="200"/>
      </w:pPr>
      <w:r>
        <w:rPr>
          <w:rFonts w:hint="eastAsia"/>
        </w:rPr>
        <w:t>(5) 净化器清洗：关闭电源，用绝缘工具刀释放静电，取出净化装置内电极板和活性炭箱，将电极板放置到盛满化油剂的清洗箱中浸泡10-20分钟后取出，再用高压水枪冲洗彻底，放弃干燥处处理残余水渍，晾干后再装入设备，试机。将活性炭吸附箱取出，人工用油烟铲刀剥离表面油污，完成后装好试机运行。</w:t>
      </w:r>
    </w:p>
    <w:p>
      <w:pPr>
        <w:spacing w:line="579" w:lineRule="exact"/>
        <w:ind w:firstLine="640" w:firstLineChars="200"/>
      </w:pPr>
      <w:r>
        <w:rPr>
          <w:rFonts w:hint="eastAsia"/>
        </w:rPr>
        <w:t>（6）整理提供设备清洗前后所有影像对比资料并存挡。</w:t>
      </w:r>
    </w:p>
    <w:p>
      <w:pPr>
        <w:spacing w:line="579" w:lineRule="exact"/>
        <w:ind w:firstLine="640" w:firstLineChars="200"/>
      </w:pPr>
      <w:r>
        <w:rPr>
          <w:rFonts w:hint="eastAsia"/>
        </w:rPr>
        <w:t>（7）油烟设备及隔油池清洗清单</w:t>
      </w:r>
    </w:p>
    <w:tbl>
      <w:tblPr>
        <w:tblStyle w:val="8"/>
        <w:tblpPr w:leftFromText="180" w:rightFromText="180" w:vertAnchor="text" w:horzAnchor="page" w:tblpX="1399" w:tblpY="118"/>
        <w:tblOverlap w:val="never"/>
        <w:tblW w:w="8623" w:type="dxa"/>
        <w:tblInd w:w="0" w:type="dxa"/>
        <w:tblLayout w:type="fixed"/>
        <w:tblCellMar>
          <w:top w:w="0" w:type="dxa"/>
          <w:left w:w="0" w:type="dxa"/>
          <w:bottom w:w="0" w:type="dxa"/>
          <w:right w:w="0" w:type="dxa"/>
        </w:tblCellMar>
      </w:tblPr>
      <w:tblGrid>
        <w:gridCol w:w="838"/>
        <w:gridCol w:w="1534"/>
        <w:gridCol w:w="4001"/>
        <w:gridCol w:w="2250"/>
      </w:tblGrid>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pPr>
            <w:r>
              <w:rPr>
                <w:rFonts w:hint="eastAsia"/>
              </w:rPr>
              <w:t>序号</w:t>
            </w:r>
          </w:p>
        </w:tc>
        <w:tc>
          <w:tcPr>
            <w:tcW w:w="1534"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pPr>
            <w:r>
              <w:rPr>
                <w:rFonts w:hint="eastAsia"/>
              </w:rPr>
              <w:t>厨房名称</w:t>
            </w:r>
          </w:p>
        </w:tc>
        <w:tc>
          <w:tcPr>
            <w:tcW w:w="40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pPr>
            <w:r>
              <w:rPr>
                <w:rFonts w:hint="eastAsia"/>
              </w:rPr>
              <w:t>名称</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pPr>
            <w:r>
              <w:rPr>
                <w:rFonts w:hint="eastAsia"/>
              </w:rPr>
              <w:t>数量</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1</w:t>
            </w:r>
          </w:p>
        </w:tc>
        <w:tc>
          <w:tcPr>
            <w:tcW w:w="1534"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西餐厅</w:t>
            </w:r>
          </w:p>
        </w:tc>
        <w:tc>
          <w:tcPr>
            <w:tcW w:w="40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烟罩</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6米</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2</w:t>
            </w:r>
          </w:p>
        </w:tc>
        <w:tc>
          <w:tcPr>
            <w:tcW w:w="1534" w:type="dxa"/>
            <w:vMerge w:val="continue"/>
            <w:tcBorders>
              <w:top w:val="nil"/>
              <w:left w:val="nil"/>
              <w:bottom w:val="single" w:color="000000" w:sz="4" w:space="0"/>
              <w:right w:val="single" w:color="000000" w:sz="4" w:space="0"/>
            </w:tcBorders>
            <w:vAlign w:val="center"/>
          </w:tcPr>
          <w:p>
            <w:pPr>
              <w:spacing w:line="579" w:lineRule="exact"/>
              <w:ind w:firstLine="640" w:firstLineChars="200"/>
              <w:jc w:val="center"/>
            </w:pPr>
          </w:p>
        </w:tc>
        <w:tc>
          <w:tcPr>
            <w:tcW w:w="40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防火板</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10米</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3</w:t>
            </w:r>
          </w:p>
        </w:tc>
        <w:tc>
          <w:tcPr>
            <w:tcW w:w="1534" w:type="dxa"/>
            <w:vMerge w:val="continue"/>
            <w:tcBorders>
              <w:top w:val="nil"/>
              <w:left w:val="nil"/>
              <w:bottom w:val="single" w:color="000000" w:sz="4" w:space="0"/>
              <w:right w:val="single" w:color="000000" w:sz="4" w:space="0"/>
            </w:tcBorders>
            <w:vAlign w:val="center"/>
          </w:tcPr>
          <w:p>
            <w:pPr>
              <w:spacing w:line="579" w:lineRule="exact"/>
              <w:ind w:firstLine="640" w:firstLineChars="200"/>
              <w:jc w:val="center"/>
            </w:pPr>
          </w:p>
        </w:tc>
        <w:tc>
          <w:tcPr>
            <w:tcW w:w="40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烟罩同步管道</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6米</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4</w:t>
            </w:r>
          </w:p>
        </w:tc>
        <w:tc>
          <w:tcPr>
            <w:tcW w:w="1534"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明档</w:t>
            </w:r>
          </w:p>
        </w:tc>
        <w:tc>
          <w:tcPr>
            <w:tcW w:w="40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烟罩</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ind w:firstLine="640" w:firstLineChars="200"/>
            </w:pPr>
            <w:r>
              <w:rPr>
                <w:rFonts w:hint="eastAsia"/>
              </w:rPr>
              <w:t>8米</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5</w:t>
            </w:r>
          </w:p>
        </w:tc>
        <w:tc>
          <w:tcPr>
            <w:tcW w:w="1534" w:type="dxa"/>
            <w:vMerge w:val="continue"/>
            <w:tcBorders>
              <w:top w:val="nil"/>
              <w:left w:val="nil"/>
              <w:bottom w:val="single" w:color="000000" w:sz="4" w:space="0"/>
              <w:right w:val="single" w:color="000000" w:sz="4" w:space="0"/>
            </w:tcBorders>
            <w:vAlign w:val="center"/>
          </w:tcPr>
          <w:p>
            <w:pPr>
              <w:spacing w:line="579" w:lineRule="exact"/>
              <w:ind w:firstLine="640" w:firstLineChars="200"/>
              <w:jc w:val="center"/>
            </w:pPr>
          </w:p>
        </w:tc>
        <w:tc>
          <w:tcPr>
            <w:tcW w:w="40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防火板</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ind w:firstLine="640" w:firstLineChars="200"/>
            </w:pPr>
            <w:r>
              <w:rPr>
                <w:rFonts w:hint="eastAsia"/>
              </w:rPr>
              <w:t>12张</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6</w:t>
            </w:r>
          </w:p>
        </w:tc>
        <w:tc>
          <w:tcPr>
            <w:tcW w:w="1534" w:type="dxa"/>
            <w:vMerge w:val="continue"/>
            <w:tcBorders>
              <w:top w:val="nil"/>
              <w:left w:val="nil"/>
              <w:bottom w:val="single" w:color="000000" w:sz="4" w:space="0"/>
              <w:right w:val="single" w:color="000000" w:sz="4" w:space="0"/>
            </w:tcBorders>
            <w:vAlign w:val="center"/>
          </w:tcPr>
          <w:p>
            <w:pPr>
              <w:spacing w:line="579" w:lineRule="exact"/>
              <w:ind w:firstLine="640" w:firstLineChars="200"/>
              <w:jc w:val="center"/>
            </w:pPr>
          </w:p>
        </w:tc>
        <w:tc>
          <w:tcPr>
            <w:tcW w:w="40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烟罩同步管道</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ind w:firstLine="640" w:firstLineChars="200"/>
            </w:pPr>
            <w:r>
              <w:rPr>
                <w:rFonts w:hint="eastAsia"/>
              </w:rPr>
              <w:t>10米</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7</w:t>
            </w:r>
          </w:p>
        </w:tc>
        <w:tc>
          <w:tcPr>
            <w:tcW w:w="1534" w:type="dxa"/>
            <w:vMerge w:val="restart"/>
            <w:tcBorders>
              <w:top w:val="nil"/>
              <w:left w:val="nil"/>
              <w:bottom w:val="single" w:color="auto"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宴会厨房</w:t>
            </w:r>
          </w:p>
        </w:tc>
        <w:tc>
          <w:tcPr>
            <w:tcW w:w="40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烟罩</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ind w:firstLine="640" w:firstLineChars="200"/>
            </w:pPr>
            <w:r>
              <w:rPr>
                <w:rFonts w:hint="eastAsia"/>
              </w:rPr>
              <w:t>10米</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8</w:t>
            </w:r>
          </w:p>
        </w:tc>
        <w:tc>
          <w:tcPr>
            <w:tcW w:w="1534" w:type="dxa"/>
            <w:vMerge w:val="continue"/>
            <w:tcBorders>
              <w:top w:val="nil"/>
              <w:left w:val="nil"/>
              <w:bottom w:val="single" w:color="auto" w:sz="4" w:space="0"/>
              <w:right w:val="single" w:color="000000" w:sz="4" w:space="0"/>
            </w:tcBorders>
            <w:vAlign w:val="center"/>
          </w:tcPr>
          <w:p>
            <w:pPr>
              <w:spacing w:line="579" w:lineRule="exact"/>
              <w:ind w:firstLine="640" w:firstLineChars="200"/>
              <w:jc w:val="center"/>
            </w:pPr>
          </w:p>
        </w:tc>
        <w:tc>
          <w:tcPr>
            <w:tcW w:w="40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防火篦子</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ind w:firstLine="640" w:firstLineChars="200"/>
            </w:pPr>
            <w:r>
              <w:rPr>
                <w:rFonts w:hint="eastAsia"/>
              </w:rPr>
              <w:t>15张</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9</w:t>
            </w:r>
          </w:p>
        </w:tc>
        <w:tc>
          <w:tcPr>
            <w:tcW w:w="1534" w:type="dxa"/>
            <w:vMerge w:val="continue"/>
            <w:tcBorders>
              <w:top w:val="nil"/>
              <w:left w:val="nil"/>
              <w:bottom w:val="single" w:color="auto" w:sz="4" w:space="0"/>
              <w:right w:val="single" w:color="000000" w:sz="4" w:space="0"/>
            </w:tcBorders>
            <w:vAlign w:val="center"/>
          </w:tcPr>
          <w:p>
            <w:pPr>
              <w:spacing w:line="579" w:lineRule="exact"/>
              <w:ind w:firstLine="640" w:firstLineChars="200"/>
              <w:jc w:val="center"/>
            </w:pPr>
          </w:p>
        </w:tc>
        <w:tc>
          <w:tcPr>
            <w:tcW w:w="4001"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烟罩同步管道</w:t>
            </w:r>
          </w:p>
        </w:tc>
        <w:tc>
          <w:tcPr>
            <w:tcW w:w="2250"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spacing w:line="579" w:lineRule="exact"/>
              <w:ind w:firstLine="640" w:firstLineChars="200"/>
            </w:pPr>
            <w:r>
              <w:rPr>
                <w:rFonts w:hint="eastAsia"/>
              </w:rPr>
              <w:t>10米</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10</w:t>
            </w:r>
          </w:p>
        </w:tc>
        <w:tc>
          <w:tcPr>
            <w:tcW w:w="1534" w:type="dxa"/>
            <w:vMerge w:val="restart"/>
            <w:tcBorders>
              <w:top w:val="nil"/>
              <w:left w:val="nil"/>
              <w:right w:val="single" w:color="000000" w:sz="4" w:space="0"/>
            </w:tcBorders>
            <w:vAlign w:val="center"/>
          </w:tcPr>
          <w:p>
            <w:pPr>
              <w:spacing w:line="579" w:lineRule="exact"/>
              <w:jc w:val="center"/>
            </w:pPr>
            <w:r>
              <w:rPr>
                <w:rFonts w:hint="eastAsia"/>
              </w:rPr>
              <w:t>中域员工食堂</w:t>
            </w:r>
          </w:p>
        </w:tc>
        <w:tc>
          <w:tcPr>
            <w:tcW w:w="4001"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烟罩</w:t>
            </w:r>
          </w:p>
        </w:tc>
        <w:tc>
          <w:tcPr>
            <w:tcW w:w="2250"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spacing w:line="579" w:lineRule="exact"/>
              <w:ind w:firstLine="640" w:firstLineChars="200"/>
            </w:pPr>
            <w:r>
              <w:rPr>
                <w:rFonts w:hint="eastAsia"/>
              </w:rPr>
              <w:t>6米</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11</w:t>
            </w:r>
          </w:p>
        </w:tc>
        <w:tc>
          <w:tcPr>
            <w:tcW w:w="1534" w:type="dxa"/>
            <w:vMerge w:val="continue"/>
            <w:tcBorders>
              <w:left w:val="nil"/>
              <w:right w:val="single" w:color="000000" w:sz="4" w:space="0"/>
            </w:tcBorders>
            <w:vAlign w:val="center"/>
          </w:tcPr>
          <w:p>
            <w:pPr>
              <w:spacing w:line="579" w:lineRule="exact"/>
              <w:ind w:firstLine="640" w:firstLineChars="200"/>
              <w:jc w:val="center"/>
            </w:pPr>
          </w:p>
        </w:tc>
        <w:tc>
          <w:tcPr>
            <w:tcW w:w="4001"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防火板</w:t>
            </w:r>
          </w:p>
        </w:tc>
        <w:tc>
          <w:tcPr>
            <w:tcW w:w="2250"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spacing w:line="579" w:lineRule="exact"/>
              <w:ind w:firstLine="640" w:firstLineChars="200"/>
            </w:pPr>
            <w:r>
              <w:rPr>
                <w:rFonts w:hint="eastAsia"/>
              </w:rPr>
              <w:t>6米</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12</w:t>
            </w:r>
          </w:p>
        </w:tc>
        <w:tc>
          <w:tcPr>
            <w:tcW w:w="1534" w:type="dxa"/>
            <w:vMerge w:val="continue"/>
            <w:tcBorders>
              <w:left w:val="nil"/>
              <w:bottom w:val="single" w:color="auto" w:sz="4" w:space="0"/>
              <w:right w:val="single" w:color="000000" w:sz="4" w:space="0"/>
            </w:tcBorders>
            <w:vAlign w:val="center"/>
          </w:tcPr>
          <w:p>
            <w:pPr>
              <w:spacing w:line="579" w:lineRule="exact"/>
              <w:ind w:firstLine="640" w:firstLineChars="200"/>
              <w:jc w:val="center"/>
            </w:pPr>
          </w:p>
        </w:tc>
        <w:tc>
          <w:tcPr>
            <w:tcW w:w="4001"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烟罩同步管道</w:t>
            </w:r>
          </w:p>
        </w:tc>
        <w:tc>
          <w:tcPr>
            <w:tcW w:w="2250"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spacing w:line="579" w:lineRule="exact"/>
              <w:ind w:firstLine="640" w:firstLineChars="200"/>
            </w:pPr>
            <w:r>
              <w:rPr>
                <w:rFonts w:hint="eastAsia"/>
              </w:rPr>
              <w:t>6米</w:t>
            </w:r>
          </w:p>
        </w:tc>
      </w:tr>
      <w:tr>
        <w:tblPrEx>
          <w:tblCellMar>
            <w:top w:w="0" w:type="dxa"/>
            <w:left w:w="0" w:type="dxa"/>
            <w:bottom w:w="0" w:type="dxa"/>
            <w:right w:w="0" w:type="dxa"/>
          </w:tblCellMar>
        </w:tblPrEx>
        <w:trPr>
          <w:trHeight w:val="402" w:hRule="atLeast"/>
        </w:trPr>
        <w:tc>
          <w:tcPr>
            <w:tcW w:w="838" w:type="dxa"/>
            <w:tcBorders>
              <w:top w:val="single" w:color="auto"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13</w:t>
            </w:r>
          </w:p>
        </w:tc>
        <w:tc>
          <w:tcPr>
            <w:tcW w:w="5535" w:type="dxa"/>
            <w:gridSpan w:val="2"/>
            <w:tcBorders>
              <w:top w:val="single" w:color="auto"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油烟净化器</w:t>
            </w:r>
          </w:p>
        </w:tc>
        <w:tc>
          <w:tcPr>
            <w:tcW w:w="2250" w:type="dxa"/>
            <w:tcBorders>
              <w:top w:val="single" w:color="auto"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ind w:firstLine="640" w:firstLineChars="200"/>
            </w:pPr>
            <w:r>
              <w:rPr>
                <w:rFonts w:hint="eastAsia"/>
              </w:rPr>
              <w:t>6台</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14</w:t>
            </w:r>
          </w:p>
        </w:tc>
        <w:tc>
          <w:tcPr>
            <w:tcW w:w="5535"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排油烟风机</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ind w:firstLine="640" w:firstLineChars="200"/>
            </w:pPr>
            <w:r>
              <w:rPr>
                <w:rFonts w:hint="eastAsia"/>
              </w:rPr>
              <w:t>6台</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15</w:t>
            </w:r>
          </w:p>
        </w:tc>
        <w:tc>
          <w:tcPr>
            <w:tcW w:w="5535"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屋面管道</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ind w:firstLine="640" w:firstLineChars="200"/>
            </w:pPr>
            <w:r>
              <w:rPr>
                <w:rFonts w:hint="eastAsia"/>
              </w:rPr>
              <w:t>50米</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16</w:t>
            </w:r>
          </w:p>
        </w:tc>
        <w:tc>
          <w:tcPr>
            <w:tcW w:w="5535"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酒店隔油设备及中域食堂隔油池</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ind w:firstLine="640" w:firstLineChars="200"/>
            </w:pPr>
            <w:r>
              <w:rPr>
                <w:rFonts w:hint="eastAsia"/>
              </w:rPr>
              <w:t>共2套</w:t>
            </w:r>
          </w:p>
        </w:tc>
      </w:tr>
    </w:tbl>
    <w:p>
      <w:pPr>
        <w:pStyle w:val="2"/>
        <w:spacing w:line="579" w:lineRule="exact"/>
        <w:ind w:firstLine="640" w:firstLineChars="200"/>
        <w:sectPr>
          <w:pgSz w:w="11906" w:h="16838"/>
          <w:pgMar w:top="2098" w:right="1531" w:bottom="1985" w:left="1531" w:header="851" w:footer="992" w:gutter="0"/>
          <w:cols w:space="425" w:num="1"/>
          <w:docGrid w:type="lines" w:linePitch="312" w:charSpace="0"/>
        </w:sectPr>
      </w:pPr>
    </w:p>
    <w:p>
      <w:pPr>
        <w:pStyle w:val="2"/>
        <w:spacing w:line="579" w:lineRule="exact"/>
      </w:pPr>
      <w:r>
        <w:rPr>
          <w:rFonts w:hint="eastAsia" w:ascii="Times New Roman" w:eastAsia="方正仿宋_GBK"/>
          <w:b/>
          <w:bCs/>
          <w:color w:val="auto"/>
          <w:kern w:val="2"/>
          <w:lang w:eastAsia="zh-CN" w:bidi="ar-SA"/>
        </w:rPr>
        <w:t>十二、报价清单</w:t>
      </w:r>
      <w:r>
        <w:rPr>
          <w:rFonts w:hint="eastAsia"/>
        </w:rPr>
        <w:t>：</w:t>
      </w:r>
    </w:p>
    <w:tbl>
      <w:tblPr>
        <w:tblStyle w:val="8"/>
        <w:tblpPr w:leftFromText="180" w:rightFromText="180" w:vertAnchor="text" w:horzAnchor="page" w:tblpX="1899" w:tblpY="1146"/>
        <w:tblOverlap w:val="never"/>
        <w:tblW w:w="13685" w:type="dxa"/>
        <w:tblInd w:w="0" w:type="dxa"/>
        <w:tblLayout w:type="fixed"/>
        <w:tblCellMar>
          <w:top w:w="0" w:type="dxa"/>
          <w:left w:w="108" w:type="dxa"/>
          <w:bottom w:w="0" w:type="dxa"/>
          <w:right w:w="108" w:type="dxa"/>
        </w:tblCellMar>
      </w:tblPr>
      <w:tblGrid>
        <w:gridCol w:w="681"/>
        <w:gridCol w:w="1408"/>
        <w:gridCol w:w="1338"/>
        <w:gridCol w:w="739"/>
        <w:gridCol w:w="819"/>
        <w:gridCol w:w="1131"/>
        <w:gridCol w:w="1477"/>
        <w:gridCol w:w="1465"/>
        <w:gridCol w:w="1569"/>
        <w:gridCol w:w="1293"/>
        <w:gridCol w:w="1765"/>
      </w:tblGrid>
      <w:tr>
        <w:tblPrEx>
          <w:tblCellMar>
            <w:top w:w="0" w:type="dxa"/>
            <w:left w:w="108" w:type="dxa"/>
            <w:bottom w:w="0" w:type="dxa"/>
            <w:right w:w="108" w:type="dxa"/>
          </w:tblCellMar>
        </w:tblPrEx>
        <w:trPr>
          <w:trHeight w:val="397" w:hRule="atLeast"/>
        </w:trPr>
        <w:tc>
          <w:tcPr>
            <w:tcW w:w="13685" w:type="dxa"/>
            <w:gridSpan w:val="11"/>
            <w:tcBorders>
              <w:top w:val="single" w:color="000000" w:sz="4" w:space="0"/>
              <w:left w:val="single" w:color="000000" w:sz="4" w:space="0"/>
              <w:bottom w:val="single" w:color="000000" w:sz="4" w:space="0"/>
              <w:right w:val="single" w:color="000000" w:sz="4" w:space="0"/>
            </w:tcBorders>
            <w:vAlign w:val="center"/>
          </w:tcPr>
          <w:p>
            <w:pPr>
              <w:spacing w:line="579" w:lineRule="exact"/>
              <w:jc w:val="center"/>
            </w:pPr>
            <w:r>
              <w:rPr>
                <w:rFonts w:hint="eastAsia"/>
              </w:rPr>
              <w:t>重庆星际未来城下属酒店厨房排油烟设备及隔油处理机组清洗报价清单</w:t>
            </w:r>
          </w:p>
        </w:tc>
      </w:tr>
      <w:tr>
        <w:tblPrEx>
          <w:tblCellMar>
            <w:top w:w="0" w:type="dxa"/>
            <w:left w:w="108" w:type="dxa"/>
            <w:bottom w:w="0" w:type="dxa"/>
            <w:right w:w="108" w:type="dxa"/>
          </w:tblCellMar>
        </w:tblPrEx>
        <w:trPr>
          <w:trHeight w:val="1243"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579" w:lineRule="exact"/>
              <w:rPr>
                <w:lang w:bidi="ar"/>
              </w:rPr>
            </w:pPr>
            <w:r>
              <w:rPr>
                <w:rFonts w:hint="eastAsia"/>
                <w:lang w:bidi="ar"/>
              </w:rPr>
              <w:t>序号</w:t>
            </w:r>
          </w:p>
        </w:tc>
        <w:tc>
          <w:tcPr>
            <w:tcW w:w="1408" w:type="dxa"/>
            <w:tcBorders>
              <w:top w:val="single" w:color="000000" w:sz="4" w:space="0"/>
              <w:left w:val="single" w:color="000000" w:sz="4" w:space="0"/>
              <w:bottom w:val="single" w:color="000000" w:sz="4" w:space="0"/>
              <w:right w:val="single" w:color="000000" w:sz="4" w:space="0"/>
            </w:tcBorders>
            <w:vAlign w:val="center"/>
          </w:tcPr>
          <w:p>
            <w:pPr>
              <w:spacing w:line="579" w:lineRule="exact"/>
            </w:pPr>
            <w:r>
              <w:rPr>
                <w:rFonts w:hint="eastAsia"/>
                <w:lang w:bidi="ar"/>
              </w:rPr>
              <w:t>项目位置</w:t>
            </w:r>
          </w:p>
        </w:tc>
        <w:tc>
          <w:tcPr>
            <w:tcW w:w="1338" w:type="dxa"/>
            <w:tcBorders>
              <w:top w:val="single" w:color="000000" w:sz="4" w:space="0"/>
              <w:left w:val="single" w:color="000000" w:sz="4" w:space="0"/>
              <w:bottom w:val="single" w:color="000000" w:sz="4" w:space="0"/>
              <w:right w:val="single" w:color="000000" w:sz="4" w:space="0"/>
            </w:tcBorders>
            <w:vAlign w:val="center"/>
          </w:tcPr>
          <w:p>
            <w:pPr>
              <w:spacing w:line="579" w:lineRule="exact"/>
            </w:pPr>
            <w:r>
              <w:rPr>
                <w:rFonts w:hint="eastAsia"/>
                <w:lang w:bidi="ar"/>
              </w:rPr>
              <w:t>设备名称</w:t>
            </w:r>
          </w:p>
        </w:tc>
        <w:tc>
          <w:tcPr>
            <w:tcW w:w="739" w:type="dxa"/>
            <w:tcBorders>
              <w:top w:val="single" w:color="000000" w:sz="4" w:space="0"/>
              <w:left w:val="single" w:color="000000" w:sz="4" w:space="0"/>
              <w:bottom w:val="single" w:color="000000" w:sz="4" w:space="0"/>
              <w:right w:val="single" w:color="000000" w:sz="4" w:space="0"/>
            </w:tcBorders>
            <w:vAlign w:val="center"/>
          </w:tcPr>
          <w:p>
            <w:pPr>
              <w:spacing w:line="579" w:lineRule="exact"/>
            </w:pPr>
            <w:r>
              <w:rPr>
                <w:rFonts w:hint="eastAsia"/>
              </w:rPr>
              <w:t>单位</w:t>
            </w:r>
          </w:p>
        </w:tc>
        <w:tc>
          <w:tcPr>
            <w:tcW w:w="819" w:type="dxa"/>
            <w:tcBorders>
              <w:top w:val="single" w:color="000000" w:sz="4" w:space="0"/>
              <w:left w:val="single" w:color="000000" w:sz="4" w:space="0"/>
              <w:bottom w:val="single" w:color="000000" w:sz="4" w:space="0"/>
              <w:right w:val="single" w:color="000000" w:sz="4" w:space="0"/>
            </w:tcBorders>
            <w:vAlign w:val="center"/>
          </w:tcPr>
          <w:p>
            <w:pPr>
              <w:spacing w:line="579" w:lineRule="exact"/>
            </w:pPr>
            <w:r>
              <w:rPr>
                <w:rFonts w:hint="eastAsia"/>
              </w:rPr>
              <w:t>数量</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579" w:lineRule="exact"/>
            </w:pPr>
            <w:r>
              <w:rPr>
                <w:rFonts w:hint="eastAsia"/>
              </w:rPr>
              <w:t>年清洗次数</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579" w:lineRule="exact"/>
            </w:pPr>
            <w:r>
              <w:rPr>
                <w:rFonts w:hint="eastAsia"/>
              </w:rPr>
              <w:t>不含税单价</w:t>
            </w:r>
          </w:p>
          <w:p>
            <w:pPr>
              <w:spacing w:line="579" w:lineRule="exact"/>
            </w:pPr>
            <w:r>
              <w:rPr>
                <w:rFonts w:hint="eastAsia"/>
              </w:rPr>
              <w:t>（元/次/米）</w:t>
            </w:r>
          </w:p>
        </w:tc>
        <w:tc>
          <w:tcPr>
            <w:tcW w:w="1465" w:type="dxa"/>
            <w:tcBorders>
              <w:top w:val="single" w:color="000000" w:sz="4" w:space="0"/>
              <w:left w:val="single" w:color="000000" w:sz="4" w:space="0"/>
              <w:bottom w:val="single" w:color="000000" w:sz="4" w:space="0"/>
              <w:right w:val="single" w:color="000000" w:sz="4" w:space="0"/>
            </w:tcBorders>
            <w:vAlign w:val="center"/>
          </w:tcPr>
          <w:p>
            <w:pPr>
              <w:spacing w:line="579" w:lineRule="exact"/>
            </w:pPr>
            <w:r>
              <w:rPr>
                <w:rFonts w:hint="eastAsia"/>
              </w:rPr>
              <w:t>不含税小计（元）</w:t>
            </w:r>
          </w:p>
        </w:tc>
        <w:tc>
          <w:tcPr>
            <w:tcW w:w="1569" w:type="dxa"/>
            <w:tcBorders>
              <w:top w:val="single" w:color="000000" w:sz="4" w:space="0"/>
              <w:left w:val="single" w:color="000000" w:sz="4" w:space="0"/>
              <w:bottom w:val="single" w:color="000000" w:sz="4" w:space="0"/>
              <w:right w:val="single" w:color="000000" w:sz="4" w:space="0"/>
            </w:tcBorders>
            <w:vAlign w:val="center"/>
          </w:tcPr>
          <w:p>
            <w:pPr>
              <w:spacing w:line="579" w:lineRule="exact"/>
            </w:pPr>
            <w:r>
              <w:rPr>
                <w:rFonts w:hint="eastAsia"/>
              </w:rPr>
              <w:t>含税单价</w:t>
            </w:r>
          </w:p>
          <w:p>
            <w:pPr>
              <w:spacing w:line="579" w:lineRule="exact"/>
            </w:pPr>
            <w:r>
              <w:rPr>
                <w:rFonts w:hint="eastAsia"/>
              </w:rPr>
              <w:t>（元/次/米）</w:t>
            </w:r>
          </w:p>
        </w:tc>
        <w:tc>
          <w:tcPr>
            <w:tcW w:w="1293" w:type="dxa"/>
            <w:tcBorders>
              <w:top w:val="single" w:color="000000" w:sz="4" w:space="0"/>
              <w:left w:val="single" w:color="000000" w:sz="4" w:space="0"/>
              <w:bottom w:val="single" w:color="000000" w:sz="4" w:space="0"/>
              <w:right w:val="single" w:color="000000" w:sz="4" w:space="0"/>
            </w:tcBorders>
            <w:vAlign w:val="center"/>
          </w:tcPr>
          <w:p>
            <w:pPr>
              <w:spacing w:line="579" w:lineRule="exact"/>
            </w:pPr>
            <w:r>
              <w:rPr>
                <w:rFonts w:hint="eastAsia"/>
              </w:rPr>
              <w:t>含税小计（元）</w:t>
            </w:r>
          </w:p>
        </w:tc>
        <w:tc>
          <w:tcPr>
            <w:tcW w:w="1765" w:type="dxa"/>
            <w:tcBorders>
              <w:top w:val="single" w:color="000000" w:sz="4" w:space="0"/>
              <w:left w:val="single" w:color="000000" w:sz="4" w:space="0"/>
              <w:bottom w:val="single" w:color="000000" w:sz="4" w:space="0"/>
              <w:right w:val="single" w:color="000000" w:sz="4" w:space="0"/>
            </w:tcBorders>
            <w:vAlign w:val="center"/>
          </w:tcPr>
          <w:p>
            <w:pPr>
              <w:spacing w:line="579" w:lineRule="exact"/>
            </w:pPr>
            <w:r>
              <w:rPr>
                <w:rFonts w:hint="eastAsia"/>
              </w:rPr>
              <w:t>备注</w:t>
            </w:r>
          </w:p>
          <w:p>
            <w:pPr>
              <w:spacing w:line="579" w:lineRule="exact"/>
            </w:pPr>
          </w:p>
        </w:tc>
      </w:tr>
      <w:tr>
        <w:tblPrEx>
          <w:tblCellMar>
            <w:top w:w="0" w:type="dxa"/>
            <w:left w:w="108" w:type="dxa"/>
            <w:bottom w:w="0" w:type="dxa"/>
            <w:right w:w="108" w:type="dxa"/>
          </w:tblCellMar>
        </w:tblPrEx>
        <w:trPr>
          <w:trHeight w:val="627"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pPr>
            <w:r>
              <w:rPr>
                <w:rFonts w:hint="eastAsia"/>
              </w:rPr>
              <w:t>1</w:t>
            </w:r>
          </w:p>
        </w:tc>
        <w:tc>
          <w:tcPr>
            <w:tcW w:w="1408"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jc w:val="center"/>
            </w:pPr>
            <w:r>
              <w:rPr>
                <w:rFonts w:hint="eastAsia"/>
              </w:rPr>
              <w:t>宴会厨房</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jc w:val="center"/>
            </w:pPr>
            <w:r>
              <w:rPr>
                <w:rFonts w:hint="eastAsia"/>
              </w:rPr>
              <w:t>烟道、烟罩</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jc w:val="center"/>
            </w:pPr>
            <w:r>
              <w:rPr>
                <w:rFonts w:hint="eastAsia"/>
              </w:rPr>
              <w:t>米</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jc w:val="center"/>
            </w:pPr>
            <w:r>
              <w:rPr>
                <w:rFonts w:hint="eastAsia"/>
              </w:rPr>
              <w:t>10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pPr>
            <w:r>
              <w:rPr>
                <w:rFonts w:hint="eastAsia"/>
              </w:rPr>
              <w:t>4</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579" w:lineRule="exact"/>
            </w:pPr>
          </w:p>
        </w:tc>
        <w:tc>
          <w:tcPr>
            <w:tcW w:w="1465" w:type="dxa"/>
            <w:tcBorders>
              <w:top w:val="single" w:color="000000" w:sz="4" w:space="0"/>
              <w:left w:val="single" w:color="000000" w:sz="4" w:space="0"/>
              <w:bottom w:val="single" w:color="000000" w:sz="4" w:space="0"/>
              <w:right w:val="single" w:color="000000" w:sz="4" w:space="0"/>
            </w:tcBorders>
            <w:vAlign w:val="center"/>
          </w:tcPr>
          <w:p>
            <w:pPr>
              <w:spacing w:line="579" w:lineRule="exact"/>
            </w:pPr>
          </w:p>
        </w:tc>
        <w:tc>
          <w:tcPr>
            <w:tcW w:w="1569" w:type="dxa"/>
            <w:tcBorders>
              <w:top w:val="single" w:color="000000" w:sz="4" w:space="0"/>
              <w:left w:val="single" w:color="000000" w:sz="4" w:space="0"/>
              <w:bottom w:val="single" w:color="000000" w:sz="4" w:space="0"/>
              <w:right w:val="single" w:color="000000" w:sz="4" w:space="0"/>
            </w:tcBorders>
            <w:vAlign w:val="center"/>
          </w:tcPr>
          <w:p>
            <w:pPr>
              <w:spacing w:line="579" w:lineRule="exact"/>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pPr>
          </w:p>
        </w:tc>
        <w:tc>
          <w:tcPr>
            <w:tcW w:w="1765"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pPr>
            <w:r>
              <w:rPr>
                <w:rFonts w:hint="eastAsia"/>
              </w:rPr>
              <w:t>需看现场，每季度清洗1次</w:t>
            </w:r>
          </w:p>
        </w:tc>
      </w:tr>
      <w:tr>
        <w:tblPrEx>
          <w:tblCellMar>
            <w:top w:w="0" w:type="dxa"/>
            <w:left w:w="108" w:type="dxa"/>
            <w:bottom w:w="0" w:type="dxa"/>
            <w:right w:w="108" w:type="dxa"/>
          </w:tblCellMar>
        </w:tblPrEx>
        <w:trPr>
          <w:trHeight w:val="627"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pPr>
            <w:r>
              <w:rPr>
                <w:rFonts w:hint="eastAsia"/>
              </w:rPr>
              <w:t>2</w:t>
            </w:r>
          </w:p>
        </w:tc>
        <w:tc>
          <w:tcPr>
            <w:tcW w:w="1408"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jc w:val="center"/>
            </w:pPr>
            <w:r>
              <w:rPr>
                <w:rFonts w:hint="eastAsia"/>
              </w:rPr>
              <w:t>西餐厨房</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jc w:val="center"/>
            </w:pPr>
            <w:r>
              <w:rPr>
                <w:rFonts w:hint="eastAsia"/>
              </w:rPr>
              <w:t>烟道、烟罩</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jc w:val="center"/>
            </w:pPr>
            <w:r>
              <w:rPr>
                <w:rFonts w:hint="eastAsia"/>
              </w:rPr>
              <w:t>米</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jc w:val="center"/>
            </w:pPr>
            <w:r>
              <w:rPr>
                <w:rFonts w:hint="eastAsia"/>
              </w:rPr>
              <w:t>6</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pPr>
            <w:r>
              <w:rPr>
                <w:rFonts w:hint="eastAsia"/>
              </w:rPr>
              <w:t>4</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579" w:lineRule="exact"/>
            </w:pPr>
          </w:p>
        </w:tc>
        <w:tc>
          <w:tcPr>
            <w:tcW w:w="1465" w:type="dxa"/>
            <w:tcBorders>
              <w:top w:val="single" w:color="000000" w:sz="4" w:space="0"/>
              <w:left w:val="single" w:color="000000" w:sz="4" w:space="0"/>
              <w:bottom w:val="single" w:color="000000" w:sz="4" w:space="0"/>
              <w:right w:val="single" w:color="000000" w:sz="4" w:space="0"/>
            </w:tcBorders>
            <w:vAlign w:val="center"/>
          </w:tcPr>
          <w:p>
            <w:pPr>
              <w:spacing w:line="579" w:lineRule="exact"/>
            </w:pPr>
          </w:p>
        </w:tc>
        <w:tc>
          <w:tcPr>
            <w:tcW w:w="1569" w:type="dxa"/>
            <w:tcBorders>
              <w:top w:val="single" w:color="000000" w:sz="4" w:space="0"/>
              <w:left w:val="single" w:color="000000" w:sz="4" w:space="0"/>
              <w:bottom w:val="single" w:color="000000" w:sz="4" w:space="0"/>
              <w:right w:val="single" w:color="000000" w:sz="4" w:space="0"/>
            </w:tcBorders>
            <w:vAlign w:val="center"/>
          </w:tcPr>
          <w:p>
            <w:pPr>
              <w:spacing w:line="579" w:lineRule="exact"/>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pPr>
          </w:p>
        </w:tc>
        <w:tc>
          <w:tcPr>
            <w:tcW w:w="1765"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pPr>
            <w:r>
              <w:rPr>
                <w:rFonts w:hint="eastAsia"/>
              </w:rPr>
              <w:t>需看现场，每季度清洗1次</w:t>
            </w:r>
          </w:p>
        </w:tc>
      </w:tr>
      <w:tr>
        <w:tblPrEx>
          <w:tblCellMar>
            <w:top w:w="0" w:type="dxa"/>
            <w:left w:w="108" w:type="dxa"/>
            <w:bottom w:w="0" w:type="dxa"/>
            <w:right w:w="108" w:type="dxa"/>
          </w:tblCellMar>
        </w:tblPrEx>
        <w:trPr>
          <w:trHeight w:val="627" w:hRule="atLeast"/>
        </w:trPr>
        <w:tc>
          <w:tcPr>
            <w:tcW w:w="681"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pPr>
            <w:r>
              <w:rPr>
                <w:rFonts w:hint="eastAsia"/>
              </w:rPr>
              <w:t>3</w:t>
            </w:r>
          </w:p>
        </w:tc>
        <w:tc>
          <w:tcPr>
            <w:tcW w:w="1408"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jc w:val="center"/>
            </w:pPr>
            <w:r>
              <w:rPr>
                <w:rFonts w:hint="eastAsia"/>
              </w:rPr>
              <w:t>西餐明档</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jc w:val="center"/>
            </w:pPr>
            <w:r>
              <w:rPr>
                <w:rFonts w:hint="eastAsia"/>
              </w:rPr>
              <w:t>烟道、烟罩</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jc w:val="center"/>
            </w:pPr>
            <w:r>
              <w:rPr>
                <w:rFonts w:hint="eastAsia"/>
              </w:rPr>
              <w:t>米</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jc w:val="center"/>
            </w:pPr>
            <w:r>
              <w:rPr>
                <w:rFonts w:hint="eastAsia"/>
              </w:rPr>
              <w:t>10</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pPr>
            <w:r>
              <w:rPr>
                <w:rFonts w:hint="eastAsia"/>
              </w:rPr>
              <w:t>4</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579" w:lineRule="exact"/>
            </w:pPr>
          </w:p>
        </w:tc>
        <w:tc>
          <w:tcPr>
            <w:tcW w:w="1465" w:type="dxa"/>
            <w:tcBorders>
              <w:top w:val="single" w:color="000000" w:sz="4" w:space="0"/>
              <w:left w:val="single" w:color="000000" w:sz="4" w:space="0"/>
              <w:bottom w:val="single" w:color="000000" w:sz="4" w:space="0"/>
              <w:right w:val="single" w:color="000000" w:sz="4" w:space="0"/>
            </w:tcBorders>
            <w:vAlign w:val="center"/>
          </w:tcPr>
          <w:p>
            <w:pPr>
              <w:spacing w:line="579" w:lineRule="exact"/>
            </w:pPr>
          </w:p>
        </w:tc>
        <w:tc>
          <w:tcPr>
            <w:tcW w:w="1569" w:type="dxa"/>
            <w:tcBorders>
              <w:top w:val="single" w:color="000000" w:sz="4" w:space="0"/>
              <w:left w:val="single" w:color="000000" w:sz="4" w:space="0"/>
              <w:bottom w:val="single" w:color="000000" w:sz="4" w:space="0"/>
              <w:right w:val="single" w:color="000000" w:sz="4" w:space="0"/>
            </w:tcBorders>
            <w:vAlign w:val="center"/>
          </w:tcPr>
          <w:p>
            <w:pPr>
              <w:spacing w:line="579" w:lineRule="exact"/>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pPr>
          </w:p>
        </w:tc>
        <w:tc>
          <w:tcPr>
            <w:tcW w:w="1765"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pPr>
            <w:r>
              <w:rPr>
                <w:rFonts w:hint="eastAsia"/>
              </w:rPr>
              <w:t>需看现场，每季度清洗1次</w:t>
            </w:r>
          </w:p>
        </w:tc>
      </w:tr>
      <w:tr>
        <w:tblPrEx>
          <w:tblCellMar>
            <w:top w:w="0" w:type="dxa"/>
            <w:left w:w="108" w:type="dxa"/>
            <w:bottom w:w="0" w:type="dxa"/>
            <w:right w:w="108" w:type="dxa"/>
          </w:tblCellMar>
        </w:tblPrEx>
        <w:trPr>
          <w:trHeight w:val="627" w:hRule="atLeast"/>
        </w:trPr>
        <w:tc>
          <w:tcPr>
            <w:tcW w:w="681" w:type="dxa"/>
            <w:tcBorders>
              <w:top w:val="single" w:color="000000" w:sz="4" w:space="0"/>
              <w:left w:val="single" w:color="000000" w:sz="4" w:space="0"/>
              <w:bottom w:val="single" w:color="auto" w:sz="4" w:space="0"/>
              <w:right w:val="single" w:color="000000" w:sz="4" w:space="0"/>
            </w:tcBorders>
            <w:vAlign w:val="center"/>
          </w:tcPr>
          <w:p>
            <w:pPr>
              <w:spacing w:line="579" w:lineRule="exact"/>
              <w:jc w:val="center"/>
            </w:pPr>
            <w:r>
              <w:rPr>
                <w:rFonts w:hint="eastAsia"/>
              </w:rPr>
              <w:t>4</w:t>
            </w:r>
          </w:p>
        </w:tc>
        <w:tc>
          <w:tcPr>
            <w:tcW w:w="1408" w:type="dxa"/>
            <w:tcBorders>
              <w:top w:val="single" w:color="000000" w:sz="4" w:space="0"/>
              <w:left w:val="single" w:color="000000" w:sz="4" w:space="0"/>
              <w:bottom w:val="single" w:color="auto" w:sz="4" w:space="0"/>
              <w:right w:val="single" w:color="000000" w:sz="4" w:space="0"/>
            </w:tcBorders>
            <w:noWrap/>
            <w:vAlign w:val="center"/>
          </w:tcPr>
          <w:p>
            <w:pPr>
              <w:spacing w:line="579" w:lineRule="exact"/>
              <w:jc w:val="center"/>
            </w:pPr>
            <w:r>
              <w:rPr>
                <w:rFonts w:hint="eastAsia"/>
              </w:rPr>
              <w:t>中域员工食堂</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jc w:val="center"/>
            </w:pPr>
            <w:r>
              <w:rPr>
                <w:rFonts w:hint="eastAsia"/>
              </w:rPr>
              <w:t>烟道、烟罩</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jc w:val="center"/>
            </w:pPr>
            <w:r>
              <w:rPr>
                <w:rFonts w:hint="eastAsia"/>
              </w:rPr>
              <w:t>米</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jc w:val="center"/>
            </w:pPr>
            <w:r>
              <w:rPr>
                <w:rFonts w:hint="eastAsia"/>
              </w:rPr>
              <w:t>6</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pPr>
            <w:r>
              <w:rPr>
                <w:rFonts w:hint="eastAsia"/>
              </w:rPr>
              <w:t>4</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579" w:lineRule="exact"/>
            </w:pPr>
          </w:p>
        </w:tc>
        <w:tc>
          <w:tcPr>
            <w:tcW w:w="1465" w:type="dxa"/>
            <w:tcBorders>
              <w:top w:val="single" w:color="000000" w:sz="4" w:space="0"/>
              <w:left w:val="single" w:color="000000" w:sz="4" w:space="0"/>
              <w:bottom w:val="single" w:color="000000" w:sz="4" w:space="0"/>
              <w:right w:val="single" w:color="000000" w:sz="4" w:space="0"/>
            </w:tcBorders>
            <w:vAlign w:val="center"/>
          </w:tcPr>
          <w:p>
            <w:pPr>
              <w:spacing w:line="579" w:lineRule="exact"/>
            </w:pPr>
          </w:p>
        </w:tc>
        <w:tc>
          <w:tcPr>
            <w:tcW w:w="1569" w:type="dxa"/>
            <w:tcBorders>
              <w:top w:val="single" w:color="000000" w:sz="4" w:space="0"/>
              <w:left w:val="single" w:color="000000" w:sz="4" w:space="0"/>
              <w:bottom w:val="single" w:color="000000" w:sz="4" w:space="0"/>
              <w:right w:val="single" w:color="000000" w:sz="4" w:space="0"/>
            </w:tcBorders>
            <w:vAlign w:val="center"/>
          </w:tcPr>
          <w:p>
            <w:pPr>
              <w:spacing w:line="579" w:lineRule="exact"/>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pPr>
          </w:p>
        </w:tc>
        <w:tc>
          <w:tcPr>
            <w:tcW w:w="1765"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pPr>
            <w:r>
              <w:rPr>
                <w:rFonts w:hint="eastAsia"/>
              </w:rPr>
              <w:t>需看现场，每季度清洗1次</w:t>
            </w:r>
          </w:p>
        </w:tc>
      </w:tr>
      <w:tr>
        <w:tblPrEx>
          <w:tblCellMar>
            <w:top w:w="0" w:type="dxa"/>
            <w:left w:w="108" w:type="dxa"/>
            <w:bottom w:w="0" w:type="dxa"/>
            <w:right w:w="108" w:type="dxa"/>
          </w:tblCellMar>
        </w:tblPrEx>
        <w:trPr>
          <w:trHeight w:val="627" w:hRule="atLeast"/>
        </w:trPr>
        <w:tc>
          <w:tcPr>
            <w:tcW w:w="681" w:type="dxa"/>
            <w:tcBorders>
              <w:top w:val="single" w:color="000000" w:sz="4" w:space="0"/>
              <w:left w:val="single" w:color="000000" w:sz="4" w:space="0"/>
              <w:bottom w:val="single" w:color="auto" w:sz="4" w:space="0"/>
              <w:right w:val="single" w:color="000000" w:sz="4" w:space="0"/>
            </w:tcBorders>
            <w:vAlign w:val="center"/>
          </w:tcPr>
          <w:p>
            <w:pPr>
              <w:spacing w:line="579" w:lineRule="exact"/>
              <w:jc w:val="center"/>
            </w:pPr>
            <w:r>
              <w:rPr>
                <w:rFonts w:hint="eastAsia"/>
              </w:rPr>
              <w:t>5</w:t>
            </w:r>
          </w:p>
        </w:tc>
        <w:tc>
          <w:tcPr>
            <w:tcW w:w="1408" w:type="dxa"/>
            <w:tcBorders>
              <w:top w:val="single" w:color="000000" w:sz="4" w:space="0"/>
              <w:left w:val="single" w:color="000000" w:sz="4" w:space="0"/>
              <w:bottom w:val="single" w:color="auto" w:sz="4" w:space="0"/>
              <w:right w:val="single" w:color="000000" w:sz="4" w:space="0"/>
            </w:tcBorders>
            <w:noWrap/>
            <w:vAlign w:val="center"/>
          </w:tcPr>
          <w:p>
            <w:pPr>
              <w:spacing w:line="579" w:lineRule="exact"/>
              <w:jc w:val="center"/>
            </w:pPr>
            <w:r>
              <w:rPr>
                <w:rFonts w:hint="eastAsia"/>
              </w:rPr>
              <w:t>隔油处理机组</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jc w:val="center"/>
            </w:pPr>
            <w:r>
              <w:rPr>
                <w:rFonts w:hint="eastAsia"/>
              </w:rPr>
              <w:t>隔油设备</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jc w:val="center"/>
            </w:pPr>
            <w:r>
              <w:rPr>
                <w:rFonts w:hint="eastAsia"/>
              </w:rPr>
              <w:t>套</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jc w:val="center"/>
            </w:pPr>
            <w:r>
              <w:rPr>
                <w:rFonts w:hint="eastAsia"/>
              </w:rPr>
              <w:t>1</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pPr>
            <w:r>
              <w:rPr>
                <w:rFonts w:hint="eastAsia"/>
              </w:rPr>
              <w:t>2</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579" w:lineRule="exact"/>
            </w:pPr>
          </w:p>
        </w:tc>
        <w:tc>
          <w:tcPr>
            <w:tcW w:w="1465" w:type="dxa"/>
            <w:tcBorders>
              <w:top w:val="single" w:color="000000" w:sz="4" w:space="0"/>
              <w:left w:val="single" w:color="000000" w:sz="4" w:space="0"/>
              <w:bottom w:val="single" w:color="000000" w:sz="4" w:space="0"/>
              <w:right w:val="single" w:color="000000" w:sz="4" w:space="0"/>
            </w:tcBorders>
            <w:vAlign w:val="center"/>
          </w:tcPr>
          <w:p>
            <w:pPr>
              <w:spacing w:line="579" w:lineRule="exact"/>
            </w:pPr>
          </w:p>
        </w:tc>
        <w:tc>
          <w:tcPr>
            <w:tcW w:w="1569" w:type="dxa"/>
            <w:tcBorders>
              <w:top w:val="single" w:color="000000" w:sz="4" w:space="0"/>
              <w:left w:val="single" w:color="000000" w:sz="4" w:space="0"/>
              <w:bottom w:val="single" w:color="000000" w:sz="4" w:space="0"/>
              <w:right w:val="single" w:color="000000" w:sz="4" w:space="0"/>
            </w:tcBorders>
            <w:vAlign w:val="center"/>
          </w:tcPr>
          <w:p>
            <w:pPr>
              <w:spacing w:line="579" w:lineRule="exact"/>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pPr>
          </w:p>
        </w:tc>
        <w:tc>
          <w:tcPr>
            <w:tcW w:w="1765"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pPr>
            <w:r>
              <w:rPr>
                <w:rFonts w:hint="eastAsia"/>
              </w:rPr>
              <w:t>需看现场，每年度清洗2次</w:t>
            </w:r>
          </w:p>
        </w:tc>
      </w:tr>
      <w:tr>
        <w:tblPrEx>
          <w:tblCellMar>
            <w:top w:w="0" w:type="dxa"/>
            <w:left w:w="108" w:type="dxa"/>
            <w:bottom w:w="0" w:type="dxa"/>
            <w:right w:w="108" w:type="dxa"/>
          </w:tblCellMar>
        </w:tblPrEx>
        <w:trPr>
          <w:trHeight w:val="627"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pPr>
            <w:r>
              <w:rPr>
                <w:rFonts w:hint="eastAsia"/>
              </w:rPr>
              <w:t>6</w:t>
            </w:r>
          </w:p>
        </w:tc>
        <w:tc>
          <w:tcPr>
            <w:tcW w:w="2746" w:type="dxa"/>
            <w:gridSpan w:val="2"/>
            <w:tcBorders>
              <w:top w:val="single" w:color="auto" w:sz="4" w:space="0"/>
              <w:left w:val="single" w:color="auto" w:sz="4" w:space="0"/>
              <w:bottom w:val="single" w:color="auto" w:sz="4" w:space="0"/>
              <w:right w:val="single" w:color="000000" w:sz="4" w:space="0"/>
            </w:tcBorders>
            <w:noWrap/>
            <w:vAlign w:val="center"/>
          </w:tcPr>
          <w:p>
            <w:pPr>
              <w:spacing w:line="579" w:lineRule="exact"/>
              <w:jc w:val="center"/>
            </w:pPr>
            <w:r>
              <w:rPr>
                <w:rFonts w:hint="eastAsia"/>
              </w:rPr>
              <w:t>风机</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jc w:val="center"/>
            </w:pPr>
            <w:r>
              <w:rPr>
                <w:rFonts w:hint="eastAsia"/>
              </w:rPr>
              <w:t>台</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jc w:val="center"/>
            </w:pPr>
            <w:r>
              <w:rPr>
                <w:rFonts w:hint="eastAsia"/>
              </w:rPr>
              <w:t>6</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pPr>
            <w:r>
              <w:rPr>
                <w:rFonts w:hint="eastAsia"/>
              </w:rPr>
              <w:t>4</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579" w:lineRule="exact"/>
            </w:pPr>
          </w:p>
        </w:tc>
        <w:tc>
          <w:tcPr>
            <w:tcW w:w="1465" w:type="dxa"/>
            <w:tcBorders>
              <w:top w:val="single" w:color="000000" w:sz="4" w:space="0"/>
              <w:left w:val="single" w:color="000000" w:sz="4" w:space="0"/>
              <w:bottom w:val="single" w:color="000000" w:sz="4" w:space="0"/>
              <w:right w:val="single" w:color="000000" w:sz="4" w:space="0"/>
            </w:tcBorders>
            <w:vAlign w:val="center"/>
          </w:tcPr>
          <w:p>
            <w:pPr>
              <w:spacing w:line="579" w:lineRule="exact"/>
            </w:pPr>
          </w:p>
        </w:tc>
        <w:tc>
          <w:tcPr>
            <w:tcW w:w="1569" w:type="dxa"/>
            <w:tcBorders>
              <w:top w:val="single" w:color="000000" w:sz="4" w:space="0"/>
              <w:left w:val="single" w:color="000000" w:sz="4" w:space="0"/>
              <w:bottom w:val="single" w:color="000000" w:sz="4" w:space="0"/>
              <w:right w:val="single" w:color="000000" w:sz="4" w:space="0"/>
            </w:tcBorders>
            <w:vAlign w:val="center"/>
          </w:tcPr>
          <w:p>
            <w:pPr>
              <w:spacing w:line="579" w:lineRule="exact"/>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pPr>
          </w:p>
        </w:tc>
        <w:tc>
          <w:tcPr>
            <w:tcW w:w="1765"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pPr>
            <w:r>
              <w:rPr>
                <w:rFonts w:hint="eastAsia"/>
              </w:rPr>
              <w:t>需看现场，每季度清洗1次</w:t>
            </w:r>
          </w:p>
        </w:tc>
      </w:tr>
      <w:tr>
        <w:tblPrEx>
          <w:tblCellMar>
            <w:top w:w="0" w:type="dxa"/>
            <w:left w:w="108" w:type="dxa"/>
            <w:bottom w:w="0" w:type="dxa"/>
            <w:right w:w="108" w:type="dxa"/>
          </w:tblCellMar>
        </w:tblPrEx>
        <w:trPr>
          <w:trHeight w:val="594" w:hRule="atLeast"/>
        </w:trPr>
        <w:tc>
          <w:tcPr>
            <w:tcW w:w="681" w:type="dxa"/>
            <w:tcBorders>
              <w:top w:val="single" w:color="auto" w:sz="4" w:space="0"/>
              <w:left w:val="single" w:color="auto" w:sz="4" w:space="0"/>
              <w:bottom w:val="single" w:color="auto" w:sz="4" w:space="0"/>
              <w:right w:val="single" w:color="auto" w:sz="4" w:space="0"/>
            </w:tcBorders>
            <w:vAlign w:val="center"/>
          </w:tcPr>
          <w:p>
            <w:pPr>
              <w:spacing w:line="579" w:lineRule="exact"/>
              <w:jc w:val="center"/>
            </w:pPr>
            <w:r>
              <w:rPr>
                <w:rFonts w:hint="eastAsia"/>
              </w:rPr>
              <w:t>7</w:t>
            </w:r>
          </w:p>
        </w:tc>
        <w:tc>
          <w:tcPr>
            <w:tcW w:w="2746" w:type="dxa"/>
            <w:gridSpan w:val="2"/>
            <w:tcBorders>
              <w:top w:val="single" w:color="auto" w:sz="4" w:space="0"/>
              <w:left w:val="single" w:color="auto" w:sz="4" w:space="0"/>
              <w:bottom w:val="single" w:color="auto" w:sz="4" w:space="0"/>
              <w:right w:val="single" w:color="000000" w:sz="4" w:space="0"/>
            </w:tcBorders>
            <w:noWrap/>
            <w:vAlign w:val="center"/>
          </w:tcPr>
          <w:p>
            <w:pPr>
              <w:spacing w:line="579" w:lineRule="exact"/>
              <w:jc w:val="center"/>
            </w:pPr>
            <w:r>
              <w:rPr>
                <w:rFonts w:hint="eastAsia"/>
              </w:rPr>
              <w:t>净化器</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jc w:val="center"/>
            </w:pPr>
            <w:r>
              <w:rPr>
                <w:rFonts w:hint="eastAsia"/>
              </w:rPr>
              <w:t>台</w:t>
            </w:r>
          </w:p>
        </w:tc>
        <w:tc>
          <w:tcPr>
            <w:tcW w:w="819"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jc w:val="center"/>
            </w:pPr>
            <w:r>
              <w:rPr>
                <w:rFonts w:hint="eastAsia"/>
              </w:rPr>
              <w:t>6</w:t>
            </w:r>
          </w:p>
        </w:tc>
        <w:tc>
          <w:tcPr>
            <w:tcW w:w="1131" w:type="dxa"/>
            <w:tcBorders>
              <w:top w:val="single" w:color="000000" w:sz="4" w:space="0"/>
              <w:left w:val="single" w:color="000000" w:sz="4" w:space="0"/>
              <w:bottom w:val="single" w:color="000000" w:sz="4" w:space="0"/>
              <w:right w:val="single" w:color="000000" w:sz="4" w:space="0"/>
            </w:tcBorders>
            <w:vAlign w:val="center"/>
          </w:tcPr>
          <w:p>
            <w:pPr>
              <w:spacing w:line="579" w:lineRule="exact"/>
              <w:jc w:val="center"/>
            </w:pPr>
            <w:r>
              <w:rPr>
                <w:rFonts w:hint="eastAsia"/>
              </w:rPr>
              <w:t>4</w:t>
            </w:r>
          </w:p>
        </w:tc>
        <w:tc>
          <w:tcPr>
            <w:tcW w:w="1477" w:type="dxa"/>
            <w:tcBorders>
              <w:top w:val="single" w:color="000000" w:sz="4" w:space="0"/>
              <w:left w:val="single" w:color="000000" w:sz="4" w:space="0"/>
              <w:bottom w:val="single" w:color="000000" w:sz="4" w:space="0"/>
              <w:right w:val="single" w:color="000000" w:sz="4" w:space="0"/>
            </w:tcBorders>
            <w:vAlign w:val="center"/>
          </w:tcPr>
          <w:p>
            <w:pPr>
              <w:spacing w:line="579" w:lineRule="exact"/>
            </w:pPr>
          </w:p>
        </w:tc>
        <w:tc>
          <w:tcPr>
            <w:tcW w:w="1465" w:type="dxa"/>
            <w:tcBorders>
              <w:top w:val="single" w:color="000000" w:sz="4" w:space="0"/>
              <w:left w:val="single" w:color="000000" w:sz="4" w:space="0"/>
              <w:bottom w:val="single" w:color="000000" w:sz="4" w:space="0"/>
              <w:right w:val="single" w:color="000000" w:sz="4" w:space="0"/>
            </w:tcBorders>
            <w:vAlign w:val="center"/>
          </w:tcPr>
          <w:p>
            <w:pPr>
              <w:spacing w:line="579" w:lineRule="exact"/>
            </w:pPr>
          </w:p>
        </w:tc>
        <w:tc>
          <w:tcPr>
            <w:tcW w:w="1569" w:type="dxa"/>
            <w:tcBorders>
              <w:top w:val="single" w:color="000000" w:sz="4" w:space="0"/>
              <w:left w:val="single" w:color="000000" w:sz="4" w:space="0"/>
              <w:bottom w:val="single" w:color="000000" w:sz="4" w:space="0"/>
              <w:right w:val="single" w:color="000000" w:sz="4" w:space="0"/>
            </w:tcBorders>
            <w:vAlign w:val="center"/>
          </w:tcPr>
          <w:p>
            <w:pPr>
              <w:spacing w:line="579" w:lineRule="exact"/>
            </w:pPr>
          </w:p>
        </w:tc>
        <w:tc>
          <w:tcPr>
            <w:tcW w:w="1293"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pPr>
          </w:p>
        </w:tc>
        <w:tc>
          <w:tcPr>
            <w:tcW w:w="1765" w:type="dxa"/>
            <w:tcBorders>
              <w:top w:val="single" w:color="000000" w:sz="4" w:space="0"/>
              <w:left w:val="single" w:color="000000" w:sz="4" w:space="0"/>
              <w:bottom w:val="single" w:color="000000" w:sz="4" w:space="0"/>
              <w:right w:val="single" w:color="000000" w:sz="4" w:space="0"/>
            </w:tcBorders>
            <w:noWrap/>
            <w:vAlign w:val="center"/>
          </w:tcPr>
          <w:p>
            <w:pPr>
              <w:spacing w:line="579" w:lineRule="exact"/>
            </w:pPr>
            <w:r>
              <w:rPr>
                <w:rFonts w:hint="eastAsia"/>
              </w:rPr>
              <w:t>需看现场，每季度清洗1次</w:t>
            </w:r>
          </w:p>
        </w:tc>
      </w:tr>
      <w:tr>
        <w:tblPrEx>
          <w:tblCellMar>
            <w:top w:w="0" w:type="dxa"/>
            <w:left w:w="108" w:type="dxa"/>
            <w:bottom w:w="0" w:type="dxa"/>
            <w:right w:w="108" w:type="dxa"/>
          </w:tblCellMar>
        </w:tblPrEx>
        <w:trPr>
          <w:trHeight w:val="601" w:hRule="atLeast"/>
        </w:trPr>
        <w:tc>
          <w:tcPr>
            <w:tcW w:w="3427" w:type="dxa"/>
            <w:gridSpan w:val="3"/>
            <w:tcBorders>
              <w:top w:val="single" w:color="000000" w:sz="4" w:space="0"/>
              <w:left w:val="single" w:color="000000" w:sz="4" w:space="0"/>
              <w:bottom w:val="single" w:color="000000" w:sz="4" w:space="0"/>
              <w:right w:val="single" w:color="000000" w:sz="4" w:space="0"/>
            </w:tcBorders>
            <w:vAlign w:val="center"/>
          </w:tcPr>
          <w:p>
            <w:pPr>
              <w:spacing w:line="579" w:lineRule="exact"/>
            </w:pPr>
            <w:r>
              <w:rPr>
                <w:rFonts w:hint="eastAsia"/>
              </w:rPr>
              <w:t>含税投标总价（元）</w:t>
            </w:r>
          </w:p>
        </w:tc>
        <w:tc>
          <w:tcPr>
            <w:tcW w:w="10258" w:type="dxa"/>
            <w:gridSpan w:val="8"/>
            <w:tcBorders>
              <w:top w:val="single" w:color="000000" w:sz="4" w:space="0"/>
              <w:left w:val="single" w:color="000000" w:sz="4" w:space="0"/>
              <w:bottom w:val="single" w:color="000000" w:sz="4" w:space="0"/>
              <w:right w:val="single" w:color="000000" w:sz="4" w:space="0"/>
            </w:tcBorders>
            <w:vAlign w:val="center"/>
          </w:tcPr>
          <w:p>
            <w:pPr>
              <w:spacing w:line="579" w:lineRule="exact"/>
            </w:pPr>
          </w:p>
        </w:tc>
      </w:tr>
      <w:tr>
        <w:tblPrEx>
          <w:tblCellMar>
            <w:top w:w="0" w:type="dxa"/>
            <w:left w:w="108" w:type="dxa"/>
            <w:bottom w:w="0" w:type="dxa"/>
            <w:right w:w="108" w:type="dxa"/>
          </w:tblCellMar>
        </w:tblPrEx>
        <w:trPr>
          <w:trHeight w:val="2178" w:hRule="atLeast"/>
        </w:trPr>
        <w:tc>
          <w:tcPr>
            <w:tcW w:w="13685" w:type="dxa"/>
            <w:gridSpan w:val="11"/>
            <w:tcBorders>
              <w:top w:val="single" w:color="000000" w:sz="4" w:space="0"/>
              <w:left w:val="single" w:color="000000" w:sz="4" w:space="0"/>
              <w:bottom w:val="single" w:color="000000" w:sz="4" w:space="0"/>
              <w:right w:val="single" w:color="000000" w:sz="4" w:space="0"/>
            </w:tcBorders>
          </w:tcPr>
          <w:p>
            <w:pPr>
              <w:spacing w:line="579" w:lineRule="exact"/>
            </w:pPr>
            <w:r>
              <w:rPr>
                <w:rFonts w:hint="eastAsia"/>
              </w:rPr>
              <w:t>备注：</w:t>
            </w:r>
          </w:p>
          <w:p>
            <w:pPr>
              <w:pStyle w:val="13"/>
              <w:numPr>
                <w:ilvl w:val="0"/>
                <w:numId w:val="3"/>
              </w:numPr>
              <w:spacing w:line="579" w:lineRule="exact"/>
              <w:rPr>
                <w:rFonts w:ascii="Times New Roman" w:hAnsi="Times New Roman" w:eastAsia="方正仿宋_GBK" w:cs="Times New Roman"/>
                <w:szCs w:val="24"/>
              </w:rPr>
            </w:pPr>
            <w:r>
              <w:rPr>
                <w:rFonts w:hint="eastAsia" w:ascii="Times New Roman" w:hAnsi="Times New Roman" w:eastAsia="方正仿宋_GBK" w:cs="Times New Roman"/>
                <w:szCs w:val="24"/>
              </w:rPr>
              <w:t>以上报价为固定总价包干，税率</w:t>
            </w:r>
            <w:r>
              <w:rPr>
                <w:rFonts w:hint="eastAsia" w:ascii="Times New Roman" w:hAnsi="Times New Roman" w:eastAsia="方正仿宋_GBK" w:cs="Times New Roman"/>
                <w:szCs w:val="24"/>
                <w:u w:val="single"/>
              </w:rPr>
              <w:t xml:space="preserve">   </w:t>
            </w:r>
            <w:r>
              <w:rPr>
                <w:rFonts w:hint="eastAsia" w:ascii="Times New Roman" w:hAnsi="Times New Roman" w:eastAsia="方正仿宋_GBK" w:cs="Times New Roman"/>
                <w:szCs w:val="24"/>
              </w:rPr>
              <w:t>%；</w:t>
            </w:r>
          </w:p>
          <w:p>
            <w:pPr>
              <w:pStyle w:val="13"/>
              <w:numPr>
                <w:ilvl w:val="0"/>
                <w:numId w:val="3"/>
              </w:numPr>
              <w:spacing w:line="579" w:lineRule="exact"/>
              <w:rPr>
                <w:rFonts w:ascii="Times New Roman" w:hAnsi="Times New Roman" w:eastAsia="方正仿宋_GBK" w:cs="Times New Roman"/>
                <w:szCs w:val="24"/>
              </w:rPr>
            </w:pPr>
            <w:r>
              <w:rPr>
                <w:rFonts w:hint="eastAsia" w:ascii="Times New Roman" w:hAnsi="Times New Roman" w:eastAsia="方正仿宋_GBK" w:cs="Times New Roman"/>
                <w:szCs w:val="24"/>
              </w:rPr>
              <w:t xml:space="preserve">报价应是本次比选服务范围内全部内容，包括但不仅限于水箱消毒清洗服务技术服务费、配合费、验收相关的费用、技术文件及资料费用、以及人员成本、差旅费、管理费、利润、税金等一切可预见和不可预见费用。招标人不再另行支付任何费用； </w:t>
            </w:r>
          </w:p>
          <w:p>
            <w:pPr>
              <w:pStyle w:val="13"/>
              <w:numPr>
                <w:ilvl w:val="0"/>
                <w:numId w:val="3"/>
              </w:numPr>
              <w:spacing w:line="579" w:lineRule="exact"/>
              <w:rPr>
                <w:rFonts w:ascii="Times New Roman" w:hAnsi="Times New Roman" w:eastAsia="方正仿宋_GBK" w:cs="Times New Roman"/>
                <w:szCs w:val="24"/>
              </w:rPr>
            </w:pPr>
            <w:r>
              <w:rPr>
                <w:rFonts w:hint="eastAsia" w:ascii="Times New Roman" w:hAnsi="Times New Roman" w:eastAsia="方正仿宋_GBK" w:cs="Times New Roman"/>
                <w:szCs w:val="24"/>
              </w:rPr>
              <w:t>清洗项目：烟道、烟罩、风机、净化器、隔油处理机组等；</w:t>
            </w:r>
          </w:p>
          <w:p>
            <w:pPr>
              <w:pStyle w:val="13"/>
              <w:numPr>
                <w:ilvl w:val="0"/>
                <w:numId w:val="3"/>
              </w:numPr>
              <w:spacing w:line="579" w:lineRule="exact"/>
              <w:rPr>
                <w:rFonts w:ascii="Times New Roman" w:hAnsi="Times New Roman" w:eastAsia="方正仿宋_GBK" w:cs="Times New Roman"/>
                <w:szCs w:val="24"/>
              </w:rPr>
            </w:pPr>
            <w:r>
              <w:rPr>
                <w:rFonts w:hint="eastAsia" w:ascii="Times New Roman" w:hAnsi="Times New Roman" w:eastAsia="方正仿宋_GBK" w:cs="Times New Roman"/>
                <w:szCs w:val="24"/>
              </w:rPr>
              <w:t>按行业要求及标准每季度清洗1次，每年清洗4次；</w:t>
            </w:r>
          </w:p>
          <w:p>
            <w:pPr>
              <w:pStyle w:val="13"/>
              <w:numPr>
                <w:ilvl w:val="0"/>
                <w:numId w:val="3"/>
              </w:numPr>
              <w:spacing w:line="579" w:lineRule="exact"/>
              <w:rPr>
                <w:rFonts w:ascii="Times New Roman" w:hAnsi="Times New Roman" w:eastAsia="方正仿宋_GBK" w:cs="Times New Roman"/>
                <w:szCs w:val="24"/>
              </w:rPr>
            </w:pPr>
            <w:r>
              <w:rPr>
                <w:rFonts w:hint="eastAsia" w:ascii="Times New Roman" w:hAnsi="Times New Roman" w:eastAsia="方正仿宋_GBK" w:cs="Times New Roman"/>
                <w:szCs w:val="24"/>
              </w:rPr>
              <w:t>酒店隔油处理机组设备每年清洗两次；</w:t>
            </w:r>
          </w:p>
          <w:p>
            <w:pPr>
              <w:pStyle w:val="13"/>
              <w:numPr>
                <w:ilvl w:val="0"/>
                <w:numId w:val="3"/>
              </w:numPr>
              <w:spacing w:line="579" w:lineRule="exact"/>
            </w:pPr>
            <w:r>
              <w:rPr>
                <w:rFonts w:hint="eastAsia" w:ascii="Times New Roman" w:hAnsi="Times New Roman" w:eastAsia="方正仿宋_GBK" w:cs="Times New Roman"/>
                <w:szCs w:val="24"/>
              </w:rPr>
              <w:t xml:space="preserve"> 根据现场实际情况，清洗完成后进行验收，并提供相关清洗报告及影像资料存档。</w:t>
            </w:r>
          </w:p>
        </w:tc>
      </w:tr>
    </w:tbl>
    <w:p>
      <w:pPr>
        <w:pStyle w:val="7"/>
        <w:spacing w:line="579" w:lineRule="exact"/>
        <w:ind w:firstLine="320"/>
        <w:rPr>
          <w:lang w:eastAsia="zh-CN"/>
        </w:rPr>
      </w:pPr>
    </w:p>
    <w:p>
      <w:pPr>
        <w:pStyle w:val="7"/>
        <w:spacing w:line="579" w:lineRule="exact"/>
        <w:ind w:firstLine="320"/>
        <w:rPr>
          <w:lang w:eastAsia="zh-CN"/>
        </w:rPr>
      </w:pPr>
      <w:r>
        <w:rPr>
          <w:lang w:eastAsia="zh-CN"/>
        </w:rPr>
        <w:br w:type="page"/>
      </w:r>
    </w:p>
    <w:p>
      <w:pPr>
        <w:spacing w:line="579" w:lineRule="exact"/>
        <w:sectPr>
          <w:pgSz w:w="16838" w:h="11906" w:orient="landscape"/>
          <w:pgMar w:top="720" w:right="737" w:bottom="720" w:left="284" w:header="851" w:footer="992" w:gutter="0"/>
          <w:cols w:space="0" w:num="1"/>
          <w:docGrid w:type="lines" w:linePitch="327" w:charSpace="0"/>
        </w:sectPr>
      </w:pPr>
    </w:p>
    <w:p>
      <w:pPr>
        <w:jc w:val="center"/>
        <w:rPr>
          <w:rFonts w:ascii="方正仿宋_GBK" w:hAnsi="宋体"/>
          <w:b/>
          <w:kern w:val="0"/>
          <w:sz w:val="48"/>
          <w:szCs w:val="32"/>
          <w:u w:val="single"/>
        </w:rPr>
      </w:pPr>
      <w:r>
        <w:rPr>
          <w:rFonts w:hint="eastAsia" w:ascii="方正仿宋_GBK" w:hAnsi="宋体"/>
          <w:b/>
          <w:kern w:val="0"/>
          <w:sz w:val="48"/>
          <w:szCs w:val="32"/>
          <w:u w:val="single"/>
        </w:rPr>
        <w:t>重庆星际未来城下属酒店</w:t>
      </w:r>
    </w:p>
    <w:p>
      <w:pPr>
        <w:jc w:val="center"/>
        <w:rPr>
          <w:rFonts w:ascii="方正仿宋_GBK" w:hAnsi="宋体"/>
          <w:b/>
          <w:kern w:val="0"/>
          <w:sz w:val="48"/>
          <w:szCs w:val="32"/>
          <w:u w:val="single"/>
        </w:rPr>
      </w:pPr>
      <w:r>
        <w:rPr>
          <w:rFonts w:hint="eastAsia" w:ascii="方正仿宋_GBK" w:hAnsi="宋体"/>
          <w:b/>
          <w:kern w:val="0"/>
          <w:sz w:val="48"/>
          <w:szCs w:val="32"/>
          <w:u w:val="single"/>
        </w:rPr>
        <w:t>2024年厨房排油烟设备及隔油处理机组</w:t>
      </w:r>
    </w:p>
    <w:p>
      <w:pPr>
        <w:jc w:val="center"/>
        <w:rPr>
          <w:rFonts w:ascii="方正仿宋_GBK" w:hAnsi="宋体"/>
          <w:b/>
          <w:kern w:val="0"/>
          <w:sz w:val="48"/>
          <w:szCs w:val="32"/>
          <w:u w:val="single"/>
        </w:rPr>
      </w:pPr>
      <w:r>
        <w:rPr>
          <w:rFonts w:hint="eastAsia" w:ascii="方正仿宋_GBK" w:hAnsi="宋体"/>
          <w:b/>
          <w:kern w:val="0"/>
          <w:sz w:val="48"/>
          <w:szCs w:val="32"/>
          <w:u w:val="single"/>
        </w:rPr>
        <w:t>清洗服务合同</w:t>
      </w:r>
    </w:p>
    <w:p>
      <w:pPr>
        <w:spacing w:line="579" w:lineRule="exact"/>
      </w:pPr>
    </w:p>
    <w:p>
      <w:pPr>
        <w:spacing w:line="579" w:lineRule="exact"/>
      </w:pPr>
    </w:p>
    <w:p>
      <w:pPr>
        <w:spacing w:line="579" w:lineRule="exact"/>
      </w:pPr>
    </w:p>
    <w:p>
      <w:pPr>
        <w:spacing w:line="579" w:lineRule="exact"/>
      </w:pPr>
      <w:r>
        <w:rPr>
          <w:rFonts w:hint="eastAsia"/>
        </w:rPr>
        <w:t>合同编号：</w:t>
      </w:r>
    </w:p>
    <w:p>
      <w:pPr>
        <w:pStyle w:val="4"/>
        <w:spacing w:line="579" w:lineRule="exact"/>
        <w:ind w:left="2240" w:right="2240"/>
      </w:pPr>
    </w:p>
    <w:p>
      <w:pPr>
        <w:spacing w:line="579" w:lineRule="exact"/>
      </w:pPr>
    </w:p>
    <w:p>
      <w:pPr>
        <w:spacing w:line="579" w:lineRule="exact"/>
      </w:pPr>
      <w:bookmarkStart w:id="0" w:name="_Toc338161572"/>
      <w:r>
        <w:rPr>
          <w:rFonts w:hint="eastAsia"/>
        </w:rPr>
        <w:t>甲方：重庆仙山里物业服务有限公司</w:t>
      </w:r>
      <w:r>
        <w:t xml:space="preserve">        </w:t>
      </w:r>
    </w:p>
    <w:p>
      <w:pPr>
        <w:spacing w:line="579" w:lineRule="exact"/>
      </w:pPr>
      <w:r>
        <w:rPr>
          <w:rFonts w:hint="eastAsia"/>
        </w:rPr>
        <w:t>乙方：</w:t>
      </w:r>
      <w:r>
        <w:t xml:space="preserve">                                  </w:t>
      </w:r>
    </w:p>
    <w:bookmarkEnd w:id="0"/>
    <w:p>
      <w:pPr>
        <w:spacing w:line="579" w:lineRule="exact"/>
      </w:pPr>
    </w:p>
    <w:p>
      <w:pPr>
        <w:spacing w:line="579" w:lineRule="exact"/>
      </w:pPr>
    </w:p>
    <w:p>
      <w:pPr>
        <w:spacing w:line="579" w:lineRule="exact"/>
      </w:pPr>
      <w:r>
        <w:rPr>
          <w:rFonts w:hint="eastAsia"/>
          <w:b/>
          <w:bCs/>
        </w:rPr>
        <w:t>签订时间：</w:t>
      </w:r>
      <w:r>
        <w:rPr>
          <w:rFonts w:hint="eastAsia"/>
        </w:rPr>
        <w:t>2024年    月</w:t>
      </w:r>
    </w:p>
    <w:p>
      <w:pPr>
        <w:spacing w:line="579" w:lineRule="exact"/>
      </w:pPr>
    </w:p>
    <w:p>
      <w:pPr>
        <w:spacing w:line="579" w:lineRule="exact"/>
      </w:pPr>
    </w:p>
    <w:p>
      <w:pPr>
        <w:spacing w:line="579" w:lineRule="exact"/>
      </w:pPr>
    </w:p>
    <w:p>
      <w:pPr>
        <w:spacing w:line="579" w:lineRule="exact"/>
      </w:pPr>
    </w:p>
    <w:p>
      <w:pPr>
        <w:spacing w:line="579" w:lineRule="exact"/>
      </w:pPr>
    </w:p>
    <w:p>
      <w:pPr>
        <w:spacing w:line="579" w:lineRule="exact"/>
        <w:rPr>
          <w:b/>
        </w:rPr>
      </w:pPr>
      <w:r>
        <w:rPr>
          <w:rFonts w:hint="eastAsia"/>
        </w:rPr>
        <w:t>甲方：重庆仙山里物业服务有限公司</w:t>
      </w:r>
    </w:p>
    <w:p>
      <w:pPr>
        <w:spacing w:line="579" w:lineRule="exact"/>
      </w:pPr>
      <w:r>
        <w:rPr>
          <w:rFonts w:hint="eastAsia"/>
        </w:rPr>
        <w:t>地址：中国重庆市武隆区仙女山镇银杏大道157号</w:t>
      </w:r>
    </w:p>
    <w:p>
      <w:pPr>
        <w:spacing w:line="579" w:lineRule="exact"/>
      </w:pPr>
      <w:r>
        <w:rPr>
          <w:rFonts w:hint="eastAsia"/>
        </w:rPr>
        <w:t>电话：</w:t>
      </w:r>
    </w:p>
    <w:p>
      <w:pPr>
        <w:spacing w:line="579" w:lineRule="exact"/>
      </w:pPr>
      <w:r>
        <w:rPr>
          <w:rFonts w:hint="eastAsia"/>
        </w:rPr>
        <w:t xml:space="preserve">联系人： </w:t>
      </w:r>
    </w:p>
    <w:p>
      <w:pPr>
        <w:spacing w:line="579" w:lineRule="exact"/>
      </w:pPr>
    </w:p>
    <w:p>
      <w:pPr>
        <w:spacing w:line="579" w:lineRule="exact"/>
      </w:pPr>
      <w:r>
        <w:rPr>
          <w:rFonts w:hint="eastAsia"/>
        </w:rPr>
        <w:t xml:space="preserve">乙方：                    </w:t>
      </w:r>
    </w:p>
    <w:p>
      <w:pPr>
        <w:spacing w:line="579" w:lineRule="exact"/>
      </w:pPr>
      <w:r>
        <w:rPr>
          <w:rFonts w:hint="eastAsia"/>
        </w:rPr>
        <w:t>地址：</w:t>
      </w:r>
    </w:p>
    <w:p>
      <w:pPr>
        <w:spacing w:line="579" w:lineRule="exact"/>
      </w:pPr>
      <w:r>
        <w:rPr>
          <w:rFonts w:hint="eastAsia"/>
        </w:rPr>
        <w:t>联系人：</w:t>
      </w:r>
    </w:p>
    <w:p>
      <w:pPr>
        <w:spacing w:line="579" w:lineRule="exact"/>
      </w:pPr>
      <w:r>
        <w:rPr>
          <w:rFonts w:hint="eastAsia"/>
        </w:rPr>
        <w:t>电话：</w:t>
      </w:r>
    </w:p>
    <w:p>
      <w:pPr>
        <w:spacing w:line="579" w:lineRule="exact"/>
      </w:pPr>
    </w:p>
    <w:p>
      <w:pPr>
        <w:spacing w:line="579" w:lineRule="exact"/>
        <w:ind w:firstLine="640" w:firstLineChars="200"/>
      </w:pPr>
      <w:r>
        <w:rPr>
          <w:rFonts w:hint="eastAsia"/>
        </w:rPr>
        <w:t>甲方确认由乙方负责重庆星际未来城下属酒店</w:t>
      </w:r>
      <w:r>
        <w:rPr>
          <w:rFonts w:hint="eastAsia"/>
          <w:u w:val="single"/>
        </w:rPr>
        <w:t>厨房排油烟设备及隔油处理机组清洗服务工作（以后期确定酒店名称为准）</w:t>
      </w:r>
      <w:r>
        <w:rPr>
          <w:rFonts w:hint="eastAsia"/>
        </w:rPr>
        <w:t>，经双方协商一致，签订本合同，共同执行：</w:t>
      </w:r>
    </w:p>
    <w:p>
      <w:pPr>
        <w:spacing w:line="579" w:lineRule="exact"/>
        <w:ind w:firstLine="640" w:firstLineChars="200"/>
      </w:pPr>
    </w:p>
    <w:p>
      <w:pPr>
        <w:pStyle w:val="13"/>
        <w:numPr>
          <w:ilvl w:val="0"/>
          <w:numId w:val="4"/>
        </w:numPr>
        <w:spacing w:line="579" w:lineRule="exact"/>
        <w:ind w:left="0" w:firstLine="640" w:firstLineChars="200"/>
        <w:rPr>
          <w:rFonts w:ascii="Times New Roman" w:hAnsi="Times New Roman" w:eastAsia="方正仿宋_GBK" w:cs="Times New Roman"/>
          <w:b/>
          <w:bCs/>
          <w:szCs w:val="24"/>
        </w:rPr>
      </w:pPr>
      <w:r>
        <w:rPr>
          <w:rFonts w:hint="eastAsia" w:ascii="Times New Roman" w:hAnsi="Times New Roman" w:eastAsia="方正仿宋_GBK" w:cs="Times New Roman"/>
          <w:b/>
          <w:bCs/>
          <w:szCs w:val="24"/>
        </w:rPr>
        <w:t>服务内容</w:t>
      </w:r>
    </w:p>
    <w:p>
      <w:pPr>
        <w:spacing w:line="579" w:lineRule="exact"/>
        <w:ind w:firstLine="640" w:firstLineChars="200"/>
      </w:pPr>
      <w:r>
        <w:rPr>
          <w:rFonts w:hint="eastAsia"/>
        </w:rPr>
        <w:t>1. 工程名称：重庆星际未来城下属酒店</w:t>
      </w:r>
      <w:r>
        <w:rPr>
          <w:rFonts w:hint="eastAsia"/>
          <w:u w:val="single"/>
        </w:rPr>
        <w:t>厨房排油烟设备及隔油处理机组清洗</w:t>
      </w:r>
      <w:r>
        <w:rPr>
          <w:rFonts w:hint="eastAsia"/>
        </w:rPr>
        <w:t>服务。</w:t>
      </w:r>
    </w:p>
    <w:p>
      <w:pPr>
        <w:spacing w:line="579" w:lineRule="exact"/>
        <w:ind w:firstLine="640" w:firstLineChars="200"/>
      </w:pPr>
      <w:r>
        <w:rPr>
          <w:rFonts w:hint="eastAsia"/>
        </w:rPr>
        <w:t>2. 服务地点：中国重庆市武隆区仙女山镇银杏大道157号。</w:t>
      </w:r>
    </w:p>
    <w:p>
      <w:pPr>
        <w:spacing w:line="579" w:lineRule="exact"/>
        <w:ind w:firstLine="640" w:firstLineChars="200"/>
      </w:pPr>
      <w:r>
        <w:rPr>
          <w:rFonts w:hint="eastAsia"/>
        </w:rPr>
        <w:t>3. 服务范围：</w:t>
      </w:r>
    </w:p>
    <w:tbl>
      <w:tblPr>
        <w:tblStyle w:val="8"/>
        <w:tblpPr w:leftFromText="180" w:rightFromText="180" w:vertAnchor="text" w:horzAnchor="page" w:tblpX="1399" w:tblpY="118"/>
        <w:tblOverlap w:val="never"/>
        <w:tblW w:w="8623" w:type="dxa"/>
        <w:tblInd w:w="0" w:type="dxa"/>
        <w:tblLayout w:type="fixed"/>
        <w:tblCellMar>
          <w:top w:w="0" w:type="dxa"/>
          <w:left w:w="0" w:type="dxa"/>
          <w:bottom w:w="0" w:type="dxa"/>
          <w:right w:w="0" w:type="dxa"/>
        </w:tblCellMar>
      </w:tblPr>
      <w:tblGrid>
        <w:gridCol w:w="838"/>
        <w:gridCol w:w="1534"/>
        <w:gridCol w:w="4001"/>
        <w:gridCol w:w="2250"/>
      </w:tblGrid>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序号</w:t>
            </w:r>
          </w:p>
        </w:tc>
        <w:tc>
          <w:tcPr>
            <w:tcW w:w="1534"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厨房名称</w:t>
            </w:r>
          </w:p>
        </w:tc>
        <w:tc>
          <w:tcPr>
            <w:tcW w:w="40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名称</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数量</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1</w:t>
            </w:r>
          </w:p>
        </w:tc>
        <w:tc>
          <w:tcPr>
            <w:tcW w:w="1534"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西餐厅</w:t>
            </w:r>
          </w:p>
        </w:tc>
        <w:tc>
          <w:tcPr>
            <w:tcW w:w="40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烟罩</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6米</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2</w:t>
            </w:r>
          </w:p>
        </w:tc>
        <w:tc>
          <w:tcPr>
            <w:tcW w:w="1534" w:type="dxa"/>
            <w:vMerge w:val="continue"/>
            <w:tcBorders>
              <w:top w:val="nil"/>
              <w:left w:val="nil"/>
              <w:bottom w:val="single" w:color="000000" w:sz="4" w:space="0"/>
              <w:right w:val="single" w:color="000000" w:sz="4" w:space="0"/>
            </w:tcBorders>
            <w:vAlign w:val="center"/>
          </w:tcPr>
          <w:p>
            <w:pPr>
              <w:spacing w:line="579" w:lineRule="exact"/>
              <w:ind w:firstLine="640" w:firstLineChars="200"/>
              <w:jc w:val="center"/>
            </w:pPr>
          </w:p>
        </w:tc>
        <w:tc>
          <w:tcPr>
            <w:tcW w:w="40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防火板</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10米</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3</w:t>
            </w:r>
          </w:p>
        </w:tc>
        <w:tc>
          <w:tcPr>
            <w:tcW w:w="1534" w:type="dxa"/>
            <w:vMerge w:val="continue"/>
            <w:tcBorders>
              <w:top w:val="nil"/>
              <w:left w:val="nil"/>
              <w:bottom w:val="single" w:color="000000" w:sz="4" w:space="0"/>
              <w:right w:val="single" w:color="000000" w:sz="4" w:space="0"/>
            </w:tcBorders>
            <w:vAlign w:val="center"/>
          </w:tcPr>
          <w:p>
            <w:pPr>
              <w:spacing w:line="579" w:lineRule="exact"/>
              <w:ind w:firstLine="640" w:firstLineChars="200"/>
              <w:jc w:val="center"/>
            </w:pPr>
          </w:p>
        </w:tc>
        <w:tc>
          <w:tcPr>
            <w:tcW w:w="40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烟罩同步管道</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6米</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4</w:t>
            </w:r>
          </w:p>
        </w:tc>
        <w:tc>
          <w:tcPr>
            <w:tcW w:w="1534" w:type="dxa"/>
            <w:vMerge w:val="restart"/>
            <w:tcBorders>
              <w:top w:val="nil"/>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明档</w:t>
            </w:r>
          </w:p>
        </w:tc>
        <w:tc>
          <w:tcPr>
            <w:tcW w:w="40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烟罩</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8米</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5</w:t>
            </w:r>
          </w:p>
        </w:tc>
        <w:tc>
          <w:tcPr>
            <w:tcW w:w="1534" w:type="dxa"/>
            <w:vMerge w:val="continue"/>
            <w:tcBorders>
              <w:top w:val="nil"/>
              <w:left w:val="nil"/>
              <w:bottom w:val="single" w:color="000000" w:sz="4" w:space="0"/>
              <w:right w:val="single" w:color="000000" w:sz="4" w:space="0"/>
            </w:tcBorders>
            <w:vAlign w:val="center"/>
          </w:tcPr>
          <w:p>
            <w:pPr>
              <w:spacing w:line="579" w:lineRule="exact"/>
              <w:ind w:firstLine="640" w:firstLineChars="200"/>
              <w:jc w:val="center"/>
            </w:pPr>
          </w:p>
        </w:tc>
        <w:tc>
          <w:tcPr>
            <w:tcW w:w="40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防火板</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12张</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6</w:t>
            </w:r>
          </w:p>
        </w:tc>
        <w:tc>
          <w:tcPr>
            <w:tcW w:w="1534" w:type="dxa"/>
            <w:vMerge w:val="continue"/>
            <w:tcBorders>
              <w:top w:val="nil"/>
              <w:left w:val="nil"/>
              <w:bottom w:val="single" w:color="000000" w:sz="4" w:space="0"/>
              <w:right w:val="single" w:color="000000" w:sz="4" w:space="0"/>
            </w:tcBorders>
            <w:vAlign w:val="center"/>
          </w:tcPr>
          <w:p>
            <w:pPr>
              <w:spacing w:line="579" w:lineRule="exact"/>
              <w:ind w:firstLine="640" w:firstLineChars="200"/>
              <w:jc w:val="center"/>
            </w:pPr>
          </w:p>
        </w:tc>
        <w:tc>
          <w:tcPr>
            <w:tcW w:w="40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烟罩同步管道</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10米</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7</w:t>
            </w:r>
          </w:p>
        </w:tc>
        <w:tc>
          <w:tcPr>
            <w:tcW w:w="1534" w:type="dxa"/>
            <w:vMerge w:val="restart"/>
            <w:tcBorders>
              <w:top w:val="nil"/>
              <w:left w:val="nil"/>
              <w:bottom w:val="single" w:color="auto"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宴会厨房</w:t>
            </w:r>
          </w:p>
        </w:tc>
        <w:tc>
          <w:tcPr>
            <w:tcW w:w="40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烟罩</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10米</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8</w:t>
            </w:r>
          </w:p>
        </w:tc>
        <w:tc>
          <w:tcPr>
            <w:tcW w:w="1534" w:type="dxa"/>
            <w:vMerge w:val="continue"/>
            <w:tcBorders>
              <w:top w:val="nil"/>
              <w:left w:val="nil"/>
              <w:bottom w:val="single" w:color="auto" w:sz="4" w:space="0"/>
              <w:right w:val="single" w:color="000000" w:sz="4" w:space="0"/>
            </w:tcBorders>
            <w:vAlign w:val="center"/>
          </w:tcPr>
          <w:p>
            <w:pPr>
              <w:spacing w:line="579" w:lineRule="exact"/>
              <w:ind w:firstLine="640" w:firstLineChars="200"/>
              <w:jc w:val="center"/>
            </w:pPr>
          </w:p>
        </w:tc>
        <w:tc>
          <w:tcPr>
            <w:tcW w:w="4001"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防火篦子</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15张</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9</w:t>
            </w:r>
          </w:p>
        </w:tc>
        <w:tc>
          <w:tcPr>
            <w:tcW w:w="1534" w:type="dxa"/>
            <w:vMerge w:val="continue"/>
            <w:tcBorders>
              <w:top w:val="nil"/>
              <w:left w:val="nil"/>
              <w:bottom w:val="single" w:color="auto" w:sz="4" w:space="0"/>
              <w:right w:val="single" w:color="000000" w:sz="4" w:space="0"/>
            </w:tcBorders>
            <w:vAlign w:val="center"/>
          </w:tcPr>
          <w:p>
            <w:pPr>
              <w:spacing w:line="579" w:lineRule="exact"/>
              <w:ind w:firstLine="640" w:firstLineChars="200"/>
              <w:jc w:val="center"/>
            </w:pPr>
          </w:p>
        </w:tc>
        <w:tc>
          <w:tcPr>
            <w:tcW w:w="4001"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烟罩同步管道</w:t>
            </w:r>
          </w:p>
        </w:tc>
        <w:tc>
          <w:tcPr>
            <w:tcW w:w="2250"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10米</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10</w:t>
            </w:r>
          </w:p>
        </w:tc>
        <w:tc>
          <w:tcPr>
            <w:tcW w:w="1534" w:type="dxa"/>
            <w:vMerge w:val="restart"/>
            <w:tcBorders>
              <w:top w:val="nil"/>
              <w:left w:val="nil"/>
              <w:right w:val="single" w:color="000000" w:sz="4" w:space="0"/>
            </w:tcBorders>
            <w:vAlign w:val="center"/>
          </w:tcPr>
          <w:p>
            <w:pPr>
              <w:spacing w:line="579" w:lineRule="exact"/>
              <w:jc w:val="center"/>
            </w:pPr>
            <w:r>
              <w:rPr>
                <w:rFonts w:hint="eastAsia"/>
              </w:rPr>
              <w:t>中域员工食堂</w:t>
            </w:r>
          </w:p>
        </w:tc>
        <w:tc>
          <w:tcPr>
            <w:tcW w:w="4001"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烟罩</w:t>
            </w:r>
          </w:p>
        </w:tc>
        <w:tc>
          <w:tcPr>
            <w:tcW w:w="2250"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6米</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11</w:t>
            </w:r>
          </w:p>
        </w:tc>
        <w:tc>
          <w:tcPr>
            <w:tcW w:w="1534" w:type="dxa"/>
            <w:vMerge w:val="continue"/>
            <w:tcBorders>
              <w:left w:val="nil"/>
              <w:right w:val="single" w:color="000000" w:sz="4" w:space="0"/>
            </w:tcBorders>
            <w:vAlign w:val="center"/>
          </w:tcPr>
          <w:p>
            <w:pPr>
              <w:spacing w:line="579" w:lineRule="exact"/>
              <w:ind w:firstLine="640" w:firstLineChars="200"/>
              <w:jc w:val="center"/>
            </w:pPr>
          </w:p>
        </w:tc>
        <w:tc>
          <w:tcPr>
            <w:tcW w:w="4001"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防火板</w:t>
            </w:r>
          </w:p>
        </w:tc>
        <w:tc>
          <w:tcPr>
            <w:tcW w:w="2250"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6米</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12</w:t>
            </w:r>
          </w:p>
        </w:tc>
        <w:tc>
          <w:tcPr>
            <w:tcW w:w="1534" w:type="dxa"/>
            <w:vMerge w:val="continue"/>
            <w:tcBorders>
              <w:left w:val="nil"/>
              <w:bottom w:val="single" w:color="auto" w:sz="4" w:space="0"/>
              <w:right w:val="single" w:color="000000" w:sz="4" w:space="0"/>
            </w:tcBorders>
            <w:vAlign w:val="center"/>
          </w:tcPr>
          <w:p>
            <w:pPr>
              <w:spacing w:line="579" w:lineRule="exact"/>
              <w:ind w:firstLine="640" w:firstLineChars="200"/>
              <w:jc w:val="center"/>
            </w:pPr>
          </w:p>
        </w:tc>
        <w:tc>
          <w:tcPr>
            <w:tcW w:w="4001"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烟罩同步管道</w:t>
            </w:r>
          </w:p>
        </w:tc>
        <w:tc>
          <w:tcPr>
            <w:tcW w:w="2250" w:type="dxa"/>
            <w:tcBorders>
              <w:top w:val="single" w:color="000000" w:sz="4" w:space="0"/>
              <w:left w:val="nil"/>
              <w:bottom w:val="single" w:color="auto"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6米</w:t>
            </w:r>
          </w:p>
        </w:tc>
      </w:tr>
      <w:tr>
        <w:tblPrEx>
          <w:tblCellMar>
            <w:top w:w="0" w:type="dxa"/>
            <w:left w:w="0" w:type="dxa"/>
            <w:bottom w:w="0" w:type="dxa"/>
            <w:right w:w="0" w:type="dxa"/>
          </w:tblCellMar>
        </w:tblPrEx>
        <w:trPr>
          <w:trHeight w:val="402" w:hRule="atLeast"/>
        </w:trPr>
        <w:tc>
          <w:tcPr>
            <w:tcW w:w="838" w:type="dxa"/>
            <w:tcBorders>
              <w:top w:val="single" w:color="auto"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13</w:t>
            </w:r>
          </w:p>
        </w:tc>
        <w:tc>
          <w:tcPr>
            <w:tcW w:w="5535" w:type="dxa"/>
            <w:gridSpan w:val="2"/>
            <w:tcBorders>
              <w:top w:val="single" w:color="auto"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油烟净化器</w:t>
            </w:r>
          </w:p>
        </w:tc>
        <w:tc>
          <w:tcPr>
            <w:tcW w:w="2250" w:type="dxa"/>
            <w:tcBorders>
              <w:top w:val="single" w:color="auto"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6台</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14</w:t>
            </w:r>
          </w:p>
        </w:tc>
        <w:tc>
          <w:tcPr>
            <w:tcW w:w="5535"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排油烟风机</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6台</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15</w:t>
            </w:r>
          </w:p>
        </w:tc>
        <w:tc>
          <w:tcPr>
            <w:tcW w:w="5535"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屋面管道</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50米</w:t>
            </w: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16</w:t>
            </w:r>
          </w:p>
        </w:tc>
        <w:tc>
          <w:tcPr>
            <w:tcW w:w="5535" w:type="dxa"/>
            <w:gridSpan w:val="2"/>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酒店隔油设备及中域食堂隔油池</w:t>
            </w:r>
          </w:p>
        </w:tc>
        <w:tc>
          <w:tcPr>
            <w:tcW w:w="2250"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spacing w:line="579" w:lineRule="exact"/>
              <w:jc w:val="center"/>
            </w:pPr>
            <w:r>
              <w:rPr>
                <w:rFonts w:hint="eastAsia"/>
              </w:rPr>
              <w:t>共2套</w:t>
            </w:r>
          </w:p>
        </w:tc>
      </w:tr>
    </w:tbl>
    <w:p>
      <w:pPr>
        <w:spacing w:line="579" w:lineRule="exact"/>
      </w:pPr>
    </w:p>
    <w:p>
      <w:pPr>
        <w:spacing w:line="579" w:lineRule="exact"/>
        <w:ind w:firstLine="640" w:firstLineChars="200"/>
      </w:pPr>
      <w:r>
        <w:rPr>
          <w:rFonts w:hint="eastAsia"/>
        </w:rPr>
        <w:t>4. 服务期间：12个月，具体开始时间从2024年</w:t>
      </w:r>
      <w:r>
        <w:rPr>
          <w:rFonts w:hint="eastAsia"/>
          <w:u w:val="single"/>
        </w:rPr>
        <w:t xml:space="preserve">  </w:t>
      </w:r>
      <w:r>
        <w:rPr>
          <w:rFonts w:hint="eastAsia"/>
        </w:rPr>
        <w:t>月</w:t>
      </w:r>
      <w:r>
        <w:rPr>
          <w:rFonts w:hint="eastAsia"/>
          <w:u w:val="single"/>
        </w:rPr>
        <w:t xml:space="preserve">   </w:t>
      </w:r>
      <w:r>
        <w:rPr>
          <w:rFonts w:hint="eastAsia"/>
        </w:rPr>
        <w:t>日到2025年</w:t>
      </w:r>
      <w:r>
        <w:rPr>
          <w:rFonts w:hint="eastAsia"/>
          <w:u w:val="single"/>
        </w:rPr>
        <w:t xml:space="preserve"> </w:t>
      </w:r>
      <w:r>
        <w:rPr>
          <w:rFonts w:hint="eastAsia"/>
        </w:rPr>
        <w:t>月</w:t>
      </w:r>
      <w:r>
        <w:rPr>
          <w:rFonts w:hint="eastAsia"/>
          <w:u w:val="single"/>
        </w:rPr>
        <w:t xml:space="preserve">   </w:t>
      </w:r>
      <w:r>
        <w:rPr>
          <w:rFonts w:hint="eastAsia"/>
        </w:rPr>
        <w:t>日。</w:t>
      </w:r>
    </w:p>
    <w:p>
      <w:pPr>
        <w:spacing w:line="579" w:lineRule="exact"/>
        <w:ind w:firstLine="640" w:firstLineChars="200"/>
      </w:pPr>
      <w:r>
        <w:rPr>
          <w:rFonts w:hint="eastAsia"/>
        </w:rPr>
        <w:t>5.</w:t>
      </w:r>
      <w:r>
        <w:t xml:space="preserve"> </w:t>
      </w:r>
      <w:r>
        <w:rPr>
          <w:rFonts w:hint="eastAsia"/>
        </w:rPr>
        <w:t xml:space="preserve">验收标准 </w:t>
      </w:r>
    </w:p>
    <w:p>
      <w:pPr>
        <w:spacing w:line="579" w:lineRule="exact"/>
        <w:ind w:firstLine="640" w:firstLineChars="200"/>
      </w:pPr>
      <w:r>
        <w:rPr>
          <w:rFonts w:hint="eastAsia"/>
        </w:rPr>
        <w:t>（1）集气罩清洗后95％的油污可去除，不残留块状顽固油污。（铁皮生锈的地方不作为清洗效果的验收部分考察）；</w:t>
      </w:r>
    </w:p>
    <w:p>
      <w:pPr>
        <w:spacing w:line="579" w:lineRule="exact"/>
        <w:ind w:firstLine="640" w:firstLineChars="200"/>
      </w:pPr>
      <w:r>
        <w:rPr>
          <w:rFonts w:hint="eastAsia"/>
        </w:rPr>
        <w:t>（2）轴流风机清洗后70%油污可去除（风机常规清洗，不拆装叶轮），</w:t>
      </w:r>
    </w:p>
    <w:p>
      <w:pPr>
        <w:spacing w:line="579" w:lineRule="exact"/>
        <w:ind w:firstLine="640" w:firstLineChars="200"/>
      </w:pPr>
      <w:r>
        <w:rPr>
          <w:rFonts w:hint="eastAsia"/>
        </w:rPr>
        <w:t>（3）净化器拆装清洗后85%的油污可以去除；</w:t>
      </w:r>
    </w:p>
    <w:p>
      <w:pPr>
        <w:spacing w:line="579" w:lineRule="exact"/>
        <w:ind w:firstLine="640" w:firstLineChars="200"/>
      </w:pPr>
      <w:r>
        <w:rPr>
          <w:rFonts w:hint="eastAsia"/>
        </w:rPr>
        <w:t>（4）风柜清洗后70％可以见到原色（风机常规清洗，不拆装叶轮）。</w:t>
      </w:r>
    </w:p>
    <w:p>
      <w:pPr>
        <w:spacing w:line="579" w:lineRule="exact"/>
        <w:ind w:firstLine="640" w:firstLineChars="200"/>
      </w:pPr>
      <w:r>
        <w:rPr>
          <w:rFonts w:hint="eastAsia"/>
        </w:rPr>
        <w:t>（5）管道清洗后70%可见原色，（注：管道直径必须达到500×500，如主管道没有达到500×500部分清洁度则视情况而定）</w:t>
      </w:r>
    </w:p>
    <w:p>
      <w:pPr>
        <w:spacing w:line="579" w:lineRule="exact"/>
        <w:ind w:firstLine="640" w:firstLineChars="200"/>
      </w:pPr>
      <w:r>
        <w:t xml:space="preserve">6. </w:t>
      </w:r>
      <w:r>
        <w:rPr>
          <w:rFonts w:hint="eastAsia"/>
        </w:rPr>
        <w:t>清洗时间：</w:t>
      </w:r>
    </w:p>
    <w:p>
      <w:pPr>
        <w:spacing w:line="579" w:lineRule="exact"/>
        <w:ind w:firstLine="640" w:firstLineChars="200"/>
      </w:pPr>
      <w:r>
        <w:rPr>
          <w:rFonts w:hint="eastAsia"/>
        </w:rPr>
        <w:t>第一次：2024年   月   日起至 2024年  月 日止；</w:t>
      </w:r>
    </w:p>
    <w:p>
      <w:pPr>
        <w:spacing w:line="579" w:lineRule="exact"/>
        <w:ind w:firstLine="640" w:firstLineChars="200"/>
      </w:pPr>
      <w:r>
        <w:rPr>
          <w:rFonts w:hint="eastAsia"/>
        </w:rPr>
        <w:t xml:space="preserve">第二次：2024年   月 </w:t>
      </w:r>
      <w:r>
        <w:t xml:space="preserve">  </w:t>
      </w:r>
      <w:r>
        <w:rPr>
          <w:rFonts w:hint="eastAsia"/>
        </w:rPr>
        <w:t xml:space="preserve">日起至 2024年  月 日止；     </w:t>
      </w:r>
    </w:p>
    <w:p>
      <w:pPr>
        <w:spacing w:line="579" w:lineRule="exact"/>
        <w:ind w:firstLine="640" w:firstLineChars="200"/>
      </w:pPr>
      <w:r>
        <w:rPr>
          <w:rFonts w:hint="eastAsia"/>
        </w:rPr>
        <w:t>第三次：2024年 月 日起至2024年  月  日止；</w:t>
      </w:r>
    </w:p>
    <w:p>
      <w:pPr>
        <w:spacing w:line="579" w:lineRule="exact"/>
        <w:ind w:firstLine="640" w:firstLineChars="200"/>
      </w:pPr>
      <w:r>
        <w:rPr>
          <w:rFonts w:hint="eastAsia"/>
        </w:rPr>
        <w:t>第四次：2024年 月  日起至 2025年 月  日止；</w:t>
      </w:r>
    </w:p>
    <w:p>
      <w:pPr>
        <w:spacing w:line="579" w:lineRule="exact"/>
        <w:ind w:firstLine="640" w:firstLineChars="200"/>
      </w:pPr>
      <w:r>
        <w:rPr>
          <w:rFonts w:hint="eastAsia"/>
        </w:rPr>
        <w:t>在合同有限期内，实际清洗次数及每次具体开始清洗时间以甲方通知为准，因甲方原因及其他等原因造成无法清洗时，工期顺延。</w:t>
      </w:r>
    </w:p>
    <w:p>
      <w:pPr>
        <w:spacing w:line="579" w:lineRule="exact"/>
        <w:ind w:firstLine="640" w:firstLineChars="200"/>
      </w:pPr>
      <w:r>
        <w:rPr>
          <w:rFonts w:hint="eastAsia"/>
        </w:rPr>
        <w:t>本合同签订生效之日起，乙方于十五日内完成排油烟道、烟罩、抽油烟机、净化器的清洗。</w:t>
      </w:r>
    </w:p>
    <w:p>
      <w:pPr>
        <w:spacing w:line="579" w:lineRule="exact"/>
        <w:ind w:firstLine="640" w:firstLineChars="200"/>
      </w:pPr>
    </w:p>
    <w:p>
      <w:pPr>
        <w:pStyle w:val="13"/>
        <w:numPr>
          <w:ilvl w:val="0"/>
          <w:numId w:val="4"/>
        </w:numPr>
        <w:spacing w:line="579" w:lineRule="exact"/>
        <w:ind w:left="0" w:firstLine="640" w:firstLineChars="200"/>
        <w:rPr>
          <w:rFonts w:ascii="方正仿宋_GBK" w:hAnsi="方正仿宋_GBK" w:eastAsia="方正仿宋_GBK" w:cs="方正仿宋_GBK"/>
          <w:b/>
          <w:bCs/>
        </w:rPr>
      </w:pPr>
      <w:r>
        <w:rPr>
          <w:rFonts w:hint="eastAsia" w:ascii="方正仿宋_GBK" w:hAnsi="方正仿宋_GBK" w:eastAsia="方正仿宋_GBK" w:cs="方正仿宋_GBK"/>
          <w:b/>
          <w:bCs/>
        </w:rPr>
        <w:t>费用及付款方式</w:t>
      </w:r>
    </w:p>
    <w:p>
      <w:pPr>
        <w:spacing w:line="579" w:lineRule="exact"/>
        <w:ind w:firstLine="640" w:firstLineChars="200"/>
      </w:pPr>
      <w:r>
        <w:rPr>
          <w:rFonts w:hint="eastAsia"/>
        </w:rPr>
        <w:t>2.1 本合同含税包干总费用为：</w:t>
      </w:r>
      <w:r>
        <w:rPr>
          <w:rFonts w:hint="eastAsia"/>
          <w:u w:val="single"/>
        </w:rPr>
        <w:t xml:space="preserve">       </w:t>
      </w:r>
      <w:r>
        <w:rPr>
          <w:rFonts w:hint="eastAsia"/>
        </w:rPr>
        <w:t>，大写</w:t>
      </w:r>
      <w:r>
        <w:rPr>
          <w:rFonts w:hint="eastAsia"/>
          <w:u w:val="single"/>
        </w:rPr>
        <w:t xml:space="preserve">    </w:t>
      </w:r>
      <w:r>
        <w:rPr>
          <w:rFonts w:hint="eastAsia"/>
        </w:rPr>
        <w:t>元整，税率</w:t>
      </w:r>
      <w:r>
        <w:rPr>
          <w:rFonts w:hint="eastAsia"/>
          <w:u w:val="single"/>
        </w:rPr>
        <w:t xml:space="preserve">   </w:t>
      </w:r>
      <w:r>
        <w:rPr>
          <w:rFonts w:hint="eastAsia"/>
        </w:rPr>
        <w:t>%，不含税包干总费用</w:t>
      </w:r>
      <w:r>
        <w:rPr>
          <w:rFonts w:hint="eastAsia"/>
          <w:u w:val="single"/>
        </w:rPr>
        <w:t xml:space="preserve">为：      </w:t>
      </w:r>
      <w:r>
        <w:t xml:space="preserve"> </w:t>
      </w:r>
      <w:r>
        <w:rPr>
          <w:rFonts w:hint="eastAsia"/>
        </w:rPr>
        <w:t>元（大写：</w:t>
      </w:r>
      <w:r>
        <w:rPr>
          <w:rFonts w:hint="eastAsia"/>
          <w:u w:val="single"/>
        </w:rPr>
        <w:t xml:space="preserve">           </w:t>
      </w:r>
      <w:r>
        <w:rPr>
          <w:rFonts w:hint="eastAsia"/>
        </w:rPr>
        <w:t>）。该费用包括材料、人工、工具、设备、检测、税费等全部费用。</w:t>
      </w:r>
      <w:r>
        <w:rPr>
          <w:rFonts w:hint="eastAsia"/>
          <w:b/>
          <w:bCs/>
        </w:rPr>
        <w:t>油烟设备、净化设备等在清洗过程中需要维修、更换的费用另计。</w:t>
      </w:r>
      <w:r>
        <w:rPr>
          <w:rFonts w:hint="eastAsia"/>
        </w:rPr>
        <w:t>双方确认，系乙方充分履行本合同后甲方应当向乙方支付的全部费用，不因任何原因调增。除上述合同总价外甲方无需向乙方或第三方支付其他费用（包括但不限于增值税等）。</w:t>
      </w:r>
    </w:p>
    <w:p>
      <w:pPr>
        <w:spacing w:line="579" w:lineRule="exact"/>
        <w:ind w:firstLine="640" w:firstLineChars="200"/>
      </w:pPr>
      <w:r>
        <w:rPr>
          <w:rFonts w:hint="eastAsia"/>
        </w:rPr>
        <w:t>2.2乙方指定收款账户如下：</w:t>
      </w:r>
    </w:p>
    <w:p>
      <w:pPr>
        <w:spacing w:line="579" w:lineRule="exact"/>
        <w:ind w:firstLine="640" w:firstLineChars="200"/>
      </w:pPr>
      <w:r>
        <w:rPr>
          <w:rFonts w:hint="eastAsia"/>
        </w:rPr>
        <w:t>开户名称：【     】</w:t>
      </w:r>
    </w:p>
    <w:p>
      <w:pPr>
        <w:spacing w:line="579" w:lineRule="exact"/>
        <w:ind w:firstLine="640" w:firstLineChars="200"/>
      </w:pPr>
      <w:r>
        <w:rPr>
          <w:rFonts w:hint="eastAsia"/>
        </w:rPr>
        <w:t>开 户 行：【     】</w:t>
      </w:r>
    </w:p>
    <w:p>
      <w:pPr>
        <w:spacing w:line="579" w:lineRule="exact"/>
        <w:ind w:firstLine="640" w:firstLineChars="200"/>
      </w:pPr>
      <w:r>
        <w:rPr>
          <w:rFonts w:hint="eastAsia"/>
        </w:rPr>
        <w:t>账    号：【     】</w:t>
      </w:r>
    </w:p>
    <w:p>
      <w:pPr>
        <w:spacing w:line="579" w:lineRule="exact"/>
        <w:ind w:firstLine="640" w:firstLineChars="200"/>
      </w:pPr>
      <w:r>
        <w:rPr>
          <w:rFonts w:hint="eastAsia"/>
        </w:rPr>
        <w:t>甲方向以上账户付款，即完成本合同项下对乙方付款义务。乙方对上述账户信息的准确性和可用性承担全部责任，若上述账户信息发生任何变化，乙方应提前5个工作日书面通知甲方，否则甲方不对乙方未能收到或迟延收到任何款项承担责任。</w:t>
      </w:r>
    </w:p>
    <w:p>
      <w:pPr>
        <w:spacing w:line="579" w:lineRule="exact"/>
        <w:ind w:firstLine="640" w:firstLineChars="200"/>
      </w:pPr>
      <w:r>
        <w:rPr>
          <w:rFonts w:hint="eastAsia"/>
        </w:rPr>
        <w:t>2.3乙方在履约过程中产生的违约金、赔偿金等费用，甲方有权从费用中直接扣除。</w:t>
      </w:r>
    </w:p>
    <w:p>
      <w:pPr>
        <w:spacing w:line="579" w:lineRule="exact"/>
        <w:ind w:firstLine="640" w:firstLineChars="200"/>
      </w:pPr>
      <w:r>
        <w:rPr>
          <w:rFonts w:hint="eastAsia"/>
        </w:rPr>
        <w:t>2.4付款方式：</w:t>
      </w:r>
    </w:p>
    <w:p>
      <w:pPr>
        <w:spacing w:line="579" w:lineRule="exact"/>
        <w:ind w:firstLine="640" w:firstLineChars="200"/>
      </w:pPr>
      <w:r>
        <w:rPr>
          <w:rFonts w:hint="eastAsia"/>
        </w:rPr>
        <w:t>2.4.1 乙方须向甲方开具合法、有效的增值税专用发票，税率为</w:t>
      </w:r>
      <w:r>
        <w:rPr>
          <w:rFonts w:hint="eastAsia"/>
          <w:u w:val="single"/>
        </w:rPr>
        <w:t xml:space="preserve">     </w:t>
      </w:r>
      <w:r>
        <w:rPr>
          <w:rFonts w:hint="eastAsia"/>
        </w:rPr>
        <w:t>%；乙方拖延递交发票的，甲方拒绝付款不视为甲方违约，直至乙方提供合规的发票。</w:t>
      </w:r>
    </w:p>
    <w:p>
      <w:pPr>
        <w:spacing w:line="579" w:lineRule="exact"/>
        <w:ind w:firstLine="640" w:firstLineChars="200"/>
      </w:pPr>
      <w:r>
        <w:rPr>
          <w:rFonts w:hint="eastAsia"/>
        </w:rPr>
        <w:t>2.4.2 乙方进场完成厨房排油烟设备及隔油处理机组清洗服务作业，乙方每季度服务完成，甲方验收合格，经相关部门检测并出具合格报告及提供增值税专用发票后15个工作日内，甲方完成该季度服务费用的支付即人民币：</w:t>
      </w:r>
      <w:r>
        <w:rPr>
          <w:rFonts w:hint="eastAsia"/>
          <w:u w:val="single"/>
        </w:rPr>
        <w:t xml:space="preserve">         </w:t>
      </w:r>
      <w:r>
        <w:rPr>
          <w:rFonts w:hint="eastAsia"/>
        </w:rPr>
        <w:t>元。</w:t>
      </w:r>
    </w:p>
    <w:p>
      <w:pPr>
        <w:spacing w:line="579" w:lineRule="exact"/>
        <w:ind w:firstLine="640" w:firstLineChars="200"/>
      </w:pPr>
    </w:p>
    <w:p>
      <w:pPr>
        <w:spacing w:line="579" w:lineRule="exact"/>
        <w:ind w:firstLine="640" w:firstLineChars="200"/>
        <w:rPr>
          <w:b/>
          <w:bCs/>
        </w:rPr>
      </w:pPr>
      <w:r>
        <w:rPr>
          <w:rFonts w:hint="eastAsia"/>
          <w:b/>
          <w:bCs/>
        </w:rPr>
        <w:t>第三条 甲、乙双方责任及义务</w:t>
      </w:r>
    </w:p>
    <w:p>
      <w:pPr>
        <w:spacing w:line="579" w:lineRule="exact"/>
        <w:ind w:firstLine="640" w:firstLineChars="200"/>
        <w:rPr>
          <w:b/>
          <w:bCs/>
        </w:rPr>
      </w:pPr>
      <w:r>
        <w:rPr>
          <w:rFonts w:hint="eastAsia"/>
          <w:b/>
          <w:bCs/>
        </w:rPr>
        <w:t>3.1 乙方的责任及义务</w:t>
      </w:r>
    </w:p>
    <w:p>
      <w:pPr>
        <w:spacing w:line="579" w:lineRule="exact"/>
        <w:ind w:firstLine="640" w:firstLineChars="200"/>
      </w:pPr>
      <w:r>
        <w:rPr>
          <w:rFonts w:hint="eastAsia"/>
        </w:rPr>
        <w:t>乙方承担的工作内容：</w:t>
      </w:r>
    </w:p>
    <w:p>
      <w:pPr>
        <w:spacing w:line="579" w:lineRule="exact"/>
        <w:ind w:firstLine="640" w:firstLineChars="200"/>
      </w:pPr>
      <w:r>
        <w:rPr>
          <w:rFonts w:hint="eastAsia"/>
        </w:rPr>
        <w:t>排油烟风管及设备清洗</w:t>
      </w:r>
    </w:p>
    <w:p>
      <w:pPr>
        <w:spacing w:line="579" w:lineRule="exact"/>
        <w:ind w:firstLine="640" w:firstLineChars="200"/>
      </w:pPr>
      <w:r>
        <w:rPr>
          <w:rFonts w:hint="eastAsia"/>
        </w:rPr>
        <w:t>3</w:t>
      </w:r>
      <w:r>
        <w:t>.1.1</w:t>
      </w:r>
      <w:r>
        <w:rPr>
          <w:rFonts w:hint="eastAsia"/>
        </w:rPr>
        <w:t>清洗目的：</w:t>
      </w:r>
      <w:r>
        <w:rPr>
          <w:rFonts w:hint="eastAsia"/>
        </w:rPr>
        <w:br w:type="textWrapping"/>
      </w:r>
      <w:r>
        <w:rPr>
          <w:rFonts w:hint="eastAsia"/>
        </w:rPr>
        <w:t> 排油烟管道经过长期使用，会在表面沉积一层油垢。按照重庆消防安全管理制度每季度需对排油烟管道的主管道进行一次清洗，以彻底消除火灾隐患，确保商业正常运行。</w:t>
      </w:r>
    </w:p>
    <w:p>
      <w:pPr>
        <w:pStyle w:val="13"/>
        <w:numPr>
          <w:ilvl w:val="0"/>
          <w:numId w:val="5"/>
        </w:numPr>
        <w:spacing w:line="579" w:lineRule="exact"/>
        <w:ind w:left="0" w:firstLine="640" w:firstLineChars="200"/>
        <w:rPr>
          <w:rFonts w:ascii="Times New Roman" w:hAnsi="Times New Roman" w:eastAsia="方正仿宋_GBK" w:cs="Times New Roman"/>
          <w:szCs w:val="24"/>
        </w:rPr>
      </w:pPr>
      <w:r>
        <w:rPr>
          <w:rFonts w:hint="eastAsia" w:ascii="Times New Roman" w:hAnsi="Times New Roman" w:eastAsia="方正仿宋_GBK" w:cs="Times New Roman"/>
          <w:szCs w:val="24"/>
        </w:rPr>
        <w:t>清洗内容：</w:t>
      </w:r>
      <w:r>
        <w:rPr>
          <w:rFonts w:hint="eastAsia" w:ascii="Times New Roman" w:hAnsi="Times New Roman" w:eastAsia="方正仿宋_GBK" w:cs="Times New Roman"/>
          <w:szCs w:val="24"/>
        </w:rPr>
        <w:br w:type="textWrapping"/>
      </w:r>
      <w:r>
        <w:rPr>
          <w:rFonts w:hint="eastAsia" w:ascii="Times New Roman" w:hAnsi="Times New Roman" w:eastAsia="方正仿宋_GBK" w:cs="Times New Roman"/>
          <w:szCs w:val="24"/>
        </w:rPr>
        <w:t xml:space="preserve">包括主油烟管道、排风机、油烟净化器。清洁重点部位是 主油烟管道内面、排风机叶轮和底座、油烟净化器内净化装置等。     </w:t>
      </w:r>
    </w:p>
    <w:p>
      <w:pPr>
        <w:pStyle w:val="13"/>
        <w:numPr>
          <w:ilvl w:val="0"/>
          <w:numId w:val="5"/>
        </w:numPr>
        <w:spacing w:line="579" w:lineRule="exact"/>
        <w:ind w:left="0" w:firstLine="640" w:firstLineChars="200"/>
        <w:rPr>
          <w:rFonts w:ascii="Times New Roman" w:hAnsi="Times New Roman" w:eastAsia="方正仿宋_GBK" w:cs="Times New Roman"/>
          <w:szCs w:val="24"/>
        </w:rPr>
      </w:pPr>
      <w:r>
        <w:rPr>
          <w:rFonts w:hint="eastAsia" w:ascii="Times New Roman" w:hAnsi="Times New Roman" w:eastAsia="方正仿宋_GBK" w:cs="Times New Roman"/>
          <w:szCs w:val="24"/>
        </w:rPr>
        <w:t>施工方案：</w:t>
      </w:r>
    </w:p>
    <w:p>
      <w:pPr>
        <w:pStyle w:val="13"/>
        <w:numPr>
          <w:ilvl w:val="0"/>
          <w:numId w:val="6"/>
        </w:numPr>
        <w:spacing w:line="579" w:lineRule="exact"/>
        <w:ind w:left="0" w:firstLine="640" w:firstLineChars="200"/>
        <w:rPr>
          <w:rFonts w:ascii="Times New Roman" w:hAnsi="Times New Roman" w:eastAsia="方正仿宋_GBK" w:cs="Times New Roman"/>
          <w:szCs w:val="24"/>
        </w:rPr>
      </w:pPr>
      <w:r>
        <w:rPr>
          <w:rFonts w:hint="eastAsia" w:ascii="Times New Roman" w:hAnsi="Times New Roman" w:eastAsia="方正仿宋_GBK" w:cs="Times New Roman"/>
          <w:szCs w:val="24"/>
        </w:rPr>
        <w:t>时间安排：晚上22：00——次日早上08：00进行，具体实施时间可调节，以不影响正常营业为前提；</w:t>
      </w:r>
    </w:p>
    <w:p>
      <w:pPr>
        <w:pStyle w:val="13"/>
        <w:numPr>
          <w:ilvl w:val="0"/>
          <w:numId w:val="6"/>
        </w:numPr>
        <w:spacing w:line="579" w:lineRule="exact"/>
        <w:ind w:left="0" w:firstLine="640" w:firstLineChars="200"/>
        <w:rPr>
          <w:rFonts w:ascii="Times New Roman" w:hAnsi="Times New Roman" w:eastAsia="方正仿宋_GBK" w:cs="Times New Roman"/>
          <w:szCs w:val="24"/>
        </w:rPr>
      </w:pPr>
      <w:r>
        <w:rPr>
          <w:rFonts w:hint="eastAsia" w:ascii="Times New Roman" w:hAnsi="Times New Roman" w:eastAsia="方正仿宋_GBK" w:cs="Times New Roman"/>
          <w:szCs w:val="24"/>
        </w:rPr>
        <w:t>清洗药剂：碱性化油剂按清洗需要按比例1:50与水混合，12＜PH值＞7不会对排油烟管道内壁产生腐蚀；</w:t>
      </w:r>
    </w:p>
    <w:p>
      <w:pPr>
        <w:pStyle w:val="13"/>
        <w:numPr>
          <w:ilvl w:val="0"/>
          <w:numId w:val="7"/>
        </w:numPr>
        <w:spacing w:line="579" w:lineRule="exact"/>
        <w:ind w:left="0" w:firstLine="640" w:firstLineChars="200"/>
        <w:rPr>
          <w:rFonts w:ascii="Times New Roman" w:hAnsi="Times New Roman" w:eastAsia="方正仿宋_GBK" w:cs="Times New Roman"/>
          <w:szCs w:val="24"/>
        </w:rPr>
      </w:pPr>
      <w:r>
        <w:rPr>
          <w:rFonts w:hint="eastAsia" w:ascii="Times New Roman" w:hAnsi="Times New Roman" w:eastAsia="方正仿宋_GBK" w:cs="Times New Roman"/>
          <w:szCs w:val="24"/>
        </w:rPr>
        <w:t>对油烟道内壁采用人工进入烟道内部进行清洁。用高压清洗机以及各种手工和电动工具对油烟道内表面的清洗采用进入式人工清洗和化学药品机械清洗相结合的方法：先进行人工开口，施工人员进入烟道用铲刀进行人工铲除，再用油污剥离剂喷洒烟道内表面，清洗完成后用高压水枪冲洗，最后清理管道残留水渍，密封开口处。</w:t>
      </w:r>
    </w:p>
    <w:p>
      <w:pPr>
        <w:spacing w:line="579" w:lineRule="exact"/>
        <w:ind w:firstLine="640" w:firstLineChars="200"/>
      </w:pPr>
      <w:r>
        <w:t>(</w:t>
      </w:r>
      <w:r>
        <w:rPr>
          <w:rFonts w:hint="eastAsia"/>
        </w:rPr>
        <w:t>四)</w:t>
      </w:r>
      <w:r>
        <w:t xml:space="preserve"> </w:t>
      </w:r>
      <w:r>
        <w:rPr>
          <w:rFonts w:hint="eastAsia"/>
        </w:rPr>
        <w:t>风机清洗：关闭电源，工人由净化器箱进入，喷洒药剂于风机叶片，5-10分钟后开始清洗叶片和机座底部油污，清洗完成后用高压水枪冲洗，最后清理管道残留水渍。</w:t>
      </w:r>
    </w:p>
    <w:p>
      <w:pPr>
        <w:spacing w:line="579" w:lineRule="exact"/>
        <w:ind w:firstLine="640" w:firstLineChars="200"/>
      </w:pPr>
      <w:r>
        <w:rPr>
          <w:rFonts w:hint="eastAsia"/>
        </w:rPr>
        <w:t>（五）净化器清洗：关闭电源，用绝缘工具刀释放静电，取出净化装置内电极板和活性炭箱，将电极板放置到盛满化油剂的清洗箱中浸泡10-20分钟后取出，再用高压水枪冲洗彻底，放弃干燥处处理残余水渍，晾干后再装入设备，试机。将活性炭吸附箱取出，人工用油烟铲刀剥离表面油污，完成后装好试机运行。</w:t>
      </w:r>
    </w:p>
    <w:p>
      <w:pPr>
        <w:spacing w:line="579" w:lineRule="exact"/>
        <w:ind w:firstLine="640" w:firstLineChars="200"/>
      </w:pPr>
      <w:r>
        <w:rPr>
          <w:rFonts w:hint="eastAsia"/>
        </w:rPr>
        <w:t>（六）整理提供设备清洗前后所有影像对比资料并存挡。</w:t>
      </w:r>
    </w:p>
    <w:p>
      <w:pPr>
        <w:spacing w:line="579" w:lineRule="exact"/>
        <w:ind w:firstLine="640" w:firstLineChars="200"/>
      </w:pPr>
      <w:r>
        <w:t>3.1.2</w:t>
      </w:r>
      <w:r>
        <w:rPr>
          <w:rFonts w:hint="eastAsia"/>
        </w:rPr>
        <w:t>须按照甲方要求的具体时间、清洗范围进行施工；在规定的期限内，必须完成清洗任务；</w:t>
      </w:r>
    </w:p>
    <w:p>
      <w:pPr>
        <w:spacing w:line="579" w:lineRule="exact"/>
        <w:ind w:firstLine="640" w:firstLineChars="200"/>
      </w:pPr>
      <w:r>
        <w:t>3.1.3</w:t>
      </w:r>
      <w:r>
        <w:rPr>
          <w:rFonts w:hint="eastAsia"/>
        </w:rPr>
        <w:t>爱护甲方建筑物及各种设施设备，注意节约水电，因乙方原因造成甲方建筑物、设施设备等损坏的，由乙方及时修复，如不能修复的按损坏物现值价值进行赔偿；</w:t>
      </w:r>
    </w:p>
    <w:p>
      <w:pPr>
        <w:spacing w:line="579" w:lineRule="exact"/>
        <w:ind w:firstLine="640" w:firstLineChars="200"/>
      </w:pPr>
      <w:r>
        <w:t>3.1.4</w:t>
      </w:r>
      <w:r>
        <w:rPr>
          <w:rFonts w:hint="eastAsia"/>
        </w:rPr>
        <w:t>在清洗进行中若有其他外来干扰因素，乙方可要求甲方进行协调；</w:t>
      </w:r>
    </w:p>
    <w:p>
      <w:pPr>
        <w:spacing w:line="579" w:lineRule="exact"/>
        <w:ind w:firstLine="640" w:firstLineChars="200"/>
      </w:pPr>
      <w:r>
        <w:t>3.1.5</w:t>
      </w:r>
      <w:r>
        <w:rPr>
          <w:rFonts w:hint="eastAsia"/>
        </w:rPr>
        <w:t>乙方须接受甲方提出的现场合理整改意见，并及时整改；</w:t>
      </w:r>
    </w:p>
    <w:p>
      <w:pPr>
        <w:spacing w:line="579" w:lineRule="exact"/>
        <w:ind w:firstLine="640" w:firstLineChars="200"/>
      </w:pPr>
      <w:r>
        <w:t>3.1.6</w:t>
      </w:r>
      <w:r>
        <w:rPr>
          <w:rFonts w:hint="eastAsia"/>
        </w:rPr>
        <w:t>项目完工后，乙方应提供合法有效的票据；</w:t>
      </w:r>
    </w:p>
    <w:p>
      <w:pPr>
        <w:spacing w:line="579" w:lineRule="exact"/>
        <w:ind w:firstLine="640" w:firstLineChars="200"/>
      </w:pPr>
      <w:r>
        <w:t>3.1.7</w:t>
      </w:r>
      <w:r>
        <w:rPr>
          <w:rFonts w:hint="eastAsia"/>
        </w:rPr>
        <w:t>乙方使用的清洁材料须符合国家环保与安全等规定；</w:t>
      </w:r>
    </w:p>
    <w:p>
      <w:pPr>
        <w:spacing w:line="579" w:lineRule="exact"/>
        <w:ind w:firstLine="640" w:firstLineChars="200"/>
      </w:pPr>
      <w:r>
        <w:t>3.1.8</w:t>
      </w:r>
      <w:r>
        <w:rPr>
          <w:rFonts w:hint="eastAsia"/>
        </w:rPr>
        <w:t>严格遵守甲方单位制定的各项管理规定及安全规定；</w:t>
      </w:r>
    </w:p>
    <w:p>
      <w:pPr>
        <w:spacing w:line="579" w:lineRule="exact"/>
        <w:ind w:firstLine="640" w:firstLineChars="200"/>
      </w:pPr>
      <w:r>
        <w:t>3.1.9</w:t>
      </w:r>
      <w:r>
        <w:rPr>
          <w:rFonts w:hint="eastAsia"/>
        </w:rPr>
        <w:t>严格按照操作规范施工，现场有专人监督，确保施工过程中的人生及财产安全；</w:t>
      </w:r>
    </w:p>
    <w:p>
      <w:pPr>
        <w:spacing w:line="579" w:lineRule="exact"/>
        <w:ind w:firstLine="640" w:firstLineChars="200"/>
      </w:pPr>
      <w:r>
        <w:t>3.1.10</w:t>
      </w:r>
      <w:r>
        <w:rPr>
          <w:rFonts w:hint="eastAsia"/>
        </w:rPr>
        <w:t>施工中对于水、电、火的使用必须与甲方提前协商，确定使用的程序及范围，做到安全文明使用；</w:t>
      </w:r>
    </w:p>
    <w:p>
      <w:pPr>
        <w:spacing w:line="579" w:lineRule="exact"/>
        <w:ind w:firstLine="640" w:firstLineChars="200"/>
      </w:pPr>
      <w:r>
        <w:t>3.1.11</w:t>
      </w:r>
      <w:r>
        <w:rPr>
          <w:rFonts w:hint="eastAsia"/>
        </w:rPr>
        <w:t>施工中如发现安全隐患及安全事故应及时采取必要的措施，并及时通知甲方；</w:t>
      </w:r>
    </w:p>
    <w:p>
      <w:pPr>
        <w:spacing w:line="579" w:lineRule="exact"/>
        <w:ind w:firstLine="640" w:firstLineChars="200"/>
      </w:pPr>
      <w:r>
        <w:t>3.1.12</w:t>
      </w:r>
      <w:r>
        <w:rPr>
          <w:rFonts w:hint="eastAsia"/>
        </w:rPr>
        <w:t>乙方进现场前对所有施工人员进行安全教育保证施工安全，施工过程中如因乙方造成的事故由乙方自行负责；</w:t>
      </w:r>
    </w:p>
    <w:p>
      <w:pPr>
        <w:spacing w:line="579" w:lineRule="exact"/>
        <w:ind w:firstLine="640" w:firstLineChars="200"/>
      </w:pPr>
      <w:r>
        <w:t>3.1.13</w:t>
      </w:r>
      <w:r>
        <w:rPr>
          <w:rFonts w:hint="eastAsia"/>
        </w:rPr>
        <w:t>乙方施工中，甲方不能使用的设备、按钮等需告知甲方或明确标识，若未告知或明确标识导致的安全事故应由乙方全权负责；</w:t>
      </w:r>
    </w:p>
    <w:p>
      <w:pPr>
        <w:spacing w:line="579" w:lineRule="exact"/>
        <w:ind w:firstLine="640" w:firstLineChars="200"/>
      </w:pPr>
      <w:r>
        <w:t>3.1.14</w:t>
      </w:r>
      <w:r>
        <w:rPr>
          <w:rFonts w:hint="eastAsia"/>
        </w:rPr>
        <w:t>作业前，作业后，甲乙双方负责人配合所有建筑物及设施设备查验。</w:t>
      </w:r>
    </w:p>
    <w:p>
      <w:pPr>
        <w:spacing w:line="579" w:lineRule="exact"/>
        <w:ind w:firstLine="640" w:firstLineChars="200"/>
      </w:pPr>
      <w:r>
        <w:t>3.1.15</w:t>
      </w:r>
      <w:r>
        <w:rPr>
          <w:rFonts w:hint="eastAsia"/>
        </w:rPr>
        <w:t>清洗竣工之日起，三个月内由于清洗未达防火要求，发生火灾，根据消防部门出具的《火灾原因调查结论》承担相应责任。</w:t>
      </w:r>
    </w:p>
    <w:p>
      <w:pPr>
        <w:spacing w:line="579" w:lineRule="exact"/>
        <w:ind w:firstLine="640" w:firstLineChars="200"/>
      </w:pPr>
      <w:r>
        <w:t>3.1.16</w:t>
      </w:r>
      <w:r>
        <w:rPr>
          <w:rFonts w:hint="eastAsia"/>
        </w:rPr>
        <w:t>因甲方酒店已正常营业，乙方在进行清洗期间，不得影响甲方酒店的正常营业。</w:t>
      </w:r>
    </w:p>
    <w:p>
      <w:pPr>
        <w:spacing w:line="579" w:lineRule="exact"/>
        <w:ind w:firstLine="640" w:firstLineChars="200"/>
        <w:rPr>
          <w:b/>
          <w:bCs/>
        </w:rPr>
      </w:pPr>
      <w:r>
        <w:rPr>
          <w:rFonts w:hint="eastAsia"/>
          <w:b/>
          <w:bCs/>
        </w:rPr>
        <w:t>3.2 甲方的责任及义务</w:t>
      </w:r>
    </w:p>
    <w:p>
      <w:pPr>
        <w:spacing w:line="579" w:lineRule="exact"/>
        <w:ind w:firstLine="640" w:firstLineChars="200"/>
      </w:pPr>
      <w:r>
        <w:t>3.2.1</w:t>
      </w:r>
      <w:r>
        <w:rPr>
          <w:rFonts w:hint="eastAsia"/>
        </w:rPr>
        <w:t>甲方负责在施工前向乙方提供酒店厨房排油烟设备及隔油处理机组详细原始资料及图纸交乙方复印,同时负责配合乙方工程技术人员完成图纸及现场考察工作,为乙方技术人员制订完善的清洗工艺方案提供帮助。</w:t>
      </w:r>
    </w:p>
    <w:p>
      <w:pPr>
        <w:spacing w:line="579" w:lineRule="exact"/>
        <w:ind w:firstLine="640" w:firstLineChars="200"/>
      </w:pPr>
      <w:r>
        <w:t>3.2.2</w:t>
      </w:r>
      <w:r>
        <w:rPr>
          <w:rFonts w:hint="eastAsia"/>
        </w:rPr>
        <w:t>甲方负责在乙方施工时，派专人配合乙方，完成提前向清洗楼层下通知、按时分区停机、并负责与乙方共同解决现场中发生的技术及工作纠纷等问题。</w:t>
      </w:r>
    </w:p>
    <w:p>
      <w:pPr>
        <w:spacing w:line="579" w:lineRule="exact"/>
        <w:ind w:firstLine="640" w:firstLineChars="200"/>
      </w:pPr>
      <w:r>
        <w:rPr>
          <w:rFonts w:hint="eastAsia"/>
        </w:rPr>
        <w:t>3</w:t>
      </w:r>
      <w:r>
        <w:t>.3.3</w:t>
      </w:r>
      <w:r>
        <w:rPr>
          <w:rFonts w:hint="eastAsia"/>
        </w:rPr>
        <w:t>甲方负责安排临时房间存放乙方所有清洗设备，同时负责帮助乙方施工人员办理各项出入证明。</w:t>
      </w:r>
    </w:p>
    <w:p>
      <w:pPr>
        <w:spacing w:line="579" w:lineRule="exact"/>
        <w:ind w:firstLine="640" w:firstLineChars="200"/>
      </w:pPr>
      <w:r>
        <w:t>3.3.4</w:t>
      </w:r>
      <w:r>
        <w:rPr>
          <w:rFonts w:hint="eastAsia"/>
        </w:rPr>
        <w:t>提供施工用电、用水、电梯、车辆进出、停放及工作场地等方便，并不得向乙方收取任何相关费用。</w:t>
      </w:r>
    </w:p>
    <w:p>
      <w:pPr>
        <w:spacing w:line="579" w:lineRule="exact"/>
        <w:ind w:firstLine="640" w:firstLineChars="200"/>
      </w:pPr>
      <w:r>
        <w:t>3.3.5</w:t>
      </w:r>
      <w:r>
        <w:rPr>
          <w:rFonts w:hint="eastAsia"/>
        </w:rPr>
        <w:t>清洗施工期间免费为乙方提供清洗设备所需的水电，以及相关清洗设备的存放等因服务所需的作业条件；</w:t>
      </w:r>
    </w:p>
    <w:p>
      <w:pPr>
        <w:spacing w:line="579" w:lineRule="exact"/>
        <w:ind w:firstLine="640" w:firstLineChars="200"/>
      </w:pPr>
      <w:r>
        <w:t>3.3.6</w:t>
      </w:r>
      <w:r>
        <w:rPr>
          <w:rFonts w:hint="eastAsia"/>
        </w:rPr>
        <w:t>在清洗施工期间，甲方应协助乙方提供安全的施工环境；</w:t>
      </w:r>
    </w:p>
    <w:p>
      <w:pPr>
        <w:spacing w:line="579" w:lineRule="exact"/>
        <w:ind w:firstLine="640" w:firstLineChars="200"/>
      </w:pPr>
      <w:r>
        <w:t>3.3.7</w:t>
      </w:r>
      <w:r>
        <w:rPr>
          <w:rFonts w:hint="eastAsia"/>
        </w:rPr>
        <w:t>在清洗施工前，甲方如有设施设备已经损坏的或者有其他需要注意事项的，甲方应明确告知乙方。若甲方未明确告知乙方，所有责任由甲方承担；若甲方明确告知乙方，因乙方使用不当照成的损坏，由乙方及时修复，如不能修复的按损坏物现值价值进行赔偿；</w:t>
      </w:r>
    </w:p>
    <w:p>
      <w:pPr>
        <w:spacing w:line="579" w:lineRule="exact"/>
        <w:ind w:firstLine="640" w:firstLineChars="200"/>
      </w:pPr>
      <w:r>
        <w:t>3.3.8</w:t>
      </w:r>
      <w:r>
        <w:rPr>
          <w:rFonts w:hint="eastAsia"/>
        </w:rPr>
        <w:t>在清洗施工中，甲方应派人员现场监督施工质量；在乙方施工中甲方使用乙方明确标识不能使用的设备、按钮等导致的安全事故应由甲方全权负责；</w:t>
      </w:r>
    </w:p>
    <w:p>
      <w:pPr>
        <w:spacing w:line="579" w:lineRule="exact"/>
        <w:ind w:firstLine="640" w:firstLineChars="200"/>
      </w:pPr>
      <w:r>
        <w:t>3.3.9</w:t>
      </w:r>
      <w:r>
        <w:rPr>
          <w:rFonts w:hint="eastAsia"/>
        </w:rPr>
        <w:t>在清洗施工结束后，由甲方监督人员对现场建筑物及各种设施设备检查及清洗服务质量进行验收，验收不合格甲方有权要求乙方清洗人员返工重新清洗；如甲方不派人现场监督验收，乙方离场后即视作现场建筑物及各种设施设备完好且清洗服务质量合格。</w:t>
      </w:r>
    </w:p>
    <w:p>
      <w:pPr>
        <w:spacing w:line="579" w:lineRule="exact"/>
        <w:ind w:firstLine="640" w:firstLineChars="200"/>
      </w:pPr>
      <w:r>
        <w:t>3.3.10</w:t>
      </w:r>
      <w:r>
        <w:rPr>
          <w:rFonts w:hint="eastAsia"/>
        </w:rPr>
        <w:t>甲方需按照根据国家GB/T40248--2021《人员密集场所消防安全管理》要求，旅馆、餐饮场所、医院、学校等厨房的烟道应至少每季度清洗一次，如未按照该规定清洗，导致发生火灾等事故由甲方自行承担责任。3</w:t>
      </w:r>
      <w:r>
        <w:t>.3.11</w:t>
      </w:r>
      <w:r>
        <w:rPr>
          <w:rFonts w:hint="eastAsia"/>
        </w:rPr>
        <w:t>在清洗施工结束后，由甲方监督人员对现场建筑物及各种设施设备检查及清洗服务质量进行验收，验收不合格甲方有权要求乙方清洗人员返工重新清洗；如甲方不派人现场监督验收，乙方离场后即视作现场建筑物及各种设施设备完好且清洗服务质量合格。</w:t>
      </w:r>
    </w:p>
    <w:p>
      <w:pPr>
        <w:spacing w:line="579" w:lineRule="exact"/>
        <w:ind w:firstLine="640" w:firstLineChars="200"/>
      </w:pPr>
      <w:r>
        <w:t>3.3.12</w:t>
      </w:r>
      <w:r>
        <w:rPr>
          <w:rFonts w:hint="eastAsia"/>
        </w:rPr>
        <w:t>甲方需按照根据国家GB/T40248--2021《人员密集场所消防安全管理》要求，旅馆、餐饮场所、医院、学校等厨房的烟道应至少每季度清洗一次，如未按照该规定清洗，导致发生火灾等事故由甲方自行承担责任。</w:t>
      </w:r>
    </w:p>
    <w:p>
      <w:pPr>
        <w:pStyle w:val="3"/>
        <w:spacing w:after="0" w:line="579" w:lineRule="exact"/>
        <w:ind w:left="0" w:leftChars="0" w:firstLine="640" w:firstLineChars="200"/>
        <w:rPr>
          <w:b/>
          <w:bCs/>
        </w:rPr>
      </w:pPr>
      <w:r>
        <w:rPr>
          <w:rFonts w:hint="eastAsia"/>
          <w:b/>
          <w:bCs/>
        </w:rPr>
        <w:t>第四条  违约责任</w:t>
      </w:r>
    </w:p>
    <w:p>
      <w:pPr>
        <w:spacing w:line="579" w:lineRule="exact"/>
        <w:ind w:firstLine="640" w:firstLineChars="200"/>
      </w:pPr>
      <w:r>
        <w:rPr>
          <w:rFonts w:hint="eastAsia"/>
        </w:rPr>
        <w:t>4.1 除不可抗力的外，甲乙双方应严格遵守本协议的条款，否则，违约方须承担违约责任。</w:t>
      </w:r>
    </w:p>
    <w:p>
      <w:pPr>
        <w:spacing w:line="579" w:lineRule="exact"/>
        <w:ind w:firstLine="640" w:firstLineChars="200"/>
      </w:pPr>
      <w:r>
        <w:rPr>
          <w:rFonts w:hint="eastAsia"/>
        </w:rPr>
        <w:t>4.2 乙方不得拖欠民工工资，否则如出现民工、劳务停工，滋事闹事等情况，甲方有权直接代为支付民工工资等劳务费用，并按照甲方实际支付费用的120%从合同总费用中扣除。</w:t>
      </w:r>
    </w:p>
    <w:p>
      <w:pPr>
        <w:spacing w:line="579" w:lineRule="exact"/>
        <w:ind w:firstLine="640" w:firstLineChars="200"/>
      </w:pPr>
      <w:r>
        <w:rPr>
          <w:rFonts w:hint="eastAsia"/>
        </w:rPr>
        <w:t>4.3 乙方若未按合同约定条款履约，造成违约的，甲方有权解除合同，乙方按照合同总价20%承担违约金；若还给甲方造成损失的，损失由乙方承担赔偿责任，本合同损失包括但不限于经济损失、诉讼费、律师费、公证费、鉴定费等；甲方有权从合同总费用中直接扣除前述违约金及费用。</w:t>
      </w:r>
    </w:p>
    <w:p>
      <w:pPr>
        <w:spacing w:line="579" w:lineRule="exact"/>
        <w:ind w:firstLine="640" w:firstLineChars="200"/>
      </w:pPr>
      <w:r>
        <w:rPr>
          <w:rFonts w:hint="eastAsia"/>
        </w:rPr>
        <w:t>4.4 除本合同另有约定除外，未经甲乙双方协商一致，任何一方不得无故要求解除本合同，否则提出解除合同的一方须承担合同总价20%的违约金，若还给守约方造成损失的，还应承担损失责任（包括但不限于经济损失、律师费、诉讼费、保全费、公证费、鉴定费等）。</w:t>
      </w:r>
    </w:p>
    <w:p>
      <w:pPr>
        <w:spacing w:line="579" w:lineRule="exact"/>
        <w:ind w:firstLine="640" w:firstLineChars="200"/>
      </w:pPr>
      <w:r>
        <w:rPr>
          <w:rFonts w:hint="eastAsia"/>
        </w:rPr>
        <w:t>4.5</w:t>
      </w:r>
      <w:r>
        <w:rPr>
          <w:rFonts w:hint="eastAsia"/>
          <w:lang w:val="zh-CN"/>
        </w:rPr>
        <w:t>甲方若未按合同规定期限支付款</w:t>
      </w:r>
      <w:r>
        <w:rPr>
          <w:rFonts w:hint="eastAsia"/>
        </w:rPr>
        <w:t>项</w:t>
      </w:r>
      <w:r>
        <w:rPr>
          <w:rFonts w:hint="eastAsia"/>
          <w:lang w:val="zh-CN"/>
        </w:rPr>
        <w:t>的，每逾期一日，需</w:t>
      </w:r>
      <w:r>
        <w:rPr>
          <w:rFonts w:hint="eastAsia"/>
        </w:rPr>
        <w:t>向乙方支付</w:t>
      </w:r>
      <w:r>
        <w:rPr>
          <w:rFonts w:hint="eastAsia"/>
          <w:lang w:val="zh-CN"/>
        </w:rPr>
        <w:t>未付款</w:t>
      </w:r>
      <w:r>
        <w:rPr>
          <w:rFonts w:hint="eastAsia"/>
        </w:rPr>
        <w:t>金</w:t>
      </w:r>
      <w:r>
        <w:rPr>
          <w:rFonts w:hint="eastAsia"/>
          <w:lang w:val="zh-CN"/>
        </w:rPr>
        <w:t>额1‰的违约金，累计计算，但最高不超过合同总额的20%。</w:t>
      </w:r>
    </w:p>
    <w:p>
      <w:pPr>
        <w:pStyle w:val="3"/>
        <w:spacing w:after="0" w:line="579" w:lineRule="exact"/>
        <w:ind w:left="0" w:leftChars="0" w:firstLine="640" w:firstLineChars="200"/>
        <w:rPr>
          <w:b/>
          <w:bCs/>
        </w:rPr>
      </w:pPr>
      <w:r>
        <w:rPr>
          <w:rFonts w:hint="eastAsia"/>
          <w:b/>
          <w:bCs/>
        </w:rPr>
        <w:t>第五条  合同争议的解决方式:</w:t>
      </w:r>
    </w:p>
    <w:p>
      <w:pPr>
        <w:pStyle w:val="3"/>
        <w:spacing w:after="0" w:line="579" w:lineRule="exact"/>
        <w:ind w:left="0" w:leftChars="0" w:firstLine="640" w:firstLineChars="200"/>
      </w:pPr>
      <w:r>
        <w:rPr>
          <w:rFonts w:hint="eastAsia"/>
        </w:rPr>
        <w:t>本合同在履行过程中发生的异议及争议，由双方当事人协商解决，协商或调解无效，双方均有权向甲方所在地的人民法院提起诉讼。</w:t>
      </w:r>
    </w:p>
    <w:p>
      <w:pPr>
        <w:spacing w:line="579" w:lineRule="exact"/>
        <w:ind w:firstLine="640" w:firstLineChars="200"/>
        <w:rPr>
          <w:b/>
          <w:bCs/>
        </w:rPr>
      </w:pPr>
      <w:r>
        <w:rPr>
          <w:rFonts w:hint="eastAsia"/>
          <w:b/>
          <w:bCs/>
        </w:rPr>
        <w:t>第六条  其他</w:t>
      </w:r>
    </w:p>
    <w:p>
      <w:pPr>
        <w:spacing w:line="579" w:lineRule="exact"/>
        <w:ind w:firstLine="640" w:firstLineChars="200"/>
      </w:pPr>
      <w:r>
        <w:rPr>
          <w:rFonts w:hint="eastAsia"/>
        </w:rPr>
        <w:t>6.1通知与送达：甲方向乙方发出本合同相关的任何通知、信函、法律文书（包括因本合同履行而可能发生的争议引起之诉讼时，法院据以送达的各类法律文书）或其他通信均应以专人递交、电子邮件或特快专递方式发出。在以下情形发生时，该等通知、信函、法律文书或其他通信将视为被送达（不论是否查无此人、拒收、退件或者其他方式不能传递给被送达人的）：</w:t>
      </w:r>
    </w:p>
    <w:p>
      <w:pPr>
        <w:spacing w:line="579" w:lineRule="exact"/>
        <w:ind w:firstLine="640" w:firstLineChars="200"/>
      </w:pPr>
      <w:r>
        <w:rPr>
          <w:rFonts w:hint="eastAsia"/>
        </w:rPr>
        <w:t>（1）以专人递交的，在交付之日即视为有效送达。</w:t>
      </w:r>
    </w:p>
    <w:p>
      <w:pPr>
        <w:spacing w:line="579" w:lineRule="exact"/>
        <w:ind w:firstLine="640" w:firstLineChars="200"/>
      </w:pPr>
      <w:r>
        <w:rPr>
          <w:rFonts w:hint="eastAsia"/>
        </w:rPr>
        <w:t>（2）以特快专递发出的，在寄出日后的第3日视为有效送达。</w:t>
      </w:r>
    </w:p>
    <w:p>
      <w:pPr>
        <w:spacing w:line="579" w:lineRule="exact"/>
        <w:ind w:firstLine="640" w:firstLineChars="200"/>
      </w:pPr>
      <w:r>
        <w:rPr>
          <w:rFonts w:hint="eastAsia"/>
        </w:rPr>
        <w:t>（3）一切通知、信函、法律文书、其他通信均应发往以下列明的乙方地址：</w:t>
      </w:r>
    </w:p>
    <w:p>
      <w:pPr>
        <w:spacing w:line="579" w:lineRule="exact"/>
        <w:ind w:firstLine="640" w:firstLineChars="200"/>
      </w:pPr>
      <w:r>
        <w:rPr>
          <w:rFonts w:hint="eastAsia"/>
        </w:rPr>
        <w:t>乙方地址：</w:t>
      </w:r>
    </w:p>
    <w:p>
      <w:pPr>
        <w:spacing w:line="579" w:lineRule="exact"/>
        <w:ind w:firstLine="640" w:firstLineChars="200"/>
      </w:pPr>
      <w:r>
        <w:rPr>
          <w:rFonts w:hint="eastAsia"/>
        </w:rPr>
        <w:t>联系人：</w:t>
      </w:r>
    </w:p>
    <w:p>
      <w:pPr>
        <w:spacing w:line="579" w:lineRule="exact"/>
        <w:ind w:firstLine="640" w:firstLineChars="200"/>
      </w:pPr>
      <w:r>
        <w:rPr>
          <w:rFonts w:hint="eastAsia"/>
        </w:rPr>
        <w:t>联系电话：</w:t>
      </w:r>
    </w:p>
    <w:p>
      <w:pPr>
        <w:spacing w:line="579" w:lineRule="exact"/>
        <w:ind w:firstLine="640" w:firstLineChars="200"/>
      </w:pPr>
      <w:r>
        <w:rPr>
          <w:rFonts w:hint="eastAsia"/>
        </w:rPr>
        <w:t>（4）乙方变更地址及联系信息的，应在变更后3日内书面通知甲方（本合同项下争议被法院受理的还应通知受理法院），否则甲方或法院向乙方变更前的地址及联系信息发送通知信函、法律文书、相关文件的，视为已履行送达义务。</w:t>
      </w:r>
    </w:p>
    <w:p>
      <w:pPr>
        <w:spacing w:line="579" w:lineRule="exact"/>
        <w:ind w:firstLine="640" w:firstLineChars="200"/>
      </w:pPr>
      <w:r>
        <w:rPr>
          <w:rFonts w:hint="eastAsia"/>
        </w:rPr>
        <w:t>6.2 下列附件是本合同不可分割的组成部分，与本合同具有同等的法律效力。</w:t>
      </w:r>
    </w:p>
    <w:p>
      <w:pPr>
        <w:spacing w:line="579" w:lineRule="exact"/>
        <w:ind w:firstLine="640" w:firstLineChars="200"/>
      </w:pPr>
      <w:r>
        <w:rPr>
          <w:rFonts w:hint="eastAsia"/>
        </w:rPr>
        <w:t>合同附件：报价清单</w:t>
      </w:r>
    </w:p>
    <w:p>
      <w:pPr>
        <w:spacing w:line="579" w:lineRule="exact"/>
        <w:ind w:firstLine="640" w:firstLineChars="200"/>
      </w:pPr>
      <w:r>
        <w:rPr>
          <w:rFonts w:hint="eastAsia"/>
          <w:b/>
        </w:rPr>
        <w:t>第七条</w:t>
      </w:r>
      <w:r>
        <w:rPr>
          <w:rFonts w:hint="eastAsia"/>
        </w:rPr>
        <w:t>：本合同遵照中华人民共和国法律执行。各方如有未尽事宜需做补充，经协商并达成一致后须另行签订补充协议。</w:t>
      </w:r>
    </w:p>
    <w:p>
      <w:pPr>
        <w:spacing w:line="579" w:lineRule="exact"/>
        <w:ind w:firstLine="640" w:firstLineChars="200"/>
      </w:pPr>
    </w:p>
    <w:p>
      <w:pPr>
        <w:spacing w:line="579" w:lineRule="exact"/>
        <w:ind w:firstLine="640" w:firstLineChars="200"/>
      </w:pPr>
      <w:r>
        <w:rPr>
          <w:rFonts w:hint="eastAsia"/>
        </w:rPr>
        <w:t>本合同协议书一式肆份（甲乙双方各执贰份）均有同等法律效力。本合同自甲乙双方盖章后生效。</w:t>
      </w:r>
    </w:p>
    <w:p>
      <w:pPr>
        <w:spacing w:line="579" w:lineRule="exact"/>
        <w:ind w:firstLine="640" w:firstLineChars="200"/>
      </w:pPr>
    </w:p>
    <w:p>
      <w:pPr>
        <w:spacing w:line="579" w:lineRule="exact"/>
        <w:ind w:firstLine="640" w:firstLineChars="200"/>
      </w:pPr>
      <w:r>
        <w:rPr>
          <w:rFonts w:hint="eastAsia"/>
        </w:rPr>
        <w:t>（以下无正文）</w:t>
      </w:r>
    </w:p>
    <w:p>
      <w:pPr>
        <w:spacing w:line="579" w:lineRule="exact"/>
        <w:ind w:firstLine="640" w:firstLineChars="200"/>
      </w:pPr>
    </w:p>
    <w:p>
      <w:pPr>
        <w:spacing w:line="579" w:lineRule="exact"/>
        <w:ind w:firstLine="640" w:firstLineChars="200"/>
      </w:pPr>
      <w:r>
        <w:rPr>
          <w:rFonts w:hint="eastAsia"/>
        </w:rPr>
        <w:t xml:space="preserve">甲方：  </w:t>
      </w:r>
    </w:p>
    <w:p>
      <w:pPr>
        <w:spacing w:line="579" w:lineRule="exact"/>
        <w:ind w:firstLine="640" w:firstLineChars="200"/>
      </w:pPr>
      <w:r>
        <w:rPr>
          <w:rFonts w:hint="eastAsia"/>
        </w:rPr>
        <w:t>法人或授权代表签字：</w:t>
      </w:r>
    </w:p>
    <w:p>
      <w:pPr>
        <w:spacing w:line="579" w:lineRule="exact"/>
        <w:ind w:firstLine="640" w:firstLineChars="200"/>
      </w:pPr>
    </w:p>
    <w:p>
      <w:pPr>
        <w:spacing w:line="579" w:lineRule="exact"/>
        <w:ind w:firstLine="640" w:firstLineChars="200"/>
      </w:pPr>
      <w:r>
        <w:rPr>
          <w:rFonts w:hint="eastAsia"/>
        </w:rPr>
        <w:t>乙方：</w:t>
      </w:r>
    </w:p>
    <w:p>
      <w:pPr>
        <w:spacing w:line="579" w:lineRule="exact"/>
        <w:ind w:firstLine="640" w:firstLineChars="200"/>
      </w:pPr>
      <w:r>
        <w:rPr>
          <w:rFonts w:hint="eastAsia"/>
        </w:rPr>
        <w:t>法人或授权代表签字：</w:t>
      </w:r>
    </w:p>
    <w:p>
      <w:pPr>
        <w:spacing w:line="579" w:lineRule="exact"/>
        <w:ind w:firstLine="640" w:firstLineChars="200"/>
      </w:pPr>
    </w:p>
    <w:p>
      <w:pPr>
        <w:spacing w:line="579" w:lineRule="exact"/>
        <w:ind w:firstLine="640" w:firstLineChars="200"/>
      </w:pPr>
      <w:r>
        <w:rPr>
          <w:rFonts w:hint="eastAsia"/>
        </w:rPr>
        <w:t>2024年   月   日</w:t>
      </w:r>
    </w:p>
    <w:p>
      <w:pPr>
        <w:spacing w:line="579" w:lineRule="exact"/>
      </w:pPr>
    </w:p>
    <w:p>
      <w:pPr>
        <w:pStyle w:val="7"/>
        <w:spacing w:line="579" w:lineRule="exact"/>
        <w:ind w:firstLine="320"/>
        <w:rPr>
          <w:lang w:eastAsia="zh-CN"/>
        </w:rPr>
      </w:pPr>
    </w:p>
    <w:sectPr>
      <w:pgSz w:w="11906" w:h="16838"/>
      <w:pgMar w:top="2098" w:right="1531" w:bottom="1985" w:left="1531" w:header="851" w:footer="992" w:gutter="0"/>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9DF9B7"/>
    <w:multiLevelType w:val="singleLevel"/>
    <w:tmpl w:val="D19DF9B7"/>
    <w:lvl w:ilvl="0" w:tentative="0">
      <w:start w:val="1"/>
      <w:numFmt w:val="decimal"/>
      <w:lvlText w:val="%1."/>
      <w:lvlJc w:val="left"/>
      <w:pPr>
        <w:ind w:left="420" w:hanging="420"/>
      </w:pPr>
    </w:lvl>
  </w:abstractNum>
  <w:abstractNum w:abstractNumId="1">
    <w:nsid w:val="0000000E"/>
    <w:multiLevelType w:val="multilevel"/>
    <w:tmpl w:val="0000000E"/>
    <w:lvl w:ilvl="0" w:tentative="0">
      <w:start w:val="1"/>
      <w:numFmt w:val="japaneseCounting"/>
      <w:lvlText w:val="第%1条"/>
      <w:lvlJc w:val="left"/>
      <w:pPr>
        <w:tabs>
          <w:tab w:val="left" w:pos="720"/>
        </w:tabs>
        <w:ind w:left="720" w:hanging="720"/>
      </w:pPr>
      <w:rPr>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12A5606"/>
    <w:multiLevelType w:val="multilevel"/>
    <w:tmpl w:val="012A5606"/>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2D3767F"/>
    <w:multiLevelType w:val="multilevel"/>
    <w:tmpl w:val="02D3767F"/>
    <w:lvl w:ilvl="0" w:tentative="0">
      <w:start w:val="1"/>
      <w:numFmt w:val="chineseCountingThousand"/>
      <w:lvlText w:val="(%1)"/>
      <w:lvlJc w:val="left"/>
      <w:pPr>
        <w:ind w:left="494" w:hanging="420"/>
      </w:pPr>
    </w:lvl>
    <w:lvl w:ilvl="1" w:tentative="0">
      <w:start w:val="1"/>
      <w:numFmt w:val="lowerLetter"/>
      <w:lvlText w:val="%2)"/>
      <w:lvlJc w:val="left"/>
      <w:pPr>
        <w:ind w:left="914" w:hanging="420"/>
      </w:pPr>
    </w:lvl>
    <w:lvl w:ilvl="2" w:tentative="0">
      <w:start w:val="1"/>
      <w:numFmt w:val="lowerRoman"/>
      <w:lvlText w:val="%3."/>
      <w:lvlJc w:val="right"/>
      <w:pPr>
        <w:ind w:left="1334" w:hanging="420"/>
      </w:pPr>
    </w:lvl>
    <w:lvl w:ilvl="3" w:tentative="0">
      <w:start w:val="1"/>
      <w:numFmt w:val="decimal"/>
      <w:lvlText w:val="%4."/>
      <w:lvlJc w:val="left"/>
      <w:pPr>
        <w:ind w:left="1754" w:hanging="420"/>
      </w:pPr>
    </w:lvl>
    <w:lvl w:ilvl="4" w:tentative="0">
      <w:start w:val="1"/>
      <w:numFmt w:val="lowerLetter"/>
      <w:lvlText w:val="%5)"/>
      <w:lvlJc w:val="left"/>
      <w:pPr>
        <w:ind w:left="2174" w:hanging="420"/>
      </w:pPr>
    </w:lvl>
    <w:lvl w:ilvl="5" w:tentative="0">
      <w:start w:val="1"/>
      <w:numFmt w:val="lowerRoman"/>
      <w:lvlText w:val="%6."/>
      <w:lvlJc w:val="right"/>
      <w:pPr>
        <w:ind w:left="2594" w:hanging="420"/>
      </w:pPr>
    </w:lvl>
    <w:lvl w:ilvl="6" w:tentative="0">
      <w:start w:val="1"/>
      <w:numFmt w:val="decimal"/>
      <w:lvlText w:val="%7."/>
      <w:lvlJc w:val="left"/>
      <w:pPr>
        <w:ind w:left="3014" w:hanging="420"/>
      </w:pPr>
    </w:lvl>
    <w:lvl w:ilvl="7" w:tentative="0">
      <w:start w:val="1"/>
      <w:numFmt w:val="lowerLetter"/>
      <w:lvlText w:val="%8)"/>
      <w:lvlJc w:val="left"/>
      <w:pPr>
        <w:ind w:left="3434" w:hanging="420"/>
      </w:pPr>
    </w:lvl>
    <w:lvl w:ilvl="8" w:tentative="0">
      <w:start w:val="1"/>
      <w:numFmt w:val="lowerRoman"/>
      <w:lvlText w:val="%9."/>
      <w:lvlJc w:val="right"/>
      <w:pPr>
        <w:ind w:left="3854" w:hanging="420"/>
      </w:pPr>
    </w:lvl>
  </w:abstractNum>
  <w:abstractNum w:abstractNumId="4">
    <w:nsid w:val="31B77A9A"/>
    <w:multiLevelType w:val="multilevel"/>
    <w:tmpl w:val="31B77A9A"/>
    <w:lvl w:ilvl="0" w:tentative="0">
      <w:start w:val="3"/>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21609E5"/>
    <w:multiLevelType w:val="multilevel"/>
    <w:tmpl w:val="421609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EC7588"/>
    <w:multiLevelType w:val="multilevel"/>
    <w:tmpl w:val="6CEC7588"/>
    <w:lvl w:ilvl="0" w:tentative="0">
      <w:start w:val="3"/>
      <w:numFmt w:val="japaneseCounting"/>
      <w:pStyle w:val="13"/>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hNGVjZjhjYzBlNTkzMWRhZDY5ZjUzNzQyNzc4ZTgifQ=="/>
  </w:docVars>
  <w:rsids>
    <w:rsidRoot w:val="00246697"/>
    <w:rsid w:val="00003950"/>
    <w:rsid w:val="0001283A"/>
    <w:rsid w:val="00031751"/>
    <w:rsid w:val="000362C9"/>
    <w:rsid w:val="00077B5E"/>
    <w:rsid w:val="0008223E"/>
    <w:rsid w:val="000908FE"/>
    <w:rsid w:val="0009416F"/>
    <w:rsid w:val="000C2382"/>
    <w:rsid w:val="000F5E3F"/>
    <w:rsid w:val="001046F2"/>
    <w:rsid w:val="00145682"/>
    <w:rsid w:val="0015790A"/>
    <w:rsid w:val="00157FFC"/>
    <w:rsid w:val="0016688A"/>
    <w:rsid w:val="00191AAA"/>
    <w:rsid w:val="001A3ADA"/>
    <w:rsid w:val="001B782B"/>
    <w:rsid w:val="001C6E06"/>
    <w:rsid w:val="001D2CBB"/>
    <w:rsid w:val="001E44BF"/>
    <w:rsid w:val="00246697"/>
    <w:rsid w:val="00251764"/>
    <w:rsid w:val="00270395"/>
    <w:rsid w:val="002830AD"/>
    <w:rsid w:val="002B189E"/>
    <w:rsid w:val="002E6532"/>
    <w:rsid w:val="003048B8"/>
    <w:rsid w:val="00314BC9"/>
    <w:rsid w:val="0034799F"/>
    <w:rsid w:val="003525F6"/>
    <w:rsid w:val="00357E2E"/>
    <w:rsid w:val="00375C0A"/>
    <w:rsid w:val="00385588"/>
    <w:rsid w:val="003C51F7"/>
    <w:rsid w:val="003C6953"/>
    <w:rsid w:val="003C6A8A"/>
    <w:rsid w:val="003C790C"/>
    <w:rsid w:val="003D6812"/>
    <w:rsid w:val="00415546"/>
    <w:rsid w:val="00435E85"/>
    <w:rsid w:val="004523D0"/>
    <w:rsid w:val="004747C8"/>
    <w:rsid w:val="00482B45"/>
    <w:rsid w:val="00483F0A"/>
    <w:rsid w:val="00490EE8"/>
    <w:rsid w:val="004F7124"/>
    <w:rsid w:val="00571055"/>
    <w:rsid w:val="005A06B2"/>
    <w:rsid w:val="005C5E14"/>
    <w:rsid w:val="005E17B0"/>
    <w:rsid w:val="00600E8F"/>
    <w:rsid w:val="006278DF"/>
    <w:rsid w:val="006340B8"/>
    <w:rsid w:val="00635B43"/>
    <w:rsid w:val="00660B59"/>
    <w:rsid w:val="006951AC"/>
    <w:rsid w:val="006A548E"/>
    <w:rsid w:val="006E785A"/>
    <w:rsid w:val="007033BD"/>
    <w:rsid w:val="007533C1"/>
    <w:rsid w:val="007561D8"/>
    <w:rsid w:val="007739D9"/>
    <w:rsid w:val="007B0643"/>
    <w:rsid w:val="007D7813"/>
    <w:rsid w:val="007E0552"/>
    <w:rsid w:val="007F2C8C"/>
    <w:rsid w:val="007F415C"/>
    <w:rsid w:val="008001F9"/>
    <w:rsid w:val="00807899"/>
    <w:rsid w:val="00825167"/>
    <w:rsid w:val="008302CC"/>
    <w:rsid w:val="00836611"/>
    <w:rsid w:val="00853A59"/>
    <w:rsid w:val="00865093"/>
    <w:rsid w:val="0086621D"/>
    <w:rsid w:val="008746ED"/>
    <w:rsid w:val="0087661D"/>
    <w:rsid w:val="00880793"/>
    <w:rsid w:val="00881B5D"/>
    <w:rsid w:val="00897CBB"/>
    <w:rsid w:val="008A4ACB"/>
    <w:rsid w:val="008E02E5"/>
    <w:rsid w:val="0090155E"/>
    <w:rsid w:val="009134EC"/>
    <w:rsid w:val="00916A08"/>
    <w:rsid w:val="009252F6"/>
    <w:rsid w:val="00927102"/>
    <w:rsid w:val="009409D2"/>
    <w:rsid w:val="009739CC"/>
    <w:rsid w:val="009A54C9"/>
    <w:rsid w:val="009E0746"/>
    <w:rsid w:val="00A133FA"/>
    <w:rsid w:val="00A2271C"/>
    <w:rsid w:val="00A26ECB"/>
    <w:rsid w:val="00A6279A"/>
    <w:rsid w:val="00AD213E"/>
    <w:rsid w:val="00AD2240"/>
    <w:rsid w:val="00AD3ADF"/>
    <w:rsid w:val="00AD49B4"/>
    <w:rsid w:val="00AE354D"/>
    <w:rsid w:val="00B13877"/>
    <w:rsid w:val="00B23C9D"/>
    <w:rsid w:val="00B27B77"/>
    <w:rsid w:val="00B41A16"/>
    <w:rsid w:val="00B46FB6"/>
    <w:rsid w:val="00B519CA"/>
    <w:rsid w:val="00B57F1B"/>
    <w:rsid w:val="00B90261"/>
    <w:rsid w:val="00B96DAC"/>
    <w:rsid w:val="00BA0509"/>
    <w:rsid w:val="00BB6EA8"/>
    <w:rsid w:val="00BC6073"/>
    <w:rsid w:val="00BC69A8"/>
    <w:rsid w:val="00BD2387"/>
    <w:rsid w:val="00BF4E0F"/>
    <w:rsid w:val="00C06EB8"/>
    <w:rsid w:val="00C07B53"/>
    <w:rsid w:val="00C34D96"/>
    <w:rsid w:val="00C43B72"/>
    <w:rsid w:val="00C50BAB"/>
    <w:rsid w:val="00C665BD"/>
    <w:rsid w:val="00C67C7C"/>
    <w:rsid w:val="00C77BB3"/>
    <w:rsid w:val="00C95A0F"/>
    <w:rsid w:val="00CB36D8"/>
    <w:rsid w:val="00CC30B1"/>
    <w:rsid w:val="00CE455A"/>
    <w:rsid w:val="00CF2604"/>
    <w:rsid w:val="00D623CA"/>
    <w:rsid w:val="00D912C3"/>
    <w:rsid w:val="00DB0EE9"/>
    <w:rsid w:val="00DB69F5"/>
    <w:rsid w:val="00DC3E52"/>
    <w:rsid w:val="00DE164B"/>
    <w:rsid w:val="00DF21EB"/>
    <w:rsid w:val="00DF3141"/>
    <w:rsid w:val="00E01A97"/>
    <w:rsid w:val="00E162E9"/>
    <w:rsid w:val="00E21B11"/>
    <w:rsid w:val="00E415AC"/>
    <w:rsid w:val="00E7424B"/>
    <w:rsid w:val="00EC7930"/>
    <w:rsid w:val="00F2763C"/>
    <w:rsid w:val="00F30671"/>
    <w:rsid w:val="00F41BBD"/>
    <w:rsid w:val="00FB2217"/>
    <w:rsid w:val="00FC5EF5"/>
    <w:rsid w:val="00FD36DE"/>
    <w:rsid w:val="00FF5949"/>
    <w:rsid w:val="00FF735B"/>
    <w:rsid w:val="02FC6355"/>
    <w:rsid w:val="16F86DBA"/>
    <w:rsid w:val="18755C58"/>
    <w:rsid w:val="188B6E90"/>
    <w:rsid w:val="20B9542D"/>
    <w:rsid w:val="28180D37"/>
    <w:rsid w:val="30BD2B51"/>
    <w:rsid w:val="32C5130D"/>
    <w:rsid w:val="340F540C"/>
    <w:rsid w:val="3CFB365D"/>
    <w:rsid w:val="3FCA5AC9"/>
    <w:rsid w:val="48E1714C"/>
    <w:rsid w:val="509163A8"/>
    <w:rsid w:val="52A673BC"/>
    <w:rsid w:val="55A9436B"/>
    <w:rsid w:val="60FF660C"/>
    <w:rsid w:val="631067BA"/>
    <w:rsid w:val="6BD34C22"/>
    <w:rsid w:val="755A54AD"/>
    <w:rsid w:val="79674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方正仿宋_GBK" w:cs="Times New Roman"/>
      <w:kern w:val="2"/>
      <w:sz w:val="32"/>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4"/>
    <w:autoRedefine/>
    <w:qFormat/>
    <w:uiPriority w:val="99"/>
    <w:rPr>
      <w:rFonts w:ascii="仿宋_GB2312" w:eastAsia="仿宋_GB2312"/>
      <w:color w:val="000000"/>
      <w:kern w:val="0"/>
      <w:lang w:eastAsia="en-US" w:bidi="en-US"/>
    </w:rPr>
  </w:style>
  <w:style w:type="paragraph" w:styleId="3">
    <w:name w:val="Body Text Indent"/>
    <w:basedOn w:val="1"/>
    <w:link w:val="15"/>
    <w:autoRedefine/>
    <w:unhideWhenUsed/>
    <w:qFormat/>
    <w:uiPriority w:val="99"/>
    <w:pPr>
      <w:spacing w:after="120"/>
      <w:ind w:left="420" w:leftChars="200"/>
    </w:pPr>
  </w:style>
  <w:style w:type="paragraph" w:styleId="4">
    <w:name w:val="Block Text"/>
    <w:basedOn w:val="1"/>
    <w:autoRedefine/>
    <w:unhideWhenUsed/>
    <w:qFormat/>
    <w:uiPriority w:val="99"/>
    <w:pPr>
      <w:spacing w:after="120"/>
      <w:ind w:left="1440" w:leftChars="700" w:right="1440" w:rightChars="700"/>
    </w:pPr>
    <w:rPr>
      <w:sz w:val="21"/>
    </w:rPr>
  </w:style>
  <w:style w:type="paragraph" w:styleId="5">
    <w:name w:val="footer"/>
    <w:basedOn w:val="1"/>
    <w:link w:val="12"/>
    <w:autoRedefine/>
    <w:unhideWhenUsed/>
    <w:qFormat/>
    <w:uiPriority w:val="99"/>
    <w:pPr>
      <w:tabs>
        <w:tab w:val="center" w:pos="4153"/>
        <w:tab w:val="right" w:pos="8306"/>
      </w:tabs>
      <w:snapToGrid w:val="0"/>
    </w:pPr>
    <w:rPr>
      <w:sz w:val="18"/>
      <w:szCs w:val="18"/>
    </w:rPr>
  </w:style>
  <w:style w:type="paragraph" w:styleId="6">
    <w:name w:val="header"/>
    <w:basedOn w:val="1"/>
    <w:link w:val="11"/>
    <w:autoRedefine/>
    <w:unhideWhenUsed/>
    <w:qFormat/>
    <w:uiPriority w:val="99"/>
    <w:pPr>
      <w:tabs>
        <w:tab w:val="center" w:pos="4153"/>
        <w:tab w:val="right" w:pos="8306"/>
      </w:tabs>
      <w:snapToGrid w:val="0"/>
    </w:pPr>
    <w:rPr>
      <w:sz w:val="18"/>
      <w:szCs w:val="18"/>
    </w:rPr>
  </w:style>
  <w:style w:type="paragraph" w:styleId="7">
    <w:name w:val="Body Text First Indent"/>
    <w:basedOn w:val="2"/>
    <w:autoRedefine/>
    <w:qFormat/>
    <w:uiPriority w:val="0"/>
    <w:pPr>
      <w:spacing w:after="120"/>
      <w:ind w:firstLine="100" w:firstLineChars="100"/>
      <w:jc w:val="both"/>
    </w:pPr>
    <w:rPr>
      <w:rFonts w:ascii="Times New Roma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autoRedefine/>
    <w:qFormat/>
    <w:uiPriority w:val="99"/>
    <w:rPr>
      <w:sz w:val="18"/>
      <w:szCs w:val="18"/>
    </w:rPr>
  </w:style>
  <w:style w:type="character" w:customStyle="1" w:styleId="12">
    <w:name w:val="页脚 字符"/>
    <w:basedOn w:val="10"/>
    <w:link w:val="5"/>
    <w:autoRedefine/>
    <w:qFormat/>
    <w:uiPriority w:val="99"/>
    <w:rPr>
      <w:sz w:val="18"/>
      <w:szCs w:val="18"/>
    </w:rPr>
  </w:style>
  <w:style w:type="paragraph" w:styleId="13">
    <w:name w:val="List Paragraph"/>
    <w:basedOn w:val="1"/>
    <w:autoRedefine/>
    <w:qFormat/>
    <w:uiPriority w:val="34"/>
    <w:pPr>
      <w:numPr>
        <w:ilvl w:val="0"/>
        <w:numId w:val="1"/>
      </w:numPr>
      <w:ind w:left="0" w:firstLine="0"/>
    </w:pPr>
    <w:rPr>
      <w:rFonts w:asciiTheme="minorHAnsi" w:hAnsiTheme="minorHAnsi" w:eastAsiaTheme="minorEastAsia" w:cstheme="minorBidi"/>
      <w:szCs w:val="22"/>
    </w:rPr>
  </w:style>
  <w:style w:type="character" w:customStyle="1" w:styleId="14">
    <w:name w:val="正文文本 字符"/>
    <w:basedOn w:val="10"/>
    <w:link w:val="2"/>
    <w:autoRedefine/>
    <w:qFormat/>
    <w:uiPriority w:val="99"/>
    <w:rPr>
      <w:rFonts w:ascii="仿宋_GB2312" w:hAnsi="Times New Roman" w:eastAsia="仿宋_GB2312" w:cs="Times New Roman"/>
      <w:color w:val="000000"/>
      <w:sz w:val="32"/>
      <w:szCs w:val="24"/>
      <w:lang w:eastAsia="en-US" w:bidi="en-US"/>
    </w:rPr>
  </w:style>
  <w:style w:type="character" w:customStyle="1" w:styleId="15">
    <w:name w:val="正文文本缩进 字符"/>
    <w:basedOn w:val="10"/>
    <w:link w:val="3"/>
    <w:autoRedefine/>
    <w:qFormat/>
    <w:uiPriority w:val="99"/>
    <w:rPr>
      <w:rFonts w:ascii="宋体" w:hAnsi="宋体" w:eastAsia="宋体" w:cs="Times New Roman"/>
      <w:kern w:val="2"/>
      <w:sz w:val="24"/>
      <w:szCs w:val="24"/>
    </w:rPr>
  </w:style>
  <w:style w:type="paragraph" w:customStyle="1" w:styleId="16">
    <w:name w:val="修订1"/>
    <w:autoRedefine/>
    <w:hidden/>
    <w:semiHidden/>
    <w:qFormat/>
    <w:uiPriority w:val="99"/>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764C7-1A47-469B-9512-8FB15FDECD59}">
  <ds:schemaRefs/>
</ds:datastoreItem>
</file>

<file path=docProps/app.xml><?xml version="1.0" encoding="utf-8"?>
<Properties xmlns="http://schemas.openxmlformats.org/officeDocument/2006/extended-properties" xmlns:vt="http://schemas.openxmlformats.org/officeDocument/2006/docPropsVTypes">
  <Template>Normal</Template>
  <Pages>20</Pages>
  <Words>1116</Words>
  <Characters>6367</Characters>
  <Lines>53</Lines>
  <Paragraphs>14</Paragraphs>
  <TotalTime>5</TotalTime>
  <ScaleCrop>false</ScaleCrop>
  <LinksUpToDate>false</LinksUpToDate>
  <CharactersWithSpaces>7469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2024-04-25T08:33:00Z</dcterms:created>
  <dc:creator>Tao</dc:creator>
  <cp:lastModifiedBy>鱼七七</cp:lastModifiedBy>
  <cp:lastPrinted>2024-04-07T08:23:00Z</cp:lastPrinted>
  <dcterms:modified xsi:type="dcterms:W3CDTF">2024-04-28T07:29:00Z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CE5D781D8ED041738D18E32D202BE986_13</vt:lpwstr>
  </property>
</Properties>
</file>