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D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40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40"/>
          <w:szCs w:val="40"/>
          <w:lang w:val="en-US" w:eastAsia="zh-CN"/>
        </w:rPr>
        <w:t>物流配送服务相关要求</w:t>
      </w:r>
    </w:p>
    <w:p w14:paraId="1134F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both"/>
        <w:textAlignment w:val="auto"/>
        <w:rPr>
          <w:rFonts w:hint="default" w:ascii="方正黑体_GBK" w:hAnsi="方正黑体_GBK" w:eastAsia="方正仿宋_GBK" w:cs="方正黑体_GBK"/>
          <w:b/>
          <w:bCs/>
          <w:sz w:val="40"/>
          <w:szCs w:val="40"/>
          <w:lang w:val="en-US"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我中心多年来一直有向各区县发放物资的物流需求。现因与现有供应商的合同到期，按照规定程序，需要重新启动招标工作，选定一家物流服务供应商，一旦确定，合同期暂定为三年。现将有关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限价公示如下，最终选取总降价最多的为成交供应商：</w:t>
      </w:r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3537"/>
        <w:gridCol w:w="977"/>
        <w:gridCol w:w="1530"/>
        <w:gridCol w:w="5862"/>
      </w:tblGrid>
      <w:tr w14:paraId="621C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pct"/>
            <w:noWrap w:val="0"/>
            <w:vAlign w:val="center"/>
          </w:tcPr>
          <w:p w14:paraId="67149AA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pct"/>
            <w:noWrap w:val="0"/>
            <w:vAlign w:val="center"/>
          </w:tcPr>
          <w:p w14:paraId="3928C3D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345" w:type="pct"/>
            <w:noWrap w:val="0"/>
            <w:vAlign w:val="center"/>
          </w:tcPr>
          <w:p w14:paraId="293AF7E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540" w:type="pct"/>
            <w:noWrap w:val="0"/>
            <w:vAlign w:val="center"/>
          </w:tcPr>
          <w:p w14:paraId="0F7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发货单价限价（元）</w:t>
            </w:r>
          </w:p>
        </w:tc>
        <w:tc>
          <w:tcPr>
            <w:tcW w:w="2070" w:type="pct"/>
            <w:noWrap w:val="0"/>
            <w:vAlign w:val="center"/>
          </w:tcPr>
          <w:p w14:paraId="7F59244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03E6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pct"/>
            <w:noWrap w:val="0"/>
            <w:vAlign w:val="center"/>
          </w:tcPr>
          <w:p w14:paraId="6C6FF5EA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noWrap w:val="0"/>
            <w:vAlign w:val="center"/>
          </w:tcPr>
          <w:p w14:paraId="60A664F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纸质宣传物料（包括宣传单、海报、桌牌、手册、折页、吊旗、跳跳卡、提示贴等）</w:t>
            </w:r>
          </w:p>
        </w:tc>
        <w:tc>
          <w:tcPr>
            <w:tcW w:w="345" w:type="pct"/>
            <w:noWrap w:val="0"/>
            <w:vAlign w:val="center"/>
          </w:tcPr>
          <w:p w14:paraId="6D8E315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540" w:type="pct"/>
            <w:noWrap w:val="0"/>
            <w:vAlign w:val="center"/>
          </w:tcPr>
          <w:p w14:paraId="39B06DD9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070" w:type="pct"/>
            <w:noWrap w:val="0"/>
            <w:vAlign w:val="center"/>
          </w:tcPr>
          <w:p w14:paraId="17D10A5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免费提供防水袋打包</w:t>
            </w:r>
          </w:p>
        </w:tc>
      </w:tr>
      <w:tr w14:paraId="099E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5A0A319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9" w:type="pct"/>
            <w:noWrap w:val="0"/>
            <w:vAlign w:val="center"/>
          </w:tcPr>
          <w:p w14:paraId="52C0E00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横幅、服务卡、象棋、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展架、即开票盒、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终端机包边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打印机</w:t>
            </w:r>
          </w:p>
        </w:tc>
        <w:tc>
          <w:tcPr>
            <w:tcW w:w="345" w:type="pct"/>
            <w:noWrap w:val="0"/>
            <w:vAlign w:val="center"/>
          </w:tcPr>
          <w:p w14:paraId="7BF80D5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件（套）</w:t>
            </w:r>
          </w:p>
        </w:tc>
        <w:tc>
          <w:tcPr>
            <w:tcW w:w="540" w:type="pct"/>
            <w:noWrap w:val="0"/>
            <w:vAlign w:val="center"/>
          </w:tcPr>
          <w:p w14:paraId="2B01DCF9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070" w:type="pct"/>
            <w:noWrap w:val="0"/>
            <w:vAlign w:val="center"/>
          </w:tcPr>
          <w:p w14:paraId="2A20C88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免费提供防水袋打包</w:t>
            </w:r>
          </w:p>
        </w:tc>
      </w:tr>
      <w:tr w14:paraId="49D8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04A54675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9" w:type="pct"/>
            <w:noWrap w:val="0"/>
            <w:vAlign w:val="center"/>
          </w:tcPr>
          <w:p w14:paraId="6BD2BFB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电脑、终端机</w:t>
            </w:r>
          </w:p>
        </w:tc>
        <w:tc>
          <w:tcPr>
            <w:tcW w:w="345" w:type="pct"/>
            <w:noWrap w:val="0"/>
            <w:vAlign w:val="center"/>
          </w:tcPr>
          <w:p w14:paraId="0D8C18F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40" w:type="pct"/>
            <w:noWrap w:val="0"/>
            <w:vAlign w:val="center"/>
          </w:tcPr>
          <w:p w14:paraId="57B6FAC1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2070" w:type="pct"/>
            <w:noWrap w:val="0"/>
            <w:vAlign w:val="center"/>
          </w:tcPr>
          <w:p w14:paraId="74B5F96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1629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719A23D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9" w:type="pct"/>
            <w:noWrap w:val="0"/>
            <w:vAlign w:val="center"/>
          </w:tcPr>
          <w:p w14:paraId="5C51864F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电视机</w:t>
            </w:r>
          </w:p>
        </w:tc>
        <w:tc>
          <w:tcPr>
            <w:tcW w:w="345" w:type="pct"/>
            <w:noWrap w:val="0"/>
            <w:vAlign w:val="center"/>
          </w:tcPr>
          <w:p w14:paraId="2908006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40" w:type="pct"/>
            <w:noWrap w:val="0"/>
            <w:vAlign w:val="center"/>
          </w:tcPr>
          <w:p w14:paraId="0520042C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070" w:type="pct"/>
            <w:noWrap w:val="0"/>
            <w:vAlign w:val="center"/>
          </w:tcPr>
          <w:p w14:paraId="7AD30476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2020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1F02CD1F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49" w:type="pct"/>
            <w:noWrap w:val="0"/>
            <w:vAlign w:val="center"/>
          </w:tcPr>
          <w:p w14:paraId="444EFCEB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服装</w:t>
            </w:r>
          </w:p>
        </w:tc>
        <w:tc>
          <w:tcPr>
            <w:tcW w:w="345" w:type="pct"/>
            <w:noWrap w:val="0"/>
            <w:vAlign w:val="center"/>
          </w:tcPr>
          <w:p w14:paraId="483CB1B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</w:t>
            </w:r>
          </w:p>
        </w:tc>
        <w:tc>
          <w:tcPr>
            <w:tcW w:w="540" w:type="pct"/>
            <w:noWrap w:val="0"/>
            <w:vAlign w:val="center"/>
          </w:tcPr>
          <w:p w14:paraId="7EC482AA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070" w:type="pct"/>
            <w:noWrap w:val="0"/>
            <w:vAlign w:val="center"/>
          </w:tcPr>
          <w:p w14:paraId="5AD61A2C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10件为一包，免费打包</w:t>
            </w:r>
          </w:p>
        </w:tc>
      </w:tr>
      <w:tr w14:paraId="6CE6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48D2EF6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9" w:type="pct"/>
            <w:noWrap w:val="0"/>
            <w:vAlign w:val="center"/>
          </w:tcPr>
          <w:p w14:paraId="2A76582C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彩票袋</w:t>
            </w:r>
          </w:p>
        </w:tc>
        <w:tc>
          <w:tcPr>
            <w:tcW w:w="345" w:type="pct"/>
            <w:noWrap w:val="0"/>
            <w:vAlign w:val="center"/>
          </w:tcPr>
          <w:p w14:paraId="40E3EEF2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540" w:type="pct"/>
            <w:noWrap w:val="0"/>
            <w:vAlign w:val="center"/>
          </w:tcPr>
          <w:p w14:paraId="027BB9F3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070" w:type="pct"/>
            <w:noWrap w:val="0"/>
            <w:vAlign w:val="center"/>
          </w:tcPr>
          <w:p w14:paraId="5A42D8D7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73CE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5" w:type="pct"/>
            <w:noWrap w:val="0"/>
            <w:vAlign w:val="center"/>
          </w:tcPr>
          <w:p w14:paraId="692752BF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49" w:type="pct"/>
            <w:noWrap w:val="0"/>
            <w:vAlign w:val="center"/>
          </w:tcPr>
          <w:p w14:paraId="1873479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帐篷</w:t>
            </w:r>
          </w:p>
        </w:tc>
        <w:tc>
          <w:tcPr>
            <w:tcW w:w="345" w:type="pct"/>
            <w:noWrap w:val="0"/>
            <w:vAlign w:val="center"/>
          </w:tcPr>
          <w:p w14:paraId="20BFDAAB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40" w:type="pct"/>
            <w:noWrap w:val="0"/>
            <w:vAlign w:val="center"/>
          </w:tcPr>
          <w:p w14:paraId="0D25CA3C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070" w:type="pct"/>
            <w:noWrap w:val="0"/>
            <w:vAlign w:val="center"/>
          </w:tcPr>
          <w:p w14:paraId="1DE53F1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36AE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95" w:type="pct"/>
            <w:noWrap w:val="0"/>
            <w:vAlign w:val="center"/>
          </w:tcPr>
          <w:p w14:paraId="79C3A4F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49" w:type="pct"/>
            <w:noWrap w:val="0"/>
            <w:vAlign w:val="center"/>
          </w:tcPr>
          <w:p w14:paraId="63B38DC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终端机key、代销证、扫码枪</w:t>
            </w:r>
          </w:p>
        </w:tc>
        <w:tc>
          <w:tcPr>
            <w:tcW w:w="345" w:type="pct"/>
            <w:noWrap w:val="0"/>
            <w:vAlign w:val="center"/>
          </w:tcPr>
          <w:p w14:paraId="11E37942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540" w:type="pct"/>
            <w:noWrap w:val="0"/>
            <w:vAlign w:val="center"/>
          </w:tcPr>
          <w:p w14:paraId="2CEF42CA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070" w:type="pct"/>
            <w:noWrap w:val="0"/>
            <w:vAlign w:val="center"/>
          </w:tcPr>
          <w:p w14:paraId="6BB0978C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27B2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4B77E66B">
            <w:pPr>
              <w:ind w:left="-141" w:leftChars="-67" w:firstLine="187" w:firstLineChars="67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204" w:type="pct"/>
            <w:gridSpan w:val="4"/>
            <w:noWrap w:val="0"/>
            <w:vAlign w:val="center"/>
          </w:tcPr>
          <w:p w14:paraId="5FB2466C">
            <w:pP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主城区配送货物每个下货点（体彩办公室、酒店会场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）按120元一车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为限价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结算。（包括送货上楼）</w:t>
            </w:r>
          </w:p>
        </w:tc>
      </w:tr>
      <w:tr w14:paraId="60E7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290B39D9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04" w:type="pct"/>
            <w:gridSpan w:val="4"/>
            <w:noWrap w:val="0"/>
            <w:vAlign w:val="center"/>
          </w:tcPr>
          <w:p w14:paraId="6D7334C8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主城区巴南区、大学城、美宜佳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仓库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、两路镇按150元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为限价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结算。（包括送货上楼）</w:t>
            </w:r>
          </w:p>
        </w:tc>
      </w:tr>
      <w:tr w14:paraId="325B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95" w:type="pct"/>
            <w:noWrap w:val="0"/>
            <w:vAlign w:val="center"/>
          </w:tcPr>
          <w:p w14:paraId="36AB60E5">
            <w:pPr>
              <w:ind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04" w:type="pct"/>
            <w:gridSpan w:val="4"/>
            <w:noWrap w:val="0"/>
            <w:vAlign w:val="center"/>
          </w:tcPr>
          <w:p w14:paraId="507CED5D">
            <w:pPr>
              <w:ind w:right="0" w:rightChars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中心大厅即开票、搬运库房票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每件3元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为限价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结算。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从中心楼上搬运到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服务大厅按每件按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每件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4元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为限价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结算。</w:t>
            </w:r>
          </w:p>
        </w:tc>
      </w:tr>
      <w:tr w14:paraId="3670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pct"/>
            <w:noWrap w:val="0"/>
            <w:vAlign w:val="center"/>
          </w:tcPr>
          <w:p w14:paraId="394211E7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04" w:type="pct"/>
            <w:gridSpan w:val="4"/>
            <w:noWrap w:val="0"/>
            <w:vAlign w:val="center"/>
          </w:tcPr>
          <w:p w14:paraId="352D54D8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其他临时需要发放的物料根据物品的重量及大小参照以上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相关条款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标准据实结算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</w:tr>
    </w:tbl>
    <w:p w14:paraId="5DD87989">
      <w:pPr>
        <w:wordWrap w:val="0"/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3D8F"/>
    <w:rsid w:val="1ABC61CA"/>
    <w:rsid w:val="1F1E2FFE"/>
    <w:rsid w:val="4E763D19"/>
    <w:rsid w:val="5BC87E20"/>
    <w:rsid w:val="CFF38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492</Characters>
  <Lines>0</Lines>
  <Paragraphs>0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2025-11-14T15:28:00Z</dcterms:created>
  <dc:creator>Administrator</dc:creator>
  <cp:lastModifiedBy>Henry</cp:lastModifiedBy>
  <dcterms:modified xsi:type="dcterms:W3CDTF">2025-12-25T06:41:31Z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eyJoZGlkIjoiMmYxMzgwNGZhZGNiOGZiZTcxYzNhMjY1MTM2YjU2ZmMiLCJ1c2VySWQiOiI1NDQwMzg3NzgifQ==</vt:lpwstr>
  </property>
  <property fmtid="{D5CDD505-2E9C-101B-9397-08002B2CF9AE}" pid="4" name="ICV">
    <vt:lpwstr>00CF751623CD42D69309138C71D0CEDA_13</vt:lpwstr>
  </property>
</Properties>
</file>