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1BE4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方正仿宋_GBK" w:hAnsi="方正仿宋_GBK" w:eastAsia="方正仿宋_GBK" w:cs="方正仿宋_GBK"/>
          <w:color w:val="auto"/>
          <w:sz w:val="32"/>
          <w:szCs w:val="24"/>
          <w:lang w:val="en-US" w:eastAsia="zh-CN"/>
        </w:rPr>
      </w:pPr>
      <w:bookmarkStart w:id="1" w:name="_GoBack"/>
      <w:r>
        <w:rPr>
          <w:rFonts w:hint="eastAsia" w:ascii="方正小标宋_GBK" w:hAnsi="华文中宋" w:eastAsia="方正小标宋_GBK" w:cs="Times New Roman"/>
          <w:b/>
          <w:sz w:val="44"/>
          <w:szCs w:val="44"/>
          <w:lang w:eastAsia="zh-CN"/>
        </w:rPr>
        <w:t>《</w:t>
      </w:r>
      <w:r>
        <w:rPr>
          <w:rFonts w:hint="eastAsia" w:ascii="方正小标宋_GBK" w:hAnsi="华文中宋" w:eastAsia="方正小标宋_GBK" w:cs="Times New Roman"/>
          <w:b/>
          <w:sz w:val="44"/>
          <w:szCs w:val="44"/>
          <w:lang w:val="en-US" w:eastAsia="zh-CN"/>
        </w:rPr>
        <w:t>重庆体彩</w:t>
      </w:r>
      <w:r>
        <w:rPr>
          <w:rFonts w:hint="eastAsia" w:ascii="方正小标宋_GBK" w:hAnsi="华文中宋" w:eastAsia="方正小标宋_GBK" w:cs="Times New Roman"/>
          <w:b/>
          <w:sz w:val="44"/>
          <w:szCs w:val="44"/>
          <w:lang w:eastAsia="zh-CN"/>
        </w:rPr>
        <w:t>》</w:t>
      </w:r>
      <w:r>
        <w:rPr>
          <w:rFonts w:hint="eastAsia" w:ascii="方正小标宋_GBK" w:hAnsi="华文中宋" w:eastAsia="方正小标宋_GBK" w:cs="Times New Roman"/>
          <w:b/>
          <w:sz w:val="44"/>
          <w:szCs w:val="44"/>
          <w:lang w:val="en-US" w:eastAsia="zh-CN"/>
        </w:rPr>
        <w:t>杂志编撰服务相关要求</w:t>
      </w:r>
    </w:p>
    <w:bookmarkEnd w:id="1"/>
    <w:p w14:paraId="4B0EBEA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color w:val="auto"/>
          <w:sz w:val="32"/>
          <w:szCs w:val="24"/>
          <w:lang w:val="en-US" w:eastAsia="zh-CN"/>
        </w:rPr>
      </w:pPr>
    </w:p>
    <w:p w14:paraId="2D479BA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color w:val="auto"/>
          <w:sz w:val="32"/>
          <w:szCs w:val="24"/>
          <w:lang w:val="en-US" w:eastAsia="zh-CN"/>
        </w:rPr>
      </w:pPr>
      <w:r>
        <w:rPr>
          <w:rFonts w:hint="eastAsia" w:ascii="方正仿宋_GBK" w:hAnsi="方正仿宋_GBK" w:eastAsia="方正仿宋_GBK" w:cs="方正仿宋_GBK"/>
          <w:color w:val="auto"/>
          <w:sz w:val="32"/>
          <w:szCs w:val="24"/>
          <w:lang w:val="en-US" w:eastAsia="zh-CN"/>
        </w:rPr>
        <w:t>《重庆体彩》期刊是中心深入贯彻落实市体育局关于体育彩票事业发展的总体部署，是全面、生动、立体地展现重庆体彩在服务体育强市建设、履行国家公益彩票责任过程中的工作部署、实践成效与精神风貌的重要宣传阵地。相关要求如下：</w:t>
      </w:r>
    </w:p>
    <w:p w14:paraId="799A8055">
      <w:pPr>
        <w:widowControl w:val="0"/>
        <w:numPr>
          <w:ilvl w:val="0"/>
          <w:numId w:val="0"/>
        </w:numPr>
        <w:spacing w:line="560" w:lineRule="exact"/>
        <w:ind w:firstLine="640" w:firstLineChars="200"/>
        <w:jc w:val="both"/>
        <w:rPr>
          <w:rFonts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一、杂志编撰</w:t>
      </w:r>
    </w:p>
    <w:p w14:paraId="203FBAF3">
      <w:pPr>
        <w:spacing w:line="560" w:lineRule="exact"/>
        <w:ind w:firstLine="640" w:firstLineChars="200"/>
        <w:rPr>
          <w:rFonts w:hint="eastAsia" w:ascii="方正仿宋_GBK" w:hAnsi="方正仿宋_GBK" w:eastAsia="方正仿宋_GBK" w:cs="方正仿宋_GBK"/>
          <w:sz w:val="32"/>
          <w:szCs w:val="32"/>
        </w:rPr>
      </w:pPr>
      <w:bookmarkStart w:id="0" w:name="OLE_LINK2"/>
      <w:r>
        <w:rPr>
          <w:rFonts w:hint="eastAsia" w:ascii="方正仿宋_GBK" w:hAnsi="方正仿宋_GBK" w:eastAsia="方正仿宋_GBK" w:cs="方正仿宋_GBK"/>
          <w:sz w:val="32"/>
          <w:szCs w:val="32"/>
        </w:rPr>
        <w:t>（一）基本要求</w:t>
      </w:r>
    </w:p>
    <w:p w14:paraId="74B0952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1.服务期限：2026年1月至2026年12月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，共编撰4期（每季度1期）。</w:t>
      </w:r>
    </w:p>
    <w:p w14:paraId="33D6EE7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2.出刊时间：</w:t>
      </w:r>
      <w:r>
        <w:rPr>
          <w:rFonts w:hint="eastAsia" w:ascii="方正仿宋_GBK" w:hAnsi="方正仿宋_GBK" w:eastAsia="方正仿宋_GBK" w:cs="方正仿宋_GBK"/>
          <w:sz w:val="32"/>
          <w:szCs w:val="32"/>
          <w:lang w:val="en-US" w:eastAsia="zh-CN"/>
        </w:rPr>
        <w:t>以采购方通知为准</w:t>
      </w:r>
      <w:r>
        <w:rPr>
          <w:rFonts w:hint="eastAsia" w:ascii="方正仿宋_GBK" w:hAnsi="方正仿宋_GBK" w:eastAsia="方正仿宋_GBK" w:cs="方正仿宋_GBK"/>
          <w:sz w:val="32"/>
          <w:szCs w:val="32"/>
        </w:rPr>
        <w:t>。</w:t>
      </w:r>
    </w:p>
    <w:p w14:paraId="2BC6646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3.刊物规格：每期总页码范围在64-70页之间（含封面、封底），采用全彩印刷，成品尺寸为210mm x 2</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5mm（标准大16开），装帧要求精美耐用。</w:t>
      </w:r>
    </w:p>
    <w:bookmarkEnd w:id="0"/>
    <w:p w14:paraId="435285D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（二）内容规划</w:t>
      </w:r>
    </w:p>
    <w:p w14:paraId="7CB2C48D">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杂志内容须紧密围绕重庆体彩的核心工作，体彩相关版面内容占比不低于70%。在现有板块基础上，更多展示以下内容：体彩中心内部管理、政策解读、公益公信、责任彩票、体育强市相关内容、创新营销活动、大型赛事、体彩文化以及党建等内容。</w:t>
      </w:r>
    </w:p>
    <w:p w14:paraId="65E2286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（三）排版设计与校对要求</w:t>
      </w:r>
    </w:p>
    <w:p w14:paraId="58BB0B9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1.排版设计：遵循“形、字、色、构图协调统一”原则，封面突出导向性标题（结合当期核心主题），内页排版层次分明、重点突出，整体风格兼具专业性与美观性。</w:t>
      </w:r>
    </w:p>
    <w:p w14:paraId="0AA1723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2.校对要求：指定专人负责全刊校对，严格执行“初校、二校、终校”三轮校对制度，确保无错字、漏字及违法违规表述，语言表达严谨规范。</w:t>
      </w:r>
    </w:p>
    <w:p w14:paraId="6660F6B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（四）质量保障</w:t>
      </w:r>
    </w:p>
    <w:p w14:paraId="62232FAD">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杂志编撰团队需组建4人专业团队（含采编、编辑、设计、校对等人员），团队成员需熟悉彩票行业及公益属性，具备丰富的内刊编撰经验。每期杂志需提前5个工作日提交样刊审核，根据审核意见修改完善后交中心正式印刷。</w:t>
      </w:r>
    </w:p>
    <w:p w14:paraId="6429AEC7">
      <w:pPr>
        <w:widowControl w:val="0"/>
        <w:numPr>
          <w:ilvl w:val="0"/>
          <w:numId w:val="0"/>
        </w:numPr>
        <w:spacing w:line="560" w:lineRule="exact"/>
        <w:ind w:firstLine="640" w:firstLineChars="200"/>
        <w:jc w:val="both"/>
        <w:rPr>
          <w:rFonts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二、杂志印刷</w:t>
      </w:r>
    </w:p>
    <w:p w14:paraId="468402AA">
      <w:pPr>
        <w:widowControl w:val="0"/>
        <w:numPr>
          <w:ilvl w:val="0"/>
          <w:numId w:val="0"/>
        </w:numPr>
        <w:spacing w:line="560" w:lineRule="exact"/>
        <w:ind w:left="1720" w:leftChars="0" w:hanging="1080" w:firstLineChars="0"/>
        <w:jc w:val="both"/>
        <w:rPr>
          <w:rFonts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kern w:val="2"/>
          <w:sz w:val="32"/>
          <w:szCs w:val="32"/>
          <w:lang w:val="en-US" w:eastAsia="zh-CN" w:bidi="ar-SA"/>
        </w:rPr>
        <w:t>印刷数量</w:t>
      </w:r>
    </w:p>
    <w:p w14:paraId="5B3BC173">
      <w:pPr>
        <w:spacing w:line="560" w:lineRule="exact"/>
        <w:ind w:left="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每期4000本，全年共计16000本。</w:t>
      </w:r>
    </w:p>
    <w:p w14:paraId="3EEA9F3A">
      <w:pPr>
        <w:spacing w:line="560" w:lineRule="exact"/>
        <w:ind w:left="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（二）规格型号</w:t>
      </w:r>
    </w:p>
    <w:p w14:paraId="677C4D4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杂志成品尺寸210*275；封面275g高丽超感纸；内页135g高丽超感纸；内页</w:t>
      </w:r>
      <w:r>
        <w:rPr>
          <w:rFonts w:hint="eastAsia" w:ascii="方正仿宋_GBK" w:hAnsi="方正仿宋_GBK" w:eastAsia="方正仿宋_GBK" w:cs="方正仿宋_GBK"/>
          <w:sz w:val="32"/>
          <w:szCs w:val="32"/>
          <w:lang w:val="en-US" w:eastAsia="zh-CN"/>
        </w:rPr>
        <w:t>64-</w:t>
      </w:r>
      <w:r>
        <w:rPr>
          <w:rFonts w:hint="eastAsia" w:ascii="方正仿宋_GBK" w:hAnsi="方正仿宋_GBK" w:eastAsia="方正仿宋_GBK" w:cs="方正仿宋_GBK"/>
          <w:sz w:val="32"/>
          <w:szCs w:val="32"/>
        </w:rPr>
        <w:t>70P左右；彩色印刷，胶装。</w:t>
      </w:r>
    </w:p>
    <w:p w14:paraId="3F4A7932">
      <w:pPr>
        <w:spacing w:line="560" w:lineRule="exact"/>
        <w:ind w:left="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（三）质量要求</w:t>
      </w:r>
    </w:p>
    <w:p w14:paraId="4D24F43B">
      <w:pPr>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rPr>
        <w:t>中心</w:t>
      </w:r>
      <w:r>
        <w:rPr>
          <w:rFonts w:ascii="方正仿宋_GBK" w:hAnsi="方正仿宋_GBK" w:eastAsia="方正仿宋_GBK" w:cs="方正仿宋_GBK"/>
          <w:sz w:val="32"/>
          <w:szCs w:val="32"/>
        </w:rPr>
        <w:t>提供的电子文档进行调整，印刷样板经</w:t>
      </w:r>
      <w:r>
        <w:rPr>
          <w:rFonts w:hint="eastAsia" w:ascii="方正仿宋_GBK" w:hAnsi="方正仿宋_GBK" w:eastAsia="方正仿宋_GBK" w:cs="方正仿宋_GBK"/>
          <w:sz w:val="32"/>
          <w:szCs w:val="32"/>
        </w:rPr>
        <w:t>中心确认</w:t>
      </w:r>
      <w:r>
        <w:rPr>
          <w:rFonts w:ascii="方正仿宋_GBK" w:hAnsi="方正仿宋_GBK" w:eastAsia="方正仿宋_GBK" w:cs="方正仿宋_GBK"/>
          <w:sz w:val="32"/>
          <w:szCs w:val="32"/>
        </w:rPr>
        <w:t>之后制版印刷，印刷墨色饱和均匀，符合印刷行业标准。</w:t>
      </w:r>
    </w:p>
    <w:p w14:paraId="2D96802C">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（四）交货时间及地点</w:t>
      </w:r>
    </w:p>
    <w:p w14:paraId="31708C8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按照中心要求</w:t>
      </w:r>
      <w:r>
        <w:rPr>
          <w:rFonts w:ascii="方正仿宋_GBK" w:hAnsi="方正仿宋_GBK" w:eastAsia="方正仿宋_GBK" w:cs="方正仿宋_GBK"/>
          <w:sz w:val="32"/>
          <w:szCs w:val="32"/>
        </w:rPr>
        <w:t>交货至</w:t>
      </w:r>
      <w:r>
        <w:rPr>
          <w:rFonts w:hint="eastAsia" w:ascii="方正仿宋_GBK" w:hAnsi="方正仿宋_GBK" w:eastAsia="方正仿宋_GBK" w:cs="方正仿宋_GBK"/>
          <w:sz w:val="32"/>
          <w:szCs w:val="32"/>
        </w:rPr>
        <w:t>中心</w:t>
      </w:r>
      <w:r>
        <w:rPr>
          <w:rFonts w:ascii="方正仿宋_GBK" w:hAnsi="方正仿宋_GBK" w:eastAsia="方正仿宋_GBK" w:cs="方正仿宋_GBK"/>
          <w:sz w:val="32"/>
          <w:szCs w:val="32"/>
        </w:rPr>
        <w:t>指定地点</w:t>
      </w:r>
      <w:r>
        <w:rPr>
          <w:rFonts w:hint="eastAsia" w:ascii="方正仿宋_GBK" w:hAnsi="方正仿宋_GBK" w:eastAsia="方正仿宋_GBK" w:cs="方正仿宋_GBK"/>
          <w:sz w:val="32"/>
          <w:szCs w:val="32"/>
        </w:rPr>
        <w:t>，并</w:t>
      </w:r>
      <w:r>
        <w:rPr>
          <w:rFonts w:ascii="方正仿宋_GBK" w:hAnsi="方正仿宋_GBK" w:eastAsia="方正仿宋_GBK" w:cs="方正仿宋_GBK"/>
          <w:sz w:val="32"/>
          <w:szCs w:val="32"/>
        </w:rPr>
        <w:t>负责货物的运输、装卸等，承担相应费用</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包括运输费、装卸费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11142952">
      <w:pPr>
        <w:widowControl w:val="0"/>
        <w:numPr>
          <w:ilvl w:val="0"/>
          <w:numId w:val="0"/>
        </w:numPr>
        <w:spacing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三、供应商要求</w:t>
      </w:r>
    </w:p>
    <w:p w14:paraId="599C11C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cs="方正仿宋_GBK"/>
          <w:color w:val="auto"/>
          <w:sz w:val="32"/>
          <w:szCs w:val="24"/>
          <w:lang w:val="en-US" w:eastAsia="zh-CN"/>
        </w:rPr>
      </w:pPr>
      <w:r>
        <w:rPr>
          <w:rFonts w:hint="eastAsia" w:ascii="方正仿宋_GBK" w:hAnsi="方正仿宋_GBK" w:eastAsia="方正仿宋_GBK" w:cs="方正仿宋_GBK"/>
          <w:color w:val="auto"/>
          <w:sz w:val="32"/>
          <w:szCs w:val="24"/>
          <w:lang w:val="en-US" w:eastAsia="zh-CN"/>
        </w:rPr>
        <w:t>（一）投标方须在投标文件中提供各项费用报价明细。</w:t>
      </w:r>
    </w:p>
    <w:p w14:paraId="74C48079">
      <w:r>
        <w:rPr>
          <w:rFonts w:hint="eastAsia" w:ascii="方正仿宋_GBK" w:hAnsi="方正仿宋_GBK" w:eastAsia="方正仿宋_GBK" w:cs="方正仿宋_GBK"/>
          <w:color w:val="auto"/>
          <w:sz w:val="32"/>
          <w:szCs w:val="24"/>
          <w:lang w:val="en-US" w:eastAsia="zh-CN"/>
        </w:rPr>
        <w:t>（二）供应商应具备编撰、印刷相关资质，如有彩票行业编撰、印刷相关资质的，在同等条件下，采购人优先考虑。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6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2026-01-28T04:51:58Z</dcterms:created>
  <dc:creator>Administrator</dc:creator>
  <cp:lastModifiedBy>Henry</cp:lastModifiedBy>
  <dcterms:modified xsi:type="dcterms:W3CDTF">2026-01-28T04:52:33Z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1B381AB1CC694357864F25F9CE6E5FA7_12</vt:lpwstr>
  </property>
</Properties>
</file>