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88F10">
      <w:pPr>
        <w:spacing w:after="0"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重庆新闻奖参评作品推荐表</w:t>
      </w:r>
    </w:p>
    <w:tbl>
      <w:tblPr>
        <w:tblStyle w:val="5"/>
        <w:tblW w:w="9617"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297"/>
        <w:gridCol w:w="358"/>
        <w:gridCol w:w="507"/>
        <w:gridCol w:w="424"/>
        <w:gridCol w:w="807"/>
        <w:gridCol w:w="269"/>
        <w:gridCol w:w="923"/>
        <w:gridCol w:w="277"/>
        <w:gridCol w:w="776"/>
        <w:gridCol w:w="140"/>
        <w:gridCol w:w="1958"/>
      </w:tblGrid>
      <w:tr w14:paraId="53E7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exact"/>
        </w:trPr>
        <w:tc>
          <w:tcPr>
            <w:tcW w:w="1881" w:type="dxa"/>
            <w:vAlign w:val="center"/>
          </w:tcPr>
          <w:p w14:paraId="7DC3D281">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作品标题</w:t>
            </w:r>
          </w:p>
        </w:tc>
        <w:tc>
          <w:tcPr>
            <w:tcW w:w="3662" w:type="dxa"/>
            <w:gridSpan w:val="6"/>
            <w:vAlign w:val="center"/>
          </w:tcPr>
          <w:p w14:paraId="04735BC1">
            <w:pPr>
              <w:keepNext w:val="0"/>
              <w:keepLines w:val="0"/>
              <w:pageBreakBefore w:val="0"/>
              <w:widowControl w:val="0"/>
              <w:kinsoku/>
              <w:wordWrap/>
              <w:overflowPunct/>
              <w:topLinePunct w:val="0"/>
              <w:autoSpaceDE/>
              <w:autoSpaceDN/>
              <w:bidi w:val="0"/>
              <w:adjustRightInd/>
              <w:snapToGrid/>
              <w:spacing w:after="0" w:line="400" w:lineRule="exact"/>
              <w:jc w:val="left"/>
              <w:textAlignment w:val="auto"/>
              <w:rPr>
                <w:rFonts w:ascii="Times New Roman" w:hAnsi="Times New Roman" w:eastAsia="华文中宋"/>
                <w:sz w:val="28"/>
              </w:rPr>
            </w:pPr>
            <w:r>
              <w:rPr>
                <w:rFonts w:hint="eastAsia" w:ascii="Times New Roman" w:hAnsi="Times New Roman" w:eastAsia="方正仿宋_GBK" w:cs="仿宋"/>
                <w:b/>
                <w:bCs w:val="0"/>
                <w:sz w:val="28"/>
                <w:szCs w:val="28"/>
              </w:rPr>
              <w:t>流动的中国：从“四等小站”到全球枢纽</w:t>
            </w:r>
          </w:p>
        </w:tc>
        <w:tc>
          <w:tcPr>
            <w:tcW w:w="1200" w:type="dxa"/>
            <w:gridSpan w:val="2"/>
            <w:vAlign w:val="center"/>
          </w:tcPr>
          <w:p w14:paraId="07096B29">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参评项目</w:t>
            </w:r>
          </w:p>
        </w:tc>
        <w:tc>
          <w:tcPr>
            <w:tcW w:w="2874" w:type="dxa"/>
            <w:gridSpan w:val="3"/>
            <w:vAlign w:val="center"/>
          </w:tcPr>
          <w:p w14:paraId="09808467">
            <w:pPr>
              <w:spacing w:after="0" w:line="300" w:lineRule="exact"/>
              <w:jc w:val="center"/>
              <w:rPr>
                <w:rFonts w:hint="eastAsia" w:ascii="Times New Roman" w:hAnsi="Times New Roman" w:eastAsia="宋体"/>
                <w:sz w:val="24"/>
                <w:szCs w:val="24"/>
                <w:lang w:eastAsia="zh-CN"/>
              </w:rPr>
            </w:pPr>
            <w:r>
              <w:rPr>
                <w:rFonts w:hint="eastAsia" w:ascii="Times New Roman" w:hAnsi="Times New Roman" w:eastAsia="方正仿宋_GBK" w:cs="仿宋"/>
                <w:sz w:val="28"/>
                <w:szCs w:val="28"/>
                <w:lang w:val="en-US" w:eastAsia="zh-CN"/>
              </w:rPr>
              <w:t>新闻专题</w:t>
            </w:r>
          </w:p>
        </w:tc>
      </w:tr>
      <w:tr w14:paraId="0AA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exact"/>
        </w:trPr>
        <w:tc>
          <w:tcPr>
            <w:tcW w:w="1881" w:type="dxa"/>
            <w:vMerge w:val="restart"/>
            <w:vAlign w:val="center"/>
          </w:tcPr>
          <w:p w14:paraId="56782D8D">
            <w:pPr>
              <w:spacing w:after="0" w:line="380" w:lineRule="exact"/>
              <w:jc w:val="center"/>
              <w:rPr>
                <w:rFonts w:ascii="Times New Roman" w:hAnsi="Times New Roman" w:eastAsia="方正黑体_GBK" w:cs="方正黑体_GBK"/>
                <w:sz w:val="28"/>
              </w:rPr>
            </w:pPr>
            <w:r>
              <w:rPr>
                <w:rFonts w:ascii="Times New Roman" w:hAnsi="Times New Roman" w:eastAsia="方正黑体_GBK" w:cs="方正黑体_GBK"/>
                <w:sz w:val="28"/>
              </w:rPr>
              <w:t>字数</w:t>
            </w:r>
            <w:r>
              <w:rPr>
                <w:rFonts w:hint="eastAsia" w:ascii="Times New Roman" w:hAnsi="Times New Roman" w:eastAsia="方正黑体_GBK" w:cs="方正黑体_GBK"/>
                <w:sz w:val="28"/>
              </w:rPr>
              <w:t>/时长</w:t>
            </w:r>
          </w:p>
        </w:tc>
        <w:tc>
          <w:tcPr>
            <w:tcW w:w="3662" w:type="dxa"/>
            <w:gridSpan w:val="6"/>
            <w:vMerge w:val="restart"/>
            <w:vAlign w:val="center"/>
          </w:tcPr>
          <w:p w14:paraId="26A85CD5">
            <w:pPr>
              <w:spacing w:after="0" w:line="300" w:lineRule="exact"/>
              <w:jc w:val="center"/>
              <w:rPr>
                <w:rFonts w:hint="default" w:ascii="Times New Roman" w:hAnsi="Times New Roman" w:eastAsia="华文中宋"/>
                <w:sz w:val="28"/>
                <w:lang w:val="en-US" w:eastAsia="zh-CN"/>
              </w:rPr>
            </w:pPr>
            <w:r>
              <w:rPr>
                <w:rFonts w:hint="eastAsia" w:ascii="Times New Roman" w:hAnsi="Times New Roman" w:eastAsia="方正仿宋_GBK" w:cs="仿宋"/>
                <w:sz w:val="28"/>
                <w:szCs w:val="28"/>
                <w:lang w:val="en-US" w:eastAsia="zh-CN"/>
              </w:rPr>
              <w:t>17分29秒</w:t>
            </w:r>
          </w:p>
        </w:tc>
        <w:tc>
          <w:tcPr>
            <w:tcW w:w="1200" w:type="dxa"/>
            <w:gridSpan w:val="2"/>
            <w:vAlign w:val="center"/>
          </w:tcPr>
          <w:p w14:paraId="3CAC6E63">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体裁</w:t>
            </w:r>
          </w:p>
        </w:tc>
        <w:tc>
          <w:tcPr>
            <w:tcW w:w="2874" w:type="dxa"/>
            <w:gridSpan w:val="3"/>
            <w:vAlign w:val="center"/>
          </w:tcPr>
          <w:p w14:paraId="637B514A">
            <w:pPr>
              <w:spacing w:after="0" w:line="300" w:lineRule="exact"/>
              <w:jc w:val="center"/>
              <w:rPr>
                <w:rFonts w:ascii="Times New Roman" w:hAnsi="Times New Roman" w:eastAsia="方正仿宋_GBK"/>
                <w:sz w:val="24"/>
                <w:szCs w:val="24"/>
              </w:rPr>
            </w:pPr>
            <w:r>
              <w:rPr>
                <w:rFonts w:hint="eastAsia" w:ascii="Times New Roman" w:hAnsi="Times New Roman" w:eastAsia="方正仿宋_GBK" w:cs="仿宋"/>
                <w:sz w:val="28"/>
                <w:szCs w:val="28"/>
                <w:lang w:val="en-US" w:eastAsia="zh-CN"/>
              </w:rPr>
              <w:t>广播专题</w:t>
            </w:r>
          </w:p>
        </w:tc>
      </w:tr>
      <w:tr w14:paraId="18F7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exact"/>
        </w:trPr>
        <w:tc>
          <w:tcPr>
            <w:tcW w:w="1881" w:type="dxa"/>
            <w:vMerge w:val="continue"/>
            <w:vAlign w:val="center"/>
          </w:tcPr>
          <w:p w14:paraId="4E454295">
            <w:pPr>
              <w:spacing w:after="0" w:line="380" w:lineRule="exact"/>
              <w:jc w:val="center"/>
              <w:rPr>
                <w:rFonts w:ascii="Times New Roman" w:hAnsi="Times New Roman" w:eastAsia="方正黑体_GBK" w:cs="方正黑体_GBK"/>
                <w:sz w:val="28"/>
              </w:rPr>
            </w:pPr>
          </w:p>
        </w:tc>
        <w:tc>
          <w:tcPr>
            <w:tcW w:w="3662" w:type="dxa"/>
            <w:gridSpan w:val="6"/>
            <w:vMerge w:val="continue"/>
            <w:vAlign w:val="center"/>
          </w:tcPr>
          <w:p w14:paraId="5CB26BCE">
            <w:pPr>
              <w:spacing w:after="0" w:line="320" w:lineRule="exact"/>
              <w:rPr>
                <w:rFonts w:ascii="Times New Roman" w:hAnsi="Times New Roman" w:eastAsia="方正仿宋_GBK" w:cs="仿宋"/>
                <w:sz w:val="24"/>
                <w:szCs w:val="18"/>
              </w:rPr>
            </w:pPr>
          </w:p>
        </w:tc>
        <w:tc>
          <w:tcPr>
            <w:tcW w:w="1200" w:type="dxa"/>
            <w:gridSpan w:val="2"/>
            <w:vAlign w:val="center"/>
          </w:tcPr>
          <w:p w14:paraId="2B3E95A6">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语种</w:t>
            </w:r>
          </w:p>
        </w:tc>
        <w:tc>
          <w:tcPr>
            <w:tcW w:w="2874" w:type="dxa"/>
            <w:gridSpan w:val="3"/>
            <w:vAlign w:val="center"/>
          </w:tcPr>
          <w:p w14:paraId="64578E35">
            <w:pPr>
              <w:spacing w:after="0" w:line="300" w:lineRule="exact"/>
              <w:jc w:val="center"/>
              <w:rPr>
                <w:rFonts w:hint="eastAsia" w:ascii="Times New Roman" w:hAnsi="Times New Roman" w:eastAsia="宋体"/>
                <w:sz w:val="28"/>
                <w:lang w:eastAsia="zh-CN"/>
              </w:rPr>
            </w:pPr>
            <w:r>
              <w:rPr>
                <w:rFonts w:hint="eastAsia" w:ascii="Times New Roman" w:hAnsi="Times New Roman" w:eastAsia="方正仿宋_GBK" w:cs="仿宋"/>
                <w:sz w:val="28"/>
                <w:szCs w:val="28"/>
                <w:lang w:val="en-US" w:eastAsia="zh-CN"/>
              </w:rPr>
              <w:t>中文</w:t>
            </w:r>
          </w:p>
        </w:tc>
      </w:tr>
      <w:tr w14:paraId="3805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881" w:type="dxa"/>
            <w:vAlign w:val="center"/>
          </w:tcPr>
          <w:p w14:paraId="04BCD99F">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  者</w:t>
            </w:r>
          </w:p>
          <w:p w14:paraId="0185E9F0">
            <w:pPr>
              <w:spacing w:after="0" w:line="380" w:lineRule="exact"/>
              <w:rPr>
                <w:rFonts w:ascii="Times New Roman" w:hAnsi="Times New Roman" w:eastAsia="方正黑体_GBK" w:cs="方正黑体_GBK"/>
                <w:sz w:val="28"/>
              </w:rPr>
            </w:pPr>
            <w:r>
              <w:rPr>
                <w:rFonts w:hint="eastAsia" w:ascii="Times New Roman" w:hAnsi="Times New Roman" w:eastAsia="方正黑体_GBK" w:cs="方正黑体_GBK"/>
                <w:sz w:val="28"/>
              </w:rPr>
              <w:t>（主创人员）</w:t>
            </w:r>
          </w:p>
        </w:tc>
        <w:tc>
          <w:tcPr>
            <w:tcW w:w="2586" w:type="dxa"/>
            <w:gridSpan w:val="4"/>
            <w:vAlign w:val="center"/>
          </w:tcPr>
          <w:p w14:paraId="0C86E242">
            <w:pPr>
              <w:spacing w:after="0" w:line="260" w:lineRule="exact"/>
              <w:rPr>
                <w:rFonts w:hint="default" w:ascii="Times New Roman" w:hAnsi="Times New Roman" w:eastAsia="方正仿宋_GBK"/>
                <w:sz w:val="28"/>
                <w:lang w:val="en-US" w:eastAsia="zh-CN"/>
              </w:rPr>
            </w:pPr>
            <w:r>
              <w:rPr>
                <w:rFonts w:hint="eastAsia" w:ascii="Times New Roman" w:hAnsi="Times New Roman" w:eastAsia="方正仿宋_GBK" w:cs="仿宋"/>
                <w:sz w:val="24"/>
                <w:szCs w:val="18"/>
                <w:lang w:eastAsia="zh-CN"/>
              </w:rPr>
              <w:t>杜燕妮</w:t>
            </w:r>
            <w:r>
              <w:rPr>
                <w:rFonts w:hint="eastAsia" w:ascii="Times New Roman" w:hAnsi="Times New Roman" w:eastAsia="方正仿宋_GBK" w:cs="仿宋"/>
                <w:sz w:val="24"/>
                <w:szCs w:val="18"/>
                <w:lang w:val="en-US" w:eastAsia="zh-CN"/>
              </w:rPr>
              <w:t xml:space="preserve"> 邓冰鑫 周娅</w:t>
            </w:r>
          </w:p>
        </w:tc>
        <w:tc>
          <w:tcPr>
            <w:tcW w:w="1076" w:type="dxa"/>
            <w:gridSpan w:val="2"/>
            <w:vAlign w:val="center"/>
          </w:tcPr>
          <w:p w14:paraId="50BE55F2">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编辑</w:t>
            </w:r>
          </w:p>
        </w:tc>
        <w:tc>
          <w:tcPr>
            <w:tcW w:w="4074" w:type="dxa"/>
            <w:gridSpan w:val="5"/>
            <w:vAlign w:val="center"/>
          </w:tcPr>
          <w:p w14:paraId="0E8AC606">
            <w:pPr>
              <w:spacing w:after="0" w:line="300" w:lineRule="exact"/>
              <w:jc w:val="center"/>
              <w:rPr>
                <w:rFonts w:hint="eastAsia" w:ascii="Times New Roman" w:hAnsi="Times New Roman" w:eastAsia="方正仿宋_GBK"/>
                <w:w w:val="95"/>
                <w:szCs w:val="21"/>
                <w:lang w:eastAsia="zh-CN"/>
              </w:rPr>
            </w:pPr>
            <w:r>
              <w:rPr>
                <w:rFonts w:hint="eastAsia" w:ascii="Times New Roman" w:hAnsi="Times New Roman" w:eastAsia="方正仿宋_GBK" w:cs="仿宋"/>
                <w:sz w:val="28"/>
                <w:szCs w:val="28"/>
                <w:lang w:val="en-US" w:eastAsia="zh-CN"/>
              </w:rPr>
              <w:t>杜燕妮</w:t>
            </w:r>
          </w:p>
        </w:tc>
      </w:tr>
      <w:tr w14:paraId="78F3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trPr>
        <w:tc>
          <w:tcPr>
            <w:tcW w:w="1881" w:type="dxa"/>
            <w:vAlign w:val="center"/>
          </w:tcPr>
          <w:p w14:paraId="7923F165">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原创单位</w:t>
            </w:r>
          </w:p>
        </w:tc>
        <w:tc>
          <w:tcPr>
            <w:tcW w:w="2586" w:type="dxa"/>
            <w:gridSpan w:val="4"/>
            <w:vAlign w:val="center"/>
          </w:tcPr>
          <w:p w14:paraId="60A0A761">
            <w:pPr>
              <w:spacing w:after="0" w:line="300" w:lineRule="exact"/>
              <w:jc w:val="both"/>
              <w:rPr>
                <w:rFonts w:hint="eastAsia" w:ascii="Times New Roman" w:hAnsi="Times New Roman" w:eastAsia="宋体"/>
                <w:szCs w:val="21"/>
                <w:lang w:eastAsia="zh-CN"/>
              </w:rPr>
            </w:pPr>
            <w:r>
              <w:rPr>
                <w:rFonts w:hint="eastAsia" w:ascii="Times New Roman" w:hAnsi="Times New Roman" w:eastAsia="方正仿宋_GBK" w:cs="仿宋"/>
                <w:sz w:val="28"/>
                <w:szCs w:val="28"/>
                <w:lang w:val="en-US" w:eastAsia="zh-CN"/>
              </w:rPr>
              <w:t>江津区融媒体中心</w:t>
            </w:r>
          </w:p>
        </w:tc>
        <w:tc>
          <w:tcPr>
            <w:tcW w:w="1076" w:type="dxa"/>
            <w:gridSpan w:val="2"/>
            <w:vAlign w:val="center"/>
          </w:tcPr>
          <w:p w14:paraId="4A6315F7">
            <w:pPr>
              <w:spacing w:after="0" w:line="380" w:lineRule="exact"/>
              <w:jc w:val="center"/>
              <w:rPr>
                <w:rFonts w:ascii="Times New Roman" w:hAnsi="Times New Roman" w:eastAsia="方正黑体_GBK" w:cs="方正黑体_GBK"/>
                <w:sz w:val="24"/>
              </w:rPr>
            </w:pPr>
            <w:r>
              <w:rPr>
                <w:rFonts w:hint="eastAsia" w:ascii="Times New Roman" w:hAnsi="Times New Roman" w:eastAsia="方正黑体_GBK" w:cs="方正黑体_GBK"/>
                <w:sz w:val="24"/>
              </w:rPr>
              <w:t>发布端/账号/媒体名称</w:t>
            </w:r>
          </w:p>
        </w:tc>
        <w:tc>
          <w:tcPr>
            <w:tcW w:w="4074" w:type="dxa"/>
            <w:gridSpan w:val="5"/>
            <w:vAlign w:val="center"/>
          </w:tcPr>
          <w:p w14:paraId="43E6F61B">
            <w:pPr>
              <w:spacing w:after="0" w:line="300" w:lineRule="exact"/>
              <w:ind w:firstLine="720" w:firstLineChars="300"/>
              <w:jc w:val="both"/>
              <w:rPr>
                <w:rFonts w:hint="eastAsia" w:ascii="Times New Roman" w:hAnsi="Times New Roman" w:eastAsia="方正仿宋_GBK" w:cs="仿宋"/>
                <w:sz w:val="24"/>
                <w:szCs w:val="18"/>
                <w:lang w:val="en-US" w:eastAsia="zh-CN"/>
              </w:rPr>
            </w:pPr>
            <w:r>
              <w:rPr>
                <w:rFonts w:hint="eastAsia" w:ascii="Times New Roman" w:hAnsi="Times New Roman" w:eastAsia="方正仿宋_GBK" w:cs="仿宋"/>
                <w:sz w:val="24"/>
                <w:szCs w:val="18"/>
                <w:lang w:val="en-US" w:eastAsia="zh-CN"/>
              </w:rPr>
              <w:t>江津融媒体中心</w:t>
            </w:r>
          </w:p>
          <w:p w14:paraId="218FD61B">
            <w:pPr>
              <w:spacing w:after="0" w:line="300" w:lineRule="exact"/>
              <w:ind w:firstLine="720" w:firstLineChars="300"/>
              <w:jc w:val="both"/>
              <w:rPr>
                <w:rFonts w:hint="default" w:ascii="Times New Roman" w:hAnsi="Times New Roman" w:eastAsia="宋体"/>
                <w:sz w:val="18"/>
                <w:szCs w:val="18"/>
                <w:lang w:val="en-US" w:eastAsia="zh-CN"/>
              </w:rPr>
            </w:pPr>
            <w:r>
              <w:rPr>
                <w:rFonts w:hint="eastAsia" w:ascii="Times New Roman" w:hAnsi="Times New Roman" w:eastAsia="方正仿宋_GBK" w:cs="仿宋"/>
                <w:sz w:val="24"/>
                <w:szCs w:val="18"/>
                <w:lang w:val="en-US" w:eastAsia="zh-CN"/>
              </w:rPr>
              <w:t>综合广播FM98.7</w:t>
            </w:r>
          </w:p>
        </w:tc>
      </w:tr>
      <w:tr w14:paraId="1383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exact"/>
        </w:trPr>
        <w:tc>
          <w:tcPr>
            <w:tcW w:w="1881" w:type="dxa"/>
            <w:vAlign w:val="center"/>
          </w:tcPr>
          <w:p w14:paraId="2E02AB2E">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刊播版面</w:t>
            </w:r>
          </w:p>
          <w:p w14:paraId="7CF55055">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(名称和版次)</w:t>
            </w:r>
          </w:p>
        </w:tc>
        <w:tc>
          <w:tcPr>
            <w:tcW w:w="2586" w:type="dxa"/>
            <w:gridSpan w:val="4"/>
            <w:vAlign w:val="center"/>
          </w:tcPr>
          <w:p w14:paraId="1A7341C9">
            <w:pPr>
              <w:spacing w:after="0" w:line="260" w:lineRule="exact"/>
              <w:rPr>
                <w:rFonts w:hint="default" w:ascii="Times New Roman" w:hAnsi="Times New Roman"/>
                <w:szCs w:val="21"/>
                <w:lang w:val="en-US"/>
              </w:rPr>
            </w:pPr>
            <w:r>
              <w:rPr>
                <w:rFonts w:hint="eastAsia" w:ascii="Times New Roman" w:hAnsi="Times New Roman" w:eastAsia="方正仿宋_GBK" w:cs="仿宋"/>
                <w:sz w:val="24"/>
                <w:szCs w:val="18"/>
                <w:lang w:val="en-US" w:eastAsia="zh-CN"/>
              </w:rPr>
              <w:t>《987江津晚新闻》</w:t>
            </w:r>
          </w:p>
        </w:tc>
        <w:tc>
          <w:tcPr>
            <w:tcW w:w="1076" w:type="dxa"/>
            <w:gridSpan w:val="2"/>
            <w:vAlign w:val="center"/>
          </w:tcPr>
          <w:p w14:paraId="12B228E4">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刊播日期</w:t>
            </w:r>
          </w:p>
        </w:tc>
        <w:tc>
          <w:tcPr>
            <w:tcW w:w="4074" w:type="dxa"/>
            <w:gridSpan w:val="5"/>
            <w:vAlign w:val="center"/>
          </w:tcPr>
          <w:p w14:paraId="59F75DE0">
            <w:pPr>
              <w:spacing w:after="0" w:line="260" w:lineRule="exact"/>
              <w:jc w:val="center"/>
              <w:rPr>
                <w:rFonts w:ascii="Times New Roman" w:hAnsi="Times New Roman" w:eastAsia="方正仿宋_GBK" w:cs="Times New Roman"/>
                <w:szCs w:val="21"/>
              </w:rPr>
            </w:pPr>
            <w:r>
              <w:rPr>
                <w:rFonts w:hint="eastAsia" w:ascii="Times New Roman" w:hAnsi="Times New Roman" w:eastAsia="方正仿宋_GBK" w:cs="Times New Roman"/>
                <w:sz w:val="24"/>
                <w:szCs w:val="21"/>
                <w:lang w:val="en-US" w:eastAsia="zh-CN"/>
              </w:rPr>
              <w:t>12</w:t>
            </w:r>
            <w:r>
              <w:rPr>
                <w:rFonts w:ascii="Times New Roman" w:hAnsi="Times New Roman" w:eastAsia="方正仿宋_GBK" w:cs="Times New Roman"/>
                <w:sz w:val="24"/>
                <w:szCs w:val="21"/>
              </w:rPr>
              <w:t>月</w:t>
            </w:r>
            <w:r>
              <w:rPr>
                <w:rFonts w:hint="eastAsia" w:ascii="Times New Roman" w:hAnsi="Times New Roman" w:eastAsia="方正仿宋_GBK" w:cs="Times New Roman"/>
                <w:sz w:val="24"/>
                <w:szCs w:val="21"/>
                <w:lang w:val="en-US" w:eastAsia="zh-CN"/>
              </w:rPr>
              <w:t>31</w:t>
            </w:r>
            <w:r>
              <w:rPr>
                <w:rFonts w:ascii="Times New Roman" w:hAnsi="Times New Roman" w:eastAsia="方正仿宋_GBK" w:cs="Times New Roman"/>
                <w:sz w:val="24"/>
                <w:szCs w:val="21"/>
              </w:rPr>
              <w:t>日</w:t>
            </w:r>
            <w:r>
              <w:rPr>
                <w:rFonts w:hint="eastAsia" w:ascii="Times New Roman" w:hAnsi="Times New Roman" w:eastAsia="方正仿宋_GBK" w:cs="Times New Roman"/>
                <w:sz w:val="24"/>
                <w:szCs w:val="21"/>
                <w:lang w:val="en-US" w:eastAsia="zh-CN"/>
              </w:rPr>
              <w:t>18</w:t>
            </w:r>
            <w:r>
              <w:rPr>
                <w:rFonts w:ascii="Times New Roman" w:hAnsi="Times New Roman" w:eastAsia="方正仿宋_GBK" w:cs="Times New Roman"/>
                <w:sz w:val="24"/>
                <w:szCs w:val="21"/>
              </w:rPr>
              <w:t>时</w:t>
            </w:r>
            <w:r>
              <w:rPr>
                <w:rFonts w:hint="eastAsia" w:ascii="Times New Roman" w:hAnsi="Times New Roman" w:eastAsia="方正仿宋_GBK" w:cs="Times New Roman"/>
                <w:sz w:val="24"/>
                <w:szCs w:val="21"/>
                <w:lang w:val="en-US" w:eastAsia="zh-CN"/>
              </w:rPr>
              <w:t>30</w:t>
            </w:r>
            <w:r>
              <w:rPr>
                <w:rFonts w:ascii="Times New Roman" w:hAnsi="Times New Roman" w:eastAsia="方正仿宋_GBK" w:cs="Times New Roman"/>
                <w:sz w:val="24"/>
                <w:szCs w:val="21"/>
              </w:rPr>
              <w:t>分</w:t>
            </w:r>
          </w:p>
        </w:tc>
      </w:tr>
      <w:tr w14:paraId="468F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81" w:type="dxa"/>
            <w:vMerge w:val="restart"/>
            <w:vAlign w:val="center"/>
          </w:tcPr>
          <w:p w14:paraId="6A9E581A">
            <w:pPr>
              <w:spacing w:after="0" w:line="340" w:lineRule="exact"/>
              <w:rPr>
                <w:rFonts w:ascii="Times New Roman" w:hAnsi="Times New Roman"/>
                <w:szCs w:val="21"/>
              </w:rPr>
            </w:pPr>
            <w:r>
              <w:rPr>
                <w:rFonts w:hint="eastAsia" w:ascii="Times New Roman" w:hAnsi="Times New Roman" w:eastAsia="方正黑体_GBK" w:cs="方正黑体_GBK"/>
                <w:sz w:val="24"/>
                <w:szCs w:val="21"/>
              </w:rPr>
              <w:t>新媒体作品填报网址</w:t>
            </w:r>
          </w:p>
        </w:tc>
        <w:tc>
          <w:tcPr>
            <w:tcW w:w="3662" w:type="dxa"/>
            <w:gridSpan w:val="6"/>
            <w:vMerge w:val="restart"/>
            <w:vAlign w:val="center"/>
          </w:tcPr>
          <w:p w14:paraId="1B5D3A36">
            <w:pPr>
              <w:spacing w:after="0" w:line="260" w:lineRule="exact"/>
              <w:rPr>
                <w:rFonts w:ascii="Times New Roman" w:hAnsi="Times New Roman" w:eastAsia="华文中宋"/>
                <w:sz w:val="28"/>
              </w:rPr>
            </w:pPr>
          </w:p>
        </w:tc>
        <w:tc>
          <w:tcPr>
            <w:tcW w:w="4074" w:type="dxa"/>
            <w:gridSpan w:val="5"/>
            <w:vAlign w:val="center"/>
          </w:tcPr>
          <w:p w14:paraId="52C4B614">
            <w:pPr>
              <w:spacing w:after="0" w:line="260" w:lineRule="exact"/>
              <w:rPr>
                <w:rFonts w:hint="eastAsia" w:ascii="Times New Roman" w:hAnsi="Times New Roman" w:eastAsia="华文中宋"/>
                <w:sz w:val="28"/>
                <w:lang w:eastAsia="zh-CN"/>
              </w:rPr>
            </w:pPr>
            <w:r>
              <w:rPr>
                <w:rFonts w:hint="eastAsia" w:ascii="方正黑体_GBK" w:hAnsi="Times New Roman" w:eastAsia="方正黑体_GBK"/>
                <w:sz w:val="24"/>
                <w:szCs w:val="21"/>
              </w:rPr>
              <w:t>中央宣传部“三好作品”</w:t>
            </w:r>
            <w:r>
              <w:rPr>
                <w:rFonts w:hint="eastAsia" w:ascii="Times New Roman" w:hAnsi="Times New Roman" w:eastAsia="华文中宋"/>
                <w:sz w:val="28"/>
              </w:rPr>
              <w:t xml:space="preserve">  </w:t>
            </w:r>
            <w:r>
              <w:rPr>
                <w:rFonts w:hint="eastAsia" w:ascii="Times New Roman" w:hAnsi="Times New Roman" w:eastAsia="华文中宋"/>
                <w:sz w:val="24"/>
                <w:szCs w:val="24"/>
              </w:rPr>
              <w:t>是</w:t>
            </w:r>
            <w:r>
              <w:rPr>
                <w:rFonts w:hint="eastAsia" w:ascii="华文中宋" w:hAnsi="华文中宋" w:eastAsia="华文中宋"/>
                <w:sz w:val="24"/>
                <w:szCs w:val="24"/>
              </w:rPr>
              <w:t>□ 否</w:t>
            </w:r>
            <w:r>
              <w:rPr>
                <w:rFonts w:hint="eastAsia" w:ascii="华文中宋" w:hAnsi="华文中宋" w:eastAsia="华文中宋"/>
                <w:sz w:val="24"/>
                <w:szCs w:val="24"/>
                <w:lang w:eastAsia="zh-CN"/>
              </w:rPr>
              <w:t>☑</w:t>
            </w:r>
          </w:p>
        </w:tc>
      </w:tr>
      <w:tr w14:paraId="4F8A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exact"/>
        </w:trPr>
        <w:tc>
          <w:tcPr>
            <w:tcW w:w="1881" w:type="dxa"/>
            <w:vMerge w:val="continue"/>
            <w:vAlign w:val="center"/>
          </w:tcPr>
          <w:p w14:paraId="4E3FEA3C">
            <w:pPr>
              <w:spacing w:after="0" w:line="340" w:lineRule="exact"/>
              <w:rPr>
                <w:rFonts w:ascii="Times New Roman" w:hAnsi="Times New Roman" w:eastAsia="方正黑体_GBK" w:cs="方正黑体_GBK"/>
                <w:sz w:val="24"/>
                <w:szCs w:val="21"/>
              </w:rPr>
            </w:pPr>
          </w:p>
        </w:tc>
        <w:tc>
          <w:tcPr>
            <w:tcW w:w="3662" w:type="dxa"/>
            <w:gridSpan w:val="6"/>
            <w:vMerge w:val="continue"/>
            <w:vAlign w:val="center"/>
          </w:tcPr>
          <w:p w14:paraId="2DA96EB5">
            <w:pPr>
              <w:spacing w:after="0" w:line="260" w:lineRule="exact"/>
              <w:rPr>
                <w:rFonts w:ascii="Times New Roman" w:hAnsi="Times New Roman" w:eastAsia="方正仿宋_GBK" w:cs="仿宋"/>
                <w:sz w:val="24"/>
                <w:szCs w:val="18"/>
              </w:rPr>
            </w:pPr>
          </w:p>
        </w:tc>
        <w:tc>
          <w:tcPr>
            <w:tcW w:w="4074" w:type="dxa"/>
            <w:gridSpan w:val="5"/>
            <w:vAlign w:val="center"/>
          </w:tcPr>
          <w:p w14:paraId="5735343F">
            <w:pPr>
              <w:spacing w:after="0" w:line="260" w:lineRule="exact"/>
              <w:rPr>
                <w:rFonts w:hint="eastAsia" w:ascii="Times New Roman" w:hAnsi="Times New Roman" w:eastAsia="华文中宋"/>
                <w:sz w:val="28"/>
                <w:lang w:eastAsia="zh-CN"/>
              </w:rPr>
            </w:pPr>
            <w:r>
              <w:rPr>
                <w:rFonts w:hint="eastAsia" w:ascii="方正黑体_GBK" w:hAnsi="Times New Roman" w:eastAsia="方正黑体_GBK"/>
                <w:sz w:val="24"/>
                <w:szCs w:val="21"/>
              </w:rPr>
              <w:t xml:space="preserve">市委宣传部“三好作品” </w:t>
            </w:r>
            <w:r>
              <w:rPr>
                <w:rFonts w:hint="eastAsia" w:ascii="Times New Roman" w:hAnsi="Times New Roman" w:eastAsia="华文中宋"/>
                <w:sz w:val="24"/>
                <w:szCs w:val="21"/>
              </w:rPr>
              <w:t xml:space="preserve"> </w:t>
            </w:r>
            <w:r>
              <w:rPr>
                <w:rFonts w:hint="eastAsia" w:ascii="Times New Roman" w:hAnsi="Times New Roman" w:eastAsia="华文中宋"/>
                <w:sz w:val="24"/>
                <w:szCs w:val="24"/>
              </w:rPr>
              <w:t>是</w:t>
            </w:r>
            <w:r>
              <w:rPr>
                <w:rFonts w:hint="eastAsia" w:ascii="华文中宋" w:hAnsi="华文中宋" w:eastAsia="华文中宋"/>
                <w:sz w:val="24"/>
                <w:szCs w:val="24"/>
              </w:rPr>
              <w:t>□ 否</w:t>
            </w:r>
            <w:r>
              <w:rPr>
                <w:rFonts w:hint="eastAsia" w:ascii="华文中宋" w:hAnsi="华文中宋" w:eastAsia="华文中宋"/>
                <w:sz w:val="24"/>
                <w:szCs w:val="24"/>
                <w:lang w:eastAsia="zh-CN"/>
              </w:rPr>
              <w:t>☑</w:t>
            </w:r>
          </w:p>
        </w:tc>
      </w:tr>
      <w:tr w14:paraId="46F5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881" w:type="dxa"/>
            <w:vAlign w:val="center"/>
          </w:tcPr>
          <w:p w14:paraId="4630C668">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作品简介</w:t>
            </w:r>
          </w:p>
        </w:tc>
        <w:tc>
          <w:tcPr>
            <w:tcW w:w="7736" w:type="dxa"/>
            <w:gridSpan w:val="11"/>
            <w:vAlign w:val="center"/>
          </w:tcPr>
          <w:p w14:paraId="2706309B">
            <w:pPr>
              <w:keepNext w:val="0"/>
              <w:keepLines w:val="0"/>
              <w:pageBreakBefore w:val="0"/>
              <w:widowControl w:val="0"/>
              <w:kinsoku/>
              <w:wordWrap/>
              <w:overflowPunct/>
              <w:topLinePunct w:val="0"/>
              <w:autoSpaceDE/>
              <w:autoSpaceDN/>
              <w:bidi w:val="0"/>
              <w:adjustRightInd/>
              <w:snapToGrid/>
              <w:spacing w:after="0" w:line="340" w:lineRule="exact"/>
              <w:ind w:firstLine="420" w:firstLineChars="200"/>
              <w:textAlignment w:val="auto"/>
              <w:rPr>
                <w:rFonts w:hint="eastAsia" w:ascii="Times New Roman" w:hAnsi="Times New Roman" w:eastAsia="方正仿宋_GBK" w:cs="仿宋"/>
                <w:sz w:val="21"/>
                <w:szCs w:val="21"/>
                <w:lang w:val="en-US" w:eastAsia="zh-CN"/>
              </w:rPr>
            </w:pPr>
            <w:r>
              <w:rPr>
                <w:rFonts w:hint="default" w:ascii="Times New Roman" w:hAnsi="Times New Roman" w:eastAsia="方正仿宋_GBK" w:cs="仿宋"/>
                <w:sz w:val="21"/>
                <w:szCs w:val="21"/>
                <w:lang w:val="en-US" w:eastAsia="zh-CN"/>
              </w:rPr>
              <w:t>广播专题《流动的中国：从“四等小站”到“全球枢纽”》是一部聚焦国家战略与基层实践的广播深度</w:t>
            </w:r>
            <w:r>
              <w:rPr>
                <w:rFonts w:hint="eastAsia" w:ascii="Times New Roman" w:hAnsi="Times New Roman" w:eastAsia="方正仿宋_GBK" w:cs="仿宋"/>
                <w:sz w:val="21"/>
                <w:szCs w:val="21"/>
                <w:lang w:val="en-US" w:eastAsia="zh-CN"/>
              </w:rPr>
              <w:t>专题</w:t>
            </w:r>
            <w:r>
              <w:rPr>
                <w:rFonts w:hint="default" w:ascii="Times New Roman" w:hAnsi="Times New Roman" w:eastAsia="方正仿宋_GBK" w:cs="仿宋"/>
                <w:sz w:val="21"/>
                <w:szCs w:val="21"/>
                <w:lang w:val="en-US" w:eastAsia="zh-CN"/>
              </w:rPr>
              <w:t>报道力作。作品以重庆江津小南垭站的蜕变历程为微观样本，</w:t>
            </w:r>
            <w:r>
              <w:rPr>
                <w:rFonts w:hint="eastAsia" w:ascii="Times New Roman" w:hAnsi="Times New Roman" w:eastAsia="方正仿宋_GBK" w:cs="仿宋"/>
                <w:sz w:val="21"/>
                <w:szCs w:val="21"/>
                <w:lang w:val="en-US" w:eastAsia="zh-CN"/>
              </w:rPr>
              <w:t>以小见大，</w:t>
            </w:r>
            <w:r>
              <w:rPr>
                <w:rFonts w:hint="default" w:ascii="Times New Roman" w:hAnsi="Times New Roman" w:eastAsia="方正仿宋_GBK" w:cs="仿宋"/>
                <w:sz w:val="21"/>
                <w:szCs w:val="21"/>
                <w:lang w:val="en-US" w:eastAsia="zh-CN"/>
              </w:rPr>
              <w:t>通过深度的典型案例研究，生动记录了这座始建于20世纪70年代的</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四等小站</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，如何紧抓</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一带一路</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、西部陆海新通道及长江经济带建设等</w:t>
            </w:r>
            <w:r>
              <w:rPr>
                <w:rFonts w:hint="eastAsia" w:ascii="Times New Roman" w:hAnsi="Times New Roman" w:eastAsia="方正仿宋_GBK" w:cs="仿宋"/>
                <w:sz w:val="21"/>
                <w:szCs w:val="21"/>
                <w:lang w:val="en-US" w:eastAsia="zh-CN"/>
              </w:rPr>
              <w:t>国家</w:t>
            </w:r>
            <w:r>
              <w:rPr>
                <w:rFonts w:hint="default" w:ascii="Times New Roman" w:hAnsi="Times New Roman" w:eastAsia="方正仿宋_GBK" w:cs="仿宋"/>
                <w:sz w:val="21"/>
                <w:szCs w:val="21"/>
                <w:lang w:val="en-US" w:eastAsia="zh-CN"/>
              </w:rPr>
              <w:t>重大战略机遇，从内陆</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神经末梢</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跃升为通达全球的国际物流枢纽。</w:t>
            </w:r>
          </w:p>
          <w:p w14:paraId="38A44985">
            <w:pPr>
              <w:keepNext w:val="0"/>
              <w:keepLines w:val="0"/>
              <w:pageBreakBefore w:val="0"/>
              <w:widowControl w:val="0"/>
              <w:kinsoku/>
              <w:wordWrap/>
              <w:overflowPunct/>
              <w:topLinePunct w:val="0"/>
              <w:autoSpaceDE/>
              <w:autoSpaceDN/>
              <w:bidi w:val="0"/>
              <w:adjustRightInd/>
              <w:snapToGrid/>
              <w:spacing w:after="0" w:line="340" w:lineRule="exact"/>
              <w:textAlignment w:val="auto"/>
              <w:rPr>
                <w:rFonts w:hint="default" w:ascii="Times New Roman" w:hAnsi="Times New Roman" w:eastAsia="方正仿宋_GBK" w:cs="仿宋"/>
                <w:sz w:val="21"/>
                <w:szCs w:val="21"/>
                <w:lang w:val="en-US" w:eastAsia="zh-CN"/>
              </w:rPr>
            </w:pPr>
            <w:r>
              <w:rPr>
                <w:rFonts w:hint="default" w:ascii="Times New Roman" w:hAnsi="Times New Roman" w:eastAsia="方正仿宋_GBK" w:cs="仿宋"/>
                <w:sz w:val="21"/>
                <w:szCs w:val="21"/>
                <w:lang w:val="en-US" w:eastAsia="zh-CN"/>
              </w:rPr>
              <w:t>在采编制作上，主创团队践行</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四力</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要求，深入一线开展</w:t>
            </w:r>
            <w:r>
              <w:rPr>
                <w:rFonts w:hint="eastAsia" w:ascii="Times New Roman" w:hAnsi="Times New Roman" w:eastAsia="方正仿宋_GBK" w:cs="仿宋"/>
                <w:sz w:val="21"/>
                <w:szCs w:val="21"/>
                <w:lang w:val="en-US" w:eastAsia="zh-CN"/>
              </w:rPr>
              <w:t>深度采访</w:t>
            </w:r>
            <w:r>
              <w:rPr>
                <w:rFonts w:hint="default" w:ascii="Times New Roman" w:hAnsi="Times New Roman" w:eastAsia="方正仿宋_GBK" w:cs="仿宋"/>
                <w:sz w:val="21"/>
                <w:szCs w:val="21"/>
                <w:lang w:val="en-US" w:eastAsia="zh-CN"/>
              </w:rPr>
              <w:t>。作品充分发挥广播媒介的声音特质，以调度中心的时钟滴答、班列启程的雄浑汽笛、调度员的现场讲述为声音元素，构建强烈的纪实感与代入感。作品以</w:t>
            </w:r>
            <w:r>
              <w:rPr>
                <w:rFonts w:hint="eastAsia" w:ascii="Times New Roman" w:hAnsi="Times New Roman" w:eastAsia="方正仿宋_GBK" w:cs="仿宋"/>
                <w:sz w:val="21"/>
                <w:szCs w:val="21"/>
                <w:lang w:val="en-US" w:eastAsia="zh-CN"/>
              </w:rPr>
              <w:t>小南垭站和</w:t>
            </w:r>
            <w:r>
              <w:rPr>
                <w:rFonts w:hint="default" w:ascii="Times New Roman" w:hAnsi="Times New Roman" w:eastAsia="方正仿宋_GBK" w:cs="仿宋"/>
                <w:sz w:val="21"/>
                <w:szCs w:val="21"/>
                <w:lang w:val="en-US" w:eastAsia="zh-CN"/>
              </w:rPr>
              <w:t>重庆润通科技有限公司的</w:t>
            </w:r>
            <w:r>
              <w:rPr>
                <w:rFonts w:hint="eastAsia" w:ascii="Times New Roman" w:hAnsi="Times New Roman" w:eastAsia="方正仿宋_GBK" w:cs="仿宋"/>
                <w:sz w:val="21"/>
                <w:szCs w:val="21"/>
                <w:lang w:val="en-US" w:eastAsia="zh-CN"/>
              </w:rPr>
              <w:t>链接</w:t>
            </w:r>
            <w:r>
              <w:rPr>
                <w:rFonts w:hint="default" w:ascii="Times New Roman" w:hAnsi="Times New Roman" w:eastAsia="方正仿宋_GBK" w:cs="仿宋"/>
                <w:sz w:val="21"/>
                <w:szCs w:val="21"/>
                <w:lang w:val="en-US" w:eastAsia="zh-CN"/>
              </w:rPr>
              <w:t>为叙事主线</w:t>
            </w:r>
            <w:r>
              <w:rPr>
                <w:rFonts w:hint="eastAsia" w:ascii="Times New Roman" w:hAnsi="Times New Roman" w:eastAsia="方正仿宋_GBK" w:cs="仿宋"/>
                <w:sz w:val="21"/>
                <w:szCs w:val="21"/>
                <w:lang w:val="en-US" w:eastAsia="zh-CN"/>
              </w:rPr>
              <w:t>，以企业</w:t>
            </w:r>
            <w:r>
              <w:rPr>
                <w:rFonts w:hint="default" w:ascii="Times New Roman" w:hAnsi="Times New Roman" w:eastAsia="方正仿宋_GBK" w:cs="仿宋"/>
                <w:sz w:val="21"/>
                <w:szCs w:val="21"/>
                <w:lang w:val="en-US" w:eastAsia="zh-CN"/>
              </w:rPr>
              <w:t>困境与突围</w:t>
            </w:r>
            <w:r>
              <w:rPr>
                <w:rFonts w:hint="eastAsia" w:ascii="Times New Roman" w:hAnsi="Times New Roman" w:eastAsia="方正仿宋_GBK" w:cs="仿宋"/>
                <w:sz w:val="21"/>
                <w:szCs w:val="21"/>
                <w:lang w:val="en-US" w:eastAsia="zh-CN"/>
              </w:rPr>
              <w:t>为抓手</w:t>
            </w:r>
            <w:r>
              <w:rPr>
                <w:rFonts w:hint="default" w:ascii="Times New Roman" w:hAnsi="Times New Roman" w:eastAsia="方正仿宋_GBK" w:cs="仿宋"/>
                <w:sz w:val="21"/>
                <w:szCs w:val="21"/>
                <w:lang w:val="en-US" w:eastAsia="zh-CN"/>
              </w:rPr>
              <w:t>，</w:t>
            </w:r>
            <w:r>
              <w:rPr>
                <w:rFonts w:hint="eastAsia" w:ascii="Times New Roman" w:hAnsi="Times New Roman" w:eastAsia="方正仿宋_GBK" w:cs="仿宋"/>
                <w:sz w:val="21"/>
                <w:szCs w:val="21"/>
                <w:lang w:val="en-US" w:eastAsia="zh-CN"/>
              </w:rPr>
              <w:t>采访</w:t>
            </w:r>
            <w:r>
              <w:rPr>
                <w:rFonts w:hint="default" w:ascii="Times New Roman" w:hAnsi="Times New Roman" w:eastAsia="方正仿宋_GBK" w:cs="仿宋"/>
                <w:sz w:val="21"/>
                <w:szCs w:val="21"/>
                <w:lang w:val="en-US" w:eastAsia="zh-CN"/>
              </w:rPr>
              <w:t>调度员、企业</w:t>
            </w:r>
            <w:r>
              <w:rPr>
                <w:rFonts w:hint="eastAsia" w:ascii="Times New Roman" w:hAnsi="Times New Roman" w:eastAsia="方正仿宋_GBK" w:cs="仿宋"/>
                <w:sz w:val="21"/>
                <w:szCs w:val="21"/>
                <w:lang w:val="en-US" w:eastAsia="zh-CN"/>
              </w:rPr>
              <w:t>和</w:t>
            </w:r>
            <w:r>
              <w:rPr>
                <w:rFonts w:hint="default" w:ascii="Times New Roman" w:hAnsi="Times New Roman" w:eastAsia="方正仿宋_GBK" w:cs="仿宋"/>
                <w:sz w:val="21"/>
                <w:szCs w:val="21"/>
                <w:lang w:val="en-US" w:eastAsia="zh-CN"/>
              </w:rPr>
              <w:t>海关</w:t>
            </w:r>
            <w:r>
              <w:rPr>
                <w:rFonts w:hint="eastAsia" w:ascii="Times New Roman" w:hAnsi="Times New Roman" w:eastAsia="方正仿宋_GBK" w:cs="仿宋"/>
                <w:sz w:val="21"/>
                <w:szCs w:val="21"/>
                <w:lang w:val="en-US" w:eastAsia="zh-CN"/>
              </w:rPr>
              <w:t>相关负责人</w:t>
            </w:r>
            <w:r>
              <w:rPr>
                <w:rFonts w:hint="default" w:ascii="Times New Roman" w:hAnsi="Times New Roman" w:eastAsia="方正仿宋_GBK" w:cs="仿宋"/>
                <w:sz w:val="21"/>
                <w:szCs w:val="21"/>
                <w:lang w:val="en-US" w:eastAsia="zh-CN"/>
              </w:rPr>
              <w:t>等多位关键人物的原声讲述，全景式还原了</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定制专列</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破解物流梗阻、</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启运港退税</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打破制度壁垒的全过程，将宏大叙事的国家战略转化为可触可感的声音档案。作品通过实地探访、亲历者口述与权威部门解读的三重印证，实现了从</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物流通道建设</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到</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制度型开放探索</w:t>
            </w:r>
            <w:r>
              <w:rPr>
                <w:rFonts w:hint="eastAsia" w:ascii="Times New Roman" w:hAnsi="Times New Roman" w:eastAsia="方正仿宋_GBK" w:cs="仿宋"/>
                <w:sz w:val="21"/>
                <w:szCs w:val="21"/>
                <w:lang w:val="en-US" w:eastAsia="zh-CN"/>
              </w:rPr>
              <w:t>”</w:t>
            </w:r>
            <w:r>
              <w:rPr>
                <w:rFonts w:hint="default" w:ascii="Times New Roman" w:hAnsi="Times New Roman" w:eastAsia="方正仿宋_GBK" w:cs="仿宋"/>
                <w:sz w:val="21"/>
                <w:szCs w:val="21"/>
                <w:lang w:val="en-US" w:eastAsia="zh-CN"/>
              </w:rPr>
              <w:t>的深度掘进，以富有张力的声音语言展现了内陆腹地向开放高地跃升的壮阔历程。</w:t>
            </w:r>
          </w:p>
          <w:p w14:paraId="3CBE373A">
            <w:pPr>
              <w:keepNext w:val="0"/>
              <w:keepLines w:val="0"/>
              <w:pageBreakBefore w:val="0"/>
              <w:widowControl w:val="0"/>
              <w:kinsoku/>
              <w:wordWrap/>
              <w:overflowPunct/>
              <w:topLinePunct w:val="0"/>
              <w:autoSpaceDE/>
              <w:autoSpaceDN/>
              <w:bidi w:val="0"/>
              <w:adjustRightInd/>
              <w:snapToGrid/>
              <w:spacing w:after="0" w:line="340" w:lineRule="exact"/>
              <w:ind w:firstLine="420" w:firstLineChars="200"/>
              <w:textAlignment w:val="auto"/>
              <w:rPr>
                <w:rFonts w:ascii="Times New Roman" w:hAnsi="Times New Roman" w:eastAsia="方正仿宋_GBK"/>
                <w:sz w:val="21"/>
                <w:szCs w:val="21"/>
              </w:rPr>
            </w:pPr>
            <w:r>
              <w:rPr>
                <w:rFonts w:hint="default" w:ascii="Times New Roman" w:hAnsi="Times New Roman" w:eastAsia="方正仿宋_GBK" w:cs="仿宋"/>
                <w:sz w:val="21"/>
                <w:szCs w:val="21"/>
                <w:lang w:val="en-US" w:eastAsia="zh-CN"/>
              </w:rPr>
              <w:t>该专题于2025年底在广播频率播出后，引发广泛社会反响。作品以“小南垭样本”深刻揭示了“流动的中国”所蕴含的蓬勃生机与改革韧劲，是讲好中国式现代化故事、传播新时代高质量发展强音的广播精品。</w:t>
            </w:r>
          </w:p>
        </w:tc>
      </w:tr>
      <w:tr w14:paraId="351D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9" w:hRule="exact"/>
        </w:trPr>
        <w:tc>
          <w:tcPr>
            <w:tcW w:w="1881" w:type="dxa"/>
            <w:vAlign w:val="center"/>
          </w:tcPr>
          <w:p w14:paraId="183DCA10">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社会效果</w:t>
            </w:r>
          </w:p>
        </w:tc>
        <w:tc>
          <w:tcPr>
            <w:tcW w:w="7736" w:type="dxa"/>
            <w:gridSpan w:val="11"/>
            <w:vAlign w:val="center"/>
          </w:tcPr>
          <w:p w14:paraId="34EB55D3">
            <w:pPr>
              <w:keepNext w:val="0"/>
              <w:keepLines w:val="0"/>
              <w:pageBreakBefore w:val="0"/>
              <w:widowControl w:val="0"/>
              <w:kinsoku/>
              <w:wordWrap/>
              <w:overflowPunct/>
              <w:topLinePunct w:val="0"/>
              <w:autoSpaceDE/>
              <w:autoSpaceDN/>
              <w:bidi w:val="0"/>
              <w:adjustRightInd/>
              <w:snapToGrid/>
              <w:spacing w:after="0" w:line="320" w:lineRule="exact"/>
              <w:ind w:firstLine="480" w:firstLineChars="200"/>
              <w:textAlignment w:val="auto"/>
              <w:rPr>
                <w:rFonts w:hint="default" w:ascii="Times New Roman" w:hAnsi="Times New Roman" w:eastAsia="方正仿宋_GBK" w:cs="仿宋"/>
                <w:sz w:val="24"/>
                <w:szCs w:val="18"/>
                <w:lang w:val="en-US" w:eastAsia="zh-CN"/>
              </w:rPr>
            </w:pPr>
            <w:r>
              <w:rPr>
                <w:rFonts w:hint="default" w:ascii="Times New Roman" w:hAnsi="Times New Roman" w:eastAsia="方正仿宋_GBK" w:cs="仿宋"/>
                <w:sz w:val="24"/>
                <w:szCs w:val="18"/>
                <w:lang w:val="en-US" w:eastAsia="zh-CN"/>
              </w:rPr>
              <w:t>广播专题《流动的中国：从“四等小站”到“全球枢纽”》于2025年底在重庆江津融媒体中心综合广播黄金时段首播后，引发</w:t>
            </w:r>
            <w:r>
              <w:rPr>
                <w:rFonts w:hint="eastAsia" w:ascii="Times New Roman" w:hAnsi="Times New Roman" w:eastAsia="方正仿宋_GBK" w:cs="仿宋"/>
                <w:sz w:val="24"/>
                <w:szCs w:val="18"/>
                <w:lang w:val="en-US" w:eastAsia="zh-CN"/>
              </w:rPr>
              <w:t>社会各界</w:t>
            </w:r>
            <w:r>
              <w:rPr>
                <w:rFonts w:hint="default" w:ascii="Times New Roman" w:hAnsi="Times New Roman" w:eastAsia="方正仿宋_GBK" w:cs="仿宋"/>
                <w:sz w:val="24"/>
                <w:szCs w:val="18"/>
                <w:lang w:val="en-US" w:eastAsia="zh-CN"/>
              </w:rPr>
              <w:t>热烈反响，取得良好传播效果。</w:t>
            </w:r>
          </w:p>
          <w:p w14:paraId="35CBBE63">
            <w:pPr>
              <w:keepNext w:val="0"/>
              <w:keepLines w:val="0"/>
              <w:pageBreakBefore w:val="0"/>
              <w:widowControl w:val="0"/>
              <w:kinsoku/>
              <w:wordWrap/>
              <w:overflowPunct/>
              <w:topLinePunct w:val="0"/>
              <w:autoSpaceDE/>
              <w:autoSpaceDN/>
              <w:bidi w:val="0"/>
              <w:adjustRightInd/>
              <w:snapToGrid/>
              <w:spacing w:after="0" w:line="320" w:lineRule="exact"/>
              <w:ind w:firstLine="480" w:firstLineChars="200"/>
              <w:textAlignment w:val="auto"/>
              <w:rPr>
                <w:rFonts w:hint="default" w:ascii="Times New Roman" w:hAnsi="Times New Roman" w:eastAsia="方正仿宋_GBK" w:cs="仿宋"/>
                <w:sz w:val="24"/>
                <w:szCs w:val="18"/>
                <w:lang w:val="en-US" w:eastAsia="zh-CN"/>
              </w:rPr>
            </w:pPr>
            <w:r>
              <w:rPr>
                <w:rFonts w:hint="default" w:ascii="Times New Roman" w:hAnsi="Times New Roman" w:eastAsia="方正仿宋_GBK" w:cs="仿宋"/>
                <w:sz w:val="24"/>
                <w:szCs w:val="18"/>
                <w:lang w:val="en-US" w:eastAsia="zh-CN"/>
              </w:rPr>
              <w:t>收听反响热烈。节目播出期间，江津融媒体中心通过综合广播频率进行首播及重播，覆盖全区及周边地区听众。不少当地群众来电表示，“听了小南垭的故事，才知道家门口这个老火车站竟然发挥着这么重要的作用”“从虫叫到汽笛，真切感受到了国家战略给家乡带来的巨变”。</w:t>
            </w:r>
          </w:p>
          <w:p w14:paraId="26A86C0F">
            <w:pPr>
              <w:keepNext w:val="0"/>
              <w:keepLines w:val="0"/>
              <w:pageBreakBefore w:val="0"/>
              <w:widowControl w:val="0"/>
              <w:kinsoku/>
              <w:wordWrap/>
              <w:overflowPunct/>
              <w:topLinePunct w:val="0"/>
              <w:autoSpaceDE/>
              <w:autoSpaceDN/>
              <w:bidi w:val="0"/>
              <w:adjustRightInd/>
              <w:snapToGrid/>
              <w:spacing w:after="0" w:line="320" w:lineRule="exact"/>
              <w:ind w:firstLine="480" w:firstLineChars="200"/>
              <w:textAlignment w:val="auto"/>
              <w:rPr>
                <w:rFonts w:hint="default" w:ascii="Times New Roman" w:hAnsi="Times New Roman" w:eastAsia="方正仿宋_GBK" w:cs="仿宋"/>
                <w:sz w:val="24"/>
                <w:szCs w:val="18"/>
                <w:lang w:val="en-US" w:eastAsia="zh-CN"/>
              </w:rPr>
            </w:pPr>
            <w:r>
              <w:rPr>
                <w:rFonts w:hint="default" w:ascii="Times New Roman" w:hAnsi="Times New Roman" w:eastAsia="方正仿宋_GBK" w:cs="仿宋"/>
                <w:sz w:val="24"/>
                <w:szCs w:val="18"/>
                <w:lang w:val="en-US" w:eastAsia="zh-CN"/>
              </w:rPr>
              <w:t>传播声量显现。节目音频在江津融媒体中心所属</w:t>
            </w:r>
            <w:r>
              <w:rPr>
                <w:rFonts w:hint="eastAsia" w:ascii="Times New Roman" w:hAnsi="Times New Roman" w:eastAsia="方正仿宋_GBK" w:cs="仿宋"/>
                <w:sz w:val="24"/>
                <w:szCs w:val="18"/>
                <w:lang w:val="en-US" w:eastAsia="zh-CN"/>
              </w:rPr>
              <w:t>广播频率FM98.7</w:t>
            </w:r>
            <w:r>
              <w:rPr>
                <w:rFonts w:hint="default" w:ascii="Times New Roman" w:hAnsi="Times New Roman" w:eastAsia="方正仿宋_GBK" w:cs="仿宋"/>
                <w:sz w:val="24"/>
                <w:szCs w:val="18"/>
                <w:lang w:val="en-US" w:eastAsia="zh-CN"/>
              </w:rPr>
              <w:t>发布后，获本地网友积极</w:t>
            </w:r>
            <w:r>
              <w:rPr>
                <w:rFonts w:hint="eastAsia" w:ascii="Times New Roman" w:hAnsi="Times New Roman" w:eastAsia="方正仿宋_GBK" w:cs="仿宋"/>
                <w:sz w:val="24"/>
                <w:szCs w:val="18"/>
                <w:lang w:val="en-US" w:eastAsia="zh-CN"/>
              </w:rPr>
              <w:t>好评和分享</w:t>
            </w:r>
            <w:r>
              <w:rPr>
                <w:rFonts w:hint="default" w:ascii="Times New Roman" w:hAnsi="Times New Roman" w:eastAsia="方正仿宋_GBK" w:cs="仿宋"/>
                <w:sz w:val="24"/>
                <w:szCs w:val="18"/>
                <w:lang w:val="en-US" w:eastAsia="zh-CN"/>
              </w:rPr>
              <w:t>。其中，调度员陈健“从虫鸣到笛声”的原声片段、企业负责人左运林讲述“25个集装箱生死时速”的音频剪辑，在本地社群平台形成传播热点，</w:t>
            </w:r>
            <w:r>
              <w:rPr>
                <w:rFonts w:hint="eastAsia" w:ascii="Times New Roman" w:hAnsi="Times New Roman" w:eastAsia="方正仿宋_GBK" w:cs="仿宋"/>
                <w:sz w:val="24"/>
                <w:szCs w:val="18"/>
                <w:lang w:val="en-US" w:eastAsia="zh-CN"/>
              </w:rPr>
              <w:t>江津融媒体中心综合广播FM98.7收到</w:t>
            </w:r>
            <w:r>
              <w:rPr>
                <w:rFonts w:hint="default" w:ascii="Times New Roman" w:hAnsi="Times New Roman" w:eastAsia="方正仿宋_GBK" w:cs="仿宋"/>
                <w:sz w:val="24"/>
                <w:szCs w:val="18"/>
                <w:lang w:val="en-US" w:eastAsia="zh-CN"/>
              </w:rPr>
              <w:t>网友</w:t>
            </w:r>
            <w:r>
              <w:rPr>
                <w:rFonts w:hint="eastAsia" w:ascii="Times New Roman" w:hAnsi="Times New Roman" w:eastAsia="方正仿宋_GBK" w:cs="仿宋"/>
                <w:sz w:val="24"/>
                <w:szCs w:val="18"/>
                <w:lang w:val="en-US" w:eastAsia="zh-CN"/>
              </w:rPr>
              <w:t>反馈</w:t>
            </w:r>
            <w:r>
              <w:rPr>
                <w:rFonts w:hint="default" w:ascii="Times New Roman" w:hAnsi="Times New Roman" w:eastAsia="方正仿宋_GBK" w:cs="仿宋"/>
                <w:sz w:val="24"/>
                <w:szCs w:val="18"/>
                <w:lang w:val="en-US" w:eastAsia="zh-CN"/>
              </w:rPr>
              <w:t>逾</w:t>
            </w:r>
            <w:r>
              <w:rPr>
                <w:rFonts w:hint="eastAsia" w:ascii="Times New Roman" w:hAnsi="Times New Roman" w:eastAsia="方正仿宋_GBK" w:cs="仿宋"/>
                <w:sz w:val="24"/>
                <w:szCs w:val="18"/>
                <w:lang w:val="en-US" w:eastAsia="zh-CN"/>
              </w:rPr>
              <w:t>500余</w:t>
            </w:r>
            <w:r>
              <w:rPr>
                <w:rFonts w:hint="default" w:ascii="Times New Roman" w:hAnsi="Times New Roman" w:eastAsia="方正仿宋_GBK" w:cs="仿宋"/>
                <w:sz w:val="24"/>
                <w:szCs w:val="18"/>
                <w:lang w:val="en-US" w:eastAsia="zh-CN"/>
              </w:rPr>
              <w:t>条，不少在外务工的江津籍人士留言“为家乡的发展感到骄傲”“想回去看看小南垭现在的样子”。</w:t>
            </w:r>
          </w:p>
          <w:p w14:paraId="09E90417">
            <w:pPr>
              <w:keepNext w:val="0"/>
              <w:keepLines w:val="0"/>
              <w:pageBreakBefore w:val="0"/>
              <w:widowControl w:val="0"/>
              <w:kinsoku/>
              <w:wordWrap/>
              <w:overflowPunct/>
              <w:topLinePunct w:val="0"/>
              <w:autoSpaceDE/>
              <w:autoSpaceDN/>
              <w:bidi w:val="0"/>
              <w:adjustRightInd/>
              <w:snapToGrid/>
              <w:spacing w:after="0" w:line="320" w:lineRule="exact"/>
              <w:ind w:firstLine="480" w:firstLineChars="200"/>
              <w:textAlignment w:val="auto"/>
              <w:rPr>
                <w:rFonts w:ascii="Times New Roman" w:hAnsi="Times New Roman" w:eastAsia="方正仿宋_GBK"/>
                <w:sz w:val="24"/>
                <w:szCs w:val="28"/>
              </w:rPr>
            </w:pPr>
            <w:r>
              <w:rPr>
                <w:rFonts w:hint="default" w:ascii="Times New Roman" w:hAnsi="Times New Roman" w:eastAsia="方正仿宋_GBK" w:cs="仿宋"/>
                <w:sz w:val="24"/>
                <w:szCs w:val="18"/>
                <w:lang w:val="en-US" w:eastAsia="zh-CN"/>
              </w:rPr>
              <w:t>行业高度认可。节目播出后，重庆江津综保区管委会、重庆枢纽港产业园多家入驻企业组织集体收听。润通科技等被报道企业表示“倍感振奋”，园区新增十余家企业主动咨询西部陆海新通道班列开行及启运港退税政策。江津区相关部门将节目音频作为对外宣传素材，用于招商推介及区域开放发展成效展示。多位广电业界人士评价该专题“以小见大、音响扎实、故事动人”，为区县级媒体深耕本土题材、服务地方发展提供了有益探索，有效发挥了主流舆论阵地的传播力与引导力</w:t>
            </w:r>
            <w:r>
              <w:rPr>
                <w:rFonts w:hint="eastAsia" w:ascii="Times New Roman" w:hAnsi="Times New Roman" w:eastAsia="方正仿宋_GBK" w:cs="仿宋"/>
                <w:sz w:val="24"/>
                <w:szCs w:val="18"/>
                <w:lang w:val="en-US" w:eastAsia="zh-CN"/>
              </w:rPr>
              <w:t>。</w:t>
            </w:r>
          </w:p>
          <w:p w14:paraId="48D381C3">
            <w:pPr>
              <w:pStyle w:val="2"/>
              <w:rPr>
                <w:rFonts w:ascii="Times New Roman" w:hAnsi="Times New Roman" w:eastAsia="方正仿宋_GBK"/>
                <w:sz w:val="24"/>
                <w:szCs w:val="28"/>
              </w:rPr>
            </w:pPr>
          </w:p>
          <w:p w14:paraId="41CC2AD6">
            <w:pPr>
              <w:rPr>
                <w:rFonts w:ascii="Times New Roman" w:hAnsi="Times New Roman" w:eastAsia="方正仿宋_GBK"/>
                <w:sz w:val="24"/>
                <w:szCs w:val="28"/>
              </w:rPr>
            </w:pPr>
          </w:p>
          <w:p w14:paraId="5D453A48">
            <w:pPr>
              <w:pStyle w:val="2"/>
            </w:pPr>
          </w:p>
        </w:tc>
      </w:tr>
      <w:tr w14:paraId="2986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exact"/>
        </w:trPr>
        <w:tc>
          <w:tcPr>
            <w:tcW w:w="1881" w:type="dxa"/>
            <w:vMerge w:val="restart"/>
            <w:vAlign w:val="center"/>
          </w:tcPr>
          <w:p w14:paraId="793C24EF">
            <w:pPr>
              <w:spacing w:after="0" w:line="32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传播数据</w:t>
            </w:r>
          </w:p>
        </w:tc>
        <w:tc>
          <w:tcPr>
            <w:tcW w:w="2586" w:type="dxa"/>
            <w:gridSpan w:val="4"/>
            <w:vAlign w:val="center"/>
          </w:tcPr>
          <w:p w14:paraId="1BE21B52">
            <w:pPr>
              <w:spacing w:after="0" w:line="420" w:lineRule="exact"/>
              <w:rPr>
                <w:rFonts w:ascii="方正楷体_GBK" w:hAnsi="Times New Roman" w:eastAsia="方正楷体_GBK"/>
                <w:sz w:val="24"/>
                <w:szCs w:val="28"/>
              </w:rPr>
            </w:pPr>
            <w:r>
              <w:rPr>
                <w:rFonts w:hint="eastAsia" w:ascii="方正楷体_GBK" w:hAnsi="Times New Roman" w:eastAsia="方正楷体_GBK"/>
                <w:sz w:val="24"/>
                <w:szCs w:val="28"/>
              </w:rPr>
              <w:t>新媒体传播平台网址</w:t>
            </w:r>
          </w:p>
        </w:tc>
        <w:tc>
          <w:tcPr>
            <w:tcW w:w="5150" w:type="dxa"/>
            <w:gridSpan w:val="7"/>
            <w:tcBorders>
              <w:bottom w:val="single" w:color="auto" w:sz="4" w:space="0"/>
            </w:tcBorders>
            <w:vAlign w:val="center"/>
          </w:tcPr>
          <w:p w14:paraId="4F8A94D3">
            <w:pPr>
              <w:spacing w:after="0" w:line="320" w:lineRule="exact"/>
              <w:rPr>
                <w:rFonts w:ascii="Times New Roman" w:hAnsi="Times New Roman" w:eastAsia="方正仿宋_GBK"/>
                <w:sz w:val="22"/>
                <w:szCs w:val="24"/>
              </w:rPr>
            </w:pPr>
          </w:p>
        </w:tc>
      </w:tr>
      <w:tr w14:paraId="6FF5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trPr>
        <w:tc>
          <w:tcPr>
            <w:tcW w:w="1881" w:type="dxa"/>
            <w:vMerge w:val="continue"/>
            <w:tcBorders>
              <w:bottom w:val="single" w:color="auto" w:sz="4" w:space="0"/>
            </w:tcBorders>
            <w:vAlign w:val="center"/>
          </w:tcPr>
          <w:p w14:paraId="2D585588">
            <w:pPr>
              <w:spacing w:after="0" w:line="340" w:lineRule="exact"/>
              <w:jc w:val="center"/>
              <w:rPr>
                <w:rFonts w:ascii="Times New Roman" w:hAnsi="Times New Roman" w:eastAsia="方正黑体_GBK" w:cs="方正黑体_GBK"/>
                <w:sz w:val="28"/>
              </w:rPr>
            </w:pPr>
          </w:p>
        </w:tc>
        <w:tc>
          <w:tcPr>
            <w:tcW w:w="1655" w:type="dxa"/>
            <w:gridSpan w:val="2"/>
            <w:tcBorders>
              <w:bottom w:val="single" w:color="auto" w:sz="4" w:space="0"/>
            </w:tcBorders>
            <w:vAlign w:val="center"/>
          </w:tcPr>
          <w:p w14:paraId="21E84DAA">
            <w:pPr>
              <w:spacing w:after="0" w:line="360" w:lineRule="exact"/>
              <w:jc w:val="center"/>
              <w:rPr>
                <w:rFonts w:ascii="方正楷体_GBK" w:hAnsi="Times New Roman" w:eastAsia="方正楷体_GBK"/>
                <w:sz w:val="24"/>
                <w:szCs w:val="28"/>
              </w:rPr>
            </w:pPr>
            <w:r>
              <w:rPr>
                <w:rFonts w:hint="eastAsia" w:ascii="方正楷体_GBK" w:hAnsi="Times New Roman" w:eastAsia="方正楷体_GBK"/>
                <w:sz w:val="24"/>
                <w:szCs w:val="28"/>
              </w:rPr>
              <w:t>阅读量（浏览量、点击量）</w:t>
            </w:r>
          </w:p>
        </w:tc>
        <w:tc>
          <w:tcPr>
            <w:tcW w:w="931" w:type="dxa"/>
            <w:gridSpan w:val="2"/>
            <w:tcBorders>
              <w:bottom w:val="single" w:color="auto" w:sz="4" w:space="0"/>
            </w:tcBorders>
            <w:vAlign w:val="center"/>
          </w:tcPr>
          <w:p w14:paraId="645BD959">
            <w:pPr>
              <w:spacing w:after="0" w:line="360" w:lineRule="exact"/>
              <w:jc w:val="center"/>
              <w:rPr>
                <w:rFonts w:ascii="Times New Roman" w:hAnsi="Times New Roman" w:eastAsia="方正仿宋_GBK"/>
                <w:sz w:val="24"/>
                <w:szCs w:val="28"/>
              </w:rPr>
            </w:pPr>
          </w:p>
        </w:tc>
        <w:tc>
          <w:tcPr>
            <w:tcW w:w="807" w:type="dxa"/>
            <w:tcBorders>
              <w:bottom w:val="single" w:color="auto" w:sz="4" w:space="0"/>
            </w:tcBorders>
            <w:vAlign w:val="center"/>
          </w:tcPr>
          <w:p w14:paraId="540DC05E">
            <w:pPr>
              <w:spacing w:after="0" w:line="360" w:lineRule="exact"/>
              <w:jc w:val="center"/>
              <w:rPr>
                <w:rFonts w:ascii="方正楷体_GBK" w:hAnsi="Times New Roman" w:eastAsia="方正楷体_GBK"/>
                <w:sz w:val="24"/>
                <w:szCs w:val="28"/>
              </w:rPr>
            </w:pPr>
            <w:r>
              <w:rPr>
                <w:rFonts w:hint="eastAsia" w:ascii="方正楷体_GBK" w:hAnsi="Times New Roman" w:eastAsia="方正楷体_GBK"/>
                <w:sz w:val="24"/>
                <w:szCs w:val="28"/>
              </w:rPr>
              <w:t>转载量</w:t>
            </w:r>
          </w:p>
        </w:tc>
        <w:tc>
          <w:tcPr>
            <w:tcW w:w="1192" w:type="dxa"/>
            <w:gridSpan w:val="2"/>
            <w:tcBorders>
              <w:bottom w:val="single" w:color="auto" w:sz="4" w:space="0"/>
            </w:tcBorders>
            <w:vAlign w:val="center"/>
          </w:tcPr>
          <w:p w14:paraId="145DEBC3">
            <w:pPr>
              <w:spacing w:after="0" w:line="360" w:lineRule="exact"/>
              <w:jc w:val="center"/>
              <w:rPr>
                <w:rFonts w:ascii="方正楷体_GBK" w:hAnsi="Times New Roman" w:eastAsia="方正楷体_GBK"/>
                <w:sz w:val="24"/>
                <w:szCs w:val="28"/>
              </w:rPr>
            </w:pPr>
          </w:p>
        </w:tc>
        <w:tc>
          <w:tcPr>
            <w:tcW w:w="1193" w:type="dxa"/>
            <w:gridSpan w:val="3"/>
            <w:tcBorders>
              <w:bottom w:val="single" w:color="auto" w:sz="4" w:space="0"/>
            </w:tcBorders>
            <w:vAlign w:val="center"/>
          </w:tcPr>
          <w:p w14:paraId="48592A65">
            <w:pPr>
              <w:spacing w:after="0" w:line="360" w:lineRule="exact"/>
              <w:jc w:val="center"/>
              <w:rPr>
                <w:rFonts w:ascii="方正楷体_GBK" w:hAnsi="Times New Roman" w:eastAsia="方正楷体_GBK"/>
                <w:sz w:val="24"/>
                <w:szCs w:val="28"/>
              </w:rPr>
            </w:pPr>
            <w:r>
              <w:rPr>
                <w:rFonts w:hint="eastAsia" w:ascii="方正楷体_GBK" w:hAnsi="Times New Roman" w:eastAsia="方正楷体_GBK"/>
                <w:sz w:val="24"/>
                <w:szCs w:val="28"/>
              </w:rPr>
              <w:t>互动量</w:t>
            </w:r>
          </w:p>
        </w:tc>
        <w:tc>
          <w:tcPr>
            <w:tcW w:w="1958" w:type="dxa"/>
            <w:tcBorders>
              <w:bottom w:val="single" w:color="auto" w:sz="4" w:space="0"/>
            </w:tcBorders>
            <w:vAlign w:val="center"/>
          </w:tcPr>
          <w:p w14:paraId="78706F94">
            <w:pPr>
              <w:spacing w:after="0" w:line="360" w:lineRule="exact"/>
              <w:jc w:val="center"/>
              <w:rPr>
                <w:rFonts w:ascii="Times New Roman" w:hAnsi="Times New Roman" w:eastAsia="方正仿宋_GBK"/>
                <w:sz w:val="24"/>
                <w:szCs w:val="28"/>
              </w:rPr>
            </w:pPr>
          </w:p>
        </w:tc>
      </w:tr>
      <w:tr w14:paraId="7CA8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2" w:hRule="exact"/>
        </w:trPr>
        <w:tc>
          <w:tcPr>
            <w:tcW w:w="1881" w:type="dxa"/>
            <w:tcBorders>
              <w:bottom w:val="single" w:color="auto" w:sz="4" w:space="0"/>
            </w:tcBorders>
            <w:vAlign w:val="center"/>
          </w:tcPr>
          <w:p w14:paraId="7145A3CF">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推荐理由</w:t>
            </w:r>
          </w:p>
        </w:tc>
        <w:tc>
          <w:tcPr>
            <w:tcW w:w="7736" w:type="dxa"/>
            <w:gridSpan w:val="11"/>
            <w:tcBorders>
              <w:bottom w:val="single" w:color="auto" w:sz="4" w:space="0"/>
            </w:tcBorders>
            <w:vAlign w:val="center"/>
          </w:tcPr>
          <w:p w14:paraId="44E3ABAC">
            <w:pPr>
              <w:keepNext w:val="0"/>
              <w:keepLines w:val="0"/>
              <w:pageBreakBefore w:val="0"/>
              <w:widowControl w:val="0"/>
              <w:kinsoku/>
              <w:wordWrap/>
              <w:overflowPunct/>
              <w:topLinePunct w:val="0"/>
              <w:autoSpaceDE/>
              <w:autoSpaceDN/>
              <w:bidi w:val="0"/>
              <w:adjustRightInd/>
              <w:snapToGrid/>
              <w:spacing w:after="0" w:line="320" w:lineRule="exact"/>
              <w:ind w:firstLine="480" w:firstLineChars="200"/>
              <w:textAlignment w:val="auto"/>
              <w:rPr>
                <w:rFonts w:hint="eastAsia" w:ascii="Times New Roman" w:hAnsi="Times New Roman" w:eastAsia="方正仿宋_GBK" w:cs="仿宋"/>
                <w:sz w:val="24"/>
                <w:szCs w:val="18"/>
                <w:lang w:val="en-US" w:eastAsia="zh-CN"/>
              </w:rPr>
            </w:pPr>
            <w:r>
              <w:rPr>
                <w:rFonts w:hint="eastAsia" w:ascii="Times New Roman" w:hAnsi="Times New Roman" w:eastAsia="方正仿宋_GBK" w:cs="仿宋"/>
                <w:sz w:val="24"/>
                <w:szCs w:val="18"/>
                <w:lang w:val="en-US" w:eastAsia="zh-CN"/>
              </w:rPr>
              <w:t xml:space="preserve">该作品以敏锐的新闻视角，将话筒对准长江之滨一座曾经寂寂无闻的“四等小站”，通过其跃升为国际枢纽的非凡历程，映照出国家战略在西部内陆地区的恢弘落子。作品以小见大、由点及面，在“小站”与“枢纽”的巨大反差中，挖掘出“流动的中国”所蕴含的蓬勃生机，彰显了区县级主流媒体服务发展大局的主动作为。节目播出后引发社会各界热烈反响，为中国内陆开放高地建设留存了一份带有温度的时代档案，是讲好中国式现代化基层实践的生动范例。特此推荐。                          </w:t>
            </w:r>
          </w:p>
          <w:p w14:paraId="349A1323">
            <w:pPr>
              <w:keepNext w:val="0"/>
              <w:keepLines w:val="0"/>
              <w:pageBreakBefore w:val="0"/>
              <w:widowControl w:val="0"/>
              <w:kinsoku/>
              <w:wordWrap/>
              <w:overflowPunct/>
              <w:topLinePunct w:val="0"/>
              <w:autoSpaceDE/>
              <w:autoSpaceDN/>
              <w:bidi w:val="0"/>
              <w:adjustRightInd/>
              <w:snapToGrid/>
              <w:spacing w:after="0" w:line="320" w:lineRule="exact"/>
              <w:ind w:firstLine="3360" w:firstLineChars="1400"/>
              <w:textAlignment w:val="auto"/>
              <w:rPr>
                <w:rFonts w:hint="eastAsia" w:ascii="Times New Roman" w:hAnsi="Times New Roman" w:eastAsia="方正仿宋_GBK" w:cs="仿宋"/>
                <w:sz w:val="24"/>
                <w:szCs w:val="18"/>
                <w:lang w:val="en-US" w:eastAsia="zh-CN"/>
              </w:rPr>
            </w:pPr>
          </w:p>
          <w:p w14:paraId="0084E091">
            <w:pPr>
              <w:keepNext w:val="0"/>
              <w:keepLines w:val="0"/>
              <w:pageBreakBefore w:val="0"/>
              <w:widowControl w:val="0"/>
              <w:kinsoku/>
              <w:wordWrap/>
              <w:overflowPunct/>
              <w:topLinePunct w:val="0"/>
              <w:autoSpaceDE/>
              <w:autoSpaceDN/>
              <w:bidi w:val="0"/>
              <w:adjustRightInd/>
              <w:snapToGrid/>
              <w:spacing w:after="0" w:line="320" w:lineRule="exact"/>
              <w:ind w:firstLine="4800" w:firstLineChars="2000"/>
              <w:textAlignment w:val="auto"/>
              <w:rPr>
                <w:rFonts w:hint="eastAsia" w:ascii="Times New Roman" w:hAnsi="Times New Roman" w:eastAsia="方正仿宋_GBK" w:cs="仿宋"/>
                <w:sz w:val="24"/>
                <w:szCs w:val="18"/>
                <w:lang w:val="en-US" w:eastAsia="zh-CN"/>
              </w:rPr>
            </w:pPr>
            <w:r>
              <w:rPr>
                <w:rFonts w:hint="eastAsia" w:ascii="Times New Roman" w:hAnsi="Times New Roman" w:eastAsia="方正仿宋_GBK" w:cs="仿宋"/>
                <w:sz w:val="24"/>
                <w:szCs w:val="18"/>
                <w:lang w:val="en-US" w:eastAsia="zh-CN"/>
              </w:rPr>
              <w:t>签名：</w:t>
            </w:r>
          </w:p>
          <w:p w14:paraId="49181B46">
            <w:pPr>
              <w:keepNext w:val="0"/>
              <w:keepLines w:val="0"/>
              <w:pageBreakBefore w:val="0"/>
              <w:widowControl w:val="0"/>
              <w:kinsoku/>
              <w:wordWrap/>
              <w:overflowPunct/>
              <w:topLinePunct w:val="0"/>
              <w:autoSpaceDE/>
              <w:autoSpaceDN/>
              <w:bidi w:val="0"/>
              <w:adjustRightInd/>
              <w:snapToGrid/>
              <w:spacing w:after="0" w:line="320" w:lineRule="exact"/>
              <w:ind w:firstLine="3360" w:firstLineChars="1400"/>
              <w:textAlignment w:val="auto"/>
              <w:rPr>
                <w:rFonts w:hint="eastAsia" w:ascii="Times New Roman" w:hAnsi="Times New Roman" w:eastAsia="方正仿宋_GBK" w:cs="仿宋"/>
                <w:sz w:val="24"/>
                <w:szCs w:val="18"/>
                <w:lang w:val="en-US" w:eastAsia="zh-CN"/>
              </w:rPr>
            </w:pPr>
          </w:p>
          <w:p w14:paraId="355FC94F">
            <w:pPr>
              <w:keepNext w:val="0"/>
              <w:keepLines w:val="0"/>
              <w:pageBreakBefore w:val="0"/>
              <w:widowControl w:val="0"/>
              <w:kinsoku/>
              <w:wordWrap/>
              <w:overflowPunct/>
              <w:topLinePunct w:val="0"/>
              <w:autoSpaceDE/>
              <w:autoSpaceDN/>
              <w:bidi w:val="0"/>
              <w:adjustRightInd/>
              <w:snapToGrid/>
              <w:spacing w:after="0" w:line="320" w:lineRule="exact"/>
              <w:ind w:firstLine="5040" w:firstLineChars="2100"/>
              <w:textAlignment w:val="auto"/>
              <w:rPr>
                <w:rFonts w:hint="eastAsia" w:ascii="Times New Roman" w:hAnsi="Times New Roman" w:eastAsia="方正仿宋_GBK" w:cs="仿宋"/>
                <w:sz w:val="24"/>
                <w:szCs w:val="18"/>
                <w:lang w:val="en-US" w:eastAsia="zh-CN"/>
              </w:rPr>
            </w:pPr>
            <w:r>
              <w:rPr>
                <w:rFonts w:hint="eastAsia" w:ascii="Times New Roman" w:hAnsi="Times New Roman" w:eastAsia="方正仿宋_GBK" w:cs="仿宋"/>
                <w:sz w:val="24"/>
                <w:szCs w:val="18"/>
                <w:lang w:val="en-US" w:eastAsia="zh-CN"/>
              </w:rPr>
              <w:t>2026年  月  日</w:t>
            </w:r>
          </w:p>
        </w:tc>
      </w:tr>
      <w:tr w14:paraId="16D6C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exact"/>
        </w:trPr>
        <w:tc>
          <w:tcPr>
            <w:tcW w:w="1881" w:type="dxa"/>
            <w:tcBorders>
              <w:top w:val="single" w:color="auto" w:sz="6" w:space="0"/>
              <w:left w:val="single" w:color="auto" w:sz="6" w:space="0"/>
              <w:bottom w:val="single" w:color="auto" w:sz="6" w:space="0"/>
              <w:right w:val="single" w:color="auto" w:sz="6" w:space="0"/>
            </w:tcBorders>
            <w:vAlign w:val="center"/>
          </w:tcPr>
          <w:p w14:paraId="5E7F799D">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联系人</w:t>
            </w:r>
          </w:p>
        </w:tc>
        <w:tc>
          <w:tcPr>
            <w:tcW w:w="1297" w:type="dxa"/>
            <w:tcBorders>
              <w:top w:val="single" w:color="auto" w:sz="6" w:space="0"/>
              <w:left w:val="single" w:color="auto" w:sz="6" w:space="0"/>
              <w:bottom w:val="single" w:color="auto" w:sz="6" w:space="0"/>
              <w:right w:val="single" w:color="auto" w:sz="4" w:space="0"/>
            </w:tcBorders>
            <w:vAlign w:val="center"/>
          </w:tcPr>
          <w:p w14:paraId="4DE1E619">
            <w:pPr>
              <w:spacing w:after="0" w:line="340" w:lineRule="exact"/>
              <w:jc w:val="center"/>
              <w:rPr>
                <w:rFonts w:hint="eastAsia" w:ascii="Times New Roman" w:hAnsi="Times New Roman" w:eastAsia="方正黑体_GBK" w:cs="方正黑体_GBK"/>
                <w:sz w:val="28"/>
                <w:lang w:eastAsia="zh-CN"/>
              </w:rPr>
            </w:pPr>
            <w:r>
              <w:rPr>
                <w:rFonts w:hint="eastAsia" w:ascii="Times New Roman" w:hAnsi="Times New Roman" w:eastAsia="方正仿宋_GBK" w:cs="仿宋"/>
                <w:sz w:val="24"/>
                <w:szCs w:val="18"/>
                <w:lang w:val="en-US" w:eastAsia="zh-CN"/>
              </w:rPr>
              <w:t>杜燕妮</w:t>
            </w:r>
          </w:p>
        </w:tc>
        <w:tc>
          <w:tcPr>
            <w:tcW w:w="865" w:type="dxa"/>
            <w:gridSpan w:val="2"/>
            <w:tcBorders>
              <w:top w:val="single" w:color="auto" w:sz="6" w:space="0"/>
              <w:left w:val="single" w:color="auto" w:sz="6" w:space="0"/>
              <w:bottom w:val="single" w:color="auto" w:sz="6" w:space="0"/>
              <w:right w:val="single" w:color="auto" w:sz="4" w:space="0"/>
            </w:tcBorders>
            <w:vAlign w:val="center"/>
          </w:tcPr>
          <w:p w14:paraId="5ACE5BD0">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lang w:eastAsia="zh-CN"/>
              </w:rPr>
              <w:t>电</w:t>
            </w:r>
            <w:r>
              <w:rPr>
                <w:rFonts w:hint="eastAsia" w:ascii="Times New Roman" w:hAnsi="Times New Roman" w:eastAsia="方正黑体_GBK" w:cs="方正黑体_GBK"/>
                <w:sz w:val="28"/>
              </w:rPr>
              <w:t>话</w:t>
            </w:r>
          </w:p>
        </w:tc>
        <w:tc>
          <w:tcPr>
            <w:tcW w:w="2700" w:type="dxa"/>
            <w:gridSpan w:val="5"/>
            <w:tcBorders>
              <w:top w:val="single" w:color="auto" w:sz="6" w:space="0"/>
              <w:left w:val="single" w:color="auto" w:sz="6" w:space="0"/>
              <w:bottom w:val="single" w:color="auto" w:sz="6" w:space="0"/>
              <w:right w:val="single" w:color="auto" w:sz="4" w:space="0"/>
            </w:tcBorders>
            <w:vAlign w:val="center"/>
          </w:tcPr>
          <w:p w14:paraId="20EC546E">
            <w:pPr>
              <w:spacing w:after="0" w:line="340" w:lineRule="exact"/>
              <w:jc w:val="center"/>
              <w:rPr>
                <w:rFonts w:hint="default" w:ascii="Times New Roman" w:hAnsi="Times New Roman" w:eastAsia="方正黑体_GBK" w:cs="方正黑体_GBK"/>
                <w:sz w:val="28"/>
                <w:lang w:val="en-US" w:eastAsia="zh-CN"/>
              </w:rPr>
            </w:pPr>
            <w:r>
              <w:rPr>
                <w:rFonts w:hint="eastAsia" w:ascii="Times New Roman" w:hAnsi="Times New Roman" w:eastAsia="方正黑体_GBK" w:cs="方正黑体_GBK"/>
                <w:sz w:val="28"/>
                <w:lang w:val="en-US" w:eastAsia="zh-CN"/>
              </w:rPr>
              <w:t>023-47521651</w:t>
            </w:r>
          </w:p>
        </w:tc>
        <w:tc>
          <w:tcPr>
            <w:tcW w:w="776" w:type="dxa"/>
            <w:tcBorders>
              <w:top w:val="single" w:color="auto" w:sz="6" w:space="0"/>
              <w:left w:val="single" w:color="auto" w:sz="4" w:space="0"/>
              <w:bottom w:val="single" w:color="auto" w:sz="6" w:space="0"/>
              <w:right w:val="single" w:color="auto" w:sz="4" w:space="0"/>
            </w:tcBorders>
            <w:vAlign w:val="center"/>
          </w:tcPr>
          <w:p w14:paraId="09B44B53">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手机</w:t>
            </w:r>
          </w:p>
        </w:tc>
        <w:tc>
          <w:tcPr>
            <w:tcW w:w="2098" w:type="dxa"/>
            <w:gridSpan w:val="2"/>
            <w:tcBorders>
              <w:top w:val="single" w:color="auto" w:sz="6" w:space="0"/>
              <w:left w:val="single" w:color="auto" w:sz="4" w:space="0"/>
              <w:bottom w:val="single" w:color="auto" w:sz="6" w:space="0"/>
              <w:right w:val="single" w:color="auto" w:sz="6" w:space="0"/>
            </w:tcBorders>
            <w:vAlign w:val="center"/>
          </w:tcPr>
          <w:p w14:paraId="02A37D3E">
            <w:pPr>
              <w:spacing w:after="0" w:line="340" w:lineRule="exact"/>
              <w:jc w:val="center"/>
              <w:rPr>
                <w:rFonts w:hint="default" w:ascii="Times New Roman" w:hAnsi="Times New Roman" w:eastAsia="方正黑体_GBK" w:cs="方正黑体_GBK"/>
                <w:sz w:val="28"/>
                <w:lang w:val="en-US" w:eastAsia="zh-CN"/>
              </w:rPr>
            </w:pPr>
            <w:r>
              <w:rPr>
                <w:rFonts w:hint="eastAsia" w:ascii="Times New Roman" w:hAnsi="Times New Roman" w:eastAsia="方正仿宋_GBK" w:cs="仿宋"/>
                <w:sz w:val="24"/>
                <w:szCs w:val="18"/>
                <w:lang w:val="en-US" w:eastAsia="zh-CN"/>
              </w:rPr>
              <w:t>13638385857</w:t>
            </w:r>
          </w:p>
        </w:tc>
      </w:tr>
      <w:tr w14:paraId="5E3AE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2" w:hRule="exact"/>
        </w:trPr>
        <w:tc>
          <w:tcPr>
            <w:tcW w:w="1881" w:type="dxa"/>
            <w:tcBorders>
              <w:top w:val="single" w:color="auto" w:sz="6" w:space="0"/>
              <w:left w:val="single" w:color="auto" w:sz="6" w:space="0"/>
              <w:bottom w:val="single" w:color="auto" w:sz="6" w:space="0"/>
              <w:right w:val="single" w:color="auto" w:sz="6" w:space="0"/>
            </w:tcBorders>
            <w:vAlign w:val="center"/>
          </w:tcPr>
          <w:p w14:paraId="734A71F5">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地址</w:t>
            </w:r>
          </w:p>
        </w:tc>
        <w:tc>
          <w:tcPr>
            <w:tcW w:w="2586" w:type="dxa"/>
            <w:gridSpan w:val="4"/>
            <w:tcBorders>
              <w:top w:val="single" w:color="auto" w:sz="6" w:space="0"/>
              <w:left w:val="single" w:color="auto" w:sz="6" w:space="0"/>
              <w:bottom w:val="single" w:color="auto" w:sz="6" w:space="0"/>
              <w:right w:val="single" w:color="auto" w:sz="6" w:space="0"/>
            </w:tcBorders>
            <w:vAlign w:val="center"/>
          </w:tcPr>
          <w:p w14:paraId="08CB32D3">
            <w:pPr>
              <w:spacing w:after="0" w:line="340" w:lineRule="exact"/>
              <w:rPr>
                <w:rFonts w:hint="eastAsia" w:ascii="Times New Roman" w:hAnsi="Times New Roman" w:eastAsia="方正黑体_GBK" w:cs="方正黑体_GBK"/>
                <w:sz w:val="28"/>
                <w:lang w:eastAsia="zh-CN"/>
              </w:rPr>
            </w:pPr>
            <w:r>
              <w:rPr>
                <w:rFonts w:hint="eastAsia" w:ascii="Times New Roman" w:hAnsi="Times New Roman" w:eastAsia="方正仿宋_GBK" w:cs="仿宋"/>
                <w:w w:val="85"/>
                <w:sz w:val="24"/>
                <w:szCs w:val="18"/>
                <w:lang w:val="en-US" w:eastAsia="zh-CN"/>
              </w:rPr>
              <w:t>重庆市江津区融媒体中心</w:t>
            </w:r>
          </w:p>
        </w:tc>
        <w:tc>
          <w:tcPr>
            <w:tcW w:w="5150" w:type="dxa"/>
            <w:gridSpan w:val="7"/>
            <w:tcBorders>
              <w:top w:val="single" w:color="auto" w:sz="6" w:space="0"/>
              <w:left w:val="single" w:color="auto" w:sz="6" w:space="0"/>
              <w:bottom w:val="single" w:color="auto" w:sz="6" w:space="0"/>
              <w:right w:val="single" w:color="auto" w:sz="6" w:space="0"/>
            </w:tcBorders>
            <w:vAlign w:val="center"/>
          </w:tcPr>
          <w:p w14:paraId="39F53B41">
            <w:pPr>
              <w:spacing w:after="0" w:line="340" w:lineRule="exact"/>
              <w:ind w:firstLine="1400" w:firstLineChars="500"/>
              <w:rPr>
                <w:rFonts w:hint="default" w:ascii="Times New Roman" w:hAnsi="Times New Roman" w:eastAsia="方正黑体_GBK" w:cs="方正黑体_GBK"/>
                <w:sz w:val="28"/>
                <w:lang w:val="en-US" w:eastAsia="zh-CN"/>
              </w:rPr>
            </w:pPr>
            <w:bookmarkStart w:id="0" w:name="_GoBack"/>
            <w:bookmarkEnd w:id="0"/>
            <w:r>
              <w:rPr>
                <w:rFonts w:hint="eastAsia" w:ascii="Times New Roman" w:hAnsi="Times New Roman" w:eastAsia="方正黑体_GBK" w:cs="方正黑体_GBK"/>
                <w:sz w:val="28"/>
              </w:rPr>
              <w:t>邮箱</w:t>
            </w:r>
            <w:r>
              <w:rPr>
                <w:rFonts w:hint="eastAsia" w:ascii="Times New Roman" w:hAnsi="Times New Roman" w:eastAsia="方正黑体_GBK" w:cs="方正黑体_GBK"/>
                <w:sz w:val="28"/>
                <w:lang w:eastAsia="zh-CN"/>
              </w:rPr>
              <w:t>：</w:t>
            </w:r>
            <w:r>
              <w:rPr>
                <w:rFonts w:hint="eastAsia" w:ascii="Times New Roman" w:hAnsi="Times New Roman" w:eastAsia="方正黑体_GBK" w:cs="方正黑体_GBK"/>
                <w:sz w:val="28"/>
                <w:lang w:val="en-US" w:eastAsia="zh-CN"/>
              </w:rPr>
              <w:t>66367319@qq.com</w:t>
            </w:r>
          </w:p>
        </w:tc>
      </w:tr>
    </w:tbl>
    <w:p w14:paraId="1320C700">
      <w:pPr>
        <w:rPr>
          <w:rFonts w:hint="eastAsia" w:eastAsia="宋体"/>
          <w:lang w:eastAsia="zh-CN"/>
        </w:rPr>
      </w:pPr>
    </w:p>
    <w:sectPr>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3D47FCD2-912C-4595-AF79-82D33C193247}"/>
  </w:font>
  <w:font w:name="方正小标宋_GBK">
    <w:panose1 w:val="03000509000000000000"/>
    <w:charset w:val="86"/>
    <w:family w:val="script"/>
    <w:pitch w:val="default"/>
    <w:sig w:usb0="00000001" w:usb1="080E0000" w:usb2="00000000" w:usb3="00000000" w:csb0="00040000" w:csb1="00000000"/>
    <w:embedRegular r:id="rId2" w:fontKey="{4AA09A5F-CC33-4838-9D78-21C6A5A8B7DA}"/>
  </w:font>
  <w:font w:name="方正黑体_GBK">
    <w:panose1 w:val="03000509000000000000"/>
    <w:charset w:val="86"/>
    <w:family w:val="script"/>
    <w:pitch w:val="default"/>
    <w:sig w:usb0="00000001" w:usb1="080E0000" w:usb2="00000000" w:usb3="00000000" w:csb0="00040000" w:csb1="00000000"/>
    <w:embedRegular r:id="rId3" w:fontKey="{22445E0F-6BA4-41BE-9921-8DCD1B683FFD}"/>
  </w:font>
  <w:font w:name="华文中宋">
    <w:panose1 w:val="02010600040101010101"/>
    <w:charset w:val="86"/>
    <w:family w:val="auto"/>
    <w:pitch w:val="default"/>
    <w:sig w:usb0="00000287" w:usb1="080F0000" w:usb2="00000000" w:usb3="00000000" w:csb0="0004009F" w:csb1="DFD70000"/>
    <w:embedRegular r:id="rId4" w:fontKey="{1A8FBB28-A9EA-4415-AE34-F56DD2A7BFD1}"/>
  </w:font>
  <w:font w:name="方正仿宋_GBK">
    <w:panose1 w:val="03000509000000000000"/>
    <w:charset w:val="86"/>
    <w:family w:val="script"/>
    <w:pitch w:val="default"/>
    <w:sig w:usb0="00000001" w:usb1="080E0000" w:usb2="00000000" w:usb3="00000000" w:csb0="00040000" w:csb1="00000000"/>
    <w:embedRegular r:id="rId5" w:fontKey="{36E323D6-C566-47AE-9E03-70FB1413DDA5}"/>
  </w:font>
  <w:font w:name="方正楷体_GBK">
    <w:panose1 w:val="03000509000000000000"/>
    <w:charset w:val="86"/>
    <w:family w:val="script"/>
    <w:pitch w:val="default"/>
    <w:sig w:usb0="00000001" w:usb1="080E0000" w:usb2="00000000" w:usb3="00000000" w:csb0="00040000" w:csb1="00000000"/>
    <w:embedRegular r:id="rId6" w:fontKey="{79D04F51-D04D-4FD5-87F2-3D2F9B732C0C}"/>
  </w:font>
  <w:font w:name="WPSEMBED19">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76F15"/>
    <w:rsid w:val="1A613215"/>
    <w:rsid w:val="3C5E715D"/>
    <w:rsid w:val="3F56236D"/>
    <w:rsid w:val="45A76F15"/>
    <w:rsid w:val="525A6017"/>
    <w:rsid w:val="5DE352BC"/>
    <w:rsid w:val="606A5821"/>
    <w:rsid w:val="62154FC4"/>
    <w:rsid w:val="6A1C4324"/>
    <w:rsid w:val="735E7467"/>
    <w:rsid w:val="75A0770E"/>
    <w:rsid w:val="7A835EDB"/>
    <w:rsid w:val="7B254A68"/>
    <w:rsid w:val="7B602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Body Text 3"/>
    <w:basedOn w:val="1"/>
    <w:unhideWhenUsed/>
    <w:qFormat/>
    <w:uiPriority w:val="99"/>
    <w:pPr>
      <w:spacing w:after="120"/>
    </w:pPr>
    <w:rPr>
      <w:rFonts w:eastAsia="仿宋_GB2312"/>
      <w:sz w:val="16"/>
      <w:szCs w:val="16"/>
    </w:r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1624</Words>
  <Characters>1699</Characters>
  <Lines>0</Lines>
  <Paragraphs>0</Paragraphs>
  <TotalTime>1</TotalTime>
  <ScaleCrop>false</ScaleCrop>
  <LinksUpToDate>false</LinksUpToDate>
  <CharactersWithSpaces>1739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2026-03-13T02:23:00Z</dcterms:created>
  <dc:creator>江望雨</dc:creator>
  <cp:lastModifiedBy>葡萄阿肖</cp:lastModifiedBy>
  <dcterms:modified xsi:type="dcterms:W3CDTF">2026-03-15T09:39:03Z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C7F32681BF2B465E87363A2112F354C6_13</vt:lpwstr>
  </property>
  <property fmtid="{D5CDD505-2E9C-101B-9397-08002B2CF9AE}" pid="4" name="KSOTemplateDocerSaveRecord">
    <vt:lpwstr>eyJoZGlkIjoiMzY3N2FiYzRjMjZjNmJiNGVlNjE2ZDI1ODhlNzlhYzkiLCJ1c2VySWQiOiI0NzM3NzUwMDEifQ==</vt:lpwstr>
  </property>
</Properties>
</file>