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073C9">
      <w:pPr>
        <w:pStyle w:val="7"/>
        <w:widowControl w:val="0"/>
        <w:spacing w:before="0" w:beforeAutospacing="0" w:after="0" w:afterAutospacing="0" w:line="520" w:lineRule="exact"/>
        <w:ind w:firstLine="1320" w:firstLineChars="300"/>
        <w:jc w:val="both"/>
        <w:rPr>
          <w:rFonts w:ascii="Times New Roman" w:hAnsi="Times New Roman" w:eastAsia="方正小标宋_GBK" w:cs="方正小标宋_GBK"/>
          <w:kern w:val="2"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kern w:val="2"/>
          <w:sz w:val="44"/>
          <w:szCs w:val="44"/>
        </w:rPr>
        <w:t>重庆新闻奖报纸版面参评作品推荐表</w:t>
      </w:r>
    </w:p>
    <w:p w14:paraId="62635F9E">
      <w:pPr>
        <w:pStyle w:val="6"/>
        <w:pBdr>
          <w:bottom w:val="single" w:color="auto" w:sz="6" w:space="0"/>
        </w:pBdr>
        <w:spacing w:after="0"/>
      </w:pPr>
    </w:p>
    <w:tbl>
      <w:tblPr>
        <w:tblStyle w:val="10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64"/>
        <w:gridCol w:w="1066"/>
        <w:gridCol w:w="351"/>
        <w:gridCol w:w="838"/>
        <w:gridCol w:w="1315"/>
        <w:gridCol w:w="1223"/>
        <w:gridCol w:w="808"/>
        <w:gridCol w:w="554"/>
        <w:gridCol w:w="1383"/>
      </w:tblGrid>
      <w:tr w14:paraId="7EE90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1644" w:type="dxa"/>
            <w:gridSpan w:val="2"/>
            <w:vAlign w:val="center"/>
          </w:tcPr>
          <w:p w14:paraId="37CD5A4B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报纸名称</w:t>
            </w:r>
          </w:p>
        </w:tc>
        <w:tc>
          <w:tcPr>
            <w:tcW w:w="2255" w:type="dxa"/>
            <w:gridSpan w:val="3"/>
            <w:vAlign w:val="center"/>
          </w:tcPr>
          <w:p w14:paraId="3FE68B6F">
            <w:pPr>
              <w:spacing w:after="0" w:line="40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江津报</w:t>
            </w:r>
          </w:p>
        </w:tc>
        <w:tc>
          <w:tcPr>
            <w:tcW w:w="2538" w:type="dxa"/>
            <w:gridSpan w:val="2"/>
            <w:vAlign w:val="center"/>
          </w:tcPr>
          <w:p w14:paraId="7A89AAB4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参评项目</w:t>
            </w:r>
          </w:p>
        </w:tc>
        <w:tc>
          <w:tcPr>
            <w:tcW w:w="2745" w:type="dxa"/>
            <w:gridSpan w:val="3"/>
            <w:vAlign w:val="center"/>
          </w:tcPr>
          <w:p w14:paraId="2C051158">
            <w:pPr>
              <w:spacing w:after="0" w:line="500" w:lineRule="exact"/>
              <w:jc w:val="center"/>
              <w:rPr>
                <w:rFonts w:hint="eastAsia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</w:rPr>
              <w:t>新闻</w:t>
            </w: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编排</w:t>
            </w:r>
          </w:p>
        </w:tc>
      </w:tr>
      <w:tr w14:paraId="6B450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44" w:type="dxa"/>
            <w:gridSpan w:val="2"/>
            <w:vAlign w:val="center"/>
          </w:tcPr>
          <w:p w14:paraId="4F754147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版面名称</w:t>
            </w:r>
          </w:p>
          <w:p w14:paraId="64F446FB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及版次</w:t>
            </w:r>
          </w:p>
        </w:tc>
        <w:tc>
          <w:tcPr>
            <w:tcW w:w="2255" w:type="dxa"/>
            <w:gridSpan w:val="3"/>
            <w:vAlign w:val="center"/>
          </w:tcPr>
          <w:p w14:paraId="55E0238A">
            <w:pPr>
              <w:spacing w:after="0" w:line="400" w:lineRule="exact"/>
              <w:jc w:val="center"/>
              <w:rPr>
                <w:rFonts w:hint="eastAsia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 xml:space="preserve">《行走成渝古道江津段——跨越千年回响与现代活力》 </w:t>
            </w:r>
          </w:p>
          <w:p w14:paraId="69EEA5E1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二三跨版</w:t>
            </w:r>
          </w:p>
        </w:tc>
        <w:tc>
          <w:tcPr>
            <w:tcW w:w="2538" w:type="dxa"/>
            <w:gridSpan w:val="2"/>
            <w:vAlign w:val="center"/>
          </w:tcPr>
          <w:p w14:paraId="190BCCCB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刊发日期</w:t>
            </w:r>
          </w:p>
        </w:tc>
        <w:tc>
          <w:tcPr>
            <w:tcW w:w="2745" w:type="dxa"/>
            <w:gridSpan w:val="3"/>
            <w:vAlign w:val="center"/>
          </w:tcPr>
          <w:p w14:paraId="1D5EE781">
            <w:pPr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202</w:t>
            </w: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 w:eastAsia="仿宋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仿宋" w:cs="Times New Roman"/>
                <w:szCs w:val="21"/>
              </w:rPr>
              <w:t>月</w:t>
            </w: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eastAsia="仿宋" w:cs="Times New Roman"/>
                <w:szCs w:val="21"/>
              </w:rPr>
              <w:t>日</w:t>
            </w:r>
          </w:p>
        </w:tc>
      </w:tr>
      <w:tr w14:paraId="43311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644" w:type="dxa"/>
            <w:gridSpan w:val="2"/>
            <w:vMerge w:val="restart"/>
            <w:vAlign w:val="center"/>
          </w:tcPr>
          <w:p w14:paraId="46EA10AD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版面总字数</w:t>
            </w:r>
          </w:p>
        </w:tc>
        <w:tc>
          <w:tcPr>
            <w:tcW w:w="2255" w:type="dxa"/>
            <w:gridSpan w:val="3"/>
            <w:vMerge w:val="restart"/>
            <w:vAlign w:val="center"/>
          </w:tcPr>
          <w:p w14:paraId="73EF6452">
            <w:pPr>
              <w:spacing w:after="0" w:line="40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4254字</w:t>
            </w:r>
          </w:p>
        </w:tc>
        <w:tc>
          <w:tcPr>
            <w:tcW w:w="5283" w:type="dxa"/>
            <w:gridSpan w:val="5"/>
            <w:vAlign w:val="center"/>
          </w:tcPr>
          <w:p w14:paraId="4D704277">
            <w:pPr>
              <w:snapToGrid w:val="0"/>
              <w:spacing w:after="0"/>
              <w:rPr>
                <w:rFonts w:hint="eastAsia" w:ascii="Times New Roman" w:hAnsi="Times New Roman" w:eastAsia="方正黑体_GBK" w:cs="方正黑体_GBK"/>
                <w:sz w:val="28"/>
                <w:szCs w:val="20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中央宣传部“三好作品”  是□ 否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  <w:lang w:eastAsia="zh-CN"/>
              </w:rPr>
              <w:t>☑</w:t>
            </w:r>
          </w:p>
        </w:tc>
      </w:tr>
      <w:tr w14:paraId="2890E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44" w:type="dxa"/>
            <w:gridSpan w:val="2"/>
            <w:vMerge w:val="continue"/>
            <w:vAlign w:val="center"/>
          </w:tcPr>
          <w:p w14:paraId="2CC5601A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</w:p>
        </w:tc>
        <w:tc>
          <w:tcPr>
            <w:tcW w:w="2255" w:type="dxa"/>
            <w:gridSpan w:val="3"/>
            <w:vMerge w:val="continue"/>
            <w:vAlign w:val="center"/>
          </w:tcPr>
          <w:p w14:paraId="0E6A1F35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</w:p>
        </w:tc>
        <w:tc>
          <w:tcPr>
            <w:tcW w:w="5283" w:type="dxa"/>
            <w:gridSpan w:val="5"/>
            <w:vAlign w:val="center"/>
          </w:tcPr>
          <w:p w14:paraId="0DD64C25">
            <w:pPr>
              <w:snapToGrid w:val="0"/>
              <w:spacing w:after="0"/>
              <w:rPr>
                <w:rFonts w:hint="eastAsia" w:ascii="Times New Roman" w:hAnsi="Times New Roman" w:eastAsia="方正黑体_GBK" w:cs="方正黑体_GBK"/>
                <w:sz w:val="28"/>
                <w:szCs w:val="20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市委宣传部“三好作品”  是□ 否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  <w:lang w:eastAsia="zh-CN"/>
              </w:rPr>
              <w:t>☑</w:t>
            </w:r>
          </w:p>
        </w:tc>
      </w:tr>
      <w:tr w14:paraId="74FC0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1644" w:type="dxa"/>
            <w:gridSpan w:val="2"/>
            <w:vAlign w:val="center"/>
          </w:tcPr>
          <w:p w14:paraId="31DC44CE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编辑</w:t>
            </w:r>
          </w:p>
        </w:tc>
        <w:tc>
          <w:tcPr>
            <w:tcW w:w="2255" w:type="dxa"/>
            <w:gridSpan w:val="3"/>
            <w:vAlign w:val="center"/>
          </w:tcPr>
          <w:p w14:paraId="0C878AAE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谷亚淋、蒲泽熙</w:t>
            </w:r>
          </w:p>
        </w:tc>
        <w:tc>
          <w:tcPr>
            <w:tcW w:w="2538" w:type="dxa"/>
            <w:gridSpan w:val="2"/>
            <w:vAlign w:val="center"/>
          </w:tcPr>
          <w:p w14:paraId="673A612F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作者</w:t>
            </w:r>
          </w:p>
        </w:tc>
        <w:tc>
          <w:tcPr>
            <w:tcW w:w="2745" w:type="dxa"/>
            <w:gridSpan w:val="3"/>
            <w:vAlign w:val="center"/>
          </w:tcPr>
          <w:p w14:paraId="5943CCE2">
            <w:pPr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谷亚淋、蒲泽熙</w:t>
            </w:r>
          </w:p>
        </w:tc>
      </w:tr>
      <w:tr w14:paraId="6702C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1" w:hRule="exact"/>
          <w:jc w:val="center"/>
        </w:trPr>
        <w:tc>
          <w:tcPr>
            <w:tcW w:w="1080" w:type="dxa"/>
            <w:textDirection w:val="tbRlV"/>
            <w:vAlign w:val="center"/>
          </w:tcPr>
          <w:p w14:paraId="5D36191D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作品简介</w:t>
            </w:r>
          </w:p>
        </w:tc>
        <w:tc>
          <w:tcPr>
            <w:tcW w:w="8102" w:type="dxa"/>
            <w:gridSpan w:val="9"/>
            <w:vAlign w:val="center"/>
          </w:tcPr>
          <w:p w14:paraId="2417D2CB">
            <w:pPr>
              <w:spacing w:after="0"/>
              <w:ind w:firstLine="420" w:firstLineChars="200"/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作为“成渝古道的精华”，江津段自北宋兴盛、于明清繁荣，全长18公里像一条蜿蜒千年的时光纽带。成为众多市民心中“一生必去打卡的徒步路线”。    </w:t>
            </w:r>
          </w:p>
          <w:p w14:paraId="24DE169E">
            <w:pPr>
              <w:spacing w:after="0"/>
              <w:ind w:firstLine="420" w:firstLineChars="200"/>
              <w:jc w:val="left"/>
              <w:rPr>
                <w:rFonts w:ascii="Times New Roman" w:hAnsi="Times New Roman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为了全景式、多角度呈现古道历史人文、自然生态、现实价值，为市民提供全方位服务信息，江津融媒记者多次深入古道采访。2025年4月2日，</w:t>
            </w:r>
            <w:r>
              <w:rPr>
                <w:rFonts w:hint="default" w:ascii="仿宋" w:hAnsi="仿宋" w:eastAsia="仿宋" w:cs="仿宋"/>
                <w:szCs w:val="21"/>
                <w:lang w:val="en-US" w:eastAsia="zh-CN"/>
              </w:rPr>
              <w:t>《江津报》推出题为《行走成渝古道江津段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——</w:t>
            </w:r>
            <w:r>
              <w:rPr>
                <w:rFonts w:hint="default" w:ascii="仿宋" w:hAnsi="仿宋" w:eastAsia="仿宋" w:cs="仿宋"/>
                <w:szCs w:val="21"/>
                <w:lang w:val="en-US" w:eastAsia="zh-CN"/>
              </w:rPr>
              <w:t>跨越千年回响与现代活力》跨版，以“跨越千年”为叙事主线，勾勒“时光长廊—自然之美—精神传承”阅读脉络，将千年古道凝结成为可看可感可及的具象表达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。</w:t>
            </w:r>
          </w:p>
        </w:tc>
      </w:tr>
      <w:tr w14:paraId="267AF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4" w:hRule="exact"/>
          <w:jc w:val="center"/>
        </w:trPr>
        <w:tc>
          <w:tcPr>
            <w:tcW w:w="1080" w:type="dxa"/>
            <w:vAlign w:val="center"/>
          </w:tcPr>
          <w:p w14:paraId="563EB1C2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社</w:t>
            </w:r>
          </w:p>
          <w:p w14:paraId="6DB2A0FF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会</w:t>
            </w:r>
          </w:p>
          <w:p w14:paraId="79A79B28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效</w:t>
            </w:r>
          </w:p>
          <w:p w14:paraId="6454E358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果</w:t>
            </w:r>
          </w:p>
        </w:tc>
        <w:tc>
          <w:tcPr>
            <w:tcW w:w="8102" w:type="dxa"/>
            <w:gridSpan w:val="9"/>
            <w:vAlign w:val="center"/>
          </w:tcPr>
          <w:p w14:paraId="520039DB">
            <w:pPr>
              <w:spacing w:after="0"/>
              <w:ind w:firstLine="420" w:firstLineChars="200"/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虽然纸质媒体在媒体信息快速传播的当前，已属“慢热”形式，但此次通过精心的版面设计，将纸质媒体的具象化、集中化优势充分体现：跨版左侧手绘示意图将蜿蜒古道、山巅步闲亭巧妙拼接，右侧则通过渝昆高铁与古道的时空并置，形成跨越千年的对话。报道中详尽的"保姆级攻略"：从公交线路到停车信息，从美食推荐到便民信息，将古道沿线的现代服务设施与历史遗迹进行时空关联，让读者在获取文化认知的同时，形成“可抵达、可体验”的行动指南。该版面得到区领导和市委宣传部相关领导关注。</w:t>
            </w:r>
          </w:p>
          <w:p w14:paraId="6EE3C4C9">
            <w:pPr>
              <w:spacing w:after="0"/>
              <w:ind w:firstLine="420" w:firstLineChars="20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随后，江津区融媒体中心微信公众号“江津融媒”跟进发布推文《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instrText xml:space="preserve"> HYPERLINK "https://mp.weixin.qq.com/s?__biz=MjM5OTM5NDU3Ng==&amp;mid=2654701397&amp;idx=1&amp;sn=94a2eefe943bb87b5779ee118db57852&amp;scene=21" \l "wechat_redirect" </w:instrTex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人文江津必打卡徒步路线，最全攻略首次曝光！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》，以更为便捷的形式进一步传播相关内容。不仅如此，“江津融媒”视频号还分别以“主持人打探”“古道攻略”为主题推出相应视频，形成网络传播热潮。数据显示：上述报道引发网友阅读、转载、播放累计超过25万人次。</w:t>
            </w:r>
          </w:p>
          <w:p w14:paraId="7B971C9A">
            <w:pPr>
              <w:spacing w:after="0" w:line="360" w:lineRule="exact"/>
              <w:ind w:firstLine="420" w:firstLineChars="200"/>
              <w:rPr>
                <w:rFonts w:ascii="Times New Roman" w:hAnsi="Times New Roman" w:eastAsia="仿宋"/>
                <w:szCs w:val="21"/>
              </w:rPr>
            </w:pPr>
          </w:p>
        </w:tc>
      </w:tr>
      <w:tr w14:paraId="212F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1080" w:type="dxa"/>
            <w:vMerge w:val="restart"/>
            <w:vAlign w:val="center"/>
          </w:tcPr>
          <w:p w14:paraId="533C6167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传</w:t>
            </w:r>
          </w:p>
          <w:p w14:paraId="7D9F51BA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播</w:t>
            </w:r>
          </w:p>
          <w:p w14:paraId="4C9F2DFE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数</w:t>
            </w:r>
          </w:p>
          <w:p w14:paraId="2D57BAE4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据</w:t>
            </w:r>
          </w:p>
        </w:tc>
        <w:tc>
          <w:tcPr>
            <w:tcW w:w="1630" w:type="dxa"/>
            <w:gridSpan w:val="2"/>
            <w:vAlign w:val="center"/>
          </w:tcPr>
          <w:p w14:paraId="0D65B298">
            <w:pPr>
              <w:spacing w:after="0"/>
              <w:jc w:val="left"/>
              <w:rPr>
                <w:rFonts w:ascii="Times New Roman" w:hAnsi="Times New Roman" w:eastAsia="仿宋"/>
                <w:szCs w:val="21"/>
              </w:rPr>
            </w:pPr>
            <w:r>
              <w:rPr>
                <w:rFonts w:hint="eastAsia" w:ascii="Times New Roman" w:hAnsi="Times New Roman" w:eastAsia="仿宋"/>
                <w:szCs w:val="21"/>
              </w:rPr>
              <w:t>新媒体传播平台网址</w:t>
            </w:r>
          </w:p>
        </w:tc>
        <w:tc>
          <w:tcPr>
            <w:tcW w:w="6472" w:type="dxa"/>
            <w:gridSpan w:val="7"/>
            <w:vAlign w:val="center"/>
          </w:tcPr>
          <w:p w14:paraId="3CDB6DE2">
            <w:pPr>
              <w:spacing w:after="0"/>
              <w:jc w:val="left"/>
              <w:rPr>
                <w:rFonts w:hint="default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https://news.cqjjnet.com/web/aritcle/1481740621337321472/web/content_1481740621337321472.html</w:t>
            </w:r>
          </w:p>
        </w:tc>
      </w:tr>
      <w:tr w14:paraId="1CDA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080" w:type="dxa"/>
            <w:vMerge w:val="continue"/>
            <w:vAlign w:val="center"/>
          </w:tcPr>
          <w:p w14:paraId="695AADDC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581647C8">
            <w:pPr>
              <w:spacing w:after="0"/>
              <w:jc w:val="left"/>
              <w:rPr>
                <w:rFonts w:ascii="Times New Roman" w:hAnsi="Times New Roman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阅读量（浏览量、点击量）</w:t>
            </w:r>
          </w:p>
        </w:tc>
        <w:tc>
          <w:tcPr>
            <w:tcW w:w="1189" w:type="dxa"/>
            <w:gridSpan w:val="2"/>
            <w:vAlign w:val="center"/>
          </w:tcPr>
          <w:p w14:paraId="05472106">
            <w:pPr>
              <w:spacing w:after="0"/>
              <w:jc w:val="center"/>
              <w:rPr>
                <w:rFonts w:hint="default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25万+</w:t>
            </w:r>
          </w:p>
        </w:tc>
        <w:tc>
          <w:tcPr>
            <w:tcW w:w="1315" w:type="dxa"/>
            <w:vAlign w:val="center"/>
          </w:tcPr>
          <w:p w14:paraId="167DED78">
            <w:pPr>
              <w:spacing w:after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转载量</w:t>
            </w:r>
          </w:p>
        </w:tc>
        <w:tc>
          <w:tcPr>
            <w:tcW w:w="1223" w:type="dxa"/>
            <w:vAlign w:val="center"/>
          </w:tcPr>
          <w:p w14:paraId="63CB27B9">
            <w:pPr>
              <w:spacing w:after="0"/>
              <w:jc w:val="center"/>
              <w:rPr>
                <w:rFonts w:hint="default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7000+</w:t>
            </w:r>
          </w:p>
        </w:tc>
        <w:tc>
          <w:tcPr>
            <w:tcW w:w="1362" w:type="dxa"/>
            <w:gridSpan w:val="2"/>
            <w:vAlign w:val="center"/>
          </w:tcPr>
          <w:p w14:paraId="06C20EE2">
            <w:pPr>
              <w:spacing w:after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互动量</w:t>
            </w:r>
          </w:p>
        </w:tc>
        <w:tc>
          <w:tcPr>
            <w:tcW w:w="1383" w:type="dxa"/>
            <w:vAlign w:val="center"/>
          </w:tcPr>
          <w:p w14:paraId="576B47FA">
            <w:pPr>
              <w:spacing w:after="0"/>
              <w:jc w:val="center"/>
              <w:rPr>
                <w:rFonts w:hint="default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6000+</w:t>
            </w:r>
          </w:p>
        </w:tc>
      </w:tr>
      <w:tr w14:paraId="7D2AF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5" w:hRule="exact"/>
          <w:jc w:val="center"/>
        </w:trPr>
        <w:tc>
          <w:tcPr>
            <w:tcW w:w="1080" w:type="dxa"/>
            <w:vAlign w:val="center"/>
          </w:tcPr>
          <w:p w14:paraId="231ECC84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推</w:t>
            </w:r>
          </w:p>
          <w:p w14:paraId="4C632F55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荐</w:t>
            </w:r>
          </w:p>
          <w:p w14:paraId="7E4A7DED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理</w:t>
            </w:r>
          </w:p>
          <w:p w14:paraId="09413AAA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由</w:t>
            </w:r>
          </w:p>
        </w:tc>
        <w:tc>
          <w:tcPr>
            <w:tcW w:w="8102" w:type="dxa"/>
            <w:gridSpan w:val="9"/>
            <w:vAlign w:val="top"/>
          </w:tcPr>
          <w:p w14:paraId="567A6AEA">
            <w:pPr>
              <w:spacing w:after="0"/>
              <w:ind w:firstLine="422" w:firstLineChars="200"/>
              <w:jc w:val="both"/>
              <w:rPr>
                <w:rFonts w:hint="default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一、</w:t>
            </w:r>
            <w:r>
              <w:rPr>
                <w:rFonts w:hint="default" w:ascii="仿宋" w:hAnsi="仿宋" w:eastAsia="仿宋" w:cs="仿宋"/>
                <w:b/>
                <w:bCs/>
                <w:szCs w:val="21"/>
                <w:lang w:val="en-US" w:eastAsia="zh-CN"/>
              </w:rPr>
              <w:t>立意高远：时空对话视觉盛宴</w:t>
            </w:r>
          </w:p>
          <w:p w14:paraId="714DFE71">
            <w:pPr>
              <w:spacing w:after="0"/>
              <w:ind w:firstLine="420" w:firstLineChars="200"/>
              <w:jc w:val="both"/>
              <w:rPr>
                <w:rFonts w:hint="default"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szCs w:val="21"/>
                <w:lang w:val="en-US" w:eastAsia="zh-CN"/>
              </w:rPr>
              <w:t>《行走成渝古道江津段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——</w:t>
            </w:r>
            <w:r>
              <w:rPr>
                <w:rFonts w:hint="default" w:ascii="仿宋" w:hAnsi="仿宋" w:eastAsia="仿宋" w:cs="仿宋"/>
                <w:szCs w:val="21"/>
                <w:lang w:val="en-US" w:eastAsia="zh-CN"/>
              </w:rPr>
              <w:t>跨越千年回响与现代活力》</w:t>
            </w:r>
            <w:r>
              <w:rPr>
                <w:rFonts w:hint="default" w:ascii="仿宋" w:hAnsi="仿宋" w:eastAsia="仿宋" w:cs="仿宋"/>
                <w:szCs w:val="21"/>
              </w:rPr>
              <w:t>跨版设计，以“千年对话”为内核，用古今对话的视觉修辞，展现古道人文历史、沿线巨变、精神传承、配套设施，跳出“推介古道只谈古道的思维”。</w:t>
            </w:r>
          </w:p>
          <w:p w14:paraId="48303168">
            <w:pPr>
              <w:spacing w:after="0"/>
              <w:ind w:firstLine="420" w:firstLineChars="200"/>
              <w:jc w:val="both"/>
              <w:rPr>
                <w:rFonts w:hint="default"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szCs w:val="21"/>
              </w:rPr>
              <w:t>跨版左侧手绘示意图与蜿蜒古道、山巅步闲亭融合拼接，以东方美学底蕴，呈现古道的历史厚重感。右侧大图渝昆高铁与成渝古道的时空并置，高铁的钢铁动脉与古道的蜿蜒苔痕同框形成强烈的视觉张力。一左一右两幅图片通过俯仰之间的视角转换，让高铁的现代速度感与古道的蜿蜒沧桑形成时空交错，完美诠释“跨越千年”的主题内核。</w:t>
            </w:r>
          </w:p>
          <w:p w14:paraId="6239A151">
            <w:pPr>
              <w:spacing w:after="0"/>
              <w:ind w:firstLine="420" w:firstLineChars="200"/>
              <w:jc w:val="both"/>
              <w:rPr>
                <w:rFonts w:hint="default"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szCs w:val="21"/>
              </w:rPr>
              <w:t>跨版设计不搞“厚古薄今”或“唯新是从”，把“逝者如斯夫”的哲思与“高峡出平湖”的豪情整体输出，展现“历史文脉搭台，现代精神唱戏”的脉搏跳动。</w:t>
            </w:r>
          </w:p>
          <w:p w14:paraId="5A9D9FF3">
            <w:pPr>
              <w:spacing w:after="0"/>
              <w:ind w:firstLine="422" w:firstLineChars="200"/>
              <w:jc w:val="both"/>
              <w:rPr>
                <w:rFonts w:hint="default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二、</w:t>
            </w:r>
            <w:r>
              <w:rPr>
                <w:rFonts w:hint="default" w:ascii="仿宋" w:hAnsi="仿宋" w:eastAsia="仿宋" w:cs="仿宋"/>
                <w:b/>
                <w:bCs/>
                <w:szCs w:val="21"/>
                <w:lang w:val="en-US" w:eastAsia="zh-CN"/>
              </w:rPr>
              <w:t>守正创新：传统美学现代表达</w:t>
            </w:r>
          </w:p>
          <w:p w14:paraId="3A69D2B8">
            <w:pPr>
              <w:spacing w:after="0"/>
              <w:ind w:firstLine="420" w:firstLineChars="200"/>
              <w:jc w:val="both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Cs w:val="21"/>
                <w:lang w:val="en-US" w:eastAsia="zh-CN"/>
              </w:rPr>
              <w:t>跨版采用传统卷轴式视觉框架，既继承古籍装帧的东方韵味，又通过现代设计语言实现信息分层——文字如题跋般错落有致，图片似印章般点缀其间，形成疏密有致的视觉韵律。</w:t>
            </w:r>
          </w:p>
          <w:p w14:paraId="24FE49B2">
            <w:pPr>
              <w:spacing w:after="0"/>
              <w:ind w:firstLine="420" w:firstLineChars="200"/>
              <w:jc w:val="both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Cs w:val="21"/>
                <w:lang w:val="en-US" w:eastAsia="zh-CN"/>
              </w:rPr>
              <w:t>手绘导览图犹如“国潮版高德地图”，以传统山水画的散点透视法铺陈古道路线、沿线景点具有极强实用性。六大特色景点单独成块，航拍镜头“高空投送”古道全貌，多重视角的叠加，使读者既能宏观把握古道全貌，又可微观感受历史肌理。</w:t>
            </w:r>
          </w:p>
          <w:p w14:paraId="64FAAF45">
            <w:pPr>
              <w:spacing w:after="0"/>
              <w:ind w:firstLine="422" w:firstLineChars="200"/>
              <w:jc w:val="both"/>
              <w:rPr>
                <w:rFonts w:hint="default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三、</w:t>
            </w:r>
            <w:r>
              <w:rPr>
                <w:rFonts w:hint="default" w:ascii="仿宋" w:hAnsi="仿宋" w:eastAsia="仿宋" w:cs="仿宋"/>
                <w:b/>
                <w:bCs/>
                <w:szCs w:val="21"/>
              </w:rPr>
              <w:t>服务赋能：信息爆棚攻略拉满</w:t>
            </w:r>
          </w:p>
          <w:p w14:paraId="23750401">
            <w:pPr>
              <w:spacing w:after="0"/>
              <w:ind w:firstLine="420" w:firstLineChars="200"/>
              <w:jc w:val="both"/>
              <w:rPr>
                <w:rFonts w:hint="default"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szCs w:val="21"/>
              </w:rPr>
              <w:t>跨版抛弃“我说你听”的说教模式，直接推出“保姆级攻略”：从公交线路到停车位数量，从美食推荐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到便民信息</w:t>
            </w:r>
            <w:r>
              <w:rPr>
                <w:rFonts w:hint="default" w:ascii="仿宋" w:hAnsi="仿宋" w:eastAsia="仿宋" w:cs="仿宋"/>
                <w:szCs w:val="21"/>
              </w:rPr>
              <w:t>，将古道沿线的现代服务设施与历史遗迹进行时空关联，让读者在获取文化认知的同时，形成“可抵达、可体验”的行动指南。</w:t>
            </w:r>
          </w:p>
          <w:p w14:paraId="303D4648">
            <w:pPr>
              <w:spacing w:after="0"/>
              <w:ind w:firstLine="420" w:firstLineChars="200"/>
              <w:jc w:val="both"/>
              <w:rPr>
                <w:rFonts w:hint="default"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szCs w:val="21"/>
              </w:rPr>
              <w:t>跨版采用“文化地理信息+”模式，挖掘古道沿线居民清朝捐资修桥、现在刷上“成渝古道走一走、定能活到九十九”为古道助力的故事，展现“古今厚道接力”，让服务信息不止于功能，更传递温度。</w:t>
            </w:r>
          </w:p>
          <w:p w14:paraId="62319CD5">
            <w:pPr>
              <w:spacing w:after="0"/>
              <w:ind w:firstLine="42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szCs w:val="21"/>
              </w:rPr>
              <w:t>这种将文化深度与服务温度相融合的编辑思维，重塑主题报道的价值维度。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这个</w:t>
            </w:r>
            <w:r>
              <w:rPr>
                <w:rFonts w:hint="default" w:ascii="仿宋" w:hAnsi="仿宋" w:eastAsia="仿宋" w:cs="仿宋"/>
                <w:szCs w:val="21"/>
              </w:rPr>
              <w:t>跨版用时空对撞解构“线性叙事”，凭融媒语法重构“版面次元”，以实用攻略刷新“文化传播”。它不端着“历史教科书”的架子，也不追“快餐流量”的俗套，而是在青石板与高铁轨的碰撞中，让千年古道在纸上“活”起来，在读者心里“燃”起来。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                                </w:t>
            </w:r>
          </w:p>
          <w:p w14:paraId="652C71BD">
            <w:pPr>
              <w:spacing w:after="0"/>
              <w:ind w:firstLine="2940" w:firstLineChars="14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  <w:p w14:paraId="3BC04FFE">
            <w:pPr>
              <w:spacing w:after="0"/>
              <w:ind w:firstLine="5670" w:firstLineChars="2700"/>
              <w:jc w:val="both"/>
              <w:rPr>
                <w:rFonts w:hint="default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签名：</w:t>
            </w:r>
          </w:p>
          <w:p w14:paraId="52BFFED6">
            <w:pPr>
              <w:spacing w:after="0"/>
              <w:jc w:val="both"/>
              <w:rPr>
                <w:rFonts w:hint="default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                      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                    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  <w:r>
              <w:rPr>
                <w:rFonts w:hint="default" w:ascii="仿宋" w:hAnsi="仿宋" w:eastAsia="仿宋" w:cs="仿宋"/>
                <w:szCs w:val="21"/>
              </w:rPr>
              <w:t xml:space="preserve">年  </w:t>
            </w:r>
            <w:r>
              <w:rPr>
                <w:rFonts w:hint="eastAsia" w:ascii="仿宋" w:hAnsi="仿宋" w:eastAsia="仿宋" w:cs="仿宋"/>
                <w:szCs w:val="21"/>
              </w:rPr>
              <w:t>月  日</w:t>
            </w:r>
          </w:p>
        </w:tc>
      </w:tr>
      <w:tr w14:paraId="3E69B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80" w:type="dxa"/>
            <w:vAlign w:val="center"/>
          </w:tcPr>
          <w:p w14:paraId="79B2C463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联系人</w:t>
            </w:r>
          </w:p>
        </w:tc>
        <w:tc>
          <w:tcPr>
            <w:tcW w:w="1981" w:type="dxa"/>
            <w:gridSpan w:val="3"/>
            <w:vAlign w:val="center"/>
          </w:tcPr>
          <w:p w14:paraId="0987AAEE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谷亚淋</w:t>
            </w:r>
          </w:p>
        </w:tc>
        <w:tc>
          <w:tcPr>
            <w:tcW w:w="838" w:type="dxa"/>
            <w:vAlign w:val="center"/>
          </w:tcPr>
          <w:p w14:paraId="20846C0A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电话</w:t>
            </w:r>
          </w:p>
        </w:tc>
        <w:tc>
          <w:tcPr>
            <w:tcW w:w="2538" w:type="dxa"/>
            <w:gridSpan w:val="2"/>
            <w:shd w:val="clear" w:color="auto" w:fill="auto"/>
            <w:vAlign w:val="center"/>
          </w:tcPr>
          <w:p w14:paraId="67CFE657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023-47521651</w:t>
            </w:r>
          </w:p>
        </w:tc>
        <w:tc>
          <w:tcPr>
            <w:tcW w:w="808" w:type="dxa"/>
            <w:vAlign w:val="center"/>
          </w:tcPr>
          <w:p w14:paraId="5B3EF232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手机</w:t>
            </w:r>
          </w:p>
        </w:tc>
        <w:tc>
          <w:tcPr>
            <w:tcW w:w="1937" w:type="dxa"/>
            <w:gridSpan w:val="2"/>
            <w:vAlign w:val="center"/>
          </w:tcPr>
          <w:p w14:paraId="4F147A33">
            <w:pPr>
              <w:spacing w:after="0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15923594001</w:t>
            </w:r>
          </w:p>
        </w:tc>
      </w:tr>
      <w:tr w14:paraId="68C4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1080" w:type="dxa"/>
            <w:vAlign w:val="center"/>
          </w:tcPr>
          <w:p w14:paraId="1DEE49D9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地址</w:t>
            </w:r>
          </w:p>
        </w:tc>
        <w:tc>
          <w:tcPr>
            <w:tcW w:w="5357" w:type="dxa"/>
            <w:gridSpan w:val="6"/>
            <w:vAlign w:val="center"/>
          </w:tcPr>
          <w:p w14:paraId="63035ECA">
            <w:pPr>
              <w:spacing w:after="0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重庆市江津区鼎山大道586号江津区融媒体中心</w:t>
            </w:r>
          </w:p>
        </w:tc>
        <w:tc>
          <w:tcPr>
            <w:tcW w:w="808" w:type="dxa"/>
            <w:vAlign w:val="center"/>
          </w:tcPr>
          <w:p w14:paraId="561B0A31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0"/>
              </w:rPr>
              <w:t>邮箱</w:t>
            </w:r>
          </w:p>
        </w:tc>
        <w:tc>
          <w:tcPr>
            <w:tcW w:w="1937" w:type="dxa"/>
            <w:gridSpan w:val="2"/>
            <w:vAlign w:val="center"/>
          </w:tcPr>
          <w:p w14:paraId="1322D358">
            <w:pPr>
              <w:spacing w:after="0" w:line="40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0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275116712@qq.com</w:t>
            </w:r>
          </w:p>
        </w:tc>
      </w:tr>
    </w:tbl>
    <w:p w14:paraId="1D088D31">
      <w:pPr>
        <w:spacing w:after="0" w:line="560" w:lineRule="exact"/>
        <w:rPr>
          <w:rFonts w:ascii="Times New Roman" w:hAnsi="Times New Roman" w:eastAsia="方正黑体_GBK"/>
          <w:sz w:val="32"/>
          <w:szCs w:val="32"/>
        </w:rPr>
      </w:pPr>
    </w:p>
    <w:p w14:paraId="02048373">
      <w:pPr>
        <w:pStyle w:val="9"/>
        <w:spacing w:after="0"/>
        <w:ind w:left="0" w:leftChars="0" w:firstLine="0" w:firstLineChars="0"/>
      </w:pPr>
    </w:p>
    <w:sectPr>
      <w:headerReference r:id="rId5" w:type="default"/>
      <w:footerReference r:id="rId6" w:type="default"/>
      <w:pgSz w:w="11906" w:h="16838"/>
      <w:pgMar w:top="2098" w:right="1446" w:bottom="1984" w:left="1446" w:header="851" w:footer="1247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ECDDA">
    <w:pPr>
      <w:pStyle w:val="5"/>
      <w:jc w:val="center"/>
      <w:rPr>
        <w:rFonts w:hint="eastAsia" w:ascii="宋体" w:hAnsi="宋体" w:cs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635</wp:posOffset>
              </wp:positionV>
              <wp:extent cx="818515" cy="447040"/>
              <wp:effectExtent l="0" t="635" r="635" b="0"/>
              <wp:wrapNone/>
              <wp:docPr id="1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8515" cy="44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24B793">
                          <w:pPr>
                            <w:pStyle w:val="5"/>
                            <w:jc w:val="both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25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6" o:spid="_x0000_s1026" o:spt="1" style="position:absolute;left:0pt;margin-top:0.05pt;height:35.2pt;width:64.45pt;mso-position-horizontal:outside;mso-position-horizontal-relative:margin;z-index:251659264;mso-width-relative:page;mso-height-relative:page;" filled="f" stroked="f" coordsize="21600,21600" o:gfxdata="UEsDBAoAAAAAAIdO4kAAAAAAAAAAAAAAAAAEAAAAZHJzL1BLAwQUAAAACACHTuJAgGjHINUAAAAE&#10;AQAADwAAAGRycy9kb3ducmV2LnhtbE2PzU7DMBCE70i8g7VI3KjdSkAS4lSIH5UjbZEKt228JBH2&#10;OordpvD0OCc47sxo5ttyeXJWHGkInWcN85kCQVx703Gj4W37fJWBCBHZoPVMGr4pwLI6PyuxMH7k&#10;NR03sRGphEOBGtoY+0LKULfkMMx8T5y8Tz84jOkcGmkGHFO5s3Kh1I102HFaaLGnh5bqr83BaVhl&#10;/f37i/8ZG/v0sdq97vLHbR61vryYqzsQkU7xLwwTfkKHKjHt/YFNEFZDeiROqpi8RZaD2Gu4Vdcg&#10;q1L+h69+AVBLAwQUAAAACACHTuJAe0RrWQgCAAD7AwAADgAAAGRycy9lMm9Eb2MueG1srVPBbhMx&#10;EL0j8Q+W72SzVVqiVTZV1agIqUClwgc4Xm/WYu0xYye74QPgDzhx6Z3vyncw9m4CLZceuFjj8fj5&#10;vTfjxWVvWrZT6DXYkueTKWfKSqi03ZT808ebV3POfBC2Ei1YVfK98vxy+fLFonOFOoMG2kohIxDr&#10;i86VvAnBFVnmZaOM8BNwytJhDWhEoC1usgpFR+imzc6m04usA6wcglTeU3Y1HPIREZ8DCHWtpVqB&#10;3Bplw4CKqhWBJPlGO8+XiW1dKxk+1LVXgbUlJ6UhrfQIxeu4ZsuFKDYoXKPlSEE8h8ITTUZoS4+e&#10;oFYiCLZF/Q+U0RLBQx0mEkw2CEmOkIp8+sSb+0Y4lbSQ1d6dTPf/D1a+390h0xVNAmdWGGr44cf3&#10;w89fh4dvLL+I/nTOF1R27+4wKvTuFuRnzyxcN8Ju1BUidI0SFbHKY3326ELceLrK1t07qAhebAMk&#10;q/oaTQQkE1ifOrI/dUT1gUlKzvP5eX7OmaSj2ez1dJY6lonieNmhD28UGBaDkiM1PIGL3a0PkYwo&#10;jiXxLQs3um1T01v7KEGFMZPIR76D7tCv+9GCNVR7koEwzBD9IAoawK+cdTQ/JfdftgIVZ+1bS1bE&#10;YTsGeAzWx0BYSVdLHjgbwuswDOXWod40hJwnGRauyK5aJynRyoHFyJNmIikc5zcO3d/7VPXnz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oxyDVAAAABAEAAA8AAAAAAAAAAQAgAAAAIgAAAGRy&#10;cy9kb3ducmV2LnhtbFBLAQIUABQAAAAIAIdO4kB7RGtZCAIAAPsDAAAOAAAAAAAAAAEAIAAAACQ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24B793">
                    <w:pPr>
                      <w:pStyle w:val="5"/>
                      <w:jc w:val="both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25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CAE92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hYjZiYjYxM2I0MGM0YzkxZjA5YjQ4NWE3ZDE3OWYifQ=="/>
    <w:docVar w:name="KSO_WPS_MARK_KEY" w:val="e869c1ea-dd35-4c0d-9a73-1f2e6a3a3de5"/>
  </w:docVars>
  <w:rsids>
    <w:rsidRoot w:val="00D2444B"/>
    <w:rsid w:val="00001BE8"/>
    <w:rsid w:val="00033D52"/>
    <w:rsid w:val="000438AE"/>
    <w:rsid w:val="0004679F"/>
    <w:rsid w:val="00073959"/>
    <w:rsid w:val="00081B6C"/>
    <w:rsid w:val="000A3F86"/>
    <w:rsid w:val="000B37C5"/>
    <w:rsid w:val="000C587D"/>
    <w:rsid w:val="00121349"/>
    <w:rsid w:val="00142EA8"/>
    <w:rsid w:val="00180A58"/>
    <w:rsid w:val="00195D9B"/>
    <w:rsid w:val="001A3405"/>
    <w:rsid w:val="001A415F"/>
    <w:rsid w:val="002024D5"/>
    <w:rsid w:val="00204C86"/>
    <w:rsid w:val="002150C4"/>
    <w:rsid w:val="002264B8"/>
    <w:rsid w:val="002332AA"/>
    <w:rsid w:val="0024266C"/>
    <w:rsid w:val="00247207"/>
    <w:rsid w:val="00267563"/>
    <w:rsid w:val="002A47F5"/>
    <w:rsid w:val="002B3D5F"/>
    <w:rsid w:val="002C6823"/>
    <w:rsid w:val="002D5B46"/>
    <w:rsid w:val="002E25F1"/>
    <w:rsid w:val="002E718D"/>
    <w:rsid w:val="002F2CA1"/>
    <w:rsid w:val="003029B5"/>
    <w:rsid w:val="00305925"/>
    <w:rsid w:val="00307810"/>
    <w:rsid w:val="00311BE8"/>
    <w:rsid w:val="003120FC"/>
    <w:rsid w:val="003157F7"/>
    <w:rsid w:val="00323203"/>
    <w:rsid w:val="00326E8F"/>
    <w:rsid w:val="00371806"/>
    <w:rsid w:val="00483107"/>
    <w:rsid w:val="00484633"/>
    <w:rsid w:val="004B54B5"/>
    <w:rsid w:val="004B612F"/>
    <w:rsid w:val="004C0E0B"/>
    <w:rsid w:val="004C7EDD"/>
    <w:rsid w:val="004D1B1F"/>
    <w:rsid w:val="004F12EB"/>
    <w:rsid w:val="005058DF"/>
    <w:rsid w:val="00505A75"/>
    <w:rsid w:val="005304E3"/>
    <w:rsid w:val="00556E09"/>
    <w:rsid w:val="0059206D"/>
    <w:rsid w:val="005B18BF"/>
    <w:rsid w:val="005F3C35"/>
    <w:rsid w:val="00607E17"/>
    <w:rsid w:val="00624B50"/>
    <w:rsid w:val="006626C1"/>
    <w:rsid w:val="006839F0"/>
    <w:rsid w:val="00695853"/>
    <w:rsid w:val="006A0B98"/>
    <w:rsid w:val="006F1D4A"/>
    <w:rsid w:val="006F6BEA"/>
    <w:rsid w:val="00713C4B"/>
    <w:rsid w:val="00723D1C"/>
    <w:rsid w:val="00732BD0"/>
    <w:rsid w:val="00733AA6"/>
    <w:rsid w:val="00744FA5"/>
    <w:rsid w:val="0075080E"/>
    <w:rsid w:val="00750E7F"/>
    <w:rsid w:val="007537C6"/>
    <w:rsid w:val="00774F3D"/>
    <w:rsid w:val="007823F0"/>
    <w:rsid w:val="007838F1"/>
    <w:rsid w:val="00790D28"/>
    <w:rsid w:val="007B58FE"/>
    <w:rsid w:val="007D510F"/>
    <w:rsid w:val="00816CA4"/>
    <w:rsid w:val="0082124D"/>
    <w:rsid w:val="0082343E"/>
    <w:rsid w:val="008268DF"/>
    <w:rsid w:val="008317A9"/>
    <w:rsid w:val="008540DC"/>
    <w:rsid w:val="00867F94"/>
    <w:rsid w:val="008B7005"/>
    <w:rsid w:val="008C5285"/>
    <w:rsid w:val="00916310"/>
    <w:rsid w:val="00934EC8"/>
    <w:rsid w:val="009506C7"/>
    <w:rsid w:val="00950B0B"/>
    <w:rsid w:val="009B32FB"/>
    <w:rsid w:val="009B7895"/>
    <w:rsid w:val="009D0020"/>
    <w:rsid w:val="009D555C"/>
    <w:rsid w:val="009F0DB5"/>
    <w:rsid w:val="009F2130"/>
    <w:rsid w:val="00A069D2"/>
    <w:rsid w:val="00A0757B"/>
    <w:rsid w:val="00A17087"/>
    <w:rsid w:val="00A36303"/>
    <w:rsid w:val="00A6008B"/>
    <w:rsid w:val="00A60F15"/>
    <w:rsid w:val="00A75156"/>
    <w:rsid w:val="00AA2032"/>
    <w:rsid w:val="00AA6780"/>
    <w:rsid w:val="00AB715C"/>
    <w:rsid w:val="00AC02E8"/>
    <w:rsid w:val="00AD61FB"/>
    <w:rsid w:val="00AD6701"/>
    <w:rsid w:val="00AD7D2A"/>
    <w:rsid w:val="00AF532A"/>
    <w:rsid w:val="00B04521"/>
    <w:rsid w:val="00B20677"/>
    <w:rsid w:val="00B4135A"/>
    <w:rsid w:val="00B46735"/>
    <w:rsid w:val="00B80649"/>
    <w:rsid w:val="00B901AE"/>
    <w:rsid w:val="00B95FB4"/>
    <w:rsid w:val="00BA55B1"/>
    <w:rsid w:val="00BC62D8"/>
    <w:rsid w:val="00BD4CEE"/>
    <w:rsid w:val="00BE670E"/>
    <w:rsid w:val="00C2092C"/>
    <w:rsid w:val="00C4193B"/>
    <w:rsid w:val="00C51268"/>
    <w:rsid w:val="00C57970"/>
    <w:rsid w:val="00C63F04"/>
    <w:rsid w:val="00CA7B19"/>
    <w:rsid w:val="00CD3C17"/>
    <w:rsid w:val="00CE6ECF"/>
    <w:rsid w:val="00D0585B"/>
    <w:rsid w:val="00D224DB"/>
    <w:rsid w:val="00D2444B"/>
    <w:rsid w:val="00D30DFD"/>
    <w:rsid w:val="00D56C73"/>
    <w:rsid w:val="00DB4B32"/>
    <w:rsid w:val="00DC6447"/>
    <w:rsid w:val="00DF5469"/>
    <w:rsid w:val="00DF6D3F"/>
    <w:rsid w:val="00E12699"/>
    <w:rsid w:val="00E71D38"/>
    <w:rsid w:val="00E73DB5"/>
    <w:rsid w:val="00E7573E"/>
    <w:rsid w:val="00EE176E"/>
    <w:rsid w:val="00EE178C"/>
    <w:rsid w:val="00EF28F9"/>
    <w:rsid w:val="00EF5E98"/>
    <w:rsid w:val="00EF6679"/>
    <w:rsid w:val="00F15D8B"/>
    <w:rsid w:val="00F44517"/>
    <w:rsid w:val="00F70973"/>
    <w:rsid w:val="00F81A6B"/>
    <w:rsid w:val="00FA700C"/>
    <w:rsid w:val="00FC5D4B"/>
    <w:rsid w:val="00FD409E"/>
    <w:rsid w:val="00FD54C0"/>
    <w:rsid w:val="00FD7B41"/>
    <w:rsid w:val="00FD7FFA"/>
    <w:rsid w:val="00FE1BC7"/>
    <w:rsid w:val="01442233"/>
    <w:rsid w:val="0183485E"/>
    <w:rsid w:val="02733157"/>
    <w:rsid w:val="02A9287B"/>
    <w:rsid w:val="02C2759D"/>
    <w:rsid w:val="03FD5347"/>
    <w:rsid w:val="05471FB6"/>
    <w:rsid w:val="05A80EE8"/>
    <w:rsid w:val="06777851"/>
    <w:rsid w:val="06E56EA9"/>
    <w:rsid w:val="07B866E0"/>
    <w:rsid w:val="07FB57CC"/>
    <w:rsid w:val="08917F7D"/>
    <w:rsid w:val="08B472E5"/>
    <w:rsid w:val="0ADA1B5C"/>
    <w:rsid w:val="0B8D0492"/>
    <w:rsid w:val="0BE50600"/>
    <w:rsid w:val="0DCD6042"/>
    <w:rsid w:val="0DFF76EE"/>
    <w:rsid w:val="0E406831"/>
    <w:rsid w:val="0E8A1A16"/>
    <w:rsid w:val="0FC8628E"/>
    <w:rsid w:val="0FE37480"/>
    <w:rsid w:val="108856CC"/>
    <w:rsid w:val="10D439E4"/>
    <w:rsid w:val="10FE1EFA"/>
    <w:rsid w:val="115563FC"/>
    <w:rsid w:val="11EE6B89"/>
    <w:rsid w:val="121F3811"/>
    <w:rsid w:val="12495A43"/>
    <w:rsid w:val="12DC046F"/>
    <w:rsid w:val="12FC7CAB"/>
    <w:rsid w:val="134B0590"/>
    <w:rsid w:val="14441A71"/>
    <w:rsid w:val="146C2251"/>
    <w:rsid w:val="14D17287"/>
    <w:rsid w:val="14FC3870"/>
    <w:rsid w:val="15157DCB"/>
    <w:rsid w:val="1518499D"/>
    <w:rsid w:val="167F2E86"/>
    <w:rsid w:val="174A29BF"/>
    <w:rsid w:val="17874E11"/>
    <w:rsid w:val="179002EE"/>
    <w:rsid w:val="17F05D6B"/>
    <w:rsid w:val="187A6EA4"/>
    <w:rsid w:val="188221C4"/>
    <w:rsid w:val="189B2419"/>
    <w:rsid w:val="18AD378E"/>
    <w:rsid w:val="196740A7"/>
    <w:rsid w:val="1AF41F83"/>
    <w:rsid w:val="1BAC1A7E"/>
    <w:rsid w:val="1C061079"/>
    <w:rsid w:val="1C187423"/>
    <w:rsid w:val="1CA11C9E"/>
    <w:rsid w:val="1D02214E"/>
    <w:rsid w:val="1D9368A7"/>
    <w:rsid w:val="1E09195F"/>
    <w:rsid w:val="1E8D0072"/>
    <w:rsid w:val="1EB50925"/>
    <w:rsid w:val="1EBE31B3"/>
    <w:rsid w:val="1EFC151A"/>
    <w:rsid w:val="1F3F780D"/>
    <w:rsid w:val="1F515EB6"/>
    <w:rsid w:val="1F9B04F6"/>
    <w:rsid w:val="2044463E"/>
    <w:rsid w:val="212F71EE"/>
    <w:rsid w:val="218419F6"/>
    <w:rsid w:val="21AD6D40"/>
    <w:rsid w:val="222F68EC"/>
    <w:rsid w:val="223D6BE1"/>
    <w:rsid w:val="225219CE"/>
    <w:rsid w:val="22DD7648"/>
    <w:rsid w:val="23215FAB"/>
    <w:rsid w:val="24774D57"/>
    <w:rsid w:val="25315ABC"/>
    <w:rsid w:val="2573512A"/>
    <w:rsid w:val="25A93FC5"/>
    <w:rsid w:val="26696428"/>
    <w:rsid w:val="27E93292"/>
    <w:rsid w:val="28003E58"/>
    <w:rsid w:val="28C50CF6"/>
    <w:rsid w:val="29BD5BB0"/>
    <w:rsid w:val="29E76546"/>
    <w:rsid w:val="2A8E0727"/>
    <w:rsid w:val="2B0837A4"/>
    <w:rsid w:val="2CB40E02"/>
    <w:rsid w:val="2E6B2A3C"/>
    <w:rsid w:val="2E801713"/>
    <w:rsid w:val="2EBE62D9"/>
    <w:rsid w:val="2F1B0556"/>
    <w:rsid w:val="2FAC327C"/>
    <w:rsid w:val="302A6AD1"/>
    <w:rsid w:val="304A48E7"/>
    <w:rsid w:val="31AC1DA0"/>
    <w:rsid w:val="31DE6354"/>
    <w:rsid w:val="32603485"/>
    <w:rsid w:val="33307BD2"/>
    <w:rsid w:val="33393D03"/>
    <w:rsid w:val="33F740CE"/>
    <w:rsid w:val="34857937"/>
    <w:rsid w:val="350A11F7"/>
    <w:rsid w:val="362917BA"/>
    <w:rsid w:val="36590EC5"/>
    <w:rsid w:val="365B2DB7"/>
    <w:rsid w:val="37BF08AA"/>
    <w:rsid w:val="37F33549"/>
    <w:rsid w:val="38003C16"/>
    <w:rsid w:val="38740160"/>
    <w:rsid w:val="38B92017"/>
    <w:rsid w:val="38FE7A29"/>
    <w:rsid w:val="39C3314D"/>
    <w:rsid w:val="3A530269"/>
    <w:rsid w:val="3A9564F5"/>
    <w:rsid w:val="3ABC0D03"/>
    <w:rsid w:val="3BC56960"/>
    <w:rsid w:val="3D6850E4"/>
    <w:rsid w:val="3E14565B"/>
    <w:rsid w:val="3E2F1D61"/>
    <w:rsid w:val="3E6A04FD"/>
    <w:rsid w:val="3EF64C68"/>
    <w:rsid w:val="3F345B73"/>
    <w:rsid w:val="3FA12DAF"/>
    <w:rsid w:val="403B6683"/>
    <w:rsid w:val="40717C50"/>
    <w:rsid w:val="41C433D8"/>
    <w:rsid w:val="4364501E"/>
    <w:rsid w:val="441F7EE1"/>
    <w:rsid w:val="446D772E"/>
    <w:rsid w:val="452B604A"/>
    <w:rsid w:val="45603F46"/>
    <w:rsid w:val="460F1E18"/>
    <w:rsid w:val="462431C5"/>
    <w:rsid w:val="465A3B6A"/>
    <w:rsid w:val="46955624"/>
    <w:rsid w:val="47F765F1"/>
    <w:rsid w:val="47FB5623"/>
    <w:rsid w:val="482963CC"/>
    <w:rsid w:val="48CD5AFF"/>
    <w:rsid w:val="49570E97"/>
    <w:rsid w:val="49B9273F"/>
    <w:rsid w:val="49CE3ABD"/>
    <w:rsid w:val="49D111CB"/>
    <w:rsid w:val="4A886594"/>
    <w:rsid w:val="4AAE7D70"/>
    <w:rsid w:val="4AB40903"/>
    <w:rsid w:val="4C1F5D55"/>
    <w:rsid w:val="4CB42C7D"/>
    <w:rsid w:val="4CE037F4"/>
    <w:rsid w:val="4D603D20"/>
    <w:rsid w:val="4E176CD8"/>
    <w:rsid w:val="4E570E05"/>
    <w:rsid w:val="4EA31C0C"/>
    <w:rsid w:val="5081334A"/>
    <w:rsid w:val="50AF069C"/>
    <w:rsid w:val="50B82E88"/>
    <w:rsid w:val="515D0FE2"/>
    <w:rsid w:val="516C13B8"/>
    <w:rsid w:val="51CB566A"/>
    <w:rsid w:val="51EC0D90"/>
    <w:rsid w:val="51F25CB3"/>
    <w:rsid w:val="53D61592"/>
    <w:rsid w:val="53DC4801"/>
    <w:rsid w:val="54F9606E"/>
    <w:rsid w:val="55021818"/>
    <w:rsid w:val="554D7946"/>
    <w:rsid w:val="5589685F"/>
    <w:rsid w:val="55A073F3"/>
    <w:rsid w:val="572E40DA"/>
    <w:rsid w:val="57636794"/>
    <w:rsid w:val="57F22BD0"/>
    <w:rsid w:val="594D1D84"/>
    <w:rsid w:val="5971064D"/>
    <w:rsid w:val="597A2035"/>
    <w:rsid w:val="59BF4838"/>
    <w:rsid w:val="5B3F1217"/>
    <w:rsid w:val="5C9D3B4C"/>
    <w:rsid w:val="5DF023A8"/>
    <w:rsid w:val="5EA06637"/>
    <w:rsid w:val="5EF907E6"/>
    <w:rsid w:val="60F33D7F"/>
    <w:rsid w:val="61903065"/>
    <w:rsid w:val="6207406F"/>
    <w:rsid w:val="62696010"/>
    <w:rsid w:val="62B85E3D"/>
    <w:rsid w:val="6333639E"/>
    <w:rsid w:val="6421773A"/>
    <w:rsid w:val="6465796C"/>
    <w:rsid w:val="65070E59"/>
    <w:rsid w:val="65801643"/>
    <w:rsid w:val="666112BC"/>
    <w:rsid w:val="684348D0"/>
    <w:rsid w:val="68575551"/>
    <w:rsid w:val="695A27D3"/>
    <w:rsid w:val="6A3D1B5C"/>
    <w:rsid w:val="6A4C64CF"/>
    <w:rsid w:val="6A95617A"/>
    <w:rsid w:val="6B4972C6"/>
    <w:rsid w:val="6BD050D2"/>
    <w:rsid w:val="6CF50B68"/>
    <w:rsid w:val="6DAF04B7"/>
    <w:rsid w:val="6E15315E"/>
    <w:rsid w:val="6E6A0A12"/>
    <w:rsid w:val="6F785C3A"/>
    <w:rsid w:val="709C60FC"/>
    <w:rsid w:val="711E011B"/>
    <w:rsid w:val="71616C2C"/>
    <w:rsid w:val="717B4757"/>
    <w:rsid w:val="71E32DE1"/>
    <w:rsid w:val="723B4C9F"/>
    <w:rsid w:val="72885F33"/>
    <w:rsid w:val="73916B94"/>
    <w:rsid w:val="73EC100E"/>
    <w:rsid w:val="7491372D"/>
    <w:rsid w:val="74DB0092"/>
    <w:rsid w:val="75D53221"/>
    <w:rsid w:val="76B8433D"/>
    <w:rsid w:val="76D63499"/>
    <w:rsid w:val="77BF2348"/>
    <w:rsid w:val="7959289A"/>
    <w:rsid w:val="796F2B0A"/>
    <w:rsid w:val="79720E08"/>
    <w:rsid w:val="79C21C71"/>
    <w:rsid w:val="7AB804C9"/>
    <w:rsid w:val="7BBF2C5B"/>
    <w:rsid w:val="7D1C5F58"/>
    <w:rsid w:val="7E34442E"/>
    <w:rsid w:val="7E7236F4"/>
    <w:rsid w:val="7F3D5E34"/>
    <w:rsid w:val="7F9B2359"/>
    <w:rsid w:val="7F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99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7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4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qFormat/>
    <w:uiPriority w:val="0"/>
    <w:pPr>
      <w:jc w:val="center"/>
    </w:pPr>
    <w:rPr>
      <w:rFonts w:ascii="宋体" w:hAnsi="Times New Roman" w:cs="Times New Roman"/>
      <w:b/>
      <w:snapToGrid w:val="0"/>
      <w:sz w:val="36"/>
      <w:szCs w:val="20"/>
    </w:rPr>
  </w:style>
  <w:style w:type="paragraph" w:styleId="9">
    <w:name w:val="Body Text First Indent"/>
    <w:basedOn w:val="3"/>
    <w:unhideWhenUsed/>
    <w:qFormat/>
    <w:uiPriority w:val="0"/>
    <w:pPr>
      <w:spacing w:line="594" w:lineRule="exact"/>
      <w:ind w:firstLine="200" w:firstLineChars="200"/>
    </w:pPr>
    <w:rPr>
      <w:rFonts w:eastAsia="方正仿宋_GBK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qFormat/>
    <w:uiPriority w:val="99"/>
    <w:rPr>
      <w:color w:val="0000FF"/>
      <w:u w:val="single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customStyle="1" w:styleId="15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Cs w:val="21"/>
    </w:rPr>
  </w:style>
  <w:style w:type="paragraph" w:customStyle="1" w:styleId="16">
    <w:name w:val="Table Paragraph"/>
    <w:basedOn w:val="1"/>
    <w:qFormat/>
    <w:uiPriority w:val="1"/>
    <w:pPr>
      <w:autoSpaceDE w:val="0"/>
      <w:autoSpaceDN w:val="0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17">
    <w:name w:val="正文文本 3 字符"/>
    <w:link w:val="2"/>
    <w:qFormat/>
    <w:uiPriority w:val="99"/>
    <w:rPr>
      <w:rFonts w:eastAsia="仿宋_GB2312"/>
      <w:sz w:val="16"/>
      <w:szCs w:val="16"/>
    </w:rPr>
  </w:style>
  <w:style w:type="character" w:customStyle="1" w:styleId="18">
    <w:name w:val="页眉 字符"/>
    <w:link w:val="6"/>
    <w:qFormat/>
    <w:uiPriority w:val="99"/>
    <w:rPr>
      <w:rFonts w:eastAsia="仿宋_GB2312"/>
      <w:sz w:val="18"/>
      <w:szCs w:val="18"/>
    </w:rPr>
  </w:style>
  <w:style w:type="character" w:customStyle="1" w:styleId="19">
    <w:name w:val="批注框文本 字符"/>
    <w:link w:val="4"/>
    <w:semiHidden/>
    <w:qFormat/>
    <w:uiPriority w:val="99"/>
    <w:rPr>
      <w:rFonts w:ascii="Calibri" w:hAnsi="Calibri" w:eastAsia="宋体" w:cs="黑体"/>
      <w:kern w:val="2"/>
      <w:sz w:val="18"/>
      <w:szCs w:val="18"/>
    </w:rPr>
  </w:style>
  <w:style w:type="character" w:customStyle="1" w:styleId="20">
    <w:name w:val="页脚 字符"/>
    <w:link w:val="5"/>
    <w:qFormat/>
    <w:uiPriority w:val="99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1713</Words>
  <Characters>1866</Characters>
  <Lines>133</Lines>
  <Paragraphs>37</Paragraphs>
  <TotalTime>20</TotalTime>
  <ScaleCrop>false</ScaleCrop>
  <LinksUpToDate>false</LinksUpToDate>
  <CharactersWithSpaces>1949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2025-03-17T03:48:00Z</dcterms:created>
  <dc:creator>xb21cn</dc:creator>
  <cp:lastModifiedBy>葡萄阿肖</cp:lastModifiedBy>
  <cp:lastPrinted>2026-03-02T03:05:00Z</cp:lastPrinted>
  <dcterms:modified xsi:type="dcterms:W3CDTF">2026-03-15T09:33:57Z</dcterms:modified>
  <dc:title>中共重庆市委宣传部文件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86582831998A41CE8BC63A2623B10035_13</vt:lpwstr>
  </property>
  <property fmtid="{D5CDD505-2E9C-101B-9397-08002B2CF9AE}" pid="4" name="KSOTemplateDocerSaveRecord">
    <vt:lpwstr>eyJoZGlkIjoiMzY3N2FiYzRjMjZjNmJiNGVlNjE2ZDI1ODhlNzlhYzkiLCJ1c2VySWQiOiI0NzM3NzUwMDEifQ==</vt:lpwstr>
  </property>
</Properties>
</file>