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1751C"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重庆新闻奖参评作品推荐表</w:t>
      </w:r>
    </w:p>
    <w:tbl>
      <w:tblPr>
        <w:tblStyle w:val="10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571"/>
        <w:gridCol w:w="26"/>
        <w:gridCol w:w="784"/>
        <w:gridCol w:w="21"/>
        <w:gridCol w:w="166"/>
        <w:gridCol w:w="963"/>
        <w:gridCol w:w="322"/>
        <w:gridCol w:w="1284"/>
        <w:gridCol w:w="91"/>
        <w:gridCol w:w="914"/>
        <w:gridCol w:w="280"/>
        <w:gridCol w:w="2102"/>
      </w:tblGrid>
      <w:tr w14:paraId="445E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824" w:type="dxa"/>
            <w:vAlign w:val="center"/>
          </w:tcPr>
          <w:p w14:paraId="62C606B3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作品标题</w:t>
            </w:r>
          </w:p>
        </w:tc>
        <w:tc>
          <w:tcPr>
            <w:tcW w:w="3531" w:type="dxa"/>
            <w:gridSpan w:val="6"/>
            <w:vAlign w:val="center"/>
          </w:tcPr>
          <w:p w14:paraId="460C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首航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成渝双城共筑低空经济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空中走廊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697" w:type="dxa"/>
            <w:gridSpan w:val="3"/>
            <w:vAlign w:val="center"/>
          </w:tcPr>
          <w:p w14:paraId="1190FFB5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参评项目</w:t>
            </w:r>
          </w:p>
        </w:tc>
        <w:tc>
          <w:tcPr>
            <w:tcW w:w="3296" w:type="dxa"/>
            <w:gridSpan w:val="3"/>
            <w:vAlign w:val="center"/>
          </w:tcPr>
          <w:p w14:paraId="05DA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5E1C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4" w:type="dxa"/>
            <w:vMerge w:val="restart"/>
            <w:vAlign w:val="center"/>
          </w:tcPr>
          <w:p w14:paraId="23CD9A6C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ascii="Times New Roman" w:hAnsi="Times New Roman" w:eastAsia="方正黑体_GBK" w:cs="方正黑体_GBK"/>
                <w:sz w:val="28"/>
              </w:rPr>
              <w:t>字数</w:t>
            </w:r>
            <w:r>
              <w:rPr>
                <w:rFonts w:hint="eastAsia" w:ascii="Times New Roman" w:hAnsi="Times New Roman" w:eastAsia="方正黑体_GBK" w:cs="方正黑体_GBK"/>
                <w:sz w:val="28"/>
              </w:rPr>
              <w:t>/时长</w:t>
            </w:r>
          </w:p>
        </w:tc>
        <w:tc>
          <w:tcPr>
            <w:tcW w:w="3531" w:type="dxa"/>
            <w:gridSpan w:val="6"/>
            <w:vMerge w:val="restart"/>
            <w:vAlign w:val="center"/>
          </w:tcPr>
          <w:p w14:paraId="4B6AE588">
            <w:pPr>
              <w:spacing w:after="0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1395字</w:t>
            </w:r>
          </w:p>
        </w:tc>
        <w:tc>
          <w:tcPr>
            <w:tcW w:w="1697" w:type="dxa"/>
            <w:gridSpan w:val="3"/>
            <w:vAlign w:val="center"/>
          </w:tcPr>
          <w:p w14:paraId="518B5B28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体裁</w:t>
            </w:r>
          </w:p>
        </w:tc>
        <w:tc>
          <w:tcPr>
            <w:tcW w:w="3296" w:type="dxa"/>
            <w:gridSpan w:val="3"/>
            <w:vAlign w:val="center"/>
          </w:tcPr>
          <w:p w14:paraId="3D7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 w:eastAsia="zh-CN"/>
              </w:rPr>
              <w:t>文字消息</w:t>
            </w:r>
          </w:p>
        </w:tc>
      </w:tr>
      <w:tr w14:paraId="32D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4" w:type="dxa"/>
            <w:vMerge w:val="continue"/>
            <w:vAlign w:val="center"/>
          </w:tcPr>
          <w:p w14:paraId="479F0AA0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3531" w:type="dxa"/>
            <w:gridSpan w:val="6"/>
            <w:vMerge w:val="continue"/>
            <w:vAlign w:val="center"/>
          </w:tcPr>
          <w:p w14:paraId="27848632">
            <w:pPr>
              <w:spacing w:after="0" w:line="32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C9AFF3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语种</w:t>
            </w:r>
          </w:p>
        </w:tc>
        <w:tc>
          <w:tcPr>
            <w:tcW w:w="3296" w:type="dxa"/>
            <w:gridSpan w:val="3"/>
            <w:vAlign w:val="center"/>
          </w:tcPr>
          <w:p w14:paraId="7D58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中文</w:t>
            </w:r>
          </w:p>
        </w:tc>
      </w:tr>
      <w:tr w14:paraId="0314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24" w:type="dxa"/>
            <w:vAlign w:val="center"/>
          </w:tcPr>
          <w:p w14:paraId="659E72F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  者</w:t>
            </w:r>
          </w:p>
          <w:p w14:paraId="6AF9BAFB">
            <w:pPr>
              <w:spacing w:after="0" w:line="38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（主创人员）</w:t>
            </w:r>
          </w:p>
        </w:tc>
        <w:tc>
          <w:tcPr>
            <w:tcW w:w="2402" w:type="dxa"/>
            <w:gridSpan w:val="4"/>
            <w:vAlign w:val="center"/>
          </w:tcPr>
          <w:p w14:paraId="1114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陈科儒、兰明月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谢林桐</w:t>
            </w:r>
          </w:p>
        </w:tc>
        <w:tc>
          <w:tcPr>
            <w:tcW w:w="1129" w:type="dxa"/>
            <w:gridSpan w:val="2"/>
            <w:vAlign w:val="center"/>
          </w:tcPr>
          <w:p w14:paraId="0635019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编辑</w:t>
            </w:r>
          </w:p>
        </w:tc>
        <w:tc>
          <w:tcPr>
            <w:tcW w:w="4993" w:type="dxa"/>
            <w:gridSpan w:val="6"/>
            <w:vAlign w:val="center"/>
          </w:tcPr>
          <w:p w14:paraId="6698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张崇熙、孔欣燃、李金津</w:t>
            </w:r>
          </w:p>
        </w:tc>
      </w:tr>
      <w:tr w14:paraId="5B7E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824" w:type="dxa"/>
            <w:vAlign w:val="center"/>
          </w:tcPr>
          <w:p w14:paraId="144FBF0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原创单位</w:t>
            </w:r>
          </w:p>
        </w:tc>
        <w:tc>
          <w:tcPr>
            <w:tcW w:w="2402" w:type="dxa"/>
            <w:gridSpan w:val="4"/>
            <w:vAlign w:val="center"/>
          </w:tcPr>
          <w:p w14:paraId="4CB6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永川区融媒体中心</w:t>
            </w:r>
          </w:p>
        </w:tc>
        <w:tc>
          <w:tcPr>
            <w:tcW w:w="1129" w:type="dxa"/>
            <w:gridSpan w:val="2"/>
            <w:vAlign w:val="center"/>
          </w:tcPr>
          <w:p w14:paraId="00458C04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发布端/账号/媒体名称</w:t>
            </w:r>
          </w:p>
        </w:tc>
        <w:tc>
          <w:tcPr>
            <w:tcW w:w="4993" w:type="dxa"/>
            <w:gridSpan w:val="6"/>
            <w:vAlign w:val="center"/>
          </w:tcPr>
          <w:p w14:paraId="1D88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永川头条APP、永川网</w:t>
            </w:r>
          </w:p>
        </w:tc>
      </w:tr>
      <w:tr w14:paraId="30AF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824" w:type="dxa"/>
            <w:vAlign w:val="center"/>
          </w:tcPr>
          <w:p w14:paraId="321702EE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刊播版面</w:t>
            </w:r>
          </w:p>
          <w:p w14:paraId="2679C221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(名称和版次)</w:t>
            </w:r>
          </w:p>
        </w:tc>
        <w:tc>
          <w:tcPr>
            <w:tcW w:w="2402" w:type="dxa"/>
            <w:gridSpan w:val="4"/>
            <w:vAlign w:val="center"/>
          </w:tcPr>
          <w:p w14:paraId="43A9F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1A055BE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刊播日期</w:t>
            </w:r>
          </w:p>
        </w:tc>
        <w:tc>
          <w:tcPr>
            <w:tcW w:w="4993" w:type="dxa"/>
            <w:gridSpan w:val="6"/>
            <w:vAlign w:val="center"/>
          </w:tcPr>
          <w:p w14:paraId="79E2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2024年04月30日</w:t>
            </w:r>
          </w:p>
        </w:tc>
      </w:tr>
      <w:tr w14:paraId="2A63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24" w:type="dxa"/>
            <w:vMerge w:val="restart"/>
            <w:vAlign w:val="center"/>
          </w:tcPr>
          <w:p w14:paraId="2CDEDCC3">
            <w:pPr>
              <w:spacing w:after="0"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新媒体作品填报网址</w:t>
            </w:r>
          </w:p>
        </w:tc>
        <w:tc>
          <w:tcPr>
            <w:tcW w:w="3531" w:type="dxa"/>
            <w:gridSpan w:val="6"/>
            <w:vMerge w:val="restart"/>
            <w:vAlign w:val="center"/>
          </w:tcPr>
          <w:p w14:paraId="1937613E">
            <w:pPr>
              <w:spacing w:after="0" w:line="260" w:lineRule="exact"/>
              <w:rPr>
                <w:rFonts w:ascii="Times New Roman" w:hAnsi="Times New Roman" w:eastAsia="华文中宋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https://www.yongchuanwang.com.cn/app/article/1353750444177911808/app/content_1353750444177911808.html</w:t>
            </w:r>
          </w:p>
        </w:tc>
        <w:tc>
          <w:tcPr>
            <w:tcW w:w="4993" w:type="dxa"/>
            <w:gridSpan w:val="6"/>
            <w:vAlign w:val="center"/>
          </w:tcPr>
          <w:p w14:paraId="0E31B4F3">
            <w:pPr>
              <w:spacing w:after="0" w:line="260" w:lineRule="exact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>中央宣传部“三好作品”</w:t>
            </w:r>
            <w:r>
              <w:rPr>
                <w:rFonts w:hint="eastAsia" w:ascii="Times New Roman" w:hAnsi="Times New Roman" w:eastAsia="华文中宋"/>
                <w:sz w:val="28"/>
              </w:rPr>
              <w:t xml:space="preserve">  是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0657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824" w:type="dxa"/>
            <w:vMerge w:val="continue"/>
            <w:vAlign w:val="center"/>
          </w:tcPr>
          <w:p w14:paraId="48EA2BB7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4"/>
                <w:szCs w:val="21"/>
              </w:rPr>
            </w:pPr>
          </w:p>
        </w:tc>
        <w:tc>
          <w:tcPr>
            <w:tcW w:w="3531" w:type="dxa"/>
            <w:gridSpan w:val="6"/>
            <w:vMerge w:val="continue"/>
            <w:vAlign w:val="center"/>
          </w:tcPr>
          <w:p w14:paraId="0B381557">
            <w:pPr>
              <w:spacing w:after="0" w:line="26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4993" w:type="dxa"/>
            <w:gridSpan w:val="6"/>
            <w:vAlign w:val="center"/>
          </w:tcPr>
          <w:p w14:paraId="68A249E8">
            <w:pPr>
              <w:spacing w:after="0" w:line="260" w:lineRule="exact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 xml:space="preserve">市委宣传部“三好作品” </w:t>
            </w:r>
            <w:r>
              <w:rPr>
                <w:rFonts w:hint="eastAsia" w:ascii="Times New Roman" w:hAnsi="Times New Roman" w:eastAsia="华文中宋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中宋"/>
                <w:sz w:val="28"/>
              </w:rPr>
              <w:t>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46DB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1824" w:type="dxa"/>
            <w:vAlign w:val="center"/>
          </w:tcPr>
          <w:p w14:paraId="0B92F2A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作品简介</w:t>
            </w:r>
          </w:p>
        </w:tc>
        <w:tc>
          <w:tcPr>
            <w:tcW w:w="8524" w:type="dxa"/>
            <w:gridSpan w:val="12"/>
            <w:vAlign w:val="center"/>
          </w:tcPr>
          <w:p w14:paraId="4399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首航！永川到自贡空中通道建成，当前国内在低空经济发展中的第一个“跨省组合”。永川、自贡的双向飞赴是落实成渝地区双城经济圈川南渝西融合发展、推动区域低空经济变“试点”为“示范”的一次积极探索与大胆尝试。</w:t>
            </w:r>
          </w:p>
          <w:p w14:paraId="6E93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4月29日，重庆市永川区在“重庆低空飞行消费周”启动仪式上，成功完成全国首个大型多发无人机跨省物流首航。此次活动以“首航+签约+规划”三位一体模式，同步发布《永川低空经济发展规划（2024-2030）》及产业扶持政策，签约无人机研发制造、航空实训基地等12个项目。</w:t>
            </w:r>
          </w:p>
          <w:p w14:paraId="5236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该报道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聚焦于永川大型多发无人机跨省物流全国首航这一开创性事件，详细报道了首航仪式的全过程、低空经济的概念与意义、永川在低空经济领域的布局与成果以及未来的发展规划和愿景。文章通过丰富的细节、深入的采访和全面的分析，生动展现了永川在低空经济领域的积极探索和大胆尝试，以及这一事件对成渝地区双城经济圈建设、区域低空经济发展的重要推动作用，为读者呈现了一幅低空经济蓬勃发展的生动画卷。</w:t>
            </w:r>
          </w:p>
        </w:tc>
      </w:tr>
      <w:tr w14:paraId="1A3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exact"/>
        </w:trPr>
        <w:tc>
          <w:tcPr>
            <w:tcW w:w="1824" w:type="dxa"/>
            <w:vAlign w:val="center"/>
          </w:tcPr>
          <w:p w14:paraId="52D321BA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社会效果</w:t>
            </w:r>
          </w:p>
        </w:tc>
        <w:tc>
          <w:tcPr>
            <w:tcW w:w="8524" w:type="dxa"/>
            <w:gridSpan w:val="12"/>
            <w:vAlign w:val="center"/>
          </w:tcPr>
          <w:p w14:paraId="781E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报道在社会上引起了广泛关注和积极反响。一方面，提升了公众对低空经济这一新兴领域的认知度和关注度，激发了社会各界对低空经济未来发展的信心和期待，为低空经济的推广和普及起到了良好的宣传作用。另一方面，报道展示了成渝地区在低空经济领域的合作成果和巨大潜力，增强了区域间的经济交流与协同发展意识，为推动成渝地区双城经济圈建设提供了有力的舆论支持。同时，也为其他地区发展低空经济提供了宝贵的经验借鉴和参考范例，具有一定的示范引领效应。</w:t>
            </w:r>
          </w:p>
          <w:p w14:paraId="7E00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作者以小见大，从细微切口、微观视角入手，让读者仿若置身其中，近距离领略 “低空经济” 蓬勃发展的无限魅力，引发了网友们的热烈反响。许多网友纷纷留言感叹：“永川这发展速度，太惊人了！高效又超前，必须点赞！” 字里行间满是对永川奋进姿态的由衷钦佩与美好期许，也让人们看到了这一新闻作品所蕴含的强大感染力与传播力。</w:t>
            </w:r>
          </w:p>
        </w:tc>
      </w:tr>
      <w:tr w14:paraId="6FFE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824" w:type="dxa"/>
            <w:vMerge w:val="restart"/>
            <w:vAlign w:val="center"/>
          </w:tcPr>
          <w:p w14:paraId="2E66822A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传播数据</w:t>
            </w:r>
          </w:p>
        </w:tc>
        <w:tc>
          <w:tcPr>
            <w:tcW w:w="2568" w:type="dxa"/>
            <w:gridSpan w:val="5"/>
            <w:vMerge w:val="restart"/>
            <w:vAlign w:val="center"/>
          </w:tcPr>
          <w:p w14:paraId="6D225DFC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新媒体传播平台网址</w:t>
            </w: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6D41A8C8">
            <w:pPr>
              <w:spacing w:after="0" w:line="32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4"/>
              </w:rPr>
              <w:t xml:space="preserve">1. </w:t>
            </w:r>
          </w:p>
        </w:tc>
      </w:tr>
      <w:tr w14:paraId="1A21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824" w:type="dxa"/>
            <w:vMerge w:val="continue"/>
            <w:vAlign w:val="center"/>
          </w:tcPr>
          <w:p w14:paraId="47C2C0BB">
            <w:pPr>
              <w:pStyle w:val="3"/>
              <w:spacing w:after="0" w:line="320" w:lineRule="exact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gridSpan w:val="5"/>
            <w:vMerge w:val="continue"/>
            <w:vAlign w:val="center"/>
          </w:tcPr>
          <w:p w14:paraId="43DAFC05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3AEE0A67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2. </w:t>
            </w:r>
          </w:p>
        </w:tc>
      </w:tr>
      <w:tr w14:paraId="08E9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824" w:type="dxa"/>
            <w:vMerge w:val="continue"/>
            <w:vAlign w:val="center"/>
          </w:tcPr>
          <w:p w14:paraId="476BCFC6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256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6DB3C8A6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088EE900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3.</w:t>
            </w:r>
          </w:p>
        </w:tc>
      </w:tr>
      <w:tr w14:paraId="336F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 w14:paraId="26F13FEA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 w14:paraId="44B72937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阅读量（浏览量、点击量）</w:t>
            </w:r>
          </w:p>
        </w:tc>
        <w:tc>
          <w:tcPr>
            <w:tcW w:w="997" w:type="dxa"/>
            <w:gridSpan w:val="4"/>
            <w:tcBorders>
              <w:bottom w:val="single" w:color="auto" w:sz="4" w:space="0"/>
            </w:tcBorders>
            <w:vAlign w:val="center"/>
          </w:tcPr>
          <w:p w14:paraId="06ACC254">
            <w:pPr>
              <w:spacing w:after="0" w:line="360" w:lineRule="exact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8万+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 w14:paraId="1A127CCE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转载量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6FEBB0B3">
            <w:pPr>
              <w:spacing w:after="0" w:line="360" w:lineRule="exact"/>
              <w:jc w:val="center"/>
              <w:rPr>
                <w:rFonts w:hint="default" w:ascii="方正楷体_GBK" w:hAnsi="Times New Roman" w:eastAsia="方正楷体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  <w:lang w:val="en-US" w:eastAsia="zh-CN"/>
              </w:rPr>
              <w:t>2000+</w:t>
            </w:r>
          </w:p>
        </w:tc>
        <w:tc>
          <w:tcPr>
            <w:tcW w:w="1285" w:type="dxa"/>
            <w:gridSpan w:val="3"/>
            <w:tcBorders>
              <w:bottom w:val="single" w:color="auto" w:sz="4" w:space="0"/>
            </w:tcBorders>
            <w:vAlign w:val="center"/>
          </w:tcPr>
          <w:p w14:paraId="3C9D8A7E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互动量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 w14:paraId="596FE1BC">
            <w:pPr>
              <w:spacing w:after="0" w:line="360" w:lineRule="exact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5000+</w:t>
            </w:r>
          </w:p>
        </w:tc>
      </w:tr>
      <w:tr w14:paraId="672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exact"/>
        </w:trPr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 w14:paraId="00C90DA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推荐理由</w:t>
            </w:r>
          </w:p>
        </w:tc>
        <w:tc>
          <w:tcPr>
            <w:tcW w:w="8524" w:type="dxa"/>
            <w:gridSpan w:val="12"/>
            <w:tcBorders>
              <w:bottom w:val="single" w:color="auto" w:sz="4" w:space="0"/>
            </w:tcBorders>
            <w:vAlign w:val="center"/>
          </w:tcPr>
          <w:p w14:paraId="021B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永川成功完成全国首个大型多发无人机跨省物流首航，永川、自贡的双向飞赴是落实成渝地区双城经济圈川南渝西融合发展、推动区域低空经济变“试点”为“示范”的一次积极探索和尝试。报道抓住了永川到自贡空中通道建成，当前国内在低空经济发展中的第一个“跨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合”这一新闻事件，选题新颖、视角独特、内容丰富，深入挖掘了事件背后的经济意义和发展潜力，对低空经济的概念、产业链条、市场规模等进行了详细阐释。同时，该报道对推动低空经济发展、促进区域经济合作、提升公众认知等方面发挥了积极作用。</w:t>
            </w:r>
          </w:p>
          <w:p w14:paraId="405D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7D2CDCFC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  签名：（盖单位公章）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       </w:t>
            </w:r>
          </w:p>
          <w:p w14:paraId="21FCBA96">
            <w:pPr>
              <w:wordWrap w:val="0"/>
              <w:spacing w:after="0" w:line="260" w:lineRule="exact"/>
              <w:jc w:val="righ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 xml:space="preserve">          </w:t>
            </w:r>
          </w:p>
        </w:tc>
      </w:tr>
      <w:tr w14:paraId="62EB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28E75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联系人</w:t>
            </w:r>
          </w:p>
        </w:tc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CEA73E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付丽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EC899D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电话</w:t>
            </w:r>
          </w:p>
        </w:tc>
        <w:tc>
          <w:tcPr>
            <w:tcW w:w="28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ED2E9C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49863247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00F1FF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94081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13983705322</w:t>
            </w:r>
          </w:p>
        </w:tc>
      </w:tr>
      <w:tr w14:paraId="0295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50FC8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地址</w:t>
            </w:r>
          </w:p>
        </w:tc>
        <w:tc>
          <w:tcPr>
            <w:tcW w:w="52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DC5DC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永川区外环西路92号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91E1E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邮箱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0DCE4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371938620@qq.com</w:t>
            </w:r>
          </w:p>
        </w:tc>
      </w:tr>
    </w:tbl>
    <w:p w14:paraId="0566356C">
      <w:pPr>
        <w:pStyle w:val="9"/>
        <w:spacing w:after="0"/>
      </w:pPr>
    </w:p>
    <w:sectPr>
      <w:headerReference r:id="rId5" w:type="default"/>
      <w:footerReference r:id="rId6" w:type="default"/>
      <w:pgSz w:w="11906" w:h="16838"/>
      <w:pgMar w:top="1701" w:right="1446" w:bottom="1701" w:left="1446" w:header="851" w:footer="1247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10A7BD-8C9C-4604-8AA9-D22BB60C603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EBEFB11-DD97-4913-A482-50E738DA57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57DAF9-E008-4764-9010-7B0C586CFB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04727A-E07F-49BD-ABB7-E31D198F75D2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79AA061-A91C-4C21-80B8-2A05080F80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DD4C7A2-E6CC-4505-A8E6-AEC3894D20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0EE5657-28A9-485B-840A-CEC033EE0BFE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3BA67129-A0DB-4348-9E7A-02606AB6762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6959C41C-7B5B-438D-95D9-B3AA587255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B1B95">
    <w:pPr>
      <w:pStyle w:val="5"/>
      <w:jc w:val="center"/>
      <w:rPr>
        <w:rFonts w:hint="eastAsia" w:ascii="宋体" w:hAnsi="宋体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A13F4">
    <w:pPr>
      <w:pStyle w:val="2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jZiYjYxM2I0MGM0YzkxZjA5YjQ4NWE3ZDE3OWYifQ=="/>
    <w:docVar w:name="KSO_WPS_MARK_KEY" w:val="e869c1ea-dd35-4c0d-9a73-1f2e6a3a3de5"/>
  </w:docVars>
  <w:rsids>
    <w:rsidRoot w:val="00D2444B"/>
    <w:rsid w:val="00001BE8"/>
    <w:rsid w:val="00033D52"/>
    <w:rsid w:val="000438AE"/>
    <w:rsid w:val="00073959"/>
    <w:rsid w:val="00081B6C"/>
    <w:rsid w:val="000A3F86"/>
    <w:rsid w:val="000C587D"/>
    <w:rsid w:val="00121349"/>
    <w:rsid w:val="00142EA8"/>
    <w:rsid w:val="00180A58"/>
    <w:rsid w:val="00195D9B"/>
    <w:rsid w:val="001A3405"/>
    <w:rsid w:val="001A415F"/>
    <w:rsid w:val="002024D5"/>
    <w:rsid w:val="00204C86"/>
    <w:rsid w:val="002264B8"/>
    <w:rsid w:val="002332AA"/>
    <w:rsid w:val="0024266C"/>
    <w:rsid w:val="00247207"/>
    <w:rsid w:val="00267563"/>
    <w:rsid w:val="002A47F5"/>
    <w:rsid w:val="002B3D5F"/>
    <w:rsid w:val="002C6823"/>
    <w:rsid w:val="002D5B46"/>
    <w:rsid w:val="002E25F1"/>
    <w:rsid w:val="002E718D"/>
    <w:rsid w:val="002F2CA1"/>
    <w:rsid w:val="003029B5"/>
    <w:rsid w:val="00311BE8"/>
    <w:rsid w:val="003120FC"/>
    <w:rsid w:val="003157F7"/>
    <w:rsid w:val="00323203"/>
    <w:rsid w:val="00326E8F"/>
    <w:rsid w:val="00371806"/>
    <w:rsid w:val="00483107"/>
    <w:rsid w:val="004B612F"/>
    <w:rsid w:val="004C0E0B"/>
    <w:rsid w:val="004C7EDD"/>
    <w:rsid w:val="004D1B1F"/>
    <w:rsid w:val="004F12EB"/>
    <w:rsid w:val="00505A75"/>
    <w:rsid w:val="005304E3"/>
    <w:rsid w:val="00556E09"/>
    <w:rsid w:val="0059206D"/>
    <w:rsid w:val="005B18BF"/>
    <w:rsid w:val="005F3C35"/>
    <w:rsid w:val="00607E17"/>
    <w:rsid w:val="00624B50"/>
    <w:rsid w:val="006626C1"/>
    <w:rsid w:val="006839F0"/>
    <w:rsid w:val="00695853"/>
    <w:rsid w:val="006A0B98"/>
    <w:rsid w:val="006F1D4A"/>
    <w:rsid w:val="006F6BEA"/>
    <w:rsid w:val="00713C4B"/>
    <w:rsid w:val="00723D1C"/>
    <w:rsid w:val="00732BD0"/>
    <w:rsid w:val="00733AA6"/>
    <w:rsid w:val="00744FA5"/>
    <w:rsid w:val="0075080E"/>
    <w:rsid w:val="00750E7F"/>
    <w:rsid w:val="00774F3D"/>
    <w:rsid w:val="007823F0"/>
    <w:rsid w:val="007838F1"/>
    <w:rsid w:val="00790D28"/>
    <w:rsid w:val="007B58FE"/>
    <w:rsid w:val="007D510F"/>
    <w:rsid w:val="00816CA4"/>
    <w:rsid w:val="0082124D"/>
    <w:rsid w:val="0082343E"/>
    <w:rsid w:val="008268DF"/>
    <w:rsid w:val="008317A9"/>
    <w:rsid w:val="008540DC"/>
    <w:rsid w:val="00867F94"/>
    <w:rsid w:val="008B7005"/>
    <w:rsid w:val="008C5285"/>
    <w:rsid w:val="00916310"/>
    <w:rsid w:val="00934EC8"/>
    <w:rsid w:val="009506C7"/>
    <w:rsid w:val="00950B0B"/>
    <w:rsid w:val="009B32FB"/>
    <w:rsid w:val="009B7895"/>
    <w:rsid w:val="009D0020"/>
    <w:rsid w:val="009D555C"/>
    <w:rsid w:val="009F0DB5"/>
    <w:rsid w:val="009F2130"/>
    <w:rsid w:val="00A069D2"/>
    <w:rsid w:val="00A0757B"/>
    <w:rsid w:val="00A36303"/>
    <w:rsid w:val="00A6008B"/>
    <w:rsid w:val="00A60F15"/>
    <w:rsid w:val="00A75156"/>
    <w:rsid w:val="00AA2032"/>
    <w:rsid w:val="00AA6780"/>
    <w:rsid w:val="00AB715C"/>
    <w:rsid w:val="00AD61FB"/>
    <w:rsid w:val="00AD6701"/>
    <w:rsid w:val="00AD7D2A"/>
    <w:rsid w:val="00B04521"/>
    <w:rsid w:val="00B20677"/>
    <w:rsid w:val="00B4135A"/>
    <w:rsid w:val="00B46735"/>
    <w:rsid w:val="00B80649"/>
    <w:rsid w:val="00B901AE"/>
    <w:rsid w:val="00B95FB4"/>
    <w:rsid w:val="00BA55B1"/>
    <w:rsid w:val="00BD4CEE"/>
    <w:rsid w:val="00BE670E"/>
    <w:rsid w:val="00C2092C"/>
    <w:rsid w:val="00C4193B"/>
    <w:rsid w:val="00C51268"/>
    <w:rsid w:val="00C57970"/>
    <w:rsid w:val="00C63F04"/>
    <w:rsid w:val="00CA7B19"/>
    <w:rsid w:val="00CD3C17"/>
    <w:rsid w:val="00CE6ECF"/>
    <w:rsid w:val="00D0585B"/>
    <w:rsid w:val="00D224DB"/>
    <w:rsid w:val="00D2444B"/>
    <w:rsid w:val="00D30DFD"/>
    <w:rsid w:val="00D56C73"/>
    <w:rsid w:val="00DB4B32"/>
    <w:rsid w:val="00DC6447"/>
    <w:rsid w:val="00DF6D3F"/>
    <w:rsid w:val="00E12699"/>
    <w:rsid w:val="00E71D38"/>
    <w:rsid w:val="00E73DB5"/>
    <w:rsid w:val="00E7573E"/>
    <w:rsid w:val="00EE176E"/>
    <w:rsid w:val="00EE178C"/>
    <w:rsid w:val="00EF28F9"/>
    <w:rsid w:val="00EF5E98"/>
    <w:rsid w:val="00EF6679"/>
    <w:rsid w:val="00F15D8B"/>
    <w:rsid w:val="00F44517"/>
    <w:rsid w:val="00F70973"/>
    <w:rsid w:val="00F81A6B"/>
    <w:rsid w:val="00FA700C"/>
    <w:rsid w:val="00FC5D4B"/>
    <w:rsid w:val="00FD409E"/>
    <w:rsid w:val="00FD54C0"/>
    <w:rsid w:val="00FD7B41"/>
    <w:rsid w:val="00FE1BC7"/>
    <w:rsid w:val="0183485E"/>
    <w:rsid w:val="02733157"/>
    <w:rsid w:val="02B40E52"/>
    <w:rsid w:val="04BC5D9C"/>
    <w:rsid w:val="05BE3D95"/>
    <w:rsid w:val="06777851"/>
    <w:rsid w:val="07B866E0"/>
    <w:rsid w:val="07FB57CC"/>
    <w:rsid w:val="0828199A"/>
    <w:rsid w:val="08B472E5"/>
    <w:rsid w:val="0A4A209B"/>
    <w:rsid w:val="0A9E5F43"/>
    <w:rsid w:val="0BA92DF2"/>
    <w:rsid w:val="0E406831"/>
    <w:rsid w:val="0E8A1A16"/>
    <w:rsid w:val="0FC8628E"/>
    <w:rsid w:val="0FE37480"/>
    <w:rsid w:val="10BD35C7"/>
    <w:rsid w:val="115563FC"/>
    <w:rsid w:val="11EE6B89"/>
    <w:rsid w:val="120666CE"/>
    <w:rsid w:val="12495A43"/>
    <w:rsid w:val="12AF5192"/>
    <w:rsid w:val="12DC046F"/>
    <w:rsid w:val="134B0590"/>
    <w:rsid w:val="14441A71"/>
    <w:rsid w:val="14D17287"/>
    <w:rsid w:val="15086DDB"/>
    <w:rsid w:val="15157DCB"/>
    <w:rsid w:val="1518499D"/>
    <w:rsid w:val="16353C00"/>
    <w:rsid w:val="163559AE"/>
    <w:rsid w:val="167F2E86"/>
    <w:rsid w:val="16A36DBB"/>
    <w:rsid w:val="17F05D6B"/>
    <w:rsid w:val="1807337A"/>
    <w:rsid w:val="187A6EA4"/>
    <w:rsid w:val="1898470F"/>
    <w:rsid w:val="189B2419"/>
    <w:rsid w:val="18AD378E"/>
    <w:rsid w:val="19212219"/>
    <w:rsid w:val="1A0C111B"/>
    <w:rsid w:val="1A206975"/>
    <w:rsid w:val="1AF41F83"/>
    <w:rsid w:val="1BE834C2"/>
    <w:rsid w:val="1C187423"/>
    <w:rsid w:val="1D02214E"/>
    <w:rsid w:val="1D9368A7"/>
    <w:rsid w:val="1E2A4D38"/>
    <w:rsid w:val="1F515EB6"/>
    <w:rsid w:val="1F9B04F6"/>
    <w:rsid w:val="20250841"/>
    <w:rsid w:val="210743EB"/>
    <w:rsid w:val="212F71EE"/>
    <w:rsid w:val="218419F6"/>
    <w:rsid w:val="222114DC"/>
    <w:rsid w:val="222F68EC"/>
    <w:rsid w:val="223D6BE1"/>
    <w:rsid w:val="23215FAB"/>
    <w:rsid w:val="24774D57"/>
    <w:rsid w:val="25315ABC"/>
    <w:rsid w:val="256E67E6"/>
    <w:rsid w:val="2573512A"/>
    <w:rsid w:val="25A93FC5"/>
    <w:rsid w:val="26FB67A0"/>
    <w:rsid w:val="27AE789D"/>
    <w:rsid w:val="27E93292"/>
    <w:rsid w:val="28C50CF6"/>
    <w:rsid w:val="29E76546"/>
    <w:rsid w:val="2AB27175"/>
    <w:rsid w:val="2BBB02AC"/>
    <w:rsid w:val="2C4604BD"/>
    <w:rsid w:val="2C8B2374"/>
    <w:rsid w:val="2CB40E02"/>
    <w:rsid w:val="2E6B2A3C"/>
    <w:rsid w:val="2E864BA1"/>
    <w:rsid w:val="2EBE62D9"/>
    <w:rsid w:val="2F8C268B"/>
    <w:rsid w:val="302A6AD1"/>
    <w:rsid w:val="304A48E7"/>
    <w:rsid w:val="31DE6354"/>
    <w:rsid w:val="32603485"/>
    <w:rsid w:val="33393D03"/>
    <w:rsid w:val="33F740CE"/>
    <w:rsid w:val="350A11F7"/>
    <w:rsid w:val="350B22A4"/>
    <w:rsid w:val="35C1013F"/>
    <w:rsid w:val="3848736B"/>
    <w:rsid w:val="3A15327D"/>
    <w:rsid w:val="3A263D70"/>
    <w:rsid w:val="3A445FA5"/>
    <w:rsid w:val="3A530269"/>
    <w:rsid w:val="3A9564F5"/>
    <w:rsid w:val="3ABC0D03"/>
    <w:rsid w:val="3BC56960"/>
    <w:rsid w:val="3C401A9D"/>
    <w:rsid w:val="3D2F4655"/>
    <w:rsid w:val="3D6850E4"/>
    <w:rsid w:val="3E14565B"/>
    <w:rsid w:val="3E3839DE"/>
    <w:rsid w:val="3F345B73"/>
    <w:rsid w:val="3F983EB0"/>
    <w:rsid w:val="3FA12DAF"/>
    <w:rsid w:val="3FB63890"/>
    <w:rsid w:val="41C433D8"/>
    <w:rsid w:val="446D772E"/>
    <w:rsid w:val="4582210E"/>
    <w:rsid w:val="46955624"/>
    <w:rsid w:val="47B24801"/>
    <w:rsid w:val="47F765F1"/>
    <w:rsid w:val="47FB5623"/>
    <w:rsid w:val="485633DE"/>
    <w:rsid w:val="49570E97"/>
    <w:rsid w:val="49D111CB"/>
    <w:rsid w:val="4A886594"/>
    <w:rsid w:val="4AAE7D70"/>
    <w:rsid w:val="4B50680B"/>
    <w:rsid w:val="4CB42C7D"/>
    <w:rsid w:val="4D76420B"/>
    <w:rsid w:val="4D9A5B1B"/>
    <w:rsid w:val="4DC94652"/>
    <w:rsid w:val="4E176CD8"/>
    <w:rsid w:val="4E570E05"/>
    <w:rsid w:val="4EA31C0C"/>
    <w:rsid w:val="4F400944"/>
    <w:rsid w:val="5081334A"/>
    <w:rsid w:val="50AF069C"/>
    <w:rsid w:val="51915487"/>
    <w:rsid w:val="51CB566A"/>
    <w:rsid w:val="536966BB"/>
    <w:rsid w:val="53F046E7"/>
    <w:rsid w:val="542A7F99"/>
    <w:rsid w:val="551507E3"/>
    <w:rsid w:val="558626A3"/>
    <w:rsid w:val="55A073F3"/>
    <w:rsid w:val="55A72E04"/>
    <w:rsid w:val="572E40DA"/>
    <w:rsid w:val="57636794"/>
    <w:rsid w:val="57F22BD0"/>
    <w:rsid w:val="585D2567"/>
    <w:rsid w:val="585F008D"/>
    <w:rsid w:val="594D1D84"/>
    <w:rsid w:val="597A2035"/>
    <w:rsid w:val="5999137D"/>
    <w:rsid w:val="59BF4838"/>
    <w:rsid w:val="5A8C5976"/>
    <w:rsid w:val="5B975D90"/>
    <w:rsid w:val="5C373AC8"/>
    <w:rsid w:val="5C9D3B4C"/>
    <w:rsid w:val="5D69550A"/>
    <w:rsid w:val="5DF023A8"/>
    <w:rsid w:val="5E4F4700"/>
    <w:rsid w:val="5EA06637"/>
    <w:rsid w:val="5EF907E6"/>
    <w:rsid w:val="6031230F"/>
    <w:rsid w:val="6207406F"/>
    <w:rsid w:val="62B85E3D"/>
    <w:rsid w:val="63C65464"/>
    <w:rsid w:val="63C67212"/>
    <w:rsid w:val="644C25DC"/>
    <w:rsid w:val="6465796C"/>
    <w:rsid w:val="6488096B"/>
    <w:rsid w:val="65070E59"/>
    <w:rsid w:val="68306E82"/>
    <w:rsid w:val="684348D0"/>
    <w:rsid w:val="686333BD"/>
    <w:rsid w:val="68B0223F"/>
    <w:rsid w:val="68CF4DBB"/>
    <w:rsid w:val="6A3D1B5C"/>
    <w:rsid w:val="6AFF300A"/>
    <w:rsid w:val="6B4972C6"/>
    <w:rsid w:val="6C77379F"/>
    <w:rsid w:val="6E15315E"/>
    <w:rsid w:val="6F785C3A"/>
    <w:rsid w:val="70983CE4"/>
    <w:rsid w:val="71616C2C"/>
    <w:rsid w:val="717B4757"/>
    <w:rsid w:val="71E32DE1"/>
    <w:rsid w:val="723B4C9F"/>
    <w:rsid w:val="72541E8D"/>
    <w:rsid w:val="73916B94"/>
    <w:rsid w:val="74301C2C"/>
    <w:rsid w:val="76B8433D"/>
    <w:rsid w:val="77A64F39"/>
    <w:rsid w:val="78C02044"/>
    <w:rsid w:val="792C5912"/>
    <w:rsid w:val="7962634D"/>
    <w:rsid w:val="796F2B0A"/>
    <w:rsid w:val="7A8552D9"/>
    <w:rsid w:val="7AB804C9"/>
    <w:rsid w:val="7BBF2C5B"/>
    <w:rsid w:val="7D1C5F58"/>
    <w:rsid w:val="7D39684F"/>
    <w:rsid w:val="7F3D5E34"/>
    <w:rsid w:val="7F9B2359"/>
    <w:rsid w:val="7F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next w:val="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9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6">
    <w:name w:val="正文文本 3 字符"/>
    <w:link w:val="2"/>
    <w:qFormat/>
    <w:uiPriority w:val="99"/>
    <w:rPr>
      <w:rFonts w:eastAsia="仿宋_GB2312"/>
      <w:sz w:val="16"/>
      <w:szCs w:val="16"/>
    </w:rPr>
  </w:style>
  <w:style w:type="character" w:customStyle="1" w:styleId="17">
    <w:name w:val="页眉 字符"/>
    <w:link w:val="6"/>
    <w:qFormat/>
    <w:uiPriority w:val="99"/>
    <w:rPr>
      <w:rFonts w:eastAsia="仿宋_GB2312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1281</Words>
  <Characters>1445</Characters>
  <Lines>133</Lines>
  <Paragraphs>37</Paragraphs>
  <TotalTime>2</TotalTime>
  <ScaleCrop>false</ScaleCrop>
  <LinksUpToDate>false</LinksUpToDate>
  <CharactersWithSpaces>1510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xb21cn</dc:creator>
  <cp:lastModifiedBy>很凶很凶的哦</cp:lastModifiedBy>
  <cp:lastPrinted>2025-03-26T03:06:00Z</cp:lastPrinted>
  <dcterms:modified xsi:type="dcterms:W3CDTF">2025-03-27T04:46:53Z</dcterms:modified>
  <dc:title>中共重庆市委宣传部文件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1E3E018981784DF79BB9E7DA3753A76C_13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