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EE45A"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重庆新闻奖参评作品推荐表</w:t>
      </w:r>
    </w:p>
    <w:tbl>
      <w:tblPr>
        <w:tblStyle w:val="3"/>
        <w:tblW w:w="11073" w:type="dxa"/>
        <w:tblInd w:w="-1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20"/>
        <w:gridCol w:w="26"/>
        <w:gridCol w:w="732"/>
        <w:gridCol w:w="52"/>
        <w:gridCol w:w="187"/>
        <w:gridCol w:w="1285"/>
        <w:gridCol w:w="110"/>
        <w:gridCol w:w="1174"/>
        <w:gridCol w:w="255"/>
        <w:gridCol w:w="920"/>
        <w:gridCol w:w="110"/>
        <w:gridCol w:w="2102"/>
      </w:tblGrid>
      <w:tr w14:paraId="3C07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000" w:type="dxa"/>
            <w:vAlign w:val="center"/>
          </w:tcPr>
          <w:p w14:paraId="73531E30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作品标题</w:t>
            </w:r>
          </w:p>
        </w:tc>
        <w:tc>
          <w:tcPr>
            <w:tcW w:w="4512" w:type="dxa"/>
            <w:gridSpan w:val="7"/>
            <w:vAlign w:val="center"/>
          </w:tcPr>
          <w:p w14:paraId="10FE3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firstLine="1440" w:firstLineChars="600"/>
              <w:jc w:val="left"/>
              <w:textAlignment w:val="auto"/>
              <w:rPr>
                <w:rFonts w:ascii="Times New Roman" w:hAnsi="Times New Roman" w:eastAsia="华文中宋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石榴花儿开</w:t>
            </w:r>
          </w:p>
        </w:tc>
        <w:tc>
          <w:tcPr>
            <w:tcW w:w="1429" w:type="dxa"/>
            <w:gridSpan w:val="2"/>
            <w:vAlign w:val="center"/>
          </w:tcPr>
          <w:p w14:paraId="3C49D978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参评项目</w:t>
            </w:r>
          </w:p>
        </w:tc>
        <w:tc>
          <w:tcPr>
            <w:tcW w:w="3132" w:type="dxa"/>
            <w:gridSpan w:val="3"/>
            <w:vAlign w:val="center"/>
          </w:tcPr>
          <w:p w14:paraId="36E54252">
            <w:pPr>
              <w:spacing w:after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新闻专题</w:t>
            </w:r>
          </w:p>
        </w:tc>
      </w:tr>
      <w:tr w14:paraId="6E38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2000" w:type="dxa"/>
            <w:vMerge w:val="restart"/>
            <w:vAlign w:val="center"/>
          </w:tcPr>
          <w:p w14:paraId="71C05A29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ascii="Times New Roman" w:hAnsi="Times New Roman" w:eastAsia="方正黑体_GBK" w:cs="方正黑体_GBK"/>
                <w:sz w:val="28"/>
              </w:rPr>
              <w:t>字数</w:t>
            </w:r>
            <w:r>
              <w:rPr>
                <w:rFonts w:hint="eastAsia" w:ascii="Times New Roman" w:hAnsi="Times New Roman" w:eastAsia="方正黑体_GBK" w:cs="方正黑体_GBK"/>
                <w:sz w:val="28"/>
              </w:rPr>
              <w:t>/时长</w:t>
            </w:r>
          </w:p>
        </w:tc>
        <w:tc>
          <w:tcPr>
            <w:tcW w:w="4512" w:type="dxa"/>
            <w:gridSpan w:val="7"/>
            <w:vMerge w:val="restart"/>
            <w:vAlign w:val="center"/>
          </w:tcPr>
          <w:p w14:paraId="5BCC7023">
            <w:pPr>
              <w:spacing w:after="0" w:line="300" w:lineRule="exact"/>
              <w:ind w:firstLine="1400" w:firstLineChars="500"/>
              <w:rPr>
                <w:rFonts w:hint="default" w:ascii="Times New Roman" w:hAnsi="Times New Roman" w:eastAsia="华文中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18分56秒</w:t>
            </w:r>
          </w:p>
        </w:tc>
        <w:tc>
          <w:tcPr>
            <w:tcW w:w="1429" w:type="dxa"/>
            <w:gridSpan w:val="2"/>
            <w:vAlign w:val="center"/>
          </w:tcPr>
          <w:p w14:paraId="2A21CE2D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体裁</w:t>
            </w:r>
          </w:p>
        </w:tc>
        <w:tc>
          <w:tcPr>
            <w:tcW w:w="3132" w:type="dxa"/>
            <w:gridSpan w:val="3"/>
            <w:vAlign w:val="center"/>
          </w:tcPr>
          <w:p w14:paraId="173AC499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电视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专题</w:t>
            </w:r>
          </w:p>
        </w:tc>
      </w:tr>
      <w:tr w14:paraId="1BF0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2000" w:type="dxa"/>
            <w:vMerge w:val="continue"/>
            <w:vAlign w:val="center"/>
          </w:tcPr>
          <w:p w14:paraId="2244E587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4512" w:type="dxa"/>
            <w:gridSpan w:val="7"/>
            <w:vMerge w:val="continue"/>
            <w:vAlign w:val="center"/>
          </w:tcPr>
          <w:p w14:paraId="4C9C8A1C">
            <w:pPr>
              <w:spacing w:after="0" w:line="320" w:lineRule="exact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566A873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语种</w:t>
            </w:r>
          </w:p>
        </w:tc>
        <w:tc>
          <w:tcPr>
            <w:tcW w:w="3132" w:type="dxa"/>
            <w:gridSpan w:val="3"/>
            <w:vAlign w:val="center"/>
          </w:tcPr>
          <w:p w14:paraId="0E71FCE8">
            <w:pPr>
              <w:spacing w:after="0"/>
              <w:ind w:firstLine="1200" w:firstLineChars="5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汉语</w:t>
            </w:r>
          </w:p>
        </w:tc>
      </w:tr>
      <w:tr w14:paraId="240A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00" w:type="dxa"/>
            <w:vAlign w:val="center"/>
          </w:tcPr>
          <w:p w14:paraId="57BADD03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  者</w:t>
            </w:r>
          </w:p>
          <w:p w14:paraId="5F39102C">
            <w:pPr>
              <w:spacing w:after="0" w:line="38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（主创人员）</w:t>
            </w:r>
          </w:p>
        </w:tc>
        <w:tc>
          <w:tcPr>
            <w:tcW w:w="2878" w:type="dxa"/>
            <w:gridSpan w:val="3"/>
            <w:vAlign w:val="center"/>
          </w:tcPr>
          <w:p w14:paraId="04E73D55">
            <w:pPr>
              <w:spacing w:after="0" w:line="260" w:lineRule="exact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唐胜伟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王冬梅 张振宇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常宁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陈尘 徐荣昶</w:t>
            </w:r>
          </w:p>
        </w:tc>
        <w:tc>
          <w:tcPr>
            <w:tcW w:w="1634" w:type="dxa"/>
            <w:gridSpan w:val="4"/>
            <w:vAlign w:val="center"/>
          </w:tcPr>
          <w:p w14:paraId="36F294EA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编辑</w:t>
            </w:r>
          </w:p>
        </w:tc>
        <w:tc>
          <w:tcPr>
            <w:tcW w:w="4561" w:type="dxa"/>
            <w:gridSpan w:val="5"/>
            <w:vAlign w:val="center"/>
          </w:tcPr>
          <w:p w14:paraId="173CBB4D">
            <w:pPr>
              <w:spacing w:after="0" w:line="24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w w:val="95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张振宇 徐荣昶</w:t>
            </w:r>
          </w:p>
        </w:tc>
      </w:tr>
      <w:tr w14:paraId="2CA7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000" w:type="dxa"/>
            <w:vAlign w:val="center"/>
          </w:tcPr>
          <w:p w14:paraId="2F0E9850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原创单位</w:t>
            </w:r>
          </w:p>
        </w:tc>
        <w:tc>
          <w:tcPr>
            <w:tcW w:w="2878" w:type="dxa"/>
            <w:gridSpan w:val="3"/>
            <w:vAlign w:val="center"/>
          </w:tcPr>
          <w:p w14:paraId="10BEBBF1">
            <w:pPr>
              <w:spacing w:after="0" w:line="260" w:lineRule="exact"/>
              <w:ind w:firstLine="240" w:firstLineChars="100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永川区融媒体中心</w:t>
            </w:r>
          </w:p>
        </w:tc>
        <w:tc>
          <w:tcPr>
            <w:tcW w:w="1634" w:type="dxa"/>
            <w:gridSpan w:val="4"/>
            <w:vAlign w:val="center"/>
          </w:tcPr>
          <w:p w14:paraId="4F4892D6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发布端/账号/媒体名称</w:t>
            </w:r>
          </w:p>
        </w:tc>
        <w:tc>
          <w:tcPr>
            <w:tcW w:w="4561" w:type="dxa"/>
            <w:gridSpan w:val="5"/>
            <w:vAlign w:val="center"/>
          </w:tcPr>
          <w:p w14:paraId="2620D333">
            <w:pPr>
              <w:spacing w:after="0" w:line="260" w:lineRule="exact"/>
              <w:ind w:firstLine="960" w:firstLineChars="4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永川电视台</w:t>
            </w:r>
          </w:p>
        </w:tc>
      </w:tr>
      <w:tr w14:paraId="05B8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000" w:type="dxa"/>
            <w:vAlign w:val="center"/>
          </w:tcPr>
          <w:p w14:paraId="029936E4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刊播版面</w:t>
            </w:r>
          </w:p>
          <w:p w14:paraId="361A97E4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(名称和版次)</w:t>
            </w:r>
          </w:p>
        </w:tc>
        <w:tc>
          <w:tcPr>
            <w:tcW w:w="2878" w:type="dxa"/>
            <w:gridSpan w:val="3"/>
            <w:vAlign w:val="center"/>
          </w:tcPr>
          <w:p w14:paraId="319F9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这里是永川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》</w:t>
            </w:r>
          </w:p>
        </w:tc>
        <w:tc>
          <w:tcPr>
            <w:tcW w:w="1634" w:type="dxa"/>
            <w:gridSpan w:val="4"/>
            <w:vAlign w:val="center"/>
          </w:tcPr>
          <w:p w14:paraId="74BD50AB">
            <w:pPr>
              <w:spacing w:after="0" w:line="38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刊播日期</w:t>
            </w:r>
          </w:p>
        </w:tc>
        <w:tc>
          <w:tcPr>
            <w:tcW w:w="4561" w:type="dxa"/>
            <w:gridSpan w:val="5"/>
            <w:vAlign w:val="center"/>
          </w:tcPr>
          <w:p w14:paraId="6CEC2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2024年12月27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日19点58分</w:t>
            </w:r>
          </w:p>
        </w:tc>
      </w:tr>
      <w:tr w14:paraId="2976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000" w:type="dxa"/>
            <w:vMerge w:val="restart"/>
            <w:vAlign w:val="center"/>
          </w:tcPr>
          <w:p w14:paraId="02DB7002">
            <w:pPr>
              <w:spacing w:after="0"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新媒体作品填报网址</w:t>
            </w:r>
          </w:p>
        </w:tc>
        <w:tc>
          <w:tcPr>
            <w:tcW w:w="4512" w:type="dxa"/>
            <w:gridSpan w:val="7"/>
            <w:vMerge w:val="restart"/>
            <w:vAlign w:val="center"/>
          </w:tcPr>
          <w:p w14:paraId="148A914E">
            <w:pPr>
              <w:spacing w:after="0" w:line="260" w:lineRule="exact"/>
              <w:rPr>
                <w:rFonts w:ascii="Times New Roman" w:hAnsi="Times New Roman" w:eastAsia="华文中宋"/>
                <w:sz w:val="28"/>
              </w:rPr>
            </w:pPr>
          </w:p>
        </w:tc>
        <w:tc>
          <w:tcPr>
            <w:tcW w:w="4561" w:type="dxa"/>
            <w:gridSpan w:val="5"/>
            <w:vAlign w:val="center"/>
          </w:tcPr>
          <w:p w14:paraId="5B009858">
            <w:pPr>
              <w:spacing w:after="0" w:line="260" w:lineRule="exact"/>
              <w:rPr>
                <w:rFonts w:hint="eastAsia" w:ascii="Times New Roman" w:hAnsi="Times New Roman" w:eastAsia="华文中宋"/>
                <w:sz w:val="28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>中央宣传部“三好作品”</w:t>
            </w:r>
            <w:r>
              <w:rPr>
                <w:rFonts w:hint="eastAsia" w:ascii="Times New Roman" w:hAnsi="Times New Roman" w:eastAsia="华文中宋"/>
                <w:sz w:val="28"/>
              </w:rPr>
              <w:t xml:space="preserve">  是</w:t>
            </w:r>
            <w:r>
              <w:rPr>
                <w:rFonts w:hint="eastAsia" w:ascii="华文中宋" w:hAnsi="华文中宋" w:eastAsia="华文中宋"/>
                <w:sz w:val="28"/>
              </w:rPr>
              <w:t>□ 否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</w:p>
        </w:tc>
      </w:tr>
      <w:tr w14:paraId="1B2B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2000" w:type="dxa"/>
            <w:vMerge w:val="continue"/>
            <w:vAlign w:val="center"/>
          </w:tcPr>
          <w:p w14:paraId="06EE2F08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4"/>
                <w:szCs w:val="21"/>
              </w:rPr>
            </w:pPr>
          </w:p>
        </w:tc>
        <w:tc>
          <w:tcPr>
            <w:tcW w:w="4512" w:type="dxa"/>
            <w:gridSpan w:val="7"/>
            <w:vMerge w:val="continue"/>
            <w:vAlign w:val="center"/>
          </w:tcPr>
          <w:p w14:paraId="067FA09D">
            <w:pPr>
              <w:spacing w:after="0" w:line="260" w:lineRule="exact"/>
              <w:rPr>
                <w:rFonts w:ascii="Times New Roman" w:hAnsi="Times New Roman" w:eastAsia="方正仿宋_GBK" w:cs="仿宋"/>
                <w:sz w:val="24"/>
                <w:szCs w:val="18"/>
              </w:rPr>
            </w:pPr>
          </w:p>
        </w:tc>
        <w:tc>
          <w:tcPr>
            <w:tcW w:w="4561" w:type="dxa"/>
            <w:gridSpan w:val="5"/>
            <w:vAlign w:val="center"/>
          </w:tcPr>
          <w:p w14:paraId="41490056">
            <w:pPr>
              <w:spacing w:after="0" w:line="260" w:lineRule="exact"/>
              <w:rPr>
                <w:rFonts w:hint="eastAsia" w:ascii="Times New Roman" w:hAnsi="Times New Roman" w:eastAsia="华文中宋"/>
                <w:sz w:val="28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1"/>
              </w:rPr>
              <w:t xml:space="preserve">市委宣传部“三好作品” </w:t>
            </w:r>
            <w:r>
              <w:rPr>
                <w:rFonts w:hint="eastAsia" w:ascii="Times New Roman" w:hAnsi="Times New Roman" w:eastAsia="华文中宋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中宋"/>
                <w:sz w:val="28"/>
              </w:rPr>
              <w:t>是</w:t>
            </w:r>
            <w:r>
              <w:rPr>
                <w:rFonts w:hint="eastAsia" w:ascii="华文中宋" w:hAnsi="华文中宋" w:eastAsia="华文中宋"/>
                <w:sz w:val="28"/>
              </w:rPr>
              <w:t>□ 否</w:t>
            </w: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☑</w:t>
            </w:r>
          </w:p>
        </w:tc>
      </w:tr>
      <w:tr w14:paraId="0C41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1" w:hRule="atLeast"/>
        </w:trPr>
        <w:tc>
          <w:tcPr>
            <w:tcW w:w="2000" w:type="dxa"/>
            <w:vAlign w:val="center"/>
          </w:tcPr>
          <w:p w14:paraId="0E2DE676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作品简介</w:t>
            </w:r>
          </w:p>
        </w:tc>
        <w:tc>
          <w:tcPr>
            <w:tcW w:w="9073" w:type="dxa"/>
            <w:gridSpan w:val="12"/>
            <w:vAlign w:val="center"/>
          </w:tcPr>
          <w:p w14:paraId="6FE2F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重庆文理学院附属中学创新开展民族教育，2024年被中共中央、国务院授予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“全国民族团结进步模范集体”称号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是重庆市唯一获此殊荣的教育单位。</w:t>
            </w:r>
          </w:p>
          <w:p w14:paraId="179EE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国运兴衰系于教育。习近平总书记多次强调：教育是强国建设、民族复兴之基。重庆市作为非对口支援青海的省市，主动承担起支持青海省教育事业发展重任。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重庆文理学院附属中学坚持12年举办“青海民族班”，创新“党建引领+德育融合+多元培育”民族教育模式，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改变了几百藏族孩子的命运，托起了高原牧民孩子的明天。</w:t>
            </w:r>
          </w:p>
          <w:p w14:paraId="018B6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《石榴花儿开》以重庆文理学院附属中学“青海民族班”为故事核心，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深情讲述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重庆与青海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跨越1300多公里的深厚教育情缘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民族团结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一家亲的故事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。从2012年重庆文理学院附属中学举办“青海民族班”以来，已有546名牧民家的孩子走出青藏高原，来到重庆接受优质教育，重庆文理学院附属中学成为了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青海省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海北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藏族自治州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牧民孩子梦想的启航地。2017年毕业的赛毛吉就有七位兄弟姐妹共八人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成为了重庆文理学院附属中学的校友，已有5人从重庆文理学院附属中学考入了大学，还有3人正在重庆文理学院附属中学“青海民族班”就读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从青藏高原来到重庆，这些牧民孩子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面临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很多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不适和难题，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为让他们尽快融入重庆，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学校和老师给予了无微不至的关怀，延长空调开放时间、熬制绿豆汤、谈心陪伴、结帮扶对子，让孩子们感受到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家的温暖。同时学校还利用重庆的红色资源，开展红色教育，为学生提供精神滋养，帮助他们扣好人生的第一颗扣子。</w:t>
            </w:r>
          </w:p>
          <w:p w14:paraId="2192F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《石榴花儿开》通过关注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民族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发展和藏族牧民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孩子成长，深刻反映了传承红色基因，赓续红色血脉，铸牢中华民族共同体意识对于民族团结，对于国家长远发展的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极端重要性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。该片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扬社会主义核心价值观，深入展现了国家通过教育政策促进民族地区发展进步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取得的巨大成就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进一步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激发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全社会对民族教育的关注和支持，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进一步坚定了我们谱写好新时代民族团结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进步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篇章的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信心和决心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。</w:t>
            </w:r>
          </w:p>
        </w:tc>
      </w:tr>
      <w:tr w14:paraId="3A1A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exact"/>
        </w:trPr>
        <w:tc>
          <w:tcPr>
            <w:tcW w:w="2000" w:type="dxa"/>
            <w:vAlign w:val="center"/>
          </w:tcPr>
          <w:p w14:paraId="4FFB328E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社会效果</w:t>
            </w:r>
          </w:p>
        </w:tc>
        <w:tc>
          <w:tcPr>
            <w:tcW w:w="9073" w:type="dxa"/>
            <w:gridSpan w:val="12"/>
            <w:vAlign w:val="center"/>
          </w:tcPr>
          <w:p w14:paraId="43D10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石榴花儿开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通过永川电视台综合频道《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这里是永川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》栏目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，随后在永川头条APP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，形成了融合式传播，达到了“立体式”的传播效果。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青海民族班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也因为报道而受到媒体广泛关注。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人民日报、新华社、中国新闻网、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重庆日报、重庆电视台等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中央和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市级媒体派出记者前来采访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。截至目前，全网总播放量超过100万+。该报道在重庆本地引起广泛热议，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社会各界人士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由此知道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青海民族班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故事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纷纷捐献爱心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青海民族班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提供更好的学习、生活条件。</w:t>
            </w:r>
          </w:p>
        </w:tc>
      </w:tr>
      <w:tr w14:paraId="7FBE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2000" w:type="dxa"/>
            <w:vMerge w:val="restart"/>
            <w:vAlign w:val="center"/>
          </w:tcPr>
          <w:p w14:paraId="71ADFC6D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传播数据</w:t>
            </w:r>
          </w:p>
        </w:tc>
        <w:tc>
          <w:tcPr>
            <w:tcW w:w="3117" w:type="dxa"/>
            <w:gridSpan w:val="5"/>
            <w:vMerge w:val="restart"/>
            <w:vAlign w:val="center"/>
          </w:tcPr>
          <w:p w14:paraId="12BE3E2B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新媒体传播平台网址</w:t>
            </w: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6E145734">
            <w:pPr>
              <w:spacing w:after="0" w:line="32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4"/>
              </w:rPr>
              <w:t>1.</w:t>
            </w:r>
          </w:p>
        </w:tc>
      </w:tr>
      <w:tr w14:paraId="6088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</w:trPr>
        <w:tc>
          <w:tcPr>
            <w:tcW w:w="2000" w:type="dxa"/>
            <w:vMerge w:val="continue"/>
            <w:vAlign w:val="center"/>
          </w:tcPr>
          <w:p w14:paraId="7CCDFF84">
            <w:pPr>
              <w:pStyle w:val="2"/>
              <w:spacing w:after="0" w:line="320" w:lineRule="exact"/>
              <w:rPr>
                <w:rFonts w:ascii="方正仿宋_GBK" w:eastAsia="方正仿宋_GBK"/>
              </w:rPr>
            </w:pPr>
          </w:p>
        </w:tc>
        <w:tc>
          <w:tcPr>
            <w:tcW w:w="3117" w:type="dxa"/>
            <w:gridSpan w:val="5"/>
            <w:vMerge w:val="continue"/>
            <w:vAlign w:val="center"/>
          </w:tcPr>
          <w:p w14:paraId="6EA0FABB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245CC2A6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2 </w:t>
            </w:r>
          </w:p>
        </w:tc>
      </w:tr>
      <w:tr w14:paraId="345E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2000" w:type="dxa"/>
            <w:vMerge w:val="continue"/>
            <w:vAlign w:val="center"/>
          </w:tcPr>
          <w:p w14:paraId="4C9B7C74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3117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0C1A8A42">
            <w:pPr>
              <w:spacing w:after="0" w:line="420" w:lineRule="exact"/>
              <w:rPr>
                <w:rFonts w:ascii="方正楷体_GBK" w:hAnsi="Times New Roman" w:eastAsia="方正楷体_GBK"/>
                <w:sz w:val="24"/>
                <w:szCs w:val="28"/>
              </w:rPr>
            </w:pPr>
          </w:p>
        </w:tc>
        <w:tc>
          <w:tcPr>
            <w:tcW w:w="5956" w:type="dxa"/>
            <w:gridSpan w:val="7"/>
            <w:tcBorders>
              <w:bottom w:val="single" w:color="auto" w:sz="4" w:space="0"/>
            </w:tcBorders>
            <w:vAlign w:val="center"/>
          </w:tcPr>
          <w:p w14:paraId="037EA4EA">
            <w:pPr>
              <w:spacing w:after="0" w:line="420" w:lineRule="exac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3</w:t>
            </w:r>
          </w:p>
        </w:tc>
      </w:tr>
      <w:tr w14:paraId="52AF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2000" w:type="dxa"/>
            <w:vMerge w:val="continue"/>
            <w:tcBorders>
              <w:bottom w:val="single" w:color="auto" w:sz="4" w:space="0"/>
            </w:tcBorders>
            <w:vAlign w:val="center"/>
          </w:tcPr>
          <w:p w14:paraId="31753AA3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</w:p>
        </w:tc>
        <w:tc>
          <w:tcPr>
            <w:tcW w:w="2120" w:type="dxa"/>
            <w:tcBorders>
              <w:bottom w:val="single" w:color="auto" w:sz="4" w:space="0"/>
            </w:tcBorders>
            <w:vAlign w:val="center"/>
          </w:tcPr>
          <w:p w14:paraId="208ADACB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阅读量（浏览量、点击量）</w:t>
            </w:r>
          </w:p>
        </w:tc>
        <w:tc>
          <w:tcPr>
            <w:tcW w:w="997" w:type="dxa"/>
            <w:gridSpan w:val="4"/>
            <w:tcBorders>
              <w:bottom w:val="single" w:color="auto" w:sz="4" w:space="0"/>
            </w:tcBorders>
            <w:vAlign w:val="center"/>
          </w:tcPr>
          <w:p w14:paraId="46C38710">
            <w:pPr>
              <w:spacing w:after="0" w:line="360" w:lineRule="exact"/>
              <w:jc w:val="center"/>
              <w:rPr>
                <w:rFonts w:ascii="Times New Roman" w:hAnsi="Times New Roman" w:eastAsia="方正仿宋_GBK"/>
                <w:sz w:val="24"/>
                <w:szCs w:val="28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2E56551F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转载量</w:t>
            </w: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vAlign w:val="center"/>
          </w:tcPr>
          <w:p w14:paraId="685C4550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</w:p>
        </w:tc>
        <w:tc>
          <w:tcPr>
            <w:tcW w:w="1285" w:type="dxa"/>
            <w:gridSpan w:val="3"/>
            <w:tcBorders>
              <w:bottom w:val="single" w:color="auto" w:sz="4" w:space="0"/>
            </w:tcBorders>
            <w:vAlign w:val="center"/>
          </w:tcPr>
          <w:p w14:paraId="607D7824">
            <w:pPr>
              <w:spacing w:after="0" w:line="360" w:lineRule="exact"/>
              <w:jc w:val="center"/>
              <w:rPr>
                <w:rFonts w:ascii="方正楷体_GBK" w:hAnsi="Times New Roman" w:eastAsia="方正楷体_GBK"/>
                <w:sz w:val="24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8"/>
              </w:rPr>
              <w:t>互动量</w:t>
            </w:r>
          </w:p>
        </w:tc>
        <w:tc>
          <w:tcPr>
            <w:tcW w:w="2102" w:type="dxa"/>
            <w:tcBorders>
              <w:bottom w:val="single" w:color="auto" w:sz="4" w:space="0"/>
            </w:tcBorders>
            <w:vAlign w:val="center"/>
          </w:tcPr>
          <w:p w14:paraId="5B12F0B1">
            <w:pPr>
              <w:spacing w:after="0" w:line="360" w:lineRule="exact"/>
              <w:jc w:val="center"/>
              <w:rPr>
                <w:rFonts w:ascii="Times New Roman" w:hAnsi="Times New Roman" w:eastAsia="方正仿宋_GBK"/>
                <w:sz w:val="24"/>
                <w:szCs w:val="28"/>
              </w:rPr>
            </w:pPr>
          </w:p>
        </w:tc>
      </w:tr>
      <w:tr w14:paraId="5B60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1" w:hRule="exact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 w14:paraId="7028F3C1">
            <w:pPr>
              <w:spacing w:after="0" w:line="340" w:lineRule="exact"/>
              <w:jc w:val="center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推荐理由</w:t>
            </w:r>
          </w:p>
        </w:tc>
        <w:tc>
          <w:tcPr>
            <w:tcW w:w="9073" w:type="dxa"/>
            <w:gridSpan w:val="12"/>
            <w:tcBorders>
              <w:bottom w:val="single" w:color="auto" w:sz="4" w:space="0"/>
            </w:tcBorders>
            <w:vAlign w:val="center"/>
          </w:tcPr>
          <w:p w14:paraId="10A51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铸牢中华民族共同体意识，以民族大团结促进中国式现代化建设，加强各民族交往交流交融，是习近平总书记的重要指示和时代要求，是实现中华民族伟大复兴的重要保证。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《石榴花儿开》是一曲民族团结进步的赞歌，它以精炼而深刻的笔触，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丰富又生动的镜头，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勾勒出新时代背景下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支持民族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事业发展和各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团结进步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的美好图景，激励着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为实现中华民族伟大复兴的中国梦贡献力量。</w:t>
            </w:r>
          </w:p>
          <w:p w14:paraId="3107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80" w:lineRule="exact"/>
              <w:ind w:firstLine="480" w:firstLineChars="200"/>
              <w:textAlignment w:val="auto"/>
              <w:rPr>
                <w:rFonts w:ascii="Times New Roman" w:hAnsi="Times New Roman" w:eastAsia="华文中宋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石榴花儿开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画面精美，叙事流畅，情感真挚，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新闻价值显著，是一部兼具思想性、感染力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和传播力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的优秀新闻专题片。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1、主题重大，立意高远。专题片紧扣民族团结主题，通过讲述重庆文理学院附属中学“青海民族班”的故事，展现国家异地办学政策改变藏族牧民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孩子及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家庭命运，促进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民族交往交流交融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的生动场景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，体现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教育在推动民族团结进步、实现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中国式现代化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用，深度呼应国家战略与时代发展需求。2、人物故事真实动人。该片以赛毛吉家族及多位“青海民族班”学生的亲身经历为线索，从牧家女成为教师的身份转变，到学生初到重庆的不适与成长，再到患病时老师的悉心照料，真实呈现学生们在学习、生活、情感等多方面的经历，展现出异地求学的艰辛与收获，凸显个体命运在国家政策下的积极改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3、教育模式创新呈现。全面展示“党建引领 + 德育融合 + 多元培育”的创新民族教育模式，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生活关怀、心理疏导、结对帮扶、文化交流、红色教育等多个维度，全方位呈现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教育工作者的用心与担当，为民族教育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提供了可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借鉴的成功范例。4、 视听语言丰富。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“两弹一星精神”与红岩精神相呼应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，奠定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该片的红色基调，展现了两地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深厚的历史与文化底蕴。同期声运用巧妙，如包饺子的欢声笑语、给习总书记写信的朗读声，以及藏族歌曲《除暗光明》，增强了专题片的现场感与文化氛围，使观众能更直观感受其中的情感与内涵。 </w:t>
            </w:r>
            <w:r>
              <w:rPr>
                <w:rFonts w:hint="eastAsia" w:ascii="Times New Roman" w:hAnsi="Times New Roman" w:eastAsia="华文中宋"/>
                <w:spacing w:val="-2"/>
                <w:sz w:val="24"/>
                <w:szCs w:val="28"/>
              </w:rPr>
              <w:t xml:space="preserve"> </w:t>
            </w:r>
          </w:p>
          <w:p w14:paraId="7F832F53">
            <w:pPr>
              <w:spacing w:after="0" w:line="260" w:lineRule="exact"/>
              <w:jc w:val="left"/>
              <w:rPr>
                <w:rFonts w:hint="default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pacing w:val="-2"/>
                <w:sz w:val="24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华文中宋"/>
                <w:spacing w:val="-2"/>
                <w:sz w:val="24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签名：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 xml:space="preserve">  </w:t>
            </w:r>
          </w:p>
          <w:p w14:paraId="0F1BC913">
            <w:pPr>
              <w:spacing w:after="0" w:line="260" w:lineRule="exact"/>
              <w:ind w:firstLine="5520" w:firstLineChars="2300"/>
              <w:jc w:val="left"/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 xml:space="preserve">                         </w:t>
            </w:r>
          </w:p>
          <w:p w14:paraId="624B9A1F">
            <w:pPr>
              <w:spacing w:after="0" w:line="260" w:lineRule="exact"/>
              <w:ind w:firstLine="960" w:firstLineChars="40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年  月  日</w:t>
            </w:r>
          </w:p>
        </w:tc>
      </w:tr>
      <w:tr w14:paraId="234E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2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1244D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联系人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BB9651">
            <w:pPr>
              <w:spacing w:after="0" w:line="340" w:lineRule="exact"/>
              <w:rPr>
                <w:rFonts w:hint="eastAsia" w:ascii="Times New Roman" w:hAnsi="Times New Roman" w:eastAsia="方正黑体_GBK" w:cs="方正黑体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付丽</w:t>
            </w:r>
          </w:p>
        </w:tc>
        <w:tc>
          <w:tcPr>
            <w:tcW w:w="7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DD20CE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电话</w:t>
            </w:r>
          </w:p>
        </w:tc>
        <w:tc>
          <w:tcPr>
            <w:tcW w:w="30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241D0D">
            <w:pPr>
              <w:spacing w:after="0" w:line="340" w:lineRule="exact"/>
              <w:rPr>
                <w:rFonts w:hint="default" w:ascii="Times New Roman" w:hAnsi="Times New Roman" w:eastAsia="方正黑体_GBK" w:cs="方正黑体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49863247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789F79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手机</w:t>
            </w: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8EE6E">
            <w:pPr>
              <w:spacing w:after="0" w:line="340" w:lineRule="exact"/>
              <w:rPr>
                <w:rFonts w:hint="default" w:ascii="Times New Roman" w:hAnsi="Times New Roman" w:eastAsia="方正黑体_GBK" w:cs="方正黑体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13983705322</w:t>
            </w:r>
          </w:p>
        </w:tc>
      </w:tr>
      <w:tr w14:paraId="0987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2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8F22E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地址</w:t>
            </w:r>
          </w:p>
        </w:tc>
        <w:tc>
          <w:tcPr>
            <w:tcW w:w="59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676CA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永川区外环西路92号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6473E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邮箱</w:t>
            </w: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E9B04">
            <w:pPr>
              <w:spacing w:after="0" w:line="340" w:lineRule="exact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402160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 </w:t>
            </w:r>
          </w:p>
        </w:tc>
      </w:tr>
    </w:tbl>
    <w:p w14:paraId="0E866904"/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AD4483-6912-4347-9664-2BF9DCF2FF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4A0815-84A0-4667-B44E-23A53C4889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BF1B586-D122-4FA0-AB3A-5630F1ABF1DF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95DC55F-4711-49AA-A38E-6A7CCE2FDC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2628D35-C2BF-4A95-9119-42DA6FD4E8C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5D5DDE70-31A2-4100-B6DA-147CAC34C09B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DDED2BB1-1195-4991-BF88-02E59A52BEC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36DB9"/>
    <w:rsid w:val="04D12C18"/>
    <w:rsid w:val="0B8D736F"/>
    <w:rsid w:val="0BD44594"/>
    <w:rsid w:val="0D484751"/>
    <w:rsid w:val="0D75742F"/>
    <w:rsid w:val="0E155087"/>
    <w:rsid w:val="0E552363"/>
    <w:rsid w:val="10724E73"/>
    <w:rsid w:val="12A762DD"/>
    <w:rsid w:val="19C30516"/>
    <w:rsid w:val="1FFF6957"/>
    <w:rsid w:val="27AB3ECC"/>
    <w:rsid w:val="29CD537F"/>
    <w:rsid w:val="2D6C4659"/>
    <w:rsid w:val="2D7470F9"/>
    <w:rsid w:val="2ED335D3"/>
    <w:rsid w:val="32CE6B16"/>
    <w:rsid w:val="346E1481"/>
    <w:rsid w:val="35871B69"/>
    <w:rsid w:val="36B10C29"/>
    <w:rsid w:val="3A357AB0"/>
    <w:rsid w:val="3CA803D8"/>
    <w:rsid w:val="3DA05553"/>
    <w:rsid w:val="3EAD7F28"/>
    <w:rsid w:val="3FFA185C"/>
    <w:rsid w:val="431713DD"/>
    <w:rsid w:val="441F3676"/>
    <w:rsid w:val="48677399"/>
    <w:rsid w:val="515D57DD"/>
    <w:rsid w:val="526A0094"/>
    <w:rsid w:val="558E30F0"/>
    <w:rsid w:val="55A7303D"/>
    <w:rsid w:val="5C336DB9"/>
    <w:rsid w:val="5E7E2511"/>
    <w:rsid w:val="5F2E21B1"/>
    <w:rsid w:val="612021E8"/>
    <w:rsid w:val="66C84455"/>
    <w:rsid w:val="6F9A12A2"/>
    <w:rsid w:val="752C224D"/>
    <w:rsid w:val="75A469CB"/>
    <w:rsid w:val="78C87131"/>
    <w:rsid w:val="796055BB"/>
    <w:rsid w:val="7BA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1980</Words>
  <Characters>2035</Characters>
  <Lines>0</Lines>
  <Paragraphs>0</Paragraphs>
  <TotalTime>21</TotalTime>
  <ScaleCrop>false</ScaleCrop>
  <LinksUpToDate>false</LinksUpToDate>
  <CharactersWithSpaces>2187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2025-03-25T02:16:00Z</dcterms:created>
  <dc:creator>谢.S.G.</dc:creator>
  <cp:lastModifiedBy>很凶很凶的哦</cp:lastModifiedBy>
  <cp:lastPrinted>2025-03-26T03:48:00Z</cp:lastPrinted>
  <dcterms:modified xsi:type="dcterms:W3CDTF">2025-03-27T03:34:54Z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727C93950E6F47A9853863F9599B0336_13</vt:lpwstr>
  </property>
  <property fmtid="{D5CDD505-2E9C-101B-9397-08002B2CF9AE}" pid="4" name="KSOTemplateDocerSaveRecord">
    <vt:lpwstr>eyJoZGlkIjoiOGQ3ZTQzYWFjMWI5MTc2Y2M2ZGFhZjU3ZDU2N2MyYzIiLCJ1c2VySWQiOiIzOTgyMzE2MjQifQ==</vt:lpwstr>
  </property>
</Properties>
</file>