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0782">
      <w:pPr>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重庆新闻奖参评作品推荐表</w:t>
      </w:r>
    </w:p>
    <w:tbl>
      <w:tblPr>
        <w:tblStyle w:val="3"/>
        <w:tblW w:w="930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571"/>
        <w:gridCol w:w="26"/>
        <w:gridCol w:w="784"/>
        <w:gridCol w:w="21"/>
        <w:gridCol w:w="166"/>
        <w:gridCol w:w="963"/>
        <w:gridCol w:w="322"/>
        <w:gridCol w:w="708"/>
        <w:gridCol w:w="576"/>
        <w:gridCol w:w="504"/>
        <w:gridCol w:w="781"/>
        <w:gridCol w:w="1388"/>
      </w:tblGrid>
      <w:tr w14:paraId="4CF1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exact"/>
        </w:trPr>
        <w:tc>
          <w:tcPr>
            <w:tcW w:w="1490" w:type="dxa"/>
            <w:vAlign w:val="center"/>
          </w:tcPr>
          <w:p w14:paraId="5CB18D5F">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作品标题</w:t>
            </w:r>
          </w:p>
        </w:tc>
        <w:tc>
          <w:tcPr>
            <w:tcW w:w="3531" w:type="dxa"/>
            <w:gridSpan w:val="6"/>
            <w:vAlign w:val="center"/>
          </w:tcPr>
          <w:p w14:paraId="1E1DCD6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“职教出海”探新路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“一带一路”架金桥</w:t>
            </w:r>
          </w:p>
          <w:p w14:paraId="628C2BC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Times New Roman" w:hAnsi="Times New Roman" w:eastAsia="华文中宋"/>
                <w:sz w:val="28"/>
              </w:rPr>
            </w:pPr>
            <w:r>
              <w:rPr>
                <w:rFonts w:hint="eastAsia" w:ascii="仿宋" w:hAnsi="仿宋" w:eastAsia="仿宋" w:cs="仿宋"/>
                <w:sz w:val="24"/>
                <w:szCs w:val="24"/>
              </w:rPr>
              <w:t>永川创新职业教育国际输出模式</w:t>
            </w:r>
          </w:p>
        </w:tc>
        <w:tc>
          <w:tcPr>
            <w:tcW w:w="1030" w:type="dxa"/>
            <w:gridSpan w:val="2"/>
            <w:vAlign w:val="center"/>
          </w:tcPr>
          <w:p w14:paraId="3F88782B">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参评项目</w:t>
            </w:r>
          </w:p>
        </w:tc>
        <w:tc>
          <w:tcPr>
            <w:tcW w:w="3249" w:type="dxa"/>
            <w:gridSpan w:val="4"/>
            <w:vAlign w:val="center"/>
          </w:tcPr>
          <w:p w14:paraId="7605DEF5">
            <w:pPr>
              <w:spacing w:after="0" w:line="260" w:lineRule="exact"/>
              <w:rPr>
                <w:rFonts w:ascii="Times New Roman" w:hAnsi="Times New Roman"/>
                <w:sz w:val="24"/>
                <w:szCs w:val="24"/>
              </w:rPr>
            </w:pPr>
            <w:r>
              <w:rPr>
                <w:rFonts w:hint="eastAsia" w:ascii="仿宋" w:hAnsi="仿宋" w:eastAsia="仿宋" w:cs="仿宋"/>
                <w:sz w:val="24"/>
                <w:szCs w:val="24"/>
              </w:rPr>
              <w:t>消息</w:t>
            </w:r>
          </w:p>
        </w:tc>
      </w:tr>
      <w:tr w14:paraId="355B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490" w:type="dxa"/>
            <w:vMerge w:val="restart"/>
            <w:vAlign w:val="center"/>
          </w:tcPr>
          <w:p w14:paraId="60F55F8D">
            <w:pPr>
              <w:spacing w:after="0" w:line="380" w:lineRule="exact"/>
              <w:jc w:val="center"/>
              <w:rPr>
                <w:rFonts w:ascii="Times New Roman" w:hAnsi="Times New Roman" w:eastAsia="方正黑体_GBK" w:cs="方正黑体_GBK"/>
                <w:sz w:val="28"/>
              </w:rPr>
            </w:pPr>
            <w:r>
              <w:rPr>
                <w:rFonts w:ascii="Times New Roman" w:hAnsi="Times New Roman" w:eastAsia="方正黑体_GBK" w:cs="方正黑体_GBK"/>
                <w:sz w:val="28"/>
              </w:rPr>
              <w:t>字数</w:t>
            </w:r>
            <w:r>
              <w:rPr>
                <w:rFonts w:hint="eastAsia" w:ascii="Times New Roman" w:hAnsi="Times New Roman" w:eastAsia="方正黑体_GBK" w:cs="方正黑体_GBK"/>
                <w:sz w:val="28"/>
              </w:rPr>
              <w:t>/时长</w:t>
            </w:r>
          </w:p>
        </w:tc>
        <w:tc>
          <w:tcPr>
            <w:tcW w:w="3531" w:type="dxa"/>
            <w:gridSpan w:val="6"/>
            <w:vMerge w:val="restart"/>
            <w:vAlign w:val="center"/>
          </w:tcPr>
          <w:p w14:paraId="53978CA5">
            <w:pPr>
              <w:spacing w:after="0" w:line="300" w:lineRule="exact"/>
              <w:rPr>
                <w:rFonts w:hint="default" w:ascii="Times New Roman" w:hAnsi="Times New Roman" w:eastAsia="华文中宋"/>
                <w:sz w:val="28"/>
                <w:lang w:val="en-US" w:eastAsia="zh-CN"/>
              </w:rPr>
            </w:pPr>
            <w:r>
              <w:rPr>
                <w:rFonts w:hint="eastAsia" w:ascii="方正仿宋_GBK" w:hAnsi="方正仿宋_GBK" w:eastAsia="方正仿宋_GBK" w:cs="方正仿宋_GBK"/>
                <w:sz w:val="24"/>
                <w:szCs w:val="24"/>
                <w:lang w:val="en-US" w:eastAsia="zh-CN"/>
              </w:rPr>
              <w:t>3分55秒</w:t>
            </w:r>
          </w:p>
        </w:tc>
        <w:tc>
          <w:tcPr>
            <w:tcW w:w="1030" w:type="dxa"/>
            <w:gridSpan w:val="2"/>
            <w:vAlign w:val="center"/>
          </w:tcPr>
          <w:p w14:paraId="4CABD06F">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体裁</w:t>
            </w:r>
          </w:p>
        </w:tc>
        <w:tc>
          <w:tcPr>
            <w:tcW w:w="3249" w:type="dxa"/>
            <w:gridSpan w:val="4"/>
            <w:vAlign w:val="center"/>
          </w:tcPr>
          <w:p w14:paraId="33BBA6F3">
            <w:pPr>
              <w:spacing w:after="0" w:line="260" w:lineRule="exact"/>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电视消息</w:t>
            </w:r>
          </w:p>
        </w:tc>
      </w:tr>
      <w:tr w14:paraId="3342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trPr>
        <w:tc>
          <w:tcPr>
            <w:tcW w:w="1490" w:type="dxa"/>
            <w:vMerge w:val="continue"/>
            <w:vAlign w:val="center"/>
          </w:tcPr>
          <w:p w14:paraId="5E3224FD">
            <w:pPr>
              <w:spacing w:after="0" w:line="380" w:lineRule="exact"/>
              <w:jc w:val="center"/>
              <w:rPr>
                <w:rFonts w:ascii="Times New Roman" w:hAnsi="Times New Roman" w:eastAsia="方正黑体_GBK" w:cs="方正黑体_GBK"/>
                <w:sz w:val="28"/>
              </w:rPr>
            </w:pPr>
          </w:p>
        </w:tc>
        <w:tc>
          <w:tcPr>
            <w:tcW w:w="3531" w:type="dxa"/>
            <w:gridSpan w:val="6"/>
            <w:vMerge w:val="continue"/>
            <w:vAlign w:val="center"/>
          </w:tcPr>
          <w:p w14:paraId="4E9C13BF">
            <w:pPr>
              <w:spacing w:after="0" w:line="320" w:lineRule="exact"/>
              <w:rPr>
                <w:rFonts w:ascii="Times New Roman" w:hAnsi="Times New Roman" w:eastAsia="方正仿宋_GBK" w:cs="仿宋"/>
                <w:sz w:val="24"/>
                <w:szCs w:val="18"/>
              </w:rPr>
            </w:pPr>
          </w:p>
        </w:tc>
        <w:tc>
          <w:tcPr>
            <w:tcW w:w="1030" w:type="dxa"/>
            <w:gridSpan w:val="2"/>
            <w:vAlign w:val="center"/>
          </w:tcPr>
          <w:p w14:paraId="43796C8F">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语种</w:t>
            </w:r>
          </w:p>
        </w:tc>
        <w:tc>
          <w:tcPr>
            <w:tcW w:w="3249" w:type="dxa"/>
            <w:gridSpan w:val="4"/>
            <w:vAlign w:val="center"/>
          </w:tcPr>
          <w:p w14:paraId="48C35D80">
            <w:pPr>
              <w:spacing w:after="0" w:line="240" w:lineRule="atLeast"/>
              <w:rPr>
                <w:rFonts w:hint="eastAsia" w:ascii="Times New Roman" w:hAnsi="Times New Roman" w:eastAsia="宋体"/>
                <w:sz w:val="28"/>
                <w:lang w:val="en-US" w:eastAsia="zh-CN"/>
              </w:rPr>
            </w:pPr>
            <w:r>
              <w:rPr>
                <w:rFonts w:hint="eastAsia" w:ascii="方正仿宋_GBK" w:hAnsi="方正仿宋_GBK" w:eastAsia="方正仿宋_GBK" w:cs="方正仿宋_GBK"/>
                <w:sz w:val="24"/>
                <w:szCs w:val="24"/>
                <w:lang w:val="en-US" w:eastAsia="zh-CN"/>
              </w:rPr>
              <w:t>汉语</w:t>
            </w:r>
          </w:p>
        </w:tc>
      </w:tr>
      <w:tr w14:paraId="5A31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90" w:type="dxa"/>
            <w:vAlign w:val="center"/>
          </w:tcPr>
          <w:p w14:paraId="1ADF95AA">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  者</w:t>
            </w:r>
          </w:p>
          <w:p w14:paraId="33A59CDF">
            <w:pPr>
              <w:spacing w:after="0" w:line="380" w:lineRule="exact"/>
              <w:rPr>
                <w:rFonts w:ascii="Times New Roman" w:hAnsi="Times New Roman" w:eastAsia="方正黑体_GBK" w:cs="方正黑体_GBK"/>
                <w:sz w:val="28"/>
              </w:rPr>
            </w:pPr>
            <w:r>
              <w:rPr>
                <w:rFonts w:hint="eastAsia" w:ascii="Times New Roman" w:hAnsi="Times New Roman" w:eastAsia="方正黑体_GBK" w:cs="方正黑体_GBK"/>
                <w:sz w:val="28"/>
              </w:rPr>
              <w:t>（主创人员）</w:t>
            </w:r>
          </w:p>
        </w:tc>
        <w:tc>
          <w:tcPr>
            <w:tcW w:w="2402" w:type="dxa"/>
            <w:gridSpan w:val="4"/>
            <w:vAlign w:val="center"/>
          </w:tcPr>
          <w:p w14:paraId="7959A56A">
            <w:pPr>
              <w:spacing w:after="0" w:line="260" w:lineRule="exact"/>
              <w:rPr>
                <w:rFonts w:hint="eastAsia" w:ascii="Times New Roman" w:hAnsi="Times New Roman" w:eastAsia="方正仿宋_GBK" w:cs="仿宋"/>
                <w:sz w:val="24"/>
                <w:szCs w:val="18"/>
                <w:lang w:val="en-US" w:eastAsia="zh-CN"/>
              </w:rPr>
            </w:pPr>
            <w:r>
              <w:rPr>
                <w:rFonts w:hint="eastAsia" w:ascii="Times New Roman" w:hAnsi="Times New Roman" w:eastAsia="方正仿宋_GBK" w:cs="仿宋"/>
                <w:sz w:val="24"/>
                <w:szCs w:val="18"/>
                <w:lang w:val="en-US" w:eastAsia="zh-CN"/>
              </w:rPr>
              <w:t>张强  张根铜  涂燕</w:t>
            </w:r>
          </w:p>
          <w:p w14:paraId="1B9CB04B">
            <w:pPr>
              <w:spacing w:after="0" w:line="260" w:lineRule="exact"/>
              <w:rPr>
                <w:rFonts w:hint="default" w:ascii="Times New Roman" w:hAnsi="Times New Roman" w:eastAsia="方正仿宋_GBK" w:cs="仿宋"/>
                <w:sz w:val="24"/>
                <w:szCs w:val="18"/>
                <w:lang w:val="en-US" w:eastAsia="zh-CN"/>
              </w:rPr>
            </w:pPr>
            <w:r>
              <w:rPr>
                <w:rFonts w:hint="eastAsia" w:ascii="Times New Roman" w:hAnsi="Times New Roman" w:eastAsia="方正仿宋_GBK" w:cs="仿宋"/>
                <w:sz w:val="24"/>
                <w:szCs w:val="18"/>
                <w:lang w:val="en-US" w:eastAsia="zh-CN"/>
              </w:rPr>
              <w:t>邓鑫  陈欣薇</w:t>
            </w:r>
          </w:p>
        </w:tc>
        <w:tc>
          <w:tcPr>
            <w:tcW w:w="1129" w:type="dxa"/>
            <w:gridSpan w:val="2"/>
            <w:vAlign w:val="center"/>
          </w:tcPr>
          <w:p w14:paraId="6657FFCD">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编辑</w:t>
            </w:r>
          </w:p>
        </w:tc>
        <w:tc>
          <w:tcPr>
            <w:tcW w:w="4279" w:type="dxa"/>
            <w:gridSpan w:val="6"/>
            <w:vAlign w:val="center"/>
          </w:tcPr>
          <w:p w14:paraId="3DA7F7E1">
            <w:pPr>
              <w:spacing w:after="0" w:line="240" w:lineRule="exact"/>
              <w:rPr>
                <w:rFonts w:hint="default" w:ascii="Times New Roman" w:hAnsi="Times New Roman" w:eastAsia="方正仿宋_GBK"/>
                <w:w w:val="95"/>
                <w:szCs w:val="21"/>
                <w:lang w:val="en-US" w:eastAsia="zh-CN"/>
              </w:rPr>
            </w:pPr>
            <w:r>
              <w:rPr>
                <w:rFonts w:hint="eastAsia" w:ascii="Times New Roman" w:hAnsi="Times New Roman" w:eastAsia="方正仿宋_GBK" w:cs="仿宋"/>
                <w:sz w:val="24"/>
                <w:szCs w:val="18"/>
                <w:lang w:val="en-US" w:eastAsia="zh-CN"/>
              </w:rPr>
              <w:t>王志瑛  王航  林燕</w:t>
            </w:r>
          </w:p>
        </w:tc>
      </w:tr>
      <w:tr w14:paraId="686E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90" w:type="dxa"/>
            <w:vAlign w:val="center"/>
          </w:tcPr>
          <w:p w14:paraId="0301D6E3">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原创单位</w:t>
            </w:r>
          </w:p>
        </w:tc>
        <w:tc>
          <w:tcPr>
            <w:tcW w:w="2402" w:type="dxa"/>
            <w:gridSpan w:val="4"/>
            <w:vAlign w:val="center"/>
          </w:tcPr>
          <w:p w14:paraId="1580CAC0">
            <w:pPr>
              <w:spacing w:after="0" w:line="260" w:lineRule="exact"/>
              <w:rPr>
                <w:rFonts w:hint="default" w:ascii="Times New Roman" w:hAnsi="Times New Roman" w:eastAsia="宋体"/>
                <w:szCs w:val="21"/>
                <w:lang w:val="en-US" w:eastAsia="zh-CN"/>
              </w:rPr>
            </w:pPr>
            <w:r>
              <w:rPr>
                <w:rFonts w:hint="eastAsia" w:ascii="方正仿宋_GBK" w:hAnsi="方正仿宋_GBK" w:eastAsia="方正仿宋_GBK" w:cs="方正仿宋_GBK"/>
                <w:sz w:val="24"/>
                <w:szCs w:val="24"/>
                <w:lang w:val="en-US" w:eastAsia="zh-CN"/>
              </w:rPr>
              <w:t>永川区融媒体中心</w:t>
            </w:r>
          </w:p>
        </w:tc>
        <w:tc>
          <w:tcPr>
            <w:tcW w:w="1129" w:type="dxa"/>
            <w:gridSpan w:val="2"/>
            <w:vAlign w:val="center"/>
          </w:tcPr>
          <w:p w14:paraId="79534AE0">
            <w:pPr>
              <w:spacing w:after="0" w:line="38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发布端/账号/媒体名称</w:t>
            </w:r>
          </w:p>
        </w:tc>
        <w:tc>
          <w:tcPr>
            <w:tcW w:w="4279" w:type="dxa"/>
            <w:gridSpan w:val="6"/>
            <w:vAlign w:val="center"/>
          </w:tcPr>
          <w:p w14:paraId="24E5FB3E">
            <w:pPr>
              <w:spacing w:after="0" w:line="2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永川电视台</w:t>
            </w:r>
          </w:p>
        </w:tc>
      </w:tr>
      <w:tr w14:paraId="750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exact"/>
        </w:trPr>
        <w:tc>
          <w:tcPr>
            <w:tcW w:w="1490" w:type="dxa"/>
            <w:vAlign w:val="center"/>
          </w:tcPr>
          <w:p w14:paraId="7B4E6AF9">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刊播版面</w:t>
            </w:r>
          </w:p>
          <w:p w14:paraId="30658AF2">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(名称和版次)</w:t>
            </w:r>
          </w:p>
        </w:tc>
        <w:tc>
          <w:tcPr>
            <w:tcW w:w="2402" w:type="dxa"/>
            <w:gridSpan w:val="4"/>
            <w:vAlign w:val="center"/>
          </w:tcPr>
          <w:p w14:paraId="6D84C522">
            <w:pPr>
              <w:spacing w:after="0" w:line="260" w:lineRule="exact"/>
              <w:rPr>
                <w:rFonts w:hint="default" w:ascii="Times New Roman" w:hAnsi="Times New Roman" w:eastAsia="宋体"/>
                <w:szCs w:val="21"/>
                <w:lang w:val="en-US" w:eastAsia="zh-CN"/>
              </w:rPr>
            </w:pPr>
            <w:r>
              <w:rPr>
                <w:rFonts w:hint="eastAsia" w:ascii="Times New Roman" w:hAnsi="Times New Roman" w:eastAsia="方正仿宋_GBK" w:cs="仿宋"/>
                <w:sz w:val="24"/>
                <w:szCs w:val="18"/>
                <w:lang w:val="en-US" w:eastAsia="zh-CN"/>
              </w:rPr>
              <w:t>永川新闻</w:t>
            </w:r>
          </w:p>
        </w:tc>
        <w:tc>
          <w:tcPr>
            <w:tcW w:w="1129" w:type="dxa"/>
            <w:gridSpan w:val="2"/>
            <w:vAlign w:val="center"/>
          </w:tcPr>
          <w:p w14:paraId="5E8E3DCD">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刊播日期</w:t>
            </w:r>
          </w:p>
        </w:tc>
        <w:tc>
          <w:tcPr>
            <w:tcW w:w="4279" w:type="dxa"/>
            <w:gridSpan w:val="6"/>
            <w:vAlign w:val="center"/>
          </w:tcPr>
          <w:p w14:paraId="1E06C3C3">
            <w:pPr>
              <w:spacing w:after="0"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2024年1月 13日</w:t>
            </w:r>
          </w:p>
        </w:tc>
      </w:tr>
      <w:tr w14:paraId="5537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90" w:type="dxa"/>
            <w:vMerge w:val="restart"/>
            <w:vAlign w:val="center"/>
          </w:tcPr>
          <w:p w14:paraId="37EA72AD">
            <w:pPr>
              <w:spacing w:after="0" w:line="340" w:lineRule="exact"/>
              <w:rPr>
                <w:rFonts w:ascii="Times New Roman" w:hAnsi="Times New Roman"/>
                <w:szCs w:val="21"/>
              </w:rPr>
            </w:pPr>
            <w:r>
              <w:rPr>
                <w:rFonts w:hint="eastAsia" w:ascii="Times New Roman" w:hAnsi="Times New Roman" w:eastAsia="方正黑体_GBK" w:cs="方正黑体_GBK"/>
                <w:sz w:val="24"/>
                <w:szCs w:val="21"/>
              </w:rPr>
              <w:t>新媒体作品填报网址</w:t>
            </w:r>
          </w:p>
        </w:tc>
        <w:tc>
          <w:tcPr>
            <w:tcW w:w="3531" w:type="dxa"/>
            <w:gridSpan w:val="6"/>
            <w:vMerge w:val="restart"/>
            <w:vAlign w:val="center"/>
          </w:tcPr>
          <w:p w14:paraId="2CAE4D40">
            <w:pPr>
              <w:spacing w:after="0" w:line="260" w:lineRule="exact"/>
              <w:rPr>
                <w:rFonts w:ascii="Times New Roman" w:hAnsi="Times New Roman" w:eastAsia="华文中宋"/>
                <w:sz w:val="28"/>
              </w:rPr>
            </w:pPr>
          </w:p>
        </w:tc>
        <w:tc>
          <w:tcPr>
            <w:tcW w:w="4279" w:type="dxa"/>
            <w:gridSpan w:val="6"/>
            <w:vAlign w:val="center"/>
          </w:tcPr>
          <w:p w14:paraId="716D57D1">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中央宣传部“三好作品”</w:t>
            </w:r>
            <w:r>
              <w:rPr>
                <w:rFonts w:hint="eastAsia" w:ascii="Times New Roman" w:hAnsi="Times New Roman" w:eastAsia="华文中宋"/>
                <w:sz w:val="28"/>
              </w:rPr>
              <w:t xml:space="preserve">  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4CB4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490" w:type="dxa"/>
            <w:vMerge w:val="continue"/>
            <w:vAlign w:val="center"/>
          </w:tcPr>
          <w:p w14:paraId="515AD185">
            <w:pPr>
              <w:spacing w:after="0" w:line="340" w:lineRule="exact"/>
              <w:rPr>
                <w:rFonts w:ascii="Times New Roman" w:hAnsi="Times New Roman" w:eastAsia="方正黑体_GBK" w:cs="方正黑体_GBK"/>
                <w:sz w:val="24"/>
                <w:szCs w:val="21"/>
              </w:rPr>
            </w:pPr>
          </w:p>
        </w:tc>
        <w:tc>
          <w:tcPr>
            <w:tcW w:w="3531" w:type="dxa"/>
            <w:gridSpan w:val="6"/>
            <w:vMerge w:val="continue"/>
            <w:vAlign w:val="center"/>
          </w:tcPr>
          <w:p w14:paraId="4BDC2BAA">
            <w:pPr>
              <w:spacing w:after="0" w:line="260" w:lineRule="exact"/>
              <w:rPr>
                <w:rFonts w:ascii="Times New Roman" w:hAnsi="Times New Roman" w:eastAsia="方正仿宋_GBK" w:cs="仿宋"/>
                <w:sz w:val="24"/>
                <w:szCs w:val="18"/>
              </w:rPr>
            </w:pPr>
          </w:p>
        </w:tc>
        <w:tc>
          <w:tcPr>
            <w:tcW w:w="4279" w:type="dxa"/>
            <w:gridSpan w:val="6"/>
            <w:vAlign w:val="center"/>
          </w:tcPr>
          <w:p w14:paraId="00AD7B94">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 xml:space="preserve">市委宣传部“三好作品” </w:t>
            </w:r>
            <w:r>
              <w:rPr>
                <w:rFonts w:hint="eastAsia" w:ascii="Times New Roman" w:hAnsi="Times New Roman" w:eastAsia="华文中宋"/>
                <w:sz w:val="24"/>
                <w:szCs w:val="21"/>
              </w:rPr>
              <w:t xml:space="preserve"> </w:t>
            </w:r>
            <w:r>
              <w:rPr>
                <w:rFonts w:hint="eastAsia" w:ascii="Times New Roman" w:hAnsi="Times New Roman" w:eastAsia="华文中宋"/>
                <w:sz w:val="28"/>
              </w:rPr>
              <w:t>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0D12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0" w:hRule="atLeast"/>
        </w:trPr>
        <w:tc>
          <w:tcPr>
            <w:tcW w:w="1490" w:type="dxa"/>
            <w:vAlign w:val="center"/>
          </w:tcPr>
          <w:p w14:paraId="3B998D99">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作品简介</w:t>
            </w:r>
          </w:p>
        </w:tc>
        <w:tc>
          <w:tcPr>
            <w:tcW w:w="7810" w:type="dxa"/>
            <w:gridSpan w:val="12"/>
            <w:vAlign w:val="center"/>
          </w:tcPr>
          <w:p w14:paraId="253B36B2">
            <w:pPr>
              <w:spacing w:after="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永川区</w:t>
            </w:r>
            <w:r>
              <w:rPr>
                <w:rFonts w:hint="eastAsia" w:ascii="仿宋" w:hAnsi="仿宋" w:eastAsia="仿宋" w:cs="仿宋"/>
                <w:sz w:val="24"/>
                <w:szCs w:val="24"/>
                <w:highlight w:val="none"/>
                <w:lang w:bidi="ar"/>
              </w:rPr>
              <w:t>“产城职创”融合发展</w:t>
            </w:r>
            <w:r>
              <w:rPr>
                <w:rFonts w:hint="eastAsia" w:ascii="仿宋" w:hAnsi="仿宋" w:eastAsia="仿宋" w:cs="仿宋"/>
                <w:sz w:val="24"/>
                <w:szCs w:val="24"/>
                <w:highlight w:val="none"/>
                <w:lang w:eastAsia="zh-CN" w:bidi="ar"/>
              </w:rPr>
              <w:t>是</w:t>
            </w:r>
            <w:r>
              <w:rPr>
                <w:rFonts w:hint="eastAsia" w:ascii="仿宋" w:hAnsi="仿宋" w:eastAsia="仿宋" w:cs="仿宋"/>
                <w:sz w:val="24"/>
                <w:szCs w:val="24"/>
                <w:highlight w:val="none"/>
                <w:lang w:bidi="ar"/>
              </w:rPr>
              <w:t>中国职业教育第四种发展模</w:t>
            </w:r>
            <w:r>
              <w:rPr>
                <w:rFonts w:hint="eastAsia" w:ascii="仿宋" w:hAnsi="仿宋" w:eastAsia="仿宋" w:cs="仿宋"/>
                <w:sz w:val="24"/>
                <w:szCs w:val="24"/>
                <w:highlight w:val="none"/>
                <w:lang w:eastAsia="zh-CN" w:bidi="ar"/>
              </w:rPr>
              <w:t>式。近年来，永川</w:t>
            </w:r>
            <w:r>
              <w:rPr>
                <w:rFonts w:hint="eastAsia" w:ascii="仿宋" w:hAnsi="仿宋" w:eastAsia="仿宋" w:cs="仿宋"/>
                <w:sz w:val="24"/>
                <w:szCs w:val="24"/>
              </w:rPr>
              <w:t>积极探索职业教育国际化发展路径，</w:t>
            </w:r>
            <w:r>
              <w:rPr>
                <w:rFonts w:hint="eastAsia" w:ascii="仿宋" w:hAnsi="仿宋" w:eastAsia="仿宋" w:cs="仿宋"/>
                <w:sz w:val="24"/>
                <w:szCs w:val="24"/>
                <w:lang w:eastAsia="zh-CN"/>
              </w:rPr>
              <w:t>永川职业教育标准被纳入</w:t>
            </w:r>
            <w:r>
              <w:rPr>
                <w:rFonts w:hint="eastAsia" w:ascii="仿宋" w:hAnsi="仿宋" w:eastAsia="仿宋" w:cs="仿宋"/>
                <w:sz w:val="24"/>
                <w:szCs w:val="24"/>
              </w:rPr>
              <w:t>泰国、老挝、柬埔寨等东盟国家</w:t>
            </w:r>
            <w:r>
              <w:rPr>
                <w:rFonts w:hint="eastAsia" w:ascii="仿宋" w:hAnsi="仿宋" w:eastAsia="仿宋" w:cs="仿宋"/>
                <w:sz w:val="24"/>
                <w:szCs w:val="24"/>
                <w:lang w:eastAsia="zh-CN"/>
              </w:rPr>
              <w:t>职业教育体系，</w:t>
            </w:r>
            <w:r>
              <w:rPr>
                <w:rFonts w:hint="eastAsia" w:ascii="仿宋" w:hAnsi="仿宋" w:eastAsia="仿宋" w:cs="仿宋"/>
                <w:sz w:val="24"/>
                <w:szCs w:val="24"/>
              </w:rPr>
              <w:t>形成了独具</w:t>
            </w:r>
            <w:r>
              <w:rPr>
                <w:rFonts w:hint="eastAsia" w:ascii="仿宋" w:hAnsi="仿宋" w:eastAsia="仿宋" w:cs="仿宋"/>
                <w:sz w:val="24"/>
                <w:szCs w:val="24"/>
                <w:lang w:eastAsia="zh-CN"/>
              </w:rPr>
              <w:t>永川</w:t>
            </w:r>
            <w:r>
              <w:rPr>
                <w:rFonts w:hint="eastAsia" w:ascii="仿宋" w:hAnsi="仿宋" w:eastAsia="仿宋" w:cs="仿宋"/>
                <w:sz w:val="24"/>
                <w:szCs w:val="24"/>
              </w:rPr>
              <w:t>特色的“职教出海”模式</w:t>
            </w:r>
            <w:r>
              <w:rPr>
                <w:rFonts w:hint="eastAsia" w:ascii="仿宋" w:hAnsi="仿宋" w:eastAsia="仿宋" w:cs="仿宋"/>
                <w:sz w:val="24"/>
                <w:szCs w:val="24"/>
                <w:lang w:eastAsia="zh-CN"/>
              </w:rPr>
              <w:t>，</w:t>
            </w:r>
            <w:r>
              <w:rPr>
                <w:rFonts w:hint="eastAsia" w:ascii="仿宋" w:hAnsi="仿宋" w:eastAsia="仿宋" w:cs="仿宋"/>
                <w:sz w:val="24"/>
                <w:szCs w:val="24"/>
              </w:rPr>
              <w:t>不仅提升了中国职教的国际影响力，更为“一带一路”共建国家的产业升级提供了人才支撑。</w:t>
            </w:r>
          </w:p>
          <w:p w14:paraId="6C4A304F">
            <w:pPr>
              <w:spacing w:after="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2024年，重庆科创职业学院等4所高职院校牵头制定了“一带一路”东盟国家职业培训标准和课程标准，使永川区全市牵头制定东盟国家职业培训标准院校最多的区县。作品</w:t>
            </w:r>
            <w:r>
              <w:rPr>
                <w:rFonts w:hint="eastAsia" w:ascii="仿宋" w:hAnsi="仿宋" w:eastAsia="仿宋" w:cs="仿宋"/>
                <w:sz w:val="24"/>
                <w:szCs w:val="24"/>
              </w:rPr>
              <w:t>以</w:t>
            </w:r>
            <w:r>
              <w:rPr>
                <w:rFonts w:hint="eastAsia" w:ascii="仿宋" w:hAnsi="仿宋" w:eastAsia="仿宋" w:cs="仿宋"/>
                <w:sz w:val="24"/>
                <w:szCs w:val="24"/>
                <w:lang w:eastAsia="zh-CN"/>
              </w:rPr>
              <w:t>永川职教</w:t>
            </w:r>
            <w:r>
              <w:rPr>
                <w:rFonts w:hint="eastAsia" w:ascii="仿宋" w:hAnsi="仿宋" w:eastAsia="仿宋" w:cs="仿宋"/>
                <w:sz w:val="24"/>
                <w:szCs w:val="24"/>
              </w:rPr>
              <w:t>国际合作办学切入，</w:t>
            </w:r>
            <w:r>
              <w:rPr>
                <w:rFonts w:hint="eastAsia" w:ascii="仿宋" w:hAnsi="仿宋" w:eastAsia="仿宋" w:cs="仿宋"/>
                <w:sz w:val="24"/>
                <w:szCs w:val="24"/>
                <w:lang w:eastAsia="zh-CN"/>
              </w:rPr>
              <w:t>深入</w:t>
            </w:r>
            <w:r>
              <w:rPr>
                <w:rFonts w:hint="eastAsia" w:ascii="仿宋" w:hAnsi="仿宋" w:eastAsia="仿宋" w:cs="仿宋"/>
                <w:sz w:val="24"/>
                <w:szCs w:val="24"/>
              </w:rPr>
              <w:t>挖掘了“产城职创”职业教育发展模式是永川职业教育持续创新发展的背后原因，用发展的眼光对永川职业教育进行报道，</w:t>
            </w:r>
            <w:r>
              <w:rPr>
                <w:rFonts w:hint="eastAsia" w:ascii="仿宋" w:hAnsi="仿宋" w:eastAsia="仿宋" w:cs="仿宋"/>
                <w:sz w:val="24"/>
                <w:szCs w:val="24"/>
                <w:lang w:eastAsia="zh-CN"/>
              </w:rPr>
              <w:t>充分</w:t>
            </w:r>
            <w:r>
              <w:rPr>
                <w:rFonts w:hint="eastAsia" w:ascii="仿宋" w:hAnsi="仿宋" w:eastAsia="仿宋" w:cs="仿宋"/>
                <w:sz w:val="24"/>
                <w:szCs w:val="24"/>
              </w:rPr>
              <w:t>展现了永川职</w:t>
            </w:r>
            <w:r>
              <w:rPr>
                <w:rFonts w:hint="eastAsia" w:ascii="仿宋" w:hAnsi="仿宋" w:eastAsia="仿宋" w:cs="仿宋"/>
                <w:sz w:val="24"/>
                <w:szCs w:val="24"/>
                <w:lang w:eastAsia="zh-CN"/>
              </w:rPr>
              <w:t>教标准走出中国、走向世界的最新成果</w:t>
            </w:r>
            <w:r>
              <w:rPr>
                <w:rFonts w:hint="eastAsia" w:ascii="仿宋" w:hAnsi="仿宋" w:eastAsia="仿宋" w:cs="仿宋"/>
                <w:sz w:val="24"/>
                <w:szCs w:val="24"/>
              </w:rPr>
              <w:t>。</w:t>
            </w:r>
          </w:p>
          <w:p w14:paraId="7A9825B3">
            <w:pPr>
              <w:spacing w:after="0" w:line="240" w:lineRule="exact"/>
              <w:rPr>
                <w:rFonts w:ascii="Times New Roman" w:hAnsi="Times New Roman" w:eastAsia="方正仿宋_GBK"/>
                <w:sz w:val="24"/>
                <w:szCs w:val="28"/>
              </w:rPr>
            </w:pPr>
          </w:p>
        </w:tc>
      </w:tr>
      <w:tr w14:paraId="2296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exact"/>
        </w:trPr>
        <w:tc>
          <w:tcPr>
            <w:tcW w:w="1490" w:type="dxa"/>
            <w:vAlign w:val="center"/>
          </w:tcPr>
          <w:p w14:paraId="381D2AE7">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社会效果</w:t>
            </w:r>
          </w:p>
        </w:tc>
        <w:tc>
          <w:tcPr>
            <w:tcW w:w="7810" w:type="dxa"/>
            <w:gridSpan w:val="12"/>
            <w:vAlign w:val="center"/>
          </w:tcPr>
          <w:p w14:paraId="69C33057">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方正仿宋_GBK"/>
                <w:sz w:val="24"/>
                <w:szCs w:val="28"/>
              </w:rPr>
            </w:pPr>
            <w:r>
              <w:rPr>
                <w:rFonts w:hint="eastAsia" w:ascii="仿宋" w:hAnsi="仿宋" w:eastAsia="仿宋"/>
                <w:sz w:val="24"/>
                <w:szCs w:val="24"/>
              </w:rPr>
              <w:t>作品通过永川电视台综合频道《永川新闻》栏目播出，随后在永川头条</w:t>
            </w:r>
            <w:r>
              <w:rPr>
                <w:rFonts w:hint="eastAsia" w:ascii="Times New Roman" w:hAnsi="Times New Roman" w:eastAsia="仿宋"/>
                <w:sz w:val="24"/>
                <w:szCs w:val="24"/>
              </w:rPr>
              <w:t>APP</w:t>
            </w:r>
            <w:r>
              <w:rPr>
                <w:rFonts w:hint="eastAsia" w:ascii="仿宋" w:hAnsi="仿宋" w:eastAsia="仿宋"/>
                <w:sz w:val="24"/>
                <w:szCs w:val="24"/>
              </w:rPr>
              <w:t>平台宣传，形成了融合式传播，达到了“立体式”的传播效果。该消息体现了永川主动融入</w:t>
            </w:r>
            <w:r>
              <w:rPr>
                <w:rFonts w:hint="eastAsia" w:ascii="仿宋" w:hAnsi="仿宋" w:eastAsia="仿宋"/>
                <w:sz w:val="24"/>
                <w:szCs w:val="24"/>
                <w:lang w:eastAsia="zh-CN"/>
              </w:rPr>
              <w:t>“一带一路”</w:t>
            </w:r>
            <w:r>
              <w:rPr>
                <w:rFonts w:hint="eastAsia" w:ascii="仿宋" w:hAnsi="仿宋" w:eastAsia="仿宋"/>
                <w:sz w:val="24"/>
                <w:szCs w:val="24"/>
              </w:rPr>
              <w:t>战略的责任担当，以及开放创新精神，为全球发展贡献中国力量助力，展现出了永川职业教育与时俱进，积极融入经济社会发展大局。该报道在重庆本地乃至中国西部也引起广泛热议，很多家长和学生也由此更加深入了解当前永川职业教育的发展模式和路径，也吸引了大量的云贵川等西部片区的学生来到永川，选择永川职教。</w:t>
            </w:r>
          </w:p>
        </w:tc>
      </w:tr>
      <w:tr w14:paraId="7B71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trPr>
        <w:tc>
          <w:tcPr>
            <w:tcW w:w="1490" w:type="dxa"/>
            <w:vMerge w:val="restart"/>
            <w:vAlign w:val="center"/>
          </w:tcPr>
          <w:p w14:paraId="71579EDC">
            <w:pPr>
              <w:spacing w:after="0" w:line="32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传播数据</w:t>
            </w:r>
          </w:p>
        </w:tc>
        <w:tc>
          <w:tcPr>
            <w:tcW w:w="2568" w:type="dxa"/>
            <w:gridSpan w:val="5"/>
            <w:vMerge w:val="restart"/>
            <w:vAlign w:val="center"/>
          </w:tcPr>
          <w:p w14:paraId="323207D1">
            <w:pPr>
              <w:spacing w:after="0" w:line="420" w:lineRule="exact"/>
              <w:rPr>
                <w:rFonts w:ascii="方正楷体_GBK" w:hAnsi="Times New Roman" w:eastAsia="方正楷体_GBK"/>
                <w:sz w:val="24"/>
                <w:szCs w:val="28"/>
              </w:rPr>
            </w:pPr>
          </w:p>
        </w:tc>
        <w:tc>
          <w:tcPr>
            <w:tcW w:w="5242" w:type="dxa"/>
            <w:gridSpan w:val="7"/>
            <w:tcBorders>
              <w:bottom w:val="single" w:color="auto" w:sz="4" w:space="0"/>
            </w:tcBorders>
            <w:vAlign w:val="center"/>
          </w:tcPr>
          <w:p w14:paraId="7EAF5D0C">
            <w:pPr>
              <w:spacing w:after="0" w:line="320" w:lineRule="exact"/>
              <w:rPr>
                <w:rFonts w:ascii="Times New Roman" w:hAnsi="Times New Roman" w:eastAsia="方正仿宋_GBK"/>
                <w:sz w:val="22"/>
                <w:szCs w:val="24"/>
              </w:rPr>
            </w:pPr>
            <w:r>
              <w:rPr>
                <w:rFonts w:hint="eastAsia" w:ascii="Times New Roman" w:hAnsi="Times New Roman" w:eastAsia="方正仿宋_GBK"/>
                <w:sz w:val="22"/>
                <w:szCs w:val="24"/>
              </w:rPr>
              <w:t>1</w:t>
            </w:r>
          </w:p>
        </w:tc>
      </w:tr>
      <w:tr w14:paraId="0FFB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1490" w:type="dxa"/>
            <w:vMerge w:val="continue"/>
            <w:vAlign w:val="center"/>
          </w:tcPr>
          <w:p w14:paraId="0ECDCE51">
            <w:pPr>
              <w:pStyle w:val="2"/>
              <w:spacing w:after="0" w:line="320" w:lineRule="exact"/>
              <w:rPr>
                <w:rFonts w:ascii="方正仿宋_GBK" w:eastAsia="方正仿宋_GBK"/>
              </w:rPr>
            </w:pPr>
          </w:p>
        </w:tc>
        <w:tc>
          <w:tcPr>
            <w:tcW w:w="2568" w:type="dxa"/>
            <w:gridSpan w:val="5"/>
            <w:vMerge w:val="continue"/>
            <w:vAlign w:val="center"/>
          </w:tcPr>
          <w:p w14:paraId="0727ECB8">
            <w:pPr>
              <w:spacing w:after="0" w:line="420" w:lineRule="exact"/>
              <w:rPr>
                <w:rFonts w:ascii="Times New Roman" w:hAnsi="Times New Roman" w:eastAsia="方正仿宋_GBK"/>
                <w:sz w:val="24"/>
                <w:szCs w:val="28"/>
              </w:rPr>
            </w:pPr>
          </w:p>
        </w:tc>
        <w:tc>
          <w:tcPr>
            <w:tcW w:w="5242" w:type="dxa"/>
            <w:gridSpan w:val="7"/>
            <w:tcBorders>
              <w:bottom w:val="single" w:color="auto" w:sz="4" w:space="0"/>
            </w:tcBorders>
            <w:vAlign w:val="center"/>
          </w:tcPr>
          <w:p w14:paraId="1F944184">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2</w:t>
            </w:r>
          </w:p>
        </w:tc>
      </w:tr>
      <w:tr w14:paraId="426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490" w:type="dxa"/>
            <w:vMerge w:val="continue"/>
            <w:vAlign w:val="center"/>
          </w:tcPr>
          <w:p w14:paraId="48358F55">
            <w:pPr>
              <w:spacing w:after="0" w:line="320" w:lineRule="exact"/>
              <w:jc w:val="center"/>
              <w:rPr>
                <w:rFonts w:ascii="Times New Roman" w:hAnsi="Times New Roman" w:eastAsia="方正黑体_GBK" w:cs="方正黑体_GBK"/>
                <w:sz w:val="28"/>
              </w:rPr>
            </w:pPr>
          </w:p>
        </w:tc>
        <w:tc>
          <w:tcPr>
            <w:tcW w:w="2568" w:type="dxa"/>
            <w:gridSpan w:val="5"/>
            <w:vMerge w:val="continue"/>
            <w:tcBorders>
              <w:bottom w:val="single" w:color="auto" w:sz="4" w:space="0"/>
            </w:tcBorders>
            <w:vAlign w:val="center"/>
          </w:tcPr>
          <w:p w14:paraId="1D47F4CD">
            <w:pPr>
              <w:spacing w:after="0" w:line="420" w:lineRule="exact"/>
              <w:rPr>
                <w:rFonts w:ascii="方正楷体_GBK" w:hAnsi="Times New Roman" w:eastAsia="方正楷体_GBK"/>
                <w:sz w:val="24"/>
                <w:szCs w:val="28"/>
              </w:rPr>
            </w:pPr>
          </w:p>
        </w:tc>
        <w:tc>
          <w:tcPr>
            <w:tcW w:w="5242" w:type="dxa"/>
            <w:gridSpan w:val="7"/>
            <w:tcBorders>
              <w:bottom w:val="single" w:color="auto" w:sz="4" w:space="0"/>
            </w:tcBorders>
            <w:vAlign w:val="center"/>
          </w:tcPr>
          <w:p w14:paraId="53A31311">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3</w:t>
            </w:r>
          </w:p>
        </w:tc>
      </w:tr>
      <w:tr w14:paraId="403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490" w:type="dxa"/>
            <w:vMerge w:val="continue"/>
            <w:tcBorders>
              <w:bottom w:val="single" w:color="auto" w:sz="4" w:space="0"/>
            </w:tcBorders>
            <w:vAlign w:val="center"/>
          </w:tcPr>
          <w:p w14:paraId="58A13FF1">
            <w:pPr>
              <w:spacing w:after="0" w:line="340" w:lineRule="exact"/>
              <w:jc w:val="center"/>
              <w:rPr>
                <w:rFonts w:ascii="Times New Roman" w:hAnsi="Times New Roman" w:eastAsia="方正黑体_GBK" w:cs="方正黑体_GBK"/>
                <w:sz w:val="28"/>
              </w:rPr>
            </w:pPr>
          </w:p>
        </w:tc>
        <w:tc>
          <w:tcPr>
            <w:tcW w:w="1571" w:type="dxa"/>
            <w:tcBorders>
              <w:bottom w:val="single" w:color="auto" w:sz="4" w:space="0"/>
            </w:tcBorders>
            <w:vAlign w:val="center"/>
          </w:tcPr>
          <w:p w14:paraId="31CA6F11">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阅读量（浏览量、点击量）</w:t>
            </w:r>
          </w:p>
        </w:tc>
        <w:tc>
          <w:tcPr>
            <w:tcW w:w="997" w:type="dxa"/>
            <w:gridSpan w:val="4"/>
            <w:tcBorders>
              <w:bottom w:val="single" w:color="auto" w:sz="4" w:space="0"/>
            </w:tcBorders>
            <w:vAlign w:val="center"/>
          </w:tcPr>
          <w:p w14:paraId="614A454D">
            <w:pPr>
              <w:spacing w:after="0" w:line="360" w:lineRule="exact"/>
              <w:jc w:val="center"/>
              <w:rPr>
                <w:rFonts w:ascii="Times New Roman" w:hAnsi="Times New Roman" w:eastAsia="方正仿宋_GBK"/>
                <w:sz w:val="24"/>
                <w:szCs w:val="28"/>
              </w:rPr>
            </w:pPr>
          </w:p>
        </w:tc>
        <w:tc>
          <w:tcPr>
            <w:tcW w:w="1285" w:type="dxa"/>
            <w:gridSpan w:val="2"/>
            <w:tcBorders>
              <w:bottom w:val="single" w:color="auto" w:sz="4" w:space="0"/>
            </w:tcBorders>
            <w:vAlign w:val="center"/>
          </w:tcPr>
          <w:p w14:paraId="750E42C9">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转载量</w:t>
            </w:r>
          </w:p>
        </w:tc>
        <w:tc>
          <w:tcPr>
            <w:tcW w:w="1284" w:type="dxa"/>
            <w:gridSpan w:val="2"/>
            <w:tcBorders>
              <w:bottom w:val="single" w:color="auto" w:sz="4" w:space="0"/>
            </w:tcBorders>
            <w:vAlign w:val="center"/>
          </w:tcPr>
          <w:p w14:paraId="542AFA7E">
            <w:pPr>
              <w:spacing w:after="0" w:line="360" w:lineRule="exact"/>
              <w:jc w:val="center"/>
              <w:rPr>
                <w:rFonts w:ascii="方正楷体_GBK" w:hAnsi="Times New Roman" w:eastAsia="方正楷体_GBK"/>
                <w:sz w:val="24"/>
                <w:szCs w:val="28"/>
              </w:rPr>
            </w:pPr>
          </w:p>
        </w:tc>
        <w:tc>
          <w:tcPr>
            <w:tcW w:w="1285" w:type="dxa"/>
            <w:gridSpan w:val="2"/>
            <w:tcBorders>
              <w:bottom w:val="single" w:color="auto" w:sz="4" w:space="0"/>
            </w:tcBorders>
            <w:vAlign w:val="center"/>
          </w:tcPr>
          <w:p w14:paraId="111A7A88">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互动量</w:t>
            </w:r>
          </w:p>
        </w:tc>
        <w:tc>
          <w:tcPr>
            <w:tcW w:w="1388" w:type="dxa"/>
            <w:tcBorders>
              <w:bottom w:val="single" w:color="auto" w:sz="4" w:space="0"/>
            </w:tcBorders>
            <w:vAlign w:val="center"/>
          </w:tcPr>
          <w:p w14:paraId="02F8D4C4">
            <w:pPr>
              <w:spacing w:after="0" w:line="360" w:lineRule="exact"/>
              <w:jc w:val="center"/>
              <w:rPr>
                <w:rFonts w:ascii="Times New Roman" w:hAnsi="Times New Roman" w:eastAsia="方正仿宋_GBK"/>
                <w:sz w:val="24"/>
                <w:szCs w:val="28"/>
              </w:rPr>
            </w:pPr>
          </w:p>
        </w:tc>
      </w:tr>
      <w:tr w14:paraId="5810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8" w:hRule="exact"/>
        </w:trPr>
        <w:tc>
          <w:tcPr>
            <w:tcW w:w="1490" w:type="dxa"/>
            <w:tcBorders>
              <w:bottom w:val="single" w:color="auto" w:sz="4" w:space="0"/>
            </w:tcBorders>
            <w:vAlign w:val="center"/>
          </w:tcPr>
          <w:p w14:paraId="253801F7">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推荐理由</w:t>
            </w:r>
          </w:p>
        </w:tc>
        <w:tc>
          <w:tcPr>
            <w:tcW w:w="7810" w:type="dxa"/>
            <w:gridSpan w:val="12"/>
            <w:tcBorders>
              <w:bottom w:val="single" w:color="auto" w:sz="4" w:space="0"/>
            </w:tcBorders>
            <w:vAlign w:val="center"/>
          </w:tcPr>
          <w:p w14:paraId="50488D61">
            <w:pPr>
              <w:spacing w:after="0" w:line="4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作品</w:t>
            </w:r>
            <w:r>
              <w:rPr>
                <w:rFonts w:hint="eastAsia" w:ascii="仿宋" w:hAnsi="仿宋" w:eastAsia="仿宋"/>
                <w:sz w:val="24"/>
                <w:szCs w:val="24"/>
              </w:rPr>
              <w:t>精准切入职业教育服务国家战略这一关键领域，通过详实案例与丰富细节，从具体项目的落地实施，到整体合作模式的搭建，完整展现了永川 “职教出海” 的清晰路径</w:t>
            </w:r>
            <w:r>
              <w:rPr>
                <w:rFonts w:hint="eastAsia" w:ascii="仿宋" w:hAnsi="仿宋" w:eastAsia="仿宋"/>
                <w:sz w:val="24"/>
                <w:szCs w:val="24"/>
                <w:lang w:eastAsia="zh-CN"/>
              </w:rPr>
              <w:t>，</w:t>
            </w:r>
            <w:r>
              <w:rPr>
                <w:rFonts w:hint="eastAsia" w:ascii="仿宋" w:hAnsi="仿宋" w:eastAsia="仿宋"/>
                <w:sz w:val="24"/>
                <w:szCs w:val="24"/>
              </w:rPr>
              <w:t xml:space="preserve">为国内其他地区职业教育的国际化发展提供了极具价值的参考范例。对于教育从业者而言，能从中汲取职业教育国际合作的新思路；对于关注 </w:t>
            </w:r>
            <w:r>
              <w:rPr>
                <w:rFonts w:hint="eastAsia" w:ascii="仿宋" w:hAnsi="仿宋" w:eastAsia="仿宋"/>
                <w:sz w:val="24"/>
                <w:szCs w:val="24"/>
                <w:lang w:eastAsia="zh-CN"/>
              </w:rPr>
              <w:t>“一带一路”建设</w:t>
            </w:r>
            <w:r>
              <w:rPr>
                <w:rFonts w:hint="eastAsia" w:ascii="仿宋" w:hAnsi="仿宋" w:eastAsia="仿宋"/>
                <w:sz w:val="24"/>
                <w:szCs w:val="24"/>
              </w:rPr>
              <w:t>中教育交流板块的读者，也极具启发性，让人真切感受到中国职业教育在国际舞台上影响力的持续攀升，有力推动了相关领域的发展。</w:t>
            </w:r>
          </w:p>
          <w:p w14:paraId="65AA2A22">
            <w:pPr>
              <w:spacing w:after="0" w:line="420" w:lineRule="exact"/>
              <w:ind w:firstLine="3120" w:firstLineChars="1300"/>
              <w:rPr>
                <w:rFonts w:hint="eastAsia" w:ascii="Times New Roman" w:hAnsi="Times New Roman" w:eastAsia="方正仿宋_GBK"/>
                <w:sz w:val="24"/>
                <w:szCs w:val="28"/>
              </w:rPr>
            </w:pPr>
            <w:r>
              <w:rPr>
                <w:rFonts w:hint="eastAsia" w:ascii="Times New Roman" w:hAnsi="Times New Roman" w:eastAsia="方正仿宋_GBK"/>
                <w:sz w:val="24"/>
                <w:szCs w:val="28"/>
              </w:rPr>
              <w:t>签名：（盖单位公章）</w:t>
            </w:r>
          </w:p>
          <w:p w14:paraId="7B67FDDA">
            <w:pPr>
              <w:spacing w:after="0" w:line="420" w:lineRule="exact"/>
              <w:rPr>
                <w:rFonts w:hint="default"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 xml:space="preserve">                            </w:t>
            </w:r>
            <w:bookmarkStart w:id="0" w:name="_GoBack"/>
            <w:bookmarkEnd w:id="0"/>
            <w:r>
              <w:rPr>
                <w:rFonts w:hint="eastAsia" w:ascii="Times New Roman" w:hAnsi="Times New Roman" w:eastAsia="方正仿宋_GBK"/>
                <w:sz w:val="24"/>
                <w:szCs w:val="28"/>
                <w:lang w:val="en-US" w:eastAsia="zh-CN"/>
              </w:rPr>
              <w:t xml:space="preserve"> </w:t>
            </w:r>
            <w:r>
              <w:rPr>
                <w:rFonts w:ascii="Times New Roman" w:hAnsi="Times New Roman" w:eastAsia="方正仿宋_GBK" w:cs="Times New Roman"/>
                <w:sz w:val="24"/>
                <w:szCs w:val="28"/>
              </w:rPr>
              <w:t>202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年  月  日</w:t>
            </w:r>
            <w:r>
              <w:rPr>
                <w:rFonts w:hint="eastAsia" w:ascii="Times New Roman" w:hAnsi="Times New Roman" w:eastAsia="方正仿宋_GBK" w:cs="Times New Roman"/>
                <w:sz w:val="24"/>
                <w:szCs w:val="28"/>
                <w:lang w:val="en-US" w:eastAsia="zh-CN"/>
              </w:rPr>
              <w:t xml:space="preserve">  </w:t>
            </w:r>
          </w:p>
        </w:tc>
      </w:tr>
      <w:tr w14:paraId="5903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1490" w:type="dxa"/>
            <w:tcBorders>
              <w:top w:val="single" w:color="auto" w:sz="6" w:space="0"/>
              <w:left w:val="single" w:color="auto" w:sz="6" w:space="0"/>
              <w:bottom w:val="single" w:color="auto" w:sz="6" w:space="0"/>
              <w:right w:val="single" w:color="auto" w:sz="6" w:space="0"/>
            </w:tcBorders>
            <w:vAlign w:val="center"/>
          </w:tcPr>
          <w:p w14:paraId="5E79471C">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联系人</w:t>
            </w:r>
          </w:p>
        </w:tc>
        <w:tc>
          <w:tcPr>
            <w:tcW w:w="1597" w:type="dxa"/>
            <w:gridSpan w:val="2"/>
            <w:tcBorders>
              <w:top w:val="single" w:color="auto" w:sz="6" w:space="0"/>
              <w:left w:val="single" w:color="auto" w:sz="6" w:space="0"/>
              <w:bottom w:val="single" w:color="auto" w:sz="6" w:space="0"/>
              <w:right w:val="single" w:color="auto" w:sz="4" w:space="0"/>
            </w:tcBorders>
            <w:vAlign w:val="center"/>
          </w:tcPr>
          <w:p w14:paraId="7D56A298">
            <w:pPr>
              <w:spacing w:after="0" w:line="340" w:lineRule="exact"/>
              <w:rPr>
                <w:rFonts w:hint="eastAsia" w:ascii="Times New Roman" w:hAnsi="Times New Roman" w:eastAsia="方正黑体_GBK" w:cs="方正黑体_GBK"/>
                <w:sz w:val="28"/>
                <w:lang w:val="en-US" w:eastAsia="zh-CN"/>
              </w:rPr>
            </w:pPr>
            <w:r>
              <w:rPr>
                <w:rFonts w:hint="eastAsia" w:ascii="方正仿宋_GBK" w:hAnsi="方正仿宋_GBK" w:eastAsia="方正仿宋_GBK" w:cs="方正仿宋_GBK"/>
                <w:sz w:val="28"/>
                <w:lang w:val="en-US" w:eastAsia="zh-CN"/>
              </w:rPr>
              <w:t>付丽</w:t>
            </w:r>
          </w:p>
        </w:tc>
        <w:tc>
          <w:tcPr>
            <w:tcW w:w="784" w:type="dxa"/>
            <w:tcBorders>
              <w:top w:val="single" w:color="auto" w:sz="6" w:space="0"/>
              <w:left w:val="single" w:color="auto" w:sz="6" w:space="0"/>
              <w:bottom w:val="single" w:color="auto" w:sz="6" w:space="0"/>
              <w:right w:val="single" w:color="auto" w:sz="4" w:space="0"/>
            </w:tcBorders>
            <w:vAlign w:val="center"/>
          </w:tcPr>
          <w:p w14:paraId="173773E0">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电话</w:t>
            </w:r>
          </w:p>
        </w:tc>
        <w:tc>
          <w:tcPr>
            <w:tcW w:w="2180" w:type="dxa"/>
            <w:gridSpan w:val="5"/>
            <w:tcBorders>
              <w:top w:val="single" w:color="auto" w:sz="6" w:space="0"/>
              <w:left w:val="single" w:color="auto" w:sz="6" w:space="0"/>
              <w:bottom w:val="single" w:color="auto" w:sz="6" w:space="0"/>
              <w:right w:val="single" w:color="auto" w:sz="4" w:space="0"/>
            </w:tcBorders>
            <w:vAlign w:val="center"/>
          </w:tcPr>
          <w:p w14:paraId="62604413">
            <w:pPr>
              <w:spacing w:after="0" w:line="340" w:lineRule="exact"/>
              <w:rPr>
                <w:rFonts w:hint="default" w:ascii="Times New Roman" w:hAnsi="Times New Roman" w:eastAsia="方正黑体_GBK" w:cs="方正黑体_GBK"/>
                <w:sz w:val="28"/>
                <w:lang w:val="en-US" w:eastAsia="zh-CN"/>
              </w:rPr>
            </w:pPr>
            <w:r>
              <w:rPr>
                <w:rFonts w:hint="eastAsia" w:ascii="方正仿宋_GBK" w:hAnsi="方正仿宋_GBK" w:eastAsia="方正仿宋_GBK" w:cs="方正仿宋_GBK"/>
                <w:sz w:val="28"/>
                <w:lang w:val="en-US" w:eastAsia="zh-CN"/>
              </w:rPr>
              <w:t>49863247</w:t>
            </w:r>
          </w:p>
        </w:tc>
        <w:tc>
          <w:tcPr>
            <w:tcW w:w="1080" w:type="dxa"/>
            <w:gridSpan w:val="2"/>
            <w:tcBorders>
              <w:top w:val="single" w:color="auto" w:sz="6" w:space="0"/>
              <w:left w:val="single" w:color="auto" w:sz="4" w:space="0"/>
              <w:bottom w:val="single" w:color="auto" w:sz="6" w:space="0"/>
              <w:right w:val="single" w:color="auto" w:sz="4" w:space="0"/>
            </w:tcBorders>
            <w:vAlign w:val="center"/>
          </w:tcPr>
          <w:p w14:paraId="41C63EB7">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手机</w:t>
            </w:r>
          </w:p>
        </w:tc>
        <w:tc>
          <w:tcPr>
            <w:tcW w:w="2169" w:type="dxa"/>
            <w:gridSpan w:val="2"/>
            <w:tcBorders>
              <w:top w:val="single" w:color="auto" w:sz="6" w:space="0"/>
              <w:left w:val="single" w:color="auto" w:sz="4" w:space="0"/>
              <w:bottom w:val="single" w:color="auto" w:sz="6" w:space="0"/>
              <w:right w:val="single" w:color="auto" w:sz="6" w:space="0"/>
            </w:tcBorders>
            <w:vAlign w:val="center"/>
          </w:tcPr>
          <w:p w14:paraId="6290006F">
            <w:pPr>
              <w:spacing w:after="0" w:line="340" w:lineRule="exact"/>
              <w:rPr>
                <w:rFonts w:hint="default" w:ascii="Times New Roman" w:hAnsi="Times New Roman" w:eastAsia="方正黑体_GBK" w:cs="方正黑体_GBK"/>
                <w:sz w:val="28"/>
                <w:lang w:val="en-US" w:eastAsia="zh-CN"/>
              </w:rPr>
            </w:pPr>
            <w:r>
              <w:rPr>
                <w:rFonts w:hint="eastAsia" w:ascii="方正仿宋_GBK" w:hAnsi="方正仿宋_GBK" w:eastAsia="方正仿宋_GBK" w:cs="方正仿宋_GBK"/>
                <w:sz w:val="28"/>
                <w:lang w:val="en-US" w:eastAsia="zh-CN"/>
              </w:rPr>
              <w:t>18623159499</w:t>
            </w:r>
          </w:p>
        </w:tc>
      </w:tr>
      <w:tr w14:paraId="3354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1490" w:type="dxa"/>
            <w:tcBorders>
              <w:top w:val="single" w:color="auto" w:sz="6" w:space="0"/>
              <w:left w:val="single" w:color="auto" w:sz="6" w:space="0"/>
              <w:bottom w:val="single" w:color="auto" w:sz="6" w:space="0"/>
              <w:right w:val="single" w:color="auto" w:sz="6" w:space="0"/>
            </w:tcBorders>
            <w:vAlign w:val="center"/>
          </w:tcPr>
          <w:p w14:paraId="57FDDB26">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地址</w:t>
            </w:r>
          </w:p>
        </w:tc>
        <w:tc>
          <w:tcPr>
            <w:tcW w:w="4561" w:type="dxa"/>
            <w:gridSpan w:val="8"/>
            <w:tcBorders>
              <w:top w:val="single" w:color="auto" w:sz="6" w:space="0"/>
              <w:left w:val="single" w:color="auto" w:sz="6" w:space="0"/>
              <w:bottom w:val="single" w:color="auto" w:sz="6" w:space="0"/>
              <w:right w:val="single" w:color="auto" w:sz="6" w:space="0"/>
            </w:tcBorders>
            <w:vAlign w:val="center"/>
          </w:tcPr>
          <w:p w14:paraId="1ADE819E">
            <w:pPr>
              <w:spacing w:after="0" w:line="340" w:lineRule="exact"/>
              <w:rPr>
                <w:rFonts w:ascii="Times New Roman" w:hAnsi="Times New Roman" w:eastAsia="方正黑体_GBK" w:cs="方正黑体_GBK"/>
                <w:sz w:val="28"/>
              </w:rPr>
            </w:pPr>
            <w:r>
              <w:rPr>
                <w:rFonts w:hint="eastAsia" w:ascii="方正仿宋_GBK" w:hAnsi="方正仿宋_GBK" w:eastAsia="方正仿宋_GBK" w:cs="方正仿宋_GBK"/>
                <w:sz w:val="24"/>
                <w:szCs w:val="24"/>
                <w:lang w:eastAsia="zh-CN"/>
              </w:rPr>
              <w:t>重庆市</w:t>
            </w:r>
            <w:r>
              <w:rPr>
                <w:rFonts w:hint="eastAsia" w:ascii="方正仿宋_GBK" w:hAnsi="方正仿宋_GBK" w:eastAsia="方正仿宋_GBK" w:cs="方正仿宋_GBK"/>
                <w:sz w:val="24"/>
                <w:szCs w:val="24"/>
              </w:rPr>
              <w:t>永川区外环西路92号</w:t>
            </w:r>
            <w:r>
              <w:rPr>
                <w:rFonts w:hint="eastAsia" w:ascii="方正仿宋_GBK" w:hAnsi="方正仿宋_GBK" w:eastAsia="方正仿宋_GBK" w:cs="方正仿宋_GBK"/>
                <w:kern w:val="0"/>
                <w:sz w:val="24"/>
              </w:rPr>
              <w:t> </w:t>
            </w:r>
          </w:p>
        </w:tc>
        <w:tc>
          <w:tcPr>
            <w:tcW w:w="1080" w:type="dxa"/>
            <w:gridSpan w:val="2"/>
            <w:tcBorders>
              <w:top w:val="single" w:color="auto" w:sz="6" w:space="0"/>
              <w:left w:val="single" w:color="auto" w:sz="6" w:space="0"/>
              <w:bottom w:val="single" w:color="auto" w:sz="6" w:space="0"/>
              <w:right w:val="single" w:color="auto" w:sz="6" w:space="0"/>
            </w:tcBorders>
            <w:vAlign w:val="center"/>
          </w:tcPr>
          <w:p w14:paraId="0EEB5861">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邮箱</w:t>
            </w:r>
          </w:p>
        </w:tc>
        <w:tc>
          <w:tcPr>
            <w:tcW w:w="2169" w:type="dxa"/>
            <w:gridSpan w:val="2"/>
            <w:tcBorders>
              <w:top w:val="single" w:color="auto" w:sz="6" w:space="0"/>
              <w:left w:val="single" w:color="auto" w:sz="6" w:space="0"/>
              <w:bottom w:val="single" w:color="auto" w:sz="6" w:space="0"/>
              <w:right w:val="single" w:color="auto" w:sz="6" w:space="0"/>
            </w:tcBorders>
            <w:vAlign w:val="center"/>
          </w:tcPr>
          <w:p w14:paraId="3157F8AC">
            <w:pPr>
              <w:spacing w:after="0" w:line="340" w:lineRule="exact"/>
              <w:rPr>
                <w:rFonts w:hint="default" w:ascii="Times New Roman" w:hAnsi="Times New Roman" w:eastAsia="方正黑体_GBK" w:cs="方正黑体_GBK"/>
                <w:sz w:val="28"/>
                <w:lang w:val="en-US" w:eastAsia="zh-CN"/>
              </w:rPr>
            </w:pPr>
          </w:p>
        </w:tc>
      </w:tr>
    </w:tbl>
    <w:p w14:paraId="502B82AA"/>
    <w:p w14:paraId="710F9895"/>
    <w:p w14:paraId="4BDB7CFD"/>
    <w:p w14:paraId="1D01E820">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“职教出海”探新路 “一带一路”架金桥</w:t>
      </w:r>
    </w:p>
    <w:p w14:paraId="06D7EDCB">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永川创新职业教育国际输出模式</w:t>
      </w:r>
    </w:p>
    <w:p w14:paraId="373A735F">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【导语】永川区作为国家规划的西部职教基地，职业教育资源丰富。为</w:t>
      </w:r>
      <w:r>
        <w:rPr>
          <w:rFonts w:hint="eastAsia" w:ascii="宋体" w:hAnsi="宋体" w:cs="宋体"/>
          <w:sz w:val="28"/>
          <w:szCs w:val="28"/>
          <w:lang w:eastAsia="zh-CN"/>
        </w:rPr>
        <w:t>更好地服务</w:t>
      </w:r>
      <w:r>
        <w:rPr>
          <w:rFonts w:hint="eastAsia" w:ascii="宋体" w:hAnsi="宋体" w:eastAsia="宋体" w:cs="宋体"/>
          <w:sz w:val="28"/>
          <w:szCs w:val="28"/>
        </w:rPr>
        <w:t>“一带一路”和西部陆海新通道建设，在永各职业院校立足重庆，发挥专业优势，面向“一带一路”沿线国家推进教学资源和职教标准开发，积极构建起“职教出海”国际合作新范式。</w:t>
      </w:r>
    </w:p>
    <w:p w14:paraId="4FCB5061">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正文】1月10日，老挝国家职业标准共建项目认证证书颁发仪式，在重庆科创职业学院举行。据了解，老挝国家职业标准共建项目由老挝教育体育部授权，澜湄-中国教育培训促进联盟和中国武汉中部对外经济技术合作集团有限公司负责组织中国职业院校共建职业标准，旨在为老挝国家职业标准制定和实施提供支持。重庆科创职业学院在该项目中牵头完成开发了满足老挝需求的《数字媒体技术员》《工业机器人技术员》两个职业标准，这两个标准今后也将纳入老挝国家职业教育体系。</w:t>
      </w:r>
    </w:p>
    <w:p w14:paraId="3E0356CE">
      <w:pPr>
        <w:widowControl w:val="0"/>
        <w:spacing w:after="0" w:line="4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【采访】重庆科创职业学院副院长  殷朝华：</w:t>
      </w:r>
    </w:p>
    <w:p w14:paraId="5070D351">
      <w:pPr>
        <w:widowControl w:val="0"/>
        <w:spacing w:after="0" w:line="4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标准是基于目前国内的人才培养标准进行本土化，就是老挝的本土化。中级的标准是在中国中级标准的基础之上，稍微做了一些微调。老挝也要根据他们的实际情况，对相应的院校和学生进行认定和评级。</w:t>
      </w:r>
    </w:p>
    <w:p w14:paraId="122F9CA9">
      <w:pPr>
        <w:widowControl w:val="0"/>
        <w:spacing w:after="0" w:line="4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【采访】武汉中部对外经济技术合作集团有限公司副总经理  赵晓华：</w:t>
      </w:r>
    </w:p>
    <w:p w14:paraId="6A77A73F">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color w:val="auto"/>
          <w:sz w:val="28"/>
          <w:szCs w:val="28"/>
        </w:rPr>
        <w:t>重庆科创职业学院在这一次的老挝国家职业标准建设当中，作为我们的优秀单位，遴选了两个项目</w:t>
      </w:r>
      <w:r>
        <w:rPr>
          <w:rFonts w:hint="eastAsia" w:ascii="宋体" w:hAnsi="宋体" w:eastAsia="宋体" w:cs="宋体"/>
          <w:color w:val="auto"/>
          <w:sz w:val="28"/>
          <w:szCs w:val="28"/>
          <w:lang w:eastAsia="zh-CN"/>
        </w:rPr>
        <w:t>，</w:t>
      </w:r>
      <w:r>
        <w:rPr>
          <w:rFonts w:hint="eastAsia" w:ascii="宋体" w:hAnsi="宋体" w:eastAsia="宋体" w:cs="宋体"/>
          <w:sz w:val="28"/>
          <w:szCs w:val="28"/>
        </w:rPr>
        <w:t>高质量</w:t>
      </w:r>
      <w:r>
        <w:rPr>
          <w:rFonts w:hint="eastAsia" w:ascii="宋体" w:hAnsi="宋体" w:cs="宋体"/>
          <w:sz w:val="28"/>
          <w:szCs w:val="28"/>
          <w:lang w:eastAsia="zh-CN"/>
        </w:rPr>
        <w:t>地</w:t>
      </w:r>
      <w:r>
        <w:rPr>
          <w:rFonts w:hint="eastAsia" w:ascii="宋体" w:hAnsi="宋体" w:eastAsia="宋体" w:cs="宋体"/>
          <w:sz w:val="28"/>
          <w:szCs w:val="28"/>
        </w:rPr>
        <w:t>完成了本次老挝国家职业标准的开发，也得到了老挝方的高度认可。我们可以在老挝建立海外分校开展学历人才的共同培养，学生也可以在大二</w:t>
      </w:r>
      <w:r>
        <w:rPr>
          <w:rFonts w:hint="eastAsia" w:ascii="宋体" w:hAnsi="宋体" w:eastAsia="宋体" w:cs="宋体"/>
          <w:sz w:val="28"/>
          <w:szCs w:val="28"/>
          <w:lang w:eastAsia="zh-CN"/>
        </w:rPr>
        <w:t>、</w:t>
      </w:r>
      <w:r>
        <w:rPr>
          <w:rFonts w:hint="eastAsia" w:ascii="宋体" w:hAnsi="宋体" w:eastAsia="宋体" w:cs="宋体"/>
          <w:sz w:val="28"/>
          <w:szCs w:val="28"/>
        </w:rPr>
        <w:t>大三来到重庆科创职业学院学习，培养知华友华的技术技能型人才。</w:t>
      </w:r>
    </w:p>
    <w:p w14:paraId="51E99A1B">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正文】重庆科创职业学院，聚焦职业教育交流合作，与东盟职业院校合作，实施共建东盟国际学院、共设培训基地、共培国际人才、共同技术服务、共办技能竞赛和共研职业标准“六个共建”，探索“职教出海”重庆新范式。</w:t>
      </w:r>
    </w:p>
    <w:p w14:paraId="24298710">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【采访】重庆科创职业学院副院长  殷朝华：</w:t>
      </w:r>
    </w:p>
    <w:p w14:paraId="7A4354DD">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现在我们跟东盟的七个国家，十多所院校都广泛</w:t>
      </w:r>
      <w:r>
        <w:rPr>
          <w:rFonts w:hint="eastAsia" w:ascii="宋体" w:hAnsi="宋体" w:cs="宋体"/>
          <w:sz w:val="28"/>
          <w:szCs w:val="28"/>
          <w:lang w:eastAsia="zh-CN"/>
        </w:rPr>
        <w:t>地</w:t>
      </w:r>
      <w:r>
        <w:rPr>
          <w:rFonts w:hint="eastAsia" w:ascii="宋体" w:hAnsi="宋体" w:eastAsia="宋体" w:cs="宋体"/>
          <w:sz w:val="28"/>
          <w:szCs w:val="28"/>
        </w:rPr>
        <w:t>在开展合作，跟中国的企业一同走出去搞产教协同出海。这个实施的主体就是叫东盟国际学院，这东盟国际学院由目前跟我们合作的这些国家和院校共同来组成，而且成员不停</w:t>
      </w:r>
      <w:r>
        <w:rPr>
          <w:rFonts w:hint="eastAsia" w:ascii="宋体" w:hAnsi="宋体" w:cs="宋体"/>
          <w:sz w:val="28"/>
          <w:szCs w:val="28"/>
          <w:lang w:eastAsia="zh-CN"/>
        </w:rPr>
        <w:t>地</w:t>
      </w:r>
      <w:r>
        <w:rPr>
          <w:rFonts w:hint="eastAsia" w:ascii="宋体" w:hAnsi="宋体" w:eastAsia="宋体" w:cs="宋体"/>
          <w:sz w:val="28"/>
          <w:szCs w:val="28"/>
        </w:rPr>
        <w:t>扩大。</w:t>
      </w:r>
    </w:p>
    <w:p w14:paraId="3A7BD512">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【正文】在永川高新区管委会（西部职教基地建管委）和相关部门的推动下，目前，在永多个职业院校与</w:t>
      </w:r>
      <w:r>
        <w:rPr>
          <w:rFonts w:hint="eastAsia" w:ascii="宋体" w:hAnsi="宋体" w:cs="宋体"/>
          <w:sz w:val="28"/>
          <w:szCs w:val="28"/>
          <w:lang w:eastAsia="zh-CN"/>
        </w:rPr>
        <w:t>“一带一路”</w:t>
      </w:r>
      <w:r>
        <w:rPr>
          <w:rFonts w:hint="eastAsia" w:ascii="宋体" w:hAnsi="宋体" w:eastAsia="宋体" w:cs="宋体"/>
          <w:sz w:val="28"/>
          <w:szCs w:val="28"/>
        </w:rPr>
        <w:t>国家开展合作办学。重庆城市职业学院牵头组建的“中国-老挝职业教育发展共同体”，承担开发老挝国际课程和课程标准33门。中国(重庆)-东盟职业教育合作与高质量发展论坛也在永川举行，永川职业教育在服务国家战略中将影响力扩大到了海外。</w:t>
      </w:r>
    </w:p>
    <w:p w14:paraId="155EF335">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【采访】永川高新区管委会（西部职教基地建管委）副主任 皮生琴：</w:t>
      </w:r>
    </w:p>
    <w:p w14:paraId="7416F00A">
      <w:pPr>
        <w:widowControl w:val="0"/>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打造职教“走出去”永川品牌，西部职教基地相关职业院校在菲律宾、老挝、缅甸、安哥拉等共建“一带一路”国家举办了熊猫工坊、鲁班工坊、乡村振兴学院等境外办学项目，参与多国职业标准和岗位标准建设，为这些国家的发展和治理贡献中国教育力量，探索“职教出海”永川新范式。</w:t>
      </w:r>
    </w:p>
    <w:p w14:paraId="38048AAD">
      <w:pPr>
        <w:widowControl w:val="0"/>
        <w:spacing w:after="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(完）</w:t>
      </w:r>
    </w:p>
    <w:p w14:paraId="2C40D9DC"/>
    <w:sectPr>
      <w:pgSz w:w="11906" w:h="16838"/>
      <w:pgMar w:top="1440" w:right="1800" w:bottom="1440"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28DA324-F6EE-4ADD-81FE-C9CFEFDDA44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01A027C-8289-4E2D-B726-2C12F0CB4A40}"/>
  </w:font>
  <w:font w:name="方正小标宋_GBK">
    <w:panose1 w:val="02000000000000000000"/>
    <w:charset w:val="86"/>
    <w:family w:val="script"/>
    <w:pitch w:val="default"/>
    <w:sig w:usb0="A00002BF" w:usb1="38CF7CFA" w:usb2="00082016" w:usb3="00000000" w:csb0="00040001" w:csb1="00000000"/>
    <w:embedRegular r:id="rId3" w:fontKey="{142C2419-C36E-4C5B-A82A-771144A72815}"/>
  </w:font>
  <w:font w:name="方正黑体_GBK">
    <w:panose1 w:val="02000000000000000000"/>
    <w:charset w:val="86"/>
    <w:family w:val="script"/>
    <w:pitch w:val="default"/>
    <w:sig w:usb0="A00002BF" w:usb1="38CF7CFA" w:usb2="00082016" w:usb3="00000000" w:csb0="00040001" w:csb1="00000000"/>
    <w:embedRegular r:id="rId4" w:fontKey="{AEB49D59-4D0A-4781-B1DD-4B2506A3FDF6}"/>
  </w:font>
  <w:font w:name="华文中宋">
    <w:panose1 w:val="02010600040101010101"/>
    <w:charset w:val="86"/>
    <w:family w:val="auto"/>
    <w:pitch w:val="default"/>
    <w:sig w:usb0="00000287" w:usb1="080F0000" w:usb2="00000000" w:usb3="00000000" w:csb0="0004009F" w:csb1="DFD70000"/>
    <w:embedRegular r:id="rId5" w:fontKey="{5C832B94-2A41-4B32-AA83-86D5A88E9CB0}"/>
  </w:font>
  <w:font w:name="方正仿宋_GBK">
    <w:panose1 w:val="02000000000000000000"/>
    <w:charset w:val="86"/>
    <w:family w:val="script"/>
    <w:pitch w:val="default"/>
    <w:sig w:usb0="A00002BF" w:usb1="38CF7CFA" w:usb2="00082016" w:usb3="00000000" w:csb0="00040001" w:csb1="00000000"/>
    <w:embedRegular r:id="rId6" w:fontKey="{81924030-C5CC-44C5-A027-490FF78BE8D1}"/>
  </w:font>
  <w:font w:name="方正楷体_GBK">
    <w:panose1 w:val="02000000000000000000"/>
    <w:charset w:val="86"/>
    <w:family w:val="script"/>
    <w:pitch w:val="default"/>
    <w:sig w:usb0="A00002BF" w:usb1="38CF7CFA" w:usb2="00082016" w:usb3="00000000" w:csb0="00040001" w:csb1="00000000"/>
    <w:embedRegular r:id="rId7" w:fontKey="{1C6B3A5D-3BEA-452F-8AA1-B9945C1AA19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F1D42"/>
    <w:rsid w:val="00306AB7"/>
    <w:rsid w:val="02074EB9"/>
    <w:rsid w:val="069D7E4F"/>
    <w:rsid w:val="0B065FC2"/>
    <w:rsid w:val="0B80149D"/>
    <w:rsid w:val="0F0A004B"/>
    <w:rsid w:val="16677B31"/>
    <w:rsid w:val="191E6BCD"/>
    <w:rsid w:val="29035077"/>
    <w:rsid w:val="311C7DA3"/>
    <w:rsid w:val="3CBF1D42"/>
    <w:rsid w:val="411029F0"/>
    <w:rsid w:val="47044DA5"/>
    <w:rsid w:val="47AA247B"/>
    <w:rsid w:val="4ADB7BCB"/>
    <w:rsid w:val="53BC12DA"/>
    <w:rsid w:val="5A4E1134"/>
    <w:rsid w:val="5BA51B9D"/>
    <w:rsid w:val="5EB56C59"/>
    <w:rsid w:val="66B41B59"/>
    <w:rsid w:val="68F4345F"/>
    <w:rsid w:val="70A7784A"/>
    <w:rsid w:val="751F6782"/>
    <w:rsid w:val="7628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2204</Words>
  <Characters>2238</Characters>
  <Lines>0</Lines>
  <Paragraphs>0</Paragraphs>
  <TotalTime>3</TotalTime>
  <ScaleCrop>false</ScaleCrop>
  <LinksUpToDate>false</LinksUpToDate>
  <CharactersWithSpaces>2309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2025-03-24T07:14:00Z</dcterms:created>
  <dc:creator>三疯子回归</dc:creator>
  <cp:lastModifiedBy>很凶很凶的哦</cp:lastModifiedBy>
  <dcterms:modified xsi:type="dcterms:W3CDTF">2025-03-27T00:55:10Z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9B166F1F0AEE4401ABA5C1A2E7B12BBF_13</vt:lpwstr>
  </property>
  <property fmtid="{D5CDD505-2E9C-101B-9397-08002B2CF9AE}" pid="4" name="KSOTemplateDocerSaveRecord">
    <vt:lpwstr>eyJoZGlkIjoiMDE5MDA1ODkwM2FhYTAxYWUwNmY3NGYzOTA4MzFiYzQiLCJ1c2VySWQiOiIzOTgyMzE2MjQifQ==</vt:lpwstr>
  </property>
</Properties>
</file>