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9DD5649">
      <w:pPr>
        <w:spacing w:after="0" w:line="600" w:lineRule="exact"/>
        <w:jc w:val="center"/>
        <w:rPr>
          <w:rFonts w:hint="eastAsia" w:ascii="方正小标宋_GBK" w:hAnsi="方正小标宋_GBK" w:eastAsia="方正小标宋_GBK" w:cs="方正小标宋_GBK"/>
          <w:sz w:val="44"/>
          <w:szCs w:val="44"/>
        </w:rPr>
      </w:pPr>
      <w:r>
        <w:rPr>
          <w:rFonts w:hint="eastAsia" w:ascii="方正小标宋_GBK" w:hAnsi="方正小标宋_GBK" w:eastAsia="方正小标宋_GBK" w:cs="方正小标宋_GBK"/>
          <w:sz w:val="44"/>
          <w:szCs w:val="44"/>
        </w:rPr>
        <w:t>重庆新闻奖参评作品推荐表</w:t>
      </w:r>
    </w:p>
    <w:tbl>
      <w:tblPr>
        <w:tblStyle w:val="4"/>
        <w:tblW w:w="10348" w:type="dxa"/>
        <w:tblInd w:w="-45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31"/>
        <w:gridCol w:w="1564"/>
        <w:gridCol w:w="26"/>
        <w:gridCol w:w="784"/>
        <w:gridCol w:w="208"/>
        <w:gridCol w:w="1264"/>
        <w:gridCol w:w="226"/>
        <w:gridCol w:w="803"/>
        <w:gridCol w:w="255"/>
        <w:gridCol w:w="545"/>
        <w:gridCol w:w="740"/>
        <w:gridCol w:w="2102"/>
      </w:tblGrid>
      <w:tr w14:paraId="22E669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99" w:hRule="exact"/>
        </w:trPr>
        <w:tc>
          <w:tcPr>
            <w:tcW w:w="1831" w:type="dxa"/>
            <w:vAlign w:val="center"/>
          </w:tcPr>
          <w:p w14:paraId="10945C46">
            <w:pPr>
              <w:keepNext w:val="0"/>
              <w:keepLines w:val="0"/>
              <w:pageBreakBefore w:val="0"/>
              <w:widowControl w:val="0"/>
              <w:kinsoku/>
              <w:wordWrap/>
              <w:overflowPunct/>
              <w:topLinePunct w:val="0"/>
              <w:autoSpaceDE/>
              <w:autoSpaceDN/>
              <w:bidi w:val="0"/>
              <w:adjustRightInd/>
              <w:snapToGrid/>
              <w:spacing w:after="0" w:line="300" w:lineRule="exact"/>
              <w:jc w:val="center"/>
              <w:textAlignment w:val="auto"/>
              <w:rPr>
                <w:rFonts w:hint="eastAsia" w:ascii="方正黑体_GBK" w:hAnsi="方正黑体_GBK" w:eastAsia="方正黑体_GBK" w:cs="方正黑体_GBK"/>
                <w:sz w:val="28"/>
              </w:rPr>
            </w:pPr>
            <w:r>
              <w:rPr>
                <w:rFonts w:hint="eastAsia" w:ascii="方正黑体_GBK" w:hAnsi="方正黑体_GBK" w:eastAsia="方正黑体_GBK" w:cs="方正黑体_GBK"/>
                <w:sz w:val="28"/>
              </w:rPr>
              <w:t>作品标题</w:t>
            </w:r>
          </w:p>
        </w:tc>
        <w:tc>
          <w:tcPr>
            <w:tcW w:w="4072" w:type="dxa"/>
            <w:gridSpan w:val="6"/>
            <w:vAlign w:val="center"/>
          </w:tcPr>
          <w:p w14:paraId="6BC26774">
            <w:pPr>
              <w:keepNext w:val="0"/>
              <w:keepLines w:val="0"/>
              <w:pageBreakBefore w:val="0"/>
              <w:widowControl w:val="0"/>
              <w:kinsoku/>
              <w:wordWrap/>
              <w:overflowPunct/>
              <w:topLinePunct w:val="0"/>
              <w:autoSpaceDE/>
              <w:autoSpaceDN/>
              <w:bidi w:val="0"/>
              <w:adjustRightInd/>
              <w:snapToGrid/>
              <w:spacing w:after="0" w:line="300" w:lineRule="exact"/>
              <w:ind w:firstLine="840" w:firstLineChars="300"/>
              <w:textAlignment w:val="auto"/>
              <w:rPr>
                <w:rFonts w:hint="default" w:ascii="方正黑体_GBK" w:hAnsi="方正黑体_GBK" w:eastAsia="方正黑体_GBK" w:cs="方正黑体_GBK"/>
                <w:sz w:val="28"/>
                <w:lang w:val="en-US" w:eastAsia="zh-CN"/>
              </w:rPr>
            </w:pPr>
            <w:r>
              <w:rPr>
                <w:rFonts w:hint="eastAsia" w:ascii="方正黑体_GBK" w:hAnsi="方正黑体_GBK" w:eastAsia="方正黑体_GBK" w:cs="方正黑体_GBK"/>
                <w:sz w:val="28"/>
                <w:lang w:val="en-US" w:eastAsia="zh-CN"/>
              </w:rPr>
              <w:t>被偷走的24年</w:t>
            </w:r>
          </w:p>
        </w:tc>
        <w:tc>
          <w:tcPr>
            <w:tcW w:w="803" w:type="dxa"/>
            <w:vAlign w:val="center"/>
          </w:tcPr>
          <w:p w14:paraId="6EDCB09E">
            <w:pPr>
              <w:keepNext w:val="0"/>
              <w:keepLines w:val="0"/>
              <w:pageBreakBefore w:val="0"/>
              <w:widowControl w:val="0"/>
              <w:kinsoku/>
              <w:wordWrap/>
              <w:overflowPunct/>
              <w:topLinePunct w:val="0"/>
              <w:autoSpaceDE/>
              <w:autoSpaceDN/>
              <w:bidi w:val="0"/>
              <w:adjustRightInd/>
              <w:snapToGrid/>
              <w:spacing w:after="0" w:line="300" w:lineRule="exact"/>
              <w:jc w:val="center"/>
              <w:textAlignment w:val="auto"/>
              <w:rPr>
                <w:rFonts w:hint="eastAsia" w:ascii="方正黑体_GBK" w:hAnsi="方正黑体_GBK" w:eastAsia="方正黑体_GBK" w:cs="方正黑体_GBK"/>
                <w:sz w:val="28"/>
              </w:rPr>
            </w:pPr>
            <w:r>
              <w:rPr>
                <w:rFonts w:hint="eastAsia" w:ascii="方正黑体_GBK" w:hAnsi="方正黑体_GBK" w:eastAsia="方正黑体_GBK" w:cs="方正黑体_GBK"/>
                <w:sz w:val="28"/>
              </w:rPr>
              <w:t>参评项目</w:t>
            </w:r>
          </w:p>
        </w:tc>
        <w:tc>
          <w:tcPr>
            <w:tcW w:w="3642" w:type="dxa"/>
            <w:gridSpan w:val="4"/>
            <w:vAlign w:val="center"/>
          </w:tcPr>
          <w:p w14:paraId="0FFEBA99">
            <w:pPr>
              <w:keepNext w:val="0"/>
              <w:keepLines w:val="0"/>
              <w:pageBreakBefore w:val="0"/>
              <w:widowControl w:val="0"/>
              <w:kinsoku/>
              <w:wordWrap/>
              <w:overflowPunct/>
              <w:topLinePunct w:val="0"/>
              <w:autoSpaceDE/>
              <w:autoSpaceDN/>
              <w:bidi w:val="0"/>
              <w:adjustRightInd/>
              <w:snapToGrid/>
              <w:spacing w:after="0" w:line="300" w:lineRule="exact"/>
              <w:ind w:firstLine="480" w:firstLineChars="200"/>
              <w:textAlignment w:val="auto"/>
              <w:rPr>
                <w:rFonts w:hint="eastAsia" w:ascii="方正黑体_GBK" w:hAnsi="方正黑体_GBK" w:eastAsia="方正黑体_GBK" w:cs="方正黑体_GBK"/>
                <w:sz w:val="24"/>
                <w:szCs w:val="24"/>
                <w:lang w:val="en-US" w:eastAsia="zh-CN"/>
              </w:rPr>
            </w:pPr>
            <w:r>
              <w:rPr>
                <w:rFonts w:hint="eastAsia" w:ascii="方正黑体_GBK" w:hAnsi="方正黑体_GBK" w:eastAsia="方正黑体_GBK" w:cs="方正黑体_GBK"/>
                <w:sz w:val="24"/>
                <w:szCs w:val="24"/>
                <w:lang w:val="en-US" w:eastAsia="zh-CN"/>
              </w:rPr>
              <w:t>新闻专题</w:t>
            </w:r>
            <w:bookmarkStart w:id="0" w:name="_GoBack"/>
            <w:bookmarkEnd w:id="0"/>
          </w:p>
        </w:tc>
      </w:tr>
      <w:tr w14:paraId="51F973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12" w:hRule="exact"/>
        </w:trPr>
        <w:tc>
          <w:tcPr>
            <w:tcW w:w="1831" w:type="dxa"/>
            <w:vMerge w:val="restart"/>
            <w:vAlign w:val="center"/>
          </w:tcPr>
          <w:p w14:paraId="0FDF665B">
            <w:pPr>
              <w:keepNext w:val="0"/>
              <w:keepLines w:val="0"/>
              <w:pageBreakBefore w:val="0"/>
              <w:widowControl w:val="0"/>
              <w:kinsoku/>
              <w:wordWrap/>
              <w:overflowPunct/>
              <w:topLinePunct w:val="0"/>
              <w:autoSpaceDE/>
              <w:autoSpaceDN/>
              <w:bidi w:val="0"/>
              <w:adjustRightInd/>
              <w:snapToGrid/>
              <w:spacing w:after="0" w:line="300" w:lineRule="exact"/>
              <w:jc w:val="center"/>
              <w:textAlignment w:val="auto"/>
              <w:rPr>
                <w:rFonts w:hint="eastAsia" w:ascii="方正黑体_GBK" w:hAnsi="方正黑体_GBK" w:eastAsia="方正黑体_GBK" w:cs="方正黑体_GBK"/>
                <w:sz w:val="28"/>
              </w:rPr>
            </w:pPr>
            <w:r>
              <w:rPr>
                <w:rFonts w:hint="eastAsia" w:ascii="方正黑体_GBK" w:hAnsi="方正黑体_GBK" w:eastAsia="方正黑体_GBK" w:cs="方正黑体_GBK"/>
                <w:sz w:val="28"/>
              </w:rPr>
              <w:t>字数/时长</w:t>
            </w:r>
          </w:p>
        </w:tc>
        <w:tc>
          <w:tcPr>
            <w:tcW w:w="4072" w:type="dxa"/>
            <w:gridSpan w:val="6"/>
            <w:vMerge w:val="restart"/>
            <w:vAlign w:val="center"/>
          </w:tcPr>
          <w:p w14:paraId="03203ADF">
            <w:pPr>
              <w:keepNext w:val="0"/>
              <w:keepLines w:val="0"/>
              <w:pageBreakBefore w:val="0"/>
              <w:widowControl w:val="0"/>
              <w:kinsoku/>
              <w:wordWrap/>
              <w:overflowPunct/>
              <w:topLinePunct w:val="0"/>
              <w:autoSpaceDE/>
              <w:autoSpaceDN/>
              <w:bidi w:val="0"/>
              <w:adjustRightInd/>
              <w:snapToGrid/>
              <w:spacing w:after="0" w:line="300" w:lineRule="exact"/>
              <w:ind w:firstLine="840" w:firstLineChars="300"/>
              <w:textAlignment w:val="auto"/>
              <w:rPr>
                <w:rFonts w:hint="default" w:ascii="方正黑体_GBK" w:hAnsi="方正黑体_GBK" w:eastAsia="方正黑体_GBK" w:cs="方正黑体_GBK"/>
                <w:sz w:val="28"/>
                <w:lang w:val="en-US" w:eastAsia="zh-CN"/>
              </w:rPr>
            </w:pPr>
            <w:r>
              <w:rPr>
                <w:rFonts w:hint="eastAsia" w:ascii="方正黑体_GBK" w:hAnsi="方正黑体_GBK" w:eastAsia="方正黑体_GBK" w:cs="方正黑体_GBK"/>
                <w:sz w:val="28"/>
                <w:lang w:val="en-US" w:eastAsia="zh-CN"/>
              </w:rPr>
              <w:t>14分30秒</w:t>
            </w:r>
          </w:p>
        </w:tc>
        <w:tc>
          <w:tcPr>
            <w:tcW w:w="803" w:type="dxa"/>
            <w:vAlign w:val="center"/>
          </w:tcPr>
          <w:p w14:paraId="71FC3D35">
            <w:pPr>
              <w:keepNext w:val="0"/>
              <w:keepLines w:val="0"/>
              <w:pageBreakBefore w:val="0"/>
              <w:widowControl w:val="0"/>
              <w:kinsoku/>
              <w:wordWrap/>
              <w:overflowPunct/>
              <w:topLinePunct w:val="0"/>
              <w:autoSpaceDE/>
              <w:autoSpaceDN/>
              <w:bidi w:val="0"/>
              <w:adjustRightInd/>
              <w:snapToGrid/>
              <w:spacing w:after="0" w:line="300" w:lineRule="exact"/>
              <w:jc w:val="center"/>
              <w:textAlignment w:val="auto"/>
              <w:rPr>
                <w:rFonts w:hint="eastAsia" w:ascii="方正黑体_GBK" w:hAnsi="方正黑体_GBK" w:eastAsia="方正黑体_GBK" w:cs="方正黑体_GBK"/>
                <w:sz w:val="28"/>
              </w:rPr>
            </w:pPr>
            <w:r>
              <w:rPr>
                <w:rFonts w:hint="eastAsia" w:ascii="方正黑体_GBK" w:hAnsi="方正黑体_GBK" w:eastAsia="方正黑体_GBK" w:cs="方正黑体_GBK"/>
                <w:sz w:val="28"/>
              </w:rPr>
              <w:t>体裁</w:t>
            </w:r>
          </w:p>
        </w:tc>
        <w:tc>
          <w:tcPr>
            <w:tcW w:w="3642" w:type="dxa"/>
            <w:gridSpan w:val="4"/>
            <w:vAlign w:val="center"/>
          </w:tcPr>
          <w:p w14:paraId="1B75F469">
            <w:pPr>
              <w:keepNext w:val="0"/>
              <w:keepLines w:val="0"/>
              <w:pageBreakBefore w:val="0"/>
              <w:widowControl w:val="0"/>
              <w:kinsoku/>
              <w:wordWrap/>
              <w:overflowPunct/>
              <w:topLinePunct w:val="0"/>
              <w:autoSpaceDE/>
              <w:autoSpaceDN/>
              <w:bidi w:val="0"/>
              <w:adjustRightInd/>
              <w:snapToGrid/>
              <w:spacing w:after="0" w:line="300" w:lineRule="exact"/>
              <w:ind w:firstLine="480" w:firstLineChars="200"/>
              <w:textAlignment w:val="auto"/>
              <w:rPr>
                <w:rFonts w:hint="eastAsia" w:ascii="方正黑体_GBK" w:hAnsi="方正黑体_GBK" w:eastAsia="方正黑体_GBK" w:cs="方正黑体_GBK"/>
                <w:sz w:val="24"/>
                <w:szCs w:val="24"/>
                <w:lang w:val="en-US" w:eastAsia="zh-CN"/>
              </w:rPr>
            </w:pPr>
            <w:r>
              <w:rPr>
                <w:rFonts w:hint="eastAsia" w:ascii="方正黑体_GBK" w:hAnsi="方正黑体_GBK" w:eastAsia="方正黑体_GBK" w:cs="方正黑体_GBK"/>
                <w:sz w:val="24"/>
                <w:szCs w:val="24"/>
                <w:lang w:val="en-US" w:eastAsia="zh-CN"/>
              </w:rPr>
              <w:t>电视专题节目</w:t>
            </w:r>
          </w:p>
        </w:tc>
      </w:tr>
      <w:tr w14:paraId="38B990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10" w:hRule="exact"/>
        </w:trPr>
        <w:tc>
          <w:tcPr>
            <w:tcW w:w="1831" w:type="dxa"/>
            <w:vMerge w:val="continue"/>
            <w:vAlign w:val="center"/>
          </w:tcPr>
          <w:p w14:paraId="06CA0E23">
            <w:pPr>
              <w:keepNext w:val="0"/>
              <w:keepLines w:val="0"/>
              <w:pageBreakBefore w:val="0"/>
              <w:widowControl w:val="0"/>
              <w:kinsoku/>
              <w:wordWrap/>
              <w:overflowPunct/>
              <w:topLinePunct w:val="0"/>
              <w:autoSpaceDE/>
              <w:autoSpaceDN/>
              <w:bidi w:val="0"/>
              <w:adjustRightInd/>
              <w:snapToGrid/>
              <w:spacing w:after="0" w:line="300" w:lineRule="exact"/>
              <w:jc w:val="center"/>
              <w:textAlignment w:val="auto"/>
              <w:rPr>
                <w:rFonts w:hint="eastAsia" w:ascii="方正黑体_GBK" w:hAnsi="方正黑体_GBK" w:eastAsia="方正黑体_GBK" w:cs="方正黑体_GBK"/>
                <w:sz w:val="28"/>
              </w:rPr>
            </w:pPr>
          </w:p>
        </w:tc>
        <w:tc>
          <w:tcPr>
            <w:tcW w:w="4072" w:type="dxa"/>
            <w:gridSpan w:val="6"/>
            <w:vMerge w:val="continue"/>
            <w:vAlign w:val="center"/>
          </w:tcPr>
          <w:p w14:paraId="62E49A48">
            <w:pPr>
              <w:keepNext w:val="0"/>
              <w:keepLines w:val="0"/>
              <w:pageBreakBefore w:val="0"/>
              <w:widowControl w:val="0"/>
              <w:kinsoku/>
              <w:wordWrap/>
              <w:overflowPunct/>
              <w:topLinePunct w:val="0"/>
              <w:autoSpaceDE/>
              <w:autoSpaceDN/>
              <w:bidi w:val="0"/>
              <w:adjustRightInd/>
              <w:snapToGrid/>
              <w:spacing w:after="0" w:line="300" w:lineRule="exact"/>
              <w:textAlignment w:val="auto"/>
              <w:rPr>
                <w:rFonts w:hint="eastAsia" w:ascii="方正黑体_GBK" w:hAnsi="方正黑体_GBK" w:eastAsia="方正黑体_GBK" w:cs="方正黑体_GBK"/>
                <w:sz w:val="24"/>
                <w:szCs w:val="18"/>
              </w:rPr>
            </w:pPr>
          </w:p>
        </w:tc>
        <w:tc>
          <w:tcPr>
            <w:tcW w:w="803" w:type="dxa"/>
            <w:vAlign w:val="center"/>
          </w:tcPr>
          <w:p w14:paraId="6E27CC39">
            <w:pPr>
              <w:keepNext w:val="0"/>
              <w:keepLines w:val="0"/>
              <w:pageBreakBefore w:val="0"/>
              <w:widowControl w:val="0"/>
              <w:kinsoku/>
              <w:wordWrap/>
              <w:overflowPunct/>
              <w:topLinePunct w:val="0"/>
              <w:autoSpaceDE/>
              <w:autoSpaceDN/>
              <w:bidi w:val="0"/>
              <w:adjustRightInd/>
              <w:snapToGrid/>
              <w:spacing w:after="0" w:line="300" w:lineRule="exact"/>
              <w:jc w:val="center"/>
              <w:textAlignment w:val="auto"/>
              <w:rPr>
                <w:rFonts w:hint="eastAsia" w:ascii="方正黑体_GBK" w:hAnsi="方正黑体_GBK" w:eastAsia="方正黑体_GBK" w:cs="方正黑体_GBK"/>
                <w:sz w:val="28"/>
              </w:rPr>
            </w:pPr>
            <w:r>
              <w:rPr>
                <w:rFonts w:hint="eastAsia" w:ascii="方正黑体_GBK" w:hAnsi="方正黑体_GBK" w:eastAsia="方正黑体_GBK" w:cs="方正黑体_GBK"/>
                <w:sz w:val="28"/>
              </w:rPr>
              <w:t>语种</w:t>
            </w:r>
          </w:p>
        </w:tc>
        <w:tc>
          <w:tcPr>
            <w:tcW w:w="3642" w:type="dxa"/>
            <w:gridSpan w:val="4"/>
            <w:vAlign w:val="center"/>
          </w:tcPr>
          <w:p w14:paraId="3FF8A4DF">
            <w:pPr>
              <w:keepNext w:val="0"/>
              <w:keepLines w:val="0"/>
              <w:pageBreakBefore w:val="0"/>
              <w:widowControl w:val="0"/>
              <w:kinsoku/>
              <w:wordWrap/>
              <w:overflowPunct/>
              <w:topLinePunct w:val="0"/>
              <w:autoSpaceDE/>
              <w:autoSpaceDN/>
              <w:bidi w:val="0"/>
              <w:adjustRightInd/>
              <w:snapToGrid/>
              <w:spacing w:after="0" w:line="300" w:lineRule="exact"/>
              <w:ind w:firstLine="480" w:firstLineChars="200"/>
              <w:jc w:val="both"/>
              <w:textAlignment w:val="auto"/>
              <w:rPr>
                <w:rFonts w:hint="eastAsia" w:ascii="方正黑体_GBK" w:hAnsi="方正黑体_GBK" w:eastAsia="方正黑体_GBK" w:cs="方正黑体_GBK"/>
                <w:sz w:val="28"/>
                <w:lang w:val="en-US" w:eastAsia="zh-CN"/>
              </w:rPr>
            </w:pPr>
            <w:r>
              <w:rPr>
                <w:rFonts w:hint="eastAsia" w:ascii="方正黑体_GBK" w:hAnsi="方正黑体_GBK" w:eastAsia="方正黑体_GBK" w:cs="方正黑体_GBK"/>
                <w:sz w:val="24"/>
                <w:szCs w:val="24"/>
                <w:lang w:val="en-US" w:eastAsia="zh-CN"/>
              </w:rPr>
              <w:t>汉语</w:t>
            </w:r>
          </w:p>
        </w:tc>
      </w:tr>
      <w:tr w14:paraId="60B091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9" w:hRule="atLeast"/>
        </w:trPr>
        <w:tc>
          <w:tcPr>
            <w:tcW w:w="1831" w:type="dxa"/>
            <w:vAlign w:val="center"/>
          </w:tcPr>
          <w:p w14:paraId="4162DEF9">
            <w:pPr>
              <w:keepNext w:val="0"/>
              <w:keepLines w:val="0"/>
              <w:pageBreakBefore w:val="0"/>
              <w:widowControl w:val="0"/>
              <w:kinsoku/>
              <w:wordWrap/>
              <w:overflowPunct/>
              <w:topLinePunct w:val="0"/>
              <w:autoSpaceDE/>
              <w:autoSpaceDN/>
              <w:bidi w:val="0"/>
              <w:adjustRightInd/>
              <w:snapToGrid/>
              <w:spacing w:after="0" w:line="300" w:lineRule="exact"/>
              <w:jc w:val="center"/>
              <w:textAlignment w:val="auto"/>
              <w:rPr>
                <w:rFonts w:hint="eastAsia" w:ascii="方正黑体_GBK" w:hAnsi="方正黑体_GBK" w:eastAsia="方正黑体_GBK" w:cs="方正黑体_GBK"/>
                <w:sz w:val="28"/>
              </w:rPr>
            </w:pPr>
            <w:r>
              <w:rPr>
                <w:rFonts w:hint="eastAsia" w:ascii="方正黑体_GBK" w:hAnsi="方正黑体_GBK" w:eastAsia="方正黑体_GBK" w:cs="方正黑体_GBK"/>
                <w:sz w:val="28"/>
              </w:rPr>
              <w:t>作  者</w:t>
            </w:r>
          </w:p>
          <w:p w14:paraId="358DE323">
            <w:pPr>
              <w:keepNext w:val="0"/>
              <w:keepLines w:val="0"/>
              <w:pageBreakBefore w:val="0"/>
              <w:widowControl w:val="0"/>
              <w:kinsoku/>
              <w:wordWrap/>
              <w:overflowPunct/>
              <w:topLinePunct w:val="0"/>
              <w:autoSpaceDE/>
              <w:autoSpaceDN/>
              <w:bidi w:val="0"/>
              <w:adjustRightInd/>
              <w:snapToGrid/>
              <w:spacing w:after="0" w:line="300" w:lineRule="exact"/>
              <w:textAlignment w:val="auto"/>
              <w:rPr>
                <w:rFonts w:hint="eastAsia" w:ascii="方正黑体_GBK" w:hAnsi="方正黑体_GBK" w:eastAsia="方正黑体_GBK" w:cs="方正黑体_GBK"/>
                <w:sz w:val="28"/>
              </w:rPr>
            </w:pPr>
            <w:r>
              <w:rPr>
                <w:rFonts w:hint="eastAsia" w:ascii="方正黑体_GBK" w:hAnsi="方正黑体_GBK" w:eastAsia="方正黑体_GBK" w:cs="方正黑体_GBK"/>
                <w:sz w:val="28"/>
              </w:rPr>
              <w:t>（主创人员）</w:t>
            </w:r>
          </w:p>
        </w:tc>
        <w:tc>
          <w:tcPr>
            <w:tcW w:w="2582" w:type="dxa"/>
            <w:gridSpan w:val="4"/>
            <w:vAlign w:val="center"/>
          </w:tcPr>
          <w:p w14:paraId="680EB223">
            <w:pPr>
              <w:keepNext w:val="0"/>
              <w:keepLines w:val="0"/>
              <w:pageBreakBefore w:val="0"/>
              <w:widowControl w:val="0"/>
              <w:kinsoku/>
              <w:wordWrap/>
              <w:overflowPunct/>
              <w:topLinePunct w:val="0"/>
              <w:autoSpaceDE/>
              <w:autoSpaceDN/>
              <w:bidi w:val="0"/>
              <w:adjustRightInd/>
              <w:snapToGrid/>
              <w:spacing w:after="0" w:line="300" w:lineRule="exact"/>
              <w:ind w:firstLine="240" w:firstLineChars="100"/>
              <w:textAlignment w:val="auto"/>
              <w:rPr>
                <w:rFonts w:hint="eastAsia" w:ascii="方正黑体_GBK" w:hAnsi="方正黑体_GBK" w:eastAsia="方正黑体_GBK" w:cs="方正黑体_GBK"/>
                <w:sz w:val="24"/>
                <w:szCs w:val="24"/>
                <w:lang w:val="en-US" w:eastAsia="zh-CN"/>
              </w:rPr>
            </w:pPr>
            <w:r>
              <w:rPr>
                <w:rFonts w:hint="eastAsia" w:ascii="方正黑体_GBK" w:hAnsi="方正黑体_GBK" w:eastAsia="方正黑体_GBK" w:cs="方正黑体_GBK"/>
                <w:sz w:val="24"/>
                <w:szCs w:val="24"/>
                <w:lang w:val="en-US" w:eastAsia="zh-CN"/>
              </w:rPr>
              <w:t xml:space="preserve">唐胜伟  李琼 </w:t>
            </w:r>
          </w:p>
          <w:p w14:paraId="2F967D41">
            <w:pPr>
              <w:keepNext w:val="0"/>
              <w:keepLines w:val="0"/>
              <w:pageBreakBefore w:val="0"/>
              <w:widowControl w:val="0"/>
              <w:kinsoku/>
              <w:wordWrap/>
              <w:overflowPunct/>
              <w:topLinePunct w:val="0"/>
              <w:autoSpaceDE/>
              <w:autoSpaceDN/>
              <w:bidi w:val="0"/>
              <w:adjustRightInd/>
              <w:snapToGrid/>
              <w:spacing w:after="0" w:line="300" w:lineRule="exact"/>
              <w:ind w:firstLine="240" w:firstLineChars="100"/>
              <w:textAlignment w:val="auto"/>
              <w:rPr>
                <w:rFonts w:hint="default" w:ascii="方正黑体_GBK" w:hAnsi="方正黑体_GBK" w:eastAsia="方正黑体_GBK" w:cs="方正黑体_GBK"/>
                <w:sz w:val="28"/>
                <w:lang w:val="en-US" w:eastAsia="zh-CN"/>
              </w:rPr>
            </w:pPr>
            <w:r>
              <w:rPr>
                <w:rFonts w:hint="eastAsia" w:ascii="方正黑体_GBK" w:hAnsi="方正黑体_GBK" w:eastAsia="方正黑体_GBK" w:cs="方正黑体_GBK"/>
                <w:sz w:val="24"/>
                <w:szCs w:val="24"/>
                <w:lang w:val="en-US" w:eastAsia="zh-CN"/>
              </w:rPr>
              <w:t>张金辉  张振宇</w:t>
            </w:r>
          </w:p>
        </w:tc>
        <w:tc>
          <w:tcPr>
            <w:tcW w:w="1490" w:type="dxa"/>
            <w:gridSpan w:val="2"/>
            <w:vAlign w:val="center"/>
          </w:tcPr>
          <w:p w14:paraId="6C8A73B8">
            <w:pPr>
              <w:keepNext w:val="0"/>
              <w:keepLines w:val="0"/>
              <w:pageBreakBefore w:val="0"/>
              <w:widowControl w:val="0"/>
              <w:kinsoku/>
              <w:wordWrap/>
              <w:overflowPunct/>
              <w:topLinePunct w:val="0"/>
              <w:autoSpaceDE/>
              <w:autoSpaceDN/>
              <w:bidi w:val="0"/>
              <w:adjustRightInd/>
              <w:snapToGrid/>
              <w:spacing w:after="0" w:line="300" w:lineRule="exact"/>
              <w:jc w:val="center"/>
              <w:textAlignment w:val="auto"/>
              <w:rPr>
                <w:rFonts w:hint="eastAsia" w:ascii="方正黑体_GBK" w:hAnsi="方正黑体_GBK" w:eastAsia="方正黑体_GBK" w:cs="方正黑体_GBK"/>
                <w:sz w:val="28"/>
              </w:rPr>
            </w:pPr>
            <w:r>
              <w:rPr>
                <w:rFonts w:hint="eastAsia" w:ascii="方正黑体_GBK" w:hAnsi="方正黑体_GBK" w:eastAsia="方正黑体_GBK" w:cs="方正黑体_GBK"/>
                <w:sz w:val="28"/>
              </w:rPr>
              <w:t>编辑</w:t>
            </w:r>
          </w:p>
        </w:tc>
        <w:tc>
          <w:tcPr>
            <w:tcW w:w="4445" w:type="dxa"/>
            <w:gridSpan w:val="5"/>
            <w:vAlign w:val="center"/>
          </w:tcPr>
          <w:p w14:paraId="5CEE46E1">
            <w:pPr>
              <w:keepNext w:val="0"/>
              <w:keepLines w:val="0"/>
              <w:pageBreakBefore w:val="0"/>
              <w:widowControl w:val="0"/>
              <w:kinsoku/>
              <w:wordWrap/>
              <w:overflowPunct/>
              <w:topLinePunct w:val="0"/>
              <w:autoSpaceDE/>
              <w:autoSpaceDN/>
              <w:bidi w:val="0"/>
              <w:adjustRightInd/>
              <w:snapToGrid/>
              <w:spacing w:after="0" w:line="300" w:lineRule="exact"/>
              <w:ind w:firstLine="480" w:firstLineChars="200"/>
              <w:textAlignment w:val="auto"/>
              <w:rPr>
                <w:rFonts w:hint="default" w:ascii="方正黑体_GBK" w:hAnsi="方正黑体_GBK" w:eastAsia="方正黑体_GBK" w:cs="方正黑体_GBK"/>
                <w:w w:val="95"/>
                <w:szCs w:val="21"/>
                <w:lang w:val="en-US"/>
              </w:rPr>
            </w:pPr>
            <w:r>
              <w:rPr>
                <w:rFonts w:hint="eastAsia" w:ascii="方正黑体_GBK" w:hAnsi="方正黑体_GBK" w:eastAsia="方正黑体_GBK" w:cs="方正黑体_GBK"/>
                <w:sz w:val="24"/>
                <w:szCs w:val="24"/>
                <w:lang w:val="en-US" w:eastAsia="zh-CN"/>
              </w:rPr>
              <w:t>李琼 张金辉 张振宇</w:t>
            </w:r>
          </w:p>
        </w:tc>
      </w:tr>
      <w:tr w14:paraId="28EA50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69" w:hRule="atLeast"/>
        </w:trPr>
        <w:tc>
          <w:tcPr>
            <w:tcW w:w="1831" w:type="dxa"/>
            <w:vAlign w:val="center"/>
          </w:tcPr>
          <w:p w14:paraId="587F4B8A">
            <w:pPr>
              <w:keepNext w:val="0"/>
              <w:keepLines w:val="0"/>
              <w:pageBreakBefore w:val="0"/>
              <w:widowControl w:val="0"/>
              <w:kinsoku/>
              <w:wordWrap/>
              <w:overflowPunct/>
              <w:topLinePunct w:val="0"/>
              <w:autoSpaceDE/>
              <w:autoSpaceDN/>
              <w:bidi w:val="0"/>
              <w:adjustRightInd/>
              <w:snapToGrid/>
              <w:spacing w:after="0" w:line="300" w:lineRule="exact"/>
              <w:jc w:val="center"/>
              <w:textAlignment w:val="auto"/>
              <w:rPr>
                <w:rFonts w:hint="eastAsia" w:ascii="方正黑体_GBK" w:hAnsi="方正黑体_GBK" w:eastAsia="方正黑体_GBK" w:cs="方正黑体_GBK"/>
                <w:sz w:val="28"/>
              </w:rPr>
            </w:pPr>
            <w:r>
              <w:rPr>
                <w:rFonts w:hint="eastAsia" w:ascii="方正黑体_GBK" w:hAnsi="方正黑体_GBK" w:eastAsia="方正黑体_GBK" w:cs="方正黑体_GBK"/>
                <w:sz w:val="28"/>
              </w:rPr>
              <w:t>原创单位</w:t>
            </w:r>
          </w:p>
        </w:tc>
        <w:tc>
          <w:tcPr>
            <w:tcW w:w="2582" w:type="dxa"/>
            <w:gridSpan w:val="4"/>
            <w:vAlign w:val="center"/>
          </w:tcPr>
          <w:p w14:paraId="7945F79B">
            <w:pPr>
              <w:keepNext w:val="0"/>
              <w:keepLines w:val="0"/>
              <w:pageBreakBefore w:val="0"/>
              <w:widowControl w:val="0"/>
              <w:kinsoku/>
              <w:wordWrap/>
              <w:overflowPunct/>
              <w:topLinePunct w:val="0"/>
              <w:autoSpaceDE/>
              <w:autoSpaceDN/>
              <w:bidi w:val="0"/>
              <w:adjustRightInd/>
              <w:snapToGrid/>
              <w:spacing w:after="0" w:line="300" w:lineRule="exact"/>
              <w:textAlignment w:val="auto"/>
              <w:rPr>
                <w:rFonts w:hint="eastAsia" w:ascii="方正黑体_GBK" w:hAnsi="方正黑体_GBK" w:eastAsia="方正黑体_GBK" w:cs="方正黑体_GBK"/>
                <w:szCs w:val="21"/>
                <w:lang w:val="en-US" w:eastAsia="zh-CN"/>
              </w:rPr>
            </w:pPr>
            <w:r>
              <w:rPr>
                <w:rFonts w:hint="eastAsia" w:ascii="方正黑体_GBK" w:hAnsi="方正黑体_GBK" w:eastAsia="方正黑体_GBK" w:cs="方正黑体_GBK"/>
                <w:szCs w:val="21"/>
                <w:lang w:val="en-US" w:eastAsia="zh-CN"/>
              </w:rPr>
              <w:t>重庆市永川区融媒体中心</w:t>
            </w:r>
          </w:p>
        </w:tc>
        <w:tc>
          <w:tcPr>
            <w:tcW w:w="1490" w:type="dxa"/>
            <w:gridSpan w:val="2"/>
            <w:vAlign w:val="center"/>
          </w:tcPr>
          <w:p w14:paraId="150FF248">
            <w:pPr>
              <w:keepNext w:val="0"/>
              <w:keepLines w:val="0"/>
              <w:pageBreakBefore w:val="0"/>
              <w:widowControl w:val="0"/>
              <w:kinsoku/>
              <w:wordWrap/>
              <w:overflowPunct/>
              <w:topLinePunct w:val="0"/>
              <w:autoSpaceDE/>
              <w:autoSpaceDN/>
              <w:bidi w:val="0"/>
              <w:adjustRightInd/>
              <w:snapToGrid/>
              <w:spacing w:after="0" w:line="300" w:lineRule="exact"/>
              <w:jc w:val="center"/>
              <w:textAlignment w:val="auto"/>
              <w:rPr>
                <w:rFonts w:hint="eastAsia" w:ascii="方正黑体_GBK" w:hAnsi="方正黑体_GBK" w:eastAsia="方正黑体_GBK" w:cs="方正黑体_GBK"/>
                <w:sz w:val="24"/>
              </w:rPr>
            </w:pPr>
            <w:r>
              <w:rPr>
                <w:rFonts w:hint="eastAsia" w:ascii="方正黑体_GBK" w:hAnsi="方正黑体_GBK" w:eastAsia="方正黑体_GBK" w:cs="方正黑体_GBK"/>
                <w:sz w:val="24"/>
              </w:rPr>
              <w:t>发布端/账号/媒体名称</w:t>
            </w:r>
          </w:p>
        </w:tc>
        <w:tc>
          <w:tcPr>
            <w:tcW w:w="4445" w:type="dxa"/>
            <w:gridSpan w:val="5"/>
            <w:vAlign w:val="center"/>
          </w:tcPr>
          <w:p w14:paraId="46FBFC6C">
            <w:pPr>
              <w:keepNext w:val="0"/>
              <w:keepLines w:val="0"/>
              <w:pageBreakBefore w:val="0"/>
              <w:widowControl w:val="0"/>
              <w:kinsoku/>
              <w:wordWrap/>
              <w:overflowPunct/>
              <w:topLinePunct w:val="0"/>
              <w:autoSpaceDE/>
              <w:autoSpaceDN/>
              <w:bidi w:val="0"/>
              <w:adjustRightInd/>
              <w:snapToGrid/>
              <w:spacing w:after="0" w:line="300" w:lineRule="exact"/>
              <w:ind w:firstLine="480" w:firstLineChars="200"/>
              <w:textAlignment w:val="auto"/>
              <w:rPr>
                <w:rFonts w:hint="eastAsia" w:ascii="方正黑体_GBK" w:hAnsi="方正黑体_GBK" w:eastAsia="方正黑体_GBK" w:cs="方正黑体_GBK"/>
                <w:sz w:val="18"/>
                <w:szCs w:val="18"/>
                <w:lang w:val="en-US" w:eastAsia="zh-CN"/>
              </w:rPr>
            </w:pPr>
            <w:r>
              <w:rPr>
                <w:rFonts w:hint="eastAsia" w:ascii="方正黑体_GBK" w:hAnsi="方正黑体_GBK" w:eastAsia="方正黑体_GBK" w:cs="方正黑体_GBK"/>
                <w:sz w:val="24"/>
                <w:szCs w:val="24"/>
                <w:lang w:val="en-US" w:eastAsia="zh-CN"/>
              </w:rPr>
              <w:t>永川广播电视台</w:t>
            </w:r>
          </w:p>
        </w:tc>
      </w:tr>
      <w:tr w14:paraId="7782C7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09" w:hRule="exact"/>
        </w:trPr>
        <w:tc>
          <w:tcPr>
            <w:tcW w:w="1831" w:type="dxa"/>
            <w:vAlign w:val="center"/>
          </w:tcPr>
          <w:p w14:paraId="4CB383E2">
            <w:pPr>
              <w:keepNext w:val="0"/>
              <w:keepLines w:val="0"/>
              <w:pageBreakBefore w:val="0"/>
              <w:widowControl w:val="0"/>
              <w:kinsoku/>
              <w:wordWrap/>
              <w:overflowPunct/>
              <w:topLinePunct w:val="0"/>
              <w:autoSpaceDE/>
              <w:autoSpaceDN/>
              <w:bidi w:val="0"/>
              <w:adjustRightInd/>
              <w:snapToGrid/>
              <w:spacing w:after="0" w:line="300" w:lineRule="exact"/>
              <w:jc w:val="center"/>
              <w:textAlignment w:val="auto"/>
              <w:rPr>
                <w:rFonts w:hint="eastAsia" w:ascii="方正黑体_GBK" w:hAnsi="方正黑体_GBK" w:eastAsia="方正黑体_GBK" w:cs="方正黑体_GBK"/>
                <w:sz w:val="28"/>
              </w:rPr>
            </w:pPr>
            <w:r>
              <w:rPr>
                <w:rFonts w:hint="eastAsia" w:ascii="方正黑体_GBK" w:hAnsi="方正黑体_GBK" w:eastAsia="方正黑体_GBK" w:cs="方正黑体_GBK"/>
                <w:sz w:val="28"/>
              </w:rPr>
              <w:t>刊播版面</w:t>
            </w:r>
          </w:p>
          <w:p w14:paraId="12EEBD25">
            <w:pPr>
              <w:keepNext w:val="0"/>
              <w:keepLines w:val="0"/>
              <w:pageBreakBefore w:val="0"/>
              <w:widowControl w:val="0"/>
              <w:kinsoku/>
              <w:wordWrap/>
              <w:overflowPunct/>
              <w:topLinePunct w:val="0"/>
              <w:autoSpaceDE/>
              <w:autoSpaceDN/>
              <w:bidi w:val="0"/>
              <w:adjustRightInd/>
              <w:snapToGrid/>
              <w:spacing w:after="0" w:line="300" w:lineRule="exact"/>
              <w:jc w:val="center"/>
              <w:textAlignment w:val="auto"/>
              <w:rPr>
                <w:rFonts w:hint="eastAsia" w:ascii="方正黑体_GBK" w:hAnsi="方正黑体_GBK" w:eastAsia="方正黑体_GBK" w:cs="方正黑体_GBK"/>
                <w:sz w:val="28"/>
              </w:rPr>
            </w:pPr>
            <w:r>
              <w:rPr>
                <w:rFonts w:hint="eastAsia" w:ascii="方正黑体_GBK" w:hAnsi="方正黑体_GBK" w:eastAsia="方正黑体_GBK" w:cs="方正黑体_GBK"/>
                <w:sz w:val="28"/>
              </w:rPr>
              <w:t>(名称和版次)</w:t>
            </w:r>
          </w:p>
        </w:tc>
        <w:tc>
          <w:tcPr>
            <w:tcW w:w="2582" w:type="dxa"/>
            <w:gridSpan w:val="4"/>
            <w:vAlign w:val="center"/>
          </w:tcPr>
          <w:p w14:paraId="4EDE1706">
            <w:pPr>
              <w:keepNext w:val="0"/>
              <w:keepLines w:val="0"/>
              <w:pageBreakBefore w:val="0"/>
              <w:widowControl w:val="0"/>
              <w:kinsoku/>
              <w:wordWrap/>
              <w:overflowPunct/>
              <w:topLinePunct w:val="0"/>
              <w:autoSpaceDE/>
              <w:autoSpaceDN/>
              <w:bidi w:val="0"/>
              <w:adjustRightInd/>
              <w:snapToGrid/>
              <w:spacing w:after="0" w:line="300" w:lineRule="exact"/>
              <w:ind w:firstLine="240" w:firstLineChars="100"/>
              <w:textAlignment w:val="auto"/>
              <w:rPr>
                <w:rFonts w:hint="eastAsia" w:ascii="方正黑体_GBK" w:hAnsi="方正黑体_GBK" w:eastAsia="方正黑体_GBK" w:cs="方正黑体_GBK"/>
                <w:sz w:val="24"/>
                <w:szCs w:val="18"/>
                <w:lang w:val="en-US" w:eastAsia="zh-CN"/>
              </w:rPr>
            </w:pPr>
            <w:r>
              <w:rPr>
                <w:rFonts w:hint="eastAsia" w:ascii="方正黑体_GBK" w:hAnsi="方正黑体_GBK" w:eastAsia="方正黑体_GBK" w:cs="方正黑体_GBK"/>
                <w:sz w:val="24"/>
                <w:szCs w:val="18"/>
                <w:lang w:val="en-US" w:eastAsia="zh-CN"/>
              </w:rPr>
              <w:t>《小李说法》</w:t>
            </w:r>
          </w:p>
        </w:tc>
        <w:tc>
          <w:tcPr>
            <w:tcW w:w="1490" w:type="dxa"/>
            <w:gridSpan w:val="2"/>
            <w:vAlign w:val="center"/>
          </w:tcPr>
          <w:p w14:paraId="618E690A">
            <w:pPr>
              <w:keepNext w:val="0"/>
              <w:keepLines w:val="0"/>
              <w:pageBreakBefore w:val="0"/>
              <w:widowControl w:val="0"/>
              <w:kinsoku/>
              <w:wordWrap/>
              <w:overflowPunct/>
              <w:topLinePunct w:val="0"/>
              <w:autoSpaceDE/>
              <w:autoSpaceDN/>
              <w:bidi w:val="0"/>
              <w:adjustRightInd/>
              <w:snapToGrid/>
              <w:spacing w:after="0" w:line="300" w:lineRule="exact"/>
              <w:jc w:val="center"/>
              <w:textAlignment w:val="auto"/>
              <w:rPr>
                <w:rFonts w:hint="eastAsia" w:ascii="方正黑体_GBK" w:hAnsi="方正黑体_GBK" w:eastAsia="方正黑体_GBK" w:cs="方正黑体_GBK"/>
                <w:sz w:val="28"/>
              </w:rPr>
            </w:pPr>
            <w:r>
              <w:rPr>
                <w:rFonts w:hint="eastAsia" w:ascii="方正黑体_GBK" w:hAnsi="方正黑体_GBK" w:eastAsia="方正黑体_GBK" w:cs="方正黑体_GBK"/>
                <w:sz w:val="28"/>
              </w:rPr>
              <w:t>刊播日期</w:t>
            </w:r>
          </w:p>
        </w:tc>
        <w:tc>
          <w:tcPr>
            <w:tcW w:w="4445" w:type="dxa"/>
            <w:gridSpan w:val="5"/>
            <w:vAlign w:val="center"/>
          </w:tcPr>
          <w:p w14:paraId="7C3751C3">
            <w:pPr>
              <w:keepNext w:val="0"/>
              <w:keepLines w:val="0"/>
              <w:pageBreakBefore w:val="0"/>
              <w:widowControl w:val="0"/>
              <w:kinsoku/>
              <w:wordWrap/>
              <w:overflowPunct/>
              <w:topLinePunct w:val="0"/>
              <w:autoSpaceDE/>
              <w:autoSpaceDN/>
              <w:bidi w:val="0"/>
              <w:adjustRightInd/>
              <w:snapToGrid/>
              <w:spacing w:after="0" w:line="300" w:lineRule="exact"/>
              <w:ind w:firstLine="480" w:firstLineChars="200"/>
              <w:textAlignment w:val="auto"/>
              <w:rPr>
                <w:rFonts w:hint="eastAsia" w:ascii="方正黑体_GBK" w:hAnsi="方正黑体_GBK" w:eastAsia="方正黑体_GBK" w:cs="方正黑体_GBK"/>
                <w:szCs w:val="21"/>
                <w:lang w:val="en-US" w:eastAsia="zh-CN"/>
              </w:rPr>
            </w:pPr>
            <w:r>
              <w:rPr>
                <w:rFonts w:hint="eastAsia" w:ascii="方正黑体_GBK" w:hAnsi="方正黑体_GBK" w:eastAsia="方正黑体_GBK" w:cs="方正黑体_GBK"/>
                <w:sz w:val="24"/>
                <w:szCs w:val="24"/>
                <w:lang w:val="en-US" w:eastAsia="zh-CN"/>
              </w:rPr>
              <w:t>2025年12月29日</w:t>
            </w:r>
          </w:p>
        </w:tc>
      </w:tr>
      <w:tr w14:paraId="0EAD12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6" w:hRule="atLeast"/>
        </w:trPr>
        <w:tc>
          <w:tcPr>
            <w:tcW w:w="1831" w:type="dxa"/>
            <w:vMerge w:val="restart"/>
            <w:vAlign w:val="center"/>
          </w:tcPr>
          <w:p w14:paraId="295CB528">
            <w:pPr>
              <w:spacing w:after="0" w:line="340" w:lineRule="exact"/>
              <w:rPr>
                <w:rFonts w:hint="eastAsia" w:ascii="方正黑体_GBK" w:hAnsi="方正黑体_GBK" w:eastAsia="方正黑体_GBK" w:cs="方正黑体_GBK"/>
                <w:szCs w:val="21"/>
              </w:rPr>
            </w:pPr>
            <w:r>
              <w:rPr>
                <w:rFonts w:hint="eastAsia" w:ascii="方正黑体_GBK" w:hAnsi="方正黑体_GBK" w:eastAsia="方正黑体_GBK" w:cs="方正黑体_GBK"/>
                <w:sz w:val="24"/>
                <w:szCs w:val="21"/>
              </w:rPr>
              <w:t>新媒体作品填报网址</w:t>
            </w:r>
          </w:p>
        </w:tc>
        <w:tc>
          <w:tcPr>
            <w:tcW w:w="4072" w:type="dxa"/>
            <w:gridSpan w:val="6"/>
            <w:vMerge w:val="restart"/>
            <w:vAlign w:val="center"/>
          </w:tcPr>
          <w:p w14:paraId="43E69506">
            <w:pPr>
              <w:spacing w:after="0" w:line="260" w:lineRule="exact"/>
              <w:rPr>
                <w:rFonts w:hint="eastAsia" w:ascii="方正黑体_GBK" w:hAnsi="方正黑体_GBK" w:eastAsia="方正黑体_GBK" w:cs="方正黑体_GBK"/>
                <w:sz w:val="28"/>
              </w:rPr>
            </w:pPr>
          </w:p>
        </w:tc>
        <w:tc>
          <w:tcPr>
            <w:tcW w:w="4445" w:type="dxa"/>
            <w:gridSpan w:val="5"/>
            <w:vAlign w:val="center"/>
          </w:tcPr>
          <w:p w14:paraId="6BFF9069">
            <w:pPr>
              <w:spacing w:after="0" w:line="260" w:lineRule="exact"/>
              <w:rPr>
                <w:rFonts w:hint="eastAsia" w:ascii="方正黑体_GBK" w:hAnsi="方正黑体_GBK" w:eastAsia="方正黑体_GBK" w:cs="方正黑体_GBK"/>
                <w:sz w:val="28"/>
                <w:lang w:eastAsia="zh-CN"/>
              </w:rPr>
            </w:pPr>
            <w:r>
              <w:rPr>
                <w:rFonts w:hint="eastAsia" w:ascii="方正黑体_GBK" w:hAnsi="方正黑体_GBK" w:eastAsia="方正黑体_GBK" w:cs="方正黑体_GBK"/>
                <w:sz w:val="24"/>
                <w:szCs w:val="21"/>
              </w:rPr>
              <w:t>中央宣传部“三好作品”</w:t>
            </w:r>
            <w:r>
              <w:rPr>
                <w:rFonts w:hint="eastAsia" w:ascii="方正黑体_GBK" w:hAnsi="方正黑体_GBK" w:eastAsia="方正黑体_GBK" w:cs="方正黑体_GBK"/>
                <w:sz w:val="28"/>
              </w:rPr>
              <w:t xml:space="preserve">  是□ 否</w:t>
            </w:r>
            <w:r>
              <w:rPr>
                <w:rFonts w:hint="eastAsia" w:ascii="方正黑体_GBK" w:hAnsi="方正黑体_GBK" w:eastAsia="方正黑体_GBK" w:cs="方正黑体_GBK"/>
                <w:sz w:val="28"/>
                <w:lang w:eastAsia="zh-CN"/>
              </w:rPr>
              <w:t>☑</w:t>
            </w:r>
          </w:p>
        </w:tc>
      </w:tr>
      <w:tr w14:paraId="20DAEC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3" w:hRule="exact"/>
        </w:trPr>
        <w:tc>
          <w:tcPr>
            <w:tcW w:w="1831" w:type="dxa"/>
            <w:vMerge w:val="continue"/>
            <w:vAlign w:val="center"/>
          </w:tcPr>
          <w:p w14:paraId="0B6AD0A6">
            <w:pPr>
              <w:spacing w:after="0" w:line="340" w:lineRule="exact"/>
              <w:rPr>
                <w:rFonts w:hint="eastAsia" w:ascii="方正黑体_GBK" w:hAnsi="方正黑体_GBK" w:eastAsia="方正黑体_GBK" w:cs="方正黑体_GBK"/>
                <w:sz w:val="24"/>
                <w:szCs w:val="21"/>
              </w:rPr>
            </w:pPr>
          </w:p>
        </w:tc>
        <w:tc>
          <w:tcPr>
            <w:tcW w:w="4072" w:type="dxa"/>
            <w:gridSpan w:val="6"/>
            <w:vMerge w:val="continue"/>
            <w:vAlign w:val="center"/>
          </w:tcPr>
          <w:p w14:paraId="1270E2C3">
            <w:pPr>
              <w:spacing w:after="0" w:line="260" w:lineRule="exact"/>
              <w:rPr>
                <w:rFonts w:hint="eastAsia" w:ascii="方正黑体_GBK" w:hAnsi="方正黑体_GBK" w:eastAsia="方正黑体_GBK" w:cs="方正黑体_GBK"/>
                <w:sz w:val="24"/>
                <w:szCs w:val="18"/>
              </w:rPr>
            </w:pPr>
          </w:p>
        </w:tc>
        <w:tc>
          <w:tcPr>
            <w:tcW w:w="4445" w:type="dxa"/>
            <w:gridSpan w:val="5"/>
            <w:vAlign w:val="center"/>
          </w:tcPr>
          <w:p w14:paraId="4BC898EF">
            <w:pPr>
              <w:spacing w:after="0" w:line="260" w:lineRule="exact"/>
              <w:rPr>
                <w:rFonts w:hint="eastAsia" w:ascii="方正黑体_GBK" w:hAnsi="方正黑体_GBK" w:eastAsia="方正黑体_GBK" w:cs="方正黑体_GBK"/>
                <w:sz w:val="28"/>
                <w:lang w:eastAsia="zh-CN"/>
              </w:rPr>
            </w:pPr>
            <w:r>
              <w:rPr>
                <w:rFonts w:hint="eastAsia" w:ascii="方正黑体_GBK" w:hAnsi="方正黑体_GBK" w:eastAsia="方正黑体_GBK" w:cs="方正黑体_GBK"/>
                <w:sz w:val="24"/>
                <w:szCs w:val="21"/>
              </w:rPr>
              <w:t xml:space="preserve">市委宣传部“三好作品”  </w:t>
            </w:r>
            <w:r>
              <w:rPr>
                <w:rFonts w:hint="eastAsia" w:ascii="方正黑体_GBK" w:hAnsi="方正黑体_GBK" w:eastAsia="方正黑体_GBK" w:cs="方正黑体_GBK"/>
                <w:sz w:val="28"/>
              </w:rPr>
              <w:t>是□ 否</w:t>
            </w:r>
            <w:r>
              <w:rPr>
                <w:rFonts w:hint="eastAsia" w:ascii="方正黑体_GBK" w:hAnsi="方正黑体_GBK" w:eastAsia="方正黑体_GBK" w:cs="方正黑体_GBK"/>
                <w:sz w:val="28"/>
                <w:lang w:eastAsia="zh-CN"/>
              </w:rPr>
              <w:t>☑</w:t>
            </w:r>
          </w:p>
        </w:tc>
      </w:tr>
      <w:tr w14:paraId="016C31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526" w:hRule="atLeast"/>
        </w:trPr>
        <w:tc>
          <w:tcPr>
            <w:tcW w:w="1831" w:type="dxa"/>
            <w:vAlign w:val="center"/>
          </w:tcPr>
          <w:p w14:paraId="611B5092">
            <w:pPr>
              <w:spacing w:after="0" w:line="340" w:lineRule="exact"/>
              <w:jc w:val="center"/>
              <w:rPr>
                <w:rFonts w:hint="eastAsia" w:ascii="方正黑体_GBK" w:hAnsi="方正黑体_GBK" w:eastAsia="方正黑体_GBK" w:cs="方正黑体_GBK"/>
                <w:sz w:val="28"/>
              </w:rPr>
            </w:pPr>
            <w:r>
              <w:rPr>
                <w:rFonts w:hint="eastAsia" w:ascii="方正黑体_GBK" w:hAnsi="方正黑体_GBK" w:eastAsia="方正黑体_GBK" w:cs="方正黑体_GBK"/>
                <w:sz w:val="28"/>
              </w:rPr>
              <w:t>作品简介</w:t>
            </w:r>
          </w:p>
        </w:tc>
        <w:tc>
          <w:tcPr>
            <w:tcW w:w="8517" w:type="dxa"/>
            <w:gridSpan w:val="11"/>
            <w:vAlign w:val="center"/>
          </w:tcPr>
          <w:p w14:paraId="436632F7">
            <w:pPr>
              <w:ind w:firstLine="420" w:firstLineChars="200"/>
              <w:rPr>
                <w:rFonts w:hint="eastAsia" w:ascii="方正黑体_GBK" w:hAnsi="方正黑体_GBK" w:eastAsia="方正黑体_GBK" w:cs="方正黑体_GBK"/>
                <w:lang w:val="en-US" w:eastAsia="zh-CN"/>
              </w:rPr>
            </w:pPr>
            <w:r>
              <w:rPr>
                <w:rFonts w:hint="eastAsia" w:ascii="方正黑体_GBK" w:hAnsi="方正黑体_GBK" w:eastAsia="方正黑体_GBK" w:cs="方正黑体_GBK"/>
              </w:rPr>
              <w:t>公平正义</w:t>
            </w:r>
            <w:r>
              <w:rPr>
                <w:rFonts w:hint="eastAsia" w:ascii="方正黑体_GBK" w:hAnsi="方正黑体_GBK" w:eastAsia="方正黑体_GBK" w:cs="方正黑体_GBK"/>
                <w:lang w:val="en-US" w:eastAsia="zh-CN"/>
              </w:rPr>
              <w:t>是社会的底线，也是司法的灵魂和生命，它</w:t>
            </w:r>
            <w:r>
              <w:rPr>
                <w:rFonts w:hint="eastAsia" w:ascii="方正黑体_GBK" w:hAnsi="方正黑体_GBK" w:eastAsia="方正黑体_GBK" w:cs="方正黑体_GBK"/>
              </w:rPr>
              <w:t>关乎</w:t>
            </w:r>
            <w:r>
              <w:rPr>
                <w:rFonts w:hint="eastAsia" w:ascii="方正黑体_GBK" w:hAnsi="方正黑体_GBK" w:eastAsia="方正黑体_GBK" w:cs="方正黑体_GBK"/>
                <w:lang w:val="en-US" w:eastAsia="zh-CN"/>
              </w:rPr>
              <w:t>国法天理</w:t>
            </w:r>
            <w:r>
              <w:rPr>
                <w:rFonts w:hint="eastAsia" w:ascii="方正黑体_GBK" w:hAnsi="方正黑体_GBK" w:eastAsia="方正黑体_GBK" w:cs="方正黑体_GBK"/>
              </w:rPr>
              <w:t>，也关乎一个被骗了24年的老人能吃上救命药，领到一份活下去的保障</w:t>
            </w:r>
            <w:r>
              <w:rPr>
                <w:rFonts w:hint="eastAsia" w:ascii="方正黑体_GBK" w:hAnsi="方正黑体_GBK" w:eastAsia="方正黑体_GBK" w:cs="方正黑体_GBK"/>
                <w:lang w:eastAsia="zh-CN"/>
              </w:rPr>
              <w:t>。</w:t>
            </w:r>
            <w:r>
              <w:rPr>
                <w:rFonts w:hint="eastAsia" w:ascii="方正黑体_GBK" w:hAnsi="方正黑体_GBK" w:eastAsia="方正黑体_GBK" w:cs="方正黑体_GBK"/>
                <w:lang w:val="en-US" w:eastAsia="zh-CN"/>
              </w:rPr>
              <w:t>一份《检察建议书》解除了虚假婚姻对重庆市永川区农民刘某刚长达24年的桎梏，给这位特困老人支撑起遮风挡雨的“保护伞”。61岁的刘某刚遭遇</w:t>
            </w:r>
            <w:r>
              <w:rPr>
                <w:rFonts w:hint="eastAsia" w:ascii="方正黑体_GBK" w:hAnsi="方正黑体_GBK" w:eastAsia="方正黑体_GBK" w:cs="方正黑体_GBK"/>
              </w:rPr>
              <w:t>骗婚</w:t>
            </w:r>
            <w:r>
              <w:rPr>
                <w:rFonts w:hint="eastAsia" w:ascii="方正黑体_GBK" w:hAnsi="方正黑体_GBK" w:eastAsia="方正黑体_GBK" w:cs="方正黑体_GBK"/>
                <w:lang w:val="en-US" w:eastAsia="zh-CN"/>
              </w:rPr>
              <w:t>，本应享受国家特困人员救助供养的他因户籍档案上的“已婚”二字，被挡在救助之外，而他法律上的妻子，早在2000年与他领证后不足一个月便卷款消失，二十多年来，那纸看似合法的结婚证，成了他挣不开的枷锁。永川区人民检察院介入此案后查明：当年与刘某刚登记结婚的女子身份信息全系伪造，婚姻登记存在严重弄虚作假。检察机关依法召开听证会，制发检察建议书，推动民政部门撤销了这桩虚假婚姻，解除了套了刘某刚24年的“枷锁”。如今，刘某刚已被纳入国家特困救助供养范围，基本生活与医疗都有了保障。</w:t>
            </w:r>
          </w:p>
          <w:p w14:paraId="65704983">
            <w:pPr>
              <w:ind w:firstLine="420" w:firstLineChars="200"/>
              <w:rPr>
                <w:rFonts w:hint="eastAsia" w:ascii="方正黑体_GBK" w:hAnsi="方正黑体_GBK" w:eastAsia="方正黑体_GBK" w:cs="方正黑体_GBK"/>
                <w:sz w:val="24"/>
                <w:szCs w:val="28"/>
              </w:rPr>
            </w:pPr>
            <w:r>
              <w:rPr>
                <w:rFonts w:hint="eastAsia" w:ascii="方正黑体_GBK" w:hAnsi="方正黑体_GBK" w:eastAsia="方正黑体_GBK" w:cs="方正黑体_GBK"/>
                <w:lang w:val="en-US" w:eastAsia="zh-CN"/>
              </w:rPr>
              <w:t>该案是</w:t>
            </w:r>
            <w:r>
              <w:rPr>
                <w:rFonts w:hint="eastAsia" w:ascii="方正黑体_GBK" w:hAnsi="方正黑体_GBK" w:eastAsia="方正黑体_GBK" w:cs="方正黑体_GBK"/>
              </w:rPr>
              <w:t>2021年11月18日最高人民法院、最高人民检察院、公安部、民政部</w:t>
            </w:r>
            <w:r>
              <w:rPr>
                <w:rFonts w:hint="eastAsia" w:ascii="方正黑体_GBK" w:hAnsi="方正黑体_GBK" w:eastAsia="方正黑体_GBK" w:cs="方正黑体_GBK"/>
                <w:lang w:val="en-US" w:eastAsia="zh-CN"/>
              </w:rPr>
              <w:t>制定印发</w:t>
            </w:r>
            <w:r>
              <w:rPr>
                <w:rFonts w:hint="eastAsia" w:ascii="方正黑体_GBK" w:hAnsi="方正黑体_GBK" w:eastAsia="方正黑体_GBK" w:cs="方正黑体_GBK"/>
              </w:rPr>
              <w:t>《关于妥善处理以冒名顶替或者弄虚作假的方式办理婚姻登记问题的指导意见》</w:t>
            </w:r>
            <w:r>
              <w:rPr>
                <w:rFonts w:hint="eastAsia" w:ascii="方正黑体_GBK" w:hAnsi="方正黑体_GBK" w:eastAsia="方正黑体_GBK" w:cs="方正黑体_GBK"/>
                <w:lang w:val="en-US" w:eastAsia="zh-CN"/>
              </w:rPr>
              <w:t>后的具体实践，</w:t>
            </w:r>
            <w:r>
              <w:rPr>
                <w:rFonts w:hint="eastAsia" w:ascii="方正黑体_GBK" w:hAnsi="方正黑体_GBK" w:eastAsia="方正黑体_GBK" w:cs="方正黑体_GBK"/>
                <w:sz w:val="21"/>
                <w:szCs w:val="21"/>
                <w:lang w:val="en-US" w:eastAsia="zh-CN"/>
              </w:rPr>
              <w:t>生动</w:t>
            </w:r>
            <w:r>
              <w:rPr>
                <w:rFonts w:hint="eastAsia" w:ascii="方正黑体_GBK" w:hAnsi="方正黑体_GBK" w:eastAsia="方正黑体_GBK" w:cs="方正黑体_GBK"/>
                <w:sz w:val="21"/>
                <w:szCs w:val="21"/>
              </w:rPr>
              <w:t>诠释了“法安天下、德润人心”</w:t>
            </w:r>
            <w:r>
              <w:rPr>
                <w:rFonts w:hint="eastAsia" w:ascii="方正黑体_GBK" w:hAnsi="方正黑体_GBK" w:eastAsia="方正黑体_GBK" w:cs="方正黑体_GBK"/>
                <w:sz w:val="21"/>
                <w:szCs w:val="21"/>
                <w:lang w:val="en-US" w:eastAsia="zh-CN"/>
              </w:rPr>
              <w:t>理念，为国家和社会处理</w:t>
            </w:r>
            <w:r>
              <w:rPr>
                <w:rFonts w:hint="eastAsia" w:ascii="方正黑体_GBK" w:hAnsi="方正黑体_GBK" w:eastAsia="方正黑体_GBK" w:cs="方正黑体_GBK"/>
                <w:sz w:val="21"/>
                <w:szCs w:val="21"/>
              </w:rPr>
              <w:t>虚假婚姻登记、民生救助堵点</w:t>
            </w:r>
            <w:r>
              <w:rPr>
                <w:rFonts w:hint="eastAsia" w:ascii="方正黑体_GBK" w:hAnsi="方正黑体_GBK" w:eastAsia="方正黑体_GBK" w:cs="方正黑体_GBK"/>
                <w:sz w:val="21"/>
                <w:szCs w:val="21"/>
                <w:lang w:val="en-US" w:eastAsia="zh-CN"/>
              </w:rPr>
              <w:t>等</w:t>
            </w:r>
            <w:r>
              <w:rPr>
                <w:rFonts w:hint="eastAsia" w:ascii="方正黑体_GBK" w:hAnsi="方正黑体_GBK" w:eastAsia="方正黑体_GBK" w:cs="方正黑体_GBK"/>
                <w:sz w:val="21"/>
                <w:szCs w:val="21"/>
              </w:rPr>
              <w:t>问题</w:t>
            </w:r>
            <w:r>
              <w:rPr>
                <w:rFonts w:hint="eastAsia" w:ascii="方正黑体_GBK" w:hAnsi="方正黑体_GBK" w:eastAsia="方正黑体_GBK" w:cs="方正黑体_GBK"/>
                <w:sz w:val="21"/>
                <w:szCs w:val="21"/>
                <w:lang w:val="en-US" w:eastAsia="zh-CN"/>
              </w:rPr>
              <w:t>提供了</w:t>
            </w:r>
            <w:r>
              <w:rPr>
                <w:rFonts w:hint="eastAsia" w:ascii="方正黑体_GBK" w:hAnsi="方正黑体_GBK" w:eastAsia="方正黑体_GBK" w:cs="方正黑体_GBK"/>
                <w:sz w:val="21"/>
                <w:szCs w:val="21"/>
              </w:rPr>
              <w:t>示范</w:t>
            </w:r>
            <w:r>
              <w:rPr>
                <w:rFonts w:hint="eastAsia" w:ascii="方正黑体_GBK" w:hAnsi="方正黑体_GBK" w:eastAsia="方正黑体_GBK" w:cs="方正黑体_GBK"/>
                <w:sz w:val="21"/>
                <w:szCs w:val="21"/>
                <w:lang w:val="en-US" w:eastAsia="zh-CN"/>
              </w:rPr>
              <w:t>样本，</w:t>
            </w:r>
            <w:r>
              <w:rPr>
                <w:rFonts w:hint="eastAsia" w:ascii="方正黑体_GBK" w:hAnsi="方正黑体_GBK" w:eastAsia="方正黑体_GBK" w:cs="方正黑体_GBK"/>
              </w:rPr>
              <w:t>极具社会价值</w:t>
            </w:r>
            <w:r>
              <w:rPr>
                <w:rFonts w:hint="eastAsia" w:ascii="方正黑体_GBK" w:hAnsi="方正黑体_GBK" w:eastAsia="方正黑体_GBK" w:cs="方正黑体_GBK"/>
                <w:lang w:eastAsia="zh-CN"/>
              </w:rPr>
              <w:t>、</w:t>
            </w:r>
            <w:r>
              <w:rPr>
                <w:rFonts w:hint="eastAsia" w:ascii="方正黑体_GBK" w:hAnsi="方正黑体_GBK" w:eastAsia="方正黑体_GBK" w:cs="方正黑体_GBK"/>
                <w:lang w:val="en-US" w:eastAsia="zh-CN"/>
              </w:rPr>
              <w:t>司法意义。</w:t>
            </w:r>
          </w:p>
        </w:tc>
      </w:tr>
      <w:tr w14:paraId="5B6069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14" w:hRule="atLeast"/>
        </w:trPr>
        <w:tc>
          <w:tcPr>
            <w:tcW w:w="1831" w:type="dxa"/>
            <w:vAlign w:val="center"/>
          </w:tcPr>
          <w:p w14:paraId="0A499685">
            <w:pPr>
              <w:spacing w:after="0" w:line="340" w:lineRule="exact"/>
              <w:jc w:val="center"/>
              <w:rPr>
                <w:rFonts w:hint="eastAsia" w:ascii="方正黑体_GBK" w:hAnsi="方正黑体_GBK" w:eastAsia="方正黑体_GBK" w:cs="方正黑体_GBK"/>
                <w:sz w:val="28"/>
              </w:rPr>
            </w:pPr>
            <w:r>
              <w:rPr>
                <w:rFonts w:hint="eastAsia" w:ascii="方正黑体_GBK" w:hAnsi="方正黑体_GBK" w:eastAsia="方正黑体_GBK" w:cs="方正黑体_GBK"/>
                <w:sz w:val="28"/>
              </w:rPr>
              <w:t>社会效果</w:t>
            </w:r>
          </w:p>
        </w:tc>
        <w:tc>
          <w:tcPr>
            <w:tcW w:w="8517" w:type="dxa"/>
            <w:gridSpan w:val="11"/>
            <w:vAlign w:val="center"/>
          </w:tcPr>
          <w:p w14:paraId="1D274E17">
            <w:pPr>
              <w:ind w:firstLine="420" w:firstLineChars="200"/>
              <w:rPr>
                <w:rFonts w:hint="eastAsia" w:ascii="方正黑体_GBK" w:hAnsi="方正黑体_GBK" w:eastAsia="方正黑体_GBK" w:cs="方正黑体_GBK"/>
              </w:rPr>
            </w:pPr>
            <w:r>
              <w:rPr>
                <w:rFonts w:hint="eastAsia" w:ascii="方正黑体_GBK" w:hAnsi="方正黑体_GBK" w:eastAsia="方正黑体_GBK" w:cs="方正黑体_GBK"/>
                <w:lang w:val="en-US" w:eastAsia="zh-CN"/>
              </w:rPr>
              <w:t>法律帮助刘某刚挣脱24年虚假婚姻枷锁的</w:t>
            </w:r>
            <w:r>
              <w:rPr>
                <w:rFonts w:hint="eastAsia" w:ascii="方正黑体_GBK" w:hAnsi="方正黑体_GBK" w:eastAsia="方正黑体_GBK" w:cs="方正黑体_GBK"/>
              </w:rPr>
              <w:t>故事，戳中了每个人对“公平”与“尊严”的朴素渴望</w:t>
            </w:r>
            <w:r>
              <w:rPr>
                <w:rFonts w:hint="eastAsia" w:ascii="方正黑体_GBK" w:hAnsi="方正黑体_GBK" w:eastAsia="方正黑体_GBK" w:cs="方正黑体_GBK"/>
                <w:lang w:eastAsia="zh-CN"/>
              </w:rPr>
              <w:t>，</w:t>
            </w:r>
            <w:r>
              <w:rPr>
                <w:rFonts w:hint="eastAsia" w:ascii="方正黑体_GBK" w:hAnsi="方正黑体_GBK" w:eastAsia="方正黑体_GBK" w:cs="方正黑体_GBK"/>
              </w:rPr>
              <w:t>如同一</w:t>
            </w:r>
            <w:r>
              <w:rPr>
                <w:rFonts w:hint="eastAsia" w:ascii="方正黑体_GBK" w:hAnsi="方正黑体_GBK" w:eastAsia="方正黑体_GBK" w:cs="方正黑体_GBK"/>
                <w:lang w:val="en-US" w:eastAsia="zh-CN"/>
              </w:rPr>
              <w:t>粒</w:t>
            </w:r>
            <w:r>
              <w:rPr>
                <w:rFonts w:hint="eastAsia" w:ascii="方正黑体_GBK" w:hAnsi="方正黑体_GBK" w:eastAsia="方正黑体_GBK" w:cs="方正黑体_GBK"/>
              </w:rPr>
              <w:t>石子投</w:t>
            </w:r>
            <w:r>
              <w:rPr>
                <w:rFonts w:hint="eastAsia" w:ascii="方正黑体_GBK" w:hAnsi="方正黑体_GBK" w:eastAsia="方正黑体_GBK" w:cs="方正黑体_GBK"/>
                <w:lang w:val="en-US" w:eastAsia="zh-CN"/>
              </w:rPr>
              <w:t>入</w:t>
            </w:r>
            <w:r>
              <w:rPr>
                <w:rFonts w:hint="eastAsia" w:ascii="方正黑体_GBK" w:hAnsi="方正黑体_GBK" w:eastAsia="方正黑体_GBK" w:cs="方正黑体_GBK"/>
              </w:rPr>
              <w:t>湖</w:t>
            </w:r>
            <w:r>
              <w:rPr>
                <w:rFonts w:hint="eastAsia" w:ascii="方正黑体_GBK" w:hAnsi="方正黑体_GBK" w:eastAsia="方正黑体_GBK" w:cs="方正黑体_GBK"/>
                <w:lang w:val="en-US" w:eastAsia="zh-CN"/>
              </w:rPr>
              <w:t>中</w:t>
            </w:r>
            <w:r>
              <w:rPr>
                <w:rFonts w:hint="eastAsia" w:ascii="方正黑体_GBK" w:hAnsi="方正黑体_GBK" w:eastAsia="方正黑体_GBK" w:cs="方正黑体_GBK"/>
              </w:rPr>
              <w:t>，激起层层涟漪，直抵民生与法治的深处。</w:t>
            </w:r>
          </w:p>
          <w:p w14:paraId="151B373E">
            <w:pPr>
              <w:ind w:firstLine="422" w:firstLineChars="200"/>
              <w:rPr>
                <w:rFonts w:hint="eastAsia" w:ascii="方正黑体_GBK" w:hAnsi="方正黑体_GBK" w:eastAsia="方正黑体_GBK" w:cs="方正黑体_GBK"/>
              </w:rPr>
            </w:pPr>
            <w:r>
              <w:rPr>
                <w:rFonts w:hint="eastAsia" w:ascii="方正黑体_GBK" w:hAnsi="方正黑体_GBK" w:eastAsia="方正黑体_GBK" w:cs="方正黑体_GBK"/>
                <w:b/>
                <w:bCs/>
              </w:rPr>
              <w:t>对社会公众而言，它厘清了认知边界。</w:t>
            </w:r>
            <w:r>
              <w:rPr>
                <w:rFonts w:hint="eastAsia" w:ascii="方正黑体_GBK" w:hAnsi="方正黑体_GBK" w:eastAsia="方正黑体_GBK" w:cs="方正黑体_GBK"/>
              </w:rPr>
              <w:t>通过真实案例解读</w:t>
            </w:r>
            <w:r>
              <w:rPr>
                <w:rFonts w:hint="eastAsia" w:ascii="方正黑体_GBK" w:hAnsi="方正黑体_GBK" w:eastAsia="方正黑体_GBK" w:cs="方正黑体_GBK"/>
                <w:lang w:val="en-US" w:eastAsia="zh-CN"/>
              </w:rPr>
              <w:t>国家</w:t>
            </w:r>
            <w:r>
              <w:rPr>
                <w:rFonts w:hint="eastAsia" w:ascii="方正黑体_GBK" w:hAnsi="方正黑体_GBK" w:eastAsia="方正黑体_GBK" w:cs="方正黑体_GBK"/>
              </w:rPr>
              <w:t>《</w:t>
            </w:r>
            <w:r>
              <w:rPr>
                <w:rFonts w:hint="eastAsia" w:ascii="方正黑体_GBK" w:hAnsi="方正黑体_GBK" w:eastAsia="方正黑体_GBK" w:cs="方正黑体_GBK"/>
                <w:lang w:val="en-US" w:eastAsia="zh-CN"/>
              </w:rPr>
              <w:t>关于妥善处理以冒名顶替或者弄虚作假的方式办理婚姻登记问题的</w:t>
            </w:r>
            <w:r>
              <w:rPr>
                <w:rFonts w:hint="eastAsia" w:ascii="方正黑体_GBK" w:hAnsi="方正黑体_GBK" w:eastAsia="方正黑体_GBK" w:cs="方正黑体_GBK"/>
              </w:rPr>
              <w:t>指导意见》《</w:t>
            </w:r>
            <w:r>
              <w:rPr>
                <w:rFonts w:hint="eastAsia" w:ascii="方正黑体_GBK" w:hAnsi="方正黑体_GBK" w:eastAsia="方正黑体_GBK" w:cs="方正黑体_GBK"/>
                <w:lang w:val="en-US" w:eastAsia="zh-CN"/>
              </w:rPr>
              <w:t>重庆市特困人员救助供养实施办法</w:t>
            </w:r>
            <w:r>
              <w:rPr>
                <w:rFonts w:hint="eastAsia" w:ascii="方正黑体_GBK" w:hAnsi="方正黑体_GBK" w:eastAsia="方正黑体_GBK" w:cs="方正黑体_GBK"/>
              </w:rPr>
              <w:t>》等法律法规，让“虚假婚姻可撤销”“民生兜底不缺位”等法治与民生理念深入人心，既普及了法律知识，也强化了“群众利益无小事”的社会共识。</w:t>
            </w:r>
          </w:p>
          <w:p w14:paraId="62E5FA67">
            <w:pPr>
              <w:ind w:firstLine="422" w:firstLineChars="200"/>
              <w:rPr>
                <w:rFonts w:hint="default" w:ascii="方正黑体_GBK" w:hAnsi="方正黑体_GBK" w:eastAsia="方正黑体_GBK" w:cs="方正黑体_GBK"/>
                <w:sz w:val="21"/>
                <w:szCs w:val="21"/>
                <w:lang w:val="en-US" w:eastAsia="zh-CN"/>
              </w:rPr>
            </w:pPr>
            <w:r>
              <w:rPr>
                <w:rFonts w:hint="eastAsia" w:ascii="方正黑体_GBK" w:hAnsi="方正黑体_GBK" w:eastAsia="方正黑体_GBK" w:cs="方正黑体_GBK"/>
                <w:b/>
                <w:bCs/>
              </w:rPr>
              <w:t>对治理层面而言，它形成了一种示范。</w:t>
            </w:r>
            <w:r>
              <w:rPr>
                <w:rFonts w:hint="eastAsia" w:ascii="方正黑体_GBK" w:hAnsi="方正黑体_GBK" w:eastAsia="方正黑体_GBK" w:cs="方正黑体_GBK"/>
              </w:rPr>
              <w:t>节目展现的检察机关跨区域协作、听证会论证、检察建议</w:t>
            </w:r>
            <w:r>
              <w:rPr>
                <w:rFonts w:hint="eastAsia" w:ascii="方正黑体_GBK" w:hAnsi="方正黑体_GBK" w:eastAsia="方正黑体_GBK" w:cs="方正黑体_GBK"/>
                <w:lang w:val="en-US" w:eastAsia="zh-CN"/>
              </w:rPr>
              <w:t>书</w:t>
            </w:r>
            <w:r>
              <w:rPr>
                <w:rFonts w:hint="eastAsia" w:ascii="方正黑体_GBK" w:hAnsi="方正黑体_GBK" w:eastAsia="方正黑体_GBK" w:cs="方正黑体_GBK"/>
              </w:rPr>
              <w:t>推动等流程，为基层处理同类</w:t>
            </w:r>
            <w:r>
              <w:rPr>
                <w:rFonts w:hint="eastAsia" w:ascii="方正黑体_GBK" w:hAnsi="方正黑体_GBK" w:eastAsia="方正黑体_GBK" w:cs="方正黑体_GBK"/>
                <w:lang w:val="en-US" w:eastAsia="zh-CN"/>
              </w:rPr>
              <w:t>案件或</w:t>
            </w:r>
            <w:r>
              <w:rPr>
                <w:rFonts w:hint="eastAsia" w:ascii="方正黑体_GBK" w:hAnsi="方正黑体_GBK" w:eastAsia="方正黑体_GBK" w:cs="方正黑体_GBK"/>
              </w:rPr>
              <w:t>纠</w:t>
            </w:r>
          </w:p>
        </w:tc>
      </w:tr>
      <w:tr w14:paraId="2BCA5C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684" w:hRule="exact"/>
        </w:trPr>
        <w:tc>
          <w:tcPr>
            <w:tcW w:w="1831" w:type="dxa"/>
            <w:vAlign w:val="center"/>
          </w:tcPr>
          <w:p w14:paraId="0FB68F4E">
            <w:pPr>
              <w:spacing w:after="0" w:line="340" w:lineRule="exact"/>
              <w:jc w:val="center"/>
              <w:rPr>
                <w:rFonts w:hint="eastAsia" w:ascii="方正黑体_GBK" w:hAnsi="方正黑体_GBK" w:eastAsia="方正黑体_GBK" w:cs="方正黑体_GBK"/>
                <w:sz w:val="28"/>
              </w:rPr>
            </w:pPr>
            <w:r>
              <w:rPr>
                <w:rFonts w:hint="eastAsia" w:ascii="方正黑体_GBK" w:hAnsi="方正黑体_GBK" w:eastAsia="方正黑体_GBK" w:cs="方正黑体_GBK"/>
                <w:sz w:val="28"/>
              </w:rPr>
              <w:t>社会效果</w:t>
            </w:r>
          </w:p>
        </w:tc>
        <w:tc>
          <w:tcPr>
            <w:tcW w:w="8517" w:type="dxa"/>
            <w:gridSpan w:val="11"/>
            <w:vAlign w:val="center"/>
          </w:tcPr>
          <w:p w14:paraId="767EB10F">
            <w:pPr>
              <w:rPr>
                <w:rFonts w:hint="default" w:ascii="方正黑体_GBK" w:hAnsi="方正黑体_GBK" w:eastAsia="方正黑体_GBK" w:cs="方正黑体_GBK"/>
                <w:lang w:val="en-US" w:eastAsia="zh-CN"/>
              </w:rPr>
            </w:pPr>
            <w:r>
              <w:rPr>
                <w:rFonts w:hint="eastAsia" w:ascii="方正黑体_GBK" w:hAnsi="方正黑体_GBK" w:eastAsia="方正黑体_GBK" w:cs="方正黑体_GBK"/>
              </w:rPr>
              <w:t>纷</w:t>
            </w:r>
            <w:r>
              <w:rPr>
                <w:rFonts w:hint="eastAsia" w:ascii="方正黑体_GBK" w:hAnsi="方正黑体_GBK" w:eastAsia="方正黑体_GBK" w:cs="方正黑体_GBK"/>
                <w:lang w:val="en-US" w:eastAsia="zh-CN"/>
              </w:rPr>
              <w:t>提供了可</w:t>
            </w:r>
            <w:r>
              <w:rPr>
                <w:rFonts w:hint="eastAsia" w:ascii="方正黑体_GBK" w:hAnsi="方正黑体_GBK" w:eastAsia="方正黑体_GBK" w:cs="方正黑体_GBK"/>
              </w:rPr>
              <w:t>复制的“解题思路”，</w:t>
            </w:r>
            <w:r>
              <w:rPr>
                <w:rFonts w:hint="eastAsia" w:ascii="方正黑体_GBK" w:hAnsi="方正黑体_GBK" w:eastAsia="方正黑体_GBK" w:cs="方正黑体_GBK"/>
                <w:lang w:val="en-US" w:eastAsia="zh-CN"/>
              </w:rPr>
              <w:t>提醒我们要</w:t>
            </w:r>
            <w:r>
              <w:rPr>
                <w:rFonts w:hint="eastAsia" w:ascii="方正黑体_GBK" w:hAnsi="方正黑体_GBK" w:eastAsia="方正黑体_GBK" w:cs="方正黑体_GBK"/>
                <w:lang w:eastAsia="zh-CN"/>
              </w:rPr>
              <w:t>更加</w:t>
            </w:r>
            <w:r>
              <w:rPr>
                <w:rFonts w:hint="eastAsia" w:ascii="方正黑体_GBK" w:hAnsi="方正黑体_GBK" w:eastAsia="方正黑体_GBK" w:cs="方正黑体_GBK"/>
              </w:rPr>
              <w:t>主动地关注民生堵点</w:t>
            </w:r>
            <w:r>
              <w:rPr>
                <w:rFonts w:hint="eastAsia" w:ascii="方正黑体_GBK" w:hAnsi="方正黑体_GBK" w:eastAsia="方正黑体_GBK" w:cs="方正黑体_GBK"/>
                <w:lang w:eastAsia="zh-CN"/>
              </w:rPr>
              <w:t>，</w:t>
            </w:r>
            <w:r>
              <w:rPr>
                <w:rFonts w:hint="eastAsia" w:ascii="方正黑体_GBK" w:hAnsi="方正黑体_GBK" w:eastAsia="方正黑体_GBK" w:cs="方正黑体_GBK"/>
              </w:rPr>
              <w:t>让“法律保障公平、制度温暖民生”的信念，在更多人心里扎</w:t>
            </w:r>
            <w:r>
              <w:rPr>
                <w:rFonts w:hint="eastAsia" w:ascii="方正黑体_GBK" w:hAnsi="方正黑体_GBK" w:eastAsia="方正黑体_GBK" w:cs="方正黑体_GBK"/>
                <w:lang w:val="en-US" w:eastAsia="zh-CN"/>
              </w:rPr>
              <w:t>下</w:t>
            </w:r>
            <w:r>
              <w:rPr>
                <w:rFonts w:hint="eastAsia" w:ascii="方正黑体_GBK" w:hAnsi="方正黑体_GBK" w:eastAsia="方正黑体_GBK" w:cs="方正黑体_GBK"/>
              </w:rPr>
              <w:t>了根</w:t>
            </w:r>
            <w:r>
              <w:rPr>
                <w:rFonts w:hint="eastAsia" w:ascii="方正黑体_GBK" w:hAnsi="方正黑体_GBK" w:eastAsia="方正黑体_GBK" w:cs="方正黑体_GBK"/>
                <w:lang w:eastAsia="zh-CN"/>
              </w:rPr>
              <w:t>。</w:t>
            </w:r>
          </w:p>
          <w:p w14:paraId="148E04FB">
            <w:pPr>
              <w:ind w:firstLine="420" w:firstLineChars="200"/>
              <w:rPr>
                <w:rFonts w:hint="default" w:ascii="方正黑体_GBK" w:hAnsi="方正黑体_GBK" w:eastAsia="方正黑体_GBK" w:cs="方正黑体_GBK"/>
                <w:sz w:val="24"/>
                <w:szCs w:val="28"/>
                <w:lang w:val="en-US"/>
              </w:rPr>
            </w:pPr>
            <w:r>
              <w:rPr>
                <w:rFonts w:hint="eastAsia" w:ascii="方正黑体_GBK" w:hAnsi="方正黑体_GBK" w:eastAsia="方正黑体_GBK" w:cs="方正黑体_GBK"/>
                <w:lang w:val="en-US" w:eastAsia="zh-CN"/>
              </w:rPr>
              <w:t>节目</w:t>
            </w:r>
            <w:r>
              <w:rPr>
                <w:rFonts w:hint="eastAsia" w:ascii="方正黑体_GBK" w:hAnsi="方正黑体_GBK" w:eastAsia="方正黑体_GBK" w:cs="方正黑体_GBK"/>
                <w:sz w:val="21"/>
                <w:szCs w:val="21"/>
                <w:lang w:val="en-US" w:eastAsia="zh-CN"/>
              </w:rPr>
              <w:t>具有很强的</w:t>
            </w:r>
            <w:r>
              <w:rPr>
                <w:rFonts w:hint="eastAsia" w:ascii="方正黑体_GBK" w:hAnsi="方正黑体_GBK" w:eastAsia="方正黑体_GBK" w:cs="方正黑体_GBK"/>
                <w:sz w:val="21"/>
                <w:szCs w:val="21"/>
              </w:rPr>
              <w:t>传播力、</w:t>
            </w:r>
            <w:r>
              <w:rPr>
                <w:rFonts w:hint="eastAsia" w:ascii="方正黑体_GBK" w:hAnsi="方正黑体_GBK" w:eastAsia="方正黑体_GBK" w:cs="方正黑体_GBK"/>
                <w:sz w:val="21"/>
                <w:szCs w:val="21"/>
                <w:lang w:val="en-US" w:eastAsia="zh-CN"/>
              </w:rPr>
              <w:t>影响力、</w:t>
            </w:r>
            <w:r>
              <w:rPr>
                <w:rFonts w:hint="eastAsia" w:ascii="方正黑体_GBK" w:hAnsi="方正黑体_GBK" w:eastAsia="方正黑体_GBK" w:cs="方正黑体_GBK"/>
                <w:sz w:val="21"/>
                <w:szCs w:val="21"/>
              </w:rPr>
              <w:t>引导力、公信力</w:t>
            </w:r>
            <w:r>
              <w:rPr>
                <w:rFonts w:hint="eastAsia" w:ascii="方正黑体_GBK" w:hAnsi="方正黑体_GBK" w:eastAsia="方正黑体_GBK" w:cs="方正黑体_GBK"/>
                <w:sz w:val="21"/>
                <w:szCs w:val="21"/>
                <w:lang w:eastAsia="zh-CN"/>
              </w:rPr>
              <w:t>，</w:t>
            </w:r>
            <w:r>
              <w:rPr>
                <w:rFonts w:hint="eastAsia" w:ascii="方正黑体_GBK" w:hAnsi="方正黑体_GBK" w:eastAsia="方正黑体_GBK" w:cs="方正黑体_GBK"/>
                <w:lang w:val="en-US" w:eastAsia="zh-CN"/>
              </w:rPr>
              <w:t>在永川电视台综合频道、永川头条APP、永川网等平台播出后引起强烈的社会反响，点播量突破十万次，点赞数上千个，有</w:t>
            </w:r>
            <w:r>
              <w:rPr>
                <w:rFonts w:hint="eastAsia" w:ascii="方正黑体_GBK" w:hAnsi="方正黑体_GBK" w:eastAsia="方正黑体_GBK" w:cs="方正黑体_GBK"/>
              </w:rPr>
              <w:t>观众</w:t>
            </w:r>
            <w:r>
              <w:rPr>
                <w:rFonts w:hint="eastAsia" w:ascii="方正黑体_GBK" w:hAnsi="方正黑体_GBK" w:eastAsia="方正黑体_GBK" w:cs="方正黑体_GBK"/>
                <w:lang w:val="en-US" w:eastAsia="zh-CN"/>
              </w:rPr>
              <w:t>留言：这</w:t>
            </w:r>
            <w:r>
              <w:rPr>
                <w:rFonts w:hint="eastAsia" w:ascii="方正黑体_GBK" w:hAnsi="方正黑体_GBK" w:eastAsia="方正黑体_GBK" w:cs="方正黑体_GBK"/>
              </w:rPr>
              <w:t>是“民生无小事”的时代回应</w:t>
            </w:r>
            <w:r>
              <w:rPr>
                <w:rFonts w:hint="eastAsia" w:ascii="方正黑体_GBK" w:hAnsi="方正黑体_GBK" w:eastAsia="方正黑体_GBK" w:cs="方正黑体_GBK"/>
                <w:lang w:eastAsia="zh-CN"/>
              </w:rPr>
              <w:t>，</w:t>
            </w:r>
            <w:r>
              <w:rPr>
                <w:rFonts w:hint="eastAsia" w:ascii="方正黑体_GBK" w:hAnsi="方正黑体_GBK" w:eastAsia="方正黑体_GBK" w:cs="方正黑体_GBK"/>
                <w:lang w:val="en-US" w:eastAsia="zh-CN"/>
              </w:rPr>
              <w:t>是“司法为民”的温暖情怀</w:t>
            </w:r>
            <w:r>
              <w:rPr>
                <w:rFonts w:hint="eastAsia" w:ascii="方正黑体_GBK" w:hAnsi="方正黑体_GBK" w:eastAsia="方正黑体_GBK" w:cs="方正黑体_GBK"/>
                <w:lang w:eastAsia="zh-CN"/>
              </w:rPr>
              <w:t>。</w:t>
            </w:r>
            <w:r>
              <w:rPr>
                <w:rFonts w:hint="eastAsia" w:ascii="方正黑体_GBK" w:hAnsi="方正黑体_GBK" w:eastAsia="方正黑体_GBK" w:cs="方正黑体_GBK"/>
                <w:lang w:val="en-US" w:eastAsia="zh-CN"/>
              </w:rPr>
              <w:t>节目同时也激发了社会的救助热情，不少观众还为刘某刚捐款捐物，帮助其改善生活条件。</w:t>
            </w:r>
          </w:p>
        </w:tc>
      </w:tr>
      <w:tr w14:paraId="5537BD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2" w:hRule="exact"/>
        </w:trPr>
        <w:tc>
          <w:tcPr>
            <w:tcW w:w="1831" w:type="dxa"/>
            <w:vMerge w:val="restart"/>
            <w:vAlign w:val="center"/>
          </w:tcPr>
          <w:p w14:paraId="0F4A0536">
            <w:pPr>
              <w:spacing w:after="0" w:line="320" w:lineRule="exact"/>
              <w:jc w:val="center"/>
              <w:rPr>
                <w:rFonts w:hint="eastAsia" w:ascii="方正黑体_GBK" w:hAnsi="方正黑体_GBK" w:eastAsia="方正黑体_GBK" w:cs="方正黑体_GBK"/>
                <w:sz w:val="28"/>
              </w:rPr>
            </w:pPr>
            <w:r>
              <w:rPr>
                <w:rFonts w:hint="eastAsia" w:ascii="方正黑体_GBK" w:hAnsi="方正黑体_GBK" w:eastAsia="方正黑体_GBK" w:cs="方正黑体_GBK"/>
                <w:sz w:val="28"/>
              </w:rPr>
              <w:t>传播数据</w:t>
            </w:r>
          </w:p>
        </w:tc>
        <w:tc>
          <w:tcPr>
            <w:tcW w:w="2582" w:type="dxa"/>
            <w:gridSpan w:val="4"/>
            <w:vMerge w:val="restart"/>
            <w:vAlign w:val="center"/>
          </w:tcPr>
          <w:p w14:paraId="3C222613">
            <w:pPr>
              <w:spacing w:after="0" w:line="420" w:lineRule="exact"/>
              <w:rPr>
                <w:rFonts w:hint="eastAsia" w:ascii="方正黑体_GBK" w:hAnsi="方正黑体_GBK" w:eastAsia="方正黑体_GBK" w:cs="方正黑体_GBK"/>
                <w:sz w:val="24"/>
                <w:szCs w:val="28"/>
              </w:rPr>
            </w:pPr>
            <w:r>
              <w:rPr>
                <w:rFonts w:hint="eastAsia" w:ascii="方正黑体_GBK" w:hAnsi="方正黑体_GBK" w:eastAsia="方正黑体_GBK" w:cs="方正黑体_GBK"/>
                <w:sz w:val="24"/>
                <w:szCs w:val="28"/>
              </w:rPr>
              <w:t>新媒体传播平台网址</w:t>
            </w:r>
          </w:p>
        </w:tc>
        <w:tc>
          <w:tcPr>
            <w:tcW w:w="5935" w:type="dxa"/>
            <w:gridSpan w:val="7"/>
            <w:tcBorders>
              <w:bottom w:val="single" w:color="auto" w:sz="4" w:space="0"/>
            </w:tcBorders>
            <w:vAlign w:val="center"/>
          </w:tcPr>
          <w:p w14:paraId="5B3C1A85">
            <w:pPr>
              <w:spacing w:after="0" w:line="320" w:lineRule="exact"/>
              <w:rPr>
                <w:rFonts w:hint="eastAsia" w:ascii="方正黑体_GBK" w:hAnsi="方正黑体_GBK" w:eastAsia="方正黑体_GBK" w:cs="方正黑体_GBK"/>
                <w:sz w:val="22"/>
                <w:szCs w:val="24"/>
              </w:rPr>
            </w:pPr>
            <w:r>
              <w:rPr>
                <w:rFonts w:hint="eastAsia" w:ascii="方正黑体_GBK" w:hAnsi="方正黑体_GBK" w:eastAsia="方正黑体_GBK" w:cs="方正黑体_GBK"/>
                <w:sz w:val="22"/>
                <w:szCs w:val="24"/>
              </w:rPr>
              <w:t xml:space="preserve">1. </w:t>
            </w:r>
          </w:p>
        </w:tc>
      </w:tr>
      <w:tr w14:paraId="35148A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4" w:hRule="exact"/>
        </w:trPr>
        <w:tc>
          <w:tcPr>
            <w:tcW w:w="1831" w:type="dxa"/>
            <w:vMerge w:val="continue"/>
            <w:vAlign w:val="center"/>
          </w:tcPr>
          <w:p w14:paraId="31C10211">
            <w:pPr>
              <w:pStyle w:val="3"/>
              <w:spacing w:after="0" w:line="320" w:lineRule="exact"/>
              <w:rPr>
                <w:rFonts w:hint="eastAsia" w:ascii="方正黑体_GBK" w:hAnsi="方正黑体_GBK" w:eastAsia="方正黑体_GBK" w:cs="方正黑体_GBK"/>
              </w:rPr>
            </w:pPr>
          </w:p>
        </w:tc>
        <w:tc>
          <w:tcPr>
            <w:tcW w:w="2582" w:type="dxa"/>
            <w:gridSpan w:val="4"/>
            <w:vMerge w:val="continue"/>
            <w:vAlign w:val="center"/>
          </w:tcPr>
          <w:p w14:paraId="4511460F">
            <w:pPr>
              <w:spacing w:after="0" w:line="420" w:lineRule="exact"/>
              <w:rPr>
                <w:rFonts w:hint="eastAsia" w:ascii="方正黑体_GBK" w:hAnsi="方正黑体_GBK" w:eastAsia="方正黑体_GBK" w:cs="方正黑体_GBK"/>
                <w:sz w:val="24"/>
                <w:szCs w:val="28"/>
              </w:rPr>
            </w:pPr>
          </w:p>
        </w:tc>
        <w:tc>
          <w:tcPr>
            <w:tcW w:w="5935" w:type="dxa"/>
            <w:gridSpan w:val="7"/>
            <w:tcBorders>
              <w:bottom w:val="single" w:color="auto" w:sz="4" w:space="0"/>
            </w:tcBorders>
            <w:vAlign w:val="center"/>
          </w:tcPr>
          <w:p w14:paraId="42B02147">
            <w:pPr>
              <w:spacing w:after="0" w:line="420" w:lineRule="exact"/>
              <w:rPr>
                <w:rFonts w:hint="eastAsia" w:ascii="方正黑体_GBK" w:hAnsi="方正黑体_GBK" w:eastAsia="方正黑体_GBK" w:cs="方正黑体_GBK"/>
                <w:sz w:val="24"/>
                <w:szCs w:val="28"/>
              </w:rPr>
            </w:pPr>
            <w:r>
              <w:rPr>
                <w:rFonts w:hint="eastAsia" w:ascii="方正黑体_GBK" w:hAnsi="方正黑体_GBK" w:eastAsia="方正黑体_GBK" w:cs="方正黑体_GBK"/>
                <w:sz w:val="24"/>
                <w:szCs w:val="28"/>
              </w:rPr>
              <w:t xml:space="preserve">2. </w:t>
            </w:r>
          </w:p>
        </w:tc>
      </w:tr>
      <w:tr w14:paraId="7CEE60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7" w:hRule="exact"/>
        </w:trPr>
        <w:tc>
          <w:tcPr>
            <w:tcW w:w="1831" w:type="dxa"/>
            <w:vMerge w:val="continue"/>
            <w:vAlign w:val="center"/>
          </w:tcPr>
          <w:p w14:paraId="7915413B">
            <w:pPr>
              <w:spacing w:after="0" w:line="320" w:lineRule="exact"/>
              <w:jc w:val="center"/>
              <w:rPr>
                <w:rFonts w:hint="eastAsia" w:ascii="方正黑体_GBK" w:hAnsi="方正黑体_GBK" w:eastAsia="方正黑体_GBK" w:cs="方正黑体_GBK"/>
                <w:sz w:val="28"/>
              </w:rPr>
            </w:pPr>
          </w:p>
        </w:tc>
        <w:tc>
          <w:tcPr>
            <w:tcW w:w="2582" w:type="dxa"/>
            <w:gridSpan w:val="4"/>
            <w:vMerge w:val="continue"/>
            <w:tcBorders>
              <w:bottom w:val="single" w:color="auto" w:sz="4" w:space="0"/>
            </w:tcBorders>
            <w:vAlign w:val="center"/>
          </w:tcPr>
          <w:p w14:paraId="3971FABD">
            <w:pPr>
              <w:spacing w:after="0" w:line="420" w:lineRule="exact"/>
              <w:rPr>
                <w:rFonts w:hint="eastAsia" w:ascii="方正黑体_GBK" w:hAnsi="方正黑体_GBK" w:eastAsia="方正黑体_GBK" w:cs="方正黑体_GBK"/>
                <w:sz w:val="24"/>
                <w:szCs w:val="28"/>
              </w:rPr>
            </w:pPr>
          </w:p>
        </w:tc>
        <w:tc>
          <w:tcPr>
            <w:tcW w:w="5935" w:type="dxa"/>
            <w:gridSpan w:val="7"/>
            <w:tcBorders>
              <w:bottom w:val="single" w:color="auto" w:sz="4" w:space="0"/>
            </w:tcBorders>
            <w:vAlign w:val="center"/>
          </w:tcPr>
          <w:p w14:paraId="0FB590E3">
            <w:pPr>
              <w:spacing w:after="0" w:line="420" w:lineRule="exact"/>
              <w:rPr>
                <w:rFonts w:hint="eastAsia" w:ascii="方正黑体_GBK" w:hAnsi="方正黑体_GBK" w:eastAsia="方正黑体_GBK" w:cs="方正黑体_GBK"/>
                <w:sz w:val="24"/>
                <w:szCs w:val="28"/>
              </w:rPr>
            </w:pPr>
            <w:r>
              <w:rPr>
                <w:rFonts w:hint="eastAsia" w:ascii="方正黑体_GBK" w:hAnsi="方正黑体_GBK" w:eastAsia="方正黑体_GBK" w:cs="方正黑体_GBK"/>
                <w:sz w:val="24"/>
                <w:szCs w:val="28"/>
              </w:rPr>
              <w:t>3. …</w:t>
            </w:r>
          </w:p>
        </w:tc>
      </w:tr>
      <w:tr w14:paraId="2B66B8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81" w:hRule="exact"/>
        </w:trPr>
        <w:tc>
          <w:tcPr>
            <w:tcW w:w="1831" w:type="dxa"/>
            <w:vMerge w:val="continue"/>
            <w:tcBorders>
              <w:bottom w:val="single" w:color="auto" w:sz="4" w:space="0"/>
            </w:tcBorders>
            <w:vAlign w:val="center"/>
          </w:tcPr>
          <w:p w14:paraId="340AD323">
            <w:pPr>
              <w:spacing w:after="0" w:line="340" w:lineRule="exact"/>
              <w:jc w:val="center"/>
              <w:rPr>
                <w:rFonts w:hint="eastAsia" w:ascii="方正黑体_GBK" w:hAnsi="方正黑体_GBK" w:eastAsia="方正黑体_GBK" w:cs="方正黑体_GBK"/>
                <w:sz w:val="28"/>
              </w:rPr>
            </w:pPr>
          </w:p>
        </w:tc>
        <w:tc>
          <w:tcPr>
            <w:tcW w:w="1564" w:type="dxa"/>
            <w:tcBorders>
              <w:bottom w:val="single" w:color="auto" w:sz="4" w:space="0"/>
            </w:tcBorders>
            <w:vAlign w:val="center"/>
          </w:tcPr>
          <w:p w14:paraId="0CE8773D">
            <w:pPr>
              <w:spacing w:after="0" w:line="360" w:lineRule="exact"/>
              <w:jc w:val="center"/>
              <w:rPr>
                <w:rFonts w:hint="eastAsia" w:ascii="方正黑体_GBK" w:hAnsi="方正黑体_GBK" w:eastAsia="方正黑体_GBK" w:cs="方正黑体_GBK"/>
                <w:sz w:val="24"/>
                <w:szCs w:val="28"/>
              </w:rPr>
            </w:pPr>
            <w:r>
              <w:rPr>
                <w:rFonts w:hint="eastAsia" w:ascii="方正黑体_GBK" w:hAnsi="方正黑体_GBK" w:eastAsia="方正黑体_GBK" w:cs="方正黑体_GBK"/>
                <w:sz w:val="24"/>
                <w:szCs w:val="28"/>
              </w:rPr>
              <w:t>阅读量（浏览量、点击量）</w:t>
            </w:r>
          </w:p>
        </w:tc>
        <w:tc>
          <w:tcPr>
            <w:tcW w:w="1018" w:type="dxa"/>
            <w:gridSpan w:val="3"/>
            <w:tcBorders>
              <w:bottom w:val="single" w:color="auto" w:sz="4" w:space="0"/>
            </w:tcBorders>
            <w:vAlign w:val="center"/>
          </w:tcPr>
          <w:p w14:paraId="4B5AAC86">
            <w:pPr>
              <w:spacing w:after="0" w:line="360" w:lineRule="exact"/>
              <w:jc w:val="center"/>
              <w:rPr>
                <w:rFonts w:hint="eastAsia" w:ascii="方正黑体_GBK" w:hAnsi="方正黑体_GBK" w:eastAsia="方正黑体_GBK" w:cs="方正黑体_GBK"/>
                <w:sz w:val="24"/>
                <w:szCs w:val="28"/>
              </w:rPr>
            </w:pPr>
          </w:p>
        </w:tc>
        <w:tc>
          <w:tcPr>
            <w:tcW w:w="1264" w:type="dxa"/>
            <w:tcBorders>
              <w:bottom w:val="single" w:color="auto" w:sz="4" w:space="0"/>
            </w:tcBorders>
            <w:vAlign w:val="center"/>
          </w:tcPr>
          <w:p w14:paraId="509BE071">
            <w:pPr>
              <w:spacing w:after="0" w:line="360" w:lineRule="exact"/>
              <w:jc w:val="center"/>
              <w:rPr>
                <w:rFonts w:hint="eastAsia" w:ascii="方正黑体_GBK" w:hAnsi="方正黑体_GBK" w:eastAsia="方正黑体_GBK" w:cs="方正黑体_GBK"/>
                <w:sz w:val="24"/>
                <w:szCs w:val="28"/>
              </w:rPr>
            </w:pPr>
            <w:r>
              <w:rPr>
                <w:rFonts w:hint="eastAsia" w:ascii="方正黑体_GBK" w:hAnsi="方正黑体_GBK" w:eastAsia="方正黑体_GBK" w:cs="方正黑体_GBK"/>
                <w:sz w:val="24"/>
                <w:szCs w:val="28"/>
              </w:rPr>
              <w:t>转载量</w:t>
            </w:r>
          </w:p>
        </w:tc>
        <w:tc>
          <w:tcPr>
            <w:tcW w:w="1284" w:type="dxa"/>
            <w:gridSpan w:val="3"/>
            <w:tcBorders>
              <w:bottom w:val="single" w:color="auto" w:sz="4" w:space="0"/>
            </w:tcBorders>
            <w:vAlign w:val="center"/>
          </w:tcPr>
          <w:p w14:paraId="48C6364B">
            <w:pPr>
              <w:spacing w:after="0" w:line="360" w:lineRule="exact"/>
              <w:jc w:val="center"/>
              <w:rPr>
                <w:rFonts w:hint="eastAsia" w:ascii="方正黑体_GBK" w:hAnsi="方正黑体_GBK" w:eastAsia="方正黑体_GBK" w:cs="方正黑体_GBK"/>
                <w:sz w:val="24"/>
                <w:szCs w:val="28"/>
              </w:rPr>
            </w:pPr>
          </w:p>
        </w:tc>
        <w:tc>
          <w:tcPr>
            <w:tcW w:w="1285" w:type="dxa"/>
            <w:gridSpan w:val="2"/>
            <w:tcBorders>
              <w:bottom w:val="single" w:color="auto" w:sz="4" w:space="0"/>
            </w:tcBorders>
            <w:vAlign w:val="center"/>
          </w:tcPr>
          <w:p w14:paraId="721FDE24">
            <w:pPr>
              <w:spacing w:after="0" w:line="360" w:lineRule="exact"/>
              <w:jc w:val="center"/>
              <w:rPr>
                <w:rFonts w:hint="eastAsia" w:ascii="方正黑体_GBK" w:hAnsi="方正黑体_GBK" w:eastAsia="方正黑体_GBK" w:cs="方正黑体_GBK"/>
                <w:sz w:val="24"/>
                <w:szCs w:val="28"/>
              </w:rPr>
            </w:pPr>
            <w:r>
              <w:rPr>
                <w:rFonts w:hint="eastAsia" w:ascii="方正黑体_GBK" w:hAnsi="方正黑体_GBK" w:eastAsia="方正黑体_GBK" w:cs="方正黑体_GBK"/>
                <w:sz w:val="24"/>
                <w:szCs w:val="28"/>
              </w:rPr>
              <w:t>互动量</w:t>
            </w:r>
          </w:p>
        </w:tc>
        <w:tc>
          <w:tcPr>
            <w:tcW w:w="2102" w:type="dxa"/>
            <w:tcBorders>
              <w:bottom w:val="single" w:color="auto" w:sz="4" w:space="0"/>
            </w:tcBorders>
            <w:vAlign w:val="center"/>
          </w:tcPr>
          <w:p w14:paraId="0C48D11A">
            <w:pPr>
              <w:spacing w:after="0" w:line="360" w:lineRule="exact"/>
              <w:jc w:val="center"/>
              <w:rPr>
                <w:rFonts w:hint="eastAsia" w:ascii="方正黑体_GBK" w:hAnsi="方正黑体_GBK" w:eastAsia="方正黑体_GBK" w:cs="方正黑体_GBK"/>
                <w:sz w:val="24"/>
                <w:szCs w:val="28"/>
              </w:rPr>
            </w:pPr>
          </w:p>
        </w:tc>
      </w:tr>
      <w:tr w14:paraId="2F9F83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575" w:hRule="exact"/>
        </w:trPr>
        <w:tc>
          <w:tcPr>
            <w:tcW w:w="1831" w:type="dxa"/>
            <w:tcBorders>
              <w:bottom w:val="single" w:color="auto" w:sz="4" w:space="0"/>
            </w:tcBorders>
            <w:vAlign w:val="center"/>
          </w:tcPr>
          <w:p w14:paraId="6926CDDA">
            <w:pPr>
              <w:spacing w:after="0" w:line="340" w:lineRule="exact"/>
              <w:jc w:val="center"/>
              <w:rPr>
                <w:rFonts w:hint="eastAsia" w:ascii="方正黑体_GBK" w:hAnsi="方正黑体_GBK" w:eastAsia="方正黑体_GBK" w:cs="方正黑体_GBK"/>
                <w:sz w:val="28"/>
              </w:rPr>
            </w:pPr>
            <w:r>
              <w:rPr>
                <w:rFonts w:hint="eastAsia" w:ascii="方正黑体_GBK" w:hAnsi="方正黑体_GBK" w:eastAsia="方正黑体_GBK" w:cs="方正黑体_GBK"/>
                <w:sz w:val="28"/>
              </w:rPr>
              <w:t>推荐理由</w:t>
            </w:r>
          </w:p>
        </w:tc>
        <w:tc>
          <w:tcPr>
            <w:tcW w:w="8517" w:type="dxa"/>
            <w:gridSpan w:val="11"/>
            <w:tcBorders>
              <w:bottom w:val="single" w:color="auto" w:sz="4" w:space="0"/>
            </w:tcBorders>
            <w:vAlign w:val="center"/>
          </w:tcPr>
          <w:p w14:paraId="520E653A">
            <w:pPr>
              <w:spacing w:line="240" w:lineRule="auto"/>
              <w:ind w:firstLine="420" w:firstLineChars="200"/>
              <w:rPr>
                <w:rFonts w:hint="eastAsia" w:ascii="方正黑体_GBK" w:hAnsi="方正黑体_GBK" w:eastAsia="方正黑体_GBK" w:cs="方正黑体_GBK"/>
                <w:sz w:val="21"/>
                <w:szCs w:val="21"/>
              </w:rPr>
            </w:pPr>
            <w:r>
              <w:rPr>
                <w:rFonts w:hint="eastAsia" w:ascii="方正黑体_GBK" w:hAnsi="方正黑体_GBK" w:eastAsia="方正黑体_GBK" w:cs="方正黑体_GBK"/>
                <w:sz w:val="21"/>
                <w:szCs w:val="21"/>
              </w:rPr>
              <w:t>该</w:t>
            </w:r>
            <w:r>
              <w:rPr>
                <w:rFonts w:hint="eastAsia" w:ascii="方正黑体_GBK" w:hAnsi="方正黑体_GBK" w:eastAsia="方正黑体_GBK" w:cs="方正黑体_GBK"/>
                <w:sz w:val="21"/>
                <w:szCs w:val="21"/>
                <w:lang w:val="en-US" w:eastAsia="zh-CN"/>
              </w:rPr>
              <w:t>节目</w:t>
            </w:r>
            <w:r>
              <w:rPr>
                <w:rFonts w:hint="eastAsia" w:ascii="方正黑体_GBK" w:hAnsi="方正黑体_GBK" w:eastAsia="方正黑体_GBK" w:cs="方正黑体_GBK"/>
                <w:sz w:val="21"/>
                <w:szCs w:val="21"/>
              </w:rPr>
              <w:t>聚焦司法为民、检察履职、民生兜底三大主题，是一档兼具法治深度、民生温度与社会价值的节目。节目聚焦群众“急难愁盼”，以小切口展现大民生，以个案故事诠释法治精神</w:t>
            </w:r>
            <w:r>
              <w:rPr>
                <w:rFonts w:hint="eastAsia" w:ascii="方正黑体_GBK" w:hAnsi="方正黑体_GBK" w:eastAsia="方正黑体_GBK" w:cs="方正黑体_GBK"/>
                <w:sz w:val="21"/>
                <w:szCs w:val="21"/>
                <w:lang w:eastAsia="zh-CN"/>
              </w:rPr>
              <w:t>，</w:t>
            </w:r>
            <w:r>
              <w:rPr>
                <w:rFonts w:hint="eastAsia" w:ascii="方正黑体_GBK" w:hAnsi="方正黑体_GBK" w:eastAsia="方正黑体_GBK" w:cs="方正黑体_GBK"/>
                <w:sz w:val="21"/>
                <w:szCs w:val="21"/>
              </w:rPr>
              <w:t xml:space="preserve">画面真实、情感真挚，极具感染力与说服力。 </w:t>
            </w:r>
          </w:p>
          <w:p w14:paraId="2B568D57">
            <w:pPr>
              <w:spacing w:line="240" w:lineRule="auto"/>
              <w:ind w:firstLine="422" w:firstLineChars="200"/>
              <w:rPr>
                <w:rFonts w:hint="default" w:ascii="方正黑体_GBK" w:hAnsi="方正黑体_GBK" w:eastAsia="方正黑体_GBK" w:cs="方正黑体_GBK"/>
                <w:sz w:val="21"/>
                <w:szCs w:val="21"/>
                <w:lang w:val="en-US" w:eastAsia="zh-CN"/>
              </w:rPr>
            </w:pPr>
            <w:r>
              <w:rPr>
                <w:rFonts w:hint="eastAsia" w:ascii="方正黑体_GBK" w:hAnsi="方正黑体_GBK" w:eastAsia="方正黑体_GBK" w:cs="方正黑体_GBK"/>
                <w:b/>
                <w:bCs/>
                <w:sz w:val="21"/>
                <w:szCs w:val="21"/>
              </w:rPr>
              <w:t>节目彰显了法律保障民生</w:t>
            </w:r>
            <w:r>
              <w:rPr>
                <w:rFonts w:hint="eastAsia" w:ascii="方正黑体_GBK" w:hAnsi="方正黑体_GBK" w:eastAsia="方正黑体_GBK" w:cs="方正黑体_GBK"/>
                <w:b/>
                <w:bCs/>
                <w:sz w:val="21"/>
                <w:szCs w:val="21"/>
                <w:lang w:eastAsia="zh-CN"/>
              </w:rPr>
              <w:t>，</w:t>
            </w:r>
            <w:r>
              <w:rPr>
                <w:rFonts w:hint="eastAsia" w:ascii="方正黑体_GBK" w:hAnsi="方正黑体_GBK" w:eastAsia="方正黑体_GBK" w:cs="方正黑体_GBK"/>
                <w:b/>
                <w:bCs/>
                <w:sz w:val="21"/>
                <w:szCs w:val="21"/>
              </w:rPr>
              <w:t>守护公平正义的核心价值</w:t>
            </w:r>
            <w:r>
              <w:rPr>
                <w:rFonts w:hint="eastAsia" w:ascii="方正黑体_GBK" w:hAnsi="方正黑体_GBK" w:eastAsia="方正黑体_GBK" w:cs="方正黑体_GBK"/>
                <w:b/>
                <w:bCs/>
                <w:sz w:val="21"/>
                <w:szCs w:val="21"/>
                <w:lang w:eastAsia="zh-CN"/>
              </w:rPr>
              <w:t>。</w:t>
            </w:r>
            <w:r>
              <w:rPr>
                <w:rFonts w:hint="eastAsia" w:ascii="方正黑体_GBK" w:hAnsi="方正黑体_GBK" w:eastAsia="方正黑体_GBK" w:cs="方正黑体_GBK"/>
                <w:sz w:val="21"/>
                <w:szCs w:val="21"/>
                <w:lang w:val="en-US" w:eastAsia="zh-CN"/>
              </w:rPr>
              <w:t>节目</w:t>
            </w:r>
            <w:r>
              <w:rPr>
                <w:rFonts w:hint="eastAsia" w:ascii="方正黑体_GBK" w:hAnsi="方正黑体_GBK" w:eastAsia="方正黑体_GBK" w:cs="方正黑体_GBK"/>
                <w:sz w:val="21"/>
                <w:szCs w:val="21"/>
              </w:rPr>
              <w:t>精准解读</w:t>
            </w:r>
            <w:r>
              <w:rPr>
                <w:rFonts w:hint="eastAsia" w:ascii="方正黑体_GBK" w:hAnsi="方正黑体_GBK" w:eastAsia="方正黑体_GBK" w:cs="方正黑体_GBK"/>
              </w:rPr>
              <w:t>《指导意见》</w:t>
            </w:r>
            <w:r>
              <w:rPr>
                <w:rFonts w:hint="eastAsia" w:ascii="方正黑体_GBK" w:hAnsi="方正黑体_GBK" w:eastAsia="方正黑体_GBK" w:cs="方正黑体_GBK"/>
                <w:sz w:val="21"/>
                <w:szCs w:val="21"/>
              </w:rPr>
              <w:t>《实施办法》等法律法规，清晰</w:t>
            </w:r>
            <w:r>
              <w:rPr>
                <w:rFonts w:hint="eastAsia" w:ascii="方正黑体_GBK" w:hAnsi="方正黑体_GBK" w:eastAsia="方正黑体_GBK" w:cs="方正黑体_GBK"/>
                <w:sz w:val="21"/>
                <w:szCs w:val="21"/>
                <w:lang w:val="en-US" w:eastAsia="zh-CN"/>
              </w:rPr>
              <w:t>地</w:t>
            </w:r>
            <w:r>
              <w:rPr>
                <w:rFonts w:hint="eastAsia" w:ascii="方正黑体_GBK" w:hAnsi="方正黑体_GBK" w:eastAsia="方正黑体_GBK" w:cs="方正黑体_GBK"/>
                <w:sz w:val="21"/>
                <w:szCs w:val="21"/>
              </w:rPr>
              <w:t>展现</w:t>
            </w:r>
            <w:r>
              <w:rPr>
                <w:rFonts w:hint="eastAsia" w:ascii="方正黑体_GBK" w:hAnsi="方正黑体_GBK" w:eastAsia="方正黑体_GBK" w:cs="方正黑体_GBK"/>
                <w:sz w:val="21"/>
                <w:szCs w:val="21"/>
                <w:lang w:val="en-US" w:eastAsia="zh-CN"/>
              </w:rPr>
              <w:t>了</w:t>
            </w:r>
            <w:r>
              <w:rPr>
                <w:rFonts w:hint="eastAsia" w:ascii="方正黑体_GBK" w:hAnsi="方正黑体_GBK" w:eastAsia="方正黑体_GBK" w:cs="方正黑体_GBK"/>
                <w:sz w:val="21"/>
                <w:szCs w:val="21"/>
              </w:rPr>
              <w:t>检察机关启动川渝协作、召开听证会、制发检察建议</w:t>
            </w:r>
            <w:r>
              <w:rPr>
                <w:rFonts w:hint="eastAsia" w:ascii="方正黑体_GBK" w:hAnsi="方正黑体_GBK" w:eastAsia="方正黑体_GBK" w:cs="方正黑体_GBK"/>
                <w:sz w:val="21"/>
                <w:szCs w:val="21"/>
                <w:lang w:val="en-US" w:eastAsia="zh-CN"/>
              </w:rPr>
              <w:t>书</w:t>
            </w:r>
            <w:r>
              <w:rPr>
                <w:rFonts w:hint="eastAsia" w:ascii="方正黑体_GBK" w:hAnsi="方正黑体_GBK" w:eastAsia="方正黑体_GBK" w:cs="方正黑体_GBK"/>
                <w:sz w:val="21"/>
                <w:szCs w:val="21"/>
              </w:rPr>
              <w:t>、推动撤销虚假婚姻登记的全流程，</w:t>
            </w:r>
            <w:r>
              <w:rPr>
                <w:rFonts w:hint="eastAsia" w:ascii="方正黑体_GBK" w:hAnsi="方正黑体_GBK" w:eastAsia="方正黑体_GBK" w:cs="方正黑体_GBK"/>
                <w:sz w:val="21"/>
                <w:szCs w:val="21"/>
                <w:lang w:val="en-US" w:eastAsia="zh-CN"/>
              </w:rPr>
              <w:t>让观众看到了我国法治建设的进步和制度建设的成果。</w:t>
            </w:r>
          </w:p>
          <w:p w14:paraId="6E48BC39">
            <w:pPr>
              <w:ind w:firstLine="422" w:firstLineChars="200"/>
              <w:rPr>
                <w:rFonts w:hint="eastAsia" w:ascii="方正黑体_GBK" w:hAnsi="方正黑体_GBK" w:eastAsia="方正黑体_GBK" w:cs="方正黑体_GBK"/>
              </w:rPr>
            </w:pPr>
            <w:r>
              <w:rPr>
                <w:rFonts w:hint="eastAsia" w:ascii="方正黑体_GBK" w:hAnsi="方正黑体_GBK" w:eastAsia="方正黑体_GBK" w:cs="方正黑体_GBK"/>
                <w:b/>
                <w:bCs/>
                <w:sz w:val="21"/>
                <w:szCs w:val="21"/>
                <w:lang w:val="en-US" w:eastAsia="zh-CN"/>
              </w:rPr>
              <w:t>节目深刻阐释了“司法为民、民生为大”执政理念。</w:t>
            </w:r>
            <w:r>
              <w:rPr>
                <w:rFonts w:hint="eastAsia" w:ascii="方正黑体_GBK" w:hAnsi="方正黑体_GBK" w:eastAsia="方正黑体_GBK" w:cs="方正黑体_GBK"/>
                <w:sz w:val="21"/>
                <w:szCs w:val="21"/>
              </w:rPr>
              <w:t>节目紧扣</w:t>
            </w:r>
            <w:r>
              <w:rPr>
                <w:rFonts w:hint="eastAsia" w:ascii="方正黑体_GBK" w:hAnsi="方正黑体_GBK" w:eastAsia="方正黑体_GBK" w:cs="方正黑体_GBK"/>
                <w:sz w:val="21"/>
                <w:szCs w:val="21"/>
                <w:lang w:val="en-US" w:eastAsia="zh-CN"/>
              </w:rPr>
              <w:t>社会</w:t>
            </w:r>
            <w:r>
              <w:rPr>
                <w:rFonts w:hint="eastAsia" w:ascii="方正黑体_GBK" w:hAnsi="方正黑体_GBK" w:eastAsia="方正黑体_GBK" w:cs="方正黑体_GBK"/>
                <w:sz w:val="21"/>
                <w:szCs w:val="21"/>
              </w:rPr>
              <w:t>民生痛点</w:t>
            </w:r>
            <w:r>
              <w:rPr>
                <w:rFonts w:hint="eastAsia" w:ascii="方正黑体_GBK" w:hAnsi="方正黑体_GBK" w:eastAsia="方正黑体_GBK" w:cs="方正黑体_GBK"/>
                <w:sz w:val="21"/>
                <w:szCs w:val="21"/>
                <w:lang w:eastAsia="zh-CN"/>
              </w:rPr>
              <w:t>，</w:t>
            </w:r>
            <w:r>
              <w:rPr>
                <w:rFonts w:hint="eastAsia" w:ascii="方正黑体_GBK" w:hAnsi="方正黑体_GBK" w:eastAsia="方正黑体_GBK" w:cs="方正黑体_GBK"/>
                <w:sz w:val="21"/>
                <w:szCs w:val="21"/>
                <w:lang w:val="en-US" w:eastAsia="zh-CN"/>
              </w:rPr>
              <w:t>基层</w:t>
            </w:r>
            <w:r>
              <w:rPr>
                <w:rFonts w:hint="eastAsia" w:ascii="方正黑体_GBK" w:hAnsi="方正黑体_GBK" w:eastAsia="方正黑体_GBK" w:cs="方正黑体_GBK"/>
                <w:sz w:val="21"/>
                <w:szCs w:val="21"/>
              </w:rPr>
              <w:t>治理</w:t>
            </w:r>
            <w:r>
              <w:rPr>
                <w:rFonts w:hint="eastAsia" w:ascii="方正黑体_GBK" w:hAnsi="方正黑体_GBK" w:eastAsia="方正黑体_GBK" w:cs="方正黑体_GBK"/>
                <w:sz w:val="21"/>
                <w:szCs w:val="21"/>
                <w:lang w:val="en-US" w:eastAsia="zh-CN"/>
              </w:rPr>
              <w:t>难点，</w:t>
            </w:r>
            <w:r>
              <w:rPr>
                <w:rFonts w:hint="eastAsia" w:ascii="方正黑体_GBK" w:hAnsi="方正黑体_GBK" w:eastAsia="方正黑体_GBK" w:cs="方正黑体_GBK"/>
                <w:sz w:val="21"/>
                <w:szCs w:val="21"/>
              </w:rPr>
              <w:t>法治宣传重点，</w:t>
            </w:r>
            <w:r>
              <w:rPr>
                <w:rFonts w:hint="eastAsia" w:ascii="方正黑体_GBK" w:hAnsi="方正黑体_GBK" w:eastAsia="方正黑体_GBK" w:cs="方正黑体_GBK"/>
                <w:sz w:val="21"/>
                <w:szCs w:val="21"/>
                <w:lang w:val="en-US" w:eastAsia="zh-CN"/>
              </w:rPr>
              <w:t>通过讲述一位</w:t>
            </w:r>
            <w:r>
              <w:rPr>
                <w:rFonts w:hint="eastAsia" w:ascii="方正黑体_GBK" w:hAnsi="方正黑体_GBK" w:eastAsia="方正黑体_GBK" w:cs="方正黑体_GBK"/>
                <w:sz w:val="21"/>
                <w:szCs w:val="21"/>
              </w:rPr>
              <w:t>贫病老人</w:t>
            </w:r>
            <w:r>
              <w:rPr>
                <w:rFonts w:hint="eastAsia" w:ascii="方正黑体_GBK" w:hAnsi="方正黑体_GBK" w:eastAsia="方正黑体_GBK" w:cs="方正黑体_GBK"/>
                <w:sz w:val="21"/>
                <w:szCs w:val="21"/>
                <w:lang w:val="en-US" w:eastAsia="zh-CN"/>
              </w:rPr>
              <w:t>被</w:t>
            </w:r>
            <w:r>
              <w:rPr>
                <w:rFonts w:hint="eastAsia" w:ascii="方正黑体_GBK" w:hAnsi="方正黑体_GBK" w:eastAsia="方正黑体_GBK" w:cs="方正黑体_GBK"/>
              </w:rPr>
              <w:t>成功纳入国家救助体系</w:t>
            </w:r>
            <w:r>
              <w:rPr>
                <w:rFonts w:hint="eastAsia" w:ascii="方正黑体_GBK" w:hAnsi="方正黑体_GBK" w:eastAsia="方正黑体_GBK" w:cs="方正黑体_GBK"/>
                <w:sz w:val="21"/>
                <w:szCs w:val="21"/>
                <w:lang w:val="en-US" w:eastAsia="zh-CN"/>
              </w:rPr>
              <w:t>的故事</w:t>
            </w:r>
            <w:r>
              <w:rPr>
                <w:rFonts w:hint="eastAsia" w:ascii="方正黑体_GBK" w:hAnsi="方正黑体_GBK" w:eastAsia="方正黑体_GBK" w:cs="方正黑体_GBK"/>
                <w:sz w:val="21"/>
                <w:szCs w:val="21"/>
              </w:rPr>
              <w:t>，</w:t>
            </w:r>
            <w:r>
              <w:rPr>
                <w:rFonts w:hint="eastAsia" w:ascii="方正黑体_GBK" w:hAnsi="方正黑体_GBK" w:eastAsia="方正黑体_GBK" w:cs="方正黑体_GBK"/>
                <w:sz w:val="21"/>
                <w:szCs w:val="21"/>
                <w:lang w:val="en-US" w:eastAsia="zh-CN"/>
              </w:rPr>
              <w:t>全面展现了检察机关主动担当的精神和“如我在诉、司法为民”的积极行动，</w:t>
            </w:r>
            <w:r>
              <w:rPr>
                <w:rFonts w:hint="eastAsia" w:ascii="方正黑体_GBK" w:hAnsi="方正黑体_GBK" w:eastAsia="方正黑体_GBK" w:cs="方正黑体_GBK"/>
              </w:rPr>
              <w:t>体现了法律对个体尊严与生存权的终极关怀。</w:t>
            </w:r>
          </w:p>
          <w:p w14:paraId="6969095B">
            <w:pPr>
              <w:ind w:firstLine="422" w:firstLineChars="200"/>
              <w:rPr>
                <w:rFonts w:hint="eastAsia" w:ascii="方正黑体_GBK" w:hAnsi="方正黑体_GBK" w:eastAsia="方正黑体_GBK" w:cs="方正黑体_GBK"/>
              </w:rPr>
            </w:pPr>
            <w:r>
              <w:rPr>
                <w:rFonts w:hint="eastAsia" w:ascii="方正黑体_GBK" w:hAnsi="方正黑体_GBK" w:eastAsia="方正黑体_GBK" w:cs="方正黑体_GBK"/>
                <w:b/>
                <w:bCs/>
                <w:color w:val="000000" w:themeColor="text1"/>
                <w:sz w:val="21"/>
                <w:szCs w:val="21"/>
                <w:lang w:val="en-US" w:eastAsia="zh-CN"/>
                <w14:textFill>
                  <w14:solidFill>
                    <w14:schemeClr w14:val="tx1"/>
                  </w14:solidFill>
                </w14:textFill>
              </w:rPr>
              <w:t>节目触觉深入，</w:t>
            </w:r>
            <w:r>
              <w:rPr>
                <w:rFonts w:hint="eastAsia" w:ascii="方正黑体_GBK" w:hAnsi="方正黑体_GBK" w:eastAsia="方正黑体_GBK" w:cs="方正黑体_GBK"/>
                <w:b/>
                <w:bCs/>
              </w:rPr>
              <w:t>情理交融引发广泛共鸣</w:t>
            </w:r>
            <w:r>
              <w:rPr>
                <w:rFonts w:hint="eastAsia" w:ascii="方正黑体_GBK" w:hAnsi="方正黑体_GBK" w:eastAsia="方正黑体_GBK" w:cs="方正黑体_GBK"/>
                <w:b/>
                <w:bCs/>
                <w:lang w:eastAsia="zh-CN"/>
              </w:rPr>
              <w:t>。</w:t>
            </w:r>
            <w:r>
              <w:rPr>
                <w:rFonts w:hint="eastAsia" w:ascii="方正黑体_GBK" w:hAnsi="方正黑体_GBK" w:eastAsia="方正黑体_GBK" w:cs="方正黑体_GBK"/>
              </w:rPr>
              <w:t>作品以真实感人的叙事、严谨专业的法理阐释，实现了政治效果、法律效果与社会效果的统一。</w:t>
            </w:r>
            <w:r>
              <w:rPr>
                <w:rFonts w:hint="eastAsia" w:ascii="方正黑体_GBK" w:hAnsi="方正黑体_GBK" w:eastAsia="方正黑体_GBK" w:cs="方正黑体_GBK"/>
                <w:lang w:val="en-US" w:eastAsia="zh-CN"/>
              </w:rPr>
              <w:t>节目</w:t>
            </w:r>
            <w:r>
              <w:rPr>
                <w:rFonts w:hint="eastAsia" w:ascii="方正黑体_GBK" w:hAnsi="方正黑体_GBK" w:eastAsia="方正黑体_GBK" w:cs="方正黑体_GBK"/>
              </w:rPr>
              <w:t>不仅普及了“虚假婚姻可撤销”等法律知识，强化了“群众利益无小事”的社会共识，</w:t>
            </w:r>
            <w:r>
              <w:rPr>
                <w:rFonts w:hint="eastAsia" w:ascii="方正黑体_GBK" w:hAnsi="方正黑体_GBK" w:eastAsia="方正黑体_GBK" w:cs="方正黑体_GBK"/>
                <w:lang w:val="en-US" w:eastAsia="zh-CN"/>
              </w:rPr>
              <w:t>更</w:t>
            </w:r>
            <w:r>
              <w:rPr>
                <w:rFonts w:hint="eastAsia" w:ascii="方正黑体_GBK" w:hAnsi="方正黑体_GBK" w:eastAsia="方正黑体_GBK" w:cs="方正黑体_GBK"/>
              </w:rPr>
              <w:t>展现了新闻作品凝聚人心、引导舆论、推动善治的强大力量</w:t>
            </w:r>
            <w:r>
              <w:rPr>
                <w:rFonts w:hint="eastAsia" w:ascii="方正黑体_GBK" w:hAnsi="方正黑体_GBK" w:eastAsia="方正黑体_GBK" w:cs="方正黑体_GBK"/>
                <w:lang w:eastAsia="zh-CN"/>
              </w:rPr>
              <w:t>，</w:t>
            </w:r>
            <w:r>
              <w:rPr>
                <w:rFonts w:hint="eastAsia" w:ascii="方正黑体_GBK" w:hAnsi="方正黑体_GBK" w:eastAsia="方正黑体_GBK" w:cs="方正黑体_GBK"/>
              </w:rPr>
              <w:t>是一篇兼具思想深度、情感温度与专业厚度的优秀作品。</w:t>
            </w:r>
          </w:p>
          <w:p w14:paraId="50631FC9">
            <w:pPr>
              <w:spacing w:line="240" w:lineRule="auto"/>
              <w:rPr>
                <w:rFonts w:hint="eastAsia" w:ascii="方正黑体_GBK" w:hAnsi="方正黑体_GBK" w:eastAsia="方正黑体_GBK" w:cs="方正黑体_GBK"/>
                <w:sz w:val="24"/>
                <w:szCs w:val="28"/>
              </w:rPr>
            </w:pPr>
            <w:r>
              <w:rPr>
                <w:rFonts w:hint="eastAsia" w:ascii="方正黑体_GBK" w:hAnsi="方正黑体_GBK" w:eastAsia="方正黑体_GBK" w:cs="方正黑体_GBK"/>
                <w:spacing w:val="-2"/>
                <w:sz w:val="24"/>
                <w:szCs w:val="28"/>
              </w:rPr>
              <w:t xml:space="preserve"> </w:t>
            </w:r>
            <w:r>
              <w:rPr>
                <w:rFonts w:hint="eastAsia" w:ascii="方正黑体_GBK" w:hAnsi="方正黑体_GBK" w:eastAsia="方正黑体_GBK" w:cs="方正黑体_GBK"/>
                <w:sz w:val="24"/>
                <w:szCs w:val="28"/>
              </w:rPr>
              <w:t>签名：</w:t>
            </w:r>
            <w:r>
              <w:rPr>
                <w:rFonts w:hint="eastAsia" w:ascii="方正黑体_GBK" w:hAnsi="方正黑体_GBK" w:eastAsia="方正黑体_GBK" w:cs="方正黑体_GBK"/>
                <w:sz w:val="24"/>
                <w:szCs w:val="28"/>
                <w:lang w:val="en-US" w:eastAsia="zh-CN"/>
              </w:rPr>
              <w:t xml:space="preserve">                                       </w:t>
            </w:r>
            <w:r>
              <w:rPr>
                <w:rFonts w:hint="eastAsia" w:ascii="方正黑体_GBK" w:hAnsi="方正黑体_GBK" w:eastAsia="方正黑体_GBK" w:cs="方正黑体_GBK"/>
                <w:sz w:val="24"/>
                <w:szCs w:val="28"/>
              </w:rPr>
              <w:t>202</w:t>
            </w:r>
            <w:r>
              <w:rPr>
                <w:rFonts w:hint="eastAsia" w:ascii="方正黑体_GBK" w:hAnsi="方正黑体_GBK" w:eastAsia="方正黑体_GBK" w:cs="方正黑体_GBK"/>
                <w:sz w:val="24"/>
                <w:szCs w:val="28"/>
                <w:lang w:val="en-US" w:eastAsia="zh-CN"/>
              </w:rPr>
              <w:t>6</w:t>
            </w:r>
            <w:r>
              <w:rPr>
                <w:rFonts w:hint="eastAsia" w:ascii="方正黑体_GBK" w:hAnsi="方正黑体_GBK" w:eastAsia="方正黑体_GBK" w:cs="方正黑体_GBK"/>
                <w:sz w:val="24"/>
                <w:szCs w:val="28"/>
              </w:rPr>
              <w:t>年  月  日</w:t>
            </w:r>
          </w:p>
        </w:tc>
      </w:tr>
      <w:tr w14:paraId="1C6791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3" w:hRule="exact"/>
        </w:trPr>
        <w:tc>
          <w:tcPr>
            <w:tcW w:w="1831" w:type="dxa"/>
            <w:tcBorders>
              <w:top w:val="single" w:color="auto" w:sz="6" w:space="0"/>
              <w:left w:val="single" w:color="auto" w:sz="6" w:space="0"/>
              <w:bottom w:val="single" w:color="auto" w:sz="6" w:space="0"/>
              <w:right w:val="single" w:color="auto" w:sz="6" w:space="0"/>
            </w:tcBorders>
            <w:vAlign w:val="center"/>
          </w:tcPr>
          <w:p w14:paraId="67C42BC6">
            <w:pPr>
              <w:spacing w:after="0" w:line="340" w:lineRule="exact"/>
              <w:rPr>
                <w:rFonts w:hint="eastAsia" w:ascii="方正黑体_GBK" w:hAnsi="方正黑体_GBK" w:eastAsia="方正黑体_GBK" w:cs="方正黑体_GBK"/>
                <w:sz w:val="28"/>
              </w:rPr>
            </w:pPr>
            <w:r>
              <w:rPr>
                <w:rFonts w:hint="eastAsia" w:ascii="方正黑体_GBK" w:hAnsi="方正黑体_GBK" w:eastAsia="方正黑体_GBK" w:cs="方正黑体_GBK"/>
                <w:sz w:val="28"/>
              </w:rPr>
              <w:t>联系人</w:t>
            </w:r>
          </w:p>
        </w:tc>
        <w:tc>
          <w:tcPr>
            <w:tcW w:w="1590" w:type="dxa"/>
            <w:gridSpan w:val="2"/>
            <w:tcBorders>
              <w:top w:val="single" w:color="auto" w:sz="6" w:space="0"/>
              <w:left w:val="single" w:color="auto" w:sz="6" w:space="0"/>
              <w:bottom w:val="single" w:color="auto" w:sz="6" w:space="0"/>
              <w:right w:val="single" w:color="auto" w:sz="4" w:space="0"/>
            </w:tcBorders>
            <w:vAlign w:val="center"/>
          </w:tcPr>
          <w:p w14:paraId="5859D982">
            <w:pPr>
              <w:spacing w:after="0" w:line="340" w:lineRule="exact"/>
              <w:ind w:firstLine="280" w:firstLineChars="100"/>
              <w:rPr>
                <w:rFonts w:hint="eastAsia" w:ascii="方正黑体_GBK" w:hAnsi="方正黑体_GBK" w:eastAsia="方正黑体_GBK" w:cs="方正黑体_GBK"/>
                <w:sz w:val="28"/>
                <w:lang w:val="en-US" w:eastAsia="zh-CN"/>
              </w:rPr>
            </w:pPr>
            <w:r>
              <w:rPr>
                <w:rFonts w:hint="eastAsia" w:ascii="方正黑体_GBK" w:hAnsi="方正黑体_GBK" w:eastAsia="方正黑体_GBK" w:cs="方正黑体_GBK"/>
                <w:sz w:val="28"/>
                <w:lang w:val="en-US" w:eastAsia="zh-CN"/>
              </w:rPr>
              <w:t>李琼</w:t>
            </w:r>
          </w:p>
        </w:tc>
        <w:tc>
          <w:tcPr>
            <w:tcW w:w="784" w:type="dxa"/>
            <w:tcBorders>
              <w:top w:val="single" w:color="auto" w:sz="6" w:space="0"/>
              <w:left w:val="single" w:color="auto" w:sz="6" w:space="0"/>
              <w:bottom w:val="single" w:color="auto" w:sz="6" w:space="0"/>
              <w:right w:val="single" w:color="auto" w:sz="4" w:space="0"/>
            </w:tcBorders>
            <w:vAlign w:val="center"/>
          </w:tcPr>
          <w:p w14:paraId="1A41D18F">
            <w:pPr>
              <w:spacing w:after="0" w:line="340" w:lineRule="exact"/>
              <w:rPr>
                <w:rFonts w:hint="eastAsia" w:ascii="方正黑体_GBK" w:hAnsi="方正黑体_GBK" w:eastAsia="方正黑体_GBK" w:cs="方正黑体_GBK"/>
                <w:sz w:val="28"/>
              </w:rPr>
            </w:pPr>
            <w:r>
              <w:rPr>
                <w:rFonts w:hint="eastAsia" w:ascii="方正黑体_GBK" w:hAnsi="方正黑体_GBK" w:eastAsia="方正黑体_GBK" w:cs="方正黑体_GBK"/>
                <w:sz w:val="28"/>
              </w:rPr>
              <w:t>电话</w:t>
            </w:r>
          </w:p>
        </w:tc>
        <w:tc>
          <w:tcPr>
            <w:tcW w:w="2501" w:type="dxa"/>
            <w:gridSpan w:val="4"/>
            <w:tcBorders>
              <w:top w:val="single" w:color="auto" w:sz="6" w:space="0"/>
              <w:left w:val="single" w:color="auto" w:sz="6" w:space="0"/>
              <w:bottom w:val="single" w:color="auto" w:sz="6" w:space="0"/>
              <w:right w:val="single" w:color="auto" w:sz="4" w:space="0"/>
            </w:tcBorders>
            <w:vAlign w:val="center"/>
          </w:tcPr>
          <w:p w14:paraId="6A9A8025">
            <w:pPr>
              <w:spacing w:after="0" w:line="340" w:lineRule="exact"/>
              <w:rPr>
                <w:rFonts w:hint="default" w:ascii="方正黑体_GBK" w:hAnsi="方正黑体_GBK" w:eastAsia="方正黑体_GBK" w:cs="方正黑体_GBK"/>
                <w:sz w:val="28"/>
                <w:lang w:val="en-US" w:eastAsia="zh-CN"/>
              </w:rPr>
            </w:pPr>
            <w:r>
              <w:rPr>
                <w:rFonts w:hint="eastAsia" w:ascii="方正黑体_GBK" w:hAnsi="方正黑体_GBK" w:eastAsia="方正黑体_GBK" w:cs="方正黑体_GBK"/>
                <w:sz w:val="28"/>
                <w:lang w:val="en-US" w:eastAsia="zh-CN"/>
              </w:rPr>
              <w:t>49863247</w:t>
            </w:r>
          </w:p>
        </w:tc>
        <w:tc>
          <w:tcPr>
            <w:tcW w:w="800" w:type="dxa"/>
            <w:gridSpan w:val="2"/>
            <w:tcBorders>
              <w:top w:val="single" w:color="auto" w:sz="6" w:space="0"/>
              <w:left w:val="single" w:color="auto" w:sz="4" w:space="0"/>
              <w:bottom w:val="single" w:color="auto" w:sz="6" w:space="0"/>
              <w:right w:val="single" w:color="auto" w:sz="4" w:space="0"/>
            </w:tcBorders>
            <w:vAlign w:val="center"/>
          </w:tcPr>
          <w:p w14:paraId="7E5B9E4D">
            <w:pPr>
              <w:spacing w:after="0" w:line="340" w:lineRule="exact"/>
              <w:rPr>
                <w:rFonts w:hint="eastAsia" w:ascii="方正黑体_GBK" w:hAnsi="方正黑体_GBK" w:eastAsia="方正黑体_GBK" w:cs="方正黑体_GBK"/>
                <w:sz w:val="28"/>
              </w:rPr>
            </w:pPr>
            <w:r>
              <w:rPr>
                <w:rFonts w:hint="eastAsia" w:ascii="方正黑体_GBK" w:hAnsi="方正黑体_GBK" w:eastAsia="方正黑体_GBK" w:cs="方正黑体_GBK"/>
                <w:sz w:val="28"/>
              </w:rPr>
              <w:t>手机</w:t>
            </w:r>
          </w:p>
        </w:tc>
        <w:tc>
          <w:tcPr>
            <w:tcW w:w="2842" w:type="dxa"/>
            <w:gridSpan w:val="2"/>
            <w:tcBorders>
              <w:top w:val="single" w:color="auto" w:sz="6" w:space="0"/>
              <w:left w:val="single" w:color="auto" w:sz="4" w:space="0"/>
              <w:bottom w:val="single" w:color="auto" w:sz="6" w:space="0"/>
              <w:right w:val="single" w:color="auto" w:sz="6" w:space="0"/>
            </w:tcBorders>
            <w:vAlign w:val="center"/>
          </w:tcPr>
          <w:p w14:paraId="08EB62EA">
            <w:pPr>
              <w:spacing w:after="0" w:line="340" w:lineRule="exact"/>
              <w:rPr>
                <w:rFonts w:hint="default" w:ascii="方正黑体_GBK" w:hAnsi="方正黑体_GBK" w:eastAsia="方正黑体_GBK" w:cs="方正黑体_GBK"/>
                <w:sz w:val="28"/>
                <w:lang w:val="en-US" w:eastAsia="zh-CN"/>
              </w:rPr>
            </w:pPr>
            <w:r>
              <w:rPr>
                <w:rFonts w:hint="eastAsia" w:ascii="方正黑体_GBK" w:hAnsi="方正黑体_GBK" w:eastAsia="方正黑体_GBK" w:cs="方正黑体_GBK"/>
                <w:sz w:val="28"/>
                <w:lang w:val="en-US" w:eastAsia="zh-CN"/>
              </w:rPr>
              <w:t>17726228668</w:t>
            </w:r>
          </w:p>
        </w:tc>
      </w:tr>
      <w:tr w14:paraId="7F65A0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2" w:hRule="exact"/>
        </w:trPr>
        <w:tc>
          <w:tcPr>
            <w:tcW w:w="1831" w:type="dxa"/>
            <w:tcBorders>
              <w:top w:val="single" w:color="auto" w:sz="6" w:space="0"/>
              <w:left w:val="single" w:color="auto" w:sz="6" w:space="0"/>
              <w:bottom w:val="single" w:color="auto" w:sz="6" w:space="0"/>
              <w:right w:val="single" w:color="auto" w:sz="6" w:space="0"/>
            </w:tcBorders>
            <w:vAlign w:val="center"/>
          </w:tcPr>
          <w:p w14:paraId="6D4AF813">
            <w:pPr>
              <w:spacing w:after="0" w:line="340" w:lineRule="exact"/>
              <w:rPr>
                <w:rFonts w:hint="eastAsia" w:ascii="方正黑体_GBK" w:hAnsi="方正黑体_GBK" w:eastAsia="方正黑体_GBK" w:cs="方正黑体_GBK"/>
                <w:sz w:val="28"/>
              </w:rPr>
            </w:pPr>
            <w:r>
              <w:rPr>
                <w:rFonts w:hint="eastAsia" w:ascii="方正黑体_GBK" w:hAnsi="方正黑体_GBK" w:eastAsia="方正黑体_GBK" w:cs="方正黑体_GBK"/>
                <w:sz w:val="28"/>
              </w:rPr>
              <w:t>地址</w:t>
            </w:r>
          </w:p>
        </w:tc>
        <w:tc>
          <w:tcPr>
            <w:tcW w:w="4875" w:type="dxa"/>
            <w:gridSpan w:val="7"/>
            <w:tcBorders>
              <w:top w:val="single" w:color="auto" w:sz="6" w:space="0"/>
              <w:left w:val="single" w:color="auto" w:sz="6" w:space="0"/>
              <w:bottom w:val="single" w:color="auto" w:sz="6" w:space="0"/>
              <w:right w:val="single" w:color="auto" w:sz="6" w:space="0"/>
            </w:tcBorders>
            <w:vAlign w:val="center"/>
          </w:tcPr>
          <w:p w14:paraId="7BDAEEE6">
            <w:pPr>
              <w:spacing w:after="0" w:line="340" w:lineRule="exact"/>
              <w:rPr>
                <w:rFonts w:hint="default" w:ascii="方正黑体_GBK" w:hAnsi="方正黑体_GBK" w:eastAsia="方正黑体_GBK" w:cs="方正黑体_GBK"/>
                <w:sz w:val="28"/>
                <w:lang w:val="en-US" w:eastAsia="zh-CN"/>
              </w:rPr>
            </w:pPr>
            <w:r>
              <w:rPr>
                <w:rFonts w:hint="eastAsia" w:ascii="方正黑体_GBK" w:hAnsi="方正黑体_GBK" w:eastAsia="方正黑体_GBK" w:cs="方正黑体_GBK"/>
                <w:sz w:val="28"/>
                <w:lang w:val="en-US" w:eastAsia="zh-CN"/>
              </w:rPr>
              <w:t>重庆市永川区外环西路92号</w:t>
            </w:r>
          </w:p>
        </w:tc>
        <w:tc>
          <w:tcPr>
            <w:tcW w:w="800" w:type="dxa"/>
            <w:gridSpan w:val="2"/>
            <w:tcBorders>
              <w:top w:val="single" w:color="auto" w:sz="6" w:space="0"/>
              <w:left w:val="single" w:color="auto" w:sz="6" w:space="0"/>
              <w:bottom w:val="single" w:color="auto" w:sz="6" w:space="0"/>
              <w:right w:val="single" w:color="auto" w:sz="6" w:space="0"/>
            </w:tcBorders>
            <w:vAlign w:val="center"/>
          </w:tcPr>
          <w:p w14:paraId="1A2EA9FE">
            <w:pPr>
              <w:spacing w:after="0" w:line="340" w:lineRule="exact"/>
              <w:rPr>
                <w:rFonts w:hint="eastAsia" w:ascii="方正黑体_GBK" w:hAnsi="方正黑体_GBK" w:eastAsia="方正黑体_GBK" w:cs="方正黑体_GBK"/>
                <w:sz w:val="28"/>
              </w:rPr>
            </w:pPr>
            <w:r>
              <w:rPr>
                <w:rFonts w:hint="eastAsia" w:ascii="方正黑体_GBK" w:hAnsi="方正黑体_GBK" w:eastAsia="方正黑体_GBK" w:cs="方正黑体_GBK"/>
                <w:sz w:val="28"/>
              </w:rPr>
              <w:t>邮箱</w:t>
            </w:r>
          </w:p>
        </w:tc>
        <w:tc>
          <w:tcPr>
            <w:tcW w:w="2842" w:type="dxa"/>
            <w:gridSpan w:val="2"/>
            <w:tcBorders>
              <w:top w:val="single" w:color="auto" w:sz="6" w:space="0"/>
              <w:left w:val="single" w:color="auto" w:sz="6" w:space="0"/>
              <w:bottom w:val="single" w:color="auto" w:sz="6" w:space="0"/>
              <w:right w:val="single" w:color="auto" w:sz="6" w:space="0"/>
            </w:tcBorders>
            <w:vAlign w:val="center"/>
          </w:tcPr>
          <w:p w14:paraId="1DEE0B1C">
            <w:pPr>
              <w:spacing w:after="0" w:line="340" w:lineRule="exact"/>
              <w:rPr>
                <w:rFonts w:hint="eastAsia" w:ascii="方正黑体_GBK" w:hAnsi="方正黑体_GBK" w:eastAsia="方正黑体_GBK" w:cs="方正黑体_GBK"/>
                <w:sz w:val="28"/>
              </w:rPr>
            </w:pPr>
          </w:p>
        </w:tc>
      </w:tr>
    </w:tbl>
    <w:p w14:paraId="264C6757"/>
    <w:p w14:paraId="75CC1555"/>
    <w:sectPr>
      <w:pgSz w:w="11906" w:h="16838"/>
      <w:pgMar w:top="1440" w:right="1800" w:bottom="1440" w:left="1304"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1" w:fontKey="{ABCA5C30-BAED-4A4F-95B8-007DE469BE8E}"/>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方正小标宋_GBK">
    <w:panose1 w:val="02000000000000000000"/>
    <w:charset w:val="86"/>
    <w:family w:val="script"/>
    <w:pitch w:val="default"/>
    <w:sig w:usb0="00000001" w:usb1="080E0000" w:usb2="00000000" w:usb3="00000000" w:csb0="00040000" w:csb1="00000000"/>
    <w:embedRegular r:id="rId2" w:fontKey="{57CEB335-207F-4992-BF32-62FB65FC3B78}"/>
  </w:font>
  <w:font w:name="方正黑体_GBK">
    <w:panose1 w:val="02000000000000000000"/>
    <w:charset w:val="86"/>
    <w:family w:val="script"/>
    <w:pitch w:val="default"/>
    <w:sig w:usb0="A00002BF" w:usb1="38CF7CFA" w:usb2="00082016" w:usb3="00000000" w:csb0="00040001" w:csb1="00000000"/>
    <w:embedRegular r:id="rId3" w:fontKey="{ABC583B6-6B27-4D64-A515-F45136051EB7}"/>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8" w:lineRule="auto"/>
      </w:pPr>
      <w:r>
        <w:separator/>
      </w:r>
    </w:p>
  </w:footnote>
  <w:footnote w:type="continuationSeparator" w:id="1">
    <w:p>
      <w:pPr>
        <w:spacing w:before="0" w:after="0" w:line="278"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doNotDisplayPageBoundaries w:val="1"/>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A195B3E"/>
    <w:rsid w:val="05786453"/>
    <w:rsid w:val="09E816B9"/>
    <w:rsid w:val="1FCC7423"/>
    <w:rsid w:val="2A195B3E"/>
    <w:rsid w:val="4C8A7A53"/>
    <w:rsid w:val="4FF83AC3"/>
    <w:rsid w:val="5C7E2612"/>
    <w:rsid w:val="61A0142C"/>
    <w:rsid w:val="75454AF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qFormat="1" w:uiPriority="99"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after="160" w:line="278" w:lineRule="auto"/>
      <w:jc w:val="both"/>
    </w:pPr>
    <w:rPr>
      <w:rFonts w:ascii="Calibri" w:hAnsi="Calibri" w:eastAsia="宋体" w:cs="黑体"/>
      <w:kern w:val="2"/>
      <w:sz w:val="21"/>
      <w:szCs w:val="22"/>
      <w:lang w:val="en-US" w:eastAsia="zh-CN"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Body Text 3"/>
    <w:basedOn w:val="1"/>
    <w:unhideWhenUsed/>
    <w:qFormat/>
    <w:uiPriority w:val="99"/>
    <w:pPr>
      <w:spacing w:after="120"/>
    </w:pPr>
    <w:rPr>
      <w:rFonts w:eastAsia="仿宋_GB2312"/>
      <w:sz w:val="16"/>
      <w:szCs w:val="16"/>
    </w:rPr>
  </w:style>
  <w:style w:type="paragraph" w:styleId="3">
    <w:name w:val="Body Text"/>
    <w:basedOn w:val="1"/>
    <w:next w:val="1"/>
    <w:unhideWhenUsed/>
    <w:qFormat/>
    <w:uiPriority w:val="0"/>
    <w:pPr>
      <w:spacing w:after="120"/>
    </w:pPr>
    <w:rPr>
      <w:rFonts w:eastAsia="仿宋_GB2312" w:cs="Times New Roman"/>
      <w:sz w:val="32"/>
      <w:szCs w:val="24"/>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1753</Words>
  <Characters>1800</Characters>
  <Lines>0</Lines>
  <Paragraphs>0</Paragraphs>
  <TotalTime>3</TotalTime>
  <ScaleCrop>false</ScaleCrop>
  <LinksUpToDate>false</LinksUpToDate>
  <CharactersWithSpaces>1863</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2026-03-11T05:03:00Z</dcterms:created>
  <dc:creator>大唐</dc:creator>
  <cp:lastModifiedBy>很凶很凶的哦</cp:lastModifiedBy>
  <dcterms:modified xsi:type="dcterms:W3CDTF">2026-03-13T06:19:09Z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9FE745B1650047CDAC5964032BD98B12_13</vt:lpwstr>
  </property>
  <property fmtid="{D5CDD505-2E9C-101B-9397-08002B2CF9AE}" pid="4" name="KSOTemplateDocerSaveRecord">
    <vt:lpwstr>eyJoZGlkIjoiOGQ3ZTQzYWFjMWI5MTc2Y2M2ZGFhZjU3ZDU2N2MyYzIiLCJ1c2VySWQiOiIzOTgyMzE2MjQifQ==</vt:lpwstr>
  </property>
</Properties>
</file>