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EF377">
      <w:pPr>
        <w:spacing w:after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7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1285"/>
        <w:gridCol w:w="35"/>
        <w:gridCol w:w="1249"/>
        <w:gridCol w:w="91"/>
        <w:gridCol w:w="914"/>
        <w:gridCol w:w="280"/>
        <w:gridCol w:w="2102"/>
      </w:tblGrid>
      <w:tr w14:paraId="2D94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4" w:hRule="exact"/>
        </w:trPr>
        <w:tc>
          <w:tcPr>
            <w:tcW w:w="1824" w:type="dxa"/>
            <w:noWrap w:val="0"/>
            <w:vAlign w:val="center"/>
          </w:tcPr>
          <w:p w14:paraId="5120456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888" w:type="dxa"/>
            <w:gridSpan w:val="7"/>
            <w:noWrap w:val="0"/>
            <w:vAlign w:val="center"/>
          </w:tcPr>
          <w:p w14:paraId="09EE224E">
            <w:pPr>
              <w:jc w:val="left"/>
              <w:rPr>
                <w:rFonts w:hint="eastAsia"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全球登顶！揭秘《哪吒2》背后的永川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</w:rPr>
              <w:t>造梦工厂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lang w:eastAsia="zh-CN"/>
              </w:rPr>
              <w:t>”</w:t>
            </w:r>
          </w:p>
          <w:p w14:paraId="1AAEF987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 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1A976B4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1547A41A">
            <w:pPr>
              <w:spacing w:after="0" w:line="260" w:lineRule="exact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18"/>
                <w:lang w:eastAsia="zh-CN"/>
              </w:rPr>
              <w:t>消息</w:t>
            </w:r>
          </w:p>
        </w:tc>
      </w:tr>
      <w:tr w14:paraId="01C0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exact"/>
        </w:trPr>
        <w:tc>
          <w:tcPr>
            <w:tcW w:w="1824" w:type="dxa"/>
            <w:vMerge w:val="restart"/>
            <w:noWrap w:val="0"/>
            <w:vAlign w:val="center"/>
          </w:tcPr>
          <w:p w14:paraId="02C3583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888" w:type="dxa"/>
            <w:gridSpan w:val="7"/>
            <w:vMerge w:val="restart"/>
            <w:noWrap w:val="0"/>
            <w:vAlign w:val="center"/>
          </w:tcPr>
          <w:p w14:paraId="316FD287">
            <w:pPr>
              <w:spacing w:after="0" w:line="300" w:lineRule="exact"/>
              <w:rPr>
                <w:rFonts w:hint="default" w:ascii="Times New Roman" w:hAnsi="Times New Roman" w:eastAsia="华文中宋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18"/>
                <w:lang w:val="en-US" w:eastAsia="zh-CN"/>
              </w:rPr>
              <w:t>3分29秒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2E0A445C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7FD86438">
            <w:pPr>
              <w:spacing w:after="0" w:line="260" w:lineRule="exact"/>
              <w:ind w:firstLine="1200" w:firstLineChars="500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</w:tr>
      <w:tr w14:paraId="2CB6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exact"/>
        </w:trPr>
        <w:tc>
          <w:tcPr>
            <w:tcW w:w="1824" w:type="dxa"/>
            <w:vMerge w:val="continue"/>
            <w:noWrap w:val="0"/>
            <w:vAlign w:val="center"/>
          </w:tcPr>
          <w:p w14:paraId="3FD96E0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888" w:type="dxa"/>
            <w:gridSpan w:val="7"/>
            <w:vMerge w:val="continue"/>
            <w:noWrap w:val="0"/>
            <w:vAlign w:val="center"/>
          </w:tcPr>
          <w:p w14:paraId="6B7646BD">
            <w:pPr>
              <w:spacing w:after="0" w:line="32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51A921A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334DE20D">
            <w:pPr>
              <w:spacing w:after="0" w:line="240" w:lineRule="atLeast"/>
              <w:rPr>
                <w:rFonts w:hint="default" w:ascii="Times New Roman" w:hAnsi="Times New Roman" w:eastAsia="宋体"/>
                <w:sz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lang w:val="en-US" w:eastAsia="zh-CN"/>
              </w:rPr>
              <w:t xml:space="preserve">        </w:t>
            </w:r>
          </w:p>
        </w:tc>
      </w:tr>
      <w:tr w14:paraId="6C0EC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24" w:type="dxa"/>
            <w:noWrap w:val="0"/>
            <w:vAlign w:val="center"/>
          </w:tcPr>
          <w:p w14:paraId="0BA038F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35688A17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225EA59A">
            <w:pPr>
              <w:spacing w:after="0" w:line="260" w:lineRule="exact"/>
              <w:rPr>
                <w:rFonts w:ascii="Times New Roman" w:hAnsi="Times New Roman" w:eastAsia="方正仿宋_GBK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涂山懋、张强、龚毅、王志瑛、段机燕</w:t>
            </w:r>
          </w:p>
        </w:tc>
        <w:tc>
          <w:tcPr>
            <w:tcW w:w="1486" w:type="dxa"/>
            <w:gridSpan w:val="3"/>
            <w:noWrap w:val="0"/>
            <w:vAlign w:val="center"/>
          </w:tcPr>
          <w:p w14:paraId="20818F3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636" w:type="dxa"/>
            <w:gridSpan w:val="5"/>
            <w:noWrap w:val="0"/>
            <w:vAlign w:val="center"/>
          </w:tcPr>
          <w:p w14:paraId="60CFDC40">
            <w:pPr>
              <w:spacing w:after="0" w:line="260" w:lineRule="exact"/>
              <w:ind w:firstLine="240" w:firstLineChars="100"/>
              <w:rPr>
                <w:rFonts w:ascii="Times New Roman" w:hAnsi="Times New Roman" w:eastAsia="方正仿宋_GBK"/>
                <w:w w:val="95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陈巍、林燕、王航</w:t>
            </w:r>
          </w:p>
        </w:tc>
      </w:tr>
      <w:tr w14:paraId="4CF8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824" w:type="dxa"/>
            <w:noWrap w:val="0"/>
            <w:vAlign w:val="center"/>
          </w:tcPr>
          <w:p w14:paraId="5A7CE52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554FC358">
            <w:pPr>
              <w:spacing w:after="0" w:line="260" w:lineRule="exact"/>
              <w:ind w:firstLine="240" w:firstLineChars="100"/>
              <w:jc w:val="center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重庆市永川区</w:t>
            </w:r>
          </w:p>
          <w:p w14:paraId="2A12036C">
            <w:pPr>
              <w:spacing w:after="0" w:line="260" w:lineRule="exact"/>
              <w:ind w:firstLine="240" w:firstLineChars="100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融媒体中心</w:t>
            </w:r>
          </w:p>
        </w:tc>
        <w:tc>
          <w:tcPr>
            <w:tcW w:w="1486" w:type="dxa"/>
            <w:gridSpan w:val="3"/>
            <w:noWrap w:val="0"/>
            <w:vAlign w:val="center"/>
          </w:tcPr>
          <w:p w14:paraId="6A9ABE0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636" w:type="dxa"/>
            <w:gridSpan w:val="5"/>
            <w:noWrap w:val="0"/>
            <w:vAlign w:val="center"/>
          </w:tcPr>
          <w:p w14:paraId="6EC84807">
            <w:pPr>
              <w:spacing w:after="0" w:line="260" w:lineRule="exact"/>
              <w:ind w:firstLine="240" w:firstLineChars="100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重庆电视台、永川广播电视台</w:t>
            </w:r>
          </w:p>
        </w:tc>
      </w:tr>
      <w:tr w14:paraId="6AFA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exact"/>
        </w:trPr>
        <w:tc>
          <w:tcPr>
            <w:tcW w:w="1824" w:type="dxa"/>
            <w:noWrap w:val="0"/>
            <w:vAlign w:val="center"/>
          </w:tcPr>
          <w:p w14:paraId="1C0019D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刊播版面</w:t>
            </w:r>
          </w:p>
          <w:p w14:paraId="7F51E99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(名称和版次)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1B26D1C5">
            <w:pPr>
              <w:spacing w:after="0" w:line="260" w:lineRule="exact"/>
              <w:ind w:firstLine="240" w:firstLineChars="100"/>
              <w:rPr>
                <w:rFonts w:hint="default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《重庆新闻联播》</w:t>
            </w:r>
          </w:p>
          <w:p w14:paraId="15293002">
            <w:pPr>
              <w:spacing w:after="0" w:line="260" w:lineRule="exact"/>
              <w:ind w:firstLine="240" w:firstLineChars="100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《永川新闻》</w:t>
            </w:r>
          </w:p>
        </w:tc>
        <w:tc>
          <w:tcPr>
            <w:tcW w:w="1486" w:type="dxa"/>
            <w:gridSpan w:val="3"/>
            <w:noWrap w:val="0"/>
            <w:vAlign w:val="center"/>
          </w:tcPr>
          <w:p w14:paraId="4DA35D1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636" w:type="dxa"/>
            <w:gridSpan w:val="5"/>
            <w:noWrap w:val="0"/>
            <w:vAlign w:val="center"/>
          </w:tcPr>
          <w:p w14:paraId="6077CBA7">
            <w:pPr>
              <w:spacing w:after="0" w:line="26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1"/>
                <w:lang w:val="en-US" w:eastAsia="zh-CN"/>
              </w:rPr>
              <w:t>2025年2月10日</w:t>
            </w:r>
          </w:p>
        </w:tc>
      </w:tr>
      <w:tr w14:paraId="3A0C2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noWrap w:val="0"/>
            <w:vAlign w:val="center"/>
          </w:tcPr>
          <w:p w14:paraId="3DA367AA">
            <w:pPr>
              <w:spacing w:after="0" w:line="34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888" w:type="dxa"/>
            <w:gridSpan w:val="7"/>
            <w:vMerge w:val="restart"/>
            <w:noWrap w:val="0"/>
            <w:vAlign w:val="center"/>
          </w:tcPr>
          <w:p w14:paraId="0290BFFF">
            <w:pPr>
              <w:spacing w:after="0" w:line="260" w:lineRule="exact"/>
              <w:rPr>
                <w:rFonts w:hint="eastAsia" w:ascii="Times New Roman" w:hAnsi="Times New Roman" w:eastAsia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/>
                <w:sz w:val="18"/>
                <w:szCs w:val="18"/>
              </w:rPr>
              <w:t>https://cqxyh5.cbgcloud.com/pages/details/details.html?companyId=cqxwzx&amp;productId=6B1BEE01515143AFAF290F6044E54A89&amp;docid=AD1365BD436A4065963ED081240B7919&amp;isNew=yes&amp;downloadTips=true</w:t>
            </w:r>
          </w:p>
          <w:p w14:paraId="62BF1307">
            <w:pPr>
              <w:spacing w:after="0" w:line="260" w:lineRule="exact"/>
              <w:rPr>
                <w:rFonts w:ascii="Times New Roman" w:hAnsi="Times New Roman" w:eastAsia="华文中宋"/>
                <w:sz w:val="24"/>
                <w:szCs w:val="24"/>
              </w:rPr>
            </w:pPr>
            <w:r>
              <w:rPr>
                <w:rFonts w:hint="eastAsia" w:ascii="Times New Roman" w:hAnsi="Times New Roman" w:eastAsia="华文中宋"/>
                <w:sz w:val="18"/>
                <w:szCs w:val="18"/>
              </w:rPr>
              <w:t>https://www.yongchuanwang.com.cn/web/aritcle/1338599899605073920/web/content_1338599899605073920.html</w:t>
            </w:r>
          </w:p>
        </w:tc>
        <w:tc>
          <w:tcPr>
            <w:tcW w:w="4636" w:type="dxa"/>
            <w:gridSpan w:val="5"/>
            <w:noWrap w:val="0"/>
            <w:vAlign w:val="center"/>
          </w:tcPr>
          <w:p w14:paraId="580C22C4">
            <w:pPr>
              <w:spacing w:after="0" w:line="260" w:lineRule="exact"/>
              <w:rPr>
                <w:rFonts w:hint="default" w:ascii="Times New Roman" w:hAnsi="Times New Roman" w:eastAsia="华文中宋"/>
                <w:sz w:val="28"/>
                <w:lang w:val="en-US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是</w:t>
            </w:r>
            <w:r>
              <w:rPr>
                <w:rFonts w:hint="eastAsia" w:ascii="华文中宋" w:hAnsi="华文中宋" w:eastAsia="华文中宋"/>
                <w:sz w:val="28"/>
              </w:rPr>
              <w:t>□ 否</w:t>
            </w:r>
            <w:r>
              <w:rPr>
                <w:rFonts w:hint="default" w:ascii="华文中宋" w:hAnsi="华文中宋" w:eastAsia="华文中宋"/>
                <w:sz w:val="28"/>
                <w:lang w:val="en-US"/>
              </w:rPr>
              <w:t>☑</w:t>
            </w:r>
          </w:p>
        </w:tc>
      </w:tr>
      <w:tr w14:paraId="726D1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9" w:hRule="exact"/>
        </w:trPr>
        <w:tc>
          <w:tcPr>
            <w:tcW w:w="1824" w:type="dxa"/>
            <w:vMerge w:val="continue"/>
            <w:noWrap w:val="0"/>
            <w:vAlign w:val="center"/>
          </w:tcPr>
          <w:p w14:paraId="14455B6F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888" w:type="dxa"/>
            <w:gridSpan w:val="7"/>
            <w:vMerge w:val="continue"/>
            <w:noWrap w:val="0"/>
            <w:vAlign w:val="center"/>
          </w:tcPr>
          <w:p w14:paraId="02D04199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636" w:type="dxa"/>
            <w:gridSpan w:val="5"/>
            <w:noWrap w:val="0"/>
            <w:vAlign w:val="center"/>
          </w:tcPr>
          <w:p w14:paraId="5D4A2D2E">
            <w:pPr>
              <w:spacing w:after="0" w:line="260" w:lineRule="exact"/>
              <w:rPr>
                <w:rFonts w:hint="default" w:ascii="Times New Roman" w:hAnsi="Times New Roman" w:eastAsia="华文中宋"/>
                <w:sz w:val="28"/>
                <w:lang w:val="en-US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8"/>
              </w:rPr>
              <w:t>是</w:t>
            </w:r>
            <w:r>
              <w:rPr>
                <w:rFonts w:hint="eastAsia" w:ascii="华文中宋" w:hAnsi="华文中宋" w:eastAsia="华文中宋"/>
                <w:sz w:val="28"/>
              </w:rPr>
              <w:t>□ 否</w:t>
            </w:r>
            <w:r>
              <w:rPr>
                <w:rFonts w:hint="default" w:ascii="华文中宋" w:hAnsi="华文中宋" w:eastAsia="华文中宋"/>
                <w:sz w:val="28"/>
                <w:lang w:val="en-US"/>
              </w:rPr>
              <w:t>☑</w:t>
            </w:r>
          </w:p>
        </w:tc>
      </w:tr>
      <w:tr w14:paraId="402C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0" w:hRule="atLeast"/>
        </w:trPr>
        <w:tc>
          <w:tcPr>
            <w:tcW w:w="1824" w:type="dxa"/>
            <w:noWrap w:val="0"/>
            <w:vAlign w:val="center"/>
          </w:tcPr>
          <w:p w14:paraId="1AAE18C4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noWrap w:val="0"/>
            <w:vAlign w:val="center"/>
          </w:tcPr>
          <w:p w14:paraId="00F95EFE">
            <w:pPr>
              <w:spacing w:after="0" w:line="240" w:lineRule="exact"/>
              <w:ind w:firstLine="482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8"/>
              </w:rPr>
              <w:t>聚焦全球热点，切入产业纵深。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作品紧追《哪吒之魔童闹海》登顶全球票房社会热点，深度挖掘影片背后的 “永川力量”，并跳出影片内容本身，将视角深入产业上游，是一篇兼具时效性、典型性与产业深度的优秀经济新闻报道。</w:t>
            </w:r>
          </w:p>
          <w:p w14:paraId="02EFDE6F">
            <w:pPr>
              <w:spacing w:after="0" w:line="240" w:lineRule="exact"/>
              <w:ind w:firstLine="482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8"/>
              </w:rPr>
              <w:t>扎根基层一线，呈现鲜活实践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。记者通过实地走访与深度访谈，生动呈现了千鸟动画、可酷数字、镜尘文化等企业参与核心制作的鲜活案例。报道以申公豹表情特效、龙宫场景建模等具体细节，将前沿数字技术转化为可知可感的叙事，案例扎实，细节饱满，说服力强。</w:t>
            </w:r>
          </w:p>
          <w:p w14:paraId="52FF1B24">
            <w:pPr>
              <w:spacing w:after="0" w:line="240" w:lineRule="exact"/>
              <w:ind w:firstLine="482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8"/>
              </w:rPr>
              <w:t>逻辑层层递进，解读系统深刻。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报道遵循“现象—案例—产业—规划”的清晰逻辑，由点及面、层层深入。既微观展现了企业精湛的制作技艺，更宏观系统地呈现了永川依托产业园，通过搭建平台、集聚龙头、培育生态、布局AIGC与新基建，发展数字文创全产业链，培育区域新质生产力的战略路径与实践成效。</w:t>
            </w:r>
          </w:p>
          <w:p w14:paraId="4B6F96FD">
            <w:pPr>
              <w:spacing w:after="0" w:line="240" w:lineRule="exact"/>
              <w:ind w:firstLine="482" w:firstLineChars="200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8"/>
              </w:rPr>
              <w:t>传播效果显著，服务发展大局。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作品结构严谨、行文精炼，既讲清了爆款动漫背后的产业密码，又彰显了地方产业升级的发展活力。有效提升了永川作为西部数字文创高地的城市形象，为产业集聚与区域发展营造了良好舆论氛围，发挥了服务大局、引导舆论的积极作用，是一篇“接地气、有高度、见实效”的精品力作。</w:t>
            </w:r>
          </w:p>
        </w:tc>
      </w:tr>
      <w:tr w14:paraId="0299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1" w:hRule="exact"/>
        </w:trPr>
        <w:tc>
          <w:tcPr>
            <w:tcW w:w="1824" w:type="dxa"/>
            <w:noWrap w:val="0"/>
            <w:vAlign w:val="center"/>
          </w:tcPr>
          <w:p w14:paraId="27050934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noWrap w:val="0"/>
            <w:vAlign w:val="center"/>
          </w:tcPr>
          <w:p w14:paraId="77A1C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482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4"/>
              </w:rPr>
              <w:t>实现广泛传播，助力打造“永川制作”产业地标</w:t>
            </w: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本报道通过市区两级媒体联动传播，生动呈现永川企业在《哪吒2》核心制作中的关键角色，将“永川力量”与现象级国漫IP深度绑定，成功塑造“永川制作”产业地标。报道形成的品牌效应直接转化为发展动能，2025年火山映画等涵盖AI、数字制作的前沿企业相继落户，印证了报道对提升区域产业吸引力的显著成效。</w:t>
            </w:r>
          </w:p>
          <w:p w14:paraId="20EB0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482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4"/>
              </w:rPr>
              <w:t>提振行业信心，构建“永川生态”发展矩阵</w:t>
            </w: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报道以标杆案例展现永川产业专业高度，提振了区域发展信心。2025年《一品芝麻狐》等23个重点影视项目、总投资超29亿元的产业资源加速集聚，形成了“标杆引领-企业集聚-生态完善”的良性循环。这不仅体现了市场对永川产业生态的高度认可，更推动了数字文创全产业链在永川的纵深布局。</w:t>
            </w:r>
          </w:p>
          <w:p w14:paraId="2ADCA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firstLine="482" w:firstLineChars="200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szCs w:val="24"/>
              </w:rPr>
              <w:t>紧扣时代主题，诠释高质量发展实践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作品紧扣“新质生产力”发展主题，通过《哪吒2》的案例生动诠释了数字文创驱动产业升级的路径。其揭示的发展逻辑在2025年得到延续与放大，火山映画等新质企业的落户以及《一品芝麻狐》等数十亿级项目的启动，正是永川以数字文创产业构建高质量发展新格局的实证。报道超越了单一事件报道，成为观察区域以创新驱动转型升级的一个持续性注脚，传播了坚实的积极预期。</w:t>
            </w:r>
          </w:p>
        </w:tc>
      </w:tr>
      <w:tr w14:paraId="433B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824" w:type="dxa"/>
            <w:vMerge w:val="restart"/>
            <w:noWrap w:val="0"/>
            <w:vAlign w:val="center"/>
          </w:tcPr>
          <w:p w14:paraId="68450EF4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568" w:type="dxa"/>
            <w:gridSpan w:val="5"/>
            <w:vMerge w:val="restart"/>
            <w:noWrap w:val="0"/>
            <w:vAlign w:val="center"/>
          </w:tcPr>
          <w:p w14:paraId="1F06853B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新媒体传播平台网址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2B039693">
            <w:pPr>
              <w:spacing w:after="0" w:line="260" w:lineRule="exact"/>
              <w:rPr>
                <w:rFonts w:hint="eastAsia" w:ascii="Times New Roman" w:hAnsi="Times New Roman" w:eastAsia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</w:rPr>
              <w:t>1.</w:t>
            </w:r>
            <w:r>
              <w:rPr>
                <w:rFonts w:hint="eastAsia" w:ascii="Times New Roman" w:hAnsi="Times New Roman" w:eastAsia="华文中宋"/>
                <w:sz w:val="18"/>
                <w:szCs w:val="18"/>
              </w:rPr>
              <w:t>https://cqxyh5.cbgcloud.com/pages/details/details.html?companyId=cqxwzx&amp;productId=6B1BEE01515143AFAF290F6044E54A89&amp;docid=AD1365BD436A4065963ED081240B7919&amp;isNew=yes&amp;downloadTips=true</w:t>
            </w:r>
          </w:p>
          <w:p w14:paraId="25D1EDAA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  <w:r>
              <w:rPr>
                <w:rFonts w:hint="eastAsia" w:ascii="Times New Roman" w:hAnsi="Times New Roman" w:eastAsia="华文中宋"/>
                <w:sz w:val="18"/>
                <w:szCs w:val="18"/>
              </w:rPr>
              <w:t>https://www.yongchuanwang.com.cn/web/aritcle/1338599899605073920/web/content_1338599899605073920.html</w:t>
            </w:r>
          </w:p>
        </w:tc>
      </w:tr>
      <w:tr w14:paraId="2E4A3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824" w:type="dxa"/>
            <w:vMerge w:val="continue"/>
            <w:noWrap w:val="0"/>
            <w:vAlign w:val="center"/>
          </w:tcPr>
          <w:p w14:paraId="4D4DECF1">
            <w:pPr>
              <w:pStyle w:val="3"/>
              <w:spacing w:after="0" w:line="320" w:lineRule="exact"/>
              <w:rPr>
                <w:rFonts w:ascii="方正仿宋_GBK" w:eastAsia="方正仿宋_GBK"/>
              </w:rPr>
            </w:pPr>
          </w:p>
        </w:tc>
        <w:tc>
          <w:tcPr>
            <w:tcW w:w="2568" w:type="dxa"/>
            <w:gridSpan w:val="5"/>
            <w:vMerge w:val="continue"/>
            <w:noWrap w:val="0"/>
            <w:vAlign w:val="center"/>
          </w:tcPr>
          <w:p w14:paraId="1FF30A67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77FB911D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2. </w:t>
            </w:r>
          </w:p>
        </w:tc>
      </w:tr>
      <w:tr w14:paraId="1D70F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exact"/>
        </w:trPr>
        <w:tc>
          <w:tcPr>
            <w:tcW w:w="1824" w:type="dxa"/>
            <w:vMerge w:val="continue"/>
            <w:noWrap w:val="0"/>
            <w:vAlign w:val="center"/>
          </w:tcPr>
          <w:p w14:paraId="7C61B22D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2568" w:type="dxa"/>
            <w:gridSpan w:val="5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69E73DD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70E720A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3. </w:t>
            </w:r>
            <w:r>
              <w:rPr>
                <w:rFonts w:ascii="Times New Roman" w:hAnsi="Times New Roman" w:eastAsia="方正仿宋_GBK"/>
                <w:sz w:val="24"/>
                <w:szCs w:val="28"/>
              </w:rPr>
              <w:t>…</w:t>
            </w:r>
          </w:p>
        </w:tc>
      </w:tr>
      <w:tr w14:paraId="2567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2CF2A6D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noWrap w:val="0"/>
            <w:vAlign w:val="center"/>
          </w:tcPr>
          <w:p w14:paraId="4E126502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88BD802">
            <w:pPr>
              <w:spacing w:after="0" w:line="360" w:lineRule="exact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285" w:type="dxa"/>
            <w:tcBorders>
              <w:bottom w:val="single" w:color="auto" w:sz="4" w:space="0"/>
            </w:tcBorders>
            <w:noWrap w:val="0"/>
            <w:vAlign w:val="center"/>
          </w:tcPr>
          <w:p w14:paraId="41253C82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C299B9A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6BB5B06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noWrap w:val="0"/>
            <w:vAlign w:val="center"/>
          </w:tcPr>
          <w:p w14:paraId="052AF0FC">
            <w:pPr>
              <w:spacing w:after="0" w:line="360" w:lineRule="exact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4B372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8" w:hRule="exact"/>
        </w:trPr>
        <w:tc>
          <w:tcPr>
            <w:tcW w:w="1824" w:type="dxa"/>
            <w:tcBorders>
              <w:bottom w:val="single" w:color="auto" w:sz="4" w:space="0"/>
            </w:tcBorders>
            <w:noWrap w:val="0"/>
            <w:vAlign w:val="center"/>
          </w:tcPr>
          <w:p w14:paraId="11B2CE28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5865C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选题精准，彰显新闻敏锐性。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作品敏锐捕捉到现象级文化产品与地方新兴产业发展的交汇点，从《哪吒之魔童闹海》热映成功切入，系统揭示了一个区域产业的崛起故事，成功将社会热点转化为深刻的产业观察。选题兼具新闻时效、时代内涵与地方贴近性，视角新颖独特，体现了高度的新闻敏感和全局视野。</w:t>
            </w:r>
          </w:p>
          <w:p w14:paraId="63D70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采访扎实，呈现发展具象性。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道坚持深入基层，对千鸟动画、可酷数字、镜尘文化等核心参与企业及园区管理者进行了多维度采访。通过“申公豹表情特效迭代”、“龙宫场景精雕细琢”等鲜活细节，将抽象的“数字文创产业”和“新质生产力”转化为可知可感的生动实践，案例扎实，叙事生动，有效增强了报道的感染力与说服力。</w:t>
            </w:r>
          </w:p>
          <w:p w14:paraId="4521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结构严谨，论述富有系统性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作品遵循“现象—案例—产业—规划”的清晰逻辑，由点及面、层层深入。报道不仅展现了企业个体的技术突破，更系统呈现了永川依托大数据产业园，通过搭建平台、集聚企业、完善生态、布局前沿的完整发展路径，深刻诠释了区域以科技创新驱动产业升级、培育高质量发展新动能的战略谋划与实践成效，论述全面，逻辑性强。</w:t>
            </w:r>
          </w:p>
          <w:p w14:paraId="47488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价值突出，服务发展大局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作品自觉服务于地方经济高质量发展大局，有效提升了区域产业形象，对推动地方数字文创产业成为经济增长新动能、加快培育新质生产力起到了积极的舆论引导作用。报道刊发后，火山映画等一批数字文创企业相继落户永川，2025年《一品芝麻狐》等23个重点影视项目启动，总投资超29亿元。报道超越了单一事件报道，体现了新闻工作的建设性与服务价值。是一篇主题鲜明、采访深入、写作精良、效果突出的优秀新闻作品，特此推荐参评重庆新闻奖。  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  <w:p w14:paraId="6EC81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right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（盖单位公章）202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  月  日</w:t>
            </w:r>
          </w:p>
        </w:tc>
      </w:tr>
      <w:tr w14:paraId="7A2F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C8C60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CCD729C">
            <w:pPr>
              <w:spacing w:after="0" w:line="340" w:lineRule="exact"/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  <w:t>张强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E19B83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6E9F045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02349863247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2DF844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A5956B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  <w:lang w:val="en-US" w:eastAsia="zh-CN"/>
              </w:rPr>
              <w:t>15826193427</w:t>
            </w:r>
          </w:p>
        </w:tc>
      </w:tr>
      <w:tr w14:paraId="13FFB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1C832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BA319C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  <w:t>重庆市永川区外环西路</w:t>
            </w: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92号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2B9B19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D4D361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  <w:lang w:val="en-US" w:eastAsia="zh-CN"/>
              </w:rPr>
              <w:t>150163007@qq.com</w:t>
            </w:r>
          </w:p>
        </w:tc>
      </w:tr>
    </w:tbl>
    <w:p w14:paraId="36CCD6FD">
      <w:pPr>
        <w:spacing w:after="0" w:line="60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  <w:sectPr>
          <w:headerReference r:id="rId5" w:type="default"/>
          <w:footerReference r:id="rId7" w:type="default"/>
          <w:headerReference r:id="rId6" w:type="even"/>
          <w:pgSz w:w="11906" w:h="16838"/>
          <w:pgMar w:top="1440" w:right="1247" w:bottom="1440" w:left="1247" w:header="851" w:footer="1418" w:gutter="0"/>
          <w:cols w:space="720" w:num="1"/>
          <w:docGrid w:type="lines" w:linePitch="312" w:charSpace="0"/>
        </w:sectPr>
      </w:pPr>
    </w:p>
    <w:p w14:paraId="7DC6ADDE"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全球登顶！揭秘《哪吒2》背后的永川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造梦工厂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</w:p>
    <w:p w14:paraId="51F4ADB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导语】这个春节档，《哪吒之魔童闹海》掀起观影热潮。截至2月9日，《哪吒之魔童闹海》票房突破80亿元，登顶全球影史单一市场票房榜。《哪吒之魔童闹海》成功的背后，也凝聚着来自重庆永川的“数字力量”。</w:t>
      </w:r>
    </w:p>
    <w:p w14:paraId="0F01C25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【正文】在《哪吒之魔童闹海》的制作过程中，千鸟动画作为6家联合制作方之一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制作了影片中最具张力的“反派角色”申公豹。位于</w:t>
      </w:r>
      <w:r>
        <w:rPr>
          <w:rFonts w:hint="eastAsia" w:ascii="宋体" w:hAnsi="宋体" w:cs="宋体"/>
          <w:sz w:val="28"/>
          <w:szCs w:val="28"/>
          <w:lang w:eastAsia="zh-CN"/>
        </w:rPr>
        <w:t>重庆云谷·永川大数据产业园</w:t>
      </w:r>
      <w:r>
        <w:rPr>
          <w:rFonts w:hint="eastAsia" w:ascii="宋体" w:hAnsi="宋体" w:eastAsia="宋体" w:cs="宋体"/>
          <w:sz w:val="28"/>
          <w:szCs w:val="28"/>
        </w:rPr>
        <w:t>的重庆可酷数字科技有限公司是千鸟动画的子公司，也参与了《哪吒之魔童闹海》的制作。</w:t>
      </w:r>
    </w:p>
    <w:p w14:paraId="4011D4E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【采访】千鸟动画子公司重庆可酷数字总经理 李艳磊：</w:t>
      </w:r>
    </w:p>
    <w:p w14:paraId="7B920E59">
      <w:pPr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哪吒2》永川这边的一些小伙伴大概30多人前后参与。主要制作像人物的一些表情，还有一些特效方面的一些群集，像一些铁链的制作。之前在制作的时候，制作了差不多有两三版，这个铁链的效果更多是想要达到饺子导演心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目中想要的一种效果。</w:t>
      </w:r>
    </w:p>
    <w:p w14:paraId="5FC4D6C3">
      <w:pPr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【正文】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重庆云谷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·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永川大数据产业园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的另一家企业——重庆镜尘文化传媒有限公司也为《哪吒之魔童闹海》的成功贡献了自己的力量。</w:t>
      </w:r>
    </w:p>
    <w:p w14:paraId="53A0EB3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【采访】重庆镜尘文化传媒有限公司负责人 莫锦峰：</w:t>
      </w:r>
    </w:p>
    <w:p w14:paraId="48A456F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我们做《哪吒2》主要参与的是它的模型的环节，比如说，《哪吒2》电影中的龙宫的场景之类的。</w:t>
      </w:r>
    </w:p>
    <w:p w14:paraId="31011E8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【正文】两家企业参与《哪吒2》的制作，是永川数字文创产业发展的一个生动缩影。近年来，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重庆云谷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·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永川大数据产业园</w:t>
      </w:r>
      <w:r>
        <w:rPr>
          <w:rFonts w:hint="eastAsia" w:ascii="宋体" w:hAnsi="宋体" w:eastAsia="宋体" w:cs="宋体"/>
          <w:sz w:val="28"/>
          <w:szCs w:val="28"/>
        </w:rPr>
        <w:t>搭建了中国人民大学文化科技园西部分园、爱奇艺永川文创园、西南影视创新服务中心、重庆影视拍摄一站式服务平台等数字文创企业孵化器，吸引了腾讯、优酷、完美世界等数字文创头部企业、关联企业齐聚永川，培育孵化了可酷数字、镜尘文化等120多家数字文创企业，形成了文学小说、漫画、动漫、游戏、影视、数字音频内容的全流程制作的生产力。</w:t>
      </w:r>
    </w:p>
    <w:p w14:paraId="12D2A3B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【采访】爱奇艺（重庆）文创产业园运营经理 蒋达彬：</w:t>
      </w:r>
    </w:p>
    <w:p w14:paraId="592B2D9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未来两年也能看到我们在永川制作的一些原创动画的上线，像我们镜尘会把永川的永川龙，还有茶山竹海以及神女的一些形象，或者说这样的一些故事的改编融入到我们的动画故事里面去。</w:t>
      </w:r>
    </w:p>
    <w:p w14:paraId="644E7EC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正文】今年，永川还计划启动建设大数据产业园F区，推动阿里巴巴、腾讯、抖音、泰盈科技等头部企业提质扩容，建设AIGC赋能平台、科技影视数字资产平台、虚拟拍摄系统等影视新基建，加快提升影视工业化水平。同时，充分发挥数字内容云制作平台、全景声混音、云渲染等平台优势，力争“十四五”时期，</w:t>
      </w:r>
      <w:r>
        <w:rPr>
          <w:rFonts w:hint="eastAsia" w:ascii="宋体" w:hAnsi="宋体" w:cs="宋体"/>
          <w:sz w:val="28"/>
          <w:szCs w:val="28"/>
          <w:lang w:eastAsia="zh-CN"/>
        </w:rPr>
        <w:t>重庆云谷·永川大数据产业园</w:t>
      </w:r>
      <w:r>
        <w:rPr>
          <w:rFonts w:hint="eastAsia" w:ascii="宋体" w:hAnsi="宋体" w:eastAsia="宋体" w:cs="宋体"/>
          <w:sz w:val="28"/>
          <w:szCs w:val="28"/>
        </w:rPr>
        <w:t>汇集数字文创相关企业500家，实现文创领域营收300亿元，建成文化引领、技术先进、特色鲜明的国家级文化创意产业园。</w:t>
      </w:r>
    </w:p>
    <w:p w14:paraId="008B23B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【采访】永川区大数据产业园开发管理有限公司总经理 许家永：</w:t>
      </w:r>
    </w:p>
    <w:p w14:paraId="24816E8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2025年园区将进一步加强企业服务，有力推动新质生产力发展，为永川区加快培育建设市域副中心城市注入更多新动能。</w:t>
      </w:r>
    </w:p>
    <w:p w14:paraId="116AE308"/>
    <w:sectPr>
      <w:headerReference r:id="rId8" w:type="default"/>
      <w:pgSz w:w="11906" w:h="16838"/>
      <w:pgMar w:top="720" w:right="720" w:bottom="720" w:left="720" w:header="851" w:footer="124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48643">
    <w:pPr>
      <w:pStyle w:val="4"/>
      <w:jc w:val="center"/>
      <w:rPr>
        <w:rFonts w:hint="eastAsia" w:ascii="宋体" w:hAnsi="宋体" w:cs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818515" cy="44704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85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3FB5E2">
                          <w:pPr>
                            <w:pStyle w:val="4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.05pt;height:35.2pt;width:64.45pt;mso-position-horizontal:outside;mso-position-horizontal-relative:margin;z-index:251659264;mso-width-relative:page;mso-height-relative:page;" filled="f" stroked="f" coordsize="21600,21600" o:gfxdata="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AaMcg1QAAAAQBAAAPAAAAAAAAAAEAIAAAACIAAABkcnMv&#10;ZG93bnJldi54bWxQSwECFAAUAAAACACHTuJAE//xYAYCAAAFBAAADgAAAAAAAAABACAAAAAk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D3FB5E2">
                    <w:pPr>
                      <w:pStyle w:val="4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65038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6DFAB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  <w:r>
      <w:rPr>
        <w:rFonts w:hint="eastAsia" w:ascii="楷体" w:hAnsi="楷体" w:eastAsia="楷体"/>
        <w:b/>
        <w:sz w:val="30"/>
        <w:szCs w:val="30"/>
      </w:rPr>
      <w:t>附件6</w:t>
    </w:r>
  </w:p>
  <w:p w14:paraId="5F5A0B91">
    <w:pPr>
      <w:pStyle w:val="5"/>
      <w:pBdr>
        <w:bottom w:val="none" w:color="auto" w:sz="0" w:space="0"/>
      </w:pBdr>
      <w:ind w:firstLine="36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E8113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C6A2A"/>
    <w:rsid w:val="0513515A"/>
    <w:rsid w:val="06240B89"/>
    <w:rsid w:val="19E82F5A"/>
    <w:rsid w:val="4F2C06F0"/>
    <w:rsid w:val="617C6A2A"/>
    <w:rsid w:val="6FFFA535"/>
    <w:rsid w:val="70867EB4"/>
    <w:rsid w:val="72A82CE3"/>
    <w:rsid w:val="F6FE8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6">
    <w:name w:val="Body Text First Indent"/>
    <w:basedOn w:val="3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  <w:style w:type="character" w:styleId="9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b2b4275c-1155-4320-b3ec-add76b8f2fcf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7F51E991</paraID>
      <start>0</start>
      <end>1</end>
      <status>ignored</status>
      <modifiedWord/>
      <trackRevisions>false</trackRevisions>
    </reviewItem>
    <reviewItem>
      <errorID>c957dac0-0d7f-49d5-b135-77fe9a1e2638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7F51E991</paraID>
      <start>6</start>
      <end>7</end>
      <status>ignored</status>
      <modifiedWord/>
      <trackRevisions>false</trackRevisions>
    </reviewItem>
    <reviewItem>
      <errorID>3af508cd-deb3-43de-a574-b52f04446af0</errorID>
      <errorWord>闹海</errorWord>
      <group>L1_AI</group>
      <groupName>深度校对</groupName>
      <ability>L2_AI_Word</ability>
      <abilityName>字词纠错</abilityName>
      <candidateList>
        <item>降世</item>
      </candidateList>
      <explain/>
      <paraID>389762F7</paraID>
      <start>28</start>
      <end>30</end>
      <status>ignored</status>
      <modifiedWord/>
      <trackRevisions>false</trackRevisions>
    </reviewItem>
    <reviewItem>
      <errorID>ac17ba4b-a1a5-4c51-8a3f-29667a1927c0</errorID>
      <errorWord>精炼</errorWord>
      <group>L1_Word</group>
      <groupName>字词问题</groupName>
      <ability>L2_Typo</ability>
      <abilityName>字词错误</abilityName>
      <candidateList>
        <item>精练</item>
      </candidateList>
      <explain>存在发音相同字词的误用。</explain>
      <paraID>4B6F96FD</paraID>
      <start>9</start>
      <end>11</end>
      <status>ignored</status>
      <modifiedWord/>
      <trackRevisions>false</trackRevisions>
    </reviewItem>
    <reviewItem>
      <errorID>0dc4c649-5a75-47e9-be63-857dfdce64da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2ADCAB6C</paraID>
      <start>79</start>
      <end>80</end>
      <status>ignored</status>
      <modifiedWord/>
      <trackRevisions>false</trackRevisions>
    </reviewItem>
    <reviewItem>
      <errorID>9fd092e3-20b7-44ae-9a28-2edf1af4de2c</errorID>
      <errorWord>的</errorWord>
      <group>L1_AI</group>
      <groupName>深度校对</groupName>
      <ability>L2_AI_Grammar</ability>
      <abilityName>语法纠错</abilityName>
      <candidateList>
        <item>发挥的</item>
      </candidateList>
      <explain/>
      <paraID>2ADCAB6C</paraID>
      <start>265</start>
      <end>266</end>
      <status>ignored</status>
      <modifiedWord/>
      <trackRevisions>false</trackRevisions>
    </reviewItem>
    <reviewItem>
      <errorID>bf496497-6862-40a9-8893-319ee8829aa9</errorID>
      <errorWord>角色</errorWord>
      <group>L1_AI</group>
      <groupName>深度校对</groupName>
      <ability>L2_AI_Word</ability>
      <abilityName>字词纠错</abilityName>
      <candidateList>
        <item>作用</item>
      </candidateList>
      <explain/>
      <paraID>2ADCAB6C</paraID>
      <start>270</start>
      <end>272</end>
      <status>ignored</status>
      <modifiedWord/>
      <trackRevisions>false</trackRevisions>
    </reviewItem>
    <reviewItem>
      <errorID>efb10d7f-247f-42d2-9f58-11f20b4224c6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56A68DB5</paraID>
      <start>154</start>
      <end>156</end>
      <status>modified</status>
      <modifiedWord>”“</modifiedWord>
      <trackRevisions>false</trackRevisions>
    </reviewItem>
    <reviewItem>
      <errorID>31e9947e-87ee-4d87-8b1f-a27b1633ff8b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2E6684E3</paraID>
      <start>17</start>
      <end>18</end>
      <status>ignored</status>
      <modifiedWord/>
      <trackRevisions>false</trackRevisions>
    </reviewItem>
    <reviewItem>
      <errorID>afb25825-c174-4b13-8f67-c680290407c4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2E6684E3</paraID>
      <start>20</start>
      <end>21</end>
      <status>ignored</status>
      <modifiedWord/>
      <trackRevisions>false</trackRevisions>
    </reviewItem>
    <reviewItem>
      <errorID>6e369e35-bb86-4d77-bc68-e62864491a0f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2E6684E3</paraID>
      <start>23</start>
      <end>24</end>
      <status>ignored</status>
      <modifiedWord/>
      <trackRevisions>false</trackRevisions>
    </reviewItem>
    <reviewItem>
      <errorID>0c973864-24ff-4816-ae9c-bcbb283f2a70</errorID>
      <errorWord>总经理</errorWord>
      <group>L1_AI</group>
      <groupName>深度校对</groupName>
      <ability>L2_AI_Grammar</ability>
      <abilityName>语法纠错</abilityName>
      <candidateList>
        <item>科技总经理</item>
      </candidateList>
      <explain/>
      <paraID>4011D4E0</paraID>
      <start>17</start>
      <end>20</end>
      <status>ignored</status>
      <modifiedWord/>
      <trackRevisions>false</trackRevisions>
    </reviewItem>
    <reviewItem>
      <errorID>4d377c00-e4a4-4729-912d-63a41c13ee3f</errorID>
      <errorWord>2</errorWord>
      <group>L1_AI</group>
      <groupName>深度校对</groupName>
      <ability>L2_AI_Grammar</ability>
      <abilityName>语法纠错</abilityName>
      <candidateList>
        <item>之魔童闹海</item>
      </candidateList>
      <explain/>
      <paraID>7B920E59</paraID>
      <start>3</start>
      <end>4</end>
      <status>ignored</status>
      <modifiedWord/>
      <trackRevisions>false</trackRevisions>
    </reviewItem>
    <reviewItem>
      <errorID>8e3f934d-4d9f-42e0-9566-b27141c9aa94</errorID>
      <errorWord>把永川的</errorWord>
      <group>L1_AI</group>
      <groupName>深度校对</groupName>
      <ability>L2_AI_Grammar</ability>
      <abilityName>语法纠错</abilityName>
      <candidateList>
        <item>把</item>
      </candidateList>
      <explain/>
      <paraID>592B2D98</paraID>
      <start>32</start>
      <end>36</end>
      <status>ignored</status>
      <modifiedWord/>
      <trackRevisions>false</trackRevisions>
    </reviewItem>
    <reviewItem>
      <errorID>8416f5df-499e-4174-93ca-2b7eaf79bf0d</errorID>
      <errorWord>融入到</errorWord>
      <group>L1_Word</group>
      <groupName>字词问题</groupName>
      <ability>L2_Typo</ability>
      <abilityName>字词错误</abilityName>
      <candidateList>
        <item>融入</item>
      </candidateList>
      <explain/>
      <paraID>592B2D98</paraID>
      <start>69</start>
      <end>72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90a9-1171-47db-9f6f-8a0df5e28c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3043</Words>
  <Characters>3686</Characters>
  <Lines>0</Lines>
  <Paragraphs>0</Paragraphs>
  <TotalTime>2</TotalTime>
  <ScaleCrop>false</ScaleCrop>
  <LinksUpToDate>false</LinksUpToDate>
  <CharactersWithSpaces>3743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2026-02-28T23:16:00Z</dcterms:created>
  <dc:creator>三疯子回归</dc:creator>
  <cp:lastModifiedBy>很凶很凶的哦</cp:lastModifiedBy>
  <dcterms:modified xsi:type="dcterms:W3CDTF">2026-03-13T06:20:21Z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28D40DD042A54B20BA4792F9973D1AE0_13</vt:lpwstr>
  </property>
  <property fmtid="{D5CDD505-2E9C-101B-9397-08002B2CF9AE}" pid="4" name="KSOTemplateDocerSaveRecord">
    <vt:lpwstr>eyJoZGlkIjoiY2U0YWNmNzJjZjNlNTFkYzk3Zjc4MDVlMzM0MWJmZGIiLCJ1c2VySWQiOiIyNTcxNzU3NzQifQ==</vt:lpwstr>
  </property>
</Properties>
</file>