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A6F75">
      <w:pPr>
        <w:spacing w:after="0" w:line="560" w:lineRule="exact"/>
        <w:rPr>
          <w:rFonts w:ascii="Times New Roman" w:hAnsi="Times New Roman" w:eastAsia="楷体"/>
          <w:b/>
          <w:sz w:val="30"/>
          <w:szCs w:val="30"/>
        </w:rPr>
      </w:pPr>
    </w:p>
    <w:p w14:paraId="36799151">
      <w:pPr>
        <w:spacing w:after="0" w:line="520" w:lineRule="exact"/>
        <w:jc w:val="center"/>
        <w:rPr>
          <w:rFonts w:ascii="Times New Roman" w:hAnsi="Times New Roman" w:eastAsia="方正小标宋_GBK" w:cs="方正小标宋_GBK"/>
          <w:sz w:val="44"/>
          <w:szCs w:val="44"/>
        </w:rPr>
      </w:pPr>
      <w:r>
        <w:rPr>
          <w:rFonts w:hint="eastAsia" w:ascii="Times New Roman" w:hAnsi="Times New Roman" w:eastAsia="方正小标宋_GBK" w:cs="方正小标宋_GBK"/>
          <w:sz w:val="44"/>
          <w:szCs w:val="44"/>
        </w:rPr>
        <w:t>重庆新闻奖新闻漫画参评作品推荐表</w:t>
      </w:r>
    </w:p>
    <w:p w14:paraId="08F943F3">
      <w:pPr>
        <w:spacing w:after="0" w:line="400" w:lineRule="exact"/>
        <w:jc w:val="center"/>
        <w:rPr>
          <w:rFonts w:ascii="Times New Roman" w:hAnsi="Times New Roman" w:eastAsia="华文中宋"/>
          <w:sz w:val="36"/>
          <w:szCs w:val="36"/>
        </w:rPr>
      </w:pPr>
    </w:p>
    <w:tbl>
      <w:tblPr>
        <w:tblStyle w:val="10"/>
        <w:tblW w:w="99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2"/>
        <w:gridCol w:w="220"/>
        <w:gridCol w:w="512"/>
        <w:gridCol w:w="1017"/>
        <w:gridCol w:w="1136"/>
        <w:gridCol w:w="567"/>
        <w:gridCol w:w="541"/>
        <w:gridCol w:w="22"/>
        <w:gridCol w:w="395"/>
        <w:gridCol w:w="338"/>
        <w:gridCol w:w="1681"/>
        <w:gridCol w:w="925"/>
        <w:gridCol w:w="1473"/>
      </w:tblGrid>
      <w:tr w14:paraId="0F8B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52" w:type="dxa"/>
            <w:gridSpan w:val="2"/>
            <w:vAlign w:val="center"/>
          </w:tcPr>
          <w:p w14:paraId="2060F133">
            <w:pPr>
              <w:keepNext w:val="0"/>
              <w:keepLines w:val="0"/>
              <w:pageBreakBefore w:val="0"/>
              <w:widowControl w:val="0"/>
              <w:kinsoku/>
              <w:wordWrap/>
              <w:overflowPunct/>
              <w:topLinePunct w:val="0"/>
              <w:autoSpaceDE/>
              <w:autoSpaceDN/>
              <w:bidi w:val="0"/>
              <w:adjustRightInd/>
              <w:spacing w:after="0" w:line="300" w:lineRule="exact"/>
              <w:jc w:val="center"/>
              <w:textAlignment w:val="auto"/>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标题</w:t>
            </w:r>
          </w:p>
        </w:tc>
        <w:tc>
          <w:tcPr>
            <w:tcW w:w="3773" w:type="dxa"/>
            <w:gridSpan w:val="5"/>
            <w:vAlign w:val="center"/>
          </w:tcPr>
          <w:p w14:paraId="070328A2">
            <w:pPr>
              <w:keepNext w:val="0"/>
              <w:keepLines w:val="0"/>
              <w:pageBreakBefore w:val="0"/>
              <w:widowControl w:val="0"/>
              <w:kinsoku/>
              <w:wordWrap/>
              <w:overflowPunct/>
              <w:topLinePunct w:val="0"/>
              <w:autoSpaceDE/>
              <w:autoSpaceDN/>
              <w:bidi w:val="0"/>
              <w:adjustRightInd/>
              <w:snapToGrid w:val="0"/>
              <w:spacing w:after="0" w:line="30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b w:val="0"/>
                <w:bCs w:val="0"/>
                <w:sz w:val="24"/>
                <w:szCs w:val="24"/>
              </w:rPr>
              <w:t>新闻动画｜永川豆豉走进红楼梦</w:t>
            </w:r>
          </w:p>
        </w:tc>
        <w:tc>
          <w:tcPr>
            <w:tcW w:w="2436" w:type="dxa"/>
            <w:gridSpan w:val="4"/>
            <w:vAlign w:val="center"/>
          </w:tcPr>
          <w:p w14:paraId="19F408C8">
            <w:pPr>
              <w:keepNext w:val="0"/>
              <w:keepLines w:val="0"/>
              <w:pageBreakBefore w:val="0"/>
              <w:widowControl w:val="0"/>
              <w:kinsoku/>
              <w:wordWrap/>
              <w:overflowPunct/>
              <w:topLinePunct w:val="0"/>
              <w:autoSpaceDE/>
              <w:autoSpaceDN/>
              <w:bidi w:val="0"/>
              <w:adjustRightInd/>
              <w:spacing w:after="0" w:line="300" w:lineRule="exact"/>
              <w:jc w:val="center"/>
              <w:textAlignment w:val="auto"/>
              <w:rPr>
                <w:rFonts w:ascii="Times New Roman" w:hAnsi="Times New Roman" w:eastAsia="方正黑体_GBK" w:cs="方正黑体_GBK"/>
                <w:sz w:val="24"/>
              </w:rPr>
            </w:pPr>
            <w:r>
              <w:rPr>
                <w:rFonts w:hint="eastAsia" w:ascii="Times New Roman" w:hAnsi="Times New Roman" w:eastAsia="方正黑体_GBK" w:cs="方正黑体_GBK"/>
                <w:sz w:val="24"/>
              </w:rPr>
              <w:t>作品类别</w:t>
            </w:r>
          </w:p>
        </w:tc>
        <w:tc>
          <w:tcPr>
            <w:tcW w:w="2398" w:type="dxa"/>
            <w:gridSpan w:val="2"/>
            <w:vAlign w:val="center"/>
          </w:tcPr>
          <w:p w14:paraId="73DB8449">
            <w:pPr>
              <w:keepNext w:val="0"/>
              <w:keepLines w:val="0"/>
              <w:pageBreakBefore w:val="0"/>
              <w:widowControl w:val="0"/>
              <w:kinsoku/>
              <w:wordWrap/>
              <w:overflowPunct/>
              <w:topLinePunct w:val="0"/>
              <w:autoSpaceDE/>
              <w:autoSpaceDN/>
              <w:bidi w:val="0"/>
              <w:adjustRightInd/>
              <w:spacing w:after="0" w:line="30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新闻漫画</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u w:val="single"/>
                <w:lang w:val="en-US" w:eastAsia="zh-CN"/>
              </w:rPr>
              <w:t>动画</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类</w:t>
            </w:r>
          </w:p>
        </w:tc>
      </w:tr>
      <w:tr w14:paraId="2F39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exact"/>
          <w:jc w:val="center"/>
        </w:trPr>
        <w:tc>
          <w:tcPr>
            <w:tcW w:w="1352" w:type="dxa"/>
            <w:gridSpan w:val="2"/>
            <w:vAlign w:val="center"/>
          </w:tcPr>
          <w:p w14:paraId="33A188D4">
            <w:pPr>
              <w:keepNext w:val="0"/>
              <w:keepLines w:val="0"/>
              <w:pageBreakBefore w:val="0"/>
              <w:widowControl w:val="0"/>
              <w:kinsoku/>
              <w:wordWrap/>
              <w:overflowPunct/>
              <w:topLinePunct w:val="0"/>
              <w:autoSpaceDE/>
              <w:autoSpaceDN/>
              <w:bidi w:val="0"/>
              <w:adjustRightInd/>
              <w:spacing w:after="0" w:line="300" w:lineRule="exact"/>
              <w:jc w:val="center"/>
              <w:textAlignment w:val="auto"/>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作者</w:t>
            </w:r>
          </w:p>
        </w:tc>
        <w:tc>
          <w:tcPr>
            <w:tcW w:w="3773" w:type="dxa"/>
            <w:gridSpan w:val="5"/>
            <w:vAlign w:val="center"/>
          </w:tcPr>
          <w:p w14:paraId="33D4C425">
            <w:pPr>
              <w:keepNext w:val="0"/>
              <w:keepLines w:val="0"/>
              <w:pageBreakBefore w:val="0"/>
              <w:widowControl w:val="0"/>
              <w:kinsoku/>
              <w:wordWrap/>
              <w:overflowPunct/>
              <w:topLinePunct w:val="0"/>
              <w:autoSpaceDE/>
              <w:autoSpaceDN/>
              <w:bidi w:val="0"/>
              <w:adjustRightInd/>
              <w:spacing w:after="0" w:line="300" w:lineRule="exact"/>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刘芸怡、王冬梅</w:t>
            </w:r>
          </w:p>
        </w:tc>
        <w:tc>
          <w:tcPr>
            <w:tcW w:w="2436" w:type="dxa"/>
            <w:gridSpan w:val="4"/>
            <w:vAlign w:val="center"/>
          </w:tcPr>
          <w:p w14:paraId="59C8224C">
            <w:pPr>
              <w:keepNext w:val="0"/>
              <w:keepLines w:val="0"/>
              <w:pageBreakBefore w:val="0"/>
              <w:widowControl w:val="0"/>
              <w:kinsoku/>
              <w:wordWrap/>
              <w:overflowPunct/>
              <w:topLinePunct w:val="0"/>
              <w:autoSpaceDE/>
              <w:autoSpaceDN/>
              <w:bidi w:val="0"/>
              <w:adjustRightInd/>
              <w:spacing w:after="0" w:line="300" w:lineRule="exact"/>
              <w:jc w:val="center"/>
              <w:textAlignment w:val="auto"/>
              <w:rPr>
                <w:rFonts w:ascii="Times New Roman" w:hAnsi="Times New Roman" w:eastAsia="方正黑体_GBK" w:cs="方正黑体_GBK"/>
                <w:sz w:val="24"/>
              </w:rPr>
            </w:pPr>
            <w:r>
              <w:rPr>
                <w:rFonts w:hint="eastAsia" w:ascii="Times New Roman" w:hAnsi="Times New Roman" w:eastAsia="方正黑体_GBK" w:cs="方正黑体_GBK"/>
                <w:sz w:val="24"/>
              </w:rPr>
              <w:t>编辑</w:t>
            </w:r>
          </w:p>
        </w:tc>
        <w:tc>
          <w:tcPr>
            <w:tcW w:w="2398" w:type="dxa"/>
            <w:gridSpan w:val="2"/>
            <w:vAlign w:val="center"/>
          </w:tcPr>
          <w:p w14:paraId="690DAD8F">
            <w:pPr>
              <w:keepNext w:val="0"/>
              <w:keepLines w:val="0"/>
              <w:pageBreakBefore w:val="0"/>
              <w:widowControl w:val="0"/>
              <w:kinsoku/>
              <w:wordWrap/>
              <w:overflowPunct/>
              <w:topLinePunct w:val="0"/>
              <w:autoSpaceDE/>
              <w:autoSpaceDN/>
              <w:bidi w:val="0"/>
              <w:adjustRightInd/>
              <w:spacing w:after="0" w:line="300" w:lineRule="exact"/>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陈钰婷、张振宇</w:t>
            </w:r>
          </w:p>
        </w:tc>
      </w:tr>
      <w:tr w14:paraId="6E4B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exact"/>
          <w:jc w:val="center"/>
        </w:trPr>
        <w:tc>
          <w:tcPr>
            <w:tcW w:w="1352" w:type="dxa"/>
            <w:gridSpan w:val="2"/>
            <w:vAlign w:val="center"/>
          </w:tcPr>
          <w:p w14:paraId="096761D0">
            <w:pPr>
              <w:keepNext w:val="0"/>
              <w:keepLines w:val="0"/>
              <w:pageBreakBefore w:val="0"/>
              <w:widowControl w:val="0"/>
              <w:kinsoku/>
              <w:wordWrap/>
              <w:overflowPunct/>
              <w:topLinePunct w:val="0"/>
              <w:autoSpaceDE/>
              <w:autoSpaceDN/>
              <w:bidi w:val="0"/>
              <w:adjustRightInd/>
              <w:spacing w:after="0" w:line="300" w:lineRule="exact"/>
              <w:jc w:val="center"/>
              <w:textAlignment w:val="auto"/>
              <w:rPr>
                <w:rFonts w:ascii="Times New Roman" w:hAnsi="Times New Roman" w:eastAsia="方正黑体_GBK" w:cs="方正黑体_GBK"/>
                <w:b/>
                <w:sz w:val="28"/>
                <w:szCs w:val="28"/>
              </w:rPr>
            </w:pPr>
            <w:r>
              <w:rPr>
                <w:rFonts w:hint="eastAsia" w:ascii="Times New Roman" w:hAnsi="Times New Roman" w:eastAsia="方正黑体_GBK" w:cs="方正黑体_GBK"/>
                <w:sz w:val="28"/>
                <w:szCs w:val="20"/>
              </w:rPr>
              <w:t>原创单位</w:t>
            </w:r>
          </w:p>
        </w:tc>
        <w:tc>
          <w:tcPr>
            <w:tcW w:w="3773" w:type="dxa"/>
            <w:gridSpan w:val="5"/>
            <w:vAlign w:val="center"/>
          </w:tcPr>
          <w:p w14:paraId="51D416DA">
            <w:pPr>
              <w:keepNext w:val="0"/>
              <w:keepLines w:val="0"/>
              <w:pageBreakBefore w:val="0"/>
              <w:widowControl w:val="0"/>
              <w:kinsoku/>
              <w:wordWrap/>
              <w:overflowPunct/>
              <w:topLinePunct w:val="0"/>
              <w:autoSpaceDE/>
              <w:autoSpaceDN/>
              <w:bidi w:val="0"/>
              <w:adjustRightInd/>
              <w:spacing w:after="0" w:line="300" w:lineRule="exact"/>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永川融媒体中心</w:t>
            </w:r>
          </w:p>
        </w:tc>
        <w:tc>
          <w:tcPr>
            <w:tcW w:w="2436" w:type="dxa"/>
            <w:gridSpan w:val="4"/>
            <w:vAlign w:val="center"/>
          </w:tcPr>
          <w:p w14:paraId="06C97B80">
            <w:pPr>
              <w:keepNext w:val="0"/>
              <w:keepLines w:val="0"/>
              <w:pageBreakBefore w:val="0"/>
              <w:widowControl w:val="0"/>
              <w:kinsoku/>
              <w:wordWrap/>
              <w:overflowPunct/>
              <w:topLinePunct w:val="0"/>
              <w:autoSpaceDE/>
              <w:autoSpaceDN/>
              <w:bidi w:val="0"/>
              <w:adjustRightInd/>
              <w:spacing w:after="0" w:line="300" w:lineRule="exact"/>
              <w:jc w:val="center"/>
              <w:textAlignment w:val="auto"/>
              <w:rPr>
                <w:rFonts w:ascii="Times New Roman" w:hAnsi="Times New Roman" w:eastAsia="方正黑体_GBK" w:cs="方正黑体_GBK"/>
                <w:sz w:val="24"/>
              </w:rPr>
            </w:pPr>
            <w:r>
              <w:rPr>
                <w:rFonts w:hint="eastAsia" w:ascii="Times New Roman" w:hAnsi="Times New Roman" w:eastAsia="方正黑体_GBK" w:cs="方正黑体_GBK"/>
                <w:sz w:val="24"/>
              </w:rPr>
              <w:t>刊播日期</w:t>
            </w:r>
          </w:p>
        </w:tc>
        <w:tc>
          <w:tcPr>
            <w:tcW w:w="2398" w:type="dxa"/>
            <w:gridSpan w:val="2"/>
            <w:vAlign w:val="center"/>
          </w:tcPr>
          <w:p w14:paraId="2E0F1C1C">
            <w:pPr>
              <w:keepNext w:val="0"/>
              <w:keepLines w:val="0"/>
              <w:pageBreakBefore w:val="0"/>
              <w:widowControl w:val="0"/>
              <w:kinsoku/>
              <w:wordWrap/>
              <w:overflowPunct/>
              <w:topLinePunct w:val="0"/>
              <w:autoSpaceDE/>
              <w:autoSpaceDN/>
              <w:bidi w:val="0"/>
              <w:adjustRightInd/>
              <w:spacing w:after="0" w:line="30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spacing w:val="0"/>
                <w:sz w:val="24"/>
                <w:szCs w:val="24"/>
                <w:shd w:val="clear" w:fill="FFFFFF"/>
              </w:rPr>
              <w:t>2025年09月04日 16:12</w:t>
            </w:r>
          </w:p>
        </w:tc>
      </w:tr>
      <w:tr w14:paraId="26CEC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exact"/>
          <w:jc w:val="center"/>
        </w:trPr>
        <w:tc>
          <w:tcPr>
            <w:tcW w:w="1864" w:type="dxa"/>
            <w:gridSpan w:val="3"/>
            <w:vAlign w:val="center"/>
          </w:tcPr>
          <w:p w14:paraId="7B9EE912">
            <w:pPr>
              <w:keepNext w:val="0"/>
              <w:keepLines w:val="0"/>
              <w:pageBreakBefore w:val="0"/>
              <w:widowControl w:val="0"/>
              <w:kinsoku/>
              <w:wordWrap/>
              <w:overflowPunct/>
              <w:topLinePunct w:val="0"/>
              <w:autoSpaceDE/>
              <w:autoSpaceDN/>
              <w:bidi w:val="0"/>
              <w:adjustRightInd/>
              <w:spacing w:after="0" w:line="300" w:lineRule="exact"/>
              <w:jc w:val="left"/>
              <w:textAlignment w:val="auto"/>
              <w:rPr>
                <w:rFonts w:ascii="Times New Roman" w:hAnsi="Times New Roman" w:eastAsia="方正黑体_GBK" w:cs="方正黑体_GBK"/>
                <w:sz w:val="24"/>
              </w:rPr>
            </w:pPr>
            <w:r>
              <w:rPr>
                <w:rFonts w:hint="eastAsia" w:ascii="Times New Roman" w:hAnsi="Times New Roman" w:eastAsia="方正黑体_GBK" w:cs="方正黑体_GBK"/>
                <w:sz w:val="24"/>
              </w:rPr>
              <w:t>所配合的文字报道的标题</w:t>
            </w:r>
          </w:p>
        </w:tc>
        <w:tc>
          <w:tcPr>
            <w:tcW w:w="3261" w:type="dxa"/>
            <w:gridSpan w:val="4"/>
            <w:vAlign w:val="center"/>
          </w:tcPr>
          <w:p w14:paraId="3FBF150D">
            <w:pPr>
              <w:keepNext w:val="0"/>
              <w:keepLines w:val="0"/>
              <w:pageBreakBefore w:val="0"/>
              <w:widowControl w:val="0"/>
              <w:kinsoku/>
              <w:wordWrap/>
              <w:overflowPunct/>
              <w:topLinePunct w:val="0"/>
              <w:autoSpaceDE/>
              <w:autoSpaceDN/>
              <w:bidi w:val="0"/>
              <w:adjustRightInd/>
              <w:snapToGrid w:val="0"/>
              <w:spacing w:after="0" w:line="300" w:lineRule="exac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b w:val="0"/>
                <w:bCs w:val="0"/>
                <w:sz w:val="24"/>
                <w:szCs w:val="24"/>
              </w:rPr>
              <w:t>永川豆豉走进红楼梦</w:t>
            </w:r>
          </w:p>
        </w:tc>
        <w:tc>
          <w:tcPr>
            <w:tcW w:w="2436" w:type="dxa"/>
            <w:gridSpan w:val="4"/>
            <w:vAlign w:val="center"/>
          </w:tcPr>
          <w:p w14:paraId="5DD1340F">
            <w:pPr>
              <w:keepNext w:val="0"/>
              <w:keepLines w:val="0"/>
              <w:pageBreakBefore w:val="0"/>
              <w:widowControl w:val="0"/>
              <w:kinsoku/>
              <w:wordWrap/>
              <w:overflowPunct/>
              <w:topLinePunct w:val="0"/>
              <w:autoSpaceDE/>
              <w:autoSpaceDN/>
              <w:bidi w:val="0"/>
              <w:adjustRightInd/>
              <w:spacing w:after="0" w:line="300" w:lineRule="exact"/>
              <w:jc w:val="center"/>
              <w:textAlignment w:val="auto"/>
              <w:rPr>
                <w:rFonts w:ascii="Times New Roman" w:hAnsi="Times New Roman" w:eastAsia="方正黑体_GBK" w:cs="方正黑体_GBK"/>
                <w:sz w:val="24"/>
              </w:rPr>
            </w:pPr>
            <w:r>
              <w:rPr>
                <w:rFonts w:hint="eastAsia" w:ascii="Times New Roman" w:hAnsi="Times New Roman" w:eastAsia="方正黑体_GBK" w:cs="方正黑体_GBK"/>
                <w:sz w:val="24"/>
              </w:rPr>
              <w:t>刊发版面</w:t>
            </w:r>
          </w:p>
          <w:p w14:paraId="69AA5DD8">
            <w:pPr>
              <w:keepNext w:val="0"/>
              <w:keepLines w:val="0"/>
              <w:pageBreakBefore w:val="0"/>
              <w:widowControl w:val="0"/>
              <w:kinsoku/>
              <w:wordWrap/>
              <w:overflowPunct/>
              <w:topLinePunct w:val="0"/>
              <w:autoSpaceDE/>
              <w:autoSpaceDN/>
              <w:bidi w:val="0"/>
              <w:adjustRightInd/>
              <w:spacing w:after="0" w:line="300" w:lineRule="exact"/>
              <w:jc w:val="center"/>
              <w:textAlignment w:val="auto"/>
              <w:rPr>
                <w:rFonts w:ascii="Times New Roman" w:hAnsi="Times New Roman" w:eastAsia="方正黑体_GBK" w:cs="方正黑体_GBK"/>
                <w:sz w:val="24"/>
              </w:rPr>
            </w:pPr>
            <w:r>
              <w:rPr>
                <w:rFonts w:hint="eastAsia" w:ascii="Times New Roman" w:hAnsi="Times New Roman" w:eastAsia="方正黑体_GBK" w:cs="方正黑体_GBK"/>
                <w:sz w:val="24"/>
              </w:rPr>
              <w:t>(发布端/账号/版次)</w:t>
            </w:r>
          </w:p>
        </w:tc>
        <w:tc>
          <w:tcPr>
            <w:tcW w:w="2398" w:type="dxa"/>
            <w:gridSpan w:val="2"/>
            <w:vAlign w:val="center"/>
          </w:tcPr>
          <w:p w14:paraId="2B0AF5C5">
            <w:pPr>
              <w:keepNext w:val="0"/>
              <w:keepLines w:val="0"/>
              <w:pageBreakBefore w:val="0"/>
              <w:widowControl w:val="0"/>
              <w:kinsoku/>
              <w:wordWrap/>
              <w:overflowPunct/>
              <w:topLinePunct w:val="0"/>
              <w:autoSpaceDE/>
              <w:autoSpaceDN/>
              <w:bidi w:val="0"/>
              <w:adjustRightInd/>
              <w:snapToGrid w:val="0"/>
              <w:spacing w:after="0" w:line="300" w:lineRule="exact"/>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永川融媒视频号</w:t>
            </w:r>
          </w:p>
          <w:p w14:paraId="7ED69A13">
            <w:pPr>
              <w:pStyle w:val="2"/>
              <w:keepNext w:val="0"/>
              <w:keepLines w:val="0"/>
              <w:pageBreakBefore w:val="0"/>
              <w:widowControl w:val="0"/>
              <w:kinsoku/>
              <w:wordWrap/>
              <w:overflowPunct/>
              <w:topLinePunct w:val="0"/>
              <w:autoSpaceDE/>
              <w:autoSpaceDN/>
              <w:bidi w:val="0"/>
              <w:adjustRightInd/>
              <w:spacing w:line="300" w:lineRule="exact"/>
              <w:textAlignment w:val="auto"/>
              <w:rPr>
                <w:rFonts w:hint="eastAsia"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永川头条app</w:t>
            </w:r>
          </w:p>
        </w:tc>
      </w:tr>
      <w:tr w14:paraId="1089D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864" w:type="dxa"/>
            <w:gridSpan w:val="3"/>
            <w:vMerge w:val="restart"/>
            <w:vAlign w:val="center"/>
          </w:tcPr>
          <w:p w14:paraId="3CCBF279">
            <w:pPr>
              <w:spacing w:after="0" w:line="300" w:lineRule="exact"/>
              <w:jc w:val="center"/>
              <w:rPr>
                <w:rFonts w:ascii="Times New Roman" w:hAnsi="Times New Roman" w:eastAsia="方正黑体_GBK" w:cs="方正黑体_GBK"/>
                <w:sz w:val="24"/>
              </w:rPr>
            </w:pPr>
            <w:r>
              <w:rPr>
                <w:rFonts w:hint="eastAsia" w:ascii="Times New Roman" w:hAnsi="Times New Roman" w:eastAsia="方正黑体_GBK" w:cs="方正黑体_GBK"/>
                <w:sz w:val="24"/>
              </w:rPr>
              <w:t>新媒体</w:t>
            </w:r>
          </w:p>
          <w:p w14:paraId="52FAB207">
            <w:pPr>
              <w:spacing w:after="0" w:line="300" w:lineRule="exact"/>
              <w:jc w:val="center"/>
              <w:rPr>
                <w:rFonts w:ascii="Times New Roman" w:hAnsi="Times New Roman" w:eastAsia="方正黑体_GBK" w:cs="方正黑体_GBK"/>
                <w:sz w:val="24"/>
              </w:rPr>
            </w:pPr>
            <w:r>
              <w:rPr>
                <w:rFonts w:hint="eastAsia" w:ascii="Times New Roman" w:hAnsi="Times New Roman" w:eastAsia="方正黑体_GBK" w:cs="方正黑体_GBK"/>
                <w:sz w:val="24"/>
              </w:rPr>
              <w:t>作品网址</w:t>
            </w:r>
          </w:p>
        </w:tc>
        <w:tc>
          <w:tcPr>
            <w:tcW w:w="3283" w:type="dxa"/>
            <w:gridSpan w:val="5"/>
            <w:vMerge w:val="restart"/>
            <w:vAlign w:val="center"/>
          </w:tcPr>
          <w:p w14:paraId="71D7868D">
            <w:pPr>
              <w:keepNext w:val="0"/>
              <w:keepLines w:val="0"/>
              <w:pageBreakBefore w:val="0"/>
              <w:widowControl w:val="0"/>
              <w:kinsoku/>
              <w:wordWrap/>
              <w:overflowPunct/>
              <w:topLinePunct w:val="0"/>
              <w:autoSpaceDE/>
              <w:autoSpaceDN/>
              <w:bidi w:val="0"/>
              <w:adjustRightInd/>
              <w:snapToGrid/>
              <w:spacing w:after="0" w:line="240" w:lineRule="exact"/>
              <w:jc w:val="lef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lang w:val="en-US" w:eastAsia="zh-CN"/>
              </w:rPr>
              <w:t>https://www.yongchuanwang.com.cn/web/aritcle/1413481816061865984/app/content_1413481816061865984.html</w:t>
            </w:r>
          </w:p>
        </w:tc>
        <w:tc>
          <w:tcPr>
            <w:tcW w:w="4812" w:type="dxa"/>
            <w:gridSpan w:val="5"/>
            <w:vAlign w:val="center"/>
          </w:tcPr>
          <w:p w14:paraId="20FCEB79">
            <w:pPr>
              <w:spacing w:after="0" w:line="320" w:lineRule="exact"/>
              <w:jc w:val="left"/>
              <w:rPr>
                <w:rFonts w:hint="eastAsia" w:ascii="方正黑体_GBK" w:hAnsi="Times New Roman" w:eastAsia="方正黑体_GBK"/>
                <w:sz w:val="22"/>
                <w:lang w:eastAsia="zh-CN"/>
              </w:rPr>
            </w:pPr>
            <w:r>
              <w:rPr>
                <w:rFonts w:hint="eastAsia" w:ascii="方正黑体_GBK" w:hAnsi="Times New Roman" w:eastAsia="方正黑体_GBK"/>
                <w:sz w:val="22"/>
              </w:rPr>
              <w:t>中央宣传部“三好作品”    是□ 否</w:t>
            </w:r>
            <w:r>
              <w:rPr>
                <w:rFonts w:hint="eastAsia" w:ascii="方正黑体_GBK" w:hAnsi="Times New Roman" w:eastAsia="方正黑体_GBK"/>
                <w:sz w:val="22"/>
                <w:lang w:eastAsia="zh-CN"/>
              </w:rPr>
              <w:t>☑</w:t>
            </w:r>
          </w:p>
        </w:tc>
      </w:tr>
      <w:tr w14:paraId="19C5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exact"/>
          <w:jc w:val="center"/>
        </w:trPr>
        <w:tc>
          <w:tcPr>
            <w:tcW w:w="1864" w:type="dxa"/>
            <w:gridSpan w:val="3"/>
            <w:vMerge w:val="continue"/>
            <w:vAlign w:val="center"/>
          </w:tcPr>
          <w:p w14:paraId="5C4B35CB">
            <w:pPr>
              <w:spacing w:after="0" w:line="300" w:lineRule="exact"/>
              <w:jc w:val="center"/>
              <w:rPr>
                <w:rFonts w:ascii="Times New Roman" w:hAnsi="Times New Roman" w:eastAsia="方正黑体_GBK" w:cs="方正黑体_GBK"/>
                <w:sz w:val="24"/>
              </w:rPr>
            </w:pPr>
          </w:p>
        </w:tc>
        <w:tc>
          <w:tcPr>
            <w:tcW w:w="3283" w:type="dxa"/>
            <w:gridSpan w:val="5"/>
            <w:vMerge w:val="continue"/>
            <w:vAlign w:val="center"/>
          </w:tcPr>
          <w:p w14:paraId="687551BA">
            <w:pPr>
              <w:spacing w:after="0"/>
              <w:jc w:val="left"/>
              <w:rPr>
                <w:rFonts w:ascii="Times New Roman" w:hAnsi="Times New Roman" w:eastAsia="仿宋"/>
                <w:szCs w:val="21"/>
              </w:rPr>
            </w:pPr>
          </w:p>
        </w:tc>
        <w:tc>
          <w:tcPr>
            <w:tcW w:w="4812" w:type="dxa"/>
            <w:gridSpan w:val="5"/>
            <w:vAlign w:val="center"/>
          </w:tcPr>
          <w:p w14:paraId="0505E8B5">
            <w:pPr>
              <w:spacing w:after="0" w:line="320" w:lineRule="exact"/>
              <w:jc w:val="left"/>
              <w:rPr>
                <w:rFonts w:hint="eastAsia" w:ascii="方正黑体_GBK" w:hAnsi="Times New Roman" w:eastAsia="方正黑体_GBK"/>
                <w:sz w:val="22"/>
                <w:lang w:eastAsia="zh-CN"/>
              </w:rPr>
            </w:pPr>
            <w:r>
              <w:rPr>
                <w:rFonts w:hint="eastAsia" w:ascii="方正黑体_GBK" w:hAnsi="Times New Roman" w:eastAsia="方正黑体_GBK"/>
                <w:sz w:val="22"/>
              </w:rPr>
              <w:t>市委宣传部“三好作品”    是</w:t>
            </w:r>
            <w:r>
              <w:rPr>
                <w:rFonts w:hint="eastAsia" w:ascii="方正黑体_GBK" w:hAnsi="Times New Roman" w:eastAsia="方正黑体_GBK"/>
                <w:sz w:val="22"/>
                <w:lang w:eastAsia="zh-CN"/>
              </w:rPr>
              <w:t>☑</w:t>
            </w:r>
            <w:r>
              <w:rPr>
                <w:rFonts w:hint="eastAsia" w:ascii="方正黑体_GBK" w:hAnsi="Times New Roman" w:eastAsia="方正黑体_GBK"/>
                <w:sz w:val="22"/>
              </w:rPr>
              <w:t xml:space="preserve"> 否</w:t>
            </w:r>
            <w:r>
              <w:rPr>
                <w:rFonts w:hint="eastAsia" w:ascii="方正黑体_GBK" w:hAnsi="Times New Roman" w:eastAsia="方正黑体_GBK"/>
                <w:sz w:val="22"/>
                <w:lang w:eastAsia="zh-CN"/>
              </w:rPr>
              <w:t>□</w:t>
            </w:r>
          </w:p>
        </w:tc>
      </w:tr>
      <w:tr w14:paraId="6227A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65" w:hRule="exact"/>
          <w:jc w:val="center"/>
        </w:trPr>
        <w:tc>
          <w:tcPr>
            <w:tcW w:w="1132" w:type="dxa"/>
            <w:textDirection w:val="tbRlV"/>
            <w:vAlign w:val="center"/>
          </w:tcPr>
          <w:p w14:paraId="756C7AAB">
            <w:pPr>
              <w:spacing w:after="0" w:line="320" w:lineRule="exact"/>
              <w:jc w:val="center"/>
              <w:rPr>
                <w:rFonts w:ascii="Times New Roman" w:hAnsi="Times New Roman" w:eastAsia="方正黑体_GBK" w:cs="方正黑体_GBK"/>
                <w:b/>
                <w:sz w:val="28"/>
                <w:szCs w:val="28"/>
              </w:rPr>
            </w:pPr>
            <w:r>
              <w:rPr>
                <w:rFonts w:hint="eastAsia" w:ascii="Times New Roman" w:hAnsi="Times New Roman" w:eastAsia="方正黑体_GBK" w:cs="方正黑体_GBK"/>
                <w:sz w:val="28"/>
                <w:szCs w:val="20"/>
              </w:rPr>
              <w:t>作品简介</w:t>
            </w:r>
          </w:p>
        </w:tc>
        <w:tc>
          <w:tcPr>
            <w:tcW w:w="8827" w:type="dxa"/>
            <w:gridSpan w:val="12"/>
            <w:vAlign w:val="center"/>
          </w:tcPr>
          <w:p w14:paraId="250C03FB">
            <w:pPr>
              <w:pStyle w:val="2"/>
              <w:keepNext w:val="0"/>
              <w:keepLines w:val="0"/>
              <w:pageBreakBefore w:val="0"/>
              <w:kinsoku/>
              <w:wordWrap/>
              <w:overflowPunct/>
              <w:topLinePunct w:val="0"/>
              <w:autoSpaceDE/>
              <w:autoSpaceDN/>
              <w:bidi w:val="0"/>
              <w:adjustRightInd/>
              <w:snapToGrid/>
              <w:spacing w:after="0" w:line="340" w:lineRule="exact"/>
              <w:ind w:firstLine="480" w:firstLineChars="200"/>
              <w:textAlignment w:val="auto"/>
              <w:rPr>
                <w:rFonts w:hint="eastAsia" w:ascii="方正仿宋_GB2312" w:hAnsi="方正仿宋_GB2312" w:eastAsia="方正仿宋_GB2312" w:cs="方正仿宋_GB2312"/>
                <w:i w:val="0"/>
                <w:iCs w:val="0"/>
                <w:caps w:val="0"/>
                <w:color w:val="0D0D0D"/>
                <w:spacing w:val="0"/>
                <w:sz w:val="24"/>
                <w:szCs w:val="24"/>
                <w:shd w:val="clear" w:fill="FFFFFF"/>
              </w:rPr>
            </w:pPr>
            <w:r>
              <w:rPr>
                <w:rFonts w:hint="eastAsia" w:ascii="方正仿宋_GB2312" w:hAnsi="方正仿宋_GB2312" w:eastAsia="方正仿宋_GB2312" w:cs="方正仿宋_GB2312"/>
                <w:i w:val="0"/>
                <w:iCs w:val="0"/>
                <w:caps w:val="0"/>
                <w:color w:val="0D0D0D"/>
                <w:spacing w:val="0"/>
                <w:sz w:val="24"/>
                <w:szCs w:val="24"/>
                <w:shd w:val="clear" w:fill="FFFFFF"/>
              </w:rPr>
              <w:t>《永川豆豉 走进红楼梦》是一部以国家级非物质文化遗产永川豆豉酿制技艺为主题的新闻动画作品。该动画巧妙地将传统工艺与古典文学相结合，通过红楼梦这一经典IP，生动展示了永川豆豉的独特魅力及其深厚的文化底蕴。</w:t>
            </w:r>
          </w:p>
          <w:p w14:paraId="13CFEBAA">
            <w:pPr>
              <w:keepNext w:val="0"/>
              <w:keepLines w:val="0"/>
              <w:pageBreakBefore w:val="0"/>
              <w:kinsoku/>
              <w:wordWrap/>
              <w:overflowPunct/>
              <w:topLinePunct w:val="0"/>
              <w:autoSpaceDE/>
              <w:autoSpaceDN/>
              <w:bidi w:val="0"/>
              <w:adjustRightInd/>
              <w:snapToGrid/>
              <w:spacing w:after="0" w:line="340" w:lineRule="exact"/>
              <w:ind w:firstLine="480" w:firstLineChars="200"/>
              <w:textAlignment w:val="auto"/>
              <w:rPr>
                <w:rFonts w:hint="eastAsia" w:ascii="方正仿宋_GB2312" w:hAnsi="方正仿宋_GB2312" w:eastAsia="方正仿宋_GB2312" w:cs="方正仿宋_GB2312"/>
                <w:i w:val="0"/>
                <w:iCs w:val="0"/>
                <w:caps w:val="0"/>
                <w:color w:val="0D0D0D"/>
                <w:spacing w:val="0"/>
                <w:sz w:val="24"/>
                <w:szCs w:val="24"/>
                <w:shd w:val="clear" w:fill="FFFFFF"/>
              </w:rPr>
            </w:pPr>
            <w:r>
              <w:rPr>
                <w:rFonts w:hint="eastAsia" w:ascii="方正仿宋_GB2312" w:hAnsi="方正仿宋_GB2312" w:eastAsia="方正仿宋_GB2312" w:cs="方正仿宋_GB2312"/>
                <w:i w:val="0"/>
                <w:iCs w:val="0"/>
                <w:caps w:val="0"/>
                <w:color w:val="0D0D0D"/>
                <w:spacing w:val="0"/>
                <w:sz w:val="24"/>
                <w:szCs w:val="24"/>
                <w:shd w:val="clear" w:fill="FFFFFF"/>
              </w:rPr>
              <w:t>动画开篇即以精美的画面和细腻的笔触，展现了古代城市的繁华景象，瞬间吸引观众眼球。随后，镜头转入贾府，以贾母等人物品尝豆豉蒸排骨的场景，引出永川豆豉的奇妙风味。接着，动画详细描绘了永川豆豉的酿制过程，从选豆、泡豆、蒸豆到发酵、拌料、密封，每一道工序都通过生动的画面和简洁的解说呈现出来，让观众在欣赏动画的同时，也能了解到这一传统技艺的精髓。</w:t>
            </w:r>
          </w:p>
          <w:p w14:paraId="2F71881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40" w:lineRule="exact"/>
              <w:ind w:left="0" w:right="0" w:firstLine="480" w:firstLineChars="200"/>
              <w:textAlignment w:val="auto"/>
              <w:rPr>
                <w:rFonts w:hint="eastAsia" w:ascii="方正仿宋_GB2312" w:hAnsi="方正仿宋_GB2312" w:eastAsia="方正仿宋_GB2312" w:cs="方正仿宋_GB2312"/>
                <w:i w:val="0"/>
                <w:iCs w:val="0"/>
                <w:caps w:val="0"/>
                <w:color w:val="0D0D0D"/>
                <w:spacing w:val="0"/>
                <w:sz w:val="24"/>
                <w:szCs w:val="24"/>
              </w:rPr>
            </w:pPr>
            <w:r>
              <w:rPr>
                <w:rFonts w:hint="eastAsia" w:ascii="方正仿宋_GB2312" w:hAnsi="方正仿宋_GB2312" w:eastAsia="方正仿宋_GB2312" w:cs="方正仿宋_GB2312"/>
                <w:i w:val="0"/>
                <w:iCs w:val="0"/>
                <w:caps w:val="0"/>
                <w:color w:val="0D0D0D"/>
                <w:spacing w:val="0"/>
                <w:sz w:val="24"/>
                <w:szCs w:val="24"/>
                <w:shd w:val="clear" w:fill="FFFFFF"/>
              </w:rPr>
              <w:t>该动画的优秀之处在于，它不仅准确传神地展示了永川豆豉繁复且讲究的酿制工艺，更在叙事手法上大胆创新，利用拟人化等趣味横生的表现方式，使传统技艺的展示变得生动有趣，极大地提升了作品的观赏性和教育性。</w:t>
            </w:r>
          </w:p>
          <w:p w14:paraId="084A5AE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40" w:lineRule="exact"/>
              <w:ind w:left="0" w:right="0" w:firstLine="480" w:firstLineChars="200"/>
              <w:textAlignment w:val="auto"/>
              <w:rPr>
                <w:rFonts w:hint="eastAsia" w:ascii="方正仿宋_GB2312" w:hAnsi="方正仿宋_GB2312" w:eastAsia="方正仿宋_GB2312" w:cs="方正仿宋_GB2312"/>
                <w:i w:val="0"/>
                <w:iCs w:val="0"/>
                <w:caps w:val="0"/>
                <w:color w:val="0D0D0D"/>
                <w:spacing w:val="0"/>
                <w:sz w:val="24"/>
                <w:szCs w:val="24"/>
              </w:rPr>
            </w:pPr>
            <w:r>
              <w:rPr>
                <w:rFonts w:hint="eastAsia" w:ascii="方正仿宋_GB2312" w:hAnsi="方正仿宋_GB2312" w:eastAsia="方正仿宋_GB2312" w:cs="方正仿宋_GB2312"/>
                <w:i w:val="0"/>
                <w:iCs w:val="0"/>
                <w:caps w:val="0"/>
                <w:color w:val="0D0D0D"/>
                <w:spacing w:val="0"/>
                <w:sz w:val="24"/>
                <w:szCs w:val="24"/>
                <w:shd w:val="clear" w:fill="FFFFFF"/>
              </w:rPr>
              <w:t>更为难能可贵的是，作品在传播传统文化的同时，也传递了对非物质文化遗产的保护和传承意识。通过展现永川豆豉酿制技艺的精湛与独特，作品激发了观众对传统文化的兴趣与尊重，促进了非遗文化的活态传承。</w:t>
            </w:r>
          </w:p>
          <w:p w14:paraId="2348F003">
            <w:pPr>
              <w:pStyle w:val="2"/>
              <w:keepNext w:val="0"/>
              <w:keepLines w:val="0"/>
              <w:pageBreakBefore w:val="0"/>
              <w:kinsoku/>
              <w:wordWrap/>
              <w:overflowPunct/>
              <w:topLinePunct w:val="0"/>
              <w:autoSpaceDE/>
              <w:autoSpaceDN/>
              <w:bidi w:val="0"/>
              <w:adjustRightInd/>
              <w:snapToGrid/>
              <w:spacing w:after="0" w:line="340" w:lineRule="exact"/>
              <w:ind w:firstLine="480" w:firstLineChars="200"/>
              <w:textAlignment w:val="auto"/>
              <w:rPr>
                <w:rFonts w:hint="eastAsia" w:ascii="方正仿宋_GB2312" w:hAnsi="方正仿宋_GB2312" w:eastAsia="方正仿宋_GB2312" w:cs="方正仿宋_GB2312"/>
                <w:sz w:val="24"/>
                <w:szCs w:val="24"/>
              </w:rPr>
            </w:pPr>
          </w:p>
        </w:tc>
      </w:tr>
      <w:tr w14:paraId="1D584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6" w:hRule="exact"/>
          <w:jc w:val="center"/>
        </w:trPr>
        <w:tc>
          <w:tcPr>
            <w:tcW w:w="1132" w:type="dxa"/>
            <w:vAlign w:val="center"/>
          </w:tcPr>
          <w:p w14:paraId="4730B58E">
            <w:pPr>
              <w:spacing w:after="0" w:line="32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社</w:t>
            </w:r>
          </w:p>
          <w:p w14:paraId="46F40174">
            <w:pPr>
              <w:spacing w:after="0" w:line="32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会</w:t>
            </w:r>
          </w:p>
          <w:p w14:paraId="65586C66">
            <w:pPr>
              <w:spacing w:after="0" w:line="32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效</w:t>
            </w:r>
          </w:p>
          <w:p w14:paraId="4E8C803B">
            <w:pPr>
              <w:spacing w:after="0" w:line="320" w:lineRule="exact"/>
              <w:jc w:val="center"/>
              <w:rPr>
                <w:rFonts w:ascii="Times New Roman" w:hAnsi="Times New Roman" w:eastAsia="方正黑体_GBK" w:cs="方正黑体_GBK"/>
                <w:sz w:val="28"/>
                <w:szCs w:val="28"/>
              </w:rPr>
            </w:pPr>
            <w:r>
              <w:rPr>
                <w:rFonts w:hint="eastAsia" w:ascii="Times New Roman" w:hAnsi="Times New Roman" w:eastAsia="方正黑体_GBK" w:cs="方正黑体_GBK"/>
                <w:sz w:val="28"/>
                <w:szCs w:val="20"/>
              </w:rPr>
              <w:t>果</w:t>
            </w:r>
          </w:p>
        </w:tc>
        <w:tc>
          <w:tcPr>
            <w:tcW w:w="8827" w:type="dxa"/>
            <w:gridSpan w:val="12"/>
            <w:vAlign w:val="center"/>
          </w:tcPr>
          <w:p w14:paraId="785E1D0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40" w:lineRule="exact"/>
              <w:ind w:left="0" w:right="0" w:firstLine="480" w:firstLineChars="200"/>
              <w:textAlignment w:val="auto"/>
              <w:rPr>
                <w:rFonts w:hint="eastAsia" w:ascii="方正仿宋_GB2312" w:hAnsi="方正仿宋_GB2312" w:eastAsia="方正仿宋_GB2312" w:cs="方正仿宋_GB2312"/>
                <w:i w:val="0"/>
                <w:iCs w:val="0"/>
                <w:caps w:val="0"/>
                <w:color w:val="0D0D0D"/>
                <w:spacing w:val="0"/>
                <w:sz w:val="24"/>
                <w:szCs w:val="24"/>
                <w:shd w:val="clear" w:fill="FFFFFF"/>
              </w:rPr>
            </w:pPr>
            <w:r>
              <w:rPr>
                <w:rFonts w:hint="eastAsia" w:ascii="方正仿宋_GB2312" w:hAnsi="方正仿宋_GB2312" w:eastAsia="方正仿宋_GB2312" w:cs="方正仿宋_GB2312"/>
                <w:i w:val="0"/>
                <w:iCs w:val="0"/>
                <w:caps w:val="0"/>
                <w:color w:val="0D0D0D"/>
                <w:spacing w:val="0"/>
                <w:sz w:val="24"/>
                <w:szCs w:val="24"/>
                <w:shd w:val="clear" w:fill="FFFFFF"/>
              </w:rPr>
              <w:t>《永川豆豉 走进红楼梦》这部新闻动画，以其独到的文化视角和生动的表现形式，为社会带来了诸多积极影响，尤其在推广和传承国家级非物质文化遗产——永川豆豉酿制技艺方面，效果显著。</w:t>
            </w:r>
          </w:p>
          <w:p w14:paraId="5B5097B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40" w:lineRule="exact"/>
              <w:ind w:left="0" w:right="0" w:firstLine="480" w:firstLineChars="200"/>
              <w:textAlignment w:val="auto"/>
              <w:rPr>
                <w:rFonts w:hint="eastAsia" w:ascii="方正仿宋_GB2312" w:hAnsi="方正仿宋_GB2312" w:eastAsia="方正仿宋_GB2312" w:cs="方正仿宋_GB2312"/>
                <w:i w:val="0"/>
                <w:iCs w:val="0"/>
                <w:caps w:val="0"/>
                <w:color w:val="0D0D0D"/>
                <w:spacing w:val="0"/>
                <w:sz w:val="24"/>
                <w:szCs w:val="24"/>
              </w:rPr>
            </w:pPr>
            <w:r>
              <w:rPr>
                <w:rFonts w:hint="eastAsia" w:ascii="方正仿宋_GB2312" w:hAnsi="方正仿宋_GB2312" w:eastAsia="方正仿宋_GB2312" w:cs="方正仿宋_GB2312"/>
                <w:i w:val="0"/>
                <w:iCs w:val="0"/>
                <w:caps w:val="0"/>
                <w:color w:val="0D0D0D"/>
                <w:spacing w:val="0"/>
                <w:sz w:val="24"/>
                <w:szCs w:val="24"/>
                <w:shd w:val="clear" w:fill="FFFFFF"/>
              </w:rPr>
              <w:t>该作品通过将永川豆豉与《红楼梦》这一经典文学IP结合，成功吸引了广泛的社会关注，有效提升了非遗文化的知名度和影响力。动画中详细展示的豆豉酿制工艺，不仅让观众领略到了传统技艺的魅力，更激发了他们对非遗文化保护和传承的兴趣与热情。</w:t>
            </w:r>
          </w:p>
          <w:p w14:paraId="01932A7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40" w:lineRule="exact"/>
              <w:ind w:left="0" w:right="0" w:firstLine="480" w:firstLineChars="200"/>
              <w:textAlignment w:val="auto"/>
              <w:rPr>
                <w:rFonts w:hint="eastAsia" w:ascii="方正仿宋_GB2312" w:hAnsi="方正仿宋_GB2312" w:eastAsia="方正仿宋_GB2312" w:cs="方正仿宋_GB2312"/>
                <w:i w:val="0"/>
                <w:iCs w:val="0"/>
                <w:caps w:val="0"/>
                <w:color w:val="0D0D0D"/>
                <w:spacing w:val="0"/>
                <w:sz w:val="24"/>
                <w:szCs w:val="24"/>
              </w:rPr>
            </w:pPr>
            <w:r>
              <w:rPr>
                <w:rFonts w:hint="eastAsia" w:ascii="方正仿宋_GB2312" w:hAnsi="方正仿宋_GB2312" w:eastAsia="方正仿宋_GB2312" w:cs="方正仿宋_GB2312"/>
                <w:i w:val="0"/>
                <w:iCs w:val="0"/>
                <w:caps w:val="0"/>
                <w:color w:val="0D0D0D"/>
                <w:spacing w:val="0"/>
                <w:sz w:val="24"/>
                <w:szCs w:val="24"/>
                <w:shd w:val="clear" w:fill="FFFFFF"/>
              </w:rPr>
              <w:t>此外，该动画还促进了文化旅游的融合发展。永川豆豉作为地方特色产品，其知名度的提升直接带动了相关旅游资源的开发，吸引了众多游客前来探访和体验，为地方经济发展注入了新的活力。</w:t>
            </w:r>
          </w:p>
          <w:p w14:paraId="12D6C4E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40" w:lineRule="exact"/>
              <w:ind w:left="0" w:right="0" w:firstLine="480" w:firstLineChars="200"/>
              <w:textAlignment w:val="auto"/>
              <w:rPr>
                <w:rFonts w:hint="eastAsia" w:ascii="方正仿宋_GB2312" w:hAnsi="方正仿宋_GB2312" w:eastAsia="方正仿宋_GB2312" w:cs="方正仿宋_GB2312"/>
                <w:i w:val="0"/>
                <w:iCs w:val="0"/>
                <w:caps w:val="0"/>
                <w:color w:val="0D0D0D"/>
                <w:spacing w:val="0"/>
                <w:sz w:val="24"/>
                <w:szCs w:val="24"/>
              </w:rPr>
            </w:pPr>
            <w:r>
              <w:rPr>
                <w:rFonts w:hint="eastAsia" w:ascii="方正仿宋_GB2312" w:hAnsi="方正仿宋_GB2312" w:eastAsia="方正仿宋_GB2312" w:cs="方正仿宋_GB2312"/>
                <w:i w:val="0"/>
                <w:iCs w:val="0"/>
                <w:caps w:val="0"/>
                <w:color w:val="0D0D0D"/>
                <w:spacing w:val="0"/>
                <w:sz w:val="24"/>
                <w:szCs w:val="24"/>
                <w:shd w:val="clear" w:fill="FFFFFF"/>
              </w:rPr>
              <w:t>更重要的是，作品通过传播传统文化，增强了民众的文化自信和民族自豪感，让更多人认识到非物质文化遗产的宝贵价值，从而积极参与到非遗文化的保护和传承中来。</w:t>
            </w:r>
          </w:p>
          <w:p w14:paraId="3B5A7BC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40" w:lineRule="exact"/>
              <w:ind w:left="0" w:right="0" w:firstLine="480" w:firstLineChars="200"/>
              <w:textAlignment w:val="auto"/>
              <w:rPr>
                <w:rFonts w:hint="eastAsia" w:ascii="方正仿宋_GB2312" w:hAnsi="方正仿宋_GB2312" w:eastAsia="方正仿宋_GB2312" w:cs="方正仿宋_GB2312"/>
                <w:i w:val="0"/>
                <w:iCs w:val="0"/>
                <w:caps w:val="0"/>
                <w:color w:val="0D0D0D"/>
                <w:spacing w:val="0"/>
                <w:sz w:val="24"/>
                <w:szCs w:val="24"/>
              </w:rPr>
            </w:pPr>
            <w:r>
              <w:rPr>
                <w:rFonts w:hint="eastAsia" w:ascii="方正仿宋_GB2312" w:hAnsi="方正仿宋_GB2312" w:eastAsia="方正仿宋_GB2312" w:cs="方正仿宋_GB2312"/>
                <w:i w:val="0"/>
                <w:iCs w:val="0"/>
                <w:caps w:val="0"/>
                <w:color w:val="0D0D0D"/>
                <w:spacing w:val="0"/>
                <w:sz w:val="24"/>
                <w:szCs w:val="24"/>
                <w:shd w:val="clear" w:fill="FFFFFF"/>
              </w:rPr>
              <w:t>《永川豆豉 走进红楼梦》不仅是一部优秀的新闻动画作品，更是一次成功的文化传承实践，它为社会带来了文化繁荣、经济发展和民族自信等多方面的积极效应。</w:t>
            </w:r>
          </w:p>
          <w:p w14:paraId="68249677">
            <w:pPr>
              <w:keepNext w:val="0"/>
              <w:keepLines w:val="0"/>
              <w:pageBreakBefore w:val="0"/>
              <w:kinsoku/>
              <w:wordWrap/>
              <w:overflowPunct/>
              <w:topLinePunct w:val="0"/>
              <w:autoSpaceDE/>
              <w:autoSpaceDN/>
              <w:bidi w:val="0"/>
              <w:adjustRightInd/>
              <w:snapToGrid/>
              <w:spacing w:after="0" w:line="340" w:lineRule="exact"/>
              <w:ind w:firstLine="480" w:firstLineChars="200"/>
              <w:jc w:val="left"/>
              <w:textAlignment w:val="auto"/>
              <w:rPr>
                <w:rFonts w:hint="eastAsia" w:ascii="方正仿宋_GB2312" w:hAnsi="方正仿宋_GB2312" w:eastAsia="方正仿宋_GB2312" w:cs="方正仿宋_GB2312"/>
                <w:sz w:val="24"/>
                <w:szCs w:val="24"/>
              </w:rPr>
            </w:pPr>
          </w:p>
        </w:tc>
      </w:tr>
      <w:tr w14:paraId="776A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132" w:type="dxa"/>
            <w:vMerge w:val="restart"/>
            <w:vAlign w:val="center"/>
          </w:tcPr>
          <w:p w14:paraId="5E89F00B">
            <w:pPr>
              <w:spacing w:after="0" w:line="32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传</w:t>
            </w:r>
          </w:p>
          <w:p w14:paraId="66D4FDFF">
            <w:pPr>
              <w:spacing w:after="0" w:line="32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播</w:t>
            </w:r>
          </w:p>
          <w:p w14:paraId="36FC1D90">
            <w:pPr>
              <w:spacing w:after="0" w:line="32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数</w:t>
            </w:r>
          </w:p>
          <w:p w14:paraId="0502CE7F">
            <w:pPr>
              <w:spacing w:after="0" w:line="32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据</w:t>
            </w:r>
          </w:p>
        </w:tc>
        <w:tc>
          <w:tcPr>
            <w:tcW w:w="1749" w:type="dxa"/>
            <w:gridSpan w:val="3"/>
            <w:vMerge w:val="restart"/>
            <w:vAlign w:val="center"/>
          </w:tcPr>
          <w:p w14:paraId="21963978">
            <w:pPr>
              <w:keepNext w:val="0"/>
              <w:keepLines w:val="0"/>
              <w:pageBreakBefore w:val="0"/>
              <w:widowControl w:val="0"/>
              <w:kinsoku/>
              <w:wordWrap/>
              <w:overflowPunct/>
              <w:topLinePunct w:val="0"/>
              <w:autoSpaceDE/>
              <w:autoSpaceDN/>
              <w:bidi w:val="0"/>
              <w:adjustRightInd/>
              <w:snapToGrid/>
              <w:spacing w:after="0" w:line="340" w:lineRule="exact"/>
              <w:jc w:val="left"/>
              <w:textAlignment w:val="auto"/>
              <w:rPr>
                <w:rFonts w:ascii="方正楷体_GBK" w:hAnsi="Times New Roman" w:eastAsia="方正楷体_GBK"/>
                <w:szCs w:val="21"/>
              </w:rPr>
            </w:pPr>
            <w:r>
              <w:rPr>
                <w:rFonts w:hint="eastAsia" w:ascii="方正楷体_GBK" w:hAnsi="Times New Roman" w:eastAsia="方正楷体_GBK"/>
                <w:szCs w:val="21"/>
              </w:rPr>
              <w:t>新媒体传播平台网址</w:t>
            </w:r>
          </w:p>
        </w:tc>
        <w:tc>
          <w:tcPr>
            <w:tcW w:w="7078" w:type="dxa"/>
            <w:gridSpan w:val="9"/>
            <w:vAlign w:val="center"/>
          </w:tcPr>
          <w:p w14:paraId="0F84523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方正仿宋_GB2312" w:hAnsi="方正仿宋_GB2312" w:eastAsia="方正仿宋_GB2312" w:cs="方正仿宋_GB2312"/>
                <w:sz w:val="24"/>
                <w:szCs w:val="24"/>
              </w:rPr>
            </w:pPr>
          </w:p>
        </w:tc>
      </w:tr>
      <w:tr w14:paraId="3CA1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132" w:type="dxa"/>
            <w:vMerge w:val="continue"/>
            <w:vAlign w:val="center"/>
          </w:tcPr>
          <w:p w14:paraId="5DCBE652">
            <w:pPr>
              <w:spacing w:after="0" w:line="320" w:lineRule="exact"/>
              <w:jc w:val="center"/>
              <w:rPr>
                <w:rFonts w:ascii="Times New Roman" w:hAnsi="Times New Roman" w:eastAsia="方正黑体_GBK" w:cs="方正黑体_GBK"/>
                <w:sz w:val="28"/>
                <w:szCs w:val="20"/>
              </w:rPr>
            </w:pPr>
          </w:p>
        </w:tc>
        <w:tc>
          <w:tcPr>
            <w:tcW w:w="1749" w:type="dxa"/>
            <w:gridSpan w:val="3"/>
            <w:vMerge w:val="continue"/>
            <w:vAlign w:val="center"/>
          </w:tcPr>
          <w:p w14:paraId="793CE8B7">
            <w:pPr>
              <w:spacing w:after="0"/>
              <w:ind w:firstLine="420" w:firstLineChars="200"/>
              <w:jc w:val="left"/>
              <w:rPr>
                <w:rFonts w:ascii="方正楷体_GBK" w:hAnsi="Times New Roman" w:eastAsia="方正楷体_GBK"/>
                <w:szCs w:val="21"/>
              </w:rPr>
            </w:pPr>
          </w:p>
        </w:tc>
        <w:tc>
          <w:tcPr>
            <w:tcW w:w="7078" w:type="dxa"/>
            <w:gridSpan w:val="9"/>
            <w:vAlign w:val="center"/>
          </w:tcPr>
          <w:p w14:paraId="37FCC140">
            <w:pPr>
              <w:keepNext w:val="0"/>
              <w:keepLines w:val="0"/>
              <w:pageBreakBefore w:val="0"/>
              <w:widowControl w:val="0"/>
              <w:kinsoku/>
              <w:wordWrap/>
              <w:overflowPunct/>
              <w:topLinePunct w:val="0"/>
              <w:autoSpaceDE/>
              <w:autoSpaceDN/>
              <w:bidi w:val="0"/>
              <w:adjustRightInd/>
              <w:snapToGrid/>
              <w:spacing w:after="0" w:line="240" w:lineRule="exact"/>
              <w:jc w:val="left"/>
              <w:textAlignment w:val="auto"/>
              <w:rPr>
                <w:rFonts w:hint="eastAsia" w:ascii="方正仿宋_GB2312" w:hAnsi="方正仿宋_GB2312" w:eastAsia="方正仿宋_GB2312" w:cs="方正仿宋_GB2312"/>
                <w:sz w:val="24"/>
                <w:szCs w:val="24"/>
              </w:rPr>
            </w:pPr>
          </w:p>
        </w:tc>
      </w:tr>
      <w:tr w14:paraId="5CCA7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1132" w:type="dxa"/>
            <w:vMerge w:val="continue"/>
            <w:vAlign w:val="center"/>
          </w:tcPr>
          <w:p w14:paraId="46B8E845">
            <w:pPr>
              <w:spacing w:after="0" w:line="320" w:lineRule="exact"/>
              <w:jc w:val="center"/>
              <w:rPr>
                <w:rFonts w:ascii="Times New Roman" w:hAnsi="Times New Roman" w:eastAsia="方正黑体_GBK" w:cs="方正黑体_GBK"/>
                <w:sz w:val="28"/>
                <w:szCs w:val="20"/>
              </w:rPr>
            </w:pPr>
          </w:p>
        </w:tc>
        <w:tc>
          <w:tcPr>
            <w:tcW w:w="1749" w:type="dxa"/>
            <w:gridSpan w:val="3"/>
            <w:vMerge w:val="continue"/>
            <w:vAlign w:val="center"/>
          </w:tcPr>
          <w:p w14:paraId="4EE11F48">
            <w:pPr>
              <w:spacing w:after="0"/>
              <w:ind w:firstLine="420" w:firstLineChars="200"/>
              <w:jc w:val="left"/>
              <w:rPr>
                <w:rFonts w:ascii="方正楷体_GBK" w:hAnsi="Times New Roman" w:eastAsia="方正楷体_GBK"/>
                <w:szCs w:val="21"/>
              </w:rPr>
            </w:pPr>
          </w:p>
        </w:tc>
        <w:tc>
          <w:tcPr>
            <w:tcW w:w="7078" w:type="dxa"/>
            <w:gridSpan w:val="9"/>
            <w:vAlign w:val="center"/>
          </w:tcPr>
          <w:p w14:paraId="45164FC6">
            <w:pPr>
              <w:keepNext w:val="0"/>
              <w:keepLines w:val="0"/>
              <w:pageBreakBefore w:val="0"/>
              <w:widowControl w:val="0"/>
              <w:kinsoku/>
              <w:wordWrap/>
              <w:overflowPunct/>
              <w:topLinePunct w:val="0"/>
              <w:autoSpaceDE/>
              <w:autoSpaceDN/>
              <w:bidi w:val="0"/>
              <w:adjustRightInd/>
              <w:snapToGrid/>
              <w:spacing w:after="0" w:line="240" w:lineRule="exact"/>
              <w:jc w:val="left"/>
              <w:textAlignment w:val="auto"/>
              <w:rPr>
                <w:rFonts w:hint="eastAsia" w:ascii="方正仿宋_GB2312" w:hAnsi="方正仿宋_GB2312" w:eastAsia="方正仿宋_GB2312" w:cs="方正仿宋_GB2312"/>
                <w:sz w:val="24"/>
                <w:szCs w:val="24"/>
                <w:lang w:val="en-US" w:eastAsia="zh-CN"/>
              </w:rPr>
            </w:pPr>
          </w:p>
        </w:tc>
      </w:tr>
      <w:tr w14:paraId="23FCE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exact"/>
          <w:jc w:val="center"/>
        </w:trPr>
        <w:tc>
          <w:tcPr>
            <w:tcW w:w="1132" w:type="dxa"/>
            <w:vMerge w:val="continue"/>
            <w:vAlign w:val="center"/>
          </w:tcPr>
          <w:p w14:paraId="7422FFB5">
            <w:pPr>
              <w:spacing w:after="0" w:line="320" w:lineRule="exact"/>
              <w:jc w:val="center"/>
              <w:rPr>
                <w:rFonts w:ascii="Times New Roman" w:hAnsi="Times New Roman" w:eastAsia="方正黑体_GBK" w:cs="方正黑体_GBK"/>
                <w:sz w:val="28"/>
                <w:szCs w:val="20"/>
              </w:rPr>
            </w:pPr>
          </w:p>
        </w:tc>
        <w:tc>
          <w:tcPr>
            <w:tcW w:w="1749" w:type="dxa"/>
            <w:gridSpan w:val="3"/>
            <w:vAlign w:val="center"/>
          </w:tcPr>
          <w:p w14:paraId="5C88AD96">
            <w:pPr>
              <w:spacing w:after="0" w:line="320" w:lineRule="exact"/>
              <w:ind w:firstLine="420" w:firstLineChars="200"/>
              <w:jc w:val="left"/>
              <w:rPr>
                <w:rFonts w:ascii="方正楷体_GBK" w:hAnsi="Times New Roman" w:eastAsia="方正楷体_GBK"/>
                <w:szCs w:val="21"/>
              </w:rPr>
            </w:pPr>
            <w:r>
              <w:rPr>
                <w:rFonts w:hint="eastAsia" w:ascii="方正楷体_GBK" w:hAnsi="Times New Roman" w:eastAsia="方正楷体_GBK"/>
                <w:szCs w:val="21"/>
              </w:rPr>
              <w:t>阅读量（浏览量、点击量）</w:t>
            </w:r>
          </w:p>
        </w:tc>
        <w:tc>
          <w:tcPr>
            <w:tcW w:w="1703" w:type="dxa"/>
            <w:gridSpan w:val="2"/>
            <w:vAlign w:val="center"/>
          </w:tcPr>
          <w:p w14:paraId="46309B27">
            <w:pPr>
              <w:spacing w:after="0"/>
              <w:ind w:firstLine="420" w:firstLineChars="200"/>
              <w:jc w:val="left"/>
              <w:rPr>
                <w:rFonts w:hint="default" w:ascii="方正楷体_GBK" w:hAnsi="Times New Roman" w:eastAsia="方正楷体_GBK"/>
                <w:szCs w:val="21"/>
                <w:lang w:val="en-US" w:eastAsia="zh-CN"/>
              </w:rPr>
            </w:pPr>
            <w:r>
              <w:rPr>
                <w:rFonts w:hint="eastAsia" w:ascii="方正楷体_GBK" w:hAnsi="Times New Roman" w:eastAsia="方正楷体_GBK"/>
                <w:szCs w:val="21"/>
                <w:lang w:val="en-US" w:eastAsia="zh-CN"/>
              </w:rPr>
              <w:t>10万+</w:t>
            </w:r>
          </w:p>
        </w:tc>
        <w:tc>
          <w:tcPr>
            <w:tcW w:w="958" w:type="dxa"/>
            <w:gridSpan w:val="3"/>
            <w:vAlign w:val="center"/>
          </w:tcPr>
          <w:p w14:paraId="2E9B32B9">
            <w:pPr>
              <w:jc w:val="left"/>
              <w:rPr>
                <w:rFonts w:hint="eastAsia" w:ascii="方正楷体_GBK" w:hAnsi="仿宋" w:eastAsia="方正楷体_GBK" w:cs="Times New Roman"/>
                <w:sz w:val="22"/>
                <w:szCs w:val="16"/>
              </w:rPr>
            </w:pPr>
            <w:r>
              <w:rPr>
                <w:rFonts w:hint="eastAsia" w:ascii="方正楷体_GBK" w:hAnsi="仿宋" w:eastAsia="方正楷体_GBK" w:cs="仿宋"/>
                <w:sz w:val="22"/>
                <w:szCs w:val="16"/>
              </w:rPr>
              <w:t>转载量</w:t>
            </w:r>
          </w:p>
        </w:tc>
        <w:tc>
          <w:tcPr>
            <w:tcW w:w="2019" w:type="dxa"/>
            <w:gridSpan w:val="2"/>
            <w:vAlign w:val="center"/>
          </w:tcPr>
          <w:p w14:paraId="6837C9DB">
            <w:pPr>
              <w:spacing w:after="0"/>
              <w:ind w:firstLine="420" w:firstLineChars="200"/>
              <w:jc w:val="left"/>
              <w:rPr>
                <w:rFonts w:hint="default" w:ascii="方正楷体_GBK" w:hAnsi="Times New Roman" w:eastAsia="方正楷体_GBK"/>
                <w:szCs w:val="21"/>
                <w:lang w:val="en-US" w:eastAsia="zh-CN"/>
              </w:rPr>
            </w:pPr>
            <w:r>
              <w:rPr>
                <w:rFonts w:hint="eastAsia" w:ascii="方正楷体_GBK" w:hAnsi="Times New Roman" w:eastAsia="方正楷体_GBK"/>
                <w:szCs w:val="21"/>
                <w:lang w:val="en-US" w:eastAsia="zh-CN"/>
              </w:rPr>
              <w:t>5000+</w:t>
            </w:r>
          </w:p>
        </w:tc>
        <w:tc>
          <w:tcPr>
            <w:tcW w:w="925" w:type="dxa"/>
            <w:vAlign w:val="center"/>
          </w:tcPr>
          <w:p w14:paraId="72495703">
            <w:pPr>
              <w:spacing w:after="0"/>
              <w:jc w:val="left"/>
              <w:rPr>
                <w:rFonts w:ascii="方正楷体_GBK" w:hAnsi="Times New Roman" w:eastAsia="方正楷体_GBK"/>
                <w:szCs w:val="21"/>
              </w:rPr>
            </w:pPr>
            <w:r>
              <w:rPr>
                <w:rFonts w:hint="eastAsia" w:ascii="方正楷体_GBK" w:hAnsi="Times New Roman" w:eastAsia="方正楷体_GBK"/>
                <w:szCs w:val="21"/>
              </w:rPr>
              <w:t>互动量</w:t>
            </w:r>
          </w:p>
        </w:tc>
        <w:tc>
          <w:tcPr>
            <w:tcW w:w="1473" w:type="dxa"/>
            <w:vAlign w:val="center"/>
          </w:tcPr>
          <w:p w14:paraId="1DF6D231">
            <w:pPr>
              <w:spacing w:after="0"/>
              <w:ind w:firstLine="420" w:firstLineChars="200"/>
              <w:jc w:val="left"/>
              <w:rPr>
                <w:rFonts w:hint="default" w:ascii="Times New Roman" w:hAnsi="Times New Roman" w:eastAsia="仿宋"/>
                <w:szCs w:val="21"/>
                <w:lang w:val="en-US" w:eastAsia="zh-CN"/>
              </w:rPr>
            </w:pPr>
            <w:r>
              <w:rPr>
                <w:rFonts w:hint="eastAsia" w:ascii="Times New Roman" w:hAnsi="Times New Roman" w:eastAsia="仿宋"/>
                <w:szCs w:val="21"/>
                <w:lang w:val="en-US" w:eastAsia="zh-CN"/>
              </w:rPr>
              <w:t>3000+</w:t>
            </w:r>
          </w:p>
        </w:tc>
      </w:tr>
      <w:tr w14:paraId="65CC3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9" w:hRule="exact"/>
          <w:jc w:val="center"/>
        </w:trPr>
        <w:tc>
          <w:tcPr>
            <w:tcW w:w="1132" w:type="dxa"/>
            <w:vAlign w:val="center"/>
          </w:tcPr>
          <w:p w14:paraId="2540BE48">
            <w:pPr>
              <w:spacing w:after="0" w:line="32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推</w:t>
            </w:r>
          </w:p>
          <w:p w14:paraId="5F968CD9">
            <w:pPr>
              <w:spacing w:after="0" w:line="32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荐</w:t>
            </w:r>
          </w:p>
          <w:p w14:paraId="46ABE113">
            <w:pPr>
              <w:spacing w:after="0" w:line="32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理</w:t>
            </w:r>
          </w:p>
          <w:p w14:paraId="61171F46">
            <w:pPr>
              <w:spacing w:after="0" w:line="32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由</w:t>
            </w:r>
          </w:p>
        </w:tc>
        <w:tc>
          <w:tcPr>
            <w:tcW w:w="8827" w:type="dxa"/>
            <w:gridSpan w:val="12"/>
            <w:vAlign w:val="center"/>
          </w:tcPr>
          <w:p w14:paraId="389E07C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40" w:lineRule="exact"/>
              <w:ind w:left="0" w:right="0" w:firstLine="480" w:firstLineChars="200"/>
              <w:textAlignment w:val="auto"/>
              <w:rPr>
                <w:rFonts w:hint="eastAsia" w:ascii="方正仿宋_GB2312" w:hAnsi="方正仿宋_GB2312" w:eastAsia="方正仿宋_GB2312" w:cs="方正仿宋_GB2312"/>
                <w:b w:val="0"/>
                <w:bCs w:val="0"/>
                <w:i w:val="0"/>
                <w:iCs w:val="0"/>
                <w:caps w:val="0"/>
                <w:color w:val="0D0D0D"/>
                <w:spacing w:val="0"/>
                <w:sz w:val="24"/>
                <w:szCs w:val="24"/>
              </w:rPr>
            </w:pPr>
            <w:r>
              <w:rPr>
                <w:rFonts w:hint="eastAsia" w:ascii="方正仿宋_GB2312" w:hAnsi="方正仿宋_GB2312" w:eastAsia="方正仿宋_GB2312" w:cs="方正仿宋_GB2312"/>
                <w:b w:val="0"/>
                <w:bCs w:val="0"/>
                <w:i w:val="0"/>
                <w:iCs w:val="0"/>
                <w:caps w:val="0"/>
                <w:color w:val="0D0D0D"/>
                <w:spacing w:val="0"/>
                <w:sz w:val="24"/>
                <w:szCs w:val="24"/>
                <w:shd w:val="clear" w:fill="FFFFFF"/>
              </w:rPr>
              <w:t>本作品以国家级非遗“永川豆豉酿制技艺”为核心，融合《红楼梦》文学经典，构建“非遗+文学”的跨时空对话，具有多重推荐价值。</w:t>
            </w:r>
            <w:r>
              <w:rPr>
                <w:rFonts w:hint="eastAsia" w:ascii="方正仿宋_GB2312" w:hAnsi="方正仿宋_GB2312" w:eastAsia="方正仿宋_GB2312" w:cs="方正仿宋_GB2312"/>
                <w:b w:val="0"/>
                <w:bCs w:val="0"/>
                <w:i w:val="0"/>
                <w:iCs w:val="0"/>
                <w:caps w:val="0"/>
                <w:color w:val="0D0D0D"/>
                <w:spacing w:val="0"/>
                <w:sz w:val="24"/>
                <w:szCs w:val="24"/>
                <w:shd w:val="clear" w:fill="FFFFFF"/>
              </w:rPr>
              <w:br w:type="textWrapping"/>
            </w:r>
            <w:r>
              <w:rPr>
                <w:rFonts w:hint="eastAsia" w:ascii="方正仿宋_GB2312" w:hAnsi="方正仿宋_GB2312" w:eastAsia="方正仿宋_GB2312" w:cs="方正仿宋_GB2312"/>
                <w:b w:val="0"/>
                <w:bCs w:val="0"/>
                <w:i w:val="0"/>
                <w:iCs w:val="0"/>
                <w:caps w:val="0"/>
                <w:color w:val="0D0D0D"/>
                <w:spacing w:val="0"/>
                <w:sz w:val="24"/>
                <w:szCs w:val="24"/>
                <w:shd w:val="clear" w:fill="FFFFFF"/>
                <w:lang w:val="en-US" w:eastAsia="zh-CN"/>
              </w:rPr>
              <w:t xml:space="preserve">   </w:t>
            </w:r>
            <w:r>
              <w:rPr>
                <w:rStyle w:val="12"/>
                <w:rFonts w:hint="eastAsia" w:ascii="方正仿宋_GB2312" w:hAnsi="方正仿宋_GB2312" w:eastAsia="方正仿宋_GB2312" w:cs="方正仿宋_GB2312"/>
                <w:b w:val="0"/>
                <w:bCs w:val="0"/>
                <w:i w:val="0"/>
                <w:iCs w:val="0"/>
                <w:caps w:val="0"/>
                <w:color w:val="0D0D0D"/>
                <w:spacing w:val="0"/>
                <w:sz w:val="24"/>
                <w:szCs w:val="24"/>
                <w:shd w:val="clear" w:fill="FFFFFF"/>
              </w:rPr>
              <w:t>文化价值突出</w:t>
            </w:r>
            <w:r>
              <w:rPr>
                <w:rFonts w:hint="eastAsia" w:ascii="方正仿宋_GB2312" w:hAnsi="方正仿宋_GB2312" w:eastAsia="方正仿宋_GB2312" w:cs="方正仿宋_GB2312"/>
                <w:b w:val="0"/>
                <w:bCs w:val="0"/>
                <w:i w:val="0"/>
                <w:iCs w:val="0"/>
                <w:caps w:val="0"/>
                <w:color w:val="0D0D0D"/>
                <w:spacing w:val="0"/>
                <w:sz w:val="24"/>
                <w:szCs w:val="24"/>
                <w:shd w:val="clear" w:fill="FFFFFF"/>
              </w:rPr>
              <w:t>：永川豆豉作为2008年入选的国家级非遗，其“毛霉发酵、九蒸八晒”的古法工艺在动画中得以活态呈现，既彰显传统技艺的匠心传承，又赋予《红楼梦》饮食场景以物质文化载体，实现经典文学与非遗技艺的双向赋能。</w:t>
            </w:r>
            <w:r>
              <w:rPr>
                <w:rFonts w:hint="eastAsia" w:ascii="方正仿宋_GB2312" w:hAnsi="方正仿宋_GB2312" w:eastAsia="方正仿宋_GB2312" w:cs="方正仿宋_GB2312"/>
                <w:b w:val="0"/>
                <w:bCs w:val="0"/>
                <w:i w:val="0"/>
                <w:iCs w:val="0"/>
                <w:caps w:val="0"/>
                <w:color w:val="0D0D0D"/>
                <w:spacing w:val="0"/>
                <w:sz w:val="24"/>
                <w:szCs w:val="24"/>
                <w:shd w:val="clear" w:fill="FFFFFF"/>
              </w:rPr>
              <w:br w:type="textWrapping"/>
            </w:r>
            <w:r>
              <w:rPr>
                <w:rFonts w:hint="eastAsia" w:ascii="方正仿宋_GB2312" w:hAnsi="方正仿宋_GB2312" w:eastAsia="方正仿宋_GB2312" w:cs="方正仿宋_GB2312"/>
                <w:b w:val="0"/>
                <w:bCs w:val="0"/>
                <w:i w:val="0"/>
                <w:iCs w:val="0"/>
                <w:caps w:val="0"/>
                <w:color w:val="0D0D0D"/>
                <w:spacing w:val="0"/>
                <w:sz w:val="24"/>
                <w:szCs w:val="24"/>
                <w:shd w:val="clear" w:fill="FFFFFF"/>
                <w:lang w:val="en-US" w:eastAsia="zh-CN"/>
              </w:rPr>
              <w:t xml:space="preserve">   </w:t>
            </w:r>
            <w:r>
              <w:rPr>
                <w:rStyle w:val="12"/>
                <w:rFonts w:hint="eastAsia" w:ascii="方正仿宋_GB2312" w:hAnsi="方正仿宋_GB2312" w:eastAsia="方正仿宋_GB2312" w:cs="方正仿宋_GB2312"/>
                <w:b w:val="0"/>
                <w:bCs w:val="0"/>
                <w:i w:val="0"/>
                <w:iCs w:val="0"/>
                <w:caps w:val="0"/>
                <w:color w:val="0D0D0D"/>
                <w:spacing w:val="0"/>
                <w:sz w:val="24"/>
                <w:szCs w:val="24"/>
                <w:shd w:val="clear" w:fill="FFFFFF"/>
              </w:rPr>
              <w:t>创新形式亮眼</w:t>
            </w:r>
            <w:r>
              <w:rPr>
                <w:rFonts w:hint="eastAsia" w:ascii="方正仿宋_GB2312" w:hAnsi="方正仿宋_GB2312" w:eastAsia="方正仿宋_GB2312" w:cs="方正仿宋_GB2312"/>
                <w:b w:val="0"/>
                <w:bCs w:val="0"/>
                <w:i w:val="0"/>
                <w:iCs w:val="0"/>
                <w:caps w:val="0"/>
                <w:color w:val="0D0D0D"/>
                <w:spacing w:val="0"/>
                <w:sz w:val="24"/>
                <w:szCs w:val="24"/>
                <w:shd w:val="clear" w:fill="FFFFFF"/>
              </w:rPr>
              <w:t>：新闻动画以动态视觉语言解构非遗工艺，通过“豆豉拟人化”“红楼场景重构”等创意手法，将静态技艺转化为可感知的视听体验，吸引年轻群体关注非遗。</w:t>
            </w:r>
            <w:r>
              <w:rPr>
                <w:rFonts w:hint="eastAsia" w:ascii="方正仿宋_GB2312" w:hAnsi="方正仿宋_GB2312" w:eastAsia="方正仿宋_GB2312" w:cs="方正仿宋_GB2312"/>
                <w:b w:val="0"/>
                <w:bCs w:val="0"/>
                <w:i w:val="0"/>
                <w:iCs w:val="0"/>
                <w:caps w:val="0"/>
                <w:color w:val="0D0D0D"/>
                <w:spacing w:val="0"/>
                <w:sz w:val="24"/>
                <w:szCs w:val="24"/>
                <w:shd w:val="clear" w:fill="FFFFFF"/>
              </w:rPr>
              <w:br w:type="textWrapping"/>
            </w:r>
            <w:r>
              <w:rPr>
                <w:rFonts w:hint="eastAsia" w:ascii="方正仿宋_GB2312" w:hAnsi="方正仿宋_GB2312" w:eastAsia="方正仿宋_GB2312" w:cs="方正仿宋_GB2312"/>
                <w:b w:val="0"/>
                <w:bCs w:val="0"/>
                <w:i w:val="0"/>
                <w:iCs w:val="0"/>
                <w:caps w:val="0"/>
                <w:color w:val="0D0D0D"/>
                <w:spacing w:val="0"/>
                <w:sz w:val="24"/>
                <w:szCs w:val="24"/>
                <w:shd w:val="clear" w:fill="FFFFFF"/>
                <w:lang w:val="en-US" w:eastAsia="zh-CN"/>
              </w:rPr>
              <w:t xml:space="preserve">   </w:t>
            </w:r>
            <w:r>
              <w:rPr>
                <w:rStyle w:val="12"/>
                <w:rFonts w:hint="eastAsia" w:ascii="方正仿宋_GB2312" w:hAnsi="方正仿宋_GB2312" w:eastAsia="方正仿宋_GB2312" w:cs="方正仿宋_GB2312"/>
                <w:b w:val="0"/>
                <w:bCs w:val="0"/>
                <w:i w:val="0"/>
                <w:iCs w:val="0"/>
                <w:caps w:val="0"/>
                <w:color w:val="0D0D0D"/>
                <w:spacing w:val="0"/>
                <w:sz w:val="24"/>
                <w:szCs w:val="24"/>
                <w:shd w:val="clear" w:fill="FFFFFF"/>
              </w:rPr>
              <w:t>社会效益显著</w:t>
            </w:r>
            <w:r>
              <w:rPr>
                <w:rFonts w:hint="eastAsia" w:ascii="方正仿宋_GB2312" w:hAnsi="方正仿宋_GB2312" w:eastAsia="方正仿宋_GB2312" w:cs="方正仿宋_GB2312"/>
                <w:b w:val="0"/>
                <w:bCs w:val="0"/>
                <w:i w:val="0"/>
                <w:iCs w:val="0"/>
                <w:caps w:val="0"/>
                <w:color w:val="0D0D0D"/>
                <w:spacing w:val="0"/>
                <w:sz w:val="24"/>
                <w:szCs w:val="24"/>
                <w:shd w:val="clear" w:fill="FFFFFF"/>
              </w:rPr>
              <w:t>：作品通过广泛传播提升永川豆豉的公众认知度</w:t>
            </w:r>
            <w:bookmarkStart w:id="0" w:name="_GoBack"/>
            <w:bookmarkEnd w:id="0"/>
            <w:r>
              <w:rPr>
                <w:rFonts w:hint="eastAsia" w:ascii="方正仿宋_GB2312" w:hAnsi="方正仿宋_GB2312" w:eastAsia="方正仿宋_GB2312" w:cs="方正仿宋_GB2312"/>
                <w:b w:val="0"/>
                <w:bCs w:val="0"/>
                <w:i w:val="0"/>
                <w:iCs w:val="0"/>
                <w:caps w:val="0"/>
                <w:color w:val="0D0D0D"/>
                <w:spacing w:val="0"/>
                <w:sz w:val="24"/>
                <w:szCs w:val="24"/>
                <w:shd w:val="clear" w:fill="FFFFFF"/>
              </w:rPr>
              <w:t>，带动地方文旅经济发展，同时以文化创新激发大众对非遗的保护热情，增强民族文化自信，为非遗活态传承提供可持续的创新范式，彰显新时代文化自信的深厚底气。</w:t>
            </w:r>
          </w:p>
          <w:p w14:paraId="72102D78">
            <w:pPr>
              <w:spacing w:after="0" w:line="320" w:lineRule="exact"/>
              <w:jc w:val="left"/>
              <w:rPr>
                <w:rFonts w:ascii="Times New Roman" w:hAnsi="Times New Roman" w:eastAsia="仿宋" w:cs="Times New Roman"/>
                <w:szCs w:val="21"/>
              </w:rPr>
            </w:pPr>
          </w:p>
          <w:p w14:paraId="4D43D098">
            <w:pPr>
              <w:wordWrap w:val="0"/>
              <w:spacing w:after="0" w:line="320" w:lineRule="exact"/>
              <w:jc w:val="right"/>
              <w:rPr>
                <w:rFonts w:hint="default" w:ascii="Times New Roman" w:hAnsi="Times New Roman" w:eastAsia="仿宋" w:cs="Times New Roman"/>
                <w:szCs w:val="21"/>
                <w:lang w:val="en-US" w:eastAsia="zh-CN"/>
              </w:rPr>
            </w:pPr>
            <w:r>
              <w:rPr>
                <w:rFonts w:ascii="Times New Roman" w:hAnsi="Times New Roman" w:eastAsia="仿宋" w:cs="Times New Roman"/>
                <w:szCs w:val="21"/>
              </w:rPr>
              <w:t>签名：（盖单位公章）</w:t>
            </w:r>
            <w:r>
              <w:rPr>
                <w:rFonts w:hint="eastAsia" w:ascii="Times New Roman" w:hAnsi="Times New Roman" w:eastAsia="仿宋" w:cs="Times New Roman"/>
                <w:szCs w:val="21"/>
                <w:lang w:val="en-US" w:eastAsia="zh-CN"/>
              </w:rPr>
              <w:t xml:space="preserve">               </w:t>
            </w:r>
          </w:p>
          <w:p w14:paraId="6468400A">
            <w:pPr>
              <w:wordWrap w:val="0"/>
              <w:spacing w:after="0" w:line="320" w:lineRule="exact"/>
              <w:jc w:val="right"/>
              <w:rPr>
                <w:rFonts w:hint="default" w:ascii="Times New Roman" w:hAnsi="Times New Roman" w:eastAsia="仿宋" w:cs="Times New Roman"/>
                <w:sz w:val="28"/>
                <w:szCs w:val="20"/>
                <w:lang w:val="en-US" w:eastAsia="zh-CN"/>
              </w:rPr>
            </w:pPr>
            <w:r>
              <w:rPr>
                <w:rFonts w:ascii="Times New Roman" w:hAnsi="Times New Roman" w:eastAsia="仿宋" w:cs="Times New Roman"/>
                <w:szCs w:val="21"/>
              </w:rPr>
              <w:t>202</w:t>
            </w:r>
            <w:r>
              <w:rPr>
                <w:rFonts w:hint="eastAsia" w:ascii="Times New Roman" w:hAnsi="Times New Roman" w:eastAsia="仿宋" w:cs="Times New Roman"/>
                <w:szCs w:val="21"/>
                <w:lang w:val="en-US" w:eastAsia="zh-CN"/>
              </w:rPr>
              <w:t>6</w:t>
            </w:r>
            <w:r>
              <w:rPr>
                <w:rFonts w:ascii="Times New Roman" w:hAnsi="Times New Roman" w:eastAsia="仿宋" w:cs="Times New Roman"/>
                <w:szCs w:val="21"/>
              </w:rPr>
              <w:t xml:space="preserve">年 </w:t>
            </w:r>
            <w:r>
              <w:rPr>
                <w:rFonts w:hint="eastAsia" w:ascii="Times New Roman" w:hAnsi="Times New Roman" w:eastAsia="仿宋" w:cs="Times New Roman"/>
                <w:szCs w:val="21"/>
                <w:lang w:val="en-US" w:eastAsia="zh-CN"/>
              </w:rPr>
              <w:t>3</w:t>
            </w:r>
            <w:r>
              <w:rPr>
                <w:rFonts w:ascii="Times New Roman" w:hAnsi="Times New Roman" w:eastAsia="仿宋" w:cs="Times New Roman"/>
                <w:szCs w:val="21"/>
              </w:rPr>
              <w:t xml:space="preserve"> 月 </w:t>
            </w:r>
            <w:r>
              <w:rPr>
                <w:rFonts w:hint="eastAsia" w:ascii="Times New Roman" w:hAnsi="Times New Roman" w:eastAsia="仿宋" w:cs="Times New Roman"/>
                <w:szCs w:val="21"/>
                <w:lang w:val="en-US" w:eastAsia="zh-CN"/>
              </w:rPr>
              <w:t>11</w:t>
            </w:r>
            <w:r>
              <w:rPr>
                <w:rFonts w:ascii="Times New Roman" w:hAnsi="Times New Roman" w:eastAsia="仿宋" w:cs="Times New Roman"/>
                <w:szCs w:val="21"/>
              </w:rPr>
              <w:t xml:space="preserve"> 日</w:t>
            </w:r>
            <w:r>
              <w:rPr>
                <w:rFonts w:hint="eastAsia" w:ascii="Times New Roman" w:hAnsi="Times New Roman" w:eastAsia="仿宋" w:cs="Times New Roman"/>
                <w:szCs w:val="21"/>
                <w:lang w:val="en-US" w:eastAsia="zh-CN"/>
              </w:rPr>
              <w:t xml:space="preserve">                  </w:t>
            </w:r>
          </w:p>
        </w:tc>
      </w:tr>
      <w:tr w14:paraId="24577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jc w:val="center"/>
        </w:trPr>
        <w:tc>
          <w:tcPr>
            <w:tcW w:w="1132" w:type="dxa"/>
            <w:vAlign w:val="center"/>
          </w:tcPr>
          <w:p w14:paraId="088A7BF1">
            <w:pPr>
              <w:spacing w:after="0" w:line="40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联系人</w:t>
            </w:r>
          </w:p>
        </w:tc>
        <w:tc>
          <w:tcPr>
            <w:tcW w:w="1749" w:type="dxa"/>
            <w:gridSpan w:val="3"/>
            <w:vAlign w:val="center"/>
          </w:tcPr>
          <w:p w14:paraId="04E51170">
            <w:pPr>
              <w:spacing w:after="0" w:line="400" w:lineRule="exact"/>
              <w:jc w:val="center"/>
              <w:rPr>
                <w:rFonts w:ascii="Times New Roman" w:hAnsi="Times New Roman" w:eastAsia="方正黑体_GBK" w:cs="方正黑体_GBK"/>
                <w:sz w:val="28"/>
                <w:szCs w:val="20"/>
              </w:rPr>
            </w:pPr>
            <w:r>
              <w:rPr>
                <w:rFonts w:hint="eastAsia" w:ascii="Times New Roman" w:hAnsi="Times New Roman" w:eastAsia="仿宋"/>
                <w:sz w:val="24"/>
                <w:lang w:val="en-US" w:eastAsia="zh-CN"/>
              </w:rPr>
              <w:t>刘芸怡</w:t>
            </w:r>
          </w:p>
        </w:tc>
        <w:tc>
          <w:tcPr>
            <w:tcW w:w="1136" w:type="dxa"/>
            <w:vAlign w:val="center"/>
          </w:tcPr>
          <w:p w14:paraId="1DBB59DD">
            <w:pPr>
              <w:spacing w:after="0" w:line="40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电话</w:t>
            </w:r>
          </w:p>
        </w:tc>
        <w:tc>
          <w:tcPr>
            <w:tcW w:w="1863" w:type="dxa"/>
            <w:gridSpan w:val="5"/>
            <w:vAlign w:val="center"/>
          </w:tcPr>
          <w:p w14:paraId="3944CD8B">
            <w:pPr>
              <w:spacing w:after="0" w:line="400" w:lineRule="exact"/>
              <w:jc w:val="center"/>
              <w:rPr>
                <w:rFonts w:hint="default" w:ascii="Times New Roman" w:hAnsi="Times New Roman" w:eastAsia="方正黑体_GBK" w:cs="方正黑体_GBK"/>
                <w:sz w:val="28"/>
                <w:szCs w:val="20"/>
                <w:lang w:val="en-US" w:eastAsia="zh-CN"/>
              </w:rPr>
            </w:pPr>
            <w:r>
              <w:rPr>
                <w:rFonts w:hint="eastAsia" w:ascii="Times New Roman" w:hAnsi="Times New Roman" w:eastAsia="方正黑体_GBK" w:cs="方正黑体_GBK"/>
                <w:sz w:val="28"/>
                <w:szCs w:val="20"/>
                <w:lang w:val="en-US" w:eastAsia="zh-CN"/>
              </w:rPr>
              <w:t>0234986327</w:t>
            </w:r>
          </w:p>
        </w:tc>
        <w:tc>
          <w:tcPr>
            <w:tcW w:w="1681" w:type="dxa"/>
            <w:vAlign w:val="center"/>
          </w:tcPr>
          <w:p w14:paraId="3BDEF33D">
            <w:pPr>
              <w:spacing w:after="0" w:line="40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手机</w:t>
            </w:r>
          </w:p>
        </w:tc>
        <w:tc>
          <w:tcPr>
            <w:tcW w:w="2398" w:type="dxa"/>
            <w:gridSpan w:val="2"/>
            <w:vAlign w:val="center"/>
          </w:tcPr>
          <w:p w14:paraId="6F14B480">
            <w:pPr>
              <w:spacing w:after="0" w:line="400" w:lineRule="exact"/>
              <w:jc w:val="center"/>
              <w:rPr>
                <w:rFonts w:ascii="Times New Roman" w:hAnsi="Times New Roman" w:eastAsia="方正黑体_GBK" w:cs="方正黑体_GBK"/>
                <w:sz w:val="28"/>
                <w:szCs w:val="20"/>
              </w:rPr>
            </w:pPr>
            <w:r>
              <w:rPr>
                <w:rFonts w:hint="eastAsia" w:ascii="Times New Roman" w:hAnsi="Times New Roman" w:eastAsia="仿宋"/>
                <w:sz w:val="24"/>
                <w:lang w:val="en-US" w:eastAsia="zh-CN"/>
              </w:rPr>
              <w:t>13648307413</w:t>
            </w:r>
          </w:p>
        </w:tc>
      </w:tr>
      <w:tr w14:paraId="4521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exact"/>
          <w:jc w:val="center"/>
        </w:trPr>
        <w:tc>
          <w:tcPr>
            <w:tcW w:w="1132" w:type="dxa"/>
            <w:vAlign w:val="center"/>
          </w:tcPr>
          <w:p w14:paraId="79206179">
            <w:pPr>
              <w:spacing w:after="0" w:line="40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地址</w:t>
            </w:r>
          </w:p>
        </w:tc>
        <w:tc>
          <w:tcPr>
            <w:tcW w:w="4748" w:type="dxa"/>
            <w:gridSpan w:val="9"/>
            <w:vAlign w:val="center"/>
          </w:tcPr>
          <w:p w14:paraId="644EA4FB">
            <w:pPr>
              <w:spacing w:after="0" w:line="400" w:lineRule="exact"/>
              <w:jc w:val="center"/>
              <w:rPr>
                <w:rFonts w:hint="default" w:ascii="Times New Roman" w:hAnsi="Times New Roman" w:eastAsia="方正黑体_GBK" w:cs="方正黑体_GBK"/>
                <w:sz w:val="28"/>
                <w:szCs w:val="20"/>
                <w:lang w:val="en-US" w:eastAsia="zh-CN"/>
              </w:rPr>
            </w:pPr>
            <w:r>
              <w:rPr>
                <w:rFonts w:hint="eastAsia" w:asciiTheme="minorEastAsia" w:hAnsiTheme="minorEastAsia" w:eastAsiaTheme="minorEastAsia" w:cstheme="minorEastAsia"/>
                <w:sz w:val="21"/>
                <w:szCs w:val="21"/>
                <w:lang w:val="en-US" w:eastAsia="zh-CN"/>
              </w:rPr>
              <w:t>重庆市永川区外环西路92号</w:t>
            </w:r>
          </w:p>
        </w:tc>
        <w:tc>
          <w:tcPr>
            <w:tcW w:w="1681" w:type="dxa"/>
            <w:vAlign w:val="center"/>
          </w:tcPr>
          <w:p w14:paraId="7038DDC8">
            <w:pPr>
              <w:spacing w:after="0" w:line="400" w:lineRule="exact"/>
              <w:jc w:val="center"/>
              <w:rPr>
                <w:rFonts w:ascii="Times New Roman" w:hAnsi="Times New Roman" w:eastAsia="方正黑体_GBK" w:cs="方正黑体_GBK"/>
                <w:sz w:val="28"/>
                <w:szCs w:val="20"/>
              </w:rPr>
            </w:pPr>
            <w:r>
              <w:rPr>
                <w:rFonts w:hint="eastAsia" w:ascii="Times New Roman" w:hAnsi="Times New Roman" w:eastAsia="方正黑体_GBK" w:cs="方正黑体_GBK"/>
                <w:sz w:val="28"/>
                <w:szCs w:val="20"/>
              </w:rPr>
              <w:t>邮箱</w:t>
            </w:r>
          </w:p>
        </w:tc>
        <w:tc>
          <w:tcPr>
            <w:tcW w:w="2398" w:type="dxa"/>
            <w:gridSpan w:val="2"/>
            <w:vAlign w:val="center"/>
          </w:tcPr>
          <w:p w14:paraId="6A500B18">
            <w:pPr>
              <w:spacing w:after="0" w:line="400" w:lineRule="exact"/>
              <w:jc w:val="center"/>
              <w:rPr>
                <w:rFonts w:ascii="Times New Roman" w:hAnsi="Times New Roman" w:eastAsia="方正黑体_GBK" w:cs="方正黑体_GBK"/>
                <w:sz w:val="28"/>
                <w:szCs w:val="20"/>
              </w:rPr>
            </w:pPr>
            <w:r>
              <w:rPr>
                <w:rFonts w:hint="eastAsia" w:ascii="Times New Roman" w:hAnsi="Times New Roman" w:eastAsia="仿宋"/>
                <w:sz w:val="24"/>
                <w:lang w:val="en-US" w:eastAsia="zh-CN"/>
              </w:rPr>
              <w:t>173265885@qq.com</w:t>
            </w:r>
          </w:p>
        </w:tc>
      </w:tr>
    </w:tbl>
    <w:p w14:paraId="043C0459">
      <w:pPr>
        <w:spacing w:after="0"/>
      </w:pPr>
    </w:p>
    <w:sectPr>
      <w:headerReference r:id="rId5" w:type="default"/>
      <w:footerReference r:id="rId6" w:type="default"/>
      <w:pgSz w:w="11906" w:h="16838"/>
      <w:pgMar w:top="1134" w:right="1446" w:bottom="0" w:left="1446" w:header="851" w:footer="1247"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1" w:fontKey="{B23DD363-4EDE-437E-98E0-81AE532ECD1D}"/>
  </w:font>
  <w:font w:name="仿宋">
    <w:panose1 w:val="02010609060101010101"/>
    <w:charset w:val="86"/>
    <w:family w:val="modern"/>
    <w:pitch w:val="default"/>
    <w:sig w:usb0="800002BF" w:usb1="38CF7CFA" w:usb2="00000016" w:usb3="00000000" w:csb0="00040001" w:csb1="00000000"/>
    <w:embedRegular r:id="rId2" w:fontKey="{3738AC59-08DD-4CE7-9ABF-7E00A91A12EF}"/>
  </w:font>
  <w:font w:name="方正仿宋_GBK">
    <w:panose1 w:val="02000000000000000000"/>
    <w:charset w:val="86"/>
    <w:family w:val="script"/>
    <w:pitch w:val="default"/>
    <w:sig w:usb0="A00002BF" w:usb1="38CF7CFA" w:usb2="00082016" w:usb3="00000000" w:csb0="00040001" w:csb1="00000000"/>
  </w:font>
  <w:font w:name="楷体">
    <w:panose1 w:val="02010609060101010101"/>
    <w:charset w:val="86"/>
    <w:family w:val="modern"/>
    <w:pitch w:val="default"/>
    <w:sig w:usb0="800002BF" w:usb1="38CF7CFA" w:usb2="00000016" w:usb3="00000000" w:csb0="00040001" w:csb1="00000000"/>
    <w:embedRegular r:id="rId3" w:fontKey="{65F939E4-0EF0-4462-BA4E-23210DE91AE5}"/>
  </w:font>
  <w:font w:name="方正小标宋_GBK">
    <w:panose1 w:val="02000000000000000000"/>
    <w:charset w:val="86"/>
    <w:family w:val="script"/>
    <w:pitch w:val="default"/>
    <w:sig w:usb0="00000001" w:usb1="080E0000" w:usb2="00000000" w:usb3="00000000" w:csb0="00040000" w:csb1="00000000"/>
    <w:embedRegular r:id="rId4" w:fontKey="{99380B68-0A72-460D-AC1C-29A45C2D48F4}"/>
  </w:font>
  <w:font w:name="华文中宋">
    <w:altName w:val="宋体"/>
    <w:panose1 w:val="02010600040101010101"/>
    <w:charset w:val="86"/>
    <w:family w:val="auto"/>
    <w:pitch w:val="default"/>
    <w:sig w:usb0="00000000" w:usb1="00000000" w:usb2="00000010" w:usb3="00000000" w:csb0="0004009F" w:csb1="00000000"/>
    <w:embedRegular r:id="rId5" w:fontKey="{B7551F4D-02EC-4642-A857-9882DEB06F02}"/>
  </w:font>
  <w:font w:name="方正黑体_GBK">
    <w:panose1 w:val="02000000000000000000"/>
    <w:charset w:val="86"/>
    <w:family w:val="script"/>
    <w:pitch w:val="default"/>
    <w:sig w:usb0="A00002BF" w:usb1="38CF7CFA" w:usb2="00082016" w:usb3="00000000" w:csb0="00040001" w:csb1="00000000"/>
    <w:embedRegular r:id="rId6" w:fontKey="{6E32ED14-CE7A-49A4-AAE7-9BE44409C471}"/>
  </w:font>
  <w:font w:name="方正仿宋_GB2312">
    <w:panose1 w:val="02000000000000000000"/>
    <w:charset w:val="86"/>
    <w:family w:val="auto"/>
    <w:pitch w:val="default"/>
    <w:sig w:usb0="A00002BF" w:usb1="184F6CFA" w:usb2="00000012" w:usb3="00000000" w:csb0="00040001" w:csb1="00000000"/>
    <w:embedRegular r:id="rId7" w:fontKey="{6AFECE33-2860-420E-95FA-88E2728FC599}"/>
  </w:font>
  <w:font w:name="方正楷体_GBK">
    <w:panose1 w:val="03000509000000000000"/>
    <w:charset w:val="86"/>
    <w:family w:val="script"/>
    <w:pitch w:val="default"/>
    <w:sig w:usb0="00000001" w:usb1="080E0000" w:usb2="00000000" w:usb3="00000000" w:csb0="00040000" w:csb1="00000000"/>
    <w:embedRegular r:id="rId8" w:fontKey="{91433BAE-339D-4658-8E0E-DF010758F4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195F7">
    <w:pPr>
      <w:pStyle w:val="5"/>
      <w:jc w:val="center"/>
      <w:rPr>
        <w:rFonts w:hint="eastAsia" w:ascii="宋体" w:hAnsi="宋体" w:cs="仿宋_GB2312"/>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2B210">
    <w:pPr>
      <w:pStyle w:val="3"/>
      <w:spacing w:after="0" w:line="320" w:lineRule="exact"/>
      <w:ind w:firstLine="602"/>
      <w:rPr>
        <w:rFonts w:hint="eastAsia" w:ascii="楷体" w:hAnsi="楷体" w:eastAsia="楷体"/>
        <w:b/>
        <w:sz w:val="30"/>
        <w:szCs w:val="3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hYjZiYjYxM2I0MGM0YzkxZjA5YjQ4NWE3ZDE3OWYifQ=="/>
    <w:docVar w:name="KSO_WPS_MARK_KEY" w:val="e869c1ea-dd35-4c0d-9a73-1f2e6a3a3de5"/>
  </w:docVars>
  <w:rsids>
    <w:rsidRoot w:val="00D2444B"/>
    <w:rsid w:val="00001BE8"/>
    <w:rsid w:val="00033D52"/>
    <w:rsid w:val="000438AE"/>
    <w:rsid w:val="00073959"/>
    <w:rsid w:val="00081B6C"/>
    <w:rsid w:val="000A3F86"/>
    <w:rsid w:val="000C587D"/>
    <w:rsid w:val="00121349"/>
    <w:rsid w:val="00142EA8"/>
    <w:rsid w:val="00180A58"/>
    <w:rsid w:val="00195D9B"/>
    <w:rsid w:val="001A3405"/>
    <w:rsid w:val="001A415F"/>
    <w:rsid w:val="002024D5"/>
    <w:rsid w:val="00204C86"/>
    <w:rsid w:val="002264B8"/>
    <w:rsid w:val="002332AA"/>
    <w:rsid w:val="0024266C"/>
    <w:rsid w:val="00247207"/>
    <w:rsid w:val="00267563"/>
    <w:rsid w:val="002A47F5"/>
    <w:rsid w:val="002B3D5F"/>
    <w:rsid w:val="002C6823"/>
    <w:rsid w:val="002D5B46"/>
    <w:rsid w:val="002E25F1"/>
    <w:rsid w:val="002E718D"/>
    <w:rsid w:val="002F2CA1"/>
    <w:rsid w:val="003029B5"/>
    <w:rsid w:val="00311BE8"/>
    <w:rsid w:val="003120FC"/>
    <w:rsid w:val="003157F7"/>
    <w:rsid w:val="00323203"/>
    <w:rsid w:val="00326E8F"/>
    <w:rsid w:val="00371806"/>
    <w:rsid w:val="00483107"/>
    <w:rsid w:val="004B612F"/>
    <w:rsid w:val="004C0E0B"/>
    <w:rsid w:val="004C7EDD"/>
    <w:rsid w:val="004D1B1F"/>
    <w:rsid w:val="004F12EB"/>
    <w:rsid w:val="00505A75"/>
    <w:rsid w:val="005304E3"/>
    <w:rsid w:val="00556E09"/>
    <w:rsid w:val="0059206D"/>
    <w:rsid w:val="005B18BF"/>
    <w:rsid w:val="005F3C35"/>
    <w:rsid w:val="00607E17"/>
    <w:rsid w:val="00624B50"/>
    <w:rsid w:val="006626C1"/>
    <w:rsid w:val="006839F0"/>
    <w:rsid w:val="00695853"/>
    <w:rsid w:val="006A0B98"/>
    <w:rsid w:val="006F1D4A"/>
    <w:rsid w:val="006F6BEA"/>
    <w:rsid w:val="00713C4B"/>
    <w:rsid w:val="00723D1C"/>
    <w:rsid w:val="00732BD0"/>
    <w:rsid w:val="00733AA6"/>
    <w:rsid w:val="00744FA5"/>
    <w:rsid w:val="0075080E"/>
    <w:rsid w:val="00750E7F"/>
    <w:rsid w:val="00774F3D"/>
    <w:rsid w:val="007823F0"/>
    <w:rsid w:val="007838F1"/>
    <w:rsid w:val="00790D28"/>
    <w:rsid w:val="007B58FE"/>
    <w:rsid w:val="007D510F"/>
    <w:rsid w:val="00816CA4"/>
    <w:rsid w:val="0082124D"/>
    <w:rsid w:val="0082343E"/>
    <w:rsid w:val="008268DF"/>
    <w:rsid w:val="008317A9"/>
    <w:rsid w:val="008540DC"/>
    <w:rsid w:val="00867F94"/>
    <w:rsid w:val="008B7005"/>
    <w:rsid w:val="008C5285"/>
    <w:rsid w:val="00916310"/>
    <w:rsid w:val="00934EC8"/>
    <w:rsid w:val="009506C7"/>
    <w:rsid w:val="00950B0B"/>
    <w:rsid w:val="009B32FB"/>
    <w:rsid w:val="009B7895"/>
    <w:rsid w:val="009D0020"/>
    <w:rsid w:val="009D555C"/>
    <w:rsid w:val="009F0DB5"/>
    <w:rsid w:val="009F2130"/>
    <w:rsid w:val="00A069D2"/>
    <w:rsid w:val="00A0757B"/>
    <w:rsid w:val="00A36303"/>
    <w:rsid w:val="00A6008B"/>
    <w:rsid w:val="00A60F15"/>
    <w:rsid w:val="00A75156"/>
    <w:rsid w:val="00AA2032"/>
    <w:rsid w:val="00AA6780"/>
    <w:rsid w:val="00AB715C"/>
    <w:rsid w:val="00AD61FB"/>
    <w:rsid w:val="00AD6701"/>
    <w:rsid w:val="00AD7D2A"/>
    <w:rsid w:val="00B04521"/>
    <w:rsid w:val="00B20677"/>
    <w:rsid w:val="00B4135A"/>
    <w:rsid w:val="00B46735"/>
    <w:rsid w:val="00B80649"/>
    <w:rsid w:val="00B901AE"/>
    <w:rsid w:val="00B95FB4"/>
    <w:rsid w:val="00BA55B1"/>
    <w:rsid w:val="00BD4CEE"/>
    <w:rsid w:val="00BE670E"/>
    <w:rsid w:val="00C2092C"/>
    <w:rsid w:val="00C4193B"/>
    <w:rsid w:val="00C51268"/>
    <w:rsid w:val="00C57970"/>
    <w:rsid w:val="00C63F04"/>
    <w:rsid w:val="00CA7B19"/>
    <w:rsid w:val="00CD3C17"/>
    <w:rsid w:val="00CE6ECF"/>
    <w:rsid w:val="00D0585B"/>
    <w:rsid w:val="00D224DB"/>
    <w:rsid w:val="00D2444B"/>
    <w:rsid w:val="00D30DFD"/>
    <w:rsid w:val="00D56C73"/>
    <w:rsid w:val="00DB4B32"/>
    <w:rsid w:val="00DC6447"/>
    <w:rsid w:val="00DF6D3F"/>
    <w:rsid w:val="00E12699"/>
    <w:rsid w:val="00E71D38"/>
    <w:rsid w:val="00E73DB5"/>
    <w:rsid w:val="00E7573E"/>
    <w:rsid w:val="00EE176E"/>
    <w:rsid w:val="00EE178C"/>
    <w:rsid w:val="00EF28F9"/>
    <w:rsid w:val="00EF5E98"/>
    <w:rsid w:val="00EF6679"/>
    <w:rsid w:val="00F15D8B"/>
    <w:rsid w:val="00F44517"/>
    <w:rsid w:val="00F70973"/>
    <w:rsid w:val="00F81A6B"/>
    <w:rsid w:val="00FA700C"/>
    <w:rsid w:val="00FC5D4B"/>
    <w:rsid w:val="00FD409E"/>
    <w:rsid w:val="00FD54C0"/>
    <w:rsid w:val="00FD7B41"/>
    <w:rsid w:val="00FE1BC7"/>
    <w:rsid w:val="0183485E"/>
    <w:rsid w:val="02733157"/>
    <w:rsid w:val="06777851"/>
    <w:rsid w:val="07B866E0"/>
    <w:rsid w:val="07FB57CC"/>
    <w:rsid w:val="08510A42"/>
    <w:rsid w:val="08B472E5"/>
    <w:rsid w:val="0ADF6F01"/>
    <w:rsid w:val="0E406831"/>
    <w:rsid w:val="0E8A1A16"/>
    <w:rsid w:val="0FC8628E"/>
    <w:rsid w:val="0FE37480"/>
    <w:rsid w:val="115563FC"/>
    <w:rsid w:val="11EE6B89"/>
    <w:rsid w:val="12495A43"/>
    <w:rsid w:val="12DC046F"/>
    <w:rsid w:val="134B0590"/>
    <w:rsid w:val="14441A71"/>
    <w:rsid w:val="14D17287"/>
    <w:rsid w:val="15157DCB"/>
    <w:rsid w:val="1518499D"/>
    <w:rsid w:val="167F2E86"/>
    <w:rsid w:val="17F05D6B"/>
    <w:rsid w:val="187A6EA4"/>
    <w:rsid w:val="189B2419"/>
    <w:rsid w:val="18AD378E"/>
    <w:rsid w:val="1AF41F83"/>
    <w:rsid w:val="1C187423"/>
    <w:rsid w:val="1D02214E"/>
    <w:rsid w:val="1D9368A7"/>
    <w:rsid w:val="1F515EB6"/>
    <w:rsid w:val="1F9B04F6"/>
    <w:rsid w:val="212F71EE"/>
    <w:rsid w:val="218419F6"/>
    <w:rsid w:val="222F68EC"/>
    <w:rsid w:val="223D6BE1"/>
    <w:rsid w:val="23215FAB"/>
    <w:rsid w:val="24774D57"/>
    <w:rsid w:val="25315ABC"/>
    <w:rsid w:val="2573512A"/>
    <w:rsid w:val="25A93FC5"/>
    <w:rsid w:val="27E93292"/>
    <w:rsid w:val="28C50CF6"/>
    <w:rsid w:val="29E76546"/>
    <w:rsid w:val="2CB40E02"/>
    <w:rsid w:val="2E6B2A3C"/>
    <w:rsid w:val="2EBE62D9"/>
    <w:rsid w:val="302A6AD1"/>
    <w:rsid w:val="304A48E7"/>
    <w:rsid w:val="31DE6354"/>
    <w:rsid w:val="32603485"/>
    <w:rsid w:val="33393D03"/>
    <w:rsid w:val="33F740CE"/>
    <w:rsid w:val="343066DE"/>
    <w:rsid w:val="350A11F7"/>
    <w:rsid w:val="3A530269"/>
    <w:rsid w:val="3A9564F5"/>
    <w:rsid w:val="3ABC0D03"/>
    <w:rsid w:val="3BC56960"/>
    <w:rsid w:val="3D6850E4"/>
    <w:rsid w:val="3E14565B"/>
    <w:rsid w:val="3F345B73"/>
    <w:rsid w:val="3FA12DAF"/>
    <w:rsid w:val="41C433D8"/>
    <w:rsid w:val="446D772E"/>
    <w:rsid w:val="46955624"/>
    <w:rsid w:val="47F765F1"/>
    <w:rsid w:val="47FB5623"/>
    <w:rsid w:val="49570E97"/>
    <w:rsid w:val="49742590"/>
    <w:rsid w:val="49D111CB"/>
    <w:rsid w:val="4A886594"/>
    <w:rsid w:val="4AAE7D70"/>
    <w:rsid w:val="4CB42C7D"/>
    <w:rsid w:val="4E176CD8"/>
    <w:rsid w:val="4E570E05"/>
    <w:rsid w:val="4EA31C0C"/>
    <w:rsid w:val="5081334A"/>
    <w:rsid w:val="50AF069C"/>
    <w:rsid w:val="51CB566A"/>
    <w:rsid w:val="525B6B2A"/>
    <w:rsid w:val="55A073F3"/>
    <w:rsid w:val="572E40DA"/>
    <w:rsid w:val="57636794"/>
    <w:rsid w:val="57E87EEE"/>
    <w:rsid w:val="57F22BD0"/>
    <w:rsid w:val="594D1D84"/>
    <w:rsid w:val="597A2035"/>
    <w:rsid w:val="59BF4838"/>
    <w:rsid w:val="5C9D3B4C"/>
    <w:rsid w:val="5DF023A8"/>
    <w:rsid w:val="5EA06637"/>
    <w:rsid w:val="5EF907E6"/>
    <w:rsid w:val="6207406F"/>
    <w:rsid w:val="62B85E3D"/>
    <w:rsid w:val="62E83F51"/>
    <w:rsid w:val="63515EFF"/>
    <w:rsid w:val="6465796C"/>
    <w:rsid w:val="65070E59"/>
    <w:rsid w:val="684348D0"/>
    <w:rsid w:val="692B59D6"/>
    <w:rsid w:val="6A3D1B5C"/>
    <w:rsid w:val="6B4972C6"/>
    <w:rsid w:val="6E15315E"/>
    <w:rsid w:val="6F785C3A"/>
    <w:rsid w:val="7104137A"/>
    <w:rsid w:val="71616C2C"/>
    <w:rsid w:val="717B4757"/>
    <w:rsid w:val="71E32DE1"/>
    <w:rsid w:val="723B4C9F"/>
    <w:rsid w:val="73916B94"/>
    <w:rsid w:val="748522C1"/>
    <w:rsid w:val="74AE70A7"/>
    <w:rsid w:val="76B8433D"/>
    <w:rsid w:val="796F2B0A"/>
    <w:rsid w:val="7A3A17F1"/>
    <w:rsid w:val="7AB804C9"/>
    <w:rsid w:val="7BBF2C5B"/>
    <w:rsid w:val="7D1C5F58"/>
    <w:rsid w:val="7F3D5E34"/>
    <w:rsid w:val="7F9B2359"/>
    <w:rsid w:val="7FFF49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qFormat="1" w:uiPriority="0" w:semiHidden="0" w:name="Body Text First Indent"/>
    <w:lsdException w:uiPriority="0" w:name="Body Text First Indent 2"/>
    <w:lsdException w:uiPriority="0" w:name="Note Heading"/>
    <w:lsdException w:uiPriority="0" w:name="Body Text 2"/>
    <w:lsdException w:qFormat="1" w:uiPriority="99" w:semiHidden="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Calibri" w:hAnsi="Calibri" w:eastAsia="宋体" w:cs="黑体"/>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rPr>
      <w:rFonts w:eastAsia="仿宋_GB2312" w:cs="Times New Roman"/>
      <w:sz w:val="32"/>
      <w:szCs w:val="24"/>
    </w:rPr>
  </w:style>
  <w:style w:type="paragraph" w:styleId="3">
    <w:name w:val="Body Text 3"/>
    <w:basedOn w:val="1"/>
    <w:link w:val="17"/>
    <w:unhideWhenUsed/>
    <w:qFormat/>
    <w:uiPriority w:val="99"/>
    <w:pPr>
      <w:spacing w:after="120"/>
    </w:pPr>
    <w:rPr>
      <w:rFonts w:eastAsia="仿宋_GB2312"/>
      <w:sz w:val="16"/>
      <w:szCs w:val="16"/>
    </w:rPr>
  </w:style>
  <w:style w:type="paragraph" w:styleId="4">
    <w:name w:val="Balloon Text"/>
    <w:basedOn w:val="1"/>
    <w:link w:val="19"/>
    <w:unhideWhenUsed/>
    <w:qFormat/>
    <w:uiPriority w:val="99"/>
    <w:rPr>
      <w:sz w:val="18"/>
      <w:szCs w:val="18"/>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rFonts w:eastAsia="仿宋_GB2312"/>
      <w:sz w:val="18"/>
      <w:szCs w:val="18"/>
    </w:rPr>
  </w:style>
  <w:style w:type="paragraph" w:styleId="7">
    <w:name w:val="Normal (Web)"/>
    <w:basedOn w:val="1"/>
    <w:next w:val="6"/>
    <w:unhideWhenUsed/>
    <w:qFormat/>
    <w:uiPriority w:val="0"/>
    <w:pPr>
      <w:widowControl/>
      <w:spacing w:before="100" w:beforeAutospacing="1" w:after="100" w:afterAutospacing="1"/>
      <w:jc w:val="left"/>
    </w:pPr>
    <w:rPr>
      <w:rFonts w:ascii="宋体" w:hAnsi="宋体" w:cs="宋体"/>
      <w:kern w:val="0"/>
      <w:sz w:val="24"/>
    </w:rPr>
  </w:style>
  <w:style w:type="paragraph" w:styleId="8">
    <w:name w:val="Title"/>
    <w:basedOn w:val="1"/>
    <w:next w:val="1"/>
    <w:qFormat/>
    <w:uiPriority w:val="0"/>
    <w:pPr>
      <w:jc w:val="center"/>
    </w:pPr>
    <w:rPr>
      <w:rFonts w:ascii="宋体" w:hAnsi="Times New Roman" w:cs="Times New Roman"/>
      <w:b/>
      <w:snapToGrid w:val="0"/>
      <w:sz w:val="36"/>
      <w:szCs w:val="20"/>
    </w:rPr>
  </w:style>
  <w:style w:type="paragraph" w:styleId="9">
    <w:name w:val="Body Text First Indent"/>
    <w:basedOn w:val="2"/>
    <w:unhideWhenUsed/>
    <w:qFormat/>
    <w:uiPriority w:val="0"/>
    <w:pPr>
      <w:spacing w:line="594" w:lineRule="exact"/>
      <w:ind w:firstLine="200" w:firstLineChars="200"/>
    </w:pPr>
    <w:rPr>
      <w:rFonts w:eastAsia="方正仿宋_GBK"/>
    </w:rPr>
  </w:style>
  <w:style w:type="character" w:styleId="12">
    <w:name w:val="Strong"/>
    <w:basedOn w:val="11"/>
    <w:qFormat/>
    <w:uiPriority w:val="22"/>
    <w:rPr>
      <w:b/>
    </w:rPr>
  </w:style>
  <w:style w:type="character" w:styleId="13">
    <w:name w:val="Hyperlink"/>
    <w:qFormat/>
    <w:uiPriority w:val="99"/>
    <w:rPr>
      <w:color w:val="0000FF"/>
      <w:u w:val="single"/>
    </w:rPr>
  </w:style>
  <w:style w:type="paragraph" w:customStyle="1" w:styleId="14">
    <w:name w:val="列出段落1"/>
    <w:basedOn w:val="1"/>
    <w:qFormat/>
    <w:uiPriority w:val="34"/>
    <w:pPr>
      <w:ind w:firstLine="420" w:firstLineChars="200"/>
    </w:pPr>
  </w:style>
  <w:style w:type="paragraph" w:customStyle="1" w:styleId="15">
    <w:name w:val="p0"/>
    <w:basedOn w:val="1"/>
    <w:qFormat/>
    <w:uiPriority w:val="0"/>
    <w:pPr>
      <w:widowControl/>
    </w:pPr>
    <w:rPr>
      <w:rFonts w:ascii="Times New Roman" w:hAnsi="Times New Roman" w:cs="Times New Roman"/>
      <w:kern w:val="0"/>
      <w:szCs w:val="21"/>
    </w:rPr>
  </w:style>
  <w:style w:type="paragraph" w:customStyle="1" w:styleId="16">
    <w:name w:val="Table Paragraph"/>
    <w:basedOn w:val="1"/>
    <w:qFormat/>
    <w:uiPriority w:val="1"/>
    <w:pPr>
      <w:autoSpaceDE w:val="0"/>
      <w:autoSpaceDN w:val="0"/>
    </w:pPr>
    <w:rPr>
      <w:rFonts w:ascii="仿宋" w:hAnsi="仿宋" w:eastAsia="仿宋" w:cs="仿宋"/>
      <w:kern w:val="0"/>
      <w:sz w:val="22"/>
      <w:lang w:val="zh-CN" w:bidi="zh-CN"/>
    </w:rPr>
  </w:style>
  <w:style w:type="character" w:customStyle="1" w:styleId="17">
    <w:name w:val="正文文本 3 字符"/>
    <w:link w:val="3"/>
    <w:qFormat/>
    <w:uiPriority w:val="99"/>
    <w:rPr>
      <w:rFonts w:eastAsia="仿宋_GB2312"/>
      <w:sz w:val="16"/>
      <w:szCs w:val="16"/>
    </w:rPr>
  </w:style>
  <w:style w:type="character" w:customStyle="1" w:styleId="18">
    <w:name w:val="页眉 字符"/>
    <w:link w:val="6"/>
    <w:qFormat/>
    <w:uiPriority w:val="99"/>
    <w:rPr>
      <w:rFonts w:eastAsia="仿宋_GB2312"/>
      <w:sz w:val="18"/>
      <w:szCs w:val="18"/>
    </w:rPr>
  </w:style>
  <w:style w:type="character" w:customStyle="1" w:styleId="19">
    <w:name w:val="批注框文本 字符"/>
    <w:link w:val="4"/>
    <w:semiHidden/>
    <w:qFormat/>
    <w:uiPriority w:val="99"/>
    <w:rPr>
      <w:rFonts w:ascii="Calibri" w:hAnsi="Calibri" w:eastAsia="宋体" w:cs="黑体"/>
      <w:kern w:val="2"/>
      <w:sz w:val="18"/>
      <w:szCs w:val="18"/>
    </w:rPr>
  </w:style>
  <w:style w:type="character" w:customStyle="1" w:styleId="20">
    <w:name w:val="页脚 字符"/>
    <w:link w:val="5"/>
    <w:qFormat/>
    <w:uiPriority w:val="99"/>
    <w:rPr>
      <w:rFonts w:ascii="Calibri" w:hAnsi="Calibri" w:eastAsia="宋体"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1486</Words>
  <Characters>1650</Characters>
  <Lines>133</Lines>
  <Paragraphs>37</Paragraphs>
  <TotalTime>68</TotalTime>
  <ScaleCrop>false</ScaleCrop>
  <LinksUpToDate>false</LinksUpToDate>
  <CharactersWithSpaces>1713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2025-03-17T03:48:00Z</dcterms:created>
  <dc:creator>xb21cn</dc:creator>
  <cp:lastModifiedBy>很凶很凶的哦</cp:lastModifiedBy>
  <cp:lastPrinted>2025-03-14T10:40:00Z</cp:lastPrinted>
  <dcterms:modified xsi:type="dcterms:W3CDTF">2026-03-13T02:53:20Z</dcterms:modified>
  <dc:title>中共重庆市委宣传部文件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FBCDF9EC496146A0BB0CB7302042AECE_13</vt:lpwstr>
  </property>
  <property fmtid="{D5CDD505-2E9C-101B-9397-08002B2CF9AE}" pid="4" name="KSOTemplateDocerSaveRecord">
    <vt:lpwstr>eyJoZGlkIjoiOGQ3ZTQzYWFjMWI5MTc2Y2M2ZGFhZjU3ZDU2N2MyYzIiLCJ1c2VySWQiOiIzOTgyMzE2MjQifQ==</vt:lpwstr>
  </property>
</Properties>
</file>