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44"/>
          <w:szCs w:val="44"/>
          <w:lang w:val="en-US" w:eastAsia="zh-CN"/>
          <w14:textFill>
            <w14:solidFill>
              <w14:schemeClr w14:val="tx1"/>
            </w14:solidFill>
          </w14:textFill>
        </w:rPr>
      </w:pPr>
      <w:r>
        <w:rPr>
          <w:rFonts w:hint="eastAsia" w:ascii="微软雅黑" w:hAnsi="微软雅黑" w:eastAsia="微软雅黑" w:cs="微软雅黑"/>
          <w:color w:val="000000" w:themeColor="text1"/>
          <w:sz w:val="44"/>
          <w:szCs w:val="44"/>
          <w:lang w:val="en-US" w:eastAsia="zh-CN"/>
          <w14:textFill>
            <w14:solidFill>
              <w14:schemeClr w14:val="tx1"/>
            </w14:solidFill>
          </w14:textFill>
        </w:rPr>
        <w:t>2024年度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44"/>
          <w:szCs w:val="44"/>
          <w:lang w:val="en-US" w:eastAsia="zh-CN"/>
          <w14:textFill>
            <w14:solidFill>
              <w14:schemeClr w14:val="tx1"/>
            </w14:solidFill>
          </w14:textFill>
        </w:rPr>
      </w:pPr>
      <w:r>
        <w:rPr>
          <w:rFonts w:hint="eastAsia" w:ascii="微软雅黑" w:hAnsi="微软雅黑" w:eastAsia="微软雅黑" w:cs="微软雅黑"/>
          <w:color w:val="000000" w:themeColor="text1"/>
          <w:sz w:val="44"/>
          <w:szCs w:val="44"/>
          <w:lang w:val="en-US" w:eastAsia="zh-CN"/>
          <w14:textFill>
            <w14:solidFill>
              <w14:schemeClr w14:val="tx1"/>
            </w14:solidFill>
          </w14:textFill>
        </w:rPr>
        <w:t>重庆市百个乡村文化繁荣活力指数发布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44"/>
          <w:szCs w:val="44"/>
          <w:lang w:val="en-US" w:eastAsia="zh-CN"/>
          <w14:textFill>
            <w14:solidFill>
              <w14:schemeClr w14:val="tx1"/>
            </w14:solidFill>
          </w14:textFill>
        </w:rPr>
      </w:pPr>
      <w:r>
        <w:rPr>
          <w:rFonts w:hint="eastAsia" w:ascii="微软雅黑" w:hAnsi="微软雅黑" w:eastAsia="微软雅黑" w:cs="微软雅黑"/>
          <w:color w:val="000000" w:themeColor="text1"/>
          <w:sz w:val="44"/>
          <w:szCs w:val="44"/>
          <w:lang w:val="en-US" w:eastAsia="zh-CN"/>
          <w14:textFill>
            <w14:solidFill>
              <w14:schemeClr w14:val="tx1"/>
            </w14:solidFill>
          </w14:textFill>
        </w:rPr>
        <w:t>暨推选活动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（简称：“百村百赞”活动）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主题：文化振兴  产业融合  村域发展 </w:t>
      </w:r>
    </w:p>
    <w:p>
      <w:pPr>
        <w:jc w:val="center"/>
        <w:rPr>
          <w:rFonts w:hint="eastAsia" w:ascii="微软雅黑" w:hAnsi="微软雅黑" w:eastAsia="微软雅黑" w:cs="微软雅黑"/>
          <w:color w:val="000000" w:themeColor="text1"/>
          <w:sz w:val="36"/>
          <w:szCs w:val="36"/>
          <w:lang w:val="en-US" w:eastAsia="zh-CN"/>
          <w14:textFill>
            <w14:solidFill>
              <w14:schemeClr w14:val="tx1"/>
            </w14:solidFill>
          </w14:textFill>
        </w:rPr>
      </w:pPr>
    </w:p>
    <w:p>
      <w:pPr>
        <w:rPr>
          <w:rFonts w:hint="eastAsia" w:ascii="微软雅黑" w:hAnsi="微软雅黑" w:eastAsia="微软雅黑" w:cs="微软雅黑"/>
          <w:color w:val="000000" w:themeColor="text1"/>
          <w:sz w:val="36"/>
          <w:szCs w:val="36"/>
          <w:lang w:val="en-US" w:eastAsia="zh-CN"/>
          <w14:textFill>
            <w14:solidFill>
              <w14:schemeClr w14:val="tx1"/>
            </w14:solidFill>
          </w14:textFill>
        </w:rPr>
      </w:pPr>
    </w:p>
    <w:p>
      <w:pPr>
        <w:jc w:val="center"/>
        <w:rPr>
          <w:rFonts w:hint="eastAsia" w:ascii="微软雅黑" w:hAnsi="微软雅黑" w:eastAsia="微软雅黑" w:cs="微软雅黑"/>
          <w:color w:val="000000" w:themeColor="text1"/>
          <w:sz w:val="72"/>
          <w:szCs w:val="72"/>
          <w:lang w:val="en-US" w:eastAsia="zh-CN"/>
          <w14:textFill>
            <w14:solidFill>
              <w14:schemeClr w14:val="tx1"/>
            </w14:solidFill>
          </w14:textFill>
        </w:rPr>
      </w:pPr>
      <w:r>
        <w:rPr>
          <w:rFonts w:hint="eastAsia" w:ascii="微软雅黑" w:hAnsi="微软雅黑" w:eastAsia="微软雅黑" w:cs="微软雅黑"/>
          <w:color w:val="000000" w:themeColor="text1"/>
          <w:sz w:val="72"/>
          <w:szCs w:val="72"/>
          <w:lang w:val="en-US" w:eastAsia="zh-CN"/>
          <w14:textFill>
            <w14:solidFill>
              <w14:schemeClr w14:val="tx1"/>
            </w14:solidFill>
          </w14:textFill>
        </w:rPr>
        <w:t>活动方案</w:t>
      </w:r>
    </w:p>
    <w:p>
      <w:pPr>
        <w:jc w:val="center"/>
        <w:rPr>
          <w:rFonts w:hint="eastAsia" w:ascii="微软雅黑" w:hAnsi="微软雅黑" w:eastAsia="微软雅黑" w:cs="微软雅黑"/>
          <w:color w:val="000000" w:themeColor="text1"/>
          <w:sz w:val="32"/>
          <w:szCs w:val="32"/>
          <w:lang w:val="en-US" w:eastAsia="zh-CN"/>
          <w14:textFill>
            <w14:solidFill>
              <w14:schemeClr w14:val="tx1"/>
            </w14:solidFill>
          </w14:textFill>
        </w:rPr>
      </w:pPr>
    </w:p>
    <w:p>
      <w:pPr>
        <w:jc w:val="center"/>
        <w:rPr>
          <w:rFonts w:hint="eastAsia" w:ascii="微软雅黑" w:hAnsi="微软雅黑" w:eastAsia="微软雅黑" w:cs="微软雅黑"/>
          <w:color w:val="000000" w:themeColor="text1"/>
          <w:lang w:val="en-US" w:eastAsia="zh-CN"/>
          <w14:textFill>
            <w14:solidFill>
              <w14:schemeClr w14:val="tx1"/>
            </w14:solidFill>
          </w14:textFill>
        </w:rPr>
      </w:pPr>
    </w:p>
    <w:p>
      <w:pPr>
        <w:jc w:val="center"/>
        <w:rPr>
          <w:rFonts w:hint="eastAsia" w:ascii="微软雅黑" w:hAnsi="微软雅黑" w:eastAsia="微软雅黑" w:cs="微软雅黑"/>
          <w:color w:val="000000" w:themeColor="text1"/>
          <w:lang w:val="en-US" w:eastAsia="zh-CN"/>
          <w14:textFill>
            <w14:solidFill>
              <w14:schemeClr w14:val="tx1"/>
            </w14:solidFill>
          </w14:textFill>
        </w:rPr>
      </w:pPr>
    </w:p>
    <w:p>
      <w:pPr>
        <w:rPr>
          <w:rFonts w:hint="eastAsia" w:ascii="微软雅黑" w:hAnsi="微软雅黑" w:eastAsia="微软雅黑" w:cs="微软雅黑"/>
          <w:color w:val="000000" w:themeColor="text1"/>
          <w:lang w:val="en-US" w:eastAsia="zh-CN"/>
          <w14:textFill>
            <w14:solidFill>
              <w14:schemeClr w14:val="tx1"/>
            </w14:solidFill>
          </w14:textFill>
        </w:rPr>
      </w:pPr>
    </w:p>
    <w:p>
      <w:pPr>
        <w:rPr>
          <w:rFonts w:hint="eastAsia" w:ascii="微软雅黑" w:hAnsi="微软雅黑" w:eastAsia="微软雅黑" w:cs="微软雅黑"/>
          <w:color w:val="000000" w:themeColor="text1"/>
          <w:sz w:val="28"/>
          <w:szCs w:val="28"/>
          <w:lang w:val="en-US" w:eastAsia="zh-CN"/>
          <w14:textFill>
            <w14:solidFill>
              <w14:schemeClr w14:val="tx1"/>
            </w14:solidFill>
          </w14:textFill>
        </w:rPr>
      </w:pPr>
    </w:p>
    <w:p>
      <w:pPr>
        <w:jc w:val="center"/>
        <w:rPr>
          <w:rFonts w:hint="eastAsia"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微软雅黑" w:eastAsia="微软雅黑" w:cs="微软雅黑"/>
          <w:color w:val="000000" w:themeColor="text1"/>
          <w:sz w:val="28"/>
          <w:szCs w:val="28"/>
          <w:lang w:val="en-US" w:eastAsia="zh-CN"/>
          <w14:textFill>
            <w14:solidFill>
              <w14:schemeClr w14:val="tx1"/>
            </w14:solidFill>
          </w14:textFill>
        </w:rPr>
        <w:t>二零二四年四月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eastAsia="方正小标宋_GBK"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eastAsia="方正小标宋_GBK"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eastAsia="方正小标宋_GBK" w:cs="黑体"/>
          <w:color w:val="000000" w:themeColor="text1"/>
          <w:sz w:val="44"/>
          <w:szCs w:val="44"/>
          <w:lang w:val="en-US" w:eastAsia="zh-CN"/>
          <w14:textFill>
            <w14:solidFill>
              <w14:schemeClr w14:val="tx1"/>
            </w14:solidFill>
          </w14:textFill>
        </w:rPr>
        <w:sectPr>
          <w:footerReference r:id="rId3" w:type="default"/>
          <w:pgSz w:w="11906" w:h="16838"/>
          <w:pgMar w:top="1440" w:right="1701" w:bottom="1440" w:left="1701" w:header="851" w:footer="992" w:gutter="0"/>
          <w:pgNumType w:fmt="decimal" w:start="1"/>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2024年度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“重庆市百个乡村文化繁荣活力指数发布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暨推选活动”方案</w:t>
      </w:r>
    </w:p>
    <w:p>
      <w:pPr>
        <w:rPr>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以习近平新时代中国特色社会主义思想为指导，贯彻落实党的二十大精神，以《中共中央国务院关于学习运用“千村示范、万村整治”工程经验有力有效推进乡村全面振兴的意见》为指引，以《关于推动文化产业赋能乡村振兴的意见》为行动纲领，以成渝双城经济圈建设战略为契机，以《中共重庆市大渡口区委农村工作暨实施乡村振兴战略领导小组办公室关于印发〈大渡口区实施“党建统领·七联共建”行动推动城乡融合高质量发展工作方案〉的通知》为启发点，围绕农业高质量发展要求，</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在建国75周年和实现“十四五”规划目标任务的关键年</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通过组织上百个乡村参与乡村文化繁荣活力指数调研，对习总书记提出的“千万工程”的积极运用和大胆实践，加强乡村优秀传统文化保护传承和创新发展，促进乡村文旅深度融合，整合优质资源，汇聚专业人才，实践文化产业赋能乡村振兴，推进乡村全面振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val="en-US" w:eastAsia="zh-CN"/>
          <w14:textFill>
            <w14:solidFill>
              <w14:schemeClr w14:val="tx1"/>
            </w14:solidFill>
          </w14:textFill>
        </w:rPr>
        <w:t>组织机构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【指导单位】重庆市农业农村委员会</w:t>
      </w:r>
    </w:p>
    <w:p>
      <w:pPr>
        <w:keepNext w:val="0"/>
        <w:keepLines w:val="0"/>
        <w:pageBreakBefore w:val="0"/>
        <w:kinsoku/>
        <w:wordWrap/>
        <w:overflowPunct/>
        <w:topLinePunct w:val="0"/>
        <w:autoSpaceDE/>
        <w:autoSpaceDN/>
        <w:bidi w:val="0"/>
        <w:adjustRightInd/>
        <w:snapToGrid/>
        <w:spacing w:line="560" w:lineRule="exact"/>
        <w:ind w:right="0" w:rightChars="0" w:firstLine="2560" w:firstLineChars="8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（市乡村振兴局）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重庆市文化和旅游发展委员会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重庆市经济和信息化委员会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重庆市住房和城乡建设委员会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重庆市林业局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重庆市水利局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【主办单位】重庆华龙网集团股份有限公司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重庆两江新区产业发展集团有限公司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重庆蜀子文化传播有限公司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商业故事杂志社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重庆职业经理人协会</w:t>
      </w:r>
    </w:p>
    <w:p>
      <w:pPr>
        <w:keepNext w:val="0"/>
        <w:keepLines w:val="0"/>
        <w:pageBreakBefore w:val="0"/>
        <w:tabs>
          <w:tab w:val="left" w:pos="8400"/>
        </w:tabs>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重庆中华传统文化研究会</w:t>
      </w:r>
    </w:p>
    <w:p>
      <w:pPr>
        <w:keepNext w:val="0"/>
        <w:keepLines w:val="0"/>
        <w:pageBreakBefore w:val="0"/>
        <w:tabs>
          <w:tab w:val="left" w:pos="8400"/>
        </w:tabs>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重庆市和美乡村建设研究院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【承办单位】重庆市大渡口区</w:t>
      </w:r>
      <w:r>
        <w:rPr>
          <w:rFonts w:hint="eastAsia" w:ascii="仿宋" w:hAnsi="仿宋" w:eastAsia="仿宋" w:cs="仿宋"/>
          <w:color w:val="000000" w:themeColor="text1"/>
          <w:sz w:val="32"/>
          <w:szCs w:val="32"/>
          <w:highlight w:val="none"/>
          <w:lang w:val="en-US" w:eastAsia="zh-CN"/>
          <w14:textFill>
            <w14:solidFill>
              <w14:schemeClr w14:val="tx1"/>
            </w14:solidFill>
          </w14:textFill>
        </w:rPr>
        <w:t>跳磴</w:t>
      </w:r>
      <w:r>
        <w:rPr>
          <w:rFonts w:hint="eastAsia" w:ascii="仿宋" w:hAnsi="仿宋" w:eastAsia="仿宋" w:cs="仿宋"/>
          <w:color w:val="000000" w:themeColor="text1"/>
          <w:sz w:val="32"/>
          <w:szCs w:val="32"/>
          <w:lang w:val="en-US" w:eastAsia="zh-CN"/>
          <w14:textFill>
            <w14:solidFill>
              <w14:schemeClr w14:val="tx1"/>
            </w14:solidFill>
          </w14:textFill>
        </w:rPr>
        <w:t>镇人民政府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重庆市大渡口区农业农村委员会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重庆市大渡口区</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文化和旅游发展委员会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【执行承办】重庆市大渡口区跳磴镇石盘村村民委员会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重庆职业经理人协会农业经理人分会</w:t>
      </w:r>
    </w:p>
    <w:p>
      <w:pPr>
        <w:keepNext w:val="0"/>
        <w:keepLines w:val="0"/>
        <w:pageBreakBefore w:val="0"/>
        <w:kinsoku/>
        <w:wordWrap/>
        <w:overflowPunct/>
        <w:topLinePunct w:val="0"/>
        <w:autoSpaceDE/>
        <w:autoSpaceDN/>
        <w:bidi w:val="0"/>
        <w:adjustRightInd/>
        <w:snapToGrid/>
        <w:spacing w:line="560" w:lineRule="exact"/>
        <w:ind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重庆中华传统文化研究会乡村文化振兴</w:t>
      </w:r>
    </w:p>
    <w:p>
      <w:pPr>
        <w:keepNext w:val="0"/>
        <w:keepLines w:val="0"/>
        <w:pageBreakBefore w:val="0"/>
        <w:kinsoku/>
        <w:wordWrap/>
        <w:overflowPunct/>
        <w:topLinePunct w:val="0"/>
        <w:autoSpaceDE/>
        <w:autoSpaceDN/>
        <w:bidi w:val="0"/>
        <w:adjustRightInd/>
        <w:snapToGrid/>
        <w:spacing w:line="560" w:lineRule="exact"/>
        <w:ind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社会工作委员会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重庆远岫文化传播有限公司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【媒体支持】人民网、新华网、腾讯网、华龙网、上游</w:t>
      </w:r>
    </w:p>
    <w:p>
      <w:pPr>
        <w:keepNext w:val="0"/>
        <w:keepLines w:val="0"/>
        <w:pageBreakBefore w:val="0"/>
        <w:kinsoku/>
        <w:wordWrap/>
        <w:overflowPunct/>
        <w:topLinePunct w:val="0"/>
        <w:autoSpaceDE/>
        <w:autoSpaceDN/>
        <w:bidi w:val="0"/>
        <w:adjustRightInd/>
        <w:snapToGrid/>
        <w:spacing w:line="560" w:lineRule="exact"/>
        <w:ind w:right="0" w:rightChars="0" w:firstLine="2560" w:firstLineChars="8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新闻等近30家媒体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三、活动概况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重庆市百个乡村文化繁荣活力指数发布暨推选活动（简称“百村百赞”活动）是在</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市农业农村委（市乡村振兴局）、市文旅委、市经信委、市住建委、 市林业局、市水利局指导下</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，以大渡口区跳磴镇石盘村为发起村，</w:t>
      </w:r>
      <w:r>
        <w:rPr>
          <w:rFonts w:hint="eastAsia" w:ascii="仿宋" w:hAnsi="仿宋" w:eastAsia="仿宋" w:cs="仿宋"/>
          <w:color w:val="000000" w:themeColor="text1"/>
          <w:sz w:val="32"/>
          <w:szCs w:val="32"/>
          <w:lang w:val="en-US" w:eastAsia="zh-CN"/>
          <w14:textFill>
            <w14:solidFill>
              <w14:schemeClr w14:val="tx1"/>
            </w14:solidFill>
          </w14:textFill>
        </w:rPr>
        <w:t>邀请重庆市范围内100个以上乡村参与活动，组成1个“重庆乡村文化振兴</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百村之家”，</w:t>
      </w:r>
      <w:r>
        <w:rPr>
          <w:rFonts w:hint="eastAsia" w:ascii="仿宋" w:hAnsi="仿宋" w:eastAsia="仿宋" w:cs="仿宋"/>
          <w:color w:val="000000" w:themeColor="text1"/>
          <w:sz w:val="32"/>
          <w:szCs w:val="32"/>
          <w:lang w:val="en-US" w:eastAsia="zh-CN"/>
          <w14:textFill>
            <w14:solidFill>
              <w14:schemeClr w14:val="tx1"/>
            </w14:solidFill>
          </w14:textFill>
        </w:rPr>
        <w:t>以文化产业赋能乡村振兴为思路，以调研为主要形式，开展包括</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乡村特色农产品集市运作、文旅项目开发与运作、客栈（民宿）推广运营、非遗文化保护、乡村演艺演出、创建百村融媒体矩阵、乡村干部进中国科学院大学（重庆学院）科技培训及农业专业人才培育、农村创新创业孵化、残疾人创业就业基地及百村百岗等配套服务，测评乡村文化繁荣活力指数，推进乡村全面振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（一）活动目标</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 整合社会优质资源，推动“文化兴农、品牌强农、人才富农”，提升乡村文化繁荣活力指数。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 形成百村集群，建设常态服务平台，推动文化产业赋能乡村，实践农、文、旅、商产业深度融合，实践乡村全面振兴。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 强化重庆“一村一品”建设，创建特色乡村集市品牌，推动优质农产品销售，助推乡村特色文创项目创设，实践重庆农业绿色化、优质化、特色化、品牌化。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 运用权威媒介矩阵，提升权威引领，扩大乡村文化宣传，提升乡村综合影响力，提升乡村自信，形成“重庆乡村、世界影响”。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（二）活动内容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开展2024年度重庆市百个乡村文化繁荣活力指数调研、推选、颁奖和发布活动。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1)由组委会领衔第三方推选机构，从文旅景点、民宿客栈、</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非遗文化、</w:t>
      </w:r>
      <w:r>
        <w:rPr>
          <w:rFonts w:hint="eastAsia" w:ascii="仿宋" w:hAnsi="仿宋" w:eastAsia="仿宋" w:cs="仿宋"/>
          <w:b w:val="0"/>
          <w:bCs w:val="0"/>
          <w:color w:val="000000" w:themeColor="text1"/>
          <w:sz w:val="32"/>
          <w:szCs w:val="32"/>
          <w:lang w:val="en-US" w:eastAsia="zh-CN"/>
          <w14:textFill>
            <w14:solidFill>
              <w14:schemeClr w14:val="tx1"/>
            </w14:solidFill>
          </w14:textFill>
        </w:rPr>
        <w:t>民俗活动、特色农产品、农业人才、</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创业项目、乡村故事等八</w:t>
      </w:r>
      <w:r>
        <w:rPr>
          <w:rFonts w:hint="eastAsia" w:ascii="仿宋" w:hAnsi="仿宋" w:eastAsia="仿宋" w:cs="仿宋"/>
          <w:b w:val="0"/>
          <w:bCs w:val="0"/>
          <w:color w:val="000000" w:themeColor="text1"/>
          <w:sz w:val="32"/>
          <w:szCs w:val="32"/>
          <w:lang w:val="en-US" w:eastAsia="zh-CN"/>
          <w14:textFill>
            <w14:solidFill>
              <w14:schemeClr w14:val="tx1"/>
            </w14:solidFill>
          </w14:textFill>
        </w:rPr>
        <w:t>个方面，按照美景指数、美居指数、美遗指数、美艺指数、美物指数、美才指数、美创指数、美事指数等八大维度，对参选乡村、农业企业、个人进行推选，出具指导性报告。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2）推选出优秀文旅项目、优秀客栈、优秀</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非遗文化项目、</w:t>
      </w:r>
      <w:r>
        <w:rPr>
          <w:rFonts w:hint="eastAsia" w:ascii="仿宋" w:hAnsi="仿宋" w:eastAsia="仿宋" w:cs="仿宋"/>
          <w:b w:val="0"/>
          <w:bCs w:val="0"/>
          <w:color w:val="000000" w:themeColor="text1"/>
          <w:sz w:val="32"/>
          <w:szCs w:val="32"/>
          <w:lang w:val="en-US" w:eastAsia="zh-CN"/>
          <w14:textFill>
            <w14:solidFill>
              <w14:schemeClr w14:val="tx1"/>
            </w14:solidFill>
          </w14:textFill>
        </w:rPr>
        <w:t>优秀演艺人、优质农产品、优秀网红、优秀农业经理人、优秀乡村匠人、优秀乡村书记、优秀创业项目、优秀乡村故事等奖项，强化用旗帜作用带动重庆农业产业高质量发展。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3）发布《重庆乡村文化繁荣活力指数报告（蓝皮书）》，并向相关部门呈报，为和美乡村文化繁荣提供智慧支持，引领重庆乡村振兴事业健康发展。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lang w:val="en-US" w:eastAsia="zh-CN"/>
          <w14:textFill>
            <w14:solidFill>
              <w14:schemeClr w14:val="tx1"/>
            </w14:solidFill>
          </w14:textFill>
        </w:rPr>
        <w:t>配套服务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 “百村之家”组织：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邀请重庆区域内超过100个乡村组成“</w:t>
      </w:r>
      <w:r>
        <w:rPr>
          <w:rFonts w:hint="eastAsia" w:ascii="仿宋" w:hAnsi="仿宋" w:eastAsia="仿宋" w:cs="仿宋"/>
          <w:color w:val="000000" w:themeColor="text1"/>
          <w:sz w:val="32"/>
          <w:szCs w:val="32"/>
          <w:lang w:val="en-US" w:eastAsia="zh-CN"/>
          <w14:textFill>
            <w14:solidFill>
              <w14:schemeClr w14:val="tx1"/>
            </w14:solidFill>
          </w14:textFill>
        </w:rPr>
        <w:t>重庆乡村文化振兴</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百村之家”</w:t>
      </w:r>
      <w:r>
        <w:rPr>
          <w:rFonts w:hint="eastAsia" w:ascii="仿宋" w:hAnsi="仿宋" w:eastAsia="仿宋" w:cs="仿宋"/>
          <w:b w:val="0"/>
          <w:bCs w:val="0"/>
          <w:color w:val="000000" w:themeColor="text1"/>
          <w:sz w:val="32"/>
          <w:szCs w:val="32"/>
          <w:lang w:val="en-US" w:eastAsia="zh-CN"/>
          <w14:textFill>
            <w14:solidFill>
              <w14:schemeClr w14:val="tx1"/>
            </w14:solidFill>
          </w14:textFill>
        </w:rPr>
        <w:t>，积聚资源，抱团发展。</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2.创设百村农产品集市（线上+线下）：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创设农产品公益集市，让百村优质农产品直接走进重庆优质社区，带动特色农产品销售。</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3.创建品牌文化活动：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1）举办包括百村露营生活节、百村农民丰收节、百村年货节等品牌活动，强势打造品牌IP，赋能重庆乡村和优质农业企业。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2）邀请顾问专家举办“乡村文化大讲坛”，开展进社区、校园主题宣讲、展示、体验活动，传承优秀中华传统文化；</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4.开展非物质文化遗产保护：</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1）创建百村民俗文化演艺团。“亮出来、走出去”，选拔优秀演艺节目，搭建展演平台，巡回展示各区县特色文化，保护非物质文化遗产；</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2）挖掘乡村匠人。“睹人见故乡，睹物见乡愁”，运用百村百赞智库资源，结合乡村特色挖掘独特文化根源，助力乡村文创产业。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5.培育乡村专业人才：</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开展农业经理人、乡村CEO、乡村网红、</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乡村干部进中国科学院大学（重庆学院）科技培训</w:t>
      </w:r>
      <w:r>
        <w:rPr>
          <w:rFonts w:hint="eastAsia" w:ascii="仿宋" w:hAnsi="仿宋" w:eastAsia="仿宋" w:cs="仿宋"/>
          <w:b w:val="0"/>
          <w:bCs w:val="0"/>
          <w:color w:val="000000" w:themeColor="text1"/>
          <w:sz w:val="32"/>
          <w:szCs w:val="32"/>
          <w:lang w:val="en-US" w:eastAsia="zh-CN"/>
          <w14:textFill>
            <w14:solidFill>
              <w14:schemeClr w14:val="tx1"/>
            </w14:solidFill>
          </w14:textFill>
        </w:rPr>
        <w:t>等紧缺人才培育、专业人才培养项目。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6.农村创新创业孵化：</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整合社会优质资源，为回乡人才、</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新型职业农民、乡村残疾人等</w:t>
      </w:r>
      <w:r>
        <w:rPr>
          <w:rFonts w:hint="eastAsia" w:ascii="仿宋" w:hAnsi="仿宋" w:eastAsia="仿宋" w:cs="仿宋"/>
          <w:b w:val="0"/>
          <w:bCs w:val="0"/>
          <w:color w:val="000000" w:themeColor="text1"/>
          <w:sz w:val="32"/>
          <w:szCs w:val="32"/>
          <w:lang w:val="en-US" w:eastAsia="zh-CN"/>
          <w14:textFill>
            <w14:solidFill>
              <w14:schemeClr w14:val="tx1"/>
            </w14:solidFill>
          </w14:textFill>
        </w:rPr>
        <w:t>提供政策解读、法律援助、财税管理、文化提升、金融服务等一站式公益咨询服务，支持</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农村创新创业孵化。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四、强势媒体宣传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1.官网融媒体：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华龙网融媒体矩阵对活动全程及参选乡村（项目及个人）进行跟踪报道，百个乡村、百篇好文，专属线上推荐。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2.特刊：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推出《重庆乡村书记》特刊，讲好重庆乡村书记故事，正面宣传驻村第一书记、村支书、乡镇书记的基层党建和工作故事，为和美乡村鼓与呼。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3.百村自媒体（官微+今日头条）：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1）组委会组建自媒体矩阵（官微+今日头条+小红书），发布组委会官方新闻，重点推荐参与乡村热点；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2）协助各参与乡村创办村级自媒体平台（官微），梳理村上新闻、展现和美乡村风貌、预览乡村活动，精准流量运营。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4.专题宣传片：</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拍摄活动专题宣传片（或记录片），选择权威媒体及短视频平台播放，开展对外展示和交流活动，提升中国乡村自信，吸引世界目光。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五、实施计划</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 2024年度重庆市百个乡村文化繁荣活力指数发布推选活动启动大会暨百村百赞</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和美乡村书记培训班（5月）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工作内容：2024年5月，在重庆大渡口区跳磴镇石盘村举办活动启动大会暨和美乡村书记培训班，以培训的方式对外发布本届推选活动的构成和推进计划。</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 2024年度重庆市乡村文化繁荣活力指数调研及推选（6月-12月）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工作内容：收集推选资料、走访参选乡村，送交推选组进行推选；开展百村优秀项目推荐会（线上）；发布《重庆乡村文化繁荣活力指数报告（蓝皮书）》。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 2024百村农业经理人培训班（5月、7月、9月、11月）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工作内容：组织开展百村农业经理人培训班（4期，其中乡村CEO培训班2期），开展相关人才交流活动。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 2024年度重庆市百个乡村文化繁荣活力指数发布会暨颁奖盛典</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（2025年春节前）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b/>
          <w:bCs/>
          <w:color w:val="000000" w:themeColor="text1"/>
          <w:sz w:val="40"/>
          <w:szCs w:val="40"/>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工作内容：2025年1月上旬，通过各大权威媒体，公布参选结果，组织活动颁奖典礼，配套百村年货节、百村集市、百村强村大会等丰富的活动内容。</w:t>
      </w:r>
    </w:p>
    <w:p>
      <w:pPr>
        <w:rPr>
          <w:rFonts w:hint="eastAsia"/>
          <w:lang w:val="en-US" w:eastAsia="zh-CN"/>
        </w:rPr>
      </w:pPr>
    </w:p>
    <w:sectPr>
      <w:footerReference r:id="rId4" w:type="default"/>
      <w:pgSz w:w="11906" w:h="16838"/>
      <w:pgMar w:top="1701" w:right="1417" w:bottom="1417" w:left="1474" w:header="851" w:footer="992"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117D77-577C-4B3F-960B-044B43278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2" w:fontKey="{D91A8ABC-68F9-44E7-83DE-C562E04162D5}"/>
  </w:font>
  <w:font w:name="仿宋">
    <w:panose1 w:val="02010609060101010101"/>
    <w:charset w:val="86"/>
    <w:family w:val="auto"/>
    <w:pitch w:val="default"/>
    <w:sig w:usb0="800002BF" w:usb1="38CF7CFA" w:usb2="00000016" w:usb3="00000000" w:csb0="00040001" w:csb1="00000000"/>
    <w:embedRegular r:id="rId3" w:fontKey="{C1B1D66B-B43A-4ED2-9A38-8CE87C6811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文本框 1"/>
              <wp:cNvGraphicFramePr/>
              <a:graphic xmlns:a="http://schemas.openxmlformats.org/drawingml/2006/main">
                <a:graphicData uri="http://schemas.microsoft.com/office/word/2010/wordprocessingShape">
                  <wps:wsp>
                    <wps:cNvSpPr/>
                    <wps:spPr>
                      <a:xfrm>
                        <a:off x="0" y="0"/>
                        <a:ext cx="858850" cy="148018"/>
                      </a:xfrm>
                      <a:prstGeom prst="rect">
                        <a:avLst/>
                      </a:prstGeom>
                      <a:noFill/>
                      <a:ln w="6350" cap="flat" cmpd="sng">
                        <a:noFill/>
                        <a:prstDash val="solid"/>
                        <a:round/>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FGUvTYAAAABAEAAA8AAAAAAAAAAQAgAAAAIgAAAGRycy9k&#10;b3ducmV2LnhtbFBLAQIUABQAAAAIAIdO4kA6Aa9/AgIAAPQDAAAOAAAAAAAAAAEAIAAAACcBAABk&#10;cnMvZTJvRG9jLnhtbFBLBQYAAAAABgAGAFkBAACbBQAAAAA=&#10;">
              <v:fill on="f" focussize="0,0"/>
              <v:stroke on="f" weight="0.5pt" joinstyle="round"/>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Dg0NmE3ZTA4N2FlZmFkNjJkNWY5ZWMzOTg5MWM4ZGYifQ=="/>
  </w:docVars>
  <w:rsids>
    <w:rsidRoot w:val="00000000"/>
    <w:rsid w:val="016940F1"/>
    <w:rsid w:val="029833A6"/>
    <w:rsid w:val="02D84B6D"/>
    <w:rsid w:val="06854B17"/>
    <w:rsid w:val="0AEC6CAF"/>
    <w:rsid w:val="0B0F5DB7"/>
    <w:rsid w:val="0CDA69BF"/>
    <w:rsid w:val="10AE1550"/>
    <w:rsid w:val="11DF1B94"/>
    <w:rsid w:val="1311704F"/>
    <w:rsid w:val="23BC7650"/>
    <w:rsid w:val="23E85100"/>
    <w:rsid w:val="25754019"/>
    <w:rsid w:val="275A3E13"/>
    <w:rsid w:val="2B51698E"/>
    <w:rsid w:val="2B63669D"/>
    <w:rsid w:val="2CAD461E"/>
    <w:rsid w:val="2D5669C4"/>
    <w:rsid w:val="2D72573F"/>
    <w:rsid w:val="2F25260C"/>
    <w:rsid w:val="300F53B7"/>
    <w:rsid w:val="308712F1"/>
    <w:rsid w:val="32697867"/>
    <w:rsid w:val="37DD4A36"/>
    <w:rsid w:val="3A0E57F9"/>
    <w:rsid w:val="3F244698"/>
    <w:rsid w:val="3FF1653A"/>
    <w:rsid w:val="404F653D"/>
    <w:rsid w:val="451A796F"/>
    <w:rsid w:val="48491C4C"/>
    <w:rsid w:val="495E3A0D"/>
    <w:rsid w:val="4A8174B1"/>
    <w:rsid w:val="4C4606FE"/>
    <w:rsid w:val="4FB5406C"/>
    <w:rsid w:val="545311AD"/>
    <w:rsid w:val="550870BE"/>
    <w:rsid w:val="597F3501"/>
    <w:rsid w:val="59B91091"/>
    <w:rsid w:val="63C02E9D"/>
    <w:rsid w:val="66C2335D"/>
    <w:rsid w:val="6B59078A"/>
    <w:rsid w:val="6CCD33BF"/>
    <w:rsid w:val="6DB04E0C"/>
    <w:rsid w:val="73B93301"/>
    <w:rsid w:val="763C17FF"/>
    <w:rsid w:val="778840EA"/>
    <w:rsid w:val="79335A50"/>
    <w:rsid w:val="79A738BB"/>
    <w:rsid w:val="79BF223B"/>
    <w:rsid w:val="7BC911D4"/>
    <w:rsid w:val="7CF74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9">
    <w:name w:val="Emphasis"/>
    <w:basedOn w:val="8"/>
    <w:autoRedefine/>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3231</Words>
  <Characters>3313</Characters>
  <Lines>193</Lines>
  <Paragraphs>89</Paragraphs>
  <TotalTime>3</TotalTime>
  <ScaleCrop>false</ScaleCrop>
  <LinksUpToDate>false</LinksUpToDate>
  <CharactersWithSpaces>3376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2021-04-02T05:39:00Z</dcterms:created>
  <dc:creator>iam zheng</dc:creator>
  <cp:lastModifiedBy>洧爱</cp:lastModifiedBy>
  <cp:lastPrinted>2024-04-18T08:05:00Z</cp:lastPrinted>
  <dcterms:modified xsi:type="dcterms:W3CDTF">2024-05-06T08:12:37Z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6640283B88A5484CA07DDA3CD94B796F_13</vt:lpwstr>
  </property>
</Properties>
</file>