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both"/>
        <w:textAlignment w:val="auto"/>
        <w:rPr>
          <w:rFonts w:ascii="方正黑体_GBK" w:eastAsia="方正黑体_GBK" w:cs="方正黑体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宋体" w:eastAsia="宋体" w:cs="宋体"/>
          <w:color w:val="000000"/>
          <w:sz w:val="32"/>
          <w:szCs w:val="32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/>
        </w:rPr>
        <w:t>江津区“科技副总”申报表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5"/>
        <w:tblW w:w="9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8"/>
        <w:gridCol w:w="931"/>
        <w:gridCol w:w="1619"/>
        <w:gridCol w:w="150"/>
        <w:gridCol w:w="1635"/>
        <w:gridCol w:w="1035"/>
        <w:gridCol w:w="68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ind w:left="42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ind w:left="42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ind w:left="42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职称或技能等级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手机号码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ind w:left="5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主要研究领域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协议签订时间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ind w:left="5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</w:t>
            </w:r>
          </w:p>
          <w:p>
            <w:pPr>
              <w:pStyle w:val="9"/>
              <w:adjustRightInd w:val="0"/>
              <w:snapToGrid w:val="0"/>
              <w:spacing w:line="260" w:lineRule="exact"/>
              <w:ind w:left="5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申报担任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博士研究生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起）和工作经历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学校或工作单位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本人身份</w:t>
            </w:r>
          </w:p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拥有知识产权情况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知识产权编号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知识产权名称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本人权益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承担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项目情况</w:t>
            </w:r>
          </w:p>
        </w:tc>
        <w:tc>
          <w:tcPr>
            <w:tcW w:w="5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批准立项部门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获得主要奖励</w:t>
            </w:r>
          </w:p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省部级以上）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奖励名称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授奖部门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1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-SA"/>
              </w:rPr>
              <w:t>主要</w:t>
            </w:r>
          </w:p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业绩、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-SA"/>
              </w:rPr>
              <w:t>成果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承诺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-SA"/>
              </w:rPr>
              <w:t>本人声明，本表所填内容完全真实，如有虚假，本人愿承担相关责任。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 w:bidi="ar-SA"/>
              </w:rPr>
              <w:t>）</w:t>
            </w:r>
          </w:p>
          <w:p>
            <w:pPr>
              <w:pStyle w:val="9"/>
              <w:adjustRightInd w:val="0"/>
              <w:snapToGrid w:val="0"/>
              <w:spacing w:before="44" w:beforeLines="10" w:line="240" w:lineRule="exact"/>
              <w:ind w:firstLine="1800" w:firstLineChars="7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before="44" w:beforeLines="10" w:line="360" w:lineRule="auto"/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申报人（签章）：</w:t>
            </w:r>
          </w:p>
          <w:p>
            <w:pPr>
              <w:pStyle w:val="9"/>
              <w:adjustRightInd w:val="0"/>
              <w:snapToGrid w:val="0"/>
              <w:spacing w:before="44" w:beforeLines="10"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所在单位意见</w:t>
            </w:r>
          </w:p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080" w:firstLineChars="1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单位（公章）：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月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宋体" w:eastAsia="宋体" w:cs="宋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/>
        <w:jc w:val="center"/>
        <w:textAlignment w:val="auto"/>
        <w:rPr>
          <w:rFonts w:hint="eastAsia" w:ascii="方正小标宋_GBK" w:hAnsi="宋体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  <w:t>江津区第三批“科技副总”选聘需求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952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56"/>
        <w:gridCol w:w="924"/>
        <w:gridCol w:w="2232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eastAsia="方正小标宋_GBK" w:cs="方正小标宋_GBK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eastAsia="方正小标宋_GBK" w:cs="方正小标宋_GBK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公司名称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岗位名称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专研领域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黑体_GBK" w:eastAsia="方正黑体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重庆润通科技有限公司（重点工业企业）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电控系统研发体系完善、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机械设备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降噪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研究领域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在电机电控系统研发、通机动力及终端产品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基础分析和功能降噪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等方面提供技术支持。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黑体_GBK" w:eastAsia="方正黑体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重庆伟星新型建材有限公司（重点工业企业）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管理副总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战略管理、组织变革、人力资源管理研究领域</w:t>
            </w:r>
          </w:p>
        </w:tc>
        <w:tc>
          <w:tcPr>
            <w:tcW w:w="36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/>
              <w:jc w:val="both"/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优化企业完善战略规划，推动组织变革，提升人力资源管理水平。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宋体" w:eastAsia="方正黑体_GBK" w:cs="方正仿宋_GBK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重庆标能瑞源储能技术研究院有限公司（“专精特新”企业）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宋体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宋体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电池储能系统和退役电池循环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研究领域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hAnsi="宋体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提高电池储能系统安全性能，提升产品售后管理水平。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重庆润通智能装备有限公司（“专精特新”企业）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产品质量管理研究领域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建立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产品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质量管理规程，提高产品质量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稳定性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玉柴润威发动机有限公司（高新技术企业）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国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、欧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V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柴油发动机研发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研究领域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在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国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、欧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V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柴油发动机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研发技术创新方面提供支持。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重庆有法数控设备有限责任公司（高新技术企业）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电子电路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及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人工智能设计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研究领域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在电子电路及人工智能设计等方面提供技术支持。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重庆市荷花米花糖（集团）有限责任公司（规上企业）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机械制造及自动化专业、食品专业、数字化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技术研究领域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建设数字化生产管理系统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，提高产品质量稳定性及生产效率。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snapToGrid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 w:cs="方正仿宋_GBK"/>
                <w:sz w:val="28"/>
                <w:szCs w:val="28"/>
                <w:lang w:val="en-US" w:eastAsia="zh-CN"/>
              </w:rPr>
              <w:t>重庆真不赖食品有限公司（规上企业）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eastAsia="方正黑体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金融副总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企业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融资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及内部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资金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运作管理研究领域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提升企业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融资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及内部</w:t>
            </w:r>
            <w:r>
              <w:rPr>
                <w:rFonts w:hint="eastAsia" w:asci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资金</w:t>
            </w:r>
            <w:r>
              <w:rPr>
                <w:rFonts w:hint="eastAsia" w:ascii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运作管理水平。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3558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55pt;width:8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JNJdLXAAAABAEAAA8AAAAAAAAAAQAgAAAAIgAAAGRycy9kb3du&#10;cmV2LnhtbFBLAQIUABQAAAAIAIdO4kCLrtD8AAIAAPIDAAAOAAAAAAAAAAEAIAAAACY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WQ3NDZiOTgwZDIyYzY0MTJlYWMxZDBkY2RhNzYifQ=="/>
  </w:docVars>
  <w:rsids>
    <w:rsidRoot w:val="765A6E27"/>
    <w:rsid w:val="1AC45B2F"/>
    <w:rsid w:val="32C76D61"/>
    <w:rsid w:val="360323E5"/>
    <w:rsid w:val="367E3C74"/>
    <w:rsid w:val="431A1087"/>
    <w:rsid w:val="452E27D8"/>
    <w:rsid w:val="50FE1A16"/>
    <w:rsid w:val="568E5C3E"/>
    <w:rsid w:val="569C061C"/>
    <w:rsid w:val="58D50A2B"/>
    <w:rsid w:val="60F12834"/>
    <w:rsid w:val="765A6E27"/>
    <w:rsid w:val="7A0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snapToGrid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left="0" w:right="0"/>
      <w:jc w:val="left"/>
    </w:pPr>
    <w:rPr>
      <w:rFonts w:ascii="宋体" w:eastAsia="宋体" w:cs="Times New Roman"/>
      <w:kern w:val="2"/>
      <w:sz w:val="24"/>
      <w:szCs w:val="22"/>
      <w:lang w:val="en-US" w:eastAsia="zh-CN" w:bidi="ar-SA"/>
    </w:rPr>
  </w:style>
  <w:style w:type="character" w:styleId="7">
    <w:name w:val="Strong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仿宋_GB2312" w:eastAsia="仿宋_GB2312" w:cs="仿宋_GB2312"/>
      <w:color w:val="000000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1982</Words>
  <Characters>2009</Characters>
  <Lines>0</Lines>
  <Paragraphs>0</Paragraphs>
  <TotalTime>28</TotalTime>
  <ScaleCrop>false</ScaleCrop>
  <LinksUpToDate>false</LinksUpToDate>
  <CharactersWithSpaces>2113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2023-08-07T01:40:00Z</dcterms:created>
  <dc:creator>睿</dc:creator>
  <cp:lastModifiedBy>Esther</cp:lastModifiedBy>
  <cp:lastPrinted>2023-08-14T06:44:00Z</cp:lastPrinted>
  <dcterms:modified xsi:type="dcterms:W3CDTF">2023-08-21T09:39:53Z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C68EEEDB98854E4DBCF9BFB312162E76_13</vt:lpwstr>
  </property>
</Properties>
</file>