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98218" w14:textId="77777777" w:rsidR="00602832" w:rsidRDefault="00602832" w:rsidP="00602832">
      <w:r>
        <w:rPr>
          <w:rFonts w:hint="eastAsia"/>
        </w:rPr>
        <w:t>罗晓龙：《公允价值计量在实务中的应用浅析》</w:t>
      </w:r>
    </w:p>
    <w:p w14:paraId="0720B81A" w14:textId="76866E1D" w:rsidR="00602832" w:rsidRDefault="00602832" w:rsidP="00602832">
      <w:r>
        <w:rPr>
          <w:rFonts w:hint="eastAsia"/>
        </w:rPr>
        <w:t>公允价值计量在实务中应用的场景</w:t>
      </w:r>
      <w:r w:rsidR="00570C02">
        <w:rPr>
          <w:rFonts w:hint="eastAsia"/>
        </w:rPr>
        <w:t>主要</w:t>
      </w:r>
      <w:r>
        <w:rPr>
          <w:rFonts w:hint="eastAsia"/>
        </w:rPr>
        <w:t>涵盖</w:t>
      </w:r>
      <w:r w:rsidR="00570C02">
        <w:rPr>
          <w:rFonts w:hint="eastAsia"/>
        </w:rPr>
        <w:t>：</w:t>
      </w:r>
      <w:r>
        <w:rPr>
          <w:rFonts w:hint="eastAsia"/>
        </w:rPr>
        <w:t>金融资产、负债的计量；股权激励；债务重组；投资性房地产；减值测试；以及企业合并和商誉的判断</w:t>
      </w:r>
      <w:r w:rsidR="00570C02">
        <w:rPr>
          <w:rFonts w:hint="eastAsia"/>
        </w:rPr>
        <w:t>。</w:t>
      </w:r>
    </w:p>
    <w:p w14:paraId="0D4367B5" w14:textId="77777777" w:rsidR="00602832" w:rsidRDefault="00602832" w:rsidP="00602832">
      <w:r>
        <w:rPr>
          <w:rFonts w:hint="eastAsia"/>
        </w:rPr>
        <w:t>公允价值计量随着业务所从事业务风险的提升，越来越被委托方和投资者所认可和接受，例如并购业务中委托方对于标的净资产诉求明显高于一般年报审计。</w:t>
      </w:r>
    </w:p>
    <w:p w14:paraId="6DEE4F50" w14:textId="77777777" w:rsidR="00602832" w:rsidRDefault="00602832" w:rsidP="00602832">
      <w:r>
        <w:rPr>
          <w:rFonts w:hint="eastAsia"/>
        </w:rPr>
        <w:t>在与公允价值相关的技术方面，注册会计师要拓宽眼界，了解形成估值模型的选择框架，评估师的估价模型，才能做好对评估师工作的复核；在执业时，既要做到合术，即符合准则对于估价模型的形式要件，又要做到合道，即确认最终计量结果能够体现公允价值。</w:t>
      </w:r>
    </w:p>
    <w:p w14:paraId="6A65919E" w14:textId="77777777" w:rsidR="00602832" w:rsidRDefault="00602832" w:rsidP="00602832"/>
    <w:p w14:paraId="5590476B" w14:textId="77777777" w:rsidR="00602832" w:rsidRDefault="00602832" w:rsidP="00602832">
      <w:r>
        <w:rPr>
          <w:rFonts w:hint="eastAsia"/>
        </w:rPr>
        <w:t>刘奎：《公允价值计量几个问题的思考》</w:t>
      </w:r>
    </w:p>
    <w:p w14:paraId="1B10B8BA" w14:textId="77777777" w:rsidR="00602832" w:rsidRDefault="00602832" w:rsidP="00602832">
      <w:r>
        <w:t>1、依据公允价值变动计入当期损益规定建议：公允价值计量时，资产实现价值不出售，按“脱手价”计量；资产实现价值需出售，按“可变现净值”计量；企业非经营资产建议按 “可变现净值”计量；公允价值计量评估结论一般不包含增值税。</w:t>
      </w:r>
    </w:p>
    <w:p w14:paraId="6B8B7DC7" w14:textId="77777777" w:rsidR="00602832" w:rsidRDefault="00602832" w:rsidP="00602832">
      <w:r>
        <w:t>2、根据公允价值计量将输入值划分为三个层次的规定，建议选择一种方法的测算结果作为评估结论。</w:t>
      </w:r>
    </w:p>
    <w:p w14:paraId="61651CB3" w14:textId="77777777" w:rsidR="00602832" w:rsidRDefault="00602832" w:rsidP="00602832">
      <w:r>
        <w:t>3、评估机构评估公允价值一般出具评估报告；因法律法规规定、客观条件限制不得出具评估报告的，但又必须进行公允价值计量时，委托人与评估机构协商并经审计机构同意，可以出具咨询报告及咨询意见。</w:t>
      </w:r>
    </w:p>
    <w:p w14:paraId="7F0ADDF5" w14:textId="77777777" w:rsidR="00602832" w:rsidRDefault="00602832" w:rsidP="00602832">
      <w:r>
        <w:t>4、公允价值计量使用的估值技术或评估方法一经确定，不得随意变更，但变更估值技术、评估方法更能反映公允价值的情况除外。</w:t>
      </w:r>
    </w:p>
    <w:p w14:paraId="5EF20586" w14:textId="1F99905C" w:rsidR="00602832" w:rsidRDefault="00602832" w:rsidP="00602832"/>
    <w:p w14:paraId="1A13AFA6" w14:textId="223461F0" w:rsidR="00AE332D" w:rsidRDefault="00AE332D" w:rsidP="00602832">
      <w:r>
        <w:t>谢洪奇：</w:t>
      </w:r>
      <w:r w:rsidR="00BD7D97" w:rsidRPr="00BD7D97">
        <w:rPr>
          <w:rFonts w:hint="eastAsia"/>
        </w:rPr>
        <w:t>《投资性房地产后续计量中公允价值的运用》</w:t>
      </w:r>
    </w:p>
    <w:p w14:paraId="6143EF5D" w14:textId="5A5C180E" w:rsidR="00AE332D" w:rsidRDefault="00AE332D" w:rsidP="00602832">
      <w:r>
        <w:t>投资性房地产公允价值模式是的公允价值的主要应用领域之一，《公允价值计量》准则对交易费用的处理虽然有明确的规定，但在实务处理中，不同的企业在考虑土地增值税对公允价值的影响时处理不一致，由于土地增值税是一个比较重要的税种，税负也往往较高，因此在采用市场法对公允价值进行评估的时候，应当考虑对公允价值的影响，避免高估公允价值变动对资产、损益的影响，也符合会计信息质量中谨慎性的要求。</w:t>
      </w:r>
    </w:p>
    <w:p w14:paraId="2310E634" w14:textId="77777777" w:rsidR="00AE332D" w:rsidRDefault="00AE332D" w:rsidP="00602832"/>
    <w:p w14:paraId="78502892" w14:textId="728C36FE" w:rsidR="00602832" w:rsidRPr="00AE332D" w:rsidRDefault="00602832" w:rsidP="00602832">
      <w:r w:rsidRPr="00AE332D">
        <w:rPr>
          <w:rFonts w:hint="eastAsia"/>
        </w:rPr>
        <w:t>熊海霞：《</w:t>
      </w:r>
      <w:r w:rsidR="00AE332D" w:rsidRPr="00AE332D">
        <w:rPr>
          <w:rFonts w:hint="eastAsia"/>
        </w:rPr>
        <w:t>投资性房地产公允价值评估相关问题的思考</w:t>
      </w:r>
      <w:r w:rsidRPr="00AE332D">
        <w:rPr>
          <w:rFonts w:hint="eastAsia"/>
        </w:rPr>
        <w:t>》</w:t>
      </w:r>
    </w:p>
    <w:p w14:paraId="37E90FCB" w14:textId="6C2341A0" w:rsidR="00AE332D" w:rsidRDefault="00AE332D" w:rsidP="00AE332D">
      <w:r w:rsidRPr="00AE332D">
        <w:rPr>
          <w:rFonts w:hint="eastAsia"/>
        </w:rPr>
        <w:t>公允价值和市场价值并不完全等同，</w:t>
      </w:r>
      <w:r>
        <w:rPr>
          <w:rFonts w:hint="eastAsia"/>
        </w:rPr>
        <w:t>会计准则上的公允价值脱手价，它强调出售资产的“最有利市场”，可以理解为在计量日作为卖方出售资产可能获取的最高现金流入。市场价值更加强调公开市场以及资产的最佳使用状态。因此，公允价值和市场价值是有所区别的。考虑为会计核算服务的特点，投资性房地产公允价值计量评估时选取报告价值类型为公允价值更符合经济行为的目的。</w:t>
      </w:r>
    </w:p>
    <w:p w14:paraId="1CB6EE47" w14:textId="0E797509" w:rsidR="00602832" w:rsidRDefault="00AE332D" w:rsidP="00AE332D">
      <w:r>
        <w:rPr>
          <w:rFonts w:hint="eastAsia"/>
        </w:rPr>
        <w:t>在相关税费的考虑上，需要分析投资性房地产的账面成本是否包含增值税、契税等相关税费，价值评估时需考虑与账面成本的匹配性，结合实际情况选择包含还是不包含相关税费。无论评估结果是否考虑相关税费，都应该在评估报告中明确披露出来。</w:t>
      </w:r>
    </w:p>
    <w:p w14:paraId="648B9DDB" w14:textId="77777777" w:rsidR="00AE332D" w:rsidRPr="00AE332D" w:rsidRDefault="00AE332D" w:rsidP="00AE332D"/>
    <w:p w14:paraId="30DFE27A" w14:textId="77777777" w:rsidR="00602832" w:rsidRDefault="00602832" w:rsidP="00602832">
      <w:r>
        <w:rPr>
          <w:rFonts w:hint="eastAsia"/>
        </w:rPr>
        <w:t>葛明：《公允价值审计实务探讨》</w:t>
      </w:r>
    </w:p>
    <w:p w14:paraId="576AB81B" w14:textId="4D2AE72D" w:rsidR="00602832" w:rsidRDefault="0079636C" w:rsidP="00602832">
      <w:r w:rsidRPr="0079636C">
        <w:rPr>
          <w:rFonts w:hint="eastAsia"/>
        </w:rPr>
        <w:t>针对财务报表中涉及到的日益复杂的各类公允价值计量模型、方法，内部评估专家从审计计划阶段，执行阶段到报告阶段全过程的参与，可以从始至终的防范审计风险，特别是与会计估计相关的重大审计风险。内部合作过程中，注意界定审计团队工作范围及内部评估专家工作范围。针对一些较为标准的估值方法，例如股份支付模型，可以利用信息技术开发的</w:t>
      </w:r>
      <w:r w:rsidRPr="0079636C">
        <w:t>i2value股权估值引擎，通过技术手段解决公允价值审计中的一些痛点。</w:t>
      </w:r>
    </w:p>
    <w:p w14:paraId="3425CF55" w14:textId="77777777" w:rsidR="00602832" w:rsidRDefault="00602832" w:rsidP="00602832">
      <w:r>
        <w:rPr>
          <w:rFonts w:hint="eastAsia"/>
        </w:rPr>
        <w:lastRenderedPageBreak/>
        <w:t>魏敏：《公允价值计量——公允价值与市场价值的思考》</w:t>
      </w:r>
    </w:p>
    <w:p w14:paraId="298FBC75" w14:textId="77777777" w:rsidR="00602832" w:rsidRDefault="00602832" w:rsidP="00602832">
      <w:r>
        <w:rPr>
          <w:rFonts w:hint="eastAsia"/>
        </w:rPr>
        <w:t>企业会计准则“公允价值”是在主要市场或最有利市场模拟资产或负债的退出，是脱手价格；资产评估准则“市场价值”对市场特点无明确要求，模拟的可能是资产或负债进入价格或退出价格。受市场及交易活跃度影响，二者在价值量上可能相同或不同。</w:t>
      </w:r>
    </w:p>
    <w:p w14:paraId="0A3DA069" w14:textId="77777777" w:rsidR="00602832" w:rsidRDefault="00602832" w:rsidP="00602832">
      <w:r>
        <w:rPr>
          <w:rFonts w:hint="eastAsia"/>
        </w:rPr>
        <w:t>对上市公司限售股估值时，公允价值需考虑限售因素调整，而禁止大宗持有因素调整；市场价值为交易定价提供参考，除限售因素外，可能同时会考虑大宗交易因素。</w:t>
      </w:r>
    </w:p>
    <w:p w14:paraId="6CEC96BD" w14:textId="793F8FB1" w:rsidR="00FA4DDC" w:rsidRDefault="00602832" w:rsidP="00602832">
      <w:r>
        <w:rPr>
          <w:rFonts w:hint="eastAsia"/>
        </w:rPr>
        <w:t>公允价值与市场价值在价值内涵及估值假设上存在差异，评估</w:t>
      </w:r>
      <w:proofErr w:type="gramStart"/>
      <w:r>
        <w:rPr>
          <w:rFonts w:hint="eastAsia"/>
        </w:rPr>
        <w:t>师执行</w:t>
      </w:r>
      <w:proofErr w:type="gramEnd"/>
      <w:r>
        <w:rPr>
          <w:rFonts w:hint="eastAsia"/>
        </w:rPr>
        <w:t>公允价值计量估值服务时，除遵循评估准则外，也应遵循相应会计准则，并与会计师沟通价值内涵。</w:t>
      </w:r>
    </w:p>
    <w:sectPr w:rsidR="00FA4D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224E8" w14:textId="77777777" w:rsidR="004E76E2" w:rsidRDefault="004E76E2" w:rsidP="00602832">
      <w:r>
        <w:separator/>
      </w:r>
    </w:p>
  </w:endnote>
  <w:endnote w:type="continuationSeparator" w:id="0">
    <w:p w14:paraId="4A266351" w14:textId="77777777" w:rsidR="004E76E2" w:rsidRDefault="004E76E2" w:rsidP="00602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F52EA" w14:textId="77777777" w:rsidR="004E76E2" w:rsidRDefault="004E76E2" w:rsidP="00602832">
      <w:r>
        <w:separator/>
      </w:r>
    </w:p>
  </w:footnote>
  <w:footnote w:type="continuationSeparator" w:id="0">
    <w:p w14:paraId="732E7C33" w14:textId="77777777" w:rsidR="004E76E2" w:rsidRDefault="004E76E2" w:rsidP="006028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27A"/>
    <w:rsid w:val="004E76E2"/>
    <w:rsid w:val="00570C02"/>
    <w:rsid w:val="005F327A"/>
    <w:rsid w:val="00602832"/>
    <w:rsid w:val="00635C66"/>
    <w:rsid w:val="00717B08"/>
    <w:rsid w:val="00766216"/>
    <w:rsid w:val="0079636C"/>
    <w:rsid w:val="00866F00"/>
    <w:rsid w:val="008C54CE"/>
    <w:rsid w:val="00AE332D"/>
    <w:rsid w:val="00B566B2"/>
    <w:rsid w:val="00BD3119"/>
    <w:rsid w:val="00BD7D97"/>
    <w:rsid w:val="00DB628A"/>
    <w:rsid w:val="00FA4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BE3FD"/>
  <w15:chartTrackingRefBased/>
  <w15:docId w15:val="{0A49F218-A17A-4B26-93E4-D073EDC1C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283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02832"/>
    <w:rPr>
      <w:sz w:val="18"/>
      <w:szCs w:val="18"/>
    </w:rPr>
  </w:style>
  <w:style w:type="paragraph" w:styleId="a5">
    <w:name w:val="footer"/>
    <w:basedOn w:val="a"/>
    <w:link w:val="a6"/>
    <w:uiPriority w:val="99"/>
    <w:unhideWhenUsed/>
    <w:rsid w:val="00602832"/>
    <w:pPr>
      <w:tabs>
        <w:tab w:val="center" w:pos="4153"/>
        <w:tab w:val="right" w:pos="8306"/>
      </w:tabs>
      <w:snapToGrid w:val="0"/>
      <w:jc w:val="left"/>
    </w:pPr>
    <w:rPr>
      <w:sz w:val="18"/>
      <w:szCs w:val="18"/>
    </w:rPr>
  </w:style>
  <w:style w:type="character" w:customStyle="1" w:styleId="a6">
    <w:name w:val="页脚 字符"/>
    <w:basedOn w:val="a0"/>
    <w:link w:val="a5"/>
    <w:uiPriority w:val="99"/>
    <w:rsid w:val="006028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徐畅</dc:creator>
  <cp:keywords/>
  <dc:description/>
  <cp:lastModifiedBy>徐畅</cp:lastModifiedBy>
  <cp:revision>10</cp:revision>
  <dcterms:created xsi:type="dcterms:W3CDTF">2022-06-24T06:10:00Z</dcterms:created>
  <dcterms:modified xsi:type="dcterms:W3CDTF">2022-06-28T03:55:00Z</dcterms:modified>
</cp:coreProperties>
</file>