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0BBA" w14:textId="77777777" w:rsidR="00104B8D" w:rsidRDefault="00A565D3">
      <w:pPr>
        <w:jc w:val="center"/>
        <w:rPr>
          <w:rStyle w:val="af0"/>
          <w:rFonts w:ascii="华文中宋" w:eastAsia="华文中宋" w:hAnsi="华文中宋"/>
          <w:color w:val="000000" w:themeColor="text1"/>
          <w:sz w:val="44"/>
          <w:szCs w:val="44"/>
        </w:rPr>
      </w:pPr>
      <w:r>
        <w:rPr>
          <w:rStyle w:val="af0"/>
          <w:rFonts w:ascii="华文中宋" w:eastAsia="华文中宋" w:hAnsi="华文中宋" w:hint="eastAsia"/>
          <w:color w:val="000000" w:themeColor="text1"/>
          <w:sz w:val="44"/>
          <w:szCs w:val="44"/>
        </w:rPr>
        <w:t>审计案例撰写要求及基本结构</w:t>
      </w:r>
    </w:p>
    <w:p w14:paraId="2768A348" w14:textId="77777777" w:rsidR="00104B8D" w:rsidRDefault="00104B8D">
      <w:pPr>
        <w:jc w:val="center"/>
        <w:rPr>
          <w:rStyle w:val="af0"/>
          <w:rFonts w:ascii="华文中宋" w:eastAsia="华文中宋" w:hAnsi="华文中宋"/>
          <w:b w:val="0"/>
          <w:color w:val="000000" w:themeColor="text1"/>
          <w:sz w:val="44"/>
          <w:szCs w:val="44"/>
        </w:rPr>
      </w:pPr>
    </w:p>
    <w:p w14:paraId="744CCA49" w14:textId="77777777" w:rsidR="00104B8D" w:rsidRDefault="00A565D3">
      <w:pPr>
        <w:spacing w:line="360" w:lineRule="auto"/>
        <w:ind w:firstLine="48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一、总体要求</w:t>
      </w:r>
    </w:p>
    <w:p w14:paraId="40F93726" w14:textId="77777777" w:rsidR="00104B8D" w:rsidRDefault="00A565D3">
      <w:pPr>
        <w:spacing w:line="360" w:lineRule="auto"/>
        <w:ind w:firstLine="48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案例应紧密结合审计实务，原则上应选用真实案例，替换需要保密不宜公开的财务信息等，符合典型性、前沿性、适用性、可操作性、具有推广价值等特点。</w:t>
      </w:r>
    </w:p>
    <w:p w14:paraId="33C5848C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二、案例分类</w:t>
      </w:r>
    </w:p>
    <w:p w14:paraId="3B7ABD3C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案例主要围绕年报审计、各类专项审计及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咨询业务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等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方面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，结合各类项目的业务特点，主要从技术方法和项目管理等方面撰写审计案例。</w:t>
      </w:r>
    </w:p>
    <w:p w14:paraId="6EBA807C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（一）技术方法类案例。包括审计入手方法、审计突破方法、审计取证及证据分析方法、计算机审计技术方法、调查方法、效率提升手段等审计实战类案例。</w:t>
      </w:r>
    </w:p>
    <w:p w14:paraId="03DFFF26" w14:textId="35FEDF0D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（二）项目管理类案例。包括审计计划管理、审计项目组织实施管理、审计项目管理中面临的突出问题</w:t>
      </w:r>
      <w:r w:rsidR="000178B6">
        <w:rPr>
          <w:rFonts w:ascii="仿宋_GB2312" w:eastAsia="仿宋_GB2312" w:hint="eastAsia"/>
          <w:color w:val="000000" w:themeColor="text1"/>
          <w:sz w:val="28"/>
          <w:szCs w:val="28"/>
        </w:rPr>
        <w:t>及其解决方案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等项目管理经验案例。</w:t>
      </w:r>
    </w:p>
    <w:p w14:paraId="434C1013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三、案例取材范围部分列举（包括但不限于以下类型）</w:t>
      </w:r>
    </w:p>
    <w:p w14:paraId="58117661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（一）分行业的风险识别及应对措施案例；</w:t>
      </w:r>
    </w:p>
    <w:p w14:paraId="30F73A09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（二）舞弊风险的识别、评估和应对方面的案例；</w:t>
      </w:r>
    </w:p>
    <w:p w14:paraId="177A3A19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（三）控制测试的具体应用案例；</w:t>
      </w:r>
    </w:p>
    <w:p w14:paraId="471387DB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（四）具体审计程序的应用案例；</w:t>
      </w:r>
    </w:p>
    <w:p w14:paraId="534FADEE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lastRenderedPageBreak/>
        <w:t>（五）针对某一特殊审计事项的具体应用案例；</w:t>
      </w:r>
    </w:p>
    <w:p w14:paraId="32D06757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（六）专项审计项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目的实施案例（如：经济责任审计、财务收支审计、财务竣工决算审计、信息系统审计、司法鉴定审计、内部控制审计等）；</w:t>
      </w:r>
    </w:p>
    <w:p w14:paraId="00195352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（七）资本市场审计服务案例应用（如：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OTC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挂牌、新三板挂牌、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IPO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上市、资产重组、发债审计等审计项目中某一特定领域的审计案例）；</w:t>
      </w:r>
    </w:p>
    <w:p w14:paraId="669E14AD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（八）合并报表、减值测试等特殊事项的具体处理案例；</w:t>
      </w:r>
    </w:p>
    <w:p w14:paraId="598C3146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（九）新准则应用方面的具体案例（如收入准则、金融工具准则、租赁准则、债务重组准则等）；</w:t>
      </w:r>
    </w:p>
    <w:p w14:paraId="724B3EA4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（十）其他类型咨询服务实施案例（如：财务尽职调查、内控咨询、企业内部测评咨询、税务筹划、现金</w:t>
      </w:r>
      <w:proofErr w:type="gramStart"/>
      <w:r>
        <w:rPr>
          <w:rFonts w:ascii="仿宋_GB2312" w:eastAsia="仿宋_GB2312" w:hint="eastAsia"/>
          <w:color w:val="000000" w:themeColor="text1"/>
          <w:sz w:val="28"/>
          <w:szCs w:val="28"/>
        </w:rPr>
        <w:t>流预测</w:t>
      </w:r>
      <w:proofErr w:type="gramEnd"/>
      <w:r>
        <w:rPr>
          <w:rFonts w:ascii="仿宋_GB2312" w:eastAsia="仿宋_GB2312" w:hint="eastAsia"/>
          <w:color w:val="000000" w:themeColor="text1"/>
          <w:sz w:val="28"/>
          <w:szCs w:val="28"/>
        </w:rPr>
        <w:t>及持续经营预测咨询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投资后评价、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尽职调查等）。</w:t>
      </w:r>
    </w:p>
    <w:p w14:paraId="4BAF0F37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四、基本结构及具体要求</w:t>
      </w:r>
    </w:p>
    <w:p w14:paraId="15E791B7" w14:textId="77777777" w:rsidR="00104B8D" w:rsidRDefault="00A565D3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案例的基本结构应包括：标题、摘要及关键词、案例背景、审计过程、经验或反思、思考题（选列）等部分。字数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/>
          <w:color w:val="000000" w:themeColor="text1"/>
          <w:sz w:val="28"/>
          <w:szCs w:val="28"/>
        </w:rPr>
        <w:t>000-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3000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字，特殊情况可适当增加篇幅。</w:t>
      </w:r>
    </w:p>
    <w:p w14:paraId="6FCDE00F" w14:textId="77777777" w:rsidR="00104B8D" w:rsidRDefault="00A565D3">
      <w:pPr>
        <w:spacing w:line="360" w:lineRule="auto"/>
        <w:ind w:firstLine="57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（一）标题</w:t>
      </w:r>
    </w:p>
    <w:p w14:paraId="4819A3B3" w14:textId="77777777" w:rsidR="00104B8D" w:rsidRDefault="00A565D3">
      <w:pPr>
        <w:spacing w:line="360" w:lineRule="auto"/>
        <w:ind w:firstLine="57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提供案例的基本信息，反映案例的主题。（格式：宋体、三号、加粗、居中）</w:t>
      </w:r>
    </w:p>
    <w:p w14:paraId="1AA9D46F" w14:textId="77777777" w:rsidR="00104B8D" w:rsidRDefault="00A565D3">
      <w:pPr>
        <w:spacing w:line="360" w:lineRule="auto"/>
        <w:ind w:firstLine="57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（二）摘要和关键词</w:t>
      </w:r>
    </w:p>
    <w:p w14:paraId="004767F7" w14:textId="77777777" w:rsidR="00104B8D" w:rsidRDefault="00A565D3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简明扼要地叙述案例内容，点明案例关键信息，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300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字以内；关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lastRenderedPageBreak/>
        <w:t>键词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－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5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个。（格式：宋体、小四）</w:t>
      </w:r>
    </w:p>
    <w:p w14:paraId="4E6C26B4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（三）案例背景</w:t>
      </w:r>
    </w:p>
    <w:p w14:paraId="2615952B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介绍委托单位基本情况，被审计单位基本情况，被审计单位所处的宏观经济背景和行业背景；</w:t>
      </w:r>
    </w:p>
    <w:p w14:paraId="25086951" w14:textId="77777777" w:rsidR="00104B8D" w:rsidRDefault="00A565D3">
      <w:pPr>
        <w:spacing w:line="360" w:lineRule="auto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介绍委托审计项目环境、项目起因等项目基本情况；</w:t>
      </w:r>
    </w:p>
    <w:p w14:paraId="4EBD01F8" w14:textId="77777777" w:rsidR="00104B8D" w:rsidRDefault="00A565D3">
      <w:pPr>
        <w:spacing w:line="360" w:lineRule="auto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介绍客户委托审计目的、审计对象、审计范围以及以前审计情况等。（格式：宋体、小四，段前与段后</w:t>
      </w:r>
      <w:r>
        <w:rPr>
          <w:rFonts w:ascii="仿宋_GB2312" w:eastAsia="仿宋_GB2312"/>
          <w:color w:val="000000" w:themeColor="text1"/>
          <w:sz w:val="28"/>
          <w:szCs w:val="28"/>
        </w:rPr>
        <w:t>0.25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行、多倍行距</w:t>
      </w:r>
      <w:r>
        <w:rPr>
          <w:rFonts w:ascii="仿宋_GB2312" w:eastAsia="仿宋_GB2312"/>
          <w:color w:val="000000" w:themeColor="text1"/>
          <w:sz w:val="28"/>
          <w:szCs w:val="28"/>
        </w:rPr>
        <w:t>1.25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，正文下同）</w:t>
      </w:r>
    </w:p>
    <w:p w14:paraId="4401741D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（四）审计过程</w:t>
      </w:r>
    </w:p>
    <w:p w14:paraId="06D06164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属于案例正文部分，应介绍审计过程，审计中碰到的问题，项目组讨论过程，问题解决方法、解决思路，形成的证据，审计结果等。</w:t>
      </w:r>
    </w:p>
    <w:p w14:paraId="0334FF8A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（五）经验、教训或反思</w:t>
      </w:r>
    </w:p>
    <w:p w14:paraId="233C0C2E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对项目实施过程中的经验进行总结，对教训给同行提出警示。</w:t>
      </w:r>
    </w:p>
    <w:p w14:paraId="51ABF949" w14:textId="77777777" w:rsidR="00104B8D" w:rsidRDefault="00A565D3">
      <w:pPr>
        <w:spacing w:line="360" w:lineRule="auto"/>
        <w:ind w:firstLineChars="200" w:firstLine="560"/>
        <w:outlineLvl w:val="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（六）思考题（选列）</w:t>
      </w:r>
    </w:p>
    <w:p w14:paraId="4D873551" w14:textId="77777777" w:rsidR="00104B8D" w:rsidRDefault="00A565D3">
      <w:pPr>
        <w:spacing w:line="360" w:lineRule="auto"/>
        <w:ind w:firstLine="48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提供需要思考、有待解决的问题，和读者一起共同思考。</w:t>
      </w:r>
    </w:p>
    <w:p w14:paraId="57154F6C" w14:textId="77777777" w:rsidR="00104B8D" w:rsidRDefault="00A565D3">
      <w:pPr>
        <w:pStyle w:val="a5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（七）审计工作底稿（以附件形式选列，不受字数限制）</w:t>
      </w:r>
    </w:p>
    <w:p w14:paraId="6794CAC2" w14:textId="77777777" w:rsidR="00104B8D" w:rsidRDefault="00A565D3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体现审计思路，更全面地表达或展现案例的具体处理过程，有利于在实际工作中进行参照，启发大家对底稿进行针对性的设计及改进。工作底稿也可以以目录或概要方式列示，后期需要再全面展示。</w:t>
      </w:r>
      <w:proofErr w:type="gramStart"/>
      <w:r>
        <w:rPr>
          <w:rFonts w:ascii="仿宋_GB2312" w:eastAsia="仿宋_GB2312" w:hint="eastAsia"/>
          <w:color w:val="000000" w:themeColor="text1"/>
          <w:sz w:val="28"/>
          <w:szCs w:val="28"/>
        </w:rPr>
        <w:t>另</w:t>
      </w:r>
      <w:r>
        <w:rPr>
          <w:rFonts w:ascii="仿宋_GB2312" w:eastAsia="仿宋_GB2312"/>
          <w:color w:val="000000" w:themeColor="text1"/>
          <w:sz w:val="28"/>
          <w:szCs w:val="28"/>
        </w:rPr>
        <w:t>可以</w:t>
      </w:r>
      <w:proofErr w:type="gramEnd"/>
      <w:r>
        <w:rPr>
          <w:rFonts w:ascii="仿宋_GB2312" w:eastAsia="仿宋_GB2312"/>
          <w:color w:val="000000" w:themeColor="text1"/>
          <w:sz w:val="28"/>
          <w:szCs w:val="28"/>
        </w:rPr>
        <w:t>附加具有项目特色的职业现场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、</w:t>
      </w:r>
      <w:r>
        <w:rPr>
          <w:rFonts w:ascii="仿宋_GB2312" w:eastAsia="仿宋_GB2312"/>
          <w:color w:val="000000" w:themeColor="text1"/>
          <w:sz w:val="28"/>
          <w:szCs w:val="28"/>
        </w:rPr>
        <w:t>交流座谈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、</w:t>
      </w:r>
      <w:r>
        <w:rPr>
          <w:rFonts w:ascii="仿宋_GB2312" w:eastAsia="仿宋_GB2312"/>
          <w:color w:val="000000" w:themeColor="text1"/>
          <w:sz w:val="28"/>
          <w:szCs w:val="28"/>
        </w:rPr>
        <w:t>调研活动等的图片资料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。</w:t>
      </w:r>
    </w:p>
    <w:p w14:paraId="52335D3A" w14:textId="77777777" w:rsidR="00104B8D" w:rsidRDefault="00104B8D">
      <w:pPr>
        <w:spacing w:line="360" w:lineRule="auto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</w:p>
    <w:sectPr w:rsidR="00104B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9F19F" w14:textId="77777777" w:rsidR="00A565D3" w:rsidRDefault="00A565D3" w:rsidP="000178B6">
      <w:r>
        <w:separator/>
      </w:r>
    </w:p>
  </w:endnote>
  <w:endnote w:type="continuationSeparator" w:id="0">
    <w:p w14:paraId="58B4A7E5" w14:textId="77777777" w:rsidR="00A565D3" w:rsidRDefault="00A565D3" w:rsidP="0001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C3394" w14:textId="77777777" w:rsidR="00A565D3" w:rsidRDefault="00A565D3" w:rsidP="000178B6">
      <w:r>
        <w:separator/>
      </w:r>
    </w:p>
  </w:footnote>
  <w:footnote w:type="continuationSeparator" w:id="0">
    <w:p w14:paraId="004E279E" w14:textId="77777777" w:rsidR="00A565D3" w:rsidRDefault="00A565D3" w:rsidP="00017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8A9"/>
    <w:rsid w:val="000178B6"/>
    <w:rsid w:val="000411A1"/>
    <w:rsid w:val="000670A2"/>
    <w:rsid w:val="00067868"/>
    <w:rsid w:val="000771A3"/>
    <w:rsid w:val="00080124"/>
    <w:rsid w:val="000A3622"/>
    <w:rsid w:val="000A7B44"/>
    <w:rsid w:val="000B7F22"/>
    <w:rsid w:val="00104B8D"/>
    <w:rsid w:val="00163763"/>
    <w:rsid w:val="00182AE2"/>
    <w:rsid w:val="0019725A"/>
    <w:rsid w:val="001D1234"/>
    <w:rsid w:val="0023442A"/>
    <w:rsid w:val="00241181"/>
    <w:rsid w:val="002A55FC"/>
    <w:rsid w:val="002F496E"/>
    <w:rsid w:val="0030574E"/>
    <w:rsid w:val="00356FA8"/>
    <w:rsid w:val="003D29B3"/>
    <w:rsid w:val="003E6954"/>
    <w:rsid w:val="003F22BB"/>
    <w:rsid w:val="004003F8"/>
    <w:rsid w:val="004966AC"/>
    <w:rsid w:val="004A492C"/>
    <w:rsid w:val="004D5E49"/>
    <w:rsid w:val="004E493E"/>
    <w:rsid w:val="00510151"/>
    <w:rsid w:val="005304B3"/>
    <w:rsid w:val="005513BE"/>
    <w:rsid w:val="005605D2"/>
    <w:rsid w:val="00576633"/>
    <w:rsid w:val="005F07B1"/>
    <w:rsid w:val="00637FAD"/>
    <w:rsid w:val="00680140"/>
    <w:rsid w:val="00687C1D"/>
    <w:rsid w:val="006A5AE7"/>
    <w:rsid w:val="006A6C28"/>
    <w:rsid w:val="00734443"/>
    <w:rsid w:val="00770805"/>
    <w:rsid w:val="007718A9"/>
    <w:rsid w:val="00796F44"/>
    <w:rsid w:val="007C4ED0"/>
    <w:rsid w:val="00826A2C"/>
    <w:rsid w:val="00851FD8"/>
    <w:rsid w:val="008B57A6"/>
    <w:rsid w:val="008C4D5E"/>
    <w:rsid w:val="00903F62"/>
    <w:rsid w:val="009252B6"/>
    <w:rsid w:val="00932F14"/>
    <w:rsid w:val="00967FE3"/>
    <w:rsid w:val="00984AF3"/>
    <w:rsid w:val="009A041F"/>
    <w:rsid w:val="009D29FD"/>
    <w:rsid w:val="009D627B"/>
    <w:rsid w:val="009E2F1D"/>
    <w:rsid w:val="009F6A84"/>
    <w:rsid w:val="00A052EF"/>
    <w:rsid w:val="00A565D3"/>
    <w:rsid w:val="00A97155"/>
    <w:rsid w:val="00AC36F5"/>
    <w:rsid w:val="00AE75D3"/>
    <w:rsid w:val="00AF4AE9"/>
    <w:rsid w:val="00B37CF0"/>
    <w:rsid w:val="00B74281"/>
    <w:rsid w:val="00B842ED"/>
    <w:rsid w:val="00B868D4"/>
    <w:rsid w:val="00BA1998"/>
    <w:rsid w:val="00C010DF"/>
    <w:rsid w:val="00C14D78"/>
    <w:rsid w:val="00C4742D"/>
    <w:rsid w:val="00C54639"/>
    <w:rsid w:val="00CB0BA6"/>
    <w:rsid w:val="00CC2CF8"/>
    <w:rsid w:val="00CE1B60"/>
    <w:rsid w:val="00CE257E"/>
    <w:rsid w:val="00D03B58"/>
    <w:rsid w:val="00D071E7"/>
    <w:rsid w:val="00D1213D"/>
    <w:rsid w:val="00D33646"/>
    <w:rsid w:val="00D457D0"/>
    <w:rsid w:val="00DD3410"/>
    <w:rsid w:val="00DD3BFB"/>
    <w:rsid w:val="00E02D8D"/>
    <w:rsid w:val="00E33635"/>
    <w:rsid w:val="00E84CAD"/>
    <w:rsid w:val="00EB666E"/>
    <w:rsid w:val="00EC1F70"/>
    <w:rsid w:val="00EC426E"/>
    <w:rsid w:val="00EC6F2A"/>
    <w:rsid w:val="00EF3FC2"/>
    <w:rsid w:val="00EF7169"/>
    <w:rsid w:val="00F005C7"/>
    <w:rsid w:val="00F14A03"/>
    <w:rsid w:val="00F50999"/>
    <w:rsid w:val="00F939E2"/>
    <w:rsid w:val="01896F62"/>
    <w:rsid w:val="04453CB2"/>
    <w:rsid w:val="0D7E3F39"/>
    <w:rsid w:val="1A026D43"/>
    <w:rsid w:val="25C844E1"/>
    <w:rsid w:val="3DA0258D"/>
    <w:rsid w:val="4C58365B"/>
    <w:rsid w:val="511D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065EDA"/>
  <w15:docId w15:val="{A0E02405-A1D4-4F3C-9E5F-7BBEC8C9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qFormat/>
    <w:rPr>
      <w:b/>
      <w:bCs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6">
    <w:name w:val="批注文字 字符"/>
    <w:basedOn w:val="a0"/>
    <w:link w:val="a5"/>
    <w:uiPriority w:val="99"/>
    <w:qFormat/>
  </w:style>
  <w:style w:type="character" w:customStyle="1" w:styleId="ae">
    <w:name w:val="批注主题 字符"/>
    <w:basedOn w:val="a6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2">
    <w:name w:val="Revision"/>
    <w:hidden/>
    <w:uiPriority w:val="99"/>
    <w:semiHidden/>
    <w:rsid w:val="000178B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徐畅</cp:lastModifiedBy>
  <cp:revision>61</cp:revision>
  <dcterms:created xsi:type="dcterms:W3CDTF">2019-04-29T09:51:00Z</dcterms:created>
  <dcterms:modified xsi:type="dcterms:W3CDTF">2022-05-27T05:13:00Z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