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40" w:rsidRDefault="00880140" w:rsidP="00880140">
      <w:pPr>
        <w:spacing w:line="520" w:lineRule="exact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/>
          <w:szCs w:val="32"/>
        </w:rPr>
        <w:t>附件</w:t>
      </w:r>
      <w:r>
        <w:rPr>
          <w:rFonts w:ascii="仿宋_GB2312" w:eastAsia="仿宋_GB2312" w:hAnsi="仿宋" w:hint="eastAsia"/>
          <w:szCs w:val="32"/>
        </w:rPr>
        <w:t>1：</w:t>
      </w:r>
      <w:bookmarkStart w:id="0" w:name="_GoBack"/>
      <w:bookmarkEnd w:id="0"/>
    </w:p>
    <w:p w:rsidR="00E60B22" w:rsidRDefault="001F3CBB">
      <w:pPr>
        <w:spacing w:line="520" w:lineRule="exact"/>
        <w:jc w:val="center"/>
        <w:rPr>
          <w:rFonts w:ascii="仿宋_GB2312" w:eastAsia="仿宋_GB2312" w:hAnsi="仿宋"/>
          <w:szCs w:val="32"/>
        </w:rPr>
      </w:pPr>
      <w:proofErr w:type="gramStart"/>
      <w:r>
        <w:rPr>
          <w:rFonts w:ascii="仿宋_GB2312" w:eastAsia="仿宋_GB2312" w:hAnsi="仿宋"/>
          <w:szCs w:val="32"/>
        </w:rPr>
        <w:t>中评协办</w:t>
      </w:r>
      <w:proofErr w:type="gramEnd"/>
      <w:r>
        <w:rPr>
          <w:rFonts w:ascii="仿宋_GB2312" w:eastAsia="仿宋_GB2312" w:hAnsi="仿宋"/>
          <w:szCs w:val="32"/>
        </w:rPr>
        <w:t>〔</w:t>
      </w:r>
      <w:r>
        <w:rPr>
          <w:rFonts w:ascii="仿宋_GB2312" w:eastAsia="仿宋_GB2312" w:hAnsi="仿宋_GB2312" w:cs="仿宋_GB2312" w:hint="eastAsia"/>
          <w:szCs w:val="32"/>
        </w:rPr>
        <w:t>2022</w:t>
      </w:r>
      <w:r>
        <w:rPr>
          <w:rFonts w:ascii="仿宋_GB2312" w:eastAsia="仿宋_GB2312" w:hAnsi="仿宋"/>
          <w:szCs w:val="32"/>
        </w:rPr>
        <w:t>〕</w:t>
      </w:r>
      <w:r w:rsidR="00C00636">
        <w:rPr>
          <w:rFonts w:ascii="仿宋_GB2312" w:eastAsia="仿宋_GB2312" w:hAnsi="仿宋" w:hint="eastAsia"/>
          <w:szCs w:val="32"/>
        </w:rPr>
        <w:t>31</w:t>
      </w:r>
      <w:r>
        <w:rPr>
          <w:rFonts w:ascii="仿宋_GB2312" w:eastAsia="仿宋_GB2312" w:hAnsi="仿宋" w:hint="eastAsia"/>
          <w:szCs w:val="32"/>
        </w:rPr>
        <w:t>号</w:t>
      </w:r>
    </w:p>
    <w:p w:rsidR="00E60B22" w:rsidRDefault="00E60B22">
      <w:pPr>
        <w:spacing w:line="400" w:lineRule="exact"/>
        <w:jc w:val="center"/>
        <w:rPr>
          <w:rFonts w:ascii="仿宋_GB2312" w:eastAsia="仿宋_GB2312" w:hAnsi="仿宋"/>
          <w:szCs w:val="32"/>
        </w:rPr>
      </w:pPr>
    </w:p>
    <w:p w:rsidR="00E60B22" w:rsidRDefault="00E60B22">
      <w:pPr>
        <w:spacing w:line="360" w:lineRule="exact"/>
        <w:jc w:val="center"/>
        <w:rPr>
          <w:rFonts w:ascii="仿宋_GB2312" w:eastAsia="仿宋_GB2312" w:hAnsi="仿宋"/>
          <w:szCs w:val="32"/>
        </w:rPr>
      </w:pPr>
    </w:p>
    <w:p w:rsidR="00E60B22" w:rsidRDefault="001F3CBB">
      <w:pPr>
        <w:pStyle w:val="HTML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中国资产评估协会关于推荐</w:t>
      </w:r>
    </w:p>
    <w:p w:rsidR="00E60B22" w:rsidRDefault="001F3CBB">
      <w:pPr>
        <w:pStyle w:val="HTML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年入选人民法院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涉执财产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处置</w:t>
      </w:r>
    </w:p>
    <w:p w:rsidR="00E60B22" w:rsidRDefault="001F3CBB">
      <w:pPr>
        <w:pStyle w:val="HTML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司法评估机构名单库的通知</w:t>
      </w:r>
    </w:p>
    <w:p w:rsidR="00E60B22" w:rsidRDefault="00E60B22">
      <w:pPr>
        <w:spacing w:line="580" w:lineRule="exact"/>
        <w:jc w:val="center"/>
        <w:rPr>
          <w:rFonts w:ascii="仿宋_GB2312" w:eastAsia="仿宋_GB2312" w:hAnsi="仿宋"/>
          <w:b/>
          <w:szCs w:val="32"/>
        </w:rPr>
      </w:pPr>
    </w:p>
    <w:p w:rsidR="00E60B22" w:rsidRDefault="001F3CBB">
      <w:pPr>
        <w:spacing w:line="600" w:lineRule="exact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各省、自治区、直辖市、计划单列市资产评估协会（有关注册会计师协会）：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根据最高人民法院《关于人民法院确定财产处置参考价若干问题的规定》《人民法院委托评估工作规范》</w:t>
      </w:r>
      <w:r>
        <w:rPr>
          <w:rFonts w:ascii="仿宋_GB2312" w:eastAsia="仿宋_GB2312" w:hAnsi="仿宋" w:cs="仿宋" w:hint="eastAsia"/>
          <w:color w:val="000000"/>
          <w:kern w:val="0"/>
          <w:szCs w:val="32"/>
          <w:lang w:bidi="ar"/>
        </w:rPr>
        <w:t>相关规定和最高人民法院办公厅《关于报送2022年入选人民法院涉执财产处置司法评估机构名单</w:t>
      </w: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库推荐名单</w:t>
      </w:r>
      <w:r>
        <w:rPr>
          <w:rFonts w:ascii="仿宋_GB2312" w:eastAsia="仿宋_GB2312" w:hAnsi="仿宋" w:cs="仿宋" w:hint="eastAsia"/>
          <w:color w:val="000000"/>
          <w:kern w:val="0"/>
          <w:szCs w:val="32"/>
          <w:lang w:bidi="ar"/>
        </w:rPr>
        <w:t>的函》，中国资产评估协会（以下简称</w:t>
      </w:r>
      <w:proofErr w:type="gramStart"/>
      <w:r>
        <w:rPr>
          <w:rFonts w:ascii="仿宋_GB2312" w:eastAsia="仿宋_GB2312" w:hAnsi="仿宋" w:cs="仿宋" w:hint="eastAsia"/>
          <w:color w:val="000000"/>
          <w:kern w:val="0"/>
          <w:szCs w:val="32"/>
          <w:lang w:bidi="ar"/>
        </w:rPr>
        <w:t>中评协</w:t>
      </w:r>
      <w:proofErr w:type="gramEnd"/>
      <w:r>
        <w:rPr>
          <w:rFonts w:ascii="仿宋_GB2312" w:eastAsia="仿宋_GB2312" w:hAnsi="仿宋" w:cs="仿宋" w:hint="eastAsia"/>
          <w:color w:val="000000"/>
          <w:kern w:val="0"/>
          <w:szCs w:val="32"/>
          <w:lang w:bidi="ar"/>
        </w:rPr>
        <w:t>）组织各地</w:t>
      </w:r>
      <w:proofErr w:type="gramStart"/>
      <w:r>
        <w:rPr>
          <w:rFonts w:ascii="仿宋_GB2312" w:eastAsia="仿宋_GB2312" w:hAnsi="仿宋" w:cs="仿宋" w:hint="eastAsia"/>
          <w:color w:val="000000"/>
          <w:kern w:val="0"/>
          <w:szCs w:val="32"/>
          <w:lang w:bidi="ar"/>
        </w:rPr>
        <w:t>方协会</w:t>
      </w:r>
      <w:proofErr w:type="gramEnd"/>
      <w:r>
        <w:rPr>
          <w:rFonts w:ascii="仿宋_GB2312" w:eastAsia="仿宋_GB2312" w:hAnsi="仿宋" w:cs="仿宋" w:hint="eastAsia"/>
          <w:color w:val="000000"/>
          <w:kern w:val="0"/>
          <w:szCs w:val="32"/>
          <w:lang w:bidi="ar"/>
        </w:rPr>
        <w:t>整理报送除名的机构名单和退出名单库的机构名单，并按照推荐标准重新推荐2022年入选名单库的评估机构名单。现就开展</w:t>
      </w: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工作的具体事项通知如下：</w:t>
      </w:r>
    </w:p>
    <w:p w:rsidR="00E60B22" w:rsidRDefault="001F3CBB">
      <w:pPr>
        <w:spacing w:line="600" w:lineRule="exact"/>
        <w:ind w:firstLineChars="200" w:firstLine="640"/>
        <w:rPr>
          <w:rFonts w:ascii="黑体" w:eastAsia="黑体" w:hAnsi="黑体"/>
          <w:color w:val="00000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>一、入选2022年名单库的条件和不予入库的情形</w:t>
      </w:r>
    </w:p>
    <w:p w:rsidR="00E60B22" w:rsidRDefault="001F3CBB">
      <w:pPr>
        <w:spacing w:line="600" w:lineRule="exact"/>
        <w:ind w:firstLineChars="200" w:firstLine="640"/>
        <w:rPr>
          <w:rFonts w:ascii="楷体" w:eastAsia="楷体" w:hAnsi="楷体" w:cs="楷体"/>
          <w:color w:val="000000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Cs w:val="32"/>
          <w:shd w:val="clear" w:color="auto" w:fill="FFFFFF"/>
        </w:rPr>
        <w:t>（一）具备以下条件的资产评估机构或分支机构，按照自愿原则申请进入名单库：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1.在财政部门备案；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2.具有5名以上资产评估师；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3.具有良好的职业道德和从事司法评估业务的专业能力； </w:t>
      </w:r>
    </w:p>
    <w:p w:rsidR="00E60B22" w:rsidRDefault="001F3CBB">
      <w:pPr>
        <w:spacing w:line="600" w:lineRule="exact"/>
        <w:ind w:leftChars="200" w:left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lastRenderedPageBreak/>
        <w:t>4.具有运行有效的内部管理制度和执业质量控制制度。</w:t>
      </w:r>
    </w:p>
    <w:p w:rsidR="00E60B22" w:rsidRDefault="001F3CBB">
      <w:pPr>
        <w:tabs>
          <w:tab w:val="right" w:pos="8844"/>
        </w:tabs>
        <w:spacing w:line="600" w:lineRule="exact"/>
        <w:ind w:leftChars="200" w:left="640"/>
        <w:rPr>
          <w:rFonts w:ascii="楷体" w:eastAsia="楷体" w:hAnsi="楷体" w:cs="楷体"/>
          <w:color w:val="000000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Cs w:val="32"/>
          <w:shd w:val="clear" w:color="auto" w:fill="FFFFFF"/>
        </w:rPr>
        <w:t xml:space="preserve">（二）下列情形的，不予入选名单库： </w:t>
      </w:r>
      <w:r>
        <w:rPr>
          <w:rFonts w:ascii="楷体" w:eastAsia="楷体" w:hAnsi="楷体" w:cs="楷体"/>
          <w:color w:val="000000"/>
          <w:szCs w:val="32"/>
          <w:shd w:val="clear" w:color="auto" w:fill="FFFFFF"/>
        </w:rPr>
        <w:tab/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1.受到通报批评（含）以上自律惩戒的机构未满一年的；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2.受到警告（含）以上行政处罚的机构未满五年的；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3.分公司或分所所在的总公司或总所未申报或不满足规定条件的；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4.经查实申报材料有弄虚作假的；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5.收费标准高于或低于全部申报机构平均收费标准10%的。</w:t>
      </w:r>
    </w:p>
    <w:p w:rsidR="00E60B22" w:rsidRDefault="001F3CBB">
      <w:pPr>
        <w:spacing w:line="600" w:lineRule="exact"/>
        <w:ind w:firstLineChars="200" w:firstLine="640"/>
        <w:rPr>
          <w:rFonts w:ascii="黑体" w:eastAsia="黑体" w:hAnsi="黑体"/>
          <w:color w:val="00000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 xml:space="preserve">二、资产评估机构应予除名的情形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已入选名单库的资产评估机构具有下列情形之一的，按照规定程序从名单库中予以除名，五年内不得再推荐入选名单库：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（一）被纳入失信被执行人名单的；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（二）因违反资产评估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法或者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评估行业监督管理办法被有关部门处罚的；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（三）已办理企业注销登记的；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（四）已被市场监管部门吊销营业执照的；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（五）违反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中评协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自律管理规定，受到严重惩戒的；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（六）无正当理由拒绝进行司法评估的；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（七）存在弄虚作假情形的；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（八）未按照在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中评协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报备的收费标准计算评估费用的。</w:t>
      </w:r>
    </w:p>
    <w:p w:rsidR="00E60B22" w:rsidRDefault="001F3CBB">
      <w:pPr>
        <w:spacing w:line="600" w:lineRule="exact"/>
        <w:ind w:firstLineChars="200" w:firstLine="640"/>
        <w:rPr>
          <w:rFonts w:ascii="黑体" w:eastAsia="黑体" w:hAnsi="黑体"/>
          <w:color w:val="00000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 xml:space="preserve">三、信息填报要求 </w:t>
      </w:r>
    </w:p>
    <w:p w:rsidR="00E60B22" w:rsidRDefault="001F3CBB">
      <w:pPr>
        <w:spacing w:line="600" w:lineRule="exact"/>
        <w:ind w:firstLineChars="200" w:firstLine="640"/>
        <w:rPr>
          <w:rFonts w:ascii="楷体" w:eastAsia="楷体" w:hAnsi="楷体"/>
          <w:color w:val="000000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Cs w:val="32"/>
          <w:shd w:val="clear" w:color="auto" w:fill="FFFFFF"/>
        </w:rPr>
        <w:t>（一） 2022 年入选名单库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lastRenderedPageBreak/>
        <w:t>各地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方协会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应当按照入库标准对2022年申请入选名单库的评估机构信息进行认真核实后推荐，并填报所在地区2022 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年涉执财产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处置司法评估机构名单库推荐名单（见附件1），并将 2022 年新申请入库的评估机构予以标注。</w:t>
      </w:r>
    </w:p>
    <w:p w:rsidR="00E60B22" w:rsidRDefault="001F3CBB">
      <w:pPr>
        <w:spacing w:line="600" w:lineRule="exact"/>
        <w:ind w:firstLineChars="200" w:firstLine="640"/>
        <w:rPr>
          <w:rFonts w:ascii="楷体" w:eastAsia="楷体" w:hAnsi="楷体"/>
          <w:color w:val="000000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Cs w:val="32"/>
          <w:shd w:val="clear" w:color="auto" w:fill="FFFFFF"/>
        </w:rPr>
        <w:t>（二）退出机构名单和除名机构名单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各地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方协会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应当按照相关规定，结合本地区实际情况填报退出名单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库机构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名单（见附件 2）和除名名单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库机构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名单（见附件 3），并在相关附件中注明退出或除名原因。 </w:t>
      </w:r>
    </w:p>
    <w:p w:rsidR="00E60B22" w:rsidRDefault="001F3CBB">
      <w:pPr>
        <w:spacing w:line="600" w:lineRule="exact"/>
        <w:ind w:firstLineChars="200" w:firstLine="640"/>
        <w:rPr>
          <w:rFonts w:ascii="楷体" w:eastAsia="楷体" w:hAnsi="楷体"/>
          <w:color w:val="000000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Cs w:val="32"/>
          <w:shd w:val="clear" w:color="auto" w:fill="FFFFFF"/>
        </w:rPr>
        <w:t>（三）填报资产评估师信息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申报 2022 年入选名单库的资产评估机构，应当填报本机构及其分支机构的资产评估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师信息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表。各地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方协会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负责核实并汇总所在地区入选名单库评估机构的资产评估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师信息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表（见附件4）。 </w:t>
      </w:r>
    </w:p>
    <w:p w:rsidR="00E60B22" w:rsidRDefault="001F3CBB">
      <w:pPr>
        <w:spacing w:line="600" w:lineRule="exact"/>
        <w:ind w:firstLineChars="200" w:firstLine="640"/>
        <w:rPr>
          <w:rFonts w:ascii="楷体" w:eastAsia="楷体" w:hAnsi="楷体"/>
          <w:color w:val="000000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Cs w:val="32"/>
          <w:shd w:val="clear" w:color="auto" w:fill="FFFFFF"/>
        </w:rPr>
        <w:t>（四）服务人民法院司法评估项目的收费标准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申报 2022 年入选名单库的资产评估机构，应当填报服务人民法院司法评估项目的收费标准信息（信息填写在附件1中），同时提供加盖机构公章的收费标准公示书PDF格式扫描版（见附件5）。各地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方协会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负责核实并汇总所在地区入选名单库评估机构的收费标准和公示书。 </w:t>
      </w:r>
    </w:p>
    <w:p w:rsidR="00E60B22" w:rsidRDefault="001F3CBB">
      <w:pPr>
        <w:spacing w:line="600" w:lineRule="exact"/>
        <w:ind w:firstLineChars="200" w:firstLine="640"/>
        <w:rPr>
          <w:rFonts w:ascii="楷体" w:eastAsia="楷体" w:hAnsi="楷体"/>
          <w:color w:val="000000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Cs w:val="32"/>
          <w:shd w:val="clear" w:color="auto" w:fill="FFFFFF"/>
        </w:rPr>
        <w:t xml:space="preserve">（五）地方协会联络人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请各地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方协会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指派专人负责此项工作，填写《地方协会司法评估业务联系人员表》（见附件6）。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 xml:space="preserve">四、上报要求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lastRenderedPageBreak/>
        <w:t>请各地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方协会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认真组织本地区评估机构做好 2022年入选名单库推荐名单的报送工作，于 2022年7月20日前将附件1 至附件6的电子版报送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中评协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。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中评协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珠宝评估专委会负责协助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中评协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开展珠宝类资产评估机构入选 2022 年名单库的相关推荐工作。评估机构拟入选珠宝评估库的，请将附件1至附件5有关信息材料先提交给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中评协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珠宝评估专委会，再由其汇总后转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中评协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。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因上报时间紧，对未严格按照规定格式和内容填报的机构和地区，将默认为主动放弃申报入库资格。 </w:t>
      </w:r>
    </w:p>
    <w:p w:rsidR="00E60B22" w:rsidRDefault="001F3CBB">
      <w:pPr>
        <w:spacing w:line="600" w:lineRule="exact"/>
        <w:ind w:firstLineChars="200" w:firstLine="640"/>
        <w:rPr>
          <w:rFonts w:ascii="黑体" w:eastAsia="黑体" w:hAnsi="黑体"/>
          <w:color w:val="00000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 xml:space="preserve">五、联系人及联系方式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中评协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联系人：王文龙，李丝丝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联系电话：010-88339694，88339647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电子邮箱：</w:t>
      </w:r>
      <w:hyperlink r:id="rId9" w:history="1">
        <w:r>
          <w:rPr>
            <w:rFonts w:ascii="仿宋_GB2312" w:eastAsia="仿宋_GB2312"/>
            <w:color w:val="000000"/>
            <w:szCs w:val="32"/>
            <w:shd w:val="clear" w:color="auto" w:fill="FFFFFF"/>
          </w:rPr>
          <w:t>wangwenlong@cas.org.cn</w:t>
        </w:r>
      </w:hyperlink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，lisisi@cas.org.cn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中评协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珠宝评估专委会联系人：李砚芳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联系电话： 010-58276125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电子邮箱：casgjac@163.com </w:t>
      </w:r>
    </w:p>
    <w:p w:rsidR="00E60B22" w:rsidRDefault="001F3CBB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附件：1.xx省（区、市）2022 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年涉执财产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处置司法评估</w:t>
      </w:r>
    </w:p>
    <w:p w:rsidR="00E60B22" w:rsidRDefault="001F3CBB">
      <w:pPr>
        <w:spacing w:line="600" w:lineRule="exact"/>
        <w:ind w:firstLineChars="600" w:firstLine="192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机构名单库推荐名单</w:t>
      </w:r>
    </w:p>
    <w:p w:rsidR="00E60B22" w:rsidRDefault="001F3CBB">
      <w:pPr>
        <w:spacing w:line="600" w:lineRule="exact"/>
        <w:ind w:firstLineChars="500" w:firstLine="160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2.xx 省（区、市）退出名单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库机构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名单 </w:t>
      </w:r>
    </w:p>
    <w:p w:rsidR="00E60B22" w:rsidRDefault="001F3CBB">
      <w:pPr>
        <w:spacing w:line="600" w:lineRule="exact"/>
        <w:ind w:firstLineChars="500" w:firstLine="160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3.xx 省（区、市）除名名单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库机构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名单 </w:t>
      </w:r>
    </w:p>
    <w:p w:rsidR="00E60B22" w:rsidRDefault="001F3CBB">
      <w:pPr>
        <w:spacing w:line="600" w:lineRule="exact"/>
        <w:ind w:firstLineChars="500" w:firstLine="160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4.xx 省（区、市）资产评估</w:t>
      </w:r>
      <w:proofErr w:type="gramStart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师信息</w:t>
      </w:r>
      <w:proofErr w:type="gramEnd"/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表 </w:t>
      </w:r>
    </w:p>
    <w:p w:rsidR="00E60B22" w:rsidRDefault="001F3CBB">
      <w:pPr>
        <w:spacing w:line="600" w:lineRule="exact"/>
        <w:ind w:firstLineChars="500" w:firstLine="160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5.xx 评估机构服务人民法院司法评估项目的收费</w:t>
      </w:r>
    </w:p>
    <w:p w:rsidR="00E60B22" w:rsidRDefault="001F3CBB">
      <w:pPr>
        <w:spacing w:line="600" w:lineRule="exact"/>
        <w:ind w:firstLineChars="600" w:firstLine="192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lastRenderedPageBreak/>
        <w:t xml:space="preserve">标准公示书 </w:t>
      </w:r>
    </w:p>
    <w:p w:rsidR="00E60B22" w:rsidRDefault="001F3CBB">
      <w:pPr>
        <w:spacing w:line="600" w:lineRule="exact"/>
        <w:ind w:firstLineChars="500" w:firstLine="1600"/>
        <w:rPr>
          <w:rFonts w:ascii="仿宋_GB2312" w:eastAsia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 xml:space="preserve">6.地方协会司法评估业务联系人员表 </w:t>
      </w:r>
    </w:p>
    <w:p w:rsidR="00E60B22" w:rsidRDefault="00E60B22">
      <w:pPr>
        <w:spacing w:line="600" w:lineRule="exact"/>
        <w:ind w:firstLineChars="1550" w:firstLine="4960"/>
        <w:rPr>
          <w:rFonts w:ascii="仿宋_GB2312" w:eastAsia="仿宋_GB2312" w:hAnsi="宋体"/>
          <w:szCs w:val="32"/>
        </w:rPr>
      </w:pPr>
    </w:p>
    <w:p w:rsidR="00E60B22" w:rsidRDefault="00E60B22">
      <w:pPr>
        <w:spacing w:line="600" w:lineRule="exact"/>
        <w:ind w:firstLineChars="1550" w:firstLine="4960"/>
        <w:rPr>
          <w:rFonts w:ascii="仿宋_GB2312" w:eastAsia="仿宋_GB2312" w:hAnsi="宋体"/>
          <w:szCs w:val="32"/>
        </w:rPr>
      </w:pPr>
    </w:p>
    <w:p w:rsidR="00E60B22" w:rsidRDefault="00E60B22">
      <w:pPr>
        <w:spacing w:line="600" w:lineRule="exact"/>
        <w:ind w:firstLineChars="1550" w:firstLine="4960"/>
        <w:rPr>
          <w:rFonts w:ascii="仿宋_GB2312" w:eastAsia="仿宋_GB2312" w:hAnsi="宋体"/>
          <w:szCs w:val="32"/>
        </w:rPr>
      </w:pPr>
    </w:p>
    <w:p w:rsidR="00E60B22" w:rsidRDefault="001F3CBB">
      <w:pPr>
        <w:spacing w:line="600" w:lineRule="exact"/>
        <w:ind w:firstLineChars="1550" w:firstLine="496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中国资产评估协会</w:t>
      </w:r>
    </w:p>
    <w:p w:rsidR="00E60B22" w:rsidRDefault="001F3CBB">
      <w:pPr>
        <w:spacing w:line="600" w:lineRule="exact"/>
        <w:ind w:firstLineChars="1600" w:firstLine="5120"/>
        <w:rPr>
          <w:rFonts w:ascii="方正小标宋简体" w:eastAsia="方正小标宋简体" w:hAnsi="华文中宋" w:cs="宋体"/>
          <w:color w:val="000000"/>
          <w:kern w:val="0"/>
          <w:szCs w:val="32"/>
        </w:rPr>
      </w:pPr>
      <w:r>
        <w:rPr>
          <w:rFonts w:ascii="仿宋_GB2312" w:eastAsia="仿宋_GB2312" w:hAnsi="宋体" w:hint="eastAsia"/>
          <w:szCs w:val="32"/>
        </w:rPr>
        <w:t>2022年7月</w:t>
      </w:r>
      <w:r w:rsidR="00C00636">
        <w:rPr>
          <w:rFonts w:ascii="仿宋_GB2312" w:eastAsia="仿宋_GB2312" w:hint="eastAsia"/>
          <w:color w:val="000000"/>
          <w:szCs w:val="32"/>
          <w:shd w:val="clear" w:color="auto" w:fill="FFFFFF"/>
        </w:rPr>
        <w:t>7</w:t>
      </w:r>
      <w:r>
        <w:rPr>
          <w:rFonts w:ascii="仿宋_GB2312" w:eastAsia="仿宋_GB2312" w:hint="eastAsia"/>
          <w:color w:val="000000"/>
          <w:szCs w:val="32"/>
          <w:shd w:val="clear" w:color="auto" w:fill="FFFFFF"/>
        </w:rPr>
        <w:t>日</w:t>
      </w:r>
    </w:p>
    <w:p w:rsidR="00E60B22" w:rsidRDefault="00E60B22">
      <w:pPr>
        <w:spacing w:line="60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</w:p>
    <w:p w:rsidR="00E60B22" w:rsidRDefault="00E60B22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</w:p>
    <w:p w:rsidR="00E60B22" w:rsidRDefault="00E60B22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</w:p>
    <w:p w:rsidR="00E60B22" w:rsidRDefault="00E60B22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</w:p>
    <w:p w:rsidR="00E60B22" w:rsidRDefault="00E60B22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</w:p>
    <w:p w:rsidR="00E60B22" w:rsidRDefault="00E60B22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</w:p>
    <w:p w:rsidR="00E60B22" w:rsidRDefault="00E60B22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1670" w:tblpY="521"/>
        <w:tblW w:w="8844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E60B22">
        <w:trPr>
          <w:trHeight w:val="567"/>
        </w:trPr>
        <w:tc>
          <w:tcPr>
            <w:tcW w:w="8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0B22" w:rsidRDefault="001F3CBB" w:rsidP="00C00636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中国资产评估协会自律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监管部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2022年7月</w:t>
            </w:r>
            <w:r w:rsidR="00C00636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日印发  </w:t>
            </w:r>
          </w:p>
        </w:tc>
      </w:tr>
    </w:tbl>
    <w:p w:rsidR="00E60B22" w:rsidRDefault="00E60B22">
      <w:pPr>
        <w:spacing w:line="560" w:lineRule="exact"/>
        <w:rPr>
          <w:rFonts w:ascii="仿宋_GB2312" w:eastAsia="仿宋_GB2312"/>
          <w:color w:val="000000"/>
          <w:szCs w:val="32"/>
          <w:shd w:val="clear" w:color="auto" w:fill="FFFFFF"/>
        </w:rPr>
      </w:pPr>
    </w:p>
    <w:sectPr w:rsidR="00E60B22">
      <w:footerReference w:type="even" r:id="rId10"/>
      <w:footerReference w:type="default" r:id="rId11"/>
      <w:pgSz w:w="11906" w:h="16838"/>
      <w:pgMar w:top="1701" w:right="1474" w:bottom="1588" w:left="1588" w:header="397" w:footer="39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78" w:rsidRDefault="00FA5878">
      <w:r>
        <w:separator/>
      </w:r>
    </w:p>
  </w:endnote>
  <w:endnote w:type="continuationSeparator" w:id="0">
    <w:p w:rsidR="00FA5878" w:rsidRDefault="00FA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22" w:rsidRDefault="001F3CBB">
    <w:pPr>
      <w:pStyle w:val="a8"/>
      <w:ind w:firstLineChars="200" w:firstLine="560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-514350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11643513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E60B22" w:rsidRDefault="001F3CBB">
                              <w:pPr>
                                <w:pStyle w:val="a8"/>
                                <w:ind w:firstLineChars="200" w:firstLine="360"/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80140" w:rsidRPr="00880140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:rsidR="00E60B22" w:rsidRDefault="00E60B22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.75pt;margin-top:-40.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" filled="f" stroked="f" strokeweight=".5pt">
              <v:textbox style="mso-fit-shape-to-text:t" inset="0,0,0,0">
                <w:txbxContent>
                  <w:sdt>
                    <w:sdtPr>
                      <w:id w:val="2011643513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E60B22" w:rsidRDefault="001F3CBB">
                        <w:pPr>
                          <w:pStyle w:val="a8"/>
                          <w:ind w:firstLineChars="200" w:firstLine="360"/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880140" w:rsidRPr="00880140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:rsidR="00E60B22" w:rsidRDefault="00E60B22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22" w:rsidRDefault="001F3CBB">
    <w:pPr>
      <w:pStyle w:val="a8"/>
      <w:ind w:right="360"/>
      <w:jc w:val="right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4768215</wp:posOffset>
              </wp:positionH>
              <wp:positionV relativeFrom="paragraph">
                <wp:posOffset>-523875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64925987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E60B22" w:rsidRDefault="001F3CBB">
                              <w:pPr>
                                <w:pStyle w:val="a8"/>
                                <w:ind w:right="360"/>
                                <w:jc w:val="right"/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80140" w:rsidRPr="00880140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:rsidR="00E60B22" w:rsidRDefault="00E60B22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75.45pt;margin-top:-41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" filled="f" stroked="f" strokeweight=".5pt">
              <v:textbox style="mso-fit-shape-to-text:t" inset="0,0,0,0">
                <w:txbxContent>
                  <w:sdt>
                    <w:sdtPr>
                      <w:id w:val="964925987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E60B22" w:rsidRDefault="001F3CBB">
                        <w:pPr>
                          <w:pStyle w:val="a8"/>
                          <w:ind w:right="360"/>
                          <w:jc w:val="right"/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880140" w:rsidRPr="00880140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:rsidR="00E60B22" w:rsidRDefault="00E60B22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78" w:rsidRDefault="00FA5878">
      <w:r>
        <w:separator/>
      </w:r>
    </w:p>
  </w:footnote>
  <w:footnote w:type="continuationSeparator" w:id="0">
    <w:p w:rsidR="00FA5878" w:rsidRDefault="00FA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M2IxMTIyM2JkOTcyNGY4MDRlNzFhMjkzYTE4OGMifQ=="/>
  </w:docVars>
  <w:rsids>
    <w:rsidRoot w:val="00165B8E"/>
    <w:rsid w:val="0000166A"/>
    <w:rsid w:val="0000224C"/>
    <w:rsid w:val="0001094D"/>
    <w:rsid w:val="000112DA"/>
    <w:rsid w:val="00014C7B"/>
    <w:rsid w:val="00015CDC"/>
    <w:rsid w:val="00016026"/>
    <w:rsid w:val="00016095"/>
    <w:rsid w:val="00024BAA"/>
    <w:rsid w:val="00034A24"/>
    <w:rsid w:val="000450DA"/>
    <w:rsid w:val="0004783C"/>
    <w:rsid w:val="00052233"/>
    <w:rsid w:val="000576C0"/>
    <w:rsid w:val="00060EF4"/>
    <w:rsid w:val="00061D37"/>
    <w:rsid w:val="000640DA"/>
    <w:rsid w:val="00064F78"/>
    <w:rsid w:val="00065FC2"/>
    <w:rsid w:val="00081586"/>
    <w:rsid w:val="00082F53"/>
    <w:rsid w:val="00092E7D"/>
    <w:rsid w:val="00095A38"/>
    <w:rsid w:val="00096EE0"/>
    <w:rsid w:val="000972F5"/>
    <w:rsid w:val="000A05B5"/>
    <w:rsid w:val="000A19FC"/>
    <w:rsid w:val="000B0E5E"/>
    <w:rsid w:val="000B1064"/>
    <w:rsid w:val="000B1A5B"/>
    <w:rsid w:val="000B2C39"/>
    <w:rsid w:val="000B5CED"/>
    <w:rsid w:val="000C5944"/>
    <w:rsid w:val="000D01D9"/>
    <w:rsid w:val="000D4EE9"/>
    <w:rsid w:val="000D76C4"/>
    <w:rsid w:val="000E124B"/>
    <w:rsid w:val="000E2240"/>
    <w:rsid w:val="000E3608"/>
    <w:rsid w:val="000E546B"/>
    <w:rsid w:val="000E60E6"/>
    <w:rsid w:val="000E6B13"/>
    <w:rsid w:val="00100B0A"/>
    <w:rsid w:val="00105F65"/>
    <w:rsid w:val="00106C06"/>
    <w:rsid w:val="001205E9"/>
    <w:rsid w:val="001228EC"/>
    <w:rsid w:val="00123DC3"/>
    <w:rsid w:val="00124C32"/>
    <w:rsid w:val="0012598C"/>
    <w:rsid w:val="00131BAF"/>
    <w:rsid w:val="0013241D"/>
    <w:rsid w:val="00132E96"/>
    <w:rsid w:val="00135072"/>
    <w:rsid w:val="00144D17"/>
    <w:rsid w:val="00146B5A"/>
    <w:rsid w:val="00155947"/>
    <w:rsid w:val="00165556"/>
    <w:rsid w:val="00165B8E"/>
    <w:rsid w:val="00171BD6"/>
    <w:rsid w:val="001726BB"/>
    <w:rsid w:val="00187EB5"/>
    <w:rsid w:val="00194C18"/>
    <w:rsid w:val="00197758"/>
    <w:rsid w:val="001A2142"/>
    <w:rsid w:val="001A6029"/>
    <w:rsid w:val="001B08D4"/>
    <w:rsid w:val="001B446F"/>
    <w:rsid w:val="001D2382"/>
    <w:rsid w:val="001D28E8"/>
    <w:rsid w:val="001D53A5"/>
    <w:rsid w:val="001D5657"/>
    <w:rsid w:val="001D5BB1"/>
    <w:rsid w:val="001D722C"/>
    <w:rsid w:val="001F1A10"/>
    <w:rsid w:val="001F2875"/>
    <w:rsid w:val="001F3CBB"/>
    <w:rsid w:val="001F5024"/>
    <w:rsid w:val="001F74DB"/>
    <w:rsid w:val="0020183C"/>
    <w:rsid w:val="0020781F"/>
    <w:rsid w:val="00210F0E"/>
    <w:rsid w:val="00213280"/>
    <w:rsid w:val="00215745"/>
    <w:rsid w:val="002158BB"/>
    <w:rsid w:val="002179DE"/>
    <w:rsid w:val="00230B13"/>
    <w:rsid w:val="00243CB3"/>
    <w:rsid w:val="00247076"/>
    <w:rsid w:val="00247AEB"/>
    <w:rsid w:val="0025096B"/>
    <w:rsid w:val="00251F57"/>
    <w:rsid w:val="00255D39"/>
    <w:rsid w:val="00256273"/>
    <w:rsid w:val="00257DA1"/>
    <w:rsid w:val="00257F0D"/>
    <w:rsid w:val="002601D1"/>
    <w:rsid w:val="00274150"/>
    <w:rsid w:val="0028219B"/>
    <w:rsid w:val="00284F37"/>
    <w:rsid w:val="00285AA3"/>
    <w:rsid w:val="00287818"/>
    <w:rsid w:val="002878CD"/>
    <w:rsid w:val="00293B17"/>
    <w:rsid w:val="00293E95"/>
    <w:rsid w:val="002B1019"/>
    <w:rsid w:val="002B3CC1"/>
    <w:rsid w:val="002B5AE9"/>
    <w:rsid w:val="002C2CF5"/>
    <w:rsid w:val="002C7844"/>
    <w:rsid w:val="002D5A51"/>
    <w:rsid w:val="002E14B9"/>
    <w:rsid w:val="002E1AE5"/>
    <w:rsid w:val="002E25AE"/>
    <w:rsid w:val="002E59B0"/>
    <w:rsid w:val="002F27A6"/>
    <w:rsid w:val="002F3529"/>
    <w:rsid w:val="002F74D8"/>
    <w:rsid w:val="0030568B"/>
    <w:rsid w:val="00305CEA"/>
    <w:rsid w:val="00313D40"/>
    <w:rsid w:val="0031497C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5682E"/>
    <w:rsid w:val="0035726A"/>
    <w:rsid w:val="00361B75"/>
    <w:rsid w:val="00366DAA"/>
    <w:rsid w:val="00370C4A"/>
    <w:rsid w:val="00371514"/>
    <w:rsid w:val="00377A96"/>
    <w:rsid w:val="00383165"/>
    <w:rsid w:val="003832B4"/>
    <w:rsid w:val="00383F22"/>
    <w:rsid w:val="0038430C"/>
    <w:rsid w:val="0039330A"/>
    <w:rsid w:val="00396F61"/>
    <w:rsid w:val="003A1BE1"/>
    <w:rsid w:val="003A2FC7"/>
    <w:rsid w:val="003A5BBF"/>
    <w:rsid w:val="003A72FD"/>
    <w:rsid w:val="003B09B4"/>
    <w:rsid w:val="003B43BD"/>
    <w:rsid w:val="003B77EA"/>
    <w:rsid w:val="003C07E0"/>
    <w:rsid w:val="003C0E34"/>
    <w:rsid w:val="003D3F53"/>
    <w:rsid w:val="003D7E8C"/>
    <w:rsid w:val="003E1A4D"/>
    <w:rsid w:val="003E1F9D"/>
    <w:rsid w:val="003E3172"/>
    <w:rsid w:val="003F0024"/>
    <w:rsid w:val="003F7C5C"/>
    <w:rsid w:val="00406002"/>
    <w:rsid w:val="0041447A"/>
    <w:rsid w:val="00417F6F"/>
    <w:rsid w:val="004217DF"/>
    <w:rsid w:val="00422F98"/>
    <w:rsid w:val="00424E81"/>
    <w:rsid w:val="00425829"/>
    <w:rsid w:val="0043252E"/>
    <w:rsid w:val="004377E8"/>
    <w:rsid w:val="00437D01"/>
    <w:rsid w:val="00460369"/>
    <w:rsid w:val="0046106F"/>
    <w:rsid w:val="00461E85"/>
    <w:rsid w:val="004650D6"/>
    <w:rsid w:val="00480687"/>
    <w:rsid w:val="004813B8"/>
    <w:rsid w:val="00484034"/>
    <w:rsid w:val="0048564D"/>
    <w:rsid w:val="00491D8B"/>
    <w:rsid w:val="00492A06"/>
    <w:rsid w:val="00496F3A"/>
    <w:rsid w:val="004A3C99"/>
    <w:rsid w:val="004B0D70"/>
    <w:rsid w:val="004B46BB"/>
    <w:rsid w:val="004D3B07"/>
    <w:rsid w:val="004D5AD7"/>
    <w:rsid w:val="004D7438"/>
    <w:rsid w:val="004E573B"/>
    <w:rsid w:val="004F4F96"/>
    <w:rsid w:val="004F75E9"/>
    <w:rsid w:val="00506041"/>
    <w:rsid w:val="005066EA"/>
    <w:rsid w:val="00516CBF"/>
    <w:rsid w:val="005173E9"/>
    <w:rsid w:val="00526E0E"/>
    <w:rsid w:val="00533DC3"/>
    <w:rsid w:val="00534DF6"/>
    <w:rsid w:val="0054273A"/>
    <w:rsid w:val="00547141"/>
    <w:rsid w:val="00551023"/>
    <w:rsid w:val="0055234D"/>
    <w:rsid w:val="00554863"/>
    <w:rsid w:val="005549E1"/>
    <w:rsid w:val="0056198D"/>
    <w:rsid w:val="00563A49"/>
    <w:rsid w:val="005756F5"/>
    <w:rsid w:val="00583B32"/>
    <w:rsid w:val="005912CB"/>
    <w:rsid w:val="005917DB"/>
    <w:rsid w:val="00591BF1"/>
    <w:rsid w:val="0059542E"/>
    <w:rsid w:val="0059591E"/>
    <w:rsid w:val="005A6E99"/>
    <w:rsid w:val="005B31C2"/>
    <w:rsid w:val="005B57CC"/>
    <w:rsid w:val="005C77EB"/>
    <w:rsid w:val="005D1A40"/>
    <w:rsid w:val="005D44BC"/>
    <w:rsid w:val="005D5AC6"/>
    <w:rsid w:val="005D6A57"/>
    <w:rsid w:val="005D79BD"/>
    <w:rsid w:val="005E4AEA"/>
    <w:rsid w:val="005E79AB"/>
    <w:rsid w:val="005F2C1D"/>
    <w:rsid w:val="005F3914"/>
    <w:rsid w:val="005F3B90"/>
    <w:rsid w:val="00602086"/>
    <w:rsid w:val="0060214F"/>
    <w:rsid w:val="006069EC"/>
    <w:rsid w:val="00607132"/>
    <w:rsid w:val="00611CF8"/>
    <w:rsid w:val="006146E9"/>
    <w:rsid w:val="00614B8D"/>
    <w:rsid w:val="00621E3C"/>
    <w:rsid w:val="00624035"/>
    <w:rsid w:val="0062543F"/>
    <w:rsid w:val="00627C10"/>
    <w:rsid w:val="00630D9E"/>
    <w:rsid w:val="006370A9"/>
    <w:rsid w:val="00640D28"/>
    <w:rsid w:val="006410BA"/>
    <w:rsid w:val="00642061"/>
    <w:rsid w:val="006421B1"/>
    <w:rsid w:val="006436BC"/>
    <w:rsid w:val="0064550B"/>
    <w:rsid w:val="006517B5"/>
    <w:rsid w:val="00670A1B"/>
    <w:rsid w:val="00670BD5"/>
    <w:rsid w:val="00673848"/>
    <w:rsid w:val="00674532"/>
    <w:rsid w:val="006745E5"/>
    <w:rsid w:val="006764D8"/>
    <w:rsid w:val="0068004B"/>
    <w:rsid w:val="006B0D6C"/>
    <w:rsid w:val="006B1FD3"/>
    <w:rsid w:val="006B6684"/>
    <w:rsid w:val="006B7CB5"/>
    <w:rsid w:val="006C0EB7"/>
    <w:rsid w:val="006C3BE9"/>
    <w:rsid w:val="006C5E10"/>
    <w:rsid w:val="006C6C51"/>
    <w:rsid w:val="006D1A0A"/>
    <w:rsid w:val="006D274A"/>
    <w:rsid w:val="006D3A34"/>
    <w:rsid w:val="006D78B6"/>
    <w:rsid w:val="006E242E"/>
    <w:rsid w:val="006E5039"/>
    <w:rsid w:val="006F091E"/>
    <w:rsid w:val="006F2EF3"/>
    <w:rsid w:val="006F5AAB"/>
    <w:rsid w:val="00705845"/>
    <w:rsid w:val="00716B00"/>
    <w:rsid w:val="007179FE"/>
    <w:rsid w:val="0073172B"/>
    <w:rsid w:val="00744855"/>
    <w:rsid w:val="0074575D"/>
    <w:rsid w:val="00745F4F"/>
    <w:rsid w:val="007465E5"/>
    <w:rsid w:val="00753026"/>
    <w:rsid w:val="00754621"/>
    <w:rsid w:val="00757DE1"/>
    <w:rsid w:val="007624F6"/>
    <w:rsid w:val="00763AB3"/>
    <w:rsid w:val="00763C6E"/>
    <w:rsid w:val="00763FE9"/>
    <w:rsid w:val="00766A43"/>
    <w:rsid w:val="007811F6"/>
    <w:rsid w:val="007832F0"/>
    <w:rsid w:val="00783742"/>
    <w:rsid w:val="007870DF"/>
    <w:rsid w:val="00795689"/>
    <w:rsid w:val="007973E2"/>
    <w:rsid w:val="007A5035"/>
    <w:rsid w:val="007B124C"/>
    <w:rsid w:val="007B19FC"/>
    <w:rsid w:val="007C0E0D"/>
    <w:rsid w:val="007C3CC2"/>
    <w:rsid w:val="007C4FBA"/>
    <w:rsid w:val="007C5A25"/>
    <w:rsid w:val="007D3151"/>
    <w:rsid w:val="007E035A"/>
    <w:rsid w:val="007E73C8"/>
    <w:rsid w:val="0080076E"/>
    <w:rsid w:val="00802C4D"/>
    <w:rsid w:val="00802F52"/>
    <w:rsid w:val="0080580F"/>
    <w:rsid w:val="00806353"/>
    <w:rsid w:val="00814C0A"/>
    <w:rsid w:val="00826236"/>
    <w:rsid w:val="0083142E"/>
    <w:rsid w:val="00831957"/>
    <w:rsid w:val="00831B9B"/>
    <w:rsid w:val="00831F65"/>
    <w:rsid w:val="00832251"/>
    <w:rsid w:val="008322BB"/>
    <w:rsid w:val="00832B3B"/>
    <w:rsid w:val="00832F63"/>
    <w:rsid w:val="008431D7"/>
    <w:rsid w:val="00845853"/>
    <w:rsid w:val="008519BE"/>
    <w:rsid w:val="00853E61"/>
    <w:rsid w:val="0085592C"/>
    <w:rsid w:val="008707BD"/>
    <w:rsid w:val="00872E15"/>
    <w:rsid w:val="00874043"/>
    <w:rsid w:val="0087522A"/>
    <w:rsid w:val="00880140"/>
    <w:rsid w:val="00886314"/>
    <w:rsid w:val="00886ACD"/>
    <w:rsid w:val="008906E4"/>
    <w:rsid w:val="00892C9D"/>
    <w:rsid w:val="008940CB"/>
    <w:rsid w:val="008B01CD"/>
    <w:rsid w:val="008B06D2"/>
    <w:rsid w:val="008B5E1E"/>
    <w:rsid w:val="008B65E0"/>
    <w:rsid w:val="008C748B"/>
    <w:rsid w:val="008D2E5F"/>
    <w:rsid w:val="008D582E"/>
    <w:rsid w:val="008D7C65"/>
    <w:rsid w:val="008E09C8"/>
    <w:rsid w:val="008E18FB"/>
    <w:rsid w:val="008E3704"/>
    <w:rsid w:val="008F5462"/>
    <w:rsid w:val="00902AA0"/>
    <w:rsid w:val="00902E5A"/>
    <w:rsid w:val="00903F16"/>
    <w:rsid w:val="00906F37"/>
    <w:rsid w:val="00912805"/>
    <w:rsid w:val="00914051"/>
    <w:rsid w:val="0091498E"/>
    <w:rsid w:val="00931721"/>
    <w:rsid w:val="00931EF6"/>
    <w:rsid w:val="00932904"/>
    <w:rsid w:val="00932DC4"/>
    <w:rsid w:val="00934024"/>
    <w:rsid w:val="009361FA"/>
    <w:rsid w:val="00936721"/>
    <w:rsid w:val="009405F6"/>
    <w:rsid w:val="00940C60"/>
    <w:rsid w:val="00952692"/>
    <w:rsid w:val="00952956"/>
    <w:rsid w:val="00955878"/>
    <w:rsid w:val="009600BC"/>
    <w:rsid w:val="009616A6"/>
    <w:rsid w:val="00962FBF"/>
    <w:rsid w:val="00965722"/>
    <w:rsid w:val="009741B2"/>
    <w:rsid w:val="00975ABA"/>
    <w:rsid w:val="00975EB7"/>
    <w:rsid w:val="00977433"/>
    <w:rsid w:val="00990660"/>
    <w:rsid w:val="0099671F"/>
    <w:rsid w:val="0099750A"/>
    <w:rsid w:val="009A1FC4"/>
    <w:rsid w:val="009A2742"/>
    <w:rsid w:val="009A4E92"/>
    <w:rsid w:val="009A5689"/>
    <w:rsid w:val="009A7FDF"/>
    <w:rsid w:val="009C2132"/>
    <w:rsid w:val="009C5F97"/>
    <w:rsid w:val="009D4326"/>
    <w:rsid w:val="009D6E53"/>
    <w:rsid w:val="009E69E7"/>
    <w:rsid w:val="009F034B"/>
    <w:rsid w:val="009F626B"/>
    <w:rsid w:val="009F7D0F"/>
    <w:rsid w:val="00A02211"/>
    <w:rsid w:val="00A14F0E"/>
    <w:rsid w:val="00A15707"/>
    <w:rsid w:val="00A20283"/>
    <w:rsid w:val="00A21329"/>
    <w:rsid w:val="00A21FA1"/>
    <w:rsid w:val="00A220F3"/>
    <w:rsid w:val="00A24CB8"/>
    <w:rsid w:val="00A34A0A"/>
    <w:rsid w:val="00A411E9"/>
    <w:rsid w:val="00A41B25"/>
    <w:rsid w:val="00A45C5E"/>
    <w:rsid w:val="00A50477"/>
    <w:rsid w:val="00A52142"/>
    <w:rsid w:val="00A617B3"/>
    <w:rsid w:val="00A61A92"/>
    <w:rsid w:val="00A67092"/>
    <w:rsid w:val="00A67AE7"/>
    <w:rsid w:val="00A71989"/>
    <w:rsid w:val="00A83D69"/>
    <w:rsid w:val="00A976FB"/>
    <w:rsid w:val="00AA1F3E"/>
    <w:rsid w:val="00AA3D62"/>
    <w:rsid w:val="00AA763F"/>
    <w:rsid w:val="00AB44BB"/>
    <w:rsid w:val="00AC651A"/>
    <w:rsid w:val="00AC7E1B"/>
    <w:rsid w:val="00AD227F"/>
    <w:rsid w:val="00AD423F"/>
    <w:rsid w:val="00AD463B"/>
    <w:rsid w:val="00AE0ACF"/>
    <w:rsid w:val="00B06810"/>
    <w:rsid w:val="00B06E35"/>
    <w:rsid w:val="00B10B14"/>
    <w:rsid w:val="00B13957"/>
    <w:rsid w:val="00B17092"/>
    <w:rsid w:val="00B173FB"/>
    <w:rsid w:val="00B230CF"/>
    <w:rsid w:val="00B33172"/>
    <w:rsid w:val="00B355AF"/>
    <w:rsid w:val="00B360E9"/>
    <w:rsid w:val="00B3751F"/>
    <w:rsid w:val="00B41CD0"/>
    <w:rsid w:val="00B42C8B"/>
    <w:rsid w:val="00B43832"/>
    <w:rsid w:val="00B547F0"/>
    <w:rsid w:val="00B56BBE"/>
    <w:rsid w:val="00B606B7"/>
    <w:rsid w:val="00B649A0"/>
    <w:rsid w:val="00B7244B"/>
    <w:rsid w:val="00B80357"/>
    <w:rsid w:val="00B809A6"/>
    <w:rsid w:val="00B80E36"/>
    <w:rsid w:val="00BA30B5"/>
    <w:rsid w:val="00BA6307"/>
    <w:rsid w:val="00BA6528"/>
    <w:rsid w:val="00BB215D"/>
    <w:rsid w:val="00BB60B7"/>
    <w:rsid w:val="00BC0D1F"/>
    <w:rsid w:val="00BC3638"/>
    <w:rsid w:val="00BC3D7B"/>
    <w:rsid w:val="00BC7F8C"/>
    <w:rsid w:val="00BD114F"/>
    <w:rsid w:val="00BD2C0F"/>
    <w:rsid w:val="00BD7883"/>
    <w:rsid w:val="00BE1B62"/>
    <w:rsid w:val="00BE4E28"/>
    <w:rsid w:val="00BE6EE4"/>
    <w:rsid w:val="00BF32F7"/>
    <w:rsid w:val="00BF35EC"/>
    <w:rsid w:val="00BF711F"/>
    <w:rsid w:val="00C00636"/>
    <w:rsid w:val="00C01DF5"/>
    <w:rsid w:val="00C10212"/>
    <w:rsid w:val="00C12BBA"/>
    <w:rsid w:val="00C367B2"/>
    <w:rsid w:val="00C4046D"/>
    <w:rsid w:val="00C46EB4"/>
    <w:rsid w:val="00C530D7"/>
    <w:rsid w:val="00C53CD7"/>
    <w:rsid w:val="00C574E3"/>
    <w:rsid w:val="00C63802"/>
    <w:rsid w:val="00C70162"/>
    <w:rsid w:val="00C70A62"/>
    <w:rsid w:val="00C90727"/>
    <w:rsid w:val="00C9258E"/>
    <w:rsid w:val="00C97DCA"/>
    <w:rsid w:val="00CA2060"/>
    <w:rsid w:val="00CA2E5A"/>
    <w:rsid w:val="00CA49A8"/>
    <w:rsid w:val="00CA5DCF"/>
    <w:rsid w:val="00CB361A"/>
    <w:rsid w:val="00CB3790"/>
    <w:rsid w:val="00CB671E"/>
    <w:rsid w:val="00CC0388"/>
    <w:rsid w:val="00CC5040"/>
    <w:rsid w:val="00CD26D2"/>
    <w:rsid w:val="00CD2DE2"/>
    <w:rsid w:val="00CD78F1"/>
    <w:rsid w:val="00CE0CD5"/>
    <w:rsid w:val="00CE6319"/>
    <w:rsid w:val="00CF18BD"/>
    <w:rsid w:val="00CF1C3F"/>
    <w:rsid w:val="00CF2709"/>
    <w:rsid w:val="00CF33DE"/>
    <w:rsid w:val="00D03B9F"/>
    <w:rsid w:val="00D11910"/>
    <w:rsid w:val="00D20142"/>
    <w:rsid w:val="00D23ABD"/>
    <w:rsid w:val="00D278F0"/>
    <w:rsid w:val="00D435BC"/>
    <w:rsid w:val="00D45A4C"/>
    <w:rsid w:val="00D46F0D"/>
    <w:rsid w:val="00D50E9A"/>
    <w:rsid w:val="00D5438F"/>
    <w:rsid w:val="00D60D6C"/>
    <w:rsid w:val="00D62EB3"/>
    <w:rsid w:val="00D64BD6"/>
    <w:rsid w:val="00D66B36"/>
    <w:rsid w:val="00D67226"/>
    <w:rsid w:val="00D6750E"/>
    <w:rsid w:val="00D67720"/>
    <w:rsid w:val="00D71BDF"/>
    <w:rsid w:val="00D73F50"/>
    <w:rsid w:val="00D7501F"/>
    <w:rsid w:val="00D81B19"/>
    <w:rsid w:val="00D82334"/>
    <w:rsid w:val="00D86415"/>
    <w:rsid w:val="00D8794C"/>
    <w:rsid w:val="00D954DE"/>
    <w:rsid w:val="00DA2162"/>
    <w:rsid w:val="00DA53ED"/>
    <w:rsid w:val="00DA691E"/>
    <w:rsid w:val="00DB5974"/>
    <w:rsid w:val="00DC01CC"/>
    <w:rsid w:val="00DC0436"/>
    <w:rsid w:val="00DC244F"/>
    <w:rsid w:val="00DD5277"/>
    <w:rsid w:val="00DD5796"/>
    <w:rsid w:val="00DD634A"/>
    <w:rsid w:val="00DD65D6"/>
    <w:rsid w:val="00DE055F"/>
    <w:rsid w:val="00DE2F89"/>
    <w:rsid w:val="00DF3AEF"/>
    <w:rsid w:val="00DF45FE"/>
    <w:rsid w:val="00DF79F2"/>
    <w:rsid w:val="00E11D99"/>
    <w:rsid w:val="00E11FFB"/>
    <w:rsid w:val="00E1281C"/>
    <w:rsid w:val="00E15748"/>
    <w:rsid w:val="00E20033"/>
    <w:rsid w:val="00E24611"/>
    <w:rsid w:val="00E24AF0"/>
    <w:rsid w:val="00E27DA1"/>
    <w:rsid w:val="00E304BB"/>
    <w:rsid w:val="00E32959"/>
    <w:rsid w:val="00E37614"/>
    <w:rsid w:val="00E411F4"/>
    <w:rsid w:val="00E45590"/>
    <w:rsid w:val="00E54D68"/>
    <w:rsid w:val="00E54EBE"/>
    <w:rsid w:val="00E5613A"/>
    <w:rsid w:val="00E60B22"/>
    <w:rsid w:val="00E61957"/>
    <w:rsid w:val="00E61E46"/>
    <w:rsid w:val="00E67964"/>
    <w:rsid w:val="00E7214F"/>
    <w:rsid w:val="00E76065"/>
    <w:rsid w:val="00E76E6B"/>
    <w:rsid w:val="00E90864"/>
    <w:rsid w:val="00E9474C"/>
    <w:rsid w:val="00E97589"/>
    <w:rsid w:val="00EA2D3B"/>
    <w:rsid w:val="00EA3B5D"/>
    <w:rsid w:val="00EA5972"/>
    <w:rsid w:val="00EB1B28"/>
    <w:rsid w:val="00EB4BC0"/>
    <w:rsid w:val="00EB56A7"/>
    <w:rsid w:val="00EB6075"/>
    <w:rsid w:val="00EC2002"/>
    <w:rsid w:val="00ED44C6"/>
    <w:rsid w:val="00EE2D3D"/>
    <w:rsid w:val="00EE2FA1"/>
    <w:rsid w:val="00EE689E"/>
    <w:rsid w:val="00EF0145"/>
    <w:rsid w:val="00EF25C7"/>
    <w:rsid w:val="00EF2672"/>
    <w:rsid w:val="00EF77FE"/>
    <w:rsid w:val="00F07AC3"/>
    <w:rsid w:val="00F12905"/>
    <w:rsid w:val="00F31747"/>
    <w:rsid w:val="00F378E8"/>
    <w:rsid w:val="00F47DEC"/>
    <w:rsid w:val="00F53A97"/>
    <w:rsid w:val="00F577C9"/>
    <w:rsid w:val="00F579EF"/>
    <w:rsid w:val="00F66693"/>
    <w:rsid w:val="00F7532D"/>
    <w:rsid w:val="00F76226"/>
    <w:rsid w:val="00F76273"/>
    <w:rsid w:val="00F836CC"/>
    <w:rsid w:val="00FA1B50"/>
    <w:rsid w:val="00FA3001"/>
    <w:rsid w:val="00FA5878"/>
    <w:rsid w:val="00FB0685"/>
    <w:rsid w:val="00FB17F0"/>
    <w:rsid w:val="00FB3C4D"/>
    <w:rsid w:val="00FC6842"/>
    <w:rsid w:val="00FC6980"/>
    <w:rsid w:val="00FC6B5A"/>
    <w:rsid w:val="00FD3F92"/>
    <w:rsid w:val="00FE4BCB"/>
    <w:rsid w:val="00FE5D9A"/>
    <w:rsid w:val="00FE684E"/>
    <w:rsid w:val="0B701800"/>
    <w:rsid w:val="4C6A1879"/>
    <w:rsid w:val="6D903FA2"/>
    <w:rsid w:val="73496B4B"/>
    <w:rsid w:val="7DA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HTML Preformatted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32"/>
      <w:szCs w:val="30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paragraph" w:styleId="a4">
    <w:name w:val="Body Text"/>
    <w:basedOn w:val="a"/>
    <w:link w:val="Char0"/>
    <w:uiPriority w:val="1"/>
    <w:qFormat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paragraph" w:styleId="a5">
    <w:name w:val="Plain Text"/>
    <w:basedOn w:val="a"/>
    <w:link w:val="Char1"/>
    <w:unhideWhenUsed/>
    <w:qFormat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  <w:kern w:val="0"/>
      <w:sz w:val="20"/>
      <w:szCs w:val="20"/>
    </w:r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Courier New"/>
      <w:sz w:val="21"/>
      <w:szCs w:val="21"/>
    </w:rPr>
  </w:style>
  <w:style w:type="character" w:customStyle="1" w:styleId="Char2">
    <w:name w:val="日期 Char"/>
    <w:basedOn w:val="a0"/>
    <w:link w:val="a6"/>
    <w:uiPriority w:val="99"/>
    <w:semiHidden/>
    <w:qFormat/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Cs w:val="32"/>
    </w:rPr>
  </w:style>
  <w:style w:type="character" w:customStyle="1" w:styleId="Char">
    <w:name w:val="结束语 Char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="仿宋" w:hAnsiTheme="minorHAns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/>
      <w:kern w:val="0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HTML Preformatted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32"/>
      <w:szCs w:val="30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paragraph" w:styleId="a4">
    <w:name w:val="Body Text"/>
    <w:basedOn w:val="a"/>
    <w:link w:val="Char0"/>
    <w:uiPriority w:val="1"/>
    <w:qFormat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paragraph" w:styleId="a5">
    <w:name w:val="Plain Text"/>
    <w:basedOn w:val="a"/>
    <w:link w:val="Char1"/>
    <w:unhideWhenUsed/>
    <w:qFormat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  <w:kern w:val="0"/>
      <w:sz w:val="20"/>
      <w:szCs w:val="20"/>
    </w:r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Courier New"/>
      <w:sz w:val="21"/>
      <w:szCs w:val="21"/>
    </w:rPr>
  </w:style>
  <w:style w:type="character" w:customStyle="1" w:styleId="Char2">
    <w:name w:val="日期 Char"/>
    <w:basedOn w:val="a0"/>
    <w:link w:val="a6"/>
    <w:uiPriority w:val="99"/>
    <w:semiHidden/>
    <w:qFormat/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Cs w:val="32"/>
    </w:rPr>
  </w:style>
  <w:style w:type="character" w:customStyle="1" w:styleId="Char">
    <w:name w:val="结束语 Char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="仿宋" w:hAnsiTheme="minorHAns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/>
      <w:kern w:val="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angwenlong@cas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27884-1102-41D2-A908-5F3FD459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302</Words>
  <Characters>1728</Characters>
  <Application>Microsoft Office Word</Application>
  <DocSecurity>0</DocSecurity>
  <Lines>14</Lines>
  <Paragraphs>4</Paragraphs>
  <ScaleCrop>false</ScaleCrop>
  <Company>Lenovo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王煜</cp:lastModifiedBy>
  <cp:revision>40</cp:revision>
  <cp:lastPrinted>2022-07-06T06:47:00Z</cp:lastPrinted>
  <dcterms:created xsi:type="dcterms:W3CDTF">2022-07-05T06:54:00Z</dcterms:created>
  <dcterms:modified xsi:type="dcterms:W3CDTF">2022-07-08T08:44:00Z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382BDEA0F39E418BAE2F8685E67B52E8</vt:lpwstr>
  </property>
</Properties>
</file>