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0" w:rsidRDefault="00226E40" w:rsidP="00226E40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226E40" w:rsidRDefault="00226E40" w:rsidP="00226E40">
      <w:pPr>
        <w:widowControl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ACCA</w:t>
      </w:r>
      <w:r>
        <w:rPr>
          <w:rFonts w:hint="eastAsia"/>
          <w:b/>
          <w:bCs/>
          <w:color w:val="000000" w:themeColor="text1"/>
        </w:rPr>
        <w:t>全球商业服务中文证书简介</w:t>
      </w:r>
    </w:p>
    <w:p w:rsidR="00226E40" w:rsidRDefault="00226E40" w:rsidP="00226E40">
      <w:pPr>
        <w:pStyle w:val="a3"/>
        <w:rPr>
          <w:color w:val="000000" w:themeColor="text1"/>
        </w:rPr>
      </w:pPr>
    </w:p>
    <w:p w:rsidR="00226E40" w:rsidRDefault="00226E40" w:rsidP="00226E40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ACCA</w:t>
      </w:r>
      <w:r>
        <w:rPr>
          <w:rFonts w:ascii="宋体" w:eastAsia="宋体" w:hAnsi="宋体" w:cs="宋体" w:hint="eastAsia"/>
          <w:color w:val="000000" w:themeColor="text1"/>
          <w:szCs w:val="21"/>
        </w:rPr>
        <w:t>一直持续关注全球和国内共享服务行业的发展变化，自2017年开始连续五年与合作伙伴在国内开展了共享服务领域的调研，持续关注共享服务模式在中国企业的实践应用、发展趋势以及挑战。据调研显示，</w:t>
      </w:r>
      <w:r>
        <w:rPr>
          <w:rFonts w:ascii="宋体" w:eastAsia="宋体" w:hAnsi="宋体" w:hint="eastAsia"/>
          <w:color w:val="000000" w:themeColor="text1"/>
          <w:szCs w:val="21"/>
        </w:rPr>
        <w:t>人才和专业能力是共享服务组织</w:t>
      </w:r>
      <w:proofErr w:type="gramStart"/>
      <w:r>
        <w:rPr>
          <w:rFonts w:ascii="宋体" w:eastAsia="宋体" w:hAnsi="宋体" w:hint="eastAsia"/>
          <w:color w:val="000000" w:themeColor="text1"/>
          <w:szCs w:val="21"/>
        </w:rPr>
        <w:t>最</w:t>
      </w:r>
      <w:proofErr w:type="gramEnd"/>
      <w:r>
        <w:rPr>
          <w:rFonts w:ascii="宋体" w:eastAsia="宋体" w:hAnsi="宋体" w:hint="eastAsia"/>
          <w:color w:val="000000" w:themeColor="text1"/>
          <w:szCs w:val="21"/>
        </w:rPr>
        <w:t>关键的要素之一，而目前市场上适合共享新模式的人才培训与认证体系却十分稀缺。因此，ACCA联合中国石化共享服务公司，利用本土化的最佳实践推出了全球商业服务证书中文版，能够满足共享行业发展需要，打造共享服务人才标准、知识框架和认证体系，推动和引领共享服务行业高质量发展。</w:t>
      </w:r>
    </w:p>
    <w:p w:rsidR="00226E40" w:rsidRDefault="00226E40" w:rsidP="00226E40">
      <w:pPr>
        <w:spacing w:line="276" w:lineRule="auto"/>
        <w:rPr>
          <w:rFonts w:ascii="宋体" w:eastAsia="宋体" w:hAnsi="宋体" w:hint="eastAsia"/>
          <w:color w:val="000000" w:themeColor="text1"/>
          <w:szCs w:val="21"/>
        </w:rPr>
      </w:pPr>
    </w:p>
    <w:p w:rsidR="00226E40" w:rsidRDefault="00226E40" w:rsidP="00226E40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通过ACCA全球商业服务中文证书课程内容的学习，将会帮助打造事务所共享服务建设咨询服务能力，帮助事务所拓展共享服务咨询业务，为成功转型奠定扎实的基础。 </w:t>
      </w:r>
    </w:p>
    <w:p w:rsidR="00226E40" w:rsidRDefault="00226E40" w:rsidP="00226E4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事务所人员获得共享服务领域必备技能和专业知识，对事务所人员进行共享服务知识赋能；</w:t>
      </w:r>
    </w:p>
    <w:p w:rsidR="00226E40" w:rsidRDefault="00226E40" w:rsidP="00226E4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获得业界认可的ACCA全球商业服务资格证书，表明事务所在共享服务领域具备了符合全球标准的知识能力体系。</w:t>
      </w:r>
    </w:p>
    <w:p w:rsidR="00226E40" w:rsidRDefault="00226E40" w:rsidP="00226E40">
      <w:pPr>
        <w:pStyle w:val="a3"/>
        <w:rPr>
          <w:rFonts w:hint="eastAsia"/>
          <w:color w:val="000000" w:themeColor="text1"/>
        </w:rPr>
      </w:pPr>
    </w:p>
    <w:p w:rsidR="00226E40" w:rsidRDefault="00226E40" w:rsidP="00226E40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如何学习：在线学习方式，通过</w:t>
      </w:r>
      <w:r>
        <w:rPr>
          <w:color w:val="000000" w:themeColor="text1"/>
        </w:rPr>
        <w:t>ACCA learning</w:t>
      </w:r>
      <w:r>
        <w:rPr>
          <w:rFonts w:hint="eastAsia"/>
          <w:color w:val="000000" w:themeColor="text1"/>
        </w:rPr>
        <w:t>平台完成五大模块课程内容的学习。（成功报名后，</w:t>
      </w:r>
      <w:r>
        <w:rPr>
          <w:color w:val="000000" w:themeColor="text1"/>
        </w:rPr>
        <w:t>ACCA</w:t>
      </w:r>
      <w:r>
        <w:rPr>
          <w:rFonts w:hint="eastAsia"/>
          <w:color w:val="000000" w:themeColor="text1"/>
        </w:rPr>
        <w:t>将帮助指引报名学员进行课程注册）</w:t>
      </w:r>
    </w:p>
    <w:p w:rsidR="00226E40" w:rsidRDefault="00226E40" w:rsidP="00226E40">
      <w:pPr>
        <w:pStyle w:val="a3"/>
        <w:rPr>
          <w:color w:val="000000" w:themeColor="text1"/>
        </w:rPr>
      </w:pPr>
    </w:p>
    <w:p w:rsidR="00226E40" w:rsidRDefault="00226E40" w:rsidP="00226E40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如何获取证书：完成五大模块学习并顺利通过在线测评后即可获得</w:t>
      </w:r>
      <w:r>
        <w:rPr>
          <w:color w:val="000000" w:themeColor="text1"/>
        </w:rPr>
        <w:t>ACCA</w:t>
      </w:r>
      <w:r>
        <w:rPr>
          <w:rFonts w:hint="eastAsia"/>
          <w:color w:val="000000" w:themeColor="text1"/>
        </w:rPr>
        <w:t>全球商业服务中文证书。</w:t>
      </w:r>
    </w:p>
    <w:p w:rsidR="00226E40" w:rsidRDefault="00226E40" w:rsidP="00226E40">
      <w:pPr>
        <w:pStyle w:val="a3"/>
        <w:rPr>
          <w:color w:val="000000" w:themeColor="text1"/>
        </w:rPr>
      </w:pPr>
    </w:p>
    <w:p w:rsidR="00226E40" w:rsidRDefault="00226E40" w:rsidP="00226E40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课程设置：</w:t>
      </w:r>
      <w:r>
        <w:rPr>
          <w:color w:val="000000" w:themeColor="text1"/>
        </w:rPr>
        <w:t xml:space="preserve"> </w:t>
      </w:r>
    </w:p>
    <w:tbl>
      <w:tblPr>
        <w:tblStyle w:val="a5"/>
        <w:tblW w:w="7655" w:type="dxa"/>
        <w:tblInd w:w="108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课程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内容</w:t>
            </w:r>
          </w:p>
        </w:tc>
      </w:tr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模块一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建立和运营全球商业服务组织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 w:rsidP="0010402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什么是共享服务</w:t>
            </w:r>
          </w:p>
          <w:p w:rsidR="00226E40" w:rsidRDefault="00226E40" w:rsidP="0010402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划定业务范围，确定适用的业务范畴与规划原则</w:t>
            </w:r>
          </w:p>
          <w:p w:rsidR="00226E40" w:rsidRDefault="00226E40" w:rsidP="00104027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共享服务组织内部的代表性岗位</w:t>
            </w:r>
          </w:p>
        </w:tc>
      </w:tr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模块二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流程的设计与改进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事务所人员如何进行共享服务的流程设计与改进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流程设计和应用的基础知识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流程工具和精益管理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流程图的构成与绘制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变革驱动因素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科特的变革八步法</w:t>
            </w:r>
          </w:p>
          <w:p w:rsidR="00226E40" w:rsidRDefault="00226E40" w:rsidP="00104027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lastRenderedPageBreak/>
              <w:t>简单的变革管理工具</w:t>
            </w:r>
          </w:p>
        </w:tc>
      </w:tr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lastRenderedPageBreak/>
              <w:t>模块三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会计与报告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事务所人员如何进行财务共享服务中心的财务流程设计（包括费用报销、应收、应付、资产业务处理以及总账报销等业务）</w:t>
            </w:r>
          </w:p>
        </w:tc>
      </w:tr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模块四</w:t>
            </w: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 xml:space="preserve"> 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数字与技术创新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 w:rsidP="00104027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事务所人员理解共享服务信息系统的构成和功能，以及企业级系统的原理和实务。</w:t>
            </w:r>
          </w:p>
          <w:p w:rsidR="00226E40" w:rsidRDefault="00226E40" w:rsidP="00104027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事务所人员掌握如何进行数据收集、清理和主数据管理的方法</w:t>
            </w:r>
          </w:p>
          <w:p w:rsidR="00226E40" w:rsidRDefault="00226E40" w:rsidP="00104027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事务所人员全面了解共享服务智能技术及其应用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（机器人流程自动化、成像系统、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OCR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技术、发票管理、区块链以及数据分析原理）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226E40" w:rsidTr="00226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>
            <w:pPr>
              <w:spacing w:line="360" w:lineRule="auto"/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模块五</w:t>
            </w:r>
          </w:p>
          <w:p w:rsidR="00226E40" w:rsidRDefault="00226E40">
            <w:pPr>
              <w:spacing w:line="360" w:lineRule="auto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控制、合</w:t>
            </w:r>
            <w:proofErr w:type="gramStart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、治理、风险与道德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40" w:rsidRDefault="00226E40" w:rsidP="00104027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深入研究控制、合</w:t>
            </w:r>
            <w:proofErr w:type="gramStart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、治理、风险和职业道德（包括企业标准分类、系统标准和</w:t>
            </w:r>
            <w:proofErr w:type="gramStart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主数据</w:t>
            </w:r>
            <w:proofErr w:type="gramEnd"/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标准以及财务标准和商业标准之间的联系）</w:t>
            </w:r>
          </w:p>
          <w:p w:rsidR="00226E40" w:rsidRDefault="00226E40" w:rsidP="00104027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事务所人员学习如何建立质量保证体系，包括质量管控、评估与监督</w:t>
            </w:r>
          </w:p>
        </w:tc>
      </w:tr>
    </w:tbl>
    <w:p w:rsidR="007867FC" w:rsidRPr="00226E40" w:rsidRDefault="007867FC">
      <w:bookmarkStart w:id="0" w:name="_GoBack"/>
      <w:bookmarkEnd w:id="0"/>
    </w:p>
    <w:sectPr w:rsidR="007867FC" w:rsidRPr="0022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F4C"/>
    <w:multiLevelType w:val="hybridMultilevel"/>
    <w:tmpl w:val="D62ABAB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D001E3"/>
    <w:multiLevelType w:val="hybridMultilevel"/>
    <w:tmpl w:val="FD4E2D3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5C51C7"/>
    <w:multiLevelType w:val="hybridMultilevel"/>
    <w:tmpl w:val="04A0E61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965BBD"/>
    <w:multiLevelType w:val="hybridMultilevel"/>
    <w:tmpl w:val="638EA89A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B585B30"/>
    <w:multiLevelType w:val="hybridMultilevel"/>
    <w:tmpl w:val="10CEF74A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76"/>
    <w:rsid w:val="00226E40"/>
    <w:rsid w:val="00271D76"/>
    <w:rsid w:val="007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FC3E-5F26-430F-A92F-11B9C52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40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26E40"/>
    <w:pPr>
      <w:ind w:firstLineChars="200" w:firstLine="420"/>
    </w:pPr>
  </w:style>
  <w:style w:type="table" w:styleId="a5">
    <w:name w:val="Table Grid"/>
    <w:basedOn w:val="a1"/>
    <w:uiPriority w:val="59"/>
    <w:rsid w:val="00226E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cp:lastPrinted>2023-11-27T06:49:00Z</cp:lastPrinted>
  <dcterms:created xsi:type="dcterms:W3CDTF">2023-11-27T06:49:00Z</dcterms:created>
  <dcterms:modified xsi:type="dcterms:W3CDTF">2023-11-27T06:49:00Z</dcterms:modified>
</cp:coreProperties>
</file>