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28"/>
          <w:szCs w:val="28"/>
        </w:rPr>
      </w:pPr>
    </w:p>
    <w:p>
      <w:pPr>
        <w:jc w:val="center"/>
        <w:rPr>
          <w:b/>
          <w:sz w:val="40"/>
          <w:szCs w:val="52"/>
        </w:rPr>
      </w:pPr>
      <w:r>
        <w:rPr>
          <w:rFonts w:hint="eastAsia"/>
          <w:b/>
          <w:sz w:val="40"/>
          <w:szCs w:val="52"/>
        </w:rPr>
        <w:t>重庆g42沪蓉高速公路龙溪河服务区项目北区</w:t>
      </w:r>
    </w:p>
    <w:p>
      <w:pPr>
        <w:jc w:val="center"/>
        <w:rPr>
          <w:b/>
          <w:sz w:val="40"/>
          <w:szCs w:val="52"/>
        </w:rPr>
      </w:pPr>
      <w:r>
        <w:rPr>
          <w:rFonts w:hint="eastAsia"/>
          <w:b/>
          <w:sz w:val="40"/>
          <w:szCs w:val="52"/>
        </w:rPr>
        <w:t>电 气 计 算 书</w:t>
      </w:r>
    </w:p>
    <w:p>
      <w:pPr>
        <w:rPr>
          <w:b/>
          <w:sz w:val="28"/>
          <w:szCs w:val="28"/>
        </w:rPr>
      </w:pPr>
    </w:p>
    <w:p>
      <w:pPr>
        <w:rPr>
          <w:b/>
          <w:sz w:val="28"/>
          <w:szCs w:val="28"/>
        </w:rPr>
      </w:pPr>
    </w:p>
    <w:p>
      <w:pPr>
        <w:rPr>
          <w:b/>
          <w:sz w:val="28"/>
          <w:szCs w:val="28"/>
        </w:rPr>
      </w:pPr>
    </w:p>
    <w:p>
      <w:pPr>
        <w:rPr>
          <w:b/>
          <w:sz w:val="28"/>
          <w:szCs w:val="28"/>
        </w:rPr>
      </w:pPr>
    </w:p>
    <w:p>
      <w:pPr>
        <w:jc w:val="left"/>
        <w:rPr>
          <w:b/>
          <w:sz w:val="28"/>
          <w:szCs w:val="28"/>
        </w:rPr>
      </w:pPr>
      <w:r>
        <w:rPr>
          <w:rFonts w:hint="eastAsia"/>
          <w:b/>
          <w:sz w:val="28"/>
          <w:szCs w:val="28"/>
        </w:rPr>
        <w:t>一、用电设备负荷计算</w:t>
      </w:r>
    </w:p>
    <w:p>
      <w:pPr>
        <w:jc w:val="left"/>
        <w:rPr>
          <w:b/>
          <w:sz w:val="28"/>
          <w:szCs w:val="28"/>
        </w:rPr>
      </w:pPr>
      <w:r>
        <w:rPr>
          <w:rFonts w:hint="eastAsia"/>
          <w:b/>
          <w:sz w:val="28"/>
          <w:szCs w:val="28"/>
        </w:rPr>
        <w:t>二、柴油发电机选型及计算：</w:t>
      </w:r>
    </w:p>
    <w:p>
      <w:pPr>
        <w:jc w:val="left"/>
        <w:rPr>
          <w:b/>
          <w:sz w:val="28"/>
          <w:szCs w:val="28"/>
        </w:rPr>
      </w:pPr>
      <w:r>
        <w:rPr>
          <w:rFonts w:hint="eastAsia"/>
          <w:b/>
          <w:sz w:val="28"/>
          <w:szCs w:val="28"/>
        </w:rPr>
        <w:t>三、典型回路电压损失计算</w:t>
      </w:r>
    </w:p>
    <w:p>
      <w:pPr>
        <w:jc w:val="left"/>
        <w:rPr>
          <w:b/>
          <w:sz w:val="28"/>
          <w:szCs w:val="28"/>
        </w:rPr>
      </w:pPr>
      <w:r>
        <w:rPr>
          <w:rFonts w:hint="eastAsia"/>
          <w:b/>
          <w:sz w:val="28"/>
          <w:szCs w:val="28"/>
        </w:rPr>
        <w:t>四、年雷击次数计算</w:t>
      </w:r>
    </w:p>
    <w:p>
      <w:pPr>
        <w:jc w:val="left"/>
        <w:rPr>
          <w:b/>
          <w:sz w:val="28"/>
          <w:szCs w:val="28"/>
        </w:rPr>
      </w:pPr>
      <w:r>
        <w:rPr>
          <w:rFonts w:hint="eastAsia"/>
          <w:b/>
          <w:sz w:val="28"/>
          <w:szCs w:val="28"/>
        </w:rPr>
        <w:t>五、典型场所照度计算</w:t>
      </w:r>
    </w:p>
    <w:p>
      <w:pPr>
        <w:rPr>
          <w:b/>
          <w:sz w:val="28"/>
          <w:szCs w:val="28"/>
        </w:rPr>
      </w:pPr>
    </w:p>
    <w:p>
      <w:pPr>
        <w:rPr>
          <w:b/>
          <w:sz w:val="28"/>
          <w:szCs w:val="28"/>
        </w:rPr>
      </w:pPr>
    </w:p>
    <w:p>
      <w:pPr>
        <w:jc w:val="left"/>
        <w:rPr>
          <w:b/>
          <w:sz w:val="28"/>
          <w:szCs w:val="28"/>
        </w:rPr>
      </w:pPr>
      <w:r>
        <w:rPr>
          <w:rFonts w:hint="eastAsia"/>
          <w:b/>
          <w:sz w:val="28"/>
          <w:szCs w:val="28"/>
        </w:rPr>
        <w:t>一、用电设备负荷计算</w:t>
      </w:r>
    </w:p>
    <w:p>
      <w:pPr>
        <w:jc w:val="left"/>
        <w:rPr>
          <w:rFonts w:hAnsi="宋体"/>
          <w:sz w:val="28"/>
          <w:szCs w:val="28"/>
        </w:rPr>
      </w:pPr>
      <w:r>
        <w:rPr>
          <w:rFonts w:hint="eastAsia" w:hAnsi="宋体"/>
          <w:sz w:val="28"/>
          <w:szCs w:val="28"/>
        </w:rPr>
        <w:t>1</w:t>
      </w:r>
      <w:r>
        <w:rPr>
          <w:rFonts w:hAnsi="宋体"/>
          <w:sz w:val="28"/>
          <w:szCs w:val="28"/>
        </w:rPr>
        <w:t>.1</w:t>
      </w:r>
      <w:r>
        <w:rPr>
          <w:rFonts w:hint="eastAsia" w:hAnsi="宋体"/>
          <w:sz w:val="28"/>
          <w:szCs w:val="28"/>
        </w:rPr>
        <w:t>负荷计算原则</w:t>
      </w:r>
    </w:p>
    <w:p>
      <w:pPr>
        <w:jc w:val="left"/>
        <w:rPr>
          <w:rFonts w:hAnsi="宋体"/>
          <w:sz w:val="28"/>
          <w:szCs w:val="28"/>
        </w:rPr>
      </w:pPr>
      <w:r>
        <w:rPr>
          <w:rFonts w:hint="eastAsia" w:hAnsi="宋体"/>
          <w:sz w:val="28"/>
          <w:szCs w:val="28"/>
        </w:rPr>
        <w:t>电机（照明）：视在功率：</w:t>
      </w:r>
    </w:p>
    <w:p>
      <w:pPr>
        <w:jc w:val="left"/>
        <w:rPr>
          <w:rFonts w:hAnsi="宋体"/>
          <w:sz w:val="28"/>
          <w:szCs w:val="28"/>
        </w:rPr>
      </w:pPr>
      <w:r>
        <w:rPr>
          <w:rFonts w:hAnsi="宋体"/>
          <w:sz w:val="28"/>
          <w:szCs w:val="28"/>
        </w:rPr>
        <w:pict>
          <v:shape id="_x0000_s2050" o:spid="_x0000_s2050" o:spt="75" type="#_x0000_t75" style="position:absolute;left:0pt;margin-left:52.5pt;margin-top:0pt;height:25.15pt;width:114.25pt;mso-wrap-distance-bottom:0pt;mso-wrap-distance-top:0pt;z-index:251660288;mso-width-relative:page;mso-height-relative:page;" o:ole="t" filled="f" o:preferrelative="t" stroked="f" coordsize="21600,21600" o:allowincell="f">
            <v:path/>
            <v:fill on="f" focussize="0,0"/>
            <v:stroke on="f" joinstyle="miter"/>
            <v:imagedata r:id="rId5" o:title=""/>
            <o:lock v:ext="edit" aspectratio="t"/>
            <w10:wrap type="topAndBottom"/>
          </v:shape>
          <o:OLEObject Type="Embed" ProgID="Equation.3" ShapeID="_x0000_s2050" DrawAspect="Content" ObjectID="_1468075725" r:id="rId4">
            <o:LockedField>false</o:LockedField>
          </o:OLEObject>
        </w:pict>
      </w:r>
      <w:r>
        <w:rPr>
          <w:rFonts w:hint="eastAsia" w:hAnsi="宋体"/>
          <w:sz w:val="28"/>
          <w:szCs w:val="28"/>
        </w:rPr>
        <w:t>有功功率：</w:t>
      </w:r>
      <w:r>
        <w:rPr>
          <w:rFonts w:hAnsi="宋体"/>
          <w:sz w:val="28"/>
          <w:szCs w:val="28"/>
        </w:rPr>
        <w:t>Pjs=K</w:t>
      </w:r>
      <w:r>
        <w:rPr>
          <w:rFonts w:hint="eastAsia" w:hAnsi="宋体"/>
          <w:sz w:val="28"/>
          <w:szCs w:val="28"/>
        </w:rPr>
        <w:t>∑</w:t>
      </w:r>
      <w:r>
        <w:rPr>
          <w:rFonts w:hAnsi="宋体"/>
          <w:sz w:val="28"/>
          <w:szCs w:val="28"/>
        </w:rPr>
        <w:t>p</w:t>
      </w:r>
      <w:r>
        <w:rPr>
          <w:rFonts w:hint="eastAsia" w:hAnsi="宋体"/>
          <w:sz w:val="28"/>
          <w:szCs w:val="28"/>
        </w:rPr>
        <w:t>∑</w:t>
      </w:r>
      <w:r>
        <w:rPr>
          <w:rFonts w:hAnsi="宋体"/>
          <w:sz w:val="28"/>
          <w:szCs w:val="28"/>
        </w:rPr>
        <w:t>(KxPe) (kW)       Kx</w:t>
      </w:r>
      <w:r>
        <w:rPr>
          <w:rFonts w:hint="eastAsia" w:hAnsi="宋体"/>
          <w:sz w:val="28"/>
          <w:szCs w:val="28"/>
        </w:rPr>
        <w:t>见下表</w:t>
      </w:r>
      <w:r>
        <w:rPr>
          <w:rFonts w:hAnsi="宋体"/>
          <w:sz w:val="28"/>
          <w:szCs w:val="28"/>
        </w:rPr>
        <w:t xml:space="preserve">     K</w:t>
      </w:r>
      <w:r>
        <w:rPr>
          <w:rFonts w:hint="eastAsia" w:hAnsi="宋体"/>
          <w:sz w:val="28"/>
          <w:szCs w:val="28"/>
        </w:rPr>
        <w:t>∑</w:t>
      </w:r>
      <w:r>
        <w:rPr>
          <w:rFonts w:hAnsi="宋体"/>
          <w:sz w:val="28"/>
          <w:szCs w:val="28"/>
        </w:rPr>
        <w:t>q =0.8</w:t>
      </w:r>
    </w:p>
    <w:p>
      <w:pPr>
        <w:jc w:val="left"/>
        <w:rPr>
          <w:rFonts w:hAnsi="宋体"/>
          <w:sz w:val="28"/>
          <w:szCs w:val="28"/>
        </w:rPr>
      </w:pPr>
      <w:r>
        <w:rPr>
          <w:rFonts w:hint="eastAsia" w:hAnsi="宋体"/>
          <w:sz w:val="28"/>
          <w:szCs w:val="28"/>
        </w:rPr>
        <w:t>无功功率：</w:t>
      </w:r>
      <w:r>
        <w:rPr>
          <w:rFonts w:hAnsi="宋体"/>
          <w:sz w:val="28"/>
          <w:szCs w:val="28"/>
        </w:rPr>
        <w:t>Qjs=K</w:t>
      </w:r>
      <w:r>
        <w:rPr>
          <w:rFonts w:hint="eastAsia" w:hAnsi="宋体"/>
          <w:sz w:val="28"/>
          <w:szCs w:val="28"/>
        </w:rPr>
        <w:t>∑</w:t>
      </w:r>
      <w:r>
        <w:rPr>
          <w:rFonts w:hAnsi="宋体"/>
          <w:sz w:val="28"/>
          <w:szCs w:val="28"/>
        </w:rPr>
        <w:t>q</w:t>
      </w:r>
      <w:r>
        <w:rPr>
          <w:rFonts w:hint="eastAsia" w:hAnsi="宋体"/>
          <w:sz w:val="28"/>
          <w:szCs w:val="28"/>
        </w:rPr>
        <w:t>∑</w:t>
      </w:r>
      <w:r>
        <w:rPr>
          <w:rFonts w:hAnsi="宋体"/>
          <w:sz w:val="28"/>
          <w:szCs w:val="28"/>
        </w:rPr>
        <w:t>(KxPetg</w:t>
      </w:r>
      <w:r>
        <w:rPr>
          <w:rFonts w:hint="eastAsia" w:hAnsi="宋体"/>
          <w:sz w:val="28"/>
          <w:szCs w:val="28"/>
        </w:rPr>
        <w:t>ф</w:t>
      </w:r>
      <w:r>
        <w:rPr>
          <w:rFonts w:hAnsi="宋体"/>
          <w:sz w:val="28"/>
          <w:szCs w:val="28"/>
        </w:rPr>
        <w:t>) (kvar)  Kx</w:t>
      </w:r>
      <w:r>
        <w:rPr>
          <w:rFonts w:hint="eastAsia" w:hAnsi="宋体"/>
          <w:sz w:val="28"/>
          <w:szCs w:val="28"/>
        </w:rPr>
        <w:t>见下表</w:t>
      </w:r>
      <w:r>
        <w:rPr>
          <w:rFonts w:hAnsi="宋体"/>
          <w:sz w:val="28"/>
          <w:szCs w:val="28"/>
        </w:rPr>
        <w:t xml:space="preserve">     K</w:t>
      </w:r>
      <w:r>
        <w:rPr>
          <w:rFonts w:hint="eastAsia" w:hAnsi="宋体"/>
          <w:sz w:val="28"/>
          <w:szCs w:val="28"/>
        </w:rPr>
        <w:t>∑</w:t>
      </w:r>
      <w:r>
        <w:rPr>
          <w:rFonts w:hAnsi="宋体"/>
          <w:sz w:val="28"/>
          <w:szCs w:val="28"/>
        </w:rPr>
        <w:t>q=0.9</w:t>
      </w:r>
      <w:r>
        <w:rPr>
          <w:rFonts w:hint="eastAsia" w:hAnsi="宋体"/>
          <w:sz w:val="28"/>
          <w:szCs w:val="28"/>
        </w:rPr>
        <w:t>3</w:t>
      </w:r>
    </w:p>
    <w:p>
      <w:pPr>
        <w:jc w:val="left"/>
        <w:rPr>
          <w:rFonts w:hAnsi="宋体"/>
          <w:sz w:val="28"/>
          <w:szCs w:val="28"/>
        </w:rPr>
      </w:pPr>
      <w:r>
        <w:rPr>
          <w:rFonts w:hint="eastAsia" w:hAnsi="宋体"/>
          <w:sz w:val="28"/>
          <w:szCs w:val="28"/>
        </w:rPr>
        <w:t>1</w:t>
      </w:r>
      <w:r>
        <w:rPr>
          <w:rFonts w:hAnsi="宋体"/>
          <w:sz w:val="28"/>
          <w:szCs w:val="28"/>
        </w:rPr>
        <w:t>.2</w:t>
      </w:r>
      <w:r>
        <w:rPr>
          <w:rFonts w:hint="eastAsia" w:hAnsi="宋体"/>
          <w:sz w:val="28"/>
          <w:szCs w:val="28"/>
        </w:rPr>
        <w:t>用电设备的</w:t>
      </w:r>
      <w:r>
        <w:rPr>
          <w:rFonts w:hAnsi="宋体"/>
          <w:sz w:val="28"/>
          <w:szCs w:val="28"/>
        </w:rPr>
        <w:t>Kx</w:t>
      </w:r>
      <w:r>
        <w:rPr>
          <w:rFonts w:hint="eastAsia" w:hAnsi="宋体"/>
          <w:sz w:val="28"/>
          <w:szCs w:val="28"/>
        </w:rPr>
        <w:t>及</w:t>
      </w:r>
      <w:r>
        <w:rPr>
          <w:rFonts w:hAnsi="宋体"/>
          <w:sz w:val="28"/>
          <w:szCs w:val="28"/>
        </w:rPr>
        <w:t>tg</w:t>
      </w:r>
      <w:r>
        <w:rPr>
          <w:rFonts w:hint="eastAsia" w:hAnsi="宋体"/>
          <w:sz w:val="28"/>
          <w:szCs w:val="28"/>
        </w:rPr>
        <w:t>ф</w:t>
      </w:r>
    </w:p>
    <w:p>
      <w:pPr>
        <w:jc w:val="left"/>
        <w:rPr>
          <w:rFonts w:hAnsi="宋体"/>
          <w:sz w:val="28"/>
          <w:szCs w:val="28"/>
        </w:rPr>
      </w:pPr>
      <w:r>
        <w:rPr>
          <w:rFonts w:hint="eastAsia" w:hAnsi="宋体"/>
          <w:sz w:val="28"/>
          <w:szCs w:val="28"/>
        </w:rPr>
        <w:t>根据有关手册及电气设备型式，</w:t>
      </w:r>
      <w:r>
        <w:rPr>
          <w:rFonts w:hAnsi="宋体"/>
          <w:sz w:val="28"/>
          <w:szCs w:val="28"/>
        </w:rPr>
        <w:t>Kx</w:t>
      </w:r>
      <w:r>
        <w:rPr>
          <w:rFonts w:hint="eastAsia" w:hAnsi="宋体"/>
          <w:sz w:val="28"/>
          <w:szCs w:val="28"/>
        </w:rPr>
        <w:t>及</w:t>
      </w:r>
      <w:r>
        <w:rPr>
          <w:rFonts w:hAnsi="宋体"/>
          <w:sz w:val="28"/>
          <w:szCs w:val="28"/>
        </w:rPr>
        <w:t>tg</w:t>
      </w:r>
      <w:r>
        <w:rPr>
          <w:rFonts w:hint="eastAsia" w:hAnsi="宋体"/>
          <w:sz w:val="28"/>
          <w:szCs w:val="28"/>
        </w:rPr>
        <w:t>ф取值如下（见负荷计算结果表说明）：</w:t>
      </w:r>
    </w:p>
    <w:tbl>
      <w:tblPr>
        <w:tblStyle w:val="7"/>
        <w:tblW w:w="53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6"/>
        <w:gridCol w:w="1037"/>
        <w:gridCol w:w="1066"/>
        <w:gridCol w:w="1066"/>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6" w:type="dxa"/>
          </w:tcPr>
          <w:p>
            <w:pPr>
              <w:jc w:val="left"/>
              <w:rPr>
                <w:rFonts w:hAnsi="宋体"/>
                <w:sz w:val="28"/>
                <w:szCs w:val="28"/>
              </w:rPr>
            </w:pPr>
          </w:p>
        </w:tc>
        <w:tc>
          <w:tcPr>
            <w:tcW w:w="1037" w:type="dxa"/>
          </w:tcPr>
          <w:p>
            <w:pPr>
              <w:jc w:val="left"/>
              <w:rPr>
                <w:rFonts w:hAnsi="宋体"/>
                <w:sz w:val="28"/>
                <w:szCs w:val="28"/>
              </w:rPr>
            </w:pPr>
            <w:r>
              <w:rPr>
                <w:rFonts w:hint="eastAsia" w:hAnsi="宋体"/>
                <w:sz w:val="28"/>
                <w:szCs w:val="28"/>
              </w:rPr>
              <w:t>暖通</w:t>
            </w:r>
          </w:p>
        </w:tc>
        <w:tc>
          <w:tcPr>
            <w:tcW w:w="1066" w:type="dxa"/>
          </w:tcPr>
          <w:p>
            <w:pPr>
              <w:jc w:val="left"/>
              <w:rPr>
                <w:rFonts w:hAnsi="宋体"/>
                <w:sz w:val="28"/>
                <w:szCs w:val="28"/>
              </w:rPr>
            </w:pPr>
            <w:r>
              <w:rPr>
                <w:rFonts w:hint="eastAsia" w:hAnsi="宋体"/>
                <w:sz w:val="28"/>
                <w:szCs w:val="28"/>
              </w:rPr>
              <w:t>给排水</w:t>
            </w:r>
          </w:p>
        </w:tc>
        <w:tc>
          <w:tcPr>
            <w:tcW w:w="1066" w:type="dxa"/>
          </w:tcPr>
          <w:p>
            <w:pPr>
              <w:jc w:val="left"/>
              <w:rPr>
                <w:rFonts w:hAnsi="宋体"/>
                <w:sz w:val="28"/>
                <w:szCs w:val="28"/>
              </w:rPr>
            </w:pPr>
            <w:r>
              <w:rPr>
                <w:rFonts w:hint="eastAsia" w:hAnsi="宋体"/>
                <w:sz w:val="28"/>
                <w:szCs w:val="28"/>
              </w:rPr>
              <w:t>热力</w:t>
            </w:r>
          </w:p>
        </w:tc>
        <w:tc>
          <w:tcPr>
            <w:tcW w:w="1066" w:type="dxa"/>
          </w:tcPr>
          <w:p>
            <w:pPr>
              <w:jc w:val="left"/>
              <w:rPr>
                <w:rFonts w:hAnsi="宋体"/>
                <w:sz w:val="28"/>
                <w:szCs w:val="28"/>
              </w:rPr>
            </w:pPr>
            <w:r>
              <w:rPr>
                <w:rFonts w:hint="eastAsia" w:hAnsi="宋体"/>
                <w:sz w:val="28"/>
                <w:szCs w:val="28"/>
              </w:rPr>
              <w:t>照明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6" w:type="dxa"/>
          </w:tcPr>
          <w:p>
            <w:pPr>
              <w:jc w:val="left"/>
              <w:rPr>
                <w:rFonts w:hAnsi="宋体"/>
                <w:sz w:val="28"/>
                <w:szCs w:val="28"/>
              </w:rPr>
            </w:pPr>
            <w:r>
              <w:rPr>
                <w:rFonts w:hAnsi="宋体"/>
                <w:sz w:val="28"/>
                <w:szCs w:val="28"/>
              </w:rPr>
              <w:t>Kx</w:t>
            </w:r>
          </w:p>
        </w:tc>
        <w:tc>
          <w:tcPr>
            <w:tcW w:w="1037" w:type="dxa"/>
          </w:tcPr>
          <w:p>
            <w:pPr>
              <w:jc w:val="left"/>
              <w:rPr>
                <w:rFonts w:hAnsi="宋体"/>
                <w:sz w:val="28"/>
                <w:szCs w:val="28"/>
              </w:rPr>
            </w:pPr>
            <w:r>
              <w:rPr>
                <w:rFonts w:hint="eastAsia" w:hAnsi="宋体"/>
                <w:sz w:val="28"/>
                <w:szCs w:val="28"/>
              </w:rPr>
              <w:t>0.8</w:t>
            </w:r>
          </w:p>
        </w:tc>
        <w:tc>
          <w:tcPr>
            <w:tcW w:w="1066" w:type="dxa"/>
          </w:tcPr>
          <w:p>
            <w:pPr>
              <w:jc w:val="left"/>
              <w:rPr>
                <w:rFonts w:hAnsi="宋体"/>
                <w:sz w:val="28"/>
                <w:szCs w:val="28"/>
              </w:rPr>
            </w:pPr>
            <w:r>
              <w:rPr>
                <w:rFonts w:hint="eastAsia" w:hAnsi="宋体"/>
                <w:sz w:val="28"/>
                <w:szCs w:val="28"/>
              </w:rPr>
              <w:t>0.8</w:t>
            </w:r>
          </w:p>
        </w:tc>
        <w:tc>
          <w:tcPr>
            <w:tcW w:w="1066" w:type="dxa"/>
          </w:tcPr>
          <w:p>
            <w:pPr>
              <w:jc w:val="left"/>
              <w:rPr>
                <w:rFonts w:hAnsi="宋体"/>
                <w:sz w:val="28"/>
                <w:szCs w:val="28"/>
              </w:rPr>
            </w:pPr>
            <w:r>
              <w:rPr>
                <w:rFonts w:hint="eastAsia" w:hAnsi="宋体"/>
                <w:sz w:val="28"/>
                <w:szCs w:val="28"/>
              </w:rPr>
              <w:t>0.8</w:t>
            </w:r>
          </w:p>
        </w:tc>
        <w:tc>
          <w:tcPr>
            <w:tcW w:w="1066" w:type="dxa"/>
          </w:tcPr>
          <w:p>
            <w:pPr>
              <w:jc w:val="left"/>
              <w:rPr>
                <w:rFonts w:hAnsi="宋体"/>
                <w:sz w:val="28"/>
                <w:szCs w:val="28"/>
              </w:rPr>
            </w:pPr>
            <w:r>
              <w:rPr>
                <w:rFonts w:hint="eastAsia" w:hAnsi="宋体"/>
                <w:sz w:val="28"/>
                <w:szCs w:val="28"/>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066" w:type="dxa"/>
          </w:tcPr>
          <w:p>
            <w:pPr>
              <w:jc w:val="left"/>
              <w:rPr>
                <w:rFonts w:hAnsi="宋体"/>
                <w:sz w:val="28"/>
                <w:szCs w:val="28"/>
              </w:rPr>
            </w:pPr>
            <w:r>
              <w:rPr>
                <w:rFonts w:hAnsi="宋体"/>
                <w:sz w:val="28"/>
                <w:szCs w:val="28"/>
              </w:rPr>
              <w:t>tg</w:t>
            </w:r>
            <w:r>
              <w:rPr>
                <w:rFonts w:hint="eastAsia" w:hAnsi="宋体"/>
                <w:sz w:val="28"/>
                <w:szCs w:val="28"/>
              </w:rPr>
              <w:t>ф</w:t>
            </w:r>
          </w:p>
        </w:tc>
        <w:tc>
          <w:tcPr>
            <w:tcW w:w="1037" w:type="dxa"/>
          </w:tcPr>
          <w:p>
            <w:pPr>
              <w:jc w:val="left"/>
              <w:rPr>
                <w:rFonts w:hAnsi="宋体"/>
                <w:sz w:val="28"/>
                <w:szCs w:val="28"/>
              </w:rPr>
            </w:pPr>
            <w:r>
              <w:rPr>
                <w:rFonts w:hAnsi="宋体"/>
                <w:sz w:val="28"/>
                <w:szCs w:val="28"/>
              </w:rPr>
              <w:t>0.</w:t>
            </w:r>
            <w:r>
              <w:rPr>
                <w:rFonts w:hint="eastAsia" w:hAnsi="宋体"/>
                <w:sz w:val="28"/>
                <w:szCs w:val="28"/>
              </w:rPr>
              <w:t>75</w:t>
            </w:r>
          </w:p>
        </w:tc>
        <w:tc>
          <w:tcPr>
            <w:tcW w:w="1066" w:type="dxa"/>
          </w:tcPr>
          <w:p>
            <w:pPr>
              <w:jc w:val="left"/>
              <w:rPr>
                <w:rFonts w:hAnsi="宋体"/>
                <w:sz w:val="28"/>
                <w:szCs w:val="28"/>
              </w:rPr>
            </w:pPr>
            <w:r>
              <w:rPr>
                <w:rFonts w:hint="eastAsia" w:hAnsi="宋体"/>
                <w:sz w:val="28"/>
                <w:szCs w:val="28"/>
              </w:rPr>
              <w:t>0.75</w:t>
            </w:r>
          </w:p>
        </w:tc>
        <w:tc>
          <w:tcPr>
            <w:tcW w:w="1066" w:type="dxa"/>
          </w:tcPr>
          <w:p>
            <w:pPr>
              <w:jc w:val="left"/>
              <w:rPr>
                <w:rFonts w:hAnsi="宋体"/>
                <w:sz w:val="28"/>
                <w:szCs w:val="28"/>
              </w:rPr>
            </w:pPr>
            <w:r>
              <w:rPr>
                <w:rFonts w:hint="eastAsia" w:hAnsi="宋体"/>
                <w:sz w:val="28"/>
                <w:szCs w:val="28"/>
              </w:rPr>
              <w:t>0.75</w:t>
            </w:r>
          </w:p>
        </w:tc>
        <w:tc>
          <w:tcPr>
            <w:tcW w:w="1066" w:type="dxa"/>
          </w:tcPr>
          <w:p>
            <w:pPr>
              <w:jc w:val="left"/>
              <w:rPr>
                <w:rFonts w:hAnsi="宋体"/>
                <w:sz w:val="28"/>
                <w:szCs w:val="28"/>
              </w:rPr>
            </w:pPr>
            <w:r>
              <w:rPr>
                <w:rFonts w:hint="eastAsia" w:hAnsi="宋体"/>
                <w:sz w:val="28"/>
                <w:szCs w:val="28"/>
              </w:rPr>
              <w:t>0.62</w:t>
            </w:r>
          </w:p>
        </w:tc>
      </w:tr>
    </w:tbl>
    <w:p>
      <w:pPr>
        <w:jc w:val="lef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3负荷计算</w:t>
      </w:r>
    </w:p>
    <w:tbl>
      <w:tblPr>
        <w:tblStyle w:val="7"/>
        <w:tblW w:w="14100" w:type="dxa"/>
        <w:tblInd w:w="91" w:type="dxa"/>
        <w:tblLayout w:type="fixed"/>
        <w:tblCellMar>
          <w:top w:w="0" w:type="dxa"/>
          <w:left w:w="108" w:type="dxa"/>
          <w:bottom w:w="0" w:type="dxa"/>
          <w:right w:w="108" w:type="dxa"/>
        </w:tblCellMar>
      </w:tblPr>
      <w:tblGrid>
        <w:gridCol w:w="580"/>
        <w:gridCol w:w="3740"/>
        <w:gridCol w:w="940"/>
        <w:gridCol w:w="1000"/>
        <w:gridCol w:w="620"/>
        <w:gridCol w:w="700"/>
        <w:gridCol w:w="835"/>
        <w:gridCol w:w="1098"/>
        <w:gridCol w:w="967"/>
        <w:gridCol w:w="1740"/>
        <w:gridCol w:w="1880"/>
      </w:tblGrid>
      <w:tr>
        <w:tblPrEx>
          <w:tblLayout w:type="fixed"/>
          <w:tblCellMar>
            <w:top w:w="0" w:type="dxa"/>
            <w:left w:w="108" w:type="dxa"/>
            <w:bottom w:w="0" w:type="dxa"/>
            <w:right w:w="108" w:type="dxa"/>
          </w:tblCellMar>
        </w:tblPrEx>
        <w:trPr>
          <w:trHeight w:val="285" w:hRule="atLeast"/>
        </w:trPr>
        <w:tc>
          <w:tcPr>
            <w:tcW w:w="58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序号</w:t>
            </w:r>
          </w:p>
        </w:tc>
        <w:tc>
          <w:tcPr>
            <w:tcW w:w="374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用电设备名称</w:t>
            </w:r>
          </w:p>
        </w:tc>
        <w:tc>
          <w:tcPr>
            <w:tcW w:w="940"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设备容量</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(kW)</w:t>
            </w:r>
          </w:p>
        </w:tc>
        <w:tc>
          <w:tcPr>
            <w:tcW w:w="1000"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需要系数</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(kd)</w:t>
            </w:r>
          </w:p>
        </w:tc>
        <w:tc>
          <w:tcPr>
            <w:tcW w:w="62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cosφ</w:t>
            </w:r>
          </w:p>
        </w:tc>
        <w:tc>
          <w:tcPr>
            <w:tcW w:w="70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tgφ</w:t>
            </w:r>
          </w:p>
        </w:tc>
        <w:tc>
          <w:tcPr>
            <w:tcW w:w="2900" w:type="dxa"/>
            <w:gridSpan w:val="3"/>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计算负荷</w:t>
            </w:r>
          </w:p>
        </w:tc>
        <w:tc>
          <w:tcPr>
            <w:tcW w:w="1740" w:type="dxa"/>
            <w:vMerge w:val="restart"/>
            <w:tcBorders>
              <w:top w:val="single" w:color="auto" w:sz="8" w:space="0"/>
              <w:left w:val="single" w:color="auto" w:sz="4" w:space="0"/>
              <w:bottom w:val="single" w:color="000000"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变压器台数</w:t>
            </w:r>
          </w:p>
        </w:tc>
        <w:tc>
          <w:tcPr>
            <w:tcW w:w="1880" w:type="dxa"/>
            <w:vMerge w:val="restart"/>
            <w:tcBorders>
              <w:top w:val="single" w:color="auto" w:sz="8" w:space="0"/>
              <w:left w:val="single" w:color="auto" w:sz="4" w:space="0"/>
              <w:bottom w:val="single" w:color="000000" w:sz="4" w:space="0"/>
              <w:right w:val="single" w:color="auto" w:sz="8"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备注负荷率</w:t>
            </w:r>
          </w:p>
        </w:tc>
      </w:tr>
      <w:tr>
        <w:tblPrEx>
          <w:tblLayout w:type="fixed"/>
          <w:tblCellMar>
            <w:top w:w="0" w:type="dxa"/>
            <w:left w:w="108" w:type="dxa"/>
            <w:bottom w:w="0" w:type="dxa"/>
            <w:right w:w="108" w:type="dxa"/>
          </w:tblCellMar>
        </w:tblPrEx>
        <w:trPr>
          <w:trHeight w:val="285" w:hRule="atLeast"/>
        </w:trPr>
        <w:tc>
          <w:tcPr>
            <w:tcW w:w="580"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374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94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00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2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70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835"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Pj(kW)</w:t>
            </w:r>
          </w:p>
        </w:tc>
        <w:tc>
          <w:tcPr>
            <w:tcW w:w="1098"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Qj(kVar)</w:t>
            </w:r>
          </w:p>
        </w:tc>
        <w:tc>
          <w:tcPr>
            <w:tcW w:w="96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Sj(kVA)</w:t>
            </w:r>
          </w:p>
        </w:tc>
        <w:tc>
          <w:tcPr>
            <w:tcW w:w="17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20"/>
                <w:szCs w:val="20"/>
              </w:rPr>
            </w:pPr>
          </w:p>
        </w:tc>
        <w:tc>
          <w:tcPr>
            <w:tcW w:w="1880"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仿宋_GB2312" w:hAnsi="宋体" w:eastAsia="仿宋_GB2312" w:cs="宋体"/>
                <w:kern w:val="0"/>
                <w:sz w:val="20"/>
                <w:szCs w:val="20"/>
              </w:rPr>
            </w:pP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污水处理设备</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35</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35.00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26.25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集中空调</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106</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84.80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63.60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3</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照明1</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120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0.85</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0.62</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96.00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59.52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4</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照明2</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120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0.85</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0.62</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96.00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59.52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厨房设备</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150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120.00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90.00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color w:val="FF0000"/>
                <w:kern w:val="0"/>
                <w:sz w:val="20"/>
                <w:szCs w:val="20"/>
              </w:rPr>
            </w:pPr>
            <w:r>
              <w:rPr>
                <w:rFonts w:hint="eastAsia" w:ascii="仿宋_GB2312" w:hAnsi="宋体" w:eastAsia="仿宋_GB2312" w:cs="宋体"/>
                <w:color w:val="FF0000"/>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生活水泵</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16</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16.00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12.00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7</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汽车修理厂</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50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0.35</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17.50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13.13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加油站用电</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9</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庭院照明(TYX)</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22.50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10</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收费站</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11</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监控室</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12</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应急照明</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13</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水配房</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15</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11.25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14</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消防控制室</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15</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消防动力</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8.00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6.00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16</w:t>
            </w:r>
          </w:p>
        </w:tc>
        <w:tc>
          <w:tcPr>
            <w:tcW w:w="3740"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消防水泵</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105</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105.00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78.75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17</w:t>
            </w:r>
          </w:p>
        </w:tc>
        <w:tc>
          <w:tcPr>
            <w:tcW w:w="3740"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收费站预留</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0.6</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1.32</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26.40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小计</w:t>
            </w:r>
          </w:p>
        </w:tc>
        <w:tc>
          <w:tcPr>
            <w:tcW w:w="3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867</w:t>
            </w:r>
          </w:p>
        </w:tc>
        <w:tc>
          <w:tcPr>
            <w:tcW w:w="10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595.00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445.67 </w:t>
            </w:r>
          </w:p>
        </w:tc>
        <w:tc>
          <w:tcPr>
            <w:tcW w:w="967"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有功同时系数0.65，无功同时系数0.7</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370.00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311.97 </w:t>
            </w:r>
          </w:p>
        </w:tc>
        <w:tc>
          <w:tcPr>
            <w:tcW w:w="96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低压无功补偿至0.92</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154.36 </w:t>
            </w:r>
          </w:p>
        </w:tc>
        <w:tc>
          <w:tcPr>
            <w:tcW w:w="96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总计算负荷</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370.00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157.61 </w:t>
            </w:r>
          </w:p>
        </w:tc>
        <w:tc>
          <w:tcPr>
            <w:tcW w:w="96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402.17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变压器选择容量和台数</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6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500</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1880" w:type="dxa"/>
            <w:tcBorders>
              <w:top w:val="nil"/>
              <w:left w:val="nil"/>
              <w:bottom w:val="single" w:color="auto" w:sz="4" w:space="0"/>
              <w:right w:val="single" w:color="auto" w:sz="8"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0.8282</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变压器损耗：△Pt=0.01S，△Qt=0.05S</w:t>
            </w:r>
          </w:p>
        </w:tc>
        <w:tc>
          <w:tcPr>
            <w:tcW w:w="83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4.02 </w:t>
            </w:r>
          </w:p>
        </w:tc>
        <w:tc>
          <w:tcPr>
            <w:tcW w:w="1098"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20.11 </w:t>
            </w:r>
          </w:p>
        </w:tc>
        <w:tc>
          <w:tcPr>
            <w:tcW w:w="96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8"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变压器高压侧</w:t>
            </w:r>
          </w:p>
        </w:tc>
        <w:tc>
          <w:tcPr>
            <w:tcW w:w="835"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374.02 </w:t>
            </w:r>
          </w:p>
        </w:tc>
        <w:tc>
          <w:tcPr>
            <w:tcW w:w="1098"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177.72 </w:t>
            </w:r>
          </w:p>
        </w:tc>
        <w:tc>
          <w:tcPr>
            <w:tcW w:w="967"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414.1</w:t>
            </w:r>
          </w:p>
        </w:tc>
        <w:tc>
          <w:tcPr>
            <w:tcW w:w="1740"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8"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374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94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00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62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70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835"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098"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967"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74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8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r>
    </w:tbl>
    <w:p>
      <w:pPr>
        <w:jc w:val="left"/>
        <w:rPr>
          <w:rFonts w:hAnsi="宋体"/>
          <w:sz w:val="28"/>
          <w:szCs w:val="28"/>
        </w:rPr>
      </w:pPr>
    </w:p>
    <w:p>
      <w:pPr>
        <w:rPr>
          <w:b/>
          <w:sz w:val="28"/>
          <w:szCs w:val="28"/>
        </w:rPr>
      </w:pPr>
      <w:r>
        <w:rPr>
          <w:rFonts w:hint="eastAsia"/>
          <w:b/>
          <w:sz w:val="28"/>
          <w:szCs w:val="28"/>
        </w:rPr>
        <w:t>二、柴油发电机选型及主要计算公式：</w:t>
      </w:r>
    </w:p>
    <w:p>
      <w:pPr>
        <w:rPr>
          <w:sz w:val="24"/>
          <w:szCs w:val="24"/>
        </w:rPr>
      </w:pPr>
      <w:r>
        <w:rPr>
          <w:rFonts w:hint="eastAsia"/>
          <w:sz w:val="24"/>
          <w:szCs w:val="24"/>
        </w:rPr>
        <w:t>根据《工业与民用设计手册》（第四版）第2.6节应急电源中的柴油发电机选型方法进行计算。</w:t>
      </w:r>
    </w:p>
    <w:p>
      <w:pPr>
        <w:rPr>
          <w:sz w:val="24"/>
          <w:szCs w:val="24"/>
        </w:rPr>
      </w:pPr>
      <w:r>
        <w:rPr>
          <w:rFonts w:hint="eastAsia"/>
          <w:sz w:val="24"/>
          <w:szCs w:val="24"/>
        </w:rPr>
        <w:t>a.按稳定负荷计算发电机组容量</w:t>
      </w:r>
    </w:p>
    <w:p>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c1</m:t>
              </m:r>
              <m:ctrlPr>
                <w:rPr>
                  <w:rFonts w:ascii="Cambria Math" w:hAnsi="Cambria Math"/>
                  <w:sz w:val="24"/>
                  <w:szCs w:val="24"/>
                </w:rPr>
              </m:ctrlPr>
            </m:sub>
          </m:sSub>
          <m:r>
            <m:rPr>
              <m:sty m:val="p"/>
            </m:rPr>
            <w:rPr>
              <w:rFonts w:ascii="Cambria Math" w:hAnsi="Cambria Math"/>
              <w:sz w:val="24"/>
              <w:szCs w:val="24"/>
            </w:rPr>
            <m:t>=α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m:t>
                  </m:r>
                  <m:ctrlPr>
                    <w:rPr>
                      <w:rFonts w:ascii="Cambria Math" w:hAnsi="Cambria Math"/>
                      <w:sz w:val="24"/>
                      <w:szCs w:val="24"/>
                    </w:rPr>
                  </m:ctrlPr>
                </m:sub>
              </m:sSub>
              <m:ctrlPr>
                <w:rPr>
                  <w:rFonts w:ascii="Cambria Math" w:hAnsi="Cambria Math"/>
                  <w:sz w:val="24"/>
                  <w:szCs w:val="24"/>
                </w:rPr>
              </m:ctrlPr>
            </m:num>
            <m:den>
              <m:sSub>
                <m:sSubPr>
                  <m:ctrlPr>
                    <w:rPr>
                      <w:rFonts w:ascii="Cambria Math" w:hAnsi="Cambria Math"/>
                      <w:sz w:val="24"/>
                      <w:szCs w:val="24"/>
                    </w:rPr>
                  </m:ctrlPr>
                </m:sSubPr>
                <m:e>
                  <m:r>
                    <m:rPr>
                      <m:sty m:val="p"/>
                    </m:rPr>
                    <w:rPr>
                      <w:rFonts w:ascii="Cambria Math" w:hAnsi="Cambria Math"/>
                      <w:sz w:val="24"/>
                      <w:szCs w:val="24"/>
                    </w:rPr>
                    <m:t>η</m:t>
                  </m:r>
                  <m:ctrlPr>
                    <w:rPr>
                      <w:rFonts w:ascii="Cambria Math" w:hAnsi="Cambria Math"/>
                      <w:sz w:val="24"/>
                      <w:szCs w:val="24"/>
                    </w:rPr>
                  </m:ctrlPr>
                </m:e>
                <m:sub>
                  <m:r>
                    <m:rPr>
                      <m:sty m:val="p"/>
                    </m:rPr>
                    <w:rPr>
                      <w:rFonts w:ascii="Cambria Math" w:hAnsi="Cambria Math"/>
                      <w:sz w:val="24"/>
                      <w:szCs w:val="24"/>
                    </w:rPr>
                    <m:t>∑</m:t>
                  </m:r>
                  <m:ctrlPr>
                    <w:rPr>
                      <w:rFonts w:ascii="Cambria Math" w:hAnsi="Cambria Math"/>
                      <w:sz w:val="24"/>
                      <w:szCs w:val="24"/>
                    </w:rPr>
                  </m:ctrlPr>
                </m:sub>
              </m:sSub>
              <m:r>
                <m:rPr>
                  <m:sty m:val="p"/>
                </m:rPr>
                <w:rPr>
                  <w:rFonts w:ascii="Cambria Math" w:hAnsi="Cambria Math"/>
                  <w:sz w:val="24"/>
                  <w:szCs w:val="24"/>
                </w:rPr>
                <m:t>cosφ</m:t>
              </m:r>
              <m:ctrlPr>
                <w:rPr>
                  <w:rFonts w:ascii="Cambria Math" w:hAnsi="Cambria Math"/>
                  <w:sz w:val="24"/>
                  <w:szCs w:val="24"/>
                </w:rPr>
              </m:ctrlPr>
            </m:den>
          </m:f>
        </m:oMath>
      </m:oMathPara>
    </w:p>
    <w:p>
      <w:pPr>
        <w:rPr>
          <w:sz w:val="24"/>
          <w:szCs w:val="24"/>
        </w:rPr>
      </w:pPr>
      <w:r>
        <w:rPr>
          <w:rFonts w:hint="eastAsia"/>
          <w:sz w:val="24"/>
          <w:szCs w:val="24"/>
        </w:rPr>
        <w:t xml:space="preserve">式中  </w:t>
      </w:r>
      <m:oMath>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c1</m:t>
            </m:r>
            <m:ctrlPr>
              <w:rPr>
                <w:rFonts w:ascii="Cambria Math" w:hAnsi="Cambria Math"/>
                <w:sz w:val="24"/>
                <w:szCs w:val="24"/>
              </w:rPr>
            </m:ctrlPr>
          </m:sub>
        </m:sSub>
      </m:oMath>
      <w:r>
        <w:rPr>
          <w:rFonts w:hint="eastAsia"/>
          <w:sz w:val="24"/>
          <w:szCs w:val="24"/>
        </w:rPr>
        <w:t>------按稳定负荷计算发电机组的容量，kVA；</w:t>
      </w:r>
    </w:p>
    <w:p>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m:t>
            </m:r>
            <m:ctrlPr>
              <w:rPr>
                <w:rFonts w:ascii="Cambria Math" w:hAnsi="Cambria Math"/>
                <w:sz w:val="24"/>
                <w:szCs w:val="24"/>
              </w:rPr>
            </m:ctrlPr>
          </m:sub>
        </m:sSub>
      </m:oMath>
      <w:r>
        <w:rPr>
          <w:rFonts w:hint="eastAsia"/>
          <w:sz w:val="24"/>
          <w:szCs w:val="24"/>
        </w:rPr>
        <w:t>-------总负荷，kW；</w:t>
      </w:r>
    </w:p>
    <w:p>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η</m:t>
            </m:r>
            <m:ctrlPr>
              <w:rPr>
                <w:rFonts w:ascii="Cambria Math" w:hAnsi="Cambria Math"/>
                <w:sz w:val="24"/>
                <w:szCs w:val="24"/>
              </w:rPr>
            </m:ctrlPr>
          </m:e>
          <m:sub>
            <m:r>
              <m:rPr>
                <m:sty m:val="p"/>
              </m:rPr>
              <w:rPr>
                <w:rFonts w:ascii="Cambria Math" w:hAnsi="Cambria Math"/>
                <w:sz w:val="24"/>
                <w:szCs w:val="24"/>
              </w:rPr>
              <m:t>∑</m:t>
            </m:r>
            <m:ctrlPr>
              <w:rPr>
                <w:rFonts w:ascii="Cambria Math" w:hAnsi="Cambria Math"/>
                <w:sz w:val="24"/>
                <w:szCs w:val="24"/>
              </w:rPr>
            </m:ctrlPr>
          </m:sub>
        </m:sSub>
      </m:oMath>
      <w:r>
        <w:rPr>
          <w:rFonts w:hint="eastAsia"/>
          <w:sz w:val="24"/>
          <w:szCs w:val="24"/>
        </w:rPr>
        <w:t>-------总负荷的计算效率，一般取0.82~0.88，本处取0.85；</w:t>
      </w:r>
    </w:p>
    <w:p>
      <w:pPr>
        <w:rPr>
          <w:sz w:val="24"/>
          <w:szCs w:val="24"/>
        </w:rPr>
      </w:pPr>
      <w:r>
        <w:rPr>
          <w:rFonts w:hint="eastAsia"/>
          <w:sz w:val="24"/>
          <w:szCs w:val="24"/>
        </w:rPr>
        <w:t xml:space="preserve">      </w:t>
      </w:r>
      <m:oMath>
        <m:r>
          <m:rPr>
            <m:sty m:val="p"/>
          </m:rPr>
          <w:rPr>
            <w:rFonts w:ascii="Cambria Math" w:hAnsi="Cambria Math"/>
            <w:sz w:val="24"/>
            <w:szCs w:val="24"/>
          </w:rPr>
          <m:t>α</m:t>
        </m:r>
      </m:oMath>
      <w:r>
        <w:rPr>
          <w:rFonts w:hint="eastAsia"/>
          <w:sz w:val="24"/>
          <w:szCs w:val="24"/>
        </w:rPr>
        <w:t>---------负荷率；</w:t>
      </w:r>
    </w:p>
    <w:p>
      <w:pPr>
        <w:rPr>
          <w:sz w:val="24"/>
          <w:szCs w:val="24"/>
        </w:rPr>
      </w:pPr>
      <w:r>
        <w:rPr>
          <w:rFonts w:hint="eastAsia"/>
          <w:sz w:val="24"/>
          <w:szCs w:val="24"/>
        </w:rPr>
        <w:t xml:space="preserve">      cos</w:t>
      </w:r>
      <m:oMath>
        <m:r>
          <m:rPr>
            <m:sty m:val="p"/>
          </m:rPr>
          <w:rPr>
            <w:rFonts w:ascii="Cambria Math" w:hAnsi="Cambria Math"/>
            <w:sz w:val="24"/>
            <w:szCs w:val="24"/>
          </w:rPr>
          <m:t>φ</m:t>
        </m:r>
      </m:oMath>
      <w:r>
        <w:rPr>
          <w:rFonts w:hint="eastAsia"/>
          <w:sz w:val="24"/>
          <w:szCs w:val="24"/>
        </w:rPr>
        <w:t>-------发电机额定功率因数，可取0.8。</w:t>
      </w:r>
    </w:p>
    <w:p>
      <w:pPr>
        <w:rPr>
          <w:sz w:val="24"/>
          <w:szCs w:val="24"/>
        </w:rPr>
      </w:pPr>
      <w:r>
        <w:rPr>
          <w:rFonts w:hint="eastAsia"/>
          <w:sz w:val="24"/>
          <w:szCs w:val="24"/>
        </w:rPr>
        <w:t>b.按最大的单台电动机或成组电动机启动的需求，计算发电机容量</w:t>
      </w:r>
    </w:p>
    <w:p>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c2</m:t>
              </m:r>
              <m:ctrlPr>
                <w:rPr>
                  <w:rFonts w:ascii="Cambria Math" w:hAnsi="Cambria Math"/>
                  <w:sz w:val="24"/>
                  <w:szCs w:val="24"/>
                </w:rPr>
              </m:ctrlPr>
            </m:sub>
          </m:sSub>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Σ</m:t>
                  </m:r>
                  <m:ctrlPr>
                    <w:rPr>
                      <w:rFonts w:ascii="Cambria Math" w:hAnsi="Cambria Math"/>
                      <w:sz w:val="24"/>
                      <w:szCs w:val="24"/>
                    </w:rPr>
                  </m:ctrlP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m</m:t>
                  </m:r>
                  <m:ctrlPr>
                    <w:rPr>
                      <w:rFonts w:ascii="Cambria Math" w:hAnsi="Cambria Math"/>
                      <w:sz w:val="24"/>
                      <w:szCs w:val="24"/>
                    </w:rPr>
                  </m:ctrlPr>
                </m:sub>
              </m:sSub>
              <m:ctrlPr>
                <w:rPr>
                  <w:rFonts w:ascii="Cambria Math" w:hAnsi="Cambria Math"/>
                  <w:sz w:val="24"/>
                  <w:szCs w:val="24"/>
                </w:rPr>
              </m:ctrlPr>
            </m:num>
            <m:den>
              <m:sSub>
                <m:sSubPr>
                  <m:ctrlPr>
                    <w:rPr>
                      <w:rFonts w:ascii="Cambria Math" w:hAnsi="Cambria Math"/>
                      <w:sz w:val="24"/>
                      <w:szCs w:val="24"/>
                    </w:rPr>
                  </m:ctrlPr>
                </m:sSubPr>
                <m:e>
                  <m:r>
                    <m:rPr>
                      <m:sty m:val="p"/>
                    </m:rPr>
                    <w:rPr>
                      <w:rFonts w:ascii="Cambria Math" w:hAnsi="Cambria Math"/>
                      <w:sz w:val="24"/>
                      <w:szCs w:val="24"/>
                    </w:rPr>
                    <m:t>η</m:t>
                  </m:r>
                  <m:ctrlPr>
                    <w:rPr>
                      <w:rFonts w:ascii="Cambria Math" w:hAnsi="Cambria Math"/>
                      <w:sz w:val="24"/>
                      <w:szCs w:val="24"/>
                    </w:rPr>
                  </m:ctrlPr>
                </m:e>
                <m:sub>
                  <m:r>
                    <m:rPr>
                      <m:sty m:val="p"/>
                    </m:rPr>
                    <w:rPr>
                      <w:rFonts w:ascii="Cambria Math" w:hAnsi="Cambria Math"/>
                      <w:sz w:val="24"/>
                      <w:szCs w:val="24"/>
                    </w:rPr>
                    <m:t>Σ</m:t>
                  </m:r>
                  <m:ctrlPr>
                    <w:rPr>
                      <w:rFonts w:ascii="Cambria Math" w:hAnsi="Cambria Math"/>
                      <w:sz w:val="24"/>
                      <w:szCs w:val="24"/>
                    </w:rPr>
                  </m:ctrlPr>
                </m:sub>
              </m:sSub>
              <m:ctrlPr>
                <w:rPr>
                  <w:rFonts w:ascii="Cambria Math" w:hAnsi="Cambria Math"/>
                  <w:sz w:val="24"/>
                  <w:szCs w:val="24"/>
                </w:rPr>
              </m:ctrlPr>
            </m:den>
          </m:f>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m</m:t>
              </m:r>
              <m:ctrlPr>
                <w:rPr>
                  <w:rFonts w:ascii="Cambria Math" w:hAnsi="Cambria Math"/>
                  <w:sz w:val="24"/>
                  <w:szCs w:val="24"/>
                </w:rPr>
              </m:ctrlPr>
            </m:sub>
          </m:sSub>
          <m:r>
            <m:rPr>
              <m:sty m:val="p"/>
            </m:rPr>
            <w:rPr>
              <w:rFonts w:ascii="Cambria Math" w:hAnsi="Cambria Math"/>
              <w:sz w:val="24"/>
              <w:szCs w:val="24"/>
            </w:rPr>
            <m:t>KCcos</m:t>
          </m:r>
          <m:sSub>
            <m:sSubPr>
              <m:ctrlPr>
                <w:rPr>
                  <w:rFonts w:ascii="Cambria Math" w:hAnsi="Cambria Math"/>
                  <w:sz w:val="24"/>
                  <w:szCs w:val="24"/>
                </w:rPr>
              </m:ctrlPr>
            </m:sSubPr>
            <m:e>
              <m:r>
                <m:rPr>
                  <m:sty m:val="p"/>
                </m:rPr>
                <w:rPr>
                  <w:rFonts w:ascii="Cambria Math" w:hAnsi="Cambria Math"/>
                  <w:sz w:val="24"/>
                  <w:szCs w:val="24"/>
                </w:rPr>
                <m:t>φ</m:t>
              </m:r>
              <m:ctrlPr>
                <w:rPr>
                  <w:rFonts w:ascii="Cambria Math" w:hAnsi="Cambria Math"/>
                  <w:sz w:val="24"/>
                  <w:szCs w:val="24"/>
                </w:rPr>
              </m:ctrlPr>
            </m:e>
            <m:sub>
              <m:r>
                <m:rPr>
                  <m:sty m:val="p"/>
                </m:rPr>
                <w:rPr>
                  <w:rFonts w:ascii="Cambria Math" w:hAnsi="Cambria Math"/>
                  <w:sz w:val="24"/>
                  <w:szCs w:val="24"/>
                </w:rPr>
                <m:t>m</m:t>
              </m:r>
              <m:ctrlPr>
                <w:rPr>
                  <w:rFonts w:ascii="Cambria Math" w:hAnsi="Cambria Math"/>
                  <w:sz w:val="24"/>
                  <w:szCs w:val="24"/>
                </w:rPr>
              </m:ctrlPr>
            </m:sub>
          </m:sSub>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ctrlPr>
                <w:rPr>
                  <w:rFonts w:ascii="Cambria Math" w:hAnsi="Cambria Math"/>
                  <w:sz w:val="24"/>
                  <w:szCs w:val="24"/>
                </w:rPr>
              </m:ctrlPr>
            </m:num>
            <m:den>
              <m:r>
                <m:rPr>
                  <m:sty m:val="p"/>
                </m:rPr>
                <w:rPr>
                  <w:rFonts w:ascii="Cambria Math" w:hAnsi="Cambria Math"/>
                  <w:sz w:val="24"/>
                  <w:szCs w:val="24"/>
                </w:rPr>
                <m:t>cosφ</m:t>
              </m:r>
              <m:ctrlPr>
                <w:rPr>
                  <w:rFonts w:ascii="Cambria Math" w:hAnsi="Cambria Math"/>
                  <w:sz w:val="24"/>
                  <w:szCs w:val="24"/>
                </w:rPr>
              </m:ctrlPr>
            </m:den>
          </m:f>
        </m:oMath>
      </m:oMathPara>
    </w:p>
    <w:p>
      <w:pPr>
        <w:rPr>
          <w:sz w:val="24"/>
          <w:szCs w:val="24"/>
        </w:rPr>
      </w:pPr>
      <w:r>
        <w:rPr>
          <w:rFonts w:hint="eastAsia"/>
          <w:sz w:val="24"/>
          <w:szCs w:val="24"/>
        </w:rPr>
        <w:t xml:space="preserve">式中  </w:t>
      </w:r>
      <m:oMath>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c2</m:t>
            </m:r>
            <m:ctrlPr>
              <w:rPr>
                <w:rFonts w:ascii="Cambria Math" w:hAnsi="Cambria Math"/>
                <w:sz w:val="24"/>
                <w:szCs w:val="24"/>
              </w:rPr>
            </m:ctrlPr>
          </m:sub>
        </m:sSub>
      </m:oMath>
      <w:r>
        <w:rPr>
          <w:rFonts w:hint="eastAsia"/>
          <w:sz w:val="24"/>
          <w:szCs w:val="24"/>
        </w:rPr>
        <w:t>------按最大的单台电动机或成组电动机启动计算发电机组的容量，kVA；</w:t>
      </w:r>
    </w:p>
    <w:p>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m</m:t>
            </m:r>
            <m:ctrlPr>
              <w:rPr>
                <w:rFonts w:ascii="Cambria Math" w:hAnsi="Cambria Math"/>
                <w:sz w:val="24"/>
                <w:szCs w:val="24"/>
              </w:rPr>
            </m:ctrlPr>
          </m:sub>
        </m:sSub>
      </m:oMath>
      <w:r>
        <w:rPr>
          <w:rFonts w:hint="eastAsia"/>
          <w:sz w:val="24"/>
          <w:szCs w:val="24"/>
        </w:rPr>
        <w:t>-------启动容量最大的电动机或成组电动机的容量，kW；</w:t>
      </w:r>
    </w:p>
    <w:p>
      <w:pPr>
        <w:rPr>
          <w:sz w:val="24"/>
          <w:szCs w:val="24"/>
        </w:rPr>
      </w:pPr>
      <w:r>
        <w:rPr>
          <w:rFonts w:hint="eastAsia"/>
          <w:sz w:val="24"/>
          <w:szCs w:val="24"/>
        </w:rPr>
        <w:t xml:space="preserve">      cos</w:t>
      </w:r>
      <m:oMath>
        <m:sSub>
          <m:sSubPr>
            <m:ctrlPr>
              <w:rPr>
                <w:rFonts w:ascii="Cambria Math" w:hAnsi="Cambria Math"/>
                <w:sz w:val="24"/>
                <w:szCs w:val="24"/>
              </w:rPr>
            </m:ctrlPr>
          </m:sSubPr>
          <m:e>
            <m:r>
              <m:rPr>
                <m:sty m:val="p"/>
              </m:rPr>
              <w:rPr>
                <w:rFonts w:ascii="Cambria Math" w:hAnsi="Cambria Math"/>
                <w:sz w:val="24"/>
                <w:szCs w:val="24"/>
              </w:rPr>
              <m:t>φ</m:t>
            </m:r>
            <m:ctrlPr>
              <w:rPr>
                <w:rFonts w:ascii="Cambria Math" w:hAnsi="Cambria Math"/>
                <w:sz w:val="24"/>
                <w:szCs w:val="24"/>
              </w:rPr>
            </m:ctrlPr>
          </m:e>
          <m:sub>
            <m:r>
              <m:rPr>
                <m:sty m:val="p"/>
              </m:rPr>
              <w:rPr>
                <w:rFonts w:ascii="Cambria Math" w:hAnsi="Cambria Math"/>
                <w:sz w:val="24"/>
                <w:szCs w:val="24"/>
              </w:rPr>
              <m:t>m</m:t>
            </m:r>
            <m:ctrlPr>
              <w:rPr>
                <w:rFonts w:ascii="Cambria Math" w:hAnsi="Cambria Math"/>
                <w:sz w:val="24"/>
                <w:szCs w:val="24"/>
              </w:rPr>
            </m:ctrlPr>
          </m:sub>
        </m:sSub>
      </m:oMath>
      <w:r>
        <w:rPr>
          <w:rFonts w:hint="eastAsia"/>
          <w:sz w:val="24"/>
          <w:szCs w:val="24"/>
        </w:rPr>
        <w:t>------电动机的启动功率因数，一般取0.4；</w:t>
      </w:r>
    </w:p>
    <w:p>
      <w:pPr>
        <w:rPr>
          <w:sz w:val="24"/>
          <w:szCs w:val="24"/>
        </w:rPr>
      </w:pPr>
      <w:r>
        <w:rPr>
          <w:rFonts w:hint="eastAsia"/>
          <w:sz w:val="24"/>
          <w:szCs w:val="24"/>
        </w:rPr>
        <w:t xml:space="preserve">      K------电动机的启动倍数；</w:t>
      </w:r>
    </w:p>
    <w:p>
      <w:pPr>
        <w:rPr>
          <w:sz w:val="24"/>
          <w:szCs w:val="24"/>
        </w:rPr>
      </w:pPr>
      <w:r>
        <w:rPr>
          <w:rFonts w:hint="eastAsia"/>
          <w:sz w:val="24"/>
          <w:szCs w:val="24"/>
        </w:rPr>
        <w:t xml:space="preserve">      C------按电动机启动方式确定的系数，全电压启动：C=1.0；Y-</w:t>
      </w:r>
      <m:oMath>
        <m:r>
          <m:rPr>
            <m:sty m:val="p"/>
          </m:rPr>
          <w:rPr>
            <w:rFonts w:ascii="Cambria Math" w:hAnsi="Cambria Math"/>
            <w:sz w:val="24"/>
            <w:szCs w:val="24"/>
          </w:rPr>
          <m:t>Δ</m:t>
        </m:r>
      </m:oMath>
      <w:r>
        <w:rPr>
          <w:rFonts w:hint="eastAsia"/>
          <w:sz w:val="24"/>
          <w:szCs w:val="24"/>
        </w:rPr>
        <w:t>启动：C=0.67；自耦变压器启动：50%抽头C=0.25；65%抽头C=0.42；80%抽头C=0.64。</w:t>
      </w:r>
    </w:p>
    <w:p>
      <w:pPr>
        <w:rPr>
          <w:sz w:val="24"/>
          <w:szCs w:val="24"/>
        </w:rPr>
      </w:pPr>
      <w:r>
        <w:rPr>
          <w:rFonts w:hint="eastAsia"/>
          <w:sz w:val="24"/>
          <w:szCs w:val="24"/>
        </w:rPr>
        <w:t>c.按启动电动机时母线容许电压降计算发电机容量</w:t>
      </w:r>
    </w:p>
    <w:p>
      <w:pPr>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c3</m:t>
              </m:r>
              <m:ctrlPr>
                <w:rPr>
                  <w:rFonts w:ascii="Cambria Math" w:hAnsi="Cambria Math"/>
                  <w:sz w:val="24"/>
                  <w:szCs w:val="24"/>
                </w:rPr>
              </m:ctrlP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n</m:t>
              </m:r>
              <m:ctrlPr>
                <w:rPr>
                  <w:rFonts w:ascii="Cambria Math" w:hAnsi="Cambria Math"/>
                  <w:sz w:val="24"/>
                  <w:szCs w:val="24"/>
                </w:rPr>
              </m:ctrlPr>
            </m:sub>
          </m:sSub>
          <m:r>
            <m:rPr>
              <m:sty m:val="p"/>
            </m:rPr>
            <w:rPr>
              <w:rFonts w:ascii="Cambria Math" w:hAnsi="Cambria Math"/>
              <w:sz w:val="24"/>
              <w:szCs w:val="24"/>
            </w:rPr>
            <m:t>KC</m:t>
          </m:r>
          <m:sSubSup>
            <m:sSubSupPr>
              <m:ctrlPr>
                <w:rPr>
                  <w:rFonts w:ascii="Cambria Math" w:hAnsi="Cambria Math"/>
                  <w:sz w:val="24"/>
                  <w:szCs w:val="24"/>
                </w:rPr>
              </m:ctrlPr>
            </m:sSubSupPr>
            <m:e>
              <m:r>
                <m:rPr>
                  <m:sty m:val="p"/>
                </m:rPr>
                <w:rPr>
                  <w:rFonts w:ascii="Cambria Math" w:hAnsi="Cambria Math"/>
                  <w:sz w:val="24"/>
                  <w:szCs w:val="24"/>
                </w:rPr>
                <m:t>X</m:t>
              </m:r>
              <m:ctrlPr>
                <w:rPr>
                  <w:rFonts w:ascii="Cambria Math" w:hAnsi="Cambria Math"/>
                  <w:sz w:val="24"/>
                  <w:szCs w:val="24"/>
                </w:rPr>
              </m:ctrlPr>
            </m:e>
            <m:sub>
              <m:r>
                <m:rPr>
                  <m:sty m:val="p"/>
                </m:rPr>
                <w:rPr>
                  <w:rFonts w:ascii="Cambria Math" w:hAnsi="Cambria Math"/>
                  <w:sz w:val="24"/>
                  <w:szCs w:val="24"/>
                </w:rPr>
                <m:t>d</m:t>
              </m:r>
              <m:ctrlPr>
                <w:rPr>
                  <w:rFonts w:ascii="Cambria Math" w:hAnsi="Cambria Math"/>
                  <w:sz w:val="24"/>
                  <w:szCs w:val="24"/>
                </w:rPr>
              </m:ctrlPr>
            </m:sub>
            <m:sup>
              <m:r>
                <m:rPr>
                  <m:sty m:val="p"/>
                </m:rPr>
                <w:rPr>
                  <w:rFonts w:ascii="Cambria Math" w:hAnsi="Cambria Math"/>
                  <w:sz w:val="24"/>
                  <w:szCs w:val="24"/>
                </w:rPr>
                <m:t>''</m:t>
              </m:r>
              <m:ctrlPr>
                <w:rPr>
                  <w:rFonts w:ascii="Cambria Math" w:hAnsi="Cambria Math"/>
                  <w:sz w:val="24"/>
                  <w:szCs w:val="24"/>
                </w:rPr>
              </m:ctrlPr>
            </m:sup>
          </m:sSubSup>
          <m:r>
            <m:rPr>
              <m:sty m:val="p"/>
            </m:rP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1</m:t>
              </m:r>
              <m:ctrlPr>
                <w:rPr>
                  <w:rFonts w:ascii="Cambria Math" w:hAnsi="Cambria Math"/>
                  <w:sz w:val="24"/>
                  <w:szCs w:val="24"/>
                </w:rPr>
              </m:ctrlPr>
            </m:num>
            <m:den>
              <m:r>
                <m:rPr>
                  <m:sty m:val="p"/>
                </m:rPr>
                <w:rPr>
                  <w:rFonts w:ascii="Cambria Math" w:hAnsi="Cambria Math"/>
                  <w:sz w:val="24"/>
                  <w:szCs w:val="24"/>
                </w:rPr>
                <m:t>ΔΕ</m:t>
              </m:r>
              <m:ctrlPr>
                <w:rPr>
                  <w:rFonts w:ascii="Cambria Math" w:hAnsi="Cambria Math"/>
                  <w:sz w:val="24"/>
                  <w:szCs w:val="24"/>
                </w:rPr>
              </m:ctrlPr>
            </m:den>
          </m:f>
          <m:r>
            <m:rPr>
              <m:sty m:val="p"/>
            </m:rPr>
            <w:rPr>
              <w:rFonts w:ascii="Cambria Math" w:hAnsi="Cambria Math"/>
              <w:sz w:val="24"/>
              <w:szCs w:val="24"/>
            </w:rPr>
            <m:t>-1)</m:t>
          </m:r>
        </m:oMath>
      </m:oMathPara>
    </w:p>
    <w:p>
      <w:pPr>
        <w:rPr>
          <w:sz w:val="24"/>
          <w:szCs w:val="24"/>
        </w:rPr>
      </w:pPr>
      <w:r>
        <w:rPr>
          <w:rFonts w:hint="eastAsia"/>
          <w:sz w:val="24"/>
          <w:szCs w:val="24"/>
        </w:rPr>
        <w:t xml:space="preserve">式中  </w:t>
      </w:r>
      <m:oMath>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c3</m:t>
            </m:r>
            <m:ctrlPr>
              <w:rPr>
                <w:rFonts w:ascii="Cambria Math" w:hAnsi="Cambria Math"/>
                <w:sz w:val="24"/>
                <w:szCs w:val="24"/>
              </w:rPr>
            </m:ctrlPr>
          </m:sub>
        </m:sSub>
      </m:oMath>
      <w:r>
        <w:rPr>
          <w:rFonts w:hint="eastAsia"/>
          <w:sz w:val="24"/>
          <w:szCs w:val="24"/>
        </w:rPr>
        <w:t>------按启动电动机时母线容许电压降计算发电机容量，kVA。</w:t>
      </w:r>
    </w:p>
    <w:p>
      <w:pPr>
        <w:rPr>
          <w:sz w:val="24"/>
          <w:szCs w:val="24"/>
        </w:rPr>
      </w:pPr>
      <w:r>
        <w:rPr>
          <w:rFonts w:hint="eastAsia"/>
          <w:sz w:val="24"/>
          <w:szCs w:val="24"/>
        </w:rPr>
        <w:t xml:space="preserve">      </w:t>
      </w:r>
      <m:oMath>
        <m:sSub>
          <m:sSubPr>
            <m:ctrlPr>
              <w:rPr>
                <w:rFonts w:ascii="Cambria Math" w:hAnsi="Cambria Math"/>
                <w:sz w:val="24"/>
                <w:szCs w:val="24"/>
              </w:rPr>
            </m:ctrlPr>
          </m:sSubPr>
          <m:e>
            <m:r>
              <m:rPr>
                <m:sty m:val="p"/>
              </m:rPr>
              <w:rPr>
                <w:rFonts w:ascii="Cambria Math" w:hAnsi="Cambria Math"/>
                <w:sz w:val="24"/>
                <w:szCs w:val="24"/>
              </w:rPr>
              <m:t>P</m:t>
            </m:r>
            <m:ctrlPr>
              <w:rPr>
                <w:rFonts w:ascii="Cambria Math" w:hAnsi="Cambria Math"/>
                <w:sz w:val="24"/>
                <w:szCs w:val="24"/>
              </w:rPr>
            </m:ctrlPr>
          </m:e>
          <m:sub>
            <m:r>
              <m:rPr>
                <m:sty m:val="p"/>
              </m:rPr>
              <w:rPr>
                <w:rFonts w:ascii="Cambria Math" w:hAnsi="Cambria Math"/>
                <w:sz w:val="24"/>
                <w:szCs w:val="24"/>
              </w:rPr>
              <m:t>n</m:t>
            </m:r>
            <m:ctrlPr>
              <w:rPr>
                <w:rFonts w:ascii="Cambria Math" w:hAnsi="Cambria Math"/>
                <w:sz w:val="24"/>
                <w:szCs w:val="24"/>
              </w:rPr>
            </m:ctrlPr>
          </m:sub>
        </m:sSub>
      </m:oMath>
      <w:r>
        <w:rPr>
          <w:rFonts w:hint="eastAsia"/>
          <w:sz w:val="24"/>
          <w:szCs w:val="24"/>
        </w:rPr>
        <w:t>-------导致发电机最大电压降的电动机额定容量，kW；</w:t>
      </w:r>
    </w:p>
    <w:p>
      <w:pPr>
        <w:rPr>
          <w:sz w:val="24"/>
          <w:szCs w:val="24"/>
        </w:rPr>
      </w:pPr>
      <w:r>
        <w:rPr>
          <w:rFonts w:hint="eastAsia"/>
          <w:sz w:val="24"/>
          <w:szCs w:val="24"/>
        </w:rPr>
        <w:t xml:space="preserve">      </w:t>
      </w:r>
      <m:oMath>
        <m:sSubSup>
          <m:sSubSupPr>
            <m:ctrlPr>
              <w:rPr>
                <w:rFonts w:ascii="Cambria Math" w:hAnsi="Cambria Math"/>
                <w:sz w:val="24"/>
                <w:szCs w:val="24"/>
              </w:rPr>
            </m:ctrlPr>
          </m:sSubSupPr>
          <m:e>
            <m:r>
              <m:rPr>
                <m:sty m:val="p"/>
              </m:rPr>
              <w:rPr>
                <w:rFonts w:ascii="Cambria Math" w:hAnsi="Cambria Math"/>
                <w:sz w:val="24"/>
                <w:szCs w:val="24"/>
              </w:rPr>
              <m:t>X</m:t>
            </m:r>
            <m:ctrlPr>
              <w:rPr>
                <w:rFonts w:ascii="Cambria Math" w:hAnsi="Cambria Math"/>
                <w:sz w:val="24"/>
                <w:szCs w:val="24"/>
              </w:rPr>
            </m:ctrlPr>
          </m:e>
          <m:sub>
            <m:r>
              <m:rPr>
                <m:sty m:val="p"/>
              </m:rPr>
              <w:rPr>
                <w:rFonts w:ascii="Cambria Math" w:hAnsi="Cambria Math"/>
                <w:sz w:val="24"/>
                <w:szCs w:val="24"/>
              </w:rPr>
              <m:t>d</m:t>
            </m:r>
            <m:ctrlPr>
              <w:rPr>
                <w:rFonts w:ascii="Cambria Math" w:hAnsi="Cambria Math"/>
                <w:sz w:val="24"/>
                <w:szCs w:val="24"/>
              </w:rPr>
            </m:ctrlPr>
          </m:sub>
          <m:sup>
            <m:r>
              <m:rPr>
                <m:sty m:val="p"/>
              </m:rPr>
              <w:rPr>
                <w:rFonts w:ascii="Cambria Math" w:hAnsi="Cambria Math"/>
                <w:sz w:val="24"/>
                <w:szCs w:val="24"/>
              </w:rPr>
              <m:t>"</m:t>
            </m:r>
            <m:ctrlPr>
              <w:rPr>
                <w:rFonts w:ascii="Cambria Math" w:hAnsi="Cambria Math"/>
                <w:sz w:val="24"/>
                <w:szCs w:val="24"/>
              </w:rPr>
            </m:ctrlPr>
          </m:sup>
        </m:sSubSup>
      </m:oMath>
      <w:r>
        <w:rPr>
          <w:rFonts w:hint="eastAsia"/>
          <w:sz w:val="24"/>
          <w:szCs w:val="24"/>
        </w:rPr>
        <w:t>------电动机的暂态电抗，一般取0.25；</w:t>
      </w:r>
    </w:p>
    <w:p>
      <w:pPr>
        <w:rPr>
          <w:sz w:val="24"/>
          <w:szCs w:val="24"/>
        </w:rPr>
      </w:pPr>
      <w:r>
        <w:rPr>
          <w:rFonts w:hint="eastAsia"/>
          <w:sz w:val="24"/>
          <w:szCs w:val="24"/>
        </w:rPr>
        <w:t xml:space="preserve">    </w:t>
      </w:r>
      <m:oMath>
        <m:r>
          <m:rPr>
            <m:sty m:val="p"/>
          </m:rPr>
          <w:rPr>
            <w:rFonts w:ascii="Cambria Math" w:hAnsi="Cambria Math"/>
            <w:sz w:val="24"/>
            <w:szCs w:val="24"/>
          </w:rPr>
          <m:t>ΔΕ</m:t>
        </m:r>
      </m:oMath>
      <w:r>
        <w:rPr>
          <w:rFonts w:hint="eastAsia"/>
          <w:sz w:val="24"/>
          <w:szCs w:val="24"/>
        </w:rPr>
        <w:t>------应急负荷中心母线允许的瞬时电压降，一般</w:t>
      </w:r>
      <m:oMath>
        <m:r>
          <m:rPr>
            <m:sty m:val="p"/>
          </m:rPr>
          <w:rPr>
            <w:rFonts w:ascii="Cambria Math" w:hAnsi="Cambria Math"/>
            <w:sz w:val="24"/>
            <w:szCs w:val="24"/>
          </w:rPr>
          <m:t>ΔΕ</m:t>
        </m:r>
      </m:oMath>
      <w:r>
        <w:rPr>
          <w:rFonts w:hint="eastAsia"/>
          <w:sz w:val="24"/>
          <w:szCs w:val="24"/>
        </w:rPr>
        <w:t>取0.25~0.3（有电梯时取0.2）。</w:t>
      </w:r>
    </w:p>
    <w:p>
      <w:pPr>
        <w:ind w:firstLine="465"/>
        <w:rPr>
          <w:rFonts w:hint="eastAsia"/>
          <w:sz w:val="24"/>
          <w:szCs w:val="24"/>
        </w:rPr>
      </w:pPr>
      <w:r>
        <w:rPr>
          <w:rFonts w:hint="eastAsia"/>
          <w:sz w:val="24"/>
          <w:szCs w:val="24"/>
        </w:rPr>
        <w:t>根据</w:t>
      </w:r>
      <m:oMath>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c1</m:t>
            </m:r>
            <m:ctrlPr>
              <w:rPr>
                <w:rFonts w:ascii="Cambria Math" w:hAnsi="Cambria Math"/>
                <w:sz w:val="24"/>
                <w:szCs w:val="24"/>
              </w:rPr>
            </m:ctrlP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c2</m:t>
            </m:r>
            <m:ctrlPr>
              <w:rPr>
                <w:rFonts w:ascii="Cambria Math" w:hAnsi="Cambria Math"/>
                <w:sz w:val="24"/>
                <w:szCs w:val="24"/>
              </w:rPr>
            </m:ctrlPr>
          </m:sub>
        </m:sSub>
        <m:sSub>
          <m:sSubPr>
            <m:ctrlPr>
              <w:rPr>
                <w:rFonts w:ascii="Cambria Math" w:hAnsi="Cambria Math"/>
                <w:sz w:val="24"/>
                <w:szCs w:val="24"/>
              </w:rPr>
            </m:ctrlPr>
          </m:sSubPr>
          <m:e>
            <m:r>
              <m:rPr>
                <m:sty m:val="p"/>
              </m:rPr>
              <w:rPr>
                <w:rFonts w:ascii="Cambria Math" w:hAnsi="Cambria Math"/>
                <w:sz w:val="24"/>
                <w:szCs w:val="24"/>
              </w:rPr>
              <m:t>、S</m:t>
            </m:r>
            <m:ctrlPr>
              <w:rPr>
                <w:rFonts w:ascii="Cambria Math" w:hAnsi="Cambria Math"/>
                <w:sz w:val="24"/>
                <w:szCs w:val="24"/>
              </w:rPr>
            </m:ctrlPr>
          </m:e>
          <m:sub>
            <m:r>
              <m:rPr>
                <m:sty m:val="p"/>
              </m:rPr>
              <w:rPr>
                <w:rFonts w:ascii="Cambria Math" w:hAnsi="Cambria Math"/>
                <w:sz w:val="24"/>
                <w:szCs w:val="24"/>
              </w:rPr>
              <m:t>c3</m:t>
            </m:r>
            <m:ctrlPr>
              <w:rPr>
                <w:rFonts w:ascii="Cambria Math" w:hAnsi="Cambria Math"/>
                <w:sz w:val="24"/>
                <w:szCs w:val="24"/>
              </w:rPr>
            </m:ctrlPr>
          </m:sub>
        </m:sSub>
      </m:oMath>
      <w:r>
        <w:rPr>
          <w:rFonts w:hint="eastAsia"/>
          <w:sz w:val="24"/>
          <w:szCs w:val="24"/>
        </w:rPr>
        <w:t>中的最大值确定柴油发电机的容量，相关计算参数、计算结果及最终选择容量见柴油发电机选型计算表。</w:t>
      </w:r>
    </w:p>
    <w:tbl>
      <w:tblPr>
        <w:tblStyle w:val="7"/>
        <w:tblW w:w="14176" w:type="dxa"/>
        <w:tblInd w:w="91" w:type="dxa"/>
        <w:tblLayout w:type="fixed"/>
        <w:tblCellMar>
          <w:top w:w="0" w:type="dxa"/>
          <w:left w:w="108" w:type="dxa"/>
          <w:bottom w:w="0" w:type="dxa"/>
          <w:right w:w="108" w:type="dxa"/>
        </w:tblCellMar>
      </w:tblPr>
      <w:tblGrid>
        <w:gridCol w:w="580"/>
        <w:gridCol w:w="2768"/>
        <w:gridCol w:w="1425"/>
        <w:gridCol w:w="1487"/>
        <w:gridCol w:w="620"/>
        <w:gridCol w:w="700"/>
        <w:gridCol w:w="980"/>
        <w:gridCol w:w="1016"/>
        <w:gridCol w:w="980"/>
        <w:gridCol w:w="1740"/>
        <w:gridCol w:w="1880"/>
      </w:tblGrid>
      <w:tr>
        <w:tblPrEx>
          <w:tblLayout w:type="fixed"/>
          <w:tblCellMar>
            <w:top w:w="0" w:type="dxa"/>
            <w:left w:w="108" w:type="dxa"/>
            <w:bottom w:w="0" w:type="dxa"/>
            <w:right w:w="108" w:type="dxa"/>
          </w:tblCellMar>
        </w:tblPrEx>
        <w:trPr>
          <w:trHeight w:val="285" w:hRule="atLeast"/>
        </w:trPr>
        <w:tc>
          <w:tcPr>
            <w:tcW w:w="5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5680" w:type="dxa"/>
            <w:gridSpan w:val="3"/>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发电机负荷计算表1（停电负荷时稳定负荷）</w:t>
            </w:r>
          </w:p>
        </w:tc>
        <w:tc>
          <w:tcPr>
            <w:tcW w:w="62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70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9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016"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9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74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8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r>
      <w:tr>
        <w:tblPrEx>
          <w:tblLayout w:type="fixed"/>
          <w:tblCellMar>
            <w:top w:w="0" w:type="dxa"/>
            <w:left w:w="108" w:type="dxa"/>
            <w:bottom w:w="0" w:type="dxa"/>
            <w:right w:w="108" w:type="dxa"/>
          </w:tblCellMar>
        </w:tblPrEx>
        <w:trPr>
          <w:trHeight w:val="285" w:hRule="atLeast"/>
        </w:trPr>
        <w:tc>
          <w:tcPr>
            <w:tcW w:w="58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序号</w:t>
            </w:r>
          </w:p>
        </w:tc>
        <w:tc>
          <w:tcPr>
            <w:tcW w:w="2768"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用电设备名称</w:t>
            </w:r>
          </w:p>
        </w:tc>
        <w:tc>
          <w:tcPr>
            <w:tcW w:w="142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设备容量</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(kW)</w:t>
            </w:r>
          </w:p>
        </w:tc>
        <w:tc>
          <w:tcPr>
            <w:tcW w:w="1487"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需要系数</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(kd)</w:t>
            </w:r>
          </w:p>
        </w:tc>
        <w:tc>
          <w:tcPr>
            <w:tcW w:w="62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cosφ</w:t>
            </w:r>
          </w:p>
        </w:tc>
        <w:tc>
          <w:tcPr>
            <w:tcW w:w="70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tgφ</w:t>
            </w:r>
          </w:p>
        </w:tc>
        <w:tc>
          <w:tcPr>
            <w:tcW w:w="2976" w:type="dxa"/>
            <w:gridSpan w:val="3"/>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计算负荷</w:t>
            </w:r>
          </w:p>
        </w:tc>
        <w:tc>
          <w:tcPr>
            <w:tcW w:w="1740" w:type="dxa"/>
            <w:vMerge w:val="restart"/>
            <w:tcBorders>
              <w:top w:val="single" w:color="auto" w:sz="8" w:space="0"/>
              <w:left w:val="single" w:color="auto" w:sz="4" w:space="0"/>
              <w:bottom w:val="single" w:color="000000"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发电机功率（kW）</w:t>
            </w:r>
          </w:p>
        </w:tc>
        <w:tc>
          <w:tcPr>
            <w:tcW w:w="1880" w:type="dxa"/>
            <w:vMerge w:val="restart"/>
            <w:tcBorders>
              <w:top w:val="single" w:color="auto" w:sz="8" w:space="0"/>
              <w:left w:val="single" w:color="auto" w:sz="4" w:space="0"/>
              <w:bottom w:val="single" w:color="000000" w:sz="4" w:space="0"/>
              <w:right w:val="single" w:color="auto" w:sz="8"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备注</w:t>
            </w:r>
          </w:p>
        </w:tc>
      </w:tr>
      <w:tr>
        <w:tblPrEx>
          <w:tblLayout w:type="fixed"/>
          <w:tblCellMar>
            <w:top w:w="0" w:type="dxa"/>
            <w:left w:w="108" w:type="dxa"/>
            <w:bottom w:w="0" w:type="dxa"/>
            <w:right w:w="108" w:type="dxa"/>
          </w:tblCellMar>
        </w:tblPrEx>
        <w:trPr>
          <w:trHeight w:val="285" w:hRule="atLeast"/>
        </w:trPr>
        <w:tc>
          <w:tcPr>
            <w:tcW w:w="580"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768"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425"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487"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2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70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980"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Pj(kW)</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Qj(kVar)</w:t>
            </w:r>
          </w:p>
        </w:tc>
        <w:tc>
          <w:tcPr>
            <w:tcW w:w="980"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Sj(kVA)</w:t>
            </w:r>
          </w:p>
        </w:tc>
        <w:tc>
          <w:tcPr>
            <w:tcW w:w="17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20"/>
                <w:szCs w:val="20"/>
              </w:rPr>
            </w:pPr>
          </w:p>
        </w:tc>
        <w:tc>
          <w:tcPr>
            <w:tcW w:w="1880"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仿宋_GB2312" w:hAnsi="宋体" w:eastAsia="仿宋_GB2312" w:cs="宋体"/>
                <w:kern w:val="0"/>
                <w:sz w:val="20"/>
                <w:szCs w:val="20"/>
              </w:rPr>
            </w:pP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厨房设备</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150</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120.00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90.00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生活水泵</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16</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12.80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9.60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3</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监控室</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4</w:t>
            </w:r>
          </w:p>
        </w:tc>
        <w:tc>
          <w:tcPr>
            <w:tcW w:w="2768" w:type="dxa"/>
            <w:tcBorders>
              <w:top w:val="nil"/>
              <w:left w:val="nil"/>
              <w:bottom w:val="single" w:color="auto" w:sz="4" w:space="0"/>
              <w:right w:val="single" w:color="auto" w:sz="4" w:space="0"/>
            </w:tcBorders>
            <w:shd w:val="clear" w:color="auto" w:fill="auto"/>
            <w:noWrap/>
            <w:vAlign w:val="center"/>
          </w:tcPr>
          <w:p>
            <w:pPr>
              <w:widowControl/>
              <w:jc w:val="left"/>
              <w:rPr>
                <w:rFonts w:ascii="仿宋" w:hAnsi="仿宋" w:eastAsia="仿宋" w:cs="宋体"/>
                <w:kern w:val="0"/>
                <w:sz w:val="20"/>
                <w:szCs w:val="20"/>
              </w:rPr>
            </w:pPr>
            <w:r>
              <w:rPr>
                <w:rFonts w:hint="eastAsia" w:ascii="仿宋" w:hAnsi="仿宋" w:eastAsia="仿宋" w:cs="宋体"/>
                <w:kern w:val="0"/>
                <w:sz w:val="20"/>
                <w:szCs w:val="20"/>
              </w:rPr>
              <w:t>收费站预留</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20</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0.6</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1.32</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26.40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庭院照明(TYX)</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30.00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22.50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污水处理设备</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35</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35.00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26.25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7</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照明1</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120</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96.00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72.00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照明2</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120</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96.00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72.00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9</w:t>
            </w:r>
          </w:p>
        </w:tc>
        <w:tc>
          <w:tcPr>
            <w:tcW w:w="27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10</w:t>
            </w:r>
          </w:p>
        </w:tc>
        <w:tc>
          <w:tcPr>
            <w:tcW w:w="27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小计</w:t>
            </w:r>
          </w:p>
        </w:tc>
        <w:tc>
          <w:tcPr>
            <w:tcW w:w="27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511</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429.80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333.75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有功同时系数0.6，无功同时系数0.65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257.88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216.94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总计算负荷</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257.88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216.94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336.99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559" w:hRule="atLeast"/>
        </w:trPr>
        <w:tc>
          <w:tcPr>
            <w:tcW w:w="7580" w:type="dxa"/>
            <w:gridSpan w:val="6"/>
            <w:tcBorders>
              <w:top w:val="single" w:color="auto" w:sz="4" w:space="0"/>
              <w:left w:val="single" w:color="auto" w:sz="8" w:space="0"/>
              <w:bottom w:val="single" w:color="auto" w:sz="8"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发电机选择容量</w:t>
            </w:r>
          </w:p>
        </w:tc>
        <w:tc>
          <w:tcPr>
            <w:tcW w:w="980"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016"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8" w:space="0"/>
              <w:right w:val="single" w:color="auto" w:sz="4" w:space="0"/>
            </w:tcBorders>
            <w:shd w:val="clear" w:color="auto" w:fill="auto"/>
            <w:noWrap/>
            <w:vAlign w:val="center"/>
          </w:tcPr>
          <w:p>
            <w:pPr>
              <w:widowControl/>
              <w:jc w:val="right"/>
              <w:rPr>
                <w:rFonts w:hint="default" w:ascii="仿宋_GB2312" w:hAnsi="宋体" w:eastAsia="仿宋_GB2312" w:cs="宋体"/>
                <w:kern w:val="0"/>
                <w:sz w:val="20"/>
                <w:szCs w:val="20"/>
                <w:lang w:val="en-US" w:eastAsia="zh-CN"/>
              </w:rPr>
            </w:pPr>
            <w:r>
              <w:rPr>
                <w:rFonts w:hint="eastAsia" w:ascii="仿宋_GB2312" w:hAnsi="宋体" w:eastAsia="仿宋_GB2312" w:cs="宋体"/>
                <w:kern w:val="0"/>
                <w:sz w:val="20"/>
                <w:szCs w:val="20"/>
                <w:lang w:val="en-US" w:eastAsia="zh-CN"/>
              </w:rPr>
              <w:t>400</w:t>
            </w:r>
          </w:p>
        </w:tc>
        <w:tc>
          <w:tcPr>
            <w:tcW w:w="188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按稳定负荷校验，</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负荷率90%。</w:t>
            </w:r>
          </w:p>
        </w:tc>
      </w:tr>
    </w:tbl>
    <w:p>
      <w:pPr>
        <w:ind w:firstLine="465"/>
        <w:rPr>
          <w:rFonts w:hint="eastAsia"/>
          <w:sz w:val="24"/>
          <w:szCs w:val="24"/>
        </w:rPr>
      </w:pPr>
    </w:p>
    <w:p>
      <w:pPr>
        <w:ind w:firstLine="465"/>
        <w:rPr>
          <w:rFonts w:hint="eastAsia"/>
          <w:sz w:val="24"/>
          <w:szCs w:val="24"/>
        </w:rPr>
      </w:pPr>
    </w:p>
    <w:tbl>
      <w:tblPr>
        <w:tblStyle w:val="7"/>
        <w:tblW w:w="14176" w:type="dxa"/>
        <w:tblInd w:w="91" w:type="dxa"/>
        <w:tblLayout w:type="fixed"/>
        <w:tblCellMar>
          <w:top w:w="0" w:type="dxa"/>
          <w:left w:w="108" w:type="dxa"/>
          <w:bottom w:w="0" w:type="dxa"/>
          <w:right w:w="108" w:type="dxa"/>
        </w:tblCellMar>
      </w:tblPr>
      <w:tblGrid>
        <w:gridCol w:w="580"/>
        <w:gridCol w:w="2768"/>
        <w:gridCol w:w="1425"/>
        <w:gridCol w:w="1487"/>
        <w:gridCol w:w="620"/>
        <w:gridCol w:w="700"/>
        <w:gridCol w:w="980"/>
        <w:gridCol w:w="1016"/>
        <w:gridCol w:w="980"/>
        <w:gridCol w:w="1740"/>
        <w:gridCol w:w="1880"/>
      </w:tblGrid>
      <w:tr>
        <w:tblPrEx>
          <w:tblLayout w:type="fixed"/>
          <w:tblCellMar>
            <w:top w:w="0" w:type="dxa"/>
            <w:left w:w="108" w:type="dxa"/>
            <w:bottom w:w="0" w:type="dxa"/>
            <w:right w:w="108" w:type="dxa"/>
          </w:tblCellMar>
        </w:tblPrEx>
        <w:trPr>
          <w:trHeight w:val="285" w:hRule="atLeast"/>
        </w:trPr>
        <w:tc>
          <w:tcPr>
            <w:tcW w:w="5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5680" w:type="dxa"/>
            <w:gridSpan w:val="3"/>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r>
              <w:rPr>
                <w:rFonts w:hint="eastAsia" w:ascii="仿宋_GB2312" w:hAnsi="宋体" w:eastAsia="仿宋_GB2312" w:cs="宋体"/>
                <w:kern w:val="0"/>
                <w:sz w:val="24"/>
                <w:szCs w:val="24"/>
              </w:rPr>
              <w:t>发电机负荷计算表2（停电负荷时消防稳定负荷）</w:t>
            </w:r>
          </w:p>
        </w:tc>
        <w:tc>
          <w:tcPr>
            <w:tcW w:w="62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70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9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016"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98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740" w:type="dxa"/>
            <w:tcBorders>
              <w:top w:val="nil"/>
              <w:left w:val="nil"/>
              <w:bottom w:val="nil"/>
              <w:right w:val="nil"/>
            </w:tcBorders>
            <w:shd w:val="clear" w:color="auto" w:fill="auto"/>
            <w:noWrap/>
            <w:vAlign w:val="center"/>
          </w:tcPr>
          <w:p>
            <w:pPr>
              <w:widowControl/>
              <w:jc w:val="left"/>
              <w:rPr>
                <w:rFonts w:ascii="仿宋_GB2312" w:hAnsi="宋体" w:eastAsia="仿宋_GB2312" w:cs="宋体"/>
                <w:kern w:val="0"/>
                <w:sz w:val="24"/>
                <w:szCs w:val="24"/>
              </w:rPr>
            </w:pPr>
          </w:p>
        </w:tc>
        <w:tc>
          <w:tcPr>
            <w:tcW w:w="1880"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285" w:hRule="atLeast"/>
        </w:trPr>
        <w:tc>
          <w:tcPr>
            <w:tcW w:w="580" w:type="dxa"/>
            <w:vMerge w:val="restart"/>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序号</w:t>
            </w:r>
          </w:p>
        </w:tc>
        <w:tc>
          <w:tcPr>
            <w:tcW w:w="2768"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用电设备名称</w:t>
            </w:r>
          </w:p>
        </w:tc>
        <w:tc>
          <w:tcPr>
            <w:tcW w:w="1425"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设备容量</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(kW)</w:t>
            </w:r>
          </w:p>
        </w:tc>
        <w:tc>
          <w:tcPr>
            <w:tcW w:w="1487" w:type="dxa"/>
            <w:vMerge w:val="restart"/>
            <w:tcBorders>
              <w:top w:val="single" w:color="auto" w:sz="8"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需要系数</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(kd)</w:t>
            </w:r>
          </w:p>
        </w:tc>
        <w:tc>
          <w:tcPr>
            <w:tcW w:w="62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cosφ</w:t>
            </w:r>
          </w:p>
        </w:tc>
        <w:tc>
          <w:tcPr>
            <w:tcW w:w="700" w:type="dxa"/>
            <w:vMerge w:val="restart"/>
            <w:tcBorders>
              <w:top w:val="single" w:color="auto" w:sz="8"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tgφ</w:t>
            </w:r>
          </w:p>
        </w:tc>
        <w:tc>
          <w:tcPr>
            <w:tcW w:w="2976" w:type="dxa"/>
            <w:gridSpan w:val="3"/>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计算负荷</w:t>
            </w:r>
          </w:p>
        </w:tc>
        <w:tc>
          <w:tcPr>
            <w:tcW w:w="1740" w:type="dxa"/>
            <w:vMerge w:val="restart"/>
            <w:tcBorders>
              <w:top w:val="single" w:color="auto" w:sz="8" w:space="0"/>
              <w:left w:val="single" w:color="auto" w:sz="4" w:space="0"/>
              <w:bottom w:val="single" w:color="000000"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发电机功率（kW）</w:t>
            </w:r>
          </w:p>
        </w:tc>
        <w:tc>
          <w:tcPr>
            <w:tcW w:w="1880" w:type="dxa"/>
            <w:vMerge w:val="restart"/>
            <w:tcBorders>
              <w:top w:val="single" w:color="auto" w:sz="8" w:space="0"/>
              <w:left w:val="single" w:color="auto" w:sz="4" w:space="0"/>
              <w:bottom w:val="single" w:color="000000" w:sz="4" w:space="0"/>
              <w:right w:val="single" w:color="auto" w:sz="8"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备注</w:t>
            </w:r>
          </w:p>
        </w:tc>
      </w:tr>
      <w:tr>
        <w:tblPrEx>
          <w:tblLayout w:type="fixed"/>
          <w:tblCellMar>
            <w:top w:w="0" w:type="dxa"/>
            <w:left w:w="108" w:type="dxa"/>
            <w:bottom w:w="0" w:type="dxa"/>
            <w:right w:w="108" w:type="dxa"/>
          </w:tblCellMar>
        </w:tblPrEx>
        <w:trPr>
          <w:trHeight w:val="285" w:hRule="atLeast"/>
        </w:trPr>
        <w:tc>
          <w:tcPr>
            <w:tcW w:w="580" w:type="dxa"/>
            <w:vMerge w:val="continue"/>
            <w:tcBorders>
              <w:top w:val="single" w:color="auto" w:sz="8" w:space="0"/>
              <w:left w:val="single" w:color="auto" w:sz="8"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2768"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425"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1487"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62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700" w:type="dxa"/>
            <w:vMerge w:val="continue"/>
            <w:tcBorders>
              <w:top w:val="single" w:color="auto" w:sz="8"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kern w:val="0"/>
                <w:sz w:val="20"/>
                <w:szCs w:val="20"/>
              </w:rPr>
            </w:pPr>
          </w:p>
        </w:tc>
        <w:tc>
          <w:tcPr>
            <w:tcW w:w="980"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Pj(kW)</w:t>
            </w:r>
          </w:p>
        </w:tc>
        <w:tc>
          <w:tcPr>
            <w:tcW w:w="101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Qj(kVar)</w:t>
            </w:r>
          </w:p>
        </w:tc>
        <w:tc>
          <w:tcPr>
            <w:tcW w:w="980"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Sj(kVA)</w:t>
            </w:r>
          </w:p>
        </w:tc>
        <w:tc>
          <w:tcPr>
            <w:tcW w:w="1740" w:type="dxa"/>
            <w:vMerge w:val="continue"/>
            <w:tcBorders>
              <w:top w:val="single" w:color="auto" w:sz="8" w:space="0"/>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kern w:val="0"/>
                <w:sz w:val="20"/>
                <w:szCs w:val="20"/>
              </w:rPr>
            </w:pPr>
          </w:p>
        </w:tc>
        <w:tc>
          <w:tcPr>
            <w:tcW w:w="1880" w:type="dxa"/>
            <w:vMerge w:val="continue"/>
            <w:tcBorders>
              <w:top w:val="single" w:color="auto" w:sz="8" w:space="0"/>
              <w:left w:val="single" w:color="auto" w:sz="4" w:space="0"/>
              <w:bottom w:val="single" w:color="000000" w:sz="4" w:space="0"/>
              <w:right w:val="single" w:color="auto" w:sz="8" w:space="0"/>
            </w:tcBorders>
            <w:vAlign w:val="center"/>
          </w:tcPr>
          <w:p>
            <w:pPr>
              <w:widowControl/>
              <w:jc w:val="left"/>
              <w:rPr>
                <w:rFonts w:ascii="仿宋_GB2312" w:hAnsi="宋体" w:eastAsia="仿宋_GB2312" w:cs="宋体"/>
                <w:kern w:val="0"/>
                <w:sz w:val="20"/>
                <w:szCs w:val="20"/>
              </w:rPr>
            </w:pP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室外消火栓泵</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22</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22.00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16.50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2</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室内消火栓泵</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30</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30.00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22.50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3</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喷淋泵</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45</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45.00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33.75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4</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稳压泵+潜污泵</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0.5</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25.00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25.00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5</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消防动力</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8</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8.00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6.00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45</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6</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应急照明</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2</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2.00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7</w:t>
            </w:r>
          </w:p>
        </w:tc>
        <w:tc>
          <w:tcPr>
            <w:tcW w:w="2768" w:type="dxa"/>
            <w:tcBorders>
              <w:top w:val="nil"/>
              <w:left w:val="nil"/>
              <w:bottom w:val="single" w:color="auto" w:sz="4" w:space="0"/>
              <w:right w:val="single" w:color="auto" w:sz="4" w:space="0"/>
            </w:tcBorders>
            <w:shd w:val="clear" w:color="auto" w:fill="auto"/>
            <w:noWrap/>
            <w:vAlign w:val="center"/>
          </w:tcPr>
          <w:p>
            <w:pPr>
              <w:widowControl/>
              <w:rPr>
                <w:rFonts w:ascii="仿宋" w:hAnsi="仿宋" w:eastAsia="仿宋" w:cs="宋体"/>
                <w:kern w:val="0"/>
                <w:sz w:val="20"/>
                <w:szCs w:val="20"/>
              </w:rPr>
            </w:pPr>
            <w:r>
              <w:rPr>
                <w:rFonts w:hint="eastAsia" w:ascii="仿宋" w:hAnsi="仿宋" w:eastAsia="仿宋" w:cs="宋体"/>
                <w:kern w:val="0"/>
                <w:sz w:val="20"/>
                <w:szCs w:val="20"/>
              </w:rPr>
              <w:t>水配房</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15</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0.8</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0.75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15.00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11.25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58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kern w:val="0"/>
                <w:sz w:val="20"/>
                <w:szCs w:val="20"/>
              </w:rPr>
            </w:pPr>
            <w:r>
              <w:rPr>
                <w:rFonts w:hint="eastAsia" w:ascii="仿宋_GB2312" w:hAnsi="宋体" w:eastAsia="仿宋_GB2312" w:cs="宋体"/>
                <w:kern w:val="0"/>
                <w:sz w:val="20"/>
                <w:szCs w:val="20"/>
              </w:rPr>
              <w:t>小计</w:t>
            </w:r>
          </w:p>
        </w:tc>
        <w:tc>
          <w:tcPr>
            <w:tcW w:w="2768"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425"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127</w:t>
            </w:r>
          </w:p>
        </w:tc>
        <w:tc>
          <w:tcPr>
            <w:tcW w:w="1487"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62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70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147.00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116.50 </w:t>
            </w:r>
          </w:p>
        </w:tc>
        <w:tc>
          <w:tcPr>
            <w:tcW w:w="98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有功同时系数0.9，无功同时系数0.95</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132.30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110.68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285" w:hRule="atLeast"/>
        </w:trPr>
        <w:tc>
          <w:tcPr>
            <w:tcW w:w="7580" w:type="dxa"/>
            <w:gridSpan w:val="6"/>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总计算负荷</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132.30 </w:t>
            </w:r>
          </w:p>
        </w:tc>
        <w:tc>
          <w:tcPr>
            <w:tcW w:w="1016"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110.68 </w:t>
            </w:r>
          </w:p>
        </w:tc>
        <w:tc>
          <w:tcPr>
            <w:tcW w:w="98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xml:space="preserve">172.49 </w:t>
            </w:r>
          </w:p>
        </w:tc>
        <w:tc>
          <w:tcPr>
            <w:tcW w:w="1740" w:type="dxa"/>
            <w:tcBorders>
              <w:top w:val="nil"/>
              <w:left w:val="nil"/>
              <w:bottom w:val="single" w:color="auto" w:sz="4"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880" w:type="dxa"/>
            <w:tcBorders>
              <w:top w:val="nil"/>
              <w:left w:val="nil"/>
              <w:bottom w:val="single" w:color="auto" w:sz="4" w:space="0"/>
              <w:right w:val="single" w:color="auto" w:sz="8"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r>
      <w:tr>
        <w:tblPrEx>
          <w:tblLayout w:type="fixed"/>
          <w:tblCellMar>
            <w:top w:w="0" w:type="dxa"/>
            <w:left w:w="108" w:type="dxa"/>
            <w:bottom w:w="0" w:type="dxa"/>
            <w:right w:w="108" w:type="dxa"/>
          </w:tblCellMar>
        </w:tblPrEx>
        <w:trPr>
          <w:trHeight w:val="619" w:hRule="atLeast"/>
        </w:trPr>
        <w:tc>
          <w:tcPr>
            <w:tcW w:w="7580" w:type="dxa"/>
            <w:gridSpan w:val="6"/>
            <w:tcBorders>
              <w:top w:val="single" w:color="auto" w:sz="4" w:space="0"/>
              <w:left w:val="single" w:color="auto" w:sz="8" w:space="0"/>
              <w:bottom w:val="single" w:color="auto" w:sz="8" w:space="0"/>
              <w:right w:val="single" w:color="auto" w:sz="4" w:space="0"/>
            </w:tcBorders>
            <w:shd w:val="clear" w:color="auto" w:fill="auto"/>
            <w:noWrap/>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发电机选择容量</w:t>
            </w:r>
          </w:p>
        </w:tc>
        <w:tc>
          <w:tcPr>
            <w:tcW w:w="980"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016"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980"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　</w:t>
            </w:r>
          </w:p>
        </w:tc>
        <w:tc>
          <w:tcPr>
            <w:tcW w:w="1740" w:type="dxa"/>
            <w:tcBorders>
              <w:top w:val="nil"/>
              <w:left w:val="nil"/>
              <w:bottom w:val="single" w:color="auto" w:sz="8" w:space="0"/>
              <w:right w:val="single" w:color="auto" w:sz="4" w:space="0"/>
            </w:tcBorders>
            <w:shd w:val="clear" w:color="auto" w:fill="auto"/>
            <w:noWrap/>
            <w:vAlign w:val="center"/>
          </w:tcPr>
          <w:p>
            <w:pPr>
              <w:widowControl/>
              <w:jc w:val="right"/>
              <w:rPr>
                <w:rFonts w:ascii="仿宋_GB2312" w:hAnsi="宋体" w:eastAsia="仿宋_GB2312" w:cs="宋体"/>
                <w:kern w:val="0"/>
                <w:sz w:val="20"/>
                <w:szCs w:val="20"/>
              </w:rPr>
            </w:pPr>
            <w:r>
              <w:rPr>
                <w:rFonts w:hint="eastAsia" w:ascii="仿宋_GB2312" w:hAnsi="宋体" w:eastAsia="仿宋_GB2312" w:cs="宋体"/>
                <w:kern w:val="0"/>
                <w:sz w:val="20"/>
                <w:szCs w:val="20"/>
              </w:rPr>
              <w:t>175</w:t>
            </w:r>
          </w:p>
        </w:tc>
        <w:tc>
          <w:tcPr>
            <w:tcW w:w="1880" w:type="dxa"/>
            <w:tcBorders>
              <w:top w:val="nil"/>
              <w:left w:val="nil"/>
              <w:bottom w:val="single" w:color="auto" w:sz="8" w:space="0"/>
              <w:right w:val="single" w:color="auto" w:sz="8" w:space="0"/>
            </w:tcBorders>
            <w:shd w:val="clear" w:color="auto" w:fill="auto"/>
            <w:vAlign w:val="center"/>
          </w:tcPr>
          <w:p>
            <w:pPr>
              <w:widowControl/>
              <w:jc w:val="left"/>
              <w:rPr>
                <w:rFonts w:ascii="仿宋_GB2312" w:hAnsi="宋体" w:eastAsia="仿宋_GB2312" w:cs="宋体"/>
                <w:kern w:val="0"/>
                <w:sz w:val="20"/>
                <w:szCs w:val="20"/>
              </w:rPr>
            </w:pPr>
            <w:r>
              <w:rPr>
                <w:rFonts w:hint="eastAsia" w:ascii="仿宋_GB2312" w:hAnsi="宋体" w:eastAsia="仿宋_GB2312" w:cs="宋体"/>
                <w:kern w:val="0"/>
                <w:sz w:val="20"/>
                <w:szCs w:val="20"/>
              </w:rPr>
              <w:t>按最大一台电机</w:t>
            </w:r>
            <w:r>
              <w:rPr>
                <w:rFonts w:hint="eastAsia" w:ascii="仿宋_GB2312" w:hAnsi="宋体" w:eastAsia="仿宋_GB2312" w:cs="宋体"/>
                <w:kern w:val="0"/>
                <w:sz w:val="20"/>
                <w:szCs w:val="20"/>
              </w:rPr>
              <w:br w:type="textWrapping"/>
            </w:r>
            <w:r>
              <w:rPr>
                <w:rFonts w:hint="eastAsia" w:ascii="仿宋_GB2312" w:hAnsi="宋体" w:eastAsia="仿宋_GB2312" w:cs="宋体"/>
                <w:kern w:val="0"/>
                <w:sz w:val="20"/>
                <w:szCs w:val="20"/>
              </w:rPr>
              <w:t>启动校验。</w:t>
            </w:r>
          </w:p>
        </w:tc>
      </w:tr>
    </w:tbl>
    <w:p>
      <w:pPr>
        <w:ind w:firstLine="465"/>
        <w:rPr>
          <w:sz w:val="24"/>
          <w:szCs w:val="24"/>
        </w:rPr>
      </w:pPr>
    </w:p>
    <w:p>
      <w:pPr>
        <w:rPr>
          <w:b/>
          <w:sz w:val="28"/>
          <w:szCs w:val="28"/>
        </w:rPr>
      </w:pPr>
      <w:bookmarkStart w:id="0" w:name="OLE_LINK2"/>
      <w:bookmarkStart w:id="1" w:name="OLE_LINK1"/>
      <w:r>
        <w:rPr>
          <w:rFonts w:hint="eastAsia"/>
          <w:b/>
          <w:sz w:val="28"/>
          <w:szCs w:val="28"/>
        </w:rPr>
        <w:t>三、典型回路电压损失计算：</w:t>
      </w:r>
    </w:p>
    <w:bookmarkEnd w:id="0"/>
    <w:bookmarkEnd w:id="1"/>
    <w:p>
      <w:pPr>
        <w:rPr>
          <w:sz w:val="24"/>
          <w:szCs w:val="24"/>
        </w:rPr>
      </w:pPr>
      <w:r>
        <w:rPr>
          <w:rFonts w:hint="eastAsia"/>
          <w:sz w:val="24"/>
          <w:szCs w:val="24"/>
        </w:rPr>
        <w:t>a. 根据《工业与民用设计手册》（第四版）式6.2-5计算低压母线、低压母线到配电箱电缆、配电箱到用电设备电缆的电压降</w:t>
      </w:r>
    </w:p>
    <w:p>
      <w:pPr>
        <w:rPr>
          <w:sz w:val="24"/>
          <w:szCs w:val="24"/>
        </w:rPr>
      </w:pPr>
      <m:oMathPara>
        <m:oMath>
          <m:sSup>
            <m:sSupPr>
              <m:ctrlPr>
                <w:rPr>
                  <w:rFonts w:ascii="Cambria Math" w:hAnsi="Cambria Math"/>
                  <w:sz w:val="24"/>
                  <w:szCs w:val="24"/>
                </w:rPr>
              </m:ctrlPr>
            </m:sSupPr>
            <m:e>
              <m:sSup>
                <m:sSupPr>
                  <m:ctrlPr>
                    <w:rPr>
                      <w:rFonts w:ascii="Cambria Math" w:hAnsi="Cambria Math"/>
                      <w:sz w:val="24"/>
                      <w:szCs w:val="24"/>
                    </w:rPr>
                  </m:ctrlPr>
                </m:sSupPr>
                <m:e>
                  <m:r>
                    <m:rPr>
                      <m:sty m:val="p"/>
                    </m:rPr>
                    <w:rPr>
                      <w:rFonts w:ascii="Cambria Math" w:hAnsi="Cambria Math"/>
                      <w:sz w:val="24"/>
                      <w:szCs w:val="24"/>
                    </w:rPr>
                    <m:t>Δμ=</m:t>
                  </m:r>
                  <m:f>
                    <m:fPr>
                      <m:ctrlPr>
                        <w:rPr>
                          <w:rFonts w:ascii="Cambria Math" w:hAnsi="Cambria Math"/>
                          <w:sz w:val="24"/>
                          <w:szCs w:val="24"/>
                        </w:rPr>
                      </m:ctrlPr>
                    </m:fPr>
                    <m:num>
                      <m:rad>
                        <m:radPr>
                          <m:degHide m:val="1"/>
                          <m:ctrlPr>
                            <w:rPr>
                              <w:rFonts w:ascii="Cambria Math" w:hAnsi="Cambria Math"/>
                              <w:sz w:val="24"/>
                              <w:szCs w:val="24"/>
                            </w:rPr>
                          </m:ctrlPr>
                        </m:radPr>
                        <m:deg>
                          <m:ctrlPr>
                            <w:rPr>
                              <w:rFonts w:ascii="Cambria Math" w:hAnsi="Cambria Math"/>
                              <w:sz w:val="24"/>
                              <w:szCs w:val="24"/>
                            </w:rPr>
                          </m:ctrlPr>
                        </m:deg>
                        <m:e>
                          <m:r>
                            <m:rPr>
                              <m:sty m:val="p"/>
                            </m:rPr>
                            <w:rPr>
                              <w:rFonts w:ascii="Cambria Math" w:hAnsi="Cambria Math"/>
                              <w:sz w:val="24"/>
                              <w:szCs w:val="24"/>
                            </w:rPr>
                            <m:t>3</m:t>
                          </m:r>
                          <m:ctrlPr>
                            <w:rPr>
                              <w:rFonts w:ascii="Cambria Math" w:hAnsi="Cambria Math"/>
                              <w:sz w:val="24"/>
                              <w:szCs w:val="24"/>
                            </w:rPr>
                          </m:ctrlPr>
                        </m:e>
                      </m:rad>
                      <m:r>
                        <m:rPr>
                          <m:sty m:val="p"/>
                        </m:rPr>
                        <w:rPr>
                          <w:rFonts w:ascii="Cambria Math" w:hAnsi="Cambria Math"/>
                          <w:sz w:val="24"/>
                          <w:szCs w:val="24"/>
                        </w:rPr>
                        <m:t>I</m:t>
                      </m:r>
                      <m:r>
                        <m:rPr>
                          <m:sty m:val="p"/>
                          <m:scr m:val="script"/>
                        </m:rPr>
                        <w:rPr>
                          <w:rFonts w:ascii="Cambria Math" w:hAnsi="Cambria Math"/>
                          <w:sz w:val="24"/>
                          <w:szCs w:val="24"/>
                        </w:rPr>
                        <m:t>l</m:t>
                      </m:r>
                      <m:ctrlPr>
                        <w:rPr>
                          <w:rFonts w:ascii="Cambria Math" w:hAnsi="Cambria Math"/>
                          <w:sz w:val="24"/>
                          <w:szCs w:val="24"/>
                        </w:rPr>
                      </m:ctrlPr>
                    </m:num>
                    <m:den>
                      <m:r>
                        <m:rPr>
                          <m:sty m:val="p"/>
                        </m:rPr>
                        <w:rPr>
                          <w:rFonts w:ascii="Cambria Math" w:hAnsi="Cambria Math"/>
                          <w:sz w:val="24"/>
                          <w:szCs w:val="24"/>
                        </w:rPr>
                        <m:t>10</m:t>
                      </m:r>
                      <m:sSub>
                        <m:sSubPr>
                          <m:ctrlPr>
                            <w:rPr>
                              <w:rFonts w:ascii="Cambria Math" w:hAnsi="Cambria Math"/>
                              <w:sz w:val="24"/>
                              <w:szCs w:val="24"/>
                            </w:rPr>
                          </m:ctrlPr>
                        </m:sSubPr>
                        <m:e>
                          <m:r>
                            <m:rPr>
                              <m:sty m:val="p"/>
                            </m:rPr>
                            <w:rPr>
                              <w:rFonts w:ascii="Cambria Math" w:hAnsi="Cambria Math"/>
                              <w:sz w:val="24"/>
                              <w:szCs w:val="24"/>
                            </w:rPr>
                            <m:t>U</m:t>
                          </m:r>
                          <m:ctrlPr>
                            <w:rPr>
                              <w:rFonts w:ascii="Cambria Math" w:hAnsi="Cambria Math"/>
                              <w:sz w:val="24"/>
                              <w:szCs w:val="24"/>
                            </w:rPr>
                          </m:ctrlPr>
                        </m:e>
                        <m:sub>
                          <m:r>
                            <m:rPr>
                              <m:sty m:val="p"/>
                            </m:rPr>
                            <w:rPr>
                              <w:rFonts w:ascii="Cambria Math" w:hAnsi="Cambria Math"/>
                              <w:sz w:val="24"/>
                              <w:szCs w:val="24"/>
                            </w:rPr>
                            <m:t>n</m:t>
                          </m:r>
                          <m:ctrlPr>
                            <w:rPr>
                              <w:rFonts w:ascii="Cambria Math" w:hAnsi="Cambria Math"/>
                              <w:sz w:val="24"/>
                              <w:szCs w:val="24"/>
                            </w:rPr>
                          </m:ctrlPr>
                        </m:sub>
                      </m:sSub>
                      <m:ctrlPr>
                        <w:rPr>
                          <w:rFonts w:ascii="Cambria Math" w:hAnsi="Cambria Math"/>
                          <w:sz w:val="24"/>
                          <w:szCs w:val="24"/>
                        </w:rPr>
                      </m:ctrlPr>
                    </m:den>
                  </m:f>
                  <m:r>
                    <m:rPr>
                      <m:sty m:val="p"/>
                    </m:rPr>
                    <w:rPr>
                      <w:rFonts w:ascii="Cambria Math" w:hAnsi="Cambria Math"/>
                      <w:sz w:val="24"/>
                      <w:szCs w:val="24"/>
                    </w:rPr>
                    <m:t>(R</m:t>
                  </m:r>
                  <m:ctrlPr>
                    <w:rPr>
                      <w:rFonts w:ascii="Cambria Math" w:hAnsi="Cambria Math"/>
                      <w:sz w:val="24"/>
                      <w:szCs w:val="24"/>
                    </w:rPr>
                  </m:ctrlPr>
                </m:e>
                <m:sup>
                  <m:r>
                    <m:rPr>
                      <m:sty m:val="p"/>
                    </m:rPr>
                    <w:rPr>
                      <w:rFonts w:ascii="Cambria Math" w:hAnsi="Cambria Math"/>
                      <w:sz w:val="24"/>
                      <w:szCs w:val="24"/>
                    </w:rPr>
                    <m:t>'</m:t>
                  </m:r>
                  <m:ctrlPr>
                    <w:rPr>
                      <w:rFonts w:ascii="Cambria Math" w:hAnsi="Cambria Math"/>
                      <w:sz w:val="24"/>
                      <w:szCs w:val="24"/>
                    </w:rPr>
                  </m:ctrlPr>
                </m:sup>
              </m:sSup>
              <m:r>
                <m:rPr>
                  <m:sty m:val="p"/>
                </m:rPr>
                <w:rPr>
                  <w:rFonts w:ascii="Cambria Math" w:hAnsi="Cambria Math"/>
                  <w:sz w:val="24"/>
                  <w:szCs w:val="24"/>
                </w:rPr>
                <m:t>cosφ+X</m:t>
              </m:r>
              <m:ctrlPr>
                <w:rPr>
                  <w:rFonts w:ascii="Cambria Math" w:hAnsi="Cambria Math"/>
                  <w:sz w:val="24"/>
                  <w:szCs w:val="24"/>
                </w:rPr>
              </m:ctrlPr>
            </m:e>
            <m:sup>
              <m:r>
                <m:rPr>
                  <m:sty m:val="p"/>
                </m:rPr>
                <w:rPr>
                  <w:rFonts w:ascii="Cambria Math" w:hAnsi="Cambria Math"/>
                  <w:sz w:val="24"/>
                  <w:szCs w:val="24"/>
                </w:rPr>
                <m:t>'</m:t>
              </m:r>
              <m:ctrlPr>
                <w:rPr>
                  <w:rFonts w:ascii="Cambria Math" w:hAnsi="Cambria Math"/>
                  <w:sz w:val="24"/>
                  <w:szCs w:val="24"/>
                </w:rPr>
              </m:ctrlPr>
            </m:sup>
          </m:sSup>
          <m:r>
            <m:rPr>
              <m:sty m:val="p"/>
            </m:rPr>
            <w:rPr>
              <w:rFonts w:ascii="Cambria Math" w:hAnsi="Cambria Math"/>
              <w:sz w:val="24"/>
              <w:szCs w:val="24"/>
            </w:rPr>
            <m:t>sinφ)=I</m:t>
          </m:r>
          <m:r>
            <m:rPr>
              <m:sty m:val="p"/>
              <m:scr m:val="script"/>
            </m:rPr>
            <w:rPr>
              <w:rFonts w:ascii="Cambria Math" w:hAnsi="Cambria Math"/>
              <w:sz w:val="24"/>
              <w:szCs w:val="24"/>
            </w:rPr>
            <m:t>l∆</m:t>
          </m:r>
          <m:sSub>
            <m:sSubPr>
              <m:ctrlPr>
                <w:rPr>
                  <w:rFonts w:ascii="Cambria Math" w:hAnsi="Cambria Math"/>
                  <w:sz w:val="24"/>
                  <w:szCs w:val="24"/>
                </w:rPr>
              </m:ctrlPr>
            </m:sSubPr>
            <m:e>
              <m:r>
                <m:rPr>
                  <m:sty m:val="p"/>
                </m:rPr>
                <w:rPr>
                  <w:rFonts w:ascii="Cambria Math" w:hAnsi="Cambria Math"/>
                  <w:sz w:val="24"/>
                  <w:szCs w:val="24"/>
                </w:rPr>
                <m:t>μ</m:t>
              </m:r>
              <m:ctrlPr>
                <w:rPr>
                  <w:rFonts w:ascii="Cambria Math" w:hAnsi="Cambria Math"/>
                  <w:sz w:val="24"/>
                  <w:szCs w:val="24"/>
                </w:rPr>
              </m:ctrlPr>
            </m:e>
            <m:sub>
              <m:r>
                <m:rPr>
                  <m:sty m:val="p"/>
                </m:rPr>
                <w:rPr>
                  <w:rFonts w:ascii="Cambria Math" w:hAnsi="Cambria Math"/>
                  <w:sz w:val="24"/>
                  <w:szCs w:val="24"/>
                </w:rPr>
                <m:t>i</m:t>
              </m:r>
              <m:ctrlPr>
                <w:rPr>
                  <w:rFonts w:ascii="Cambria Math" w:hAnsi="Cambria Math"/>
                  <w:sz w:val="24"/>
                  <w:szCs w:val="24"/>
                </w:rPr>
              </m:ctrlPr>
            </m:sub>
          </m:sSub>
          <m:r>
            <m:rPr>
              <m:sty m:val="p"/>
            </m:rPr>
            <w:rPr>
              <w:rFonts w:ascii="Cambria Math" w:hAnsi="Cambria Math"/>
              <w:sz w:val="24"/>
              <w:szCs w:val="24"/>
            </w:rPr>
            <m:t>%</m:t>
          </m:r>
        </m:oMath>
      </m:oMathPara>
    </w:p>
    <w:p>
      <w:pPr>
        <w:rPr>
          <w:sz w:val="24"/>
          <w:szCs w:val="24"/>
        </w:rPr>
      </w:pPr>
      <w:r>
        <w:rPr>
          <w:rFonts w:hint="eastAsia"/>
          <w:sz w:val="24"/>
          <w:szCs w:val="24"/>
        </w:rPr>
        <w:t xml:space="preserve">式中  </w:t>
      </w:r>
      <m:oMath>
        <m:r>
          <m:rPr>
            <m:sty m:val="p"/>
          </m:rPr>
          <w:rPr>
            <w:rFonts w:ascii="Cambria Math" w:hAnsi="Cambria Math"/>
            <w:sz w:val="24"/>
            <w:szCs w:val="24"/>
          </w:rPr>
          <m:t>∆μ</m:t>
        </m:r>
      </m:oMath>
      <w:r>
        <w:rPr>
          <w:rFonts w:hint="eastAsia"/>
          <w:sz w:val="24"/>
          <w:szCs w:val="24"/>
        </w:rPr>
        <w:t>------电压降百分数，%；</w:t>
      </w:r>
    </w:p>
    <w:p>
      <w:pPr>
        <w:rPr>
          <w:sz w:val="24"/>
          <w:szCs w:val="24"/>
        </w:rPr>
      </w:pPr>
      <m:oMath>
        <m:sSub>
          <m:sSubPr>
            <m:ctrlPr>
              <w:rPr>
                <w:rFonts w:ascii="Cambria Math" w:hAnsi="Cambria Math"/>
                <w:sz w:val="24"/>
                <w:szCs w:val="24"/>
              </w:rPr>
            </m:ctrlPr>
          </m:sSubPr>
          <m:e>
            <m:r>
              <m:rPr>
                <m:sty m:val="p"/>
              </m:rPr>
              <w:rPr>
                <w:rFonts w:ascii="Cambria Math" w:hAnsi="Cambria Math"/>
                <w:sz w:val="24"/>
                <w:szCs w:val="24"/>
              </w:rPr>
              <m:t>U</m:t>
            </m:r>
            <m:ctrlPr>
              <w:rPr>
                <w:rFonts w:ascii="Cambria Math" w:hAnsi="Cambria Math"/>
                <w:sz w:val="24"/>
                <w:szCs w:val="24"/>
              </w:rPr>
            </m:ctrlPr>
          </m:e>
          <m:sub>
            <m:r>
              <m:rPr>
                <m:sty m:val="p"/>
              </m:rPr>
              <w:rPr>
                <w:rFonts w:ascii="Cambria Math" w:hAnsi="Cambria Math"/>
                <w:sz w:val="24"/>
                <w:szCs w:val="24"/>
              </w:rPr>
              <m:t>n</m:t>
            </m:r>
            <m:ctrlPr>
              <w:rPr>
                <w:rFonts w:ascii="Cambria Math" w:hAnsi="Cambria Math"/>
                <w:sz w:val="24"/>
                <w:szCs w:val="24"/>
              </w:rPr>
            </m:ctrlPr>
          </m:sub>
        </m:sSub>
      </m:oMath>
      <w:r>
        <w:rPr>
          <w:rFonts w:hint="eastAsia"/>
          <w:sz w:val="24"/>
          <w:szCs w:val="24"/>
        </w:rPr>
        <w:t>------系统标称电压，kV；</w:t>
      </w:r>
    </w:p>
    <w:p>
      <w:pPr>
        <w:rPr>
          <w:sz w:val="24"/>
          <w:szCs w:val="24"/>
        </w:rPr>
      </w:pPr>
      <w:r>
        <w:rPr>
          <w:rFonts w:hint="eastAsia"/>
          <w:sz w:val="24"/>
          <w:szCs w:val="24"/>
        </w:rPr>
        <w:t>I------负荷电流，A；</w:t>
      </w:r>
    </w:p>
    <w:p>
      <w:pPr>
        <w:rPr>
          <w:sz w:val="24"/>
          <w:szCs w:val="24"/>
        </w:rPr>
      </w:pPr>
      <m:oMath>
        <m:r>
          <m:rPr>
            <m:sty m:val="p"/>
          </m:rPr>
          <w:rPr>
            <w:rFonts w:ascii="Cambria Math" w:hAnsi="Cambria Math"/>
            <w:sz w:val="24"/>
            <w:szCs w:val="24"/>
          </w:rPr>
          <m:t>cosφ</m:t>
        </m:r>
      </m:oMath>
      <w:r>
        <w:rPr>
          <w:rFonts w:hint="eastAsia"/>
          <w:sz w:val="24"/>
          <w:szCs w:val="24"/>
        </w:rPr>
        <w:t>------负荷功率因数；</w:t>
      </w:r>
    </w:p>
    <w:p>
      <w:pPr>
        <w:rPr>
          <w:sz w:val="24"/>
          <w:szCs w:val="24"/>
        </w:rPr>
      </w:pPr>
      <w:r>
        <w:rPr>
          <w:rFonts w:hint="eastAsia"/>
          <w:sz w:val="24"/>
          <w:szCs w:val="24"/>
        </w:rPr>
        <w:t>P------负荷的有功功率，kW；</w:t>
      </w:r>
    </w:p>
    <w:p>
      <w:pPr>
        <w:rPr>
          <w:sz w:val="24"/>
          <w:szCs w:val="24"/>
        </w:rPr>
      </w:pPr>
      <m:oMath>
        <m:r>
          <m:rPr>
            <m:sty m:val="p"/>
            <m:scr m:val="script"/>
          </m:rPr>
          <w:rPr>
            <w:rFonts w:ascii="Cambria Math" w:hAnsi="Cambria Math"/>
            <w:sz w:val="24"/>
            <w:szCs w:val="24"/>
          </w:rPr>
          <m:t>l</m:t>
        </m:r>
      </m:oMath>
      <w:r>
        <w:rPr>
          <w:rFonts w:hint="eastAsia"/>
          <w:sz w:val="24"/>
          <w:szCs w:val="24"/>
        </w:rPr>
        <w:t>------线路或母线的长度，km;</w:t>
      </w:r>
    </w:p>
    <w:p>
      <w:pPr>
        <w:rPr>
          <w:sz w:val="24"/>
          <w:szCs w:val="24"/>
        </w:rPr>
      </w:pPr>
      <m:oMath>
        <m:sSup>
          <m:sSupPr>
            <m:ctrlPr>
              <w:rPr>
                <w:rFonts w:ascii="Cambria Math" w:hAnsi="Cambria Math"/>
                <w:sz w:val="24"/>
                <w:szCs w:val="24"/>
              </w:rPr>
            </m:ctrlPr>
          </m:sSupPr>
          <m:e>
            <m:r>
              <m:rPr>
                <m:sty m:val="p"/>
              </m:rPr>
              <w:rPr>
                <w:rFonts w:ascii="Cambria Math" w:hAnsi="Cambria Math"/>
                <w:sz w:val="24"/>
                <w:szCs w:val="24"/>
              </w:rPr>
              <m:t>R</m:t>
            </m:r>
            <m:ctrlPr>
              <w:rPr>
                <w:rFonts w:ascii="Cambria Math" w:hAnsi="Cambria Math"/>
                <w:sz w:val="24"/>
                <w:szCs w:val="24"/>
              </w:rPr>
            </m:ctrlPr>
          </m:e>
          <m:sup>
            <m:r>
              <m:rPr>
                <m:sty m:val="p"/>
              </m:rPr>
              <w:rPr>
                <w:rFonts w:ascii="Cambria Math" w:hAnsi="Cambria Math"/>
                <w:sz w:val="24"/>
                <w:szCs w:val="24"/>
              </w:rPr>
              <m:t>'</m:t>
            </m:r>
            <m:ctrlPr>
              <w:rPr>
                <w:rFonts w:ascii="Cambria Math" w:hAnsi="Cambria Math"/>
                <w:sz w:val="24"/>
                <w:szCs w:val="24"/>
              </w:rPr>
            </m:ctrlPr>
          </m:sup>
        </m:sSup>
        <m:r>
          <m:rPr>
            <m:sty m:val="p"/>
          </m:rPr>
          <w:rPr>
            <w:rFonts w:ascii="Cambria Math" w:hAnsi="Cambria Math"/>
            <w:sz w:val="24"/>
            <w:szCs w:val="24"/>
          </w:rPr>
          <m:t>、</m:t>
        </m:r>
        <m:sSup>
          <m:sSupPr>
            <m:ctrlPr>
              <w:rPr>
                <w:rFonts w:ascii="Cambria Math" w:hAnsi="Cambria Math"/>
                <w:sz w:val="24"/>
                <w:szCs w:val="24"/>
              </w:rPr>
            </m:ctrlPr>
          </m:sSupPr>
          <m:e>
            <m:r>
              <m:rPr>
                <m:sty m:val="p"/>
              </m:rPr>
              <w:rPr>
                <w:rFonts w:ascii="Cambria Math" w:hAnsi="Cambria Math"/>
                <w:sz w:val="24"/>
                <w:szCs w:val="24"/>
              </w:rPr>
              <m:t>X</m:t>
            </m:r>
            <m:ctrlPr>
              <w:rPr>
                <w:rFonts w:ascii="Cambria Math" w:hAnsi="Cambria Math"/>
                <w:sz w:val="24"/>
                <w:szCs w:val="24"/>
              </w:rPr>
            </m:ctrlPr>
          </m:e>
          <m:sup>
            <m:r>
              <m:rPr>
                <m:sty m:val="p"/>
              </m:rPr>
              <w:rPr>
                <w:rFonts w:ascii="Cambria Math" w:hAnsi="Cambria Math"/>
                <w:sz w:val="24"/>
                <w:szCs w:val="24"/>
              </w:rPr>
              <m:t>'</m:t>
            </m:r>
            <m:ctrlPr>
              <w:rPr>
                <w:rFonts w:ascii="Cambria Math" w:hAnsi="Cambria Math"/>
                <w:sz w:val="24"/>
                <w:szCs w:val="24"/>
              </w:rPr>
            </m:ctrlPr>
          </m:sup>
        </m:sSup>
      </m:oMath>
      <w:r>
        <w:rPr>
          <w:rFonts w:hint="eastAsia"/>
          <w:sz w:val="24"/>
          <w:szCs w:val="24"/>
        </w:rPr>
        <w:t>------三相线路单位长度的电阻和电抗，Ω/km；</w:t>
      </w:r>
    </w:p>
    <w:p>
      <w:pPr>
        <w:rPr>
          <w:sz w:val="24"/>
          <w:szCs w:val="24"/>
        </w:rPr>
      </w:pPr>
      <m:oMath>
        <m:sSub>
          <m:sSubPr>
            <m:ctrlPr>
              <w:rPr>
                <w:rFonts w:ascii="Cambria Math" w:hAnsi="Cambria Math"/>
                <w:sz w:val="24"/>
                <w:szCs w:val="24"/>
              </w:rPr>
            </m:ctrlPr>
          </m:sSubPr>
          <m:e>
            <m:r>
              <m:rPr>
                <m:sty m:val="p"/>
              </m:rPr>
              <w:rPr>
                <w:rFonts w:ascii="Cambria Math" w:hAnsi="Cambria Math"/>
                <w:sz w:val="24"/>
                <w:szCs w:val="24"/>
              </w:rPr>
              <m:t>∆μ</m:t>
            </m:r>
            <m:ctrlPr>
              <w:rPr>
                <w:rFonts w:ascii="Cambria Math" w:hAnsi="Cambria Math"/>
                <w:sz w:val="24"/>
                <w:szCs w:val="24"/>
              </w:rPr>
            </m:ctrlPr>
          </m:e>
          <m:sub>
            <m:r>
              <m:rPr>
                <m:sty m:val="p"/>
              </m:rPr>
              <w:rPr>
                <w:rFonts w:ascii="Cambria Math" w:hAnsi="Cambria Math"/>
                <w:sz w:val="24"/>
                <w:szCs w:val="24"/>
              </w:rPr>
              <m:t>i</m:t>
            </m:r>
            <m:ctrlPr>
              <w:rPr>
                <w:rFonts w:ascii="Cambria Math" w:hAnsi="Cambria Math"/>
                <w:sz w:val="24"/>
                <w:szCs w:val="24"/>
              </w:rPr>
            </m:ctrlPr>
          </m:sub>
        </m:sSub>
      </m:oMath>
      <w:r>
        <w:rPr>
          <w:rFonts w:hint="eastAsia"/>
          <w:sz w:val="24"/>
          <w:szCs w:val="24"/>
        </w:rPr>
        <w:t>------三相线路单位电流长度的电压降百分数，%/(A*km)。</w:t>
      </w:r>
    </w:p>
    <w:p>
      <w:pPr>
        <w:rPr>
          <w:sz w:val="24"/>
          <w:szCs w:val="24"/>
        </w:rPr>
      </w:pPr>
      <w:r>
        <w:rPr>
          <w:rFonts w:hint="eastAsia"/>
          <w:sz w:val="24"/>
          <w:szCs w:val="24"/>
        </w:rPr>
        <w:t>低压母线、低压母线到配电箱电缆、配电箱到用电设备电缆的电压降计算参数及结果分别见线路电压降计算表。</w:t>
      </w:r>
    </w:p>
    <w:p>
      <w:pPr>
        <w:rPr>
          <w:sz w:val="24"/>
          <w:szCs w:val="24"/>
        </w:rPr>
      </w:pPr>
      <w:r>
        <w:rPr>
          <w:rFonts w:hint="eastAsia"/>
          <w:sz w:val="24"/>
          <w:szCs w:val="24"/>
        </w:rPr>
        <w:t>a.根据线路末端电压偏差的基本计算公式计算</w:t>
      </w:r>
    </w:p>
    <w:p>
      <w:pPr>
        <w:rPr>
          <w:sz w:val="24"/>
          <w:szCs w:val="24"/>
        </w:rPr>
      </w:pPr>
      <m:oMathPara>
        <m:oMath>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ctrlPr>
                <w:rPr>
                  <w:rFonts w:ascii="Cambria Math" w:hAnsi="Cambria Math"/>
                  <w:sz w:val="24"/>
                  <w:szCs w:val="24"/>
                </w:rPr>
              </m:ctrlPr>
            </m:e>
            <m:sub>
              <m:r>
                <m:rPr>
                  <m:sty m:val="p"/>
                </m:rPr>
                <w:rPr>
                  <w:rFonts w:ascii="Cambria Math" w:hAnsi="Cambria Math"/>
                  <w:sz w:val="24"/>
                  <w:szCs w:val="24"/>
                </w:rPr>
                <m:t>x</m:t>
              </m:r>
              <m:ctrlPr>
                <w:rPr>
                  <w:rFonts w:ascii="Cambria Math" w:hAnsi="Cambria Math"/>
                  <w:sz w:val="24"/>
                  <w:szCs w:val="24"/>
                </w:rPr>
              </m:ctrlPr>
            </m:sub>
          </m:sSub>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ctrlPr>
                <w:rPr>
                  <w:rFonts w:ascii="Cambria Math" w:hAnsi="Cambria Math"/>
                  <w:sz w:val="24"/>
                  <w:szCs w:val="24"/>
                </w:rPr>
              </m:ctrlPr>
            </m:e>
            <m:sub>
              <m:r>
                <m:rPr>
                  <m:sty m:val="p"/>
                </m:rPr>
                <w:rPr>
                  <w:rFonts w:ascii="Cambria Math" w:hAnsi="Cambria Math"/>
                  <w:sz w:val="24"/>
                  <w:szCs w:val="24"/>
                </w:rPr>
                <m:t>1</m:t>
              </m:r>
              <m:ctrlPr>
                <w:rPr>
                  <w:rFonts w:ascii="Cambria Math" w:hAnsi="Cambria Math"/>
                  <w:sz w:val="24"/>
                  <w:szCs w:val="24"/>
                </w:rPr>
              </m:ctrlPr>
            </m:sub>
          </m:sSub>
          <m:r>
            <m:rPr>
              <m:sty m:val="p"/>
            </m:rPr>
            <w:rPr>
              <w:rFonts w:ascii="Cambria Math" w:hAnsi="Cambria Math"/>
              <w:sz w:val="24"/>
              <w:szCs w:val="24"/>
            </w:rPr>
            <m:t>+e-ΣΔμ</m:t>
          </m:r>
        </m:oMath>
      </m:oMathPara>
    </w:p>
    <w:p>
      <w:pPr>
        <w:rPr>
          <w:sz w:val="24"/>
          <w:szCs w:val="24"/>
        </w:rPr>
      </w:pPr>
      <w:r>
        <w:rPr>
          <w:rFonts w:hint="eastAsia"/>
          <w:sz w:val="24"/>
          <w:szCs w:val="24"/>
        </w:rPr>
        <w:t>式中</w:t>
      </w:r>
      <m:oMath>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ctrlPr>
              <w:rPr>
                <w:rFonts w:ascii="Cambria Math" w:hAnsi="Cambria Math"/>
                <w:sz w:val="24"/>
                <w:szCs w:val="24"/>
              </w:rPr>
            </m:ctrlPr>
          </m:e>
          <m:sub>
            <m:r>
              <m:rPr>
                <m:sty m:val="p"/>
              </m:rPr>
              <w:rPr>
                <w:rFonts w:ascii="Cambria Math" w:hAnsi="Cambria Math"/>
                <w:sz w:val="24"/>
                <w:szCs w:val="24"/>
              </w:rPr>
              <m:t>1</m:t>
            </m:r>
            <m:ctrlPr>
              <w:rPr>
                <w:rFonts w:ascii="Cambria Math" w:hAnsi="Cambria Math"/>
                <w:sz w:val="24"/>
                <w:szCs w:val="24"/>
              </w:rPr>
            </m:ctrlPr>
          </m:sub>
        </m:sSub>
      </m:oMath>
      <w:r>
        <w:rPr>
          <w:rFonts w:hint="eastAsia"/>
          <w:sz w:val="24"/>
          <w:szCs w:val="24"/>
        </w:rPr>
        <w:t>------线路首端的电压偏差，%，本处为变压器高压侧电压偏差，取0；</w:t>
      </w:r>
    </w:p>
    <w:p>
      <w:pPr>
        <w:rPr>
          <w:sz w:val="24"/>
          <w:szCs w:val="24"/>
        </w:rPr>
      </w:pPr>
      <w:r>
        <w:rPr>
          <w:rFonts w:hint="eastAsia"/>
          <w:sz w:val="24"/>
          <w:szCs w:val="24"/>
        </w:rPr>
        <w:t xml:space="preserve">    e------变压器分接头设备的电压提升，%，当变压器分接头处于0位时，e=5%；</w:t>
      </w:r>
    </w:p>
    <w:p>
      <w:pPr>
        <w:rPr>
          <w:sz w:val="24"/>
          <w:szCs w:val="24"/>
        </w:rPr>
      </w:pPr>
      <w:r>
        <w:rPr>
          <w:rFonts w:hint="eastAsia"/>
          <w:sz w:val="24"/>
          <w:szCs w:val="24"/>
        </w:rPr>
        <w:t xml:space="preserve">    </w:t>
      </w:r>
      <m:oMath>
        <m:r>
          <m:rPr>
            <m:sty m:val="p"/>
          </m:rPr>
          <w:rPr>
            <w:rFonts w:ascii="Cambria Math" w:hAnsi="Cambria Math"/>
            <w:sz w:val="24"/>
            <w:szCs w:val="24"/>
          </w:rPr>
          <m:t>ΣΔμ</m:t>
        </m:r>
      </m:oMath>
      <w:r>
        <w:rPr>
          <w:rFonts w:hint="eastAsia"/>
          <w:sz w:val="24"/>
          <w:szCs w:val="24"/>
        </w:rPr>
        <w:t>------低压母线、低压母线到配电箱电缆、配电箱到用电设备电缆的电压降总和。</w:t>
      </w:r>
    </w:p>
    <w:p>
      <w:pPr>
        <w:rPr>
          <w:sz w:val="24"/>
          <w:szCs w:val="24"/>
        </w:rPr>
      </w:pPr>
      <w:r>
        <w:rPr>
          <w:rFonts w:hint="eastAsia"/>
          <w:sz w:val="24"/>
          <w:szCs w:val="24"/>
        </w:rPr>
        <w:t>该典型回路末端的电压偏差</w:t>
      </w:r>
    </w:p>
    <w:p>
      <w:pPr>
        <w:rPr>
          <w:sz w:val="24"/>
          <w:szCs w:val="24"/>
        </w:rPr>
      </w:pPr>
      <m:oMathPara>
        <m:oMath>
          <m:r>
            <m:rPr>
              <m:sty m:val="p"/>
            </m:rPr>
            <w:rPr>
              <w:rFonts w:ascii="Cambria Math" w:hAnsi="Cambria Math"/>
              <w:sz w:val="24"/>
              <w:szCs w:val="24"/>
            </w:rPr>
            <m:t>δ</m:t>
          </m:r>
          <m:sSub>
            <m:sSubPr>
              <m:ctrlPr>
                <w:rPr>
                  <w:rFonts w:ascii="Cambria Math" w:hAnsi="Cambria Math"/>
                  <w:sz w:val="24"/>
                  <w:szCs w:val="24"/>
                </w:rPr>
              </m:ctrlPr>
            </m:sSubPr>
            <m:e>
              <m:r>
                <m:rPr>
                  <m:sty m:val="p"/>
                </m:rPr>
                <w:rPr>
                  <w:rFonts w:ascii="Cambria Math" w:hAnsi="Cambria Math"/>
                  <w:sz w:val="24"/>
                  <w:szCs w:val="24"/>
                </w:rPr>
                <m:t>μ</m:t>
              </m:r>
              <m:ctrlPr>
                <w:rPr>
                  <w:rFonts w:ascii="Cambria Math" w:hAnsi="Cambria Math"/>
                  <w:sz w:val="24"/>
                  <w:szCs w:val="24"/>
                </w:rPr>
              </m:ctrlPr>
            </m:e>
            <m:sub>
              <m:r>
                <m:rPr>
                  <m:sty m:val="p"/>
                </m:rPr>
                <w:rPr>
                  <w:rFonts w:ascii="Cambria Math" w:hAnsi="Cambria Math"/>
                  <w:sz w:val="24"/>
                  <w:szCs w:val="24"/>
                </w:rPr>
                <m:t>x</m:t>
              </m:r>
              <m:ctrlPr>
                <w:rPr>
                  <w:rFonts w:ascii="Cambria Math" w:hAnsi="Cambria Math"/>
                  <w:sz w:val="24"/>
                  <w:szCs w:val="24"/>
                </w:rPr>
              </m:ctrlPr>
            </m:sub>
          </m:sSub>
          <m:r>
            <m:rPr>
              <m:sty m:val="p"/>
            </m:rPr>
            <w:rPr>
              <w:rFonts w:ascii="Cambria Math" w:hAnsi="Cambria Math"/>
              <w:sz w:val="24"/>
              <w:szCs w:val="24"/>
            </w:rPr>
            <m:t>=5%-(1.04%+0.26%)=3.7%≤±5%</m:t>
          </m:r>
        </m:oMath>
      </m:oMathPara>
    </w:p>
    <w:p>
      <w:pPr>
        <w:rPr>
          <w:sz w:val="24"/>
          <w:szCs w:val="24"/>
        </w:rPr>
      </w:pPr>
      <w:r>
        <w:rPr>
          <w:rFonts w:hint="eastAsia"/>
          <w:sz w:val="24"/>
          <w:szCs w:val="24"/>
        </w:rPr>
        <w:t>满足相关规范和标准的要求。</w:t>
      </w:r>
    </w:p>
    <w:p>
      <w:pPr>
        <w:rPr>
          <w:sz w:val="24"/>
          <w:szCs w:val="24"/>
        </w:rPr>
      </w:pPr>
      <w:r>
        <w:rPr>
          <w:rFonts w:hint="eastAsia"/>
          <w:sz w:val="24"/>
          <w:szCs w:val="24"/>
        </w:rPr>
        <w:t xml:space="preserve">1.1   </w:t>
      </w:r>
      <w:r>
        <w:rPr>
          <w:sz w:val="24"/>
          <w:szCs w:val="24"/>
        </w:rPr>
        <w:t>13AT-DT1</w:t>
      </w:r>
      <w:r>
        <w:rPr>
          <w:rFonts w:hint="eastAsia"/>
          <w:sz w:val="24"/>
          <w:szCs w:val="24"/>
        </w:rPr>
        <w:t>（H-5#楼13F电梯配电箱）</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760"/>
        <w:gridCol w:w="540"/>
        <w:gridCol w:w="1280"/>
        <w:gridCol w:w="2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gridSpan w:val="5"/>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求电压损失计算表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配线形式</w:t>
            </w:r>
          </w:p>
        </w:tc>
        <w:tc>
          <w:tcPr>
            <w:tcW w:w="276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线路名称</w:t>
            </w:r>
          </w:p>
        </w:tc>
        <w:tc>
          <w:tcPr>
            <w:tcW w:w="4380" w:type="dxa"/>
            <w:gridSpan w:val="3"/>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导线类型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三相线路</w:t>
            </w:r>
          </w:p>
        </w:tc>
        <w:tc>
          <w:tcPr>
            <w:tcW w:w="276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1KV聚乙烯绝缘电力电缆用于三相380V系统</w:t>
            </w:r>
          </w:p>
        </w:tc>
        <w:tc>
          <w:tcPr>
            <w:tcW w:w="54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铜导线</w:t>
            </w:r>
          </w:p>
        </w:tc>
        <w:tc>
          <w:tcPr>
            <w:tcW w:w="12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截面积:70.00</w:t>
            </w:r>
          </w:p>
        </w:tc>
        <w:tc>
          <w:tcPr>
            <w:tcW w:w="256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电  阻 = 1.359感  抗 = 0.082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gridSpan w:val="5"/>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负荷情况  (用负荷矩计算)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负荷序号</w:t>
            </w:r>
          </w:p>
        </w:tc>
        <w:tc>
          <w:tcPr>
            <w:tcW w:w="330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有功负荷 (kW)</w:t>
            </w:r>
          </w:p>
        </w:tc>
        <w:tc>
          <w:tcPr>
            <w:tcW w:w="384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线路长度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1</w:t>
            </w:r>
          </w:p>
        </w:tc>
        <w:tc>
          <w:tcPr>
            <w:tcW w:w="330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60</w:t>
            </w:r>
          </w:p>
        </w:tc>
        <w:tc>
          <w:tcPr>
            <w:tcW w:w="384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0.095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计算结果</w:t>
            </w:r>
          </w:p>
        </w:tc>
        <w:tc>
          <w:tcPr>
            <w:tcW w:w="7140" w:type="dxa"/>
            <w:gridSpan w:val="4"/>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线路电压损失 (%):2.15</w:t>
            </w:r>
          </w:p>
        </w:tc>
      </w:tr>
    </w:tbl>
    <w:p>
      <w:pPr>
        <w:rPr>
          <w:sz w:val="24"/>
          <w:szCs w:val="24"/>
        </w:rPr>
      </w:pPr>
      <w:r>
        <w:rPr>
          <w:rFonts w:hint="eastAsia"/>
          <w:sz w:val="24"/>
          <w:szCs w:val="24"/>
        </w:rPr>
        <w:t>本回路电压损失小于5%，满足要求。</w:t>
      </w:r>
    </w:p>
    <w:p>
      <w:pPr>
        <w:rPr>
          <w:sz w:val="24"/>
          <w:szCs w:val="24"/>
        </w:rPr>
      </w:pPr>
      <w:r>
        <w:rPr>
          <w:rFonts w:hint="eastAsia"/>
          <w:sz w:val="24"/>
          <w:szCs w:val="24"/>
        </w:rPr>
        <w:t xml:space="preserve">1.2   </w:t>
      </w:r>
      <w:r>
        <w:rPr>
          <w:sz w:val="24"/>
          <w:szCs w:val="24"/>
        </w:rPr>
        <w:t>5AT-FJ1</w:t>
      </w:r>
      <w:r>
        <w:rPr>
          <w:rFonts w:hint="eastAsia"/>
          <w:sz w:val="24"/>
          <w:szCs w:val="24"/>
        </w:rPr>
        <w:t>（H-1#楼5F风机配电箱）</w:t>
      </w:r>
    </w:p>
    <w:tbl>
      <w:tblPr>
        <w:tblStyle w:val="7"/>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2760"/>
        <w:gridCol w:w="540"/>
        <w:gridCol w:w="1280"/>
        <w:gridCol w:w="2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gridSpan w:val="5"/>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求电压损失计算表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配线形式</w:t>
            </w:r>
          </w:p>
        </w:tc>
        <w:tc>
          <w:tcPr>
            <w:tcW w:w="276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线路名称</w:t>
            </w:r>
          </w:p>
        </w:tc>
        <w:tc>
          <w:tcPr>
            <w:tcW w:w="4380" w:type="dxa"/>
            <w:gridSpan w:val="3"/>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导线类型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三相线路</w:t>
            </w:r>
          </w:p>
        </w:tc>
        <w:tc>
          <w:tcPr>
            <w:tcW w:w="276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1KV聚乙烯绝缘电力电缆用于三相380V系统</w:t>
            </w:r>
          </w:p>
        </w:tc>
        <w:tc>
          <w:tcPr>
            <w:tcW w:w="54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铜导线</w:t>
            </w:r>
          </w:p>
        </w:tc>
        <w:tc>
          <w:tcPr>
            <w:tcW w:w="12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截面积:10.00</w:t>
            </w:r>
          </w:p>
        </w:tc>
        <w:tc>
          <w:tcPr>
            <w:tcW w:w="256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电  阻 = 2.175感  抗 = 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0" w:type="dxa"/>
            <w:gridSpan w:val="5"/>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负荷情况  (用负荷矩计算)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负荷序号</w:t>
            </w:r>
          </w:p>
        </w:tc>
        <w:tc>
          <w:tcPr>
            <w:tcW w:w="330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有功负荷 (kW)</w:t>
            </w:r>
          </w:p>
        </w:tc>
        <w:tc>
          <w:tcPr>
            <w:tcW w:w="384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线路长度 (km)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1</w:t>
            </w:r>
          </w:p>
        </w:tc>
        <w:tc>
          <w:tcPr>
            <w:tcW w:w="330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2</w:t>
            </w:r>
          </w:p>
        </w:tc>
        <w:tc>
          <w:tcPr>
            <w:tcW w:w="3840" w:type="dxa"/>
            <w:gridSpan w:val="2"/>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0" w:type="dxa"/>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计算结果</w:t>
            </w:r>
          </w:p>
        </w:tc>
        <w:tc>
          <w:tcPr>
            <w:tcW w:w="7140" w:type="dxa"/>
            <w:gridSpan w:val="4"/>
            <w:tcBorders>
              <w:top w:val="single" w:color="auto" w:sz="4" w:space="0"/>
              <w:left w:val="single" w:color="auto" w:sz="4" w:space="0"/>
              <w:bottom w:val="single" w:color="auto" w:sz="4" w:space="0"/>
              <w:right w:val="single" w:color="auto" w:sz="4" w:space="0"/>
            </w:tcBorders>
            <w:vAlign w:val="center"/>
          </w:tcPr>
          <w:p>
            <w:pPr>
              <w:rPr>
                <w:sz w:val="24"/>
                <w:szCs w:val="24"/>
              </w:rPr>
            </w:pPr>
            <w:r>
              <w:rPr>
                <w:rFonts w:hint="eastAsia"/>
                <w:sz w:val="24"/>
                <w:szCs w:val="24"/>
              </w:rPr>
              <w:t>线路电压损失 (%):1.05</w:t>
            </w:r>
          </w:p>
        </w:tc>
      </w:tr>
    </w:tbl>
    <w:p>
      <w:pPr>
        <w:rPr>
          <w:sz w:val="24"/>
          <w:szCs w:val="24"/>
        </w:rPr>
      </w:pPr>
      <w:r>
        <w:rPr>
          <w:rFonts w:hint="eastAsia"/>
          <w:sz w:val="24"/>
          <w:szCs w:val="24"/>
        </w:rPr>
        <w:t xml:space="preserve"> 本回路低压损失小于5%，满足要求。</w:t>
      </w:r>
    </w:p>
    <w:p>
      <w:pPr>
        <w:rPr>
          <w:b/>
          <w:sz w:val="28"/>
          <w:szCs w:val="28"/>
        </w:rPr>
      </w:pPr>
      <w:bookmarkStart w:id="2" w:name="OLE_LINK6"/>
      <w:bookmarkStart w:id="3" w:name="OLE_LINK5"/>
      <w:r>
        <w:rPr>
          <w:rFonts w:hint="eastAsia"/>
          <w:b/>
          <w:sz w:val="28"/>
          <w:szCs w:val="28"/>
        </w:rPr>
        <w:t>四、年雷击次数计算：</w:t>
      </w:r>
    </w:p>
    <w:bookmarkEnd w:id="2"/>
    <w:bookmarkEnd w:id="3"/>
    <w:p>
      <w:pPr>
        <w:jc w:val="left"/>
        <w:rPr>
          <w:rFonts w:ascii="宋体" w:hAnsi="宋体" w:eastAsia="宋体" w:cs="宋体"/>
          <w:sz w:val="20"/>
        </w:rPr>
      </w:pPr>
      <w:r>
        <w:rPr>
          <w:rFonts w:hint="eastAsia" w:ascii="宋体" w:hAnsi="宋体" w:eastAsia="宋体" w:cs="宋体"/>
          <w:sz w:val="20"/>
        </w:rPr>
        <w:t xml:space="preserve">工程名:重庆g42沪蓉高速公路龙溪河服务区项目北区 </w:t>
      </w:r>
    </w:p>
    <w:p>
      <w:pPr>
        <w:jc w:val="left"/>
        <w:rPr>
          <w:rFonts w:ascii="宋体" w:hAnsi="宋体" w:eastAsia="宋体" w:cs="宋体"/>
          <w:sz w:val="20"/>
        </w:rPr>
      </w:pPr>
      <w:r>
        <w:rPr>
          <w:rFonts w:hint="eastAsia" w:ascii="宋体" w:hAnsi="宋体" w:eastAsia="宋体" w:cs="宋体"/>
          <w:sz w:val="20"/>
        </w:rPr>
        <w:t>计算者:</w:t>
      </w:r>
    </w:p>
    <w:p>
      <w:pPr>
        <w:jc w:val="left"/>
        <w:rPr>
          <w:rFonts w:ascii="宋体" w:hAnsi="宋体" w:eastAsia="宋体" w:cs="宋体"/>
          <w:sz w:val="20"/>
        </w:rPr>
      </w:pPr>
      <w:r>
        <w:rPr>
          <w:rFonts w:hint="eastAsia" w:ascii="宋体" w:hAnsi="宋体" w:eastAsia="宋体" w:cs="宋体"/>
          <w:sz w:val="20"/>
        </w:rPr>
        <w:t>计算时间:</w:t>
      </w:r>
    </w:p>
    <w:p>
      <w:pPr>
        <w:jc w:val="left"/>
        <w:rPr>
          <w:rFonts w:ascii="宋体" w:hAnsi="宋体" w:eastAsia="宋体" w:cs="宋体"/>
          <w:sz w:val="20"/>
        </w:rPr>
      </w:pPr>
      <w:r>
        <w:rPr>
          <w:rFonts w:hint="eastAsia" w:ascii="宋体" w:hAnsi="宋体" w:eastAsia="宋体" w:cs="宋体"/>
          <w:sz w:val="20"/>
        </w:rPr>
        <w:t>参考规范：《建筑物防雷设计规范》GB50057―2010</w:t>
      </w:r>
    </w:p>
    <w:p>
      <w:pPr>
        <w:jc w:val="left"/>
        <w:rPr>
          <w:rFonts w:ascii="宋体" w:hAnsi="宋体" w:eastAsia="宋体" w:cs="宋体"/>
          <w:b/>
          <w:bCs/>
          <w:sz w:val="24"/>
        </w:rPr>
      </w:pPr>
      <w:r>
        <w:rPr>
          <w:rFonts w:hint="eastAsia" w:ascii="宋体" w:hAnsi="宋体" w:eastAsia="宋体" w:cs="宋体"/>
          <w:b/>
          <w:bCs/>
          <w:sz w:val="24"/>
          <w:szCs w:val="24"/>
        </w:rPr>
        <w:t>单体名称：综合楼</w:t>
      </w:r>
    </w:p>
    <w:p>
      <w:pPr>
        <w:jc w:val="left"/>
        <w:rPr>
          <w:rFonts w:ascii="宋体" w:hAnsi="宋体" w:eastAsia="宋体"/>
          <w:b/>
          <w:sz w:val="24"/>
        </w:rPr>
      </w:pPr>
      <w:r>
        <w:rPr>
          <w:rFonts w:hint="eastAsia" w:ascii="宋体" w:hAnsi="宋体" w:eastAsia="宋体"/>
          <w:b/>
          <w:sz w:val="24"/>
        </w:rPr>
        <w:t>1.已知条件:</w:t>
      </w:r>
    </w:p>
    <w:p>
      <w:pPr>
        <w:jc w:val="left"/>
        <w:rPr>
          <w:rFonts w:ascii="宋体" w:hAnsi="宋体" w:eastAsia="宋体"/>
          <w:sz w:val="20"/>
        </w:rPr>
      </w:pPr>
      <w:r>
        <w:rPr>
          <w:rFonts w:hint="eastAsia" w:ascii="宋体" w:hAnsi="宋体" w:eastAsia="宋体"/>
          <w:sz w:val="20"/>
        </w:rPr>
        <w:t xml:space="preserve">        建筑物的长度L = 78.4m</w:t>
      </w:r>
    </w:p>
    <w:p>
      <w:pPr>
        <w:jc w:val="left"/>
        <w:rPr>
          <w:rFonts w:ascii="宋体" w:hAnsi="宋体" w:eastAsia="宋体"/>
          <w:sz w:val="20"/>
        </w:rPr>
      </w:pPr>
      <w:r>
        <w:rPr>
          <w:rFonts w:hint="eastAsia" w:ascii="宋体" w:hAnsi="宋体" w:eastAsia="宋体"/>
          <w:sz w:val="20"/>
        </w:rPr>
        <w:t xml:space="preserve">        建筑物的宽度W = 24.1m</w:t>
      </w:r>
    </w:p>
    <w:p>
      <w:pPr>
        <w:jc w:val="left"/>
        <w:rPr>
          <w:rFonts w:ascii="宋体" w:hAnsi="宋体" w:eastAsia="宋体"/>
          <w:sz w:val="20"/>
        </w:rPr>
      </w:pPr>
      <w:r>
        <w:rPr>
          <w:rFonts w:hint="eastAsia" w:ascii="宋体" w:hAnsi="宋体" w:eastAsia="宋体"/>
          <w:sz w:val="20"/>
        </w:rPr>
        <w:t xml:space="preserve">        建筑物的高度H = 10m</w:t>
      </w:r>
    </w:p>
    <w:p>
      <w:pPr>
        <w:jc w:val="left"/>
        <w:rPr>
          <w:rFonts w:ascii="宋体" w:hAnsi="宋体" w:eastAsia="宋体"/>
          <w:sz w:val="20"/>
        </w:rPr>
      </w:pPr>
      <w:r>
        <w:rPr>
          <w:rFonts w:hint="eastAsia" w:ascii="宋体" w:hAnsi="宋体" w:eastAsia="宋体"/>
          <w:sz w:val="20"/>
        </w:rPr>
        <w:t xml:space="preserve">        当地的年平均雷暴日天数Td =38.5天/年</w:t>
      </w:r>
    </w:p>
    <w:p>
      <w:pPr>
        <w:jc w:val="left"/>
        <w:rPr>
          <w:rFonts w:ascii="宋体" w:hAnsi="宋体" w:eastAsia="宋体"/>
          <w:sz w:val="20"/>
        </w:rPr>
      </w:pPr>
      <w:r>
        <w:rPr>
          <w:rFonts w:hint="eastAsia" w:ascii="宋体" w:hAnsi="宋体" w:eastAsia="宋体"/>
          <w:sz w:val="20"/>
        </w:rPr>
        <w:t xml:space="preserve">        校正系数k = 1.0</w:t>
      </w:r>
    </w:p>
    <w:p>
      <w:pPr>
        <w:jc w:val="left"/>
        <w:rPr>
          <w:rFonts w:ascii="宋体" w:hAnsi="宋体" w:eastAsia="宋体"/>
          <w:sz w:val="20"/>
        </w:rPr>
      </w:pPr>
      <w:r>
        <w:rPr>
          <w:rFonts w:hint="eastAsia" w:ascii="宋体" w:hAnsi="宋体" w:eastAsia="宋体"/>
          <w:sz w:val="20"/>
        </w:rPr>
        <w:t xml:space="preserve">        不考虑周边建筑影响。</w:t>
      </w:r>
    </w:p>
    <w:p>
      <w:pPr>
        <w:jc w:val="left"/>
        <w:rPr>
          <w:rFonts w:ascii="宋体" w:hAnsi="宋体" w:eastAsia="宋体"/>
          <w:b/>
          <w:sz w:val="24"/>
        </w:rPr>
      </w:pPr>
      <w:r>
        <w:rPr>
          <w:rFonts w:hint="eastAsia" w:ascii="宋体" w:hAnsi="宋体" w:eastAsia="宋体"/>
          <w:b/>
          <w:sz w:val="24"/>
        </w:rPr>
        <w:t>2.计算公式:</w:t>
      </w:r>
    </w:p>
    <w:p>
      <w:pPr>
        <w:jc w:val="left"/>
        <w:rPr>
          <w:rFonts w:ascii="宋体" w:hAnsi="宋体" w:eastAsia="宋体"/>
          <w:sz w:val="20"/>
        </w:rPr>
      </w:pPr>
      <w:r>
        <w:rPr>
          <w:rFonts w:hint="eastAsia" w:ascii="宋体" w:hAnsi="宋体" w:eastAsia="宋体"/>
          <w:sz w:val="20"/>
        </w:rPr>
        <w:t xml:space="preserve">        年预计雷击次数: N = k*Ng*Ae = 0.0647</w:t>
      </w:r>
    </w:p>
    <w:p>
      <w:pPr>
        <w:jc w:val="left"/>
        <w:rPr>
          <w:rFonts w:ascii="宋体" w:hAnsi="宋体" w:eastAsia="宋体"/>
          <w:sz w:val="20"/>
        </w:rPr>
      </w:pPr>
      <w:r>
        <w:rPr>
          <w:rFonts w:hint="eastAsia" w:ascii="宋体" w:hAnsi="宋体" w:eastAsia="宋体"/>
          <w:sz w:val="20"/>
        </w:rPr>
        <w:t xml:space="preserve">        其中: 建筑物的雷击大地的年平均密度: Ng = 0.1*Td = 0.1*38.5 = 3.8500</w:t>
      </w:r>
    </w:p>
    <w:p>
      <w:pPr>
        <w:jc w:val="left"/>
        <w:rPr>
          <w:rFonts w:ascii="宋体" w:hAnsi="宋体" w:eastAsia="宋体"/>
          <w:sz w:val="20"/>
        </w:rPr>
      </w:pPr>
      <w:r>
        <w:rPr>
          <w:rFonts w:hint="eastAsia" w:ascii="宋体" w:hAnsi="宋体" w:eastAsia="宋体"/>
          <w:sz w:val="20"/>
        </w:rPr>
        <w:t xml:space="preserve">        等效面积Ae为: H&lt;100m,</w:t>
      </w:r>
    </w:p>
    <w:p>
      <w:pPr>
        <w:jc w:val="left"/>
        <w:rPr>
          <w:rFonts w:ascii="宋体" w:hAnsi="宋体" w:eastAsia="宋体"/>
          <w:sz w:val="20"/>
        </w:rPr>
      </w:pPr>
      <w:r>
        <w:rPr>
          <w:rFonts w:hint="eastAsia" w:ascii="宋体" w:hAnsi="宋体" w:eastAsia="宋体"/>
          <w:sz w:val="20"/>
        </w:rPr>
        <w:t xml:space="preserve">           Ae =[LW+2(L+W)*SQRT(H*(200-H))+3.1415926*H(200-H)]*10^(-6) = 0.0168</w:t>
      </w:r>
    </w:p>
    <w:p>
      <w:pPr>
        <w:jc w:val="left"/>
        <w:rPr>
          <w:rFonts w:ascii="宋体" w:hAnsi="宋体" w:eastAsia="宋体" w:cs="宋体"/>
          <w:b/>
          <w:sz w:val="24"/>
        </w:rPr>
      </w:pPr>
      <w:r>
        <w:rPr>
          <w:rFonts w:hint="eastAsia" w:ascii="宋体" w:hAnsi="宋体" w:eastAsia="宋体" w:cs="宋体"/>
          <w:b/>
          <w:sz w:val="24"/>
        </w:rPr>
        <w:t>3.计算结果:</w:t>
      </w:r>
    </w:p>
    <w:p>
      <w:pPr>
        <w:jc w:val="left"/>
        <w:rPr>
          <w:rFonts w:ascii="宋体" w:hAnsi="宋体" w:eastAsia="宋体" w:cs="宋体"/>
          <w:sz w:val="20"/>
        </w:rPr>
      </w:pPr>
      <w:r>
        <w:rPr>
          <w:rFonts w:hint="eastAsia" w:ascii="宋体" w:hAnsi="宋体" w:eastAsia="宋体" w:cs="宋体"/>
          <w:sz w:val="20"/>
        </w:rPr>
        <w:t xml:space="preserve">        根据《防雷设计规范》，该建筑应该属于第二类防雷建筑。</w:t>
      </w:r>
    </w:p>
    <w:p>
      <w:pPr>
        <w:jc w:val="left"/>
        <w:rPr>
          <w:rFonts w:ascii="宋体" w:hAnsi="宋体" w:eastAsia="宋体" w:cs="宋体"/>
          <w:sz w:val="20"/>
        </w:rPr>
      </w:pPr>
      <w:r>
        <w:rPr>
          <w:rFonts w:hint="eastAsia" w:ascii="宋体" w:hAnsi="宋体" w:eastAsia="宋体" w:cs="宋体"/>
          <w:sz w:val="20"/>
        </w:rPr>
        <w:t xml:space="preserve">        附录:</w:t>
      </w:r>
    </w:p>
    <w:p>
      <w:pPr>
        <w:jc w:val="left"/>
        <w:rPr>
          <w:rFonts w:ascii="宋体" w:hAnsi="宋体" w:eastAsia="宋体" w:cs="宋体"/>
          <w:sz w:val="20"/>
        </w:rPr>
      </w:pPr>
      <w:r>
        <w:rPr>
          <w:rFonts w:hint="eastAsia" w:ascii="宋体" w:hAnsi="宋体" w:eastAsia="宋体" w:cs="宋体"/>
          <w:sz w:val="20"/>
        </w:rPr>
        <w:t xml:space="preserve">        二类:N&gt;0.05 省部级办公建筑和其他重要场所、人员密集场所 。</w:t>
      </w:r>
    </w:p>
    <w:p>
      <w:pPr>
        <w:jc w:val="left"/>
        <w:rPr>
          <w:rFonts w:ascii="宋体" w:hAnsi="宋体" w:eastAsia="宋体" w:cs="宋体"/>
          <w:sz w:val="20"/>
        </w:rPr>
      </w:pPr>
      <w:r>
        <w:rPr>
          <w:rFonts w:hint="eastAsia" w:ascii="宋体" w:hAnsi="宋体" w:eastAsia="宋体" w:cs="宋体"/>
          <w:sz w:val="20"/>
        </w:rPr>
        <w:t xml:space="preserve">             N&gt;0.25 住宅、办公楼等一般性民用建筑物或一般性工业建筑。</w:t>
      </w:r>
    </w:p>
    <w:p>
      <w:pPr>
        <w:jc w:val="left"/>
        <w:rPr>
          <w:rFonts w:ascii="宋体" w:hAnsi="宋体" w:eastAsia="宋体" w:cs="宋体"/>
          <w:sz w:val="20"/>
        </w:rPr>
      </w:pPr>
      <w:r>
        <w:rPr>
          <w:rFonts w:hint="eastAsia" w:ascii="宋体" w:hAnsi="宋体" w:eastAsia="宋体" w:cs="宋体"/>
          <w:sz w:val="20"/>
        </w:rPr>
        <w:t xml:space="preserve">        三类:0.01&lt;=N&lt;=0.05 省部级办公建筑和其他重要场所、人员密集场所。</w:t>
      </w:r>
    </w:p>
    <w:p>
      <w:pPr>
        <w:jc w:val="left"/>
        <w:rPr>
          <w:rFonts w:ascii="宋体" w:hAnsi="宋体" w:eastAsia="宋体" w:cs="宋体"/>
          <w:sz w:val="20"/>
        </w:rPr>
      </w:pPr>
      <w:r>
        <w:rPr>
          <w:rFonts w:hint="eastAsia" w:ascii="宋体" w:hAnsi="宋体" w:eastAsia="宋体" w:cs="宋体"/>
          <w:sz w:val="20"/>
        </w:rPr>
        <w:t xml:space="preserve">             0.05&lt;=N&lt;=0.25 住宅、办公楼等一般性民用建筑物或一般性工业建筑。</w:t>
      </w:r>
    </w:p>
    <w:p>
      <w:pPr>
        <w:jc w:val="left"/>
        <w:rPr>
          <w:rFonts w:ascii="宋体" w:hAnsi="宋体" w:eastAsia="宋体" w:cs="宋体"/>
          <w:sz w:val="20"/>
        </w:rPr>
      </w:pPr>
    </w:p>
    <w:p>
      <w:pPr>
        <w:jc w:val="left"/>
        <w:rPr>
          <w:rFonts w:ascii="宋体" w:hAnsi="宋体" w:eastAsia="宋体" w:cs="宋体"/>
          <w:b/>
          <w:bCs/>
          <w:sz w:val="24"/>
        </w:rPr>
      </w:pPr>
      <w:r>
        <w:rPr>
          <w:rFonts w:hint="eastAsia" w:ascii="宋体" w:hAnsi="宋体" w:eastAsia="宋体" w:cs="宋体"/>
          <w:b/>
          <w:bCs/>
          <w:sz w:val="24"/>
          <w:szCs w:val="24"/>
        </w:rPr>
        <w:t>单体名称：水配房</w:t>
      </w:r>
    </w:p>
    <w:p>
      <w:pPr>
        <w:jc w:val="left"/>
        <w:rPr>
          <w:rFonts w:ascii="宋体" w:hAnsi="宋体" w:eastAsia="宋体"/>
          <w:b/>
          <w:sz w:val="24"/>
        </w:rPr>
      </w:pPr>
      <w:r>
        <w:rPr>
          <w:rFonts w:hint="eastAsia" w:ascii="宋体" w:hAnsi="宋体" w:eastAsia="宋体"/>
          <w:b/>
          <w:sz w:val="24"/>
        </w:rPr>
        <w:t>1.已知条件:</w:t>
      </w:r>
    </w:p>
    <w:p>
      <w:pPr>
        <w:jc w:val="left"/>
        <w:rPr>
          <w:rFonts w:ascii="宋体" w:hAnsi="宋体" w:eastAsia="宋体"/>
          <w:sz w:val="20"/>
        </w:rPr>
      </w:pPr>
      <w:r>
        <w:rPr>
          <w:rFonts w:hint="eastAsia" w:ascii="宋体" w:hAnsi="宋体" w:eastAsia="宋体"/>
          <w:sz w:val="20"/>
        </w:rPr>
        <w:t xml:space="preserve">        建筑物的长度L = 36.7m</w:t>
      </w:r>
    </w:p>
    <w:p>
      <w:pPr>
        <w:jc w:val="left"/>
        <w:rPr>
          <w:rFonts w:ascii="宋体" w:hAnsi="宋体" w:eastAsia="宋体"/>
          <w:sz w:val="20"/>
        </w:rPr>
      </w:pPr>
      <w:r>
        <w:rPr>
          <w:rFonts w:hint="eastAsia" w:ascii="宋体" w:hAnsi="宋体" w:eastAsia="宋体"/>
          <w:sz w:val="20"/>
        </w:rPr>
        <w:t xml:space="preserve">        建筑物的宽度W = 7.4m</w:t>
      </w:r>
    </w:p>
    <w:p>
      <w:pPr>
        <w:jc w:val="left"/>
        <w:rPr>
          <w:rFonts w:ascii="宋体" w:hAnsi="宋体" w:eastAsia="宋体"/>
          <w:sz w:val="20"/>
        </w:rPr>
      </w:pPr>
      <w:r>
        <w:rPr>
          <w:rFonts w:hint="eastAsia" w:ascii="宋体" w:hAnsi="宋体" w:eastAsia="宋体"/>
          <w:sz w:val="20"/>
        </w:rPr>
        <w:t xml:space="preserve">        建筑物的高度H = 4.8m</w:t>
      </w:r>
    </w:p>
    <w:p>
      <w:pPr>
        <w:jc w:val="left"/>
        <w:rPr>
          <w:rFonts w:ascii="宋体" w:hAnsi="宋体" w:eastAsia="宋体"/>
          <w:sz w:val="20"/>
        </w:rPr>
      </w:pPr>
      <w:r>
        <w:rPr>
          <w:rFonts w:hint="eastAsia" w:ascii="宋体" w:hAnsi="宋体" w:eastAsia="宋体"/>
          <w:sz w:val="20"/>
        </w:rPr>
        <w:t xml:space="preserve">        当地的年平均雷暴日天数Td =38.5天/年</w:t>
      </w:r>
    </w:p>
    <w:p>
      <w:pPr>
        <w:jc w:val="left"/>
        <w:rPr>
          <w:rFonts w:ascii="宋体" w:hAnsi="宋体" w:eastAsia="宋体"/>
          <w:sz w:val="20"/>
        </w:rPr>
      </w:pPr>
      <w:r>
        <w:rPr>
          <w:rFonts w:hint="eastAsia" w:ascii="宋体" w:hAnsi="宋体" w:eastAsia="宋体"/>
          <w:sz w:val="20"/>
        </w:rPr>
        <w:t xml:space="preserve">        校正系数k = 1.0</w:t>
      </w:r>
    </w:p>
    <w:p>
      <w:pPr>
        <w:jc w:val="left"/>
        <w:rPr>
          <w:rFonts w:ascii="宋体" w:hAnsi="宋体" w:eastAsia="宋体"/>
          <w:sz w:val="20"/>
        </w:rPr>
      </w:pPr>
      <w:r>
        <w:rPr>
          <w:rFonts w:hint="eastAsia" w:ascii="宋体" w:hAnsi="宋体" w:eastAsia="宋体"/>
          <w:sz w:val="20"/>
        </w:rPr>
        <w:t xml:space="preserve">        不考虑周边建筑影响。</w:t>
      </w:r>
    </w:p>
    <w:p>
      <w:pPr>
        <w:jc w:val="left"/>
        <w:rPr>
          <w:rFonts w:ascii="宋体" w:hAnsi="宋体" w:eastAsia="宋体"/>
          <w:b/>
          <w:sz w:val="24"/>
        </w:rPr>
      </w:pPr>
      <w:r>
        <w:rPr>
          <w:rFonts w:hint="eastAsia" w:ascii="宋体" w:hAnsi="宋体" w:eastAsia="宋体"/>
          <w:b/>
          <w:sz w:val="24"/>
        </w:rPr>
        <w:t>2.计算公式:</w:t>
      </w:r>
    </w:p>
    <w:p>
      <w:pPr>
        <w:jc w:val="left"/>
        <w:rPr>
          <w:rFonts w:ascii="宋体" w:hAnsi="宋体" w:eastAsia="宋体"/>
          <w:sz w:val="20"/>
        </w:rPr>
      </w:pPr>
      <w:r>
        <w:rPr>
          <w:rFonts w:hint="eastAsia" w:ascii="宋体" w:hAnsi="宋体" w:eastAsia="宋体"/>
          <w:sz w:val="20"/>
        </w:rPr>
        <w:t xml:space="preserve">        年预计雷击次数: N = k*Ng*Ae = 0.0227</w:t>
      </w:r>
    </w:p>
    <w:p>
      <w:pPr>
        <w:jc w:val="left"/>
        <w:rPr>
          <w:rFonts w:ascii="宋体" w:hAnsi="宋体" w:eastAsia="宋体"/>
          <w:sz w:val="20"/>
        </w:rPr>
      </w:pPr>
      <w:r>
        <w:rPr>
          <w:rFonts w:hint="eastAsia" w:ascii="宋体" w:hAnsi="宋体" w:eastAsia="宋体"/>
          <w:sz w:val="20"/>
        </w:rPr>
        <w:t xml:space="preserve">        其中: 建筑物的雷击大地的年平均密度: Ng = 0.1*Td = 0.1*38.5 = 3.8500</w:t>
      </w:r>
    </w:p>
    <w:p>
      <w:pPr>
        <w:jc w:val="left"/>
        <w:rPr>
          <w:rFonts w:ascii="宋体" w:hAnsi="宋体" w:eastAsia="宋体"/>
          <w:sz w:val="20"/>
        </w:rPr>
      </w:pPr>
      <w:r>
        <w:rPr>
          <w:rFonts w:hint="eastAsia" w:ascii="宋体" w:hAnsi="宋体" w:eastAsia="宋体"/>
          <w:sz w:val="20"/>
        </w:rPr>
        <w:t xml:space="preserve">        等效面积Ae为: H&lt;100m,</w:t>
      </w:r>
    </w:p>
    <w:p>
      <w:pPr>
        <w:jc w:val="left"/>
        <w:rPr>
          <w:rFonts w:ascii="宋体" w:hAnsi="宋体" w:eastAsia="宋体"/>
          <w:sz w:val="20"/>
        </w:rPr>
      </w:pPr>
      <w:r>
        <w:rPr>
          <w:rFonts w:hint="eastAsia" w:ascii="宋体" w:hAnsi="宋体" w:eastAsia="宋体"/>
          <w:sz w:val="20"/>
        </w:rPr>
        <w:t xml:space="preserve">           Ae =[LW+2(L+W)*SQRT(H*(200-H))+3.1415926*H(200-H)]*10^(-6) = 0.0059</w:t>
      </w:r>
    </w:p>
    <w:p>
      <w:pPr>
        <w:jc w:val="left"/>
        <w:rPr>
          <w:rFonts w:ascii="宋体" w:hAnsi="宋体" w:eastAsia="宋体" w:cs="宋体"/>
          <w:b/>
          <w:sz w:val="24"/>
        </w:rPr>
      </w:pPr>
      <w:r>
        <w:rPr>
          <w:rFonts w:hint="eastAsia" w:ascii="宋体" w:hAnsi="宋体" w:eastAsia="宋体" w:cs="宋体"/>
          <w:b/>
          <w:sz w:val="24"/>
        </w:rPr>
        <w:t>3.计算结果:</w:t>
      </w:r>
    </w:p>
    <w:p>
      <w:pPr>
        <w:jc w:val="left"/>
        <w:rPr>
          <w:rFonts w:ascii="宋体" w:hAnsi="宋体" w:eastAsia="宋体" w:cs="宋体"/>
          <w:sz w:val="20"/>
        </w:rPr>
      </w:pPr>
      <w:r>
        <w:rPr>
          <w:rFonts w:hint="eastAsia" w:ascii="宋体" w:hAnsi="宋体" w:eastAsia="宋体" w:cs="宋体"/>
          <w:sz w:val="20"/>
        </w:rPr>
        <w:t xml:space="preserve">        根据《防雷设计规范》，该建筑应该属于第三类防雷建筑。</w:t>
      </w:r>
    </w:p>
    <w:p>
      <w:pPr>
        <w:jc w:val="left"/>
        <w:rPr>
          <w:rFonts w:ascii="宋体" w:hAnsi="宋体" w:eastAsia="宋体" w:cs="宋体"/>
          <w:sz w:val="20"/>
        </w:rPr>
      </w:pPr>
      <w:r>
        <w:rPr>
          <w:rFonts w:hint="eastAsia" w:ascii="宋体" w:hAnsi="宋体" w:eastAsia="宋体" w:cs="宋体"/>
          <w:sz w:val="20"/>
        </w:rPr>
        <w:t xml:space="preserve">        附录:</w:t>
      </w:r>
    </w:p>
    <w:p>
      <w:pPr>
        <w:jc w:val="left"/>
        <w:rPr>
          <w:rFonts w:ascii="宋体" w:hAnsi="宋体" w:eastAsia="宋体" w:cs="宋体"/>
          <w:sz w:val="20"/>
        </w:rPr>
      </w:pPr>
      <w:r>
        <w:rPr>
          <w:rFonts w:hint="eastAsia" w:ascii="宋体" w:hAnsi="宋体" w:eastAsia="宋体" w:cs="宋体"/>
          <w:sz w:val="20"/>
        </w:rPr>
        <w:t xml:space="preserve">        二类:N&gt;0.05 省部级办公建筑和其他重要场所、人员密集场所 。</w:t>
      </w:r>
    </w:p>
    <w:p>
      <w:pPr>
        <w:jc w:val="left"/>
        <w:rPr>
          <w:rFonts w:ascii="宋体" w:hAnsi="宋体" w:eastAsia="宋体" w:cs="宋体"/>
          <w:sz w:val="20"/>
        </w:rPr>
      </w:pPr>
      <w:r>
        <w:rPr>
          <w:rFonts w:hint="eastAsia" w:ascii="宋体" w:hAnsi="宋体" w:eastAsia="宋体" w:cs="宋体"/>
          <w:sz w:val="20"/>
        </w:rPr>
        <w:t xml:space="preserve">             N&gt;0.25 住宅、办公楼等一般性民用建筑物或一般性工业建筑。</w:t>
      </w:r>
    </w:p>
    <w:p>
      <w:pPr>
        <w:jc w:val="left"/>
        <w:rPr>
          <w:rFonts w:ascii="宋体" w:hAnsi="宋体" w:eastAsia="宋体" w:cs="宋体"/>
          <w:sz w:val="20"/>
        </w:rPr>
      </w:pPr>
      <w:r>
        <w:rPr>
          <w:rFonts w:hint="eastAsia" w:ascii="宋体" w:hAnsi="宋体" w:eastAsia="宋体" w:cs="宋体"/>
          <w:sz w:val="20"/>
        </w:rPr>
        <w:t xml:space="preserve">        三类:0.01&lt;=N&lt;=0.05 省部级办公建筑和其他重要场所、人员密集场所。</w:t>
      </w:r>
    </w:p>
    <w:p>
      <w:pPr>
        <w:jc w:val="left"/>
        <w:rPr>
          <w:rFonts w:ascii="宋体" w:hAnsi="宋体" w:eastAsia="宋体" w:cs="宋体"/>
          <w:sz w:val="20"/>
        </w:rPr>
      </w:pPr>
      <w:r>
        <w:rPr>
          <w:rFonts w:hint="eastAsia" w:ascii="宋体" w:hAnsi="宋体" w:eastAsia="宋体" w:cs="宋体"/>
          <w:sz w:val="20"/>
        </w:rPr>
        <w:t xml:space="preserve">             0.05&lt;=N&lt;=0.25 住宅、办公楼等一般性民用建筑物或一般性工业建筑。</w:t>
      </w:r>
    </w:p>
    <w:p>
      <w:pPr>
        <w:jc w:val="left"/>
        <w:rPr>
          <w:rFonts w:ascii="宋体" w:hAnsi="宋体" w:eastAsia="宋体" w:cs="宋体"/>
          <w:sz w:val="20"/>
        </w:rPr>
      </w:pPr>
    </w:p>
    <w:p>
      <w:pPr>
        <w:rPr>
          <w:b/>
          <w:sz w:val="28"/>
          <w:szCs w:val="28"/>
        </w:rPr>
      </w:pPr>
      <w:r>
        <w:rPr>
          <w:rFonts w:hint="eastAsia"/>
          <w:b/>
          <w:sz w:val="28"/>
          <w:szCs w:val="28"/>
        </w:rPr>
        <w:t>五、典型场所照度计算：</w:t>
      </w:r>
    </w:p>
    <w:p>
      <w:pPr>
        <w:jc w:val="left"/>
        <w:rPr>
          <w:rFonts w:ascii="黑体" w:hAnsi="黑体" w:eastAsia="黑体"/>
          <w:sz w:val="30"/>
        </w:rPr>
      </w:pPr>
      <w:r>
        <w:rPr>
          <w:rFonts w:hint="eastAsia" w:ascii="黑体" w:hAnsi="黑体" w:eastAsia="黑体"/>
          <w:sz w:val="30"/>
        </w:rPr>
        <w:t>(1)</w:t>
      </w:r>
    </w:p>
    <w:p>
      <w:pPr>
        <w:jc w:val="left"/>
        <w:rPr>
          <w:rFonts w:ascii="宋体" w:hAnsi="宋体" w:eastAsia="宋体"/>
          <w:sz w:val="20"/>
        </w:rPr>
      </w:pPr>
      <w:r>
        <w:rPr>
          <w:rFonts w:hint="eastAsia" w:ascii="宋体" w:hAnsi="宋体" w:eastAsia="宋体"/>
          <w:sz w:val="20"/>
        </w:rPr>
        <w:t>计算场所:电梯机房</w:t>
      </w:r>
    </w:p>
    <w:p>
      <w:pPr>
        <w:jc w:val="left"/>
        <w:rPr>
          <w:rFonts w:ascii="宋体" w:hAnsi="宋体" w:eastAsia="宋体"/>
          <w:sz w:val="20"/>
        </w:rPr>
      </w:pPr>
      <w:r>
        <w:rPr>
          <w:rFonts w:hint="eastAsia" w:ascii="宋体" w:hAnsi="宋体" w:eastAsia="宋体"/>
          <w:sz w:val="20"/>
        </w:rPr>
        <w:t>参考标准：《建筑照明设计标准》/ GB50034-2013</w:t>
      </w:r>
    </w:p>
    <w:p>
      <w:pPr>
        <w:jc w:val="left"/>
        <w:rPr>
          <w:rFonts w:ascii="宋体" w:hAnsi="宋体" w:eastAsia="宋体"/>
          <w:sz w:val="20"/>
        </w:rPr>
      </w:pPr>
      <w:r>
        <w:rPr>
          <w:rFonts w:hint="eastAsia" w:ascii="宋体" w:hAnsi="宋体" w:eastAsia="宋体"/>
          <w:sz w:val="20"/>
        </w:rPr>
        <w:t>参考手册：《照明设计手册》第二版:</w:t>
      </w:r>
    </w:p>
    <w:p>
      <w:pPr>
        <w:jc w:val="left"/>
        <w:rPr>
          <w:rFonts w:ascii="宋体" w:hAnsi="宋体" w:eastAsia="宋体"/>
          <w:sz w:val="20"/>
        </w:rPr>
      </w:pPr>
      <w:r>
        <w:rPr>
          <w:rFonts w:hint="eastAsia" w:ascii="宋体" w:hAnsi="宋体" w:eastAsia="宋体"/>
          <w:sz w:val="20"/>
        </w:rPr>
        <w:t>计算方法：利用系数平均照度法</w:t>
      </w:r>
    </w:p>
    <w:p>
      <w:pPr>
        <w:jc w:val="left"/>
        <w:rPr>
          <w:rFonts w:ascii="黑体" w:hAnsi="黑体" w:eastAsia="黑体"/>
          <w:sz w:val="30"/>
        </w:rPr>
      </w:pPr>
      <w:r>
        <w:rPr>
          <w:rFonts w:hint="eastAsia" w:ascii="黑体" w:hAnsi="黑体" w:eastAsia="黑体"/>
          <w:sz w:val="30"/>
        </w:rPr>
        <w:t>1.房间参数</w:t>
      </w:r>
    </w:p>
    <w:p>
      <w:pPr>
        <w:jc w:val="left"/>
        <w:rPr>
          <w:rFonts w:ascii="宋体" w:hAnsi="宋体" w:eastAsia="宋体"/>
          <w:sz w:val="20"/>
        </w:rPr>
      </w:pPr>
      <w:r>
        <w:rPr>
          <w:rFonts w:hint="eastAsia" w:ascii="宋体" w:hAnsi="宋体" w:eastAsia="宋体"/>
          <w:sz w:val="20"/>
        </w:rPr>
        <w:t>房间类别： 照度要求值:200.00LX, 功率密度不超过6.00W/m2</w:t>
      </w:r>
    </w:p>
    <w:p>
      <w:pPr>
        <w:jc w:val="left"/>
        <w:rPr>
          <w:rFonts w:ascii="宋体" w:hAnsi="宋体" w:eastAsia="宋体"/>
          <w:sz w:val="20"/>
        </w:rPr>
      </w:pPr>
      <w:r>
        <w:rPr>
          <w:rFonts w:hint="eastAsia" w:ascii="宋体" w:hAnsi="宋体" w:eastAsia="宋体"/>
          <w:sz w:val="20"/>
        </w:rPr>
        <w:t>房间名称：</w:t>
      </w:r>
    </w:p>
    <w:p>
      <w:pPr>
        <w:jc w:val="left"/>
        <w:rPr>
          <w:rFonts w:ascii="宋体" w:hAnsi="宋体" w:eastAsia="宋体"/>
          <w:sz w:val="20"/>
        </w:rPr>
      </w:pPr>
      <w:r>
        <w:rPr>
          <w:rFonts w:hint="eastAsia" w:ascii="宋体" w:hAnsi="宋体" w:eastAsia="宋体"/>
          <w:sz w:val="20"/>
        </w:rPr>
        <w:t>房间长度L: 5.50 m, 房间宽度B: 6m, 计算高度H: 3 m</w:t>
      </w:r>
    </w:p>
    <w:p>
      <w:pPr>
        <w:jc w:val="left"/>
        <w:rPr>
          <w:rFonts w:ascii="宋体" w:hAnsi="宋体" w:eastAsia="宋体"/>
          <w:sz w:val="20"/>
        </w:rPr>
      </w:pPr>
      <w:r>
        <w:rPr>
          <w:rFonts w:hint="eastAsia" w:ascii="宋体" w:hAnsi="宋体" w:eastAsia="宋体"/>
          <w:sz w:val="20"/>
        </w:rPr>
        <w:t>顶棚反射比(%)：, 墙反射比(%)：, 地面反射比(%)：</w:t>
      </w:r>
    </w:p>
    <w:p>
      <w:pPr>
        <w:jc w:val="left"/>
        <w:rPr>
          <w:rFonts w:ascii="宋体" w:hAnsi="宋体" w:eastAsia="宋体"/>
          <w:sz w:val="20"/>
        </w:rPr>
      </w:pPr>
      <w:r>
        <w:rPr>
          <w:rFonts w:hint="eastAsia" w:ascii="宋体" w:hAnsi="宋体" w:eastAsia="宋体"/>
          <w:sz w:val="20"/>
        </w:rPr>
        <w:t>室形系数RI: 0.67</w:t>
      </w:r>
    </w:p>
    <w:p>
      <w:pPr>
        <w:jc w:val="left"/>
        <w:rPr>
          <w:rFonts w:ascii="黑体" w:hAnsi="黑体" w:eastAsia="黑体"/>
          <w:sz w:val="30"/>
        </w:rPr>
      </w:pPr>
      <w:r>
        <w:rPr>
          <w:rFonts w:hint="eastAsia" w:ascii="黑体" w:hAnsi="黑体" w:eastAsia="黑体"/>
          <w:sz w:val="30"/>
        </w:rPr>
        <w:t>2.灯具参数:</w:t>
      </w:r>
    </w:p>
    <w:p>
      <w:pPr>
        <w:jc w:val="left"/>
        <w:rPr>
          <w:rFonts w:ascii="宋体" w:hAnsi="宋体" w:eastAsia="宋体"/>
          <w:sz w:val="20"/>
        </w:rPr>
      </w:pPr>
      <w:r>
        <w:rPr>
          <w:rFonts w:hint="eastAsia" w:ascii="宋体" w:hAnsi="宋体" w:eastAsia="宋体"/>
          <w:sz w:val="20"/>
        </w:rPr>
        <w:t xml:space="preserve">型号: </w:t>
      </w:r>
      <w:r>
        <w:rPr>
          <w:rFonts w:ascii="宋体" w:hAnsi="宋体" w:eastAsia="宋体"/>
          <w:sz w:val="20"/>
        </w:rPr>
        <w:t>HQ87-25F2T5A  2X28W</w:t>
      </w:r>
      <w:r>
        <w:rPr>
          <w:rFonts w:hint="eastAsia" w:ascii="宋体" w:hAnsi="宋体" w:eastAsia="宋体"/>
          <w:sz w:val="20"/>
        </w:rPr>
        <w:t xml:space="preserve"> , 单灯具光源数:2个</w:t>
      </w:r>
    </w:p>
    <w:p>
      <w:pPr>
        <w:jc w:val="left"/>
        <w:rPr>
          <w:rFonts w:ascii="宋体" w:hAnsi="宋体" w:eastAsia="宋体"/>
          <w:sz w:val="20"/>
        </w:rPr>
      </w:pPr>
      <w:r>
        <w:rPr>
          <w:rFonts w:hint="eastAsia" w:ascii="宋体" w:hAnsi="宋体" w:eastAsia="宋体"/>
          <w:sz w:val="20"/>
        </w:rPr>
        <w:t>灯具光通量:  3600lm, 灯具光源功率:56W</w:t>
      </w:r>
    </w:p>
    <w:p>
      <w:pPr>
        <w:jc w:val="left"/>
        <w:rPr>
          <w:rFonts w:ascii="宋体" w:hAnsi="宋体" w:eastAsia="宋体"/>
          <w:sz w:val="20"/>
        </w:rPr>
      </w:pPr>
      <w:r>
        <w:rPr>
          <w:rFonts w:hint="eastAsia" w:ascii="宋体" w:hAnsi="宋体" w:eastAsia="宋体"/>
          <w:sz w:val="20"/>
        </w:rPr>
        <w:t>镇流器类型:TLD标准型, 镇流器功率:12.00</w:t>
      </w:r>
    </w:p>
    <w:p>
      <w:pPr>
        <w:jc w:val="left"/>
        <w:rPr>
          <w:rFonts w:ascii="黑体" w:hAnsi="黑体" w:eastAsia="黑体"/>
          <w:sz w:val="30"/>
        </w:rPr>
      </w:pPr>
      <w:r>
        <w:rPr>
          <w:rFonts w:hint="eastAsia" w:ascii="黑体" w:hAnsi="黑体" w:eastAsia="黑体"/>
          <w:sz w:val="30"/>
        </w:rPr>
        <w:t>3.其它参数:</w:t>
      </w:r>
    </w:p>
    <w:p>
      <w:pPr>
        <w:jc w:val="left"/>
        <w:rPr>
          <w:rFonts w:ascii="宋体" w:hAnsi="宋体" w:eastAsia="宋体"/>
          <w:sz w:val="20"/>
        </w:rPr>
      </w:pPr>
      <w:r>
        <w:rPr>
          <w:rFonts w:hint="eastAsia" w:ascii="宋体" w:hAnsi="宋体" w:eastAsia="宋体"/>
          <w:sz w:val="20"/>
        </w:rPr>
        <w:t>利用系数: 0.55, 维护系数: 0.80, 照度要求: 300.00LX, 功率密度要求:8.00W/m2</w:t>
      </w:r>
    </w:p>
    <w:p>
      <w:pPr>
        <w:jc w:val="left"/>
        <w:rPr>
          <w:rFonts w:ascii="黑体" w:hAnsi="黑体" w:eastAsia="黑体"/>
          <w:sz w:val="30"/>
        </w:rPr>
      </w:pPr>
      <w:r>
        <w:rPr>
          <w:rFonts w:hint="eastAsia" w:ascii="黑体" w:hAnsi="黑体" w:eastAsia="黑体"/>
          <w:sz w:val="30"/>
        </w:rPr>
        <w:t>4.计算结果:</w:t>
      </w:r>
    </w:p>
    <w:p>
      <w:pPr>
        <w:jc w:val="left"/>
        <w:rPr>
          <w:rFonts w:ascii="宋体" w:hAnsi="宋体" w:eastAsia="宋体"/>
          <w:b/>
          <w:sz w:val="22"/>
        </w:rPr>
      </w:pPr>
      <w:r>
        <w:rPr>
          <w:rFonts w:hint="eastAsia" w:ascii="宋体" w:hAnsi="宋体" w:eastAsia="宋体"/>
          <w:b/>
          <w:sz w:val="22"/>
        </w:rPr>
        <w:t>E = NΦUK / A</w:t>
      </w:r>
    </w:p>
    <w:p>
      <w:pPr>
        <w:jc w:val="left"/>
        <w:rPr>
          <w:rFonts w:ascii="宋体" w:hAnsi="宋体" w:eastAsia="宋体"/>
          <w:b/>
          <w:sz w:val="22"/>
        </w:rPr>
      </w:pPr>
      <w:r>
        <w:rPr>
          <w:rFonts w:hint="eastAsia" w:ascii="宋体" w:hAnsi="宋体" w:eastAsia="宋体"/>
          <w:b/>
          <w:sz w:val="22"/>
        </w:rPr>
        <w:t>N = EA / (ΦUK)</w:t>
      </w:r>
    </w:p>
    <w:p>
      <w:pPr>
        <w:jc w:val="left"/>
        <w:rPr>
          <w:rFonts w:ascii="宋体" w:hAnsi="宋体" w:eastAsia="宋体"/>
          <w:sz w:val="20"/>
        </w:rPr>
      </w:pPr>
      <w:r>
        <w:rPr>
          <w:rFonts w:hint="eastAsia" w:ascii="宋体" w:hAnsi="宋体" w:eastAsia="宋体"/>
          <w:sz w:val="20"/>
        </w:rPr>
        <w:t>其中：</w:t>
      </w:r>
    </w:p>
    <w:p>
      <w:pPr>
        <w:jc w:val="left"/>
        <w:rPr>
          <w:rFonts w:ascii="宋体" w:hAnsi="宋体" w:eastAsia="宋体"/>
          <w:sz w:val="20"/>
        </w:rPr>
      </w:pPr>
      <w:r>
        <w:rPr>
          <w:rFonts w:hint="eastAsia" w:ascii="宋体" w:hAnsi="宋体" w:eastAsia="宋体"/>
          <w:sz w:val="20"/>
        </w:rPr>
        <w:t>Φ-- 光通量lm, N -- 光源数量, U -- 利用系数, A -- 工作面面积m2, K -- 灯具维护系数</w:t>
      </w:r>
    </w:p>
    <w:p>
      <w:pPr>
        <w:jc w:val="left"/>
        <w:rPr>
          <w:rFonts w:ascii="宋体" w:hAnsi="宋体" w:eastAsia="宋体"/>
          <w:sz w:val="20"/>
        </w:rPr>
      </w:pPr>
    </w:p>
    <w:p>
      <w:pPr>
        <w:jc w:val="left"/>
        <w:rPr>
          <w:rFonts w:ascii="宋体" w:hAnsi="宋体" w:eastAsia="宋体"/>
          <w:sz w:val="20"/>
        </w:rPr>
      </w:pPr>
      <w:r>
        <w:rPr>
          <w:rFonts w:hint="eastAsia" w:ascii="宋体" w:hAnsi="宋体" w:eastAsia="宋体"/>
          <w:sz w:val="20"/>
        </w:rPr>
        <w:t>计算结果:</w:t>
      </w:r>
    </w:p>
    <w:p>
      <w:pPr>
        <w:jc w:val="left"/>
        <w:rPr>
          <w:rFonts w:ascii="宋体" w:hAnsi="宋体" w:eastAsia="宋体"/>
          <w:sz w:val="20"/>
        </w:rPr>
      </w:pPr>
      <w:r>
        <w:rPr>
          <w:rFonts w:hint="eastAsia" w:ascii="宋体" w:hAnsi="宋体" w:eastAsia="宋体"/>
          <w:sz w:val="20"/>
        </w:rPr>
        <w:t>建议灯具数: 2, 计算照度: 204LX</w:t>
      </w:r>
    </w:p>
    <w:p>
      <w:pPr>
        <w:jc w:val="left"/>
        <w:rPr>
          <w:rFonts w:ascii="宋体" w:hAnsi="宋体" w:eastAsia="宋体"/>
          <w:sz w:val="20"/>
        </w:rPr>
      </w:pPr>
      <w:r>
        <w:rPr>
          <w:rFonts w:hint="eastAsia" w:ascii="宋体" w:hAnsi="宋体" w:eastAsia="宋体"/>
          <w:sz w:val="20"/>
        </w:rPr>
        <w:t>实际安装功率 = 灯具数× (总光源功率 + 镇流器功率) = 112W</w:t>
      </w:r>
    </w:p>
    <w:p>
      <w:pPr>
        <w:jc w:val="left"/>
        <w:rPr>
          <w:rFonts w:ascii="宋体" w:hAnsi="宋体" w:eastAsia="宋体"/>
          <w:sz w:val="20"/>
        </w:rPr>
      </w:pPr>
      <w:r>
        <w:rPr>
          <w:rFonts w:hint="eastAsia" w:ascii="宋体" w:hAnsi="宋体" w:eastAsia="宋体"/>
          <w:sz w:val="20"/>
        </w:rPr>
        <w:t>实际功率密度: 3.4W/m2</w:t>
      </w:r>
    </w:p>
    <w:p>
      <w:pPr>
        <w:jc w:val="left"/>
        <w:rPr>
          <w:rFonts w:ascii="黑体" w:hAnsi="黑体" w:eastAsia="黑体"/>
          <w:sz w:val="30"/>
        </w:rPr>
      </w:pPr>
      <w:r>
        <w:rPr>
          <w:rFonts w:hint="eastAsia" w:ascii="黑体" w:hAnsi="黑体" w:eastAsia="黑体"/>
          <w:sz w:val="30"/>
        </w:rPr>
        <w:t>5.校验结果:</w:t>
      </w:r>
    </w:p>
    <w:p>
      <w:pPr>
        <w:jc w:val="left"/>
        <w:rPr>
          <w:rFonts w:ascii="宋体" w:hAnsi="宋体" w:eastAsia="宋体"/>
          <w:sz w:val="20"/>
        </w:rPr>
      </w:pPr>
      <w:r>
        <w:rPr>
          <w:rFonts w:hint="eastAsia" w:ascii="宋体" w:hAnsi="宋体" w:eastAsia="宋体"/>
          <w:sz w:val="20"/>
        </w:rPr>
        <w:t>要求平均照度:200.00LX, 实际计算平均照度:204LX</w:t>
      </w:r>
    </w:p>
    <w:p>
      <w:pPr>
        <w:jc w:val="left"/>
        <w:rPr>
          <w:rFonts w:ascii="宋体" w:hAnsi="宋体" w:eastAsia="宋体"/>
          <w:b/>
          <w:sz w:val="20"/>
        </w:rPr>
      </w:pPr>
      <w:r>
        <w:rPr>
          <w:rFonts w:hint="eastAsia" w:ascii="宋体" w:hAnsi="宋体" w:eastAsia="宋体"/>
          <w:b/>
          <w:sz w:val="20"/>
        </w:rPr>
        <w:t>符合规范照度要求!</w:t>
      </w:r>
    </w:p>
    <w:p>
      <w:pPr>
        <w:jc w:val="left"/>
        <w:rPr>
          <w:rFonts w:ascii="宋体" w:hAnsi="宋体" w:eastAsia="宋体"/>
          <w:b/>
          <w:sz w:val="20"/>
        </w:rPr>
      </w:pPr>
    </w:p>
    <w:p>
      <w:pPr>
        <w:jc w:val="left"/>
        <w:rPr>
          <w:rFonts w:ascii="宋体" w:hAnsi="宋体" w:eastAsia="宋体"/>
          <w:sz w:val="20"/>
        </w:rPr>
      </w:pPr>
      <w:r>
        <w:rPr>
          <w:rFonts w:hint="eastAsia" w:ascii="宋体" w:hAnsi="宋体" w:eastAsia="宋体"/>
          <w:sz w:val="20"/>
        </w:rPr>
        <w:t>要求功率密度:6W/m2, 实际功率密度:3.4W/m2</w:t>
      </w:r>
    </w:p>
    <w:p>
      <w:pPr>
        <w:jc w:val="left"/>
        <w:rPr>
          <w:rFonts w:ascii="宋体" w:hAnsi="宋体" w:eastAsia="宋体"/>
          <w:b/>
          <w:sz w:val="20"/>
        </w:rPr>
      </w:pPr>
      <w:r>
        <w:rPr>
          <w:rFonts w:hint="eastAsia" w:ascii="宋体" w:hAnsi="宋体" w:eastAsia="宋体"/>
          <w:b/>
          <w:sz w:val="20"/>
        </w:rPr>
        <w:t>符合规范节能要求!</w:t>
      </w:r>
    </w:p>
    <w:p>
      <w:pPr>
        <w:jc w:val="left"/>
        <w:rPr>
          <w:rFonts w:ascii="黑体" w:hAnsi="黑体" w:eastAsia="黑体"/>
          <w:sz w:val="30"/>
        </w:rPr>
      </w:pPr>
      <w:r>
        <w:rPr>
          <w:rFonts w:hint="eastAsia" w:ascii="黑体" w:hAnsi="黑体" w:eastAsia="黑体"/>
          <w:sz w:val="30"/>
        </w:rPr>
        <w:t>(2)</w:t>
      </w:r>
    </w:p>
    <w:p>
      <w:pPr>
        <w:jc w:val="left"/>
        <w:rPr>
          <w:rFonts w:ascii="宋体" w:hAnsi="宋体" w:eastAsia="宋体"/>
          <w:sz w:val="20"/>
        </w:rPr>
      </w:pPr>
      <w:r>
        <w:rPr>
          <w:rFonts w:hint="eastAsia" w:ascii="宋体" w:hAnsi="宋体" w:eastAsia="宋体"/>
          <w:sz w:val="20"/>
        </w:rPr>
        <w:t>计算场所:消防控制室</w:t>
      </w:r>
    </w:p>
    <w:p>
      <w:pPr>
        <w:jc w:val="left"/>
        <w:rPr>
          <w:rFonts w:ascii="宋体" w:hAnsi="宋体" w:eastAsia="宋体"/>
          <w:sz w:val="20"/>
        </w:rPr>
      </w:pPr>
      <w:r>
        <w:rPr>
          <w:rFonts w:hint="eastAsia" w:ascii="宋体" w:hAnsi="宋体" w:eastAsia="宋体"/>
          <w:sz w:val="20"/>
        </w:rPr>
        <w:t>参考标准：《建筑照明设计标准》/ GB50034-2013</w:t>
      </w:r>
    </w:p>
    <w:p>
      <w:pPr>
        <w:jc w:val="left"/>
        <w:rPr>
          <w:rFonts w:ascii="宋体" w:hAnsi="宋体" w:eastAsia="宋体"/>
          <w:sz w:val="20"/>
        </w:rPr>
      </w:pPr>
      <w:r>
        <w:rPr>
          <w:rFonts w:hint="eastAsia" w:ascii="宋体" w:hAnsi="宋体" w:eastAsia="宋体"/>
          <w:sz w:val="20"/>
        </w:rPr>
        <w:t>参考手册：《照明设计手册》第二版:</w:t>
      </w:r>
    </w:p>
    <w:p>
      <w:pPr>
        <w:jc w:val="left"/>
        <w:rPr>
          <w:rFonts w:ascii="宋体" w:hAnsi="宋体" w:eastAsia="宋体"/>
          <w:sz w:val="20"/>
        </w:rPr>
      </w:pPr>
      <w:r>
        <w:rPr>
          <w:rFonts w:hint="eastAsia" w:ascii="宋体" w:hAnsi="宋体" w:eastAsia="宋体"/>
          <w:sz w:val="20"/>
        </w:rPr>
        <w:t>计算方法：利用系数平均照度法</w:t>
      </w:r>
    </w:p>
    <w:p>
      <w:pPr>
        <w:jc w:val="left"/>
        <w:rPr>
          <w:rFonts w:ascii="黑体" w:hAnsi="黑体" w:eastAsia="黑体"/>
          <w:sz w:val="30"/>
        </w:rPr>
      </w:pPr>
      <w:r>
        <w:rPr>
          <w:rFonts w:hint="eastAsia" w:ascii="黑体" w:hAnsi="黑体" w:eastAsia="黑体"/>
          <w:sz w:val="30"/>
        </w:rPr>
        <w:t>1.房间参数</w:t>
      </w:r>
    </w:p>
    <w:p>
      <w:pPr>
        <w:jc w:val="left"/>
        <w:rPr>
          <w:rFonts w:ascii="宋体" w:hAnsi="宋体" w:eastAsia="宋体"/>
          <w:sz w:val="20"/>
        </w:rPr>
      </w:pPr>
      <w:r>
        <w:rPr>
          <w:rFonts w:hint="eastAsia" w:ascii="宋体" w:hAnsi="宋体" w:eastAsia="宋体"/>
          <w:sz w:val="20"/>
        </w:rPr>
        <w:t>房间类别： 照度要求值:300.00LX, 功率密度不超过8.00W/m2</w:t>
      </w:r>
    </w:p>
    <w:p>
      <w:pPr>
        <w:jc w:val="left"/>
        <w:rPr>
          <w:rFonts w:ascii="宋体" w:hAnsi="宋体" w:eastAsia="宋体"/>
          <w:sz w:val="20"/>
        </w:rPr>
      </w:pPr>
      <w:r>
        <w:rPr>
          <w:rFonts w:hint="eastAsia" w:ascii="宋体" w:hAnsi="宋体" w:eastAsia="宋体"/>
          <w:sz w:val="20"/>
        </w:rPr>
        <w:t>房间名称：</w:t>
      </w:r>
    </w:p>
    <w:p>
      <w:pPr>
        <w:jc w:val="left"/>
        <w:rPr>
          <w:rFonts w:ascii="宋体" w:hAnsi="宋体" w:eastAsia="宋体"/>
          <w:sz w:val="20"/>
        </w:rPr>
      </w:pPr>
      <w:r>
        <w:rPr>
          <w:rFonts w:hint="eastAsia" w:ascii="宋体" w:hAnsi="宋体" w:eastAsia="宋体"/>
          <w:sz w:val="20"/>
        </w:rPr>
        <w:t>房间长度L: 12 m, 房间宽度B: 10 m, 计算高度H: 3.5 m</w:t>
      </w:r>
    </w:p>
    <w:p>
      <w:pPr>
        <w:jc w:val="left"/>
        <w:rPr>
          <w:rFonts w:ascii="宋体" w:hAnsi="宋体" w:eastAsia="宋体"/>
          <w:sz w:val="20"/>
        </w:rPr>
      </w:pPr>
      <w:r>
        <w:rPr>
          <w:rFonts w:hint="eastAsia" w:ascii="宋体" w:hAnsi="宋体" w:eastAsia="宋体"/>
          <w:sz w:val="20"/>
        </w:rPr>
        <w:t>顶棚反射比(%)：, 墙反射比(%)：, 地面反射比(%)：</w:t>
      </w:r>
    </w:p>
    <w:p>
      <w:pPr>
        <w:jc w:val="left"/>
        <w:rPr>
          <w:rFonts w:ascii="宋体" w:hAnsi="宋体" w:eastAsia="宋体"/>
          <w:sz w:val="20"/>
        </w:rPr>
      </w:pPr>
      <w:r>
        <w:rPr>
          <w:rFonts w:hint="eastAsia" w:ascii="宋体" w:hAnsi="宋体" w:eastAsia="宋体"/>
          <w:sz w:val="20"/>
        </w:rPr>
        <w:t>室形系数RI: 0.67</w:t>
      </w:r>
    </w:p>
    <w:p>
      <w:pPr>
        <w:jc w:val="left"/>
        <w:rPr>
          <w:rFonts w:ascii="黑体" w:hAnsi="黑体" w:eastAsia="黑体"/>
          <w:sz w:val="30"/>
        </w:rPr>
      </w:pPr>
      <w:r>
        <w:rPr>
          <w:rFonts w:hint="eastAsia" w:ascii="黑体" w:hAnsi="黑体" w:eastAsia="黑体"/>
          <w:sz w:val="30"/>
        </w:rPr>
        <w:t>2.灯具参数:</w:t>
      </w:r>
    </w:p>
    <w:p>
      <w:pPr>
        <w:jc w:val="left"/>
        <w:rPr>
          <w:rFonts w:ascii="宋体" w:hAnsi="宋体" w:eastAsia="宋体"/>
          <w:sz w:val="20"/>
        </w:rPr>
      </w:pPr>
      <w:r>
        <w:rPr>
          <w:rFonts w:hint="eastAsia" w:ascii="宋体" w:hAnsi="宋体" w:eastAsia="宋体"/>
          <w:sz w:val="20"/>
        </w:rPr>
        <w:t xml:space="preserve">型号: </w:t>
      </w:r>
      <w:r>
        <w:rPr>
          <w:rFonts w:ascii="宋体" w:hAnsi="宋体" w:eastAsia="宋体"/>
          <w:sz w:val="20"/>
        </w:rPr>
        <w:t>HQ87-25F2T5A  2X28W</w:t>
      </w:r>
      <w:r>
        <w:rPr>
          <w:rFonts w:hint="eastAsia" w:ascii="宋体" w:hAnsi="宋体" w:eastAsia="宋体"/>
          <w:sz w:val="20"/>
        </w:rPr>
        <w:t xml:space="preserve"> , 单灯具光源数:2个</w:t>
      </w:r>
    </w:p>
    <w:p>
      <w:pPr>
        <w:jc w:val="left"/>
        <w:rPr>
          <w:rFonts w:ascii="宋体" w:hAnsi="宋体" w:eastAsia="宋体"/>
          <w:sz w:val="20"/>
        </w:rPr>
      </w:pPr>
      <w:r>
        <w:rPr>
          <w:rFonts w:hint="eastAsia" w:ascii="宋体" w:hAnsi="宋体" w:eastAsia="宋体"/>
          <w:sz w:val="20"/>
        </w:rPr>
        <w:t>灯具光通量:  3600lm, 灯具光源功率:56W</w:t>
      </w:r>
    </w:p>
    <w:p>
      <w:pPr>
        <w:jc w:val="left"/>
        <w:rPr>
          <w:rFonts w:ascii="宋体" w:hAnsi="宋体" w:eastAsia="宋体"/>
          <w:sz w:val="20"/>
        </w:rPr>
      </w:pPr>
      <w:r>
        <w:rPr>
          <w:rFonts w:hint="eastAsia" w:ascii="宋体" w:hAnsi="宋体" w:eastAsia="宋体"/>
          <w:sz w:val="20"/>
        </w:rPr>
        <w:t>镇流器类型:TLD标准型, 镇流器功率:12.00</w:t>
      </w:r>
    </w:p>
    <w:p>
      <w:pPr>
        <w:jc w:val="left"/>
        <w:rPr>
          <w:rFonts w:ascii="黑体" w:hAnsi="黑体" w:eastAsia="黑体"/>
          <w:sz w:val="30"/>
        </w:rPr>
      </w:pPr>
      <w:r>
        <w:rPr>
          <w:rFonts w:hint="eastAsia" w:ascii="黑体" w:hAnsi="黑体" w:eastAsia="黑体"/>
          <w:sz w:val="30"/>
        </w:rPr>
        <w:t>3.其它参数:</w:t>
      </w:r>
    </w:p>
    <w:p>
      <w:pPr>
        <w:jc w:val="left"/>
        <w:rPr>
          <w:rFonts w:ascii="宋体" w:hAnsi="宋体" w:eastAsia="宋体"/>
          <w:sz w:val="20"/>
        </w:rPr>
      </w:pPr>
      <w:r>
        <w:rPr>
          <w:rFonts w:hint="eastAsia" w:ascii="宋体" w:hAnsi="宋体" w:eastAsia="宋体"/>
          <w:sz w:val="20"/>
        </w:rPr>
        <w:t>利用系数: 0.55, 维护系数: 0.80, 照度要求: 300.00LX, 功率密度要求:8.00W/m2</w:t>
      </w:r>
    </w:p>
    <w:p>
      <w:pPr>
        <w:jc w:val="left"/>
        <w:rPr>
          <w:rFonts w:ascii="黑体" w:hAnsi="黑体" w:eastAsia="黑体"/>
          <w:sz w:val="30"/>
        </w:rPr>
      </w:pPr>
      <w:r>
        <w:rPr>
          <w:rFonts w:hint="eastAsia" w:ascii="黑体" w:hAnsi="黑体" w:eastAsia="黑体"/>
          <w:sz w:val="30"/>
        </w:rPr>
        <w:t>4.计算结果:</w:t>
      </w:r>
    </w:p>
    <w:p>
      <w:pPr>
        <w:jc w:val="left"/>
        <w:rPr>
          <w:rFonts w:ascii="宋体" w:hAnsi="宋体" w:eastAsia="宋体"/>
          <w:b/>
          <w:sz w:val="22"/>
        </w:rPr>
      </w:pPr>
      <w:r>
        <w:rPr>
          <w:rFonts w:hint="eastAsia" w:ascii="宋体" w:hAnsi="宋体" w:eastAsia="宋体"/>
          <w:b/>
          <w:sz w:val="22"/>
        </w:rPr>
        <w:t>E = NΦUK / A</w:t>
      </w:r>
    </w:p>
    <w:p>
      <w:pPr>
        <w:jc w:val="left"/>
        <w:rPr>
          <w:rFonts w:ascii="宋体" w:hAnsi="宋体" w:eastAsia="宋体"/>
          <w:b/>
          <w:sz w:val="22"/>
        </w:rPr>
      </w:pPr>
      <w:r>
        <w:rPr>
          <w:rFonts w:hint="eastAsia" w:ascii="宋体" w:hAnsi="宋体" w:eastAsia="宋体"/>
          <w:b/>
          <w:sz w:val="22"/>
        </w:rPr>
        <w:t>N = EA / (ΦUK)</w:t>
      </w:r>
    </w:p>
    <w:p>
      <w:pPr>
        <w:jc w:val="left"/>
        <w:rPr>
          <w:rFonts w:ascii="宋体" w:hAnsi="宋体" w:eastAsia="宋体"/>
          <w:sz w:val="20"/>
        </w:rPr>
      </w:pPr>
      <w:r>
        <w:rPr>
          <w:rFonts w:hint="eastAsia" w:ascii="宋体" w:hAnsi="宋体" w:eastAsia="宋体"/>
          <w:sz w:val="20"/>
        </w:rPr>
        <w:t>其中：</w:t>
      </w:r>
    </w:p>
    <w:p>
      <w:pPr>
        <w:jc w:val="left"/>
        <w:rPr>
          <w:rFonts w:ascii="宋体" w:hAnsi="宋体" w:eastAsia="宋体"/>
          <w:sz w:val="20"/>
        </w:rPr>
      </w:pPr>
      <w:r>
        <w:rPr>
          <w:rFonts w:hint="eastAsia" w:ascii="宋体" w:hAnsi="宋体" w:eastAsia="宋体"/>
          <w:sz w:val="20"/>
        </w:rPr>
        <w:t>Φ-- 光通量lm, N -- 光源数量, U -- 利用系数, A -- 工作面面积m2, K -- 灯具维护系数</w:t>
      </w:r>
    </w:p>
    <w:p>
      <w:pPr>
        <w:jc w:val="left"/>
        <w:rPr>
          <w:rFonts w:ascii="宋体" w:hAnsi="宋体" w:eastAsia="宋体"/>
          <w:sz w:val="20"/>
        </w:rPr>
      </w:pPr>
    </w:p>
    <w:p>
      <w:pPr>
        <w:jc w:val="left"/>
        <w:rPr>
          <w:rFonts w:ascii="宋体" w:hAnsi="宋体" w:eastAsia="宋体"/>
          <w:sz w:val="20"/>
        </w:rPr>
      </w:pPr>
      <w:r>
        <w:rPr>
          <w:rFonts w:hint="eastAsia" w:ascii="宋体" w:hAnsi="宋体" w:eastAsia="宋体"/>
          <w:sz w:val="20"/>
        </w:rPr>
        <w:t>计算结果:</w:t>
      </w:r>
    </w:p>
    <w:p>
      <w:pPr>
        <w:jc w:val="left"/>
        <w:rPr>
          <w:rFonts w:ascii="宋体" w:hAnsi="宋体" w:eastAsia="宋体"/>
          <w:sz w:val="20"/>
        </w:rPr>
      </w:pPr>
      <w:r>
        <w:rPr>
          <w:rFonts w:hint="eastAsia" w:ascii="宋体" w:hAnsi="宋体" w:eastAsia="宋体"/>
          <w:sz w:val="20"/>
        </w:rPr>
        <w:t>建议灯具数: 8, 计算照度: 310LX</w:t>
      </w:r>
    </w:p>
    <w:p>
      <w:pPr>
        <w:jc w:val="left"/>
        <w:rPr>
          <w:rFonts w:ascii="宋体" w:hAnsi="宋体" w:eastAsia="宋体"/>
          <w:sz w:val="20"/>
        </w:rPr>
      </w:pPr>
      <w:r>
        <w:rPr>
          <w:rFonts w:hint="eastAsia" w:ascii="宋体" w:hAnsi="宋体" w:eastAsia="宋体"/>
          <w:sz w:val="20"/>
        </w:rPr>
        <w:t>实际安装功率 = 灯具数× (总光源功率 + 镇流器功率) = 448W</w:t>
      </w:r>
    </w:p>
    <w:p>
      <w:pPr>
        <w:jc w:val="left"/>
        <w:rPr>
          <w:rFonts w:ascii="宋体" w:hAnsi="宋体" w:eastAsia="宋体"/>
          <w:sz w:val="20"/>
        </w:rPr>
      </w:pPr>
      <w:r>
        <w:rPr>
          <w:rFonts w:hint="eastAsia" w:ascii="宋体" w:hAnsi="宋体" w:eastAsia="宋体"/>
          <w:sz w:val="20"/>
        </w:rPr>
        <w:t>实际功率密度: 4.3W/m2</w:t>
      </w:r>
    </w:p>
    <w:p>
      <w:pPr>
        <w:jc w:val="left"/>
        <w:rPr>
          <w:rFonts w:ascii="黑体" w:hAnsi="黑体" w:eastAsia="黑体"/>
          <w:sz w:val="30"/>
        </w:rPr>
      </w:pPr>
      <w:r>
        <w:rPr>
          <w:rFonts w:hint="eastAsia" w:ascii="黑体" w:hAnsi="黑体" w:eastAsia="黑体"/>
          <w:sz w:val="30"/>
        </w:rPr>
        <w:t>5.校验结果:</w:t>
      </w:r>
    </w:p>
    <w:p>
      <w:pPr>
        <w:jc w:val="left"/>
        <w:rPr>
          <w:rFonts w:ascii="宋体" w:hAnsi="宋体" w:eastAsia="宋体"/>
          <w:sz w:val="20"/>
        </w:rPr>
      </w:pPr>
      <w:r>
        <w:rPr>
          <w:rFonts w:hint="eastAsia" w:ascii="宋体" w:hAnsi="宋体" w:eastAsia="宋体"/>
          <w:sz w:val="20"/>
        </w:rPr>
        <w:t>要求平均照度:300.00LX, 实际计算平均照度:310LX</w:t>
      </w:r>
    </w:p>
    <w:p>
      <w:pPr>
        <w:jc w:val="left"/>
        <w:rPr>
          <w:rFonts w:ascii="宋体" w:hAnsi="宋体" w:eastAsia="宋体"/>
          <w:b/>
          <w:sz w:val="20"/>
        </w:rPr>
      </w:pPr>
      <w:r>
        <w:rPr>
          <w:rFonts w:hint="eastAsia" w:ascii="宋体" w:hAnsi="宋体" w:eastAsia="宋体"/>
          <w:b/>
          <w:sz w:val="20"/>
        </w:rPr>
        <w:t>符合规范照度要求!</w:t>
      </w:r>
    </w:p>
    <w:p>
      <w:pPr>
        <w:jc w:val="left"/>
        <w:rPr>
          <w:rFonts w:ascii="宋体" w:hAnsi="宋体" w:eastAsia="宋体"/>
          <w:b/>
          <w:sz w:val="20"/>
        </w:rPr>
      </w:pPr>
    </w:p>
    <w:p>
      <w:pPr>
        <w:jc w:val="left"/>
        <w:rPr>
          <w:rFonts w:ascii="宋体" w:hAnsi="宋体" w:eastAsia="宋体"/>
          <w:sz w:val="20"/>
        </w:rPr>
      </w:pPr>
      <w:r>
        <w:rPr>
          <w:rFonts w:hint="eastAsia" w:ascii="宋体" w:hAnsi="宋体" w:eastAsia="宋体"/>
          <w:sz w:val="20"/>
        </w:rPr>
        <w:t>要求功率密度:8W/m2, 实际功率密度:4.3W/m2</w:t>
      </w:r>
    </w:p>
    <w:p>
      <w:pPr>
        <w:jc w:val="left"/>
        <w:rPr>
          <w:rFonts w:ascii="宋体" w:hAnsi="宋体" w:eastAsia="宋体"/>
          <w:b/>
          <w:sz w:val="20"/>
        </w:rPr>
      </w:pPr>
      <w:r>
        <w:rPr>
          <w:rFonts w:hint="eastAsia" w:ascii="宋体" w:hAnsi="宋体" w:eastAsia="宋体"/>
          <w:b/>
          <w:sz w:val="20"/>
        </w:rPr>
        <w:t>符合规范节能要求!</w:t>
      </w:r>
    </w:p>
    <w:p>
      <w:pPr>
        <w:rPr>
          <w:sz w:val="24"/>
          <w:szCs w:val="24"/>
        </w:rPr>
      </w:pPr>
    </w:p>
    <w:p>
      <w:pPr>
        <w:rPr>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3BB7"/>
    <w:rsid w:val="000141BD"/>
    <w:rsid w:val="00020123"/>
    <w:rsid w:val="000604C0"/>
    <w:rsid w:val="00074940"/>
    <w:rsid w:val="00076676"/>
    <w:rsid w:val="000A498D"/>
    <w:rsid w:val="000B55A1"/>
    <w:rsid w:val="0014731A"/>
    <w:rsid w:val="00153C8F"/>
    <w:rsid w:val="00154B3B"/>
    <w:rsid w:val="00156369"/>
    <w:rsid w:val="00165880"/>
    <w:rsid w:val="001821FE"/>
    <w:rsid w:val="00182FD7"/>
    <w:rsid w:val="00183BB7"/>
    <w:rsid w:val="001A6712"/>
    <w:rsid w:val="001A686A"/>
    <w:rsid w:val="001B043E"/>
    <w:rsid w:val="001C1E8F"/>
    <w:rsid w:val="001C582D"/>
    <w:rsid w:val="001D7F8E"/>
    <w:rsid w:val="0021308D"/>
    <w:rsid w:val="00226F38"/>
    <w:rsid w:val="00236DEB"/>
    <w:rsid w:val="00236FE8"/>
    <w:rsid w:val="00245C0C"/>
    <w:rsid w:val="00300D2C"/>
    <w:rsid w:val="00310F7B"/>
    <w:rsid w:val="00323217"/>
    <w:rsid w:val="00325475"/>
    <w:rsid w:val="00332EDC"/>
    <w:rsid w:val="003618C7"/>
    <w:rsid w:val="003A5466"/>
    <w:rsid w:val="003F01F0"/>
    <w:rsid w:val="00424794"/>
    <w:rsid w:val="00494A66"/>
    <w:rsid w:val="004A21FE"/>
    <w:rsid w:val="004E76B4"/>
    <w:rsid w:val="00516345"/>
    <w:rsid w:val="0054453A"/>
    <w:rsid w:val="00547D6F"/>
    <w:rsid w:val="005630AD"/>
    <w:rsid w:val="0057698E"/>
    <w:rsid w:val="005B6499"/>
    <w:rsid w:val="005F1D59"/>
    <w:rsid w:val="0062205D"/>
    <w:rsid w:val="00634BD6"/>
    <w:rsid w:val="0065251F"/>
    <w:rsid w:val="00667D78"/>
    <w:rsid w:val="00677691"/>
    <w:rsid w:val="00684387"/>
    <w:rsid w:val="006C4937"/>
    <w:rsid w:val="006E019F"/>
    <w:rsid w:val="006F1523"/>
    <w:rsid w:val="00731331"/>
    <w:rsid w:val="007423F2"/>
    <w:rsid w:val="007511F9"/>
    <w:rsid w:val="00751FF4"/>
    <w:rsid w:val="007A7330"/>
    <w:rsid w:val="007C0712"/>
    <w:rsid w:val="007C3667"/>
    <w:rsid w:val="007E2F6F"/>
    <w:rsid w:val="007F07FE"/>
    <w:rsid w:val="007F630B"/>
    <w:rsid w:val="00812E61"/>
    <w:rsid w:val="00833865"/>
    <w:rsid w:val="00852966"/>
    <w:rsid w:val="00861839"/>
    <w:rsid w:val="00862151"/>
    <w:rsid w:val="00874285"/>
    <w:rsid w:val="00885AAE"/>
    <w:rsid w:val="008A63F5"/>
    <w:rsid w:val="008C5200"/>
    <w:rsid w:val="008E7747"/>
    <w:rsid w:val="00904AB8"/>
    <w:rsid w:val="00910101"/>
    <w:rsid w:val="00921208"/>
    <w:rsid w:val="00940A40"/>
    <w:rsid w:val="009A4D0E"/>
    <w:rsid w:val="00A16CC8"/>
    <w:rsid w:val="00A16FEB"/>
    <w:rsid w:val="00A219D3"/>
    <w:rsid w:val="00A26305"/>
    <w:rsid w:val="00A42BBE"/>
    <w:rsid w:val="00A76363"/>
    <w:rsid w:val="00A83428"/>
    <w:rsid w:val="00A85158"/>
    <w:rsid w:val="00AB4E0C"/>
    <w:rsid w:val="00AD5180"/>
    <w:rsid w:val="00AF512C"/>
    <w:rsid w:val="00B409B1"/>
    <w:rsid w:val="00B53E93"/>
    <w:rsid w:val="00B572D0"/>
    <w:rsid w:val="00BF594F"/>
    <w:rsid w:val="00C114D1"/>
    <w:rsid w:val="00C35800"/>
    <w:rsid w:val="00C5494F"/>
    <w:rsid w:val="00C77626"/>
    <w:rsid w:val="00C9778F"/>
    <w:rsid w:val="00CC3DB9"/>
    <w:rsid w:val="00D55409"/>
    <w:rsid w:val="00D76078"/>
    <w:rsid w:val="00D83018"/>
    <w:rsid w:val="00DF44C6"/>
    <w:rsid w:val="00E055F4"/>
    <w:rsid w:val="00E05FC2"/>
    <w:rsid w:val="00E21868"/>
    <w:rsid w:val="00E33485"/>
    <w:rsid w:val="00E56FBC"/>
    <w:rsid w:val="00E75054"/>
    <w:rsid w:val="00EA59D4"/>
    <w:rsid w:val="00F04B85"/>
    <w:rsid w:val="00F7136A"/>
    <w:rsid w:val="00FD10BA"/>
    <w:rsid w:val="7C3C1A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6"/>
    <w:semiHidden/>
    <w:unhideWhenUsed/>
    <w:uiPriority w:val="99"/>
    <w:pPr>
      <w:jc w:val="left"/>
    </w:pPr>
  </w:style>
  <w:style w:type="paragraph" w:styleId="3">
    <w:name w:val="Balloon Text"/>
    <w:basedOn w:val="1"/>
    <w:link w:val="15"/>
    <w:semiHidden/>
    <w:unhideWhenUsed/>
    <w:uiPriority w:val="99"/>
    <w:rPr>
      <w:sz w:val="18"/>
      <w:szCs w:val="18"/>
    </w:rPr>
  </w:style>
  <w:style w:type="paragraph" w:styleId="4">
    <w:name w:val="footer"/>
    <w:basedOn w:val="1"/>
    <w:link w:val="13"/>
    <w:semiHidden/>
    <w:unhideWhenUsed/>
    <w:uiPriority w:val="99"/>
    <w:pPr>
      <w:tabs>
        <w:tab w:val="center" w:pos="4153"/>
        <w:tab w:val="right" w:pos="8306"/>
      </w:tabs>
      <w:snapToGrid w:val="0"/>
      <w:jc w:val="left"/>
    </w:pPr>
    <w:rPr>
      <w:sz w:val="18"/>
      <w:szCs w:val="18"/>
    </w:rPr>
  </w:style>
  <w:style w:type="paragraph" w:styleId="5">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7"/>
    <w:semiHidden/>
    <w:unhideWhenUsed/>
    <w:uiPriority w:val="99"/>
    <w:rPr>
      <w:b/>
      <w:bCs/>
    </w:rPr>
  </w:style>
  <w:style w:type="character" w:styleId="9">
    <w:name w:val="FollowedHyperlink"/>
    <w:basedOn w:val="8"/>
    <w:semiHidden/>
    <w:unhideWhenUsed/>
    <w:uiPriority w:val="99"/>
    <w:rPr>
      <w:color w:val="800080" w:themeColor="followedHyperlink"/>
      <w:u w:val="single"/>
    </w:rPr>
  </w:style>
  <w:style w:type="character" w:styleId="10">
    <w:name w:val="Hyperlink"/>
    <w:basedOn w:val="8"/>
    <w:unhideWhenUsed/>
    <w:uiPriority w:val="99"/>
    <w:rPr>
      <w:color w:val="0000FF" w:themeColor="hyperlink"/>
      <w:u w:val="single"/>
    </w:rPr>
  </w:style>
  <w:style w:type="character" w:styleId="11">
    <w:name w:val="annotation reference"/>
    <w:basedOn w:val="8"/>
    <w:semiHidden/>
    <w:unhideWhenUsed/>
    <w:uiPriority w:val="99"/>
    <w:rPr>
      <w:sz w:val="21"/>
      <w:szCs w:val="21"/>
    </w:rPr>
  </w:style>
  <w:style w:type="character" w:customStyle="1" w:styleId="12">
    <w:name w:val="页眉 Char"/>
    <w:basedOn w:val="8"/>
    <w:link w:val="5"/>
    <w:semiHidden/>
    <w:uiPriority w:val="99"/>
    <w:rPr>
      <w:sz w:val="18"/>
      <w:szCs w:val="18"/>
    </w:rPr>
  </w:style>
  <w:style w:type="character" w:customStyle="1" w:styleId="13">
    <w:name w:val="页脚 Char"/>
    <w:basedOn w:val="8"/>
    <w:link w:val="4"/>
    <w:semiHidden/>
    <w:uiPriority w:val="99"/>
    <w:rPr>
      <w:sz w:val="18"/>
      <w:szCs w:val="18"/>
    </w:rPr>
  </w:style>
  <w:style w:type="character" w:styleId="14">
    <w:name w:val="Placeholder Text"/>
    <w:basedOn w:val="8"/>
    <w:semiHidden/>
    <w:uiPriority w:val="99"/>
    <w:rPr>
      <w:color w:val="808080"/>
    </w:rPr>
  </w:style>
  <w:style w:type="character" w:customStyle="1" w:styleId="15">
    <w:name w:val="批注框文本 Char"/>
    <w:basedOn w:val="8"/>
    <w:link w:val="3"/>
    <w:semiHidden/>
    <w:uiPriority w:val="99"/>
    <w:rPr>
      <w:sz w:val="18"/>
      <w:szCs w:val="18"/>
    </w:rPr>
  </w:style>
  <w:style w:type="character" w:customStyle="1" w:styleId="16">
    <w:name w:val="批注文字 Char"/>
    <w:basedOn w:val="8"/>
    <w:link w:val="2"/>
    <w:semiHidden/>
    <w:uiPriority w:val="99"/>
  </w:style>
  <w:style w:type="character" w:customStyle="1" w:styleId="17">
    <w:name w:val="批注主题 Char"/>
    <w:basedOn w:val="16"/>
    <w:link w:val="6"/>
    <w:semiHidden/>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1080</Words>
  <Characters>6157</Characters>
  <Lines>51</Lines>
  <Paragraphs>14</Paragraphs>
  <TotalTime>7482</TotalTime>
  <ScaleCrop>false</ScaleCrop>
  <LinksUpToDate>false</LinksUpToDate>
  <CharactersWithSpaces>7223</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2018-04-23T09:10:00Z</dcterms:created>
  <dc:creator>111</dc:creator>
  <cp:lastModifiedBy>user</cp:lastModifiedBy>
  <dcterms:modified xsi:type="dcterms:W3CDTF">2019-09-26T12:17:44Z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