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sz w:val="48"/>
          <w:szCs w:val="48"/>
        </w:rPr>
      </w:pPr>
    </w:p>
    <w:p>
      <w:pPr>
        <w:jc w:val="center"/>
        <w:rPr>
          <w:rFonts w:ascii="宋体" w:hAnsi="宋体" w:cs="宋体"/>
          <w:b/>
          <w:sz w:val="44"/>
          <w:szCs w:val="44"/>
        </w:rPr>
      </w:pPr>
      <w:r>
        <w:rPr>
          <w:rFonts w:hint="eastAsia" w:ascii="宋体" w:hAnsi="宋体" w:cs="宋体"/>
          <w:b/>
          <w:sz w:val="36"/>
          <w:szCs w:val="36"/>
        </w:rPr>
        <w:t>重庆通力高速</w:t>
      </w:r>
      <w:r>
        <w:rPr>
          <w:rFonts w:hint="eastAsia" w:ascii="宋体" w:hAnsi="宋体" w:cs="宋体"/>
          <w:b/>
          <w:sz w:val="36"/>
          <w:szCs w:val="36"/>
          <w:lang w:eastAsia="zh-CN"/>
        </w:rPr>
        <w:t>公路</w:t>
      </w:r>
      <w:r>
        <w:rPr>
          <w:rFonts w:hint="eastAsia" w:ascii="宋体" w:hAnsi="宋体" w:cs="宋体"/>
          <w:b/>
          <w:sz w:val="36"/>
          <w:szCs w:val="36"/>
        </w:rPr>
        <w:t>养护工程有限公司</w:t>
      </w:r>
    </w:p>
    <w:p>
      <w:pPr>
        <w:widowControl/>
        <w:ind w:left="361" w:hanging="361" w:hangingChars="100"/>
        <w:jc w:val="center"/>
        <w:rPr>
          <w:sz w:val="36"/>
          <w:szCs w:val="36"/>
        </w:rPr>
      </w:pPr>
      <w:r>
        <w:rPr>
          <w:rFonts w:ascii="宋体" w:hAnsi="宋体" w:cs="宋体"/>
          <w:b/>
          <w:color w:val="000000"/>
          <w:kern w:val="0"/>
          <w:sz w:val="36"/>
          <w:szCs w:val="36"/>
          <w:lang w:bidi="ar"/>
        </w:rPr>
        <w:t>复兴服务区污水改造工程</w:t>
      </w:r>
    </w:p>
    <w:p>
      <w:pPr>
        <w:jc w:val="center"/>
        <w:rPr>
          <w:rFonts w:ascii="宋体" w:hAnsi="宋体" w:cs="宋体"/>
          <w:b/>
          <w:sz w:val="36"/>
          <w:szCs w:val="36"/>
        </w:rPr>
      </w:pPr>
      <w:r>
        <w:rPr>
          <w:rFonts w:hint="eastAsia" w:ascii="宋体" w:hAnsi="宋体" w:cs="宋体"/>
          <w:b/>
          <w:sz w:val="36"/>
          <w:szCs w:val="36"/>
        </w:rPr>
        <w:t>成品玻璃钢化粪采购</w:t>
      </w:r>
    </w:p>
    <w:p>
      <w:pPr>
        <w:jc w:val="center"/>
        <w:rPr>
          <w:rFonts w:ascii="宋体" w:hAnsi="宋体" w:cs="宋体"/>
          <w:b/>
          <w:spacing w:val="20"/>
          <w:sz w:val="72"/>
          <w:szCs w:val="72"/>
        </w:rPr>
      </w:pPr>
    </w:p>
    <w:p>
      <w:pPr>
        <w:pStyle w:val="8"/>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重庆通力高速</w:t>
      </w:r>
      <w:r>
        <w:rPr>
          <w:rFonts w:hint="eastAsia" w:ascii="宋体" w:hAnsi="宋体" w:cs="宋体"/>
          <w:b/>
          <w:sz w:val="32"/>
          <w:szCs w:val="32"/>
          <w:lang w:eastAsia="zh-CN"/>
        </w:rPr>
        <w:t>公路</w:t>
      </w:r>
      <w:r>
        <w:rPr>
          <w:rFonts w:hint="eastAsia" w:ascii="宋体" w:hAnsi="宋体" w:cs="宋体"/>
          <w:b/>
          <w:sz w:val="32"/>
          <w:szCs w:val="32"/>
        </w:rPr>
        <w:t>养护工程有限公司</w:t>
      </w:r>
    </w:p>
    <w:p>
      <w:pPr>
        <w:pStyle w:val="4"/>
        <w:spacing w:line="360" w:lineRule="auto"/>
        <w:ind w:left="99" w:leftChars="47"/>
        <w:jc w:val="center"/>
        <w:rPr>
          <w:rFonts w:ascii="宋体" w:hAnsi="宋体" w:cs="宋体"/>
          <w:b/>
          <w:sz w:val="32"/>
          <w:szCs w:val="32"/>
        </w:rPr>
      </w:pPr>
      <w:r>
        <w:rPr>
          <w:rFonts w:hint="eastAsia" w:ascii="宋体" w:hAnsi="宋体" w:cs="宋体"/>
          <w:b/>
          <w:sz w:val="32"/>
          <w:szCs w:val="32"/>
        </w:rPr>
        <w:t>2020年11月</w:t>
      </w:r>
    </w:p>
    <w:p/>
    <w:p>
      <w:pPr>
        <w:pStyle w:val="8"/>
      </w:pPr>
    </w:p>
    <w:p>
      <w:pPr>
        <w:pStyle w:val="8"/>
      </w:pPr>
    </w:p>
    <w:p>
      <w:pPr>
        <w:jc w:val="center"/>
        <w:rPr>
          <w:rFonts w:ascii="宋体" w:hAnsi="宋体" w:cs="宋体"/>
          <w:b/>
          <w:sz w:val="30"/>
          <w:szCs w:val="30"/>
        </w:rPr>
      </w:pPr>
      <w:r>
        <w:rPr>
          <w:rFonts w:hint="eastAsia" w:ascii="宋体" w:hAnsi="宋体" w:cs="宋体"/>
          <w:b/>
          <w:sz w:val="30"/>
          <w:szCs w:val="30"/>
        </w:rPr>
        <w:t>重庆通力高速</w:t>
      </w:r>
      <w:r>
        <w:rPr>
          <w:rFonts w:hint="eastAsia" w:ascii="宋体" w:hAnsi="宋体" w:cs="宋体"/>
          <w:b/>
          <w:sz w:val="30"/>
          <w:szCs w:val="30"/>
          <w:lang w:eastAsia="zh-CN"/>
        </w:rPr>
        <w:t>公路</w:t>
      </w:r>
      <w:r>
        <w:rPr>
          <w:rFonts w:hint="eastAsia" w:ascii="宋体" w:hAnsi="宋体" w:cs="宋体"/>
          <w:b/>
          <w:sz w:val="30"/>
          <w:szCs w:val="30"/>
        </w:rPr>
        <w:t>养护工程有限公司</w:t>
      </w:r>
    </w:p>
    <w:p>
      <w:pPr>
        <w:widowControl/>
        <w:ind w:left="602" w:hanging="602" w:hangingChars="200"/>
        <w:jc w:val="center"/>
        <w:rPr>
          <w:rFonts w:ascii="宋体" w:hAnsi="宋体" w:cs="宋体"/>
          <w:b/>
          <w:sz w:val="30"/>
          <w:szCs w:val="30"/>
        </w:rPr>
      </w:pPr>
      <w:r>
        <w:rPr>
          <w:rFonts w:ascii="宋体" w:hAnsi="宋体" w:cs="宋体"/>
          <w:b/>
          <w:color w:val="000000"/>
          <w:kern w:val="0"/>
          <w:sz w:val="30"/>
          <w:szCs w:val="30"/>
          <w:lang w:bidi="ar"/>
        </w:rPr>
        <w:t>复兴服务区污水改造工程</w:t>
      </w:r>
      <w:r>
        <w:rPr>
          <w:rFonts w:hint="eastAsia" w:ascii="宋体" w:hAnsi="宋体" w:cs="宋体"/>
          <w:b/>
          <w:sz w:val="30"/>
          <w:szCs w:val="30"/>
        </w:rPr>
        <w:t>成品玻璃钢化粪池采购</w:t>
      </w:r>
    </w:p>
    <w:p>
      <w:pPr>
        <w:jc w:val="center"/>
        <w:rPr>
          <w:rFonts w:ascii="宋体" w:hAnsi="宋体" w:cs="宋体"/>
          <w:b/>
          <w:sz w:val="30"/>
          <w:szCs w:val="30"/>
        </w:rPr>
      </w:pPr>
      <w:r>
        <w:rPr>
          <w:rFonts w:hint="eastAsia" w:ascii="宋体" w:hAnsi="宋体" w:cs="宋体"/>
          <w:b/>
          <w:sz w:val="30"/>
          <w:szCs w:val="30"/>
        </w:rPr>
        <w:t>竞争性比选公告</w:t>
      </w:r>
    </w:p>
    <w:p>
      <w:pPr>
        <w:jc w:val="center"/>
        <w:rPr>
          <w:rFonts w:ascii="宋体" w:hAnsi="宋体" w:cs="宋体"/>
          <w:b/>
          <w:sz w:val="30"/>
          <w:szCs w:val="30"/>
        </w:rPr>
      </w:pPr>
      <w:bookmarkStart w:id="0" w:name="_Toc247085680"/>
      <w:bookmarkStart w:id="1" w:name="_Toc296602410"/>
      <w:bookmarkStart w:id="2" w:name="_Toc246996166"/>
      <w:bookmarkStart w:id="3" w:name="_Toc152042295"/>
      <w:bookmarkStart w:id="4" w:name="_Toc246996909"/>
      <w:bookmarkStart w:id="5" w:name="_Toc152045519"/>
      <w:bookmarkStart w:id="6" w:name="_Toc144974487"/>
      <w:bookmarkStart w:id="7" w:name="_Toc179632536"/>
    </w:p>
    <w:bookmarkEnd w:id="0"/>
    <w:bookmarkEnd w:id="1"/>
    <w:bookmarkEnd w:id="2"/>
    <w:bookmarkEnd w:id="3"/>
    <w:bookmarkEnd w:id="4"/>
    <w:bookmarkEnd w:id="5"/>
    <w:bookmarkEnd w:id="6"/>
    <w:bookmarkEnd w:id="7"/>
    <w:p>
      <w:pPr>
        <w:ind w:firstLine="422" w:firstLineChars="200"/>
        <w:jc w:val="left"/>
        <w:rPr>
          <w:b/>
          <w:bCs/>
          <w:szCs w:val="21"/>
        </w:rPr>
      </w:pPr>
      <w:bookmarkStart w:id="8" w:name="_Toc246996168"/>
      <w:bookmarkStart w:id="9" w:name="_Toc152042297"/>
      <w:bookmarkStart w:id="10" w:name="_Toc144974489"/>
      <w:bookmarkStart w:id="11" w:name="_Toc179632538"/>
      <w:bookmarkStart w:id="12" w:name="_Toc152045521"/>
      <w:bookmarkStart w:id="13" w:name="_Toc246996911"/>
      <w:bookmarkStart w:id="14" w:name="_Toc247085682"/>
      <w:bookmarkStart w:id="15" w:name="_Toc296602412"/>
      <w:r>
        <w:rPr>
          <w:rFonts w:hint="eastAsia"/>
          <w:b/>
          <w:bCs/>
          <w:szCs w:val="21"/>
        </w:rPr>
        <w:t>重庆通力高速</w:t>
      </w:r>
      <w:r>
        <w:rPr>
          <w:rFonts w:hint="eastAsia"/>
          <w:b/>
          <w:bCs/>
          <w:szCs w:val="21"/>
          <w:lang w:eastAsia="zh-CN"/>
        </w:rPr>
        <w:t>公路</w:t>
      </w:r>
      <w:r>
        <w:rPr>
          <w:rFonts w:hint="eastAsia"/>
          <w:b/>
          <w:bCs/>
          <w:szCs w:val="21"/>
        </w:rPr>
        <w:t>养护工程有限公司青木关养护站中渝公司复兴服务区污水改造工程准备组织实施，重庆通力高速</w:t>
      </w:r>
      <w:r>
        <w:rPr>
          <w:rFonts w:hint="eastAsia"/>
          <w:b/>
          <w:bCs/>
          <w:szCs w:val="21"/>
          <w:lang w:eastAsia="zh-CN"/>
        </w:rPr>
        <w:t>公路</w:t>
      </w:r>
      <w:r>
        <w:rPr>
          <w:rFonts w:hint="eastAsia"/>
          <w:b/>
          <w:bCs/>
          <w:szCs w:val="21"/>
        </w:rPr>
        <w:t>养护工程有限公司计划以竞争性比选方式确定成交单位，具体情况如下：</w:t>
      </w:r>
    </w:p>
    <w:p>
      <w:pPr>
        <w:spacing w:line="360" w:lineRule="auto"/>
        <w:rPr>
          <w:b/>
          <w:szCs w:val="21"/>
        </w:rPr>
      </w:pPr>
      <w:bookmarkStart w:id="16" w:name="_Toc296602411"/>
      <w:bookmarkStart w:id="17" w:name="_Toc246996167"/>
      <w:bookmarkStart w:id="18" w:name="_Toc152045520"/>
      <w:bookmarkStart w:id="19" w:name="_Toc144974488"/>
      <w:bookmarkStart w:id="20" w:name="_Toc179632537"/>
      <w:bookmarkStart w:id="21" w:name="_Toc152042296"/>
      <w:bookmarkStart w:id="22" w:name="_Toc247085681"/>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360" w:lineRule="auto"/>
        <w:rPr>
          <w:b/>
          <w:bCs/>
          <w:szCs w:val="21"/>
        </w:rPr>
      </w:pPr>
      <w:r>
        <w:rPr>
          <w:rFonts w:hint="eastAsia"/>
          <w:szCs w:val="21"/>
        </w:rPr>
        <w:t>本项目为</w:t>
      </w:r>
      <w:r>
        <w:rPr>
          <w:rFonts w:hint="eastAsia"/>
          <w:b/>
          <w:bCs/>
          <w:szCs w:val="21"/>
        </w:rPr>
        <w:t>重庆通力高速</w:t>
      </w:r>
      <w:r>
        <w:rPr>
          <w:rFonts w:hint="eastAsia"/>
          <w:b/>
          <w:bCs/>
          <w:szCs w:val="21"/>
          <w:lang w:eastAsia="zh-CN"/>
        </w:rPr>
        <w:t>公路</w:t>
      </w:r>
      <w:r>
        <w:rPr>
          <w:rFonts w:hint="eastAsia"/>
          <w:b/>
          <w:bCs/>
          <w:szCs w:val="21"/>
        </w:rPr>
        <w:t>养护工程有限公司青木关养护站中渝公司复兴服务区污水改造工程。</w:t>
      </w:r>
    </w:p>
    <w:p>
      <w:pPr>
        <w:widowControl/>
        <w:numPr>
          <w:ilvl w:val="0"/>
          <w:numId w:val="1"/>
        </w:numPr>
        <w:spacing w:line="360" w:lineRule="auto"/>
        <w:ind w:firstLine="422" w:firstLineChars="200"/>
        <w:rPr>
          <w:b/>
          <w:bCs/>
          <w:szCs w:val="21"/>
        </w:rPr>
      </w:pPr>
      <w:r>
        <w:rPr>
          <w:rFonts w:hint="eastAsia"/>
          <w:b/>
          <w:bCs/>
          <w:szCs w:val="21"/>
        </w:rPr>
        <w:t>竞争性比选材料采购详见下表：</w:t>
      </w:r>
    </w:p>
    <w:tbl>
      <w:tblPr>
        <w:tblStyle w:val="6"/>
        <w:tblpPr w:leftFromText="180" w:rightFromText="180" w:vertAnchor="text" w:horzAnchor="page" w:tblpX="1080" w:tblpY="555"/>
        <w:tblOverlap w:val="never"/>
        <w:tblW w:w="9775" w:type="dxa"/>
        <w:tblInd w:w="0" w:type="dxa"/>
        <w:tblLayout w:type="fixed"/>
        <w:tblCellMar>
          <w:top w:w="0" w:type="dxa"/>
          <w:left w:w="108" w:type="dxa"/>
          <w:bottom w:w="0" w:type="dxa"/>
          <w:right w:w="108" w:type="dxa"/>
        </w:tblCellMar>
      </w:tblPr>
      <w:tblGrid>
        <w:gridCol w:w="649"/>
        <w:gridCol w:w="2391"/>
        <w:gridCol w:w="1200"/>
        <w:gridCol w:w="887"/>
        <w:gridCol w:w="885"/>
        <w:gridCol w:w="1258"/>
        <w:gridCol w:w="1140"/>
        <w:gridCol w:w="1365"/>
      </w:tblGrid>
      <w:tr>
        <w:tblPrEx>
          <w:tblCellMar>
            <w:top w:w="0" w:type="dxa"/>
            <w:left w:w="108" w:type="dxa"/>
            <w:bottom w:w="0" w:type="dxa"/>
            <w:right w:w="108" w:type="dxa"/>
          </w:tblCellMar>
        </w:tblPrEx>
        <w:trPr>
          <w:trHeight w:val="288"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序号</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材料名称</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交货地点</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单位</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暂定数量</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上限单价（元）</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上限总价（元）</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288"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玻璃钢化粪池  12.5m(长）*3.2m（直径）</w:t>
            </w:r>
          </w:p>
          <w:p>
            <w:pPr>
              <w:widowControl/>
              <w:spacing w:line="360" w:lineRule="auto"/>
              <w:jc w:val="center"/>
              <w:rPr>
                <w:szCs w:val="21"/>
              </w:rPr>
            </w:pPr>
            <w:r>
              <w:rPr>
                <w:rFonts w:hint="eastAsia" w:ascii="宋体" w:hAnsi="宋体" w:cs="宋体"/>
                <w:color w:val="000000"/>
                <w:kern w:val="0"/>
                <w:szCs w:val="21"/>
              </w:rPr>
              <w:t>璧厚：12mm</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szCs w:val="21"/>
              </w:rPr>
              <w:t>绕城高速复兴服务区</w:t>
            </w:r>
          </w:p>
        </w:tc>
        <w:tc>
          <w:tcPr>
            <w:tcW w:w="8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lang w:val="en-US" w:eastAsia="zh-CN"/>
              </w:rPr>
            </w:pPr>
            <w:r>
              <w:rPr>
                <w:rFonts w:hint="eastAsia"/>
                <w:lang w:val="en-US" w:eastAsia="zh-CN"/>
              </w:rPr>
              <w:t>36500元/个</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73000元</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13%含税到场（不含</w:t>
            </w:r>
            <w:r>
              <w:rPr>
                <w:rFonts w:hint="eastAsia" w:ascii="宋体" w:hAnsi="宋体" w:cs="宋体"/>
                <w:color w:val="000000"/>
                <w:kern w:val="0"/>
                <w:szCs w:val="21"/>
                <w:lang w:eastAsia="zh-CN"/>
              </w:rPr>
              <w:t>卸车费</w:t>
            </w:r>
            <w:r>
              <w:rPr>
                <w:rFonts w:hint="eastAsia" w:ascii="宋体" w:hAnsi="宋体" w:cs="宋体"/>
                <w:color w:val="000000"/>
                <w:kern w:val="0"/>
                <w:szCs w:val="21"/>
              </w:rPr>
              <w:t>）</w:t>
            </w:r>
          </w:p>
        </w:tc>
      </w:tr>
    </w:tbl>
    <w:p>
      <w:pPr>
        <w:spacing w:line="360" w:lineRule="auto"/>
        <w:ind w:left="210" w:leftChars="100" w:firstLine="211" w:firstLineChars="100"/>
        <w:rPr>
          <w:b/>
          <w:bCs/>
          <w:szCs w:val="21"/>
        </w:rPr>
      </w:pPr>
      <w:r>
        <w:rPr>
          <w:rFonts w:hint="eastAsia"/>
          <w:b/>
          <w:bCs/>
          <w:szCs w:val="21"/>
        </w:rPr>
        <w:t>备注：本次采购数量为暂估量，最终数量以实际结算数量为准且满足国家及行业的相关质量要求，且成品化粪池质保期不低于一年。</w:t>
      </w:r>
    </w:p>
    <w:p>
      <w:pPr>
        <w:spacing w:line="360" w:lineRule="auto"/>
        <w:ind w:firstLine="413" w:firstLineChars="196"/>
        <w:rPr>
          <w:kern w:val="0"/>
          <w:szCs w:val="21"/>
        </w:rPr>
      </w:pPr>
      <w:r>
        <w:rPr>
          <w:rFonts w:hint="eastAsia"/>
          <w:b/>
          <w:bCs/>
          <w:szCs w:val="21"/>
        </w:rPr>
        <w:t>2、供货期：1个月，</w:t>
      </w:r>
      <w:r>
        <w:rPr>
          <w:rFonts w:hint="eastAsia"/>
          <w:b/>
          <w:szCs w:val="21"/>
        </w:rPr>
        <w:t>本次材料采购时间预计为2020年12月，具体以实际供货时间为准，竞标人必须保证比选人玻璃钢化粪池供应及时，接到比选人送货通知后两个工作日内送到指定地点</w:t>
      </w:r>
      <w:r>
        <w:rPr>
          <w:rFonts w:hint="eastAsia"/>
          <w:kern w:val="0"/>
          <w:szCs w:val="21"/>
        </w:rPr>
        <w:t>。</w:t>
      </w:r>
    </w:p>
    <w:p>
      <w:pPr>
        <w:spacing w:line="360" w:lineRule="auto"/>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auto"/>
        <w:ind w:firstLine="422" w:firstLineChars="200"/>
        <w:rPr>
          <w:b/>
          <w:szCs w:val="21"/>
        </w:rPr>
      </w:pPr>
      <w:r>
        <w:rPr>
          <w:rFonts w:hint="eastAsia"/>
          <w:b/>
          <w:szCs w:val="21"/>
        </w:rPr>
        <w:t>4、竞标人需装订、递交竞标竞争性比选响应文件。</w:t>
      </w:r>
    </w:p>
    <w:p>
      <w:pPr>
        <w:spacing w:line="360" w:lineRule="auto"/>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auto"/>
        <w:ind w:firstLine="420" w:firstLineChars="200"/>
        <w:rPr>
          <w:color w:val="FF0000"/>
          <w:szCs w:val="21"/>
        </w:rPr>
      </w:pPr>
      <w:bookmarkStart w:id="24" w:name="_Toc144974490"/>
      <w:bookmarkStart w:id="25" w:name="_Toc296602413"/>
      <w:bookmarkStart w:id="26" w:name="_Toc179632539"/>
      <w:bookmarkStart w:id="27" w:name="_Toc152045522"/>
      <w:bookmarkStart w:id="28" w:name="_Toc246996169"/>
      <w:bookmarkStart w:id="29" w:name="_Toc246996912"/>
      <w:bookmarkStart w:id="30" w:name="_Toc152042298"/>
      <w:bookmarkStart w:id="31" w:name="_Toc247085683"/>
      <w:r>
        <w:rPr>
          <w:rFonts w:hint="eastAsia"/>
          <w:color w:val="FF0000"/>
          <w:szCs w:val="21"/>
        </w:rPr>
        <w:t>具有独立法人资格、有效的营业执照（营业范围须包含建筑材料或玻璃钢制品的生产或销售资质）、银行开户许可证。</w:t>
      </w:r>
    </w:p>
    <w:p>
      <w:pPr>
        <w:spacing w:line="360" w:lineRule="auto"/>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auto"/>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auto"/>
        <w:ind w:firstLine="420" w:firstLineChars="200"/>
        <w:outlineLvl w:val="0"/>
        <w:rPr>
          <w:szCs w:val="21"/>
        </w:rPr>
      </w:pPr>
      <w:r>
        <w:rPr>
          <w:rFonts w:hint="eastAsia"/>
          <w:szCs w:val="21"/>
        </w:rPr>
        <w:t>（1）竞标报价为全费用综合单价。竞标人应提供合法有效且符合竞争性比选人要求的增值税专用发票（税率13%）。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auto"/>
        <w:ind w:firstLine="420" w:firstLineChars="200"/>
        <w:outlineLvl w:val="0"/>
        <w:rPr>
          <w:szCs w:val="21"/>
        </w:rPr>
      </w:pPr>
      <w:r>
        <w:rPr>
          <w:rFonts w:hint="eastAsia"/>
          <w:szCs w:val="21"/>
        </w:rPr>
        <w:t>竞标人应按照比选人要求，及时向比选人开具税率（税率13%）的增值税专用发票。因竞标人开具发票不及时给比选人造成无法及时认证、抵扣发票等情形的，竞标人需向比选人承担赔偿责任，包括但不限于税款、滞纳金、罚款及相关损失等。</w:t>
      </w:r>
    </w:p>
    <w:p>
      <w:pPr>
        <w:spacing w:line="360" w:lineRule="auto"/>
        <w:ind w:firstLine="420" w:firstLineChars="200"/>
        <w:outlineLvl w:val="0"/>
        <w:rPr>
          <w:szCs w:val="21"/>
        </w:rPr>
      </w:pPr>
      <w:r>
        <w:rPr>
          <w:rFonts w:hint="eastAsia"/>
          <w:szCs w:val="21"/>
        </w:rPr>
        <w:t>（2）报价表中的工程量为竞争性比选人暂估量，最终工程量以比选人通知的实际送货数量为准。</w:t>
      </w:r>
    </w:p>
    <w:p>
      <w:pPr>
        <w:spacing w:line="360" w:lineRule="auto"/>
        <w:ind w:firstLine="420" w:firstLineChars="200"/>
        <w:textAlignment w:val="baseline"/>
        <w:rPr>
          <w:szCs w:val="21"/>
        </w:rPr>
      </w:pPr>
      <w:r>
        <w:rPr>
          <w:rFonts w:hint="eastAsia"/>
          <w:szCs w:val="21"/>
        </w:rPr>
        <w:t>（3）本项目最高总限价为：73000元（大写：柒万叁仟元整）。</w:t>
      </w:r>
    </w:p>
    <w:p>
      <w:pPr>
        <w:spacing w:line="360" w:lineRule="auto"/>
        <w:ind w:firstLine="420" w:firstLineChars="200"/>
        <w:outlineLvl w:val="0"/>
        <w:rPr>
          <w:szCs w:val="21"/>
        </w:rPr>
      </w:pPr>
      <w:r>
        <w:rPr>
          <w:rFonts w:hint="eastAsia"/>
          <w:szCs w:val="21"/>
        </w:rPr>
        <w:t>注：竞标人的竞标报价均不得超过比选人公布的相应最高限价否则均为无效竞标（详见格式“七、已标价报价清单”）。</w:t>
      </w:r>
    </w:p>
    <w:p>
      <w:pPr>
        <w:spacing w:line="360" w:lineRule="auto"/>
        <w:ind w:firstLine="420" w:firstLineChars="200"/>
        <w:rPr>
          <w:szCs w:val="21"/>
        </w:rPr>
      </w:pPr>
      <w:r>
        <w:rPr>
          <w:rFonts w:hint="eastAsia"/>
          <w:szCs w:val="21"/>
        </w:rPr>
        <w:t>2、供货要求：</w:t>
      </w:r>
    </w:p>
    <w:p>
      <w:pPr>
        <w:spacing w:line="360" w:lineRule="auto"/>
        <w:ind w:firstLine="420" w:firstLineChars="200"/>
        <w:rPr>
          <w:rFonts w:hint="eastAsia" w:ascii="宋体" w:hAnsi="宋体"/>
          <w:sz w:val="21"/>
          <w:szCs w:val="21"/>
        </w:rPr>
      </w:pPr>
      <w:r>
        <w:rPr>
          <w:rFonts w:hint="eastAsia" w:ascii="宋体" w:hAnsi="宋体"/>
          <w:sz w:val="21"/>
          <w:szCs w:val="21"/>
          <w:lang w:eastAsia="zh-CN"/>
        </w:rPr>
        <w:t>质量要求及质量标准</w:t>
      </w:r>
    </w:p>
    <w:p>
      <w:pPr>
        <w:spacing w:line="360" w:lineRule="auto"/>
        <w:ind w:firstLine="420" w:firstLineChars="20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乙方提供的产品应满足</w:t>
      </w:r>
      <w:r>
        <w:rPr>
          <w:rFonts w:hint="eastAsia"/>
          <w:sz w:val="21"/>
          <w:szCs w:val="21"/>
        </w:rPr>
        <w:t>产品外观无裂缝、无缺损、,并且璧厚需要达到12mm的要求</w:t>
      </w:r>
      <w:r>
        <w:rPr>
          <w:rFonts w:hint="eastAsia" w:ascii="宋体" w:hAnsi="宋体" w:cs="宋体"/>
          <w:sz w:val="21"/>
          <w:szCs w:val="21"/>
        </w:rPr>
        <w:t>，</w:t>
      </w:r>
      <w:r>
        <w:rPr>
          <w:rFonts w:hint="eastAsia" w:ascii="宋体" w:hAnsi="宋体" w:cs="宋体"/>
          <w:sz w:val="21"/>
          <w:szCs w:val="21"/>
          <w:lang w:eastAsia="zh-CN"/>
        </w:rPr>
        <w:t>罐体外表应有均匀的胶衣层，表面光滑、色泽均匀无修补</w:t>
      </w:r>
      <w:r>
        <w:rPr>
          <w:rFonts w:hint="eastAsia" w:ascii="宋体" w:hAnsi="宋体" w:cs="宋体"/>
          <w:sz w:val="21"/>
          <w:szCs w:val="21"/>
        </w:rPr>
        <w:t>化粪池质保期从收到货后经双方确认无损坏可正常投入</w:t>
      </w:r>
      <w:r>
        <w:rPr>
          <w:rFonts w:hint="eastAsia" w:ascii="宋体" w:hAnsi="宋体" w:cs="宋体"/>
          <w:sz w:val="21"/>
          <w:szCs w:val="21"/>
          <w:lang w:val="en-US" w:eastAsia="zh-CN"/>
        </w:rPr>
        <w:t>,有限使用年限不低于50年</w:t>
      </w:r>
      <w:r>
        <w:rPr>
          <w:rFonts w:hint="eastAsia" w:ascii="宋体" w:hAnsi="宋体" w:cs="宋体"/>
          <w:sz w:val="21"/>
          <w:szCs w:val="21"/>
        </w:rPr>
        <w:t>，最后</w:t>
      </w:r>
      <w:r>
        <w:rPr>
          <w:rFonts w:hint="eastAsia" w:ascii="宋体" w:hAnsi="宋体"/>
          <w:sz w:val="21"/>
          <w:szCs w:val="21"/>
        </w:rPr>
        <w:t>提供比选方所需的产品合格证。</w:t>
      </w:r>
    </w:p>
    <w:p>
      <w:pPr>
        <w:numPr>
          <w:ilvl w:val="0"/>
          <w:numId w:val="1"/>
        </w:numPr>
        <w:spacing w:line="360" w:lineRule="auto"/>
        <w:ind w:left="0" w:leftChars="0" w:firstLine="420" w:firstLineChars="200"/>
        <w:rPr>
          <w:rFonts w:hint="eastAsia" w:ascii="宋体" w:hAnsi="宋体"/>
          <w:sz w:val="21"/>
          <w:szCs w:val="21"/>
        </w:rPr>
      </w:pPr>
      <w:r>
        <w:rPr>
          <w:rFonts w:hint="eastAsia" w:ascii="宋体" w:hAnsi="宋体"/>
          <w:sz w:val="21"/>
          <w:szCs w:val="21"/>
        </w:rPr>
        <w:t>因产品质量及规格与合同要约的不一致时，本合同约定的相关标准而产生的一切后果责任由乙方承担；若由此而给甲方造成损失的，乙方应全额赔偿。</w:t>
      </w:r>
    </w:p>
    <w:p>
      <w:pPr>
        <w:rPr>
          <w:rFonts w:hint="eastAsia"/>
          <w:b w:val="0"/>
          <w:bCs w:val="0"/>
          <w:sz w:val="21"/>
          <w:szCs w:val="21"/>
          <w:lang w:val="en-US" w:eastAsia="zh-CN"/>
        </w:rPr>
      </w:pPr>
      <w:r>
        <w:rPr>
          <w:rFonts w:hint="eastAsia"/>
          <w:b w:val="0"/>
          <w:bCs w:val="0"/>
          <w:sz w:val="21"/>
          <w:szCs w:val="21"/>
          <w:lang w:eastAsia="zh-CN"/>
        </w:rPr>
        <w:t>拉伸强度</w:t>
      </w:r>
      <w:r>
        <w:rPr>
          <w:rFonts w:hint="eastAsia"/>
          <w:b w:val="0"/>
          <w:bCs w:val="0"/>
          <w:sz w:val="21"/>
          <w:szCs w:val="21"/>
          <w:lang w:val="en-US" w:eastAsia="zh-CN"/>
        </w:rPr>
        <w:t xml:space="preserve">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108</w:t>
      </w:r>
    </w:p>
    <w:p>
      <w:pPr>
        <w:pStyle w:val="2"/>
        <w:ind w:left="0" w:leftChars="0" w:firstLine="0" w:firstLineChars="0"/>
        <w:rPr>
          <w:rFonts w:hint="eastAsia" w:ascii="宋体" w:hAnsi="宋体" w:cs="宋体"/>
          <w:b w:val="0"/>
          <w:bCs w:val="0"/>
          <w:sz w:val="21"/>
          <w:szCs w:val="21"/>
          <w:lang w:val="en-US" w:eastAsia="zh-CN"/>
        </w:rPr>
      </w:pPr>
      <w:r>
        <w:rPr>
          <w:rFonts w:hint="eastAsia"/>
          <w:b w:val="0"/>
          <w:bCs w:val="0"/>
          <w:sz w:val="21"/>
          <w:szCs w:val="21"/>
          <w:lang w:val="en-US" w:eastAsia="zh-CN"/>
        </w:rPr>
        <w:t xml:space="preserve">弯曲强度               </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147</w:t>
      </w:r>
    </w:p>
    <w:p>
      <w:p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巴氏强度               </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34</w:t>
      </w:r>
    </w:p>
    <w:p>
      <w:pPr>
        <w:pStyle w:val="2"/>
        <w:ind w:left="0" w:leftChars="0" w:firstLine="0" w:firstLineChars="0"/>
        <w:rPr>
          <w:rFonts w:hint="eastAsia"/>
          <w:b w:val="0"/>
          <w:bCs w:val="0"/>
          <w:sz w:val="21"/>
          <w:szCs w:val="21"/>
          <w:vertAlign w:val="superscript"/>
          <w:lang w:val="en-US" w:eastAsia="zh-CN"/>
        </w:rPr>
      </w:pPr>
      <w:r>
        <w:rPr>
          <w:rFonts w:hint="eastAsia" w:ascii="宋体" w:hAnsi="宋体" w:cs="宋体"/>
          <w:b w:val="0"/>
          <w:bCs w:val="0"/>
          <w:sz w:val="21"/>
          <w:szCs w:val="21"/>
          <w:lang w:val="en-US" w:eastAsia="zh-CN"/>
        </w:rPr>
        <w:t xml:space="preserve">环刚度                </w:t>
      </w:r>
      <w:r>
        <w:rPr>
          <w:rFonts w:hint="eastAsia" w:ascii="宋体" w:hAnsi="宋体" w:eastAsia="宋体" w:cs="宋体"/>
          <w:b w:val="0"/>
          <w:bCs w:val="0"/>
          <w:sz w:val="21"/>
          <w:szCs w:val="21"/>
          <w:lang w:val="en-US" w:eastAsia="zh-CN"/>
        </w:rPr>
        <w:t>≧</w:t>
      </w:r>
      <w:r>
        <w:rPr>
          <w:rFonts w:hint="eastAsia"/>
          <w:b w:val="0"/>
          <w:bCs w:val="0"/>
          <w:sz w:val="21"/>
          <w:szCs w:val="21"/>
          <w:lang w:val="en-US" w:eastAsia="zh-CN"/>
        </w:rPr>
        <w:t>10000n/m</w:t>
      </w:r>
      <w:r>
        <w:rPr>
          <w:rFonts w:hint="eastAsia"/>
          <w:b w:val="0"/>
          <w:bCs w:val="0"/>
          <w:sz w:val="21"/>
          <w:szCs w:val="21"/>
          <w:vertAlign w:val="superscript"/>
          <w:lang w:val="en-US" w:eastAsia="zh-CN"/>
        </w:rPr>
        <w:t>3</w:t>
      </w:r>
    </w:p>
    <w:p>
      <w:pPr>
        <w:rPr>
          <w:rFonts w:hint="eastAsia"/>
          <w:sz w:val="21"/>
          <w:szCs w:val="21"/>
          <w:vertAlign w:val="baseline"/>
          <w:lang w:val="en-US" w:eastAsia="zh-CN"/>
        </w:rPr>
      </w:pPr>
      <w:r>
        <w:rPr>
          <w:rFonts w:hint="eastAsia"/>
          <w:sz w:val="21"/>
          <w:szCs w:val="21"/>
          <w:vertAlign w:val="baseline"/>
          <w:lang w:val="en-US" w:eastAsia="zh-CN"/>
        </w:rPr>
        <w:t>10%酸性溶液浸泡100h应无异常，强度保留85%以上。</w:t>
      </w:r>
    </w:p>
    <w:p>
      <w:pPr>
        <w:rPr>
          <w:rFonts w:hint="default"/>
          <w:sz w:val="21"/>
          <w:szCs w:val="21"/>
          <w:lang w:val="en-US" w:eastAsia="zh-CN"/>
        </w:rPr>
      </w:pPr>
      <w:r>
        <w:rPr>
          <w:rFonts w:hint="eastAsia"/>
          <w:sz w:val="21"/>
          <w:szCs w:val="21"/>
          <w:vertAlign w:val="baseline"/>
          <w:lang w:val="en-US" w:eastAsia="zh-CN"/>
        </w:rPr>
        <w:t>10%碱性溶液浸泡100h应无异常，强度保留85%以上。</w:t>
      </w:r>
    </w:p>
    <w:p>
      <w:pPr>
        <w:spacing w:line="360" w:lineRule="auto"/>
        <w:ind w:firstLine="420" w:firstLineChars="200"/>
        <w:rPr>
          <w:szCs w:val="21"/>
        </w:rPr>
      </w:pPr>
      <w:r>
        <w:rPr>
          <w:rFonts w:hint="eastAsia"/>
          <w:szCs w:val="21"/>
          <w:lang w:val="en-US" w:eastAsia="zh-CN"/>
        </w:rPr>
        <w:t>3、</w:t>
      </w:r>
      <w:r>
        <w:rPr>
          <w:rFonts w:hint="eastAsia"/>
          <w:szCs w:val="21"/>
        </w:rPr>
        <w:t>材料运输：本竞争性比选文件约定的材料价格为比选人指定位置的到场单价</w:t>
      </w:r>
      <w:r>
        <w:rPr>
          <w:rFonts w:hint="eastAsia"/>
          <w:color w:val="0000FF"/>
          <w:szCs w:val="21"/>
        </w:rPr>
        <w:t>（包括装车）材料到达指定地点后由</w:t>
      </w:r>
      <w:r>
        <w:rPr>
          <w:rFonts w:hint="eastAsia"/>
          <w:color w:val="0000FF"/>
          <w:szCs w:val="21"/>
          <w:lang w:val="en-US" w:eastAsia="zh-CN"/>
        </w:rPr>
        <w:t>比选</w:t>
      </w:r>
      <w:r>
        <w:rPr>
          <w:rFonts w:hint="eastAsia"/>
          <w:color w:val="0000FF"/>
          <w:szCs w:val="21"/>
        </w:rPr>
        <w:t>方自行负责下货</w:t>
      </w:r>
      <w:r>
        <w:rPr>
          <w:rFonts w:hint="eastAsia"/>
          <w:szCs w:val="21"/>
        </w:rPr>
        <w:t>，材料运输的安全由竞标人负责，因材料运输超限等引起的全部后果、责任均由竞标人承担。竞标人必须保证安全、及时供货，比选人不承担由此造成的安全责任及相应费用。</w:t>
      </w:r>
    </w:p>
    <w:p>
      <w:pPr>
        <w:spacing w:line="360" w:lineRule="auto"/>
        <w:ind w:firstLine="420" w:firstLineChars="200"/>
        <w:textAlignment w:val="baseline"/>
        <w:rPr>
          <w:szCs w:val="21"/>
        </w:rPr>
      </w:pPr>
      <w:r>
        <w:rPr>
          <w:rFonts w:hint="eastAsia"/>
          <w:szCs w:val="21"/>
        </w:rPr>
        <w:t>（3）其他：在接到通知后必须按时将货物运送至指定地点。</w:t>
      </w:r>
    </w:p>
    <w:p>
      <w:pPr>
        <w:spacing w:line="360" w:lineRule="auto"/>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auto"/>
        <w:ind w:firstLine="420" w:firstLineChars="200"/>
        <w:rPr>
          <w:sz w:val="18"/>
          <w:szCs w:val="18"/>
        </w:rPr>
      </w:pPr>
      <w:r>
        <w:rPr>
          <w:rFonts w:hint="eastAsia"/>
          <w:szCs w:val="21"/>
        </w:rPr>
        <w:t>按比选文件格式执行。</w:t>
      </w:r>
    </w:p>
    <w:p>
      <w:pPr>
        <w:spacing w:line="360" w:lineRule="auto"/>
        <w:ind w:firstLine="420" w:firstLineChars="200"/>
        <w:rPr>
          <w:szCs w:val="21"/>
        </w:rPr>
      </w:pPr>
      <w:r>
        <w:rPr>
          <w:rFonts w:hint="eastAsia"/>
          <w:szCs w:val="21"/>
        </w:rPr>
        <w:t>4、竞争性比选</w:t>
      </w:r>
      <w:r>
        <w:rPr>
          <w:szCs w:val="21"/>
        </w:rPr>
        <w:t>响应文件的份数及编制要求</w:t>
      </w:r>
      <w:r>
        <w:rPr>
          <w:rFonts w:hint="eastAsia"/>
          <w:szCs w:val="21"/>
        </w:rPr>
        <w:t>：</w:t>
      </w:r>
    </w:p>
    <w:p>
      <w:pPr>
        <w:spacing w:line="360" w:lineRule="auto"/>
        <w:ind w:firstLine="420" w:firstLineChars="200"/>
        <w:rPr>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评标委员会按投标人报价金额由低到高的顺序进行评审。若出现最低报价相同时，则进行第二轮报价。</w:t>
      </w:r>
    </w:p>
    <w:p>
      <w:pPr>
        <w:spacing w:line="360" w:lineRule="auto"/>
        <w:rPr>
          <w:b/>
          <w:szCs w:val="21"/>
        </w:rPr>
      </w:pPr>
      <w:r>
        <w:rPr>
          <w:b/>
          <w:szCs w:val="21"/>
        </w:rPr>
        <w:t>五、</w:t>
      </w:r>
      <w:r>
        <w:rPr>
          <w:rFonts w:hint="eastAsia"/>
          <w:b/>
          <w:szCs w:val="21"/>
        </w:rPr>
        <w:t>竞争性比选</w:t>
      </w:r>
      <w:r>
        <w:rPr>
          <w:b/>
          <w:szCs w:val="21"/>
        </w:rPr>
        <w:t>须知</w:t>
      </w:r>
    </w:p>
    <w:p>
      <w:pPr>
        <w:spacing w:line="360" w:lineRule="auto"/>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FF0000"/>
          <w:szCs w:val="21"/>
        </w:rPr>
        <w:t>2020年</w:t>
      </w:r>
      <w:r>
        <w:rPr>
          <w:rFonts w:ascii="宋体" w:hAnsi="宋体" w:cs="宋体"/>
          <w:color w:val="FF0000"/>
          <w:szCs w:val="21"/>
        </w:rPr>
        <w:t xml:space="preserve"> </w:t>
      </w:r>
      <w:r>
        <w:rPr>
          <w:rFonts w:hint="eastAsia" w:ascii="宋体" w:hAnsi="宋体" w:cs="宋体"/>
          <w:color w:val="FF0000"/>
          <w:szCs w:val="21"/>
          <w:lang w:val="en-US" w:eastAsia="zh-CN"/>
        </w:rPr>
        <w:t>12</w:t>
      </w:r>
      <w:r>
        <w:rPr>
          <w:rFonts w:ascii="宋体" w:hAnsi="宋体" w:cs="宋体"/>
          <w:color w:val="FF0000"/>
          <w:szCs w:val="21"/>
        </w:rPr>
        <w:t xml:space="preserve"> </w:t>
      </w:r>
      <w:r>
        <w:rPr>
          <w:rFonts w:hint="eastAsia" w:ascii="宋体" w:hAnsi="宋体" w:cs="宋体"/>
          <w:color w:val="FF0000"/>
          <w:szCs w:val="21"/>
        </w:rPr>
        <w:t xml:space="preserve">月 </w:t>
      </w:r>
      <w:r>
        <w:rPr>
          <w:rFonts w:hint="eastAsia" w:ascii="宋体" w:hAnsi="宋体" w:cs="宋体"/>
          <w:color w:val="FF0000"/>
          <w:szCs w:val="21"/>
          <w:lang w:val="en-US" w:eastAsia="zh-CN"/>
        </w:rPr>
        <w:t>17</w:t>
      </w:r>
      <w:r>
        <w:rPr>
          <w:rFonts w:hint="eastAsia" w:ascii="宋体" w:hAnsi="宋体" w:cs="宋体"/>
          <w:color w:val="FF0000"/>
          <w:szCs w:val="21"/>
        </w:rPr>
        <w:t>日</w:t>
      </w:r>
      <w:r>
        <w:rPr>
          <w:rFonts w:hint="eastAsia" w:ascii="宋体" w:hAnsi="宋体" w:cs="宋体"/>
          <w:szCs w:val="21"/>
        </w:rPr>
        <w:t>起至竞争性比选响应文件递交截止时间前，在重庆高速集团官网（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auto"/>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auto"/>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auto"/>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auto"/>
        <w:ind w:firstLine="420" w:firstLineChars="200"/>
        <w:rPr>
          <w:rFonts w:ascii="宋体" w:hAnsi="宋体" w:cs="宋体"/>
          <w:szCs w:val="21"/>
        </w:rPr>
      </w:pPr>
      <w:r>
        <w:rPr>
          <w:rFonts w:hint="eastAsia" w:ascii="宋体" w:hAnsi="宋体" w:cs="宋体"/>
          <w:szCs w:val="21"/>
        </w:rPr>
        <w:t>（四）竞争性比选响应文件递交截止时间：2020年</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21</w:t>
      </w:r>
      <w:r>
        <w:rPr>
          <w:rFonts w:hint="eastAsia"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auto"/>
        <w:ind w:firstLine="420" w:firstLineChars="200"/>
        <w:rPr>
          <w:rFonts w:ascii="宋体" w:hAnsi="宋体" w:cs="宋体"/>
          <w:szCs w:val="21"/>
        </w:rPr>
      </w:pPr>
      <w:r>
        <w:rPr>
          <w:rFonts w:hint="eastAsia" w:ascii="宋体" w:hAnsi="宋体" w:cs="宋体"/>
          <w:szCs w:val="21"/>
        </w:rPr>
        <w:t>（六）密封要求：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jc w:val="left"/>
        <w:rPr>
          <w:szCs w:val="21"/>
          <w:u w:val="single"/>
        </w:rPr>
      </w:pPr>
      <w:r>
        <w:rPr>
          <w:rFonts w:hint="eastAsia"/>
          <w:szCs w:val="21"/>
          <w:u w:val="single"/>
        </w:rPr>
        <w:t>重庆通力高速</w:t>
      </w:r>
      <w:r>
        <w:rPr>
          <w:rFonts w:hint="eastAsia"/>
          <w:szCs w:val="21"/>
          <w:u w:val="single"/>
          <w:lang w:eastAsia="zh-CN"/>
        </w:rPr>
        <w:t>公路</w:t>
      </w:r>
      <w:r>
        <w:rPr>
          <w:rFonts w:hint="eastAsia"/>
          <w:szCs w:val="21"/>
          <w:u w:val="single"/>
        </w:rPr>
        <w:t>养护工程有限公司</w:t>
      </w:r>
      <w:r>
        <w:rPr>
          <w:rFonts w:ascii="宋体" w:hAnsi="宋体" w:cs="宋体"/>
          <w:bCs/>
          <w:color w:val="000000"/>
          <w:kern w:val="0"/>
          <w:szCs w:val="21"/>
          <w:u w:val="single"/>
          <w:lang w:bidi="ar"/>
        </w:rPr>
        <w:t>复兴服务区污水改造工程</w:t>
      </w:r>
      <w:r>
        <w:rPr>
          <w:rFonts w:hint="eastAsia"/>
          <w:szCs w:val="21"/>
          <w:u w:val="single"/>
        </w:rPr>
        <w:t>玻璃钢化粪池采购竞争性比选响应性文件在2020年</w:t>
      </w:r>
      <w:r>
        <w:rPr>
          <w:rFonts w:hint="eastAsia"/>
          <w:szCs w:val="21"/>
          <w:u w:val="single"/>
          <w:lang w:val="en-US" w:eastAsia="zh-CN"/>
        </w:rPr>
        <w:t>12</w:t>
      </w:r>
      <w:r>
        <w:rPr>
          <w:rFonts w:hint="eastAsia"/>
          <w:szCs w:val="21"/>
          <w:u w:val="single"/>
        </w:rPr>
        <w:t xml:space="preserve">月 </w:t>
      </w:r>
      <w:r>
        <w:rPr>
          <w:rFonts w:hint="eastAsia"/>
          <w:szCs w:val="21"/>
          <w:u w:val="single"/>
          <w:lang w:val="en-US" w:eastAsia="zh-CN"/>
        </w:rPr>
        <w:t>21</w:t>
      </w:r>
      <w:r>
        <w:rPr>
          <w:rFonts w:hint="eastAsia"/>
          <w:szCs w:val="21"/>
          <w:u w:val="single"/>
        </w:rPr>
        <w:t>日下午 15 时 00 分前不得开启</w:t>
      </w:r>
    </w:p>
    <w:p>
      <w:pPr>
        <w:spacing w:line="360" w:lineRule="auto"/>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auto"/>
        <w:ind w:firstLine="420" w:firstLineChars="200"/>
        <w:rPr>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360" w:lineRule="auto"/>
        <w:ind w:firstLine="420" w:firstLineChars="200"/>
        <w:rPr>
          <w:szCs w:val="21"/>
        </w:rPr>
      </w:pPr>
      <w:r>
        <w:rPr>
          <w:rFonts w:hint="eastAsia"/>
          <w:szCs w:val="21"/>
        </w:rPr>
        <w:t>举报电话及联系人：纪律检查室    举报电话：023-89063863</w:t>
      </w:r>
    </w:p>
    <w:p>
      <w:pPr>
        <w:spacing w:line="360" w:lineRule="auto"/>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auto"/>
        <w:ind w:firstLine="420" w:firstLineChars="200"/>
        <w:rPr>
          <w:szCs w:val="21"/>
        </w:rPr>
      </w:pPr>
      <w:r>
        <w:rPr>
          <w:rFonts w:hint="eastAsia"/>
          <w:szCs w:val="21"/>
        </w:rPr>
        <w:t>（八）采购合同（附后）：</w:t>
      </w:r>
    </w:p>
    <w:p>
      <w:pPr>
        <w:spacing w:line="360" w:lineRule="auto"/>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auto"/>
        <w:ind w:firstLine="420" w:firstLineChars="200"/>
        <w:jc w:val="left"/>
        <w:rPr>
          <w:rFonts w:ascii="宋体" w:hAnsi="宋体" w:cs="宋体"/>
          <w:szCs w:val="21"/>
        </w:rPr>
      </w:pPr>
      <w:r>
        <w:rPr>
          <w:rFonts w:hint="eastAsia" w:ascii="宋体" w:hAnsi="宋体" w:cs="宋体"/>
          <w:szCs w:val="21"/>
        </w:rPr>
        <w:t>竞争性比选人：重庆通力高速</w:t>
      </w:r>
      <w:r>
        <w:rPr>
          <w:rFonts w:hint="eastAsia" w:ascii="宋体" w:hAnsi="宋体" w:cs="宋体"/>
          <w:szCs w:val="21"/>
          <w:lang w:eastAsia="zh-CN"/>
        </w:rPr>
        <w:t>公路</w:t>
      </w:r>
      <w:bookmarkStart w:id="35" w:name="_GoBack"/>
      <w:bookmarkEnd w:id="35"/>
      <w:r>
        <w:rPr>
          <w:rFonts w:hint="eastAsia" w:ascii="宋体" w:hAnsi="宋体" w:cs="宋体"/>
          <w:szCs w:val="21"/>
        </w:rPr>
        <w:t>养护工程有限公司</w:t>
      </w:r>
    </w:p>
    <w:p>
      <w:pPr>
        <w:spacing w:line="360" w:lineRule="auto"/>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auto"/>
        <w:ind w:firstLine="420" w:firstLineChars="200"/>
        <w:jc w:val="left"/>
        <w:rPr>
          <w:sz w:val="24"/>
          <w:szCs w:val="21"/>
        </w:rPr>
      </w:pPr>
      <w:r>
        <w:rPr>
          <w:rFonts w:hint="eastAsia" w:ascii="宋体" w:hAnsi="宋体" w:cs="宋体"/>
          <w:szCs w:val="21"/>
        </w:rPr>
        <w:t>联系人：刘老师      电话：023-89063871</w:t>
      </w:r>
      <w:r>
        <w:rPr>
          <w:rFonts w:hint="eastAsia" w:ascii="宋体" w:hAnsi="宋体"/>
          <w:snapToGrid w:val="0"/>
          <w:kern w:val="0"/>
          <w:szCs w:val="21"/>
        </w:rPr>
        <w:t xml:space="preserve">   王老师 电话：15215013903</w:t>
      </w:r>
    </w:p>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rFonts w:hint="eastAsia"/>
          <w:b/>
          <w:sz w:val="24"/>
          <w:szCs w:val="21"/>
        </w:rPr>
      </w:pPr>
    </w:p>
    <w:p>
      <w:pPr>
        <w:spacing w:line="360" w:lineRule="auto"/>
        <w:rPr>
          <w:b/>
          <w:sz w:val="24"/>
          <w:szCs w:val="21"/>
        </w:rPr>
      </w:pPr>
      <w:r>
        <w:rPr>
          <w:rFonts w:hint="eastAsia"/>
          <w:b/>
          <w:sz w:val="24"/>
          <w:szCs w:val="21"/>
        </w:rPr>
        <w:t>采购合同：</w:t>
      </w:r>
    </w:p>
    <w:p>
      <w:pPr>
        <w:jc w:val="center"/>
        <w:rPr>
          <w:b/>
          <w:sz w:val="36"/>
          <w:szCs w:val="22"/>
        </w:rPr>
      </w:pPr>
      <w:r>
        <w:rPr>
          <w:rFonts w:hint="eastAsia"/>
          <w:b/>
          <w:sz w:val="36"/>
          <w:szCs w:val="22"/>
        </w:rPr>
        <w:t>重庆通力高速养护工程有限公司</w:t>
      </w:r>
    </w:p>
    <w:p>
      <w:pPr>
        <w:widowControl/>
        <w:ind w:left="361" w:hanging="361" w:hangingChars="100"/>
        <w:jc w:val="center"/>
        <w:rPr>
          <w:b/>
          <w:sz w:val="36"/>
          <w:szCs w:val="22"/>
        </w:rPr>
      </w:pPr>
      <w:r>
        <w:rPr>
          <w:rFonts w:ascii="宋体" w:hAnsi="宋体" w:cs="宋体"/>
          <w:b/>
          <w:color w:val="000000"/>
          <w:kern w:val="0"/>
          <w:sz w:val="36"/>
          <w:szCs w:val="36"/>
          <w:lang w:bidi="ar"/>
        </w:rPr>
        <w:t>复兴服务区污水改造工程</w:t>
      </w:r>
      <w:r>
        <w:rPr>
          <w:rFonts w:hint="eastAsia" w:ascii="宋体" w:hAnsi="宋体" w:cs="宋体"/>
          <w:b/>
          <w:sz w:val="36"/>
          <w:szCs w:val="36"/>
        </w:rPr>
        <w:t>玻璃钢化粪池</w:t>
      </w:r>
      <w:r>
        <w:rPr>
          <w:rFonts w:hint="eastAsia"/>
          <w:b/>
          <w:sz w:val="36"/>
          <w:szCs w:val="22"/>
        </w:rPr>
        <w:t>采购合同</w:t>
      </w:r>
    </w:p>
    <w:p>
      <w:pPr>
        <w:pStyle w:val="2"/>
        <w:ind w:firstLine="157"/>
        <w:rPr>
          <w:rFonts w:hint="eastAsia"/>
        </w:rPr>
      </w:pPr>
    </w:p>
    <w:p>
      <w:pPr>
        <w:spacing w:line="360" w:lineRule="auto"/>
        <w:textAlignment w:val="baseline"/>
        <w:rPr>
          <w:sz w:val="24"/>
          <w:szCs w:val="24"/>
        </w:rPr>
      </w:pPr>
      <w:r>
        <w:rPr>
          <w:rFonts w:hint="eastAsia"/>
          <w:sz w:val="24"/>
          <w:szCs w:val="24"/>
        </w:rPr>
        <w:t>甲方：重庆通力高速</w:t>
      </w:r>
      <w:r>
        <w:rPr>
          <w:rFonts w:hint="eastAsia"/>
          <w:sz w:val="24"/>
          <w:szCs w:val="24"/>
          <w:lang w:eastAsia="zh-CN"/>
        </w:rPr>
        <w:t>公路</w:t>
      </w:r>
      <w:r>
        <w:rPr>
          <w:rFonts w:hint="eastAsia"/>
          <w:sz w:val="24"/>
          <w:szCs w:val="24"/>
        </w:rPr>
        <w:t>养护工程有限公司</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甲方因日常养护工程需要，</w:t>
      </w:r>
      <w:r>
        <w:rPr>
          <w:rFonts w:hint="eastAsia" w:ascii="宋体" w:hAnsi="宋体"/>
          <w:sz w:val="24"/>
          <w:szCs w:val="24"/>
        </w:rPr>
        <w:t>协议向乙方采购玻璃钢化粪池；依照《中华人民共和国合同法》及其他有关法律、行政法规，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tbl>
      <w:tblPr>
        <w:tblStyle w:val="6"/>
        <w:tblpPr w:leftFromText="180" w:rightFromText="180" w:vertAnchor="text" w:horzAnchor="page" w:tblpX="829" w:tblpY="628"/>
        <w:tblOverlap w:val="never"/>
        <w:tblW w:w="9744" w:type="dxa"/>
        <w:tblInd w:w="0" w:type="dxa"/>
        <w:tblLayout w:type="fixed"/>
        <w:tblCellMar>
          <w:top w:w="0" w:type="dxa"/>
          <w:left w:w="108" w:type="dxa"/>
          <w:bottom w:w="0" w:type="dxa"/>
          <w:right w:w="108" w:type="dxa"/>
        </w:tblCellMar>
      </w:tblPr>
      <w:tblGrid>
        <w:gridCol w:w="613"/>
        <w:gridCol w:w="2442"/>
        <w:gridCol w:w="660"/>
        <w:gridCol w:w="1545"/>
        <w:gridCol w:w="1110"/>
        <w:gridCol w:w="1087"/>
        <w:gridCol w:w="2287"/>
      </w:tblGrid>
      <w:tr>
        <w:tblPrEx>
          <w:tblCellMar>
            <w:top w:w="0" w:type="dxa"/>
            <w:left w:w="108" w:type="dxa"/>
            <w:bottom w:w="0" w:type="dxa"/>
            <w:right w:w="108" w:type="dxa"/>
          </w:tblCellMar>
        </w:tblPrEx>
        <w:trPr>
          <w:trHeight w:val="929" w:hRule="atLeast"/>
        </w:trPr>
        <w:tc>
          <w:tcPr>
            <w:tcW w:w="6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4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材料名称规格</w:t>
            </w:r>
          </w:p>
        </w:tc>
        <w:tc>
          <w:tcPr>
            <w:tcW w:w="6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54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111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综合单价（元）</w:t>
            </w:r>
          </w:p>
        </w:tc>
        <w:tc>
          <w:tcPr>
            <w:tcW w:w="10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金额（元）</w:t>
            </w:r>
          </w:p>
        </w:tc>
        <w:tc>
          <w:tcPr>
            <w:tcW w:w="22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1585" w:hRule="atLeast"/>
        </w:trPr>
        <w:tc>
          <w:tcPr>
            <w:tcW w:w="6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w:t>
            </w:r>
          </w:p>
        </w:tc>
        <w:tc>
          <w:tcPr>
            <w:tcW w:w="24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玻璃钢化粪池</w:t>
            </w:r>
          </w:p>
          <w:p>
            <w:pPr>
              <w:widowControl/>
              <w:spacing w:line="360" w:lineRule="auto"/>
              <w:jc w:val="center"/>
              <w:rPr>
                <w:szCs w:val="21"/>
              </w:rPr>
            </w:pPr>
            <w:r>
              <w:rPr>
                <w:rFonts w:hint="eastAsia" w:ascii="宋体" w:hAnsi="宋体" w:cs="宋体"/>
                <w:color w:val="000000"/>
                <w:kern w:val="0"/>
                <w:szCs w:val="21"/>
              </w:rPr>
              <w:t>长12.5m*直径3.2*厚12mm</w:t>
            </w:r>
          </w:p>
        </w:tc>
        <w:tc>
          <w:tcPr>
            <w:tcW w:w="66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个</w:t>
            </w:r>
          </w:p>
        </w:tc>
        <w:tc>
          <w:tcPr>
            <w:tcW w:w="1545"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2</w:t>
            </w:r>
          </w:p>
        </w:tc>
        <w:tc>
          <w:tcPr>
            <w:tcW w:w="111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p>
        </w:tc>
        <w:tc>
          <w:tcPr>
            <w:tcW w:w="1087"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　</w:t>
            </w:r>
          </w:p>
        </w:tc>
        <w:tc>
          <w:tcPr>
            <w:tcW w:w="228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单个容积不小于100立方</w:t>
            </w:r>
          </w:p>
          <w:p>
            <w:pPr>
              <w:pStyle w:val="2"/>
              <w:ind w:firstLine="157"/>
            </w:pPr>
          </w:p>
        </w:tc>
      </w:tr>
      <w:tr>
        <w:tblPrEx>
          <w:tblCellMar>
            <w:top w:w="0" w:type="dxa"/>
            <w:left w:w="108" w:type="dxa"/>
            <w:bottom w:w="0" w:type="dxa"/>
            <w:right w:w="108" w:type="dxa"/>
          </w:tblCellMar>
        </w:tblPrEx>
        <w:trPr>
          <w:trHeight w:val="626" w:hRule="atLeast"/>
        </w:trPr>
        <w:tc>
          <w:tcPr>
            <w:tcW w:w="526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税后合计</w:t>
            </w:r>
          </w:p>
        </w:tc>
        <w:tc>
          <w:tcPr>
            <w:tcW w:w="2197" w:type="dxa"/>
            <w:gridSpan w:val="2"/>
            <w:tcBorders>
              <w:top w:val="single" w:color="auto" w:sz="4" w:space="0"/>
              <w:left w:val="nil"/>
              <w:bottom w:val="single" w:color="auto" w:sz="4" w:space="0"/>
              <w:right w:val="single" w:color="auto" w:sz="4" w:space="0"/>
            </w:tcBorders>
            <w:vAlign w:val="center"/>
          </w:tcPr>
          <w:p>
            <w:pPr>
              <w:widowControl/>
              <w:spacing w:line="360" w:lineRule="auto"/>
              <w:ind w:left="1299" w:hanging="1299" w:hangingChars="539"/>
              <w:rPr>
                <w:rFonts w:ascii="Arial" w:hAnsi="Arial" w:cs="Arial"/>
                <w:b/>
                <w:bCs/>
                <w:color w:val="000000"/>
                <w:kern w:val="0"/>
                <w:sz w:val="24"/>
                <w:szCs w:val="24"/>
              </w:rPr>
            </w:pPr>
            <w:r>
              <w:rPr>
                <w:rFonts w:hint="eastAsia" w:ascii="宋体" w:hAnsi="宋体" w:cs="Arial"/>
                <w:b/>
                <w:bCs/>
                <w:color w:val="000000"/>
                <w:kern w:val="0"/>
                <w:sz w:val="24"/>
                <w:szCs w:val="24"/>
              </w:rPr>
              <w:t xml:space="preserve">¥  </w:t>
            </w:r>
            <w:r>
              <w:rPr>
                <w:rFonts w:hint="eastAsia" w:ascii="宋体" w:hAnsi="宋体" w:cs="Arial"/>
                <w:b/>
                <w:bCs/>
                <w:color w:val="000000"/>
                <w:kern w:val="0"/>
                <w:sz w:val="24"/>
                <w:szCs w:val="24"/>
                <w:lang w:val="en-US" w:eastAsia="zh-CN"/>
              </w:rPr>
              <w:t xml:space="preserve">      </w:t>
            </w:r>
            <w:r>
              <w:rPr>
                <w:rFonts w:hint="eastAsia" w:ascii="宋体" w:hAnsi="宋体" w:cs="Arial"/>
                <w:color w:val="000000"/>
                <w:kern w:val="0"/>
                <w:sz w:val="24"/>
                <w:szCs w:val="24"/>
              </w:rPr>
              <w:t>元整</w:t>
            </w:r>
          </w:p>
        </w:tc>
        <w:tc>
          <w:tcPr>
            <w:tcW w:w="2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含税到场（不含下货）　</w:t>
            </w:r>
          </w:p>
        </w:tc>
      </w:tr>
      <w:tr>
        <w:tblPrEx>
          <w:tblCellMar>
            <w:top w:w="0" w:type="dxa"/>
            <w:left w:w="108" w:type="dxa"/>
            <w:bottom w:w="0" w:type="dxa"/>
            <w:right w:w="108" w:type="dxa"/>
          </w:tblCellMar>
        </w:tblPrEx>
        <w:trPr>
          <w:trHeight w:val="372" w:hRule="atLeast"/>
        </w:trPr>
        <w:tc>
          <w:tcPr>
            <w:tcW w:w="526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 w:val="22"/>
                <w:szCs w:val="22"/>
              </w:rPr>
              <w:t>税率</w:t>
            </w:r>
          </w:p>
        </w:tc>
        <w:tc>
          <w:tcPr>
            <w:tcW w:w="2197"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13%</w:t>
            </w:r>
          </w:p>
        </w:tc>
        <w:tc>
          <w:tcPr>
            <w:tcW w:w="2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r>
      <w:tr>
        <w:tblPrEx>
          <w:tblCellMar>
            <w:top w:w="0" w:type="dxa"/>
            <w:left w:w="108" w:type="dxa"/>
            <w:bottom w:w="0" w:type="dxa"/>
            <w:right w:w="108" w:type="dxa"/>
          </w:tblCellMar>
        </w:tblPrEx>
        <w:trPr>
          <w:trHeight w:val="660" w:hRule="atLeast"/>
        </w:trPr>
        <w:tc>
          <w:tcPr>
            <w:tcW w:w="7457" w:type="dxa"/>
            <w:gridSpan w:val="6"/>
            <w:tcBorders>
              <w:top w:val="single" w:color="auto" w:sz="4" w:space="0"/>
              <w:left w:val="single" w:color="auto" w:sz="4" w:space="0"/>
              <w:bottom w:val="single" w:color="auto" w:sz="4" w:space="0"/>
              <w:right w:val="single" w:color="000000" w:sz="4" w:space="0"/>
            </w:tcBorders>
            <w:vAlign w:val="center"/>
          </w:tcPr>
          <w:p>
            <w:pPr>
              <w:widowControl/>
              <w:spacing w:line="360" w:lineRule="auto"/>
              <w:jc w:val="right"/>
              <w:rPr>
                <w:rFonts w:ascii="宋体" w:hAnsi="宋体" w:cs="宋体"/>
                <w:color w:val="000000"/>
                <w:kern w:val="0"/>
                <w:sz w:val="22"/>
                <w:szCs w:val="22"/>
              </w:rPr>
            </w:pPr>
            <w:r>
              <w:rPr>
                <w:rFonts w:hint="eastAsia" w:ascii="宋体" w:hAnsi="宋体" w:cs="宋体"/>
                <w:color w:val="000000"/>
                <w:kern w:val="0"/>
                <w:sz w:val="22"/>
                <w:szCs w:val="22"/>
              </w:rPr>
              <w:t xml:space="preserve"> 大写：</w:t>
            </w:r>
            <w:r>
              <w:rPr>
                <w:rFonts w:hint="eastAsia" w:ascii="宋体" w:hAnsi="宋体" w:cs="宋体"/>
                <w:color w:val="000000"/>
                <w:kern w:val="0"/>
                <w:sz w:val="22"/>
                <w:szCs w:val="22"/>
                <w:u w:val="single"/>
              </w:rPr>
              <w:t xml:space="preserve">                        </w:t>
            </w:r>
            <w:r>
              <w:rPr>
                <w:rFonts w:hint="eastAsia" w:ascii="宋体" w:hAnsi="宋体" w:cs="宋体"/>
                <w:color w:val="000000"/>
                <w:kern w:val="0"/>
                <w:sz w:val="22"/>
                <w:szCs w:val="22"/>
              </w:rPr>
              <w:t xml:space="preserve"> 元整</w:t>
            </w:r>
          </w:p>
        </w:tc>
        <w:tc>
          <w:tcPr>
            <w:tcW w:w="2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r>
    </w:tbl>
    <w:p>
      <w:pPr>
        <w:numPr>
          <w:ilvl w:val="0"/>
          <w:numId w:val="3"/>
        </w:numPr>
        <w:spacing w:line="360" w:lineRule="auto"/>
        <w:jc w:val="left"/>
        <w:textAlignment w:val="baseline"/>
        <w:rPr>
          <w:szCs w:val="21"/>
        </w:rPr>
      </w:pPr>
      <w:r>
        <w:rPr>
          <w:rFonts w:hint="eastAsia"/>
          <w:b/>
          <w:sz w:val="24"/>
          <w:szCs w:val="24"/>
        </w:rPr>
        <w:t>产品名称、型号、数量、金额</w:t>
      </w:r>
      <w:r>
        <w:rPr>
          <w:rFonts w:hint="eastAsia"/>
          <w:sz w:val="24"/>
          <w:szCs w:val="24"/>
        </w:rPr>
        <w:t xml:space="preserve">：                              </w:t>
      </w:r>
      <w:r>
        <w:rPr>
          <w:rFonts w:hint="eastAsia"/>
          <w:szCs w:val="21"/>
        </w:rPr>
        <w:t>货币单位：人民币   元</w:t>
      </w:r>
    </w:p>
    <w:p>
      <w:pPr>
        <w:spacing w:line="360" w:lineRule="auto"/>
        <w:textAlignment w:val="baseline"/>
        <w:rPr>
          <w:sz w:val="24"/>
          <w:szCs w:val="24"/>
        </w:rPr>
      </w:pPr>
    </w:p>
    <w:p>
      <w:pPr>
        <w:spacing w:line="360" w:lineRule="auto"/>
        <w:ind w:firstLine="480" w:firstLineChars="200"/>
        <w:textAlignment w:val="baseline"/>
        <w:rPr>
          <w:sz w:val="24"/>
          <w:szCs w:val="24"/>
        </w:rPr>
      </w:pPr>
      <w:r>
        <w:rPr>
          <w:rFonts w:hint="eastAsia"/>
          <w:sz w:val="24"/>
          <w:szCs w:val="24"/>
        </w:rPr>
        <w:t>本合同为综合单价合同，表中数量为预计数量，结算数量以甲方代表实际签证确认的到场合格数量为准。</w:t>
      </w:r>
    </w:p>
    <w:p>
      <w:pPr>
        <w:spacing w:line="360" w:lineRule="auto"/>
        <w:ind w:firstLine="472" w:firstLineChars="196"/>
        <w:rPr>
          <w:b/>
          <w:sz w:val="24"/>
          <w:szCs w:val="24"/>
        </w:rPr>
      </w:pPr>
      <w:r>
        <w:rPr>
          <w:rFonts w:hint="eastAsia"/>
          <w:b/>
          <w:sz w:val="24"/>
          <w:szCs w:val="24"/>
        </w:rPr>
        <w:t>二、质量要求、技术标准</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质量要求</w:t>
      </w:r>
    </w:p>
    <w:p>
      <w:pPr>
        <w:spacing w:line="360"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乙方提供的产品应满足</w:t>
      </w:r>
      <w:r>
        <w:rPr>
          <w:rFonts w:hint="eastAsia"/>
          <w:sz w:val="24"/>
          <w:szCs w:val="24"/>
        </w:rPr>
        <w:t>产品外观无裂缝、无缺损、,并且璧厚需要达到12mm的要求</w:t>
      </w:r>
      <w:r>
        <w:rPr>
          <w:rFonts w:hint="eastAsia" w:ascii="宋体" w:hAnsi="宋体" w:cs="宋体"/>
          <w:sz w:val="24"/>
          <w:szCs w:val="24"/>
        </w:rPr>
        <w:t>，</w:t>
      </w:r>
      <w:r>
        <w:rPr>
          <w:rFonts w:hint="eastAsia" w:ascii="宋体" w:hAnsi="宋体" w:cs="宋体"/>
          <w:sz w:val="24"/>
          <w:szCs w:val="24"/>
          <w:lang w:eastAsia="zh-CN"/>
        </w:rPr>
        <w:t>罐体外表应有均匀的胶衣层，表面光滑、色泽均匀无修补</w:t>
      </w:r>
      <w:r>
        <w:rPr>
          <w:rFonts w:hint="eastAsia" w:ascii="宋体" w:hAnsi="宋体" w:cs="宋体"/>
          <w:sz w:val="24"/>
          <w:szCs w:val="24"/>
        </w:rPr>
        <w:t>化粪池质保期从收到货后经双方确认无损坏可正常投入</w:t>
      </w:r>
      <w:r>
        <w:rPr>
          <w:rFonts w:hint="eastAsia" w:ascii="宋体" w:hAnsi="宋体" w:cs="宋体"/>
          <w:sz w:val="24"/>
          <w:szCs w:val="24"/>
          <w:lang w:val="en-US" w:eastAsia="zh-CN"/>
        </w:rPr>
        <w:t>,有限使用年限不低于50年</w:t>
      </w:r>
      <w:r>
        <w:rPr>
          <w:rFonts w:hint="eastAsia" w:ascii="宋体" w:hAnsi="宋体" w:cs="宋体"/>
          <w:sz w:val="24"/>
          <w:szCs w:val="24"/>
        </w:rPr>
        <w:t>，最后</w:t>
      </w:r>
      <w:r>
        <w:rPr>
          <w:rFonts w:hint="eastAsia" w:ascii="宋体" w:hAnsi="宋体"/>
          <w:sz w:val="24"/>
          <w:szCs w:val="24"/>
        </w:rPr>
        <w:t>提供比选方所需的产品合格证。</w:t>
      </w:r>
    </w:p>
    <w:p>
      <w:pPr>
        <w:numPr>
          <w:ilvl w:val="0"/>
          <w:numId w:val="1"/>
        </w:numPr>
        <w:spacing w:line="360" w:lineRule="auto"/>
        <w:ind w:left="0" w:leftChars="0" w:firstLine="480" w:firstLineChars="200"/>
        <w:rPr>
          <w:rFonts w:hint="eastAsia" w:ascii="宋体" w:hAnsi="宋体"/>
          <w:sz w:val="24"/>
          <w:szCs w:val="24"/>
        </w:rPr>
      </w:pPr>
      <w:r>
        <w:rPr>
          <w:rFonts w:hint="eastAsia" w:ascii="宋体" w:hAnsi="宋体"/>
          <w:sz w:val="24"/>
          <w:szCs w:val="24"/>
        </w:rPr>
        <w:t>因产品质量及规格与合同要约的不一致时，本合同约定的相关标准而产生的一切后果责任由乙方承担；若由此而给甲方造成损失的，乙方应全额赔偿。</w:t>
      </w:r>
    </w:p>
    <w:p>
      <w:pPr>
        <w:pStyle w:val="2"/>
        <w:ind w:firstLine="357" w:firstLineChars="149"/>
        <w:rPr>
          <w:rFonts w:hint="eastAsia"/>
          <w:b w:val="0"/>
          <w:bCs w:val="0"/>
          <w:sz w:val="24"/>
          <w:szCs w:val="24"/>
          <w:lang w:eastAsia="zh-CN"/>
        </w:rPr>
      </w:pPr>
      <w:r>
        <w:rPr>
          <w:rFonts w:hint="eastAsia"/>
          <w:b w:val="0"/>
          <w:bCs w:val="0"/>
          <w:sz w:val="24"/>
          <w:szCs w:val="24"/>
          <w:lang w:eastAsia="zh-CN"/>
        </w:rPr>
        <w:t>技术标准</w:t>
      </w:r>
    </w:p>
    <w:p>
      <w:pPr>
        <w:rPr>
          <w:rFonts w:hint="eastAsia"/>
          <w:b w:val="0"/>
          <w:bCs w:val="0"/>
          <w:sz w:val="24"/>
          <w:szCs w:val="24"/>
          <w:lang w:val="en-US" w:eastAsia="zh-CN"/>
        </w:rPr>
      </w:pPr>
      <w:r>
        <w:rPr>
          <w:rFonts w:hint="eastAsia"/>
          <w:b w:val="0"/>
          <w:bCs w:val="0"/>
          <w:sz w:val="24"/>
          <w:szCs w:val="24"/>
          <w:lang w:eastAsia="zh-CN"/>
        </w:rPr>
        <w:t>拉伸强度</w:t>
      </w:r>
      <w:r>
        <w:rPr>
          <w:rFonts w:hint="eastAsia"/>
          <w:b w:val="0"/>
          <w:bCs w:val="0"/>
          <w:sz w:val="24"/>
          <w:szCs w:val="24"/>
          <w:lang w:val="en-US" w:eastAsia="zh-CN"/>
        </w:rPr>
        <w:t xml:space="preserve">               </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108</w:t>
      </w:r>
    </w:p>
    <w:p>
      <w:pPr>
        <w:pStyle w:val="2"/>
        <w:ind w:left="0" w:leftChars="0" w:firstLine="0" w:firstLineChars="0"/>
        <w:rPr>
          <w:rFonts w:hint="eastAsia" w:ascii="宋体" w:hAnsi="宋体" w:cs="宋体"/>
          <w:b w:val="0"/>
          <w:bCs w:val="0"/>
          <w:sz w:val="24"/>
          <w:szCs w:val="24"/>
          <w:lang w:val="en-US" w:eastAsia="zh-CN"/>
        </w:rPr>
      </w:pPr>
      <w:r>
        <w:rPr>
          <w:rFonts w:hint="eastAsia"/>
          <w:b w:val="0"/>
          <w:bCs w:val="0"/>
          <w:sz w:val="24"/>
          <w:szCs w:val="24"/>
          <w:lang w:val="en-US" w:eastAsia="zh-CN"/>
        </w:rPr>
        <w:t xml:space="preserve">弯曲强度               </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147</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巴氏强度               </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34</w:t>
      </w:r>
    </w:p>
    <w:p>
      <w:pPr>
        <w:pStyle w:val="2"/>
        <w:ind w:left="0" w:leftChars="0" w:firstLine="0" w:firstLineChars="0"/>
        <w:rPr>
          <w:rFonts w:hint="eastAsia"/>
          <w:b w:val="0"/>
          <w:bCs w:val="0"/>
          <w:sz w:val="24"/>
          <w:szCs w:val="24"/>
          <w:vertAlign w:val="superscript"/>
          <w:lang w:val="en-US" w:eastAsia="zh-CN"/>
        </w:rPr>
      </w:pPr>
      <w:r>
        <w:rPr>
          <w:rFonts w:hint="eastAsia" w:ascii="宋体" w:hAnsi="宋体" w:cs="宋体"/>
          <w:b w:val="0"/>
          <w:bCs w:val="0"/>
          <w:sz w:val="24"/>
          <w:szCs w:val="24"/>
          <w:lang w:val="en-US" w:eastAsia="zh-CN"/>
        </w:rPr>
        <w:t xml:space="preserve">环刚度                </w:t>
      </w:r>
      <w:r>
        <w:rPr>
          <w:rFonts w:hint="eastAsia" w:ascii="宋体" w:hAnsi="宋体" w:eastAsia="宋体" w:cs="宋体"/>
          <w:b w:val="0"/>
          <w:bCs w:val="0"/>
          <w:sz w:val="24"/>
          <w:szCs w:val="24"/>
          <w:lang w:val="en-US" w:eastAsia="zh-CN"/>
        </w:rPr>
        <w:t>≧</w:t>
      </w:r>
      <w:r>
        <w:rPr>
          <w:rFonts w:hint="eastAsia"/>
          <w:b w:val="0"/>
          <w:bCs w:val="0"/>
          <w:sz w:val="24"/>
          <w:szCs w:val="24"/>
          <w:lang w:val="en-US" w:eastAsia="zh-CN"/>
        </w:rPr>
        <w:t>10000n/m</w:t>
      </w:r>
      <w:r>
        <w:rPr>
          <w:rFonts w:hint="eastAsia"/>
          <w:b w:val="0"/>
          <w:bCs w:val="0"/>
          <w:sz w:val="24"/>
          <w:szCs w:val="24"/>
          <w:vertAlign w:val="superscript"/>
          <w:lang w:val="en-US" w:eastAsia="zh-CN"/>
        </w:rPr>
        <w:t>3</w:t>
      </w:r>
    </w:p>
    <w:p>
      <w:pPr>
        <w:rPr>
          <w:rFonts w:hint="eastAsia"/>
          <w:sz w:val="24"/>
          <w:szCs w:val="24"/>
          <w:vertAlign w:val="baseline"/>
          <w:lang w:val="en-US" w:eastAsia="zh-CN"/>
        </w:rPr>
      </w:pPr>
      <w:r>
        <w:rPr>
          <w:rFonts w:hint="eastAsia"/>
          <w:sz w:val="24"/>
          <w:szCs w:val="24"/>
          <w:vertAlign w:val="baseline"/>
          <w:lang w:val="en-US" w:eastAsia="zh-CN"/>
        </w:rPr>
        <w:t>10%酸性溶液浸泡100h应无异常强度保留85%以上。</w:t>
      </w:r>
    </w:p>
    <w:p>
      <w:pPr>
        <w:rPr>
          <w:rFonts w:hint="default"/>
          <w:lang w:val="en-US" w:eastAsia="zh-CN"/>
        </w:rPr>
      </w:pPr>
      <w:r>
        <w:rPr>
          <w:rFonts w:hint="eastAsia"/>
          <w:sz w:val="24"/>
          <w:szCs w:val="24"/>
          <w:vertAlign w:val="baseline"/>
          <w:lang w:val="en-US" w:eastAsia="zh-CN"/>
        </w:rPr>
        <w:t>10%碱性溶液浸泡100h应无异常强度保留85%以上。</w:t>
      </w:r>
    </w:p>
    <w:p>
      <w:pPr>
        <w:spacing w:line="360" w:lineRule="auto"/>
        <w:ind w:firstLine="472" w:firstLineChars="196"/>
        <w:textAlignment w:val="baseline"/>
        <w:rPr>
          <w:b/>
          <w:sz w:val="24"/>
          <w:szCs w:val="24"/>
        </w:rPr>
      </w:pP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w:t>
      </w:r>
      <w:r>
        <w:rPr>
          <w:rFonts w:hint="eastAsia" w:ascii="宋体" w:hAnsi="宋体" w:cs="宋体"/>
          <w:color w:val="000000"/>
          <w:kern w:val="0"/>
          <w:sz w:val="24"/>
          <w:szCs w:val="24"/>
        </w:rPr>
        <w:t>玻璃钢化粪池</w:t>
      </w:r>
      <w:r>
        <w:rPr>
          <w:rFonts w:hint="eastAsia"/>
          <w:sz w:val="24"/>
          <w:szCs w:val="24"/>
        </w:rPr>
        <w:t>由乙方运送至甲方指定位置。（绕城高速复兴服务区）</w:t>
      </w:r>
    </w:p>
    <w:p>
      <w:pPr>
        <w:spacing w:line="360" w:lineRule="auto"/>
        <w:ind w:firstLine="480" w:firstLineChars="200"/>
        <w:textAlignment w:val="baseline"/>
        <w:rPr>
          <w:rFonts w:ascii="宋体" w:hAnsi="宋体"/>
          <w:sz w:val="24"/>
        </w:rPr>
      </w:pPr>
      <w:r>
        <w:rPr>
          <w:rFonts w:hint="eastAsia" w:ascii="宋体" w:hAnsi="宋体"/>
          <w:sz w:val="24"/>
        </w:rPr>
        <w:t>2、乙方对所供应的</w:t>
      </w:r>
      <w:r>
        <w:rPr>
          <w:rFonts w:hint="eastAsia" w:ascii="宋体" w:hAnsi="宋体" w:cs="宋体"/>
          <w:color w:val="000000"/>
          <w:kern w:val="0"/>
          <w:sz w:val="24"/>
          <w:szCs w:val="24"/>
        </w:rPr>
        <w:t>玻璃钢化粪池</w:t>
      </w:r>
      <w:r>
        <w:rPr>
          <w:rFonts w:hint="eastAsia" w:ascii="宋体" w:hAnsi="宋体"/>
          <w:sz w:val="24"/>
        </w:rPr>
        <w:t>保证到场质量，</w:t>
      </w:r>
      <w:r>
        <w:rPr>
          <w:rFonts w:hint="eastAsia"/>
          <w:sz w:val="24"/>
          <w:szCs w:val="24"/>
        </w:rPr>
        <w:t>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本合同约定的材料价格为甲方指定位置的到场单价。材料运输（包括装车）的安全由乙方负责，因超限等引起的一切后果及责任均由乙方自行承担。乙方必须保证安全、及时、足额供货。</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w:t>
      </w:r>
      <w:r>
        <w:rPr>
          <w:rFonts w:hint="eastAsia" w:ascii="宋体" w:hAnsi="宋体" w:cs="宋体"/>
          <w:color w:val="000000"/>
          <w:kern w:val="0"/>
          <w:sz w:val="24"/>
          <w:szCs w:val="24"/>
        </w:rPr>
        <w:t>玻璃钢化粪池</w:t>
      </w:r>
      <w:r>
        <w:rPr>
          <w:rFonts w:hint="eastAsia" w:ascii="宋体" w:hAnsi="宋体"/>
          <w:sz w:val="24"/>
        </w:rPr>
        <w:t>的风险转移以所有权转移的时间为准，即货物交付验收前所有权归属于乙方，货物风险、保管费用等均由乙方承担；</w:t>
      </w:r>
      <w:r>
        <w:rPr>
          <w:rFonts w:hint="eastAsia" w:ascii="宋体" w:hAnsi="宋体" w:cs="宋体"/>
          <w:color w:val="000000"/>
          <w:kern w:val="0"/>
          <w:sz w:val="24"/>
          <w:szCs w:val="24"/>
        </w:rPr>
        <w:t>玻璃钢化粪池</w:t>
      </w:r>
      <w:r>
        <w:rPr>
          <w:rFonts w:hint="eastAsia" w:ascii="宋体" w:hAnsi="宋体"/>
          <w:sz w:val="24"/>
        </w:rPr>
        <w:t>交付验收后所有权转移为甲方所有；货物风险自货物交付验收后由甲方承担。</w:t>
      </w:r>
    </w:p>
    <w:p>
      <w:pPr>
        <w:spacing w:line="360" w:lineRule="auto"/>
        <w:ind w:firstLine="472" w:firstLineChars="196"/>
        <w:textAlignment w:val="baseline"/>
      </w:pPr>
      <w:r>
        <w:rPr>
          <w:rFonts w:hint="eastAsia"/>
          <w:b/>
          <w:sz w:val="24"/>
          <w:szCs w:val="24"/>
        </w:rPr>
        <w:t>六、计量方法</w:t>
      </w:r>
    </w:p>
    <w:p>
      <w:pPr>
        <w:spacing w:line="360" w:lineRule="auto"/>
        <w:ind w:firstLine="480" w:firstLineChars="200"/>
        <w:textAlignment w:val="baseline"/>
        <w:rPr>
          <w:sz w:val="24"/>
        </w:rPr>
      </w:pPr>
      <w:r>
        <w:rPr>
          <w:rFonts w:hint="eastAsia" w:ascii="宋体" w:hAnsi="宋体" w:cs="宋体"/>
          <w:bCs/>
          <w:sz w:val="24"/>
          <w:szCs w:val="24"/>
        </w:rPr>
        <w:t>1、采购清单中所列暂定数量是估算的预计数量，仅作为投标的共同基础，不能作为最终结算与支付的依据，具体数量</w:t>
      </w:r>
      <w:r>
        <w:rPr>
          <w:rFonts w:hint="eastAsia"/>
          <w:sz w:val="24"/>
        </w:rPr>
        <w:t>以甲方代表确认的</w:t>
      </w:r>
      <w:r>
        <w:rPr>
          <w:rFonts w:hint="eastAsia" w:ascii="宋体" w:hAnsi="宋体" w:cs="宋体"/>
          <w:bCs/>
          <w:sz w:val="24"/>
          <w:szCs w:val="24"/>
        </w:rPr>
        <w:t>实际到场合格数</w:t>
      </w:r>
      <w:r>
        <w:rPr>
          <w:rFonts w:hint="eastAsia"/>
          <w:sz w:val="24"/>
        </w:rPr>
        <w:t>计量为准，乙方提供的出厂计量单作为参考。</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ascii="宋体" w:hAnsi="宋体" w:cs="宋体"/>
          <w:bCs/>
          <w:color w:val="FF0000"/>
          <w:sz w:val="24"/>
          <w:szCs w:val="24"/>
        </w:rPr>
      </w:pPr>
      <w:r>
        <w:rPr>
          <w:rFonts w:hint="eastAsia" w:ascii="宋体" w:hAnsi="宋体" w:cs="宋体"/>
          <w:bCs/>
          <w:color w:val="FF0000"/>
          <w:sz w:val="24"/>
          <w:szCs w:val="24"/>
        </w:rPr>
        <w:t>1、材料按甲方要求送达甲方指定地点后，甲方与乙方现场验收如有损坏、裂缝、洞眼或不满足使用不合格的，则由乙方无条件退货并自行承担由此造成的一切损失和责任。</w:t>
      </w:r>
    </w:p>
    <w:p>
      <w:pPr>
        <w:spacing w:line="360" w:lineRule="auto"/>
        <w:ind w:firstLine="470" w:firstLineChars="196"/>
        <w:rPr>
          <w:color w:val="FF0000"/>
          <w:sz w:val="24"/>
          <w:szCs w:val="24"/>
        </w:rPr>
      </w:pPr>
      <w:r>
        <w:rPr>
          <w:rFonts w:hint="eastAsia"/>
          <w:color w:val="FF0000"/>
          <w:sz w:val="24"/>
          <w:szCs w:val="24"/>
        </w:rPr>
        <w:t>2、</w:t>
      </w:r>
      <w:r>
        <w:rPr>
          <w:rFonts w:hint="eastAsia" w:ascii="宋体" w:hAnsi="宋体" w:cs="宋体"/>
          <w:color w:val="FF0000"/>
          <w:kern w:val="0"/>
          <w:sz w:val="24"/>
          <w:szCs w:val="24"/>
        </w:rPr>
        <w:t>如在检测中发现有不合格、不满足技术要求的，乙方有争议的，</w:t>
      </w:r>
      <w:r>
        <w:rPr>
          <w:rFonts w:hint="eastAsia"/>
          <w:color w:val="FF0000"/>
          <w:sz w:val="24"/>
          <w:szCs w:val="24"/>
        </w:rPr>
        <w:t>可委托经甲乙双方认可的第三方检测机构进行检测，</w:t>
      </w:r>
      <w:r>
        <w:rPr>
          <w:rFonts w:hint="eastAsia" w:ascii="宋体" w:hAnsi="宋体" w:cs="宋体"/>
          <w:color w:val="FF0000"/>
          <w:kern w:val="0"/>
          <w:sz w:val="24"/>
          <w:szCs w:val="24"/>
        </w:rPr>
        <w:t>费用先由乙方垫付，最终由相应责任方承担（如合格费用由甲方支付，如不合格费用由乙方支付）。</w:t>
      </w:r>
      <w:r>
        <w:rPr>
          <w:rFonts w:hint="eastAsia"/>
          <w:color w:val="FF0000"/>
          <w:sz w:val="24"/>
          <w:szCs w:val="24"/>
        </w:rPr>
        <w:t>发生产品质量责任问题，乙方须承担由此造成的一切损失及费用。</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360" w:lineRule="auto"/>
        <w:ind w:firstLine="405" w:firstLineChars="169"/>
        <w:textAlignment w:val="baseline"/>
        <w:rPr>
          <w:sz w:val="24"/>
          <w:szCs w:val="24"/>
        </w:rPr>
      </w:pPr>
      <w:r>
        <w:rPr>
          <w:rFonts w:hint="eastAsia"/>
          <w:sz w:val="24"/>
          <w:szCs w:val="24"/>
        </w:rPr>
        <w:t>1、</w:t>
      </w:r>
      <w:r>
        <w:rPr>
          <w:rFonts w:hint="eastAsia" w:ascii="宋体" w:hAnsi="宋体" w:cs="宋体"/>
          <w:color w:val="000000"/>
          <w:kern w:val="0"/>
          <w:sz w:val="24"/>
          <w:szCs w:val="24"/>
        </w:rPr>
        <w:t>玻璃钢化粪池</w:t>
      </w:r>
      <w:r>
        <w:rPr>
          <w:rFonts w:hint="eastAsia"/>
          <w:sz w:val="24"/>
          <w:szCs w:val="24"/>
        </w:rPr>
        <w:t>销售全额发票由乙方开具</w:t>
      </w:r>
      <w:r>
        <w:rPr>
          <w:rFonts w:hint="eastAsia"/>
          <w:b/>
          <w:sz w:val="24"/>
          <w:szCs w:val="24"/>
        </w:rPr>
        <w:t>增值税专用发票（</w:t>
      </w:r>
      <w:r>
        <w:rPr>
          <w:rFonts w:hint="eastAsia"/>
          <w:sz w:val="24"/>
          <w:szCs w:val="24"/>
        </w:rPr>
        <w:t>税率为13%</w:t>
      </w:r>
      <w:r>
        <w:rPr>
          <w:rFonts w:hint="eastAsia"/>
          <w:b/>
          <w:sz w:val="24"/>
          <w:szCs w:val="24"/>
        </w:rPr>
        <w:t>）</w:t>
      </w:r>
      <w:r>
        <w:rPr>
          <w:rFonts w:hint="eastAsia"/>
          <w:sz w:val="24"/>
          <w:szCs w:val="24"/>
        </w:rPr>
        <w:t>给甲方，发票单位名称为本合同甲乙双方全称，（</w:t>
      </w:r>
      <w:r>
        <w:rPr>
          <w:rFonts w:hint="eastAsia"/>
          <w:color w:val="FF0000"/>
          <w:sz w:val="24"/>
          <w:szCs w:val="24"/>
        </w:rPr>
        <w:t>增值税专用发票中已包含运输费，运输费不再单独开具发票，该发票必须足额合法有效且符合甲方的要求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2、乙方应按照甲方要求，及时向甲方开具税率</w:t>
      </w:r>
      <w:r>
        <w:rPr>
          <w:rFonts w:hint="eastAsia"/>
          <w:szCs w:val="21"/>
        </w:rPr>
        <w:t>（</w:t>
      </w:r>
      <w:r>
        <w:rPr>
          <w:rFonts w:hint="eastAsia"/>
          <w:sz w:val="24"/>
          <w:szCs w:val="24"/>
        </w:rPr>
        <w:t>税率13%</w:t>
      </w:r>
      <w:r>
        <w:rPr>
          <w:rFonts w:hint="eastAsia"/>
          <w:szCs w:val="21"/>
        </w:rPr>
        <w:t>）</w:t>
      </w:r>
      <w:r>
        <w:rPr>
          <w:rFonts w:hint="eastAsia"/>
          <w:sz w:val="24"/>
          <w:szCs w:val="24"/>
        </w:rPr>
        <w:t>的增值税专用发票。因乙方开具发票不及时给甲方造成无法及时认证、抵扣发票等情形的，乙方需向甲方承担赔偿责任，包括但不限于税款、滞纳金、罚款及相关损失等。</w:t>
      </w:r>
    </w:p>
    <w:p>
      <w:pPr>
        <w:adjustRightInd w:val="0"/>
        <w:snapToGrid w:val="0"/>
        <w:spacing w:line="360" w:lineRule="auto"/>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360" w:lineRule="auto"/>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color w:val="FF0000"/>
          <w:sz w:val="24"/>
          <w:szCs w:val="24"/>
        </w:rPr>
      </w:pPr>
      <w:r>
        <w:rPr>
          <w:rFonts w:hint="eastAsia"/>
          <w:b/>
          <w:sz w:val="24"/>
          <w:szCs w:val="24"/>
        </w:rPr>
        <w:t>九、结算方式及期限</w:t>
      </w:r>
    </w:p>
    <w:p>
      <w:pPr>
        <w:spacing w:line="360" w:lineRule="auto"/>
        <w:ind w:firstLine="480" w:firstLineChars="200"/>
        <w:rPr>
          <w:sz w:val="24"/>
          <w:szCs w:val="24"/>
        </w:rPr>
      </w:pPr>
      <w:r>
        <w:rPr>
          <w:rFonts w:hint="eastAsia"/>
          <w:sz w:val="24"/>
          <w:szCs w:val="24"/>
        </w:rPr>
        <w:t>结算方式：合同签订后乙方送货到甲方指定位置；结算金额=</w:t>
      </w:r>
      <w:r>
        <w:rPr>
          <w:rFonts w:hint="eastAsia" w:ascii="宋体" w:hAnsi="宋体" w:cs="宋体"/>
          <w:kern w:val="0"/>
          <w:sz w:val="24"/>
          <w:szCs w:val="24"/>
        </w:rPr>
        <w:t>已对账的实际收货数量×合同单价</w:t>
      </w:r>
      <w:r>
        <w:rPr>
          <w:rFonts w:hint="eastAsia"/>
          <w:sz w:val="24"/>
          <w:szCs w:val="24"/>
        </w:rPr>
        <w:t>。乙方向甲方提供有效发票及供货凭证，甲方自费用清单（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sz w:val="24"/>
          <w:szCs w:val="24"/>
          <w:u w:val="single"/>
        </w:rPr>
        <w:t>十五</w:t>
      </w:r>
      <w:r>
        <w:rPr>
          <w:rFonts w:hint="eastAsia"/>
          <w:sz w:val="24"/>
          <w:szCs w:val="24"/>
        </w:rPr>
        <w:t>个工作日内以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p>
      <w:pPr>
        <w:spacing w:line="360" w:lineRule="auto"/>
        <w:ind w:firstLine="472" w:firstLineChars="196"/>
        <w:rPr>
          <w:b/>
          <w:sz w:val="24"/>
          <w:szCs w:val="24"/>
        </w:rPr>
      </w:pPr>
      <w:r>
        <w:rPr>
          <w:rFonts w:hint="eastAsia"/>
          <w:b/>
          <w:sz w:val="24"/>
          <w:szCs w:val="24"/>
        </w:rPr>
        <w:t>十、违约责任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1、乙方必须保证供货质量，若因材料质量原因导致的一切损失皆由乙方负责。若因材料质量问题对甲方造成损失的，</w:t>
      </w:r>
      <w:r>
        <w:rPr>
          <w:rFonts w:hint="eastAsia" w:ascii="宋体"/>
          <w:color w:val="000000"/>
          <w:sz w:val="24"/>
        </w:rPr>
        <w:t>乙方须赔偿甲方全部损失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乙方保证开工之日起根据甲方施工安排将甲方所需合同材料按时按量送达到指定地点。乙方材料的供应量、送货时间必须满足甲方通知要求和甲方施工进度要求，否则，按</w:t>
      </w:r>
      <w:r>
        <w:rPr>
          <w:rFonts w:hint="eastAsia" w:ascii="宋体" w:hAnsi="宋体"/>
          <w:color w:val="FF0000"/>
          <w:sz w:val="24"/>
          <w:szCs w:val="24"/>
          <w:u w:val="single"/>
        </w:rPr>
        <w:t>伍仟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w:t>
      </w:r>
    </w:p>
    <w:p>
      <w:pPr>
        <w:spacing w:line="360" w:lineRule="auto"/>
        <w:ind w:firstLine="480" w:firstLineChars="200"/>
        <w:rPr>
          <w:rFonts w:ascii="宋体"/>
          <w:sz w:val="24"/>
          <w:szCs w:val="24"/>
        </w:rPr>
      </w:pPr>
      <w:r>
        <w:rPr>
          <w:rFonts w:hint="eastAsia" w:ascii="宋体"/>
          <w:sz w:val="24"/>
          <w:szCs w:val="24"/>
        </w:rPr>
        <w:t>3、乙方迟延履行合同其他义务的，每迟延一天（次），</w:t>
      </w:r>
      <w:r>
        <w:rPr>
          <w:rFonts w:hint="eastAsia" w:ascii="宋体" w:hAnsi="宋体"/>
          <w:sz w:val="24"/>
          <w:szCs w:val="24"/>
        </w:rPr>
        <w:t>按</w:t>
      </w:r>
      <w:r>
        <w:rPr>
          <w:rFonts w:hint="eastAsia" w:ascii="宋体" w:hAnsi="宋体"/>
          <w:color w:val="FF0000"/>
          <w:sz w:val="24"/>
          <w:szCs w:val="24"/>
          <w:u w:val="single"/>
        </w:rPr>
        <w:t>伍仟</w:t>
      </w:r>
      <w:r>
        <w:rPr>
          <w:rFonts w:hint="eastAsia" w:ascii="宋体" w:hAnsi="宋体"/>
          <w:b/>
          <w:color w:val="FF0000"/>
          <w:sz w:val="24"/>
          <w:szCs w:val="24"/>
          <w:u w:val="single"/>
        </w:rPr>
        <w:t>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sz w:val="24"/>
          <w:szCs w:val="24"/>
        </w:rPr>
        <w:t>5、本合同约定的甲方损失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十一、其它约定事项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color w:val="FF0000"/>
          <w:sz w:val="24"/>
          <w:szCs w:val="24"/>
          <w:u w:val="single"/>
        </w:rPr>
        <w:t>综合单价</w:t>
      </w:r>
      <w:r>
        <w:rPr>
          <w:rFonts w:hint="eastAsia"/>
          <w:bCs/>
          <w:color w:val="FF0000"/>
          <w:sz w:val="24"/>
          <w:szCs w:val="24"/>
          <w:u w:val="single"/>
        </w:rPr>
        <w:t>（包含运输费、材料费、保险、税金、通行费、合理损耗、间接费、运杂费、利润、规费、物价上涨、安全措施费等在内的各种费用以及合同明示或暗示的所有责任、义务和一般风险）</w:t>
      </w:r>
      <w:r>
        <w:rPr>
          <w:rFonts w:hint="eastAsia"/>
          <w:sz w:val="24"/>
          <w:szCs w:val="24"/>
        </w:rPr>
        <w:t>合同。</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数量以竞争性比选甲方代表确认的实际到货合格数量为准</w:t>
      </w:r>
      <w:r>
        <w:rPr>
          <w:rFonts w:hint="eastAsia" w:ascii="宋体" w:hAnsi="宋体"/>
          <w:sz w:val="24"/>
          <w:szCs w:val="24"/>
        </w:rPr>
        <w:t>结算。期间乙方不得以供应数量和时间有变化要求进行单价变更。</w:t>
      </w:r>
    </w:p>
    <w:p>
      <w:pPr>
        <w:spacing w:line="360" w:lineRule="auto"/>
        <w:ind w:firstLine="463" w:firstLineChars="192"/>
        <w:rPr>
          <w:sz w:val="24"/>
          <w:szCs w:val="24"/>
        </w:rPr>
      </w:pPr>
      <w:r>
        <w:rPr>
          <w:rFonts w:hint="eastAsia"/>
          <w:b/>
          <w:sz w:val="24"/>
          <w:szCs w:val="24"/>
        </w:rPr>
        <w:t>十二、本合同有效期</w:t>
      </w:r>
      <w:r>
        <w:rPr>
          <w:rFonts w:hint="eastAsia" w:ascii="宋体" w:hAnsi="宋体"/>
          <w:sz w:val="24"/>
          <w:szCs w:val="24"/>
        </w:rPr>
        <w:t>：</w:t>
      </w:r>
      <w:r>
        <w:rPr>
          <w:rFonts w:hint="eastAsia" w:ascii="宋体" w:hAnsi="宋体"/>
          <w:b/>
          <w:color w:val="FF0000"/>
          <w:sz w:val="24"/>
          <w:szCs w:val="24"/>
        </w:rPr>
        <w:t>2020年  月   日——2021年   月   日。</w:t>
      </w:r>
    </w:p>
    <w:p>
      <w:pPr>
        <w:spacing w:line="360" w:lineRule="auto"/>
        <w:ind w:firstLine="472" w:firstLineChars="196"/>
        <w:textAlignment w:val="baseline"/>
        <w:rPr>
          <w:sz w:val="24"/>
          <w:szCs w:val="24"/>
        </w:rPr>
      </w:pPr>
      <w:r>
        <w:rPr>
          <w:rFonts w:hint="eastAsia"/>
          <w:b/>
          <w:sz w:val="24"/>
          <w:szCs w:val="24"/>
        </w:rPr>
        <w:t>十三、争议及解决方式：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十四、合同签订点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十五、</w:t>
      </w:r>
      <w:r>
        <w:rPr>
          <w:rFonts w:hint="eastAsia"/>
          <w:sz w:val="24"/>
          <w:szCs w:val="24"/>
        </w:rPr>
        <w:t>本合同一式</w:t>
      </w:r>
      <w:r>
        <w:rPr>
          <w:rFonts w:hint="eastAsia"/>
          <w:b/>
          <w:color w:val="FF0000"/>
          <w:sz w:val="24"/>
          <w:szCs w:val="24"/>
          <w:u w:val="single"/>
        </w:rPr>
        <w:t>陆</w:t>
      </w:r>
      <w:r>
        <w:rPr>
          <w:rFonts w:hint="eastAsia"/>
          <w:sz w:val="24"/>
          <w:szCs w:val="24"/>
        </w:rPr>
        <w:t>份，甲方执</w:t>
      </w:r>
      <w:r>
        <w:rPr>
          <w:rFonts w:hint="eastAsia"/>
          <w:b/>
          <w:color w:val="FF0000"/>
          <w:sz w:val="24"/>
          <w:szCs w:val="24"/>
          <w:u w:val="single"/>
        </w:rPr>
        <w:t>肆</w:t>
      </w:r>
      <w:r>
        <w:rPr>
          <w:rFonts w:hint="eastAsia"/>
          <w:sz w:val="24"/>
          <w:szCs w:val="24"/>
        </w:rPr>
        <w:t>份，乙方执</w:t>
      </w:r>
      <w:r>
        <w:rPr>
          <w:rFonts w:hint="eastAsia"/>
          <w:b/>
          <w:color w:val="FF0000"/>
          <w:sz w:val="24"/>
          <w:szCs w:val="24"/>
          <w:u w:val="single"/>
        </w:rPr>
        <w:t>贰</w:t>
      </w:r>
      <w:r>
        <w:rPr>
          <w:rFonts w:hint="eastAsia"/>
          <w:sz w:val="24"/>
          <w:szCs w:val="24"/>
        </w:rPr>
        <w:t>份，具有同等法律效力；自双方签字并盖章后生效，完成财务结算支付后自动失效。</w:t>
      </w:r>
    </w:p>
    <w:p>
      <w:pPr>
        <w:spacing w:line="360" w:lineRule="auto"/>
        <w:rPr>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b/>
          <w:szCs w:val="21"/>
        </w:rPr>
      </w:pPr>
      <w:r>
        <w:rPr>
          <w:rFonts w:hint="eastAsia"/>
          <w:sz w:val="24"/>
        </w:rPr>
        <w:t>日期：    年   月    日 　　             日期：    年   月    日</w:t>
      </w:r>
      <w:r>
        <w:rPr>
          <w:b/>
          <w:szCs w:val="21"/>
        </w:rPr>
        <w:br w:type="page"/>
      </w:r>
      <w:r>
        <w:rPr>
          <w:rFonts w:hint="eastAsia"/>
          <w:b/>
          <w:szCs w:val="21"/>
        </w:rPr>
        <w:t>附件一：</w:t>
      </w:r>
    </w:p>
    <w:p>
      <w:pPr>
        <w:jc w:val="center"/>
        <w:rPr>
          <w:b/>
          <w:sz w:val="36"/>
          <w:szCs w:val="22"/>
        </w:rPr>
      </w:pPr>
      <w:r>
        <w:rPr>
          <w:rFonts w:hint="eastAsia"/>
          <w:b/>
          <w:sz w:val="36"/>
          <w:szCs w:val="22"/>
        </w:rPr>
        <w:t>重庆通力高速公路养护工程有限公司</w:t>
      </w:r>
    </w:p>
    <w:p>
      <w:pPr>
        <w:widowControl/>
        <w:ind w:left="361" w:hanging="361" w:hangingChars="100"/>
        <w:jc w:val="center"/>
        <w:rPr>
          <w:sz w:val="36"/>
          <w:szCs w:val="36"/>
        </w:rPr>
      </w:pPr>
      <w:r>
        <w:rPr>
          <w:rFonts w:ascii="宋体" w:hAnsi="宋体" w:cs="宋体"/>
          <w:b/>
          <w:color w:val="000000"/>
          <w:kern w:val="0"/>
          <w:sz w:val="36"/>
          <w:szCs w:val="36"/>
          <w:lang w:bidi="ar"/>
        </w:rPr>
        <w:t>复兴服务区污水改造工程</w:t>
      </w:r>
    </w:p>
    <w:p>
      <w:pPr>
        <w:jc w:val="center"/>
        <w:rPr>
          <w:b/>
          <w:sz w:val="36"/>
          <w:szCs w:val="36"/>
        </w:rPr>
      </w:pPr>
      <w:r>
        <w:rPr>
          <w:rFonts w:hint="eastAsia" w:ascii="宋体" w:hAnsi="宋体" w:cs="宋体"/>
          <w:b/>
          <w:sz w:val="36"/>
          <w:szCs w:val="36"/>
        </w:rPr>
        <w:t>玻璃钢化粪池</w:t>
      </w:r>
      <w:r>
        <w:rPr>
          <w:rFonts w:hint="eastAsia"/>
          <w:b/>
          <w:sz w:val="36"/>
          <w:szCs w:val="22"/>
        </w:rPr>
        <w:t>采购合同</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ind w:firstLine="480" w:firstLineChars="200"/>
        <w:jc w:val="left"/>
        <w:rPr>
          <w:sz w:val="24"/>
          <w:szCs w:val="22"/>
        </w:rPr>
      </w:pPr>
      <w:r>
        <w:rPr>
          <w:rFonts w:hint="eastAsia"/>
          <w:sz w:val="24"/>
          <w:szCs w:val="22"/>
        </w:rPr>
        <w:t>2、</w:t>
      </w:r>
      <w:r>
        <w:rPr>
          <w:rFonts w:hint="eastAsia"/>
          <w:sz w:val="24"/>
        </w:rPr>
        <w:t>严格执行</w:t>
      </w:r>
      <w:r>
        <w:rPr>
          <w:rFonts w:hint="eastAsia"/>
          <w:sz w:val="24"/>
          <w:szCs w:val="22"/>
        </w:rPr>
        <w:t>《重庆通力高速公路养护工程有限公司</w:t>
      </w:r>
      <w:r>
        <w:rPr>
          <w:rFonts w:hint="eastAsia"/>
          <w:sz w:val="24"/>
          <w:szCs w:val="22"/>
          <w:lang w:eastAsia="zh-CN"/>
        </w:rPr>
        <w:t>复兴服务区玻璃钢化粪池</w:t>
      </w:r>
      <w:r>
        <w:rPr>
          <w:rFonts w:hint="eastAsia"/>
          <w:sz w:val="24"/>
          <w:szCs w:val="22"/>
        </w:rPr>
        <w:t>采购合同》的相关条款，自觉按合同办事。</w:t>
      </w:r>
    </w:p>
    <w:p>
      <w:pPr>
        <w:pStyle w:val="3"/>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同作为《重庆通力高速公路养护工程有限公司复兴服务区污水改造工程玻璃钢化粪池采购合同》的附件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rPr>
        <w:t>陆</w:t>
      </w:r>
      <w:r>
        <w:rPr>
          <w:rFonts w:hint="eastAsia" w:ascii="宋体"/>
          <w:sz w:val="24"/>
        </w:rPr>
        <w:t>份，甲方执</w:t>
      </w:r>
      <w:r>
        <w:rPr>
          <w:rFonts w:hint="eastAsia" w:ascii="宋体"/>
          <w:b/>
          <w:color w:val="FF0000"/>
          <w:sz w:val="24"/>
          <w:u w:val="single"/>
        </w:rPr>
        <w:t>肆</w:t>
      </w:r>
      <w:r>
        <w:rPr>
          <w:rFonts w:hint="eastAsia" w:ascii="宋体"/>
          <w:sz w:val="24"/>
        </w:rPr>
        <w:t>份，乙方执</w:t>
      </w:r>
      <w:r>
        <w:rPr>
          <w:rFonts w:hint="eastAsia" w:ascii="宋体"/>
          <w:b/>
          <w:color w:val="FF0000"/>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Pr>
        <w:spacing w:line="360" w:lineRule="exact"/>
        <w:rPr>
          <w:szCs w:val="21"/>
        </w:rPr>
      </w:pPr>
    </w:p>
    <w:p>
      <w:pPr>
        <w:spacing w:line="360" w:lineRule="exact"/>
        <w:rPr>
          <w:szCs w:val="21"/>
        </w:rPr>
      </w:pPr>
    </w:p>
    <w:p>
      <w:pPr>
        <w:pStyle w:val="8"/>
        <w:adjustRightInd/>
        <w:spacing w:line="360" w:lineRule="exact"/>
        <w:jc w:val="both"/>
        <w:rPr>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rPr>
          <w:rFonts w:ascii="宋体" w:hAnsi="宋体" w:cs="宋体"/>
          <w:b/>
          <w:sz w:val="40"/>
          <w:szCs w:val="44"/>
        </w:rPr>
      </w:pPr>
    </w:p>
    <w:p>
      <w:pPr>
        <w:pStyle w:val="2"/>
        <w:ind w:firstLine="157"/>
        <w:jc w:val="cente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widowControl/>
        <w:ind w:left="402" w:hanging="402" w:hangingChars="100"/>
        <w:jc w:val="center"/>
        <w:rPr>
          <w:sz w:val="40"/>
          <w:szCs w:val="40"/>
          <w:u w:val="single"/>
        </w:rPr>
      </w:pPr>
      <w:r>
        <w:rPr>
          <w:rFonts w:ascii="宋体" w:hAnsi="宋体" w:cs="宋体"/>
          <w:b/>
          <w:color w:val="000000"/>
          <w:kern w:val="0"/>
          <w:sz w:val="40"/>
          <w:szCs w:val="40"/>
          <w:u w:val="single"/>
          <w:lang w:bidi="ar"/>
        </w:rPr>
        <w:t>复兴服务区污水改造工程</w:t>
      </w:r>
    </w:p>
    <w:p>
      <w:pPr>
        <w:jc w:val="center"/>
        <w:rPr>
          <w:rFonts w:ascii="宋体" w:hAnsi="宋体" w:cs="宋体"/>
          <w:b/>
          <w:sz w:val="40"/>
          <w:szCs w:val="44"/>
          <w:u w:val="single"/>
        </w:rPr>
      </w:pPr>
      <w:r>
        <w:rPr>
          <w:rFonts w:hint="eastAsia" w:ascii="宋体" w:hAnsi="宋体" w:cs="宋体"/>
          <w:b/>
          <w:sz w:val="40"/>
          <w:szCs w:val="44"/>
          <w:u w:val="single"/>
        </w:rPr>
        <w:t>玻璃钢化粪池采购竞争性比选响应文件</w:t>
      </w:r>
    </w:p>
    <w:p>
      <w:pPr>
        <w:jc w:val="center"/>
        <w:rPr>
          <w:rFonts w:ascii="宋体" w:hAnsi="宋体" w:cs="宋体"/>
          <w:b/>
          <w:sz w:val="40"/>
          <w:szCs w:val="44"/>
          <w:u w:val="single"/>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8"/>
        <w:rPr>
          <w:color w:val="auto"/>
        </w:rPr>
      </w:pPr>
    </w:p>
    <w:p>
      <w:pPr>
        <w:pStyle w:val="8"/>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一、竞标报价书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三、竞争性比选响应单位有效的营业执照、银行开户许可证</w:t>
      </w:r>
    </w:p>
    <w:p>
      <w:pPr>
        <w:tabs>
          <w:tab w:val="left" w:pos="900"/>
          <w:tab w:val="left" w:pos="1080"/>
        </w:tabs>
        <w:spacing w:line="360" w:lineRule="auto"/>
        <w:outlineLvl w:val="0"/>
        <w:rPr>
          <w:szCs w:val="21"/>
        </w:rPr>
      </w:pPr>
      <w:r>
        <w:rPr>
          <w:rFonts w:hint="eastAsia"/>
          <w:szCs w:val="21"/>
        </w:rPr>
        <w:t>四、已标价报价清单</w:t>
      </w: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tabs>
          <w:tab w:val="left" w:pos="900"/>
          <w:tab w:val="left" w:pos="1080"/>
        </w:tabs>
        <w:spacing w:line="300" w:lineRule="auto"/>
        <w:jc w:val="center"/>
        <w:outlineLvl w:val="0"/>
        <w:rPr>
          <w:rFonts w:ascii="宋体" w:hAnsi="宋体" w:cs="宋体"/>
          <w:b/>
          <w:sz w:val="24"/>
        </w:rPr>
      </w:pPr>
    </w:p>
    <w:p>
      <w:pPr>
        <w:pStyle w:val="8"/>
      </w:pPr>
    </w:p>
    <w:p>
      <w:pPr>
        <w:tabs>
          <w:tab w:val="left" w:pos="900"/>
          <w:tab w:val="left" w:pos="1080"/>
        </w:tabs>
        <w:spacing w:line="300" w:lineRule="auto"/>
        <w:jc w:val="center"/>
        <w:outlineLvl w:val="0"/>
        <w:rPr>
          <w:rFonts w:ascii="宋体" w:hAnsi="宋体" w:cs="宋体"/>
          <w:b/>
          <w:sz w:val="24"/>
        </w:rPr>
      </w:pPr>
    </w:p>
    <w:p>
      <w:pPr>
        <w:pStyle w:val="8"/>
        <w:rPr>
          <w:color w:val="auto"/>
        </w:rPr>
      </w:pPr>
    </w:p>
    <w:p>
      <w:pPr>
        <w:pStyle w:val="8"/>
        <w:rPr>
          <w:color w:val="auto"/>
        </w:rPr>
      </w:pPr>
    </w:p>
    <w:p>
      <w:pPr>
        <w:pStyle w:val="8"/>
        <w:rPr>
          <w:color w:val="auto"/>
        </w:rPr>
      </w:pPr>
    </w:p>
    <w:p>
      <w:pPr>
        <w:spacing w:line="440" w:lineRule="exact"/>
        <w:outlineLvl w:val="1"/>
        <w:rPr>
          <w:rFonts w:ascii="宋体" w:hAnsi="宋体" w:cs="宋体"/>
          <w:b/>
        </w:rPr>
      </w:pPr>
    </w:p>
    <w:p>
      <w:pPr>
        <w:jc w:val="center"/>
        <w:outlineLvl w:val="2"/>
        <w:rPr>
          <w:rFonts w:ascii="宋体" w:hAnsi="宋体" w:cs="宋体"/>
          <w:b/>
          <w:sz w:val="32"/>
          <w:szCs w:val="32"/>
        </w:rPr>
      </w:pPr>
      <w:bookmarkStart w:id="32" w:name="_Toc265510122"/>
      <w:r>
        <w:rPr>
          <w:rFonts w:hint="eastAsia" w:ascii="宋体" w:hAnsi="宋体" w:cs="宋体"/>
          <w:b/>
          <w:sz w:val="32"/>
          <w:szCs w:val="32"/>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jc w:val="left"/>
        <w:rPr>
          <w:szCs w:val="21"/>
        </w:rPr>
      </w:pPr>
      <w:r>
        <w:rPr>
          <w:szCs w:val="21"/>
        </w:rPr>
        <w:t>1．我方已仔细研究了</w:t>
      </w:r>
      <w:r>
        <w:rPr>
          <w:rFonts w:hint="eastAsia"/>
          <w:b/>
          <w:bCs/>
          <w:szCs w:val="21"/>
        </w:rPr>
        <w:t>重庆通力高速公路养护工程有限公司</w:t>
      </w:r>
      <w:r>
        <w:rPr>
          <w:rFonts w:ascii="宋体" w:hAnsi="宋体" w:cs="宋体"/>
          <w:b/>
          <w:color w:val="000000"/>
          <w:kern w:val="0"/>
          <w:szCs w:val="21"/>
          <w:lang w:bidi="ar"/>
        </w:rPr>
        <w:t>复兴服务区污水改造工程</w:t>
      </w:r>
      <w:r>
        <w:rPr>
          <w:rFonts w:hint="eastAsia"/>
          <w:b/>
          <w:bCs/>
          <w:szCs w:val="21"/>
        </w:rPr>
        <w:t>玻璃钢化粪池采购</w:t>
      </w:r>
      <w:r>
        <w:rPr>
          <w:rFonts w:hint="eastAsia"/>
          <w:szCs w:val="21"/>
        </w:rPr>
        <w:t>竞争性比选</w:t>
      </w:r>
      <w:r>
        <w:rPr>
          <w:szCs w:val="21"/>
        </w:rPr>
        <w:t>文件的全部内容，</w:t>
      </w:r>
      <w:r>
        <w:rPr>
          <w:rFonts w:hint="eastAsia"/>
          <w:szCs w:val="21"/>
        </w:rPr>
        <w:t>根据相关取费标准，愿意以总报价¥</w:t>
      </w:r>
      <w:r>
        <w:rPr>
          <w:rFonts w:hint="eastAsia"/>
          <w:szCs w:val="21"/>
          <w:u w:val="single"/>
        </w:rPr>
        <w:t xml:space="preserve">                           </w:t>
      </w:r>
      <w:r>
        <w:rPr>
          <w:rFonts w:hint="eastAsia"/>
          <w:szCs w:val="21"/>
        </w:rPr>
        <w:t>（大写：</w:t>
      </w:r>
      <w:r>
        <w:rPr>
          <w:rFonts w:hint="eastAsia"/>
          <w:szCs w:val="21"/>
          <w:u w:val="single"/>
        </w:rPr>
        <w:t xml:space="preserve">                   </w:t>
      </w:r>
      <w:r>
        <w:rPr>
          <w:rFonts w:hint="eastAsia"/>
          <w:szCs w:val="21"/>
        </w:rPr>
        <w:t>）竞标，并按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8"/>
        <w:rPr>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pStyle w:val="8"/>
        <w:rPr>
          <w:rFonts w:ascii="宋体" w:hAnsi="宋体" w:cs="宋体"/>
          <w:b/>
          <w:color w:val="auto"/>
        </w:rPr>
      </w:pPr>
    </w:p>
    <w:p>
      <w:pPr>
        <w:spacing w:line="440" w:lineRule="exact"/>
        <w:jc w:val="center"/>
        <w:outlineLvl w:val="1"/>
        <w:rPr>
          <w:rFonts w:ascii="宋体" w:hAnsi="宋体" w:cs="宋体"/>
          <w:b/>
          <w:sz w:val="32"/>
          <w:szCs w:val="32"/>
        </w:rPr>
      </w:pPr>
      <w:r>
        <w:rPr>
          <w:rFonts w:hint="eastAsia" w:ascii="宋体" w:hAnsi="宋体" w:cs="宋体"/>
          <w:b/>
          <w:sz w:val="32"/>
          <w:szCs w:val="32"/>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 w:val="32"/>
          <w:szCs w:val="32"/>
        </w:rPr>
      </w:pPr>
      <w:r>
        <w:rPr>
          <w:rFonts w:hint="eastAsia" w:ascii="宋体" w:hAnsi="宋体" w:cs="宋体"/>
          <w:sz w:val="20"/>
        </w:rPr>
        <w:br w:type="page"/>
      </w:r>
      <w:bookmarkStart w:id="34" w:name="_Toc262547329"/>
      <w:r>
        <w:rPr>
          <w:rFonts w:hint="eastAsia" w:ascii="宋体" w:hAnsi="宋体" w:cs="宋体"/>
          <w:b/>
          <w:sz w:val="32"/>
          <w:szCs w:val="32"/>
        </w:rPr>
        <w:t>（二）授权委托书</w:t>
      </w:r>
      <w:bookmarkEnd w:id="34"/>
      <w:r>
        <w:rPr>
          <w:rFonts w:hint="eastAsia" w:ascii="宋体" w:hAnsi="宋体" w:cs="宋体"/>
          <w:b/>
          <w:sz w:val="32"/>
          <w:szCs w:val="32"/>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为我方代理人。代理人根据授权，以我方名义签署、澄清、说明、补正、递交、撤回、修改</w:t>
      </w:r>
      <w:r>
        <w:rPr>
          <w:rFonts w:hint="eastAsia"/>
          <w:b/>
          <w:bCs/>
          <w:szCs w:val="21"/>
        </w:rPr>
        <w:t>重庆通力高速公路养护工程有限公司</w:t>
      </w:r>
      <w:r>
        <w:rPr>
          <w:rFonts w:ascii="宋体" w:hAnsi="宋体" w:cs="宋体"/>
          <w:b/>
          <w:color w:val="000000"/>
          <w:kern w:val="0"/>
          <w:szCs w:val="21"/>
          <w:lang w:bidi="ar"/>
        </w:rPr>
        <w:t>复兴服务区污水改造工程</w:t>
      </w:r>
      <w:r>
        <w:rPr>
          <w:rFonts w:hint="eastAsia"/>
          <w:b/>
          <w:bCs/>
          <w:szCs w:val="21"/>
        </w:rPr>
        <w:t>玻璃钢化粪池采购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8"/>
        <w:rPr>
          <w:color w:val="auto"/>
        </w:rPr>
      </w:pPr>
    </w:p>
    <w:p>
      <w:pPr>
        <w:tabs>
          <w:tab w:val="left" w:pos="900"/>
          <w:tab w:val="left" w:pos="1080"/>
        </w:tabs>
        <w:spacing w:line="30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三、竞争性比选响应单位有效的营业执照、银行开户许可证</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四、已标价报价清单</w:t>
      </w:r>
    </w:p>
    <w:p>
      <w:pPr>
        <w:spacing w:line="360" w:lineRule="auto"/>
        <w:jc w:val="center"/>
        <w:textAlignment w:val="baseline"/>
        <w:rPr>
          <w:sz w:val="24"/>
        </w:rPr>
      </w:pPr>
      <w:r>
        <w:rPr>
          <w:rFonts w:hint="eastAsia"/>
          <w:szCs w:val="21"/>
        </w:rPr>
        <w:t xml:space="preserve">                                                      货币单位：人民币  元</w:t>
      </w:r>
      <w:r>
        <w:rPr>
          <w:rFonts w:hint="eastAsia"/>
          <w:sz w:val="24"/>
        </w:rPr>
        <w:t xml:space="preserve">      </w:t>
      </w:r>
    </w:p>
    <w:tbl>
      <w:tblPr>
        <w:tblStyle w:val="6"/>
        <w:tblW w:w="9150" w:type="dxa"/>
        <w:tblInd w:w="-95" w:type="dxa"/>
        <w:tblLayout w:type="fixed"/>
        <w:tblCellMar>
          <w:top w:w="0" w:type="dxa"/>
          <w:left w:w="108" w:type="dxa"/>
          <w:bottom w:w="0" w:type="dxa"/>
          <w:right w:w="108" w:type="dxa"/>
        </w:tblCellMar>
      </w:tblPr>
      <w:tblGrid>
        <w:gridCol w:w="738"/>
        <w:gridCol w:w="1450"/>
        <w:gridCol w:w="587"/>
        <w:gridCol w:w="788"/>
        <w:gridCol w:w="937"/>
        <w:gridCol w:w="975"/>
        <w:gridCol w:w="1838"/>
        <w:gridCol w:w="1837"/>
      </w:tblGrid>
      <w:tr>
        <w:tblPrEx>
          <w:tblCellMar>
            <w:top w:w="0" w:type="dxa"/>
            <w:left w:w="108" w:type="dxa"/>
            <w:bottom w:w="0" w:type="dxa"/>
            <w:right w:w="108" w:type="dxa"/>
          </w:tblCellMar>
        </w:tblPrEx>
        <w:trPr>
          <w:trHeight w:val="312"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4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材料名称规格</w:t>
            </w:r>
          </w:p>
        </w:tc>
        <w:tc>
          <w:tcPr>
            <w:tcW w:w="5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7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上限价（含税）</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综合单价</w:t>
            </w:r>
          </w:p>
        </w:tc>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金额</w:t>
            </w:r>
          </w:p>
        </w:tc>
        <w:tc>
          <w:tcPr>
            <w:tcW w:w="18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r>
      <w:tr>
        <w:tblPrEx>
          <w:tblCellMar>
            <w:top w:w="0" w:type="dxa"/>
            <w:left w:w="108" w:type="dxa"/>
            <w:bottom w:w="0" w:type="dxa"/>
            <w:right w:w="108" w:type="dxa"/>
          </w:tblCellMar>
        </w:tblPrEx>
        <w:trPr>
          <w:trHeight w:val="312"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4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p>
        </w:tc>
        <w:tc>
          <w:tcPr>
            <w:tcW w:w="5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18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324" w:hRule="atLeast"/>
        </w:trPr>
        <w:tc>
          <w:tcPr>
            <w:tcW w:w="73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4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玻璃钢化粪池</w:t>
            </w:r>
            <w:r>
              <w:rPr>
                <w:rFonts w:hint="eastAsia"/>
                <w:szCs w:val="21"/>
              </w:rPr>
              <w:t>长12.5m*直径3.2*厚12mm</w:t>
            </w:r>
          </w:p>
        </w:tc>
        <w:tc>
          <w:tcPr>
            <w:tcW w:w="58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78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837"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单个容积不小于100立方</w:t>
            </w:r>
          </w:p>
        </w:tc>
      </w:tr>
      <w:tr>
        <w:tblPrEx>
          <w:tblCellMar>
            <w:top w:w="0" w:type="dxa"/>
            <w:left w:w="108" w:type="dxa"/>
            <w:bottom w:w="0" w:type="dxa"/>
            <w:right w:w="108" w:type="dxa"/>
          </w:tblCellMar>
        </w:tblPrEx>
        <w:trPr>
          <w:trHeight w:val="636"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税后合计</w:t>
            </w:r>
          </w:p>
        </w:tc>
        <w:tc>
          <w:tcPr>
            <w:tcW w:w="937" w:type="dxa"/>
            <w:tcBorders>
              <w:top w:val="nil"/>
              <w:left w:val="nil"/>
              <w:bottom w:val="single" w:color="auto" w:sz="4" w:space="0"/>
              <w:right w:val="single" w:color="auto" w:sz="4" w:space="0"/>
            </w:tcBorders>
            <w:vAlign w:val="center"/>
          </w:tcPr>
          <w:p>
            <w:pPr>
              <w:widowControl/>
              <w:jc w:val="center"/>
              <w:rPr>
                <w:color w:val="000000"/>
                <w:kern w:val="0"/>
                <w:szCs w:val="21"/>
              </w:rPr>
            </w:pPr>
            <w:r>
              <w:rPr>
                <w:color w:val="000000"/>
                <w:kern w:val="0"/>
                <w:szCs w:val="21"/>
              </w:rPr>
              <w:t>　</w:t>
            </w:r>
          </w:p>
        </w:tc>
        <w:tc>
          <w:tcPr>
            <w:tcW w:w="2813" w:type="dxa"/>
            <w:gridSpan w:val="2"/>
            <w:tcBorders>
              <w:top w:val="single" w:color="auto" w:sz="4" w:space="0"/>
              <w:left w:val="nil"/>
              <w:bottom w:val="single" w:color="auto" w:sz="4" w:space="0"/>
              <w:right w:val="single" w:color="auto" w:sz="4" w:space="0"/>
            </w:tcBorders>
            <w:vAlign w:val="center"/>
          </w:tcPr>
          <w:p>
            <w:pPr>
              <w:widowControl/>
              <w:jc w:val="left"/>
              <w:rPr>
                <w:rFonts w:ascii="Arial" w:hAnsi="Arial" w:cs="Arial"/>
                <w:b/>
                <w:bCs/>
                <w:color w:val="000000"/>
                <w:kern w:val="0"/>
                <w:sz w:val="24"/>
                <w:szCs w:val="24"/>
              </w:rPr>
            </w:pPr>
            <w:r>
              <w:rPr>
                <w:rFonts w:ascii="Arial" w:hAnsi="Arial" w:cs="Arial"/>
                <w:b/>
                <w:bCs/>
                <w:color w:val="000000"/>
                <w:kern w:val="0"/>
                <w:sz w:val="24"/>
                <w:szCs w:val="24"/>
              </w:rPr>
              <w:t>¥</w:t>
            </w:r>
            <w:r>
              <w:rPr>
                <w:rFonts w:hint="eastAsia" w:ascii="宋体" w:hAnsi="宋体" w:cs="Arial"/>
                <w:b/>
                <w:bCs/>
                <w:color w:val="000000"/>
                <w:kern w:val="0"/>
                <w:sz w:val="24"/>
                <w:szCs w:val="24"/>
              </w:rPr>
              <w:t>：</w:t>
            </w:r>
            <w:r>
              <w:rPr>
                <w:rFonts w:ascii="Arial" w:hAnsi="Arial" w:cs="Arial"/>
                <w:b/>
                <w:bCs/>
                <w:color w:val="000000"/>
                <w:kern w:val="0"/>
                <w:sz w:val="24"/>
                <w:szCs w:val="24"/>
                <w:u w:val="single"/>
              </w:rPr>
              <w:t xml:space="preserve">               </w:t>
            </w:r>
            <w:r>
              <w:rPr>
                <w:rFonts w:hint="eastAsia" w:ascii="宋体" w:hAnsi="宋体" w:cs="Arial"/>
                <w:color w:val="000000"/>
                <w:kern w:val="0"/>
                <w:sz w:val="24"/>
                <w:szCs w:val="24"/>
              </w:rPr>
              <w:t>元整</w:t>
            </w:r>
          </w:p>
        </w:tc>
        <w:tc>
          <w:tcPr>
            <w:tcW w:w="18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35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税率</w:t>
            </w:r>
          </w:p>
        </w:tc>
        <w:tc>
          <w:tcPr>
            <w:tcW w:w="93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1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u w:val="single"/>
              </w:rPr>
            </w:pPr>
            <w:r>
              <w:rPr>
                <w:rFonts w:hint="eastAsia" w:ascii="宋体" w:hAnsi="宋体" w:cs="宋体"/>
                <w:b/>
                <w:bCs/>
                <w:color w:val="000000"/>
                <w:kern w:val="0"/>
                <w:sz w:val="24"/>
                <w:szCs w:val="24"/>
                <w:u w:val="single"/>
              </w:rPr>
              <w:t>13%</w:t>
            </w:r>
          </w:p>
        </w:tc>
        <w:tc>
          <w:tcPr>
            <w:tcW w:w="1837" w:type="dxa"/>
            <w:tcBorders>
              <w:top w:val="nil"/>
              <w:left w:val="nil"/>
              <w:bottom w:val="single" w:color="auto" w:sz="4" w:space="0"/>
              <w:right w:val="single" w:color="auto" w:sz="4" w:space="0"/>
            </w:tcBorders>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324" w:hRule="atLeast"/>
        </w:trPr>
        <w:tc>
          <w:tcPr>
            <w:tcW w:w="7313" w:type="dxa"/>
            <w:gridSpan w:val="7"/>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right"/>
              <w:rPr>
                <w:color w:val="000000"/>
                <w:kern w:val="0"/>
                <w:sz w:val="24"/>
                <w:szCs w:val="24"/>
              </w:rPr>
            </w:pPr>
            <w:r>
              <w:rPr>
                <w:color w:val="000000"/>
                <w:kern w:val="0"/>
                <w:sz w:val="24"/>
                <w:szCs w:val="24"/>
              </w:rPr>
              <w:t xml:space="preserve"> </w:t>
            </w:r>
            <w:r>
              <w:rPr>
                <w:rFonts w:hint="eastAsia" w:ascii="宋体" w:hAnsi="宋体"/>
                <w:color w:val="000000"/>
                <w:kern w:val="0"/>
                <w:sz w:val="24"/>
                <w:szCs w:val="24"/>
              </w:rPr>
              <w:t>大写：</w:t>
            </w:r>
            <w:r>
              <w:rPr>
                <w:color w:val="000000"/>
                <w:kern w:val="0"/>
                <w:sz w:val="24"/>
                <w:szCs w:val="24"/>
                <w:u w:val="single"/>
              </w:rPr>
              <w:t xml:space="preserve">                           </w:t>
            </w:r>
            <w:r>
              <w:rPr>
                <w:rFonts w:hint="eastAsia" w:ascii="宋体" w:hAnsi="宋体"/>
                <w:color w:val="000000"/>
                <w:kern w:val="0"/>
                <w:sz w:val="24"/>
                <w:szCs w:val="24"/>
              </w:rPr>
              <w:t>元整</w:t>
            </w:r>
          </w:p>
        </w:tc>
        <w:tc>
          <w:tcPr>
            <w:tcW w:w="1837" w:type="dxa"/>
            <w:tcBorders>
              <w:top w:val="nil"/>
              <w:left w:val="nil"/>
              <w:bottom w:val="single" w:color="auto" w:sz="4" w:space="0"/>
              <w:right w:val="single" w:color="auto" w:sz="4" w:space="0"/>
            </w:tcBorders>
            <w:vAlign w:val="center"/>
          </w:tcPr>
          <w:p>
            <w:pPr>
              <w:widowControl/>
              <w:jc w:val="center"/>
              <w:rPr>
                <w:color w:val="000000"/>
                <w:kern w:val="0"/>
                <w:sz w:val="24"/>
                <w:szCs w:val="24"/>
              </w:rPr>
            </w:pPr>
            <w:r>
              <w:rPr>
                <w:color w:val="000000"/>
                <w:kern w:val="0"/>
                <w:sz w:val="24"/>
                <w:szCs w:val="24"/>
              </w:rPr>
              <w:t>　</w:t>
            </w:r>
          </w:p>
        </w:tc>
      </w:tr>
      <w:tr>
        <w:tblPrEx>
          <w:tblCellMar>
            <w:top w:w="0" w:type="dxa"/>
            <w:left w:w="108" w:type="dxa"/>
            <w:bottom w:w="0" w:type="dxa"/>
            <w:right w:w="108" w:type="dxa"/>
          </w:tblCellMar>
        </w:tblPrEx>
        <w:trPr>
          <w:trHeight w:val="576" w:hRule="atLeast"/>
        </w:trPr>
        <w:tc>
          <w:tcPr>
            <w:tcW w:w="9150" w:type="dxa"/>
            <w:gridSpan w:val="8"/>
            <w:tcBorders>
              <w:top w:val="single" w:color="auto" w:sz="4" w:space="0"/>
              <w:left w:val="single" w:color="auto" w:sz="4" w:space="0"/>
              <w:bottom w:val="nil"/>
              <w:right w:val="single" w:color="000000" w:sz="4" w:space="0"/>
            </w:tcBorders>
            <w:vAlign w:val="center"/>
          </w:tcPr>
          <w:p>
            <w:pPr>
              <w:spacing w:line="400" w:lineRule="exact"/>
              <w:textAlignment w:val="baseline"/>
              <w:rPr>
                <w:color w:val="000000"/>
                <w:kern w:val="0"/>
                <w:sz w:val="22"/>
                <w:szCs w:val="22"/>
              </w:rPr>
            </w:pPr>
            <w:r>
              <w:rPr>
                <w:rFonts w:hint="eastAsia" w:ascii="宋体" w:hAnsi="宋体" w:cs="宋体"/>
                <w:color w:val="000000"/>
                <w:szCs w:val="21"/>
              </w:rPr>
              <w:t>注：</w:t>
            </w:r>
            <w:r>
              <w:rPr>
                <w:rFonts w:hint="eastAsia" w:ascii="_5b8b_4f53" w:hAnsi="_5b8b_4f53" w:eastAsia="_5b8b_4f53" w:cs="_5b8b_4f53"/>
                <w:sz w:val="22"/>
                <w:szCs w:val="22"/>
                <w:shd w:val="clear" w:color="auto" w:fill="FFFFFF"/>
              </w:rPr>
              <w:t>1、上述报价为税后价，投标（报价）人应提供合法有效且符合比选方要求的增值税专用发票，抵扣税率为13%。</w:t>
            </w:r>
          </w:p>
        </w:tc>
      </w:tr>
      <w:tr>
        <w:tblPrEx>
          <w:tblCellMar>
            <w:top w:w="0" w:type="dxa"/>
            <w:left w:w="108" w:type="dxa"/>
            <w:bottom w:w="0" w:type="dxa"/>
            <w:right w:w="108" w:type="dxa"/>
          </w:tblCellMar>
        </w:tblPrEx>
        <w:trPr>
          <w:trHeight w:val="910" w:hRule="atLeast"/>
        </w:trPr>
        <w:tc>
          <w:tcPr>
            <w:tcW w:w="9150" w:type="dxa"/>
            <w:gridSpan w:val="8"/>
            <w:tcBorders>
              <w:top w:val="nil"/>
              <w:left w:val="single" w:color="auto" w:sz="4" w:space="0"/>
              <w:bottom w:val="nil"/>
              <w:right w:val="single" w:color="000000" w:sz="4" w:space="0"/>
            </w:tcBorders>
            <w:vAlign w:val="center"/>
          </w:tcPr>
          <w:p>
            <w:p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2、</w:t>
            </w:r>
            <w:r>
              <w:rPr>
                <w:rFonts w:ascii="_5b8b_4f53" w:hAnsi="_5b8b_4f53" w:eastAsia="_5b8b_4f53" w:cs="_5b8b_4f53"/>
                <w:sz w:val="22"/>
                <w:szCs w:val="22"/>
                <w:shd w:val="clear" w:color="auto" w:fill="FFFFFF"/>
              </w:rPr>
              <w:t>表中</w:t>
            </w:r>
            <w:r>
              <w:rPr>
                <w:rFonts w:hint="eastAsia" w:ascii="_5b8b_4f53" w:hAnsi="_5b8b_4f53" w:cs="_5b8b_4f53"/>
                <w:sz w:val="22"/>
                <w:szCs w:val="22"/>
                <w:shd w:val="clear" w:color="auto" w:fill="FFFFFF"/>
              </w:rPr>
              <w:t>所填</w:t>
            </w:r>
            <w:r>
              <w:rPr>
                <w:rFonts w:ascii="_5b8b_4f53" w:hAnsi="_5b8b_4f53" w:eastAsia="_5b8b_4f53" w:cs="_5b8b_4f53"/>
                <w:sz w:val="22"/>
                <w:szCs w:val="22"/>
                <w:shd w:val="clear" w:color="auto" w:fill="FFFFFF"/>
              </w:rPr>
              <w:t>单价为</w:t>
            </w:r>
            <w:r>
              <w:rPr>
                <w:rFonts w:hint="eastAsia" w:ascii="_5b8b_4f53" w:hAnsi="_5b8b_4f53" w:cs="_5b8b_4f53"/>
                <w:sz w:val="22"/>
                <w:szCs w:val="22"/>
                <w:shd w:val="clear" w:color="auto" w:fill="FFFFFF"/>
              </w:rPr>
              <w:t>(成品玻璃钢化粪池</w:t>
            </w:r>
            <w:r>
              <w:rPr>
                <w:rFonts w:ascii="_5b8b_4f53" w:hAnsi="_5b8b_4f53" w:eastAsia="_5b8b_4f53" w:cs="_5b8b_4f53"/>
                <w:sz w:val="22"/>
                <w:szCs w:val="22"/>
                <w:shd w:val="clear" w:color="auto" w:fill="FFFFFF"/>
              </w:rPr>
              <w:t>单价</w:t>
            </w:r>
            <w:r>
              <w:rPr>
                <w:rFonts w:hint="eastAsia" w:ascii="_5b8b_4f53" w:hAnsi="_5b8b_4f53" w:cs="_5b8b_4f53"/>
                <w:sz w:val="22"/>
                <w:szCs w:val="22"/>
                <w:shd w:val="clear" w:color="auto" w:fill="FFFFFF"/>
              </w:rPr>
              <w:t>+高速公路通行费以及其他一切费用)</w:t>
            </w:r>
            <w:r>
              <w:rPr>
                <w:rFonts w:ascii="_5b8b_4f53" w:hAnsi="_5b8b_4f53" w:cs="宋体"/>
                <w:kern w:val="0"/>
                <w:sz w:val="22"/>
                <w:szCs w:val="22"/>
              </w:rPr>
              <w:t>含税</w:t>
            </w:r>
            <w:r>
              <w:rPr>
                <w:rFonts w:hint="eastAsia" w:ascii="_5b8b_4f53" w:hAnsi="_5b8b_4f53" w:cs="宋体"/>
                <w:kern w:val="0"/>
                <w:sz w:val="22"/>
                <w:szCs w:val="22"/>
              </w:rPr>
              <w:t>到场的综合单价</w:t>
            </w:r>
            <w:r>
              <w:rPr>
                <w:rFonts w:ascii="_5b8b_4f53" w:hAnsi="_5b8b_4f53" w:eastAsia="_5b8b_4f53" w:cs="_5b8b_4f53"/>
                <w:sz w:val="22"/>
                <w:szCs w:val="22"/>
                <w:shd w:val="clear" w:color="auto" w:fill="FFFFFF"/>
              </w:rPr>
              <w:t>；</w:t>
            </w:r>
            <w:r>
              <w:rPr>
                <w:rFonts w:hint="eastAsia" w:ascii="_5b8b_4f53" w:hAnsi="_5b8b_4f53" w:cs="_5b8b_4f53"/>
                <w:sz w:val="22"/>
                <w:szCs w:val="22"/>
                <w:shd w:val="clear" w:color="auto" w:fill="FFFFFF"/>
              </w:rPr>
              <w:t>合同签订后不予调价。</w:t>
            </w:r>
          </w:p>
        </w:tc>
      </w:tr>
      <w:tr>
        <w:tblPrEx>
          <w:tblCellMar>
            <w:top w:w="0" w:type="dxa"/>
            <w:left w:w="108" w:type="dxa"/>
            <w:bottom w:w="0" w:type="dxa"/>
            <w:right w:w="108" w:type="dxa"/>
          </w:tblCellMar>
        </w:tblPrEx>
        <w:trPr>
          <w:trHeight w:val="749" w:hRule="atLeast"/>
        </w:trPr>
        <w:tc>
          <w:tcPr>
            <w:tcW w:w="9150" w:type="dxa"/>
            <w:gridSpan w:val="8"/>
            <w:tcBorders>
              <w:top w:val="nil"/>
              <w:left w:val="single" w:color="auto" w:sz="4" w:space="0"/>
              <w:bottom w:val="nil"/>
              <w:right w:val="single" w:color="000000" w:sz="4" w:space="0"/>
            </w:tcBorders>
            <w:vAlign w:val="center"/>
          </w:tcPr>
          <w:p>
            <w:p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3、本次采购时间预计为1个月（2020年12月）。</w:t>
            </w:r>
            <w:r>
              <w:rPr>
                <w:rFonts w:hint="eastAsia"/>
                <w:sz w:val="24"/>
                <w:szCs w:val="28"/>
              </w:rPr>
              <w:t>竞标</w:t>
            </w:r>
            <w:r>
              <w:rPr>
                <w:rFonts w:hint="eastAsia" w:ascii="_5b8b_4f53" w:hAnsi="_5b8b_4f53" w:eastAsia="_5b8b_4f53" w:cs="_5b8b_4f53"/>
                <w:sz w:val="22"/>
                <w:szCs w:val="22"/>
                <w:shd w:val="clear" w:color="auto" w:fill="FFFFFF"/>
              </w:rPr>
              <w:t>人</w:t>
            </w:r>
            <w:r>
              <w:rPr>
                <w:rFonts w:hint="eastAsia" w:ascii="_5b8b_4f53" w:hAnsi="_5b8b_4f53" w:cs="_5b8b_4f53"/>
                <w:sz w:val="22"/>
                <w:szCs w:val="22"/>
                <w:shd w:val="clear" w:color="auto" w:fill="FFFFFF"/>
              </w:rPr>
              <w:t>必须保证比选方玻璃钢化粪池的供应及时。</w:t>
            </w:r>
          </w:p>
        </w:tc>
      </w:tr>
      <w:tr>
        <w:tblPrEx>
          <w:tblCellMar>
            <w:top w:w="0" w:type="dxa"/>
            <w:left w:w="108" w:type="dxa"/>
            <w:bottom w:w="0" w:type="dxa"/>
            <w:right w:w="108" w:type="dxa"/>
          </w:tblCellMar>
        </w:tblPrEx>
        <w:trPr>
          <w:trHeight w:val="1849" w:hRule="atLeast"/>
        </w:trPr>
        <w:tc>
          <w:tcPr>
            <w:tcW w:w="9150" w:type="dxa"/>
            <w:gridSpan w:val="8"/>
            <w:tcBorders>
              <w:top w:val="nil"/>
              <w:left w:val="single" w:color="auto" w:sz="4" w:space="0"/>
              <w:bottom w:val="single" w:color="auto" w:sz="4" w:space="0"/>
              <w:right w:val="single" w:color="000000" w:sz="4" w:space="0"/>
            </w:tcBorders>
            <w:vAlign w:val="center"/>
          </w:tcPr>
          <w:p>
            <w:pPr>
              <w:numPr>
                <w:ilvl w:val="0"/>
                <w:numId w:val="4"/>
              </w:numPr>
              <w:spacing w:line="400" w:lineRule="exact"/>
              <w:textAlignment w:val="baseline"/>
              <w:rPr>
                <w:rFonts w:ascii="宋体" w:hAnsi="宋体" w:cs="宋体"/>
                <w:color w:val="000000"/>
                <w:kern w:val="0"/>
                <w:sz w:val="22"/>
                <w:szCs w:val="22"/>
              </w:rPr>
            </w:pPr>
            <w:r>
              <w:rPr>
                <w:rFonts w:hint="eastAsia" w:ascii="_5b8b_4f53" w:hAnsi="_5b8b_4f53" w:cs="_5b8b_4f53"/>
                <w:sz w:val="22"/>
                <w:szCs w:val="22"/>
                <w:shd w:val="clear" w:color="auto" w:fill="FFFFFF"/>
              </w:rPr>
              <w:t>比选</w:t>
            </w:r>
            <w:r>
              <w:rPr>
                <w:rFonts w:hint="eastAsia" w:ascii="_5b8b_4f53" w:hAnsi="_5b8b_4f53" w:cs="宋体"/>
                <w:kern w:val="0"/>
                <w:sz w:val="22"/>
                <w:szCs w:val="22"/>
              </w:rPr>
              <w:t>方</w:t>
            </w:r>
            <w:r>
              <w:rPr>
                <w:rFonts w:ascii="_5b8b_4f53" w:hAnsi="_5b8b_4f53" w:cs="宋体"/>
                <w:kern w:val="0"/>
                <w:sz w:val="22"/>
                <w:szCs w:val="22"/>
              </w:rPr>
              <w:t>指定的交货地点：</w:t>
            </w:r>
            <w:r>
              <w:rPr>
                <w:rFonts w:ascii="_5b8b_4f53" w:hAnsi="_5b8b_4f53" w:cs="宋体"/>
                <w:kern w:val="0"/>
                <w:sz w:val="22"/>
              </w:rPr>
              <w:t> </w:t>
            </w:r>
            <w:r>
              <w:rPr>
                <w:rFonts w:ascii="_4eff_5b8b" w:hAnsi="_4eff_5b8b" w:cs="宋体"/>
                <w:kern w:val="0"/>
                <w:sz w:val="22"/>
                <w:szCs w:val="22"/>
                <w:u w:val="single"/>
              </w:rPr>
              <w:t> </w:t>
            </w:r>
            <w:r>
              <w:rPr>
                <w:rFonts w:hint="eastAsia" w:hAnsi="宋体"/>
                <w:b/>
                <w:bCs/>
                <w:sz w:val="24"/>
                <w:u w:val="single"/>
              </w:rPr>
              <w:t>绕城高速复兴服务区</w:t>
            </w:r>
          </w:p>
        </w:tc>
      </w:tr>
    </w:tbl>
    <w:p>
      <w:pPr>
        <w:spacing w:line="480" w:lineRule="exact"/>
        <w:ind w:firstLine="3259" w:firstLineChars="1358"/>
        <w:jc w:val="left"/>
        <w:rPr>
          <w:sz w:val="24"/>
          <w:szCs w:val="28"/>
        </w:rPr>
      </w:pPr>
    </w:p>
    <w:p>
      <w:pPr>
        <w:spacing w:line="480" w:lineRule="exact"/>
        <w:ind w:firstLine="3259" w:firstLineChars="1358"/>
        <w:jc w:val="left"/>
        <w:rPr>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sz w:val="24"/>
          <w:szCs w:val="24"/>
        </w:rPr>
      </w:pPr>
      <w:r>
        <w:rPr>
          <w:rFonts w:hint="eastAsia"/>
          <w:sz w:val="24"/>
          <w:szCs w:val="24"/>
        </w:rPr>
        <w:t>法定代表人（或授权代表）：</w:t>
      </w:r>
      <w:r>
        <w:rPr>
          <w:rFonts w:hint="eastAsia"/>
          <w:sz w:val="24"/>
          <w:szCs w:val="24"/>
          <w:u w:val="single"/>
        </w:rPr>
        <w:t>____    __________</w:t>
      </w:r>
      <w:r>
        <w:rPr>
          <w:rFonts w:hint="eastAsia"/>
          <w:sz w:val="24"/>
          <w:szCs w:val="24"/>
        </w:rPr>
        <w:t xml:space="preserve">  </w:t>
      </w:r>
    </w:p>
    <w:p>
      <w:pPr>
        <w:spacing w:line="480" w:lineRule="exact"/>
        <w:ind w:left="4072" w:leftChars="1482" w:hanging="960" w:hangingChars="400"/>
        <w:rPr>
          <w:sz w:val="24"/>
          <w:szCs w:val="28"/>
        </w:rPr>
      </w:pPr>
      <w:r>
        <w:rPr>
          <w:rFonts w:hint="eastAsia"/>
          <w:sz w:val="24"/>
          <w:szCs w:val="28"/>
        </w:rPr>
        <w:t xml:space="preserve">联系电话：                                    </w:t>
      </w:r>
    </w:p>
    <w:p>
      <w:pPr>
        <w:pStyle w:val="8"/>
        <w:jc w:val="right"/>
        <w:rPr>
          <w:color w:val="auto"/>
          <w:szCs w:val="28"/>
        </w:rPr>
      </w:pPr>
    </w:p>
    <w:p>
      <w:pPr>
        <w:pStyle w:val="8"/>
        <w:ind w:firstLine="5520" w:firstLineChars="2300"/>
        <w:jc w:val="both"/>
        <w:rPr>
          <w:color w:val="auto"/>
        </w:rPr>
      </w:pPr>
      <w:r>
        <w:rPr>
          <w:rFonts w:hint="eastAsia"/>
          <w:color w:val="auto"/>
          <w:szCs w:val="28"/>
        </w:rPr>
        <w:t>日期：   年    月    日</w:t>
      </w:r>
    </w:p>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B15A0"/>
    <w:multiLevelType w:val="singleLevel"/>
    <w:tmpl w:val="E13B15A0"/>
    <w:lvl w:ilvl="0" w:tentative="0">
      <w:start w:val="4"/>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89AB4D9"/>
    <w:multiLevelType w:val="singleLevel"/>
    <w:tmpl w:val="589AB4D9"/>
    <w:lvl w:ilvl="0" w:tentative="0">
      <w:start w:val="4"/>
      <w:numFmt w:val="chineseCounting"/>
      <w:suff w:val="nothing"/>
      <w:lvlText w:val="%1、"/>
      <w:lvlJc w:val="left"/>
    </w:lvl>
  </w:abstractNum>
  <w:abstractNum w:abstractNumId="3">
    <w:nsid w:val="59FBED4B"/>
    <w:multiLevelType w:val="singleLevel"/>
    <w:tmpl w:val="59FBED4B"/>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B6ED2"/>
    <w:rsid w:val="006F5BBF"/>
    <w:rsid w:val="00D575F4"/>
    <w:rsid w:val="00F90336"/>
    <w:rsid w:val="01D8530D"/>
    <w:rsid w:val="072D229B"/>
    <w:rsid w:val="07F7499F"/>
    <w:rsid w:val="088F140B"/>
    <w:rsid w:val="0B787CA7"/>
    <w:rsid w:val="0C0C5E3B"/>
    <w:rsid w:val="0D0B73FC"/>
    <w:rsid w:val="0D785F53"/>
    <w:rsid w:val="0F960CE0"/>
    <w:rsid w:val="0FF81AC5"/>
    <w:rsid w:val="12534054"/>
    <w:rsid w:val="12764C88"/>
    <w:rsid w:val="136D74B1"/>
    <w:rsid w:val="14F072B4"/>
    <w:rsid w:val="186A4BA8"/>
    <w:rsid w:val="1A487712"/>
    <w:rsid w:val="1C7F23D3"/>
    <w:rsid w:val="1CF76F59"/>
    <w:rsid w:val="1ED73BBE"/>
    <w:rsid w:val="20AF60D5"/>
    <w:rsid w:val="21930A34"/>
    <w:rsid w:val="23D74854"/>
    <w:rsid w:val="25583A63"/>
    <w:rsid w:val="255C1916"/>
    <w:rsid w:val="25A42F80"/>
    <w:rsid w:val="29957BC7"/>
    <w:rsid w:val="29CE2D5F"/>
    <w:rsid w:val="2A216D40"/>
    <w:rsid w:val="2F073023"/>
    <w:rsid w:val="30786F71"/>
    <w:rsid w:val="313E75FF"/>
    <w:rsid w:val="334B6ED2"/>
    <w:rsid w:val="35204E11"/>
    <w:rsid w:val="35AC3C51"/>
    <w:rsid w:val="36895997"/>
    <w:rsid w:val="3844546C"/>
    <w:rsid w:val="3AA20359"/>
    <w:rsid w:val="3C8502B8"/>
    <w:rsid w:val="3D6D0745"/>
    <w:rsid w:val="3D790418"/>
    <w:rsid w:val="3E007E77"/>
    <w:rsid w:val="3F003B16"/>
    <w:rsid w:val="3F8C2137"/>
    <w:rsid w:val="409C6FC9"/>
    <w:rsid w:val="417D26F2"/>
    <w:rsid w:val="41D37526"/>
    <w:rsid w:val="42DF7FE7"/>
    <w:rsid w:val="431B5068"/>
    <w:rsid w:val="44350C2D"/>
    <w:rsid w:val="44A42EF1"/>
    <w:rsid w:val="46A64111"/>
    <w:rsid w:val="49646EA4"/>
    <w:rsid w:val="49AB3F7E"/>
    <w:rsid w:val="4AAC405B"/>
    <w:rsid w:val="4B0845F5"/>
    <w:rsid w:val="4BEC098E"/>
    <w:rsid w:val="4C4D43F2"/>
    <w:rsid w:val="4C9F1EA5"/>
    <w:rsid w:val="4D5B3BC4"/>
    <w:rsid w:val="4F3A7DD7"/>
    <w:rsid w:val="4FAD320E"/>
    <w:rsid w:val="4FEF34E5"/>
    <w:rsid w:val="4FFA2F12"/>
    <w:rsid w:val="50FF1422"/>
    <w:rsid w:val="525C3FBB"/>
    <w:rsid w:val="52C74E67"/>
    <w:rsid w:val="543255D6"/>
    <w:rsid w:val="54AF5CA3"/>
    <w:rsid w:val="589357B8"/>
    <w:rsid w:val="59A26B2D"/>
    <w:rsid w:val="5A0C32D3"/>
    <w:rsid w:val="5A0D7A62"/>
    <w:rsid w:val="5A1406D0"/>
    <w:rsid w:val="5AD1632F"/>
    <w:rsid w:val="5C036AE0"/>
    <w:rsid w:val="5CA57344"/>
    <w:rsid w:val="5D73453A"/>
    <w:rsid w:val="5D8720E2"/>
    <w:rsid w:val="5F0E5729"/>
    <w:rsid w:val="5F3F2D65"/>
    <w:rsid w:val="5F95694A"/>
    <w:rsid w:val="64ED36A9"/>
    <w:rsid w:val="6542396D"/>
    <w:rsid w:val="66E72C1D"/>
    <w:rsid w:val="678E0B5F"/>
    <w:rsid w:val="6BC44EF5"/>
    <w:rsid w:val="6BF7099C"/>
    <w:rsid w:val="6C9E0F8D"/>
    <w:rsid w:val="6E3A7712"/>
    <w:rsid w:val="6FC26CDD"/>
    <w:rsid w:val="6FCD08D8"/>
    <w:rsid w:val="71392CEE"/>
    <w:rsid w:val="71BA3F50"/>
    <w:rsid w:val="72F23C9C"/>
    <w:rsid w:val="75E00FDA"/>
    <w:rsid w:val="76342B8E"/>
    <w:rsid w:val="77A43007"/>
    <w:rsid w:val="77CE55AD"/>
    <w:rsid w:val="77E57CF3"/>
    <w:rsid w:val="781C4E01"/>
    <w:rsid w:val="7A4D17CB"/>
    <w:rsid w:val="7C072D36"/>
    <w:rsid w:val="7D33260C"/>
    <w:rsid w:val="7D873E3A"/>
    <w:rsid w:val="7E81103F"/>
    <w:rsid w:val="7E9833B6"/>
    <w:rsid w:val="7F1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sz w:val="44"/>
    </w:rPr>
  </w:style>
  <w:style w:type="paragraph" w:styleId="4">
    <w:name w:val="Date"/>
    <w:basedOn w:val="1"/>
    <w:next w:val="1"/>
    <w:qFormat/>
    <w:uiPriority w:val="0"/>
    <w:pPr>
      <w:ind w:left="100" w:leftChars="25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1638</Words>
  <Characters>9338</Characters>
  <Lines>77</Lines>
  <Paragraphs>21</Paragraphs>
  <TotalTime>61</TotalTime>
  <ScaleCrop>false</ScaleCrop>
  <LinksUpToDate>false</LinksUpToDate>
  <CharactersWithSpaces>10955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2020-05-28T02:43:00Z</dcterms:created>
  <dc:creator>Just Do It</dc:creator>
  <cp:lastModifiedBy>poster</cp:lastModifiedBy>
  <dcterms:modified xsi:type="dcterms:W3CDTF">2020-12-17T00:10:20Z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