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r>
        <w:rPr>
          <w:rFonts w:hint="eastAsia" w:ascii="宋体" w:hAnsi="宋体" w:cs="宋体"/>
          <w:b/>
          <w:sz w:val="48"/>
          <w:szCs w:val="48"/>
        </w:rPr>
        <w:t>重庆市高速公路</w:t>
      </w:r>
    </w:p>
    <w:p>
      <w:pPr>
        <w:jc w:val="center"/>
        <w:rPr>
          <w:rFonts w:ascii="宋体" w:hAnsi="宋体" w:eastAsia="宋体" w:cs="宋体"/>
          <w:b/>
          <w:sz w:val="48"/>
          <w:szCs w:val="48"/>
        </w:rPr>
      </w:pPr>
      <w:r>
        <w:rPr>
          <w:rFonts w:hint="eastAsia" w:ascii="宋体" w:hAnsi="宋体" w:cs="宋体"/>
          <w:b/>
          <w:sz w:val="48"/>
          <w:szCs w:val="48"/>
        </w:rPr>
        <w:t>2021年度广告牌检测项目（维护</w:t>
      </w:r>
      <w:r>
        <w:rPr>
          <w:rFonts w:hint="eastAsia" w:ascii="宋体" w:hAnsi="宋体" w:cs="宋体"/>
          <w:b/>
          <w:sz w:val="48"/>
          <w:szCs w:val="48"/>
          <w:lang w:val="en-US" w:eastAsia="zh-CN"/>
        </w:rPr>
        <w:t>后</w:t>
      </w:r>
      <w:r>
        <w:rPr>
          <w:rFonts w:hint="eastAsia" w:ascii="宋体" w:hAnsi="宋体" w:cs="宋体"/>
          <w:b/>
          <w:sz w:val="48"/>
          <w:szCs w:val="48"/>
        </w:rPr>
        <w:t>）</w:t>
      </w:r>
    </w:p>
    <w:p>
      <w:pPr>
        <w:jc w:val="center"/>
        <w:rPr>
          <w:rFonts w:ascii="宋体" w:hAnsi="宋体" w:eastAsia="宋体" w:cs="宋体"/>
          <w:b/>
          <w:spacing w:val="20"/>
          <w:sz w:val="72"/>
          <w:szCs w:val="72"/>
        </w:rPr>
      </w:pPr>
    </w:p>
    <w:p>
      <w:pPr>
        <w:pStyle w:val="26"/>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6"/>
        <w:rPr>
          <w:rFonts w:ascii="宋体" w:hAnsi="宋体" w:cs="宋体"/>
          <w:szCs w:val="21"/>
        </w:rPr>
      </w:pPr>
    </w:p>
    <w:p>
      <w:pPr>
        <w:pStyle w:val="26"/>
        <w:rPr>
          <w:rFonts w:ascii="宋体" w:hAnsi="宋体" w:cs="宋体"/>
          <w:szCs w:val="21"/>
        </w:rPr>
      </w:pPr>
    </w:p>
    <w:p>
      <w:pPr>
        <w:rPr>
          <w:rFonts w:ascii="宋体" w:hAnsi="宋体" w:cs="宋体"/>
          <w:szCs w:val="21"/>
        </w:rPr>
      </w:pP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重庆高速文化传媒股份有限公司</w:t>
      </w: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5</w:t>
      </w:r>
      <w:r>
        <w:rPr>
          <w:rFonts w:hint="eastAsia" w:ascii="宋体" w:hAnsi="宋体" w:cs="宋体"/>
          <w:b/>
          <w:sz w:val="32"/>
          <w:szCs w:val="32"/>
        </w:rPr>
        <w:t>月</w:t>
      </w:r>
    </w:p>
    <w:p/>
    <w:p>
      <w:pPr>
        <w:jc w:val="center"/>
        <w:rPr>
          <w:rFonts w:hint="eastAsia" w:ascii="宋体" w:hAnsi="宋体" w:cs="宋体"/>
          <w:b/>
          <w:sz w:val="30"/>
          <w:szCs w:val="30"/>
        </w:rPr>
      </w:pPr>
      <w:r>
        <w:rPr>
          <w:rFonts w:hint="eastAsia" w:ascii="宋体" w:hAnsi="宋体" w:cs="宋体"/>
          <w:b/>
          <w:sz w:val="30"/>
          <w:szCs w:val="30"/>
        </w:rPr>
        <w:br w:type="page"/>
      </w:r>
    </w:p>
    <w:p>
      <w:pPr>
        <w:jc w:val="center"/>
        <w:rPr>
          <w:rFonts w:ascii="宋体" w:hAnsi="宋体" w:eastAsia="宋体" w:cs="宋体"/>
          <w:b/>
          <w:sz w:val="30"/>
          <w:szCs w:val="30"/>
        </w:rPr>
      </w:pPr>
      <w:r>
        <w:rPr>
          <w:rFonts w:hint="eastAsia" w:ascii="宋体" w:hAnsi="宋体" w:cs="宋体"/>
          <w:b/>
          <w:sz w:val="30"/>
          <w:szCs w:val="30"/>
        </w:rPr>
        <w:t>重庆市高速公路2021年度广告牌检测项目（维护</w:t>
      </w:r>
      <w:r>
        <w:rPr>
          <w:rFonts w:hint="eastAsia" w:ascii="宋体" w:hAnsi="宋体" w:cs="宋体"/>
          <w:b/>
          <w:sz w:val="30"/>
          <w:szCs w:val="30"/>
          <w:lang w:val="en-US" w:eastAsia="zh-CN"/>
        </w:rPr>
        <w:t>后</w:t>
      </w:r>
      <w:r>
        <w:rPr>
          <w:rFonts w:hint="eastAsia" w:ascii="宋体" w:hAnsi="宋体" w:cs="宋体"/>
          <w:b/>
          <w:sz w:val="30"/>
          <w:szCs w:val="30"/>
        </w:rPr>
        <w:t>）</w:t>
      </w:r>
    </w:p>
    <w:p>
      <w:pPr>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52042295"/>
      <w:bookmarkStart w:id="1" w:name="_Toc246996166"/>
      <w:bookmarkStart w:id="2" w:name="_Toc144974487"/>
      <w:bookmarkStart w:id="3" w:name="_Toc152045519"/>
      <w:bookmarkStart w:id="4" w:name="_Toc296602410"/>
      <w:bookmarkStart w:id="5" w:name="_Toc179632536"/>
      <w:bookmarkStart w:id="6" w:name="_Toc246996909"/>
      <w:bookmarkStart w:id="7" w:name="_Toc247085680"/>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296602412"/>
      <w:bookmarkStart w:id="9" w:name="_Toc246996911"/>
      <w:bookmarkStart w:id="10" w:name="_Toc179632538"/>
      <w:bookmarkStart w:id="11" w:name="_Toc144974489"/>
      <w:bookmarkStart w:id="12" w:name="_Toc247085682"/>
      <w:bookmarkStart w:id="13" w:name="_Toc246996168"/>
      <w:bookmarkStart w:id="14" w:name="_Toc152042297"/>
      <w:bookmarkStart w:id="15" w:name="_Toc152045521"/>
      <w:r>
        <w:rPr>
          <w:szCs w:val="21"/>
        </w:rPr>
        <w:t>本项目</w:t>
      </w:r>
      <w:r>
        <w:rPr>
          <w:rFonts w:hint="eastAsia"/>
          <w:b/>
          <w:bCs/>
          <w:szCs w:val="21"/>
        </w:rPr>
        <w:t>重庆市高速公路2021年度广告牌检测项目（维护</w:t>
      </w:r>
      <w:r>
        <w:rPr>
          <w:rFonts w:hint="eastAsia"/>
          <w:b/>
          <w:bCs/>
          <w:szCs w:val="21"/>
          <w:lang w:val="en-US" w:eastAsia="zh-CN"/>
        </w:rPr>
        <w:t>后</w:t>
      </w:r>
      <w:r>
        <w:rPr>
          <w:rFonts w:hint="eastAsia"/>
          <w:b/>
          <w:bCs/>
          <w:szCs w:val="21"/>
        </w:rPr>
        <w:t>）</w:t>
      </w:r>
      <w:r>
        <w:rPr>
          <w:szCs w:val="21"/>
        </w:rPr>
        <w:t>准备组织实施，重庆高速文化传媒股份有限公司计划以</w:t>
      </w:r>
      <w:r>
        <w:rPr>
          <w:rFonts w:hint="eastAsia"/>
          <w:szCs w:val="21"/>
        </w:rPr>
        <w:t>竞争性比选的</w:t>
      </w:r>
      <w:r>
        <w:rPr>
          <w:szCs w:val="21"/>
        </w:rPr>
        <w:t>方式确定</w:t>
      </w:r>
      <w:r>
        <w:rPr>
          <w:rFonts w:hint="eastAsia"/>
          <w:szCs w:val="21"/>
        </w:rPr>
        <w:t>成交</w:t>
      </w:r>
      <w:r>
        <w:rPr>
          <w:szCs w:val="21"/>
        </w:rPr>
        <w:t>单位，具体情况如下：</w:t>
      </w:r>
    </w:p>
    <w:p>
      <w:pPr>
        <w:spacing w:line="400" w:lineRule="exact"/>
        <w:rPr>
          <w:b/>
          <w:szCs w:val="21"/>
        </w:rPr>
      </w:pPr>
      <w:bookmarkStart w:id="16" w:name="_Toc152042296"/>
      <w:bookmarkStart w:id="17" w:name="_Toc144974488"/>
      <w:bookmarkStart w:id="18" w:name="_Toc247085681"/>
      <w:bookmarkStart w:id="19" w:name="_Toc246996167"/>
      <w:bookmarkStart w:id="20" w:name="_Toc152045520"/>
      <w:bookmarkStart w:id="21" w:name="_Toc246996910"/>
      <w:bookmarkStart w:id="22" w:name="_Toc179632537"/>
      <w:bookmarkStart w:id="23" w:name="_Toc296602411"/>
      <w:r>
        <w:rPr>
          <w:b/>
          <w:szCs w:val="21"/>
        </w:rPr>
        <w:t>一、项目概况与</w:t>
      </w:r>
      <w:r>
        <w:rPr>
          <w:rFonts w:hint="eastAsia"/>
          <w:b/>
          <w:szCs w:val="21"/>
        </w:rPr>
        <w:t>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rPr>
        <w:t>重庆市高速公路2021年度广告牌检测项目（维护</w:t>
      </w:r>
      <w:r>
        <w:rPr>
          <w:rFonts w:hint="eastAsia"/>
          <w:szCs w:val="21"/>
          <w:lang w:eastAsia="zh-CN"/>
        </w:rPr>
        <w:t>后</w:t>
      </w:r>
      <w:r>
        <w:rPr>
          <w:rFonts w:hint="eastAsia"/>
          <w:szCs w:val="21"/>
        </w:rPr>
        <w:t>）</w:t>
      </w:r>
      <w:r>
        <w:rPr>
          <w:szCs w:val="21"/>
        </w:rPr>
        <w:t>。</w:t>
      </w:r>
      <w:r>
        <w:rPr>
          <w:rFonts w:hint="eastAsia"/>
          <w:szCs w:val="21"/>
        </w:rPr>
        <w:t>具体实施数量由业主下发清单为准</w:t>
      </w:r>
      <w:r>
        <w:rPr>
          <w:szCs w:val="21"/>
        </w:rPr>
        <w:t>。</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kern w:val="0"/>
          <w:szCs w:val="21"/>
        </w:rPr>
      </w:pPr>
      <w:r>
        <w:rPr>
          <w:kern w:val="0"/>
          <w:szCs w:val="21"/>
        </w:rPr>
        <w:t>（1）</w:t>
      </w:r>
      <w:r>
        <w:rPr>
          <w:rFonts w:hint="eastAsia"/>
          <w:kern w:val="0"/>
          <w:szCs w:val="21"/>
        </w:rPr>
        <w:t>检测</w:t>
      </w:r>
      <w:r>
        <w:rPr>
          <w:kern w:val="0"/>
          <w:szCs w:val="21"/>
        </w:rPr>
        <w:t>地点：</w:t>
      </w:r>
      <w:r>
        <w:rPr>
          <w:rFonts w:hint="eastAsia"/>
          <w:kern w:val="0"/>
          <w:szCs w:val="21"/>
        </w:rPr>
        <w:t xml:space="preserve"> 重庆市</w:t>
      </w:r>
      <w:r>
        <w:rPr>
          <w:rFonts w:hint="eastAsia"/>
          <w:kern w:val="0"/>
          <w:szCs w:val="21"/>
          <w:lang w:eastAsia="zh-CN"/>
        </w:rPr>
        <w:t>各高速公路</w:t>
      </w:r>
      <w:r>
        <w:rPr>
          <w:rFonts w:hint="eastAsia"/>
          <w:kern w:val="0"/>
          <w:szCs w:val="21"/>
        </w:rPr>
        <w:t>。</w:t>
      </w:r>
    </w:p>
    <w:p>
      <w:pPr>
        <w:spacing w:line="400" w:lineRule="exact"/>
        <w:ind w:firstLine="420" w:firstLineChars="200"/>
        <w:rPr>
          <w:szCs w:val="21"/>
        </w:rPr>
      </w:pPr>
      <w:r>
        <w:rPr>
          <w:rFonts w:hint="eastAsia"/>
          <w:kern w:val="0"/>
          <w:szCs w:val="21"/>
        </w:rPr>
        <w:t>（2）</w:t>
      </w:r>
      <w:r>
        <w:rPr>
          <w:color w:val="FF0000"/>
          <w:kern w:val="0"/>
          <w:szCs w:val="21"/>
        </w:rPr>
        <w:t>工程范围</w:t>
      </w:r>
      <w:r>
        <w:rPr>
          <w:rFonts w:hint="eastAsia"/>
          <w:color w:val="FF0000"/>
          <w:kern w:val="0"/>
          <w:szCs w:val="21"/>
        </w:rPr>
        <w:t>：对重庆市高速公路2021年度广告牌进行检测。单立柱钢结构三面体广告牌共</w:t>
      </w:r>
      <w:r>
        <w:rPr>
          <w:rFonts w:hint="eastAsia"/>
          <w:color w:val="FF0000"/>
          <w:kern w:val="0"/>
          <w:szCs w:val="21"/>
          <w:lang w:val="en-US" w:eastAsia="zh-CN"/>
        </w:rPr>
        <w:t>16</w:t>
      </w:r>
      <w:r>
        <w:rPr>
          <w:rFonts w:hint="eastAsia"/>
          <w:color w:val="FF0000"/>
          <w:kern w:val="0"/>
          <w:szCs w:val="21"/>
        </w:rPr>
        <w:t>块；单立柱钢结构两面体广告牌共</w:t>
      </w:r>
      <w:r>
        <w:rPr>
          <w:rFonts w:hint="eastAsia"/>
          <w:color w:val="FF0000"/>
          <w:kern w:val="0"/>
          <w:szCs w:val="21"/>
          <w:lang w:val="en-US" w:eastAsia="zh-CN"/>
        </w:rPr>
        <w:t>106</w:t>
      </w:r>
      <w:r>
        <w:rPr>
          <w:rFonts w:hint="eastAsia"/>
          <w:color w:val="FF0000"/>
          <w:kern w:val="0"/>
          <w:szCs w:val="21"/>
        </w:rPr>
        <w:t>块，共计</w:t>
      </w:r>
      <w:r>
        <w:rPr>
          <w:rFonts w:hint="eastAsia"/>
          <w:color w:val="FF0000"/>
          <w:kern w:val="0"/>
          <w:szCs w:val="21"/>
          <w:lang w:val="en-US" w:eastAsia="zh-CN"/>
        </w:rPr>
        <w:t>122</w:t>
      </w:r>
      <w:r>
        <w:rPr>
          <w:rFonts w:hint="eastAsia"/>
          <w:color w:val="FF0000"/>
          <w:kern w:val="0"/>
          <w:szCs w:val="21"/>
        </w:rPr>
        <w:t>块。</w:t>
      </w:r>
      <w:r>
        <w:rPr>
          <w:szCs w:val="21"/>
        </w:rPr>
        <w:t>（具体工程量详见</w:t>
      </w:r>
      <w:r>
        <w:rPr>
          <w:rFonts w:hint="eastAsia"/>
          <w:szCs w:val="21"/>
        </w:rPr>
        <w:t>附件1：“2021年广告牌检测清单”</w:t>
      </w:r>
      <w:r>
        <w:rPr>
          <w:szCs w:val="21"/>
        </w:rPr>
        <w:t>）</w:t>
      </w:r>
    </w:p>
    <w:p>
      <w:pPr>
        <w:spacing w:line="400" w:lineRule="exact"/>
        <w:ind w:firstLine="420" w:firstLineChars="200"/>
        <w:rPr>
          <w:kern w:val="0"/>
          <w:szCs w:val="21"/>
        </w:rPr>
      </w:pPr>
      <w:r>
        <w:rPr>
          <w:rFonts w:hint="eastAsia"/>
          <w:kern w:val="0"/>
          <w:szCs w:val="21"/>
        </w:rPr>
        <w:t>（3）广告牌检测单位需自行在执法队办理广告牌检测相关施工手续。</w:t>
      </w:r>
    </w:p>
    <w:p>
      <w:pPr>
        <w:spacing w:line="400" w:lineRule="exact"/>
        <w:ind w:firstLine="420" w:firstLineChars="200"/>
        <w:rPr>
          <w:kern w:val="0"/>
          <w:szCs w:val="21"/>
        </w:rPr>
      </w:pPr>
      <w:r>
        <w:rPr>
          <w:rFonts w:hint="eastAsia"/>
          <w:kern w:val="0"/>
          <w:szCs w:val="21"/>
        </w:rPr>
        <w:t>（4）计划工期：60日历天。</w:t>
      </w:r>
      <w:r>
        <w:rPr>
          <w:rFonts w:hint="eastAsia"/>
          <w:kern w:val="0"/>
          <w:szCs w:val="21"/>
          <w:lang w:val="en-US" w:eastAsia="zh-CN"/>
        </w:rPr>
        <w:t>以业主下发开工令为准。</w:t>
      </w:r>
      <w:r>
        <w:rPr>
          <w:rFonts w:hint="eastAsia"/>
          <w:kern w:val="0"/>
          <w:szCs w:val="21"/>
          <w:highlight w:val="yellow"/>
          <w:lang w:val="en-US" w:eastAsia="zh-CN"/>
        </w:rPr>
        <w:t>检测清单以业主下发清单为准。</w:t>
      </w:r>
    </w:p>
    <w:p>
      <w:pPr>
        <w:widowControl/>
        <w:spacing w:line="400" w:lineRule="exact"/>
        <w:ind w:firstLine="422" w:firstLineChars="200"/>
        <w:rPr>
          <w:b/>
          <w:bCs/>
          <w:szCs w:val="21"/>
        </w:rPr>
      </w:pPr>
      <w:r>
        <w:rPr>
          <w:b/>
          <w:bCs/>
          <w:szCs w:val="21"/>
        </w:rPr>
        <w:t>2、支付条款：</w:t>
      </w:r>
    </w:p>
    <w:p>
      <w:pPr>
        <w:spacing w:line="400" w:lineRule="exact"/>
        <w:ind w:firstLine="420" w:firstLineChars="200"/>
        <w:rPr>
          <w:kern w:val="0"/>
          <w:szCs w:val="21"/>
        </w:rPr>
      </w:pPr>
      <w:r>
        <w:rPr>
          <w:rFonts w:hint="eastAsia"/>
          <w:kern w:val="0"/>
          <w:szCs w:val="21"/>
        </w:rPr>
        <w:t>出具正式检测报告并经业主验收合格后，支付完成合同金额的100%。</w:t>
      </w:r>
    </w:p>
    <w:p>
      <w:pPr>
        <w:spacing w:line="400" w:lineRule="exact"/>
        <w:rPr>
          <w:b/>
          <w:szCs w:val="21"/>
        </w:rPr>
      </w:pPr>
      <w:r>
        <w:rPr>
          <w:b/>
          <w:szCs w:val="21"/>
        </w:rPr>
        <w:t>二、</w:t>
      </w:r>
      <w:r>
        <w:rPr>
          <w:rFonts w:hint="eastAsia"/>
          <w:b/>
          <w:szCs w:val="21"/>
        </w:rPr>
        <w:t>比选申请</w:t>
      </w:r>
      <w:r>
        <w:rPr>
          <w:b/>
          <w:szCs w:val="21"/>
        </w:rPr>
        <w:t>要求（</w:t>
      </w:r>
      <w:r>
        <w:rPr>
          <w:rFonts w:hint="eastAsia"/>
          <w:b/>
          <w:szCs w:val="21"/>
        </w:rPr>
        <w:t>须同时满足以下资质要求）：</w:t>
      </w:r>
    </w:p>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1、具有独立法人资格，有效的营业执照；</w:t>
      </w:r>
      <w:bookmarkStart w:id="35" w:name="_GoBack"/>
      <w:bookmarkEnd w:id="35"/>
    </w:p>
    <w:p>
      <w:pPr>
        <w:spacing w:line="320" w:lineRule="exact"/>
        <w:rPr>
          <w:color w:val="000000" w:themeColor="text1"/>
          <w:highlight w:val="yellow"/>
          <w14:textFill>
            <w14:solidFill>
              <w14:schemeClr w14:val="tx1"/>
            </w14:solidFill>
          </w14:textFill>
        </w:rPr>
      </w:pPr>
      <w:r>
        <w:rPr>
          <w:rFonts w:hint="eastAsia"/>
          <w:snapToGrid w:val="0"/>
          <w:color w:val="000000" w:themeColor="text1"/>
          <w:kern w:val="0"/>
          <w:szCs w:val="21"/>
          <w:lang w:val="en-US" w:eastAsia="zh-CN"/>
          <w14:textFill>
            <w14:solidFill>
              <w14:schemeClr w14:val="tx1"/>
            </w14:solidFill>
          </w14:textFill>
        </w:rPr>
        <w:t xml:space="preserve">    </w:t>
      </w:r>
      <w:r>
        <w:rPr>
          <w:rFonts w:hint="eastAsia"/>
          <w:snapToGrid w:val="0"/>
          <w:color w:val="000000" w:themeColor="text1"/>
          <w:kern w:val="0"/>
          <w:szCs w:val="21"/>
          <w14:textFill>
            <w14:solidFill>
              <w14:schemeClr w14:val="tx1"/>
            </w14:solidFill>
          </w14:textFill>
        </w:rPr>
        <w:t>2、</w:t>
      </w:r>
      <w:r>
        <w:rPr>
          <w:snapToGrid w:val="0"/>
          <w:color w:val="000000" w:themeColor="text1"/>
          <w:kern w:val="0"/>
          <w:szCs w:val="21"/>
          <w14:textFill>
            <w14:solidFill>
              <w14:schemeClr w14:val="tx1"/>
            </w14:solidFill>
          </w14:textFill>
        </w:rPr>
        <w:t>具备</w:t>
      </w:r>
      <w:r>
        <w:rPr>
          <w:rFonts w:hint="eastAsia"/>
          <w:snapToGrid w:val="0"/>
          <w:color w:val="000000" w:themeColor="text1"/>
          <w:kern w:val="0"/>
          <w:szCs w:val="21"/>
          <w14:textFill>
            <w14:solidFill>
              <w14:schemeClr w14:val="tx1"/>
            </w14:solidFill>
          </w14:textFill>
        </w:rPr>
        <w:t>交通主管部门颁发的公路工程检测综合丙级及以上资质。</w:t>
      </w:r>
    </w:p>
    <w:p>
      <w:pPr>
        <w:pStyle w:val="2"/>
        <w:ind w:left="0" w:leftChars="0" w:firstLine="0" w:firstLineChars="0"/>
        <w:rPr>
          <w:rFonts w:hint="eastAsia" w:eastAsia="仿宋_GB2312"/>
          <w:lang w:val="en-US" w:eastAsia="zh-CN"/>
        </w:rPr>
      </w:pPr>
    </w:p>
    <w:bookmarkEnd w:id="8"/>
    <w:bookmarkEnd w:id="9"/>
    <w:bookmarkEnd w:id="10"/>
    <w:bookmarkEnd w:id="11"/>
    <w:bookmarkEnd w:id="12"/>
    <w:bookmarkEnd w:id="13"/>
    <w:bookmarkEnd w:id="14"/>
    <w:bookmarkEnd w:id="15"/>
    <w:p>
      <w:pPr>
        <w:spacing w:line="400" w:lineRule="exact"/>
        <w:rPr>
          <w:b/>
          <w:szCs w:val="21"/>
        </w:rPr>
      </w:pPr>
      <w:bookmarkStart w:id="24" w:name="_Toc247085683"/>
      <w:bookmarkStart w:id="25" w:name="_Toc179632539"/>
      <w:bookmarkStart w:id="26" w:name="_Toc152045522"/>
      <w:bookmarkStart w:id="27" w:name="_Toc246996912"/>
      <w:bookmarkStart w:id="28" w:name="_Toc144974490"/>
      <w:bookmarkStart w:id="29" w:name="_Toc152042298"/>
      <w:bookmarkStart w:id="30" w:name="_Toc296602413"/>
      <w:bookmarkStart w:id="31" w:name="_Toc246996169"/>
      <w:r>
        <w:rPr>
          <w:b/>
          <w:szCs w:val="21"/>
        </w:rPr>
        <w:t>三、</w:t>
      </w:r>
      <w:r>
        <w:rPr>
          <w:rFonts w:hint="eastAsia"/>
          <w:b/>
          <w:szCs w:val="21"/>
        </w:rPr>
        <w:t>竞争性比选</w:t>
      </w:r>
      <w:r>
        <w:rPr>
          <w:b/>
          <w:szCs w:val="21"/>
        </w:rPr>
        <w:t>申请文件的相关要求：</w:t>
      </w:r>
    </w:p>
    <w:bookmarkEnd w:id="24"/>
    <w:bookmarkEnd w:id="25"/>
    <w:bookmarkEnd w:id="26"/>
    <w:bookmarkEnd w:id="27"/>
    <w:bookmarkEnd w:id="28"/>
    <w:bookmarkEnd w:id="29"/>
    <w:bookmarkEnd w:id="30"/>
    <w:bookmarkEnd w:id="31"/>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szCs w:val="21"/>
        </w:rPr>
      </w:pPr>
      <w:r>
        <w:rPr>
          <w:rFonts w:hint="eastAsia"/>
          <w:szCs w:val="21"/>
        </w:rPr>
        <w:t>（1）报价书按规定格式填写，并加盖比选申请</w:t>
      </w:r>
      <w:r>
        <w:rPr>
          <w:szCs w:val="21"/>
        </w:rPr>
        <w:t>单位鲜章。</w:t>
      </w:r>
    </w:p>
    <w:p>
      <w:pPr>
        <w:spacing w:line="400" w:lineRule="exact"/>
        <w:ind w:firstLine="420" w:firstLineChars="200"/>
        <w:outlineLvl w:val="0"/>
        <w:rPr>
          <w:color w:val="FF0000"/>
          <w:szCs w:val="21"/>
        </w:rPr>
      </w:pPr>
      <w:r>
        <w:rPr>
          <w:rFonts w:hint="eastAsia"/>
          <w:szCs w:val="21"/>
        </w:rPr>
        <w:t>（2）本项目竞争最高上限价为：</w:t>
      </w:r>
      <w:r>
        <w:rPr>
          <w:rFonts w:hint="eastAsia"/>
          <w:color w:val="FF0000"/>
          <w:szCs w:val="21"/>
          <w:lang w:val="en-US" w:eastAsia="zh-CN"/>
        </w:rPr>
        <w:t>252522</w:t>
      </w:r>
      <w:r>
        <w:rPr>
          <w:rFonts w:hint="eastAsia"/>
          <w:color w:val="FF0000"/>
          <w:szCs w:val="21"/>
        </w:rPr>
        <w:t>元（大写：</w:t>
      </w:r>
      <w:r>
        <w:rPr>
          <w:rFonts w:hint="eastAsia"/>
          <w:color w:val="FF0000"/>
          <w:szCs w:val="21"/>
          <w:lang w:eastAsia="zh-CN"/>
        </w:rPr>
        <w:t>贰拾伍</w:t>
      </w:r>
      <w:r>
        <w:rPr>
          <w:rFonts w:hint="eastAsia"/>
          <w:color w:val="FF0000"/>
          <w:szCs w:val="21"/>
        </w:rPr>
        <w:t>万</w:t>
      </w:r>
      <w:r>
        <w:rPr>
          <w:rFonts w:hint="eastAsia"/>
          <w:color w:val="FF0000"/>
          <w:szCs w:val="21"/>
          <w:lang w:eastAsia="zh-CN"/>
        </w:rPr>
        <w:t>贰仟伍佰贰拾贰元</w:t>
      </w:r>
      <w:r>
        <w:rPr>
          <w:rFonts w:hint="eastAsia"/>
          <w:color w:val="FF0000"/>
          <w:szCs w:val="21"/>
        </w:rPr>
        <w:t>整），其中单价限价为：</w:t>
      </w:r>
      <w:r>
        <w:rPr>
          <w:color w:val="FF0000"/>
        </w:rPr>
        <w:t>两面体2025元/块</w:t>
      </w:r>
      <w:r>
        <w:rPr>
          <w:rFonts w:hint="eastAsia"/>
          <w:color w:val="FF0000"/>
        </w:rPr>
        <w:t>、三面体2367元/块，</w:t>
      </w:r>
      <w:r>
        <w:rPr>
          <w:rFonts w:hint="eastAsia"/>
          <w:color w:val="FF0000"/>
          <w:szCs w:val="21"/>
        </w:rPr>
        <w:t>比选申请人的竞标总报价及单价报价均不得</w:t>
      </w:r>
      <w:r>
        <w:rPr>
          <w:color w:val="FF0000"/>
          <w:szCs w:val="21"/>
        </w:rPr>
        <w:t>超过</w:t>
      </w:r>
      <w:r>
        <w:rPr>
          <w:rFonts w:hint="eastAsia"/>
          <w:color w:val="FF0000"/>
          <w:szCs w:val="21"/>
        </w:rPr>
        <w:t>竞标</w:t>
      </w:r>
      <w:r>
        <w:rPr>
          <w:color w:val="FF0000"/>
          <w:szCs w:val="21"/>
        </w:rPr>
        <w:t>总</w:t>
      </w:r>
      <w:r>
        <w:rPr>
          <w:rFonts w:hint="eastAsia"/>
          <w:color w:val="FF0000"/>
          <w:szCs w:val="21"/>
        </w:rPr>
        <w:t>限</w:t>
      </w:r>
      <w:r>
        <w:rPr>
          <w:color w:val="FF0000"/>
          <w:szCs w:val="21"/>
        </w:rPr>
        <w:t>价及</w:t>
      </w:r>
      <w:r>
        <w:rPr>
          <w:rFonts w:hint="eastAsia"/>
          <w:color w:val="FF0000"/>
          <w:szCs w:val="21"/>
        </w:rPr>
        <w:t>单价</w:t>
      </w:r>
      <w:r>
        <w:rPr>
          <w:color w:val="FF0000"/>
          <w:szCs w:val="21"/>
        </w:rPr>
        <w:t>限价，</w:t>
      </w:r>
      <w:r>
        <w:rPr>
          <w:rFonts w:hint="eastAsia"/>
          <w:color w:val="FF0000"/>
          <w:szCs w:val="21"/>
        </w:rPr>
        <w:t>否则将视</w:t>
      </w:r>
      <w:r>
        <w:rPr>
          <w:color w:val="FF0000"/>
          <w:szCs w:val="21"/>
        </w:rPr>
        <w:t>为无效</w:t>
      </w:r>
      <w:r>
        <w:rPr>
          <w:rFonts w:hint="eastAsia"/>
          <w:color w:val="FF0000"/>
          <w:szCs w:val="21"/>
        </w:rPr>
        <w:t>竞标</w:t>
      </w:r>
      <w:r>
        <w:rPr>
          <w:color w:val="FF0000"/>
          <w:szCs w:val="21"/>
        </w:rPr>
        <w:t>。</w:t>
      </w:r>
    </w:p>
    <w:p>
      <w:pPr>
        <w:pStyle w:val="2"/>
        <w:ind w:left="0" w:leftChars="0" w:firstLine="420" w:firstLineChars="200"/>
        <w:rPr>
          <w:rFonts w:hint="eastAsia" w:asciiTheme="minorHAnsi" w:hAnsiTheme="minorHAnsi" w:eastAsiaTheme="minorEastAsia" w:cstheme="minorBidi"/>
          <w:b w:val="0"/>
          <w:kern w:val="2"/>
          <w:sz w:val="21"/>
          <w:szCs w:val="21"/>
          <w:highlight w:val="yellow"/>
          <w:lang w:val="en-US" w:eastAsia="zh-CN" w:bidi="ar-SA"/>
        </w:rPr>
      </w:pPr>
      <w:r>
        <w:rPr>
          <w:rFonts w:hint="eastAsia" w:asciiTheme="minorHAnsi" w:hAnsiTheme="minorHAnsi" w:eastAsiaTheme="minorEastAsia" w:cstheme="minorBidi"/>
          <w:b w:val="0"/>
          <w:kern w:val="2"/>
          <w:sz w:val="21"/>
          <w:szCs w:val="21"/>
          <w:lang w:val="en-US" w:eastAsia="zh-CN" w:bidi="ar-SA"/>
        </w:rPr>
        <w:t>（3）</w:t>
      </w:r>
      <w:r>
        <w:rPr>
          <w:rFonts w:hint="eastAsia" w:asciiTheme="minorHAnsi" w:hAnsiTheme="minorHAnsi" w:eastAsiaTheme="minorEastAsia" w:cstheme="minorBidi"/>
          <w:b w:val="0"/>
          <w:kern w:val="2"/>
          <w:sz w:val="21"/>
          <w:szCs w:val="21"/>
          <w:highlight w:val="yellow"/>
          <w:lang w:val="en-US" w:eastAsia="zh-CN" w:bidi="ar-SA"/>
        </w:rPr>
        <w:t>本次比选报价为综合单价，包括手续办理，交通组织，占用，青苗补偿、保险、</w:t>
      </w:r>
      <w:r>
        <w:rPr>
          <w:rFonts w:hint="eastAsia" w:asciiTheme="minorHAnsi" w:eastAsiaTheme="minorEastAsia" w:cstheme="minorBidi"/>
          <w:b w:val="0"/>
          <w:kern w:val="2"/>
          <w:sz w:val="21"/>
          <w:szCs w:val="21"/>
          <w:highlight w:val="yellow"/>
          <w:lang w:val="en-US" w:eastAsia="zh-CN" w:bidi="ar-SA"/>
        </w:rPr>
        <w:t>税金、</w:t>
      </w:r>
      <w:r>
        <w:rPr>
          <w:rFonts w:hint="eastAsia" w:asciiTheme="minorHAnsi" w:hAnsiTheme="minorHAnsi" w:eastAsiaTheme="minorEastAsia" w:cstheme="minorBidi"/>
          <w:b w:val="0"/>
          <w:kern w:val="2"/>
          <w:sz w:val="21"/>
          <w:szCs w:val="21"/>
          <w:highlight w:val="yellow"/>
          <w:lang w:val="en-US" w:eastAsia="zh-CN" w:bidi="ar-SA"/>
        </w:rPr>
        <w:t>合理利润以及保修等所有内容，每块广告牌的</w:t>
      </w:r>
      <w:r>
        <w:rPr>
          <w:rFonts w:hint="eastAsia" w:asciiTheme="minorHAnsi" w:eastAsiaTheme="minorEastAsia" w:cstheme="minorBidi"/>
          <w:b w:val="0"/>
          <w:kern w:val="2"/>
          <w:sz w:val="21"/>
          <w:szCs w:val="21"/>
          <w:highlight w:val="yellow"/>
          <w:lang w:val="en-US" w:eastAsia="zh-CN" w:bidi="ar-SA"/>
        </w:rPr>
        <w:t>检测</w:t>
      </w:r>
      <w:r>
        <w:rPr>
          <w:rFonts w:hint="eastAsia" w:asciiTheme="minorHAnsi" w:hAnsiTheme="minorHAnsi" w:eastAsiaTheme="minorEastAsia" w:cstheme="minorBidi"/>
          <w:b w:val="0"/>
          <w:kern w:val="2"/>
          <w:sz w:val="21"/>
          <w:szCs w:val="21"/>
          <w:highlight w:val="yellow"/>
          <w:lang w:val="en-US" w:eastAsia="zh-CN" w:bidi="ar-SA"/>
        </w:rPr>
        <w:t>价格包干。</w:t>
      </w:r>
    </w:p>
    <w:p>
      <w:pPr>
        <w:spacing w:line="400" w:lineRule="exact"/>
        <w:ind w:firstLine="420" w:firstLineChars="200"/>
        <w:rPr>
          <w:szCs w:val="21"/>
        </w:rPr>
      </w:pPr>
      <w:r>
        <w:rPr>
          <w:rFonts w:hint="eastAsia"/>
          <w:szCs w:val="21"/>
        </w:rPr>
        <w:t>2、</w:t>
      </w:r>
      <w:r>
        <w:rPr>
          <w:szCs w:val="21"/>
        </w:rPr>
        <w:t>本次</w:t>
      </w:r>
      <w:r>
        <w:rPr>
          <w:rFonts w:hint="eastAsia"/>
          <w:szCs w:val="21"/>
        </w:rPr>
        <w:t>竞争性比选</w:t>
      </w:r>
      <w:r>
        <w:rPr>
          <w:szCs w:val="21"/>
        </w:rPr>
        <w:t>申请文件的组成：</w:t>
      </w:r>
    </w:p>
    <w:p>
      <w:pPr>
        <w:spacing w:line="400" w:lineRule="exact"/>
        <w:ind w:firstLine="735" w:firstLineChars="350"/>
        <w:rPr>
          <w:szCs w:val="21"/>
        </w:rPr>
      </w:pPr>
      <w:r>
        <w:rPr>
          <w:rFonts w:hint="eastAsia"/>
          <w:szCs w:val="21"/>
        </w:rPr>
        <w:t>①</w:t>
      </w:r>
      <w:r>
        <w:rPr>
          <w:szCs w:val="21"/>
        </w:rPr>
        <w:t>报价书；</w:t>
      </w:r>
    </w:p>
    <w:p>
      <w:pPr>
        <w:spacing w:line="400" w:lineRule="exact"/>
        <w:ind w:firstLine="735" w:firstLineChars="350"/>
        <w:rPr>
          <w:szCs w:val="21"/>
        </w:rPr>
      </w:pPr>
      <w:r>
        <w:rPr>
          <w:rFonts w:hint="eastAsia"/>
          <w:szCs w:val="21"/>
        </w:rPr>
        <w:t>②</w:t>
      </w:r>
      <w:r>
        <w:rPr>
          <w:szCs w:val="21"/>
        </w:rPr>
        <w:t>法定代表人身份证明及授权委托书；</w:t>
      </w:r>
    </w:p>
    <w:p>
      <w:pPr>
        <w:spacing w:line="400" w:lineRule="exact"/>
        <w:ind w:firstLine="735" w:firstLineChars="350"/>
        <w:rPr>
          <w:szCs w:val="21"/>
        </w:rPr>
      </w:pPr>
      <w:r>
        <w:rPr>
          <w:rFonts w:hint="eastAsia"/>
          <w:szCs w:val="21"/>
        </w:rPr>
        <w:t>③比选申请</w:t>
      </w:r>
      <w:r>
        <w:rPr>
          <w:szCs w:val="21"/>
        </w:rPr>
        <w:t>单位有效的营业执照</w:t>
      </w:r>
      <w:r>
        <w:rPr>
          <w:rFonts w:hint="eastAsia"/>
          <w:szCs w:val="21"/>
        </w:rPr>
        <w:t>的</w:t>
      </w:r>
      <w:r>
        <w:rPr>
          <w:szCs w:val="21"/>
        </w:rPr>
        <w:t>复印件；</w:t>
      </w:r>
    </w:p>
    <w:p>
      <w:pPr>
        <w:spacing w:line="400" w:lineRule="exact"/>
        <w:ind w:firstLine="735" w:firstLineChars="350"/>
        <w:rPr>
          <w:szCs w:val="21"/>
        </w:rPr>
      </w:pPr>
      <w:r>
        <w:rPr>
          <w:rFonts w:hint="eastAsia"/>
          <w:szCs w:val="21"/>
        </w:rPr>
        <w:t>④商务部分</w:t>
      </w:r>
      <w:r>
        <w:rPr>
          <w:szCs w:val="21"/>
        </w:rPr>
        <w:t>；</w:t>
      </w:r>
    </w:p>
    <w:p>
      <w:pPr>
        <w:spacing w:line="400" w:lineRule="exact"/>
        <w:ind w:firstLine="735" w:firstLineChars="350"/>
        <w:rPr>
          <w:szCs w:val="21"/>
        </w:rPr>
      </w:pPr>
      <w:r>
        <w:rPr>
          <w:rFonts w:hint="eastAsia"/>
          <w:szCs w:val="21"/>
        </w:rPr>
        <w:t>⑤</w:t>
      </w:r>
      <w:r>
        <w:rPr>
          <w:szCs w:val="21"/>
        </w:rPr>
        <w:t>技术部分；</w:t>
      </w:r>
    </w:p>
    <w:p>
      <w:pPr>
        <w:spacing w:line="400" w:lineRule="exact"/>
        <w:ind w:firstLine="735" w:firstLineChars="350"/>
        <w:rPr>
          <w:szCs w:val="21"/>
        </w:rPr>
      </w:pPr>
      <w:r>
        <w:rPr>
          <w:rFonts w:hint="eastAsia"/>
          <w:szCs w:val="21"/>
        </w:rPr>
        <w:t>⑥其他相关资料。</w:t>
      </w:r>
    </w:p>
    <w:p>
      <w:pPr>
        <w:spacing w:line="400" w:lineRule="exact"/>
        <w:ind w:firstLine="422" w:firstLineChars="200"/>
        <w:rPr>
          <w:szCs w:val="21"/>
        </w:rPr>
      </w:pPr>
      <w:r>
        <w:rPr>
          <w:b/>
          <w:szCs w:val="21"/>
        </w:rPr>
        <w:t>（注：以上所有文件均须</w:t>
      </w:r>
      <w:r>
        <w:rPr>
          <w:rFonts w:hint="eastAsia"/>
          <w:b/>
          <w:szCs w:val="21"/>
        </w:rPr>
        <w:t>比选申请</w:t>
      </w:r>
      <w:r>
        <w:rPr>
          <w:b/>
          <w:szCs w:val="21"/>
        </w:rPr>
        <w:t>单位法定代表人或其授权代理人签署并加盖单位公章）</w:t>
      </w:r>
    </w:p>
    <w:p>
      <w:pPr>
        <w:spacing w:line="400" w:lineRule="exact"/>
        <w:ind w:firstLine="420" w:firstLineChars="200"/>
        <w:rPr>
          <w:szCs w:val="21"/>
        </w:rPr>
      </w:pPr>
      <w:r>
        <w:rPr>
          <w:rFonts w:hint="eastAsia"/>
          <w:szCs w:val="21"/>
        </w:rPr>
        <w:t>3、竞争性比选申请</w:t>
      </w:r>
      <w:r>
        <w:rPr>
          <w:szCs w:val="21"/>
        </w:rPr>
        <w:t>文件的份数及编制要求：</w:t>
      </w:r>
    </w:p>
    <w:p>
      <w:pPr>
        <w:autoSpaceDE w:val="0"/>
        <w:autoSpaceDN w:val="0"/>
        <w:spacing w:line="400" w:lineRule="exact"/>
        <w:ind w:firstLine="420" w:firstLineChars="200"/>
        <w:jc w:val="left"/>
        <w:rPr>
          <w:szCs w:val="21"/>
        </w:rPr>
      </w:pPr>
      <w:r>
        <w:rPr>
          <w:rFonts w:hint="eastAsia"/>
          <w:szCs w:val="21"/>
        </w:rPr>
        <w:t>竞争性比选申请</w:t>
      </w:r>
      <w:r>
        <w:rPr>
          <w:szCs w:val="21"/>
        </w:rPr>
        <w:t>文件正本1份，副本1份（</w:t>
      </w:r>
      <w:r>
        <w:rPr>
          <w:rFonts w:hint="eastAsia"/>
          <w:szCs w:val="21"/>
        </w:rPr>
        <w:t>副本可为正本的复印件，当正本与副本不一致时，以正本为准）</w:t>
      </w:r>
      <w:r>
        <w:rPr>
          <w:szCs w:val="21"/>
        </w:rPr>
        <w:t>，</w:t>
      </w:r>
      <w:r>
        <w:rPr>
          <w:rFonts w:hint="eastAsia"/>
          <w:szCs w:val="21"/>
        </w:rPr>
        <w:t>比选申请文件</w:t>
      </w:r>
      <w:r>
        <w:rPr>
          <w:szCs w:val="21"/>
        </w:rPr>
        <w:t>按</w:t>
      </w:r>
      <w:r>
        <w:rPr>
          <w:rFonts w:hint="eastAsia"/>
          <w:szCs w:val="21"/>
        </w:rPr>
        <w:t>竞争性比选</w:t>
      </w:r>
      <w:r>
        <w:rPr>
          <w:szCs w:val="21"/>
        </w:rPr>
        <w:t>文件中规定格式排版，并应编制目录，逐页标注页码。</w:t>
      </w:r>
    </w:p>
    <w:p>
      <w:pPr>
        <w:spacing w:line="400" w:lineRule="exact"/>
        <w:rPr>
          <w:b/>
          <w:szCs w:val="21"/>
        </w:rPr>
      </w:pPr>
      <w:r>
        <w:rPr>
          <w:b/>
          <w:szCs w:val="21"/>
        </w:rPr>
        <w:t>四、评标办法（本项目采用综合评估法）：</w:t>
      </w:r>
    </w:p>
    <w:tbl>
      <w:tblPr>
        <w:tblStyle w:val="24"/>
        <w:tblW w:w="917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2"/>
        <w:gridCol w:w="1134"/>
        <w:gridCol w:w="1134"/>
        <w:gridCol w:w="142"/>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90" w:type="dxa"/>
            <w:gridSpan w:val="3"/>
            <w:vAlign w:val="center"/>
          </w:tcPr>
          <w:p>
            <w:pPr>
              <w:jc w:val="center"/>
              <w:rPr>
                <w:rFonts w:ascii="宋体" w:hAnsi="宋体" w:cs="宋体"/>
                <w:b/>
                <w:kern w:val="0"/>
              </w:rPr>
            </w:pPr>
            <w:r>
              <w:rPr>
                <w:rFonts w:hint="eastAsia" w:ascii="宋体" w:hAnsi="宋体" w:cs="宋体"/>
                <w:b/>
                <w:kern w:val="0"/>
              </w:rPr>
              <w:t>条款号</w:t>
            </w:r>
          </w:p>
        </w:tc>
        <w:tc>
          <w:tcPr>
            <w:tcW w:w="1276" w:type="dxa"/>
            <w:gridSpan w:val="2"/>
            <w:vAlign w:val="center"/>
          </w:tcPr>
          <w:p>
            <w:pPr>
              <w:jc w:val="center"/>
              <w:rPr>
                <w:rFonts w:ascii="宋体" w:hAnsi="宋体" w:cs="宋体"/>
                <w:b/>
                <w:kern w:val="0"/>
              </w:rPr>
            </w:pPr>
            <w:r>
              <w:rPr>
                <w:rFonts w:hint="eastAsia" w:ascii="宋体" w:hAnsi="宋体" w:cs="宋体"/>
                <w:b/>
                <w:kern w:val="0"/>
              </w:rPr>
              <w:t>评审因素</w:t>
            </w:r>
          </w:p>
        </w:tc>
        <w:tc>
          <w:tcPr>
            <w:tcW w:w="5811" w:type="dxa"/>
            <w:vAlign w:val="center"/>
          </w:tcPr>
          <w:p>
            <w:pPr>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restart"/>
            <w:vAlign w:val="center"/>
          </w:tcPr>
          <w:p>
            <w:pPr>
              <w:rPr>
                <w:rFonts w:ascii="宋体" w:hAnsi="宋体"/>
                <w:kern w:val="0"/>
              </w:rPr>
            </w:pPr>
            <w:r>
              <w:rPr>
                <w:rFonts w:hint="eastAsia" w:ascii="宋体" w:hAnsi="宋体" w:cs="宋体"/>
                <w:kern w:val="0"/>
              </w:rPr>
              <w:t>2.1.1</w:t>
            </w:r>
          </w:p>
        </w:tc>
        <w:tc>
          <w:tcPr>
            <w:tcW w:w="1276" w:type="dxa"/>
            <w:gridSpan w:val="2"/>
            <w:vMerge w:val="restart"/>
            <w:vAlign w:val="center"/>
          </w:tcPr>
          <w:p>
            <w:pPr>
              <w:jc w:val="center"/>
              <w:rPr>
                <w:rFonts w:ascii="宋体" w:hAnsi="宋体"/>
                <w:kern w:val="0"/>
              </w:rPr>
            </w:pPr>
            <w:r>
              <w:rPr>
                <w:rFonts w:hint="eastAsia" w:ascii="宋体" w:hAnsi="宋体" w:cs="宋体"/>
                <w:kern w:val="0"/>
              </w:rPr>
              <w:t>形式评审标准</w:t>
            </w:r>
          </w:p>
        </w:tc>
        <w:tc>
          <w:tcPr>
            <w:tcW w:w="1276" w:type="dxa"/>
            <w:gridSpan w:val="2"/>
            <w:vAlign w:val="center"/>
          </w:tcPr>
          <w:p>
            <w:pPr>
              <w:jc w:val="center"/>
              <w:rPr>
                <w:rFonts w:ascii="宋体" w:hAnsi="宋体" w:cs="宋体"/>
                <w:kern w:val="0"/>
              </w:rPr>
            </w:pPr>
            <w:r>
              <w:rPr>
                <w:rFonts w:hint="eastAsia" w:ascii="宋体" w:hAnsi="宋体" w:cs="宋体"/>
                <w:kern w:val="0"/>
              </w:rPr>
              <w:t>比选申请人名称</w:t>
            </w:r>
          </w:p>
        </w:tc>
        <w:tc>
          <w:tcPr>
            <w:tcW w:w="5811" w:type="dxa"/>
            <w:vAlign w:val="center"/>
          </w:tcPr>
          <w:p>
            <w:pPr>
              <w:snapToGrid w:val="0"/>
              <w:jc w:val="left"/>
              <w:rPr>
                <w:rFonts w:ascii="宋体" w:hAnsi="宋体" w:cs="宋体"/>
                <w:kern w:val="0"/>
              </w:rPr>
            </w:pPr>
            <w:r>
              <w:rPr>
                <w:rFonts w:hint="eastAsia" w:ascii="宋体" w:hAnsi="宋体" w:cs="宋体"/>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rPr>
                <w:rFonts w:ascii="宋体" w:hAnsi="宋体"/>
              </w:rPr>
            </w:pPr>
          </w:p>
        </w:tc>
        <w:tc>
          <w:tcPr>
            <w:tcW w:w="1276" w:type="dxa"/>
            <w:gridSpan w:val="2"/>
            <w:vMerge w:val="continue"/>
          </w:tcPr>
          <w:p>
            <w:pPr>
              <w:rPr>
                <w:rFonts w:ascii="宋体" w:hAnsi="宋体"/>
              </w:rPr>
            </w:pPr>
          </w:p>
        </w:tc>
        <w:tc>
          <w:tcPr>
            <w:tcW w:w="1276" w:type="dxa"/>
            <w:gridSpan w:val="2"/>
            <w:vAlign w:val="center"/>
          </w:tcPr>
          <w:p>
            <w:pPr>
              <w:jc w:val="center"/>
              <w:rPr>
                <w:rFonts w:ascii="宋体" w:hAnsi="宋体" w:cs="宋体"/>
                <w:kern w:val="0"/>
              </w:rPr>
            </w:pPr>
            <w:r>
              <w:rPr>
                <w:rFonts w:hint="eastAsia" w:ascii="宋体" w:hAnsi="宋体" w:cs="宋体"/>
                <w:kern w:val="0"/>
              </w:rPr>
              <w:t>比选申请文件签字盖章</w:t>
            </w:r>
          </w:p>
        </w:tc>
        <w:tc>
          <w:tcPr>
            <w:tcW w:w="5811" w:type="dxa"/>
            <w:vAlign w:val="center"/>
          </w:tcPr>
          <w:p>
            <w:pPr>
              <w:snapToGrid w:val="0"/>
              <w:jc w:val="left"/>
              <w:rPr>
                <w:rFonts w:ascii="宋体" w:hAnsi="宋体" w:cs="宋体"/>
                <w:kern w:val="0"/>
              </w:rPr>
            </w:pPr>
            <w:r>
              <w:rPr>
                <w:rFonts w:hint="eastAsia" w:ascii="宋体" w:hAnsi="宋体" w:cs="宋体"/>
                <w:kern w:val="0"/>
              </w:rPr>
              <w:t>竞争性比选文件上法定代表人或其授权代理人的签字、竞标人的单位公章齐全，符合竞争性比选文件规定。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rPr>
                <w:rFonts w:ascii="宋体" w:hAnsi="宋体"/>
              </w:rPr>
            </w:pPr>
          </w:p>
        </w:tc>
        <w:tc>
          <w:tcPr>
            <w:tcW w:w="1276" w:type="dxa"/>
            <w:gridSpan w:val="2"/>
            <w:vMerge w:val="continue"/>
          </w:tcPr>
          <w:p>
            <w:pPr>
              <w:rPr>
                <w:rFonts w:ascii="宋体" w:hAnsi="宋体"/>
              </w:rPr>
            </w:pPr>
          </w:p>
        </w:tc>
        <w:tc>
          <w:tcPr>
            <w:tcW w:w="1276" w:type="dxa"/>
            <w:gridSpan w:val="2"/>
            <w:vAlign w:val="center"/>
          </w:tcPr>
          <w:p>
            <w:pPr>
              <w:jc w:val="center"/>
              <w:rPr>
                <w:rFonts w:ascii="宋体" w:hAnsi="宋体" w:cs="宋体"/>
                <w:kern w:val="0"/>
              </w:rPr>
            </w:pPr>
            <w:r>
              <w:rPr>
                <w:rFonts w:hint="eastAsia" w:ascii="宋体" w:hAnsi="宋体" w:cs="宋体"/>
                <w:kern w:val="0"/>
              </w:rPr>
              <w:t>比选申请文件格式</w:t>
            </w:r>
          </w:p>
        </w:tc>
        <w:tc>
          <w:tcPr>
            <w:tcW w:w="5811" w:type="dxa"/>
            <w:vAlign w:val="center"/>
          </w:tcPr>
          <w:p>
            <w:pPr>
              <w:snapToGrid w:val="0"/>
              <w:jc w:val="left"/>
              <w:rPr>
                <w:rFonts w:ascii="宋体" w:hAnsi="宋体" w:cs="宋体"/>
                <w:kern w:val="0"/>
              </w:rPr>
            </w:pPr>
            <w:r>
              <w:rPr>
                <w:rFonts w:hint="eastAsia" w:ascii="宋体" w:hAnsi="宋体" w:cs="宋体"/>
                <w:kern w:val="0"/>
              </w:rPr>
              <w:t>符合“比选申请文件格式”的要求，字迹清晰可辨。</w:t>
            </w:r>
          </w:p>
          <w:p>
            <w:pPr>
              <w:snapToGrid w:val="0"/>
              <w:jc w:val="left"/>
              <w:rPr>
                <w:rFonts w:ascii="宋体" w:hAnsi="宋体" w:cs="宋体"/>
                <w:kern w:val="0"/>
              </w:rPr>
            </w:pPr>
            <w:r>
              <w:rPr>
                <w:rFonts w:hint="eastAsia" w:ascii="宋体" w:hAnsi="宋体" w:cs="宋体"/>
                <w:kern w:val="0"/>
              </w:rPr>
              <w:t>1.报价书的所有数据均符合比选文件的规定；</w:t>
            </w:r>
          </w:p>
          <w:p>
            <w:pPr>
              <w:snapToGrid w:val="0"/>
              <w:jc w:val="left"/>
              <w:rPr>
                <w:rFonts w:ascii="宋体" w:hAnsi="宋体" w:cs="宋体"/>
                <w:kern w:val="0"/>
              </w:rPr>
            </w:pPr>
            <w:r>
              <w:rPr>
                <w:rFonts w:hint="eastAsia" w:ascii="宋体" w:hAnsi="宋体" w:cs="宋体"/>
                <w:kern w:val="0"/>
              </w:rPr>
              <w:t>2.比选申请文件附表齐全完整，内容均按规定填写；</w:t>
            </w:r>
          </w:p>
          <w:p>
            <w:pPr>
              <w:snapToGrid w:val="0"/>
              <w:jc w:val="left"/>
              <w:rPr>
                <w:rFonts w:ascii="宋体" w:hAnsi="宋体" w:cs="宋体"/>
                <w:kern w:val="0"/>
              </w:rPr>
            </w:pPr>
            <w:r>
              <w:rPr>
                <w:rFonts w:hint="eastAsia" w:ascii="宋体" w:hAnsi="宋体" w:cs="宋体"/>
                <w:kern w:val="0"/>
              </w:rPr>
              <w:t>3.比选申请文件</w:t>
            </w:r>
            <w:r>
              <w:rPr>
                <w:rFonts w:hint="eastAsia" w:ascii="宋体" w:hAnsi="宋体" w:cs="宋体"/>
              </w:rPr>
              <w:t>正、副本份数符合比选文件规定</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rPr>
                <w:rFonts w:ascii="宋体" w:hAnsi="宋体"/>
              </w:rPr>
            </w:pPr>
          </w:p>
        </w:tc>
        <w:tc>
          <w:tcPr>
            <w:tcW w:w="1276" w:type="dxa"/>
            <w:gridSpan w:val="2"/>
            <w:vMerge w:val="continue"/>
          </w:tcPr>
          <w:p>
            <w:pPr>
              <w:rPr>
                <w:rFonts w:ascii="宋体" w:hAnsi="宋体"/>
              </w:rPr>
            </w:pPr>
          </w:p>
        </w:tc>
        <w:tc>
          <w:tcPr>
            <w:tcW w:w="1276" w:type="dxa"/>
            <w:gridSpan w:val="2"/>
            <w:vAlign w:val="center"/>
          </w:tcPr>
          <w:p>
            <w:pPr>
              <w:jc w:val="center"/>
              <w:rPr>
                <w:rFonts w:ascii="宋体" w:hAnsi="宋体" w:cs="宋体"/>
                <w:kern w:val="0"/>
              </w:rPr>
            </w:pPr>
            <w:r>
              <w:rPr>
                <w:rFonts w:hint="eastAsia" w:ascii="宋体" w:hAnsi="宋体" w:cs="宋体"/>
                <w:kern w:val="0"/>
              </w:rPr>
              <w:t>比选申请文件的签署</w:t>
            </w:r>
          </w:p>
        </w:tc>
        <w:tc>
          <w:tcPr>
            <w:tcW w:w="5811" w:type="dxa"/>
            <w:vAlign w:val="center"/>
          </w:tcPr>
          <w:p>
            <w:pPr>
              <w:snapToGrid w:val="0"/>
              <w:jc w:val="left"/>
              <w:rPr>
                <w:rFonts w:ascii="宋体" w:hAnsi="宋体" w:cs="宋体"/>
                <w:kern w:val="0"/>
              </w:rPr>
            </w:pPr>
            <w:r>
              <w:rPr>
                <w:rFonts w:hint="eastAsia" w:ascii="宋体" w:hAnsi="宋体" w:cs="宋体"/>
                <w:kern w:val="0"/>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rPr>
                <w:rFonts w:ascii="宋体" w:hAnsi="宋体"/>
              </w:rPr>
            </w:pPr>
          </w:p>
        </w:tc>
        <w:tc>
          <w:tcPr>
            <w:tcW w:w="1276" w:type="dxa"/>
            <w:gridSpan w:val="2"/>
            <w:vMerge w:val="continue"/>
          </w:tcPr>
          <w:p>
            <w:pPr>
              <w:rPr>
                <w:rFonts w:ascii="宋体" w:hAnsi="宋体"/>
              </w:rPr>
            </w:pPr>
          </w:p>
        </w:tc>
        <w:tc>
          <w:tcPr>
            <w:tcW w:w="1276" w:type="dxa"/>
            <w:gridSpan w:val="2"/>
            <w:vAlign w:val="center"/>
          </w:tcPr>
          <w:p>
            <w:pPr>
              <w:jc w:val="center"/>
              <w:rPr>
                <w:rFonts w:ascii="宋体" w:hAnsi="宋体" w:cs="宋体"/>
                <w:kern w:val="0"/>
              </w:rPr>
            </w:pPr>
            <w:r>
              <w:rPr>
                <w:rFonts w:hint="eastAsia" w:ascii="宋体" w:hAnsi="宋体"/>
                <w:kern w:val="0"/>
              </w:rPr>
              <w:t>委托代理人</w:t>
            </w:r>
          </w:p>
        </w:tc>
        <w:tc>
          <w:tcPr>
            <w:tcW w:w="5811" w:type="dxa"/>
            <w:vAlign w:val="center"/>
          </w:tcPr>
          <w:p>
            <w:pPr>
              <w:snapToGrid w:val="0"/>
              <w:jc w:val="left"/>
              <w:rPr>
                <w:rFonts w:ascii="宋体" w:hAnsi="宋体" w:cs="宋体"/>
                <w:kern w:val="0"/>
              </w:rPr>
            </w:pPr>
            <w:r>
              <w:rPr>
                <w:rFonts w:hint="eastAsia" w:ascii="宋体" w:hAnsi="宋体" w:cs="宋体"/>
                <w:kern w:val="0"/>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Align w:val="center"/>
          </w:tcPr>
          <w:p>
            <w:pPr>
              <w:jc w:val="center"/>
              <w:rPr>
                <w:rFonts w:ascii="宋体" w:hAnsi="宋体" w:cs="宋体"/>
                <w:kern w:val="0"/>
              </w:rPr>
            </w:pPr>
            <w:r>
              <w:rPr>
                <w:rFonts w:hint="eastAsia" w:ascii="宋体" w:hAnsi="宋体" w:cs="宋体"/>
                <w:kern w:val="0"/>
              </w:rPr>
              <w:t>2.1.2</w:t>
            </w:r>
          </w:p>
        </w:tc>
        <w:tc>
          <w:tcPr>
            <w:tcW w:w="1276" w:type="dxa"/>
            <w:gridSpan w:val="2"/>
            <w:vAlign w:val="center"/>
          </w:tcPr>
          <w:p>
            <w:pPr>
              <w:jc w:val="center"/>
              <w:rPr>
                <w:rFonts w:ascii="宋体" w:hAnsi="宋体"/>
                <w:kern w:val="0"/>
              </w:rPr>
            </w:pPr>
            <w:r>
              <w:rPr>
                <w:rFonts w:hint="eastAsia" w:ascii="宋体" w:hAnsi="宋体" w:cs="宋体"/>
                <w:kern w:val="0"/>
              </w:rPr>
              <w:t>资格评审标准</w:t>
            </w:r>
          </w:p>
        </w:tc>
        <w:tc>
          <w:tcPr>
            <w:tcW w:w="1276" w:type="dxa"/>
            <w:gridSpan w:val="2"/>
            <w:vAlign w:val="center"/>
          </w:tcPr>
          <w:p>
            <w:pPr>
              <w:snapToGrid w:val="0"/>
              <w:jc w:val="center"/>
              <w:rPr>
                <w:rFonts w:ascii="宋体" w:hAnsi="宋体" w:cs="宋体"/>
                <w:kern w:val="0"/>
              </w:rPr>
            </w:pPr>
            <w:r>
              <w:rPr>
                <w:rFonts w:hint="eastAsia" w:ascii="宋体" w:hAnsi="宋体" w:cs="宋体"/>
                <w:kern w:val="0"/>
              </w:rPr>
              <w:t>资质要求</w:t>
            </w:r>
          </w:p>
        </w:tc>
        <w:tc>
          <w:tcPr>
            <w:tcW w:w="5811" w:type="dxa"/>
            <w:vAlign w:val="center"/>
          </w:tcPr>
          <w:p>
            <w:pPr>
              <w:snapToGrid w:val="0"/>
              <w:jc w:val="left"/>
              <w:rPr>
                <w:rFonts w:ascii="宋体" w:hAnsi="宋体" w:cs="宋体"/>
                <w:kern w:val="0"/>
              </w:rPr>
            </w:pPr>
            <w:r>
              <w:rPr>
                <w:rFonts w:hint="eastAsia" w:ascii="宋体" w:hAnsi="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restart"/>
            <w:vAlign w:val="center"/>
          </w:tcPr>
          <w:p>
            <w:pPr>
              <w:jc w:val="center"/>
              <w:rPr>
                <w:rFonts w:ascii="宋体" w:hAnsi="宋体" w:cs="宋体"/>
              </w:rPr>
            </w:pPr>
            <w:r>
              <w:rPr>
                <w:rFonts w:hint="eastAsia" w:ascii="宋体" w:hAnsi="宋体" w:cs="宋体"/>
                <w:kern w:val="0"/>
              </w:rPr>
              <w:t>2.1.3</w:t>
            </w:r>
          </w:p>
        </w:tc>
        <w:tc>
          <w:tcPr>
            <w:tcW w:w="1276" w:type="dxa"/>
            <w:gridSpan w:val="2"/>
            <w:vMerge w:val="restart"/>
            <w:vAlign w:val="center"/>
          </w:tcPr>
          <w:p>
            <w:pPr>
              <w:snapToGrid w:val="0"/>
              <w:jc w:val="center"/>
              <w:rPr>
                <w:rFonts w:ascii="宋体" w:hAnsi="宋体" w:cs="宋体"/>
              </w:rPr>
            </w:pPr>
            <w:r>
              <w:rPr>
                <w:rFonts w:hint="eastAsia" w:ascii="宋体" w:hAnsi="宋体" w:cs="宋体"/>
                <w:kern w:val="0"/>
              </w:rPr>
              <w:t>响应性评审标准</w:t>
            </w:r>
          </w:p>
        </w:tc>
        <w:tc>
          <w:tcPr>
            <w:tcW w:w="1276" w:type="dxa"/>
            <w:gridSpan w:val="2"/>
            <w:vAlign w:val="center"/>
          </w:tcPr>
          <w:p>
            <w:pPr>
              <w:snapToGrid w:val="0"/>
              <w:jc w:val="center"/>
              <w:rPr>
                <w:rFonts w:ascii="宋体" w:hAnsi="宋体" w:cs="宋体"/>
                <w:kern w:val="0"/>
              </w:rPr>
            </w:pPr>
            <w:r>
              <w:rPr>
                <w:rFonts w:hint="eastAsia" w:ascii="宋体" w:hAnsi="宋体" w:cs="宋体"/>
                <w:kern w:val="0"/>
              </w:rPr>
              <w:t>比选内容</w:t>
            </w:r>
          </w:p>
        </w:tc>
        <w:tc>
          <w:tcPr>
            <w:tcW w:w="5811" w:type="dxa"/>
            <w:vAlign w:val="center"/>
          </w:tcPr>
          <w:p>
            <w:pPr>
              <w:snapToGrid w:val="0"/>
              <w:rPr>
                <w:rFonts w:ascii="宋体" w:hAnsi="宋体" w:cs="宋体"/>
                <w:kern w:val="0"/>
              </w:rPr>
            </w:pPr>
            <w:r>
              <w:rPr>
                <w:rFonts w:hint="eastAsia" w:ascii="宋体" w:hAnsi="宋体" w:cs="宋体"/>
                <w:kern w:val="0"/>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snapToGrid w:val="0"/>
              <w:jc w:val="center"/>
              <w:rPr>
                <w:rFonts w:ascii="宋体" w:hAnsi="宋体"/>
              </w:rPr>
            </w:pPr>
          </w:p>
        </w:tc>
        <w:tc>
          <w:tcPr>
            <w:tcW w:w="1276" w:type="dxa"/>
            <w:gridSpan w:val="2"/>
            <w:vMerge w:val="continue"/>
          </w:tcPr>
          <w:p>
            <w:pPr>
              <w:snapToGrid w:val="0"/>
              <w:jc w:val="center"/>
              <w:rPr>
                <w:rFonts w:ascii="宋体" w:hAnsi="宋体"/>
              </w:rPr>
            </w:pPr>
          </w:p>
        </w:tc>
        <w:tc>
          <w:tcPr>
            <w:tcW w:w="1276" w:type="dxa"/>
            <w:gridSpan w:val="2"/>
            <w:vAlign w:val="center"/>
          </w:tcPr>
          <w:p>
            <w:pPr>
              <w:snapToGrid w:val="0"/>
              <w:jc w:val="center"/>
              <w:rPr>
                <w:rFonts w:ascii="宋体" w:hAnsi="宋体" w:cs="宋体"/>
                <w:kern w:val="0"/>
              </w:rPr>
            </w:pPr>
            <w:r>
              <w:rPr>
                <w:rFonts w:hint="eastAsia" w:ascii="宋体" w:hAnsi="宋体" w:cs="宋体"/>
                <w:kern w:val="0"/>
              </w:rPr>
              <w:t>工期</w:t>
            </w:r>
          </w:p>
        </w:tc>
        <w:tc>
          <w:tcPr>
            <w:tcW w:w="5811" w:type="dxa"/>
            <w:vAlign w:val="center"/>
          </w:tcPr>
          <w:p>
            <w:pPr>
              <w:snapToGrid w:val="0"/>
              <w:rPr>
                <w:rFonts w:ascii="宋体" w:hAnsi="宋体" w:cs="宋体"/>
                <w:kern w:val="0"/>
              </w:rPr>
            </w:pPr>
            <w:r>
              <w:rPr>
                <w:rFonts w:hint="eastAsia" w:ascii="宋体" w:hAnsi="宋体" w:cs="宋体"/>
                <w:kern w:val="0"/>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snapToGrid w:val="0"/>
              <w:jc w:val="center"/>
              <w:rPr>
                <w:rFonts w:ascii="宋体" w:hAnsi="宋体"/>
              </w:rPr>
            </w:pPr>
          </w:p>
        </w:tc>
        <w:tc>
          <w:tcPr>
            <w:tcW w:w="1276" w:type="dxa"/>
            <w:gridSpan w:val="2"/>
            <w:vMerge w:val="continue"/>
          </w:tcPr>
          <w:p>
            <w:pPr>
              <w:snapToGrid w:val="0"/>
              <w:jc w:val="center"/>
              <w:rPr>
                <w:rFonts w:ascii="宋体" w:hAnsi="宋体"/>
              </w:rPr>
            </w:pPr>
          </w:p>
        </w:tc>
        <w:tc>
          <w:tcPr>
            <w:tcW w:w="1276" w:type="dxa"/>
            <w:gridSpan w:val="2"/>
            <w:vAlign w:val="center"/>
          </w:tcPr>
          <w:p>
            <w:pPr>
              <w:snapToGrid w:val="0"/>
              <w:jc w:val="center"/>
              <w:rPr>
                <w:rFonts w:ascii="宋体" w:hAnsi="宋体" w:cs="宋体"/>
                <w:kern w:val="0"/>
              </w:rPr>
            </w:pPr>
            <w:r>
              <w:rPr>
                <w:rFonts w:hint="eastAsia" w:ascii="宋体" w:hAnsi="宋体" w:cs="宋体"/>
                <w:kern w:val="0"/>
              </w:rPr>
              <w:t>竞标</w:t>
            </w:r>
            <w:r>
              <w:rPr>
                <w:rFonts w:ascii="宋体" w:hAnsi="宋体" w:cs="宋体"/>
                <w:kern w:val="0"/>
              </w:rPr>
              <w:t>保证金</w:t>
            </w:r>
          </w:p>
        </w:tc>
        <w:tc>
          <w:tcPr>
            <w:tcW w:w="5811" w:type="dxa"/>
          </w:tcPr>
          <w:p>
            <w:pPr>
              <w:snapToGrid w:val="0"/>
              <w:rPr>
                <w:rFonts w:ascii="宋体" w:hAnsi="宋体" w:cs="宋体"/>
                <w:kern w:val="0"/>
              </w:rPr>
            </w:pPr>
            <w:r>
              <w:rPr>
                <w:rFonts w:hint="eastAsia" w:ascii="宋体" w:hAnsi="宋体" w:cs="宋体"/>
                <w:kern w:val="0"/>
              </w:rPr>
              <w:t>按竞争性比选文件的</w:t>
            </w:r>
            <w:r>
              <w:rPr>
                <w:rFonts w:ascii="宋体" w:hAnsi="宋体" w:cs="宋体"/>
                <w:kern w:val="0"/>
              </w:rPr>
              <w:t>规定</w:t>
            </w:r>
            <w:r>
              <w:rPr>
                <w:rFonts w:hint="eastAsia" w:ascii="宋体" w:hAnsi="宋体" w:cs="宋体"/>
                <w:kern w:val="0"/>
              </w:rPr>
              <w:t>递交竞标保证金</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4" w:type="dxa"/>
            <w:vMerge w:val="continue"/>
          </w:tcPr>
          <w:p>
            <w:pPr>
              <w:snapToGrid w:val="0"/>
              <w:jc w:val="center"/>
              <w:rPr>
                <w:rFonts w:ascii="宋体" w:hAnsi="宋体"/>
              </w:rPr>
            </w:pPr>
          </w:p>
        </w:tc>
        <w:tc>
          <w:tcPr>
            <w:tcW w:w="1276" w:type="dxa"/>
            <w:gridSpan w:val="2"/>
            <w:vMerge w:val="continue"/>
          </w:tcPr>
          <w:p>
            <w:pPr>
              <w:snapToGrid w:val="0"/>
              <w:jc w:val="center"/>
              <w:rPr>
                <w:rFonts w:ascii="宋体" w:hAnsi="宋体"/>
              </w:rPr>
            </w:pPr>
          </w:p>
        </w:tc>
        <w:tc>
          <w:tcPr>
            <w:tcW w:w="1276" w:type="dxa"/>
            <w:gridSpan w:val="2"/>
            <w:vAlign w:val="center"/>
          </w:tcPr>
          <w:p>
            <w:pPr>
              <w:jc w:val="center"/>
              <w:rPr>
                <w:rFonts w:ascii="宋体" w:hAnsi="宋体"/>
                <w:kern w:val="0"/>
              </w:rPr>
            </w:pPr>
            <w:r>
              <w:rPr>
                <w:rFonts w:hint="eastAsia" w:ascii="宋体" w:hAnsi="宋体"/>
                <w:kern w:val="0"/>
              </w:rPr>
              <w:t>竞标报价</w:t>
            </w:r>
          </w:p>
        </w:tc>
        <w:tc>
          <w:tcPr>
            <w:tcW w:w="5811" w:type="dxa"/>
            <w:vAlign w:val="center"/>
          </w:tcPr>
          <w:p>
            <w:pPr>
              <w:snapToGrid w:val="0"/>
              <w:jc w:val="left"/>
              <w:rPr>
                <w:rFonts w:ascii="宋体" w:hAnsi="宋体" w:cs="宋体"/>
                <w:kern w:val="0"/>
              </w:rPr>
            </w:pPr>
            <w:r>
              <w:rPr>
                <w:rFonts w:hint="eastAsia" w:ascii="宋体" w:hAnsi="宋体" w:cs="宋体"/>
                <w:kern w:val="0"/>
              </w:rPr>
              <w:t>在报价函上填写了竞标总报价（包括大写金额和小写金额），且报价唯一，</w:t>
            </w:r>
            <w:r>
              <w:rPr>
                <w:rFonts w:hint="eastAsia"/>
                <w:szCs w:val="21"/>
              </w:rPr>
              <w:t>比选申请人的竞标总报价及单价报价均不得</w:t>
            </w:r>
            <w:r>
              <w:rPr>
                <w:szCs w:val="21"/>
              </w:rPr>
              <w:t>超过</w:t>
            </w:r>
            <w:r>
              <w:rPr>
                <w:rFonts w:hint="eastAsia"/>
                <w:szCs w:val="21"/>
              </w:rPr>
              <w:t>相应竞标</w:t>
            </w:r>
            <w:r>
              <w:rPr>
                <w:szCs w:val="21"/>
              </w:rPr>
              <w:t>总</w:t>
            </w:r>
            <w:r>
              <w:rPr>
                <w:rFonts w:hint="eastAsia"/>
                <w:szCs w:val="21"/>
              </w:rPr>
              <w:t>限</w:t>
            </w:r>
            <w:r>
              <w:rPr>
                <w:szCs w:val="21"/>
              </w:rPr>
              <w:t>价及</w:t>
            </w:r>
            <w:r>
              <w:rPr>
                <w:rFonts w:hint="eastAsia"/>
                <w:szCs w:val="21"/>
              </w:rPr>
              <w:t>单价</w:t>
            </w:r>
            <w:r>
              <w:rPr>
                <w:szCs w:val="21"/>
              </w:rPr>
              <w:t>限价</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 w:hRule="atLeast"/>
        </w:trPr>
        <w:tc>
          <w:tcPr>
            <w:tcW w:w="814" w:type="dxa"/>
            <w:vMerge w:val="continue"/>
          </w:tcPr>
          <w:p>
            <w:pPr>
              <w:snapToGrid w:val="0"/>
              <w:rPr>
                <w:rFonts w:ascii="宋体" w:hAnsi="宋体"/>
              </w:rPr>
            </w:pPr>
          </w:p>
        </w:tc>
        <w:tc>
          <w:tcPr>
            <w:tcW w:w="1276" w:type="dxa"/>
            <w:gridSpan w:val="2"/>
            <w:vMerge w:val="continue"/>
          </w:tcPr>
          <w:p>
            <w:pPr>
              <w:snapToGrid w:val="0"/>
              <w:rPr>
                <w:rFonts w:ascii="宋体" w:hAnsi="宋体"/>
              </w:rPr>
            </w:pPr>
          </w:p>
        </w:tc>
        <w:tc>
          <w:tcPr>
            <w:tcW w:w="1276" w:type="dxa"/>
            <w:gridSpan w:val="2"/>
            <w:vAlign w:val="center"/>
          </w:tcPr>
          <w:p>
            <w:pPr>
              <w:snapToGrid w:val="0"/>
              <w:jc w:val="center"/>
              <w:rPr>
                <w:rFonts w:ascii="宋体" w:hAnsi="宋体"/>
                <w:kern w:val="0"/>
              </w:rPr>
            </w:pPr>
            <w:r>
              <w:rPr>
                <w:rFonts w:hint="eastAsia" w:ascii="宋体" w:hAnsi="宋体"/>
                <w:kern w:val="0"/>
              </w:rPr>
              <w:t>实质性要求</w:t>
            </w:r>
          </w:p>
        </w:tc>
        <w:tc>
          <w:tcPr>
            <w:tcW w:w="5811" w:type="dxa"/>
            <w:vAlign w:val="center"/>
          </w:tcPr>
          <w:p>
            <w:pPr>
              <w:snapToGrid w:val="0"/>
              <w:rPr>
                <w:rFonts w:ascii="宋体" w:hAnsi="宋体" w:cs="宋体"/>
                <w:kern w:val="0"/>
              </w:rPr>
            </w:pPr>
            <w:r>
              <w:rPr>
                <w:rFonts w:hint="eastAsia" w:ascii="宋体" w:hAnsi="宋体" w:cs="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 w:hRule="atLeast"/>
        </w:trPr>
        <w:tc>
          <w:tcPr>
            <w:tcW w:w="814" w:type="dxa"/>
            <w:vMerge w:val="continue"/>
          </w:tcPr>
          <w:p>
            <w:pPr>
              <w:snapToGrid w:val="0"/>
              <w:rPr>
                <w:rFonts w:ascii="宋体" w:hAnsi="宋体"/>
              </w:rPr>
            </w:pPr>
          </w:p>
        </w:tc>
        <w:tc>
          <w:tcPr>
            <w:tcW w:w="1276" w:type="dxa"/>
            <w:gridSpan w:val="2"/>
            <w:vMerge w:val="continue"/>
          </w:tcPr>
          <w:p>
            <w:pPr>
              <w:snapToGrid w:val="0"/>
              <w:rPr>
                <w:rFonts w:ascii="宋体" w:hAnsi="宋体"/>
              </w:rPr>
            </w:pPr>
          </w:p>
        </w:tc>
        <w:tc>
          <w:tcPr>
            <w:tcW w:w="1276" w:type="dxa"/>
            <w:gridSpan w:val="2"/>
            <w:vAlign w:val="center"/>
          </w:tcPr>
          <w:p>
            <w:pPr>
              <w:snapToGrid w:val="0"/>
              <w:jc w:val="center"/>
              <w:rPr>
                <w:rFonts w:ascii="宋体" w:hAnsi="宋体"/>
                <w:kern w:val="0"/>
              </w:rPr>
            </w:pPr>
            <w:r>
              <w:rPr>
                <w:rFonts w:hint="eastAsia" w:ascii="宋体" w:hAnsi="宋体"/>
                <w:kern w:val="0"/>
              </w:rPr>
              <w:t>其他要求</w:t>
            </w:r>
          </w:p>
        </w:tc>
        <w:tc>
          <w:tcPr>
            <w:tcW w:w="5811" w:type="dxa"/>
            <w:vAlign w:val="center"/>
          </w:tcPr>
          <w:p>
            <w:pPr>
              <w:snapToGrid w:val="0"/>
              <w:rPr>
                <w:rFonts w:ascii="宋体" w:hAnsi="宋体" w:cs="宋体"/>
                <w:kern w:val="0"/>
              </w:rPr>
            </w:pPr>
            <w:r>
              <w:rPr>
                <w:rFonts w:hint="eastAsia"/>
                <w:szCs w:val="21"/>
              </w:rPr>
              <w:t>比选申请人</w:t>
            </w:r>
            <w:r>
              <w:rPr>
                <w:szCs w:val="21"/>
              </w:rPr>
              <w:t>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814" w:type="dxa"/>
            <w:vAlign w:val="center"/>
          </w:tcPr>
          <w:p>
            <w:pPr>
              <w:snapToGrid w:val="0"/>
              <w:jc w:val="center"/>
              <w:rPr>
                <w:rFonts w:ascii="宋体" w:hAnsi="宋体"/>
              </w:rPr>
            </w:pPr>
            <w:r>
              <w:rPr>
                <w:rFonts w:hint="eastAsia" w:ascii="宋体" w:hAnsi="宋体"/>
              </w:rPr>
              <w:t>2.2</w:t>
            </w:r>
          </w:p>
        </w:tc>
        <w:tc>
          <w:tcPr>
            <w:tcW w:w="1276" w:type="dxa"/>
            <w:gridSpan w:val="2"/>
            <w:vAlign w:val="center"/>
          </w:tcPr>
          <w:p>
            <w:pPr>
              <w:jc w:val="center"/>
              <w:rPr>
                <w:rFonts w:ascii="宋体" w:hAnsi="宋体"/>
              </w:rPr>
            </w:pPr>
            <w:r>
              <w:rPr>
                <w:rFonts w:hint="eastAsia" w:ascii="宋体" w:hAnsi="宋体"/>
              </w:rPr>
              <w:t>详细评审标准</w:t>
            </w:r>
          </w:p>
        </w:tc>
        <w:tc>
          <w:tcPr>
            <w:tcW w:w="1276" w:type="dxa"/>
            <w:gridSpan w:val="2"/>
            <w:vAlign w:val="center"/>
          </w:tcPr>
          <w:p>
            <w:pPr>
              <w:snapToGrid w:val="0"/>
              <w:jc w:val="center"/>
              <w:rPr>
                <w:rFonts w:ascii="宋体" w:hAnsi="宋体" w:cs="宋体"/>
                <w:kern w:val="0"/>
              </w:rPr>
            </w:pPr>
            <w:r>
              <w:rPr>
                <w:rFonts w:hint="eastAsia" w:ascii="宋体" w:hAnsi="宋体" w:cs="宋体"/>
                <w:kern w:val="0"/>
              </w:rPr>
              <w:t>分值构成</w:t>
            </w:r>
          </w:p>
          <w:p>
            <w:pPr>
              <w:snapToGrid w:val="0"/>
              <w:jc w:val="center"/>
              <w:rPr>
                <w:rFonts w:ascii="宋体" w:hAnsi="宋体" w:cs="宋体"/>
                <w:kern w:val="0"/>
              </w:rPr>
            </w:pPr>
            <w:r>
              <w:rPr>
                <w:rFonts w:hint="eastAsia" w:ascii="宋体" w:hAnsi="宋体" w:cs="宋体"/>
                <w:kern w:val="0"/>
              </w:rPr>
              <w:t>（总分100分）</w:t>
            </w:r>
          </w:p>
        </w:tc>
        <w:tc>
          <w:tcPr>
            <w:tcW w:w="5811" w:type="dxa"/>
            <w:vAlign w:val="center"/>
          </w:tcPr>
          <w:p>
            <w:pPr>
              <w:spacing w:line="280" w:lineRule="exact"/>
              <w:jc w:val="left"/>
            </w:pPr>
            <w:r>
              <w:t>评审因素</w:t>
            </w:r>
            <w:r>
              <w:tab/>
            </w:r>
            <w:r>
              <w:t xml:space="preserve">                               评</w:t>
            </w:r>
            <w:r>
              <w:rPr>
                <w:rFonts w:hint="eastAsia"/>
              </w:rPr>
              <w:t>分</w:t>
            </w:r>
            <w:r>
              <w:t>值</w:t>
            </w:r>
          </w:p>
          <w:p>
            <w:pPr>
              <w:spacing w:line="280" w:lineRule="exact"/>
              <w:jc w:val="left"/>
            </w:pPr>
            <w:r>
              <w:t>（</w:t>
            </w:r>
            <w:r>
              <w:rPr>
                <w:rFonts w:hint="eastAsia"/>
              </w:rPr>
              <w:t>一</w:t>
            </w:r>
            <w:r>
              <w:t>）</w:t>
            </w:r>
            <w:r>
              <w:rPr>
                <w:rFonts w:hint="eastAsia"/>
              </w:rPr>
              <w:t>商务部分</w:t>
            </w:r>
            <w:r>
              <w:t xml:space="preserve">：                        </w:t>
            </w:r>
            <w:r>
              <w:rPr>
                <w:rFonts w:hint="eastAsia"/>
              </w:rPr>
              <w:t xml:space="preserve">  </w:t>
            </w:r>
            <w:r>
              <w:t xml:space="preserve"> </w:t>
            </w:r>
            <w:r>
              <w:rPr>
                <w:rFonts w:hint="eastAsia"/>
              </w:rPr>
              <w:t xml:space="preserve"> </w:t>
            </w:r>
            <w:r>
              <w:rPr>
                <w:rFonts w:hint="eastAsia"/>
                <w:lang w:val="en-US" w:eastAsia="zh-CN"/>
              </w:rPr>
              <w:t>15</w:t>
            </w:r>
            <w:r>
              <w:rPr>
                <w:u w:val="single"/>
              </w:rPr>
              <w:t>分</w:t>
            </w:r>
            <w:r>
              <w:t xml:space="preserve"> </w:t>
            </w:r>
          </w:p>
          <w:p>
            <w:pPr>
              <w:spacing w:line="280" w:lineRule="exact"/>
              <w:jc w:val="left"/>
            </w:pPr>
            <w:r>
              <w:t>（</w:t>
            </w:r>
            <w:r>
              <w:rPr>
                <w:rFonts w:hint="eastAsia"/>
              </w:rPr>
              <w:t>一</w:t>
            </w:r>
            <w:r>
              <w:t>）技术</w:t>
            </w:r>
            <w:r>
              <w:rPr>
                <w:rFonts w:hint="eastAsia"/>
              </w:rPr>
              <w:t>部分</w:t>
            </w:r>
            <w:r>
              <w:t xml:space="preserve">：                        </w:t>
            </w:r>
            <w:r>
              <w:rPr>
                <w:rFonts w:hint="eastAsia"/>
              </w:rPr>
              <w:t xml:space="preserve">  </w:t>
            </w:r>
            <w:r>
              <w:t xml:space="preserve"> </w:t>
            </w:r>
            <w:r>
              <w:rPr>
                <w:rFonts w:hint="eastAsia"/>
              </w:rPr>
              <w:t xml:space="preserve"> </w:t>
            </w:r>
            <w:r>
              <w:rPr>
                <w:rFonts w:hint="eastAsia"/>
                <w:lang w:val="en-US" w:eastAsia="zh-CN"/>
              </w:rPr>
              <w:t>15</w:t>
            </w:r>
            <w:r>
              <w:rPr>
                <w:u w:val="single"/>
              </w:rPr>
              <w:t>分</w:t>
            </w:r>
          </w:p>
          <w:p>
            <w:pPr>
              <w:pStyle w:val="26"/>
              <w:adjustRightInd/>
              <w:spacing w:line="280" w:lineRule="exact"/>
              <w:rPr>
                <w:color w:val="auto"/>
              </w:rPr>
            </w:pPr>
            <w:r>
              <w:rPr>
                <w:rFonts w:ascii="Times New Roman" w:eastAsia="宋体" w:cs="Times New Roman"/>
                <w:color w:val="auto"/>
                <w:sz w:val="21"/>
                <w:szCs w:val="21"/>
              </w:rPr>
              <w:t>（</w:t>
            </w:r>
            <w:r>
              <w:rPr>
                <w:rFonts w:hint="eastAsia" w:ascii="Times New Roman" w:eastAsia="宋体" w:cs="Times New Roman"/>
                <w:color w:val="auto"/>
                <w:sz w:val="21"/>
                <w:szCs w:val="21"/>
              </w:rPr>
              <w:t>二</w:t>
            </w:r>
            <w:r>
              <w:rPr>
                <w:rFonts w:ascii="Times New Roman" w:eastAsia="宋体" w:cs="Times New Roman"/>
                <w:color w:val="auto"/>
                <w:sz w:val="21"/>
                <w:szCs w:val="21"/>
              </w:rPr>
              <w:t>）</w:t>
            </w:r>
            <w:r>
              <w:rPr>
                <w:rFonts w:hint="eastAsia" w:ascii="Times New Roman" w:eastAsia="宋体" w:cs="Times New Roman"/>
                <w:color w:val="auto"/>
                <w:sz w:val="21"/>
                <w:szCs w:val="21"/>
              </w:rPr>
              <w:t>竞标报价</w:t>
            </w:r>
            <w:r>
              <w:rPr>
                <w:rFonts w:ascii="Times New Roman" w:eastAsia="宋体" w:cs="Times New Roman"/>
                <w:color w:val="auto"/>
                <w:sz w:val="21"/>
                <w:szCs w:val="21"/>
              </w:rPr>
              <w:t>：</w:t>
            </w:r>
            <w:r>
              <w:rPr>
                <w:rFonts w:ascii="Times New Roman" w:eastAsia="宋体" w:cs="Times New Roman"/>
                <w:color w:val="auto"/>
                <w:sz w:val="21"/>
                <w:szCs w:val="21"/>
              </w:rPr>
              <w:tab/>
            </w:r>
            <w:r>
              <w:rPr>
                <w:rFonts w:ascii="Times New Roman" w:eastAsia="宋体" w:cs="Times New Roman"/>
                <w:color w:val="auto"/>
                <w:sz w:val="21"/>
                <w:szCs w:val="21"/>
              </w:rPr>
              <w:t xml:space="preserve">                       </w:t>
            </w:r>
            <w:r>
              <w:rPr>
                <w:rFonts w:ascii="Times New Roman" w:eastAsia="宋体" w:cs="Times New Roman"/>
                <w:color w:val="auto"/>
                <w:kern w:val="2"/>
                <w:sz w:val="21"/>
                <w:szCs w:val="22"/>
              </w:rPr>
              <w:t xml:space="preserve"> </w:t>
            </w:r>
            <w:r>
              <w:rPr>
                <w:rFonts w:ascii="Times New Roman" w:eastAsia="宋体" w:cs="Times New Roman"/>
                <w:color w:val="auto"/>
                <w:kern w:val="2"/>
                <w:sz w:val="21"/>
                <w:szCs w:val="22"/>
                <w:u w:val="single"/>
              </w:rPr>
              <w:t xml:space="preserve"> </w:t>
            </w:r>
            <w:r>
              <w:rPr>
                <w:rFonts w:hint="eastAsia" w:ascii="Times New Roman" w:eastAsia="宋体" w:cs="Times New Roman"/>
                <w:color w:val="auto"/>
                <w:kern w:val="2"/>
                <w:sz w:val="21"/>
                <w:szCs w:val="22"/>
                <w:u w:val="single"/>
              </w:rPr>
              <w:t>7</w:t>
            </w:r>
            <w:r>
              <w:rPr>
                <w:rFonts w:ascii="Times New Roman" w:eastAsia="宋体" w:cs="Times New Roman"/>
                <w:color w:val="auto"/>
                <w:kern w:val="2"/>
                <w:sz w:val="21"/>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2090" w:type="dxa"/>
            <w:gridSpan w:val="3"/>
            <w:vAlign w:val="center"/>
          </w:tcPr>
          <w:p>
            <w:pPr>
              <w:spacing w:line="400" w:lineRule="exact"/>
              <w:jc w:val="center"/>
              <w:rPr>
                <w:szCs w:val="21"/>
              </w:rPr>
            </w:pPr>
            <w:r>
              <w:rPr>
                <w:szCs w:val="21"/>
              </w:rPr>
              <w:t>澄清</w:t>
            </w:r>
          </w:p>
        </w:tc>
        <w:tc>
          <w:tcPr>
            <w:tcW w:w="7087" w:type="dxa"/>
            <w:gridSpan w:val="3"/>
            <w:vAlign w:val="center"/>
          </w:tcPr>
          <w:p>
            <w:pPr>
              <w:spacing w:line="280" w:lineRule="exact"/>
              <w:rPr>
                <w:szCs w:val="21"/>
              </w:rPr>
            </w:pPr>
            <w:r>
              <w:rPr>
                <w:szCs w:val="21"/>
              </w:rPr>
              <w:t>发生以下任一情形的，作否决</w:t>
            </w:r>
            <w:r>
              <w:rPr>
                <w:rFonts w:hint="eastAsia"/>
                <w:szCs w:val="21"/>
              </w:rPr>
              <w:t>竞标</w:t>
            </w:r>
            <w:r>
              <w:rPr>
                <w:szCs w:val="21"/>
              </w:rPr>
              <w:t>处理：</w:t>
            </w:r>
          </w:p>
          <w:p>
            <w:pPr>
              <w:spacing w:line="280" w:lineRule="exact"/>
              <w:rPr>
                <w:szCs w:val="21"/>
              </w:rPr>
            </w:pPr>
            <w:r>
              <w:rPr>
                <w:szCs w:val="21"/>
              </w:rPr>
              <w:t>（1）</w:t>
            </w:r>
            <w:r>
              <w:rPr>
                <w:rFonts w:hint="eastAsia"/>
                <w:szCs w:val="21"/>
              </w:rPr>
              <w:t>竞标人</w:t>
            </w:r>
            <w:r>
              <w:rPr>
                <w:szCs w:val="21"/>
              </w:rPr>
              <w:t>拒绝确认算术性修正后的报价；</w:t>
            </w:r>
          </w:p>
          <w:p>
            <w:pPr>
              <w:spacing w:line="280" w:lineRule="exact"/>
              <w:jc w:val="left"/>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2090" w:type="dxa"/>
            <w:gridSpan w:val="3"/>
            <w:vAlign w:val="center"/>
          </w:tcPr>
          <w:p>
            <w:pPr>
              <w:spacing w:line="400" w:lineRule="exact"/>
              <w:jc w:val="center"/>
              <w:rPr>
                <w:szCs w:val="21"/>
              </w:rPr>
            </w:pPr>
            <w:r>
              <w:rPr>
                <w:szCs w:val="21"/>
              </w:rPr>
              <w:t>视为</w:t>
            </w:r>
            <w:r>
              <w:rPr>
                <w:rFonts w:hint="eastAsia"/>
                <w:szCs w:val="21"/>
              </w:rPr>
              <w:t>比选申请人</w:t>
            </w:r>
            <w:r>
              <w:rPr>
                <w:szCs w:val="21"/>
              </w:rPr>
              <w:t>相互串通</w:t>
            </w:r>
            <w:r>
              <w:rPr>
                <w:rFonts w:hint="eastAsia"/>
                <w:szCs w:val="21"/>
              </w:rPr>
              <w:t>竞标</w:t>
            </w:r>
            <w:r>
              <w:rPr>
                <w:szCs w:val="21"/>
              </w:rPr>
              <w:t>的情形</w:t>
            </w:r>
          </w:p>
        </w:tc>
        <w:tc>
          <w:tcPr>
            <w:tcW w:w="7087" w:type="dxa"/>
            <w:gridSpan w:val="3"/>
            <w:vAlign w:val="center"/>
          </w:tcPr>
          <w:p>
            <w:pPr>
              <w:spacing w:line="28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280" w:lineRule="exact"/>
              <w:ind w:left="0"/>
              <w:rPr>
                <w:szCs w:val="21"/>
              </w:rPr>
            </w:pPr>
            <w:r>
              <w:rPr>
                <w:szCs w:val="21"/>
              </w:rPr>
              <w:t>不同</w:t>
            </w:r>
            <w:r>
              <w:rPr>
                <w:rFonts w:hint="eastAsia"/>
                <w:szCs w:val="21"/>
              </w:rPr>
              <w:t>比选申请人</w:t>
            </w:r>
            <w:r>
              <w:rPr>
                <w:szCs w:val="21"/>
              </w:rPr>
              <w:t>的</w:t>
            </w:r>
            <w:r>
              <w:rPr>
                <w:rFonts w:hint="eastAsia"/>
                <w:szCs w:val="21"/>
              </w:rPr>
              <w:t>竞争性比选申请文件</w:t>
            </w:r>
            <w:r>
              <w:rPr>
                <w:szCs w:val="21"/>
              </w:rPr>
              <w:t>由同一单位或者个人编制；</w:t>
            </w:r>
          </w:p>
          <w:p>
            <w:pPr>
              <w:numPr>
                <w:ilvl w:val="0"/>
                <w:numId w:val="1"/>
              </w:numPr>
              <w:spacing w:line="280" w:lineRule="exact"/>
              <w:ind w:left="0"/>
              <w:rPr>
                <w:szCs w:val="21"/>
              </w:rPr>
            </w:pPr>
            <w:r>
              <w:rPr>
                <w:szCs w:val="21"/>
              </w:rPr>
              <w:t>不同</w:t>
            </w:r>
            <w:r>
              <w:rPr>
                <w:rFonts w:hint="eastAsia"/>
                <w:szCs w:val="21"/>
              </w:rPr>
              <w:t>比选申请人</w:t>
            </w:r>
            <w:r>
              <w:rPr>
                <w:szCs w:val="21"/>
              </w:rPr>
              <w:t>委托同一单位或者个人办理</w:t>
            </w:r>
            <w:r>
              <w:rPr>
                <w:rFonts w:hint="eastAsia"/>
                <w:szCs w:val="21"/>
              </w:rPr>
              <w:t>竞标</w:t>
            </w:r>
            <w:r>
              <w:rPr>
                <w:szCs w:val="21"/>
              </w:rPr>
              <w:t>事宜；</w:t>
            </w:r>
          </w:p>
          <w:p>
            <w:pPr>
              <w:numPr>
                <w:ilvl w:val="0"/>
                <w:numId w:val="1"/>
              </w:numPr>
              <w:spacing w:line="280" w:lineRule="exact"/>
              <w:ind w:left="0"/>
              <w:rPr>
                <w:szCs w:val="21"/>
              </w:rPr>
            </w:pPr>
            <w:r>
              <w:rPr>
                <w:szCs w:val="21"/>
              </w:rPr>
              <w:t>不同</w:t>
            </w:r>
            <w:r>
              <w:rPr>
                <w:rFonts w:hint="eastAsia"/>
                <w:szCs w:val="21"/>
              </w:rPr>
              <w:t>比选申请人</w:t>
            </w:r>
            <w:r>
              <w:rPr>
                <w:szCs w:val="21"/>
              </w:rPr>
              <w:t>的</w:t>
            </w:r>
            <w:r>
              <w:rPr>
                <w:rFonts w:hint="eastAsia"/>
                <w:szCs w:val="21"/>
              </w:rPr>
              <w:t>竞争性比选申请文件</w:t>
            </w:r>
            <w:r>
              <w:rPr>
                <w:szCs w:val="21"/>
              </w:rPr>
              <w:t>载明的项目管理成员为同一人；</w:t>
            </w:r>
          </w:p>
          <w:p>
            <w:pPr>
              <w:numPr>
                <w:ilvl w:val="0"/>
                <w:numId w:val="1"/>
              </w:numPr>
              <w:spacing w:line="280" w:lineRule="exact"/>
              <w:ind w:left="0"/>
              <w:rPr>
                <w:szCs w:val="21"/>
              </w:rPr>
            </w:pPr>
            <w:r>
              <w:rPr>
                <w:szCs w:val="21"/>
              </w:rPr>
              <w:t>不同</w:t>
            </w:r>
            <w:r>
              <w:rPr>
                <w:rFonts w:hint="eastAsia"/>
                <w:szCs w:val="21"/>
              </w:rPr>
              <w:t>比选申请人</w:t>
            </w:r>
            <w:r>
              <w:rPr>
                <w:szCs w:val="21"/>
              </w:rPr>
              <w:t>的</w:t>
            </w:r>
            <w:r>
              <w:rPr>
                <w:rFonts w:hint="eastAsia"/>
                <w:szCs w:val="21"/>
              </w:rPr>
              <w:t>竞争性比选申请文件</w:t>
            </w:r>
            <w:r>
              <w:rPr>
                <w:szCs w:val="21"/>
              </w:rPr>
              <w:t>异常一致或者</w:t>
            </w:r>
            <w:r>
              <w:rPr>
                <w:rFonts w:hint="eastAsia"/>
                <w:szCs w:val="21"/>
              </w:rPr>
              <w:t>竞标报价</w:t>
            </w:r>
            <w:r>
              <w:rPr>
                <w:szCs w:val="21"/>
              </w:rPr>
              <w:t>呈规律性差异；</w:t>
            </w:r>
          </w:p>
          <w:p>
            <w:pPr>
              <w:numPr>
                <w:ilvl w:val="0"/>
                <w:numId w:val="1"/>
              </w:numPr>
              <w:spacing w:line="280" w:lineRule="exact"/>
              <w:ind w:left="0"/>
              <w:rPr>
                <w:szCs w:val="21"/>
              </w:rPr>
            </w:pPr>
            <w:r>
              <w:rPr>
                <w:szCs w:val="21"/>
              </w:rPr>
              <w:t>不同</w:t>
            </w:r>
            <w:r>
              <w:rPr>
                <w:rFonts w:hint="eastAsia"/>
                <w:szCs w:val="21"/>
              </w:rPr>
              <w:t>比选申请人</w:t>
            </w:r>
            <w:r>
              <w:rPr>
                <w:szCs w:val="21"/>
              </w:rPr>
              <w:t>的</w:t>
            </w:r>
            <w:r>
              <w:rPr>
                <w:rFonts w:hint="eastAsia"/>
                <w:szCs w:val="21"/>
              </w:rPr>
              <w:t>竞争性比选申请文件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956" w:type="dxa"/>
            <w:gridSpan w:val="2"/>
            <w:vAlign w:val="center"/>
          </w:tcPr>
          <w:p>
            <w:pPr>
              <w:spacing w:line="388" w:lineRule="exact"/>
              <w:jc w:val="center"/>
              <w:rPr>
                <w:rFonts w:ascii="宋体" w:hAnsi="宋体" w:cs="宋体"/>
                <w:kern w:val="0"/>
              </w:rPr>
            </w:pPr>
            <w:r>
              <w:rPr>
                <w:rFonts w:hint="eastAsia" w:ascii="宋体" w:hAnsi="宋体" w:cs="宋体"/>
                <w:kern w:val="0"/>
              </w:rPr>
              <w:t>2.2.1</w:t>
            </w:r>
          </w:p>
          <w:p>
            <w:pPr>
              <w:spacing w:line="388" w:lineRule="exact"/>
              <w:jc w:val="center"/>
            </w:pPr>
            <w:r>
              <w:rPr>
                <w:rFonts w:hint="eastAsia" w:ascii="宋体" w:hAnsi="宋体" w:cs="宋体"/>
                <w:kern w:val="0"/>
              </w:rPr>
              <w:t>（1）</w:t>
            </w:r>
          </w:p>
        </w:tc>
        <w:tc>
          <w:tcPr>
            <w:tcW w:w="1134" w:type="dxa"/>
            <w:vAlign w:val="center"/>
          </w:tcPr>
          <w:p>
            <w:pPr>
              <w:spacing w:line="441" w:lineRule="exact"/>
              <w:jc w:val="center"/>
              <w:rPr>
                <w:rFonts w:ascii="宋体" w:hAnsi="宋体"/>
              </w:rPr>
            </w:pPr>
            <w:r>
              <w:rPr>
                <w:rFonts w:hint="eastAsia" w:ascii="宋体" w:hAnsi="宋体"/>
              </w:rPr>
              <w:t>竞标报价</w:t>
            </w:r>
            <w:r>
              <w:rPr>
                <w:rFonts w:hint="eastAsia" w:ascii="宋体" w:hAnsi="宋体" w:cs="宋体"/>
                <w:kern w:val="0"/>
              </w:rPr>
              <w:t>得分（70分）</w:t>
            </w:r>
          </w:p>
        </w:tc>
        <w:tc>
          <w:tcPr>
            <w:tcW w:w="7087" w:type="dxa"/>
            <w:gridSpan w:val="3"/>
          </w:tcPr>
          <w:p>
            <w:pPr>
              <w:pStyle w:val="10"/>
              <w:numPr>
                <w:ilvl w:val="0"/>
                <w:numId w:val="2"/>
              </w:numPr>
              <w:spacing w:line="300" w:lineRule="exact"/>
              <w:rPr>
                <w:rFonts w:ascii="Times New Roman" w:hAnsi="Times New Roman"/>
              </w:rPr>
            </w:pPr>
            <w:r>
              <w:rPr>
                <w:rFonts w:hint="eastAsia" w:ascii="Times New Roman" w:hAnsi="Times New Roman"/>
              </w:rPr>
              <w:t>报价</w:t>
            </w:r>
            <w:r>
              <w:rPr>
                <w:rFonts w:ascii="Times New Roman" w:hAnsi="Times New Roman"/>
              </w:rPr>
              <w:t>得分的计算程序：</w:t>
            </w:r>
          </w:p>
          <w:p>
            <w:pPr>
              <w:pStyle w:val="10"/>
              <w:spacing w:line="300" w:lineRule="exact"/>
              <w:rPr>
                <w:rFonts w:ascii="Times New Roman" w:hAnsi="Times New Roman"/>
              </w:rPr>
            </w:pPr>
            <w:r>
              <w:rPr>
                <w:rFonts w:ascii="Times New Roman" w:hAnsi="Times New Roman"/>
              </w:rPr>
              <w:t>（1）有效</w:t>
            </w:r>
            <w:r>
              <w:rPr>
                <w:rFonts w:hint="eastAsia" w:ascii="Times New Roman" w:hAnsi="Times New Roman"/>
              </w:rPr>
              <w:t>报价</w:t>
            </w:r>
            <w:r>
              <w:rPr>
                <w:rFonts w:ascii="Times New Roman" w:hAnsi="Times New Roman"/>
              </w:rPr>
              <w:t>的确定：未通过初步评审的</w:t>
            </w:r>
            <w:r>
              <w:rPr>
                <w:rFonts w:hint="eastAsia" w:ascii="Times New Roman" w:hAnsi="Times New Roman"/>
              </w:rPr>
              <w:t>报价</w:t>
            </w:r>
            <w:r>
              <w:rPr>
                <w:rFonts w:ascii="Times New Roman" w:hAnsi="Times New Roman"/>
              </w:rPr>
              <w:t>按否决</w:t>
            </w:r>
            <w:r>
              <w:rPr>
                <w:rFonts w:hint="eastAsia" w:ascii="Times New Roman" w:hAnsi="Times New Roman"/>
              </w:rPr>
              <w:t>竞标</w:t>
            </w:r>
            <w:r>
              <w:rPr>
                <w:rFonts w:ascii="Times New Roman" w:hAnsi="Times New Roman"/>
              </w:rPr>
              <w:t>处理，不进行后续评审，并且不参与本项目评标基准价的计算。</w:t>
            </w:r>
          </w:p>
          <w:p>
            <w:pPr>
              <w:spacing w:line="300" w:lineRule="exact"/>
              <w:rPr>
                <w:szCs w:val="21"/>
              </w:rPr>
            </w:pPr>
            <w:r>
              <w:rPr>
                <w:szCs w:val="21"/>
              </w:rPr>
              <w:t>（2）</w:t>
            </w:r>
            <w:r>
              <w:rPr>
                <w:rFonts w:hint="eastAsia"/>
                <w:szCs w:val="21"/>
              </w:rPr>
              <w:t>报价</w:t>
            </w:r>
            <w:r>
              <w:rPr>
                <w:szCs w:val="21"/>
              </w:rPr>
              <w:t>基准价（D）的计算：</w:t>
            </w:r>
          </w:p>
          <w:p>
            <w:pPr>
              <w:spacing w:line="3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：所有通过初步评审的在有效的</w:t>
            </w:r>
            <w:r>
              <w:rPr>
                <w:szCs w:val="21"/>
              </w:rPr>
              <w:t>范围内的</w:t>
            </w:r>
            <w:r>
              <w:rPr>
                <w:rFonts w:hint="eastAsia"/>
                <w:szCs w:val="21"/>
              </w:rPr>
              <w:t>竞标报价</w:t>
            </w:r>
            <w:r>
              <w:rPr>
                <w:szCs w:val="21"/>
              </w:rPr>
              <w:t>，去掉一个最高报价和一个最低报价的算术平均值即为</w:t>
            </w:r>
            <w:r>
              <w:rPr>
                <w:rFonts w:hint="eastAsia"/>
                <w:szCs w:val="21"/>
              </w:rPr>
              <w:t>报价</w:t>
            </w:r>
            <w:r>
              <w:rPr>
                <w:szCs w:val="21"/>
              </w:rPr>
              <w:t>基准价（D）；</w:t>
            </w:r>
          </w:p>
          <w:p>
            <w:pPr>
              <w:spacing w:line="300" w:lineRule="exact"/>
              <w:rPr>
                <w:szCs w:val="21"/>
              </w:rPr>
            </w:pPr>
            <w:r>
              <w:rPr>
                <w:rFonts w:hint="eastAsia"/>
                <w:szCs w:val="21"/>
              </w:rPr>
              <w:t>b、</w:t>
            </w:r>
            <w:r>
              <w:rPr>
                <w:szCs w:val="21"/>
              </w:rPr>
              <w:t>有效</w:t>
            </w:r>
            <w:r>
              <w:rPr>
                <w:rFonts w:hint="eastAsia"/>
                <w:szCs w:val="21"/>
              </w:rPr>
              <w:t>报价</w:t>
            </w:r>
            <w:r>
              <w:rPr>
                <w:szCs w:val="21"/>
              </w:rPr>
              <w:t>小于或等于5家时：所有</w:t>
            </w:r>
            <w:r>
              <w:rPr>
                <w:rFonts w:hint="eastAsia"/>
                <w:szCs w:val="21"/>
              </w:rPr>
              <w:t>通过初步评审的</w:t>
            </w:r>
            <w:r>
              <w:rPr>
                <w:szCs w:val="21"/>
              </w:rPr>
              <w:t>在有效</w:t>
            </w:r>
            <w:r>
              <w:rPr>
                <w:rFonts w:hint="eastAsia"/>
                <w:szCs w:val="21"/>
              </w:rPr>
              <w:t>报价</w:t>
            </w:r>
            <w:r>
              <w:rPr>
                <w:szCs w:val="21"/>
              </w:rPr>
              <w:t>范围内的</w:t>
            </w:r>
            <w:r>
              <w:rPr>
                <w:rFonts w:hint="eastAsia"/>
                <w:szCs w:val="21"/>
              </w:rPr>
              <w:t>竞标报价</w:t>
            </w:r>
            <w:r>
              <w:rPr>
                <w:szCs w:val="21"/>
              </w:rPr>
              <w:t>的算术平均值即为</w:t>
            </w:r>
            <w:r>
              <w:rPr>
                <w:rFonts w:hint="eastAsia"/>
                <w:szCs w:val="21"/>
              </w:rPr>
              <w:t>报价</w:t>
            </w:r>
            <w:r>
              <w:rPr>
                <w:szCs w:val="21"/>
              </w:rPr>
              <w:t xml:space="preserve">基准价（D）； </w:t>
            </w:r>
          </w:p>
          <w:p>
            <w:pPr>
              <w:spacing w:line="300" w:lineRule="exact"/>
              <w:rPr>
                <w:szCs w:val="21"/>
              </w:rPr>
            </w:pPr>
            <w:r>
              <w:rPr>
                <w:szCs w:val="21"/>
              </w:rPr>
              <w:t>（3）当</w:t>
            </w:r>
            <w:r>
              <w:rPr>
                <w:rFonts w:hint="eastAsia"/>
                <w:szCs w:val="21"/>
              </w:rPr>
              <w:t>比选申请人的竞标报价</w:t>
            </w:r>
            <w:r>
              <w:rPr>
                <w:szCs w:val="21"/>
              </w:rPr>
              <w:t>等于D时得满分（</w:t>
            </w:r>
            <w:r>
              <w:rPr>
                <w:rFonts w:hint="eastAsia"/>
                <w:szCs w:val="21"/>
              </w:rPr>
              <w:t>7</w:t>
            </w:r>
            <w:r>
              <w:rPr>
                <w:szCs w:val="21"/>
              </w:rPr>
              <w:t>0分），每高于D一个百分点扣1分，每低于D一个百分点扣0.5分，中间值按比例内插。</w:t>
            </w:r>
          </w:p>
          <w:p>
            <w:pPr>
              <w:spacing w:line="3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pict>
                <v:shape id="_x0000_s1031" o:spid="_x0000_s1031" o:spt="75" type="#_x0000_t75" style="position:absolute;left:0pt;margin-left:26.2pt;margin-top:9.5pt;height:31.95pt;width:139.95pt;mso-wrap-distance-bottom:0pt;mso-wrap-distance-left:9pt;mso-wrap-distance-right:9pt;mso-wrap-distance-top:0pt;z-index:251668480;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31" DrawAspect="Content" ObjectID="_1468075725" r:id="rId8">
                  <o:LockedField>false</o:LockedField>
                </o:OLEObject>
              </w:pict>
            </w:r>
          </w:p>
          <w:p>
            <w:pPr>
              <w:spacing w:line="400" w:lineRule="exact"/>
              <w:ind w:firstLine="480"/>
              <w:rPr>
                <w:szCs w:val="21"/>
              </w:rPr>
            </w:pPr>
          </w:p>
          <w:p>
            <w:pPr>
              <w:pStyle w:val="26"/>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w:t>
            </w:r>
            <w:r>
              <w:rPr>
                <w:rFonts w:hint="eastAsia"/>
                <w:szCs w:val="21"/>
              </w:rPr>
              <w:t>7</w:t>
            </w:r>
            <w:r>
              <w:rPr>
                <w:szCs w:val="21"/>
              </w:rPr>
              <w:t>0；</w:t>
            </w:r>
          </w:p>
          <w:p>
            <w:pPr>
              <w:spacing w:line="400" w:lineRule="exact"/>
              <w:ind w:firstLine="480"/>
              <w:rPr>
                <w:szCs w:val="21"/>
              </w:rPr>
            </w:pPr>
            <w:r>
              <w:rPr>
                <w:szCs w:val="21"/>
              </w:rPr>
              <w:t>D</w:t>
            </w:r>
            <w:r>
              <w:rPr>
                <w:szCs w:val="21"/>
                <w:vertAlign w:val="subscript"/>
              </w:rPr>
              <w:t>1</w:t>
            </w:r>
            <w:r>
              <w:rPr>
                <w:szCs w:val="21"/>
              </w:rPr>
              <w:t>=</w:t>
            </w:r>
            <w:r>
              <w:rPr>
                <w:rFonts w:hint="eastAsia"/>
                <w:szCs w:val="21"/>
              </w:rPr>
              <w:t>比选申请人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D，则E=1；若D</w:t>
            </w:r>
            <w:r>
              <w:rPr>
                <w:b/>
                <w:bCs/>
                <w:szCs w:val="21"/>
                <w:vertAlign w:val="subscript"/>
              </w:rPr>
              <w:t>1</w:t>
            </w:r>
            <w:r>
              <w:rPr>
                <w:b/>
                <w:bCs/>
                <w:szCs w:val="21"/>
              </w:rPr>
              <w:t>&lt;D，则E=0.5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956" w:type="dxa"/>
            <w:gridSpan w:val="2"/>
            <w:vAlign w:val="center"/>
          </w:tcPr>
          <w:p>
            <w:pPr>
              <w:pStyle w:val="39"/>
              <w:autoSpaceDE w:val="0"/>
              <w:autoSpaceDN w:val="0"/>
              <w:spacing w:line="320" w:lineRule="exact"/>
              <w:jc w:val="center"/>
              <w:rPr>
                <w:rFonts w:ascii="宋体" w:hAnsi="宋体"/>
                <w:szCs w:val="21"/>
                <w:lang w:eastAsia="en-US"/>
              </w:rPr>
            </w:pPr>
            <w:r>
              <w:rPr>
                <w:rFonts w:hint="eastAsia" w:ascii="宋体" w:hAnsi="宋体"/>
                <w:b/>
                <w:szCs w:val="21"/>
              </w:rPr>
              <w:t>条款号</w:t>
            </w:r>
          </w:p>
        </w:tc>
        <w:tc>
          <w:tcPr>
            <w:tcW w:w="1134" w:type="dxa"/>
            <w:vAlign w:val="center"/>
          </w:tcPr>
          <w:p>
            <w:pPr>
              <w:spacing w:line="400" w:lineRule="exact"/>
              <w:jc w:val="center"/>
              <w:rPr>
                <w:rFonts w:ascii="宋体" w:hAnsi="宋体"/>
                <w:szCs w:val="21"/>
              </w:rPr>
            </w:pPr>
            <w:r>
              <w:rPr>
                <w:rFonts w:hint="eastAsia" w:ascii="宋体" w:hAnsi="宋体"/>
                <w:b/>
                <w:szCs w:val="21"/>
              </w:rPr>
              <w:t>评审因素</w:t>
            </w:r>
          </w:p>
        </w:tc>
        <w:tc>
          <w:tcPr>
            <w:tcW w:w="7087" w:type="dxa"/>
            <w:gridSpan w:val="3"/>
            <w:vAlign w:val="center"/>
          </w:tcPr>
          <w:p>
            <w:pPr>
              <w:jc w:val="center"/>
              <w:rPr>
                <w:rFonts w:ascii="宋体" w:hAnsi="宋体"/>
                <w:szCs w:val="21"/>
              </w:rPr>
            </w:pPr>
            <w:r>
              <w:rPr>
                <w:rFonts w:hint="eastAsia" w:ascii="宋体" w:hAnsi="宋体"/>
                <w:b/>
                <w:szCs w:val="21"/>
              </w:rPr>
              <w:t>评审分值及评审标准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gridSpan w:val="2"/>
            <w:vMerge w:val="restart"/>
            <w:vAlign w:val="center"/>
          </w:tcPr>
          <w:p>
            <w:pPr>
              <w:spacing w:line="320" w:lineRule="exact"/>
              <w:jc w:val="center"/>
              <w:rPr>
                <w:rFonts w:ascii="宋体" w:hAnsi="宋体"/>
              </w:rPr>
            </w:pPr>
            <w:r>
              <w:rPr>
                <w:rFonts w:hint="eastAsia" w:ascii="宋体" w:hAnsi="宋体"/>
              </w:rPr>
              <w:t>2.2.2</w:t>
            </w:r>
          </w:p>
          <w:p>
            <w:pPr>
              <w:spacing w:line="320" w:lineRule="exact"/>
              <w:jc w:val="center"/>
              <w:rPr>
                <w:rFonts w:ascii="宋体" w:hAnsi="宋体"/>
              </w:rPr>
            </w:pPr>
            <w:r>
              <w:rPr>
                <w:rFonts w:hint="eastAsia" w:ascii="宋体" w:hAnsi="宋体"/>
              </w:rPr>
              <w:t>（2）</w:t>
            </w:r>
          </w:p>
        </w:tc>
        <w:tc>
          <w:tcPr>
            <w:tcW w:w="1134" w:type="dxa"/>
            <w:vMerge w:val="restart"/>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商务部分得分（</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分）</w:t>
            </w:r>
          </w:p>
        </w:tc>
        <w:tc>
          <w:tcPr>
            <w:tcW w:w="1134" w:type="dxa"/>
            <w:vAlign w:val="center"/>
          </w:tcPr>
          <w:p>
            <w:pPr>
              <w:spacing w:line="320" w:lineRule="exact"/>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专业资质</w:t>
            </w:r>
          </w:p>
          <w:p>
            <w:pPr>
              <w:spacing w:line="320" w:lineRule="exact"/>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9</w:t>
            </w:r>
            <w:r>
              <w:rPr>
                <w:rFonts w:hint="eastAsia"/>
                <w:color w:val="000000" w:themeColor="text1"/>
                <w:highlight w:val="yellow"/>
                <w14:textFill>
                  <w14:solidFill>
                    <w14:schemeClr w14:val="tx1"/>
                  </w14:solidFill>
                </w14:textFill>
              </w:rPr>
              <w:t>分）</w:t>
            </w:r>
          </w:p>
        </w:tc>
        <w:tc>
          <w:tcPr>
            <w:tcW w:w="5953" w:type="dxa"/>
            <w:gridSpan w:val="2"/>
            <w:vAlign w:val="center"/>
          </w:tcPr>
          <w:p>
            <w:pPr>
              <w:spacing w:line="320" w:lineRule="exact"/>
              <w:rPr>
                <w:color w:val="000000" w:themeColor="text1"/>
                <w:highlight w:val="yellow"/>
                <w14:textFill>
                  <w14:solidFill>
                    <w14:schemeClr w14:val="tx1"/>
                  </w14:solidFill>
                </w14:textFill>
              </w:rPr>
            </w:pPr>
            <w:r>
              <w:rPr>
                <w:rFonts w:hint="eastAsia"/>
                <w:color w:val="000000" w:themeColor="text1"/>
                <w:highlight w:val="yellow"/>
                <w:lang w:val="en-US" w:eastAsia="zh-CN"/>
                <w14:textFill>
                  <w14:solidFill>
                    <w14:schemeClr w14:val="tx1"/>
                  </w14:solidFill>
                </w14:textFill>
              </w:rPr>
              <w:t>1</w:t>
            </w:r>
            <w:r>
              <w:rPr>
                <w:rFonts w:hint="eastAsia"/>
                <w:color w:val="000000" w:themeColor="text1"/>
                <w:highlight w:val="yellow"/>
                <w14:textFill>
                  <w14:solidFill>
                    <w14:schemeClr w14:val="tx1"/>
                  </w14:solidFill>
                </w14:textFill>
              </w:rPr>
              <w:t>、比选申请人同时通过ISO质量管理体系、环境管理体系、职业健康安全管理体系认证，得</w:t>
            </w:r>
            <w:r>
              <w:rPr>
                <w:rFonts w:hint="eastAsia"/>
                <w:color w:val="000000" w:themeColor="text1"/>
                <w:highlight w:val="yellow"/>
                <w:lang w:val="en-US" w:eastAsia="zh-CN"/>
                <w14:textFill>
                  <w14:solidFill>
                    <w14:schemeClr w14:val="tx1"/>
                  </w14:solidFill>
                </w14:textFill>
              </w:rPr>
              <w:t>3</w:t>
            </w:r>
            <w:r>
              <w:rPr>
                <w:rFonts w:hint="eastAsia"/>
                <w:color w:val="000000" w:themeColor="text1"/>
                <w:highlight w:val="yellow"/>
                <w14:textFill>
                  <w14:solidFill>
                    <w14:schemeClr w14:val="tx1"/>
                  </w14:solidFill>
                </w14:textFill>
              </w:rPr>
              <w:t>分。</w:t>
            </w:r>
          </w:p>
          <w:p>
            <w:pPr>
              <w:spacing w:line="320" w:lineRule="exact"/>
              <w:rPr>
                <w:color w:val="000000" w:themeColor="text1"/>
                <w:highlight w:val="yellow"/>
                <w14:textFill>
                  <w14:solidFill>
                    <w14:schemeClr w14:val="tx1"/>
                  </w14:solidFill>
                </w14:textFill>
              </w:rPr>
            </w:pPr>
            <w:r>
              <w:rPr>
                <w:rFonts w:hint="eastAsia"/>
                <w:color w:val="000000" w:themeColor="text1"/>
                <w:highlight w:val="yellow"/>
                <w:lang w:val="en-US" w:eastAsia="zh-CN"/>
                <w14:textFill>
                  <w14:solidFill>
                    <w14:schemeClr w14:val="tx1"/>
                  </w14:solidFill>
                </w14:textFill>
              </w:rPr>
              <w:t>2</w:t>
            </w:r>
            <w:r>
              <w:rPr>
                <w:rFonts w:hint="eastAsia"/>
                <w:color w:val="000000" w:themeColor="text1"/>
                <w:highlight w:val="yellow"/>
                <w14:textFill>
                  <w14:solidFill>
                    <w14:schemeClr w14:val="tx1"/>
                  </w14:solidFill>
                </w14:textFill>
              </w:rPr>
              <w:t>、具有交通主管部门颁发的公路工程检测综合甲级资质得</w:t>
            </w:r>
            <w:r>
              <w:rPr>
                <w:rFonts w:hint="eastAsia"/>
                <w:color w:val="000000" w:themeColor="text1"/>
                <w:highlight w:val="yellow"/>
                <w:lang w:val="en-US" w:eastAsia="zh-CN"/>
                <w14:textFill>
                  <w14:solidFill>
                    <w14:schemeClr w14:val="tx1"/>
                  </w14:solidFill>
                </w14:textFill>
              </w:rPr>
              <w:t>3</w:t>
            </w:r>
            <w:r>
              <w:rPr>
                <w:rFonts w:hint="eastAsia"/>
                <w:color w:val="000000" w:themeColor="text1"/>
                <w:highlight w:val="yellow"/>
                <w14:textFill>
                  <w14:solidFill>
                    <w14:schemeClr w14:val="tx1"/>
                  </w14:solidFill>
                </w14:textFill>
              </w:rPr>
              <w:t>分；</w:t>
            </w:r>
          </w:p>
          <w:p>
            <w:pPr>
              <w:spacing w:line="320" w:lineRule="exact"/>
              <w:rPr>
                <w:color w:val="000000" w:themeColor="text1"/>
                <w:highlight w:val="yellow"/>
                <w14:textFill>
                  <w14:solidFill>
                    <w14:schemeClr w14:val="tx1"/>
                  </w14:solidFill>
                </w14:textFill>
              </w:rPr>
            </w:pPr>
            <w:r>
              <w:rPr>
                <w:rFonts w:hint="eastAsia"/>
                <w:color w:val="000000" w:themeColor="text1"/>
                <w:highlight w:val="yellow"/>
                <w:lang w:val="en-US" w:eastAsia="zh-CN"/>
                <w14:textFill>
                  <w14:solidFill>
                    <w14:schemeClr w14:val="tx1"/>
                  </w14:solidFill>
                </w14:textFill>
              </w:rPr>
              <w:t>3</w:t>
            </w:r>
            <w:r>
              <w:rPr>
                <w:rFonts w:hint="eastAsia"/>
                <w:color w:val="000000" w:themeColor="text1"/>
                <w:highlight w:val="yellow"/>
                <w14:textFill>
                  <w14:solidFill>
                    <w14:schemeClr w14:val="tx1"/>
                  </w14:solidFill>
                </w14:textFill>
              </w:rPr>
              <w:t>、比选申请人</w:t>
            </w:r>
            <w:r>
              <w:rPr>
                <w:rFonts w:hint="eastAsia"/>
                <w:color w:val="000000" w:themeColor="text1"/>
                <w:highlight w:val="yellow"/>
                <w:lang w:val="en-US" w:eastAsia="zh-CN"/>
                <w14:textFill>
                  <w14:solidFill>
                    <w14:schemeClr w14:val="tx1"/>
                  </w14:solidFill>
                </w14:textFill>
              </w:rPr>
              <w:t>在近3年内</w:t>
            </w:r>
            <w:r>
              <w:rPr>
                <w:rFonts w:hint="eastAsia"/>
                <w:color w:val="000000" w:themeColor="text1"/>
                <w:highlight w:val="yellow"/>
                <w14:textFill>
                  <w14:solidFill>
                    <w14:schemeClr w14:val="tx1"/>
                  </w14:solidFill>
                </w14:textFill>
              </w:rPr>
              <w:t>连续</w:t>
            </w:r>
            <w:r>
              <w:rPr>
                <w:rFonts w:hint="eastAsia"/>
                <w:color w:val="000000" w:themeColor="text1"/>
                <w:highlight w:val="yellow"/>
                <w:lang w:val="en-US" w:eastAsia="zh-CN"/>
                <w14:textFill>
                  <w14:solidFill>
                    <w14:schemeClr w14:val="tx1"/>
                  </w14:solidFill>
                </w14:textFill>
              </w:rPr>
              <w:t>两</w:t>
            </w:r>
            <w:r>
              <w:rPr>
                <w:rFonts w:hint="eastAsia"/>
                <w:color w:val="000000" w:themeColor="text1"/>
                <w:highlight w:val="yellow"/>
                <w14:textFill>
                  <w14:solidFill>
                    <w14:schemeClr w14:val="tx1"/>
                  </w14:solidFill>
                </w14:textFill>
              </w:rPr>
              <w:t>年在交通运输部公路水运工程试验检测管理信息系统发布的试验检测机构信用评价结果为AA</w:t>
            </w:r>
            <w:r>
              <w:rPr>
                <w:rFonts w:hint="eastAsia"/>
                <w:color w:val="000000" w:themeColor="text1"/>
                <w:highlight w:val="yellow"/>
                <w:lang w:val="en-US" w:eastAsia="zh-CN"/>
                <w14:textFill>
                  <w14:solidFill>
                    <w14:schemeClr w14:val="tx1"/>
                  </w14:solidFill>
                </w14:textFill>
              </w:rPr>
              <w:t>得3</w:t>
            </w:r>
            <w:r>
              <w:rPr>
                <w:rFonts w:hint="eastAsia"/>
                <w:color w:val="000000" w:themeColor="text1"/>
                <w:highlight w:val="yellow"/>
                <w14:textFill>
                  <w14:solidFill>
                    <w14:schemeClr w14:val="tx1"/>
                  </w14:solidFill>
                </w14:textFill>
              </w:rPr>
              <w:t>分；</w:t>
            </w:r>
          </w:p>
          <w:p>
            <w:pPr>
              <w:spacing w:line="320" w:lineRule="exact"/>
              <w:rPr>
                <w:color w:val="000000" w:themeColor="text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956" w:type="dxa"/>
            <w:gridSpan w:val="2"/>
            <w:vMerge w:val="continue"/>
            <w:vAlign w:val="center"/>
          </w:tcPr>
          <w:p>
            <w:pPr>
              <w:spacing w:line="320" w:lineRule="exact"/>
              <w:jc w:val="center"/>
              <w:rPr>
                <w:rFonts w:ascii="宋体" w:hAnsi="宋体"/>
              </w:rPr>
            </w:pPr>
          </w:p>
        </w:tc>
        <w:tc>
          <w:tcPr>
            <w:tcW w:w="1134" w:type="dxa"/>
            <w:vMerge w:val="continue"/>
            <w:vAlign w:val="center"/>
          </w:tcPr>
          <w:p>
            <w:pPr>
              <w:spacing w:line="320" w:lineRule="exact"/>
              <w:jc w:val="center"/>
              <w:rPr>
                <w:rFonts w:ascii="宋体" w:hAnsi="宋体"/>
                <w:color w:val="000000" w:themeColor="text1"/>
                <w14:textFill>
                  <w14:solidFill>
                    <w14:schemeClr w14:val="tx1"/>
                  </w14:solidFill>
                </w14:textFill>
              </w:rPr>
            </w:pPr>
          </w:p>
        </w:tc>
        <w:tc>
          <w:tcPr>
            <w:tcW w:w="1134" w:type="dxa"/>
            <w:vAlign w:val="center"/>
          </w:tcPr>
          <w:p>
            <w:pPr>
              <w:spacing w:line="320" w:lineRule="exact"/>
              <w:jc w:val="center"/>
              <w:rPr>
                <w:color w:val="000000" w:themeColor="text1"/>
                <w:szCs w:val="21"/>
                <w:highlight w:val="yellow"/>
                <w14:textFill>
                  <w14:solidFill>
                    <w14:schemeClr w14:val="tx1"/>
                  </w14:solidFill>
                </w14:textFill>
              </w:rPr>
            </w:pPr>
            <w:r>
              <w:rPr>
                <w:color w:val="000000" w:themeColor="text1"/>
                <w:szCs w:val="21"/>
                <w:highlight w:val="yellow"/>
                <w14:textFill>
                  <w14:solidFill>
                    <w14:schemeClr w14:val="tx1"/>
                  </w14:solidFill>
                </w14:textFill>
              </w:rPr>
              <w:t>人员</w:t>
            </w:r>
            <w:r>
              <w:rPr>
                <w:rFonts w:hint="eastAsia"/>
                <w:color w:val="000000" w:themeColor="text1"/>
                <w:szCs w:val="21"/>
                <w:highlight w:val="yellow"/>
                <w14:textFill>
                  <w14:solidFill>
                    <w14:schemeClr w14:val="tx1"/>
                  </w14:solidFill>
                </w14:textFill>
              </w:rPr>
              <w:t>资质</w:t>
            </w:r>
          </w:p>
          <w:p>
            <w:pPr>
              <w:spacing w:line="320" w:lineRule="exact"/>
              <w:jc w:val="center"/>
              <w:rPr>
                <w:color w:val="000000" w:themeColor="text1"/>
                <w:szCs w:val="21"/>
                <w:highlight w:val="yellow"/>
                <w14:textFill>
                  <w14:solidFill>
                    <w14:schemeClr w14:val="tx1"/>
                  </w14:solidFill>
                </w14:textFill>
              </w:rPr>
            </w:pPr>
            <w:r>
              <w:rPr>
                <w:color w:val="000000" w:themeColor="text1"/>
                <w:szCs w:val="21"/>
                <w:highlight w:val="yellow"/>
                <w14:textFill>
                  <w14:solidFill>
                    <w14:schemeClr w14:val="tx1"/>
                  </w14:solidFill>
                </w14:textFill>
              </w:rPr>
              <w:t>（</w:t>
            </w:r>
            <w:r>
              <w:rPr>
                <w:rFonts w:hint="eastAsia"/>
                <w:color w:val="000000" w:themeColor="text1"/>
                <w:szCs w:val="21"/>
                <w:highlight w:val="yellow"/>
                <w:lang w:val="en-US" w:eastAsia="zh-CN"/>
                <w14:textFill>
                  <w14:solidFill>
                    <w14:schemeClr w14:val="tx1"/>
                  </w14:solidFill>
                </w14:textFill>
              </w:rPr>
              <w:t>6</w:t>
            </w:r>
            <w:r>
              <w:rPr>
                <w:rFonts w:hint="eastAsia"/>
                <w:color w:val="000000" w:themeColor="text1"/>
                <w:szCs w:val="21"/>
                <w:highlight w:val="yellow"/>
                <w14:textFill>
                  <w14:solidFill>
                    <w14:schemeClr w14:val="tx1"/>
                  </w14:solidFill>
                </w14:textFill>
              </w:rPr>
              <w:t>分）</w:t>
            </w:r>
          </w:p>
        </w:tc>
        <w:tc>
          <w:tcPr>
            <w:tcW w:w="5953" w:type="dxa"/>
            <w:gridSpan w:val="2"/>
            <w:vAlign w:val="center"/>
          </w:tcPr>
          <w:p>
            <w:pPr>
              <w:spacing w:line="320" w:lineRule="exact"/>
              <w:rPr>
                <w:rFonts w:ascii="宋体" w:hAnsi="宋体"/>
                <w:bCs/>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项目负责人为工程相关专业高级工程师得</w:t>
            </w:r>
            <w:r>
              <w:rPr>
                <w:rFonts w:hint="eastAsia" w:ascii="宋体" w:hAnsi="宋体" w:cs="宋体"/>
                <w:color w:val="000000" w:themeColor="text1"/>
                <w:szCs w:val="21"/>
                <w:highlight w:val="yellow"/>
                <w:lang w:val="en-US" w:eastAsia="zh-CN"/>
                <w14:textFill>
                  <w14:solidFill>
                    <w14:schemeClr w14:val="tx1"/>
                  </w14:solidFill>
                </w14:textFill>
              </w:rPr>
              <w:t>3</w:t>
            </w:r>
            <w:r>
              <w:rPr>
                <w:rFonts w:hint="eastAsia" w:ascii="宋体" w:hAnsi="宋体" w:cs="宋体"/>
                <w:color w:val="000000" w:themeColor="text1"/>
                <w:szCs w:val="21"/>
                <w:highlight w:val="yellow"/>
                <w14:textFill>
                  <w14:solidFill>
                    <w14:schemeClr w14:val="tx1"/>
                  </w14:solidFill>
                </w14:textFill>
              </w:rPr>
              <w:t>分，项目每增加一名高级工程师得</w:t>
            </w:r>
            <w:r>
              <w:rPr>
                <w:rFonts w:hint="eastAsia" w:ascii="宋体" w:hAnsi="宋体" w:cs="宋体"/>
                <w:color w:val="000000" w:themeColor="text1"/>
                <w:szCs w:val="21"/>
                <w:highlight w:val="yellow"/>
                <w:lang w:val="en-US" w:eastAsia="zh-CN"/>
                <w14:textFill>
                  <w14:solidFill>
                    <w14:schemeClr w14:val="tx1"/>
                  </w14:solidFill>
                </w14:textFill>
              </w:rPr>
              <w:t>3</w:t>
            </w:r>
            <w:r>
              <w:rPr>
                <w:rFonts w:hint="eastAsia" w:ascii="宋体" w:hAnsi="宋体" w:cs="宋体"/>
                <w:color w:val="000000" w:themeColor="text1"/>
                <w:szCs w:val="21"/>
                <w:highlight w:val="yellow"/>
                <w14:textFill>
                  <w14:solidFill>
                    <w14:schemeClr w14:val="tx1"/>
                  </w14:solidFill>
                </w14:textFill>
              </w:rPr>
              <w:t>分，最多得</w:t>
            </w:r>
            <w:r>
              <w:rPr>
                <w:rFonts w:hint="eastAsia" w:ascii="宋体" w:hAnsi="宋体" w:cs="宋体"/>
                <w:color w:val="000000" w:themeColor="text1"/>
                <w:szCs w:val="21"/>
                <w:highlight w:val="yellow"/>
                <w:lang w:val="en-US" w:eastAsia="zh-CN"/>
                <w14:textFill>
                  <w14:solidFill>
                    <w14:schemeClr w14:val="tx1"/>
                  </w14:solidFill>
                </w14:textFill>
              </w:rPr>
              <w:t>6</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956" w:type="dxa"/>
            <w:gridSpan w:val="2"/>
            <w:vMerge w:val="restart"/>
            <w:vAlign w:val="center"/>
          </w:tcPr>
          <w:p>
            <w:pPr>
              <w:spacing w:line="320" w:lineRule="exact"/>
              <w:jc w:val="center"/>
              <w:rPr>
                <w:rFonts w:ascii="宋体" w:hAnsi="宋体"/>
              </w:rPr>
            </w:pPr>
            <w:r>
              <w:rPr>
                <w:rFonts w:hint="eastAsia" w:ascii="宋体" w:hAnsi="宋体"/>
              </w:rPr>
              <w:t>2.2.3（3）</w:t>
            </w:r>
          </w:p>
        </w:tc>
        <w:tc>
          <w:tcPr>
            <w:tcW w:w="1134" w:type="dxa"/>
            <w:vMerge w:val="restart"/>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技术部分得分（1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w:t>
            </w:r>
          </w:p>
        </w:tc>
        <w:tc>
          <w:tcPr>
            <w:tcW w:w="1134" w:type="dxa"/>
            <w:vMerge w:val="restart"/>
            <w:vAlign w:val="center"/>
          </w:tcPr>
          <w:p>
            <w:pPr>
              <w:spacing w:line="320" w:lineRule="exact"/>
              <w:jc w:val="center"/>
              <w:rPr>
                <w:color w:val="000000" w:themeColor="text1"/>
                <w:szCs w:val="21"/>
                <w:highlight w:val="yellow"/>
                <w14:textFill>
                  <w14:solidFill>
                    <w14:schemeClr w14:val="tx1"/>
                  </w14:solidFill>
                </w14:textFill>
              </w:rPr>
            </w:pPr>
            <w:r>
              <w:rPr>
                <w:rFonts w:hint="eastAsia"/>
                <w:color w:val="000000" w:themeColor="text1"/>
                <w:szCs w:val="21"/>
                <w:highlight w:val="yellow"/>
                <w14:textFill>
                  <w14:solidFill>
                    <w14:schemeClr w14:val="tx1"/>
                  </w14:solidFill>
                </w14:textFill>
              </w:rPr>
              <w:t>检测方案（1</w:t>
            </w:r>
            <w:r>
              <w:rPr>
                <w:rFonts w:hint="eastAsia"/>
                <w:color w:val="000000" w:themeColor="text1"/>
                <w:szCs w:val="21"/>
                <w:highlight w:val="yellow"/>
                <w:lang w:val="en-US" w:eastAsia="zh-CN"/>
                <w14:textFill>
                  <w14:solidFill>
                    <w14:schemeClr w14:val="tx1"/>
                  </w14:solidFill>
                </w14:textFill>
              </w:rPr>
              <w:t>5</w:t>
            </w:r>
            <w:r>
              <w:rPr>
                <w:rFonts w:hint="eastAsia"/>
                <w:color w:val="000000" w:themeColor="text1"/>
                <w:szCs w:val="21"/>
                <w:highlight w:val="yellow"/>
                <w14:textFill>
                  <w14:solidFill>
                    <w14:schemeClr w14:val="tx1"/>
                  </w14:solidFill>
                </w14:textFill>
              </w:rPr>
              <w:t>分）</w:t>
            </w:r>
          </w:p>
        </w:tc>
        <w:tc>
          <w:tcPr>
            <w:tcW w:w="5953" w:type="dxa"/>
            <w:gridSpan w:val="2"/>
            <w:vAlign w:val="center"/>
          </w:tcPr>
          <w:p>
            <w:pPr>
              <w:spacing w:line="320" w:lineRule="exact"/>
              <w:rPr>
                <w:rFonts w:ascii="宋体" w:hAnsi="宋体"/>
                <w:bCs/>
                <w:color w:val="000000" w:themeColor="text1"/>
                <w:szCs w:val="21"/>
                <w:highlight w:val="yellow"/>
                <w14:textFill>
                  <w14:solidFill>
                    <w14:schemeClr w14:val="tx1"/>
                  </w14:solidFill>
                </w14:textFill>
              </w:rPr>
            </w:pPr>
            <w:r>
              <w:rPr>
                <w:rFonts w:hint="eastAsia"/>
                <w:color w:val="000000" w:themeColor="text1"/>
                <w:szCs w:val="21"/>
                <w:highlight w:val="yellow"/>
                <w14:textFill>
                  <w14:solidFill>
                    <w14:schemeClr w14:val="tx1"/>
                  </w14:solidFill>
                </w14:textFill>
              </w:rPr>
              <w:t>检测方法合理、可操作性强，安全措施到位，符合广告牌实际状况，得</w:t>
            </w:r>
            <w:r>
              <w:rPr>
                <w:rFonts w:hint="eastAsia"/>
                <w:color w:val="000000" w:themeColor="text1"/>
                <w:szCs w:val="21"/>
                <w:highlight w:val="yellow"/>
                <w:lang w:val="en-US" w:eastAsia="zh-CN"/>
                <w14:textFill>
                  <w14:solidFill>
                    <w14:schemeClr w14:val="tx1"/>
                  </w14:solidFill>
                </w14:textFill>
              </w:rPr>
              <w:t>10—1</w:t>
            </w:r>
            <w:r>
              <w:rPr>
                <w:rFonts w:hint="eastAsia"/>
                <w:color w:val="000000" w:themeColor="text1"/>
                <w:szCs w:val="21"/>
                <w:highlight w:val="yellow"/>
                <w14:textFill>
                  <w14:solidFill>
                    <w14:schemeClr w14:val="tx1"/>
                  </w14:solidFill>
                </w14:textFill>
              </w:rPr>
              <w:t>5分</w:t>
            </w:r>
            <w:r>
              <w:rPr>
                <w:rFonts w:hint="eastAsia" w:ascii="宋体" w:hAnsi="宋体"/>
                <w:bCs/>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956" w:type="dxa"/>
            <w:gridSpan w:val="2"/>
            <w:vMerge w:val="continue"/>
            <w:vAlign w:val="center"/>
          </w:tcPr>
          <w:p>
            <w:pPr>
              <w:spacing w:line="320" w:lineRule="exact"/>
              <w:jc w:val="center"/>
              <w:rPr>
                <w:rFonts w:ascii="宋体" w:hAnsi="宋体"/>
              </w:rPr>
            </w:pPr>
          </w:p>
        </w:tc>
        <w:tc>
          <w:tcPr>
            <w:tcW w:w="1134" w:type="dxa"/>
            <w:vMerge w:val="continue"/>
            <w:vAlign w:val="center"/>
          </w:tcPr>
          <w:p>
            <w:pPr>
              <w:spacing w:line="320" w:lineRule="exact"/>
              <w:rPr>
                <w:color w:val="FF0000"/>
                <w:szCs w:val="21"/>
              </w:rPr>
            </w:pPr>
          </w:p>
        </w:tc>
        <w:tc>
          <w:tcPr>
            <w:tcW w:w="1134" w:type="dxa"/>
            <w:vMerge w:val="continue"/>
            <w:vAlign w:val="center"/>
          </w:tcPr>
          <w:p>
            <w:pPr>
              <w:spacing w:line="320" w:lineRule="exact"/>
              <w:rPr>
                <w:color w:val="FF0000"/>
                <w:szCs w:val="21"/>
                <w:highlight w:val="yellow"/>
              </w:rPr>
            </w:pPr>
          </w:p>
        </w:tc>
        <w:tc>
          <w:tcPr>
            <w:tcW w:w="5953" w:type="dxa"/>
            <w:gridSpan w:val="2"/>
            <w:vAlign w:val="center"/>
          </w:tcPr>
          <w:p>
            <w:pPr>
              <w:spacing w:line="320" w:lineRule="exact"/>
              <w:rPr>
                <w:rFonts w:ascii="宋体" w:hAnsi="宋体"/>
                <w:bCs/>
                <w:szCs w:val="21"/>
                <w:highlight w:val="yellow"/>
              </w:rPr>
            </w:pPr>
            <w:r>
              <w:rPr>
                <w:rFonts w:hint="eastAsia"/>
                <w:szCs w:val="21"/>
                <w:highlight w:val="yellow"/>
              </w:rPr>
              <w:t>检测方法较合理、可操作性较强，安全措施比较满足要求，较符合广告牌实际状况，</w:t>
            </w:r>
            <w:r>
              <w:rPr>
                <w:rFonts w:hint="eastAsia"/>
                <w:color w:val="000000" w:themeColor="text1"/>
                <w:szCs w:val="21"/>
                <w:highlight w:val="yellow"/>
                <w14:textFill>
                  <w14:solidFill>
                    <w14:schemeClr w14:val="tx1"/>
                  </w14:solidFill>
                </w14:textFill>
              </w:rPr>
              <w:t>得</w:t>
            </w:r>
            <w:r>
              <w:rPr>
                <w:rFonts w:hint="eastAsia"/>
                <w:color w:val="000000" w:themeColor="text1"/>
                <w:szCs w:val="21"/>
                <w:highlight w:val="yellow"/>
                <w:lang w:val="en-US" w:eastAsia="zh-CN"/>
                <w14:textFill>
                  <w14:solidFill>
                    <w14:schemeClr w14:val="tx1"/>
                  </w14:solidFill>
                </w14:textFill>
              </w:rPr>
              <w:t>5—10</w:t>
            </w:r>
            <w:r>
              <w:rPr>
                <w:rFonts w:hint="eastAsia"/>
                <w:color w:val="000000" w:themeColor="text1"/>
                <w:szCs w:val="21"/>
                <w:highlight w:val="yellow"/>
                <w14:textFill>
                  <w14:solidFill>
                    <w14:schemeClr w14:val="tx1"/>
                  </w14:solidFill>
                </w14:textFill>
              </w:rPr>
              <w:t>分</w:t>
            </w:r>
            <w:r>
              <w:rPr>
                <w:rFonts w:hint="eastAsia"/>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956" w:type="dxa"/>
            <w:gridSpan w:val="2"/>
            <w:vMerge w:val="continue"/>
            <w:vAlign w:val="center"/>
          </w:tcPr>
          <w:p>
            <w:pPr>
              <w:spacing w:line="320" w:lineRule="exact"/>
              <w:jc w:val="center"/>
              <w:rPr>
                <w:rFonts w:ascii="宋体" w:hAnsi="宋体"/>
              </w:rPr>
            </w:pPr>
          </w:p>
        </w:tc>
        <w:tc>
          <w:tcPr>
            <w:tcW w:w="1134" w:type="dxa"/>
            <w:vMerge w:val="continue"/>
            <w:vAlign w:val="center"/>
          </w:tcPr>
          <w:p>
            <w:pPr>
              <w:spacing w:line="320" w:lineRule="exact"/>
              <w:rPr>
                <w:color w:val="FF0000"/>
                <w:szCs w:val="21"/>
              </w:rPr>
            </w:pPr>
          </w:p>
        </w:tc>
        <w:tc>
          <w:tcPr>
            <w:tcW w:w="1134" w:type="dxa"/>
            <w:vMerge w:val="continue"/>
            <w:vAlign w:val="center"/>
          </w:tcPr>
          <w:p>
            <w:pPr>
              <w:spacing w:line="320" w:lineRule="exact"/>
              <w:rPr>
                <w:color w:val="FF0000"/>
                <w:szCs w:val="21"/>
                <w:highlight w:val="yellow"/>
              </w:rPr>
            </w:pPr>
          </w:p>
        </w:tc>
        <w:tc>
          <w:tcPr>
            <w:tcW w:w="5953" w:type="dxa"/>
            <w:gridSpan w:val="2"/>
            <w:vAlign w:val="center"/>
          </w:tcPr>
          <w:p>
            <w:pPr>
              <w:spacing w:line="320" w:lineRule="exact"/>
              <w:rPr>
                <w:rFonts w:ascii="宋体" w:hAnsi="宋体"/>
                <w:bCs/>
                <w:szCs w:val="21"/>
                <w:highlight w:val="yellow"/>
              </w:rPr>
            </w:pPr>
            <w:r>
              <w:rPr>
                <w:rFonts w:hint="eastAsia"/>
                <w:szCs w:val="21"/>
                <w:highlight w:val="yellow"/>
              </w:rPr>
              <w:t>检测方法部分合理，个别检测方法不合理、操作性不强，安全措施不足，</w:t>
            </w:r>
            <w:r>
              <w:rPr>
                <w:rFonts w:hint="eastAsia"/>
                <w:color w:val="000000" w:themeColor="text1"/>
                <w:szCs w:val="21"/>
                <w:highlight w:val="yellow"/>
                <w14:textFill>
                  <w14:solidFill>
                    <w14:schemeClr w14:val="tx1"/>
                  </w14:solidFill>
                </w14:textFill>
              </w:rPr>
              <w:t>得</w:t>
            </w:r>
            <w:r>
              <w:rPr>
                <w:rFonts w:hint="eastAsia"/>
                <w:color w:val="000000" w:themeColor="text1"/>
                <w:szCs w:val="21"/>
                <w:highlight w:val="yellow"/>
                <w:lang w:val="en-US" w:eastAsia="zh-CN"/>
                <w14:textFill>
                  <w14:solidFill>
                    <w14:schemeClr w14:val="tx1"/>
                  </w14:solidFill>
                </w14:textFill>
              </w:rPr>
              <w:t>0—5</w:t>
            </w:r>
            <w:r>
              <w:rPr>
                <w:rFonts w:hint="eastAsia"/>
                <w:color w:val="000000" w:themeColor="text1"/>
                <w:szCs w:val="21"/>
                <w:highlight w:val="yellow"/>
                <w14:textFill>
                  <w14:solidFill>
                    <w14:schemeClr w14:val="tx1"/>
                  </w14:solidFill>
                </w14:textFill>
              </w:rPr>
              <w:t>分</w:t>
            </w:r>
            <w:r>
              <w:rPr>
                <w:rFonts w:hint="eastAsia"/>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56" w:type="dxa"/>
            <w:gridSpan w:val="2"/>
            <w:vAlign w:val="center"/>
          </w:tcPr>
          <w:p>
            <w:pPr>
              <w:spacing w:line="320" w:lineRule="exact"/>
              <w:jc w:val="center"/>
              <w:rPr>
                <w:rFonts w:ascii="宋体" w:hAnsi="宋体"/>
              </w:rPr>
            </w:pPr>
            <w:r>
              <w:rPr>
                <w:rFonts w:hint="eastAsia" w:ascii="宋体" w:hAnsi="宋体"/>
              </w:rPr>
              <w:t>3</w:t>
            </w:r>
          </w:p>
        </w:tc>
        <w:tc>
          <w:tcPr>
            <w:tcW w:w="1134" w:type="dxa"/>
            <w:vAlign w:val="center"/>
          </w:tcPr>
          <w:p>
            <w:pPr>
              <w:spacing w:line="320" w:lineRule="exact"/>
              <w:rPr>
                <w:rFonts w:ascii="宋体" w:hAnsi="宋体"/>
              </w:rPr>
            </w:pPr>
            <w:r>
              <w:rPr>
                <w:rFonts w:hint="eastAsia" w:ascii="宋体" w:hAnsi="宋体"/>
              </w:rPr>
              <w:t>评标结果</w:t>
            </w:r>
          </w:p>
        </w:tc>
        <w:tc>
          <w:tcPr>
            <w:tcW w:w="7087" w:type="dxa"/>
            <w:gridSpan w:val="3"/>
          </w:tcPr>
          <w:p>
            <w:pPr>
              <w:numPr>
                <w:ilvl w:val="0"/>
                <w:numId w:val="3"/>
              </w:numPr>
              <w:spacing w:line="300" w:lineRule="exact"/>
              <w:ind w:firstLine="420"/>
              <w:rPr>
                <w:rFonts w:ascii="宋体" w:hAnsi="宋体" w:cs="宋体"/>
                <w:kern w:val="0"/>
                <w:szCs w:val="21"/>
              </w:rPr>
            </w:pPr>
            <w:r>
              <w:rPr>
                <w:rFonts w:hint="eastAsia" w:ascii="宋体" w:hAnsi="宋体" w:cs="宋体"/>
                <w:kern w:val="0"/>
                <w:szCs w:val="21"/>
              </w:rPr>
              <w:t>以上评分最终得分均保留2位小数，按四舍五入原则进行。</w:t>
            </w:r>
          </w:p>
          <w:p>
            <w:pPr>
              <w:numPr>
                <w:ilvl w:val="0"/>
                <w:numId w:val="3"/>
              </w:numPr>
              <w:spacing w:line="300" w:lineRule="exact"/>
              <w:ind w:firstLine="420"/>
              <w:rPr>
                <w:rFonts w:ascii="宋体" w:hAnsi="宋体" w:cs="宋体"/>
                <w:kern w:val="0"/>
                <w:szCs w:val="21"/>
              </w:rPr>
            </w:pPr>
            <w:r>
              <w:rPr>
                <w:rFonts w:hint="eastAsia" w:ascii="宋体" w:hAnsi="宋体" w:cs="宋体"/>
              </w:rPr>
              <w:t>本项目评标采用综合评分法，对通过初步评审、详细评审的有效比选申请人按照综合得分（商务得分+技术得分+报价得分）由高到低先后顺序，依次推荐3名成交候选人。若不足3名，则只选取相应的数量。</w:t>
            </w:r>
          </w:p>
          <w:p>
            <w:pPr>
              <w:numPr>
                <w:ilvl w:val="0"/>
                <w:numId w:val="3"/>
              </w:numPr>
              <w:spacing w:line="300" w:lineRule="exact"/>
              <w:ind w:firstLine="420"/>
              <w:rPr>
                <w:rFonts w:ascii="宋体" w:hAnsi="宋体" w:cs="宋体"/>
              </w:rPr>
            </w:pPr>
            <w:r>
              <w:rPr>
                <w:rFonts w:hint="eastAsia" w:ascii="宋体" w:hAnsi="宋体" w:cs="宋体"/>
              </w:rPr>
              <w:t>如经过对所有比选申请人的比选申请文件进行初步评审，</w:t>
            </w:r>
            <w:r>
              <w:rPr>
                <w:rFonts w:ascii="宋体" w:hAnsi="宋体"/>
              </w:rPr>
              <w:t>导致有效投标人不足三个的，评标委员会应当否决所有投标。但是有效投标人的经济、</w:t>
            </w:r>
            <w:r>
              <w:rPr>
                <w:rFonts w:hint="eastAsia" w:ascii="宋体" w:hAnsi="宋体"/>
              </w:rPr>
              <w:t>商务</w:t>
            </w:r>
            <w:r>
              <w:rPr>
                <w:rFonts w:ascii="宋体" w:hAnsi="宋体"/>
              </w:rPr>
              <w:t>等指标仍然具有市场竞争力，能够满足</w:t>
            </w:r>
            <w:r>
              <w:rPr>
                <w:rFonts w:hint="eastAsia" w:ascii="宋体" w:hAnsi="宋体"/>
              </w:rPr>
              <w:t>比选</w:t>
            </w:r>
            <w:r>
              <w:rPr>
                <w:rFonts w:ascii="宋体" w:hAnsi="宋体"/>
              </w:rPr>
              <w:t>文件要求的，评标委员会可以继续评标并确定</w:t>
            </w:r>
            <w:r>
              <w:rPr>
                <w:rFonts w:hint="eastAsia" w:ascii="宋体" w:hAnsi="宋体"/>
              </w:rPr>
              <w:t>成交</w:t>
            </w:r>
            <w:r>
              <w:rPr>
                <w:rFonts w:ascii="宋体" w:hAnsi="宋体"/>
              </w:rPr>
              <w:t>候</w:t>
            </w:r>
            <w:r>
              <w:rPr>
                <w:rFonts w:ascii="宋体" w:hAnsi="宋体" w:cs="宋体"/>
              </w:rPr>
              <w:t>选人。</w:t>
            </w:r>
          </w:p>
          <w:p>
            <w:pPr>
              <w:numPr>
                <w:ilvl w:val="0"/>
                <w:numId w:val="3"/>
              </w:numPr>
              <w:spacing w:line="300" w:lineRule="exact"/>
              <w:ind w:firstLine="420"/>
              <w:rPr>
                <w:rFonts w:ascii="宋体" w:hAnsi="宋体" w:cs="宋体"/>
                <w:kern w:val="0"/>
                <w:szCs w:val="21"/>
              </w:rPr>
            </w:pPr>
            <w:r>
              <w:rPr>
                <w:rFonts w:hint="eastAsia" w:ascii="宋体" w:hAnsi="宋体" w:cs="宋体"/>
              </w:rPr>
              <w:t>评</w:t>
            </w:r>
            <w:r>
              <w:rPr>
                <w:rFonts w:hint="eastAsia" w:ascii="宋体" w:hAnsi="宋体" w:cs="MingLiU"/>
                <w:kern w:val="0"/>
                <w:szCs w:val="21"/>
              </w:rPr>
              <w:t>标</w:t>
            </w:r>
            <w:r>
              <w:rPr>
                <w:rFonts w:hint="eastAsia" w:ascii="宋体" w:hAnsi="宋体" w:cs="MingLiU"/>
                <w:spacing w:val="-1"/>
                <w:kern w:val="0"/>
                <w:szCs w:val="21"/>
              </w:rPr>
              <w:t>委</w:t>
            </w:r>
            <w:r>
              <w:rPr>
                <w:rFonts w:hint="eastAsia" w:ascii="宋体" w:hAnsi="宋体" w:cs="MingLiU"/>
                <w:kern w:val="0"/>
                <w:szCs w:val="21"/>
              </w:rPr>
              <w:t>员会完成评标后，应当向比选人提交书面比选报告。</w:t>
            </w:r>
          </w:p>
        </w:tc>
      </w:tr>
    </w:tbl>
    <w:p>
      <w:pPr>
        <w:spacing w:line="400" w:lineRule="exact"/>
        <w:rPr>
          <w:bCs/>
          <w:szCs w:val="21"/>
        </w:rPr>
      </w:pPr>
      <w:r>
        <w:rPr>
          <w:bCs/>
          <w:szCs w:val="21"/>
        </w:rPr>
        <w:t>五、</w:t>
      </w:r>
      <w:r>
        <w:rPr>
          <w:rFonts w:hint="eastAsia"/>
          <w:bCs/>
          <w:szCs w:val="21"/>
        </w:rPr>
        <w:t>竞争性比选须知</w:t>
      </w:r>
    </w:p>
    <w:p>
      <w:pPr>
        <w:spacing w:line="400" w:lineRule="exact"/>
        <w:ind w:firstLine="420" w:firstLineChars="200"/>
        <w:rPr>
          <w:bCs/>
          <w:szCs w:val="21"/>
        </w:rPr>
      </w:pPr>
      <w:r>
        <w:rPr>
          <w:bCs/>
          <w:szCs w:val="21"/>
        </w:rPr>
        <w:t>（</w:t>
      </w:r>
      <w:r>
        <w:rPr>
          <w:rFonts w:hint="eastAsia"/>
          <w:bCs/>
          <w:szCs w:val="21"/>
        </w:rPr>
        <w:t>一</w:t>
      </w:r>
      <w:r>
        <w:rPr>
          <w:bCs/>
          <w:szCs w:val="21"/>
        </w:rPr>
        <w:t>）竞争性比选文件</w:t>
      </w:r>
      <w:r>
        <w:rPr>
          <w:rFonts w:hint="eastAsia"/>
          <w:bCs/>
          <w:szCs w:val="21"/>
        </w:rPr>
        <w:t>发售</w:t>
      </w:r>
      <w:r>
        <w:rPr>
          <w:bCs/>
          <w:szCs w:val="21"/>
        </w:rPr>
        <w:t>时间：</w:t>
      </w:r>
      <w:r>
        <w:rPr>
          <w:rFonts w:hint="eastAsia"/>
          <w:bCs/>
          <w:szCs w:val="21"/>
          <w:lang w:eastAsia="zh-CN"/>
        </w:rPr>
        <w:t>2021</w:t>
      </w:r>
      <w:r>
        <w:rPr>
          <w:bCs/>
          <w:szCs w:val="21"/>
        </w:rPr>
        <w:t>年</w:t>
      </w:r>
      <w:r>
        <w:rPr>
          <w:rFonts w:hint="eastAsia"/>
          <w:bCs/>
          <w:szCs w:val="21"/>
          <w:lang w:val="en-US" w:eastAsia="zh-CN"/>
        </w:rPr>
        <w:t>5</w:t>
      </w:r>
      <w:r>
        <w:rPr>
          <w:bCs/>
          <w:szCs w:val="21"/>
        </w:rPr>
        <w:t>月</w:t>
      </w:r>
      <w:r>
        <w:rPr>
          <w:rFonts w:hint="eastAsia"/>
          <w:bCs/>
          <w:szCs w:val="21"/>
          <w:lang w:val="en-US" w:eastAsia="zh-CN"/>
        </w:rPr>
        <w:t>20</w:t>
      </w:r>
      <w:r>
        <w:rPr>
          <w:bCs/>
          <w:szCs w:val="21"/>
        </w:rPr>
        <w:t>日</w:t>
      </w:r>
      <w:r>
        <w:rPr>
          <w:rFonts w:hint="eastAsia"/>
          <w:bCs/>
          <w:szCs w:val="21"/>
        </w:rPr>
        <w:t>9时00分</w:t>
      </w:r>
      <w:r>
        <w:rPr>
          <w:bCs/>
          <w:szCs w:val="21"/>
        </w:rPr>
        <w:t>-</w:t>
      </w:r>
      <w:r>
        <w:rPr>
          <w:rFonts w:hint="eastAsia"/>
          <w:bCs/>
          <w:szCs w:val="21"/>
          <w:lang w:eastAsia="zh-CN"/>
        </w:rPr>
        <w:t>2021</w:t>
      </w:r>
      <w:r>
        <w:rPr>
          <w:bCs/>
          <w:szCs w:val="21"/>
        </w:rPr>
        <w:t>年</w:t>
      </w:r>
      <w:r>
        <w:rPr>
          <w:rFonts w:hint="eastAsia"/>
          <w:bCs/>
          <w:szCs w:val="21"/>
          <w:lang w:val="en-US" w:eastAsia="zh-CN"/>
        </w:rPr>
        <w:t>5</w:t>
      </w:r>
      <w:r>
        <w:rPr>
          <w:bCs/>
          <w:szCs w:val="21"/>
        </w:rPr>
        <w:t>月</w:t>
      </w:r>
      <w:r>
        <w:rPr>
          <w:rFonts w:hint="eastAsia"/>
          <w:bCs/>
          <w:szCs w:val="21"/>
          <w:lang w:val="en-US" w:eastAsia="zh-CN"/>
        </w:rPr>
        <w:t>24</w:t>
      </w:r>
      <w:r>
        <w:rPr>
          <w:bCs/>
          <w:szCs w:val="21"/>
        </w:rPr>
        <w:t>日</w:t>
      </w:r>
      <w:r>
        <w:rPr>
          <w:rFonts w:hint="eastAsia"/>
          <w:bCs/>
          <w:szCs w:val="21"/>
        </w:rPr>
        <w:t>17时00分</w:t>
      </w:r>
      <w:r>
        <w:rPr>
          <w:bCs/>
          <w:szCs w:val="21"/>
        </w:rPr>
        <w:t>内（法定公休日、法定节假日除外），过时不候。</w:t>
      </w:r>
      <w:r>
        <w:rPr>
          <w:rFonts w:hint="eastAsia"/>
          <w:bCs/>
          <w:szCs w:val="21"/>
        </w:rPr>
        <w:t>本次比选公告及比选结果公示在重庆高速公路集团有限公司招投标管理平台（http://43.240.249.108:8088/PMS/）</w:t>
      </w:r>
      <w:r>
        <w:rPr>
          <w:rFonts w:hint="eastAsia"/>
          <w:bCs/>
          <w:szCs w:val="21"/>
          <w:lang w:val="en-US" w:eastAsia="zh-CN"/>
        </w:rPr>
        <w:t>和重庆高速集团官网</w:t>
      </w:r>
      <w:r>
        <w:rPr>
          <w:rFonts w:hint="eastAsia"/>
          <w:bCs/>
          <w:szCs w:val="21"/>
        </w:rPr>
        <w:t>上发布</w:t>
      </w:r>
      <w:r>
        <w:rPr>
          <w:bCs/>
          <w:szCs w:val="21"/>
        </w:rPr>
        <w:t>。</w:t>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6"/>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高速集团404室</w:t>
      </w:r>
      <w:r>
        <w:rPr>
          <w:rFonts w:hint="eastAsia" w:ascii="Times New Roman" w:eastAsia="宋体" w:cs="Times New Roman"/>
          <w:color w:val="auto"/>
          <w:sz w:val="21"/>
          <w:szCs w:val="21"/>
        </w:rPr>
        <w:t>。</w:t>
      </w:r>
    </w:p>
    <w:p>
      <w:pPr>
        <w:pStyle w:val="26"/>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2021</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5</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25</w:t>
      </w:r>
      <w:r>
        <w:rPr>
          <w:rFonts w:hint="eastAsia" w:ascii="Times New Roman" w:eastAsia="宋体" w:cs="Times New Roman"/>
          <w:color w:val="auto"/>
          <w:sz w:val="21"/>
          <w:szCs w:val="21"/>
        </w:rPr>
        <w:t>日</w:t>
      </w:r>
      <w:r>
        <w:rPr>
          <w:rFonts w:hint="eastAsia" w:ascii="Times New Roman" w:eastAsia="宋体" w:cs="Times New Roman"/>
          <w:color w:val="auto"/>
          <w:sz w:val="21"/>
          <w:szCs w:val="21"/>
          <w:lang w:val="en-US" w:eastAsia="zh-CN"/>
        </w:rPr>
        <w:t>15</w:t>
      </w:r>
      <w:r>
        <w:rPr>
          <w:rFonts w:hint="eastAsia" w:ascii="Times New Roman" w:eastAsia="宋体" w:cs="Times New Roman"/>
          <w:color w:val="auto"/>
          <w:sz w:val="21"/>
          <w:szCs w:val="21"/>
        </w:rPr>
        <w:t>时</w:t>
      </w:r>
      <w:r>
        <w:rPr>
          <w:rFonts w:ascii="Times New Roman" w:eastAsia="宋体" w:cs="Times New Roman"/>
          <w:color w:val="auto"/>
          <w:sz w:val="21"/>
          <w:szCs w:val="21"/>
        </w:rPr>
        <w:t>00</w:t>
      </w:r>
      <w:r>
        <w:rPr>
          <w:rFonts w:hint="eastAsia" w:ascii="Times New Roman" w:eastAsia="宋体" w:cs="Times New Roman"/>
          <w:color w:val="auto"/>
          <w:sz w:val="21"/>
          <w:szCs w:val="21"/>
        </w:rPr>
        <w:t>分（北京时间）。</w:t>
      </w:r>
    </w:p>
    <w:p>
      <w:pPr>
        <w:pStyle w:val="26"/>
        <w:spacing w:line="400" w:lineRule="exact"/>
        <w:ind w:firstLine="420"/>
        <w:rPr>
          <w:rFonts w:hint="eastAsia"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5000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2021</w:t>
      </w:r>
      <w:r>
        <w:rPr>
          <w:rFonts w:ascii="Times New Roman" w:eastAsia="宋体" w:cs="Times New Roman"/>
          <w:szCs w:val="21"/>
        </w:rPr>
        <w:t>年</w:t>
      </w:r>
      <w:r>
        <w:rPr>
          <w:rFonts w:hint="eastAsia" w:ascii="Times New Roman" w:eastAsia="宋体" w:cs="Times New Roman"/>
          <w:szCs w:val="21"/>
          <w:lang w:val="en-US" w:eastAsia="zh-CN"/>
        </w:rPr>
        <w:t>5</w:t>
      </w:r>
      <w:r>
        <w:rPr>
          <w:rFonts w:ascii="Times New Roman" w:eastAsia="宋体" w:cs="Times New Roman"/>
          <w:szCs w:val="21"/>
        </w:rPr>
        <w:t>月</w:t>
      </w:r>
      <w:r>
        <w:rPr>
          <w:rFonts w:hint="eastAsia" w:ascii="Times New Roman" w:eastAsia="宋体" w:cs="Times New Roman"/>
          <w:szCs w:val="21"/>
          <w:lang w:val="en-US" w:eastAsia="zh-CN"/>
        </w:rPr>
        <w:t>24</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szCs w:val="21"/>
          <w:lang w:eastAsia="zh-CN"/>
        </w:rPr>
        <w:t>（</w:t>
      </w:r>
      <w:r>
        <w:rPr>
          <w:rFonts w:hint="eastAsia" w:ascii="Times New Roman" w:eastAsia="宋体" w:cs="Times New Roman"/>
          <w:szCs w:val="21"/>
          <w:lang w:val="en-US" w:eastAsia="zh-CN"/>
        </w:rPr>
        <w:t>需备注项目全称</w:t>
      </w:r>
      <w:r>
        <w:rPr>
          <w:rFonts w:hint="eastAsia" w:ascii="Times New Roman" w:eastAsia="宋体" w:cs="Times New Roman"/>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w:t>
      </w:r>
      <w:r>
        <w:rPr>
          <w:rFonts w:hint="eastAsia" w:ascii="Times New Roman" w:eastAsia="宋体" w:cs="Times New Roman"/>
          <w:szCs w:val="21"/>
          <w:lang w:eastAsia="zh-CN"/>
        </w:rPr>
        <w:t>及开具收据</w:t>
      </w:r>
      <w:r>
        <w:rPr>
          <w:rFonts w:hint="eastAsia" w:ascii="Times New Roman" w:eastAsia="宋体" w:cs="Times New Roman"/>
          <w:szCs w:val="21"/>
        </w:rPr>
        <w:t>后的20个工作日内无息返还竞标保证金。（成交单位的竞标保证金自动转为履约保证金）</w:t>
      </w:r>
    </w:p>
    <w:p>
      <w:pPr>
        <w:pStyle w:val="26"/>
        <w:spacing w:line="400" w:lineRule="exact"/>
        <w:ind w:firstLine="420"/>
        <w:rPr>
          <w:rFonts w:ascii="Times New Roman" w:eastAsia="宋体" w:cs="Times New Roman"/>
          <w:b/>
          <w:bCs/>
          <w:color w:val="auto"/>
          <w:sz w:val="21"/>
          <w:szCs w:val="21"/>
        </w:rPr>
      </w:pPr>
      <w:r>
        <w:rPr>
          <w:rFonts w:hint="eastAsia" w:ascii="Times New Roman" w:eastAsia="宋体" w:cs="Times New Roman"/>
          <w:b/>
          <w:bCs/>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开户行、账号：兴业银行重庆分行营业部    346010100101099025</w:t>
      </w:r>
    </w:p>
    <w:p>
      <w:pPr>
        <w:numPr>
          <w:ilvl w:val="0"/>
          <w:numId w:val="4"/>
        </w:numPr>
        <w:spacing w:line="400" w:lineRule="exact"/>
        <w:ind w:firstLine="420" w:firstLineChars="200"/>
        <w:rPr>
          <w:rFonts w:hint="eastAsia"/>
          <w:szCs w:val="21"/>
          <w:lang w:eastAsia="zh-CN"/>
        </w:rPr>
      </w:pP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rFonts w:hint="eastAsia"/>
          <w:szCs w:val="21"/>
        </w:rPr>
        <w:t>将竞争性比选申请文件</w:t>
      </w:r>
      <w:r>
        <w:rPr>
          <w:szCs w:val="21"/>
        </w:rPr>
        <w:t>密封到一个封套中，再在封套上</w:t>
      </w:r>
      <w:r>
        <w:rPr>
          <w:rFonts w:hint="eastAsia"/>
          <w:szCs w:val="21"/>
        </w:rPr>
        <w:t>写明以下内容</w:t>
      </w:r>
      <w:r>
        <w:rPr>
          <w:szCs w:val="21"/>
        </w:rPr>
        <w:t>：</w:t>
      </w:r>
    </w:p>
    <w:p>
      <w:pPr>
        <w:spacing w:line="400" w:lineRule="exact"/>
        <w:ind w:firstLine="420" w:firstLineChars="200"/>
        <w:jc w:val="center"/>
        <w:rPr>
          <w:szCs w:val="21"/>
          <w:u w:val="single"/>
        </w:rPr>
      </w:pPr>
      <w:r>
        <w:rPr>
          <w:rFonts w:hint="eastAsia"/>
          <w:szCs w:val="21"/>
          <w:u w:val="single"/>
        </w:rPr>
        <w:t>重庆市高速公路2021年度广告牌检测项目（</w:t>
      </w:r>
      <w:r>
        <w:rPr>
          <w:rFonts w:hint="eastAsia"/>
          <w:szCs w:val="21"/>
          <w:u w:val="single"/>
          <w:lang w:eastAsia="zh-CN"/>
        </w:rPr>
        <w:t>维护后</w:t>
      </w:r>
      <w:r>
        <w:rPr>
          <w:rFonts w:hint="eastAsia"/>
          <w:szCs w:val="21"/>
          <w:u w:val="single"/>
        </w:rPr>
        <w:t>）竞争性比选申请</w:t>
      </w:r>
      <w:r>
        <w:rPr>
          <w:szCs w:val="21"/>
          <w:u w:val="single"/>
        </w:rPr>
        <w:t>文件</w:t>
      </w:r>
    </w:p>
    <w:p>
      <w:pPr>
        <w:spacing w:line="400" w:lineRule="exact"/>
        <w:ind w:firstLine="420" w:firstLineChars="200"/>
        <w:jc w:val="center"/>
        <w:rPr>
          <w:szCs w:val="21"/>
          <w:u w:val="single"/>
        </w:rPr>
      </w:pPr>
      <w:r>
        <w:rPr>
          <w:szCs w:val="21"/>
          <w:u w:val="single"/>
        </w:rPr>
        <w:t>在</w:t>
      </w:r>
      <w:r>
        <w:rPr>
          <w:rFonts w:hint="eastAsia"/>
          <w:szCs w:val="21"/>
          <w:u w:val="single"/>
        </w:rPr>
        <w:t>2021</w:t>
      </w:r>
      <w:r>
        <w:rPr>
          <w:szCs w:val="21"/>
          <w:u w:val="single"/>
        </w:rPr>
        <w:t>年</w:t>
      </w:r>
      <w:r>
        <w:rPr>
          <w:rFonts w:hint="eastAsia"/>
          <w:szCs w:val="21"/>
          <w:u w:val="single"/>
        </w:rPr>
        <w:t xml:space="preserve"> </w:t>
      </w:r>
      <w:r>
        <w:rPr>
          <w:szCs w:val="21"/>
          <w:u w:val="single"/>
        </w:rPr>
        <w:t xml:space="preserve">  月</w:t>
      </w:r>
      <w:r>
        <w:rPr>
          <w:rFonts w:hint="eastAsia"/>
          <w:szCs w:val="21"/>
          <w:u w:val="single"/>
        </w:rPr>
        <w:t xml:space="preserve"> </w:t>
      </w:r>
      <w:r>
        <w:rPr>
          <w:szCs w:val="21"/>
          <w:u w:val="single"/>
        </w:rPr>
        <w:t xml:space="preserve">  日</w:t>
      </w:r>
      <w:r>
        <w:rPr>
          <w:rFonts w:hint="eastAsia"/>
          <w:szCs w:val="21"/>
          <w:u w:val="single"/>
        </w:rPr>
        <w:t xml:space="preserve"> </w:t>
      </w:r>
      <w:r>
        <w:rPr>
          <w:szCs w:val="21"/>
          <w:u w:val="single"/>
        </w:rPr>
        <w:t xml:space="preserve">  </w:t>
      </w:r>
      <w:r>
        <w:rPr>
          <w:rFonts w:hint="eastAsia"/>
          <w:szCs w:val="21"/>
          <w:u w:val="single"/>
        </w:rPr>
        <w:t xml:space="preserve">时 </w:t>
      </w:r>
      <w:r>
        <w:rPr>
          <w:szCs w:val="21"/>
          <w:u w:val="single"/>
        </w:rPr>
        <w:t xml:space="preserve">  </w:t>
      </w:r>
      <w:r>
        <w:rPr>
          <w:rFonts w:hint="eastAsia"/>
          <w:szCs w:val="21"/>
          <w:u w:val="single"/>
        </w:rPr>
        <w:t>分</w:t>
      </w:r>
      <w:r>
        <w:rPr>
          <w:szCs w:val="21"/>
          <w:u w:val="single"/>
        </w:rPr>
        <w:t>前不得开启</w:t>
      </w:r>
    </w:p>
    <w:p>
      <w:pPr>
        <w:spacing w:line="400" w:lineRule="exact"/>
        <w:ind w:firstLine="420" w:firstLineChars="200"/>
        <w:jc w:val="left"/>
        <w:rPr>
          <w:szCs w:val="21"/>
        </w:rPr>
      </w:pPr>
    </w:p>
    <w:p>
      <w:pPr>
        <w:spacing w:line="400" w:lineRule="exact"/>
        <w:ind w:firstLine="420" w:firstLineChars="200"/>
        <w:jc w:val="left"/>
        <w:rPr>
          <w:szCs w:val="21"/>
        </w:rPr>
      </w:pPr>
    </w:p>
    <w:p>
      <w:pPr>
        <w:spacing w:line="400" w:lineRule="exact"/>
        <w:ind w:firstLine="420" w:firstLineChars="200"/>
        <w:jc w:val="left"/>
        <w:rPr>
          <w:szCs w:val="21"/>
        </w:rPr>
      </w:pPr>
      <w:r>
        <w:rPr>
          <w:szCs w:val="21"/>
        </w:rPr>
        <w:t>比选人：重庆高速文化传媒股份有限公司</w:t>
      </w:r>
    </w:p>
    <w:p>
      <w:pPr>
        <w:spacing w:line="400" w:lineRule="exact"/>
        <w:ind w:left="420" w:leftChars="200"/>
        <w:jc w:val="left"/>
        <w:rPr>
          <w:szCs w:val="21"/>
        </w:rPr>
      </w:pPr>
      <w:r>
        <w:rPr>
          <w:szCs w:val="21"/>
        </w:rPr>
        <w:t>地址：渝北区银杉路66号主楼402室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pStyle w:val="26"/>
        <w:rPr>
          <w:szCs w:val="21"/>
        </w:rPr>
      </w:pPr>
    </w:p>
    <w:p>
      <w:pPr>
        <w:pStyle w:val="26"/>
        <w:rPr>
          <w:rFonts w:hint="eastAsia" w:ascii="宋体" w:hAnsi="宋体" w:eastAsia="宋体" w:cs="宋体"/>
          <w:b/>
          <w:sz w:val="32"/>
          <w:szCs w:val="22"/>
        </w:rPr>
      </w:pPr>
      <w:r>
        <w:rPr>
          <w:rFonts w:hint="eastAsia" w:ascii="宋体" w:hAnsi="宋体" w:eastAsia="宋体" w:cs="宋体"/>
          <w:b/>
          <w:sz w:val="32"/>
          <w:szCs w:val="22"/>
        </w:rPr>
        <w:br w:type="page"/>
      </w:r>
    </w:p>
    <w:p>
      <w:pPr>
        <w:pStyle w:val="26"/>
      </w:pPr>
      <w:r>
        <w:rPr>
          <w:rFonts w:hint="eastAsia" w:ascii="宋体" w:hAnsi="宋体" w:eastAsia="宋体" w:cs="宋体"/>
          <w:b/>
          <w:sz w:val="32"/>
          <w:szCs w:val="22"/>
        </w:rPr>
        <w:t>附件1：</w:t>
      </w:r>
    </w:p>
    <w:p>
      <w:pPr>
        <w:jc w:val="center"/>
        <w:rPr>
          <w:rFonts w:hint="eastAsia" w:ascii="宋体" w:hAnsi="宋体" w:cs="宋体"/>
          <w:b/>
          <w:sz w:val="32"/>
          <w:szCs w:val="22"/>
        </w:rPr>
      </w:pPr>
      <w:r>
        <w:rPr>
          <w:rFonts w:hint="eastAsia" w:ascii="宋体" w:hAnsi="宋体" w:cs="宋体"/>
          <w:b/>
          <w:sz w:val="32"/>
          <w:szCs w:val="22"/>
        </w:rPr>
        <w:t>广告牌</w:t>
      </w:r>
      <w:r>
        <w:rPr>
          <w:rFonts w:hint="eastAsia" w:ascii="宋体" w:hAnsi="宋体" w:cs="宋体"/>
          <w:b/>
          <w:sz w:val="32"/>
          <w:szCs w:val="22"/>
          <w:lang w:val="en-US" w:eastAsia="zh-CN"/>
        </w:rPr>
        <w:t>检测</w:t>
      </w:r>
      <w:r>
        <w:rPr>
          <w:rFonts w:hint="eastAsia" w:ascii="宋体" w:hAnsi="宋体" w:cs="宋体"/>
          <w:b/>
          <w:sz w:val="32"/>
          <w:szCs w:val="22"/>
        </w:rPr>
        <w:t>点位清单</w:t>
      </w:r>
      <w:r>
        <w:rPr>
          <w:rFonts w:hint="eastAsia" w:ascii="宋体" w:hAnsi="宋体" w:cs="宋体"/>
          <w:b/>
          <w:sz w:val="32"/>
          <w:szCs w:val="22"/>
          <w:lang w:eastAsia="zh-CN"/>
        </w:rPr>
        <w:t>（</w:t>
      </w:r>
      <w:r>
        <w:rPr>
          <w:rFonts w:hint="eastAsia" w:ascii="宋体" w:hAnsi="宋体" w:cs="宋体"/>
          <w:b/>
          <w:sz w:val="32"/>
          <w:szCs w:val="22"/>
          <w:lang w:val="en-US" w:eastAsia="zh-CN"/>
        </w:rPr>
        <w:t>维护后</w:t>
      </w:r>
      <w:r>
        <w:rPr>
          <w:rFonts w:hint="eastAsia" w:ascii="宋体" w:hAnsi="宋体" w:cs="宋体"/>
          <w:b/>
          <w:sz w:val="32"/>
          <w:szCs w:val="22"/>
          <w:lang w:eastAsia="zh-CN"/>
        </w:rPr>
        <w:t>）</w:t>
      </w:r>
    </w:p>
    <w:tbl>
      <w:tblPr>
        <w:tblStyle w:val="24"/>
        <w:tblW w:w="9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1"/>
        <w:gridCol w:w="1370"/>
        <w:gridCol w:w="3731"/>
        <w:gridCol w:w="1370"/>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路段</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实际桩号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媒体类型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喷涂媒体编号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施家梁立交</w:t>
            </w:r>
            <w:r>
              <w:rPr>
                <w:rFonts w:hint="default" w:ascii="Times New Roman" w:hAnsi="Times New Roman" w:eastAsia="宋体" w:cs="Times New Roman"/>
                <w:i w:val="0"/>
                <w:color w:val="000000"/>
                <w:kern w:val="0"/>
                <w:sz w:val="21"/>
                <w:szCs w:val="21"/>
                <w:u w:val="none"/>
                <w:lang w:val="en-US" w:eastAsia="zh-CN" w:bidi="ar"/>
              </w:rPr>
              <w:t>RK7+100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RK27+800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渝邻立交</w:t>
            </w:r>
            <w:r>
              <w:rPr>
                <w:rFonts w:hint="default" w:ascii="Times New Roman" w:hAnsi="Times New Roman" w:eastAsia="宋体" w:cs="Times New Roman"/>
                <w:i w:val="0"/>
                <w:color w:val="000000"/>
                <w:kern w:val="0"/>
                <w:sz w:val="21"/>
                <w:szCs w:val="21"/>
                <w:u w:val="none"/>
                <w:lang w:val="en-US" w:eastAsia="zh-CN" w:bidi="ar"/>
              </w:rPr>
              <w:t>LK29+600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LK47+700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RK47+900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忠兴立交</w:t>
            </w:r>
            <w:r>
              <w:rPr>
                <w:rFonts w:hint="default" w:ascii="Times New Roman" w:hAnsi="Times New Roman" w:eastAsia="宋体" w:cs="Times New Roman"/>
                <w:i w:val="0"/>
                <w:color w:val="000000"/>
                <w:kern w:val="0"/>
                <w:sz w:val="21"/>
                <w:szCs w:val="21"/>
                <w:u w:val="none"/>
                <w:lang w:val="en-US" w:eastAsia="zh-CN" w:bidi="ar"/>
              </w:rPr>
              <w:t>RK76+700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渝黔立交</w:t>
            </w:r>
            <w:r>
              <w:rPr>
                <w:rFonts w:hint="default" w:ascii="Times New Roman" w:hAnsi="Times New Roman" w:eastAsia="宋体" w:cs="Times New Roman"/>
                <w:i w:val="0"/>
                <w:color w:val="000000"/>
                <w:kern w:val="0"/>
                <w:sz w:val="21"/>
                <w:szCs w:val="21"/>
                <w:u w:val="none"/>
                <w:lang w:val="en-US" w:eastAsia="zh-CN" w:bidi="ar"/>
              </w:rPr>
              <w:t>LK94+900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成渝立交</w:t>
            </w:r>
            <w:r>
              <w:rPr>
                <w:rFonts w:hint="default" w:ascii="Times New Roman" w:hAnsi="Times New Roman" w:eastAsia="宋体" w:cs="Times New Roman"/>
                <w:i w:val="0"/>
                <w:color w:val="000000"/>
                <w:kern w:val="0"/>
                <w:sz w:val="21"/>
                <w:szCs w:val="21"/>
                <w:u w:val="none"/>
                <w:lang w:val="en-US" w:eastAsia="zh-CN" w:bidi="ar"/>
              </w:rPr>
              <w:t>LK158+800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LK186+500</w:t>
            </w:r>
            <w:r>
              <w:rPr>
                <w:rFonts w:hint="eastAsia" w:ascii="宋体" w:hAnsi="宋体" w:eastAsia="宋体" w:cs="宋体"/>
                <w:i w:val="0"/>
                <w:color w:val="000000"/>
                <w:kern w:val="0"/>
                <w:sz w:val="21"/>
                <w:szCs w:val="21"/>
                <w:u w:val="none"/>
                <w:lang w:val="en-US" w:eastAsia="zh-CN" w:bidi="ar"/>
              </w:rPr>
              <w:t>绕城北碚南立交</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r>
              <w:rPr>
                <w:rFonts w:hint="eastAsia" w:ascii="宋体" w:hAnsi="宋体" w:eastAsia="宋体" w:cs="宋体"/>
                <w:i w:val="0"/>
                <w:color w:val="000000"/>
                <w:kern w:val="0"/>
                <w:sz w:val="21"/>
                <w:szCs w:val="21"/>
                <w:u w:val="none"/>
                <w:lang w:val="en-US" w:eastAsia="zh-CN" w:bidi="ar"/>
              </w:rPr>
              <w:t>北环立交</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LK965+700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RK963+950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LK962+200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LK960+500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LK959+200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RK954+900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RK953+900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LK952+400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LK950+400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LK943+900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北碚立交</w:t>
            </w:r>
            <w:r>
              <w:rPr>
                <w:rFonts w:hint="default" w:ascii="Times New Roman" w:hAnsi="Times New Roman" w:eastAsia="宋体" w:cs="Times New Roman"/>
                <w:i w:val="0"/>
                <w:color w:val="000000"/>
                <w:kern w:val="0"/>
                <w:sz w:val="21"/>
                <w:szCs w:val="21"/>
                <w:u w:val="none"/>
                <w:lang w:val="en-US" w:eastAsia="zh-CN" w:bidi="ar"/>
              </w:rPr>
              <w:t>LK941+800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翻</w:t>
            </w:r>
            <w:r>
              <w:rPr>
                <w:rFonts w:hint="default" w:ascii="Times New Roman" w:hAnsi="Times New Roman" w:eastAsia="宋体" w:cs="Times New Roman"/>
                <w:i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缙云山立交</w:t>
            </w:r>
            <w:r>
              <w:rPr>
                <w:rFonts w:hint="default" w:ascii="Times New Roman" w:hAnsi="Times New Roman" w:eastAsia="宋体" w:cs="Times New Roman"/>
                <w:i w:val="0"/>
                <w:color w:val="000000"/>
                <w:kern w:val="0"/>
                <w:sz w:val="21"/>
                <w:szCs w:val="21"/>
                <w:u w:val="none"/>
                <w:lang w:val="en-US" w:eastAsia="zh-CN" w:bidi="ar"/>
              </w:rPr>
              <w:t>LK939+500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RK938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K931+900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LK926+600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LK918+500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RK917+800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LK916+800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RK914+900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桃花街立交匝道</w:t>
            </w:r>
            <w:r>
              <w:rPr>
                <w:rFonts w:hint="default" w:ascii="Times New Roman" w:hAnsi="Times New Roman" w:eastAsia="宋体" w:cs="Times New Roman"/>
                <w:i w:val="0"/>
                <w:color w:val="000000"/>
                <w:kern w:val="0"/>
                <w:sz w:val="21"/>
                <w:szCs w:val="21"/>
                <w:u w:val="none"/>
                <w:lang w:val="en-US" w:eastAsia="zh-CN" w:bidi="ar"/>
              </w:rPr>
              <w:t>RK1701+500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翻</w:t>
            </w:r>
            <w:r>
              <w:rPr>
                <w:rFonts w:hint="default" w:ascii="Times New Roman" w:hAnsi="Times New Roman" w:eastAsia="宋体" w:cs="Times New Roman"/>
                <w:i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RK1695+950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RK1692+400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LK1691+150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长寿湖旅游高速</w:t>
            </w:r>
            <w:r>
              <w:rPr>
                <w:rFonts w:hint="default" w:ascii="Times New Roman" w:hAnsi="Times New Roman" w:eastAsia="宋体" w:cs="Times New Roman"/>
                <w:i w:val="0"/>
                <w:color w:val="000000"/>
                <w:kern w:val="0"/>
                <w:sz w:val="21"/>
                <w:szCs w:val="21"/>
                <w:u w:val="none"/>
                <w:lang w:val="en-US" w:eastAsia="zh-CN" w:bidi="ar"/>
              </w:rPr>
              <w:t>LK8+400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合兴立交</w:t>
            </w:r>
            <w:r>
              <w:rPr>
                <w:rFonts w:hint="default" w:ascii="Times New Roman" w:hAnsi="Times New Roman" w:eastAsia="宋体" w:cs="Times New Roman"/>
                <w:i w:val="0"/>
                <w:color w:val="000000"/>
                <w:kern w:val="0"/>
                <w:sz w:val="21"/>
                <w:szCs w:val="21"/>
                <w:u w:val="none"/>
                <w:lang w:val="en-US" w:eastAsia="zh-CN" w:bidi="ar"/>
              </w:rPr>
              <w:t>LK1681+900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RK1679+250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RK1664+800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LK1662+250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RK1660+550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RK1659+800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澄溪立交</w:t>
            </w:r>
            <w:r>
              <w:rPr>
                <w:rFonts w:hint="default" w:ascii="Times New Roman" w:hAnsi="Times New Roman" w:eastAsia="宋体" w:cs="Times New Roman"/>
                <w:i w:val="0"/>
                <w:color w:val="000000"/>
                <w:kern w:val="0"/>
                <w:sz w:val="21"/>
                <w:szCs w:val="21"/>
                <w:u w:val="none"/>
                <w:lang w:val="en-US" w:eastAsia="zh-CN" w:bidi="ar"/>
              </w:rPr>
              <w:t>RK1655+400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澄溪立交</w:t>
            </w:r>
            <w:r>
              <w:rPr>
                <w:rFonts w:hint="default" w:ascii="Times New Roman" w:hAnsi="Times New Roman" w:eastAsia="宋体" w:cs="Times New Roman"/>
                <w:i w:val="0"/>
                <w:color w:val="000000"/>
                <w:kern w:val="0"/>
                <w:sz w:val="21"/>
                <w:szCs w:val="21"/>
                <w:u w:val="none"/>
                <w:lang w:val="en-US" w:eastAsia="zh-CN" w:bidi="ar"/>
              </w:rPr>
              <w:t>LK1655+100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LK1652+650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RK1650+700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忠县立交</w:t>
            </w:r>
            <w:r>
              <w:rPr>
                <w:rFonts w:hint="default" w:ascii="Times New Roman" w:hAnsi="Times New Roman" w:eastAsia="宋体" w:cs="Times New Roman"/>
                <w:i w:val="0"/>
                <w:color w:val="000000"/>
                <w:kern w:val="0"/>
                <w:sz w:val="21"/>
                <w:szCs w:val="21"/>
                <w:u w:val="none"/>
                <w:lang w:val="en-US" w:eastAsia="zh-CN" w:bidi="ar"/>
              </w:rPr>
              <w:t>K1581+100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RK1501+120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LK1501+120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万开</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南山隧道出</w:t>
            </w:r>
            <w:r>
              <w:rPr>
                <w:rFonts w:hint="default" w:ascii="Times New Roman" w:hAnsi="Times New Roman" w:eastAsia="宋体" w:cs="Times New Roman"/>
                <w:i w:val="0"/>
                <w:color w:val="000000"/>
                <w:kern w:val="0"/>
                <w:sz w:val="21"/>
                <w:szCs w:val="21"/>
                <w:u w:val="none"/>
                <w:lang w:val="en-US" w:eastAsia="zh-CN" w:bidi="ar"/>
              </w:rPr>
              <w:t>K28+100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洞顶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万开</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K28+300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渝黔</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LK1014+750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RK0</w:t>
            </w:r>
            <w:r>
              <w:rPr>
                <w:rFonts w:hint="eastAsia" w:ascii="宋体" w:hAnsi="宋体" w:eastAsia="宋体" w:cs="宋体"/>
                <w:i w:val="0"/>
                <w:color w:val="000000"/>
                <w:kern w:val="0"/>
                <w:sz w:val="21"/>
                <w:szCs w:val="21"/>
                <w:u w:val="none"/>
                <w:lang w:val="en-US" w:eastAsia="zh-CN" w:bidi="ar"/>
              </w:rPr>
              <w:t>母家湾立交</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RK8+500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RK11+600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LK12+100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铜永</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龙水湖互通</w:t>
            </w:r>
            <w:r>
              <w:rPr>
                <w:rFonts w:hint="default" w:ascii="Times New Roman" w:hAnsi="Times New Roman" w:eastAsia="宋体" w:cs="Times New Roman"/>
                <w:i w:val="0"/>
                <w:color w:val="000000"/>
                <w:kern w:val="0"/>
                <w:sz w:val="21"/>
                <w:szCs w:val="21"/>
                <w:u w:val="none"/>
                <w:lang w:val="en-US" w:eastAsia="zh-CN" w:bidi="ar"/>
              </w:rPr>
              <w:t>RK43+900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铜永</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三教互通</w:t>
            </w:r>
            <w:r>
              <w:rPr>
                <w:rFonts w:hint="default" w:ascii="Times New Roman" w:hAnsi="Times New Roman" w:eastAsia="宋体" w:cs="Times New Roman"/>
                <w:i w:val="0"/>
                <w:color w:val="000000"/>
                <w:kern w:val="0"/>
                <w:sz w:val="21"/>
                <w:szCs w:val="21"/>
                <w:u w:val="none"/>
                <w:lang w:val="en-US" w:eastAsia="zh-CN" w:bidi="ar"/>
              </w:rPr>
              <w:t>LK50+400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铜永</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双石服务区</w:t>
            </w:r>
            <w:r>
              <w:rPr>
                <w:rFonts w:hint="default" w:ascii="Times New Roman" w:hAnsi="Times New Roman" w:eastAsia="宋体" w:cs="Times New Roman"/>
                <w:i w:val="0"/>
                <w:color w:val="000000"/>
                <w:kern w:val="0"/>
                <w:sz w:val="21"/>
                <w:szCs w:val="21"/>
                <w:u w:val="none"/>
                <w:lang w:val="en-US" w:eastAsia="zh-CN" w:bidi="ar"/>
              </w:rPr>
              <w:t>LK60+200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渝广</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LK1168+650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渝广</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静观服务区</w:t>
            </w:r>
            <w:r>
              <w:rPr>
                <w:rFonts w:hint="default" w:ascii="Times New Roman" w:hAnsi="Times New Roman" w:eastAsia="宋体" w:cs="Times New Roman"/>
                <w:i w:val="0"/>
                <w:color w:val="000000"/>
                <w:kern w:val="0"/>
                <w:sz w:val="21"/>
                <w:szCs w:val="21"/>
                <w:u w:val="none"/>
                <w:lang w:val="en-US" w:eastAsia="zh-CN" w:bidi="ar"/>
              </w:rPr>
              <w:t>RK1159+900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w:t>
            </w:r>
            <w:r>
              <w:rPr>
                <w:rFonts w:hint="eastAsia" w:ascii="宋体" w:hAnsi="宋体" w:eastAsia="宋体" w:cs="宋体"/>
                <w:i w:val="0"/>
                <w:color w:val="000000"/>
                <w:kern w:val="0"/>
                <w:sz w:val="21"/>
                <w:szCs w:val="21"/>
                <w:u w:val="none"/>
                <w:lang w:val="en-US" w:eastAsia="zh-CN" w:bidi="ar"/>
              </w:rPr>
              <w:t>收费站匝道口</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RK1532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RK1530+800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RK1496+500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LK1617+600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LK1616+350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LK1615+300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RK1614+600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RK1613+020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垫江立交</w:t>
            </w:r>
            <w:r>
              <w:rPr>
                <w:rFonts w:hint="default" w:ascii="Times New Roman" w:hAnsi="Times New Roman" w:eastAsia="宋体" w:cs="Times New Roman"/>
                <w:i w:val="0"/>
                <w:color w:val="000000"/>
                <w:kern w:val="0"/>
                <w:sz w:val="21"/>
                <w:szCs w:val="21"/>
                <w:u w:val="none"/>
                <w:lang w:val="en-US" w:eastAsia="zh-CN" w:bidi="ar"/>
              </w:rPr>
              <w:t>LK1610+500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LK1608+020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RK1607+700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LK1607+150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LK1605+800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RK1551+900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RK1548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LK1545+900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RK1615+750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w:t>
            </w:r>
            <w:r>
              <w:rPr>
                <w:rFonts w:hint="eastAsia" w:ascii="Times New Roman" w:hAnsi="Times New Roman" w:eastAsia="宋体" w:cs="Times New Roman"/>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RK1504+600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K1500+100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K1499+900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LK1496+600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大桥头</w:t>
            </w:r>
            <w:r>
              <w:rPr>
                <w:rFonts w:hint="default" w:ascii="Times New Roman" w:hAnsi="Times New Roman" w:eastAsia="宋体" w:cs="Times New Roman"/>
                <w:i w:val="0"/>
                <w:color w:val="000000"/>
                <w:kern w:val="0"/>
                <w:sz w:val="21"/>
                <w:szCs w:val="21"/>
                <w:u w:val="none"/>
                <w:lang w:val="en-US" w:eastAsia="zh-CN" w:bidi="ar"/>
              </w:rPr>
              <w:t>RK1494+650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万州收费站出口左侧</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LK1487+900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天城立交</w:t>
            </w:r>
            <w:r>
              <w:rPr>
                <w:rFonts w:hint="default" w:ascii="Times New Roman" w:hAnsi="Times New Roman" w:eastAsia="宋体" w:cs="Times New Roman"/>
                <w:i w:val="0"/>
                <w:color w:val="000000"/>
                <w:kern w:val="0"/>
                <w:sz w:val="21"/>
                <w:szCs w:val="21"/>
                <w:u w:val="none"/>
                <w:lang w:val="en-US" w:eastAsia="zh-CN" w:bidi="ar"/>
              </w:rPr>
              <w:t>LK1472+650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开县立交</w:t>
            </w:r>
            <w:r>
              <w:rPr>
                <w:rFonts w:hint="default" w:ascii="Times New Roman" w:hAnsi="Times New Roman" w:eastAsia="宋体" w:cs="Times New Roman"/>
                <w:i w:val="0"/>
                <w:color w:val="000000"/>
                <w:kern w:val="0"/>
                <w:sz w:val="21"/>
                <w:szCs w:val="21"/>
                <w:u w:val="none"/>
                <w:lang w:val="en-US" w:eastAsia="zh-CN" w:bidi="ar"/>
              </w:rPr>
              <w:t>LK1461+200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RK1445+650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LK1444+500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LK1440+550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LK1436+900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RK1435+400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云阳立交</w:t>
            </w:r>
            <w:r>
              <w:rPr>
                <w:rFonts w:hint="default" w:ascii="Times New Roman" w:hAnsi="Times New Roman" w:eastAsia="宋体" w:cs="Times New Roman"/>
                <w:i w:val="0"/>
                <w:color w:val="000000"/>
                <w:kern w:val="0"/>
                <w:sz w:val="21"/>
                <w:szCs w:val="21"/>
                <w:u w:val="none"/>
                <w:lang w:val="en-US" w:eastAsia="zh-CN" w:bidi="ar"/>
              </w:rPr>
              <w:t>RK1434+700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LK1434+650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LK1362+550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RK1587+800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RK1589+900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LK1590+100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RK1590+100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LK1591+300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LK1591+800</w:t>
            </w:r>
            <w:r>
              <w:rPr>
                <w:rFonts w:hint="eastAsia" w:ascii="宋体" w:hAnsi="宋体" w:eastAsia="宋体" w:cs="宋体"/>
                <w:i w:val="0"/>
                <w:color w:val="000000"/>
                <w:kern w:val="0"/>
                <w:sz w:val="21"/>
                <w:szCs w:val="21"/>
                <w:u w:val="none"/>
                <w:lang w:val="en-US" w:eastAsia="zh-CN" w:bidi="ar"/>
              </w:rPr>
              <w:t>界石服务区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RK1592+200</w:t>
            </w:r>
            <w:r>
              <w:rPr>
                <w:rFonts w:hint="eastAsia" w:ascii="宋体" w:hAnsi="宋体" w:eastAsia="宋体" w:cs="宋体"/>
                <w:i w:val="0"/>
                <w:color w:val="000000"/>
                <w:kern w:val="0"/>
                <w:sz w:val="21"/>
                <w:szCs w:val="21"/>
                <w:u w:val="none"/>
                <w:lang w:val="en-US" w:eastAsia="zh-CN" w:bidi="ar"/>
              </w:rPr>
              <w:t>界石服务区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RK1592+800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渝湘绕城互通</w:t>
            </w:r>
            <w:r>
              <w:rPr>
                <w:rFonts w:hint="default" w:ascii="Times New Roman" w:hAnsi="Times New Roman" w:eastAsia="宋体" w:cs="Times New Roman"/>
                <w:i w:val="0"/>
                <w:color w:val="000000"/>
                <w:kern w:val="0"/>
                <w:sz w:val="21"/>
                <w:szCs w:val="21"/>
                <w:u w:val="none"/>
                <w:lang w:val="en-US" w:eastAsia="zh-CN" w:bidi="ar"/>
              </w:rPr>
              <w:t>RK1594+100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南彭立交</w:t>
            </w:r>
            <w:r>
              <w:rPr>
                <w:rFonts w:hint="default" w:ascii="Times New Roman" w:hAnsi="Times New Roman" w:eastAsia="宋体" w:cs="Times New Roman"/>
                <w:i w:val="0"/>
                <w:color w:val="000000"/>
                <w:kern w:val="0"/>
                <w:sz w:val="21"/>
                <w:szCs w:val="21"/>
                <w:u w:val="none"/>
                <w:lang w:val="en-US" w:eastAsia="zh-CN" w:bidi="ar"/>
              </w:rPr>
              <w:t>LK1596+100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RK1601+400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RK1630+250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K1639+500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南川收费站右侧</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LK1646+500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LK1676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LK1830+250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RK1860+700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秀山立交</w:t>
            </w:r>
            <w:r>
              <w:rPr>
                <w:rFonts w:hint="default" w:ascii="Times New Roman" w:hAnsi="Times New Roman" w:eastAsia="宋体" w:cs="Times New Roman"/>
                <w:i w:val="0"/>
                <w:color w:val="000000"/>
                <w:kern w:val="0"/>
                <w:sz w:val="21"/>
                <w:szCs w:val="21"/>
                <w:u w:val="none"/>
                <w:lang w:val="en-US" w:eastAsia="zh-CN" w:bidi="ar"/>
              </w:rPr>
              <w:t>RK1970+650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RK11+350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LK31+20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LK38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T016</w:t>
            </w:r>
          </w:p>
        </w:tc>
      </w:tr>
    </w:tbl>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hint="eastAsia" w:ascii="宋体" w:hAnsi="宋体" w:cs="宋体"/>
          <w:b/>
          <w:sz w:val="24"/>
        </w:rPr>
      </w:pPr>
    </w:p>
    <w:p>
      <w:pPr>
        <w:jc w:val="both"/>
        <w:rPr>
          <w:rFonts w:ascii="宋体" w:hAnsi="宋体" w:cs="宋体"/>
          <w:b/>
          <w:sz w:val="24"/>
        </w:rPr>
      </w:pPr>
      <w:r>
        <w:rPr>
          <w:rFonts w:hint="eastAsia" w:ascii="宋体" w:hAnsi="宋体" w:cs="宋体"/>
          <w:b/>
          <w:sz w:val="24"/>
          <w:lang w:val="en-US" w:eastAsia="zh-CN"/>
        </w:rPr>
        <w:t xml:space="preserve">                         </w:t>
      </w:r>
      <w:r>
        <w:rPr>
          <w:rFonts w:hint="eastAsia" w:ascii="宋体" w:hAnsi="宋体" w:cs="宋体"/>
          <w:b/>
          <w:sz w:val="24"/>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right="480" w:firstLine="2849" w:firstLineChars="946"/>
        <w:jc w:val="right"/>
        <w:rPr>
          <w:rFonts w:ascii="宋体" w:hAnsi="宋体" w:cs="宋体"/>
          <w:b/>
          <w:sz w:val="30"/>
          <w:szCs w:val="30"/>
        </w:rPr>
      </w:pPr>
      <w:r>
        <w:rPr>
          <w:rFonts w:hint="eastAsia" w:ascii="宋体" w:hAnsi="宋体" w:cs="宋体"/>
          <w:b/>
          <w:sz w:val="30"/>
          <w:szCs w:val="30"/>
        </w:rPr>
        <w:t>正本（副本）</w:t>
      </w:r>
    </w:p>
    <w:p>
      <w:pPr>
        <w:pStyle w:val="26"/>
      </w:pPr>
    </w:p>
    <w:p>
      <w:pPr>
        <w:jc w:val="center"/>
        <w:rPr>
          <w:rFonts w:ascii="宋体" w:hAnsi="宋体" w:cs="宋体"/>
          <w:b/>
          <w:sz w:val="44"/>
          <w:szCs w:val="44"/>
          <w:u w:val="single"/>
        </w:rPr>
      </w:pPr>
      <w:r>
        <w:rPr>
          <w:rFonts w:hint="eastAsia" w:ascii="宋体" w:hAnsi="宋体" w:cs="宋体"/>
          <w:b/>
          <w:sz w:val="44"/>
          <w:szCs w:val="44"/>
          <w:u w:val="single"/>
        </w:rPr>
        <w:t>重庆市高速公路2021年度广告牌</w:t>
      </w:r>
    </w:p>
    <w:p>
      <w:pPr>
        <w:jc w:val="center"/>
        <w:rPr>
          <w:rFonts w:ascii="宋体" w:hAnsi="宋体" w:eastAsia="宋体" w:cs="宋体"/>
          <w:b/>
          <w:sz w:val="44"/>
          <w:szCs w:val="44"/>
          <w:u w:val="single"/>
        </w:rPr>
      </w:pPr>
      <w:r>
        <w:rPr>
          <w:rFonts w:hint="eastAsia" w:ascii="宋体" w:hAnsi="宋体" w:cs="宋体"/>
          <w:b/>
          <w:sz w:val="44"/>
          <w:szCs w:val="44"/>
          <w:u w:val="single"/>
        </w:rPr>
        <w:t>检测项目（维护</w:t>
      </w:r>
      <w:r>
        <w:rPr>
          <w:rFonts w:hint="eastAsia" w:ascii="宋体" w:hAnsi="宋体" w:cs="宋体"/>
          <w:b/>
          <w:sz w:val="44"/>
          <w:szCs w:val="44"/>
          <w:u w:val="single"/>
          <w:lang w:val="en-US" w:eastAsia="zh-CN"/>
        </w:rPr>
        <w:t>后</w:t>
      </w:r>
      <w:r>
        <w:rPr>
          <w:rFonts w:hint="eastAsia" w:ascii="宋体" w:hAnsi="宋体" w:cs="宋体"/>
          <w:b/>
          <w:sz w:val="44"/>
          <w:szCs w:val="44"/>
          <w:u w:val="single"/>
        </w:rPr>
        <w:t>）</w:t>
      </w:r>
    </w:p>
    <w:p>
      <w:pPr>
        <w:jc w:val="center"/>
        <w:rPr>
          <w:rFonts w:ascii="宋体" w:hAnsi="宋体" w:cs="宋体"/>
          <w:b/>
          <w:sz w:val="44"/>
          <w:szCs w:val="44"/>
        </w:rPr>
      </w:pPr>
      <w:r>
        <w:rPr>
          <w:rFonts w:hint="eastAsia" w:ascii="宋体" w:hAnsi="宋体" w:cs="宋体"/>
          <w:b/>
          <w:sz w:val="44"/>
          <w:szCs w:val="44"/>
          <w:u w:val="single"/>
        </w:rPr>
        <w:t xml:space="preserve">竞争性比选申请文件 </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比选申请人单位名称全称（盖单位公章）</w:t>
      </w:r>
    </w:p>
    <w:p>
      <w:pPr>
        <w:spacing w:line="360" w:lineRule="auto"/>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ascii="宋体" w:hAnsi="宋体"/>
          <w:kern w:val="1"/>
          <w:sz w:val="32"/>
          <w:szCs w:val="32"/>
          <w:u w:val="single"/>
          <w:shd w:val="clear" w:color="auto" w:fill="FFFFFF"/>
        </w:rPr>
        <w:t>1</w:t>
      </w:r>
      <w:r>
        <w:rPr>
          <w:rFonts w:hint="eastAsia" w:ascii="宋体" w:hAnsi="宋体"/>
          <w:kern w:val="1"/>
          <w:sz w:val="32"/>
          <w:szCs w:val="32"/>
          <w:u w:val="single"/>
          <w:shd w:val="clear" w:color="auto" w:fill="FFFFFF"/>
        </w:rPr>
        <w:t>年   月   日</w:t>
      </w:r>
    </w:p>
    <w:p>
      <w:pPr>
        <w:jc w:val="center"/>
        <w:rPr>
          <w:rFonts w:ascii="宋体" w:hAnsi="宋体" w:cs="宋体"/>
          <w:sz w:val="32"/>
          <w:szCs w:val="32"/>
          <w:u w:val="single"/>
        </w:rPr>
      </w:pPr>
    </w:p>
    <w:p>
      <w:pPr>
        <w:pStyle w:val="26"/>
      </w:pPr>
    </w:p>
    <w:p>
      <w:pPr>
        <w:pStyle w:val="26"/>
      </w:pPr>
    </w:p>
    <w:p>
      <w:pPr>
        <w:jc w:val="center"/>
        <w:rPr>
          <w:rFonts w:ascii="宋体" w:hAnsi="宋体" w:cs="宋体"/>
          <w:sz w:val="32"/>
          <w:szCs w:val="32"/>
          <w:u w:val="single"/>
        </w:rPr>
      </w:pPr>
    </w:p>
    <w:p>
      <w:pPr>
        <w:tabs>
          <w:tab w:val="left" w:pos="900"/>
          <w:tab w:val="left" w:pos="1080"/>
        </w:tabs>
        <w:spacing w:line="300" w:lineRule="auto"/>
        <w:jc w:val="center"/>
        <w:outlineLvl w:val="0"/>
        <w:rPr>
          <w:rFonts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一、报价书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二、法定代表人身份证明及授权委托书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三、竞争性比选申请单位有效的营业执照的复印件</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四、商务部分</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五、技术部分</w:t>
      </w:r>
    </w:p>
    <w:p>
      <w:pPr>
        <w:tabs>
          <w:tab w:val="left" w:pos="900"/>
          <w:tab w:val="left" w:pos="1080"/>
        </w:tabs>
        <w:spacing w:line="360" w:lineRule="auto"/>
        <w:outlineLvl w:val="0"/>
        <w:rPr>
          <w:rFonts w:ascii="宋体" w:hAnsi="宋体" w:cs="宋体"/>
          <w:b/>
          <w:sz w:val="24"/>
          <w:szCs w:val="24"/>
        </w:rPr>
      </w:pPr>
      <w:r>
        <w:rPr>
          <w:rFonts w:hint="eastAsia" w:ascii="宋体" w:hAnsi="宋体" w:cs="宋体"/>
          <w:sz w:val="24"/>
          <w:szCs w:val="24"/>
        </w:rPr>
        <w:t>六、其他相关资料。</w:t>
      </w:r>
    </w:p>
    <w:p>
      <w:pPr>
        <w:tabs>
          <w:tab w:val="left" w:pos="900"/>
          <w:tab w:val="left" w:pos="1080"/>
        </w:tabs>
        <w:spacing w:line="300" w:lineRule="auto"/>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both"/>
        <w:outlineLvl w:val="2"/>
        <w:rPr>
          <w:rFonts w:ascii="宋体" w:hAnsi="宋体" w:cs="宋体"/>
          <w:b/>
          <w:sz w:val="28"/>
          <w:szCs w:val="28"/>
        </w:rPr>
        <w:sectPr>
          <w:pgSz w:w="11906" w:h="16838"/>
          <w:pgMar w:top="1418" w:right="1361" w:bottom="1418" w:left="1361" w:header="851" w:footer="992" w:gutter="0"/>
          <w:cols w:space="720" w:num="1"/>
          <w:docGrid w:type="lines" w:linePitch="312" w:charSpace="0"/>
        </w:sectPr>
      </w:pPr>
      <w:bookmarkStart w:id="32"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2"/>
    </w:p>
    <w:p>
      <w:pPr>
        <w:spacing w:line="440" w:lineRule="exact"/>
        <w:rPr>
          <w:rFonts w:ascii="宋体" w:hAnsi="宋体" w:cs="宋体"/>
          <w:szCs w:val="21"/>
        </w:rPr>
      </w:pPr>
      <w:r>
        <w:rPr>
          <w:rFonts w:hint="eastAsia" w:ascii="宋体" w:hAnsi="宋体" w:cs="宋体"/>
          <w:b/>
          <w:u w:val="single"/>
        </w:rPr>
        <w:t>致：重庆高速文化传媒股份有限公司</w:t>
      </w:r>
    </w:p>
    <w:p>
      <w:pPr>
        <w:spacing w:line="44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b/>
          <w:szCs w:val="21"/>
          <w:u w:val="single"/>
        </w:rPr>
        <w:t>重庆市高速公路2021年度广告牌检测项目（维护</w:t>
      </w:r>
      <w:r>
        <w:rPr>
          <w:rFonts w:hint="eastAsia" w:ascii="宋体" w:hAnsi="宋体" w:cs="宋体"/>
          <w:b/>
          <w:szCs w:val="21"/>
          <w:u w:val="single"/>
          <w:lang w:val="en-US" w:eastAsia="zh-CN"/>
        </w:rPr>
        <w:t>后</w:t>
      </w:r>
      <w:r>
        <w:rPr>
          <w:rFonts w:hint="eastAsia" w:ascii="宋体" w:hAnsi="宋体" w:cs="宋体"/>
          <w:b/>
          <w:szCs w:val="21"/>
          <w:u w:val="single"/>
        </w:rPr>
        <w:t>）竞争性比选文件</w:t>
      </w:r>
      <w:r>
        <w:rPr>
          <w:rFonts w:hint="eastAsia" w:ascii="宋体" w:hAnsi="宋体" w:cs="宋体"/>
          <w:szCs w:val="21"/>
        </w:rPr>
        <w:t>的全部内容，根据相关取费标准，愿意以竞标总报价</w:t>
      </w:r>
      <w:r>
        <w:rPr>
          <w:szCs w:val="21"/>
        </w:rPr>
        <w:t>（大写）</w:t>
      </w:r>
      <w:r>
        <w:rPr>
          <w:szCs w:val="21"/>
          <w:u w:val="single"/>
        </w:rPr>
        <w:t xml:space="preserve">         </w:t>
      </w:r>
      <w:r>
        <w:rPr>
          <w:szCs w:val="21"/>
        </w:rPr>
        <w:t>（¥</w:t>
      </w:r>
      <w:r>
        <w:rPr>
          <w:szCs w:val="21"/>
          <w:u w:val="single"/>
        </w:rPr>
        <w:t xml:space="preserve">           </w:t>
      </w:r>
      <w:r>
        <w:rPr>
          <w:rFonts w:hint="eastAsia"/>
          <w:szCs w:val="21"/>
          <w:u w:val="single"/>
        </w:rPr>
        <w:t>元</w:t>
      </w:r>
      <w:r>
        <w:rPr>
          <w:szCs w:val="21"/>
        </w:rPr>
        <w:t>）</w:t>
      </w:r>
      <w:r>
        <w:rPr>
          <w:rFonts w:hint="eastAsia" w:ascii="宋体" w:hAnsi="宋体" w:cs="宋体"/>
          <w:szCs w:val="21"/>
        </w:rPr>
        <w:t>，</w:t>
      </w:r>
      <w:r>
        <w:rPr>
          <w:rFonts w:hint="eastAsia"/>
          <w:szCs w:val="21"/>
        </w:rPr>
        <w:t>并按</w:t>
      </w:r>
      <w:r>
        <w:rPr>
          <w:szCs w:val="21"/>
        </w:rPr>
        <w:t>合同</w:t>
      </w:r>
      <w:r>
        <w:rPr>
          <w:rFonts w:hint="eastAsia"/>
          <w:szCs w:val="21"/>
        </w:rPr>
        <w:t>约定履行义务。</w:t>
      </w:r>
    </w:p>
    <w:p>
      <w:pPr>
        <w:spacing w:line="440" w:lineRule="exact"/>
        <w:ind w:firstLine="420" w:firstLineChars="200"/>
        <w:rPr>
          <w:rFonts w:ascii="宋体" w:hAnsi="宋体" w:cs="宋体"/>
          <w:szCs w:val="21"/>
        </w:rPr>
      </w:pPr>
      <w:r>
        <w:rPr>
          <w:rFonts w:hint="eastAsia" w:ascii="宋体" w:hAnsi="宋体" w:cs="宋体"/>
          <w:szCs w:val="21"/>
        </w:rPr>
        <w:t>2．工期：6</w:t>
      </w:r>
      <w:r>
        <w:rPr>
          <w:rFonts w:hint="eastAsia" w:ascii="宋体" w:hAnsi="宋体" w:cs="宋体"/>
          <w:szCs w:val="21"/>
          <w:u w:val="single"/>
        </w:rPr>
        <w:t>0日历天。</w:t>
      </w:r>
    </w:p>
    <w:p>
      <w:pPr>
        <w:spacing w:line="440" w:lineRule="exact"/>
        <w:ind w:firstLine="420" w:firstLineChars="200"/>
        <w:rPr>
          <w:rFonts w:ascii="宋体" w:hAnsi="宋体" w:cs="宋体"/>
          <w:szCs w:val="21"/>
        </w:rPr>
      </w:pPr>
      <w:r>
        <w:rPr>
          <w:rFonts w:hint="eastAsia" w:ascii="宋体" w:hAnsi="宋体" w:cs="宋体"/>
          <w:szCs w:val="21"/>
        </w:rPr>
        <w:t>3. 我方承诺在竞标有效期内不修改、撤销竞争性比选申请文件。</w:t>
      </w:r>
    </w:p>
    <w:p>
      <w:pPr>
        <w:spacing w:line="44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rPr>
        <w:t>我方在此声明，所递交的竞争性比选申请文件及有关资料内容完整、真实和准确。</w:t>
      </w:r>
    </w:p>
    <w:p>
      <w:pPr>
        <w:spacing w:line="440" w:lineRule="exact"/>
        <w:ind w:firstLine="420" w:firstLineChars="200"/>
        <w:rPr>
          <w:rFonts w:ascii="宋体" w:hAnsi="宋体" w:cs="宋体"/>
          <w:szCs w:val="21"/>
        </w:rPr>
      </w:pPr>
      <w:r>
        <w:rPr>
          <w:rFonts w:hint="eastAsia" w:ascii="宋体" w:hAnsi="宋体" w:cs="宋体"/>
          <w:szCs w:val="21"/>
        </w:rPr>
        <w:t>5．在合同协议书正式签署生效之前，本报价书连同你方的成交通知书将构成我们双方之间共同遵守的文件。对双方具有约束力。</w:t>
      </w:r>
    </w:p>
    <w:p>
      <w:pPr>
        <w:pStyle w:val="2"/>
        <w:rPr>
          <w:rFonts w:ascii="宋体" w:hAnsi="宋体" w:cs="宋体"/>
          <w:szCs w:val="21"/>
        </w:rPr>
      </w:pPr>
    </w:p>
    <w:p>
      <w:pPr>
        <w:jc w:val="center"/>
        <w:rPr>
          <w:rFonts w:hint="eastAsia" w:ascii="宋体" w:hAnsi="宋体" w:cs="宋体"/>
          <w:b/>
          <w:sz w:val="32"/>
          <w:szCs w:val="22"/>
        </w:rPr>
      </w:pPr>
      <w:r>
        <w:rPr>
          <w:rFonts w:hint="eastAsia" w:ascii="宋体" w:hAnsi="宋体" w:cs="宋体"/>
          <w:b/>
          <w:sz w:val="32"/>
          <w:szCs w:val="22"/>
        </w:rPr>
        <w:t>广告牌</w:t>
      </w:r>
      <w:r>
        <w:rPr>
          <w:rFonts w:hint="eastAsia" w:ascii="宋体" w:hAnsi="宋体" w:cs="宋体"/>
          <w:b/>
          <w:sz w:val="32"/>
          <w:szCs w:val="22"/>
          <w:lang w:val="en-US" w:eastAsia="zh-CN"/>
        </w:rPr>
        <w:t>检测</w:t>
      </w:r>
      <w:r>
        <w:rPr>
          <w:rFonts w:hint="eastAsia" w:ascii="宋体" w:hAnsi="宋体" w:cs="宋体"/>
          <w:b/>
          <w:sz w:val="32"/>
          <w:szCs w:val="22"/>
        </w:rPr>
        <w:t>点位清单</w:t>
      </w:r>
      <w:r>
        <w:rPr>
          <w:rFonts w:hint="eastAsia" w:ascii="宋体" w:hAnsi="宋体" w:cs="宋体"/>
          <w:b/>
          <w:sz w:val="32"/>
          <w:szCs w:val="22"/>
          <w:lang w:eastAsia="zh-CN"/>
        </w:rPr>
        <w:t>（</w:t>
      </w:r>
      <w:r>
        <w:rPr>
          <w:rFonts w:hint="eastAsia" w:ascii="宋体" w:hAnsi="宋体" w:cs="宋体"/>
          <w:b/>
          <w:sz w:val="32"/>
          <w:szCs w:val="22"/>
          <w:lang w:val="en-US" w:eastAsia="zh-CN"/>
        </w:rPr>
        <w:t>维护后</w:t>
      </w:r>
      <w:r>
        <w:rPr>
          <w:rFonts w:hint="eastAsia" w:ascii="宋体" w:hAnsi="宋体" w:cs="宋体"/>
          <w:b/>
          <w:sz w:val="32"/>
          <w:szCs w:val="22"/>
          <w:lang w:eastAsia="zh-CN"/>
        </w:rPr>
        <w:t>）</w:t>
      </w:r>
    </w:p>
    <w:tbl>
      <w:tblPr>
        <w:tblStyle w:val="2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5"/>
        <w:gridCol w:w="955"/>
        <w:gridCol w:w="2600"/>
        <w:gridCol w:w="955"/>
        <w:gridCol w:w="955"/>
        <w:gridCol w:w="955"/>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路段</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实际桩号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媒体类型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喷涂媒体编号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单块报价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施家梁立交</w:t>
            </w:r>
            <w:r>
              <w:rPr>
                <w:rStyle w:val="44"/>
                <w:rFonts w:eastAsia="宋体"/>
                <w:lang w:val="en-US" w:eastAsia="zh-CN" w:bidi="ar"/>
              </w:rPr>
              <w:t>RK7+100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RK27+800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渝邻立交</w:t>
            </w:r>
            <w:r>
              <w:rPr>
                <w:rStyle w:val="44"/>
                <w:rFonts w:eastAsia="宋体"/>
                <w:lang w:val="en-US" w:eastAsia="zh-CN" w:bidi="ar"/>
              </w:rPr>
              <w:t>LK29+600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LK47+700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RK47+900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忠兴立交</w:t>
            </w:r>
            <w:r>
              <w:rPr>
                <w:rStyle w:val="44"/>
                <w:rFonts w:eastAsia="宋体"/>
                <w:lang w:val="en-US" w:eastAsia="zh-CN" w:bidi="ar"/>
              </w:rPr>
              <w:t>RK76+700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渝黔立交</w:t>
            </w:r>
            <w:r>
              <w:rPr>
                <w:rStyle w:val="44"/>
                <w:rFonts w:eastAsia="宋体"/>
                <w:lang w:val="en-US" w:eastAsia="zh-CN" w:bidi="ar"/>
              </w:rPr>
              <w:t>LK94+900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成渝立交</w:t>
            </w:r>
            <w:r>
              <w:rPr>
                <w:rStyle w:val="44"/>
                <w:rFonts w:eastAsia="宋体"/>
                <w:lang w:val="en-US" w:eastAsia="zh-CN" w:bidi="ar"/>
              </w:rPr>
              <w:t>LK158+800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绕城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LK186+500</w:t>
            </w:r>
            <w:r>
              <w:rPr>
                <w:rStyle w:val="45"/>
                <w:lang w:val="en-US" w:eastAsia="zh-CN" w:bidi="ar"/>
              </w:rPr>
              <w:t>绕城北碚南立交</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S017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r>
              <w:rPr>
                <w:rStyle w:val="45"/>
                <w:lang w:val="en-US" w:eastAsia="zh-CN" w:bidi="ar"/>
              </w:rPr>
              <w:t>北环立交</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LK965+700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RK963+950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LK962+200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LK960+500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LK959+200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RK954+900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RK953+900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LK952+400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LK950+400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LK943+900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北碚立交</w:t>
            </w:r>
            <w:r>
              <w:rPr>
                <w:rStyle w:val="44"/>
                <w:rFonts w:eastAsia="宋体"/>
                <w:lang w:val="en-US" w:eastAsia="zh-CN" w:bidi="ar"/>
              </w:rPr>
              <w:t>LK941+800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r>
              <w:rPr>
                <w:rStyle w:val="44"/>
                <w:rFonts w:eastAsia="宋体"/>
                <w:lang w:val="en-US" w:eastAsia="zh-CN" w:bidi="ar"/>
              </w:rPr>
              <w:t>(</w:t>
            </w:r>
            <w:r>
              <w:rPr>
                <w:rStyle w:val="45"/>
                <w:lang w:val="en-US" w:eastAsia="zh-CN" w:bidi="ar"/>
              </w:rPr>
              <w:t>翻</w:t>
            </w:r>
            <w:r>
              <w:rPr>
                <w:rStyle w:val="44"/>
                <w:rFonts w:eastAsia="宋体"/>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缙云山立交</w:t>
            </w:r>
            <w:r>
              <w:rPr>
                <w:rStyle w:val="44"/>
                <w:rFonts w:eastAsia="宋体"/>
                <w:lang w:val="en-US" w:eastAsia="zh-CN" w:bidi="ar"/>
              </w:rPr>
              <w:t>LK939+500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K931+900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LK926+600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LK918+500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RK917+800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LK916+800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RK914+900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桃花街立交匝道</w:t>
            </w:r>
            <w:r>
              <w:rPr>
                <w:rStyle w:val="44"/>
                <w:rFonts w:eastAsia="宋体"/>
                <w:lang w:val="en-US" w:eastAsia="zh-CN" w:bidi="ar"/>
              </w:rPr>
              <w:t>RK1701+500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r>
              <w:rPr>
                <w:rStyle w:val="44"/>
                <w:rFonts w:eastAsia="宋体"/>
                <w:lang w:val="en-US" w:eastAsia="zh-CN" w:bidi="ar"/>
              </w:rPr>
              <w:t>(</w:t>
            </w:r>
            <w:r>
              <w:rPr>
                <w:rStyle w:val="45"/>
                <w:lang w:val="en-US" w:eastAsia="zh-CN" w:bidi="ar"/>
              </w:rPr>
              <w:t>翻</w:t>
            </w:r>
            <w:r>
              <w:rPr>
                <w:rStyle w:val="44"/>
                <w:rFonts w:eastAsia="宋体"/>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RK1695+950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RK1692+400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LK1691+150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长寿湖旅游高速</w:t>
            </w:r>
            <w:r>
              <w:rPr>
                <w:rStyle w:val="44"/>
                <w:rFonts w:eastAsia="宋体"/>
                <w:lang w:val="en-US" w:eastAsia="zh-CN" w:bidi="ar"/>
              </w:rPr>
              <w:t>LK8+400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合兴立交</w:t>
            </w:r>
            <w:r>
              <w:rPr>
                <w:rStyle w:val="44"/>
                <w:rFonts w:eastAsia="宋体"/>
                <w:lang w:val="en-US" w:eastAsia="zh-CN" w:bidi="ar"/>
              </w:rPr>
              <w:t>LK1681+900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RK1679+250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RK1664+800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LK1662+250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RK1660+550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RK1659+800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澄溪立交</w:t>
            </w:r>
            <w:r>
              <w:rPr>
                <w:rStyle w:val="44"/>
                <w:rFonts w:eastAsia="宋体"/>
                <w:lang w:val="en-US" w:eastAsia="zh-CN" w:bidi="ar"/>
              </w:rPr>
              <w:t>RK1655+400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澄溪立交</w:t>
            </w:r>
            <w:r>
              <w:rPr>
                <w:rStyle w:val="44"/>
                <w:rFonts w:eastAsia="宋体"/>
                <w:lang w:val="en-US" w:eastAsia="zh-CN" w:bidi="ar"/>
              </w:rPr>
              <w:t>LK1655+100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LK1652+650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RK1650+700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忠县立交</w:t>
            </w:r>
            <w:r>
              <w:rPr>
                <w:rStyle w:val="44"/>
                <w:rFonts w:eastAsia="宋体"/>
                <w:lang w:val="en-US" w:eastAsia="zh-CN" w:bidi="ar"/>
              </w:rPr>
              <w:t>K1581+100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RK1501+120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LK1501+120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万开</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南山隧道出</w:t>
            </w:r>
            <w:r>
              <w:rPr>
                <w:rStyle w:val="44"/>
                <w:rFonts w:eastAsia="宋体"/>
                <w:lang w:val="en-US" w:eastAsia="zh-CN" w:bidi="ar"/>
              </w:rPr>
              <w:t>K28+100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洞顶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万开</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K28+300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渝黔</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LK1014+750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RK0</w:t>
            </w:r>
            <w:r>
              <w:rPr>
                <w:rStyle w:val="45"/>
                <w:lang w:val="en-US" w:eastAsia="zh-CN" w:bidi="ar"/>
              </w:rPr>
              <w:t>母家湾立交</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RK8+500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RK11+600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綦万</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LK12+100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铜永</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龙水湖互通</w:t>
            </w:r>
            <w:r>
              <w:rPr>
                <w:rStyle w:val="44"/>
                <w:rFonts w:eastAsia="宋体"/>
                <w:lang w:val="en-US" w:eastAsia="zh-CN" w:bidi="ar"/>
              </w:rPr>
              <w:t>RK43+900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铜永</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三教互通</w:t>
            </w:r>
            <w:r>
              <w:rPr>
                <w:rStyle w:val="44"/>
                <w:rFonts w:eastAsia="宋体"/>
                <w:lang w:val="en-US" w:eastAsia="zh-CN" w:bidi="ar"/>
              </w:rPr>
              <w:t>LK50+400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铜永</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双石服务区</w:t>
            </w:r>
            <w:r>
              <w:rPr>
                <w:rStyle w:val="44"/>
                <w:rFonts w:eastAsia="宋体"/>
                <w:lang w:val="en-US" w:eastAsia="zh-CN" w:bidi="ar"/>
              </w:rPr>
              <w:t>LK60+200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渝广</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LK1168+650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渝广</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静观服务区</w:t>
            </w:r>
            <w:r>
              <w:rPr>
                <w:rStyle w:val="44"/>
                <w:rFonts w:eastAsia="宋体"/>
                <w:lang w:val="en-US" w:eastAsia="zh-CN" w:bidi="ar"/>
              </w:rPr>
              <w:t>RK1159+900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w:t>
            </w:r>
            <w:r>
              <w:rPr>
                <w:rStyle w:val="45"/>
                <w:lang w:val="en-US" w:eastAsia="zh-CN" w:bidi="ar"/>
              </w:rPr>
              <w:t>收费站匝道口</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RK1532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RK1530+800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渝邻</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RK1496+500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LK1617+600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LK1616+350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LK1615+300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RK1614+600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RK1613+020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垫江立交</w:t>
            </w:r>
            <w:r>
              <w:rPr>
                <w:rStyle w:val="44"/>
                <w:rFonts w:eastAsia="宋体"/>
                <w:lang w:val="en-US" w:eastAsia="zh-CN" w:bidi="ar"/>
              </w:rPr>
              <w:t>LK1610+500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LK1608+020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RK1607+700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LK1607+150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LK1605+800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RK1551+900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LK1545+900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T057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RK1615+750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RK1504+600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K1500+100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K1499+900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LK1496+600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大桥头</w:t>
            </w:r>
            <w:r>
              <w:rPr>
                <w:rStyle w:val="44"/>
                <w:rFonts w:eastAsia="宋体"/>
                <w:lang w:val="en-US" w:eastAsia="zh-CN" w:bidi="ar"/>
              </w:rPr>
              <w:t>RK1494+650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T079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万州收费站出口左侧</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LK1487+900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天城立交</w:t>
            </w:r>
            <w:r>
              <w:rPr>
                <w:rStyle w:val="44"/>
                <w:rFonts w:eastAsia="宋体"/>
                <w:lang w:val="en-US" w:eastAsia="zh-CN" w:bidi="ar"/>
              </w:rPr>
              <w:t>LK1472+650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开县立交</w:t>
            </w:r>
            <w:r>
              <w:rPr>
                <w:rStyle w:val="44"/>
                <w:rFonts w:eastAsia="宋体"/>
                <w:lang w:val="en-US" w:eastAsia="zh-CN" w:bidi="ar"/>
              </w:rPr>
              <w:t>LK1461+200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RK1445+650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LK1444+500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T117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LK1440+550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LK1436+900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RK1435+400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云阳立交</w:t>
            </w:r>
            <w:r>
              <w:rPr>
                <w:rStyle w:val="44"/>
                <w:rFonts w:eastAsia="宋体"/>
                <w:lang w:val="en-US" w:eastAsia="zh-CN" w:bidi="ar"/>
              </w:rPr>
              <w:t>RK1434+700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S007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LK1434+650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沪蓉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LK1362+550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RK1587+800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RK1589+900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LK1590+100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RK1590+100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特殊造型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LK1591+300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LK1591+800</w:t>
            </w:r>
            <w:r>
              <w:rPr>
                <w:rStyle w:val="45"/>
                <w:lang w:val="en-US" w:eastAsia="zh-CN" w:bidi="ar"/>
              </w:rPr>
              <w:t>界石服务区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RK1592+200</w:t>
            </w:r>
            <w:r>
              <w:rPr>
                <w:rStyle w:val="45"/>
                <w:lang w:val="en-US" w:eastAsia="zh-CN" w:bidi="ar"/>
              </w:rPr>
              <w:t>界石服务区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RK1592+800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渝湘绕城互通</w:t>
            </w:r>
            <w:r>
              <w:rPr>
                <w:rStyle w:val="44"/>
                <w:rFonts w:eastAsia="宋体"/>
                <w:lang w:val="en-US" w:eastAsia="zh-CN" w:bidi="ar"/>
              </w:rPr>
              <w:t>RK1594+100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南彭立交</w:t>
            </w:r>
            <w:r>
              <w:rPr>
                <w:rStyle w:val="44"/>
                <w:rFonts w:eastAsia="宋体"/>
                <w:lang w:val="en-US" w:eastAsia="zh-CN" w:bidi="ar"/>
              </w:rPr>
              <w:t>LK1596+100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RK1601+400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RK1630+250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K1639+500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南川收费站右侧</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LK1646+500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LK1676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T063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LK1830+250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T093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RK1860+700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T102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秀山立交</w:t>
            </w:r>
            <w:r>
              <w:rPr>
                <w:rStyle w:val="44"/>
                <w:rFonts w:eastAsia="宋体"/>
                <w:lang w:val="en-US" w:eastAsia="zh-CN" w:bidi="ar"/>
              </w:rPr>
              <w:t>RK1970+650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T124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RK11+350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RK14+100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RK16+600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T009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LK31+20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渝蓉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LK38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两面体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T016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bl>
    <w:p>
      <w:pPr>
        <w:spacing w:line="440" w:lineRule="exact"/>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rPr>
      </w:pPr>
    </w:p>
    <w:p>
      <w:pPr>
        <w:spacing w:line="440" w:lineRule="exact"/>
        <w:rPr>
          <w:rFonts w:hint="eastAsia" w:ascii="宋体" w:hAnsi="宋体" w:cs="宋体"/>
          <w:szCs w:val="21"/>
        </w:rPr>
      </w:pPr>
    </w:p>
    <w:p>
      <w:pPr>
        <w:spacing w:line="44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比选申请人：</w:t>
      </w:r>
      <w:r>
        <w:rPr>
          <w:rFonts w:hint="eastAsia" w:ascii="宋体" w:hAnsi="宋体" w:cs="宋体"/>
          <w:szCs w:val="21"/>
          <w:u w:val="single"/>
        </w:rPr>
        <w:t xml:space="preserve">                      </w:t>
      </w:r>
      <w:r>
        <w:rPr>
          <w:rFonts w:hint="eastAsia" w:ascii="宋体" w:hAnsi="宋体" w:cs="宋体"/>
          <w:szCs w:val="21"/>
        </w:rPr>
        <w:t>（盖单位章）</w:t>
      </w:r>
    </w:p>
    <w:p>
      <w:pPr>
        <w:pStyle w:val="2"/>
      </w:pP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p>
    <w:p>
      <w:pPr>
        <w:pStyle w:val="2"/>
      </w:pPr>
    </w:p>
    <w:p>
      <w:pPr>
        <w:spacing w:line="400" w:lineRule="atLeas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26"/>
        <w:rPr>
          <w:rFonts w:ascii="宋体" w:hAnsi="宋体" w:cs="宋体"/>
          <w:b/>
          <w:color w:val="auto"/>
        </w:rPr>
      </w:pPr>
    </w:p>
    <w:p>
      <w:pPr>
        <w:pStyle w:val="26"/>
      </w:pPr>
    </w:p>
    <w:p>
      <w:pPr>
        <w:spacing w:line="440" w:lineRule="exact"/>
        <w:outlineLvl w:val="1"/>
        <w:rPr>
          <w:rFonts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rFonts w:ascii="宋体" w:hAnsi="宋体" w:cs="宋体"/>
          <w:b/>
          <w:szCs w:val="21"/>
        </w:rPr>
      </w:pPr>
      <w:bookmarkStart w:id="33" w:name="_Toc262547328"/>
      <w:r>
        <w:rPr>
          <w:rFonts w:hint="eastAsia" w:ascii="宋体" w:hAnsi="宋体" w:cs="宋体"/>
          <w:b/>
          <w:szCs w:val="21"/>
        </w:rPr>
        <w:t>（一）法定代表人身份证明</w:t>
      </w:r>
      <w:bookmarkEnd w:id="33"/>
    </w:p>
    <w:p>
      <w:pPr>
        <w:spacing w:line="440" w:lineRule="exact"/>
        <w:rPr>
          <w:rFonts w:ascii="宋体" w:hAnsi="宋体" w:cs="宋体"/>
          <w:szCs w:val="21"/>
        </w:rPr>
      </w:pPr>
      <w:r>
        <w:rPr>
          <w:rFonts w:hint="eastAsia" w:ascii="宋体" w:hAnsi="宋体" w:cs="宋体"/>
          <w:szCs w:val="21"/>
        </w:rPr>
        <w:t>比选申请人名称：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（比选申请人名称）的法定代表人。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比选申请人：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ascii="宋体" w:hAnsi="宋体" w:cs="宋体"/>
          <w:szCs w:val="21"/>
        </w:rPr>
      </w:pPr>
    </w:p>
    <w:p>
      <w:pPr>
        <w:ind w:firstLine="105" w:firstLineChars="50"/>
        <w:rPr>
          <w:rFonts w:ascii="宋体" w:hAnsi="宋体" w:cs="宋体"/>
          <w:szCs w:val="21"/>
        </w:rPr>
      </w:pPr>
    </w:p>
    <w:p>
      <w:pPr>
        <w:pStyle w:val="26"/>
        <w:rPr>
          <w:rFonts w:ascii="宋体" w:hAnsi="宋体" w:cs="宋体"/>
          <w:color w:val="auto"/>
          <w:szCs w:val="21"/>
        </w:rPr>
      </w:pPr>
    </w:p>
    <w:p>
      <w:pPr>
        <w:pStyle w:val="26"/>
        <w:rPr>
          <w:rFonts w:ascii="宋体" w:hAnsi="宋体" w:cs="宋体"/>
          <w:color w:val="auto"/>
          <w:szCs w:val="21"/>
        </w:rPr>
      </w:pPr>
    </w:p>
    <w:p>
      <w:pPr>
        <w:pStyle w:val="26"/>
        <w:rPr>
          <w:rFonts w:ascii="宋体" w:hAnsi="宋体" w:cs="宋体"/>
          <w:color w:val="auto"/>
          <w:szCs w:val="21"/>
        </w:rPr>
      </w:pPr>
    </w:p>
    <w:p>
      <w:pPr>
        <w:ind w:firstLine="105" w:firstLineChars="50"/>
        <w:rPr>
          <w:rFonts w:ascii="宋体" w:hAnsi="宋体" w:cs="宋体"/>
          <w:szCs w:val="21"/>
        </w:rPr>
      </w:pPr>
    </w:p>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注：法定代表人的签字必须是亲笔签名，不得用印章、签名章或其他电子制版签名。</w:t>
      </w:r>
    </w:p>
    <w:p>
      <w:pPr>
        <w:ind w:firstLine="105" w:firstLineChars="50"/>
        <w:rPr>
          <w:rFonts w:ascii="宋体" w:hAnsi="宋体" w:cs="宋体"/>
          <w:szCs w:val="21"/>
        </w:rPr>
      </w:pP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zCs w:val="21"/>
        </w:rPr>
        <w:t>比选申请人</w:t>
      </w:r>
      <w:r>
        <w:rPr>
          <w:rFonts w:hint="eastAsia" w:ascii="宋体" w:hAnsi="宋体" w:cs="宋体"/>
          <w:kern w:val="0"/>
          <w:szCs w:val="21"/>
        </w:rPr>
        <w:t>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6"/>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三、比选申请单位有效的营业执照的复印件</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sectPr>
          <w:headerReference r:id="rId5" w:type="default"/>
          <w:footerReference r:id="rId6" w:type="default"/>
          <w:pgSz w:w="11906" w:h="16838"/>
          <w:pgMar w:top="1134" w:right="1803" w:bottom="992" w:left="1803" w:header="851" w:footer="992" w:gutter="0"/>
          <w:cols w:space="0" w:num="1"/>
          <w:docGrid w:type="lines" w:linePitch="319" w:charSpace="0"/>
        </w:sectPr>
      </w:pPr>
      <w:r>
        <w:rPr>
          <w:rFonts w:hint="eastAsia" w:ascii="宋体" w:hAnsi="宋体" w:cs="宋体"/>
          <w:b/>
          <w:sz w:val="28"/>
          <w:szCs w:val="28"/>
        </w:rPr>
        <w:t>四、商务部分</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五、技术部分</w:t>
      </w:r>
    </w:p>
    <w:p>
      <w:pPr>
        <w:spacing w:before="159" w:beforeLines="50" w:line="360" w:lineRule="auto"/>
        <w:outlineLvl w:val="0"/>
        <w:rPr>
          <w:rFonts w:ascii="宋体" w:hAnsi="宋体" w:cs="宋体"/>
          <w:bCs/>
          <w:szCs w:val="21"/>
        </w:rPr>
      </w:pPr>
      <w:r>
        <w:rPr>
          <w:rFonts w:hint="eastAsia" w:ascii="宋体" w:hAnsi="宋体" w:cs="宋体"/>
          <w:bCs/>
          <w:szCs w:val="21"/>
        </w:rPr>
        <w:t>注：由比选申请人根据竞争性比选文件自行编制，格式自拟。</w:t>
      </w:r>
    </w:p>
    <w:p>
      <w:pPr>
        <w:outlineLvl w:val="0"/>
        <w:rPr>
          <w:rFonts w:ascii="宋体" w:hAnsi="宋体" w:cs="宋体"/>
          <w:b/>
          <w:sz w:val="24"/>
        </w:rPr>
      </w:pPr>
    </w:p>
    <w:p>
      <w:pPr>
        <w:ind w:right="700"/>
        <w:jc w:val="left"/>
        <w:rPr>
          <w:rFonts w:ascii="宋体" w:hAnsi="宋体" w:cs="宋体"/>
          <w:b/>
          <w:sz w:val="30"/>
          <w:szCs w:val="30"/>
        </w:rPr>
      </w:pPr>
    </w:p>
    <w:p>
      <w:pPr>
        <w:outlineLvl w:val="0"/>
        <w:rPr>
          <w:rFonts w:ascii="宋体" w:hAnsi="宋体" w:cs="宋体"/>
          <w:b/>
          <w:sz w:val="24"/>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六、其他相关资料</w:t>
      </w:r>
    </w:p>
    <w:p>
      <w:pPr>
        <w:jc w:val="center"/>
        <w:outlineLvl w:val="0"/>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pStyle w:val="26"/>
        <w:rPr>
          <w:rFonts w:ascii="宋体" w:hAnsi="宋体" w:cs="宋体"/>
          <w:b/>
          <w:sz w:val="30"/>
          <w:szCs w:val="30"/>
        </w:rPr>
      </w:pPr>
    </w:p>
    <w:p>
      <w:pPr>
        <w:jc w:val="center"/>
        <w:outlineLvl w:val="0"/>
        <w:rPr>
          <w:rFonts w:ascii="宋体" w:hAnsi="宋体" w:cs="宋体"/>
          <w:bCs/>
          <w:sz w:val="24"/>
          <w:szCs w:val="24"/>
        </w:rPr>
      </w:pPr>
      <w:r>
        <w:rPr>
          <w:rFonts w:hint="eastAsia" w:ascii="宋体" w:hAnsi="宋体" w:cs="宋体"/>
          <w:bCs/>
          <w:sz w:val="24"/>
          <w:szCs w:val="24"/>
        </w:rPr>
        <w:t>（结束）</w:t>
      </w:r>
    </w:p>
    <w:p>
      <w:pPr>
        <w:pStyle w:val="26"/>
        <w:rPr>
          <w:sz w:val="32"/>
          <w:szCs w:val="32"/>
        </w:rPr>
      </w:pPr>
    </w:p>
    <w:sectPr>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ialog . plain">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ind w:right="280"/>
      <w:jc w:val="right"/>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4806950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wordWrap w:val="0"/>
                            <w:ind w:right="280"/>
                            <w:jc w:val="right"/>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3</w:t>
                          </w:r>
                          <w:r>
                            <w:rPr>
                              <w:rFonts w:ascii="宋体" w:hAnsi="宋体"/>
                              <w:sz w:val="28"/>
                            </w:rPr>
                            <w:fldChar w:fldCharType="end"/>
                          </w:r>
                          <w:r>
                            <w:rPr>
                              <w:rFonts w:hint="eastAsia" w:ascii="宋体" w:hAnsi="宋体"/>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378.5pt;margin-top:0pt;height:144pt;width:144pt;mso-position-horizontal-relative:margin;mso-wrap-style:none;z-index:251661312;mso-width-relative:page;mso-height-relative:page;" filled="f" stroked="f" coordsize="21600,21600" o:gfxdata="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2xEdUAAAAJAQAADwAA&#10;AAAAAAABACAAAAAiAAAAZHJzL2Rvd25yZXYueG1sUEsBAhQAFAAAAAgAh07iQKNfitanAQAAPwMA&#10;AA4AAAAAAAAAAQAgAAAAJAEAAGRycy9lMm9Eb2MueG1sUEsFBgAAAAAGAAYAWQEAAD0FAAAAAA==&#10;">
              <v:fill on="f" focussize="0,0"/>
              <v:stroke on="f"/>
              <v:imagedata o:title=""/>
              <o:lock v:ext="edit" aspectratio="f"/>
              <v:textbox inset="0mm,0mm,0mm,0mm" style="mso-fit-shape-to-text:t;">
                <w:txbxContent>
                  <w:p>
                    <w:pPr>
                      <w:pStyle w:val="13"/>
                      <w:wordWrap w:val="0"/>
                      <w:ind w:right="280"/>
                      <w:jc w:val="right"/>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3</w:t>
                    </w:r>
                    <w:r>
                      <w:rPr>
                        <w:rFonts w:ascii="宋体" w:hAnsi="宋体"/>
                        <w:sz w:val="28"/>
                      </w:rPr>
                      <w:fldChar w:fldCharType="end"/>
                    </w:r>
                    <w:r>
                      <w:rPr>
                        <w:rFonts w:hint="eastAsia"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1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abstractNum w:abstractNumId="3">
    <w:nsid w:val="60A2264B"/>
    <w:multiLevelType w:val="singleLevel"/>
    <w:tmpl w:val="60A2264B"/>
    <w:lvl w:ilvl="0" w:tentative="0">
      <w:start w:val="6"/>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2"/>
    <w:rsid w:val="00004646"/>
    <w:rsid w:val="00010F59"/>
    <w:rsid w:val="00052161"/>
    <w:rsid w:val="00080F66"/>
    <w:rsid w:val="00085B45"/>
    <w:rsid w:val="000A136C"/>
    <w:rsid w:val="000B7FD5"/>
    <w:rsid w:val="000C005E"/>
    <w:rsid w:val="000C0D33"/>
    <w:rsid w:val="000D6F20"/>
    <w:rsid w:val="000F6D16"/>
    <w:rsid w:val="001303E4"/>
    <w:rsid w:val="001349B2"/>
    <w:rsid w:val="00140013"/>
    <w:rsid w:val="00147740"/>
    <w:rsid w:val="00162633"/>
    <w:rsid w:val="00163C59"/>
    <w:rsid w:val="00172886"/>
    <w:rsid w:val="00180DFC"/>
    <w:rsid w:val="00196CDB"/>
    <w:rsid w:val="001B45AB"/>
    <w:rsid w:val="001B53B9"/>
    <w:rsid w:val="001D168F"/>
    <w:rsid w:val="002265A8"/>
    <w:rsid w:val="00262177"/>
    <w:rsid w:val="00280D93"/>
    <w:rsid w:val="002C237B"/>
    <w:rsid w:val="002C68A8"/>
    <w:rsid w:val="003005E4"/>
    <w:rsid w:val="0031340B"/>
    <w:rsid w:val="00326C02"/>
    <w:rsid w:val="00331498"/>
    <w:rsid w:val="00337B43"/>
    <w:rsid w:val="00347234"/>
    <w:rsid w:val="00350351"/>
    <w:rsid w:val="00353E90"/>
    <w:rsid w:val="003E1A9B"/>
    <w:rsid w:val="003E71B6"/>
    <w:rsid w:val="00400D70"/>
    <w:rsid w:val="00406A61"/>
    <w:rsid w:val="00413BC5"/>
    <w:rsid w:val="00443D9B"/>
    <w:rsid w:val="00455E35"/>
    <w:rsid w:val="00457C10"/>
    <w:rsid w:val="004641CE"/>
    <w:rsid w:val="00470CB9"/>
    <w:rsid w:val="00497C3E"/>
    <w:rsid w:val="004F06A0"/>
    <w:rsid w:val="0050544D"/>
    <w:rsid w:val="00514C47"/>
    <w:rsid w:val="0052536E"/>
    <w:rsid w:val="00533946"/>
    <w:rsid w:val="00562B93"/>
    <w:rsid w:val="00580211"/>
    <w:rsid w:val="00583DEE"/>
    <w:rsid w:val="00584DEB"/>
    <w:rsid w:val="00586052"/>
    <w:rsid w:val="0058694C"/>
    <w:rsid w:val="00593ED1"/>
    <w:rsid w:val="00596645"/>
    <w:rsid w:val="005A2B83"/>
    <w:rsid w:val="005A590A"/>
    <w:rsid w:val="005B4127"/>
    <w:rsid w:val="005B5EE1"/>
    <w:rsid w:val="006144AA"/>
    <w:rsid w:val="00631717"/>
    <w:rsid w:val="00631DAC"/>
    <w:rsid w:val="00634F45"/>
    <w:rsid w:val="00642669"/>
    <w:rsid w:val="00652419"/>
    <w:rsid w:val="006864AD"/>
    <w:rsid w:val="006C3A27"/>
    <w:rsid w:val="006C647E"/>
    <w:rsid w:val="00714838"/>
    <w:rsid w:val="00724D41"/>
    <w:rsid w:val="007250A8"/>
    <w:rsid w:val="00743B0F"/>
    <w:rsid w:val="0075234D"/>
    <w:rsid w:val="00771966"/>
    <w:rsid w:val="007A0342"/>
    <w:rsid w:val="007C6A70"/>
    <w:rsid w:val="007C76CB"/>
    <w:rsid w:val="007D150F"/>
    <w:rsid w:val="0084479A"/>
    <w:rsid w:val="00847D61"/>
    <w:rsid w:val="008A4065"/>
    <w:rsid w:val="008A55E1"/>
    <w:rsid w:val="008D0596"/>
    <w:rsid w:val="008D4CE7"/>
    <w:rsid w:val="00904386"/>
    <w:rsid w:val="00904452"/>
    <w:rsid w:val="00904D74"/>
    <w:rsid w:val="009158BF"/>
    <w:rsid w:val="00921D48"/>
    <w:rsid w:val="00934353"/>
    <w:rsid w:val="00951777"/>
    <w:rsid w:val="00964CA9"/>
    <w:rsid w:val="0098004F"/>
    <w:rsid w:val="009A232F"/>
    <w:rsid w:val="009D0402"/>
    <w:rsid w:val="009D69CD"/>
    <w:rsid w:val="00A178B8"/>
    <w:rsid w:val="00A64F10"/>
    <w:rsid w:val="00A96478"/>
    <w:rsid w:val="00AB76E4"/>
    <w:rsid w:val="00B13C5C"/>
    <w:rsid w:val="00B15CB2"/>
    <w:rsid w:val="00B2606A"/>
    <w:rsid w:val="00B43647"/>
    <w:rsid w:val="00B46E20"/>
    <w:rsid w:val="00B87854"/>
    <w:rsid w:val="00B941DB"/>
    <w:rsid w:val="00BC523A"/>
    <w:rsid w:val="00BE712E"/>
    <w:rsid w:val="00BE77A9"/>
    <w:rsid w:val="00BF0C9C"/>
    <w:rsid w:val="00BF25B8"/>
    <w:rsid w:val="00BF68D6"/>
    <w:rsid w:val="00C23B8E"/>
    <w:rsid w:val="00C25A81"/>
    <w:rsid w:val="00C2722C"/>
    <w:rsid w:val="00C40BE2"/>
    <w:rsid w:val="00C43F47"/>
    <w:rsid w:val="00C753D8"/>
    <w:rsid w:val="00CA7D17"/>
    <w:rsid w:val="00CB563F"/>
    <w:rsid w:val="00CB7807"/>
    <w:rsid w:val="00CD6604"/>
    <w:rsid w:val="00CE3658"/>
    <w:rsid w:val="00CF5A22"/>
    <w:rsid w:val="00D17110"/>
    <w:rsid w:val="00D22BC9"/>
    <w:rsid w:val="00D36A39"/>
    <w:rsid w:val="00D8438B"/>
    <w:rsid w:val="00D91BC1"/>
    <w:rsid w:val="00D936DB"/>
    <w:rsid w:val="00DD6010"/>
    <w:rsid w:val="00DD6D54"/>
    <w:rsid w:val="00DE22EF"/>
    <w:rsid w:val="00E0245A"/>
    <w:rsid w:val="00E0267A"/>
    <w:rsid w:val="00E10A36"/>
    <w:rsid w:val="00E16F76"/>
    <w:rsid w:val="00E21D39"/>
    <w:rsid w:val="00E27426"/>
    <w:rsid w:val="00E31194"/>
    <w:rsid w:val="00E51A5F"/>
    <w:rsid w:val="00E745CF"/>
    <w:rsid w:val="00E87C8C"/>
    <w:rsid w:val="00E97A44"/>
    <w:rsid w:val="00EA3A2A"/>
    <w:rsid w:val="00EA76C6"/>
    <w:rsid w:val="00EC16EA"/>
    <w:rsid w:val="00ED3BEC"/>
    <w:rsid w:val="00EE66F1"/>
    <w:rsid w:val="00F13359"/>
    <w:rsid w:val="00F20D2E"/>
    <w:rsid w:val="00F24228"/>
    <w:rsid w:val="00F279FA"/>
    <w:rsid w:val="00F43BBB"/>
    <w:rsid w:val="00F67500"/>
    <w:rsid w:val="00F93B06"/>
    <w:rsid w:val="00FC153F"/>
    <w:rsid w:val="01961E76"/>
    <w:rsid w:val="01C33986"/>
    <w:rsid w:val="01E30E32"/>
    <w:rsid w:val="04C56F2C"/>
    <w:rsid w:val="04FD2953"/>
    <w:rsid w:val="05EC1036"/>
    <w:rsid w:val="0613083A"/>
    <w:rsid w:val="067A4936"/>
    <w:rsid w:val="081F66E2"/>
    <w:rsid w:val="087D4261"/>
    <w:rsid w:val="09262D42"/>
    <w:rsid w:val="0A6A3021"/>
    <w:rsid w:val="0B603474"/>
    <w:rsid w:val="0D2A5A49"/>
    <w:rsid w:val="0D2C1561"/>
    <w:rsid w:val="0EA17421"/>
    <w:rsid w:val="0EEF0756"/>
    <w:rsid w:val="0F153B79"/>
    <w:rsid w:val="10C3570B"/>
    <w:rsid w:val="111B3C15"/>
    <w:rsid w:val="1148744B"/>
    <w:rsid w:val="11653F1B"/>
    <w:rsid w:val="11CF4AC4"/>
    <w:rsid w:val="11EF71BC"/>
    <w:rsid w:val="120F0685"/>
    <w:rsid w:val="1249678F"/>
    <w:rsid w:val="125E7E19"/>
    <w:rsid w:val="126462AD"/>
    <w:rsid w:val="14564966"/>
    <w:rsid w:val="15A02363"/>
    <w:rsid w:val="164F16F9"/>
    <w:rsid w:val="17F2442C"/>
    <w:rsid w:val="1839297A"/>
    <w:rsid w:val="193F1C98"/>
    <w:rsid w:val="1A7B4ECF"/>
    <w:rsid w:val="1A841A50"/>
    <w:rsid w:val="1A8D6401"/>
    <w:rsid w:val="1B0E6579"/>
    <w:rsid w:val="1B0F01F6"/>
    <w:rsid w:val="1BA00F7C"/>
    <w:rsid w:val="1C462A44"/>
    <w:rsid w:val="1C7D2486"/>
    <w:rsid w:val="1C7E676E"/>
    <w:rsid w:val="1E2E42A9"/>
    <w:rsid w:val="1ED1659F"/>
    <w:rsid w:val="1F3B1907"/>
    <w:rsid w:val="1F4A59F6"/>
    <w:rsid w:val="1F56045D"/>
    <w:rsid w:val="1FD60C51"/>
    <w:rsid w:val="20176E75"/>
    <w:rsid w:val="201877AF"/>
    <w:rsid w:val="21085204"/>
    <w:rsid w:val="21C92B08"/>
    <w:rsid w:val="22EE2DDD"/>
    <w:rsid w:val="230446D1"/>
    <w:rsid w:val="245D6F32"/>
    <w:rsid w:val="24726124"/>
    <w:rsid w:val="24E0071E"/>
    <w:rsid w:val="250448C0"/>
    <w:rsid w:val="25716ED2"/>
    <w:rsid w:val="25CB06FA"/>
    <w:rsid w:val="27190631"/>
    <w:rsid w:val="272C2995"/>
    <w:rsid w:val="275E0EAF"/>
    <w:rsid w:val="27901E9E"/>
    <w:rsid w:val="28837325"/>
    <w:rsid w:val="292276AE"/>
    <w:rsid w:val="295B2EF3"/>
    <w:rsid w:val="296E760A"/>
    <w:rsid w:val="2A960315"/>
    <w:rsid w:val="2B982E89"/>
    <w:rsid w:val="2D332632"/>
    <w:rsid w:val="2D7476C7"/>
    <w:rsid w:val="2EC808C5"/>
    <w:rsid w:val="2FDF6B4D"/>
    <w:rsid w:val="2FF3587C"/>
    <w:rsid w:val="30FB1958"/>
    <w:rsid w:val="315F60DB"/>
    <w:rsid w:val="31626A4C"/>
    <w:rsid w:val="318E266F"/>
    <w:rsid w:val="34AE58E3"/>
    <w:rsid w:val="34F05C42"/>
    <w:rsid w:val="351A2503"/>
    <w:rsid w:val="365F33BE"/>
    <w:rsid w:val="367B31B0"/>
    <w:rsid w:val="36AE13BE"/>
    <w:rsid w:val="375C0BD1"/>
    <w:rsid w:val="37A46CA4"/>
    <w:rsid w:val="392C3D11"/>
    <w:rsid w:val="392E696A"/>
    <w:rsid w:val="39D851A9"/>
    <w:rsid w:val="39E74BCA"/>
    <w:rsid w:val="3A3D58C9"/>
    <w:rsid w:val="3ADC35F8"/>
    <w:rsid w:val="3B1005E7"/>
    <w:rsid w:val="3B67652C"/>
    <w:rsid w:val="3BAA48A0"/>
    <w:rsid w:val="3C655C06"/>
    <w:rsid w:val="3CF23E93"/>
    <w:rsid w:val="3CF4290C"/>
    <w:rsid w:val="3E192E7F"/>
    <w:rsid w:val="3E3625C8"/>
    <w:rsid w:val="3E43205A"/>
    <w:rsid w:val="3E5C4A92"/>
    <w:rsid w:val="3E991647"/>
    <w:rsid w:val="3FFC0CFF"/>
    <w:rsid w:val="40AA5208"/>
    <w:rsid w:val="41437B32"/>
    <w:rsid w:val="41A55153"/>
    <w:rsid w:val="41C84B42"/>
    <w:rsid w:val="420139C9"/>
    <w:rsid w:val="424129FF"/>
    <w:rsid w:val="42834838"/>
    <w:rsid w:val="42D66825"/>
    <w:rsid w:val="443760D8"/>
    <w:rsid w:val="443A73A0"/>
    <w:rsid w:val="44A65591"/>
    <w:rsid w:val="44FA186B"/>
    <w:rsid w:val="45E80850"/>
    <w:rsid w:val="466D1AA0"/>
    <w:rsid w:val="46821403"/>
    <w:rsid w:val="4895463E"/>
    <w:rsid w:val="48DE1F62"/>
    <w:rsid w:val="49080AA3"/>
    <w:rsid w:val="496B5C16"/>
    <w:rsid w:val="49A1466A"/>
    <w:rsid w:val="49DE610F"/>
    <w:rsid w:val="4A3B28AB"/>
    <w:rsid w:val="4ABA3AA5"/>
    <w:rsid w:val="4B2B3E23"/>
    <w:rsid w:val="4B8F14F1"/>
    <w:rsid w:val="4BB24BB7"/>
    <w:rsid w:val="4C773FCD"/>
    <w:rsid w:val="4C7D3F5D"/>
    <w:rsid w:val="4CF820F5"/>
    <w:rsid w:val="4D576A61"/>
    <w:rsid w:val="4D861BD0"/>
    <w:rsid w:val="4DE21394"/>
    <w:rsid w:val="4DFE7D7A"/>
    <w:rsid w:val="4E450DB8"/>
    <w:rsid w:val="4F060E77"/>
    <w:rsid w:val="4F7F5F27"/>
    <w:rsid w:val="4FA74940"/>
    <w:rsid w:val="4FC56A09"/>
    <w:rsid w:val="50095BAE"/>
    <w:rsid w:val="50770867"/>
    <w:rsid w:val="50DF01AD"/>
    <w:rsid w:val="510210D6"/>
    <w:rsid w:val="520E21C2"/>
    <w:rsid w:val="5299202C"/>
    <w:rsid w:val="52CE23C3"/>
    <w:rsid w:val="53216A84"/>
    <w:rsid w:val="54E900B1"/>
    <w:rsid w:val="55C30263"/>
    <w:rsid w:val="564F1CB4"/>
    <w:rsid w:val="56B83DC7"/>
    <w:rsid w:val="57E70188"/>
    <w:rsid w:val="58FB7EA7"/>
    <w:rsid w:val="5AA5313B"/>
    <w:rsid w:val="5B541125"/>
    <w:rsid w:val="5B61003E"/>
    <w:rsid w:val="5B720905"/>
    <w:rsid w:val="5C342115"/>
    <w:rsid w:val="5C612B8B"/>
    <w:rsid w:val="5C7A43E9"/>
    <w:rsid w:val="5CD235B2"/>
    <w:rsid w:val="5DE8599C"/>
    <w:rsid w:val="5DEC2E48"/>
    <w:rsid w:val="5F323531"/>
    <w:rsid w:val="5F982A72"/>
    <w:rsid w:val="602C1D1C"/>
    <w:rsid w:val="60420406"/>
    <w:rsid w:val="60B0436D"/>
    <w:rsid w:val="61213321"/>
    <w:rsid w:val="61804070"/>
    <w:rsid w:val="6311760F"/>
    <w:rsid w:val="632F5E6A"/>
    <w:rsid w:val="63373846"/>
    <w:rsid w:val="633B270B"/>
    <w:rsid w:val="63494902"/>
    <w:rsid w:val="63794BFC"/>
    <w:rsid w:val="63B21370"/>
    <w:rsid w:val="63D50C86"/>
    <w:rsid w:val="65267A57"/>
    <w:rsid w:val="654E3589"/>
    <w:rsid w:val="66CE5BE5"/>
    <w:rsid w:val="67246DEE"/>
    <w:rsid w:val="6732506D"/>
    <w:rsid w:val="67857078"/>
    <w:rsid w:val="67C16B22"/>
    <w:rsid w:val="684077D1"/>
    <w:rsid w:val="692D635E"/>
    <w:rsid w:val="69FA49EF"/>
    <w:rsid w:val="6A105B0D"/>
    <w:rsid w:val="6A290AD2"/>
    <w:rsid w:val="6A561ABE"/>
    <w:rsid w:val="6B2F2B73"/>
    <w:rsid w:val="6BFD7E81"/>
    <w:rsid w:val="6C0370B6"/>
    <w:rsid w:val="6C3C3959"/>
    <w:rsid w:val="6DCA78F6"/>
    <w:rsid w:val="6E241661"/>
    <w:rsid w:val="6E30547C"/>
    <w:rsid w:val="6F237B78"/>
    <w:rsid w:val="706176A4"/>
    <w:rsid w:val="70D33FEE"/>
    <w:rsid w:val="711D14C0"/>
    <w:rsid w:val="71906033"/>
    <w:rsid w:val="71E91144"/>
    <w:rsid w:val="72E17C15"/>
    <w:rsid w:val="72ED7CB6"/>
    <w:rsid w:val="736F1A65"/>
    <w:rsid w:val="73AF42E8"/>
    <w:rsid w:val="73F92915"/>
    <w:rsid w:val="74485824"/>
    <w:rsid w:val="7470768D"/>
    <w:rsid w:val="75EC6E15"/>
    <w:rsid w:val="76612758"/>
    <w:rsid w:val="77105069"/>
    <w:rsid w:val="77846062"/>
    <w:rsid w:val="77883FC6"/>
    <w:rsid w:val="782E1C43"/>
    <w:rsid w:val="784B3738"/>
    <w:rsid w:val="784C7ADC"/>
    <w:rsid w:val="7874321B"/>
    <w:rsid w:val="78D06B13"/>
    <w:rsid w:val="79C15B62"/>
    <w:rsid w:val="7A676755"/>
    <w:rsid w:val="7A7D214A"/>
    <w:rsid w:val="7B9246C4"/>
    <w:rsid w:val="7C0C4B52"/>
    <w:rsid w:val="7C1A323B"/>
    <w:rsid w:val="7C384255"/>
    <w:rsid w:val="7C754522"/>
    <w:rsid w:val="7DF331F9"/>
    <w:rsid w:val="7E56104C"/>
    <w:rsid w:val="7E832344"/>
    <w:rsid w:val="7E8A5BE2"/>
    <w:rsid w:val="7F580F0B"/>
    <w:rsid w:val="7F7E165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3"/>
    <w:unhideWhenUsed/>
    <w:qFormat/>
    <w:uiPriority w:val="99"/>
    <w:rPr>
      <w:b/>
      <w:bCs/>
    </w:rPr>
  </w:style>
  <w:style w:type="paragraph" w:styleId="7">
    <w:name w:val="annotation text"/>
    <w:basedOn w:val="1"/>
    <w:link w:val="42"/>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10">
    <w:name w:val="Plain Text"/>
    <w:basedOn w:val="1"/>
    <w:link w:val="40"/>
    <w:unhideWhenUsed/>
    <w:qFormat/>
    <w:uiPriority w:val="99"/>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link w:val="41"/>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7">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8">
    <w:name w:val="index 1"/>
    <w:basedOn w:val="1"/>
    <w:next w:val="1"/>
    <w:qFormat/>
    <w:uiPriority w:val="6"/>
    <w:pPr>
      <w:spacing w:line="360" w:lineRule="auto"/>
      <w:jc w:val="center"/>
    </w:pPr>
    <w:rPr>
      <w:rFonts w:ascii="宋体" w:hAnsi="宋体" w:cs="Arial"/>
      <w:b/>
      <w:kern w:val="1"/>
      <w:sz w:val="24"/>
      <w:szCs w:val="24"/>
    </w:rPr>
  </w:style>
  <w:style w:type="paragraph" w:styleId="19">
    <w:name w:val="Title"/>
    <w:basedOn w:val="1"/>
    <w:qFormat/>
    <w:uiPriority w:val="10"/>
    <w:pPr>
      <w:adjustRightInd w:val="0"/>
      <w:spacing w:before="600" w:after="360" w:line="0" w:lineRule="atLeast"/>
      <w:jc w:val="center"/>
      <w:textAlignment w:val="baseline"/>
    </w:pPr>
    <w:rPr>
      <w:b/>
      <w:kern w:val="0"/>
      <w:sz w:val="28"/>
      <w:szCs w:val="20"/>
    </w:r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unhideWhenUsed/>
    <w:qFormat/>
    <w:uiPriority w:val="99"/>
    <w:rPr>
      <w:sz w:val="21"/>
      <w:szCs w:val="21"/>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6">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页眉 字符"/>
    <w:basedOn w:val="20"/>
    <w:link w:val="14"/>
    <w:qFormat/>
    <w:uiPriority w:val="99"/>
    <w:rPr>
      <w:sz w:val="18"/>
      <w:szCs w:val="18"/>
    </w:rPr>
  </w:style>
  <w:style w:type="character" w:customStyle="1" w:styleId="28">
    <w:name w:val="页脚 字符"/>
    <w:basedOn w:val="20"/>
    <w:link w:val="13"/>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font41"/>
    <w:qFormat/>
    <w:uiPriority w:val="0"/>
    <w:rPr>
      <w:rFonts w:hint="eastAsia" w:ascii="宋体" w:hAnsi="宋体" w:eastAsia="宋体" w:cs="宋体"/>
      <w:color w:val="000000"/>
      <w:sz w:val="20"/>
      <w:szCs w:val="20"/>
      <w:u w:val="none"/>
    </w:rPr>
  </w:style>
  <w:style w:type="paragraph" w:customStyle="1" w:styleId="3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2">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6">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7">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8">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3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纯文本 字符"/>
    <w:basedOn w:val="20"/>
    <w:link w:val="10"/>
    <w:qFormat/>
    <w:uiPriority w:val="99"/>
    <w:rPr>
      <w:rFonts w:ascii="宋体" w:hAnsi="Courier New" w:eastAsiaTheme="minorEastAsia" w:cstheme="minorBidi"/>
      <w:kern w:val="2"/>
      <w:sz w:val="21"/>
      <w:szCs w:val="21"/>
    </w:rPr>
  </w:style>
  <w:style w:type="character" w:customStyle="1" w:styleId="41">
    <w:name w:val="批注框文本 字符"/>
    <w:basedOn w:val="20"/>
    <w:link w:val="12"/>
    <w:semiHidden/>
    <w:qFormat/>
    <w:uiPriority w:val="99"/>
    <w:rPr>
      <w:rFonts w:asciiTheme="minorHAnsi" w:hAnsiTheme="minorHAnsi" w:eastAsiaTheme="minorEastAsia" w:cstheme="minorBidi"/>
      <w:kern w:val="2"/>
      <w:sz w:val="18"/>
      <w:szCs w:val="18"/>
    </w:rPr>
  </w:style>
  <w:style w:type="character" w:customStyle="1" w:styleId="42">
    <w:name w:val="批注文字 字符"/>
    <w:basedOn w:val="20"/>
    <w:link w:val="7"/>
    <w:semiHidden/>
    <w:qFormat/>
    <w:uiPriority w:val="99"/>
    <w:rPr>
      <w:rFonts w:asciiTheme="minorHAnsi" w:hAnsiTheme="minorHAnsi" w:eastAsiaTheme="minorEastAsia" w:cstheme="minorBidi"/>
      <w:kern w:val="2"/>
      <w:sz w:val="21"/>
      <w:szCs w:val="22"/>
    </w:rPr>
  </w:style>
  <w:style w:type="character" w:customStyle="1" w:styleId="43">
    <w:name w:val="批注主题 字符"/>
    <w:basedOn w:val="42"/>
    <w:link w:val="6"/>
    <w:semiHidden/>
    <w:qFormat/>
    <w:uiPriority w:val="99"/>
    <w:rPr>
      <w:rFonts w:asciiTheme="minorHAnsi" w:hAnsiTheme="minorHAnsi" w:eastAsiaTheme="minorEastAsia" w:cstheme="minorBidi"/>
      <w:b/>
      <w:bCs/>
      <w:kern w:val="2"/>
      <w:sz w:val="21"/>
      <w:szCs w:val="22"/>
    </w:rPr>
  </w:style>
  <w:style w:type="character" w:customStyle="1" w:styleId="44">
    <w:name w:val="font11"/>
    <w:basedOn w:val="20"/>
    <w:uiPriority w:val="0"/>
    <w:rPr>
      <w:rFonts w:hint="default" w:ascii="Times New Roman" w:hAnsi="Times New Roman" w:cs="Times New Roman"/>
      <w:color w:val="000000"/>
      <w:sz w:val="21"/>
      <w:szCs w:val="21"/>
      <w:u w:val="none"/>
    </w:rPr>
  </w:style>
  <w:style w:type="character" w:customStyle="1" w:styleId="45">
    <w:name w:val="font0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BF166-E3FC-44B9-9D8B-7FA8A391E4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3532</Words>
  <Characters>20136</Characters>
  <Lines>167</Lines>
  <Paragraphs>47</Paragraphs>
  <ScaleCrop>false</ScaleCrop>
  <LinksUpToDate>false</LinksUpToDate>
  <CharactersWithSpaces>23621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2020-03-13T04:09:00Z</dcterms:created>
  <dc:creator>戴宇/服务区项目/资产公司/高速集团</dc:creator>
  <cp:lastModifiedBy>吴骏</cp:lastModifiedBy>
  <cp:lastPrinted>2021-01-15T03:04:00Z</cp:lastPrinted>
  <dcterms:modified xsi:type="dcterms:W3CDTF">2021-05-19T08:30:01Z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