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48"/>
          <w:szCs w:val="48"/>
          <w:highlight w:val="none"/>
        </w:rPr>
      </w:pPr>
    </w:p>
    <w:p>
      <w:pPr>
        <w:spacing w:line="720" w:lineRule="exact"/>
        <w:jc w:val="center"/>
        <w:rPr>
          <w:rFonts w:ascii="宋体" w:hAnsi="宋体" w:eastAsia="宋体" w:cs="宋体"/>
          <w:b/>
          <w:color w:val="auto"/>
          <w:spacing w:val="20"/>
          <w:sz w:val="48"/>
          <w:szCs w:val="48"/>
          <w:highlight w:val="none"/>
        </w:rPr>
      </w:pPr>
      <w:r>
        <w:rPr>
          <w:rFonts w:hint="eastAsia" w:ascii="宋体" w:hAnsi="宋体" w:eastAsia="宋体" w:cs="宋体"/>
          <w:b/>
          <w:color w:val="auto"/>
          <w:sz w:val="48"/>
          <w:szCs w:val="48"/>
          <w:highlight w:val="none"/>
          <w:lang w:val="en-US" w:eastAsia="zh-CN"/>
        </w:rPr>
        <w:t>《山水城·渝快行》书籍服务</w:t>
      </w:r>
      <w:r>
        <w:rPr>
          <w:rFonts w:hint="eastAsia" w:ascii="宋体" w:hAnsi="宋体" w:eastAsia="宋体" w:cs="宋体"/>
          <w:b/>
          <w:color w:val="auto"/>
          <w:sz w:val="48"/>
          <w:szCs w:val="48"/>
          <w:highlight w:val="none"/>
        </w:rPr>
        <w:t>项目</w:t>
      </w:r>
    </w:p>
    <w:p>
      <w:pPr>
        <w:pStyle w:val="2"/>
        <w:rPr>
          <w:rFonts w:ascii="宋体" w:hAnsi="宋体" w:eastAsia="宋体" w:cs="宋体"/>
          <w:color w:val="auto"/>
          <w:highlight w:val="none"/>
        </w:rPr>
      </w:pPr>
    </w:p>
    <w:p>
      <w:pPr>
        <w:jc w:val="center"/>
        <w:rPr>
          <w:rFonts w:ascii="宋体" w:hAnsi="宋体" w:eastAsia="宋体" w:cs="宋体"/>
          <w:b/>
          <w:color w:val="auto"/>
          <w:spacing w:val="20"/>
          <w:sz w:val="72"/>
          <w:szCs w:val="72"/>
          <w:highlight w:val="none"/>
        </w:rPr>
      </w:pPr>
    </w:p>
    <w:p>
      <w:pPr>
        <w:jc w:val="center"/>
        <w:rPr>
          <w:rFonts w:ascii="宋体" w:hAnsi="宋体" w:eastAsia="宋体" w:cs="宋体"/>
          <w:b/>
          <w:color w:val="auto"/>
          <w:spacing w:val="20"/>
          <w:sz w:val="84"/>
          <w:szCs w:val="84"/>
          <w:highlight w:val="none"/>
        </w:rPr>
      </w:pPr>
      <w:r>
        <w:rPr>
          <w:rFonts w:hint="eastAsia" w:ascii="宋体" w:hAnsi="宋体" w:eastAsia="宋体" w:cs="宋体"/>
          <w:b/>
          <w:color w:val="auto"/>
          <w:spacing w:val="20"/>
          <w:sz w:val="84"/>
          <w:szCs w:val="84"/>
          <w:highlight w:val="none"/>
        </w:rPr>
        <w:t>竞争性比选文件</w:t>
      </w: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bookmarkStart w:id="93" w:name="_GoBack"/>
      <w:bookmarkEnd w:id="93"/>
    </w:p>
    <w:p>
      <w:pPr>
        <w:pStyle w:val="5"/>
        <w:rPr>
          <w:rFonts w:ascii="宋体" w:hAnsi="宋体" w:eastAsia="宋体" w:cs="宋体"/>
          <w:color w:val="auto"/>
          <w:szCs w:val="21"/>
          <w:highlight w:val="none"/>
        </w:rPr>
      </w:pPr>
    </w:p>
    <w:p>
      <w:pPr>
        <w:rPr>
          <w:rFonts w:ascii="宋体" w:hAnsi="宋体" w:eastAsia="宋体" w:cs="宋体"/>
          <w:color w:val="auto"/>
          <w:highlight w:val="none"/>
        </w:rPr>
      </w:pPr>
    </w:p>
    <w:p>
      <w:pPr>
        <w:pStyle w:val="5"/>
        <w:rPr>
          <w:rFonts w:ascii="宋体" w:hAnsi="宋体" w:eastAsia="宋体" w:cs="宋体"/>
          <w:color w:val="auto"/>
          <w:szCs w:val="21"/>
          <w:highlight w:val="none"/>
        </w:rPr>
      </w:pPr>
    </w:p>
    <w:p>
      <w:pPr>
        <w:rPr>
          <w:rFonts w:ascii="宋体" w:hAnsi="宋体" w:eastAsia="宋体" w:cs="宋体"/>
          <w:color w:val="auto"/>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5"/>
        <w:rPr>
          <w:color w:val="auto"/>
          <w:highlight w:val="none"/>
        </w:rPr>
      </w:pPr>
    </w:p>
    <w:p>
      <w:pPr>
        <w:rPr>
          <w:rFonts w:ascii="宋体" w:hAnsi="宋体" w:eastAsia="宋体" w:cs="宋体"/>
          <w:color w:val="auto"/>
          <w:szCs w:val="21"/>
          <w:highlight w:val="none"/>
        </w:rPr>
      </w:pPr>
    </w:p>
    <w:p>
      <w:pPr>
        <w:rPr>
          <w:rFonts w:ascii="宋体" w:hAnsi="宋体" w:eastAsia="宋体" w:cs="宋体"/>
          <w:color w:val="auto"/>
          <w:spacing w:val="100"/>
          <w:szCs w:val="21"/>
          <w:highlight w:val="none"/>
        </w:rPr>
      </w:pPr>
    </w:p>
    <w:p>
      <w:pPr>
        <w:pStyle w:val="5"/>
        <w:rPr>
          <w:color w:val="auto"/>
          <w:highlight w:val="none"/>
        </w:rPr>
      </w:pPr>
    </w:p>
    <w:p>
      <w:pPr>
        <w:rPr>
          <w:color w:val="auto"/>
          <w:highlight w:val="none"/>
        </w:rPr>
      </w:pPr>
    </w:p>
    <w:p>
      <w:pPr>
        <w:pStyle w:val="10"/>
        <w:spacing w:line="360" w:lineRule="auto"/>
        <w:ind w:left="99" w:leftChars="47"/>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重庆高速公路集团有限公司联网收费结算中心 </w:t>
      </w:r>
    </w:p>
    <w:p>
      <w:pPr>
        <w:pStyle w:val="10"/>
        <w:spacing w:line="360" w:lineRule="auto"/>
        <w:ind w:left="99" w:leftChars="47"/>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月</w:t>
      </w:r>
    </w:p>
    <w:p>
      <w:pPr>
        <w:rPr>
          <w:rFonts w:ascii="宋体" w:hAnsi="宋体" w:eastAsia="宋体" w:cs="宋体"/>
          <w:b/>
          <w:color w:val="auto"/>
          <w:sz w:val="32"/>
          <w:szCs w:val="32"/>
          <w:highlight w:val="none"/>
        </w:rPr>
      </w:pPr>
    </w:p>
    <w:p>
      <w:pPr>
        <w:pStyle w:val="5"/>
        <w:rPr>
          <w:rFonts w:ascii="宋体" w:hAnsi="宋体" w:eastAsia="宋体" w:cs="宋体"/>
          <w:color w:val="auto"/>
          <w:sz w:val="32"/>
          <w:szCs w:val="32"/>
          <w:highlight w:val="none"/>
        </w:rPr>
      </w:pPr>
    </w:p>
    <w:p/>
    <w:p>
      <w:pPr>
        <w:rPr>
          <w:rFonts w:ascii="宋体" w:hAnsi="宋体" w:eastAsia="宋体" w:cs="宋体"/>
          <w:color w:val="auto"/>
          <w:sz w:val="32"/>
          <w:szCs w:val="32"/>
          <w:highlight w:val="none"/>
        </w:rPr>
      </w:pP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目  录</w:t>
      </w:r>
    </w:p>
    <w:p>
      <w:pPr>
        <w:pStyle w:val="6"/>
        <w:rPr>
          <w:rFonts w:hint="eastAsia" w:ascii="宋体" w:hAnsi="宋体" w:cs="宋体"/>
          <w:b w:val="0"/>
          <w:bCs w:val="0"/>
          <w:caps w:val="0"/>
          <w:sz w:val="28"/>
          <w:szCs w:val="28"/>
        </w:rPr>
      </w:pPr>
      <w:r>
        <w:rPr>
          <w:rFonts w:hint="eastAsia" w:ascii="宋体" w:hAnsi="宋体" w:cs="宋体"/>
          <w:b w:val="0"/>
          <w:bCs w:val="0"/>
          <w:caps w:val="0"/>
          <w:sz w:val="28"/>
          <w:szCs w:val="28"/>
        </w:rPr>
        <w:t>第一章 比选公告</w:t>
      </w:r>
    </w:p>
    <w:p>
      <w:pPr>
        <w:pStyle w:val="6"/>
        <w:rPr>
          <w:rFonts w:hint="eastAsia" w:ascii="宋体" w:hAnsi="宋体" w:cs="宋体"/>
          <w:b w:val="0"/>
          <w:bCs w:val="0"/>
          <w:caps w:val="0"/>
          <w:sz w:val="28"/>
          <w:szCs w:val="28"/>
        </w:rPr>
      </w:pPr>
      <w:r>
        <w:rPr>
          <w:rFonts w:hint="eastAsia" w:ascii="宋体" w:hAnsi="宋体" w:cs="宋体"/>
          <w:b w:val="0"/>
          <w:bCs w:val="0"/>
          <w:caps w:val="0"/>
          <w:sz w:val="28"/>
          <w:szCs w:val="28"/>
        </w:rPr>
        <w:t>第二章 报价人须知</w:t>
      </w:r>
    </w:p>
    <w:p>
      <w:pPr>
        <w:pStyle w:val="6"/>
        <w:rPr>
          <w:rFonts w:hint="eastAsia" w:ascii="宋体" w:hAnsi="宋体" w:cs="宋体"/>
          <w:b w:val="0"/>
          <w:bCs w:val="0"/>
          <w:caps w:val="0"/>
          <w:sz w:val="28"/>
          <w:szCs w:val="28"/>
        </w:rPr>
      </w:pPr>
      <w:r>
        <w:rPr>
          <w:rFonts w:hint="eastAsia" w:ascii="宋体" w:hAnsi="宋体" w:cs="宋体"/>
          <w:b w:val="0"/>
          <w:bCs w:val="0"/>
          <w:caps w:val="0"/>
          <w:sz w:val="28"/>
          <w:szCs w:val="28"/>
        </w:rPr>
        <w:t>第三章 评标办法（</w:t>
      </w:r>
      <w:r>
        <w:rPr>
          <w:rFonts w:hint="eastAsia" w:ascii="宋体" w:hAnsi="宋体" w:cs="宋体"/>
          <w:b w:val="0"/>
          <w:bCs w:val="0"/>
          <w:caps w:val="0"/>
          <w:sz w:val="28"/>
          <w:szCs w:val="28"/>
          <w:lang w:val="en-US" w:eastAsia="zh-CN"/>
        </w:rPr>
        <w:t>综合评标法</w:t>
      </w:r>
      <w:r>
        <w:rPr>
          <w:rFonts w:hint="eastAsia" w:ascii="宋体" w:hAnsi="宋体" w:cs="宋体"/>
          <w:b w:val="0"/>
          <w:bCs w:val="0"/>
          <w:caps w:val="0"/>
          <w:sz w:val="28"/>
          <w:szCs w:val="28"/>
        </w:rPr>
        <w:t>）</w:t>
      </w:r>
    </w:p>
    <w:p>
      <w:pPr>
        <w:pStyle w:val="6"/>
        <w:rPr>
          <w:rFonts w:hint="eastAsia" w:ascii="宋体" w:hAnsi="宋体" w:cs="宋体"/>
          <w:b w:val="0"/>
          <w:bCs w:val="0"/>
          <w:caps w:val="0"/>
          <w:sz w:val="28"/>
          <w:szCs w:val="28"/>
        </w:rPr>
      </w:pPr>
      <w:r>
        <w:rPr>
          <w:rFonts w:hint="eastAsia" w:ascii="宋体" w:hAnsi="宋体" w:cs="宋体"/>
          <w:b w:val="0"/>
          <w:bCs w:val="0"/>
          <w:caps w:val="0"/>
          <w:sz w:val="28"/>
          <w:szCs w:val="28"/>
        </w:rPr>
        <w:t>第四章 报价说明</w:t>
      </w:r>
    </w:p>
    <w:p>
      <w:pPr>
        <w:pStyle w:val="6"/>
        <w:rPr>
          <w:rFonts w:hint="eastAsia" w:ascii="宋体" w:hAnsi="宋体" w:cs="宋体"/>
          <w:b w:val="0"/>
          <w:bCs w:val="0"/>
          <w:caps w:val="0"/>
          <w:sz w:val="28"/>
          <w:szCs w:val="28"/>
        </w:rPr>
      </w:pPr>
      <w:r>
        <w:rPr>
          <w:rFonts w:hint="eastAsia" w:ascii="宋体" w:hAnsi="宋体" w:cs="宋体"/>
          <w:b w:val="0"/>
          <w:bCs w:val="0"/>
          <w:caps w:val="0"/>
          <w:sz w:val="28"/>
          <w:szCs w:val="28"/>
        </w:rPr>
        <w:t>第五章 竞争性比选响应文件格式</w:t>
      </w:r>
    </w:p>
    <w:p>
      <w:pPr>
        <w:pStyle w:val="6"/>
      </w:pPr>
    </w:p>
    <w:p/>
    <w:p>
      <w:pPr>
        <w:pStyle w:val="6"/>
      </w:pPr>
    </w:p>
    <w:p/>
    <w:p>
      <w:pPr>
        <w:pStyle w:val="8"/>
      </w:pPr>
    </w:p>
    <w:p/>
    <w:p>
      <w:pPr>
        <w:pStyle w:val="8"/>
      </w:pPr>
    </w:p>
    <w:p/>
    <w:p>
      <w:pPr>
        <w:pStyle w:val="8"/>
      </w:pPr>
    </w:p>
    <w:p/>
    <w:p>
      <w:pPr>
        <w:pStyle w:val="8"/>
      </w:pPr>
    </w:p>
    <w:p/>
    <w:p>
      <w:pPr>
        <w:pStyle w:val="6"/>
      </w:pPr>
    </w:p>
    <w:p/>
    <w:p>
      <w:pPr>
        <w:pStyle w:val="6"/>
        <w:widowControl w:val="0"/>
        <w:numPr>
          <w:ilvl w:val="0"/>
          <w:numId w:val="1"/>
        </w:numPr>
        <w:spacing w:before="280" w:after="290" w:line="376" w:lineRule="auto"/>
        <w:jc w:val="center"/>
        <w:outlineLvl w:val="3"/>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比选公告</w:t>
      </w:r>
    </w:p>
    <w:p>
      <w:pPr>
        <w:pStyle w:val="4"/>
        <w:spacing w:before="0" w:after="0" w:line="360" w:lineRule="auto"/>
        <w:rPr>
          <w:rFonts w:ascii="宋体" w:hAnsi="宋体" w:eastAsia="宋体" w:cs="宋体"/>
        </w:rPr>
      </w:pPr>
      <w:bookmarkStart w:id="0" w:name="_Toc152045512"/>
      <w:bookmarkStart w:id="1" w:name="_Toc11329213"/>
      <w:bookmarkStart w:id="2" w:name="_Toc6549"/>
      <w:bookmarkStart w:id="3" w:name="_Toc144974480"/>
      <w:bookmarkStart w:id="4" w:name="_Toc152042288"/>
      <w:bookmarkStart w:id="5" w:name="_Toc24874"/>
      <w:bookmarkStart w:id="6" w:name="_Toc179632528"/>
      <w:bookmarkStart w:id="7" w:name="_Toc247085672"/>
      <w:bookmarkStart w:id="8" w:name="_Toc507319891"/>
      <w:bookmarkStart w:id="9" w:name="_Toc246996901"/>
      <w:bookmarkStart w:id="10" w:name="_Toc246996158"/>
      <w:bookmarkStart w:id="11" w:name="_Toc10076"/>
      <w:r>
        <w:rPr>
          <w:rFonts w:hint="eastAsia" w:ascii="宋体" w:hAnsi="宋体" w:eastAsia="宋体" w:cs="宋体"/>
        </w:rPr>
        <w:t>1. 比选条件</w:t>
      </w:r>
      <w:bookmarkEnd w:id="0"/>
      <w:bookmarkEnd w:id="1"/>
      <w:bookmarkEnd w:id="2"/>
      <w:bookmarkEnd w:id="3"/>
      <w:bookmarkEnd w:id="4"/>
      <w:bookmarkEnd w:id="5"/>
      <w:bookmarkEnd w:id="6"/>
      <w:bookmarkEnd w:id="7"/>
      <w:bookmarkEnd w:id="8"/>
      <w:bookmarkEnd w:id="9"/>
      <w:bookmarkEnd w:id="10"/>
      <w:bookmarkEnd w:id="1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val="en-US" w:eastAsia="zh-CN"/>
        </w:rPr>
        <w:t>《山水城·渝快行》书籍服务</w:t>
      </w:r>
      <w:r>
        <w:rPr>
          <w:rFonts w:hint="eastAsia" w:ascii="宋体" w:hAnsi="宋体" w:cs="宋体"/>
          <w:szCs w:val="21"/>
          <w:u w:val="single"/>
        </w:rPr>
        <w:t>项目</w:t>
      </w:r>
      <w:r>
        <w:rPr>
          <w:rFonts w:hint="eastAsia" w:ascii="宋体" w:hAnsi="宋体" w:cs="宋体"/>
          <w:szCs w:val="21"/>
        </w:rPr>
        <w:t>，采购人为</w:t>
      </w:r>
      <w:r>
        <w:rPr>
          <w:rFonts w:hint="eastAsia" w:ascii="宋体" w:hAnsi="宋体" w:cs="宋体"/>
          <w:szCs w:val="21"/>
          <w:u w:val="single"/>
          <w:lang w:val="en-US" w:eastAsia="zh-CN"/>
        </w:rPr>
        <w:t xml:space="preserve"> 重庆高速公路集团有限公司联网收费结算中心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12" w:name="_Toc179632529"/>
      <w:bookmarkStart w:id="13" w:name="_Toc144974481"/>
      <w:bookmarkStart w:id="14" w:name="_Toc10952"/>
      <w:bookmarkStart w:id="15" w:name="_Toc507319892"/>
      <w:bookmarkStart w:id="16" w:name="_Toc246996902"/>
      <w:bookmarkStart w:id="17" w:name="_Toc152042289"/>
      <w:bookmarkStart w:id="18" w:name="_Toc21343"/>
      <w:bookmarkStart w:id="19" w:name="_Toc247085673"/>
      <w:bookmarkStart w:id="20" w:name="_Toc152045513"/>
      <w:bookmarkStart w:id="21" w:name="_Toc18109"/>
      <w:bookmarkStart w:id="22" w:name="_Toc246996159"/>
      <w:bookmarkStart w:id="23" w:name="_Toc11329214"/>
      <w:r>
        <w:rPr>
          <w:rFonts w:hint="eastAsia" w:ascii="宋体" w:hAnsi="宋体" w:eastAsia="宋体" w:cs="宋体"/>
        </w:rPr>
        <w:t>2. 项目概况与比选范围</w:t>
      </w:r>
      <w:bookmarkEnd w:id="12"/>
      <w:bookmarkEnd w:id="13"/>
      <w:bookmarkEnd w:id="14"/>
      <w:bookmarkEnd w:id="15"/>
      <w:bookmarkEnd w:id="16"/>
      <w:bookmarkEnd w:id="17"/>
      <w:bookmarkEnd w:id="18"/>
      <w:bookmarkEnd w:id="19"/>
      <w:bookmarkEnd w:id="20"/>
      <w:bookmarkEnd w:id="21"/>
      <w:bookmarkEnd w:id="22"/>
      <w:bookmarkEnd w:id="23"/>
    </w:p>
    <w:p>
      <w:pPr>
        <w:spacing w:line="360" w:lineRule="auto"/>
        <w:ind w:firstLine="420" w:firstLineChars="200"/>
        <w:rPr>
          <w:rFonts w:ascii="宋体" w:hAnsi="宋体" w:cs="宋体"/>
        </w:rPr>
      </w:pPr>
      <w:bookmarkStart w:id="24" w:name="_Toc446247226"/>
      <w:r>
        <w:rPr>
          <w:rFonts w:hint="eastAsia" w:ascii="宋体" w:hAnsi="宋体" w:cs="宋体"/>
        </w:rPr>
        <w:t>2.1 项目地点</w:t>
      </w:r>
      <w:bookmarkEnd w:id="24"/>
      <w:r>
        <w:rPr>
          <w:rFonts w:hint="eastAsia" w:ascii="宋体" w:hAnsi="宋体" w:cs="宋体"/>
          <w:lang w:eastAsia="zh-CN"/>
        </w:rPr>
        <w:t>：</w:t>
      </w:r>
      <w:r>
        <w:rPr>
          <w:rFonts w:hint="eastAsia" w:ascii="宋体" w:hAnsi="宋体" w:cs="宋体"/>
          <w:lang w:val="en-US" w:eastAsia="zh-CN"/>
        </w:rPr>
        <w:t>重庆高速公路集团有限公司联网收费结算中心</w:t>
      </w:r>
      <w:r>
        <w:rPr>
          <w:rFonts w:hint="eastAsia" w:ascii="宋体" w:hAnsi="宋体" w:cs="宋体"/>
          <w:szCs w:val="21"/>
          <w:u w:val="none"/>
        </w:rPr>
        <w:t>。</w:t>
      </w:r>
    </w:p>
    <w:p>
      <w:pPr>
        <w:pStyle w:val="7"/>
        <w:adjustRightInd w:val="0"/>
        <w:spacing w:line="400" w:lineRule="exact"/>
        <w:rPr>
          <w:rFonts w:hint="default" w:ascii="宋体" w:hAnsi="宋体" w:cs="宋体"/>
          <w:szCs w:val="21"/>
          <w:lang w:val="en-US" w:eastAsia="zh-CN"/>
        </w:rPr>
      </w:pPr>
      <w:r>
        <w:rPr>
          <w:rFonts w:hint="eastAsia" w:ascii="宋体" w:hAnsi="宋体" w:cs="宋体"/>
          <w:szCs w:val="21"/>
        </w:rPr>
        <w:t>2.2 项目概况：</w:t>
      </w:r>
      <w:r>
        <w:rPr>
          <w:rFonts w:hint="eastAsia" w:ascii="宋体" w:hAnsi="宋体" w:cs="宋体"/>
          <w:szCs w:val="21"/>
          <w:lang w:val="en-US" w:eastAsia="zh-CN"/>
        </w:rPr>
        <w:t>《山水城·渝快行》书籍服务</w:t>
      </w:r>
      <w:r>
        <w:rPr>
          <w:rFonts w:hint="eastAsia" w:ascii="宋体" w:hAnsi="宋体" w:cs="宋体"/>
          <w:szCs w:val="21"/>
        </w:rPr>
        <w:t>项目，本次竞争性比选内容</w:t>
      </w:r>
      <w:r>
        <w:rPr>
          <w:rFonts w:hint="eastAsia" w:ascii="宋体" w:hAnsi="宋体" w:cs="宋体"/>
          <w:szCs w:val="21"/>
          <w:lang w:eastAsia="zh-CN"/>
        </w:rPr>
        <w:t>包括但不限于</w:t>
      </w:r>
      <w:r>
        <w:rPr>
          <w:rFonts w:hint="eastAsia" w:ascii="宋体" w:hAnsi="宋体" w:cs="宋体"/>
          <w:szCs w:val="21"/>
          <w:lang w:val="en-US" w:eastAsia="zh-CN"/>
        </w:rPr>
        <w:t>框架设计、资料整理、内容编辑、案例加工等相关工作，10万字以上。</w:t>
      </w:r>
    </w:p>
    <w:p>
      <w:pPr>
        <w:pStyle w:val="7"/>
        <w:adjustRightInd w:val="0"/>
        <w:spacing w:line="400" w:lineRule="exact"/>
        <w:rPr>
          <w:rFonts w:hint="eastAsia" w:ascii="宋体" w:hAnsi="宋体" w:cs="宋体"/>
          <w:szCs w:val="21"/>
          <w:lang w:val="en-US" w:eastAsia="zh-CN"/>
        </w:rPr>
      </w:pPr>
      <w:r>
        <w:rPr>
          <w:rFonts w:hint="eastAsia" w:ascii="宋体" w:hAnsi="宋体" w:cs="宋体"/>
          <w:szCs w:val="21"/>
          <w:lang w:val="en-US" w:eastAsia="zh-CN"/>
        </w:rPr>
        <w:t>2.2.1项目基本情况：</w:t>
      </w:r>
    </w:p>
    <w:p>
      <w:pPr>
        <w:pStyle w:val="7"/>
        <w:adjustRightInd w:val="0"/>
        <w:spacing w:line="400" w:lineRule="exact"/>
        <w:rPr>
          <w:rFonts w:hint="eastAsia" w:ascii="宋体" w:hAnsi="宋体" w:cs="宋体"/>
          <w:szCs w:val="21"/>
          <w:lang w:val="en-US" w:eastAsia="zh-CN"/>
        </w:rPr>
      </w:pPr>
      <w:r>
        <w:rPr>
          <w:rFonts w:hint="eastAsia" w:ascii="宋体" w:hAnsi="宋体" w:cs="宋体"/>
          <w:szCs w:val="21"/>
          <w:lang w:val="en-US" w:eastAsia="zh-CN"/>
        </w:rPr>
        <w:t>“山水城·渝快行”</w:t>
      </w:r>
      <w:r>
        <w:rPr>
          <w:rFonts w:hint="eastAsia" w:ascii="宋体" w:hAnsi="宋体" w:cs="宋体"/>
          <w:b/>
          <w:bCs/>
          <w:szCs w:val="21"/>
          <w:lang w:val="en-US" w:eastAsia="zh-CN"/>
        </w:rPr>
        <w:t>品牌定位</w:t>
      </w:r>
      <w:r>
        <w:rPr>
          <w:rFonts w:hint="eastAsia" w:ascii="宋体" w:hAnsi="宋体" w:cs="宋体"/>
          <w:szCs w:val="21"/>
          <w:lang w:val="en-US" w:eastAsia="zh-CN"/>
        </w:rPr>
        <w:t>：</w:t>
      </w:r>
      <w:r>
        <w:rPr>
          <w:rFonts w:hint="eastAsia" w:ascii="宋体" w:hAnsi="宋体" w:cs="宋体"/>
          <w:b/>
          <w:bCs/>
          <w:szCs w:val="21"/>
          <w:lang w:val="en-US" w:eastAsia="zh-CN"/>
        </w:rPr>
        <w:t>重庆高速公路营运品牌。</w:t>
      </w:r>
    </w:p>
    <w:p>
      <w:pPr>
        <w:pStyle w:val="7"/>
        <w:adjustRightInd w:val="0"/>
        <w:spacing w:line="400" w:lineRule="exact"/>
        <w:rPr>
          <w:rFonts w:hint="eastAsia" w:ascii="宋体" w:hAnsi="宋体" w:cs="宋体"/>
          <w:szCs w:val="21"/>
          <w:lang w:val="en-US" w:eastAsia="zh-CN"/>
        </w:rPr>
      </w:pPr>
      <w:r>
        <w:rPr>
          <w:rFonts w:hint="eastAsia" w:ascii="宋体" w:hAnsi="宋体" w:cs="宋体"/>
          <w:szCs w:val="21"/>
          <w:lang w:val="en-US" w:eastAsia="zh-CN"/>
        </w:rPr>
        <w:t>“山水城·渝快行”</w:t>
      </w:r>
      <w:r>
        <w:rPr>
          <w:rFonts w:hint="eastAsia" w:ascii="宋体" w:hAnsi="宋体" w:cs="宋体"/>
          <w:b/>
          <w:bCs/>
          <w:szCs w:val="21"/>
          <w:lang w:val="en-US" w:eastAsia="zh-CN"/>
        </w:rPr>
        <w:t>品牌内涵：</w:t>
      </w:r>
    </w:p>
    <w:p>
      <w:pPr>
        <w:pStyle w:val="7"/>
        <w:adjustRightInd w:val="0"/>
        <w:spacing w:line="400" w:lineRule="exact"/>
        <w:rPr>
          <w:rFonts w:hint="eastAsia" w:ascii="宋体" w:hAnsi="宋体" w:cs="宋体"/>
          <w:szCs w:val="21"/>
          <w:lang w:val="en-US" w:eastAsia="zh-CN"/>
        </w:rPr>
      </w:pPr>
      <w:r>
        <w:rPr>
          <w:rFonts w:hint="eastAsia" w:ascii="宋体" w:hAnsi="宋体" w:cs="宋体"/>
          <w:b/>
          <w:bCs/>
          <w:szCs w:val="21"/>
          <w:lang w:val="en-US" w:eastAsia="zh-CN"/>
        </w:rPr>
        <w:t>山水城：</w:t>
      </w:r>
      <w:r>
        <w:rPr>
          <w:rFonts w:hint="eastAsia" w:ascii="宋体" w:hAnsi="宋体" w:cs="宋体"/>
          <w:szCs w:val="21"/>
          <w:lang w:val="en-US" w:eastAsia="zh-CN"/>
        </w:rPr>
        <w:t>城市名片担当。重庆高速特色是“山区高速+城市高速”的山·城高速复合体，“山水之城，美丽之地”是重庆的城市形象定位。作为城市门户和城市发展先行官的重庆高速，擦亮重庆品牌，扮靓重庆名片，是其作为“国计民生”行业的义不容辞的使命担当。</w:t>
      </w:r>
    </w:p>
    <w:p>
      <w:pPr>
        <w:pStyle w:val="7"/>
        <w:adjustRightInd w:val="0"/>
        <w:spacing w:line="400" w:lineRule="exact"/>
        <w:rPr>
          <w:rFonts w:hint="eastAsia" w:ascii="宋体" w:hAnsi="宋体" w:cs="宋体"/>
          <w:szCs w:val="21"/>
          <w:lang w:val="en-US" w:eastAsia="zh-CN"/>
        </w:rPr>
      </w:pPr>
      <w:r>
        <w:rPr>
          <w:rFonts w:hint="eastAsia" w:ascii="宋体" w:hAnsi="宋体" w:cs="宋体"/>
          <w:b/>
          <w:bCs/>
          <w:szCs w:val="21"/>
          <w:lang w:val="en-US" w:eastAsia="zh-CN"/>
        </w:rPr>
        <w:t>渝快行：</w:t>
      </w:r>
      <w:r>
        <w:rPr>
          <w:rFonts w:hint="eastAsia" w:ascii="宋体" w:hAnsi="宋体" w:cs="宋体"/>
          <w:szCs w:val="21"/>
          <w:lang w:val="en-US" w:eastAsia="zh-CN"/>
        </w:rPr>
        <w:t>出行质效保障。重庆高速以安全为基础、畅快为核心、美好为追求的整体路网运营管理服务体系，在科技创新、智慧高速、安全保畅、品牌服务等综合实力上不断提升，让出行者“走得了，走得顺，走得好”，为出行者带来安全愉快的高速出行美好体验。</w:t>
      </w:r>
    </w:p>
    <w:p>
      <w:pPr>
        <w:pStyle w:val="7"/>
        <w:adjustRightInd w:val="0"/>
        <w:spacing w:line="400" w:lineRule="exact"/>
        <w:rPr>
          <w:rFonts w:hint="default" w:ascii="宋体" w:hAnsi="宋体" w:cs="宋体"/>
          <w:szCs w:val="21"/>
          <w:lang w:val="en-US" w:eastAsia="zh-CN"/>
        </w:rPr>
      </w:pPr>
      <w:r>
        <w:rPr>
          <w:rFonts w:hint="eastAsia" w:ascii="宋体" w:hAnsi="宋体" w:cs="宋体"/>
          <w:b/>
          <w:bCs/>
          <w:szCs w:val="21"/>
          <w:lang w:val="en-US" w:eastAsia="zh-CN"/>
        </w:rPr>
        <w:t>品牌传播语：</w:t>
      </w:r>
      <w:r>
        <w:rPr>
          <w:rFonts w:hint="eastAsia" w:ascii="宋体" w:hAnsi="宋体" w:cs="宋体"/>
          <w:szCs w:val="21"/>
          <w:lang w:val="en-US" w:eastAsia="zh-CN"/>
        </w:rPr>
        <w:t>畅行山水 渝见美好。传播语释义：“山重水复庆有路，桥安隧明美一程”，是重庆高速山高水长、桥隧栉比、运营服务高水准的真实写照。重庆高速人以保障司乘畅快出行、美好出行为己任，在誓保高速的畅通和安全基础上，城区近端造景，山区远端借景，为每位过往司乘铺就一条山水画廊般的美好出行体验。</w:t>
      </w:r>
    </w:p>
    <w:p>
      <w:pPr>
        <w:pStyle w:val="7"/>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szCs w:val="21"/>
        </w:rPr>
      </w:pPr>
      <w:r>
        <w:rPr>
          <w:rFonts w:hint="eastAsia" w:ascii="宋体" w:hAnsi="宋体" w:cs="宋体"/>
        </w:rPr>
        <w:t>2.3 比选范围：</w:t>
      </w:r>
      <w:r>
        <w:rPr>
          <w:rFonts w:hint="eastAsia" w:ascii="宋体" w:hAnsi="宋体" w:eastAsia="宋体" w:cs="宋体"/>
          <w:szCs w:val="21"/>
          <w:lang w:val="en-US" w:eastAsia="zh-CN"/>
        </w:rPr>
        <w:t>书籍编撰能力及成果</w:t>
      </w:r>
      <w:r>
        <w:rPr>
          <w:rFonts w:hint="eastAsia" w:ascii="宋体" w:hAnsi="宋体" w:cs="宋体"/>
          <w:szCs w:val="21"/>
          <w:lang w:val="en-US" w:eastAsia="zh-CN"/>
        </w:rPr>
        <w:t>。</w:t>
      </w:r>
      <w:r>
        <w:rPr>
          <w:rFonts w:ascii="宋体" w:hAnsi="宋体" w:cs="宋体"/>
          <w:szCs w:val="21"/>
        </w:rPr>
        <w:t xml:space="preserve"> </w:t>
      </w:r>
    </w:p>
    <w:p>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rPr>
        <w:t xml:space="preserve">2.4 </w:t>
      </w:r>
      <w:r>
        <w:rPr>
          <w:rFonts w:hint="eastAsia" w:ascii="宋体" w:hAnsi="宋体" w:cs="宋体"/>
          <w:highlight w:val="none"/>
          <w:lang w:eastAsia="zh-CN"/>
        </w:rPr>
        <w:t>成果提交时间</w:t>
      </w:r>
      <w:r>
        <w:rPr>
          <w:rFonts w:hint="eastAsia" w:ascii="宋体" w:hAnsi="宋体" w:cs="宋体"/>
          <w:highlight w:val="none"/>
        </w:rPr>
        <w:t>：</w:t>
      </w:r>
      <w:r>
        <w:rPr>
          <w:rFonts w:hint="eastAsia" w:ascii="宋体" w:hAnsi="宋体" w:cs="宋体"/>
          <w:highlight w:val="none"/>
          <w:lang w:val="en-US" w:eastAsia="zh-CN"/>
        </w:rPr>
        <w:t>2023年12月</w:t>
      </w:r>
    </w:p>
    <w:p>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ascii="宋体" w:hAnsi="宋体" w:cs="宋体"/>
        </w:rPr>
      </w:pPr>
      <w:r>
        <w:rPr>
          <w:rFonts w:hint="eastAsia" w:ascii="宋体" w:hAnsi="宋体" w:cs="宋体"/>
        </w:rPr>
        <w:t>2.</w:t>
      </w:r>
      <w:r>
        <w:rPr>
          <w:rFonts w:ascii="宋体" w:hAnsi="宋体" w:cs="宋体"/>
        </w:rPr>
        <w:t>5</w:t>
      </w:r>
      <w:r>
        <w:rPr>
          <w:rFonts w:hint="eastAsia" w:ascii="宋体" w:hAnsi="宋体" w:cs="宋体"/>
        </w:rPr>
        <w:t xml:space="preserve"> 标段划分：无。</w:t>
      </w:r>
    </w:p>
    <w:p>
      <w:pPr>
        <w:pStyle w:val="4"/>
        <w:spacing w:before="120" w:after="0" w:line="360" w:lineRule="auto"/>
        <w:rPr>
          <w:rFonts w:ascii="宋体" w:hAnsi="宋体" w:eastAsia="宋体" w:cs="宋体"/>
        </w:rPr>
      </w:pPr>
      <w:bookmarkStart w:id="25" w:name="_Toc152042290"/>
      <w:bookmarkStart w:id="26" w:name="_Toc246996903"/>
      <w:bookmarkStart w:id="27" w:name="_Toc7065"/>
      <w:bookmarkStart w:id="28" w:name="_Toc144974482"/>
      <w:bookmarkStart w:id="29" w:name="_Toc152045514"/>
      <w:bookmarkStart w:id="30" w:name="_Toc10171"/>
      <w:bookmarkStart w:id="31" w:name="_Toc11329215"/>
      <w:bookmarkStart w:id="32" w:name="_Toc30356"/>
      <w:bookmarkStart w:id="33" w:name="_Toc507319893"/>
      <w:bookmarkStart w:id="34" w:name="_Toc246996160"/>
      <w:bookmarkStart w:id="35" w:name="_Toc247085674"/>
      <w:bookmarkStart w:id="36" w:name="_Toc179632530"/>
      <w:r>
        <w:rPr>
          <w:rFonts w:hint="eastAsia" w:ascii="宋体" w:hAnsi="宋体" w:eastAsia="宋体" w:cs="宋体"/>
        </w:rPr>
        <w:t>3. 报价人资格要求</w:t>
      </w:r>
      <w:bookmarkEnd w:id="25"/>
      <w:bookmarkEnd w:id="26"/>
      <w:bookmarkEnd w:id="27"/>
      <w:bookmarkEnd w:id="28"/>
      <w:bookmarkEnd w:id="29"/>
      <w:bookmarkEnd w:id="30"/>
      <w:bookmarkEnd w:id="31"/>
      <w:bookmarkEnd w:id="32"/>
      <w:bookmarkEnd w:id="33"/>
      <w:bookmarkEnd w:id="34"/>
      <w:bookmarkEnd w:id="35"/>
      <w:bookmarkEnd w:id="36"/>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bCs/>
          <w:color w:val="auto"/>
          <w:szCs w:val="21"/>
          <w:highlight w:val="none"/>
        </w:rPr>
      </w:pPr>
      <w:bookmarkStart w:id="37" w:name="_Toc247085675"/>
      <w:bookmarkStart w:id="38" w:name="_Toc152045515"/>
      <w:bookmarkStart w:id="39" w:name="_Toc246996161"/>
      <w:bookmarkStart w:id="40" w:name="_Toc179632531"/>
      <w:bookmarkStart w:id="41" w:name="_Toc152042291"/>
      <w:bookmarkStart w:id="42" w:name="_Toc246996904"/>
      <w:bookmarkStart w:id="43" w:name="_Toc144974483"/>
      <w:r>
        <w:rPr>
          <w:rFonts w:hint="eastAsia" w:ascii="宋体" w:hAnsi="宋体" w:eastAsia="宋体" w:cs="宋体"/>
          <w:b/>
          <w:bCs/>
          <w:szCs w:val="21"/>
          <w:shd w:val="clear" w:color="auto" w:fill="FFFFFF"/>
          <w:lang w:val="en-US" w:eastAsia="zh-CN"/>
        </w:rPr>
        <w:t>3.</w:t>
      </w:r>
      <w:r>
        <w:rPr>
          <w:rFonts w:hint="eastAsia" w:ascii="宋体" w:hAnsi="宋体" w:eastAsia="宋体" w:cs="宋体"/>
          <w:b/>
          <w:bCs/>
          <w:color w:val="auto"/>
          <w:szCs w:val="21"/>
          <w:highlight w:val="none"/>
        </w:rPr>
        <w:t>1资质要求</w:t>
      </w:r>
    </w:p>
    <w:p>
      <w:pPr>
        <w:spacing w:line="420" w:lineRule="exact"/>
        <w:ind w:firstLine="315" w:firstLineChars="150"/>
        <w:jc w:val="left"/>
        <w:rPr>
          <w:rFonts w:ascii="宋体" w:hAnsi="宋体" w:eastAsia="宋体" w:cs="宋体"/>
          <w:color w:val="auto"/>
          <w:kern w:val="0"/>
          <w:szCs w:val="21"/>
          <w:highlight w:val="none"/>
        </w:rPr>
      </w:pPr>
      <w:r>
        <w:rPr>
          <w:rFonts w:hint="eastAsia"/>
          <w:color w:val="auto"/>
          <w:szCs w:val="21"/>
          <w:highlight w:val="none"/>
        </w:rPr>
        <w:t>具有独立法人资格，具有有效的营业执照</w:t>
      </w:r>
      <w:r>
        <w:rPr>
          <w:rFonts w:hint="eastAsia"/>
          <w:color w:val="auto"/>
          <w:szCs w:val="21"/>
          <w:highlight w:val="none"/>
          <w:lang w:val="en-US" w:eastAsia="zh-CN"/>
        </w:rPr>
        <w:t>。</w:t>
      </w:r>
    </w:p>
    <w:p>
      <w:pPr>
        <w:spacing w:line="420" w:lineRule="exact"/>
        <w:ind w:firstLine="316" w:firstLineChars="150"/>
        <w:jc w:val="left"/>
        <w:rPr>
          <w:rFonts w:hint="eastAsia"/>
          <w:b/>
          <w:bCs/>
          <w:color w:val="auto"/>
          <w:szCs w:val="21"/>
          <w:highlight w:val="none"/>
          <w:lang w:val="en-US" w:eastAsia="zh-CN"/>
        </w:rPr>
      </w:pPr>
      <w:r>
        <w:rPr>
          <w:rFonts w:hint="eastAsia"/>
          <w:b/>
          <w:bCs/>
          <w:color w:val="auto"/>
          <w:szCs w:val="21"/>
          <w:highlight w:val="none"/>
          <w:lang w:val="en-US" w:eastAsia="zh-CN"/>
        </w:rPr>
        <w:t>3.2业绩要求</w:t>
      </w:r>
    </w:p>
    <w:p>
      <w:pPr>
        <w:spacing w:line="420" w:lineRule="exact"/>
        <w:ind w:firstLine="315" w:firstLineChars="150"/>
        <w:jc w:val="left"/>
        <w:rPr>
          <w:rFonts w:hint="default"/>
          <w:color w:val="auto"/>
          <w:szCs w:val="21"/>
          <w:highlight w:val="none"/>
          <w:lang w:val="en-US" w:eastAsia="zh-CN"/>
        </w:rPr>
      </w:pPr>
      <w:r>
        <w:rPr>
          <w:rFonts w:hint="eastAsia"/>
          <w:color w:val="auto"/>
          <w:szCs w:val="21"/>
          <w:highlight w:val="none"/>
          <w:lang w:val="en-US" w:eastAsia="zh-CN"/>
        </w:rPr>
        <w:t>具有丰富的项目经验，具备与省（市）级及以上的国企、各地区县机关事业单位</w:t>
      </w:r>
      <w:r>
        <w:rPr>
          <w:rFonts w:hint="eastAsia" w:ascii="宋体" w:hAnsi="宋体" w:eastAsia="宋体" w:cs="宋体"/>
          <w:sz w:val="21"/>
          <w:szCs w:val="21"/>
          <w:highlight w:val="none"/>
          <w:lang w:val="en-US" w:eastAsia="zh-CN"/>
        </w:rPr>
        <w:t>的设计策划或服务咨询类相关项目合同，</w:t>
      </w:r>
      <w:r>
        <w:rPr>
          <w:rFonts w:hint="eastAsia" w:ascii="宋体" w:hAnsi="宋体" w:eastAsia="宋体" w:cs="宋体"/>
          <w:color w:val="auto"/>
          <w:sz w:val="21"/>
          <w:szCs w:val="21"/>
          <w:highlight w:val="none"/>
          <w:lang w:val="en-US" w:eastAsia="zh-CN"/>
        </w:rPr>
        <w:t>且合同金额不小于10万元</w:t>
      </w:r>
      <w:r>
        <w:rPr>
          <w:rFonts w:hint="eastAsia"/>
          <w:color w:val="auto"/>
          <w:szCs w:val="21"/>
          <w:highlight w:val="none"/>
          <w:lang w:val="en-US" w:eastAsia="zh-CN"/>
        </w:rPr>
        <w:t>。从 2021年 1 月 1 日至 2023 年 8 月 30 日期间前述要求的</w:t>
      </w:r>
      <w:r>
        <w:rPr>
          <w:rFonts w:hint="eastAsia"/>
          <w:color w:val="auto"/>
          <w:szCs w:val="21"/>
          <w:highlight w:val="none"/>
          <w:lang w:val="en-US" w:eastAsia="zh-CN"/>
        </w:rPr>
        <w:t>项目合同不低于3个。</w:t>
      </w:r>
    </w:p>
    <w:p>
      <w:pPr>
        <w:spacing w:line="420" w:lineRule="exact"/>
        <w:ind w:firstLine="315" w:firstLineChars="150"/>
        <w:jc w:val="left"/>
        <w:rPr>
          <w:rFonts w:hint="default"/>
          <w:color w:val="auto"/>
          <w:szCs w:val="21"/>
          <w:highlight w:val="none"/>
          <w:lang w:val="en-US" w:eastAsia="zh-CN"/>
        </w:rPr>
      </w:pPr>
      <w:r>
        <w:rPr>
          <w:rFonts w:hint="eastAsia"/>
          <w:color w:val="auto"/>
          <w:szCs w:val="21"/>
          <w:highlight w:val="none"/>
          <w:lang w:val="en-US" w:eastAsia="zh-CN"/>
        </w:rPr>
        <w:t>项目合同不低于3个。</w:t>
      </w:r>
    </w:p>
    <w:p>
      <w:pPr>
        <w:spacing w:line="440" w:lineRule="exact"/>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3.3</w:t>
      </w:r>
      <w:r>
        <w:rPr>
          <w:rFonts w:hint="eastAsia" w:ascii="宋体" w:hAnsi="宋体" w:eastAsia="宋体" w:cs="宋体"/>
          <w:b/>
          <w:color w:val="auto"/>
          <w:szCs w:val="21"/>
          <w:highlight w:val="none"/>
        </w:rPr>
        <w:t>信誉及其他要求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（1）20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年01月01日起至今，没有重大质量、安全事故。</w:t>
      </w:r>
    </w:p>
    <w:p>
      <w:pPr>
        <w:spacing w:line="36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（2）20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年01月01日起至今未被有关行政部门暂停投标资格，或被有关行政部门暂停投标资格期限已满，也无行贿犯罪记录。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color w:val="auto"/>
          <w:szCs w:val="21"/>
          <w:highlight w:val="none"/>
        </w:rPr>
      </w:pPr>
      <w:r>
        <w:rPr>
          <w:rFonts w:hint="eastAsia" w:ascii="宋体" w:hAnsi="宋体" w:eastAsia="宋体" w:cs="宋体"/>
          <w:color w:val="auto"/>
          <w:szCs w:val="21"/>
          <w:highlight w:val="none"/>
        </w:rPr>
        <w:t>（3）比选申请人及制造商信誉良好，无国家企业信用信息系统行政处罚纪录。</w:t>
      </w:r>
    </w:p>
    <w:p>
      <w:pPr>
        <w:spacing w:line="42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（4）比选申请人具有独立承担民事责任的能力，具有良好的商业信誉和健全的财务制度，有依法纳税税收和缴纳社会保障资金的良好记录。</w:t>
      </w:r>
    </w:p>
    <w:p>
      <w:pPr>
        <w:spacing w:line="420" w:lineRule="exact"/>
        <w:ind w:firstLine="316" w:firstLineChars="150"/>
        <w:rPr>
          <w:rFonts w:ascii="宋体" w:hAnsi="宋体" w:cs="宋体"/>
          <w:szCs w:val="21"/>
          <w:shd w:val="clear" w:color="auto" w:fill="FFFFFF"/>
        </w:rPr>
      </w:pPr>
      <w:r>
        <w:rPr>
          <w:rFonts w:hint="eastAsia" w:ascii="宋体" w:hAnsi="宋体" w:eastAsia="宋体" w:cs="宋体"/>
          <w:b/>
          <w:bCs/>
          <w:color w:val="auto"/>
          <w:kern w:val="0"/>
          <w:szCs w:val="21"/>
          <w:highlight w:val="none"/>
        </w:rPr>
        <w:t>（注：须由比选申请人对上述信誉及其他要求作出承诺，并按格式中要求承诺，加盖比选申请人公章。）</w:t>
      </w:r>
    </w:p>
    <w:p>
      <w:pPr>
        <w:pStyle w:val="4"/>
        <w:spacing w:before="120" w:after="0" w:line="400" w:lineRule="exact"/>
        <w:rPr>
          <w:rFonts w:ascii="宋体" w:hAnsi="宋体" w:eastAsia="宋体" w:cs="宋体"/>
        </w:rPr>
      </w:pPr>
      <w:bookmarkStart w:id="44" w:name="_Toc25619"/>
      <w:bookmarkStart w:id="45" w:name="_Toc12460"/>
      <w:bookmarkStart w:id="46" w:name="_Toc507319894"/>
      <w:bookmarkStart w:id="47" w:name="_Toc14361"/>
      <w:bookmarkStart w:id="48" w:name="_Toc11329216"/>
      <w:r>
        <w:rPr>
          <w:rFonts w:hint="eastAsia" w:ascii="宋体" w:hAnsi="宋体" w:eastAsia="宋体" w:cs="宋体"/>
        </w:rPr>
        <w:t>4. 比选文件的获取</w:t>
      </w:r>
      <w:bookmarkEnd w:id="37"/>
      <w:bookmarkEnd w:id="38"/>
      <w:bookmarkEnd w:id="39"/>
      <w:bookmarkEnd w:id="40"/>
      <w:bookmarkEnd w:id="41"/>
      <w:bookmarkEnd w:id="42"/>
      <w:bookmarkEnd w:id="43"/>
      <w:bookmarkEnd w:id="44"/>
      <w:bookmarkEnd w:id="45"/>
      <w:bookmarkEnd w:id="46"/>
      <w:bookmarkEnd w:id="47"/>
      <w:bookmarkEnd w:id="48"/>
    </w:p>
    <w:p>
      <w:pPr>
        <w:tabs>
          <w:tab w:val="left" w:pos="360"/>
        </w:tabs>
        <w:spacing w:line="400" w:lineRule="exact"/>
        <w:ind w:firstLine="420" w:firstLineChars="200"/>
        <w:rPr>
          <w:rFonts w:ascii="宋体" w:hAnsi="宋体" w:cs="宋体"/>
          <w:szCs w:val="21"/>
        </w:rPr>
      </w:pPr>
      <w:bookmarkStart w:id="49" w:name="_Toc179632532"/>
      <w:bookmarkStart w:id="50" w:name="_Toc246996162"/>
      <w:bookmarkStart w:id="51" w:name="_Toc507319895"/>
      <w:bookmarkStart w:id="52" w:name="_Toc152042292"/>
      <w:bookmarkStart w:id="53" w:name="_Toc144974484"/>
      <w:bookmarkStart w:id="54" w:name="_Toc152045516"/>
      <w:bookmarkStart w:id="55" w:name="_Toc247085676"/>
      <w:bookmarkStart w:id="56" w:name="_Toc246996905"/>
      <w:bookmarkStart w:id="57" w:name="_Toc11329217"/>
      <w:bookmarkStart w:id="58" w:name="_Toc31493"/>
      <w:bookmarkStart w:id="59" w:name="_Toc9131"/>
      <w:bookmarkStart w:id="60" w:name="_Toc16686"/>
      <w:r>
        <w:rPr>
          <w:rFonts w:hint="eastAsia" w:ascii="宋体" w:hAnsi="宋体" w:cs="宋体"/>
          <w:szCs w:val="21"/>
        </w:rPr>
        <w:t>凡愿意参加的潜在报价人</w:t>
      </w:r>
      <w:r>
        <w:rPr>
          <w:rFonts w:hint="eastAsia" w:ascii="宋体" w:hAnsi="宋体" w:cs="宋体"/>
          <w:color w:val="auto"/>
          <w:szCs w:val="21"/>
        </w:rPr>
        <w:t>，在</w:t>
      </w:r>
      <w:r>
        <w:rPr>
          <w:rFonts w:hint="eastAsia" w:ascii="宋体" w:hAnsi="宋体" w:cs="宋体"/>
          <w:color w:val="auto"/>
          <w:szCs w:val="21"/>
          <w:highlight w:val="none"/>
          <w:u w:val="single"/>
        </w:rPr>
        <w:t>202</w:t>
      </w:r>
      <w:r>
        <w:rPr>
          <w:rFonts w:ascii="宋体" w:hAnsi="宋体" w:cs="宋体"/>
          <w:color w:val="auto"/>
          <w:szCs w:val="21"/>
          <w:highlight w:val="none"/>
          <w:u w:val="single"/>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日前</w:t>
      </w:r>
      <w:r>
        <w:rPr>
          <w:rFonts w:hint="eastAsia" w:ascii="宋体" w:hAnsi="宋体" w:cs="宋体"/>
          <w:color w:val="auto"/>
          <w:szCs w:val="21"/>
        </w:rPr>
        <w:t>在重</w:t>
      </w:r>
      <w:r>
        <w:rPr>
          <w:rFonts w:hint="eastAsia" w:ascii="宋体" w:hAnsi="宋体" w:cs="宋体"/>
          <w:szCs w:val="21"/>
        </w:rPr>
        <w:t>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rPr>
        <w:t>5. 竞争性比选响应文件的递交</w:t>
      </w:r>
      <w:bookmarkEnd w:id="49"/>
      <w:bookmarkEnd w:id="50"/>
      <w:bookmarkEnd w:id="51"/>
      <w:bookmarkEnd w:id="52"/>
      <w:bookmarkEnd w:id="53"/>
      <w:bookmarkEnd w:id="54"/>
      <w:bookmarkEnd w:id="55"/>
      <w:bookmarkEnd w:id="56"/>
      <w:bookmarkEnd w:id="57"/>
      <w:r>
        <w:rPr>
          <w:rFonts w:hint="eastAsia" w:ascii="宋体" w:hAnsi="宋体" w:eastAsia="宋体" w:cs="宋体"/>
        </w:rPr>
        <w:t>及相关事宜</w:t>
      </w:r>
      <w:bookmarkEnd w:id="58"/>
      <w:bookmarkEnd w:id="59"/>
      <w:bookmarkEnd w:id="60"/>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szCs w:val="21"/>
        </w:rPr>
        <w:t>5.1报价截止时间和开标时间：</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202</w:t>
      </w:r>
      <w:r>
        <w:rPr>
          <w:rFonts w:ascii="宋体" w:hAnsi="宋体"/>
          <w:color w:val="auto"/>
          <w:szCs w:val="21"/>
          <w:highlight w:val="none"/>
          <w:u w:val="single"/>
        </w:rPr>
        <w:t>3</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23  </w:t>
      </w:r>
      <w:r>
        <w:rPr>
          <w:rFonts w:hint="eastAsia" w:ascii="宋体" w:hAnsi="宋体"/>
          <w:color w:val="auto"/>
          <w:szCs w:val="21"/>
          <w:highlight w:val="none"/>
        </w:rPr>
        <w:t>日</w:t>
      </w:r>
      <w:r>
        <w:rPr>
          <w:rFonts w:hint="eastAsia" w:ascii="宋体" w:hAnsi="宋体"/>
          <w:color w:val="auto"/>
          <w:szCs w:val="21"/>
          <w:highlight w:val="none"/>
          <w:lang w:val="en-US" w:eastAsia="zh-CN"/>
        </w:rPr>
        <w:t>下</w:t>
      </w:r>
      <w:r>
        <w:rPr>
          <w:rFonts w:hint="eastAsia" w:ascii="宋体" w:hAnsi="宋体"/>
          <w:color w:val="auto"/>
          <w:szCs w:val="21"/>
          <w:highlight w:val="none"/>
        </w:rPr>
        <w:t>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14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分（北京时间）。</w:t>
      </w:r>
    </w:p>
    <w:p>
      <w:pPr>
        <w:tabs>
          <w:tab w:val="left" w:pos="360"/>
        </w:tabs>
        <w:spacing w:line="360" w:lineRule="auto"/>
        <w:ind w:firstLine="420" w:firstLineChars="200"/>
        <w:rPr>
          <w:rFonts w:ascii="宋体" w:hAnsi="宋体" w:cs="宋体"/>
          <w:szCs w:val="21"/>
        </w:rPr>
      </w:pPr>
      <w:r>
        <w:rPr>
          <w:rFonts w:hint="eastAsia" w:ascii="宋体" w:hAnsi="宋体" w:cs="宋体"/>
          <w:color w:val="auto"/>
          <w:szCs w:val="21"/>
          <w:highlight w:val="none"/>
        </w:rPr>
        <w:t>5.2报价的递交：报价文件于</w:t>
      </w:r>
      <w:r>
        <w:rPr>
          <w:rFonts w:hint="eastAsia" w:ascii="宋体" w:hAnsi="宋体" w:cs="宋体"/>
          <w:color w:val="auto"/>
          <w:szCs w:val="21"/>
          <w:highlight w:val="none"/>
          <w:u w:val="single"/>
        </w:rPr>
        <w:t>202</w:t>
      </w:r>
      <w:r>
        <w:rPr>
          <w:rFonts w:ascii="宋体" w:hAnsi="宋体" w:cs="宋体"/>
          <w:color w:val="auto"/>
          <w:szCs w:val="21"/>
          <w:highlight w:val="none"/>
          <w:u w:val="single"/>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23   </w:t>
      </w:r>
      <w:r>
        <w:rPr>
          <w:rFonts w:hint="eastAsia" w:ascii="宋体" w:hAnsi="宋体" w:cs="宋体"/>
          <w:color w:val="auto"/>
          <w:szCs w:val="21"/>
          <w:highlight w:val="none"/>
        </w:rPr>
        <w:t>日</w:t>
      </w:r>
      <w:r>
        <w:rPr>
          <w:rFonts w:hint="eastAsia" w:ascii="宋体" w:hAnsi="宋体" w:cs="宋体"/>
          <w:color w:val="auto"/>
          <w:szCs w:val="21"/>
        </w:rPr>
        <w:t>递</w:t>
      </w:r>
      <w:r>
        <w:rPr>
          <w:rFonts w:hint="eastAsia" w:ascii="宋体" w:hAnsi="宋体" w:cs="宋体"/>
          <w:szCs w:val="21"/>
        </w:rPr>
        <w:t>交至</w:t>
      </w:r>
      <w:r>
        <w:rPr>
          <w:rFonts w:hint="eastAsia" w:ascii="宋体" w:hAnsi="宋体" w:cs="宋体"/>
          <w:szCs w:val="21"/>
          <w:lang w:val="zh-TW" w:eastAsia="zh-CN"/>
        </w:rPr>
        <w:t>重庆市渝北区银杉路66号（重庆高速集团）</w:t>
      </w:r>
      <w:r>
        <w:rPr>
          <w:rFonts w:hint="eastAsia" w:ascii="宋体" w:hAnsi="宋体" w:cs="宋体"/>
          <w:szCs w:val="21"/>
          <w:lang w:val="en-US" w:eastAsia="zh-CN"/>
        </w:rPr>
        <w:t>602会议室</w:t>
      </w:r>
      <w:r>
        <w:rPr>
          <w:rFonts w:hint="eastAsia" w:ascii="宋体" w:hAnsi="宋体"/>
          <w:szCs w:val="21"/>
        </w:rPr>
        <w:t>。</w:t>
      </w:r>
    </w:p>
    <w:p>
      <w:pPr>
        <w:tabs>
          <w:tab w:val="left" w:pos="360"/>
        </w:tabs>
        <w:spacing w:line="360" w:lineRule="auto"/>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keepNext w:val="0"/>
        <w:keepLines w:val="0"/>
        <w:pageBreakBefore w:val="0"/>
        <w:widowControl w:val="0"/>
        <w:kinsoku/>
        <w:wordWrap/>
        <w:overflowPunct/>
        <w:topLinePunct w:val="0"/>
        <w:autoSpaceDE/>
        <w:autoSpaceDN/>
        <w:bidi w:val="0"/>
        <w:adjustRightInd/>
        <w:snapToGrid/>
        <w:spacing w:line="360" w:lineRule="auto"/>
        <w:ind w:firstLine="408"/>
        <w:textAlignment w:val="auto"/>
        <w:rPr>
          <w:rFonts w:ascii="宋体" w:hAnsi="宋体" w:cs="宋体"/>
          <w:szCs w:val="21"/>
        </w:rPr>
      </w:pPr>
      <w:r>
        <w:rPr>
          <w:rFonts w:hint="eastAsia" w:ascii="宋体" w:hAnsi="宋体" w:cs="宋体"/>
          <w:szCs w:val="21"/>
        </w:rPr>
        <w:t>5.4竞争性比选响应文件提交正本1份，副本1份，副本可为正本的复印件，竞争性比选响应文件需装订成册，当正本与副本不一致时，以正本为准。</w:t>
      </w:r>
    </w:p>
    <w:p>
      <w:pPr>
        <w:spacing w:line="400" w:lineRule="exact"/>
        <w:ind w:firstLine="420" w:firstLineChars="200"/>
        <w:rPr>
          <w:rFonts w:ascii="宋体" w:hAnsi="宋体" w:eastAsia="宋体" w:cs="宋体"/>
          <w:color w:val="auto"/>
          <w:szCs w:val="21"/>
          <w:highlight w:val="none"/>
        </w:rPr>
      </w:pPr>
      <w:r>
        <w:rPr>
          <w:rFonts w:hint="eastAsia" w:ascii="宋体" w:hAnsi="宋体" w:cs="宋体"/>
          <w:szCs w:val="21"/>
        </w:rPr>
        <w:t>5.5本次竞争性比选响应文件的组成：</w:t>
      </w:r>
      <w:r>
        <w:rPr>
          <w:rFonts w:hint="eastAsia" w:ascii="宋体" w:hAnsi="宋体" w:eastAsia="宋体" w:cs="宋体"/>
          <w:color w:val="auto"/>
          <w:szCs w:val="21"/>
          <w:highlight w:val="none"/>
        </w:rPr>
        <w:t>报价书；</w:t>
      </w:r>
      <w:r>
        <w:rPr>
          <w:rFonts w:hint="eastAsia" w:ascii="宋体" w:hAnsi="宋体" w:eastAsia="宋体" w:cs="宋体"/>
          <w:color w:val="auto"/>
          <w:szCs w:val="21"/>
          <w:highlight w:val="none"/>
          <w:lang w:eastAsia="zh-CN"/>
        </w:rPr>
        <w:t>报价一览表；</w:t>
      </w:r>
      <w:r>
        <w:rPr>
          <w:rFonts w:hint="eastAsia" w:ascii="宋体" w:hAnsi="宋体" w:eastAsia="宋体" w:cs="宋体"/>
          <w:color w:val="auto"/>
          <w:szCs w:val="21"/>
          <w:highlight w:val="none"/>
        </w:rPr>
        <w:t>法定代表人身份证明及授权委托书；资格审查资料；比选申请人的信誉及其他要求资料；其他相关资料（</w:t>
      </w:r>
      <w:r>
        <w:rPr>
          <w:rFonts w:hint="eastAsia" w:ascii="宋体" w:hAnsi="宋体" w:eastAsia="宋体" w:cs="宋体"/>
          <w:color w:val="auto"/>
          <w:szCs w:val="21"/>
          <w:highlight w:val="none"/>
          <w:lang w:val="en-US" w:eastAsia="zh-CN"/>
        </w:rPr>
        <w:t>如：书籍框架设计方案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cs="宋体"/>
          <w:szCs w:val="21"/>
        </w:rPr>
        <w:t>（注：以上所有文件均须加盖报价人的公章）。</w:t>
      </w:r>
    </w:p>
    <w:p>
      <w:pPr>
        <w:spacing w:after="120" w:line="360" w:lineRule="auto"/>
        <w:ind w:firstLine="408"/>
        <w:rPr>
          <w:rFonts w:ascii="宋体" w:hAnsi="宋体" w:cs="宋体"/>
          <w:color w:val="auto"/>
          <w:szCs w:val="21"/>
        </w:rPr>
      </w:pPr>
      <w:r>
        <w:rPr>
          <w:rFonts w:hint="eastAsia" w:ascii="宋体" w:hAnsi="宋体" w:cs="宋体"/>
          <w:szCs w:val="21"/>
        </w:rPr>
        <w:t>5.6密封要求：竞争性比选响应文件密封到一个封袋中，在封套上写明：</w:t>
      </w:r>
      <w:r>
        <w:rPr>
          <w:rFonts w:hint="eastAsia" w:ascii="宋体" w:hAnsi="宋体" w:cs="宋体"/>
          <w:szCs w:val="21"/>
          <w:u w:val="none"/>
          <w:lang w:val="en-US" w:eastAsia="zh-CN"/>
        </w:rPr>
        <w:t>《山水城·渝快行》书籍服务</w:t>
      </w:r>
      <w:r>
        <w:rPr>
          <w:rFonts w:hint="eastAsia" w:ascii="宋体" w:hAnsi="宋体" w:cs="宋体"/>
          <w:szCs w:val="21"/>
          <w:u w:val="none"/>
        </w:rPr>
        <w:t>项目</w:t>
      </w:r>
      <w:r>
        <w:rPr>
          <w:rFonts w:hint="eastAsia" w:ascii="宋体" w:hAnsi="宋体" w:cs="宋体"/>
          <w:szCs w:val="21"/>
        </w:rPr>
        <w:t>竞争性比选响应文件</w:t>
      </w:r>
      <w:r>
        <w:rPr>
          <w:rFonts w:hint="eastAsia" w:ascii="宋体" w:hAnsi="宋体" w:cs="宋体"/>
          <w:color w:val="auto"/>
          <w:szCs w:val="21"/>
        </w:rPr>
        <w:t>，在</w:t>
      </w:r>
      <w:r>
        <w:rPr>
          <w:rFonts w:hint="eastAsia" w:ascii="宋体" w:hAnsi="宋体" w:cs="宋体"/>
          <w:color w:val="auto"/>
          <w:szCs w:val="21"/>
          <w:highlight w:val="none"/>
          <w:lang w:val="en-US" w:eastAsia="zh-CN"/>
        </w:rPr>
        <w:t xml:space="preserve"> 2023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23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14：00 </w:t>
      </w:r>
      <w:r>
        <w:rPr>
          <w:rFonts w:hint="eastAsia" w:ascii="宋体" w:hAnsi="宋体" w:cs="宋体"/>
          <w:color w:val="auto"/>
          <w:szCs w:val="21"/>
          <w:highlight w:val="none"/>
        </w:rPr>
        <w:t>时前</w:t>
      </w:r>
      <w:r>
        <w:rPr>
          <w:rFonts w:hint="eastAsia" w:ascii="宋体" w:hAnsi="宋体" w:cs="宋体"/>
          <w:color w:val="auto"/>
          <w:szCs w:val="21"/>
        </w:rPr>
        <w:t>不得开启。</w:t>
      </w:r>
    </w:p>
    <w:p>
      <w:pPr>
        <w:spacing w:after="120" w:line="360" w:lineRule="auto"/>
        <w:ind w:firstLine="408"/>
        <w:rPr>
          <w:rFonts w:ascii="宋体" w:hAnsi="宋体" w:cs="宋体"/>
          <w:szCs w:val="21"/>
        </w:rPr>
      </w:pPr>
      <w:r>
        <w:rPr>
          <w:rFonts w:hint="eastAsia" w:ascii="宋体" w:hAnsi="宋体" w:cs="宋体"/>
          <w:szCs w:val="21"/>
        </w:rPr>
        <w:t>5</w:t>
      </w:r>
      <w:r>
        <w:rPr>
          <w:rFonts w:ascii="宋体" w:hAnsi="宋体" w:cs="宋体"/>
          <w:szCs w:val="21"/>
        </w:rPr>
        <w:t>.7</w:t>
      </w:r>
      <w:r>
        <w:rPr>
          <w:rFonts w:hint="eastAsia" w:ascii="宋体" w:hAnsi="宋体" w:cs="宋体"/>
          <w:szCs w:val="21"/>
        </w:rPr>
        <w:t>逾期送达，或未送达指定地点，或未密封的竞争性比选响应文件，采购人不予受理。</w:t>
      </w:r>
    </w:p>
    <w:p>
      <w:pPr>
        <w:spacing w:after="120" w:line="360" w:lineRule="auto"/>
        <w:ind w:firstLine="408"/>
        <w:rPr>
          <w:rFonts w:hint="eastAsia" w:eastAsia="宋体"/>
          <w:lang w:eastAsia="zh-CN"/>
        </w:rPr>
      </w:pPr>
      <w:r>
        <w:rPr>
          <w:rFonts w:hint="eastAsia" w:ascii="宋体" w:hAnsi="宋体" w:cs="宋体"/>
          <w:szCs w:val="21"/>
        </w:rPr>
        <w:t>5</w:t>
      </w:r>
      <w:r>
        <w:rPr>
          <w:rFonts w:ascii="宋体" w:hAnsi="宋体" w:cs="宋体"/>
          <w:szCs w:val="21"/>
        </w:rPr>
        <w:t>.8</w:t>
      </w:r>
      <w:r>
        <w:rPr>
          <w:rFonts w:hint="eastAsia" w:ascii="宋体" w:hAnsi="宋体" w:cs="宋体"/>
          <w:szCs w:val="21"/>
        </w:rPr>
        <w:t>递交方式：现场递交，需在投标截止当天将文件送达并参与现场开标</w:t>
      </w:r>
      <w:r>
        <w:rPr>
          <w:rFonts w:hint="eastAsia" w:ascii="宋体" w:hAnsi="宋体" w:cs="宋体"/>
          <w:szCs w:val="21"/>
          <w:lang w:eastAsia="zh-CN"/>
        </w:rPr>
        <w:t>。</w:t>
      </w:r>
    </w:p>
    <w:p>
      <w:pPr>
        <w:pStyle w:val="4"/>
        <w:spacing w:before="120" w:after="0" w:line="400" w:lineRule="exact"/>
        <w:rPr>
          <w:rFonts w:ascii="宋体" w:hAnsi="宋体" w:eastAsia="宋体" w:cs="宋体"/>
        </w:rPr>
      </w:pPr>
      <w:bookmarkStart w:id="61" w:name="_Toc11329219"/>
      <w:bookmarkStart w:id="62" w:name="_Toc246996164"/>
      <w:bookmarkStart w:id="63" w:name="_Toc393"/>
      <w:bookmarkStart w:id="64" w:name="_Toc507319897"/>
      <w:bookmarkStart w:id="65" w:name="_Toc18402"/>
      <w:bookmarkStart w:id="66" w:name="_Toc21615"/>
      <w:bookmarkStart w:id="67" w:name="_Toc246996907"/>
      <w:bookmarkStart w:id="68" w:name="_Toc247085678"/>
      <w:bookmarkStart w:id="69" w:name="_Toc179632534"/>
      <w:bookmarkStart w:id="70" w:name="_Toc152045517"/>
      <w:bookmarkStart w:id="71" w:name="_Toc144974485"/>
      <w:bookmarkStart w:id="72" w:name="_Toc152042293"/>
      <w:r>
        <w:rPr>
          <w:rFonts w:hint="eastAsia" w:ascii="宋体" w:hAnsi="宋体" w:eastAsia="宋体" w:cs="宋体"/>
        </w:rPr>
        <w:t>6. 联系方式</w:t>
      </w:r>
      <w:bookmarkEnd w:id="61"/>
      <w:bookmarkEnd w:id="62"/>
      <w:bookmarkEnd w:id="63"/>
      <w:bookmarkEnd w:id="64"/>
      <w:bookmarkEnd w:id="65"/>
      <w:bookmarkEnd w:id="66"/>
      <w:bookmarkEnd w:id="67"/>
      <w:bookmarkEnd w:id="68"/>
      <w:bookmarkEnd w:id="69"/>
      <w:bookmarkEnd w:id="70"/>
      <w:bookmarkEnd w:id="71"/>
      <w:bookmarkEnd w:id="72"/>
    </w:p>
    <w:tbl>
      <w:tblPr>
        <w:tblStyle w:val="15"/>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7"/>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w:t>
            </w:r>
            <w:r>
              <w:rPr>
                <w:rFonts w:hint="eastAsia" w:ascii="宋体" w:hAnsi="宋体" w:eastAsia="宋体" w:cs="宋体"/>
                <w:kern w:val="2"/>
                <w:sz w:val="21"/>
                <w:szCs w:val="21"/>
                <w:lang w:val="en-US" w:eastAsia="zh-CN" w:bidi="ar-SA"/>
              </w:rPr>
              <w:t>重庆高速公路集团有限公司联网收费结算中心</w:t>
            </w:r>
          </w:p>
        </w:tc>
        <w:tc>
          <w:tcPr>
            <w:tcW w:w="1415" w:type="dxa"/>
            <w:vAlign w:val="center"/>
          </w:tcPr>
          <w:p>
            <w:pPr>
              <w:pStyle w:val="17"/>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w:t>
            </w:r>
            <w:r>
              <w:rPr>
                <w:rFonts w:hint="eastAsia" w:ascii="宋体" w:hAnsi="宋体" w:eastAsia="宋体" w:cs="宋体"/>
                <w:kern w:val="2"/>
                <w:sz w:val="21"/>
                <w:szCs w:val="21"/>
                <w:lang w:val="zh-TW" w:eastAsia="zh-CN" w:bidi="ar-SA"/>
              </w:rPr>
              <w:t>重庆市渝北区银杉路66号</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lang w:val="en-US" w:eastAsia="zh-CN"/>
              </w:rPr>
            </w:pPr>
            <w:r>
              <w:rPr>
                <w:rFonts w:hint="eastAsia"/>
              </w:rPr>
              <w:t>联系人：</w:t>
            </w:r>
            <w:r>
              <w:rPr>
                <w:rFonts w:hint="eastAsia"/>
                <w:lang w:eastAsia="zh-CN"/>
              </w:rPr>
              <w:t>刘</w:t>
            </w:r>
            <w:r>
              <w:rPr>
                <w:rFonts w:hint="eastAsia"/>
              </w:rPr>
              <w:t xml:space="preserve">老师 </w:t>
            </w:r>
            <w:r>
              <w:t xml:space="preserve">        </w:t>
            </w:r>
            <w:r>
              <w:rPr>
                <w:rFonts w:hint="eastAsia"/>
              </w:rPr>
              <w:t xml:space="preserve"> 电 话：</w:t>
            </w:r>
            <w:r>
              <w:rPr>
                <w:rFonts w:hint="eastAsia"/>
                <w:lang w:val="en-US" w:eastAsia="zh-CN"/>
              </w:rPr>
              <w:t>18623458941</w:t>
            </w:r>
          </w:p>
        </w:tc>
        <w:tc>
          <w:tcPr>
            <w:tcW w:w="1415" w:type="dxa"/>
            <w:vAlign w:val="center"/>
          </w:tcPr>
          <w:p>
            <w:pPr>
              <w:spacing w:line="400" w:lineRule="exact"/>
              <w:ind w:firstLine="420" w:firstLineChars="200"/>
              <w:rPr>
                <w:rFonts w:ascii="宋体" w:hAnsi="宋体" w:cs="宋体"/>
                <w:szCs w:val="21"/>
              </w:rPr>
            </w:pPr>
          </w:p>
        </w:tc>
      </w:tr>
    </w:tbl>
    <w:p>
      <w:pPr>
        <w:numPr>
          <w:ilvl w:val="0"/>
          <w:numId w:val="0"/>
        </w:numPr>
        <w:rPr>
          <w:rFonts w:hint="eastAsia"/>
          <w:lang w:val="en-US" w:eastAsia="zh-CN"/>
        </w:rPr>
      </w:pPr>
    </w:p>
    <w:p>
      <w:pPr>
        <w:pStyle w:val="3"/>
        <w:spacing w:before="0" w:after="0" w:line="360" w:lineRule="auto"/>
        <w:jc w:val="center"/>
        <w:rPr>
          <w:rFonts w:ascii="宋体" w:hAnsi="宋体" w:cs="宋体"/>
        </w:rPr>
      </w:pPr>
      <w:r>
        <w:rPr>
          <w:rFonts w:hint="eastAsia" w:ascii="宋体" w:hAnsi="宋体" w:cs="宋体"/>
        </w:rPr>
        <w:t>第二章 报价人须知</w:t>
      </w:r>
    </w:p>
    <w:p/>
    <w:tbl>
      <w:tblPr>
        <w:tblStyle w:val="1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73"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w:t>
            </w:r>
            <w:r>
              <w:rPr>
                <w:rFonts w:hint="eastAsia" w:ascii="宋体" w:hAnsi="宋体" w:eastAsia="宋体" w:cs="宋体"/>
                <w:kern w:val="2"/>
                <w:sz w:val="21"/>
                <w:szCs w:val="21"/>
                <w:lang w:val="en-US" w:eastAsia="zh-CN" w:bidi="ar-SA"/>
              </w:rPr>
              <w:t>重庆高速公路集团有限公司联网收费结算中心</w:t>
            </w:r>
          </w:p>
          <w:p>
            <w:pPr>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eastAsia="宋体" w:cs="宋体"/>
                <w:kern w:val="2"/>
                <w:sz w:val="21"/>
                <w:szCs w:val="21"/>
                <w:lang w:val="zh-TW" w:eastAsia="zh-CN" w:bidi="ar-SA"/>
              </w:rPr>
              <w:t>重庆市渝北区银杉路66号</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刘</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18623458941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u w:val="single"/>
                <w:lang w:val="en-US" w:eastAsia="zh-CN"/>
              </w:rPr>
              <w:t>《山水城·渝快行》书籍服务</w:t>
            </w:r>
            <w:r>
              <w:rPr>
                <w:rFonts w:hint="eastAsia" w:ascii="宋体" w:hAnsi="宋体" w:cs="宋体"/>
                <w:szCs w:val="21"/>
                <w:u w:val="singl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pStyle w:val="7"/>
              <w:adjustRightInd w:val="0"/>
              <w:spacing w:line="400" w:lineRule="exact"/>
              <w:rPr>
                <w:rFonts w:ascii="宋体" w:hAnsi="宋体" w:cs="宋体"/>
                <w:kern w:val="0"/>
                <w:szCs w:val="21"/>
              </w:rPr>
            </w:pPr>
            <w:r>
              <w:rPr>
                <w:rFonts w:hint="eastAsia" w:ascii="宋体" w:hAnsi="宋体" w:cs="宋体"/>
                <w:color w:val="auto"/>
                <w:szCs w:val="21"/>
                <w:highlight w:val="none"/>
              </w:rPr>
              <w:t>达到国家现行有关质量验收规范要求，</w:t>
            </w:r>
            <w:r>
              <w:rPr>
                <w:rFonts w:hint="eastAsia" w:ascii="宋体" w:hAnsi="宋体" w:cs="宋体"/>
                <w:szCs w:val="21"/>
                <w:lang w:eastAsia="zh-CN"/>
              </w:rPr>
              <w:t>完成</w:t>
            </w:r>
            <w:r>
              <w:rPr>
                <w:rFonts w:hint="eastAsia" w:ascii="宋体" w:hAnsi="宋体" w:cs="宋体"/>
                <w:szCs w:val="21"/>
              </w:rPr>
              <w:t>内容</w:t>
            </w:r>
            <w:r>
              <w:rPr>
                <w:rFonts w:hint="eastAsia" w:ascii="宋体" w:hAnsi="宋体" w:cs="宋体"/>
                <w:szCs w:val="21"/>
                <w:lang w:eastAsia="zh-CN"/>
              </w:rPr>
              <w:t>包括但不限于</w:t>
            </w:r>
            <w:r>
              <w:rPr>
                <w:rFonts w:hint="eastAsia" w:ascii="宋体" w:hAnsi="宋体" w:cs="宋体"/>
                <w:szCs w:val="21"/>
                <w:lang w:val="en-US" w:eastAsia="zh-CN"/>
              </w:rPr>
              <w:t>框架设计、资料整理、内容编辑、案例加工等相关工作，10万字以上。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numPr>
                <w:ilvl w:val="0"/>
                <w:numId w:val="2"/>
              </w:numPr>
              <w:spacing w:line="400" w:lineRule="exact"/>
              <w:ind w:firstLine="420" w:firstLineChars="200"/>
              <w:rPr>
                <w:rFonts w:ascii="宋体" w:hAnsi="宋体" w:cs="宋体"/>
                <w:szCs w:val="21"/>
              </w:rPr>
            </w:pPr>
            <w:r>
              <w:rPr>
                <w:rFonts w:hint="eastAsia" w:ascii="宋体" w:hAnsi="宋体" w:cs="宋体"/>
                <w:szCs w:val="21"/>
              </w:rPr>
              <w:t>资质条件：见比选公告3.1</w:t>
            </w:r>
          </w:p>
          <w:p>
            <w:pPr>
              <w:numPr>
                <w:ilvl w:val="0"/>
                <w:numId w:val="2"/>
              </w:numPr>
              <w:spacing w:line="400" w:lineRule="exact"/>
              <w:ind w:firstLine="420" w:firstLineChars="200"/>
              <w:rPr>
                <w:rFonts w:ascii="宋体" w:hAnsi="宋体" w:cs="宋体"/>
                <w:szCs w:val="21"/>
              </w:rPr>
            </w:pPr>
            <w:r>
              <w:rPr>
                <w:rFonts w:hint="eastAsia" w:ascii="宋体" w:hAnsi="宋体" w:cs="宋体"/>
                <w:szCs w:val="21"/>
              </w:rPr>
              <w:t>业绩条件：见比选公告3.2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316" w:firstLineChars="150"/>
              <w:outlineLvl w:val="0"/>
              <w:rPr>
                <w:rFonts w:ascii="宋体" w:hAnsi="宋体"/>
                <w:b/>
                <w:bCs/>
                <w:szCs w:val="21"/>
              </w:rPr>
            </w:pPr>
            <w:r>
              <w:rPr>
                <w:rFonts w:hint="eastAsia" w:ascii="宋体" w:hAnsi="宋体"/>
                <w:b/>
                <w:bCs/>
                <w:szCs w:val="21"/>
                <w:lang w:val="en-US" w:eastAsia="zh-CN"/>
              </w:rPr>
              <w:t>《山水城·渝快行》书籍服务</w:t>
            </w:r>
            <w:r>
              <w:rPr>
                <w:rFonts w:hint="eastAsia" w:ascii="宋体" w:hAnsi="宋体"/>
                <w:b/>
                <w:bCs/>
                <w:szCs w:val="21"/>
              </w:rPr>
              <w:t>项目最高限价金额</w:t>
            </w:r>
            <w:r>
              <w:rPr>
                <w:rFonts w:hint="eastAsia" w:ascii="宋体" w:hAnsi="宋体"/>
                <w:b/>
                <w:bCs/>
                <w:szCs w:val="21"/>
                <w:highlight w:val="none"/>
                <w:u w:val="single"/>
                <w:lang w:val="en-US" w:eastAsia="zh-CN"/>
              </w:rPr>
              <w:t>180000</w:t>
            </w:r>
            <w:r>
              <w:rPr>
                <w:rFonts w:hint="eastAsia" w:ascii="宋体" w:hAnsi="宋体"/>
                <w:b/>
                <w:bCs/>
                <w:szCs w:val="21"/>
              </w:rPr>
              <w:t>元；</w:t>
            </w:r>
            <w:r>
              <w:rPr>
                <w:rFonts w:hint="eastAsia" w:ascii="宋体" w:hAnsi="宋体" w:eastAsia="宋体" w:cs="宋体"/>
                <w:color w:val="auto"/>
                <w:szCs w:val="21"/>
                <w:highlight w:val="none"/>
              </w:rPr>
              <w:t>注：报价价格为包干价，包含了实施和完成</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所需的</w:t>
            </w:r>
            <w:r>
              <w:rPr>
                <w:rFonts w:hint="eastAsia" w:ascii="宋体" w:hAnsi="宋体" w:eastAsia="宋体" w:cs="宋体"/>
                <w:color w:val="auto"/>
                <w:szCs w:val="21"/>
                <w:highlight w:val="none"/>
                <w:lang w:val="en-US" w:eastAsia="zh-CN"/>
              </w:rPr>
              <w:t>策划</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编辑</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采访</w:t>
            </w:r>
            <w:r>
              <w:rPr>
                <w:rFonts w:hint="eastAsia" w:ascii="宋体" w:hAnsi="宋体" w:eastAsia="宋体" w:cs="宋体"/>
                <w:color w:val="auto"/>
                <w:szCs w:val="21"/>
                <w:highlight w:val="none"/>
              </w:rPr>
              <w:t>、协调、</w:t>
            </w:r>
            <w:r>
              <w:rPr>
                <w:rFonts w:hint="eastAsia" w:ascii="宋体" w:hAnsi="宋体" w:eastAsia="宋体" w:cs="宋体"/>
                <w:color w:val="auto"/>
                <w:szCs w:val="21"/>
                <w:highlight w:val="none"/>
                <w:lang w:val="en-US" w:eastAsia="zh-CN"/>
              </w:rPr>
              <w:t>资料收集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管理、</w:t>
            </w:r>
            <w:r>
              <w:rPr>
                <w:rFonts w:hint="eastAsia" w:ascii="宋体" w:hAnsi="宋体" w:eastAsia="宋体" w:cs="宋体"/>
                <w:color w:val="auto"/>
                <w:szCs w:val="21"/>
                <w:highlight w:val="none"/>
                <w:lang w:val="en-US" w:eastAsia="zh-CN"/>
              </w:rPr>
              <w:t>咨询</w:t>
            </w:r>
            <w:r>
              <w:rPr>
                <w:rFonts w:hint="eastAsia" w:ascii="宋体" w:hAnsi="宋体" w:eastAsia="宋体" w:cs="宋体"/>
                <w:color w:val="auto"/>
                <w:szCs w:val="21"/>
                <w:highlight w:val="none"/>
              </w:rPr>
              <w:t>、税费、</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Cs w:val="21"/>
                <w:highlight w:val="none"/>
              </w:rPr>
              <w:t>利润等费用。</w:t>
            </w:r>
            <w:r>
              <w:rPr>
                <w:rFonts w:ascii="宋体" w:hAnsi="宋体"/>
                <w:b/>
                <w:bCs/>
                <w:szCs w:val="21"/>
              </w:rPr>
              <w:t xml:space="preserve"> </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合同支付办法</w:t>
            </w:r>
          </w:p>
        </w:tc>
        <w:tc>
          <w:tcPr>
            <w:tcW w:w="7104" w:type="dxa"/>
            <w:tcBorders>
              <w:bottom w:val="single" w:color="auto" w:sz="4" w:space="0"/>
            </w:tcBorders>
          </w:tcPr>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本项</w:t>
            </w:r>
            <w:r>
              <w:rPr>
                <w:rFonts w:hint="eastAsia" w:ascii="宋体" w:hAnsi="宋体" w:eastAsia="宋体" w:cs="宋体"/>
                <w:color w:val="auto"/>
                <w:szCs w:val="21"/>
                <w:highlight w:val="none"/>
                <w:lang w:val="en-US" w:eastAsia="zh-CN"/>
              </w:rPr>
              <w:t>目按进度支付</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本项目框架设计完成后支付合同金额的20%,定稿后支付80%。</w:t>
            </w:r>
          </w:p>
          <w:p>
            <w:pPr>
              <w:widowControl/>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特别提醒：</w:t>
            </w:r>
            <w:r>
              <w:rPr>
                <w:rFonts w:hint="eastAsia" w:ascii="宋体" w:hAnsi="宋体" w:eastAsia="宋体" w:cs="宋体"/>
                <w:b/>
                <w:bCs/>
                <w:color w:val="auto"/>
                <w:szCs w:val="21"/>
                <w:highlight w:val="none"/>
                <w:lang w:val="en-US" w:eastAsia="zh-CN"/>
              </w:rPr>
              <w:t>本</w:t>
            </w:r>
            <w:r>
              <w:rPr>
                <w:rFonts w:hint="eastAsia" w:ascii="宋体" w:hAnsi="宋体" w:eastAsia="宋体" w:cs="宋体"/>
                <w:b/>
                <w:bCs/>
                <w:color w:val="auto"/>
                <w:szCs w:val="21"/>
                <w:highlight w:val="none"/>
              </w:rPr>
              <w:t>项目为包干价，不进行价格调整；投标人须自行进行风险评估</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由此产生的一切后果由投标人自行负责</w:t>
            </w:r>
            <w:r>
              <w:rPr>
                <w:rFonts w:hint="eastAsia" w:ascii="宋体" w:hAnsi="宋体" w:eastAsia="宋体" w:cs="宋体"/>
                <w:b/>
                <w:bCs/>
                <w:color w:val="auto"/>
                <w:szCs w:val="21"/>
                <w:highlight w:val="none"/>
              </w:rPr>
              <w:t>。</w:t>
            </w:r>
          </w:p>
          <w:p>
            <w:pPr>
              <w:spacing w:line="400" w:lineRule="exact"/>
              <w:ind w:firstLine="420" w:firstLineChars="200"/>
              <w:rPr>
                <w:color w:val="FF0000"/>
              </w:rPr>
            </w:pPr>
            <w:r>
              <w:rPr>
                <w:rFonts w:hint="eastAsia"/>
                <w:color w:val="auto"/>
              </w:rPr>
              <w:t>注：乙方按合同约定的税率开具符合甲方要求的增值税专用发票。在合同履行期间，若国家税率政策发生变更调整的，合同的执行税率也随之进行相应的调整。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质保期限</w:t>
            </w:r>
          </w:p>
        </w:tc>
        <w:tc>
          <w:tcPr>
            <w:tcW w:w="7104" w:type="dxa"/>
            <w:tcBorders>
              <w:bottom w:val="single" w:color="auto" w:sz="4" w:space="0"/>
            </w:tcBorders>
          </w:tcPr>
          <w:p>
            <w:pPr>
              <w:spacing w:line="400" w:lineRule="exact"/>
              <w:ind w:firstLine="420" w:firstLineChars="200"/>
              <w:rPr>
                <w:rFonts w:hint="eastAsia" w:eastAsia="宋体"/>
                <w:lang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乙方违约的处理</w:t>
            </w:r>
          </w:p>
        </w:tc>
        <w:tc>
          <w:tcPr>
            <w:tcW w:w="7104" w:type="dxa"/>
            <w:tcBorders>
              <w:bottom w:val="single" w:color="auto" w:sz="4" w:space="0"/>
            </w:tcBorders>
          </w:tcPr>
          <w:p>
            <w:pPr>
              <w:pStyle w:val="18"/>
              <w:numPr>
                <w:ilvl w:val="0"/>
                <w:numId w:val="0"/>
              </w:numPr>
              <w:spacing w:line="400" w:lineRule="exact"/>
              <w:ind w:leftChars="0"/>
              <w:jc w:val="left"/>
              <w:rPr>
                <w:color w:val="auto"/>
              </w:rPr>
            </w:pPr>
            <w:r>
              <w:rPr>
                <w:rFonts w:hint="eastAsia"/>
                <w:color w:val="auto"/>
                <w:lang w:val="en-US" w:eastAsia="zh-CN"/>
              </w:rPr>
              <w:t>1、</w:t>
            </w:r>
            <w:r>
              <w:rPr>
                <w:rFonts w:hint="eastAsia"/>
                <w:color w:val="auto"/>
              </w:rPr>
              <w:t>违反或未</w:t>
            </w:r>
            <w:r>
              <w:rPr>
                <w:rFonts w:hint="eastAsia"/>
                <w:color w:val="auto"/>
                <w:lang w:val="en-US" w:eastAsia="zh-CN"/>
              </w:rPr>
              <w:t>履行</w:t>
            </w:r>
            <w:r>
              <w:rPr>
                <w:rFonts w:hint="eastAsia"/>
                <w:color w:val="auto"/>
              </w:rPr>
              <w:t>本合同相关条款的约定，均应视为违约，违约方应依法律法规及本合同的相关约定向守约方承担相应责任。</w:t>
            </w:r>
          </w:p>
          <w:p>
            <w:pPr>
              <w:pStyle w:val="18"/>
              <w:numPr>
                <w:ilvl w:val="0"/>
                <w:numId w:val="0"/>
              </w:numPr>
              <w:spacing w:line="400" w:lineRule="exact"/>
              <w:ind w:leftChars="0"/>
              <w:jc w:val="left"/>
              <w:rPr>
                <w:color w:val="FF0000"/>
              </w:rPr>
            </w:pPr>
            <w:r>
              <w:rPr>
                <w:rFonts w:hint="eastAsia"/>
                <w:color w:val="auto"/>
                <w:lang w:val="en-US" w:eastAsia="zh-CN"/>
              </w:rPr>
              <w:t>2、</w:t>
            </w:r>
            <w:r>
              <w:rPr>
                <w:rFonts w:hint="eastAsia"/>
                <w:color w:val="auto"/>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w:t>
            </w:r>
            <w:r>
              <w:rPr>
                <w:rFonts w:hint="eastAsia" w:ascii="宋体" w:hAnsi="宋体" w:cs="宋体"/>
                <w:lang w:val="en-US" w:eastAsia="zh-CN"/>
              </w:rPr>
              <w:t>1</w:t>
            </w:r>
            <w:r>
              <w:rPr>
                <w:rFonts w:hint="eastAsia" w:ascii="宋体" w:hAnsi="宋体" w:cs="宋体"/>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2106" w:type="dxa"/>
            <w:vAlign w:val="top"/>
          </w:tcPr>
          <w:p>
            <w:pPr>
              <w:spacing w:line="400" w:lineRule="exact"/>
              <w:jc w:val="center"/>
              <w:rPr>
                <w:rFonts w:hint="eastAsia" w:ascii="宋体" w:hAnsi="宋体" w:eastAsia="宋体" w:cs="宋体"/>
                <w:color w:val="FF0000"/>
                <w:kern w:val="2"/>
                <w:sz w:val="21"/>
                <w:szCs w:val="21"/>
                <w:lang w:val="en-US" w:eastAsia="zh-CN" w:bidi="ar-SA"/>
              </w:rPr>
            </w:pPr>
            <w:r>
              <w:rPr>
                <w:rFonts w:hint="eastAsia" w:ascii="宋体" w:hAnsi="宋体" w:cs="宋体"/>
                <w:color w:val="auto"/>
                <w:szCs w:val="21"/>
              </w:rPr>
              <w:t>保证金</w:t>
            </w:r>
          </w:p>
        </w:tc>
        <w:tc>
          <w:tcPr>
            <w:tcW w:w="7104" w:type="dxa"/>
            <w:vAlign w:val="top"/>
          </w:tcPr>
          <w:p>
            <w:pPr>
              <w:snapToGrid w:val="0"/>
              <w:spacing w:line="360" w:lineRule="auto"/>
              <w:ind w:firstLine="420" w:firstLineChars="200"/>
              <w:jc w:val="both"/>
              <w:rPr>
                <w:rFonts w:hint="default"/>
                <w:color w:val="FF0000"/>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
              <w:spacing w:line="400" w:lineRule="exact"/>
              <w:jc w:val="center"/>
              <w:rPr>
                <w:rFonts w:hint="default" w:hAnsi="宋体" w:eastAsia="宋体"/>
                <w:color w:val="auto"/>
                <w:sz w:val="21"/>
                <w:szCs w:val="21"/>
                <w:lang w:val="en-US" w:eastAsia="zh-CN"/>
              </w:rPr>
            </w:pPr>
            <w:r>
              <w:rPr>
                <w:rFonts w:hint="eastAsia" w:hAnsi="宋体" w:eastAsia="宋体"/>
                <w:color w:val="auto"/>
                <w:sz w:val="21"/>
                <w:szCs w:val="21"/>
                <w:lang w:val="en-US" w:eastAsia="zh-CN"/>
              </w:rPr>
              <w:t>16</w:t>
            </w:r>
          </w:p>
        </w:tc>
        <w:tc>
          <w:tcPr>
            <w:tcW w:w="2106" w:type="dxa"/>
            <w:vAlign w:val="center"/>
          </w:tcPr>
          <w:p>
            <w:pPr>
              <w:pStyle w:val="2"/>
              <w:spacing w:line="400" w:lineRule="exact"/>
              <w:jc w:val="center"/>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监督部门</w:t>
            </w:r>
          </w:p>
        </w:tc>
        <w:tc>
          <w:tcPr>
            <w:tcW w:w="7104" w:type="dxa"/>
            <w:vAlign w:val="center"/>
          </w:tcPr>
          <w:p>
            <w:pPr>
              <w:pStyle w:val="2"/>
              <w:spacing w:line="400" w:lineRule="exact"/>
              <w:ind w:firstLine="420" w:firstLineChars="200"/>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监督部门：重庆高速公路路网管理有限公司纪律检查办公室</w:t>
            </w:r>
          </w:p>
          <w:p>
            <w:pPr>
              <w:pStyle w:val="2"/>
              <w:spacing w:line="400" w:lineRule="exact"/>
              <w:ind w:firstLine="420" w:firstLineChars="200"/>
              <w:rPr>
                <w:rFonts w:hint="default"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地    址：</w:t>
            </w:r>
            <w:r>
              <w:rPr>
                <w:rFonts w:hint="eastAsia" w:asciiTheme="minorHAnsi" w:hAnsiTheme="minorHAnsi" w:eastAsiaTheme="minorEastAsia" w:cstheme="minorBidi"/>
                <w:color w:val="auto"/>
                <w:kern w:val="2"/>
                <w:sz w:val="21"/>
                <w:szCs w:val="22"/>
                <w:lang w:val="zh-TW" w:eastAsia="zh-CN" w:bidi="ar-SA"/>
              </w:rPr>
              <w:t>重庆市渝北区银杉路66号</w:t>
            </w:r>
            <w:r>
              <w:rPr>
                <w:rFonts w:hint="eastAsia" w:asciiTheme="minorHAnsi" w:hAnsiTheme="minorHAnsi" w:eastAsiaTheme="minorEastAsia" w:cstheme="minorBidi"/>
                <w:color w:val="auto"/>
                <w:kern w:val="2"/>
                <w:sz w:val="21"/>
                <w:szCs w:val="22"/>
                <w:lang w:val="en-US" w:eastAsia="zh-CN" w:bidi="ar-SA"/>
              </w:rPr>
              <w:t>609室</w:t>
            </w:r>
          </w:p>
          <w:p>
            <w:pPr>
              <w:pStyle w:val="2"/>
              <w:spacing w:line="400" w:lineRule="exact"/>
              <w:ind w:firstLine="420" w:firstLineChars="200"/>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电    话：</w:t>
            </w:r>
            <w:r>
              <w:rPr>
                <w:rFonts w:hint="eastAsia" w:asciiTheme="minorHAnsi" w:hAnsiTheme="minorHAnsi" w:eastAsiaTheme="minorEastAsia" w:cstheme="minorBidi"/>
                <w:color w:val="auto"/>
                <w:kern w:val="2"/>
                <w:sz w:val="21"/>
                <w:szCs w:val="22"/>
                <w:lang w:val="zh-TW" w:eastAsia="zh-CN" w:bidi="ar-SA"/>
              </w:rPr>
              <w:t>023-89138559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
              <w:spacing w:line="400" w:lineRule="exact"/>
              <w:jc w:val="center"/>
              <w:rPr>
                <w:rFonts w:hint="default" w:hAnsi="宋体" w:eastAsia="宋体"/>
                <w:color w:val="auto"/>
                <w:kern w:val="2"/>
                <w:sz w:val="21"/>
                <w:szCs w:val="21"/>
                <w:lang w:val="en-US" w:eastAsia="zh-CN"/>
              </w:rPr>
            </w:pPr>
            <w:r>
              <w:rPr>
                <w:rFonts w:hint="eastAsia" w:hAnsi="宋体" w:eastAsia="宋体"/>
                <w:color w:val="auto"/>
                <w:kern w:val="2"/>
                <w:sz w:val="21"/>
                <w:szCs w:val="21"/>
                <w:lang w:val="en-US" w:eastAsia="zh-CN"/>
              </w:rPr>
              <w:t>17</w:t>
            </w:r>
          </w:p>
        </w:tc>
        <w:tc>
          <w:tcPr>
            <w:tcW w:w="9210" w:type="dxa"/>
            <w:gridSpan w:val="2"/>
            <w:vAlign w:val="center"/>
          </w:tcPr>
          <w:p>
            <w:pPr>
              <w:pStyle w:val="2"/>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
              <w:spacing w:line="400" w:lineRule="exact"/>
              <w:jc w:val="center"/>
              <w:rPr>
                <w:rFonts w:hint="default" w:hAnsi="宋体" w:eastAsia="黑体"/>
                <w:color w:val="auto"/>
                <w:kern w:val="2"/>
                <w:sz w:val="21"/>
                <w:szCs w:val="21"/>
                <w:lang w:val="en-US" w:eastAsia="zh-CN"/>
              </w:rPr>
            </w:pPr>
            <w:r>
              <w:rPr>
                <w:rFonts w:hint="eastAsia" w:hAnsi="宋体"/>
                <w:color w:val="auto"/>
                <w:kern w:val="2"/>
                <w:sz w:val="21"/>
                <w:szCs w:val="21"/>
                <w:lang w:val="en-US" w:eastAsia="zh-CN"/>
              </w:rPr>
              <w:t>18</w:t>
            </w:r>
          </w:p>
        </w:tc>
        <w:tc>
          <w:tcPr>
            <w:tcW w:w="9210" w:type="dxa"/>
            <w:gridSpan w:val="2"/>
            <w:vAlign w:val="center"/>
          </w:tcPr>
          <w:p>
            <w:pPr>
              <w:pStyle w:val="2"/>
              <w:spacing w:line="400" w:lineRule="exact"/>
              <w:ind w:firstLine="420" w:firstLineChars="200"/>
              <w:rPr>
                <w:rFonts w:hAnsi="宋体"/>
                <w:sz w:val="21"/>
                <w:szCs w:val="21"/>
              </w:rPr>
            </w:pPr>
            <w:r>
              <w:rPr>
                <w:rFonts w:hint="eastAsia" w:hAnsi="宋体"/>
                <w:sz w:val="21"/>
                <w:szCs w:val="21"/>
              </w:rPr>
              <w:t>截止竞争性比选响应文件递交时间，递交竞争性比选响应文件不足3家的不得开启竞争性比选文件。重新招标后有效报价人仍少于3个，可由比选人与有效报价较低的申请人进行谈判，确定项目承担单位。</w:t>
            </w:r>
          </w:p>
        </w:tc>
      </w:tr>
      <w:bookmarkEnd w:id="73"/>
    </w:tbl>
    <w:p>
      <w:pPr>
        <w:spacing w:line="360" w:lineRule="auto"/>
        <w:jc w:val="center"/>
        <w:rPr>
          <w:rFonts w:ascii="宋体" w:hAnsi="宋体" w:cs="宋体"/>
          <w:b/>
          <w:sz w:val="28"/>
          <w:szCs w:val="28"/>
        </w:rPr>
      </w:pPr>
    </w:p>
    <w:p>
      <w:pPr>
        <w:pStyle w:val="6"/>
      </w:pPr>
    </w:p>
    <w:p>
      <w:pPr>
        <w:pStyle w:val="8"/>
      </w:pPr>
    </w:p>
    <w:p/>
    <w:p>
      <w:pPr>
        <w:pStyle w:val="3"/>
        <w:spacing w:before="0" w:after="0" w:line="360" w:lineRule="auto"/>
        <w:jc w:val="center"/>
        <w:rPr>
          <w:rFonts w:hint="eastAsia" w:ascii="宋体" w:hAnsi="宋体" w:cs="宋体"/>
        </w:rPr>
      </w:pPr>
      <w:bookmarkStart w:id="74" w:name="_Toc2000406"/>
      <w:bookmarkStart w:id="75" w:name="_Toc152042364"/>
      <w:bookmarkStart w:id="76" w:name="_Toc246996230"/>
      <w:bookmarkStart w:id="77" w:name="_Toc179632605"/>
      <w:bookmarkStart w:id="78" w:name="_Toc247085745"/>
      <w:bookmarkStart w:id="79" w:name="_Toc152045587"/>
      <w:bookmarkStart w:id="80" w:name="_Toc507319957"/>
      <w:bookmarkStart w:id="81" w:name="_Toc7682"/>
      <w:bookmarkStart w:id="82" w:name="_Toc246996973"/>
      <w:bookmarkStart w:id="83" w:name="_Toc144974554"/>
    </w:p>
    <w:p>
      <w:pPr>
        <w:pStyle w:val="4"/>
        <w:bidi w:val="0"/>
        <w:rPr>
          <w:rFonts w:hint="eastAsia"/>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5"/>
        <w:bidi w:val="0"/>
        <w:rPr>
          <w:rFonts w:hint="eastAsia"/>
        </w:rPr>
      </w:pPr>
    </w:p>
    <w:p>
      <w:pPr>
        <w:pStyle w:val="3"/>
        <w:spacing w:before="0" w:after="0" w:line="360" w:lineRule="auto"/>
        <w:jc w:val="both"/>
        <w:rPr>
          <w:rFonts w:hint="eastAsia" w:ascii="宋体" w:hAnsi="宋体" w:cs="宋体"/>
        </w:rPr>
      </w:pPr>
    </w:p>
    <w:p>
      <w:pPr>
        <w:pStyle w:val="3"/>
        <w:spacing w:before="0" w:after="0" w:line="360" w:lineRule="auto"/>
        <w:jc w:val="both"/>
        <w:rPr>
          <w:rFonts w:hint="eastAsia" w:ascii="宋体" w:hAnsi="宋体" w:cs="宋体"/>
        </w:rPr>
      </w:pPr>
    </w:p>
    <w:p>
      <w:pPr>
        <w:pStyle w:val="5"/>
        <w:bidi w:val="0"/>
        <w:rPr>
          <w:rFonts w:hint="eastAsia"/>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r>
        <w:rPr>
          <w:rFonts w:hint="eastAsia" w:ascii="宋体" w:hAnsi="宋体" w:cs="宋体"/>
        </w:rPr>
        <w:t>第三章 评标办法（</w:t>
      </w:r>
      <w:r>
        <w:rPr>
          <w:rFonts w:hint="eastAsia" w:ascii="宋体" w:hAnsi="宋体" w:cs="宋体"/>
          <w:lang w:val="en-US" w:eastAsia="zh-CN"/>
        </w:rPr>
        <w:t>综合评标</w:t>
      </w:r>
      <w:r>
        <w:rPr>
          <w:rFonts w:hint="eastAsia" w:ascii="宋体" w:hAnsi="宋体" w:cs="宋体"/>
        </w:rPr>
        <w:t>法）</w:t>
      </w:r>
      <w:bookmarkEnd w:id="74"/>
      <w:bookmarkEnd w:id="75"/>
      <w:bookmarkEnd w:id="76"/>
      <w:bookmarkEnd w:id="77"/>
      <w:bookmarkEnd w:id="78"/>
      <w:bookmarkEnd w:id="79"/>
      <w:bookmarkEnd w:id="80"/>
      <w:bookmarkEnd w:id="81"/>
      <w:bookmarkEnd w:id="82"/>
      <w:bookmarkEnd w:id="83"/>
    </w:p>
    <w:p>
      <w:pPr>
        <w:pStyle w:val="5"/>
        <w:rPr>
          <w:color w:val="auto"/>
          <w:highlight w:val="none"/>
        </w:rPr>
      </w:pPr>
    </w:p>
    <w:p>
      <w:pPr>
        <w:rPr>
          <w:color w:val="auto"/>
          <w:highlight w:val="none"/>
        </w:rPr>
      </w:pP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606"/>
        <w:gridCol w:w="1089"/>
        <w:gridCol w:w="651"/>
        <w:gridCol w:w="28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55" w:type="dxa"/>
            <w:gridSpan w:val="3"/>
            <w:vAlign w:val="center"/>
          </w:tcPr>
          <w:p>
            <w:pPr>
              <w:spacing w:line="2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1740" w:type="dxa"/>
            <w:gridSpan w:val="2"/>
            <w:vAlign w:val="center"/>
          </w:tcPr>
          <w:p>
            <w:pPr>
              <w:spacing w:line="2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161" w:type="dxa"/>
            <w:gridSpan w:val="2"/>
            <w:vAlign w:val="center"/>
          </w:tcPr>
          <w:p>
            <w:pPr>
              <w:spacing w:line="2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tcPr>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748" w:type="dxa"/>
            <w:gridSpan w:val="2"/>
            <w:vMerge w:val="restart"/>
          </w:tcPr>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p>
          <w:p>
            <w:pPr>
              <w:spacing w:line="2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形式评审标准</w:t>
            </w: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比选申请文件签字盖章</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748" w:type="dxa"/>
            <w:gridSpan w:val="2"/>
            <w:vMerge w:val="continue"/>
          </w:tcPr>
          <w:p>
            <w:pPr>
              <w:spacing w:line="280" w:lineRule="exact"/>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比选申请文件格式</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符合“比选申请文件格式”的要求，字迹清晰可辨。</w:t>
            </w:r>
          </w:p>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1.报价书的所有数据均符合比选文件的规定；</w:t>
            </w:r>
          </w:p>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2.比选申请文件附表齐全完整，内容均按规定填写；</w:t>
            </w:r>
          </w:p>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3.比选申请文件</w:t>
            </w:r>
            <w:r>
              <w:rPr>
                <w:rFonts w:hint="eastAsia" w:ascii="宋体" w:hAnsi="宋体" w:eastAsia="宋体" w:cs="宋体"/>
                <w:color w:val="auto"/>
                <w:sz w:val="21"/>
                <w:szCs w:val="21"/>
                <w:highlight w:val="none"/>
              </w:rPr>
              <w:t>正、副本份数符合比选文件规定</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748" w:type="dxa"/>
            <w:gridSpan w:val="2"/>
            <w:vMerge w:val="continue"/>
          </w:tcPr>
          <w:p>
            <w:pPr>
              <w:spacing w:line="280" w:lineRule="exact"/>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比选申请文件的签署</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748" w:type="dxa"/>
            <w:gridSpan w:val="2"/>
            <w:vMerge w:val="continue"/>
          </w:tcPr>
          <w:p>
            <w:pPr>
              <w:spacing w:line="280" w:lineRule="exact"/>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1748" w:type="dxa"/>
            <w:gridSpan w:val="2"/>
            <w:vMerge w:val="restart"/>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资质要求</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748" w:type="dxa"/>
            <w:gridSpan w:val="2"/>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业绩要求</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748" w:type="dxa"/>
            <w:gridSpan w:val="2"/>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1740" w:type="dxa"/>
            <w:gridSpan w:val="2"/>
            <w:vAlign w:val="center"/>
          </w:tcPr>
          <w:p>
            <w:pPr>
              <w:spacing w:line="2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信誉及其他要求</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748" w:type="dxa"/>
            <w:gridSpan w:val="2"/>
            <w:vMerge w:val="restart"/>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响应性评审标准</w:t>
            </w: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比选内容</w:t>
            </w:r>
          </w:p>
        </w:tc>
        <w:tc>
          <w:tcPr>
            <w:tcW w:w="5161" w:type="dxa"/>
            <w:gridSpan w:val="2"/>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宋体" w:hAnsi="宋体" w:eastAsia="宋体" w:cs="宋体"/>
                <w:color w:val="auto"/>
                <w:sz w:val="21"/>
                <w:szCs w:val="21"/>
                <w:highlight w:val="none"/>
              </w:rPr>
            </w:pPr>
          </w:p>
        </w:tc>
        <w:tc>
          <w:tcPr>
            <w:tcW w:w="1748" w:type="dxa"/>
            <w:gridSpan w:val="2"/>
            <w:vMerge w:val="continue"/>
          </w:tcPr>
          <w:p>
            <w:pPr>
              <w:spacing w:line="280" w:lineRule="exact"/>
              <w:jc w:val="center"/>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w:t>
            </w:r>
          </w:p>
        </w:tc>
        <w:tc>
          <w:tcPr>
            <w:tcW w:w="5161" w:type="dxa"/>
            <w:gridSpan w:val="2"/>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宋体" w:hAnsi="宋体" w:eastAsia="宋体" w:cs="宋体"/>
                <w:color w:val="auto"/>
                <w:sz w:val="21"/>
                <w:szCs w:val="21"/>
                <w:highlight w:val="none"/>
              </w:rPr>
            </w:pPr>
          </w:p>
        </w:tc>
        <w:tc>
          <w:tcPr>
            <w:tcW w:w="1748" w:type="dxa"/>
            <w:gridSpan w:val="2"/>
            <w:vMerge w:val="continue"/>
          </w:tcPr>
          <w:p>
            <w:pPr>
              <w:spacing w:line="280" w:lineRule="exact"/>
              <w:jc w:val="center"/>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竞标保证金</w:t>
            </w:r>
          </w:p>
        </w:tc>
        <w:tc>
          <w:tcPr>
            <w:tcW w:w="5161" w:type="dxa"/>
            <w:gridSpan w:val="2"/>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本次询价无竞标保证金</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宋体" w:hAnsi="宋体" w:eastAsia="宋体" w:cs="宋体"/>
                <w:color w:val="auto"/>
                <w:sz w:val="21"/>
                <w:szCs w:val="21"/>
                <w:highlight w:val="none"/>
              </w:rPr>
            </w:pPr>
          </w:p>
        </w:tc>
        <w:tc>
          <w:tcPr>
            <w:tcW w:w="1748" w:type="dxa"/>
            <w:gridSpan w:val="2"/>
            <w:vMerge w:val="continue"/>
          </w:tcPr>
          <w:p>
            <w:pPr>
              <w:spacing w:line="280" w:lineRule="exact"/>
              <w:jc w:val="center"/>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竞标报价</w:t>
            </w:r>
          </w:p>
        </w:tc>
        <w:tc>
          <w:tcPr>
            <w:tcW w:w="5161" w:type="dxa"/>
            <w:gridSpan w:val="2"/>
            <w:vAlign w:val="center"/>
          </w:tcPr>
          <w:p>
            <w:pPr>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在报价函上填写了竞标总报价（包括大写金额和小写金额），且报价唯一，</w:t>
            </w:r>
            <w:r>
              <w:rPr>
                <w:rFonts w:hint="eastAsia" w:ascii="宋体" w:hAnsi="宋体" w:eastAsia="宋体" w:cs="宋体"/>
                <w:color w:val="auto"/>
                <w:sz w:val="21"/>
                <w:szCs w:val="21"/>
                <w:highlight w:val="none"/>
              </w:rPr>
              <w:t>比选申请人的竞标总报价及单价报价均不得超过相应竞标总限价，其中维护费为固定费用不得修改比选人给出的数据</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748" w:type="dxa"/>
            <w:gridSpan w:val="2"/>
            <w:vMerge w:val="continue"/>
          </w:tcPr>
          <w:p>
            <w:pPr>
              <w:spacing w:line="280" w:lineRule="exact"/>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实质性要求</w:t>
            </w:r>
          </w:p>
        </w:tc>
        <w:tc>
          <w:tcPr>
            <w:tcW w:w="5161" w:type="dxa"/>
            <w:gridSpan w:val="2"/>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宋体" w:hAnsi="宋体" w:eastAsia="宋体" w:cs="宋体"/>
                <w:color w:val="auto"/>
                <w:sz w:val="21"/>
                <w:szCs w:val="21"/>
                <w:highlight w:val="none"/>
              </w:rPr>
            </w:pPr>
          </w:p>
        </w:tc>
        <w:tc>
          <w:tcPr>
            <w:tcW w:w="1748" w:type="dxa"/>
            <w:gridSpan w:val="2"/>
            <w:vMerge w:val="continue"/>
          </w:tcPr>
          <w:p>
            <w:pPr>
              <w:spacing w:line="280" w:lineRule="exact"/>
              <w:rPr>
                <w:rFonts w:hint="eastAsia" w:ascii="宋体" w:hAnsi="宋体" w:eastAsia="宋体" w:cs="宋体"/>
                <w:color w:val="auto"/>
                <w:sz w:val="21"/>
                <w:szCs w:val="21"/>
                <w:highlight w:val="none"/>
              </w:rPr>
            </w:pPr>
          </w:p>
        </w:tc>
        <w:tc>
          <w:tcPr>
            <w:tcW w:w="1740"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5161" w:type="dxa"/>
            <w:gridSpan w:val="2"/>
            <w:vAlign w:val="center"/>
          </w:tcPr>
          <w:p>
            <w:pPr>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48" w:type="dxa"/>
            <w:gridSpan w:val="2"/>
            <w:shd w:val="clear" w:color="auto" w:fill="auto"/>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详细评审标准</w:t>
            </w:r>
          </w:p>
        </w:tc>
        <w:tc>
          <w:tcPr>
            <w:tcW w:w="1740" w:type="dxa"/>
            <w:gridSpan w:val="2"/>
            <w:shd w:val="clear" w:color="auto" w:fill="auto"/>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5161" w:type="dxa"/>
            <w:gridSpan w:val="2"/>
            <w:shd w:val="clear" w:color="auto" w:fill="auto"/>
            <w:vAlign w:val="center"/>
          </w:tcPr>
          <w:p>
            <w:pPr>
              <w:spacing w:line="280" w:lineRule="exact"/>
              <w:jc w:val="left"/>
              <w:rPr>
                <w:rFonts w:hint="eastAsia"/>
              </w:rPr>
            </w:pPr>
            <w:r>
              <w:rPr>
                <w:rFonts w:hint="eastAsia"/>
              </w:rPr>
              <w:t>评审因素</w:t>
            </w:r>
            <w:r>
              <w:rPr>
                <w:rFonts w:hint="eastAsia"/>
              </w:rPr>
              <w:tab/>
            </w:r>
            <w:r>
              <w:rPr>
                <w:rFonts w:hint="eastAsia"/>
              </w:rPr>
              <w:t xml:space="preserve">                      评分值</w:t>
            </w:r>
          </w:p>
          <w:p>
            <w:pPr>
              <w:numPr>
                <w:ilvl w:val="0"/>
                <w:numId w:val="0"/>
              </w:numPr>
              <w:spacing w:line="240" w:lineRule="auto"/>
              <w:jc w:val="left"/>
              <w:rPr>
                <w:rFonts w:hint="eastAsia"/>
              </w:rPr>
            </w:pPr>
            <w:r>
              <w:rPr>
                <w:rFonts w:hint="eastAsia"/>
                <w:lang w:eastAsia="zh-CN"/>
              </w:rPr>
              <w:t>（</w:t>
            </w:r>
            <w:r>
              <w:rPr>
                <w:rFonts w:hint="eastAsia"/>
                <w:lang w:val="en-US" w:eastAsia="zh-CN"/>
              </w:rPr>
              <w:t>一</w:t>
            </w:r>
            <w:r>
              <w:rPr>
                <w:rFonts w:hint="eastAsia"/>
                <w:lang w:eastAsia="zh-CN"/>
              </w:rPr>
              <w:t>）</w:t>
            </w:r>
            <w:r>
              <w:rPr>
                <w:rFonts w:hint="eastAsia"/>
              </w:rPr>
              <w:t xml:space="preserve">竞标报价：                   </w:t>
            </w:r>
            <w:r>
              <w:rPr>
                <w:rFonts w:hint="eastAsia"/>
                <w:lang w:val="en-US" w:eastAsia="zh-CN"/>
              </w:rPr>
              <w:t>50</w:t>
            </w:r>
            <w:r>
              <w:rPr>
                <w:rFonts w:hint="eastAsia"/>
              </w:rPr>
              <w:t>分</w:t>
            </w:r>
          </w:p>
          <w:p>
            <w:pPr>
              <w:pStyle w:val="2"/>
              <w:numPr>
                <w:ilvl w:val="0"/>
                <w:numId w:val="0"/>
              </w:numPr>
              <w:adjustRightInd/>
              <w:spacing w:line="240" w:lineRule="auto"/>
              <w:jc w:val="left"/>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（二）技术部分：</w:t>
            </w:r>
            <w:r>
              <w:rPr>
                <w:rFonts w:hint="eastAsia" w:asciiTheme="minorHAnsi" w:hAnsiTheme="minorHAnsi" w:eastAsiaTheme="minorEastAsia" w:cstheme="minorBidi"/>
                <w:color w:val="auto"/>
                <w:kern w:val="2"/>
                <w:sz w:val="21"/>
                <w:szCs w:val="22"/>
                <w:lang w:val="en-US" w:eastAsia="zh-CN" w:bidi="ar-SA"/>
              </w:rPr>
              <w:tab/>
            </w:r>
            <w:r>
              <w:rPr>
                <w:rFonts w:hint="eastAsia" w:asciiTheme="minorHAnsi" w:hAnsiTheme="minorHAnsi" w:eastAsiaTheme="minorEastAsia" w:cstheme="minorBidi"/>
                <w:color w:val="auto"/>
                <w:kern w:val="2"/>
                <w:sz w:val="21"/>
                <w:szCs w:val="22"/>
                <w:lang w:val="en-US" w:eastAsia="zh-CN" w:bidi="ar-SA"/>
              </w:rPr>
              <w:t xml:space="preserve">               20分</w:t>
            </w:r>
          </w:p>
          <w:p>
            <w:pPr>
              <w:spacing w:line="240" w:lineRule="auto"/>
              <w:rPr>
                <w:rFonts w:hint="eastAsia"/>
              </w:rPr>
            </w:pPr>
            <w:r>
              <w:rPr>
                <w:rFonts w:hint="eastAsia" w:ascii="Times New Roman" w:hAnsi="方正黑体_GBK" w:eastAsia="宋体" w:cs="Times New Roman"/>
                <w:color w:val="000000"/>
                <w:kern w:val="0"/>
                <w:sz w:val="21"/>
                <w:szCs w:val="21"/>
                <w:lang w:val="en-US" w:eastAsia="zh-CN" w:bidi="ar-SA"/>
              </w:rPr>
              <w:t xml:space="preserve">（三）商务文件：                   </w:t>
            </w:r>
            <w:r>
              <w:rPr>
                <w:rFonts w:hint="eastAsia" w:asciiTheme="minorHAnsi" w:hAnsiTheme="minorHAnsi" w:eastAsiaTheme="minorEastAsia" w:cstheme="minorBidi"/>
                <w:color w:val="auto"/>
                <w:kern w:val="2"/>
                <w:sz w:val="21"/>
                <w:szCs w:val="22"/>
                <w:lang w:val="en-US" w:eastAsia="zh-CN" w:bidi="ar-SA"/>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55" w:type="dxa"/>
            <w:gridSpan w:val="3"/>
            <w:shd w:val="clear" w:color="auto" w:fill="auto"/>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无效竞标条款</w:t>
            </w:r>
          </w:p>
        </w:tc>
        <w:tc>
          <w:tcPr>
            <w:tcW w:w="6901" w:type="dxa"/>
            <w:gridSpan w:val="4"/>
            <w:vAlign w:val="center"/>
          </w:tcPr>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发生以下任意一情形的，作否决竞标处理：</w:t>
            </w:r>
          </w:p>
          <w:p>
            <w:pPr>
              <w:pStyle w:val="19"/>
              <w:spacing w:line="280" w:lineRule="exact"/>
              <w:ind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（1）竞标人拒绝确认算术性修正后的报价；</w:t>
            </w:r>
          </w:p>
          <w:p>
            <w:pPr>
              <w:pStyle w:val="5"/>
              <w:spacing w:before="0" w:line="280" w:lineRule="exact"/>
              <w:ind w:left="0" w:firstLine="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（2）竞标报价超过最高限价；</w:t>
            </w:r>
          </w:p>
          <w:p>
            <w:pPr>
              <w:spacing w:line="2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（3）经修正后的最终竞标报价超过最高总价限价；</w:t>
            </w:r>
          </w:p>
          <w:p>
            <w:pPr>
              <w:pStyle w:val="5"/>
              <w:spacing w:before="0" w:line="280" w:lineRule="exact"/>
              <w:ind w:left="0" w:firstLin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b w:val="0"/>
                <w:color w:val="auto"/>
                <w:sz w:val="21"/>
                <w:szCs w:val="21"/>
                <w:highlight w:val="none"/>
                <w:lang w:val="en-US" w:eastAsia="zh-CN"/>
              </w:rPr>
              <w:t>未按照比选文件要求参加此次比选的；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455" w:type="dxa"/>
            <w:gridSpan w:val="3"/>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视为比选申请人相互串通竞标的情形</w:t>
            </w:r>
          </w:p>
        </w:tc>
        <w:tc>
          <w:tcPr>
            <w:tcW w:w="6901" w:type="dxa"/>
            <w:gridSpan w:val="4"/>
            <w:vAlign w:val="center"/>
          </w:tcPr>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有下列情况之一的，做否决竞标处理。</w:t>
            </w:r>
          </w:p>
          <w:p>
            <w:pPr>
              <w:numPr>
                <w:ilvl w:val="0"/>
                <w:numId w:val="3"/>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不同比选申请人的竞争性比选申请文件由同一单位或者个人编制；</w:t>
            </w:r>
          </w:p>
          <w:p>
            <w:pPr>
              <w:numPr>
                <w:ilvl w:val="0"/>
                <w:numId w:val="3"/>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不同比选申请人委托同一单位或者个人办理竞标事宜；</w:t>
            </w:r>
          </w:p>
          <w:p>
            <w:pPr>
              <w:numPr>
                <w:ilvl w:val="0"/>
                <w:numId w:val="3"/>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不同比选申请人的竞争性比选申请文件载明的项目管理成员为同一人；</w:t>
            </w:r>
          </w:p>
          <w:p>
            <w:pPr>
              <w:numPr>
                <w:ilvl w:val="0"/>
                <w:numId w:val="3"/>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不同比选申请人的竞争性比选申请文件异常一致或者竞标报价呈规律性差异；</w:t>
            </w:r>
          </w:p>
          <w:p>
            <w:pPr>
              <w:numPr>
                <w:ilvl w:val="0"/>
                <w:numId w:val="3"/>
              </w:numPr>
              <w:spacing w:line="2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不同比选申请人的竞争性比选申请文件相互混装；</w:t>
            </w:r>
          </w:p>
          <w:p>
            <w:pPr>
              <w:pStyle w:val="5"/>
              <w:ind w:left="0" w:firstLine="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7" w:hRule="atLeast"/>
        </w:trPr>
        <w:tc>
          <w:tcPr>
            <w:tcW w:w="849" w:type="dxa"/>
            <w:gridSpan w:val="2"/>
            <w:vAlign w:val="center"/>
          </w:tcPr>
          <w:p>
            <w:pPr>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w:t>
            </w:r>
          </w:p>
        </w:tc>
        <w:tc>
          <w:tcPr>
            <w:tcW w:w="1606" w:type="dxa"/>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竞标报价</w:t>
            </w:r>
            <w:r>
              <w:rPr>
                <w:rFonts w:hint="eastAsia" w:ascii="宋体" w:hAnsi="宋体" w:eastAsia="宋体" w:cs="宋体"/>
                <w:b w:val="0"/>
                <w:bCs w:val="0"/>
                <w:color w:val="auto"/>
                <w:kern w:val="0"/>
                <w:sz w:val="21"/>
                <w:szCs w:val="21"/>
                <w:highlight w:val="none"/>
              </w:rPr>
              <w:t>得分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tc>
        <w:tc>
          <w:tcPr>
            <w:tcW w:w="6901" w:type="dxa"/>
            <w:gridSpan w:val="4"/>
          </w:tcPr>
          <w:p>
            <w:pPr>
              <w:keepNext w:val="0"/>
              <w:keepLines w:val="0"/>
              <w:pageBreakBefore w:val="0"/>
              <w:kinsoku/>
              <w:wordWrap/>
              <w:overflowPunct/>
              <w:topLinePunct w:val="0"/>
              <w:bidi w:val="0"/>
              <w:spacing w:line="240" w:lineRule="auto"/>
              <w:textAlignment w:val="auto"/>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rPr>
              <w:t>评标基准价计算方法</w:t>
            </w:r>
            <w:r>
              <w:rPr>
                <w:rFonts w:hint="eastAsia" w:ascii="宋体" w:hAnsi="宋体" w:cs="宋体"/>
                <w:b/>
                <w:bCs/>
                <w:color w:val="auto"/>
                <w:kern w:val="0"/>
                <w:szCs w:val="21"/>
                <w:highlight w:val="none"/>
                <w:lang w:eastAsia="zh-CN"/>
              </w:rPr>
              <w:t>：</w:t>
            </w:r>
          </w:p>
          <w:p>
            <w:pPr>
              <w:keepNext w:val="0"/>
              <w:keepLines w:val="0"/>
              <w:pageBreakBefore w:val="0"/>
              <w:kinsoku/>
              <w:wordWrap/>
              <w:overflowPunct/>
              <w:topLinePunct w:val="0"/>
              <w:bidi w:val="0"/>
              <w:spacing w:line="240" w:lineRule="auto"/>
              <w:textAlignment w:val="auto"/>
              <w:rPr>
                <w:rFonts w:hint="eastAsia" w:ascii="宋体" w:hAnsi="宋体" w:eastAsia="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olor w:val="auto"/>
                <w:kern w:val="0"/>
                <w:szCs w:val="21"/>
                <w:highlight w:val="none"/>
                <w:lang w:val="en-US" w:eastAsia="zh-CN"/>
              </w:rPr>
              <w:t>所有通过资格评审的投标文件报价算术平均值为评标基准价</w:t>
            </w:r>
            <w:r>
              <w:rPr>
                <w:rFonts w:hint="eastAsia" w:ascii="宋体" w:hAnsi="宋体" w:eastAsia="宋体"/>
                <w:color w:val="auto"/>
                <w:kern w:val="0"/>
                <w:szCs w:val="21"/>
                <w:highlight w:val="none"/>
              </w:rPr>
              <w:t>。</w:t>
            </w:r>
          </w:p>
          <w:p>
            <w:pPr>
              <w:keepNext w:val="0"/>
              <w:keepLines w:val="0"/>
              <w:pageBreakBefore w:val="0"/>
              <w:kinsoku/>
              <w:wordWrap/>
              <w:overflowPunct/>
              <w:topLinePunct w:val="0"/>
              <w:bidi w:val="0"/>
              <w:spacing w:line="240" w:lineRule="auto"/>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评标基准价计算的最终结果取小数点后两位，第三位四舍五入。</w:t>
            </w:r>
          </w:p>
          <w:p>
            <w:pPr>
              <w:tabs>
                <w:tab w:val="left" w:pos="5920"/>
              </w:tabs>
              <w:spacing w:line="240" w:lineRule="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在评标基准价计算完成后（除计算错误外），在后续的评审中不得再对其做出调整。</w:t>
            </w:r>
          </w:p>
          <w:p>
            <w:pPr>
              <w:keepNext w:val="0"/>
              <w:keepLines w:val="0"/>
              <w:pageBreakBefore w:val="0"/>
              <w:kinsoku/>
              <w:wordWrap/>
              <w:overflowPunct/>
              <w:topLinePunct w:val="0"/>
              <w:bidi w:val="0"/>
              <w:adjustRightInd w:val="0"/>
              <w:snapToGrid w:val="0"/>
              <w:spacing w:line="360" w:lineRule="auto"/>
              <w:textAlignment w:val="auto"/>
              <w:rPr>
                <w:rFonts w:hint="eastAsia"/>
                <w:b/>
                <w:bCs/>
                <w:lang w:eastAsia="zh-CN"/>
              </w:rPr>
            </w:pPr>
            <w:r>
              <w:rPr>
                <w:rFonts w:hint="eastAsia"/>
                <w:b/>
                <w:bCs/>
              </w:rPr>
              <w:t>报价评分标准</w:t>
            </w:r>
            <w:r>
              <w:rPr>
                <w:rFonts w:hint="eastAsia"/>
                <w:b/>
                <w:bCs/>
                <w:lang w:eastAsia="zh-CN"/>
              </w:rPr>
              <w:t>：</w:t>
            </w:r>
          </w:p>
          <w:p>
            <w:pPr>
              <w:keepNext w:val="0"/>
              <w:keepLines w:val="0"/>
              <w:pageBreakBefore w:val="0"/>
              <w:kinsoku/>
              <w:wordWrap/>
              <w:overflowPunct/>
              <w:topLinePunct w:val="0"/>
              <w:bidi w:val="0"/>
              <w:spacing w:line="240" w:lineRule="auto"/>
              <w:textAlignment w:val="auto"/>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如果投标人的评选价≧评标基准价，则竞选报价得分＝50-偏差率×100×E1；扣完为止。</w:t>
            </w:r>
          </w:p>
          <w:p>
            <w:pPr>
              <w:keepNext w:val="0"/>
              <w:keepLines w:val="0"/>
              <w:pageBreakBefore w:val="0"/>
              <w:kinsoku/>
              <w:wordWrap/>
              <w:overflowPunct/>
              <w:topLinePunct w:val="0"/>
              <w:bidi w:val="0"/>
              <w:spacing w:line="240" w:lineRule="auto"/>
              <w:textAlignment w:val="auto"/>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如果投标人的评选价&lt;评标基准价,则竞选报价得分＝50-偏差率×100×E2；扣完为止。</w:t>
            </w:r>
          </w:p>
          <w:p>
            <w:pPr>
              <w:keepNext w:val="0"/>
              <w:keepLines w:val="0"/>
              <w:pageBreakBefore w:val="0"/>
              <w:kinsoku/>
              <w:wordWrap/>
              <w:overflowPunct/>
              <w:topLinePunct w:val="0"/>
              <w:bidi w:val="0"/>
              <w:spacing w:line="240" w:lineRule="auto"/>
              <w:textAlignment w:val="auto"/>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其中：E1是评标价每高于评标基准价一个百分点的扣分值，E2是评标价每低于评标基准价一个百分点的扣分值；本项目设置E1=0.2，E2=0.1。</w:t>
            </w:r>
          </w:p>
          <w:p>
            <w:pPr>
              <w:keepNext w:val="0"/>
              <w:keepLines w:val="0"/>
              <w:pageBreakBefore w:val="0"/>
              <w:kinsoku/>
              <w:wordWrap/>
              <w:overflowPunct/>
              <w:topLinePunct w:val="0"/>
              <w:bidi w:val="0"/>
              <w:spacing w:line="240" w:lineRule="auto"/>
              <w:textAlignment w:val="auto"/>
              <w:rPr>
                <w:rFonts w:hint="eastAsia" w:eastAsiaTheme="minorEastAsia"/>
                <w:lang w:eastAsia="zh-CN"/>
              </w:rPr>
            </w:pPr>
            <w:r>
              <w:rPr>
                <w:rFonts w:hint="eastAsia" w:ascii="宋体" w:hAnsi="宋体" w:eastAsia="宋体"/>
                <w:color w:val="auto"/>
                <w:kern w:val="0"/>
                <w:szCs w:val="21"/>
                <w:highlight w:val="none"/>
                <w:lang w:val="en-US" w:eastAsia="zh-CN"/>
              </w:rPr>
              <w:t>偏差率=（投标人的投标报价-评标基准价）的绝对值/评标基准价*100%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Align w:val="center"/>
          </w:tcPr>
          <w:p>
            <w:pPr>
              <w:pStyle w:val="20"/>
              <w:autoSpaceDE w:val="0"/>
              <w:autoSpaceDN w:val="0"/>
              <w:spacing w:line="280" w:lineRule="exact"/>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rPr>
              <w:t>条款号</w:t>
            </w:r>
          </w:p>
        </w:tc>
        <w:tc>
          <w:tcPr>
            <w:tcW w:w="1606" w:type="dxa"/>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1089" w:type="dxa"/>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评审分值</w:t>
            </w:r>
          </w:p>
        </w:tc>
        <w:tc>
          <w:tcPr>
            <w:tcW w:w="3490" w:type="dxa"/>
            <w:gridSpan w:val="2"/>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c>
          <w:tcPr>
            <w:tcW w:w="2322" w:type="dxa"/>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49" w:type="dxa"/>
            <w:gridSpan w:val="2"/>
            <w:vMerge w:val="restart"/>
            <w:vAlign w:val="center"/>
          </w:tcPr>
          <w:p>
            <w:pPr>
              <w:pStyle w:val="20"/>
              <w:autoSpaceDE w:val="0"/>
              <w:autoSpaceDN w:val="0"/>
              <w:spacing w:line="280" w:lineRule="exact"/>
              <w:rPr>
                <w:rFonts w:hint="eastAsia" w:ascii="宋体" w:hAnsi="宋体" w:eastAsia="宋体" w:cs="宋体"/>
                <w:b/>
                <w:color w:val="auto"/>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p>
        </w:tc>
        <w:tc>
          <w:tcPr>
            <w:tcW w:w="1606" w:type="dxa"/>
            <w:vMerge w:val="restart"/>
            <w:vAlign w:val="center"/>
          </w:tcPr>
          <w:p>
            <w:pPr>
              <w:spacing w:line="280" w:lineRule="exact"/>
              <w:jc w:val="center"/>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技术得分</w:t>
            </w:r>
          </w:p>
        </w:tc>
        <w:tc>
          <w:tcPr>
            <w:tcW w:w="1089" w:type="dxa"/>
            <w:vMerge w:val="restart"/>
            <w:vAlign w:val="center"/>
          </w:tcPr>
          <w:p>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p>
        </w:tc>
        <w:tc>
          <w:tcPr>
            <w:tcW w:w="3490" w:type="dxa"/>
            <w:gridSpan w:val="2"/>
            <w:shd w:val="clear" w:color="auto" w:fill="auto"/>
            <w:vAlign w:val="center"/>
          </w:tcPr>
          <w:p>
            <w:pPr>
              <w:numPr>
                <w:ilvl w:val="0"/>
                <w:numId w:val="0"/>
              </w:numPr>
              <w:spacing w:before="0" w:after="0" w:line="36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根据对重庆高速公路运营品牌“</w:t>
            </w:r>
            <w:r>
              <w:rPr>
                <w:rFonts w:hint="eastAsia" w:ascii="宋体" w:hAnsi="宋体" w:eastAsia="宋体" w:cs="宋体"/>
                <w:color w:val="auto"/>
                <w:szCs w:val="21"/>
                <w:highlight w:val="none"/>
                <w:lang w:val="en-US" w:eastAsia="zh-CN"/>
              </w:rPr>
              <w:t>山水城·渝快行</w:t>
            </w:r>
            <w:r>
              <w:rPr>
                <w:rFonts w:hint="eastAsia" w:ascii="宋体" w:hAnsi="宋体" w:eastAsia="宋体" w:cs="宋体"/>
                <w:sz w:val="21"/>
                <w:szCs w:val="21"/>
                <w:highlight w:val="none"/>
                <w:lang w:val="en-US" w:eastAsia="zh-CN"/>
              </w:rPr>
              <w:t>”的理解作出书籍框架设计，</w:t>
            </w:r>
            <w:r>
              <w:rPr>
                <w:rFonts w:hint="eastAsia" w:ascii="宋体" w:hAnsi="宋体" w:eastAsia="宋体" w:cs="宋体"/>
                <w:sz w:val="21"/>
                <w:szCs w:val="21"/>
                <w:highlight w:val="none"/>
              </w:rPr>
              <w:t>总体需求理解、</w:t>
            </w:r>
            <w:r>
              <w:rPr>
                <w:rFonts w:hint="eastAsia" w:ascii="宋体" w:hAnsi="宋体" w:eastAsia="宋体" w:cs="宋体"/>
                <w:sz w:val="21"/>
                <w:szCs w:val="21"/>
                <w:highlight w:val="none"/>
                <w:lang w:val="en-US" w:eastAsia="zh-CN"/>
              </w:rPr>
              <w:t>编辑修稿</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策划</w:t>
            </w:r>
            <w:r>
              <w:rPr>
                <w:rFonts w:hint="eastAsia" w:ascii="宋体" w:hAnsi="宋体" w:eastAsia="宋体" w:cs="宋体"/>
                <w:sz w:val="21"/>
                <w:szCs w:val="21"/>
                <w:highlight w:val="none"/>
              </w:rPr>
              <w:t>效果（</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对“此项目”的理解和总体</w:t>
            </w:r>
            <w:r>
              <w:rPr>
                <w:rFonts w:hint="eastAsia" w:ascii="宋体" w:hAnsi="宋体" w:eastAsia="宋体" w:cs="宋体"/>
                <w:sz w:val="21"/>
                <w:szCs w:val="21"/>
                <w:highlight w:val="none"/>
                <w:lang w:val="en-US" w:eastAsia="zh-CN"/>
              </w:rPr>
              <w:t>编辑策划</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公司成书</w:t>
            </w:r>
            <w:r>
              <w:rPr>
                <w:rFonts w:hint="eastAsia" w:ascii="宋体" w:hAnsi="宋体" w:eastAsia="宋体" w:cs="宋体"/>
                <w:sz w:val="21"/>
                <w:szCs w:val="21"/>
                <w:highlight w:val="none"/>
              </w:rPr>
              <w:t>需求理解、</w:t>
            </w:r>
            <w:r>
              <w:rPr>
                <w:rFonts w:hint="eastAsia" w:ascii="宋体" w:hAnsi="宋体" w:eastAsia="宋体" w:cs="宋体"/>
                <w:sz w:val="21"/>
                <w:szCs w:val="21"/>
                <w:highlight w:val="none"/>
                <w:lang w:val="en-US" w:eastAsia="zh-CN"/>
              </w:rPr>
              <w:t>编辑</w:t>
            </w:r>
            <w:r>
              <w:rPr>
                <w:rFonts w:hint="eastAsia" w:ascii="宋体" w:hAnsi="宋体" w:eastAsia="宋体" w:cs="宋体"/>
                <w:sz w:val="21"/>
                <w:szCs w:val="21"/>
                <w:highlight w:val="none"/>
              </w:rPr>
              <w:t>理念、</w:t>
            </w:r>
            <w:r>
              <w:rPr>
                <w:rFonts w:hint="eastAsia" w:ascii="宋体" w:hAnsi="宋体" w:eastAsia="宋体" w:cs="宋体"/>
                <w:sz w:val="21"/>
                <w:szCs w:val="21"/>
                <w:highlight w:val="none"/>
                <w:lang w:val="en-US" w:eastAsia="zh-CN"/>
              </w:rPr>
              <w:t>策划</w:t>
            </w:r>
            <w:r>
              <w:rPr>
                <w:rFonts w:hint="eastAsia" w:ascii="宋体" w:hAnsi="宋体" w:eastAsia="宋体" w:cs="宋体"/>
                <w:sz w:val="21"/>
                <w:szCs w:val="21"/>
                <w:highlight w:val="none"/>
              </w:rPr>
              <w:t>思路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是否</w:t>
            </w:r>
            <w:r>
              <w:rPr>
                <w:rFonts w:hint="eastAsia" w:ascii="宋体" w:hAnsi="宋体" w:eastAsia="宋体" w:cs="宋体"/>
                <w:sz w:val="21"/>
                <w:szCs w:val="21"/>
                <w:highlight w:val="none"/>
              </w:rPr>
              <w:t>具有针对性、专业性、新颖性和可行性，从</w:t>
            </w:r>
            <w:r>
              <w:rPr>
                <w:rFonts w:hint="eastAsia" w:ascii="宋体" w:hAnsi="宋体" w:eastAsia="宋体" w:cs="宋体"/>
                <w:sz w:val="21"/>
                <w:szCs w:val="21"/>
                <w:highlight w:val="none"/>
                <w:lang w:val="en-US" w:eastAsia="zh-CN"/>
              </w:rPr>
              <w:t>编辑策划</w:t>
            </w:r>
            <w:r>
              <w:rPr>
                <w:rFonts w:hint="eastAsia" w:ascii="宋体" w:hAnsi="宋体" w:eastAsia="宋体" w:cs="宋体"/>
                <w:sz w:val="21"/>
                <w:szCs w:val="21"/>
                <w:highlight w:val="none"/>
              </w:rPr>
              <w:t>理念能否体现本次项目的定位和特色</w:t>
            </w:r>
            <w:r>
              <w:rPr>
                <w:rFonts w:hint="eastAsia" w:ascii="宋体" w:hAnsi="宋体" w:eastAsia="宋体" w:cs="宋体"/>
                <w:sz w:val="21"/>
                <w:szCs w:val="21"/>
                <w:highlight w:val="none"/>
                <w:lang w:val="en-US" w:eastAsia="zh-CN"/>
              </w:rPr>
              <w:t>得分</w:t>
            </w:r>
            <w:r>
              <w:rPr>
                <w:rFonts w:hint="eastAsia" w:ascii="宋体" w:hAnsi="宋体" w:eastAsia="宋体" w:cs="宋体"/>
                <w:sz w:val="21"/>
                <w:szCs w:val="21"/>
                <w:highlight w:val="none"/>
              </w:rPr>
              <w:t>。</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优秀8-10分，良好5-7分，基本满足得1-4分，不满足或未提供的不得分。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Merge w:val="continue"/>
            <w:vAlign w:val="center"/>
          </w:tcPr>
          <w:p>
            <w:pPr>
              <w:pStyle w:val="20"/>
              <w:autoSpaceDE w:val="0"/>
              <w:autoSpaceDN w:val="0"/>
              <w:spacing w:line="280" w:lineRule="exact"/>
              <w:rPr>
                <w:rFonts w:hint="eastAsia" w:ascii="宋体" w:hAnsi="宋体" w:eastAsia="宋体" w:cs="宋体"/>
                <w:b/>
                <w:color w:val="auto"/>
                <w:sz w:val="21"/>
                <w:szCs w:val="21"/>
                <w:highlight w:val="none"/>
              </w:rPr>
            </w:pPr>
          </w:p>
        </w:tc>
        <w:tc>
          <w:tcPr>
            <w:tcW w:w="1606" w:type="dxa"/>
            <w:vMerge w:val="continue"/>
            <w:vAlign w:val="center"/>
          </w:tcPr>
          <w:p>
            <w:pPr>
              <w:spacing w:line="280" w:lineRule="exact"/>
              <w:jc w:val="center"/>
              <w:rPr>
                <w:rFonts w:hint="eastAsia" w:ascii="宋体" w:hAnsi="宋体" w:eastAsia="宋体" w:cs="宋体"/>
                <w:b/>
                <w:color w:val="auto"/>
                <w:sz w:val="21"/>
                <w:szCs w:val="21"/>
                <w:highlight w:val="none"/>
              </w:rPr>
            </w:pPr>
          </w:p>
        </w:tc>
        <w:tc>
          <w:tcPr>
            <w:tcW w:w="1089" w:type="dxa"/>
            <w:vMerge w:val="continue"/>
            <w:vAlign w:val="center"/>
          </w:tcPr>
          <w:p>
            <w:pPr>
              <w:spacing w:line="280" w:lineRule="exact"/>
              <w:jc w:val="center"/>
              <w:rPr>
                <w:rFonts w:hint="eastAsia" w:ascii="宋体" w:hAnsi="宋体" w:eastAsia="宋体" w:cs="宋体"/>
                <w:color w:val="auto"/>
                <w:kern w:val="0"/>
                <w:sz w:val="21"/>
                <w:szCs w:val="21"/>
                <w:highlight w:val="none"/>
              </w:rPr>
            </w:pPr>
          </w:p>
        </w:tc>
        <w:tc>
          <w:tcPr>
            <w:tcW w:w="3490"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编辑</w:t>
            </w:r>
            <w:r>
              <w:rPr>
                <w:rFonts w:hint="eastAsia" w:ascii="宋体" w:hAnsi="宋体" w:eastAsia="宋体" w:cs="宋体"/>
                <w:sz w:val="21"/>
                <w:szCs w:val="21"/>
                <w:highlight w:val="none"/>
              </w:rPr>
              <w:t>初步方案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对项目建议方案进行评审（</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shd w:val="clear" w:color="auto" w:fill="FFFFFF"/>
              </w:rPr>
              <w:t>分</w:t>
            </w:r>
            <w:r>
              <w:rPr>
                <w:rFonts w:hint="eastAsia" w:ascii="宋体" w:hAnsi="宋体" w:eastAsia="宋体" w:cs="宋体"/>
                <w:sz w:val="21"/>
                <w:szCs w:val="21"/>
                <w:highlight w:val="none"/>
              </w:rPr>
              <w:t>）</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根据本项目的定位，</w:t>
            </w:r>
            <w:r>
              <w:rPr>
                <w:rFonts w:hint="eastAsia" w:ascii="宋体" w:hAnsi="宋体" w:eastAsia="宋体" w:cs="宋体"/>
                <w:sz w:val="21"/>
                <w:szCs w:val="21"/>
                <w:highlight w:val="none"/>
                <w:lang w:val="en-US" w:eastAsia="zh-CN"/>
              </w:rPr>
              <w:t>编辑</w:t>
            </w:r>
            <w:r>
              <w:rPr>
                <w:rFonts w:hint="eastAsia" w:ascii="宋体" w:hAnsi="宋体" w:eastAsia="宋体" w:cs="宋体"/>
                <w:sz w:val="21"/>
                <w:szCs w:val="21"/>
                <w:highlight w:val="none"/>
              </w:rPr>
              <w:t>方案规划合理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策划逻辑性</w:t>
            </w:r>
            <w:r>
              <w:rPr>
                <w:rFonts w:hint="eastAsia" w:ascii="宋体" w:hAnsi="宋体" w:eastAsia="宋体" w:cs="宋体"/>
                <w:sz w:val="21"/>
                <w:szCs w:val="21"/>
                <w:highlight w:val="none"/>
              </w:rPr>
              <w:t>强，具备鲜明的个性特征；方案合理可行、细节恰当新颖，</w:t>
            </w:r>
            <w:r>
              <w:rPr>
                <w:rFonts w:hint="eastAsia" w:ascii="宋体" w:hAnsi="宋体" w:eastAsia="宋体" w:cs="宋体"/>
                <w:sz w:val="21"/>
                <w:szCs w:val="21"/>
                <w:highlight w:val="none"/>
                <w:lang w:val="en-US" w:eastAsia="zh-CN"/>
              </w:rPr>
              <w:t>风格贴合公司要求</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7-10</w:t>
            </w:r>
            <w:r>
              <w:rPr>
                <w:rFonts w:hint="eastAsia" w:ascii="宋体" w:hAnsi="宋体" w:eastAsia="宋体" w:cs="宋体"/>
                <w:sz w:val="21"/>
                <w:szCs w:val="21"/>
                <w:highlight w:val="none"/>
              </w:rPr>
              <w:t>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编辑</w:t>
            </w:r>
            <w:r>
              <w:rPr>
                <w:rFonts w:hint="eastAsia" w:ascii="宋体" w:hAnsi="宋体" w:eastAsia="宋体" w:cs="宋体"/>
                <w:sz w:val="21"/>
                <w:szCs w:val="21"/>
                <w:highlight w:val="none"/>
              </w:rPr>
              <w:t>方案规划较合理，</w:t>
            </w:r>
            <w:r>
              <w:rPr>
                <w:rFonts w:hint="eastAsia" w:ascii="宋体" w:hAnsi="宋体" w:eastAsia="宋体" w:cs="宋体"/>
                <w:sz w:val="21"/>
                <w:szCs w:val="21"/>
                <w:highlight w:val="none"/>
                <w:lang w:val="en-US" w:eastAsia="zh-CN"/>
              </w:rPr>
              <w:t>策划逻辑</w:t>
            </w:r>
            <w:r>
              <w:rPr>
                <w:rFonts w:hint="eastAsia" w:ascii="宋体" w:hAnsi="宋体" w:eastAsia="宋体" w:cs="宋体"/>
                <w:sz w:val="21"/>
                <w:szCs w:val="21"/>
                <w:highlight w:val="none"/>
              </w:rPr>
              <w:t>性较强，具备较鲜明的个性特征；方案较合理可行、细节较恰当较新颖，</w:t>
            </w:r>
            <w:r>
              <w:rPr>
                <w:rFonts w:hint="eastAsia" w:ascii="宋体" w:hAnsi="宋体" w:eastAsia="宋体" w:cs="宋体"/>
                <w:sz w:val="21"/>
                <w:szCs w:val="21"/>
                <w:highlight w:val="none"/>
                <w:lang w:val="en-US" w:eastAsia="zh-CN"/>
              </w:rPr>
              <w:t>风格贴合度</w:t>
            </w:r>
            <w:r>
              <w:rPr>
                <w:rFonts w:hint="eastAsia" w:ascii="宋体" w:hAnsi="宋体" w:eastAsia="宋体" w:cs="宋体"/>
                <w:sz w:val="21"/>
                <w:szCs w:val="21"/>
                <w:highlight w:val="none"/>
              </w:rPr>
              <w:t>较强得</w:t>
            </w: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rPr>
              <w:t>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编辑方案</w:t>
            </w:r>
            <w:r>
              <w:rPr>
                <w:rFonts w:hint="eastAsia" w:ascii="宋体" w:hAnsi="宋体" w:eastAsia="宋体" w:cs="宋体"/>
                <w:sz w:val="21"/>
                <w:szCs w:val="21"/>
                <w:highlight w:val="none"/>
              </w:rPr>
              <w:t>规划基本合理，</w:t>
            </w:r>
            <w:r>
              <w:rPr>
                <w:rFonts w:hint="eastAsia" w:ascii="宋体" w:hAnsi="宋体" w:eastAsia="宋体" w:cs="宋体"/>
                <w:sz w:val="21"/>
                <w:szCs w:val="21"/>
                <w:highlight w:val="none"/>
                <w:lang w:val="en-US" w:eastAsia="zh-CN"/>
              </w:rPr>
              <w:t>策划逻辑</w:t>
            </w:r>
            <w:r>
              <w:rPr>
                <w:rFonts w:hint="eastAsia" w:ascii="宋体" w:hAnsi="宋体" w:eastAsia="宋体" w:cs="宋体"/>
                <w:sz w:val="21"/>
                <w:szCs w:val="21"/>
                <w:highlight w:val="none"/>
              </w:rPr>
              <w:t>性一般，基本具备鲜明的个性特征；方案基本合理可行、细节基本恰当新颖，</w:t>
            </w:r>
            <w:r>
              <w:rPr>
                <w:rFonts w:hint="eastAsia" w:ascii="宋体" w:hAnsi="宋体" w:eastAsia="宋体" w:cs="宋体"/>
                <w:sz w:val="21"/>
                <w:szCs w:val="21"/>
                <w:highlight w:val="none"/>
                <w:lang w:val="en-US" w:eastAsia="zh-CN"/>
              </w:rPr>
              <w:t>风格贴合度</w:t>
            </w:r>
            <w:r>
              <w:rPr>
                <w:rFonts w:hint="eastAsia" w:ascii="宋体" w:hAnsi="宋体" w:eastAsia="宋体" w:cs="宋体"/>
                <w:sz w:val="21"/>
                <w:szCs w:val="21"/>
                <w:highlight w:val="none"/>
              </w:rPr>
              <w:t>一般</w:t>
            </w:r>
            <w:r>
              <w:rPr>
                <w:rFonts w:hint="eastAsia" w:ascii="宋体" w:hAnsi="宋体" w:eastAsia="宋体" w:cs="宋体"/>
                <w:sz w:val="21"/>
                <w:szCs w:val="21"/>
                <w:highlight w:val="none"/>
                <w:lang w:val="en-US" w:eastAsia="zh-CN"/>
              </w:rPr>
              <w:t>得1-3</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编辑方案</w:t>
            </w:r>
            <w:r>
              <w:rPr>
                <w:rFonts w:hint="eastAsia" w:ascii="宋体" w:hAnsi="宋体" w:eastAsia="宋体" w:cs="宋体"/>
                <w:sz w:val="21"/>
                <w:szCs w:val="21"/>
                <w:highlight w:val="none"/>
              </w:rPr>
              <w:t>规划一般，</w:t>
            </w:r>
            <w:r>
              <w:rPr>
                <w:rFonts w:hint="eastAsia" w:ascii="宋体" w:hAnsi="宋体" w:eastAsia="宋体" w:cs="宋体"/>
                <w:sz w:val="21"/>
                <w:szCs w:val="21"/>
                <w:highlight w:val="none"/>
                <w:lang w:val="en-US" w:eastAsia="zh-CN"/>
              </w:rPr>
              <w:t>策划逻辑</w:t>
            </w:r>
            <w:r>
              <w:rPr>
                <w:rFonts w:hint="eastAsia" w:ascii="宋体" w:hAnsi="宋体" w:eastAsia="宋体" w:cs="宋体"/>
                <w:sz w:val="21"/>
                <w:szCs w:val="21"/>
                <w:highlight w:val="none"/>
              </w:rPr>
              <w:t>性一般，不太具有鲜明的个性特征；方案合理性一般、细节一般，</w:t>
            </w:r>
            <w:r>
              <w:rPr>
                <w:rFonts w:hint="eastAsia" w:ascii="宋体" w:hAnsi="宋体" w:eastAsia="宋体" w:cs="宋体"/>
                <w:sz w:val="21"/>
                <w:szCs w:val="21"/>
                <w:highlight w:val="none"/>
                <w:lang w:val="en-US" w:eastAsia="zh-CN"/>
              </w:rPr>
              <w:t>风格贴合度</w:t>
            </w:r>
            <w:r>
              <w:rPr>
                <w:rFonts w:hint="eastAsia" w:ascii="宋体" w:hAnsi="宋体" w:eastAsia="宋体" w:cs="宋体"/>
                <w:sz w:val="21"/>
                <w:szCs w:val="21"/>
                <w:highlight w:val="none"/>
              </w:rPr>
              <w:t>一般及未提供得0分。</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优秀7-10分，良好4-6基本满足得1-3分，不满足或未提供的不得分。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p>
        </w:tc>
        <w:tc>
          <w:tcPr>
            <w:tcW w:w="1606" w:type="dxa"/>
            <w:vAlign w:val="center"/>
          </w:tcPr>
          <w:p>
            <w:pPr>
              <w:spacing w:line="2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商务得分</w:t>
            </w:r>
          </w:p>
        </w:tc>
        <w:tc>
          <w:tcPr>
            <w:tcW w:w="1089" w:type="dxa"/>
            <w:vAlign w:val="center"/>
          </w:tcPr>
          <w:p>
            <w:pPr>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w:t>
            </w:r>
            <w:r>
              <w:rPr>
                <w:rFonts w:hint="eastAsia" w:ascii="宋体" w:hAnsi="宋体" w:eastAsia="宋体" w:cs="宋体"/>
                <w:kern w:val="0"/>
                <w:szCs w:val="21"/>
              </w:rPr>
              <w:t>0分</w:t>
            </w:r>
          </w:p>
        </w:tc>
        <w:tc>
          <w:tcPr>
            <w:tcW w:w="5812" w:type="dxa"/>
            <w:gridSpan w:val="3"/>
            <w:vAlign w:val="center"/>
          </w:tcPr>
          <w:p>
            <w:pPr>
              <w:spacing w:line="280" w:lineRule="exact"/>
              <w:jc w:val="left"/>
              <w:rPr>
                <w:rFonts w:hint="eastAsia" w:ascii="宋体" w:hAnsi="宋体" w:eastAsia="宋体" w:cs="宋体"/>
                <w:kern w:val="0"/>
                <w:szCs w:val="21"/>
                <w:lang w:val="en-US" w:eastAsia="zh-CN"/>
              </w:rPr>
            </w:pPr>
            <w:r>
              <w:rPr>
                <w:rFonts w:hint="eastAsia" w:ascii="宋体" w:hAnsi="宋体" w:eastAsia="宋体" w:cs="宋体"/>
                <w:sz w:val="21"/>
                <w:szCs w:val="21"/>
                <w:highlight w:val="none"/>
                <w:lang w:val="en-US" w:eastAsia="zh-CN"/>
              </w:rPr>
              <w:t>在满足比选申请文件要求的前提下，每增加一个合同金额大于</w:t>
            </w:r>
            <w:r>
              <w:rPr>
                <w:rFonts w:hint="eastAsia" w:ascii="宋体" w:hAnsi="宋体" w:eastAsia="宋体" w:cs="宋体"/>
                <w:color w:val="auto"/>
                <w:sz w:val="21"/>
                <w:szCs w:val="21"/>
                <w:highlight w:val="none"/>
                <w:lang w:val="en-US" w:eastAsia="zh-CN"/>
              </w:rPr>
              <w:t>20万元的设</w:t>
            </w:r>
            <w:r>
              <w:rPr>
                <w:rFonts w:hint="eastAsia" w:ascii="宋体" w:hAnsi="宋体" w:eastAsia="宋体" w:cs="宋体"/>
                <w:sz w:val="21"/>
                <w:szCs w:val="21"/>
                <w:highlight w:val="none"/>
                <w:lang w:val="en-US" w:eastAsia="zh-CN"/>
              </w:rPr>
              <w:t>计策划或服务咨询相关项目业绩（2021年1月1日起）得10分，最多得30分。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606" w:type="dxa"/>
            <w:vAlign w:val="center"/>
          </w:tcPr>
          <w:p>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w:t>
            </w:r>
          </w:p>
        </w:tc>
        <w:tc>
          <w:tcPr>
            <w:tcW w:w="6901" w:type="dxa"/>
            <w:gridSpan w:val="4"/>
          </w:tcPr>
          <w:p>
            <w:pPr>
              <w:numPr>
                <w:ilvl w:val="0"/>
                <w:numId w:val="0"/>
              </w:num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以上评分最终得分均保留2位小数，按四舍五入原则进行。</w:t>
            </w:r>
          </w:p>
          <w:p>
            <w:pPr>
              <w:numPr>
                <w:ilvl w:val="0"/>
                <w:numId w:val="0"/>
              </w:num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本项目评标采用综合</w:t>
            </w:r>
            <w:r>
              <w:rPr>
                <w:rFonts w:hint="eastAsia" w:ascii="宋体" w:hAnsi="宋体" w:eastAsia="宋体" w:cs="宋体"/>
                <w:color w:val="auto"/>
                <w:sz w:val="21"/>
                <w:szCs w:val="21"/>
                <w:highlight w:val="none"/>
                <w:lang w:eastAsia="zh-CN"/>
              </w:rPr>
              <w:t>评标</w:t>
            </w:r>
            <w:r>
              <w:rPr>
                <w:rFonts w:hint="eastAsia" w:ascii="宋体" w:hAnsi="宋体" w:eastAsia="宋体" w:cs="宋体"/>
                <w:color w:val="auto"/>
                <w:sz w:val="21"/>
                <w:szCs w:val="21"/>
                <w:highlight w:val="none"/>
              </w:rPr>
              <w:t>法，对通过初步评审、详细评审的有效比选申请人按照综合得分（报价得分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技术得分+</w:t>
            </w:r>
            <w:r>
              <w:rPr>
                <w:rFonts w:hint="eastAsia" w:ascii="宋体" w:hAnsi="宋体" w:eastAsia="宋体" w:cs="宋体"/>
                <w:color w:val="auto"/>
                <w:sz w:val="21"/>
                <w:szCs w:val="21"/>
                <w:highlight w:val="none"/>
                <w:lang w:eastAsia="zh-CN"/>
              </w:rPr>
              <w:t>商务得分</w:t>
            </w:r>
            <w:r>
              <w:rPr>
                <w:rFonts w:hint="eastAsia" w:ascii="宋体" w:hAnsi="宋体" w:eastAsia="宋体" w:cs="宋体"/>
                <w:color w:val="auto"/>
                <w:sz w:val="21"/>
                <w:szCs w:val="21"/>
                <w:highlight w:val="none"/>
              </w:rPr>
              <w:t>）由高到低先后顺序，依次推荐3名成交候选人。若不足3名，则只选取相应的数量。</w:t>
            </w:r>
          </w:p>
          <w:p>
            <w:pPr>
              <w:numPr>
                <w:ilvl w:val="0"/>
                <w:numId w:val="0"/>
              </w:num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tc>
      </w:tr>
    </w:tbl>
    <w:p>
      <w:pPr>
        <w:pStyle w:val="13"/>
        <w:jc w:val="center"/>
        <w:rPr>
          <w:rStyle w:val="21"/>
          <w:rFonts w:hint="eastAsia"/>
          <w:b/>
          <w:bCs/>
        </w:rPr>
      </w:pPr>
      <w:bookmarkStart w:id="84" w:name="_Toc13787"/>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rPr>
          <w:rStyle w:val="21"/>
          <w:rFonts w:hint="eastAsia"/>
          <w:b/>
          <w:bCs/>
        </w:rPr>
      </w:pPr>
    </w:p>
    <w:p>
      <w:pPr>
        <w:pStyle w:val="13"/>
        <w:jc w:val="center"/>
      </w:pPr>
      <w:r>
        <w:rPr>
          <w:rStyle w:val="21"/>
          <w:rFonts w:hint="eastAsia"/>
          <w:b/>
          <w:bCs/>
        </w:rPr>
        <w:t>第四章 报价说明</w:t>
      </w:r>
      <w:bookmarkEnd w:id="84"/>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（一）报价人应充分考虑</w:t>
      </w:r>
      <w:r>
        <w:rPr>
          <w:rFonts w:hint="eastAsia" w:ascii="宋体" w:hAnsi="宋体" w:cs="宋体"/>
          <w:szCs w:val="21"/>
          <w:highlight w:val="none"/>
          <w:lang w:val="en-US" w:eastAsia="zh-CN"/>
        </w:rPr>
        <w:t>本</w:t>
      </w:r>
      <w:r>
        <w:rPr>
          <w:rFonts w:hint="eastAsia" w:ascii="宋体" w:hAnsi="宋体" w:cs="宋体"/>
          <w:szCs w:val="21"/>
          <w:highlight w:val="none"/>
        </w:rPr>
        <w:t>项目过程中</w:t>
      </w:r>
      <w:r>
        <w:rPr>
          <w:rFonts w:hint="eastAsia" w:ascii="宋体" w:hAnsi="宋体" w:cs="宋体"/>
          <w:szCs w:val="21"/>
          <w:highlight w:val="none"/>
          <w:lang w:val="en-US" w:eastAsia="zh-CN"/>
        </w:rPr>
        <w:t>合理产生</w:t>
      </w:r>
      <w:r>
        <w:rPr>
          <w:rFonts w:hint="eastAsia" w:ascii="宋体" w:hAnsi="宋体" w:cs="宋体"/>
          <w:szCs w:val="21"/>
          <w:highlight w:val="none"/>
        </w:rPr>
        <w:t>的</w:t>
      </w:r>
      <w:r>
        <w:rPr>
          <w:rFonts w:hint="eastAsia" w:ascii="宋体" w:hAnsi="宋体" w:cs="宋体"/>
          <w:szCs w:val="21"/>
          <w:highlight w:val="none"/>
          <w:lang w:val="en-US" w:eastAsia="zh-CN"/>
        </w:rPr>
        <w:t>采访费、加班费、</w:t>
      </w:r>
      <w:r>
        <w:rPr>
          <w:rFonts w:hint="eastAsia" w:ascii="宋体" w:hAnsi="宋体" w:cs="宋体"/>
          <w:szCs w:val="21"/>
          <w:highlight w:val="none"/>
        </w:rPr>
        <w:t>交通费、差旅费等费用。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（二）报价人在</w:t>
      </w:r>
      <w:r>
        <w:rPr>
          <w:rFonts w:hint="eastAsia" w:ascii="宋体" w:hAnsi="宋体" w:cs="宋体"/>
          <w:szCs w:val="21"/>
          <w:highlight w:val="none"/>
          <w:lang w:val="en-US" w:eastAsia="zh-CN"/>
        </w:rPr>
        <w:t>项目管理</w:t>
      </w:r>
      <w:r>
        <w:rPr>
          <w:rFonts w:hint="eastAsia" w:ascii="宋体" w:hAnsi="宋体" w:cs="宋体"/>
          <w:szCs w:val="21"/>
          <w:highlight w:val="none"/>
        </w:rPr>
        <w:t>、</w:t>
      </w:r>
      <w:r>
        <w:rPr>
          <w:rFonts w:hint="eastAsia" w:ascii="宋体" w:hAnsi="宋体" w:cs="宋体"/>
          <w:szCs w:val="21"/>
          <w:highlight w:val="none"/>
          <w:lang w:val="en-US" w:eastAsia="zh-CN"/>
        </w:rPr>
        <w:t>策划</w:t>
      </w:r>
      <w:r>
        <w:rPr>
          <w:rFonts w:hint="eastAsia" w:ascii="宋体" w:hAnsi="宋体" w:cs="宋体"/>
          <w:szCs w:val="21"/>
          <w:highlight w:val="none"/>
        </w:rPr>
        <w:t>、</w:t>
      </w:r>
      <w:r>
        <w:rPr>
          <w:rFonts w:hint="eastAsia" w:ascii="宋体" w:hAnsi="宋体" w:cs="宋体"/>
          <w:szCs w:val="21"/>
          <w:highlight w:val="none"/>
          <w:lang w:val="en-US" w:eastAsia="zh-CN"/>
        </w:rPr>
        <w:t>编辑</w:t>
      </w:r>
      <w:r>
        <w:rPr>
          <w:rFonts w:hint="eastAsia" w:ascii="宋体" w:hAnsi="宋体" w:cs="宋体"/>
          <w:szCs w:val="21"/>
          <w:highlight w:val="none"/>
        </w:rPr>
        <w:t>等方面具有服务能力，并考虑其中产生的费用。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（三）费用报价清单中各项金额均以人民币（元）结算。</w:t>
      </w:r>
    </w:p>
    <w:p>
      <w:pPr>
        <w:spacing w:line="460" w:lineRule="exact"/>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rPr>
        <w:t>（四）需缴纳的一切税费均由投标人承担。</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五</w:t>
      </w:r>
      <w:r>
        <w:rPr>
          <w:rFonts w:hint="eastAsia" w:ascii="宋体" w:hAnsi="宋体" w:cs="宋体"/>
          <w:szCs w:val="21"/>
          <w:highlight w:val="none"/>
        </w:rPr>
        <w:t>）项目费包干使用</w:t>
      </w:r>
      <w:r>
        <w:rPr>
          <w:rFonts w:hint="eastAsia" w:ascii="宋体" w:hAnsi="宋体" w:cs="宋体"/>
          <w:szCs w:val="21"/>
          <w:highlight w:val="none"/>
          <w:lang w:eastAsia="zh-CN"/>
        </w:rPr>
        <w:t>（</w:t>
      </w:r>
      <w:r>
        <w:rPr>
          <w:rFonts w:hint="eastAsia" w:ascii="宋体" w:hAnsi="宋体" w:cs="宋体"/>
          <w:szCs w:val="21"/>
          <w:highlight w:val="none"/>
          <w:lang w:val="en-US" w:eastAsia="zh-CN"/>
        </w:rPr>
        <w:t>包含但不限于设计、差旅、人工、水电网络等）</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rPr>
          <w:rFonts w:hint="eastAsia"/>
          <w:lang w:eastAsia="zh-CN"/>
        </w:rPr>
      </w:pPr>
    </w:p>
    <w:p>
      <w:pPr>
        <w:pStyle w:val="13"/>
        <w:spacing w:line="380" w:lineRule="exact"/>
        <w:ind w:firstLine="420" w:firstLineChars="200"/>
        <w:rPr>
          <w:rFonts w:hint="eastAsia" w:ascii="宋体" w:hAnsi="宋体" w:cs="宋体"/>
          <w:b w:val="0"/>
          <w:bCs w:val="0"/>
          <w:sz w:val="21"/>
          <w:szCs w:val="21"/>
          <w:lang w:eastAsia="zh-CN"/>
        </w:rPr>
      </w:pPr>
    </w:p>
    <w:p/>
    <w:p>
      <w:pPr>
        <w:spacing w:line="400" w:lineRule="exact"/>
        <w:rPr>
          <w:rFonts w:ascii="宋体" w:hAnsi="宋体" w:eastAsia="宋体" w:cs="宋体"/>
          <w:b/>
          <w:bCs/>
          <w:color w:val="auto"/>
          <w:sz w:val="24"/>
          <w:szCs w:val="24"/>
          <w:highlight w:val="none"/>
        </w:rPr>
      </w:pPr>
    </w:p>
    <w:p>
      <w:pPr>
        <w:pStyle w:val="13"/>
        <w:jc w:val="center"/>
        <w:rPr>
          <w:rStyle w:val="21"/>
          <w:rFonts w:hint="eastAsia" w:ascii="Times New Roman" w:hAnsi="Times New Roman" w:eastAsia="宋体"/>
          <w:b/>
          <w:bCs/>
        </w:rPr>
      </w:pPr>
    </w:p>
    <w:p>
      <w:pPr>
        <w:pStyle w:val="13"/>
        <w:jc w:val="center"/>
        <w:rPr>
          <w:rStyle w:val="21"/>
          <w:rFonts w:hint="eastAsia" w:ascii="Times New Roman" w:hAnsi="Times New Roman" w:eastAsia="宋体"/>
          <w:b/>
          <w:bCs/>
        </w:rPr>
      </w:pPr>
    </w:p>
    <w:p>
      <w:pPr>
        <w:rPr>
          <w:rStyle w:val="21"/>
          <w:rFonts w:hint="eastAsia" w:ascii="Times New Roman" w:hAnsi="Times New Roman" w:eastAsia="宋体"/>
          <w:b/>
          <w:bCs/>
        </w:rPr>
      </w:pPr>
    </w:p>
    <w:p>
      <w:pPr>
        <w:pStyle w:val="6"/>
        <w:rPr>
          <w:rStyle w:val="21"/>
          <w:rFonts w:hint="eastAsia" w:ascii="Times New Roman" w:hAnsi="Times New Roman" w:eastAsia="宋体"/>
          <w:b/>
          <w:bCs/>
        </w:rPr>
      </w:pPr>
    </w:p>
    <w:p>
      <w:pPr>
        <w:rPr>
          <w:rStyle w:val="21"/>
          <w:rFonts w:hint="eastAsia" w:ascii="Times New Roman" w:hAnsi="Times New Roman" w:eastAsia="宋体"/>
          <w:b/>
          <w:bCs/>
        </w:rPr>
      </w:pPr>
    </w:p>
    <w:p>
      <w:pPr>
        <w:pStyle w:val="6"/>
        <w:rPr>
          <w:rStyle w:val="21"/>
          <w:rFonts w:hint="eastAsia" w:ascii="Times New Roman" w:hAnsi="Times New Roman" w:eastAsia="宋体"/>
          <w:b/>
          <w:bCs/>
        </w:rPr>
      </w:pPr>
    </w:p>
    <w:p>
      <w:pPr>
        <w:rPr>
          <w:rStyle w:val="21"/>
          <w:rFonts w:hint="eastAsia" w:ascii="Times New Roman" w:hAnsi="Times New Roman" w:eastAsia="宋体"/>
          <w:b/>
          <w:bCs/>
        </w:rPr>
      </w:pPr>
    </w:p>
    <w:p>
      <w:pPr>
        <w:pStyle w:val="6"/>
        <w:rPr>
          <w:rStyle w:val="21"/>
          <w:rFonts w:hint="eastAsia" w:ascii="Times New Roman" w:hAnsi="Times New Roman" w:eastAsia="宋体"/>
          <w:b/>
          <w:bCs/>
        </w:rPr>
      </w:pPr>
    </w:p>
    <w:p>
      <w:pPr>
        <w:pStyle w:val="13"/>
        <w:jc w:val="both"/>
        <w:rPr>
          <w:rStyle w:val="21"/>
          <w:rFonts w:hint="eastAsia" w:ascii="Times New Roman" w:hAnsi="Times New Roman" w:eastAsia="宋体"/>
          <w:b/>
          <w:bCs/>
        </w:rPr>
      </w:pPr>
    </w:p>
    <w:p>
      <w:pPr>
        <w:pStyle w:val="13"/>
        <w:jc w:val="center"/>
        <w:rPr>
          <w:rStyle w:val="21"/>
          <w:rFonts w:hint="eastAsia" w:ascii="Times New Roman" w:hAnsi="Times New Roman" w:eastAsia="宋体"/>
          <w:b/>
          <w:bCs/>
        </w:rPr>
      </w:pPr>
    </w:p>
    <w:p>
      <w:pPr>
        <w:pStyle w:val="13"/>
        <w:jc w:val="center"/>
        <w:rPr>
          <w:rStyle w:val="21"/>
          <w:rFonts w:hint="eastAsia" w:ascii="Times New Roman" w:hAnsi="Times New Roman" w:eastAsia="宋体"/>
          <w:b/>
          <w:bCs/>
          <w:lang w:val="en-US" w:eastAsia="zh-CN"/>
        </w:rPr>
      </w:pPr>
      <w:r>
        <w:rPr>
          <w:rStyle w:val="21"/>
          <w:rFonts w:hint="eastAsia" w:ascii="Times New Roman" w:hAnsi="Times New Roman" w:eastAsia="宋体"/>
          <w:b/>
          <w:bCs/>
        </w:rPr>
        <w:t>第</w:t>
      </w:r>
      <w:r>
        <w:rPr>
          <w:rStyle w:val="21"/>
          <w:rFonts w:hint="eastAsia" w:ascii="Times New Roman" w:hAnsi="Times New Roman" w:eastAsia="宋体"/>
          <w:b/>
          <w:bCs/>
          <w:lang w:val="en-US" w:eastAsia="zh-CN"/>
        </w:rPr>
        <w:t>五</w:t>
      </w:r>
      <w:r>
        <w:rPr>
          <w:rStyle w:val="21"/>
          <w:rFonts w:hint="eastAsia" w:ascii="Times New Roman" w:hAnsi="Times New Roman" w:eastAsia="宋体"/>
          <w:b/>
          <w:bCs/>
        </w:rPr>
        <w:t>章  竞争性比选响应文件格式</w:t>
      </w:r>
    </w:p>
    <w:p>
      <w:pPr>
        <w:pStyle w:val="6"/>
      </w:pPr>
    </w:p>
    <w:p>
      <w:pPr>
        <w:pStyle w:val="5"/>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6"/>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6"/>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5"/>
        <w:ind w:left="0" w:leftChars="0" w:firstLine="0" w:firstLineChars="0"/>
        <w:rPr>
          <w:rFonts w:hint="eastAsia" w:ascii="宋体" w:hAnsi="宋体" w:eastAsia="宋体" w:cs="宋体"/>
          <w:b/>
          <w:color w:val="auto"/>
          <w:sz w:val="24"/>
          <w:highlight w:val="none"/>
        </w:rPr>
      </w:pPr>
    </w:p>
    <w:p>
      <w:pPr>
        <w:rPr>
          <w:rFonts w:hint="eastAsia"/>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pStyle w:val="6"/>
        <w:rPr>
          <w:rFonts w:hint="eastAsia"/>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pStyle w:val="5"/>
        <w:rPr>
          <w:rFonts w:hint="eastAsia" w:ascii="宋体" w:hAnsi="宋体" w:eastAsia="宋体" w:cs="宋体"/>
          <w:b/>
          <w:color w:val="auto"/>
          <w:sz w:val="24"/>
          <w:highlight w:val="none"/>
        </w:rPr>
      </w:pPr>
    </w:p>
    <w:p>
      <w:pPr>
        <w:rPr>
          <w:rFonts w:hint="eastAsia"/>
        </w:rPr>
      </w:pPr>
    </w:p>
    <w:p>
      <w:pPr>
        <w:pStyle w:val="5"/>
        <w:rPr>
          <w:rFonts w:hint="eastAsia"/>
        </w:rPr>
      </w:pPr>
    </w:p>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竞争性比选申请文件格式</w:t>
      </w:r>
    </w:p>
    <w:p>
      <w:pPr>
        <w:jc w:val="center"/>
        <w:rPr>
          <w:rFonts w:ascii="宋体" w:hAnsi="宋体" w:eastAsia="宋体" w:cs="宋体"/>
          <w:b/>
          <w:color w:val="auto"/>
          <w:sz w:val="24"/>
          <w:highlight w:val="none"/>
        </w:rPr>
      </w:pPr>
    </w:p>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（以下内容为示例）</w:t>
      </w:r>
    </w:p>
    <w:p>
      <w:pPr>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ind w:right="480" w:firstLine="2849" w:firstLineChars="946"/>
        <w:jc w:val="right"/>
        <w:rPr>
          <w:rFonts w:ascii="宋体" w:hAnsi="宋体" w:eastAsia="宋体" w:cs="宋体"/>
          <w:b/>
          <w:color w:val="auto"/>
          <w:sz w:val="30"/>
          <w:szCs w:val="30"/>
          <w:highlight w:val="none"/>
        </w:rPr>
      </w:pPr>
    </w:p>
    <w:p>
      <w:pPr>
        <w:ind w:right="480" w:firstLine="2849" w:firstLineChars="946"/>
        <w:jc w:val="right"/>
        <w:rPr>
          <w:rFonts w:ascii="宋体" w:hAnsi="宋体" w:eastAsia="宋体" w:cs="宋体"/>
          <w:b/>
          <w:color w:val="auto"/>
          <w:sz w:val="30"/>
          <w:szCs w:val="30"/>
          <w:highlight w:val="none"/>
        </w:rPr>
      </w:pPr>
    </w:p>
    <w:p>
      <w:pPr>
        <w:ind w:right="480" w:firstLine="2849" w:firstLineChars="946"/>
        <w:jc w:val="righ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正</w:t>
      </w:r>
      <w:r>
        <w:rPr>
          <w:rFonts w:hint="eastAsia" w:ascii="宋体" w:hAnsi="宋体" w:eastAsia="宋体" w:cs="宋体"/>
          <w:b/>
          <w:color w:val="auto"/>
          <w:sz w:val="30"/>
          <w:szCs w:val="30"/>
          <w:highlight w:val="none"/>
        </w:rPr>
        <w:t>本（或副本）</w:t>
      </w:r>
    </w:p>
    <w:p>
      <w:pPr>
        <w:jc w:val="both"/>
        <w:rPr>
          <w:rFonts w:hint="eastAsia" w:ascii="宋体" w:hAnsi="宋体" w:eastAsia="宋体" w:cs="宋体"/>
          <w:b/>
          <w:color w:val="auto"/>
          <w:sz w:val="44"/>
          <w:szCs w:val="44"/>
          <w:highlight w:val="none"/>
          <w:u w:val="single"/>
          <w:lang w:eastAsia="zh-CN"/>
        </w:rPr>
      </w:pPr>
    </w:p>
    <w:p>
      <w:pPr>
        <w:jc w:val="center"/>
        <w:rPr>
          <w:rFonts w:hint="eastAsia" w:ascii="宋体" w:hAnsi="宋体" w:eastAsia="宋体" w:cs="宋体"/>
          <w:b/>
          <w:color w:val="auto"/>
          <w:sz w:val="44"/>
          <w:szCs w:val="44"/>
          <w:highlight w:val="none"/>
          <w:u w:val="single"/>
        </w:rPr>
      </w:pPr>
      <w:r>
        <w:rPr>
          <w:rFonts w:hint="eastAsia" w:ascii="宋体" w:hAnsi="宋体" w:eastAsia="宋体" w:cs="宋体"/>
          <w:b/>
          <w:color w:val="auto"/>
          <w:sz w:val="44"/>
          <w:szCs w:val="44"/>
          <w:highlight w:val="none"/>
          <w:u w:val="single"/>
          <w:lang w:val="en-US" w:eastAsia="zh-CN"/>
        </w:rPr>
        <w:t>《山水城·渝快行》书籍服务</w:t>
      </w:r>
      <w:r>
        <w:rPr>
          <w:rFonts w:hint="eastAsia" w:ascii="宋体" w:hAnsi="宋体" w:eastAsia="宋体" w:cs="宋体"/>
          <w:b/>
          <w:color w:val="auto"/>
          <w:sz w:val="44"/>
          <w:szCs w:val="44"/>
          <w:highlight w:val="none"/>
          <w:u w:val="single"/>
        </w:rPr>
        <w:t>项目</w:t>
      </w:r>
    </w:p>
    <w:p>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u w:val="single"/>
        </w:rPr>
        <w:t xml:space="preserve">竞争性比选申请文件 </w:t>
      </w: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pStyle w:val="5"/>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pStyle w:val="6"/>
      </w:pPr>
    </w:p>
    <w:p>
      <w:pPr>
        <w:rPr>
          <w:rFonts w:ascii="宋体" w:hAnsi="宋体" w:eastAsia="宋体" w:cs="宋体"/>
          <w:color w:val="auto"/>
          <w:sz w:val="32"/>
          <w:szCs w:val="32"/>
          <w:highlight w:val="none"/>
        </w:rPr>
      </w:pPr>
    </w:p>
    <w:p>
      <w:pPr>
        <w:pStyle w:val="5"/>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比选申请人名称全称（盖单位公章）</w:t>
      </w:r>
    </w:p>
    <w:p>
      <w:pPr>
        <w:rPr>
          <w:rFonts w:ascii="宋体" w:hAnsi="宋体" w:eastAsia="宋体" w:cs="宋体"/>
          <w:color w:val="auto"/>
          <w:sz w:val="32"/>
          <w:szCs w:val="32"/>
          <w:highlight w:val="none"/>
          <w:u w:val="single"/>
        </w:rPr>
      </w:pPr>
    </w:p>
    <w:p>
      <w:pPr>
        <w:rPr>
          <w:color w:val="auto"/>
          <w:highlight w:val="none"/>
        </w:rPr>
      </w:pPr>
    </w:p>
    <w:p/>
    <w:p>
      <w:pPr>
        <w:tabs>
          <w:tab w:val="left" w:pos="900"/>
          <w:tab w:val="left" w:pos="1080"/>
        </w:tabs>
        <w:spacing w:line="30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目  录</w:t>
      </w: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一、报价书；</w:t>
      </w:r>
    </w:p>
    <w:p>
      <w:pPr>
        <w:tabs>
          <w:tab w:val="left" w:pos="900"/>
          <w:tab w:val="left" w:pos="1080"/>
        </w:tabs>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报价一览表；</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法定代表人身份证明及授权委托书；</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资格审查资料</w:t>
      </w:r>
      <w:r>
        <w:rPr>
          <w:rFonts w:hint="eastAsia" w:ascii="宋体" w:hAnsi="宋体" w:eastAsia="宋体" w:cs="宋体"/>
          <w:color w:val="auto"/>
          <w:sz w:val="24"/>
          <w:szCs w:val="24"/>
          <w:highlight w:val="none"/>
        </w:rPr>
        <w:t>；</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、其他相关资料。（</w:t>
      </w:r>
      <w:r>
        <w:rPr>
          <w:rFonts w:hint="eastAsia" w:ascii="宋体" w:hAnsi="宋体" w:eastAsia="宋体" w:cs="宋体"/>
          <w:color w:val="auto"/>
          <w:sz w:val="24"/>
          <w:szCs w:val="24"/>
          <w:highlight w:val="none"/>
          <w:lang w:eastAsia="zh-CN"/>
        </w:rPr>
        <w:t>书籍框架设计、</w:t>
      </w:r>
      <w:r>
        <w:rPr>
          <w:rFonts w:hint="eastAsia" w:ascii="宋体" w:hAnsi="宋体" w:eastAsia="宋体" w:cs="宋体"/>
          <w:sz w:val="21"/>
          <w:szCs w:val="21"/>
          <w:highlight w:val="none"/>
        </w:rPr>
        <w:t>初步方案</w:t>
      </w:r>
      <w:r>
        <w:rPr>
          <w:rFonts w:hint="eastAsia" w:ascii="宋体" w:hAnsi="宋体" w:eastAsia="宋体" w:cs="宋体"/>
          <w:sz w:val="21"/>
          <w:szCs w:val="21"/>
          <w:highlight w:val="none"/>
          <w:lang w:eastAsia="zh-CN"/>
        </w:rPr>
        <w:t>等</w:t>
      </w:r>
      <w:r>
        <w:rPr>
          <w:rFonts w:hint="eastAsia" w:ascii="宋体" w:hAnsi="宋体" w:eastAsia="宋体" w:cs="宋体"/>
          <w:color w:val="auto"/>
          <w:sz w:val="24"/>
          <w:szCs w:val="24"/>
          <w:highlight w:val="none"/>
        </w:rPr>
        <w:t>）</w:t>
      </w: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jc w:val="center"/>
        <w:outlineLvl w:val="2"/>
        <w:rPr>
          <w:rFonts w:ascii="宋体" w:hAnsi="宋体" w:eastAsia="宋体" w:cs="宋体"/>
          <w:b/>
          <w:color w:val="auto"/>
          <w:sz w:val="28"/>
          <w:szCs w:val="28"/>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bookmarkStart w:id="85" w:name="_Toc265510122"/>
    </w:p>
    <w:p>
      <w:pPr>
        <w:numPr>
          <w:ilvl w:val="0"/>
          <w:numId w:val="4"/>
        </w:num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报价书</w:t>
      </w:r>
    </w:p>
    <w:p>
      <w:pPr>
        <w:numPr>
          <w:ilvl w:val="-1"/>
          <w:numId w:val="0"/>
        </w:numPr>
        <w:jc w:val="both"/>
        <w:outlineLvl w:val="2"/>
        <w:rPr>
          <w:rFonts w:ascii="宋体" w:hAnsi="宋体" w:eastAsia="宋体" w:cs="宋体"/>
          <w:b/>
          <w:color w:val="auto"/>
          <w:sz w:val="28"/>
          <w:szCs w:val="28"/>
          <w:highlight w:val="none"/>
        </w:rPr>
      </w:pPr>
    </w:p>
    <w:bookmarkEnd w:id="85"/>
    <w:p>
      <w:pPr>
        <w:spacing w:line="380" w:lineRule="exact"/>
        <w:rPr>
          <w:rFonts w:ascii="宋体" w:hAnsi="宋体" w:eastAsia="宋体" w:cs="宋体"/>
          <w:color w:val="auto"/>
          <w:szCs w:val="21"/>
          <w:highlight w:val="none"/>
        </w:rPr>
      </w:pPr>
      <w:r>
        <w:rPr>
          <w:rFonts w:hint="eastAsia" w:ascii="宋体" w:hAnsi="宋体" w:eastAsia="宋体" w:cs="宋体"/>
          <w:b/>
          <w:color w:val="auto"/>
          <w:highlight w:val="none"/>
          <w:u w:val="single"/>
        </w:rPr>
        <w:t>致：</w:t>
      </w:r>
      <w:r>
        <w:rPr>
          <w:rFonts w:hint="eastAsia" w:ascii="宋体" w:hAnsi="宋体" w:eastAsia="宋体" w:cs="宋体"/>
          <w:b/>
          <w:color w:val="auto"/>
          <w:highlight w:val="none"/>
          <w:u w:val="single"/>
          <w:lang w:val="en-US" w:eastAsia="zh-CN"/>
        </w:rPr>
        <w:t>重庆高速公路集团有限公司联网收费结算中心</w:t>
      </w:r>
    </w:p>
    <w:p>
      <w:pPr>
        <w:numPr>
          <w:ilvl w:val="0"/>
          <w:numId w:val="5"/>
        </w:numPr>
        <w:spacing w:line="420" w:lineRule="exact"/>
        <w:ind w:firstLine="425" w:firstLineChars="185"/>
        <w:jc w:val="left"/>
        <w:rPr>
          <w:rFonts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我方已仔细研究了</w:t>
      </w:r>
      <w:r>
        <w:rPr>
          <w:rFonts w:hint="eastAsia" w:ascii="宋体" w:hAnsi="宋体" w:cs="宋体"/>
          <w:b/>
          <w:bCs/>
          <w:szCs w:val="21"/>
          <w:u w:val="single"/>
          <w:lang w:val="en-US" w:eastAsia="zh-CN"/>
        </w:rPr>
        <w:t>重庆高速公路集团有限公司联网收费结算中心</w:t>
      </w:r>
      <w:r>
        <w:rPr>
          <w:rFonts w:hint="eastAsia" w:ascii="宋体" w:hAnsi="宋体" w:eastAsia="宋体" w:cs="宋体"/>
          <w:b/>
          <w:bCs/>
          <w:color w:val="auto"/>
          <w:spacing w:val="10"/>
          <w:szCs w:val="21"/>
          <w:highlight w:val="none"/>
          <w:u w:val="single"/>
          <w:lang w:val="en-US" w:eastAsia="zh-CN"/>
        </w:rPr>
        <w:t>《</w:t>
      </w:r>
      <w:r>
        <w:rPr>
          <w:rFonts w:hint="eastAsia" w:ascii="宋体" w:hAnsi="宋体" w:eastAsia="宋体" w:cs="宋体"/>
          <w:b/>
          <w:color w:val="auto"/>
          <w:spacing w:val="10"/>
          <w:szCs w:val="21"/>
          <w:highlight w:val="none"/>
          <w:u w:val="single"/>
          <w:lang w:val="en-US" w:eastAsia="zh-CN"/>
        </w:rPr>
        <w:t>山水城·渝快行》书籍服务</w:t>
      </w:r>
      <w:r>
        <w:rPr>
          <w:rFonts w:hint="eastAsia" w:ascii="宋体" w:hAnsi="宋体" w:eastAsia="宋体" w:cs="宋体"/>
          <w:b/>
          <w:color w:val="auto"/>
          <w:spacing w:val="10"/>
          <w:szCs w:val="21"/>
          <w:highlight w:val="none"/>
          <w:u w:val="single"/>
        </w:rPr>
        <w:t>项目竞争性比选文件的全部内容，根据相关取费标准，愿意以竞标报价</w:t>
      </w:r>
      <w:r>
        <w:rPr>
          <w:rFonts w:hint="eastAsia" w:ascii="宋体" w:hAnsi="宋体" w:eastAsia="宋体" w:cs="宋体"/>
          <w:b/>
          <w:color w:val="auto"/>
          <w:spacing w:val="10"/>
          <w:szCs w:val="21"/>
          <w:highlight w:val="none"/>
          <w:u w:val="single"/>
          <w:lang w:val="en-US" w:eastAsia="zh-CN"/>
        </w:rPr>
        <w:t xml:space="preserve">         </w:t>
      </w:r>
      <w:r>
        <w:rPr>
          <w:rFonts w:hint="eastAsia" w:ascii="宋体" w:hAnsi="宋体" w:eastAsia="宋体" w:cs="宋体"/>
          <w:b/>
          <w:color w:val="auto"/>
          <w:spacing w:val="10"/>
          <w:szCs w:val="21"/>
          <w:highlight w:val="none"/>
          <w:u w:val="single"/>
        </w:rPr>
        <w:t xml:space="preserve">（大写） </w:t>
      </w:r>
      <w:r>
        <w:rPr>
          <w:rFonts w:hint="eastAsia" w:ascii="宋体" w:hAnsi="宋体" w:eastAsia="宋体" w:cs="宋体"/>
          <w:color w:val="auto"/>
          <w:spacing w:val="10"/>
          <w:szCs w:val="21"/>
          <w:highlight w:val="none"/>
        </w:rPr>
        <w:t>（¥</w:t>
      </w:r>
      <w:r>
        <w:rPr>
          <w:rFonts w:hint="eastAsia" w:ascii="宋体" w:hAnsi="宋体" w:eastAsia="宋体" w:cs="宋体"/>
          <w:color w:val="auto"/>
          <w:spacing w:val="10"/>
          <w:szCs w:val="21"/>
          <w:highlight w:val="none"/>
          <w:u w:val="single"/>
        </w:rPr>
        <w:t xml:space="preserve">      </w:t>
      </w:r>
      <w:r>
        <w:rPr>
          <w:rFonts w:hint="eastAsia" w:ascii="宋体" w:hAnsi="宋体" w:eastAsia="宋体" w:cs="宋体"/>
          <w:color w:val="auto"/>
          <w:spacing w:val="10"/>
          <w:szCs w:val="21"/>
          <w:highlight w:val="none"/>
          <w:u w:val="single"/>
          <w:lang w:val="en-US" w:eastAsia="zh-CN"/>
        </w:rPr>
        <w:t xml:space="preserve">   </w:t>
      </w:r>
      <w:r>
        <w:rPr>
          <w:rFonts w:hint="eastAsia" w:ascii="宋体" w:hAnsi="宋体" w:eastAsia="宋体" w:cs="宋体"/>
          <w:color w:val="auto"/>
          <w:spacing w:val="10"/>
          <w:szCs w:val="21"/>
          <w:highlight w:val="none"/>
          <w:u w:val="single"/>
        </w:rPr>
        <w:t>元</w:t>
      </w:r>
      <w:r>
        <w:rPr>
          <w:rFonts w:hint="eastAsia" w:ascii="宋体" w:hAnsi="宋体" w:eastAsia="宋体" w:cs="宋体"/>
          <w:color w:val="auto"/>
          <w:spacing w:val="10"/>
          <w:szCs w:val="21"/>
          <w:highlight w:val="none"/>
        </w:rPr>
        <w:t>）</w:t>
      </w:r>
      <w:r>
        <w:rPr>
          <w:rFonts w:hint="eastAsia" w:ascii="宋体" w:hAnsi="宋体" w:eastAsia="宋体" w:cs="宋体"/>
          <w:color w:val="auto"/>
          <w:spacing w:val="10"/>
          <w:szCs w:val="21"/>
          <w:highlight w:val="none"/>
          <w:lang w:val="en-US" w:eastAsia="zh-CN"/>
        </w:rPr>
        <w:t xml:space="preserve">       </w:t>
      </w:r>
    </w:p>
    <w:p>
      <w:pPr>
        <w:spacing w:line="42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2．工期：</w:t>
      </w:r>
      <w:r>
        <w:rPr>
          <w:rFonts w:hint="eastAsia" w:ascii="宋体" w:hAnsi="宋体" w:eastAsia="宋体" w:cs="宋体"/>
          <w:color w:val="auto"/>
          <w:szCs w:val="21"/>
          <w:highlight w:val="none"/>
          <w:lang w:val="en-US" w:eastAsia="zh-CN"/>
        </w:rPr>
        <w:t>按照招标人要求</w:t>
      </w:r>
      <w:r>
        <w:rPr>
          <w:rFonts w:hint="eastAsia" w:ascii="宋体" w:hAnsi="宋体" w:eastAsia="宋体" w:cs="宋体"/>
          <w:color w:val="auto"/>
          <w:szCs w:val="21"/>
          <w:highlight w:val="none"/>
        </w:rPr>
        <w:t>完成。</w:t>
      </w:r>
    </w:p>
    <w:p>
      <w:pPr>
        <w:spacing w:line="4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我方承诺在竞标有效期内不修改、撤销竞争性比选申请文件。</w:t>
      </w:r>
    </w:p>
    <w:p>
      <w:pPr>
        <w:spacing w:line="4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我方在此声明，所递交的竞争性比选申请文件及有关资料内容完整、真实和准确。</w:t>
      </w:r>
    </w:p>
    <w:p>
      <w:pPr>
        <w:spacing w:line="4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5．在合同协议书正式签署生效之前，本报价书连同你方的成交通知书将构成我们双方之间共同遵守的文件。对双方具有约束力。</w:t>
      </w:r>
    </w:p>
    <w:p>
      <w:pPr>
        <w:pStyle w:val="5"/>
        <w:rPr>
          <w:rFonts w:ascii="宋体" w:hAnsi="宋体" w:eastAsia="宋体" w:cs="宋体"/>
          <w:color w:val="auto"/>
          <w:highlight w:val="none"/>
        </w:rPr>
      </w:pPr>
    </w:p>
    <w:p>
      <w:pPr>
        <w:spacing w:line="320" w:lineRule="exact"/>
        <w:ind w:firstLine="420" w:firstLineChars="200"/>
        <w:rPr>
          <w:rFonts w:ascii="宋体" w:hAnsi="宋体" w:eastAsia="宋体" w:cs="宋体"/>
          <w:color w:val="auto"/>
          <w:szCs w:val="21"/>
          <w:highlight w:val="none"/>
        </w:rPr>
      </w:pPr>
    </w:p>
    <w:p>
      <w:pPr>
        <w:spacing w:line="440" w:lineRule="exact"/>
        <w:ind w:firstLine="3675" w:firstLineChars="1750"/>
        <w:rPr>
          <w:rFonts w:hint="eastAsia" w:ascii="宋体" w:hAnsi="宋体" w:eastAsia="宋体" w:cs="宋体"/>
          <w:color w:val="auto"/>
          <w:szCs w:val="21"/>
          <w:highlight w:val="none"/>
        </w:rPr>
      </w:pPr>
    </w:p>
    <w:p>
      <w:pPr>
        <w:spacing w:line="440" w:lineRule="exact"/>
        <w:ind w:firstLine="3675" w:firstLineChars="1750"/>
        <w:rPr>
          <w:rFonts w:hint="eastAsia" w:ascii="宋体" w:hAnsi="宋体" w:eastAsia="宋体" w:cs="宋体"/>
          <w:color w:val="auto"/>
          <w:szCs w:val="21"/>
          <w:highlight w:val="none"/>
        </w:rPr>
      </w:pP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比选申请人：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p>
    <w:p>
      <w:pPr>
        <w:wordWrap w:val="0"/>
        <w:spacing w:line="400" w:lineRule="atLeast"/>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outlineLvl w:val="1"/>
        <w:rPr>
          <w:rFonts w:ascii="宋体" w:hAnsi="宋体" w:eastAsia="宋体" w:cs="宋体"/>
          <w:b/>
          <w:color w:val="auto"/>
          <w:sz w:val="28"/>
          <w:szCs w:val="28"/>
          <w:highlight w:val="none"/>
        </w:rPr>
        <w:sectPr>
          <w:pgSz w:w="11906" w:h="16838"/>
          <w:pgMar w:top="1418" w:right="1361" w:bottom="1418" w:left="1361" w:header="851" w:footer="992" w:gutter="0"/>
          <w:cols w:space="720" w:num="1"/>
          <w:docGrid w:type="lines" w:linePitch="312" w:charSpace="0"/>
        </w:sectPr>
      </w:pPr>
    </w:p>
    <w:p>
      <w:pPr>
        <w:jc w:val="center"/>
        <w:rPr>
          <w:rFonts w:ascii="宋体" w:hAnsi="宋体" w:cs="宋体"/>
          <w:b/>
        </w:rPr>
      </w:pPr>
      <w:bookmarkStart w:id="86" w:name="_Toc11329275"/>
      <w:r>
        <w:rPr>
          <w:rFonts w:hint="eastAsia" w:ascii="宋体" w:hAnsi="宋体" w:cs="宋体"/>
          <w:b/>
          <w:bCs/>
          <w:kern w:val="0"/>
          <w:sz w:val="28"/>
          <w:szCs w:val="32"/>
          <w:lang w:eastAsia="zh-CN"/>
        </w:rPr>
        <w:t>二</w:t>
      </w:r>
      <w:r>
        <w:rPr>
          <w:rFonts w:hint="eastAsia" w:ascii="宋体" w:hAnsi="宋体" w:cs="宋体"/>
          <w:b/>
          <w:bCs/>
          <w:kern w:val="0"/>
          <w:sz w:val="28"/>
          <w:szCs w:val="32"/>
        </w:rPr>
        <w:t>、</w:t>
      </w:r>
      <w:bookmarkEnd w:id="86"/>
      <w:r>
        <w:rPr>
          <w:rFonts w:hint="eastAsia" w:ascii="宋体" w:hAnsi="宋体" w:cs="宋体"/>
          <w:b/>
          <w:bCs/>
          <w:kern w:val="0"/>
          <w:sz w:val="28"/>
          <w:szCs w:val="32"/>
        </w:rPr>
        <w:t>报价一览表</w:t>
      </w:r>
    </w:p>
    <w:p>
      <w:pPr>
        <w:ind w:left="765"/>
        <w:jc w:val="center"/>
        <w:rPr>
          <w:rFonts w:ascii="宋体" w:hAnsi="宋体" w:cs="宋体"/>
          <w:szCs w:val="21"/>
        </w:rPr>
      </w:pPr>
    </w:p>
    <w:p>
      <w:pPr>
        <w:pStyle w:val="14"/>
        <w:jc w:val="both"/>
        <w:rPr>
          <w:rFonts w:hAnsi="宋体"/>
        </w:rPr>
      </w:pPr>
      <w:r>
        <w:rPr>
          <w:rFonts w:hint="eastAsia" w:ascii="宋体" w:hAnsi="宋体" w:eastAsia="宋体"/>
        </w:rPr>
        <w:t>重庆高速公路集团有限公司联网收费结算中心</w:t>
      </w:r>
      <w:r>
        <w:rPr>
          <w:rFonts w:hint="eastAsia" w:hAnsi="宋体"/>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lang w:val="en-US" w:eastAsia="zh-CN"/>
        </w:rPr>
        <w:t>《山水城·渝快行》书籍服务</w:t>
      </w:r>
      <w:r>
        <w:rPr>
          <w:rFonts w:hint="eastAsia" w:ascii="宋体" w:hAnsi="宋体"/>
          <w:color w:val="000000"/>
          <w:sz w:val="24"/>
        </w:rPr>
        <w:t>项目竞</w:t>
      </w:r>
      <w:r>
        <w:rPr>
          <w:rFonts w:hint="eastAsia" w:ascii="Arial" w:hAnsi="Arial" w:cs="Arial"/>
          <w:color w:val="000000"/>
          <w:sz w:val="24"/>
        </w:rPr>
        <w:t>争比选响应</w:t>
      </w:r>
      <w:r>
        <w:rPr>
          <w:rFonts w:hint="eastAsia" w:ascii="宋体" w:hAnsi="宋体"/>
          <w:color w:val="000000"/>
          <w:sz w:val="24"/>
        </w:rPr>
        <w:t>报价如下：</w:t>
      </w:r>
    </w:p>
    <w:p>
      <w:pPr>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费用报价清单</w:t>
      </w:r>
    </w:p>
    <w:p>
      <w:pPr>
        <w:jc w:val="right"/>
        <w:rPr>
          <w:color w:val="auto"/>
          <w:szCs w:val="21"/>
          <w:highlight w:val="none"/>
        </w:rPr>
      </w:pPr>
      <w:r>
        <w:rPr>
          <w:rFonts w:hint="eastAsia"/>
          <w:color w:val="auto"/>
          <w:szCs w:val="21"/>
          <w:highlight w:val="none"/>
        </w:rPr>
        <w:t>单位：元</w:t>
      </w:r>
    </w:p>
    <w:tbl>
      <w:tblPr>
        <w:tblStyle w:val="15"/>
        <w:tblW w:w="9039" w:type="dxa"/>
        <w:tblInd w:w="-318" w:type="dxa"/>
        <w:tblLayout w:type="fixed"/>
        <w:tblCellMar>
          <w:top w:w="0" w:type="dxa"/>
          <w:left w:w="108" w:type="dxa"/>
          <w:bottom w:w="0" w:type="dxa"/>
          <w:right w:w="108" w:type="dxa"/>
        </w:tblCellMar>
      </w:tblPr>
      <w:tblGrid>
        <w:gridCol w:w="1147"/>
        <w:gridCol w:w="1694"/>
        <w:gridCol w:w="2478"/>
        <w:gridCol w:w="1665"/>
        <w:gridCol w:w="2055"/>
      </w:tblGrid>
      <w:tr>
        <w:tblPrEx>
          <w:tblCellMar>
            <w:top w:w="0" w:type="dxa"/>
            <w:left w:w="108" w:type="dxa"/>
            <w:bottom w:w="0" w:type="dxa"/>
            <w:right w:w="108" w:type="dxa"/>
          </w:tblCellMar>
        </w:tblPrEx>
        <w:trPr>
          <w:trHeight w:val="680" w:hRule="exact"/>
        </w:trPr>
        <w:tc>
          <w:tcPr>
            <w:tcW w:w="11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工作名称</w:t>
            </w:r>
          </w:p>
        </w:tc>
        <w:tc>
          <w:tcPr>
            <w:tcW w:w="2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工作内容</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费用（元）</w:t>
            </w:r>
          </w:p>
        </w:tc>
        <w:tc>
          <w:tcPr>
            <w:tcW w:w="2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105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rPr>
            </w:pPr>
          </w:p>
        </w:tc>
        <w:tc>
          <w:tcPr>
            <w:tcW w:w="2478"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center"/>
          </w:tcPr>
          <w:p>
            <w:pPr>
              <w:widowControl/>
              <w:rPr>
                <w:rFonts w:hint="default" w:ascii="仿宋" w:hAnsi="仿宋" w:eastAsia="仿宋" w:cs="宋体"/>
                <w:color w:val="auto"/>
                <w:kern w:val="0"/>
                <w:szCs w:val="21"/>
                <w:highlight w:val="none"/>
                <w:lang w:val="en-US" w:eastAsia="zh-CN"/>
              </w:rPr>
            </w:pPr>
          </w:p>
        </w:tc>
      </w:tr>
      <w:tr>
        <w:tblPrEx>
          <w:tblCellMar>
            <w:top w:w="0" w:type="dxa"/>
            <w:left w:w="108" w:type="dxa"/>
            <w:bottom w:w="0" w:type="dxa"/>
            <w:right w:w="108" w:type="dxa"/>
          </w:tblCellMar>
        </w:tblPrEx>
        <w:trPr>
          <w:trHeight w:val="121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top"/>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896"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p>
        </w:tc>
        <w:tc>
          <w:tcPr>
            <w:tcW w:w="169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0" w:firstLineChars="0"/>
              <w:rPr>
                <w:rFonts w:hint="eastAsia" w:ascii="仿宋" w:hAnsi="仿宋" w:eastAsia="宋体" w:cs="宋体"/>
                <w:color w:val="auto"/>
                <w:kern w:val="0"/>
                <w:szCs w:val="21"/>
                <w:highlight w:val="none"/>
                <w:lang w:val="en-US" w:eastAsia="zh-CN"/>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p>
        </w:tc>
        <w:tc>
          <w:tcPr>
            <w:tcW w:w="1694"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p>
        </w:tc>
        <w:tc>
          <w:tcPr>
            <w:tcW w:w="1694"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p>
        </w:tc>
        <w:tc>
          <w:tcPr>
            <w:tcW w:w="1694"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78"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53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合</w:t>
            </w:r>
            <w:r>
              <w:rPr>
                <w:rFonts w:hint="eastAsia" w:ascii="仿宋" w:hAnsi="仿宋" w:eastAsia="仿宋" w:cs="宋体"/>
                <w:color w:val="auto"/>
                <w:kern w:val="0"/>
                <w:szCs w:val="21"/>
                <w:highlight w:val="none"/>
                <w:lang w:val="en-US" w:eastAsia="zh-CN"/>
              </w:rPr>
              <w:t xml:space="preserve"> </w:t>
            </w:r>
            <w:r>
              <w:rPr>
                <w:rFonts w:hint="eastAsia" w:ascii="仿宋" w:hAnsi="仿宋" w:eastAsia="仿宋" w:cs="宋体"/>
                <w:color w:val="auto"/>
                <w:kern w:val="0"/>
                <w:szCs w:val="21"/>
                <w:highlight w:val="none"/>
              </w:rPr>
              <w:t>计</w:t>
            </w:r>
          </w:p>
        </w:tc>
        <w:tc>
          <w:tcPr>
            <w:tcW w:w="166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2055"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r>
    </w:tbl>
    <w:p>
      <w:pPr>
        <w:spacing w:line="440" w:lineRule="exact"/>
        <w:jc w:val="center"/>
        <w:outlineLvl w:val="1"/>
        <w:rPr>
          <w:rFonts w:hint="eastAsia" w:ascii="宋体" w:hAnsi="宋体" w:eastAsia="宋体" w:cs="宋体"/>
          <w:b/>
          <w:color w:val="auto"/>
          <w:sz w:val="28"/>
          <w:szCs w:val="28"/>
          <w:highlight w:val="none"/>
        </w:rPr>
      </w:pPr>
    </w:p>
    <w:p>
      <w:pPr>
        <w:spacing w:line="440" w:lineRule="exact"/>
        <w:jc w:val="center"/>
        <w:outlineLvl w:val="1"/>
        <w:rPr>
          <w:rFonts w:hint="eastAsia" w:ascii="宋体" w:hAnsi="宋体" w:eastAsia="宋体" w:cs="宋体"/>
          <w:b/>
          <w:color w:val="auto"/>
          <w:sz w:val="28"/>
          <w:szCs w:val="28"/>
          <w:highlight w:val="none"/>
        </w:rPr>
      </w:pPr>
    </w:p>
    <w:p>
      <w:pPr>
        <w:spacing w:line="440" w:lineRule="exact"/>
        <w:jc w:val="center"/>
        <w:outlineLvl w:val="1"/>
        <w:rPr>
          <w:rFonts w:hint="eastAsia" w:ascii="宋体" w:hAnsi="宋体" w:eastAsia="宋体" w:cs="宋体"/>
          <w:b/>
          <w:color w:val="auto"/>
          <w:sz w:val="28"/>
          <w:szCs w:val="28"/>
          <w:highlight w:val="none"/>
        </w:rPr>
      </w:pPr>
    </w:p>
    <w:p>
      <w:pPr>
        <w:spacing w:line="440" w:lineRule="exact"/>
        <w:jc w:val="center"/>
        <w:outlineLvl w:val="1"/>
        <w:rPr>
          <w:rFonts w:hint="eastAsia" w:ascii="宋体" w:hAnsi="宋体" w:eastAsia="宋体" w:cs="宋体"/>
          <w:b/>
          <w:color w:val="auto"/>
          <w:sz w:val="28"/>
          <w:szCs w:val="28"/>
          <w:highlight w:val="none"/>
        </w:rPr>
      </w:pPr>
    </w:p>
    <w:p>
      <w:pPr>
        <w:spacing w:line="440" w:lineRule="exact"/>
        <w:jc w:val="center"/>
        <w:outlineLvl w:val="1"/>
        <w:rPr>
          <w:rFonts w:hint="eastAsia" w:ascii="宋体" w:hAnsi="宋体" w:eastAsia="宋体" w:cs="宋体"/>
          <w:b/>
          <w:color w:val="auto"/>
          <w:sz w:val="28"/>
          <w:szCs w:val="28"/>
          <w:highlight w:val="none"/>
        </w:rPr>
      </w:pPr>
    </w:p>
    <w:p>
      <w:pPr>
        <w:spacing w:line="440" w:lineRule="exact"/>
        <w:jc w:val="center"/>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、法定代表人身份证明及授权委托书</w:t>
      </w:r>
    </w:p>
    <w:p>
      <w:pPr>
        <w:spacing w:line="440" w:lineRule="exact"/>
        <w:rPr>
          <w:rFonts w:ascii="宋体" w:hAnsi="宋体" w:eastAsia="宋体" w:cs="宋体"/>
          <w:color w:val="auto"/>
          <w:sz w:val="20"/>
          <w:highlight w:val="none"/>
        </w:rPr>
      </w:pPr>
    </w:p>
    <w:p>
      <w:pPr>
        <w:topLinePunct/>
        <w:spacing w:line="440" w:lineRule="exact"/>
        <w:ind w:firstLine="422" w:firstLineChars="200"/>
        <w:jc w:val="center"/>
        <w:outlineLvl w:val="2"/>
        <w:rPr>
          <w:rFonts w:ascii="宋体" w:hAnsi="宋体" w:eastAsia="宋体" w:cs="宋体"/>
          <w:b/>
          <w:color w:val="auto"/>
          <w:szCs w:val="21"/>
          <w:highlight w:val="none"/>
        </w:rPr>
      </w:pPr>
      <w:bookmarkStart w:id="87" w:name="_Toc262547328"/>
      <w:r>
        <w:rPr>
          <w:rFonts w:hint="eastAsia" w:ascii="宋体" w:hAnsi="宋体" w:eastAsia="宋体" w:cs="宋体"/>
          <w:b/>
          <w:color w:val="auto"/>
          <w:szCs w:val="21"/>
          <w:highlight w:val="none"/>
        </w:rPr>
        <w:t>（一）法定代表人身份证明</w:t>
      </w:r>
      <w:bookmarkEnd w:id="87"/>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比选申请人名称：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姓名： </w:t>
      </w:r>
      <w:r>
        <w:rPr>
          <w:rFonts w:hint="eastAsia" w:ascii="宋体" w:hAnsi="宋体" w:eastAsia="宋体" w:cs="宋体"/>
          <w:color w:val="auto"/>
          <w:szCs w:val="21"/>
          <w:highlight w:val="none"/>
          <w:u w:val="single"/>
        </w:rPr>
        <w:t xml:space="preserve">      （法人手签）</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（比选申请人名称）的法定代表人。</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附：法定代表人身份证明。</w:t>
      </w: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比选申请人：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pStyle w:val="5"/>
        <w:rPr>
          <w:color w:val="auto"/>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ind w:firstLine="105" w:firstLineChars="50"/>
        <w:rPr>
          <w:rFonts w:ascii="宋体" w:hAnsi="宋体" w:eastAsia="宋体" w:cs="宋体"/>
          <w:color w:val="auto"/>
          <w:szCs w:val="21"/>
          <w:highlight w:val="none"/>
        </w:rPr>
      </w:pPr>
    </w:p>
    <w:p>
      <w:pPr>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注：法定代表人的签字必须是亲笔签名，不得用印章、签名章或其他电子制版签名。</w:t>
      </w:r>
    </w:p>
    <w:p>
      <w:pPr>
        <w:ind w:firstLine="105" w:firstLineChars="50"/>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ind w:firstLine="105" w:firstLineChars="50"/>
        <w:rPr>
          <w:rFonts w:ascii="宋体" w:hAnsi="宋体" w:eastAsia="宋体" w:cs="宋体"/>
          <w:color w:val="auto"/>
          <w:szCs w:val="21"/>
          <w:highlight w:val="none"/>
        </w:rPr>
      </w:pPr>
    </w:p>
    <w:p>
      <w:pPr>
        <w:pStyle w:val="5"/>
        <w:rPr>
          <w:rFonts w:ascii="宋体" w:hAnsi="宋体" w:eastAsia="宋体" w:cs="宋体"/>
          <w:color w:val="auto"/>
          <w:highlight w:val="none"/>
        </w:rPr>
      </w:pPr>
    </w:p>
    <w:p>
      <w:pPr>
        <w:ind w:firstLine="105" w:firstLineChars="50"/>
        <w:rPr>
          <w:rFonts w:ascii="宋体" w:hAnsi="宋体" w:eastAsia="宋体" w:cs="宋体"/>
          <w:color w:val="auto"/>
          <w:szCs w:val="21"/>
          <w:highlight w:val="none"/>
        </w:rPr>
      </w:pPr>
    </w:p>
    <w:p>
      <w:pPr>
        <w:topLinePunct/>
        <w:spacing w:line="440" w:lineRule="exact"/>
        <w:ind w:firstLine="400" w:firstLineChars="200"/>
        <w:jc w:val="center"/>
        <w:outlineLvl w:val="2"/>
        <w:rPr>
          <w:rFonts w:ascii="宋体" w:hAnsi="宋体" w:eastAsia="宋体" w:cs="宋体"/>
          <w:b/>
          <w:color w:val="auto"/>
          <w:szCs w:val="21"/>
          <w:highlight w:val="none"/>
        </w:rPr>
      </w:pPr>
      <w:r>
        <w:rPr>
          <w:rFonts w:hint="eastAsia" w:ascii="宋体" w:hAnsi="宋体" w:eastAsia="宋体" w:cs="宋体"/>
          <w:color w:val="auto"/>
          <w:sz w:val="20"/>
          <w:highlight w:val="none"/>
        </w:rPr>
        <w:br w:type="page"/>
      </w:r>
      <w:bookmarkStart w:id="88" w:name="_Toc262547329"/>
      <w:r>
        <w:rPr>
          <w:rFonts w:hint="eastAsia" w:ascii="宋体" w:hAnsi="宋体" w:eastAsia="宋体" w:cs="宋体"/>
          <w:b/>
          <w:color w:val="auto"/>
          <w:szCs w:val="21"/>
          <w:highlight w:val="none"/>
        </w:rPr>
        <w:t>（二）授权委托书</w:t>
      </w:r>
      <w:bookmarkEnd w:id="88"/>
      <w:r>
        <w:rPr>
          <w:rFonts w:hint="eastAsia" w:ascii="宋体" w:hAnsi="宋体" w:eastAsia="宋体" w:cs="宋体"/>
          <w:b/>
          <w:color w:val="auto"/>
          <w:szCs w:val="21"/>
          <w:highlight w:val="none"/>
        </w:rPr>
        <w:t xml:space="preserve"> </w:t>
      </w: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比选申请人</w:t>
      </w:r>
      <w:r>
        <w:rPr>
          <w:rFonts w:hint="eastAsia" w:ascii="宋体" w:hAnsi="宋体" w:eastAsia="宋体" w:cs="宋体"/>
          <w:color w:val="auto"/>
          <w:kern w:val="0"/>
          <w:szCs w:val="21"/>
          <w:highlight w:val="none"/>
        </w:rPr>
        <w:t>名称</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（姓名）为我方代理人。代理人根据授权，以我方名义签署、澄清、说明、补正、递交、撤回、修改</w:t>
      </w:r>
      <w:r>
        <w:rPr>
          <w:rFonts w:hint="eastAsia" w:ascii="宋体" w:hAnsi="宋体" w:eastAsia="宋体" w:cs="宋体"/>
          <w:color w:val="auto"/>
          <w:kern w:val="0"/>
          <w:szCs w:val="21"/>
          <w:highlight w:val="none"/>
          <w:u w:val="single"/>
        </w:rPr>
        <w:t xml:space="preserve"> </w:t>
      </w:r>
      <w:r>
        <w:rPr>
          <w:rFonts w:hint="eastAsia" w:ascii="宋体" w:hAnsi="宋体" w:cs="宋体"/>
          <w:szCs w:val="21"/>
          <w:u w:val="single"/>
          <w:lang w:val="en-US" w:eastAsia="zh-CN"/>
        </w:rPr>
        <w:t>重庆高速公路集团有限公司联网收费结算中心</w:t>
      </w:r>
      <w:r>
        <w:rPr>
          <w:rFonts w:hint="eastAsia"/>
          <w:color w:val="auto"/>
          <w:szCs w:val="21"/>
          <w:highlight w:val="none"/>
          <w:u w:val="single"/>
          <w:lang w:val="en-US" w:eastAsia="zh-CN"/>
        </w:rPr>
        <w:t>《山水城·愉快行》书籍服务</w:t>
      </w:r>
      <w:r>
        <w:rPr>
          <w:rFonts w:hint="eastAsia" w:ascii="宋体" w:hAnsi="宋体" w:eastAsia="宋体" w:cs="宋体"/>
          <w:color w:val="auto"/>
          <w:kern w:val="0"/>
          <w:szCs w:val="21"/>
          <w:highlight w:val="none"/>
          <w:u w:val="single"/>
        </w:rPr>
        <w:t>项目</w:t>
      </w:r>
      <w:r>
        <w:rPr>
          <w:rFonts w:hint="eastAsia" w:ascii="宋体" w:hAnsi="宋体" w:eastAsia="宋体" w:cs="宋体"/>
          <w:color w:val="auto"/>
          <w:kern w:val="0"/>
          <w:szCs w:val="21"/>
          <w:highlight w:val="none"/>
        </w:rPr>
        <w:t>报价书报价、签订合同和处理有关事宜，其法律后果由我方承担。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附：法定代表人身份证明及委托代理人身份证明。</w:t>
      </w:r>
    </w:p>
    <w:p>
      <w:pPr>
        <w:autoSpaceDE w:val="0"/>
        <w:autoSpaceDN w:val="0"/>
        <w:adjustRightInd w:val="0"/>
        <w:snapToGrid w:val="0"/>
        <w:spacing w:line="360" w:lineRule="auto"/>
        <w:jc w:val="left"/>
        <w:rPr>
          <w:rFonts w:ascii="宋体" w:hAnsi="宋体" w:eastAsia="宋体" w:cs="宋体"/>
          <w:color w:val="auto"/>
          <w:kern w:val="0"/>
          <w:sz w:val="12"/>
          <w:szCs w:val="12"/>
          <w:highlight w:val="none"/>
        </w:rPr>
      </w:pP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比选申请人：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w:t>
      </w:r>
      <w:r>
        <w:rPr>
          <w:rFonts w:hint="eastAsia" w:ascii="宋体" w:hAnsi="宋体" w:eastAsia="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w:t>
      </w:r>
      <w:r>
        <w:rPr>
          <w:rFonts w:hint="eastAsia" w:ascii="宋体" w:hAnsi="宋体" w:eastAsia="宋体" w:cs="宋体"/>
          <w:color w:val="auto"/>
          <w:spacing w:val="-1"/>
          <w:kern w:val="0"/>
          <w:szCs w:val="21"/>
          <w:highlight w:val="none"/>
        </w:rPr>
        <w:t>字</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p>
      <w:pPr>
        <w:autoSpaceDE w:val="0"/>
        <w:autoSpaceDN w:val="0"/>
        <w:adjustRightInd w:val="0"/>
        <w:snapToGrid w:val="0"/>
        <w:spacing w:line="360" w:lineRule="auto"/>
        <w:jc w:val="left"/>
        <w:rPr>
          <w:rFonts w:ascii="宋体" w:hAnsi="宋体" w:eastAsia="宋体" w:cs="宋体"/>
          <w:color w:val="auto"/>
          <w:kern w:val="0"/>
          <w:highlight w:val="none"/>
        </w:rPr>
      </w:pPr>
    </w:p>
    <w:p>
      <w:pPr>
        <w:rPr>
          <w:rFonts w:ascii="宋体" w:hAnsi="宋体" w:eastAsia="宋体" w:cs="宋体"/>
          <w:color w:val="auto"/>
          <w:highlight w:val="non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600" w:lineRule="exact"/>
        <w:rPr>
          <w:rFonts w:ascii="宋体" w:hAnsi="宋体" w:eastAsia="宋体" w:cs="宋体"/>
          <w:color w:val="auto"/>
          <w:sz w:val="28"/>
          <w:szCs w:val="28"/>
          <w:highlight w:val="none"/>
        </w:rPr>
      </w:pPr>
    </w:p>
    <w:p>
      <w:pPr>
        <w:spacing w:line="600" w:lineRule="exact"/>
        <w:rPr>
          <w:rFonts w:ascii="宋体" w:hAnsi="宋体" w:eastAsia="宋体" w:cs="宋体"/>
          <w:color w:val="auto"/>
          <w:sz w:val="28"/>
          <w:szCs w:val="28"/>
          <w:highlight w:val="none"/>
        </w:rPr>
      </w:pPr>
    </w:p>
    <w:p>
      <w:pPr>
        <w:pStyle w:val="2"/>
        <w:rPr>
          <w:rFonts w:ascii="宋体" w:hAnsi="宋体" w:eastAsia="宋体" w:cs="宋体"/>
          <w:color w:val="auto"/>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pStyle w:val="4"/>
        <w:spacing w:before="0" w:after="0" w:line="360" w:lineRule="auto"/>
        <w:jc w:val="center"/>
        <w:rPr>
          <w:rFonts w:ascii="宋体" w:hAnsi="宋体" w:eastAsia="宋体" w:cs="宋体"/>
          <w:sz w:val="28"/>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w:t>
      </w:r>
      <w:r>
        <w:rPr>
          <w:rFonts w:hint="eastAsia" w:ascii="宋体" w:hAnsi="宋体" w:eastAsia="宋体" w:cs="宋体"/>
          <w:sz w:val="28"/>
        </w:rPr>
        <w:t>资格审查资料</w:t>
      </w:r>
    </w:p>
    <w:p>
      <w:pPr>
        <w:tabs>
          <w:tab w:val="left" w:pos="900"/>
          <w:tab w:val="left" w:pos="1080"/>
        </w:tabs>
        <w:spacing w:line="300" w:lineRule="auto"/>
        <w:jc w:val="center"/>
        <w:outlineLvl w:val="0"/>
        <w:rPr>
          <w:rFonts w:hint="default" w:ascii="宋体" w:hAnsi="宋体" w:eastAsia="宋体" w:cs="宋体"/>
          <w:b/>
          <w:color w:val="auto"/>
          <w:sz w:val="28"/>
          <w:szCs w:val="28"/>
          <w:highlight w:val="none"/>
          <w:lang w:val="en-US" w:eastAsia="zh-CN"/>
        </w:rPr>
      </w:pPr>
      <w:bookmarkStart w:id="89" w:name="_Toc32456"/>
      <w:bookmarkStart w:id="90" w:name="_Toc17915"/>
      <w:bookmarkStart w:id="91" w:name="_Toc22003"/>
      <w:r>
        <w:rPr>
          <w:rFonts w:hint="eastAsia" w:ascii="宋体" w:hAnsi="宋体" w:eastAsia="宋体" w:cs="宋体"/>
          <w:sz w:val="28"/>
        </w:rPr>
        <w:t>（营业执照、</w:t>
      </w:r>
      <w:r>
        <w:rPr>
          <w:rFonts w:hint="eastAsia" w:ascii="宋体" w:hAnsi="宋体" w:eastAsia="宋体" w:cs="宋体"/>
          <w:sz w:val="28"/>
          <w:lang w:val="en-US" w:eastAsia="zh-CN"/>
        </w:rPr>
        <w:t>业绩</w:t>
      </w:r>
      <w:r>
        <w:rPr>
          <w:rFonts w:hint="eastAsia" w:ascii="宋体" w:hAnsi="宋体" w:eastAsia="宋体" w:cs="宋体"/>
          <w:sz w:val="28"/>
        </w:rPr>
        <w:t>资料等）</w:t>
      </w:r>
      <w:bookmarkEnd w:id="89"/>
      <w:bookmarkEnd w:id="90"/>
      <w:bookmarkEnd w:id="91"/>
    </w:p>
    <w:p>
      <w:pPr>
        <w:pStyle w:val="18"/>
        <w:numPr>
          <w:ilvl w:val="0"/>
          <w:numId w:val="6"/>
        </w:numPr>
        <w:ind w:firstLineChars="0"/>
        <w:rPr>
          <w:sz w:val="28"/>
          <w:szCs w:val="28"/>
        </w:rPr>
      </w:pPr>
      <w:bookmarkStart w:id="92" w:name="_Hlk92869661"/>
      <w:r>
        <w:rPr>
          <w:rFonts w:hint="eastAsia"/>
          <w:sz w:val="28"/>
          <w:szCs w:val="28"/>
        </w:rPr>
        <w:t>营业执照</w:t>
      </w:r>
    </w:p>
    <w:p>
      <w:pPr>
        <w:rPr>
          <w:szCs w:val="21"/>
        </w:rPr>
      </w:pPr>
      <w:r>
        <w:rPr>
          <w:rFonts w:hint="eastAsia"/>
          <w:szCs w:val="21"/>
        </w:rPr>
        <w:t>注：请附营业执照复印件或扫描件，并加盖报价人公章；</w:t>
      </w:r>
    </w:p>
    <w:p>
      <w:pPr>
        <w:rPr>
          <w:sz w:val="28"/>
          <w:szCs w:val="28"/>
        </w:rPr>
      </w:pPr>
    </w:p>
    <w:p>
      <w:pPr>
        <w:rPr>
          <w:sz w:val="28"/>
          <w:szCs w:val="28"/>
        </w:rPr>
      </w:pPr>
    </w:p>
    <w:p>
      <w:pPr>
        <w:pStyle w:val="6"/>
      </w:pPr>
    </w:p>
    <w:p>
      <w:pPr>
        <w:rPr>
          <w:sz w:val="28"/>
          <w:szCs w:val="28"/>
        </w:rPr>
      </w:pPr>
    </w:p>
    <w:p>
      <w:pPr>
        <w:pStyle w:val="18"/>
        <w:numPr>
          <w:ilvl w:val="0"/>
          <w:numId w:val="6"/>
        </w:numPr>
        <w:ind w:firstLineChars="0"/>
        <w:rPr>
          <w:sz w:val="28"/>
          <w:szCs w:val="28"/>
        </w:rPr>
      </w:pPr>
      <w:r>
        <w:rPr>
          <w:rFonts w:hint="eastAsia"/>
          <w:sz w:val="28"/>
          <w:szCs w:val="28"/>
        </w:rPr>
        <w:t>业绩要求</w:t>
      </w:r>
    </w:p>
    <w:p>
      <w:pPr>
        <w:spacing w:line="420" w:lineRule="exact"/>
        <w:ind w:firstLine="315" w:firstLineChars="150"/>
        <w:jc w:val="left"/>
        <w:rPr>
          <w:szCs w:val="21"/>
        </w:rPr>
      </w:pPr>
      <w:r>
        <w:rPr>
          <w:rFonts w:hint="eastAsia"/>
          <w:szCs w:val="21"/>
        </w:rPr>
        <w:t>注：</w:t>
      </w:r>
      <w:r>
        <w:rPr>
          <w:rFonts w:hint="eastAsia"/>
          <w:color w:val="auto"/>
          <w:szCs w:val="21"/>
          <w:highlight w:val="none"/>
          <w:lang w:val="en-US" w:eastAsia="zh-CN"/>
        </w:rPr>
        <w:t>具有丰富的项目经验，</w:t>
      </w:r>
      <w:r>
        <w:rPr>
          <w:rFonts w:hint="eastAsia" w:ascii="宋体" w:hAnsi="宋体" w:cs="宋体"/>
          <w:szCs w:val="21"/>
          <w:shd w:val="clear" w:color="auto" w:fill="FFFFFF"/>
          <w:lang w:val="en-US" w:eastAsia="zh-CN"/>
        </w:rPr>
        <w:t>2020年1月1日至报价截止日期（以合同签订时间为准）至少</w:t>
      </w:r>
      <w:r>
        <w:rPr>
          <w:rFonts w:hint="eastAsia"/>
          <w:color w:val="auto"/>
          <w:szCs w:val="21"/>
          <w:highlight w:val="none"/>
          <w:lang w:val="en-US" w:eastAsia="zh-CN"/>
        </w:rPr>
        <w:t>与省（市）级及以上的国企、各地区县机关事业单位</w:t>
      </w:r>
      <w:r>
        <w:rPr>
          <w:rFonts w:hint="eastAsia" w:ascii="宋体" w:hAnsi="宋体" w:eastAsia="宋体" w:cs="宋体"/>
          <w:sz w:val="21"/>
          <w:szCs w:val="21"/>
          <w:highlight w:val="none"/>
          <w:lang w:val="en-US" w:eastAsia="zh-CN"/>
        </w:rPr>
        <w:t>的设计策划或服务咨询类相关项目合同，</w:t>
      </w:r>
      <w:r>
        <w:rPr>
          <w:rFonts w:hint="eastAsia"/>
          <w:color w:val="auto"/>
          <w:szCs w:val="21"/>
          <w:highlight w:val="none"/>
          <w:lang w:val="en-US" w:eastAsia="zh-CN"/>
        </w:rPr>
        <w:t>项目合同不低于3个。</w:t>
      </w:r>
      <w:r>
        <w:rPr>
          <w:rFonts w:hint="eastAsia"/>
          <w:szCs w:val="21"/>
        </w:rPr>
        <w:t>（提供合同</w:t>
      </w:r>
      <w:r>
        <w:rPr>
          <w:rFonts w:hint="eastAsia"/>
          <w:szCs w:val="21"/>
          <w:lang w:val="en-US" w:eastAsia="zh-CN"/>
        </w:rPr>
        <w:t>复印</w:t>
      </w:r>
      <w:r>
        <w:rPr>
          <w:rFonts w:hint="eastAsia"/>
          <w:szCs w:val="21"/>
        </w:rPr>
        <w:t>件，并盖鲜章）；</w:t>
      </w:r>
    </w:p>
    <w:p>
      <w:pPr>
        <w:rPr>
          <w:sz w:val="28"/>
          <w:szCs w:val="28"/>
        </w:rPr>
      </w:pPr>
    </w:p>
    <w:p>
      <w:pPr>
        <w:rPr>
          <w:sz w:val="28"/>
          <w:szCs w:val="28"/>
        </w:rPr>
      </w:pPr>
    </w:p>
    <w:p>
      <w:pPr>
        <w:rPr>
          <w:sz w:val="28"/>
          <w:szCs w:val="28"/>
        </w:rPr>
      </w:pPr>
    </w:p>
    <w:p>
      <w:pPr>
        <w:rPr>
          <w:szCs w:val="21"/>
        </w:rPr>
      </w:pPr>
    </w:p>
    <w:p>
      <w:pPr>
        <w:rPr>
          <w:szCs w:val="21"/>
        </w:rPr>
      </w:pPr>
    </w:p>
    <w:p>
      <w:pPr>
        <w:pStyle w:val="6"/>
      </w:pPr>
    </w:p>
    <w:p>
      <w:pPr>
        <w:rPr>
          <w:szCs w:val="21"/>
        </w:rPr>
      </w:pPr>
    </w:p>
    <w:p>
      <w:pPr>
        <w:rPr>
          <w:szCs w:val="21"/>
        </w:rPr>
      </w:pPr>
    </w:p>
    <w:p>
      <w:pPr>
        <w:pStyle w:val="18"/>
        <w:numPr>
          <w:ilvl w:val="0"/>
          <w:numId w:val="6"/>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及在“信用中国”网站（http://www.creditchina.gov.cn/）中未被列入失信惩戒执行人名单截图，并加盖报价人公章；</w:t>
      </w:r>
      <w:bookmarkEnd w:id="92"/>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hint="eastAsia" w:asciiTheme="minorEastAsia" w:hAnsiTheme="minorEastAsia" w:eastAsiaTheme="minorEastAsia" w:cstheme="minorEastAsia"/>
          <w:b/>
          <w:bCs w:val="0"/>
          <w:color w:val="auto"/>
          <w:sz w:val="28"/>
          <w:szCs w:val="28"/>
          <w:highlight w:val="none"/>
        </w:rPr>
      </w:pPr>
      <w:r>
        <w:rPr>
          <w:rFonts w:hint="eastAsia" w:asciiTheme="minorEastAsia" w:hAnsiTheme="minorEastAsia" w:cstheme="minorEastAsia"/>
          <w:b/>
          <w:bCs w:val="0"/>
          <w:color w:val="auto"/>
          <w:sz w:val="28"/>
          <w:szCs w:val="28"/>
          <w:highlight w:val="none"/>
          <w:lang w:val="en-US" w:eastAsia="zh-CN"/>
        </w:rPr>
        <w:t>五</w:t>
      </w:r>
      <w:r>
        <w:rPr>
          <w:rFonts w:hint="eastAsia" w:asciiTheme="minorEastAsia" w:hAnsiTheme="minorEastAsia" w:eastAsiaTheme="minorEastAsia" w:cstheme="minorEastAsia"/>
          <w:b/>
          <w:bCs w:val="0"/>
          <w:color w:val="auto"/>
          <w:sz w:val="28"/>
          <w:szCs w:val="28"/>
          <w:highlight w:val="none"/>
          <w:lang w:val="en-US" w:eastAsia="zh-CN"/>
        </w:rPr>
        <w:t>、</w:t>
      </w:r>
      <w:r>
        <w:rPr>
          <w:rFonts w:hint="eastAsia" w:asciiTheme="minorEastAsia" w:hAnsiTheme="minorEastAsia" w:eastAsiaTheme="minorEastAsia" w:cstheme="minorEastAsia"/>
          <w:b/>
          <w:bCs w:val="0"/>
          <w:color w:val="auto"/>
          <w:sz w:val="28"/>
          <w:szCs w:val="28"/>
          <w:highlight w:val="none"/>
        </w:rPr>
        <w:t>其他相关资料（</w:t>
      </w:r>
      <w:r>
        <w:rPr>
          <w:rFonts w:hint="eastAsia" w:asciiTheme="minorEastAsia" w:hAnsiTheme="minorEastAsia" w:eastAsiaTheme="minorEastAsia" w:cstheme="minorEastAsia"/>
          <w:b/>
          <w:bCs w:val="0"/>
          <w:color w:val="auto"/>
          <w:sz w:val="28"/>
          <w:szCs w:val="28"/>
          <w:highlight w:val="none"/>
          <w:lang w:eastAsia="zh-CN"/>
        </w:rPr>
        <w:t>书籍框架设计、</w:t>
      </w:r>
      <w:r>
        <w:rPr>
          <w:rFonts w:hint="eastAsia" w:asciiTheme="minorEastAsia" w:hAnsiTheme="minorEastAsia" w:eastAsiaTheme="minorEastAsia" w:cstheme="minorEastAsia"/>
          <w:b/>
          <w:bCs w:val="0"/>
          <w:sz w:val="28"/>
          <w:szCs w:val="28"/>
          <w:highlight w:val="none"/>
        </w:rPr>
        <w:t>初步方案</w:t>
      </w:r>
      <w:r>
        <w:rPr>
          <w:rFonts w:hint="eastAsia" w:asciiTheme="minorEastAsia" w:hAnsiTheme="minorEastAsia" w:eastAsiaTheme="minorEastAsia" w:cstheme="minorEastAsia"/>
          <w:b/>
          <w:bCs w:val="0"/>
          <w:sz w:val="28"/>
          <w:szCs w:val="28"/>
          <w:highlight w:val="none"/>
          <w:lang w:eastAsia="zh-CN"/>
        </w:rPr>
        <w:t>等</w:t>
      </w:r>
      <w:r>
        <w:rPr>
          <w:rFonts w:hint="eastAsia" w:asciiTheme="minorEastAsia" w:hAnsiTheme="minorEastAsia" w:eastAsiaTheme="minorEastAsia" w:cstheme="minorEastAsia"/>
          <w:b/>
          <w:bCs w:val="0"/>
          <w:color w:val="auto"/>
          <w:sz w:val="28"/>
          <w:szCs w:val="28"/>
          <w:highlight w:val="none"/>
        </w:rPr>
        <w:t>）</w:t>
      </w:r>
    </w:p>
    <w:p>
      <w:pPr>
        <w:jc w:val="center"/>
        <w:outlineLvl w:val="0"/>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pStyle w:val="2"/>
        <w:rPr>
          <w:rFonts w:ascii="宋体" w:hAnsi="宋体" w:eastAsia="宋体" w:cs="宋体"/>
          <w:b/>
          <w:color w:val="auto"/>
          <w:sz w:val="30"/>
          <w:szCs w:val="30"/>
          <w:highlight w:val="none"/>
        </w:rPr>
      </w:pPr>
    </w:p>
    <w:p>
      <w:pPr>
        <w:jc w:val="center"/>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（结束）</w:t>
      </w:r>
    </w:p>
    <w:p/>
    <w:sectPr>
      <w:headerReference r:id="rId7" w:type="default"/>
      <w:footerReference r:id="rId8"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11"/>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23</w:t>
                          </w:r>
                          <w:r>
                            <w:rPr>
                              <w:rFonts w:hint="eastAsia" w:eastAsia="宋体"/>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&#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LpYU0AAAAAMBAAAPAAAAAAAAAAEAIAAAACIAAABk&#10;cnMvZG93bnJldi54bWxQSwECFAAUAAAACACHTuJAambT8dUBAACiAwAADgAAAAAAAAABACAAAAAf&#10;AQAAZHJzL2Uyb0RvYy54bWxQSwUGAAAAAAYABgBZAQAAZgUAAAAA&#10;">
              <v:fill on="f" focussize="0,0"/>
              <v:stroke on="f"/>
              <v:imagedata o:title=""/>
              <o:lock v:ext="edit" aspectratio="f"/>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23</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24</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ulhTQAAAAAwEAAA8AAAAAAAAAAQAgAAAAIgAAAGRy&#10;cy9kb3ducmV2LnhtbFBLAQIUABQAAAAIAIdO4kBvEdYz1AEAAKIDAAAOAAAAAAAAAAEAIAAAAB8B&#10;AABkcnMvZTJvRG9jLnhtbFBLBQYAAAAABgAGAFkBAABlBQAAAAA=&#10;">
              <v:fill on="f" focussize="0,0"/>
              <v:stroke on="f"/>
              <v:imagedata o:title=""/>
              <o:lock v:ext="edit" aspectratio="f"/>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24</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A32D"/>
    <w:multiLevelType w:val="singleLevel"/>
    <w:tmpl w:val="8BE3A32D"/>
    <w:lvl w:ilvl="0" w:tentative="0">
      <w:start w:val="1"/>
      <w:numFmt w:val="chineseCounting"/>
      <w:suff w:val="nothing"/>
      <w:lvlText w:val="%1、"/>
      <w:lvlJc w:val="left"/>
      <w:rPr>
        <w:rFonts w:hint="eastAsia"/>
      </w:rPr>
    </w:lvl>
  </w:abstractNum>
  <w:abstractNum w:abstractNumId="1">
    <w:nsid w:val="DB74BB11"/>
    <w:multiLevelType w:val="singleLevel"/>
    <w:tmpl w:val="DB74BB11"/>
    <w:lvl w:ilvl="0" w:tentative="0">
      <w:start w:val="1"/>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D8532D"/>
    <w:multiLevelType w:val="singleLevel"/>
    <w:tmpl w:val="5ED8532D"/>
    <w:lvl w:ilvl="0" w:tentative="0">
      <w:start w:val="1"/>
      <w:numFmt w:val="decimal"/>
      <w:suff w:val="nothing"/>
      <w:lvlText w:val="%1．"/>
      <w:lvlJc w:val="left"/>
    </w:lvl>
  </w:abstractNum>
  <w:abstractNum w:abstractNumId="5">
    <w:nsid w:val="7E8B3ADC"/>
    <w:multiLevelType w:val="singleLevel"/>
    <w:tmpl w:val="7E8B3ADC"/>
    <w:lvl w:ilvl="0" w:tentative="0">
      <w:start w:val="1"/>
      <w:numFmt w:val="chineseCounting"/>
      <w:suff w:val="space"/>
      <w:lvlText w:val="第%1章"/>
      <w:lvlJc w:val="left"/>
      <w:rPr>
        <w:rFonts w:hint="eastAsi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zZjMDYyNzhiMTMwOTJiYjI0YjYyNmE4MDhhN2EifQ=="/>
  </w:docVars>
  <w:rsids>
    <w:rsidRoot w:val="6FE17181"/>
    <w:rsid w:val="012C24CE"/>
    <w:rsid w:val="027B0689"/>
    <w:rsid w:val="04E04C4D"/>
    <w:rsid w:val="0B123ED2"/>
    <w:rsid w:val="0C776778"/>
    <w:rsid w:val="0E456BED"/>
    <w:rsid w:val="0ED177FF"/>
    <w:rsid w:val="0F3B5AC2"/>
    <w:rsid w:val="0FA1064E"/>
    <w:rsid w:val="12D16BF5"/>
    <w:rsid w:val="16AF3DBB"/>
    <w:rsid w:val="18696778"/>
    <w:rsid w:val="1D496F73"/>
    <w:rsid w:val="2147398D"/>
    <w:rsid w:val="299E6B9C"/>
    <w:rsid w:val="2B4A3852"/>
    <w:rsid w:val="2D5F6AB9"/>
    <w:rsid w:val="31075CD6"/>
    <w:rsid w:val="386C7B84"/>
    <w:rsid w:val="3F535A5D"/>
    <w:rsid w:val="42A470ED"/>
    <w:rsid w:val="51AF4E60"/>
    <w:rsid w:val="569C0768"/>
    <w:rsid w:val="56D534C4"/>
    <w:rsid w:val="580D0132"/>
    <w:rsid w:val="5E445E45"/>
    <w:rsid w:val="603E2EA2"/>
    <w:rsid w:val="61C4573F"/>
    <w:rsid w:val="64F422A0"/>
    <w:rsid w:val="6DB83DDF"/>
    <w:rsid w:val="6FE17181"/>
    <w:rsid w:val="78ED77C1"/>
    <w:rsid w:val="79A4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after="120"/>
    </w:pPr>
    <w:rPr>
      <w:rFonts w:ascii="Calibri" w:hAnsi="Calibri" w:eastAsia="宋体" w:cs="Times New Roman"/>
    </w:rPr>
  </w:style>
  <w:style w:type="paragraph" w:styleId="9">
    <w:name w:val="Plain Text"/>
    <w:basedOn w:val="1"/>
    <w:unhideWhenUsed/>
    <w:qFormat/>
    <w:uiPriority w:val="99"/>
    <w:rPr>
      <w:rFonts w:ascii="宋体" w:hAnsi="Courier New"/>
      <w:szCs w:val="21"/>
    </w:rPr>
  </w:style>
  <w:style w:type="paragraph" w:styleId="10">
    <w:name w:val="Date"/>
    <w:basedOn w:val="1"/>
    <w:next w:val="1"/>
    <w:qFormat/>
    <w:uiPriority w:val="0"/>
    <w:pPr>
      <w:ind w:left="100" w:leftChars="25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index 1"/>
    <w:basedOn w:val="1"/>
    <w:next w:val="1"/>
    <w:semiHidden/>
    <w:qFormat/>
    <w:uiPriority w:val="0"/>
    <w:pPr>
      <w:spacing w:line="360" w:lineRule="auto"/>
      <w:jc w:val="center"/>
    </w:pPr>
    <w:rPr>
      <w:rFonts w:ascii="宋体" w:hAnsi="Arial" w:cs="Arial"/>
      <w:b/>
      <w:color w:val="000000"/>
      <w:sz w:val="24"/>
    </w:rPr>
  </w:style>
  <w:style w:type="paragraph" w:customStyle="1" w:styleId="17">
    <w:name w:val="font10"/>
    <w:basedOn w:val="1"/>
    <w:qFormat/>
    <w:uiPriority w:val="0"/>
    <w:pPr>
      <w:widowControl/>
      <w:spacing w:before="100" w:beforeAutospacing="1" w:after="100" w:afterAutospacing="1"/>
      <w:jc w:val="left"/>
    </w:pPr>
    <w:rPr>
      <w:kern w:val="0"/>
      <w:sz w:val="28"/>
      <w:szCs w:val="28"/>
    </w:rPr>
  </w:style>
  <w:style w:type="paragraph" w:styleId="18">
    <w:name w:val="List Paragraph"/>
    <w:basedOn w:val="1"/>
    <w:qFormat/>
    <w:uiPriority w:val="99"/>
    <w:pPr>
      <w:ind w:firstLine="420" w:firstLineChars="200"/>
    </w:pPr>
  </w:style>
  <w:style w:type="paragraph" w:customStyle="1" w:styleId="19">
    <w:name w:val="列出段落2"/>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1 字符"/>
    <w:link w:val="3"/>
    <w:qFormat/>
    <w:uiPriority w:val="0"/>
    <w:rPr>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2023-10-16T06:30:00Z</dcterms:created>
  <dc:creator>刘雯婧</dc:creator>
  <cp:lastModifiedBy>刘雯婧</cp:lastModifiedBy>
  <dcterms:modified xsi:type="dcterms:W3CDTF">2023-10-17T04:16:47Z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A27F1A24841B40E1B96DD57CC6D2A6E3</vt:lpwstr>
  </property>
</Properties>
</file>