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p>
    <w:p>
      <w:pPr>
        <w:ind w:firstLine="723"/>
        <w:jc w:val="center"/>
        <w:outlineLvl w:val="0"/>
        <w:rPr>
          <w:b/>
          <w:bCs/>
          <w:sz w:val="40"/>
          <w:szCs w:val="28"/>
        </w:rPr>
      </w:pPr>
      <w:r>
        <w:rPr>
          <w:rFonts w:hint="eastAsia"/>
          <w:b/>
          <w:bCs/>
          <w:sz w:val="36"/>
          <w:szCs w:val="24"/>
        </w:rPr>
        <w:t>重庆航发集团</w:t>
      </w:r>
      <w:r>
        <w:rPr>
          <w:rFonts w:hint="eastAsia"/>
          <w:b/>
          <w:bCs/>
          <w:sz w:val="36"/>
          <w:szCs w:val="24"/>
          <w:lang w:eastAsia="zh-CN"/>
        </w:rPr>
        <w:t>航电枢纽与集控中心生产管理系统</w:t>
      </w:r>
      <w:r>
        <w:rPr>
          <w:rFonts w:hint="eastAsia"/>
          <w:b/>
          <w:bCs/>
          <w:sz w:val="36"/>
          <w:szCs w:val="24"/>
        </w:rPr>
        <w:t>建设项目</w:t>
      </w:r>
    </w:p>
    <w:p>
      <w:pPr>
        <w:ind w:firstLine="480"/>
      </w:pPr>
    </w:p>
    <w:p>
      <w:pPr>
        <w:ind w:firstLine="480"/>
      </w:pPr>
    </w:p>
    <w:p>
      <w:pPr>
        <w:ind w:firstLine="480"/>
      </w:pPr>
    </w:p>
    <w:p>
      <w:pPr>
        <w:ind w:firstLine="480"/>
      </w:pPr>
    </w:p>
    <w:p>
      <w:pPr>
        <w:ind w:firstLine="640"/>
        <w:jc w:val="center"/>
        <w:rPr>
          <w:sz w:val="32"/>
          <w:szCs w:val="22"/>
        </w:rPr>
      </w:pPr>
    </w:p>
    <w:p>
      <w:pPr>
        <w:ind w:firstLine="0" w:firstLineChars="0"/>
        <w:jc w:val="center"/>
        <w:rPr>
          <w:b/>
          <w:bCs/>
          <w:sz w:val="96"/>
          <w:szCs w:val="52"/>
        </w:rPr>
      </w:pPr>
      <w:r>
        <w:rPr>
          <w:rFonts w:hint="eastAsia"/>
          <w:b/>
          <w:bCs/>
          <w:sz w:val="48"/>
          <w:szCs w:val="36"/>
        </w:rPr>
        <w:t>询价文件</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tbl>
      <w:tblPr>
        <w:tblStyle w:val="18"/>
        <w:tblW w:w="9280" w:type="dxa"/>
        <w:jc w:val="center"/>
        <w:tblLayout w:type="fixed"/>
        <w:tblCellMar>
          <w:top w:w="0" w:type="dxa"/>
          <w:left w:w="108" w:type="dxa"/>
          <w:bottom w:w="0" w:type="dxa"/>
          <w:right w:w="108" w:type="dxa"/>
        </w:tblCellMar>
      </w:tblPr>
      <w:tblGrid>
        <w:gridCol w:w="2735"/>
        <w:gridCol w:w="6545"/>
      </w:tblGrid>
      <w:tr>
        <w:tblPrEx>
          <w:tblCellMar>
            <w:top w:w="0" w:type="dxa"/>
            <w:left w:w="108" w:type="dxa"/>
            <w:bottom w:w="0" w:type="dxa"/>
            <w:right w:w="108" w:type="dxa"/>
          </w:tblCellMar>
        </w:tblPrEx>
        <w:trPr>
          <w:jc w:val="center"/>
        </w:trPr>
        <w:tc>
          <w:tcPr>
            <w:tcW w:w="2735" w:type="dxa"/>
            <w:tcBorders>
              <w:tl2br w:val="nil"/>
              <w:tr2bl w:val="nil"/>
            </w:tcBorders>
            <w:noWrap w:val="0"/>
            <w:vAlign w:val="center"/>
          </w:tcPr>
          <w:p>
            <w:pPr>
              <w:autoSpaceDE w:val="0"/>
              <w:autoSpaceDN w:val="0"/>
              <w:adjustRightInd w:val="0"/>
              <w:ind w:firstLine="640"/>
              <w:jc w:val="center"/>
              <w:rPr>
                <w:rFonts w:eastAsia="方正小标宋_GBK"/>
                <w:b w:val="0"/>
                <w:bCs/>
                <w:color w:val="auto"/>
                <w:sz w:val="32"/>
                <w:szCs w:val="32"/>
                <w:lang w:val="zh-CN"/>
              </w:rPr>
            </w:pPr>
            <w:bookmarkStart w:id="0" w:name="_Hlk144300909"/>
            <w:r>
              <w:rPr>
                <w:rFonts w:eastAsia="方正小标宋_GBK"/>
                <w:b w:val="0"/>
                <w:bCs/>
                <w:color w:val="auto"/>
                <w:sz w:val="32"/>
                <w:szCs w:val="32"/>
                <w:lang w:val="zh-CN"/>
              </w:rPr>
              <w:t>询价人：</w:t>
            </w:r>
          </w:p>
        </w:tc>
        <w:tc>
          <w:tcPr>
            <w:tcW w:w="6545" w:type="dxa"/>
            <w:tcBorders>
              <w:tl2br w:val="nil"/>
              <w:tr2bl w:val="nil"/>
            </w:tcBorders>
            <w:noWrap w:val="0"/>
            <w:vAlign w:val="center"/>
          </w:tcPr>
          <w:p>
            <w:pPr>
              <w:ind w:firstLine="640"/>
              <w:jc w:val="both"/>
              <w:rPr>
                <w:b w:val="0"/>
                <w:bCs/>
                <w:color w:val="auto"/>
                <w:sz w:val="32"/>
                <w:szCs w:val="32"/>
              </w:rPr>
            </w:pPr>
            <w:r>
              <w:rPr>
                <w:rFonts w:hint="eastAsia"/>
                <w:b w:val="0"/>
                <w:bCs/>
                <w:color w:val="auto"/>
                <w:sz w:val="32"/>
                <w:szCs w:val="32"/>
              </w:rPr>
              <w:t>重庆航运建设发展(集团)有限公司</w:t>
            </w:r>
          </w:p>
        </w:tc>
      </w:tr>
      <w:bookmarkEnd w:id="0"/>
    </w:tbl>
    <w:p>
      <w:pPr>
        <w:ind w:firstLine="480"/>
      </w:pPr>
    </w:p>
    <w:p>
      <w:pPr>
        <w:ind w:firstLine="0" w:firstLineChars="0"/>
        <w:jc w:val="center"/>
        <w:rPr>
          <w:rFonts w:ascii="宋体" w:hAnsi="宋体" w:eastAsia="宋体"/>
          <w:b/>
          <w:bCs/>
          <w:color w:val="auto"/>
        </w:rPr>
      </w:pPr>
      <w:r>
        <w:rPr>
          <w:rFonts w:hint="eastAsia"/>
          <w:b/>
          <w:bCs/>
          <w:sz w:val="32"/>
          <w:szCs w:val="22"/>
        </w:rPr>
        <w:t>2023年</w:t>
      </w:r>
      <w:r>
        <w:rPr>
          <w:rFonts w:hint="eastAsia"/>
          <w:b/>
          <w:bCs/>
          <w:sz w:val="32"/>
          <w:szCs w:val="22"/>
          <w:highlight w:val="none"/>
          <w:lang w:val="en-US" w:eastAsia="zh-CN"/>
        </w:rPr>
        <w:t>9</w:t>
      </w:r>
      <w:r>
        <w:rPr>
          <w:rFonts w:hint="eastAsia"/>
          <w:b/>
          <w:bCs/>
          <w:sz w:val="32"/>
          <w:szCs w:val="22"/>
        </w:rPr>
        <w:t>月</w:t>
      </w:r>
      <w:r>
        <w:rPr>
          <w:b/>
          <w:bCs/>
          <w:sz w:val="32"/>
          <w:szCs w:val="22"/>
        </w:rPr>
        <w:br w:type="page"/>
      </w:r>
      <w:r>
        <w:rPr>
          <w:rFonts w:ascii="宋体" w:hAnsi="宋体" w:eastAsia="宋体"/>
          <w:b/>
          <w:bCs/>
          <w:color w:val="auto"/>
          <w:lang w:val="zh-CN"/>
        </w:rPr>
        <w:t>目录</w:t>
      </w:r>
    </w:p>
    <w:p>
      <w:pPr>
        <w:pStyle w:val="14"/>
        <w:rPr>
          <w:rFonts w:cs="Times New Roman"/>
          <w:kern w:val="2"/>
          <w:sz w:val="21"/>
        </w:rPr>
      </w:pPr>
      <w:r>
        <w:fldChar w:fldCharType="begin"/>
      </w:r>
      <w:r>
        <w:instrText xml:space="preserve"> TOC \o "1-3" \h \z \u </w:instrText>
      </w:r>
      <w:r>
        <w:fldChar w:fldCharType="separate"/>
      </w:r>
      <w:r>
        <w:fldChar w:fldCharType="begin"/>
      </w:r>
      <w:r>
        <w:instrText xml:space="preserve"> HYPERLINK \l "_Toc144386133" </w:instrText>
      </w:r>
      <w:r>
        <w:fldChar w:fldCharType="separate"/>
      </w:r>
      <w:r>
        <w:rPr>
          <w:rStyle w:val="20"/>
        </w:rPr>
        <w:t>第一章 询价公告</w:t>
      </w:r>
      <w:r>
        <w:tab/>
      </w:r>
      <w:r>
        <w:fldChar w:fldCharType="begin"/>
      </w:r>
      <w:r>
        <w:instrText xml:space="preserve"> PAGEREF _Toc144386133 \h </w:instrText>
      </w:r>
      <w:r>
        <w:fldChar w:fldCharType="separate"/>
      </w:r>
      <w:r>
        <w:t>1</w:t>
      </w:r>
      <w:r>
        <w:fldChar w:fldCharType="end"/>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"_Toc144386134" </w:instrText>
      </w:r>
      <w:r>
        <w:fldChar w:fldCharType="separate"/>
      </w:r>
      <w:r>
        <w:rPr>
          <w:rStyle w:val="20"/>
        </w:rPr>
        <w:t>1.询价条件</w:t>
      </w:r>
      <w:r>
        <w:tab/>
      </w:r>
      <w:r>
        <w:fldChar w:fldCharType="begin"/>
      </w:r>
      <w:r>
        <w:instrText xml:space="preserve"> PAGEREF _Toc144386134 \h </w:instrText>
      </w:r>
      <w:r>
        <w:fldChar w:fldCharType="separate"/>
      </w:r>
      <w:r>
        <w:t>1</w:t>
      </w:r>
      <w:r>
        <w:fldChar w:fldCharType="end"/>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"_Toc144386135" </w:instrText>
      </w:r>
      <w:r>
        <w:fldChar w:fldCharType="separate"/>
      </w:r>
      <w:r>
        <w:rPr>
          <w:rStyle w:val="20"/>
        </w:rPr>
        <w:t>2.项目概况与询价工作范围</w:t>
      </w:r>
      <w:r>
        <w:tab/>
      </w:r>
      <w:r>
        <w:fldChar w:fldCharType="begin"/>
      </w:r>
      <w:r>
        <w:instrText xml:space="preserve"> PAGEREF _Toc144386135 \h </w:instrText>
      </w:r>
      <w:r>
        <w:fldChar w:fldCharType="separate"/>
      </w:r>
      <w:r>
        <w:t>1</w:t>
      </w:r>
      <w:r>
        <w:fldChar w:fldCharType="end"/>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"_Toc144386136" </w:instrText>
      </w:r>
      <w:r>
        <w:fldChar w:fldCharType="separate"/>
      </w:r>
      <w:r>
        <w:rPr>
          <w:rStyle w:val="20"/>
        </w:rPr>
        <w:t>3.报价人资格要求</w:t>
      </w:r>
      <w:r>
        <w:tab/>
      </w:r>
      <w:r>
        <w:rPr>
          <w:rFonts w:hint="eastAsia"/>
          <w:lang w:val="en-US" w:eastAsia="zh-CN"/>
        </w:rPr>
        <w:t>2</w:t>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"_Toc144386137" </w:instrText>
      </w:r>
      <w:r>
        <w:fldChar w:fldCharType="separate"/>
      </w:r>
      <w:r>
        <w:rPr>
          <w:rStyle w:val="20"/>
        </w:rPr>
        <w:t>4.报价文件的递交</w:t>
      </w:r>
      <w:r>
        <w:tab/>
      </w:r>
      <w:r>
        <w:fldChar w:fldCharType="begin"/>
      </w:r>
      <w:r>
        <w:instrText xml:space="preserve"> PAGEREF _Toc144386137 \h </w:instrText>
      </w:r>
      <w:r>
        <w:fldChar w:fldCharType="separate"/>
      </w:r>
      <w:r>
        <w:t>3</w:t>
      </w:r>
      <w:r>
        <w:fldChar w:fldCharType="end"/>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"_Toc144386138" </w:instrText>
      </w:r>
      <w:r>
        <w:fldChar w:fldCharType="separate"/>
      </w:r>
      <w:r>
        <w:rPr>
          <w:rStyle w:val="20"/>
        </w:rPr>
        <w:t>5.发布公告的媒介</w:t>
      </w:r>
      <w:r>
        <w:tab/>
      </w:r>
      <w:r>
        <w:rPr>
          <w:rFonts w:hint="eastAsia"/>
          <w:lang w:val="en-US" w:eastAsia="zh-CN"/>
        </w:rPr>
        <w:t>3</w:t>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"_Toc144386139" </w:instrText>
      </w:r>
      <w:r>
        <w:fldChar w:fldCharType="separate"/>
      </w:r>
      <w:r>
        <w:rPr>
          <w:rStyle w:val="20"/>
        </w:rPr>
        <w:t>6.联系方式</w:t>
      </w:r>
      <w:r>
        <w:tab/>
      </w:r>
      <w:r>
        <w:fldChar w:fldCharType="begin"/>
      </w:r>
      <w:r>
        <w:instrText xml:space="preserve"> PAGEREF _Toc144386139 \h </w:instrText>
      </w:r>
      <w:r>
        <w:fldChar w:fldCharType="separate"/>
      </w:r>
      <w:r>
        <w:t>4</w:t>
      </w:r>
      <w:r>
        <w:fldChar w:fldCharType="end"/>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"_Toc144386140" </w:instrText>
      </w:r>
      <w:r>
        <w:fldChar w:fldCharType="separate"/>
      </w:r>
      <w:r>
        <w:rPr>
          <w:rStyle w:val="20"/>
        </w:rPr>
        <w:t>7.监督部门</w:t>
      </w:r>
      <w:r>
        <w:tab/>
      </w:r>
      <w:r>
        <w:fldChar w:fldCharType="begin"/>
      </w:r>
      <w:r>
        <w:instrText xml:space="preserve"> PAGEREF _Toc144386140 \h </w:instrText>
      </w:r>
      <w:r>
        <w:fldChar w:fldCharType="separate"/>
      </w:r>
      <w:r>
        <w:t>4</w:t>
      </w:r>
      <w:r>
        <w:fldChar w:fldCharType="end"/>
      </w:r>
      <w:r>
        <w:fldChar w:fldCharType="end"/>
      </w:r>
    </w:p>
    <w:p>
      <w:pPr>
        <w:pStyle w:val="14"/>
        <w:rPr>
          <w:rFonts w:cs="Times New Roman"/>
          <w:kern w:val="2"/>
          <w:sz w:val="21"/>
        </w:rPr>
      </w:pPr>
      <w:r>
        <w:fldChar w:fldCharType="begin"/>
      </w:r>
      <w:r>
        <w:instrText xml:space="preserve"> HYPERLINK \l "_Toc144386141" </w:instrText>
      </w:r>
      <w:r>
        <w:fldChar w:fldCharType="separate"/>
      </w:r>
      <w:r>
        <w:rPr>
          <w:rStyle w:val="20"/>
        </w:rPr>
        <w:t>第二章 报价文件要求与评审办法</w:t>
      </w:r>
      <w:r>
        <w:tab/>
      </w:r>
      <w:r>
        <w:fldChar w:fldCharType="begin"/>
      </w:r>
      <w:r>
        <w:instrText xml:space="preserve"> PAGEREF _Toc144386141 \h </w:instrText>
      </w:r>
      <w:r>
        <w:fldChar w:fldCharType="separate"/>
      </w:r>
      <w:r>
        <w:t>5</w:t>
      </w:r>
      <w:r>
        <w:fldChar w:fldCharType="end"/>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"_Toc144386142" </w:instrText>
      </w:r>
      <w:r>
        <w:fldChar w:fldCharType="separate"/>
      </w:r>
      <w:r>
        <w:rPr>
          <w:rStyle w:val="20"/>
        </w:rPr>
        <w:t>1.报价文件要求</w:t>
      </w:r>
      <w:r>
        <w:tab/>
      </w:r>
      <w:r>
        <w:fldChar w:fldCharType="begin"/>
      </w:r>
      <w:r>
        <w:instrText xml:space="preserve"> PAGEREF _Toc144386142 \h </w:instrText>
      </w:r>
      <w:r>
        <w:fldChar w:fldCharType="separate"/>
      </w:r>
      <w:r>
        <w:t>5</w:t>
      </w:r>
      <w:r>
        <w:fldChar w:fldCharType="end"/>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"_Toc144386143" </w:instrText>
      </w:r>
      <w:r>
        <w:fldChar w:fldCharType="separate"/>
      </w:r>
      <w:r>
        <w:rPr>
          <w:rStyle w:val="20"/>
        </w:rPr>
        <w:t>2.评审办法</w:t>
      </w:r>
      <w:r>
        <w:tab/>
      </w:r>
      <w:r>
        <w:fldChar w:fldCharType="begin"/>
      </w:r>
      <w:r>
        <w:instrText xml:space="preserve"> PAGEREF _Toc144386143 \h </w:instrText>
      </w:r>
      <w:r>
        <w:fldChar w:fldCharType="separate"/>
      </w:r>
      <w:r>
        <w:t>5</w:t>
      </w:r>
      <w:r>
        <w:fldChar w:fldCharType="end"/>
      </w:r>
      <w:r>
        <w:fldChar w:fldCharType="end"/>
      </w:r>
    </w:p>
    <w:p>
      <w:pPr>
        <w:pStyle w:val="14"/>
        <w:rPr>
          <w:rFonts w:cs="Times New Roman"/>
          <w:kern w:val="2"/>
          <w:sz w:val="21"/>
        </w:rPr>
      </w:pPr>
      <w:r>
        <w:fldChar w:fldCharType="begin"/>
      </w:r>
      <w:r>
        <w:instrText xml:space="preserve"> HYPERLINK \l "_Toc144386144" </w:instrText>
      </w:r>
      <w:r>
        <w:fldChar w:fldCharType="separate"/>
      </w:r>
      <w:r>
        <w:rPr>
          <w:rStyle w:val="20"/>
        </w:rPr>
        <w:t>第三章 合同条款与技术条款</w:t>
      </w:r>
      <w:r>
        <w:tab/>
      </w:r>
      <w:r>
        <w:fldChar w:fldCharType="begin"/>
      </w:r>
      <w:r>
        <w:instrText xml:space="preserve"> PAGEREF _Toc144386144 \h </w:instrText>
      </w:r>
      <w:r>
        <w:fldChar w:fldCharType="separate"/>
      </w:r>
      <w:r>
        <w:t>6</w:t>
      </w:r>
      <w:r>
        <w:fldChar w:fldCharType="end"/>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"_Toc144386145" </w:instrText>
      </w:r>
      <w:r>
        <w:fldChar w:fldCharType="separate"/>
      </w:r>
      <w:r>
        <w:rPr>
          <w:rStyle w:val="20"/>
        </w:rPr>
        <w:t>1.合同金额</w:t>
      </w:r>
      <w:r>
        <w:tab/>
      </w:r>
      <w:r>
        <w:fldChar w:fldCharType="begin"/>
      </w:r>
      <w:r>
        <w:instrText xml:space="preserve"> PAGEREF _Toc144386145 \h </w:instrText>
      </w:r>
      <w:r>
        <w:fldChar w:fldCharType="separate"/>
      </w:r>
      <w:r>
        <w:t>7</w:t>
      </w:r>
      <w:r>
        <w:fldChar w:fldCharType="end"/>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"_Toc144386146" </w:instrText>
      </w:r>
      <w:r>
        <w:fldChar w:fldCharType="separate"/>
      </w:r>
      <w:r>
        <w:rPr>
          <w:rStyle w:val="20"/>
        </w:rPr>
        <w:t>2.支付方式</w:t>
      </w:r>
      <w:r>
        <w:tab/>
      </w:r>
      <w:r>
        <w:rPr>
          <w:rFonts w:hint="eastAsia"/>
          <w:lang w:val="en-US" w:eastAsia="zh-CN"/>
        </w:rPr>
        <w:t>7</w:t>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"_Toc144386147" </w:instrText>
      </w:r>
      <w:r>
        <w:fldChar w:fldCharType="separate"/>
      </w:r>
      <w:r>
        <w:rPr>
          <w:rStyle w:val="20"/>
        </w:rPr>
        <w:t>附件1：合同清单</w:t>
      </w:r>
      <w:r>
        <w:tab/>
      </w:r>
      <w:r>
        <w:fldChar w:fldCharType="begin"/>
      </w:r>
      <w:r>
        <w:instrText xml:space="preserve"> PAGEREF _Toc144386147 \h </w:instrText>
      </w:r>
      <w:r>
        <w:fldChar w:fldCharType="separate"/>
      </w:r>
      <w:r>
        <w:t>13</w:t>
      </w:r>
      <w:r>
        <w:fldChar w:fldCharType="end"/>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"_Toc144386148" </w:instrText>
      </w:r>
      <w:r>
        <w:fldChar w:fldCharType="separate"/>
      </w:r>
      <w:r>
        <w:rPr>
          <w:rStyle w:val="20"/>
        </w:rPr>
        <w:t>附件2：廉政合同</w:t>
      </w:r>
      <w:r>
        <w:tab/>
      </w:r>
      <w:r>
        <w:fldChar w:fldCharType="begin"/>
      </w:r>
      <w:r>
        <w:instrText xml:space="preserve"> PAGEREF _Toc144386148 \h </w:instrText>
      </w:r>
      <w:r>
        <w:fldChar w:fldCharType="separate"/>
      </w:r>
      <w:r>
        <w:t>14</w:t>
      </w:r>
      <w:r>
        <w:fldChar w:fldCharType="end"/>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"_Toc144386149" </w:instrText>
      </w:r>
      <w:r>
        <w:fldChar w:fldCharType="separate"/>
      </w:r>
      <w:r>
        <w:rPr>
          <w:rStyle w:val="20"/>
        </w:rPr>
        <w:t>附件3：保密协议</w:t>
      </w:r>
      <w:r>
        <w:tab/>
      </w:r>
      <w:r>
        <w:fldChar w:fldCharType="begin"/>
      </w:r>
      <w:r>
        <w:instrText xml:space="preserve"> PAGEREF _Toc144386149 \h </w:instrText>
      </w:r>
      <w:r>
        <w:fldChar w:fldCharType="separate"/>
      </w:r>
      <w:r>
        <w:t>17</w:t>
      </w:r>
      <w:r>
        <w:fldChar w:fldCharType="end"/>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"_Toc144386150" </w:instrText>
      </w:r>
      <w:r>
        <w:fldChar w:fldCharType="separate"/>
      </w:r>
      <w:r>
        <w:rPr>
          <w:rStyle w:val="20"/>
        </w:rPr>
        <w:t>附件4：技术条款与要求</w:t>
      </w:r>
      <w:r>
        <w:tab/>
      </w:r>
      <w:r>
        <w:fldChar w:fldCharType="begin"/>
      </w:r>
      <w:r>
        <w:instrText xml:space="preserve"> PAGEREF _Toc144386150 \h </w:instrText>
      </w:r>
      <w:r>
        <w:fldChar w:fldCharType="separate"/>
      </w:r>
      <w:r>
        <w:t>19</w:t>
      </w:r>
      <w:r>
        <w:fldChar w:fldCharType="end"/>
      </w:r>
      <w:r>
        <w:fldChar w:fldCharType="end"/>
      </w:r>
    </w:p>
    <w:p>
      <w:pPr>
        <w:pStyle w:val="14"/>
        <w:rPr>
          <w:rFonts w:cs="Times New Roman"/>
          <w:kern w:val="2"/>
          <w:sz w:val="21"/>
        </w:rPr>
      </w:pPr>
      <w:r>
        <w:fldChar w:fldCharType="begin"/>
      </w:r>
      <w:r>
        <w:instrText xml:space="preserve"> HYPERLINK \l "_Toc144386151" </w:instrText>
      </w:r>
      <w:r>
        <w:fldChar w:fldCharType="separate"/>
      </w:r>
      <w:r>
        <w:rPr>
          <w:rStyle w:val="20"/>
        </w:rPr>
        <w:t>第四章 报价文件格式</w:t>
      </w:r>
      <w:r>
        <w:tab/>
      </w:r>
      <w:r>
        <w:fldChar w:fldCharType="begin"/>
      </w:r>
      <w:r>
        <w:instrText xml:space="preserve"> PAGEREF _Toc144386151 \h </w:instrText>
      </w:r>
      <w:r>
        <w:fldChar w:fldCharType="separate"/>
      </w:r>
      <w:r>
        <w:t>35</w:t>
      </w:r>
      <w:r>
        <w:fldChar w:fldCharType="end"/>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"_Toc144386152" </w:instrText>
      </w:r>
      <w:r>
        <w:fldChar w:fldCharType="separate"/>
      </w:r>
      <w:r>
        <w:rPr>
          <w:rStyle w:val="20"/>
        </w:rPr>
        <w:t>一、法定代表人身份证明格式</w:t>
      </w:r>
      <w:r>
        <w:tab/>
      </w:r>
      <w:r>
        <w:fldChar w:fldCharType="begin"/>
      </w:r>
      <w:r>
        <w:instrText xml:space="preserve"> PAGEREF _Toc144386152 \h </w:instrText>
      </w:r>
      <w:r>
        <w:fldChar w:fldCharType="separate"/>
      </w:r>
      <w:r>
        <w:t>37</w:t>
      </w:r>
      <w:r>
        <w:fldChar w:fldCharType="end"/>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"_Toc144386153" </w:instrText>
      </w:r>
      <w:r>
        <w:fldChar w:fldCharType="separate"/>
      </w:r>
      <w:r>
        <w:rPr>
          <w:rStyle w:val="20"/>
        </w:rPr>
        <w:t>二、报价函</w:t>
      </w:r>
      <w:r>
        <w:tab/>
      </w:r>
      <w:r>
        <w:fldChar w:fldCharType="begin"/>
      </w:r>
      <w:r>
        <w:instrText xml:space="preserve"> PAGEREF _Toc144386153 \h </w:instrText>
      </w:r>
      <w:r>
        <w:fldChar w:fldCharType="separate"/>
      </w:r>
      <w:r>
        <w:t>39</w:t>
      </w:r>
      <w:r>
        <w:fldChar w:fldCharType="end"/>
      </w:r>
      <w:r>
        <w:fldChar w:fldCharType="end"/>
      </w:r>
    </w:p>
    <w:p>
      <w:pPr>
        <w:pStyle w:val="15"/>
        <w:tabs>
          <w:tab w:val="right" w:leader="dot" w:pos="8296"/>
        </w:tabs>
        <w:ind w:firstLine="440"/>
        <w:rPr>
          <w:rFonts w:hint="eastAsia" w:eastAsia="宋体" w:cs="Times New Roman"/>
          <w:kern w:val="2"/>
          <w:sz w:val="21"/>
          <w:lang w:val="en-US" w:eastAsia="zh-CN"/>
        </w:rPr>
      </w:pPr>
      <w:r>
        <w:fldChar w:fldCharType="begin"/>
      </w:r>
      <w:r>
        <w:instrText xml:space="preserve"> HYPERLINK \l "_Toc144386154" </w:instrText>
      </w:r>
      <w:r>
        <w:fldChar w:fldCharType="separate"/>
      </w:r>
      <w:r>
        <w:rPr>
          <w:rStyle w:val="20"/>
        </w:rPr>
        <w:t>三、报价表</w:t>
      </w:r>
      <w:r>
        <w:tab/>
      </w:r>
      <w:r>
        <w:rPr>
          <w:rFonts w:hint="eastAsia"/>
          <w:lang w:val="en-US" w:eastAsia="zh-CN"/>
        </w:rPr>
        <w:t>4</w:t>
      </w:r>
      <w:r>
        <w:fldChar w:fldCharType="end"/>
      </w:r>
      <w:r>
        <w:rPr>
          <w:rFonts w:hint="eastAsia"/>
          <w:lang w:val="en-US" w:eastAsia="zh-CN"/>
        </w:rPr>
        <w:t>1</w:t>
      </w:r>
    </w:p>
    <w:p>
      <w:pPr>
        <w:pStyle w:val="15"/>
        <w:tabs>
          <w:tab w:val="right" w:leader="dot" w:pos="8296"/>
        </w:tabs>
        <w:ind w:firstLine="440"/>
        <w:rPr>
          <w:rFonts w:eastAsia="等线" w:cs="Times New Roman"/>
          <w:kern w:val="2"/>
          <w:sz w:val="21"/>
        </w:rPr>
      </w:pPr>
      <w:r>
        <w:fldChar w:fldCharType="begin"/>
      </w:r>
      <w:r>
        <w:instrText xml:space="preserve"> HYPERLINK \l "_Toc144386155" </w:instrText>
      </w:r>
      <w:r>
        <w:fldChar w:fldCharType="separate"/>
      </w:r>
      <w:r>
        <w:rPr>
          <w:rStyle w:val="20"/>
        </w:rPr>
        <w:t>四、资格审查资料</w:t>
      </w:r>
      <w:r>
        <w:tab/>
      </w:r>
      <w:r>
        <w:fldChar w:fldCharType="begin"/>
      </w:r>
      <w:r>
        <w:instrText xml:space="preserve"> PAGEREF _Toc144386155 \h </w:instrText>
      </w:r>
      <w:r>
        <w:fldChar w:fldCharType="separate"/>
      </w:r>
      <w:r>
        <w:t>43</w:t>
      </w:r>
      <w:r>
        <w:fldChar w:fldCharType="end"/>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"_Toc144386156" </w:instrText>
      </w:r>
      <w:r>
        <w:fldChar w:fldCharType="separate"/>
      </w:r>
      <w:r>
        <w:rPr>
          <w:rStyle w:val="20"/>
        </w:rPr>
        <w:t>五、项目方案及进度安排</w:t>
      </w:r>
      <w:r>
        <w:tab/>
      </w:r>
      <w:r>
        <w:fldChar w:fldCharType="begin"/>
      </w:r>
      <w:r>
        <w:instrText xml:space="preserve"> PAGEREF _Toc144386156 \h </w:instrText>
      </w:r>
      <w:r>
        <w:fldChar w:fldCharType="separate"/>
      </w:r>
      <w:r>
        <w:t>45</w:t>
      </w:r>
      <w:r>
        <w:fldChar w:fldCharType="end"/>
      </w:r>
      <w:r>
        <w:fldChar w:fldCharType="end"/>
      </w:r>
    </w:p>
    <w:p>
      <w:pPr>
        <w:pStyle w:val="15"/>
        <w:tabs>
          <w:tab w:val="right" w:leader="dot" w:pos="8296"/>
        </w:tabs>
        <w:ind w:firstLine="440"/>
        <w:rPr>
          <w:rFonts w:eastAsia="等线" w:cs="Times New Roman"/>
          <w:kern w:val="2"/>
          <w:sz w:val="21"/>
        </w:rPr>
      </w:pPr>
      <w:r>
        <w:fldChar w:fldCharType="begin"/>
      </w:r>
      <w:r>
        <w:instrText xml:space="preserve"> HYPERLINK \l "_Toc144386157" </w:instrText>
      </w:r>
      <w:r>
        <w:fldChar w:fldCharType="separate"/>
      </w:r>
      <w:r>
        <w:rPr>
          <w:rStyle w:val="20"/>
        </w:rPr>
        <w:t>六、其他资料</w:t>
      </w:r>
      <w:r>
        <w:tab/>
      </w:r>
      <w:r>
        <w:fldChar w:fldCharType="begin"/>
      </w:r>
      <w:r>
        <w:instrText xml:space="preserve"> PAGEREF _Toc144386157 \h </w:instrText>
      </w:r>
      <w:r>
        <w:fldChar w:fldCharType="separate"/>
      </w:r>
      <w:r>
        <w:t>46</w:t>
      </w:r>
      <w:r>
        <w:fldChar w:fldCharType="end"/>
      </w:r>
      <w:r>
        <w:fldChar w:fldCharType="end"/>
      </w:r>
    </w:p>
    <w:p>
      <w:pPr>
        <w:ind w:firstLine="440"/>
      </w:pPr>
      <w:r>
        <w:rPr>
          <w:rFonts w:ascii="等线" w:hAnsi="等线" w:eastAsia="等线"/>
          <w:kern w:val="0"/>
          <w:sz w:val="22"/>
          <w:szCs w:val="22"/>
        </w:rPr>
        <w:fldChar w:fldCharType="end"/>
      </w:r>
    </w:p>
    <w:p>
      <w:pPr>
        <w:ind w:firstLine="0" w:firstLineChars="0"/>
      </w:pPr>
    </w:p>
    <w:p>
      <w:pPr>
        <w:pStyle w:val="3"/>
        <w:outlineLvl w:val="9"/>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pStyle w:val="3"/>
      </w:pPr>
      <w:bookmarkStart w:id="1" w:name="_Toc144386133"/>
      <w:r>
        <w:rPr>
          <w:rFonts w:hint="eastAsia"/>
        </w:rPr>
        <w:t>第一章 询价公告</w:t>
      </w:r>
      <w:bookmarkEnd w:id="1"/>
    </w:p>
    <w:p>
      <w:pPr>
        <w:ind w:firstLine="643"/>
        <w:jc w:val="center"/>
        <w:outlineLvl w:val="1"/>
        <w:rPr>
          <w:b/>
          <w:bCs/>
          <w:sz w:val="32"/>
          <w:szCs w:val="22"/>
        </w:rPr>
      </w:pPr>
      <w:r>
        <w:rPr>
          <w:rFonts w:hint="eastAsia"/>
          <w:b/>
          <w:bCs/>
          <w:sz w:val="32"/>
          <w:szCs w:val="22"/>
        </w:rPr>
        <w:t>重庆航发集团</w:t>
      </w:r>
      <w:r>
        <w:rPr>
          <w:rFonts w:hint="eastAsia"/>
          <w:b/>
          <w:bCs/>
          <w:sz w:val="32"/>
          <w:szCs w:val="22"/>
          <w:lang w:eastAsia="zh-CN"/>
        </w:rPr>
        <w:t>航电枢纽与集控中心生产管理系统</w:t>
      </w:r>
      <w:r>
        <w:rPr>
          <w:rFonts w:hint="eastAsia"/>
          <w:b/>
          <w:bCs/>
          <w:sz w:val="32"/>
          <w:szCs w:val="22"/>
        </w:rPr>
        <w:t>建设项目</w:t>
      </w:r>
    </w:p>
    <w:p>
      <w:pPr>
        <w:pStyle w:val="4"/>
      </w:pPr>
      <w:bookmarkStart w:id="2" w:name="_Toc144386134"/>
      <w:r>
        <w:rPr>
          <w:rFonts w:hint="eastAsia"/>
        </w:rPr>
        <w:t>1.询价条件</w:t>
      </w:r>
      <w:bookmarkEnd w:id="2"/>
    </w:p>
    <w:p>
      <w:pPr>
        <w:ind w:firstLine="480"/>
        <w:jc w:val="both"/>
      </w:pPr>
      <w:r>
        <w:rPr>
          <w:rFonts w:hint="eastAsia"/>
        </w:rPr>
        <w:t>本项目重庆航发集团</w:t>
      </w:r>
      <w:r>
        <w:rPr>
          <w:rFonts w:hint="eastAsia"/>
          <w:lang w:eastAsia="zh-CN"/>
        </w:rPr>
        <w:t>航电枢纽与集控中心生产管理系统</w:t>
      </w:r>
      <w:r>
        <w:rPr>
          <w:rFonts w:hint="eastAsia"/>
        </w:rPr>
        <w:t>(以下简称：</w:t>
      </w:r>
      <w:r>
        <w:rPr>
          <w:rFonts w:hint="eastAsia"/>
          <w:lang w:eastAsia="zh-CN"/>
        </w:rPr>
        <w:t>生产管理系统</w:t>
      </w:r>
      <w:r>
        <w:rPr>
          <w:rFonts w:hint="eastAsia"/>
        </w:rPr>
        <w:t>)建设项目询价公告已具备发包条件，询价人为</w:t>
      </w:r>
      <w:r>
        <w:rPr>
          <w:rFonts w:hint="eastAsia"/>
          <w:color w:val="auto"/>
        </w:rPr>
        <w:t>重庆航运建设发展(集团)有限公司。根据实际工作需要，现计划对该项目采取在高速集团官网公开询价方式确定服务单位。</w:t>
      </w:r>
    </w:p>
    <w:p>
      <w:pPr>
        <w:pStyle w:val="4"/>
      </w:pPr>
      <w:bookmarkStart w:id="3" w:name="_Toc144386135"/>
      <w:r>
        <w:rPr>
          <w:rFonts w:hint="eastAsia"/>
        </w:rPr>
        <w:t>2.项目概况与询价工作范围</w:t>
      </w:r>
      <w:bookmarkEnd w:id="3"/>
    </w:p>
    <w:p>
      <w:pPr>
        <w:pStyle w:val="29"/>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2.1 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重庆航发集团航电枢纽集中控制调度中心于2022年12月30日基本建成，现全面负责</w:t>
      </w:r>
      <w:r>
        <w:rPr>
          <w:rFonts w:hint="default" w:ascii="Times New Roman" w:hAnsi="Times New Roman" w:eastAsia="宋体" w:cs="Times New Roman"/>
          <w:kern w:val="2"/>
          <w:sz w:val="24"/>
          <w:szCs w:val="20"/>
          <w:highlight w:val="none"/>
          <w:lang w:val="en-US" w:eastAsia="zh-CN" w:bidi="ar-SA"/>
        </w:rPr>
        <w:t>草街、潼南、富金坝、渭沱</w:t>
      </w:r>
      <w:r>
        <w:rPr>
          <w:rFonts w:hint="eastAsia" w:ascii="Times New Roman" w:hAnsi="Times New Roman" w:eastAsia="宋体" w:cs="Times New Roman"/>
          <w:kern w:val="2"/>
          <w:sz w:val="24"/>
          <w:szCs w:val="20"/>
          <w:highlight w:val="none"/>
          <w:lang w:val="en-US" w:eastAsia="zh-CN" w:bidi="ar-SA"/>
        </w:rPr>
        <w:t>四座</w:t>
      </w:r>
      <w:r>
        <w:rPr>
          <w:rFonts w:hint="default" w:ascii="Times New Roman" w:hAnsi="Times New Roman" w:eastAsia="宋体" w:cs="Times New Roman"/>
          <w:kern w:val="2"/>
          <w:sz w:val="24"/>
          <w:szCs w:val="20"/>
          <w:highlight w:val="none"/>
          <w:lang w:val="en-US" w:eastAsia="zh-CN" w:bidi="ar-SA"/>
        </w:rPr>
        <w:t>航电枢纽</w:t>
      </w:r>
      <w:r>
        <w:rPr>
          <w:rFonts w:hint="eastAsia" w:ascii="Times New Roman" w:hAnsi="Times New Roman" w:eastAsia="宋体" w:cs="Times New Roman"/>
          <w:kern w:val="2"/>
          <w:sz w:val="24"/>
          <w:szCs w:val="20"/>
          <w:highlight w:val="none"/>
          <w:lang w:val="en-US" w:eastAsia="zh-CN" w:bidi="ar-SA"/>
        </w:rPr>
        <w:t>的运行调度工作。</w:t>
      </w:r>
      <w:r>
        <w:rPr>
          <w:rFonts w:hint="eastAsia" w:ascii="Times New Roman" w:hAnsi="Times New Roman" w:eastAsia="宋体" w:cs="Times New Roman"/>
          <w:kern w:val="2"/>
          <w:sz w:val="24"/>
          <w:szCs w:val="20"/>
          <w:lang w:val="en-US" w:eastAsia="zh-CN" w:bidi="ar-SA"/>
        </w:rPr>
        <w:t>作为航电枢纽安全运行调度的一体化管控平台，高效率、规范化的运行生产活动是集控中心健康运营的核心。为了更好发挥航发集控中心集约化管理的效能，现需新建一套应用于四座航电枢纽与集控中心，满足电力行业规范要求的生产管理系统。</w:t>
      </w:r>
    </w:p>
    <w:p>
      <w:pPr>
        <w:pStyle w:val="29"/>
        <w:outlineLvl w:val="2"/>
      </w:pPr>
      <w:r>
        <w:rPr>
          <w:rFonts w:hint="eastAsia"/>
        </w:rPr>
        <w:t>2.2</w:t>
      </w:r>
      <w:r>
        <w:rPr>
          <w:rFonts w:hint="eastAsia"/>
          <w:lang w:val="en-US" w:eastAsia="zh-CN"/>
        </w:rPr>
        <w:t xml:space="preserve"> </w:t>
      </w:r>
      <w:r>
        <w:rPr>
          <w:rFonts w:hint="eastAsia"/>
        </w:rPr>
        <w:t>本次询价项目最高限价金额：</w:t>
      </w:r>
      <w:r>
        <w:rPr>
          <w:rFonts w:hint="eastAsia"/>
          <w:color w:val="auto"/>
          <w:lang w:val="en-US" w:eastAsia="zh-CN"/>
        </w:rPr>
        <w:t>789690</w:t>
      </w:r>
      <w:r>
        <w:rPr>
          <w:rFonts w:hint="eastAsia" w:ascii="Times New Roman" w:hAnsi="Times New Roman" w:eastAsia="宋体" w:cs="Times New Roman"/>
          <w:color w:val="auto"/>
          <w:kern w:val="2"/>
          <w:sz w:val="24"/>
          <w:szCs w:val="20"/>
          <w:lang w:val="en-US" w:eastAsia="zh-CN" w:bidi="ar-SA"/>
        </w:rPr>
        <w:t>.00</w:t>
      </w:r>
      <w:r>
        <w:rPr>
          <w:rFonts w:hint="eastAsia" w:ascii="Times New Roman" w:hAnsi="Times New Roman" w:eastAsia="宋体" w:cs="Times New Roman"/>
          <w:kern w:val="2"/>
          <w:sz w:val="24"/>
          <w:szCs w:val="20"/>
          <w:lang w:val="en-US" w:eastAsia="zh-CN" w:bidi="ar-SA"/>
        </w:rPr>
        <w:t>元</w:t>
      </w:r>
      <w:r>
        <w:rPr>
          <w:rFonts w:hint="eastAsia"/>
          <w:color w:val="auto"/>
        </w:rPr>
        <w:t>。</w:t>
      </w:r>
    </w:p>
    <w:p>
      <w:pPr>
        <w:ind w:firstLine="480"/>
        <w:rPr>
          <w:color w:val="auto"/>
        </w:rPr>
      </w:pPr>
      <w:r>
        <w:rPr>
          <w:rFonts w:hint="eastAsia"/>
          <w:color w:val="auto"/>
        </w:rPr>
        <w:t>请报价人注意报价不得高于或等于此最高限价，否则报价将被否决。</w:t>
      </w:r>
    </w:p>
    <w:p>
      <w:pPr>
        <w:pStyle w:val="29"/>
        <w:outlineLvl w:val="2"/>
      </w:pPr>
      <w:r>
        <w:rPr>
          <w:rFonts w:hint="eastAsia"/>
        </w:rPr>
        <w:t>2.3</w:t>
      </w:r>
      <w:r>
        <w:rPr>
          <w:rFonts w:hint="eastAsia"/>
          <w:lang w:val="en-US" w:eastAsia="zh-CN"/>
        </w:rPr>
        <w:t xml:space="preserve"> </w:t>
      </w:r>
      <w:r>
        <w:rPr>
          <w:rFonts w:hint="eastAsia"/>
        </w:rPr>
        <w:t>询价范围：（主要包括以下内容，其他详见</w:t>
      </w:r>
      <w:r>
        <w:rPr>
          <w:rFonts w:hint="eastAsia"/>
          <w:lang w:val="en-US" w:eastAsia="zh-CN"/>
        </w:rPr>
        <w:t>第三章</w:t>
      </w:r>
      <w:r>
        <w:rPr>
          <w:rFonts w:hint="eastAsia"/>
        </w:rPr>
        <w:t>技术条款要求）</w:t>
      </w:r>
    </w:p>
    <w:p>
      <w:pPr>
        <w:ind w:firstLine="480"/>
        <w:rPr>
          <w:rFonts w:hint="default" w:eastAsia="宋体"/>
          <w:lang w:val="en-US" w:eastAsia="zh-CN"/>
        </w:rPr>
      </w:pPr>
      <w:r>
        <w:rPr>
          <w:rFonts w:hint="eastAsia"/>
        </w:rPr>
        <w:t>本项目的实施范围为重庆航发集团所辖4</w:t>
      </w:r>
      <w:r>
        <w:rPr>
          <w:rFonts w:hint="eastAsia"/>
          <w:lang w:val="en-US" w:eastAsia="zh-CN"/>
        </w:rPr>
        <w:t>座</w:t>
      </w:r>
      <w:r>
        <w:rPr>
          <w:rFonts w:hint="eastAsia"/>
          <w:lang w:eastAsia="zh-CN"/>
        </w:rPr>
        <w:t>航电枢纽与集控中心生产管理系统</w:t>
      </w:r>
      <w:r>
        <w:rPr>
          <w:rFonts w:hint="eastAsia"/>
        </w:rPr>
        <w:t>建设。</w:t>
      </w:r>
    </w:p>
    <w:p>
      <w:pPr>
        <w:pStyle w:val="29"/>
        <w:outlineLvl w:val="3"/>
      </w:pPr>
      <w:r>
        <w:rPr>
          <w:rFonts w:hint="eastAsia"/>
        </w:rPr>
        <w:t>2.3.1 硬件设备及系统应用功能部分：</w:t>
      </w:r>
    </w:p>
    <w:p>
      <w:pPr>
        <w:ind w:firstLine="480"/>
      </w:pPr>
      <w:r>
        <w:rPr>
          <w:rFonts w:hint="eastAsia"/>
        </w:rPr>
        <w:t>（1）提供</w:t>
      </w:r>
      <w:r>
        <w:rPr>
          <w:rFonts w:hint="eastAsia"/>
          <w:lang w:eastAsia="zh-CN"/>
        </w:rPr>
        <w:t>生产管理系统</w:t>
      </w:r>
      <w:r>
        <w:rPr>
          <w:rFonts w:hint="eastAsia"/>
        </w:rPr>
        <w:t>应用服务器、数据库服务器、web发布服务器，</w:t>
      </w:r>
      <w:r>
        <w:rPr>
          <w:rFonts w:hint="eastAsia"/>
          <w:lang w:val="en-US" w:eastAsia="zh-CN"/>
        </w:rPr>
        <w:t>需</w:t>
      </w:r>
      <w:r>
        <w:rPr>
          <w:rFonts w:hint="eastAsia"/>
        </w:rPr>
        <w:t>满足</w:t>
      </w:r>
      <w:r>
        <w:rPr>
          <w:rFonts w:hint="eastAsia"/>
          <w:lang w:eastAsia="zh-CN"/>
        </w:rPr>
        <w:t>生产管理系统</w:t>
      </w:r>
      <w:r>
        <w:rPr>
          <w:rFonts w:hint="eastAsia"/>
        </w:rPr>
        <w:t>主机及存储相关</w:t>
      </w:r>
      <w:r>
        <w:rPr>
          <w:rFonts w:hint="eastAsia"/>
          <w:lang w:val="en-US" w:eastAsia="zh-CN"/>
        </w:rPr>
        <w:t>技术</w:t>
      </w:r>
      <w:r>
        <w:rPr>
          <w:rFonts w:hint="eastAsia"/>
        </w:rPr>
        <w:t>要求；</w:t>
      </w:r>
    </w:p>
    <w:p>
      <w:pPr>
        <w:ind w:firstLine="480"/>
      </w:pPr>
      <w:r>
        <w:rPr>
          <w:rFonts w:hint="eastAsia"/>
        </w:rPr>
        <w:t>（2）提供</w:t>
      </w:r>
      <w:r>
        <w:rPr>
          <w:rFonts w:hint="eastAsia"/>
          <w:lang w:eastAsia="zh-CN"/>
        </w:rPr>
        <w:t>生产管理系统</w:t>
      </w:r>
      <w:r>
        <w:rPr>
          <w:rFonts w:hint="eastAsia"/>
        </w:rPr>
        <w:t>网络安全防护设备，要求满足</w:t>
      </w:r>
      <w:r>
        <w:rPr>
          <w:rFonts w:hint="eastAsia"/>
          <w:lang w:eastAsia="zh-CN"/>
        </w:rPr>
        <w:t>生产管理系统</w:t>
      </w:r>
      <w:r>
        <w:rPr>
          <w:rFonts w:hint="eastAsia"/>
        </w:rPr>
        <w:t>安全防护相关要求；</w:t>
      </w:r>
    </w:p>
    <w:p>
      <w:pPr>
        <w:ind w:firstLine="480"/>
        <w:rPr>
          <w:rFonts w:hint="eastAsia"/>
          <w:lang w:eastAsia="zh-CN"/>
        </w:rPr>
      </w:pPr>
      <w:r>
        <w:rPr>
          <w:rFonts w:hint="eastAsia"/>
        </w:rPr>
        <w:t>（3）提供一套完整的</w:t>
      </w:r>
      <w:r>
        <w:rPr>
          <w:rFonts w:hint="eastAsia"/>
          <w:lang w:eastAsia="zh-CN"/>
        </w:rPr>
        <w:t>生产管理系统</w:t>
      </w:r>
      <w:r>
        <w:rPr>
          <w:rFonts w:hint="eastAsia"/>
        </w:rPr>
        <w:t>应用软件，要求满足</w:t>
      </w:r>
      <w:r>
        <w:rPr>
          <w:rFonts w:hint="eastAsia"/>
          <w:lang w:eastAsia="zh-CN"/>
        </w:rPr>
        <w:t>生产管理系统</w:t>
      </w:r>
      <w:r>
        <w:rPr>
          <w:rFonts w:hint="eastAsia"/>
        </w:rPr>
        <w:t>应用功能模块配置相关要求</w:t>
      </w:r>
      <w:r>
        <w:rPr>
          <w:rFonts w:hint="eastAsia"/>
          <w:lang w:eastAsia="zh-CN"/>
        </w:rPr>
        <w:t>。</w:t>
      </w:r>
    </w:p>
    <w:p>
      <w:pPr>
        <w:pStyle w:val="2"/>
        <w:rPr>
          <w:rFonts w:hint="eastAsia"/>
          <w:lang w:eastAsia="zh-CN"/>
        </w:rPr>
      </w:pPr>
      <w:r>
        <w:rPr>
          <w:rFonts w:hint="eastAsia" w:ascii="Times New Roman" w:hAnsi="Times New Roman" w:eastAsia="宋体" w:cs="Times New Roman"/>
          <w:color w:val="auto"/>
          <w:kern w:val="2"/>
          <w:sz w:val="24"/>
          <w:szCs w:val="20"/>
          <w:highlight w:val="none"/>
          <w:lang w:val="en-US" w:eastAsia="zh-CN" w:bidi="ar-SA"/>
        </w:rPr>
        <w:t>（4）本系统可支持用户许可数不低于</w:t>
      </w:r>
      <w:r>
        <w:rPr>
          <w:rFonts w:hint="eastAsia" w:cs="Times New Roman"/>
          <w:color w:val="auto"/>
          <w:kern w:val="2"/>
          <w:sz w:val="24"/>
          <w:szCs w:val="20"/>
          <w:highlight w:val="none"/>
          <w:lang w:val="en-US" w:eastAsia="zh-CN" w:bidi="ar-SA"/>
        </w:rPr>
        <w:t>5</w:t>
      </w:r>
      <w:r>
        <w:rPr>
          <w:rFonts w:hint="eastAsia" w:ascii="Times New Roman" w:hAnsi="Times New Roman" w:eastAsia="宋体" w:cs="Times New Roman"/>
          <w:color w:val="auto"/>
          <w:kern w:val="2"/>
          <w:sz w:val="24"/>
          <w:szCs w:val="20"/>
          <w:highlight w:val="none"/>
          <w:lang w:val="en-US" w:eastAsia="zh-CN" w:bidi="ar-SA"/>
        </w:rPr>
        <w:t>00个。</w:t>
      </w:r>
    </w:p>
    <w:p>
      <w:pPr>
        <w:pStyle w:val="29"/>
        <w:outlineLvl w:val="3"/>
      </w:pPr>
      <w:r>
        <w:rPr>
          <w:rFonts w:hint="eastAsia"/>
        </w:rPr>
        <w:t>2.3.2 安装、调试及其他服务部分：</w:t>
      </w:r>
    </w:p>
    <w:p>
      <w:pPr>
        <w:spacing w:line="360" w:lineRule="auto"/>
        <w:ind w:firstLine="480" w:firstLineChars="200"/>
        <w:rPr>
          <w:rFonts w:hint="eastAsia" w:cs="宋体-简"/>
          <w:sz w:val="24"/>
          <w:szCs w:val="24"/>
          <w:lang w:eastAsia="zh-CN"/>
        </w:rPr>
      </w:pPr>
      <w:r>
        <w:rPr>
          <w:rFonts w:hint="eastAsia" w:cs="宋体-简"/>
          <w:sz w:val="24"/>
          <w:szCs w:val="24"/>
          <w:lang w:eastAsia="zh-CN"/>
        </w:rPr>
        <w:t>（1）参与重庆航发集团所辖4</w:t>
      </w:r>
      <w:r>
        <w:rPr>
          <w:rFonts w:hint="eastAsia" w:cs="宋体-简"/>
          <w:sz w:val="24"/>
          <w:szCs w:val="24"/>
          <w:lang w:val="en-US" w:eastAsia="zh-CN"/>
        </w:rPr>
        <w:t>座</w:t>
      </w:r>
      <w:r>
        <w:rPr>
          <w:rFonts w:hint="eastAsia" w:cs="宋体-简"/>
          <w:sz w:val="24"/>
          <w:szCs w:val="24"/>
          <w:lang w:eastAsia="zh-CN"/>
        </w:rPr>
        <w:t>航电枢纽</w:t>
      </w:r>
      <w:r>
        <w:rPr>
          <w:rFonts w:hint="eastAsia" w:cs="宋体-简"/>
          <w:sz w:val="24"/>
          <w:szCs w:val="24"/>
          <w:lang w:val="en-US" w:eastAsia="zh-CN"/>
        </w:rPr>
        <w:t>与</w:t>
      </w:r>
      <w:r>
        <w:rPr>
          <w:rFonts w:hint="eastAsia" w:cs="宋体-简"/>
          <w:sz w:val="24"/>
          <w:szCs w:val="24"/>
          <w:lang w:eastAsia="zh-CN"/>
        </w:rPr>
        <w:t>集控中心调度相关业务流程</w:t>
      </w:r>
      <w:r>
        <w:rPr>
          <w:rFonts w:hint="eastAsia" w:cs="宋体-简"/>
          <w:sz w:val="24"/>
          <w:szCs w:val="24"/>
          <w:lang w:val="en-US" w:eastAsia="zh-CN"/>
        </w:rPr>
        <w:t>梳理</w:t>
      </w:r>
      <w:r>
        <w:rPr>
          <w:rFonts w:hint="eastAsia" w:cs="宋体-简"/>
          <w:sz w:val="24"/>
          <w:szCs w:val="24"/>
          <w:lang w:eastAsia="zh-CN"/>
        </w:rPr>
        <w:t>，进行流程优化</w:t>
      </w:r>
      <w:r>
        <w:rPr>
          <w:rFonts w:hint="eastAsia" w:cs="宋体-简"/>
          <w:sz w:val="24"/>
          <w:szCs w:val="24"/>
          <w:lang w:val="en-US" w:eastAsia="zh-CN"/>
        </w:rPr>
        <w:t>及</w:t>
      </w:r>
      <w:r>
        <w:rPr>
          <w:rFonts w:hint="eastAsia" w:cs="宋体-简"/>
          <w:sz w:val="24"/>
          <w:szCs w:val="24"/>
          <w:lang w:eastAsia="zh-CN"/>
        </w:rPr>
        <w:t>标准化</w:t>
      </w:r>
      <w:r>
        <w:rPr>
          <w:rFonts w:hint="eastAsia" w:cs="宋体-简"/>
          <w:sz w:val="24"/>
          <w:szCs w:val="24"/>
          <w:lang w:val="en-US" w:eastAsia="zh-CN"/>
        </w:rPr>
        <w:t>建设</w:t>
      </w:r>
      <w:r>
        <w:rPr>
          <w:rFonts w:hint="eastAsia" w:cs="宋体-简"/>
          <w:sz w:val="24"/>
          <w:szCs w:val="24"/>
          <w:lang w:eastAsia="zh-CN"/>
        </w:rPr>
        <w:t>；</w:t>
      </w:r>
    </w:p>
    <w:p>
      <w:pPr>
        <w:widowControl/>
        <w:spacing w:line="360" w:lineRule="auto"/>
        <w:ind w:firstLine="480" w:firstLineChars="200"/>
        <w:rPr>
          <w:rFonts w:hint="eastAsia"/>
          <w:bCs/>
          <w:sz w:val="24"/>
          <w:szCs w:val="24"/>
          <w:lang w:eastAsia="zh-CN"/>
        </w:rPr>
      </w:pPr>
      <w:r>
        <w:rPr>
          <w:rFonts w:hint="eastAsia"/>
          <w:bCs/>
          <w:sz w:val="24"/>
          <w:szCs w:val="24"/>
          <w:lang w:eastAsia="zh-CN"/>
        </w:rPr>
        <w:t>（</w:t>
      </w:r>
      <w:r>
        <w:rPr>
          <w:rFonts w:hint="eastAsia"/>
          <w:bCs/>
          <w:sz w:val="24"/>
          <w:szCs w:val="24"/>
          <w:lang w:val="en-US" w:eastAsia="zh-CN"/>
        </w:rPr>
        <w:t>2</w:t>
      </w:r>
      <w:r>
        <w:rPr>
          <w:rFonts w:hint="eastAsia"/>
          <w:bCs/>
          <w:sz w:val="24"/>
          <w:szCs w:val="24"/>
          <w:lang w:eastAsia="zh-CN"/>
        </w:rPr>
        <w:t>）负责组织</w:t>
      </w:r>
      <w:r>
        <w:rPr>
          <w:rFonts w:hint="eastAsia"/>
          <w:bCs/>
          <w:color w:val="auto"/>
          <w:sz w:val="24"/>
          <w:szCs w:val="24"/>
          <w:u w:val="single"/>
          <w:lang w:eastAsia="zh-CN"/>
        </w:rPr>
        <w:t>重庆航发集团航电枢纽集控中心生产管理系统建设项目</w:t>
      </w:r>
      <w:r>
        <w:rPr>
          <w:rFonts w:hint="eastAsia"/>
          <w:bCs/>
          <w:sz w:val="24"/>
          <w:szCs w:val="24"/>
          <w:lang w:eastAsia="zh-CN"/>
        </w:rPr>
        <w:t>设计联络会，为施工前的生产管理系统</w:t>
      </w:r>
      <w:r>
        <w:rPr>
          <w:rFonts w:hint="eastAsia"/>
          <w:bCs/>
          <w:sz w:val="24"/>
          <w:szCs w:val="24"/>
          <w:lang w:val="en-US" w:eastAsia="zh-CN"/>
        </w:rPr>
        <w:t>功能配置方案</w:t>
      </w:r>
      <w:r>
        <w:rPr>
          <w:rFonts w:hint="eastAsia"/>
          <w:bCs/>
          <w:sz w:val="24"/>
          <w:szCs w:val="24"/>
          <w:lang w:eastAsia="zh-CN"/>
        </w:rPr>
        <w:t>、实施方案、系统网络架构拓扑图、系统网络安防平台召开评审会。</w:t>
      </w:r>
    </w:p>
    <w:p>
      <w:pPr>
        <w:spacing w:line="360" w:lineRule="auto"/>
        <w:ind w:firstLine="480" w:firstLineChars="200"/>
        <w:rPr>
          <w:rFonts w:hint="eastAsia" w:cs="宋体-简"/>
          <w:sz w:val="24"/>
          <w:szCs w:val="24"/>
          <w:lang w:eastAsia="zh-CN"/>
        </w:rPr>
      </w:pPr>
      <w:r>
        <w:rPr>
          <w:rFonts w:hint="eastAsia" w:cs="宋体-简"/>
          <w:sz w:val="24"/>
          <w:szCs w:val="24"/>
          <w:lang w:eastAsia="zh-CN"/>
        </w:rPr>
        <w:t>（</w:t>
      </w:r>
      <w:r>
        <w:rPr>
          <w:rFonts w:hint="eastAsia" w:cs="宋体-简"/>
          <w:sz w:val="24"/>
          <w:szCs w:val="24"/>
          <w:lang w:val="en-US" w:eastAsia="zh-CN"/>
        </w:rPr>
        <w:t>3</w:t>
      </w:r>
      <w:r>
        <w:rPr>
          <w:rFonts w:hint="eastAsia" w:cs="宋体-简"/>
          <w:sz w:val="24"/>
          <w:szCs w:val="24"/>
          <w:lang w:eastAsia="zh-CN"/>
        </w:rPr>
        <w:t>）达到本系统</w:t>
      </w:r>
      <w:r>
        <w:rPr>
          <w:rFonts w:hint="eastAsia" w:cs="宋体-简"/>
          <w:sz w:val="24"/>
          <w:szCs w:val="24"/>
          <w:highlight w:val="none"/>
          <w:lang w:eastAsia="zh-CN"/>
        </w:rPr>
        <w:t>技术条款</w:t>
      </w:r>
      <w:r>
        <w:rPr>
          <w:rFonts w:hint="eastAsia" w:cs="宋体-简"/>
          <w:sz w:val="24"/>
          <w:szCs w:val="24"/>
          <w:lang w:eastAsia="zh-CN"/>
        </w:rPr>
        <w:t>规定的全部功能要求，进行软硬件安装、调试；</w:t>
      </w:r>
    </w:p>
    <w:p>
      <w:pPr>
        <w:spacing w:line="360" w:lineRule="auto"/>
        <w:ind w:firstLine="480" w:firstLineChars="200"/>
        <w:rPr>
          <w:rFonts w:hint="eastAsia" w:cs="宋体-简"/>
          <w:sz w:val="24"/>
          <w:szCs w:val="24"/>
          <w:lang w:eastAsia="zh-CN"/>
        </w:rPr>
      </w:pPr>
      <w:r>
        <w:rPr>
          <w:rFonts w:hint="eastAsia" w:cs="宋体-简"/>
          <w:sz w:val="24"/>
          <w:szCs w:val="24"/>
          <w:lang w:eastAsia="zh-CN"/>
        </w:rPr>
        <w:t>（</w:t>
      </w:r>
      <w:r>
        <w:rPr>
          <w:rFonts w:hint="eastAsia" w:cs="宋体-简"/>
          <w:sz w:val="24"/>
          <w:szCs w:val="24"/>
          <w:lang w:val="en-US" w:eastAsia="zh-CN"/>
        </w:rPr>
        <w:t>4</w:t>
      </w:r>
      <w:r>
        <w:rPr>
          <w:rFonts w:hint="eastAsia" w:cs="宋体-简"/>
          <w:sz w:val="24"/>
          <w:szCs w:val="24"/>
          <w:lang w:eastAsia="zh-CN"/>
        </w:rPr>
        <w:t>）根据本</w:t>
      </w:r>
      <w:r>
        <w:rPr>
          <w:rFonts w:hint="eastAsia" w:cs="宋体-简"/>
          <w:sz w:val="24"/>
          <w:szCs w:val="24"/>
          <w:lang w:val="en-US" w:eastAsia="zh-CN"/>
        </w:rPr>
        <w:t>系统</w:t>
      </w:r>
      <w:r>
        <w:rPr>
          <w:rFonts w:hint="eastAsia" w:cs="宋体-简"/>
          <w:sz w:val="24"/>
          <w:szCs w:val="24"/>
          <w:highlight w:val="none"/>
          <w:lang w:eastAsia="zh-CN"/>
        </w:rPr>
        <w:t>技术</w:t>
      </w:r>
      <w:r>
        <w:rPr>
          <w:rFonts w:hint="eastAsia" w:cs="宋体-简"/>
          <w:sz w:val="24"/>
          <w:szCs w:val="24"/>
          <w:highlight w:val="none"/>
          <w:lang w:val="en-US" w:eastAsia="zh-CN"/>
        </w:rPr>
        <w:t>条款</w:t>
      </w:r>
      <w:r>
        <w:rPr>
          <w:rFonts w:hint="eastAsia" w:cs="宋体-简"/>
          <w:sz w:val="24"/>
          <w:szCs w:val="24"/>
          <w:lang w:eastAsia="zh-CN"/>
        </w:rPr>
        <w:t>的要求，向重庆航发集团所辖4</w:t>
      </w:r>
      <w:r>
        <w:rPr>
          <w:rFonts w:hint="eastAsia" w:cs="宋体-简"/>
          <w:sz w:val="24"/>
          <w:szCs w:val="24"/>
          <w:lang w:val="en-US" w:eastAsia="zh-CN"/>
        </w:rPr>
        <w:t>座</w:t>
      </w:r>
      <w:r>
        <w:rPr>
          <w:rFonts w:hint="eastAsia" w:cs="宋体-简"/>
          <w:sz w:val="24"/>
          <w:szCs w:val="24"/>
          <w:lang w:eastAsia="zh-CN"/>
        </w:rPr>
        <w:t>航电枢纽</w:t>
      </w:r>
      <w:r>
        <w:rPr>
          <w:rFonts w:hint="eastAsia" w:cs="宋体-简"/>
          <w:sz w:val="24"/>
          <w:szCs w:val="24"/>
          <w:lang w:val="en-US" w:eastAsia="zh-CN"/>
        </w:rPr>
        <w:t>与</w:t>
      </w:r>
      <w:r>
        <w:rPr>
          <w:rFonts w:hint="eastAsia" w:cs="宋体-简"/>
          <w:sz w:val="24"/>
          <w:szCs w:val="24"/>
          <w:lang w:eastAsia="zh-CN"/>
        </w:rPr>
        <w:t>集控中心提供详细的各类系统资料，负责培训相关人员，使他们能够熟练使用、维护本系统。</w:t>
      </w:r>
    </w:p>
    <w:p>
      <w:pPr>
        <w:ind w:firstLine="480"/>
        <w:rPr>
          <w:rFonts w:hint="eastAsia" w:ascii="宋体" w:hAnsi="宋体"/>
          <w:sz w:val="24"/>
          <w:lang w:eastAsia="zh-CN"/>
        </w:rPr>
      </w:pPr>
      <w:r>
        <w:rPr>
          <w:rFonts w:hint="eastAsia"/>
          <w:color w:val="auto"/>
          <w:highlight w:val="none"/>
        </w:rPr>
        <w:t>（</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系统硬件产品在完成系统平台搭建，软件功能实现运行管理、设备管理、检修管理及两票管理基础模块功能，经</w:t>
      </w:r>
      <w:r>
        <w:rPr>
          <w:rFonts w:hint="eastAsia"/>
          <w:color w:val="auto"/>
          <w:highlight w:val="none"/>
        </w:rPr>
        <w:t>验收</w:t>
      </w:r>
      <w:r>
        <w:rPr>
          <w:rFonts w:hint="eastAsia"/>
          <w:color w:val="auto"/>
          <w:highlight w:val="none"/>
          <w:lang w:val="en-US" w:eastAsia="zh-CN"/>
        </w:rPr>
        <w:t>合格</w:t>
      </w:r>
      <w:r>
        <w:rPr>
          <w:rFonts w:hint="eastAsia"/>
          <w:color w:val="auto"/>
          <w:highlight w:val="none"/>
        </w:rPr>
        <w:t>之日起算，</w:t>
      </w:r>
      <w:r>
        <w:rPr>
          <w:rFonts w:hint="eastAsia"/>
          <w:color w:val="auto"/>
          <w:highlight w:val="none"/>
          <w:lang w:val="en-US" w:eastAsia="zh-CN"/>
        </w:rPr>
        <w:t>相应硬件产品</w:t>
      </w:r>
      <w:r>
        <w:rPr>
          <w:rFonts w:hint="eastAsia"/>
          <w:color w:val="auto"/>
          <w:highlight w:val="none"/>
        </w:rPr>
        <w:t>提供三年质保维护服务</w:t>
      </w:r>
      <w:r>
        <w:rPr>
          <w:rFonts w:hint="eastAsia"/>
          <w:color w:val="auto"/>
          <w:highlight w:val="none"/>
          <w:lang w:eastAsia="zh-CN"/>
        </w:rPr>
        <w:t>；生产管理系统</w:t>
      </w:r>
      <w:r>
        <w:rPr>
          <w:rFonts w:hint="eastAsia"/>
          <w:color w:val="auto"/>
          <w:highlight w:val="none"/>
        </w:rPr>
        <w:t>，自项目</w:t>
      </w:r>
      <w:r>
        <w:rPr>
          <w:rFonts w:hint="eastAsia"/>
          <w:color w:val="auto"/>
          <w:highlight w:val="none"/>
          <w:lang w:val="en-US" w:eastAsia="zh-CN"/>
        </w:rPr>
        <w:t>整体</w:t>
      </w:r>
      <w:r>
        <w:rPr>
          <w:rFonts w:hint="eastAsia"/>
          <w:color w:val="auto"/>
          <w:highlight w:val="none"/>
        </w:rPr>
        <w:t>验收</w:t>
      </w:r>
      <w:r>
        <w:rPr>
          <w:rFonts w:hint="eastAsia"/>
          <w:color w:val="auto"/>
          <w:highlight w:val="none"/>
          <w:lang w:val="en-US" w:eastAsia="zh-CN"/>
        </w:rPr>
        <w:t>合格</w:t>
      </w:r>
      <w:r>
        <w:rPr>
          <w:rFonts w:hint="eastAsia"/>
          <w:color w:val="auto"/>
          <w:highlight w:val="none"/>
        </w:rPr>
        <w:t>之日起算，提供</w:t>
      </w:r>
      <w:r>
        <w:rPr>
          <w:rFonts w:hint="eastAsia"/>
          <w:color w:val="auto"/>
          <w:highlight w:val="none"/>
          <w:lang w:val="en-US" w:eastAsia="zh-CN"/>
        </w:rPr>
        <w:t>为期</w:t>
      </w:r>
      <w:r>
        <w:rPr>
          <w:rFonts w:hint="eastAsia"/>
          <w:color w:val="auto"/>
          <w:highlight w:val="none"/>
        </w:rPr>
        <w:t>一年</w:t>
      </w:r>
      <w:r>
        <w:rPr>
          <w:rFonts w:hint="eastAsia"/>
          <w:color w:val="auto"/>
          <w:highlight w:val="none"/>
          <w:lang w:val="en-US" w:eastAsia="zh-CN"/>
        </w:rPr>
        <w:t>的</w:t>
      </w:r>
      <w:r>
        <w:rPr>
          <w:rFonts w:hint="eastAsia"/>
          <w:color w:val="auto"/>
          <w:highlight w:val="none"/>
        </w:rPr>
        <w:t>系统质保维护服务</w:t>
      </w:r>
      <w:r>
        <w:rPr>
          <w:rFonts w:hint="eastAsia"/>
          <w:color w:val="auto"/>
          <w:highlight w:val="none"/>
          <w:lang w:val="en-US" w:eastAsia="zh-CN"/>
        </w:rPr>
        <w:t>，服务内容包括针对</w:t>
      </w:r>
      <w:r>
        <w:rPr>
          <w:rFonts w:hint="eastAsia" w:ascii="宋体" w:hAnsi="宋体"/>
          <w:sz w:val="24"/>
          <w:lang w:val="en-US" w:eastAsia="zh-CN"/>
        </w:rPr>
        <w:t>系统</w:t>
      </w:r>
      <w:r>
        <w:rPr>
          <w:rFonts w:hint="eastAsia" w:ascii="宋体" w:hAnsi="宋体"/>
          <w:sz w:val="24"/>
        </w:rPr>
        <w:t>出现的故障，</w:t>
      </w:r>
      <w:r>
        <w:rPr>
          <w:rFonts w:hint="eastAsia" w:ascii="宋体" w:hAnsi="宋体"/>
          <w:sz w:val="24"/>
          <w:lang w:val="en-US" w:eastAsia="zh-CN"/>
        </w:rPr>
        <w:t>报价人</w:t>
      </w:r>
      <w:r>
        <w:rPr>
          <w:rFonts w:hint="eastAsia" w:ascii="宋体" w:hAnsi="宋体"/>
          <w:sz w:val="24"/>
        </w:rPr>
        <w:t>应保证在</w:t>
      </w:r>
      <w:r>
        <w:rPr>
          <w:rFonts w:hint="eastAsia" w:ascii="宋体" w:hAnsi="宋体"/>
          <w:sz w:val="24"/>
          <w:lang w:val="en-US" w:eastAsia="zh-CN"/>
        </w:rPr>
        <w:t>承诺的系统维保期</w:t>
      </w:r>
      <w:r>
        <w:rPr>
          <w:rFonts w:hint="eastAsia" w:ascii="宋体" w:hAnsi="宋体"/>
          <w:sz w:val="24"/>
        </w:rPr>
        <w:t>内，及时提供技术服务，分析故障原因，并及时进行技术修复</w:t>
      </w:r>
      <w:r>
        <w:rPr>
          <w:rFonts w:hint="eastAsia" w:ascii="宋体" w:hAnsi="宋体"/>
          <w:sz w:val="24"/>
          <w:lang w:eastAsia="zh-CN"/>
        </w:rPr>
        <w:t>；</w:t>
      </w:r>
      <w:r>
        <w:rPr>
          <w:rFonts w:hint="eastAsia" w:ascii="宋体" w:hAnsi="宋体"/>
          <w:sz w:val="24"/>
          <w:lang w:val="en-US" w:eastAsia="zh-CN"/>
        </w:rPr>
        <w:t>对于该系统提供一年的技术支持，解答和指导甲方关于技术方面的各项需求。如遇</w:t>
      </w:r>
      <w:r>
        <w:rPr>
          <w:rFonts w:hint="eastAsia" w:ascii="宋体" w:hAnsi="宋体"/>
          <w:sz w:val="24"/>
        </w:rPr>
        <w:t>突发故障或急需解决的问题时</w:t>
      </w:r>
      <w:r>
        <w:rPr>
          <w:rFonts w:hint="eastAsia" w:ascii="宋体" w:hAnsi="宋体"/>
          <w:sz w:val="24"/>
          <w:lang w:eastAsia="zh-CN"/>
        </w:rPr>
        <w:t>，</w:t>
      </w:r>
      <w:r>
        <w:rPr>
          <w:rFonts w:hint="eastAsia" w:ascii="宋体" w:hAnsi="宋体"/>
          <w:sz w:val="24"/>
        </w:rPr>
        <w:t>提供7</w:t>
      </w:r>
      <w:r>
        <w:rPr>
          <w:rFonts w:ascii="宋体" w:hAnsi="宋体"/>
          <w:sz w:val="24"/>
        </w:rPr>
        <w:t>x24h</w:t>
      </w:r>
      <w:r>
        <w:rPr>
          <w:rFonts w:hint="eastAsia" w:ascii="宋体" w:hAnsi="宋体"/>
          <w:sz w:val="24"/>
        </w:rPr>
        <w:t>远程技术服务</w:t>
      </w:r>
      <w:r>
        <w:rPr>
          <w:rFonts w:hint="eastAsia" w:ascii="宋体" w:hAnsi="宋体"/>
          <w:sz w:val="24"/>
          <w:lang w:eastAsia="zh-CN"/>
        </w:rPr>
        <w:t>。</w:t>
      </w:r>
    </w:p>
    <w:p>
      <w:pPr>
        <w:rPr>
          <w:rFonts w:hint="eastAsia"/>
          <w:highlight w:val="none"/>
          <w:lang w:eastAsia="zh-CN"/>
        </w:rPr>
      </w:pPr>
      <w:r>
        <w:rPr>
          <w:rFonts w:hint="eastAsia"/>
          <w:highlight w:val="none"/>
          <w:lang w:eastAsia="zh-CN"/>
        </w:rPr>
        <w:t>（</w:t>
      </w:r>
      <w:r>
        <w:rPr>
          <w:rFonts w:hint="eastAsia"/>
          <w:highlight w:val="none"/>
          <w:lang w:val="en-US" w:eastAsia="zh-CN"/>
        </w:rPr>
        <w:t>6）报价人</w:t>
      </w:r>
      <w:r>
        <w:rPr>
          <w:rFonts w:hint="eastAsia"/>
          <w:highlight w:val="none"/>
        </w:rPr>
        <w:t>应针对本项目成立专门的项目组，确保人力、物力的投入，项目组成员必须稳定，项目组主要成员在项目终验前不得</w:t>
      </w:r>
      <w:r>
        <w:rPr>
          <w:rFonts w:hint="eastAsia"/>
          <w:highlight w:val="none"/>
          <w:lang w:val="en-US" w:eastAsia="zh-CN"/>
        </w:rPr>
        <w:t>轻易</w:t>
      </w:r>
      <w:r>
        <w:rPr>
          <w:rFonts w:hint="eastAsia"/>
          <w:highlight w:val="none"/>
        </w:rPr>
        <w:t>退出或更换</w:t>
      </w:r>
      <w:r>
        <w:rPr>
          <w:rFonts w:hint="eastAsia"/>
          <w:highlight w:val="none"/>
          <w:lang w:eastAsia="zh-CN"/>
        </w:rPr>
        <w:t>，</w:t>
      </w:r>
      <w:r>
        <w:rPr>
          <w:rFonts w:hint="eastAsia"/>
          <w:highlight w:val="none"/>
          <w:lang w:val="en-US" w:eastAsia="zh-CN"/>
        </w:rPr>
        <w:t>项目组成员如需退出或更换应与业主方协商，经业主方同意后方可进行人员变更</w:t>
      </w:r>
      <w:r>
        <w:rPr>
          <w:rFonts w:hint="eastAsia"/>
          <w:highlight w:val="none"/>
          <w:lang w:eastAsia="zh-CN"/>
        </w:rPr>
        <w:t>。</w:t>
      </w:r>
    </w:p>
    <w:p>
      <w:r>
        <w:rPr>
          <w:rFonts w:hint="eastAsia"/>
          <w:highlight w:val="none"/>
          <w:lang w:val="en-US" w:eastAsia="zh-CN"/>
        </w:rPr>
        <w:t>2.</w:t>
      </w:r>
      <w:r>
        <w:rPr>
          <w:rFonts w:hint="eastAsia"/>
        </w:rPr>
        <w:t>4</w:t>
      </w:r>
      <w:r>
        <w:rPr>
          <w:rFonts w:hint="eastAsia"/>
          <w:lang w:val="en-US" w:eastAsia="zh-CN"/>
        </w:rPr>
        <w:t xml:space="preserve"> </w:t>
      </w:r>
      <w:r>
        <w:rPr>
          <w:rFonts w:hint="eastAsia"/>
        </w:rPr>
        <w:t>工期</w:t>
      </w:r>
    </w:p>
    <w:p>
      <w:pPr>
        <w:ind w:firstLine="480"/>
        <w:rPr>
          <w:rFonts w:hint="default" w:eastAsia="宋体"/>
          <w:color w:val="auto"/>
          <w:highlight w:val="none"/>
          <w:lang w:val="en-US" w:eastAsia="zh-CN"/>
        </w:rPr>
      </w:pPr>
      <w:bookmarkStart w:id="4" w:name="_Toc144386136"/>
      <w:r>
        <w:rPr>
          <w:rFonts w:hint="eastAsia"/>
          <w:color w:val="auto"/>
        </w:rPr>
        <w:t>本</w:t>
      </w:r>
      <w:r>
        <w:rPr>
          <w:rFonts w:hint="eastAsia"/>
          <w:color w:val="auto"/>
          <w:lang w:val="en-US" w:eastAsia="zh-CN"/>
        </w:rPr>
        <w:t>项目总工期6个月，在合同</w:t>
      </w:r>
      <w:r>
        <w:rPr>
          <w:rFonts w:hint="eastAsia"/>
          <w:color w:val="auto"/>
        </w:rPr>
        <w:t>签订后</w:t>
      </w:r>
      <w:r>
        <w:rPr>
          <w:rFonts w:hint="eastAsia"/>
          <w:color w:val="auto"/>
          <w:lang w:val="en-US" w:eastAsia="zh-CN"/>
        </w:rPr>
        <w:t>2</w:t>
      </w:r>
      <w:r>
        <w:rPr>
          <w:rFonts w:hint="eastAsia"/>
          <w:color w:val="auto"/>
        </w:rPr>
        <w:t>个月内完成系统软</w:t>
      </w:r>
      <w:r>
        <w:rPr>
          <w:rFonts w:hint="eastAsia"/>
          <w:color w:val="auto"/>
          <w:lang w:eastAsia="zh-CN"/>
        </w:rPr>
        <w:t>、</w:t>
      </w:r>
      <w:r>
        <w:rPr>
          <w:rFonts w:hint="eastAsia"/>
          <w:color w:val="auto"/>
          <w:lang w:val="en-US" w:eastAsia="zh-CN"/>
        </w:rPr>
        <w:t>硬</w:t>
      </w:r>
      <w:r>
        <w:rPr>
          <w:rFonts w:hint="eastAsia"/>
          <w:color w:val="auto"/>
        </w:rPr>
        <w:t>件产品交付</w:t>
      </w:r>
      <w:r>
        <w:rPr>
          <w:rFonts w:hint="eastAsia"/>
          <w:color w:val="auto"/>
          <w:lang w:eastAsia="zh-CN"/>
        </w:rPr>
        <w:t>，</w:t>
      </w:r>
      <w:r>
        <w:rPr>
          <w:rFonts w:hint="eastAsia"/>
          <w:color w:val="auto"/>
          <w:lang w:val="en-US" w:eastAsia="zh-CN"/>
        </w:rPr>
        <w:t>软件实现运行管理、检修管理及两票管理基础模块功能</w:t>
      </w:r>
      <w:r>
        <w:rPr>
          <w:rFonts w:hint="eastAsia"/>
          <w:color w:val="auto"/>
          <w:lang w:eastAsia="zh-CN"/>
        </w:rPr>
        <w:t>，</w:t>
      </w:r>
      <w:r>
        <w:rPr>
          <w:rFonts w:hint="eastAsia"/>
          <w:color w:val="auto"/>
          <w:lang w:val="en-US" w:eastAsia="zh-CN"/>
        </w:rPr>
        <w:t>后续3个月内</w:t>
      </w:r>
      <w:r>
        <w:rPr>
          <w:rFonts w:hint="eastAsia"/>
          <w:color w:val="auto"/>
        </w:rPr>
        <w:t>完成</w:t>
      </w:r>
      <w:r>
        <w:rPr>
          <w:rFonts w:hint="eastAsia"/>
          <w:color w:val="auto"/>
          <w:lang w:val="en-US" w:eastAsia="zh-CN"/>
        </w:rPr>
        <w:t>系统整体上线试运行</w:t>
      </w:r>
      <w:r>
        <w:rPr>
          <w:rFonts w:hint="eastAsia"/>
          <w:color w:val="auto"/>
        </w:rPr>
        <w:t>，</w:t>
      </w:r>
      <w:r>
        <w:rPr>
          <w:rFonts w:hint="eastAsia"/>
          <w:color w:val="auto"/>
          <w:highlight w:val="none"/>
        </w:rPr>
        <w:t>试运行1个月</w:t>
      </w:r>
      <w:r>
        <w:rPr>
          <w:rFonts w:hint="eastAsia"/>
          <w:color w:val="auto"/>
          <w:highlight w:val="none"/>
          <w:lang w:val="en-US" w:eastAsia="zh-CN"/>
        </w:rPr>
        <w:t>后系统各项功能无异常通过完工验收。</w:t>
      </w:r>
    </w:p>
    <w:p>
      <w:pPr>
        <w:pStyle w:val="4"/>
        <w:rPr>
          <w:rFonts w:hint="eastAsia"/>
        </w:rPr>
      </w:pPr>
      <w:r>
        <w:rPr>
          <w:rFonts w:hint="eastAsia"/>
        </w:rPr>
        <w:t>3.报价人资格要求</w:t>
      </w:r>
      <w:bookmarkEnd w:id="4"/>
    </w:p>
    <w:p>
      <w:pPr>
        <w:pStyle w:val="29"/>
        <w:outlineLvl w:val="2"/>
      </w:pPr>
      <w:r>
        <w:rPr>
          <w:rFonts w:hint="eastAsia" w:ascii="Times New Roman" w:hAnsi="Times New Roman" w:eastAsia="宋体" w:cs="Times New Roman"/>
        </w:rPr>
        <w:t>3.1</w:t>
      </w:r>
      <w:r>
        <w:rPr>
          <w:rFonts w:hint="eastAsia" w:ascii="Times New Roman" w:hAnsi="Times New Roman" w:eastAsia="宋体" w:cs="Times New Roman"/>
          <w:lang w:val="en-US" w:eastAsia="zh-CN"/>
        </w:rPr>
        <w:t xml:space="preserve"> </w:t>
      </w:r>
      <w:r>
        <w:rPr>
          <w:rFonts w:hint="eastAsia"/>
        </w:rPr>
        <w:t>本次询价实行资格后审，报价人应同时满足下列资格条件：</w:t>
      </w:r>
    </w:p>
    <w:p>
      <w:pPr>
        <w:pStyle w:val="29"/>
      </w:pPr>
      <w:r>
        <w:rPr>
          <w:rFonts w:hint="eastAsia"/>
        </w:rPr>
        <w:t>（1）报价人为中国境内注册的独立法人企业。</w:t>
      </w:r>
    </w:p>
    <w:p>
      <w:pPr>
        <w:pStyle w:val="29"/>
      </w:pPr>
      <w:r>
        <w:rPr>
          <w:rFonts w:hint="eastAsia"/>
        </w:rPr>
        <w:t>（2）报价人具有以下资质条件：</w:t>
      </w:r>
    </w:p>
    <w:p>
      <w:pPr>
        <w:ind w:firstLine="480"/>
        <w:rPr>
          <w:rFonts w:hint="eastAsia" w:eastAsia="宋体"/>
          <w:color w:val="auto"/>
          <w:lang w:eastAsia="zh-CN"/>
        </w:rPr>
      </w:pPr>
      <w:r>
        <w:rPr>
          <w:rFonts w:hint="eastAsia"/>
          <w:color w:val="auto"/>
        </w:rPr>
        <w:t>①</w:t>
      </w:r>
      <w:r>
        <w:rPr>
          <w:rFonts w:hint="eastAsia"/>
          <w:color w:val="auto"/>
          <w:highlight w:val="none"/>
          <w:lang w:val="en-US" w:eastAsia="zh-CN"/>
        </w:rPr>
        <w:t>同时</w:t>
      </w:r>
      <w:r>
        <w:rPr>
          <w:rFonts w:hint="eastAsia"/>
          <w:color w:val="auto"/>
          <w:highlight w:val="none"/>
        </w:rPr>
        <w:t>具</w:t>
      </w:r>
      <w:r>
        <w:rPr>
          <w:rFonts w:hint="eastAsia"/>
          <w:color w:val="auto"/>
          <w:highlight w:val="none"/>
          <w:lang w:val="en-US" w:eastAsia="zh-CN"/>
        </w:rPr>
        <w:t>有</w:t>
      </w:r>
      <w:r>
        <w:rPr>
          <w:rFonts w:hint="eastAsia"/>
          <w:color w:val="auto"/>
        </w:rPr>
        <w:t>有效营业执照/事业单位法人证书、高新技术企业证书、质量管理体系证书、</w:t>
      </w:r>
      <w:r>
        <w:rPr>
          <w:rFonts w:hint="eastAsia"/>
          <w:color w:val="auto"/>
          <w:highlight w:val="none"/>
        </w:rPr>
        <w:t>软件企业认定证书</w:t>
      </w:r>
      <w:r>
        <w:rPr>
          <w:rFonts w:hint="eastAsia"/>
          <w:color w:val="auto"/>
          <w:highlight w:val="none"/>
          <w:lang w:eastAsia="zh-CN"/>
        </w:rPr>
        <w:t>（</w:t>
      </w:r>
      <w:r>
        <w:rPr>
          <w:rFonts w:hint="eastAsia"/>
          <w:color w:val="auto"/>
          <w:highlight w:val="none"/>
          <w:lang w:val="en-US" w:eastAsia="zh-CN"/>
        </w:rPr>
        <w:t>由经信委或政府其他主管部门认证颁布）</w:t>
      </w:r>
      <w:r>
        <w:rPr>
          <w:rFonts w:hint="eastAsia"/>
          <w:color w:val="auto"/>
        </w:rPr>
        <w:t>的单位，多证合一的需备注</w:t>
      </w:r>
      <w:r>
        <w:rPr>
          <w:rFonts w:hint="eastAsia"/>
          <w:color w:val="auto"/>
          <w:lang w:eastAsia="zh-CN"/>
        </w:rPr>
        <w:t>。</w:t>
      </w:r>
    </w:p>
    <w:p>
      <w:pPr>
        <w:ind w:firstLine="480"/>
        <w:rPr>
          <w:color w:val="auto"/>
          <w:highlight w:val="none"/>
        </w:rPr>
      </w:pPr>
      <w:r>
        <w:rPr>
          <w:rFonts w:hint="eastAsia"/>
          <w:highlight w:val="none"/>
        </w:rPr>
        <w:t>②自2018年01月至报价</w:t>
      </w:r>
      <w:r>
        <w:rPr>
          <w:rFonts w:hint="eastAsia"/>
          <w:highlight w:val="none"/>
          <w:lang w:val="en-US" w:eastAsia="zh-CN"/>
        </w:rPr>
        <w:t>截止</w:t>
      </w:r>
      <w:r>
        <w:rPr>
          <w:rFonts w:hint="eastAsia"/>
          <w:highlight w:val="none"/>
        </w:rPr>
        <w:t>日（以合同签订时间为准），至少</w:t>
      </w:r>
      <w:r>
        <w:rPr>
          <w:rFonts w:hint="eastAsia"/>
          <w:color w:val="auto"/>
          <w:highlight w:val="none"/>
        </w:rPr>
        <w:t>具有</w:t>
      </w:r>
      <w:r>
        <w:rPr>
          <w:rFonts w:hint="eastAsia"/>
          <w:color w:val="auto"/>
          <w:highlight w:val="none"/>
          <w:lang w:val="en-US" w:eastAsia="zh-CN"/>
        </w:rPr>
        <w:t>两</w:t>
      </w:r>
      <w:bookmarkStart w:id="29" w:name="_GoBack"/>
      <w:bookmarkEnd w:id="29"/>
      <w:r>
        <w:rPr>
          <w:rFonts w:hint="eastAsia"/>
          <w:color w:val="auto"/>
          <w:highlight w:val="none"/>
        </w:rPr>
        <w:t>项与</w:t>
      </w:r>
      <w:r>
        <w:rPr>
          <w:rFonts w:hint="eastAsia" w:ascii="Times New Roman" w:hAnsi="Times New Roman" w:eastAsia="宋体" w:cs="Times New Roman"/>
          <w:color w:val="auto"/>
        </w:rPr>
        <w:t>本次招标项目类似的水电企业管理系统开发和实施业绩</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highlight w:val="none"/>
          <w:lang w:val="en-US" w:eastAsia="zh-CN"/>
        </w:rPr>
        <w:t>单个合同总金额</w:t>
      </w:r>
      <w:r>
        <w:rPr>
          <w:rFonts w:hint="eastAsia" w:ascii="Times New Roman" w:hAnsi="Times New Roman" w:eastAsia="宋体" w:cs="Times New Roman"/>
          <w:color w:val="auto"/>
          <w:lang w:val="en-US" w:eastAsia="zh-CN"/>
        </w:rPr>
        <w:t>不小于</w:t>
      </w:r>
      <w:r>
        <w:rPr>
          <w:rFonts w:hint="eastAsia" w:cs="Times New Roman"/>
          <w:color w:val="auto"/>
          <w:lang w:val="en-US" w:eastAsia="zh-CN"/>
        </w:rPr>
        <w:t>50</w:t>
      </w:r>
      <w:r>
        <w:rPr>
          <w:rFonts w:hint="eastAsia" w:ascii="Times New Roman" w:hAnsi="Times New Roman" w:eastAsia="宋体" w:cs="Times New Roman"/>
          <w:color w:val="auto"/>
          <w:lang w:val="en-US" w:eastAsia="zh-CN"/>
        </w:rPr>
        <w:t>万元）</w:t>
      </w:r>
      <w:r>
        <w:rPr>
          <w:rFonts w:hint="eastAsia" w:ascii="Times New Roman" w:hAnsi="Times New Roman" w:eastAsia="宋体" w:cs="Times New Roman"/>
          <w:color w:val="auto"/>
        </w:rPr>
        <w:t>，</w:t>
      </w:r>
      <w:r>
        <w:rPr>
          <w:rFonts w:hint="eastAsia" w:ascii="Times New Roman" w:hAnsi="Times New Roman" w:eastAsia="宋体" w:cs="Times New Roman"/>
          <w:color w:val="auto"/>
          <w:highlight w:val="none"/>
          <w:lang w:val="en-US" w:eastAsia="zh-CN"/>
        </w:rPr>
        <w:t>要求</w:t>
      </w:r>
      <w:r>
        <w:rPr>
          <w:rFonts w:hint="eastAsia" w:ascii="Times New Roman" w:hAnsi="Times New Roman" w:eastAsia="宋体" w:cs="Times New Roman"/>
          <w:color w:val="auto"/>
          <w:highlight w:val="none"/>
        </w:rPr>
        <w:t>提供</w:t>
      </w:r>
      <w:r>
        <w:rPr>
          <w:rFonts w:hint="eastAsia" w:ascii="Times New Roman" w:hAnsi="Times New Roman" w:eastAsia="宋体" w:cs="Times New Roman"/>
          <w:color w:val="auto"/>
          <w:highlight w:val="none"/>
          <w:lang w:val="en-US" w:eastAsia="zh-CN"/>
        </w:rPr>
        <w:t>相应合同证明和业主验收证明，两者缺一不可</w:t>
      </w:r>
      <w:r>
        <w:rPr>
          <w:rFonts w:hint="eastAsia"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合同证明需加盖</w:t>
      </w:r>
      <w:r>
        <w:rPr>
          <w:rFonts w:hint="eastAsia" w:cs="Times New Roman"/>
          <w:color w:val="auto"/>
          <w:highlight w:val="none"/>
          <w:lang w:val="en-US" w:eastAsia="zh-CN"/>
        </w:rPr>
        <w:t>报价人</w:t>
      </w:r>
      <w:r>
        <w:rPr>
          <w:rFonts w:hint="eastAsia" w:ascii="Times New Roman" w:hAnsi="Times New Roman" w:eastAsia="宋体" w:cs="Times New Roman"/>
          <w:color w:val="auto"/>
          <w:highlight w:val="none"/>
          <w:lang w:val="en-US" w:eastAsia="zh-CN"/>
        </w:rPr>
        <w:t>公司鲜章</w:t>
      </w:r>
      <w:r>
        <w:rPr>
          <w:rFonts w:hint="eastAsia" w:cs="Times New Roman"/>
          <w:color w:val="auto"/>
          <w:highlight w:val="none"/>
          <w:lang w:val="en-US" w:eastAsia="zh-CN"/>
        </w:rPr>
        <w:t>。</w:t>
      </w:r>
    </w:p>
    <w:p>
      <w:pPr>
        <w:ind w:firstLine="480"/>
        <w:rPr>
          <w:color w:val="auto"/>
        </w:rPr>
      </w:pPr>
      <w:r>
        <w:rPr>
          <w:rFonts w:hint="eastAsia"/>
          <w:color w:val="auto"/>
          <w:lang w:val="en-US" w:eastAsia="zh-CN"/>
        </w:rPr>
        <w:t>③</w:t>
      </w:r>
      <w:r>
        <w:rPr>
          <w:rFonts w:hint="eastAsia"/>
          <w:color w:val="auto"/>
        </w:rPr>
        <w:t>不得在国家企业信用信息公示系统</w:t>
      </w:r>
      <w:r>
        <w:rPr>
          <w:rFonts w:hint="default" w:ascii="Times New Roman" w:hAnsi="Times New Roman" w:cs="Times New Roman"/>
          <w:color w:val="auto"/>
        </w:rPr>
        <w:t>（www.gsxt.gov.cn）</w:t>
      </w:r>
      <w:r>
        <w:rPr>
          <w:rFonts w:hint="eastAsia"/>
          <w:color w:val="auto"/>
        </w:rPr>
        <w:t>中被列入“严重违法失信企业名单”（在评审期间尚未解除的）；不得在信用中国</w:t>
      </w:r>
      <w:r>
        <w:rPr>
          <w:rFonts w:hint="default" w:ascii="Times New Roman" w:hAnsi="Times New Roman" w:cs="Times New Roman"/>
          <w:color w:val="auto"/>
        </w:rPr>
        <w:t>（www.creditchina.gov.cn）</w:t>
      </w:r>
      <w:r>
        <w:rPr>
          <w:rFonts w:hint="eastAsia"/>
          <w:color w:val="auto"/>
        </w:rPr>
        <w:t>中被列入“失信被执行人名单”、“经营异常”（在评审期间尚未解除的），并提供证明截图。</w:t>
      </w:r>
    </w:p>
    <w:p>
      <w:pPr>
        <w:pStyle w:val="29"/>
        <w:outlineLvl w:val="2"/>
        <w:rPr>
          <w:rFonts w:hint="eastAsia"/>
        </w:rPr>
      </w:pPr>
      <w:r>
        <w:rPr>
          <w:rFonts w:hint="eastAsia"/>
        </w:rPr>
        <w:t>3.2</w:t>
      </w:r>
      <w:r>
        <w:rPr>
          <w:rFonts w:hint="eastAsia"/>
          <w:lang w:val="en-US" w:eastAsia="zh-CN"/>
        </w:rPr>
        <w:t xml:space="preserve"> </w:t>
      </w:r>
      <w:r>
        <w:rPr>
          <w:rFonts w:hint="eastAsia"/>
        </w:rPr>
        <w:t>报价人应做信用承诺；格式详见第四章中《信用承诺书》。</w:t>
      </w:r>
    </w:p>
    <w:p>
      <w:pPr>
        <w:pStyle w:val="29"/>
        <w:outlineLvl w:val="2"/>
        <w:rPr>
          <w:rFonts w:hint="default" w:eastAsia="宋体"/>
          <w:lang w:val="en-US" w:eastAsia="zh-CN"/>
        </w:rPr>
      </w:pPr>
      <w:r>
        <w:rPr>
          <w:rFonts w:hint="eastAsia"/>
          <w:lang w:val="en-US" w:eastAsia="zh-CN"/>
        </w:rPr>
        <w:t>3.3 本项目不接受联合体询价。</w:t>
      </w:r>
    </w:p>
    <w:p>
      <w:pPr>
        <w:pStyle w:val="4"/>
      </w:pPr>
      <w:bookmarkStart w:id="5" w:name="_Toc144386137"/>
      <w:r>
        <w:rPr>
          <w:rFonts w:hint="eastAsia"/>
        </w:rPr>
        <w:t>4.报价文件的递交</w:t>
      </w:r>
      <w:bookmarkEnd w:id="5"/>
    </w:p>
    <w:p>
      <w:pPr>
        <w:pStyle w:val="29"/>
      </w:pPr>
      <w:r>
        <w:rPr>
          <w:rFonts w:hint="eastAsia"/>
        </w:rPr>
        <w:t>4.1</w:t>
      </w:r>
      <w:r>
        <w:rPr>
          <w:rFonts w:hint="eastAsia"/>
          <w:lang w:val="en-US" w:eastAsia="zh-CN"/>
        </w:rPr>
        <w:t xml:space="preserve"> </w:t>
      </w:r>
      <w:r>
        <w:rPr>
          <w:rFonts w:hint="eastAsia"/>
        </w:rPr>
        <w:t>报价文件递交地点：重庆市北部新区高新园星光大道76号天王星B座23楼生产运营部。</w:t>
      </w:r>
    </w:p>
    <w:p>
      <w:pPr>
        <w:pStyle w:val="29"/>
        <w:rPr>
          <w:rFonts w:hint="default" w:ascii="Times New Roman" w:hAnsi="Times New Roman" w:eastAsia="宋体" w:cs="Times New Roman"/>
          <w:color w:val="4472C4"/>
          <w:kern w:val="2"/>
          <w:sz w:val="24"/>
          <w:szCs w:val="20"/>
          <w:highlight w:val="yellow"/>
          <w:lang w:val="en-US" w:eastAsia="zh-CN" w:bidi="ar-SA"/>
        </w:rPr>
      </w:pPr>
      <w:r>
        <w:rPr>
          <w:rFonts w:hint="eastAsia"/>
        </w:rPr>
        <w:t>4.2</w:t>
      </w:r>
      <w:r>
        <w:rPr>
          <w:rFonts w:hint="eastAsia"/>
          <w:lang w:val="en-US" w:eastAsia="zh-CN"/>
        </w:rPr>
        <w:t xml:space="preserve"> </w:t>
      </w:r>
      <w:r>
        <w:rPr>
          <w:rFonts w:hint="eastAsia"/>
        </w:rPr>
        <w:t>报价文件递</w:t>
      </w:r>
      <w:r>
        <w:rPr>
          <w:rFonts w:hint="eastAsia"/>
          <w:highlight w:val="none"/>
        </w:rPr>
        <w:t>交截</w:t>
      </w:r>
      <w:r>
        <w:rPr>
          <w:rFonts w:hint="eastAsia"/>
          <w:color w:val="auto"/>
          <w:highlight w:val="none"/>
        </w:rPr>
        <w:t>止时间：</w:t>
      </w:r>
      <w:r>
        <w:rPr>
          <w:rFonts w:hint="eastAsia" w:cs="Times New Roman"/>
          <w:color w:val="auto"/>
          <w:kern w:val="2"/>
          <w:sz w:val="24"/>
          <w:szCs w:val="20"/>
          <w:highlight w:val="none"/>
          <w:lang w:val="en-US" w:eastAsia="zh-CN" w:bidi="ar-SA"/>
        </w:rPr>
        <w:t>挂网公告后第四天11时00分。（公告发布第二日开始计算天数；如遇周末或国家法定节假日，则顺延至周一或正常上班第一日继续计算天数）</w:t>
      </w:r>
    </w:p>
    <w:p>
      <w:pPr>
        <w:pStyle w:val="29"/>
      </w:pPr>
      <w:r>
        <w:rPr>
          <w:rFonts w:hint="eastAsia"/>
        </w:rPr>
        <w:t>4.3</w:t>
      </w:r>
      <w:r>
        <w:rPr>
          <w:rFonts w:hint="eastAsia"/>
          <w:lang w:val="en-US" w:eastAsia="zh-CN"/>
        </w:rPr>
        <w:t xml:space="preserve"> </w:t>
      </w:r>
      <w:r>
        <w:rPr>
          <w:rFonts w:hint="eastAsia"/>
        </w:rPr>
        <w:t>逾期送达的、未送达指定地点的或者不按照询价文件要求密封的报价文件，将予以拒收。</w:t>
      </w:r>
    </w:p>
    <w:p>
      <w:pPr>
        <w:pStyle w:val="29"/>
      </w:pPr>
      <w:r>
        <w:rPr>
          <w:rFonts w:hint="eastAsia"/>
        </w:rPr>
        <w:t>4.4</w:t>
      </w:r>
      <w:r>
        <w:rPr>
          <w:rFonts w:hint="eastAsia"/>
          <w:lang w:val="en-US" w:eastAsia="zh-CN"/>
        </w:rPr>
        <w:t xml:space="preserve"> </w:t>
      </w:r>
      <w:r>
        <w:rPr>
          <w:rFonts w:hint="eastAsia"/>
        </w:rPr>
        <w:t>采用邮寄等其他方式递交报价文件的，所有风险由报价人自行承担。</w:t>
      </w:r>
    </w:p>
    <w:p>
      <w:pPr>
        <w:pStyle w:val="4"/>
      </w:pPr>
      <w:bookmarkStart w:id="6" w:name="_Toc144386138"/>
      <w:r>
        <w:rPr>
          <w:rFonts w:hint="eastAsia"/>
        </w:rPr>
        <w:t>5.发布公告的媒介</w:t>
      </w:r>
      <w:bookmarkEnd w:id="6"/>
    </w:p>
    <w:p>
      <w:pPr>
        <w:pStyle w:val="29"/>
        <w:rPr>
          <w:color w:val="auto"/>
        </w:rPr>
      </w:pPr>
      <w:r>
        <w:rPr>
          <w:rFonts w:hint="eastAsia"/>
        </w:rPr>
        <w:t>5.1</w:t>
      </w:r>
      <w:r>
        <w:rPr>
          <w:rFonts w:hint="eastAsia"/>
          <w:lang w:val="en-US" w:eastAsia="zh-CN"/>
        </w:rPr>
        <w:t xml:space="preserve"> </w:t>
      </w:r>
      <w:r>
        <w:rPr>
          <w:rFonts w:hint="eastAsia"/>
          <w:color w:val="auto"/>
        </w:rPr>
        <w:t>本次询价公告及结果公示将在重庆高速公路集团官方网站（https://www.cegc.com.cn/html/col1810480.html）、重庆高速公路集团有限公司招投标管理平台（http://219.152.86.3:8081/pms/）上发布。</w:t>
      </w:r>
    </w:p>
    <w:p>
      <w:pPr>
        <w:pStyle w:val="4"/>
      </w:pPr>
      <w:bookmarkStart w:id="7" w:name="_Toc144386139"/>
      <w:r>
        <w:rPr>
          <w:rFonts w:hint="eastAsia"/>
        </w:rPr>
        <w:t>6.联系方式</w:t>
      </w:r>
      <w:bookmarkEnd w:id="7"/>
    </w:p>
    <w:p>
      <w:pPr>
        <w:pStyle w:val="29"/>
      </w:pPr>
      <w:r>
        <w:rPr>
          <w:rFonts w:hint="eastAsia"/>
        </w:rPr>
        <w:t>询价人：重庆航运建设发展(集团)有限公司</w:t>
      </w:r>
    </w:p>
    <w:p>
      <w:pPr>
        <w:pStyle w:val="29"/>
        <w:rPr>
          <w:color w:val="auto"/>
        </w:rPr>
      </w:pPr>
      <w:r>
        <w:rPr>
          <w:rFonts w:hint="eastAsia"/>
          <w:color w:val="auto"/>
        </w:rPr>
        <w:t>地  址：重庆市北部新区高新园星光大道76号天王星B座23楼生产运营部</w:t>
      </w:r>
    </w:p>
    <w:p>
      <w:pPr>
        <w:pStyle w:val="29"/>
        <w:rPr>
          <w:rFonts w:hint="default" w:eastAsia="宋体"/>
          <w:color w:val="auto"/>
          <w:lang w:val="en-US" w:eastAsia="zh-CN"/>
        </w:rPr>
      </w:pPr>
      <w:r>
        <w:rPr>
          <w:rFonts w:hint="eastAsia"/>
          <w:color w:val="auto"/>
        </w:rPr>
        <w:t>联系人：</w:t>
      </w:r>
      <w:r>
        <w:rPr>
          <w:rFonts w:hint="eastAsia"/>
          <w:color w:val="auto"/>
          <w:lang w:val="en-US" w:eastAsia="zh-CN"/>
        </w:rPr>
        <w:t>任老师</w:t>
      </w:r>
    </w:p>
    <w:p>
      <w:pPr>
        <w:pStyle w:val="29"/>
        <w:rPr>
          <w:color w:val="auto"/>
        </w:rPr>
      </w:pPr>
      <w:r>
        <w:rPr>
          <w:rFonts w:hint="eastAsia"/>
          <w:color w:val="auto"/>
        </w:rPr>
        <w:t>电  话：023-89139848</w:t>
      </w:r>
    </w:p>
    <w:p>
      <w:pPr>
        <w:pStyle w:val="4"/>
      </w:pPr>
      <w:bookmarkStart w:id="8" w:name="_Toc144386140"/>
      <w:r>
        <w:rPr>
          <w:rFonts w:hint="eastAsia"/>
        </w:rPr>
        <w:t>7.监督部门</w:t>
      </w:r>
      <w:bookmarkEnd w:id="8"/>
    </w:p>
    <w:p>
      <w:pPr>
        <w:pStyle w:val="29"/>
      </w:pPr>
      <w:r>
        <w:rPr>
          <w:rFonts w:hint="eastAsia"/>
        </w:rPr>
        <w:t>监督部门：重庆航运建设发展(集团)有限公司审计法务部</w:t>
      </w:r>
    </w:p>
    <w:p>
      <w:pPr>
        <w:pStyle w:val="29"/>
      </w:pPr>
      <w:r>
        <w:rPr>
          <w:rFonts w:hint="eastAsia"/>
        </w:rPr>
        <w:t>联系电话：023-89076368</w:t>
      </w:r>
    </w:p>
    <w:p>
      <w:pPr>
        <w:ind w:firstLine="480"/>
      </w:pPr>
    </w:p>
    <w:p>
      <w:pPr>
        <w:ind w:firstLine="480"/>
      </w:pPr>
      <w:r>
        <w:t xml:space="preserve"> </w:t>
      </w:r>
    </w:p>
    <w:p>
      <w:pPr>
        <w:ind w:firstLine="480"/>
      </w:pPr>
    </w:p>
    <w:p>
      <w:pPr>
        <w:pStyle w:val="3"/>
      </w:pPr>
      <w:bookmarkStart w:id="9" w:name="_Toc144386141"/>
      <w:r>
        <w:rPr>
          <w:rFonts w:hint="eastAsia"/>
        </w:rPr>
        <w:t>第二章 报价文件要求与评审办法</w:t>
      </w:r>
      <w:bookmarkEnd w:id="9"/>
    </w:p>
    <w:p>
      <w:pPr>
        <w:pStyle w:val="4"/>
        <w:ind w:left="240"/>
      </w:pPr>
      <w:bookmarkStart w:id="10" w:name="_Toc144386142"/>
      <w:r>
        <w:rPr>
          <w:rFonts w:hint="eastAsia"/>
        </w:rPr>
        <w:t>1.报价文件要求</w:t>
      </w:r>
      <w:bookmarkEnd w:id="10"/>
    </w:p>
    <w:p>
      <w:pPr>
        <w:ind w:firstLine="480"/>
      </w:pPr>
      <w:r>
        <w:rPr>
          <w:rFonts w:hint="eastAsia"/>
        </w:rPr>
        <w:t>1.1、本项目总价最高限价为</w:t>
      </w:r>
      <w:r>
        <w:rPr>
          <w:rFonts w:hint="eastAsia" w:ascii="Times New Roman" w:hAnsi="Times New Roman" w:eastAsia="宋体" w:cs="Times New Roman"/>
          <w:color w:val="auto"/>
          <w:kern w:val="2"/>
          <w:sz w:val="24"/>
          <w:szCs w:val="20"/>
          <w:lang w:val="en-US" w:eastAsia="zh-CN" w:bidi="ar-SA"/>
        </w:rPr>
        <w:t>人民币￥</w:t>
      </w:r>
      <w:r>
        <w:rPr>
          <w:rFonts w:hint="eastAsia"/>
          <w:color w:val="auto"/>
          <w:lang w:val="en-US" w:eastAsia="zh-CN"/>
        </w:rPr>
        <w:t>789690</w:t>
      </w:r>
      <w:r>
        <w:rPr>
          <w:rFonts w:hint="eastAsia" w:ascii="Times New Roman" w:hAnsi="Times New Roman" w:eastAsia="宋体" w:cs="Times New Roman"/>
          <w:color w:val="auto"/>
          <w:kern w:val="2"/>
          <w:sz w:val="24"/>
          <w:szCs w:val="20"/>
          <w:lang w:val="en-US" w:eastAsia="zh-CN" w:bidi="ar-SA"/>
        </w:rPr>
        <w:t>.00</w:t>
      </w:r>
      <w:r>
        <w:rPr>
          <w:rFonts w:hint="eastAsia" w:cs="Times New Roman"/>
          <w:color w:val="auto"/>
          <w:kern w:val="2"/>
          <w:sz w:val="24"/>
          <w:szCs w:val="20"/>
          <w:lang w:val="en-US" w:eastAsia="zh-CN" w:bidi="ar-SA"/>
        </w:rPr>
        <w:t>.00</w:t>
      </w:r>
      <w:r>
        <w:rPr>
          <w:rFonts w:hint="eastAsia" w:ascii="Times New Roman" w:hAnsi="Times New Roman" w:eastAsia="宋体" w:cs="Times New Roman"/>
          <w:color w:val="auto"/>
          <w:kern w:val="2"/>
          <w:sz w:val="24"/>
          <w:szCs w:val="20"/>
          <w:lang w:val="en-US" w:eastAsia="zh-CN" w:bidi="ar-SA"/>
        </w:rPr>
        <w:t>元</w:t>
      </w:r>
      <w:r>
        <w:rPr>
          <w:rFonts w:hint="eastAsia" w:ascii="Times New Roman" w:hAnsi="Times New Roman" w:eastAsia="宋体" w:cs="Times New Roman"/>
          <w:lang w:val="en-US" w:eastAsia="zh-CN"/>
        </w:rPr>
        <w:t>（大写：</w:t>
      </w:r>
      <w:r>
        <w:rPr>
          <w:rFonts w:hint="eastAsia" w:cs="Times New Roman"/>
          <w:lang w:val="en-US" w:eastAsia="zh-CN"/>
        </w:rPr>
        <w:t>柒</w:t>
      </w:r>
      <w:r>
        <w:rPr>
          <w:rFonts w:hint="eastAsia" w:ascii="Times New Roman" w:hAnsi="Times New Roman" w:eastAsia="宋体" w:cs="Times New Roman"/>
          <w:lang w:val="en-US" w:eastAsia="zh-CN"/>
        </w:rPr>
        <w:t>拾</w:t>
      </w:r>
      <w:r>
        <w:rPr>
          <w:rFonts w:hint="eastAsia" w:cs="Times New Roman"/>
          <w:lang w:val="en-US" w:eastAsia="zh-CN"/>
        </w:rPr>
        <w:t>捌</w:t>
      </w:r>
      <w:r>
        <w:rPr>
          <w:rFonts w:hint="eastAsia" w:ascii="Times New Roman" w:hAnsi="Times New Roman" w:eastAsia="宋体" w:cs="Times New Roman"/>
          <w:lang w:val="en-US" w:eastAsia="zh-CN"/>
        </w:rPr>
        <w:t>万玖仟</w:t>
      </w:r>
      <w:r>
        <w:rPr>
          <w:rFonts w:hint="eastAsia" w:cs="Times New Roman"/>
          <w:lang w:val="en-US" w:eastAsia="zh-CN"/>
        </w:rPr>
        <w:t>陆佰玖拾</w:t>
      </w:r>
      <w:r>
        <w:rPr>
          <w:rFonts w:hint="eastAsia" w:ascii="Times New Roman" w:hAnsi="Times New Roman" w:eastAsia="宋体" w:cs="Times New Roman"/>
          <w:lang w:val="en-US" w:eastAsia="zh-CN"/>
        </w:rPr>
        <w:t>元整）。</w:t>
      </w:r>
      <w:r>
        <w:rPr>
          <w:rFonts w:hint="eastAsia"/>
        </w:rPr>
        <w:t>报价人的报价不得高于最高限价，否则其报价文件将被否决。其它要求详见报价表中的报价说明。</w:t>
      </w:r>
    </w:p>
    <w:p>
      <w:pPr>
        <w:ind w:firstLine="480"/>
      </w:pPr>
      <w:r>
        <w:rPr>
          <w:rFonts w:hint="eastAsia"/>
        </w:rPr>
        <w:t>1.2报价文件内容格式详见第四章格式要求；装订采用A4纸幅面，一律采用左侧胶封的方式，目录、页码齐全。</w:t>
      </w:r>
    </w:p>
    <w:p>
      <w:pPr>
        <w:ind w:firstLine="480"/>
        <w:outlineLvl w:val="2"/>
        <w:rPr>
          <w:rFonts w:hint="eastAsia"/>
        </w:rPr>
      </w:pPr>
      <w:r>
        <w:rPr>
          <w:rFonts w:hint="eastAsia"/>
        </w:rPr>
        <w:t>1.3报价文件正本1份。</w:t>
      </w:r>
    </w:p>
    <w:p>
      <w:pPr>
        <w:pStyle w:val="29"/>
        <w:ind w:firstLine="480" w:firstLineChars="200"/>
        <w:rPr>
          <w:rFonts w:hint="eastAsia" w:ascii="Times New Roman" w:hAnsi="Times New Roman" w:eastAsia="宋体" w:cs="Times New Roman"/>
          <w:color w:val="4472C4"/>
          <w:kern w:val="2"/>
          <w:sz w:val="24"/>
          <w:szCs w:val="20"/>
          <w:lang w:val="en-US" w:eastAsia="zh-CN" w:bidi="ar-SA"/>
        </w:rPr>
      </w:pPr>
      <w:r>
        <w:rPr>
          <w:rFonts w:hint="eastAsia"/>
        </w:rPr>
        <w:t>1.4报价文件一并装入标准档案袋中，档案袋封套两端须粘接密封完好后，贴上封条并在封口结合缝处加盖报价人单位公章，否则其报价文件将被否决。封套上应注明：重庆航发集团航电枢纽与集控中心运行调度管理系统建设项目，报价文件递</w:t>
      </w:r>
      <w:r>
        <w:rPr>
          <w:rFonts w:hint="eastAsia"/>
          <w:highlight w:val="none"/>
        </w:rPr>
        <w:t>交截</w:t>
      </w:r>
      <w:r>
        <w:rPr>
          <w:rFonts w:hint="eastAsia"/>
          <w:color w:val="auto"/>
          <w:highlight w:val="none"/>
        </w:rPr>
        <w:t>止时间：</w:t>
      </w:r>
      <w:r>
        <w:rPr>
          <w:rFonts w:hint="eastAsia" w:cs="Times New Roman"/>
          <w:color w:val="auto"/>
          <w:kern w:val="2"/>
          <w:sz w:val="24"/>
          <w:szCs w:val="20"/>
          <w:highlight w:val="none"/>
          <w:lang w:val="en-US" w:eastAsia="zh-CN" w:bidi="ar-SA"/>
        </w:rPr>
        <w:t>挂网公告后第四天11时00分。（公告发布第二日开始计算天数；如遇周末或国家法定节假日，则顺延至周一或正常上班第一日继续计算天数）</w:t>
      </w:r>
    </w:p>
    <w:p>
      <w:pPr>
        <w:pStyle w:val="4"/>
        <w:ind w:left="240"/>
      </w:pPr>
      <w:bookmarkStart w:id="11" w:name="_Toc144386143"/>
      <w:r>
        <w:rPr>
          <w:rFonts w:hint="eastAsia"/>
        </w:rPr>
        <w:t>2.评审办法</w:t>
      </w:r>
      <w:bookmarkEnd w:id="11"/>
    </w:p>
    <w:p>
      <w:pPr>
        <w:rPr>
          <w:rFonts w:hint="eastAsia"/>
        </w:rPr>
      </w:pPr>
      <w:r>
        <w:rPr>
          <w:rFonts w:hint="eastAsia"/>
        </w:rPr>
        <w:t>2.1、评审小组按照询价文件内容要求对报价文件进行审查。包括以下方面：</w:t>
      </w:r>
    </w:p>
    <w:p>
      <w:pPr>
        <w:ind w:firstLine="480"/>
        <w:rPr>
          <w:rFonts w:hint="eastAsia"/>
        </w:rPr>
      </w:pPr>
      <w:r>
        <w:rPr>
          <w:rFonts w:hint="eastAsia"/>
        </w:rPr>
        <w:t>（1）形式审查：按第一章第4</w:t>
      </w:r>
      <w:r>
        <w:rPr>
          <w:rFonts w:hint="eastAsia"/>
          <w:lang w:val="en-US" w:eastAsia="zh-CN"/>
        </w:rPr>
        <w:t>条</w:t>
      </w:r>
      <w:r>
        <w:rPr>
          <w:rFonts w:hint="eastAsia"/>
        </w:rPr>
        <w:t>和第二章第1</w:t>
      </w:r>
      <w:r>
        <w:rPr>
          <w:rFonts w:hint="eastAsia"/>
          <w:lang w:val="en-US" w:eastAsia="zh-CN"/>
        </w:rPr>
        <w:t>条</w:t>
      </w:r>
      <w:r>
        <w:rPr>
          <w:rFonts w:hint="eastAsia"/>
        </w:rPr>
        <w:t>进行。</w:t>
      </w:r>
    </w:p>
    <w:p>
      <w:pPr>
        <w:ind w:firstLine="480"/>
        <w:rPr>
          <w:rFonts w:hint="eastAsia"/>
        </w:rPr>
      </w:pPr>
      <w:r>
        <w:rPr>
          <w:rFonts w:hint="eastAsia"/>
        </w:rPr>
        <w:t>（2）资格审查：按第一章第3</w:t>
      </w:r>
      <w:r>
        <w:rPr>
          <w:rFonts w:hint="eastAsia"/>
          <w:lang w:val="en-US" w:eastAsia="zh-CN"/>
        </w:rPr>
        <w:t>条</w:t>
      </w:r>
      <w:r>
        <w:rPr>
          <w:rFonts w:hint="eastAsia"/>
        </w:rPr>
        <w:t>进行。</w:t>
      </w:r>
    </w:p>
    <w:p>
      <w:pPr>
        <w:ind w:firstLine="480"/>
        <w:rPr>
          <w:rFonts w:hint="eastAsia"/>
        </w:rPr>
      </w:pPr>
      <w:r>
        <w:rPr>
          <w:rFonts w:hint="eastAsia"/>
        </w:rPr>
        <w:t>（3）响应性评审：按第一章第2</w:t>
      </w:r>
      <w:r>
        <w:rPr>
          <w:rFonts w:hint="eastAsia"/>
          <w:lang w:val="en-US" w:eastAsia="zh-CN"/>
        </w:rPr>
        <w:t>条</w:t>
      </w:r>
      <w:r>
        <w:rPr>
          <w:rFonts w:hint="eastAsia"/>
        </w:rPr>
        <w:t>和第</w:t>
      </w:r>
      <w:r>
        <w:rPr>
          <w:rFonts w:hint="eastAsia"/>
          <w:lang w:val="en-US" w:eastAsia="zh-CN"/>
        </w:rPr>
        <w:t>三</w:t>
      </w:r>
      <w:r>
        <w:rPr>
          <w:rFonts w:hint="eastAsia"/>
        </w:rPr>
        <w:t>章进行。</w:t>
      </w:r>
    </w:p>
    <w:p>
      <w:pPr>
        <w:ind w:firstLine="480"/>
        <w:rPr>
          <w:rFonts w:hint="eastAsia"/>
        </w:rPr>
      </w:pPr>
      <w:r>
        <w:rPr>
          <w:rFonts w:hint="eastAsia"/>
        </w:rPr>
        <w:t>（4）报价函部分及经济部分评审标准：按第</w:t>
      </w:r>
      <w:r>
        <w:rPr>
          <w:rFonts w:hint="eastAsia"/>
          <w:lang w:val="en-US" w:eastAsia="zh-CN"/>
        </w:rPr>
        <w:t>四</w:t>
      </w:r>
      <w:r>
        <w:rPr>
          <w:rFonts w:hint="eastAsia"/>
        </w:rPr>
        <w:t>章要求进行。</w:t>
      </w:r>
    </w:p>
    <w:p>
      <w:pPr>
        <w:ind w:firstLine="480"/>
      </w:pPr>
      <w:r>
        <w:rPr>
          <w:rFonts w:hint="eastAsia"/>
        </w:rPr>
        <w:t>本项目采用经评审的最低价法。评审小组按照本章2.1款进行审查，审查合格的投标人中按报价由低到高推荐中标候选人。若出现投标人投标报价相同的，单个业绩合同金额大的优先；单个业绩合同金额相同的，由招标委员会按照招标委员会投票原则排序。</w:t>
      </w:r>
    </w:p>
    <w:p>
      <w:pPr>
        <w:ind w:firstLine="480"/>
      </w:pPr>
      <w:r>
        <w:t xml:space="preserve"> </w:t>
      </w:r>
    </w:p>
    <w:p>
      <w:pPr>
        <w:pStyle w:val="3"/>
      </w:pPr>
      <w:bookmarkStart w:id="12" w:name="_Toc144386144"/>
      <w:r>
        <w:rPr>
          <w:rFonts w:hint="eastAsia"/>
        </w:rPr>
        <w:t>第三章 合同条款与技术条款</w:t>
      </w:r>
      <w:bookmarkEnd w:id="12"/>
    </w:p>
    <w:p>
      <w:pPr>
        <w:ind w:firstLine="480"/>
      </w:pPr>
    </w:p>
    <w:p>
      <w:pPr>
        <w:ind w:firstLine="480"/>
      </w:pPr>
      <w:r>
        <w:t xml:space="preserve">                                        </w:t>
      </w:r>
    </w:p>
    <w:p>
      <w:pPr>
        <w:ind w:firstLine="0" w:firstLineChars="0"/>
        <w:jc w:val="center"/>
        <w:outlineLvl w:val="1"/>
        <w:rPr>
          <w:rFonts w:hint="eastAsia" w:eastAsia="宋体"/>
          <w:color w:val="auto"/>
          <w:sz w:val="48"/>
          <w:szCs w:val="36"/>
          <w:lang w:eastAsia="zh-CN"/>
        </w:rPr>
      </w:pPr>
      <w:r>
        <w:rPr>
          <w:rFonts w:hint="eastAsia"/>
          <w:color w:val="auto"/>
          <w:sz w:val="48"/>
          <w:szCs w:val="36"/>
        </w:rPr>
        <w:t>重庆航发集团</w:t>
      </w:r>
      <w:r>
        <w:rPr>
          <w:rFonts w:hint="eastAsia"/>
          <w:color w:val="auto"/>
          <w:sz w:val="48"/>
          <w:szCs w:val="36"/>
          <w:lang w:eastAsia="zh-CN"/>
        </w:rPr>
        <w:t>航电枢纽与集控中心生产管理系统</w:t>
      </w:r>
    </w:p>
    <w:p>
      <w:pPr>
        <w:ind w:firstLine="0" w:firstLineChars="0"/>
        <w:jc w:val="center"/>
        <w:rPr>
          <w:color w:val="auto"/>
          <w:sz w:val="48"/>
          <w:szCs w:val="36"/>
        </w:rPr>
      </w:pPr>
      <w:r>
        <w:rPr>
          <w:rFonts w:hint="eastAsia"/>
          <w:color w:val="auto"/>
          <w:sz w:val="48"/>
          <w:szCs w:val="36"/>
        </w:rPr>
        <w:t>项目建设合同</w:t>
      </w:r>
    </w:p>
    <w:p>
      <w:pPr>
        <w:ind w:firstLine="960"/>
        <w:jc w:val="center"/>
        <w:rPr>
          <w:color w:val="FF0000"/>
          <w:sz w:val="48"/>
          <w:szCs w:val="36"/>
        </w:rPr>
      </w:pPr>
    </w:p>
    <w:p>
      <w:pPr>
        <w:ind w:firstLine="0" w:firstLineChars="0"/>
        <w:jc w:val="center"/>
        <w:rPr>
          <w:b/>
          <w:bCs/>
          <w:sz w:val="28"/>
          <w:szCs w:val="28"/>
        </w:rPr>
      </w:pPr>
      <w:r>
        <w:rPr>
          <w:rFonts w:hint="eastAsia"/>
          <w:b/>
          <w:bCs/>
          <w:sz w:val="28"/>
          <w:szCs w:val="28"/>
        </w:rPr>
        <w:t>合同编号：</w:t>
      </w:r>
    </w:p>
    <w:p>
      <w:pPr>
        <w:ind w:firstLine="480"/>
      </w:pPr>
    </w:p>
    <w:p>
      <w:pPr>
        <w:ind w:firstLine="480"/>
      </w:pPr>
    </w:p>
    <w:p>
      <w:pPr>
        <w:ind w:firstLine="480"/>
      </w:pPr>
    </w:p>
    <w:p>
      <w:pPr>
        <w:ind w:firstLine="480"/>
      </w:pPr>
    </w:p>
    <w:p>
      <w:pPr>
        <w:ind w:firstLine="480"/>
      </w:pPr>
    </w:p>
    <w:p>
      <w:pPr>
        <w:ind w:firstLine="480"/>
      </w:pPr>
    </w:p>
    <w:p>
      <w:pPr>
        <w:ind w:firstLine="0" w:firstLineChars="0"/>
      </w:pPr>
    </w:p>
    <w:p>
      <w:pPr>
        <w:ind w:firstLine="0" w:firstLineChars="0"/>
      </w:pPr>
    </w:p>
    <w:p>
      <w:pPr>
        <w:ind w:firstLine="562"/>
        <w:rPr>
          <w:b/>
          <w:bCs/>
          <w:sz w:val="28"/>
          <w:szCs w:val="28"/>
        </w:rPr>
      </w:pPr>
      <w:r>
        <w:rPr>
          <w:rFonts w:hint="eastAsia"/>
          <w:b/>
          <w:bCs/>
          <w:sz w:val="28"/>
          <w:szCs w:val="28"/>
        </w:rPr>
        <w:t>甲方：</w:t>
      </w:r>
      <w:r>
        <w:rPr>
          <w:rFonts w:hint="eastAsia" w:ascii="Times New Roman" w:hAnsi="Times New Roman" w:eastAsia="宋体" w:cs="Times New Roman"/>
          <w:b/>
          <w:bCs/>
          <w:sz w:val="28"/>
          <w:szCs w:val="28"/>
        </w:rPr>
        <w:t>重庆航运建设发展(集团)有限公司</w:t>
      </w:r>
    </w:p>
    <w:p>
      <w:pPr>
        <w:ind w:firstLine="562"/>
        <w:rPr>
          <w:b/>
          <w:bCs/>
          <w:sz w:val="28"/>
          <w:szCs w:val="28"/>
        </w:rPr>
      </w:pPr>
      <w:r>
        <w:rPr>
          <w:rFonts w:hint="eastAsia"/>
          <w:b/>
          <w:bCs/>
          <w:sz w:val="28"/>
          <w:szCs w:val="28"/>
        </w:rPr>
        <w:t>乙方：</w:t>
      </w:r>
    </w:p>
    <w:p>
      <w:pPr>
        <w:ind w:firstLine="0" w:firstLineChars="0"/>
        <w:rPr>
          <w:b/>
          <w:bCs/>
          <w:sz w:val="28"/>
          <w:szCs w:val="28"/>
        </w:rPr>
      </w:pPr>
    </w:p>
    <w:p>
      <w:pPr>
        <w:ind w:firstLine="562"/>
        <w:rPr>
          <w:b/>
          <w:bCs/>
          <w:sz w:val="28"/>
          <w:szCs w:val="28"/>
        </w:rPr>
      </w:pPr>
    </w:p>
    <w:p>
      <w:pPr>
        <w:ind w:firstLine="562"/>
        <w:rPr>
          <w:b/>
          <w:bCs/>
          <w:sz w:val="28"/>
          <w:szCs w:val="28"/>
        </w:rPr>
      </w:pPr>
      <w:r>
        <w:rPr>
          <w:rFonts w:hint="eastAsia"/>
          <w:b/>
          <w:bCs/>
          <w:sz w:val="28"/>
          <w:szCs w:val="28"/>
        </w:rPr>
        <w:t>签订时间：</w:t>
      </w:r>
    </w:p>
    <w:p>
      <w:pPr>
        <w:ind w:firstLine="562"/>
        <w:rPr>
          <w:b/>
          <w:bCs/>
          <w:sz w:val="28"/>
          <w:szCs w:val="28"/>
        </w:rPr>
      </w:pPr>
      <w:r>
        <w:rPr>
          <w:rFonts w:hint="eastAsia"/>
          <w:b/>
          <w:bCs/>
          <w:sz w:val="28"/>
          <w:szCs w:val="28"/>
        </w:rPr>
        <w:t>签订地点：</w:t>
      </w:r>
    </w:p>
    <w:p>
      <w:pPr>
        <w:ind w:firstLine="562"/>
        <w:rPr>
          <w:b/>
          <w:bCs/>
          <w:color w:val="auto"/>
          <w:sz w:val="36"/>
          <w:szCs w:val="24"/>
        </w:rPr>
      </w:pPr>
      <w:r>
        <w:rPr>
          <w:b/>
          <w:bCs/>
          <w:sz w:val="28"/>
          <w:szCs w:val="28"/>
        </w:rPr>
        <w:br w:type="page"/>
      </w:r>
      <w:r>
        <w:rPr>
          <w:rFonts w:hint="eastAsia"/>
          <w:b/>
          <w:bCs/>
          <w:color w:val="auto"/>
          <w:sz w:val="36"/>
          <w:szCs w:val="24"/>
        </w:rPr>
        <w:t>重庆航发集团航电枢纽与集控中心</w:t>
      </w:r>
      <w:r>
        <w:rPr>
          <w:rFonts w:hint="eastAsia"/>
          <w:b/>
          <w:bCs/>
          <w:color w:val="auto"/>
          <w:sz w:val="36"/>
          <w:szCs w:val="24"/>
          <w:lang w:val="en-US" w:eastAsia="zh-CN"/>
        </w:rPr>
        <w:t>生产</w:t>
      </w:r>
      <w:r>
        <w:rPr>
          <w:rFonts w:hint="eastAsia"/>
          <w:b/>
          <w:bCs/>
          <w:color w:val="auto"/>
          <w:sz w:val="36"/>
          <w:szCs w:val="24"/>
        </w:rPr>
        <w:t>管理系统</w:t>
      </w:r>
    </w:p>
    <w:p>
      <w:pPr>
        <w:ind w:firstLine="0" w:firstLineChars="0"/>
        <w:jc w:val="center"/>
        <w:rPr>
          <w:b/>
          <w:bCs/>
          <w:color w:val="auto"/>
          <w:sz w:val="36"/>
          <w:szCs w:val="24"/>
        </w:rPr>
      </w:pPr>
      <w:r>
        <w:rPr>
          <w:rFonts w:hint="eastAsia"/>
          <w:b/>
          <w:bCs/>
          <w:color w:val="auto"/>
          <w:sz w:val="36"/>
          <w:szCs w:val="24"/>
        </w:rPr>
        <w:t>项目建设合同</w:t>
      </w:r>
    </w:p>
    <w:p>
      <w:pPr>
        <w:ind w:firstLine="560"/>
        <w:rPr>
          <w:sz w:val="28"/>
          <w:szCs w:val="21"/>
        </w:rPr>
      </w:pPr>
      <w:r>
        <w:rPr>
          <w:rFonts w:hint="eastAsia"/>
          <w:sz w:val="28"/>
          <w:szCs w:val="21"/>
        </w:rPr>
        <w:t>甲方：</w:t>
      </w:r>
      <w:r>
        <w:rPr>
          <w:rFonts w:hint="eastAsia" w:ascii="Times New Roman" w:hAnsi="Times New Roman" w:eastAsia="宋体" w:cs="Times New Roman"/>
          <w:sz w:val="28"/>
          <w:szCs w:val="21"/>
        </w:rPr>
        <w:t>重庆航运建设发展(集团)有限公司</w:t>
      </w:r>
    </w:p>
    <w:p>
      <w:pPr>
        <w:ind w:firstLine="560"/>
        <w:rPr>
          <w:sz w:val="28"/>
          <w:szCs w:val="21"/>
        </w:rPr>
      </w:pPr>
      <w:r>
        <w:rPr>
          <w:rFonts w:hint="eastAsia"/>
          <w:sz w:val="28"/>
          <w:szCs w:val="21"/>
        </w:rPr>
        <w:t>乙方：</w:t>
      </w:r>
    </w:p>
    <w:p>
      <w:pPr>
        <w:pStyle w:val="4"/>
        <w:bidi w:val="0"/>
      </w:pPr>
      <w:r>
        <w:rPr>
          <w:rFonts w:hint="eastAsia"/>
        </w:rPr>
        <w:t>第1条</w:t>
      </w:r>
      <w:r>
        <w:rPr>
          <w:rFonts w:hint="eastAsia"/>
        </w:rPr>
        <w:tab/>
      </w:r>
      <w:r>
        <w:rPr>
          <w:rFonts w:hint="eastAsia"/>
        </w:rPr>
        <w:t>合同项目范围、服务内容</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Arial" w:hAnsi="Arial" w:eastAsia="宋体" w:cs="Arial"/>
          <w:sz w:val="24"/>
          <w:lang w:eastAsia="zh-CN"/>
        </w:rPr>
      </w:pPr>
      <w:r>
        <w:rPr>
          <w:rFonts w:hint="eastAsia" w:ascii="Arial" w:hAnsi="Arial" w:eastAsia="宋体" w:cs="Arial"/>
          <w:sz w:val="24"/>
          <w:lang w:eastAsia="zh-CN"/>
        </w:rPr>
        <w:t>1.项目名称：重庆航发集团航电枢纽与集控中心生产管理系统建设项目</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Arial" w:hAnsi="Arial" w:eastAsia="宋体" w:cs="Arial"/>
          <w:sz w:val="24"/>
          <w:lang w:eastAsia="zh-CN"/>
        </w:rPr>
      </w:pPr>
      <w:r>
        <w:rPr>
          <w:rFonts w:hint="eastAsia" w:ascii="Arial" w:hAnsi="Arial" w:eastAsia="宋体" w:cs="Arial"/>
          <w:sz w:val="24"/>
          <w:lang w:eastAsia="zh-CN"/>
        </w:rPr>
        <w:t>2.项目地点：重庆市北部新区高新园星光大道76号天王星B座22楼、草街</w:t>
      </w:r>
      <w:r>
        <w:rPr>
          <w:rFonts w:hint="eastAsia" w:ascii="Arial" w:hAnsi="Arial" w:eastAsia="宋体" w:cs="Arial"/>
          <w:sz w:val="24"/>
          <w:lang w:val="en-US" w:eastAsia="zh-CN"/>
        </w:rPr>
        <w:t>枢纽</w:t>
      </w:r>
      <w:r>
        <w:rPr>
          <w:rFonts w:hint="eastAsia" w:ascii="Arial" w:hAnsi="Arial" w:eastAsia="宋体" w:cs="Arial"/>
          <w:sz w:val="24"/>
          <w:lang w:eastAsia="zh-CN"/>
        </w:rPr>
        <w:t>、富金坝</w:t>
      </w:r>
      <w:r>
        <w:rPr>
          <w:rFonts w:hint="eastAsia" w:ascii="Arial" w:hAnsi="Arial" w:eastAsia="宋体" w:cs="Arial"/>
          <w:sz w:val="24"/>
          <w:lang w:val="en-US" w:eastAsia="zh-CN"/>
        </w:rPr>
        <w:t>枢纽</w:t>
      </w:r>
      <w:r>
        <w:rPr>
          <w:rFonts w:hint="eastAsia" w:ascii="Arial" w:hAnsi="Arial" w:eastAsia="宋体" w:cs="Arial"/>
          <w:sz w:val="24"/>
          <w:lang w:eastAsia="zh-CN"/>
        </w:rPr>
        <w:t>、潼南</w:t>
      </w:r>
      <w:r>
        <w:rPr>
          <w:rFonts w:hint="eastAsia" w:ascii="Arial" w:hAnsi="Arial" w:eastAsia="宋体" w:cs="Arial"/>
          <w:sz w:val="24"/>
          <w:lang w:val="en-US" w:eastAsia="zh-CN"/>
        </w:rPr>
        <w:t>枢纽</w:t>
      </w:r>
      <w:r>
        <w:rPr>
          <w:rFonts w:hint="eastAsia" w:ascii="Arial" w:hAnsi="Arial" w:eastAsia="宋体" w:cs="Arial"/>
          <w:sz w:val="24"/>
          <w:lang w:eastAsia="zh-CN"/>
        </w:rPr>
        <w:t>、渭沱</w:t>
      </w:r>
      <w:r>
        <w:rPr>
          <w:rFonts w:hint="eastAsia" w:ascii="Arial" w:hAnsi="Arial" w:eastAsia="宋体" w:cs="Arial"/>
          <w:sz w:val="24"/>
          <w:lang w:val="en-US" w:eastAsia="zh-CN"/>
        </w:rPr>
        <w:t>枢纽。</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Arial" w:hAnsi="Arial" w:eastAsia="宋体" w:cs="Arial"/>
          <w:sz w:val="24"/>
          <w:lang w:eastAsia="zh-CN"/>
        </w:rPr>
      </w:pPr>
      <w:r>
        <w:rPr>
          <w:rFonts w:hint="eastAsia" w:ascii="Arial" w:hAnsi="Arial" w:eastAsia="宋体" w:cs="Arial"/>
          <w:sz w:val="24"/>
          <w:lang w:val="en-US" w:eastAsia="zh-CN"/>
        </w:rPr>
        <w:t>3.</w:t>
      </w:r>
      <w:r>
        <w:rPr>
          <w:rFonts w:hint="eastAsia" w:ascii="Arial" w:hAnsi="Arial" w:eastAsia="宋体" w:cs="Arial"/>
          <w:sz w:val="24"/>
          <w:lang w:eastAsia="zh-CN"/>
        </w:rPr>
        <w:t>服务内容：（主要包括以下内容，其他详见附件</w:t>
      </w:r>
      <w:r>
        <w:rPr>
          <w:rFonts w:hint="eastAsia" w:ascii="Arial" w:hAnsi="Arial" w:eastAsia="宋体" w:cs="Arial"/>
          <w:sz w:val="24"/>
          <w:lang w:val="en-US" w:eastAsia="zh-CN"/>
        </w:rPr>
        <w:t>4</w:t>
      </w:r>
      <w:r>
        <w:rPr>
          <w:rFonts w:hint="eastAsia" w:ascii="Arial" w:hAnsi="Arial" w:eastAsia="宋体" w:cs="Arial"/>
          <w:sz w:val="24"/>
          <w:lang w:eastAsia="zh-CN"/>
        </w:rPr>
        <w:t>：技术条款</w:t>
      </w:r>
      <w:r>
        <w:rPr>
          <w:rFonts w:hint="eastAsia" w:ascii="Arial" w:hAnsi="Arial" w:eastAsia="宋体" w:cs="Arial"/>
          <w:sz w:val="24"/>
          <w:lang w:val="en-US" w:eastAsia="zh-CN"/>
        </w:rPr>
        <w:t>与</w:t>
      </w:r>
      <w:r>
        <w:rPr>
          <w:rFonts w:hint="eastAsia" w:ascii="Arial" w:hAnsi="Arial" w:eastAsia="宋体" w:cs="Arial"/>
          <w:sz w:val="24"/>
          <w:lang w:eastAsia="zh-CN"/>
        </w:rPr>
        <w:t>要求）</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Arial" w:hAnsi="Arial" w:eastAsia="宋体" w:cs="Arial"/>
          <w:sz w:val="24"/>
          <w:lang w:eastAsia="zh-CN"/>
        </w:rPr>
      </w:pPr>
      <w:r>
        <w:rPr>
          <w:rFonts w:hint="eastAsia" w:ascii="Arial" w:hAnsi="Arial" w:eastAsia="宋体" w:cs="Arial"/>
          <w:sz w:val="24"/>
          <w:lang w:eastAsia="zh-CN"/>
        </w:rPr>
        <w:t>（1）项目的实施范围为重庆航发集团所辖4</w:t>
      </w:r>
      <w:r>
        <w:rPr>
          <w:rFonts w:hint="eastAsia" w:ascii="Arial" w:hAnsi="Arial" w:eastAsia="宋体" w:cs="Arial"/>
          <w:sz w:val="24"/>
          <w:lang w:val="en-US" w:eastAsia="zh-CN"/>
        </w:rPr>
        <w:t>座</w:t>
      </w:r>
      <w:r>
        <w:rPr>
          <w:rFonts w:hint="eastAsia" w:ascii="Arial" w:hAnsi="Arial" w:eastAsia="宋体" w:cs="Arial"/>
          <w:sz w:val="24"/>
          <w:lang w:eastAsia="zh-CN"/>
        </w:rPr>
        <w:t>航电枢纽与集控中心生产管理系统建设。本项目系统建设采用集中部署，多点应用，硬件设备统一部署在集控中心数据机房内。</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Arial" w:hAnsi="Arial" w:eastAsia="宋体" w:cs="Arial"/>
          <w:sz w:val="24"/>
          <w:lang w:eastAsia="zh-CN"/>
        </w:rPr>
      </w:pPr>
      <w:r>
        <w:rPr>
          <w:rFonts w:hint="eastAsia" w:ascii="Arial" w:hAnsi="Arial" w:eastAsia="宋体" w:cs="Arial"/>
          <w:sz w:val="24"/>
          <w:lang w:eastAsia="zh-CN"/>
        </w:rPr>
        <w:t>（2）本项目为建设一套满足本合同技术条款</w:t>
      </w:r>
      <w:r>
        <w:rPr>
          <w:rFonts w:hint="eastAsia" w:ascii="Arial" w:hAnsi="Arial" w:eastAsia="宋体" w:cs="Arial"/>
          <w:sz w:val="24"/>
          <w:lang w:val="en-US" w:eastAsia="zh-CN"/>
        </w:rPr>
        <w:t>与</w:t>
      </w:r>
      <w:r>
        <w:rPr>
          <w:rFonts w:hint="eastAsia" w:ascii="Arial" w:hAnsi="Arial" w:eastAsia="宋体" w:cs="Arial"/>
          <w:sz w:val="24"/>
          <w:lang w:eastAsia="zh-CN"/>
        </w:rPr>
        <w:t>要求的生产管理系统，对水力发电生产运行和设备资产生命周期进行全过程管理，</w:t>
      </w:r>
      <w:r>
        <w:rPr>
          <w:rFonts w:hint="eastAsia" w:ascii="Arial" w:hAnsi="Arial" w:eastAsia="宋体" w:cs="Arial"/>
          <w:sz w:val="24"/>
          <w:lang w:val="en-US" w:eastAsia="zh-CN"/>
        </w:rPr>
        <w:t>实施</w:t>
      </w:r>
      <w:r>
        <w:rPr>
          <w:rFonts w:hint="eastAsia" w:ascii="Arial" w:hAnsi="Arial" w:eastAsia="宋体" w:cs="Arial"/>
          <w:sz w:val="24"/>
          <w:lang w:eastAsia="zh-CN"/>
        </w:rPr>
        <w:t>系统平台、设备管理、检修管理、运行管理、两票管理、闸门调度管理</w:t>
      </w:r>
      <w:r>
        <w:rPr>
          <w:rFonts w:hint="eastAsia" w:ascii="Arial" w:hAnsi="Arial" w:cs="Arial"/>
          <w:sz w:val="24"/>
          <w:lang w:val="en-US" w:eastAsia="zh-CN"/>
        </w:rPr>
        <w:t>六</w:t>
      </w:r>
      <w:r>
        <w:rPr>
          <w:rFonts w:hint="eastAsia" w:ascii="Arial" w:hAnsi="Arial" w:eastAsia="宋体" w:cs="Arial"/>
          <w:sz w:val="24"/>
          <w:lang w:eastAsia="zh-CN"/>
        </w:rPr>
        <w:t>个功能模块开发建设，以提升航电枢纽与集控中心管理规范性。</w:t>
      </w:r>
    </w:p>
    <w:p>
      <w:pPr>
        <w:pStyle w:val="4"/>
        <w:bidi w:val="0"/>
      </w:pPr>
      <w:r>
        <w:rPr>
          <w:rFonts w:hint="eastAsia"/>
        </w:rPr>
        <w:t>第2条</w:t>
      </w:r>
      <w:r>
        <w:rPr>
          <w:rFonts w:hint="eastAsia"/>
        </w:rPr>
        <w:tab/>
      </w:r>
      <w:r>
        <w:rPr>
          <w:rFonts w:hint="eastAsia"/>
        </w:rPr>
        <w:t>合同服务期限及节点目标</w:t>
      </w:r>
    </w:p>
    <w:p>
      <w:pPr>
        <w:ind w:firstLine="480"/>
        <w:rPr>
          <w:rFonts w:hint="default" w:eastAsia="宋体"/>
          <w:color w:val="auto"/>
          <w:highlight w:val="none"/>
          <w:lang w:val="en-US" w:eastAsia="zh-CN"/>
        </w:rPr>
      </w:pPr>
      <w:r>
        <w:rPr>
          <w:rFonts w:hint="eastAsia"/>
          <w:color w:val="auto"/>
        </w:rPr>
        <w:t>本合同</w:t>
      </w:r>
      <w:r>
        <w:rPr>
          <w:rFonts w:hint="eastAsia"/>
          <w:color w:val="auto"/>
          <w:lang w:val="en-US" w:eastAsia="zh-CN"/>
        </w:rPr>
        <w:t>总工期6个月，在合同</w:t>
      </w:r>
      <w:r>
        <w:rPr>
          <w:rFonts w:hint="eastAsia"/>
          <w:color w:val="auto"/>
        </w:rPr>
        <w:t>签订后</w:t>
      </w:r>
      <w:r>
        <w:rPr>
          <w:rFonts w:hint="eastAsia"/>
          <w:color w:val="auto"/>
          <w:lang w:val="en-US" w:eastAsia="zh-CN"/>
        </w:rPr>
        <w:t>2</w:t>
      </w:r>
      <w:r>
        <w:rPr>
          <w:rFonts w:hint="eastAsia"/>
          <w:color w:val="auto"/>
        </w:rPr>
        <w:t>个月内完成系统软</w:t>
      </w:r>
      <w:r>
        <w:rPr>
          <w:rFonts w:hint="eastAsia"/>
          <w:color w:val="auto"/>
          <w:lang w:eastAsia="zh-CN"/>
        </w:rPr>
        <w:t>、</w:t>
      </w:r>
      <w:r>
        <w:rPr>
          <w:rFonts w:hint="eastAsia"/>
          <w:color w:val="auto"/>
          <w:lang w:val="en-US" w:eastAsia="zh-CN"/>
        </w:rPr>
        <w:t>硬</w:t>
      </w:r>
      <w:r>
        <w:rPr>
          <w:rFonts w:hint="eastAsia"/>
          <w:color w:val="auto"/>
        </w:rPr>
        <w:t>件产品交付</w:t>
      </w:r>
      <w:r>
        <w:rPr>
          <w:rFonts w:hint="eastAsia"/>
          <w:color w:val="auto"/>
          <w:lang w:eastAsia="zh-CN"/>
        </w:rPr>
        <w:t>，</w:t>
      </w:r>
      <w:r>
        <w:rPr>
          <w:rFonts w:hint="eastAsia"/>
          <w:color w:val="auto"/>
          <w:lang w:val="en-US" w:eastAsia="zh-CN"/>
        </w:rPr>
        <w:t>系统实现运行管理、检修管理及两票管理基础模块功能</w:t>
      </w:r>
      <w:r>
        <w:rPr>
          <w:rFonts w:hint="eastAsia"/>
          <w:color w:val="auto"/>
          <w:lang w:eastAsia="zh-CN"/>
        </w:rPr>
        <w:t>，</w:t>
      </w:r>
      <w:r>
        <w:rPr>
          <w:rFonts w:hint="eastAsia"/>
          <w:color w:val="auto"/>
          <w:lang w:val="en-US" w:eastAsia="zh-CN"/>
        </w:rPr>
        <w:t>后续3个月内</w:t>
      </w:r>
      <w:r>
        <w:rPr>
          <w:rFonts w:hint="eastAsia"/>
          <w:color w:val="auto"/>
        </w:rPr>
        <w:t>完成</w:t>
      </w:r>
      <w:r>
        <w:rPr>
          <w:rFonts w:hint="eastAsia"/>
          <w:color w:val="auto"/>
          <w:lang w:val="en-US" w:eastAsia="zh-CN"/>
        </w:rPr>
        <w:t>系统整体上线试运行</w:t>
      </w:r>
      <w:r>
        <w:rPr>
          <w:rFonts w:hint="eastAsia"/>
          <w:color w:val="auto"/>
        </w:rPr>
        <w:t>，</w:t>
      </w:r>
      <w:r>
        <w:rPr>
          <w:rFonts w:hint="eastAsia"/>
          <w:color w:val="auto"/>
          <w:highlight w:val="none"/>
        </w:rPr>
        <w:t>试运行1个月</w:t>
      </w:r>
      <w:r>
        <w:rPr>
          <w:rFonts w:hint="eastAsia"/>
          <w:color w:val="auto"/>
          <w:highlight w:val="none"/>
          <w:lang w:val="en-US" w:eastAsia="zh-CN"/>
        </w:rPr>
        <w:t>后系统各项功能无异常通过完工验收。</w:t>
      </w:r>
    </w:p>
    <w:p>
      <w:pPr>
        <w:pStyle w:val="4"/>
        <w:bidi w:val="0"/>
      </w:pPr>
      <w:r>
        <w:rPr>
          <w:rFonts w:hint="eastAsia"/>
        </w:rPr>
        <w:t>第3条</w:t>
      </w:r>
      <w:r>
        <w:rPr>
          <w:rFonts w:hint="eastAsia"/>
        </w:rPr>
        <w:tab/>
      </w:r>
      <w:r>
        <w:rPr>
          <w:rFonts w:hint="eastAsia"/>
        </w:rPr>
        <w:t>合同金额与支付方式</w:t>
      </w:r>
    </w:p>
    <w:p>
      <w:pPr>
        <w:bidi w:val="0"/>
        <w:outlineLvl w:val="2"/>
      </w:pPr>
      <w:bookmarkStart w:id="13" w:name="_Toc144386145"/>
      <w:r>
        <w:rPr>
          <w:rFonts w:hint="eastAsia"/>
        </w:rPr>
        <w:t>1.合同金额</w:t>
      </w:r>
      <w:bookmarkEnd w:id="13"/>
      <w:r>
        <w:tab/>
      </w:r>
    </w:p>
    <w:p>
      <w:pPr>
        <w:pStyle w:val="29"/>
        <w:ind w:firstLine="480" w:firstLineChars="200"/>
      </w:pPr>
      <w:r>
        <w:rPr>
          <w:rFonts w:hint="eastAsia"/>
        </w:rPr>
        <w:t>本项目为固定总价合同，合同包干总价为</w:t>
      </w:r>
      <w:r>
        <w:rPr>
          <w:rFonts w:hint="eastAsia"/>
          <w:color w:val="auto"/>
        </w:rPr>
        <w:t xml:space="preserve">**元。（大写：  </w:t>
      </w:r>
      <w:r>
        <w:rPr>
          <w:rFonts w:hint="eastAsia"/>
        </w:rPr>
        <w:t xml:space="preserve">              ）。</w:t>
      </w:r>
    </w:p>
    <w:p>
      <w:pPr>
        <w:bidi w:val="0"/>
        <w:outlineLvl w:val="2"/>
      </w:pPr>
      <w:bookmarkStart w:id="14" w:name="_Toc144386146"/>
      <w:r>
        <w:rPr>
          <w:rFonts w:hint="eastAsia"/>
        </w:rPr>
        <w:t>2.支付方式</w:t>
      </w:r>
      <w:bookmarkEnd w:id="14"/>
    </w:p>
    <w:p>
      <w:pPr>
        <w:ind w:firstLine="480"/>
      </w:pPr>
      <w:r>
        <w:rPr>
          <w:rFonts w:hint="eastAsia"/>
        </w:rPr>
        <w:t>（1）本合同使用货币种类为人民币。</w:t>
      </w:r>
    </w:p>
    <w:p>
      <w:pPr>
        <w:ind w:firstLine="480"/>
      </w:pPr>
      <w:r>
        <w:rPr>
          <w:rFonts w:hint="eastAsia"/>
        </w:rPr>
        <w:t>（2）付款方式：转帐支票或电汇。</w:t>
      </w:r>
    </w:p>
    <w:p>
      <w:pPr>
        <w:ind w:firstLine="480"/>
        <w:rPr>
          <w:rFonts w:hint="eastAsia"/>
        </w:rPr>
      </w:pPr>
      <w:r>
        <w:rPr>
          <w:rFonts w:hint="eastAsia"/>
        </w:rPr>
        <w:t>第一次款项支付：第一次款项金额为合同总价的</w:t>
      </w:r>
      <w:r>
        <w:rPr>
          <w:rFonts w:hint="eastAsia"/>
          <w:lang w:val="en-US" w:eastAsia="zh-CN"/>
        </w:rPr>
        <w:t>2</w:t>
      </w:r>
      <w:r>
        <w:rPr>
          <w:rFonts w:hint="eastAsia"/>
        </w:rPr>
        <w:t>0%，</w:t>
      </w:r>
      <w:r>
        <w:rPr>
          <w:rFonts w:hint="eastAsia"/>
          <w:color w:val="auto"/>
        </w:rPr>
        <w:t>即</w:t>
      </w:r>
      <w:r>
        <w:rPr>
          <w:rFonts w:hint="eastAsia"/>
          <w:color w:val="auto"/>
          <w:lang w:val="en-US" w:eastAsia="zh-CN"/>
        </w:rPr>
        <w:t xml:space="preserve">   </w:t>
      </w:r>
      <w:r>
        <w:rPr>
          <w:rFonts w:hint="eastAsia"/>
          <w:color w:val="auto"/>
        </w:rPr>
        <w:t>￥元（大写：人民币），</w:t>
      </w:r>
      <w:r>
        <w:rPr>
          <w:rFonts w:hint="eastAsia"/>
          <w:color w:val="auto"/>
          <w:lang w:val="en-US" w:eastAsia="zh-CN"/>
        </w:rPr>
        <w:t>在</w:t>
      </w:r>
      <w:r>
        <w:rPr>
          <w:rFonts w:hint="eastAsia"/>
        </w:rPr>
        <w:t>合同签订</w:t>
      </w:r>
      <w:r>
        <w:rPr>
          <w:rFonts w:hint="eastAsia"/>
          <w:lang w:val="en-US" w:eastAsia="zh-CN"/>
        </w:rPr>
        <w:t>完毕，乙方组织完成本项目设计联络会后14个工作日内。</w:t>
      </w:r>
      <w:r>
        <w:rPr>
          <w:rFonts w:hint="eastAsia"/>
        </w:rPr>
        <w:t>乙方提交相应金额的支付申请和增值税专用发票后，甲方向乙方支付第一次款项。</w:t>
      </w:r>
    </w:p>
    <w:p>
      <w:pPr>
        <w:ind w:firstLine="480"/>
        <w:rPr>
          <w:rFonts w:hint="eastAsia" w:ascii="Times New Roman" w:hAnsi="Times New Roman" w:eastAsia="宋体" w:cs="Times New Roman"/>
          <w:color w:val="auto"/>
        </w:rPr>
      </w:pPr>
      <w:r>
        <w:rPr>
          <w:rFonts w:hint="eastAsia"/>
          <w:color w:val="auto"/>
        </w:rPr>
        <w:t>第二次款项支付：第二次款项金额为合同总价的</w:t>
      </w:r>
      <w:r>
        <w:rPr>
          <w:rFonts w:hint="eastAsia"/>
          <w:color w:val="auto"/>
          <w:lang w:val="en-US" w:eastAsia="zh-CN"/>
        </w:rPr>
        <w:t>4</w:t>
      </w:r>
      <w:r>
        <w:rPr>
          <w:rFonts w:hint="eastAsia"/>
          <w:color w:val="auto"/>
        </w:rPr>
        <w:t>0%，即￥元（大写人民币），在乙方完成本项目</w:t>
      </w:r>
      <w:r>
        <w:rPr>
          <w:rFonts w:hint="eastAsia"/>
          <w:color w:val="auto"/>
          <w:highlight w:val="none"/>
        </w:rPr>
        <w:t>软</w:t>
      </w:r>
      <w:r>
        <w:rPr>
          <w:rFonts w:hint="eastAsia"/>
          <w:color w:val="auto"/>
          <w:highlight w:val="none"/>
          <w:lang w:eastAsia="zh-CN"/>
        </w:rPr>
        <w:t>、</w:t>
      </w:r>
      <w:r>
        <w:rPr>
          <w:rFonts w:hint="eastAsia"/>
          <w:color w:val="auto"/>
          <w:highlight w:val="none"/>
          <w:lang w:val="en-US" w:eastAsia="zh-CN"/>
        </w:rPr>
        <w:t>硬件</w:t>
      </w:r>
      <w:r>
        <w:rPr>
          <w:rFonts w:hint="eastAsia"/>
          <w:color w:val="auto"/>
          <w:highlight w:val="none"/>
        </w:rPr>
        <w:t>交付</w:t>
      </w:r>
      <w:r>
        <w:rPr>
          <w:rFonts w:hint="eastAsia"/>
          <w:color w:val="auto"/>
          <w:highlight w:val="none"/>
          <w:lang w:val="en-US" w:eastAsia="zh-CN"/>
        </w:rPr>
        <w:t>及</w:t>
      </w:r>
      <w:r>
        <w:rPr>
          <w:rFonts w:hint="eastAsia"/>
          <w:color w:val="auto"/>
          <w:highlight w:val="none"/>
        </w:rPr>
        <w:t>产品安装</w:t>
      </w:r>
      <w:r>
        <w:rPr>
          <w:rFonts w:hint="eastAsia"/>
          <w:color w:val="auto"/>
          <w:highlight w:val="none"/>
          <w:lang w:eastAsia="zh-CN"/>
        </w:rPr>
        <w:t>，</w:t>
      </w:r>
      <w:r>
        <w:rPr>
          <w:rFonts w:hint="eastAsia"/>
          <w:color w:val="auto"/>
          <w:highlight w:val="none"/>
          <w:lang w:val="en-US" w:eastAsia="zh-CN"/>
        </w:rPr>
        <w:t>软件实现运行管理、检修管理、两票管理基础功能</w:t>
      </w:r>
      <w:r>
        <w:rPr>
          <w:rFonts w:hint="eastAsia"/>
          <w:color w:val="auto"/>
          <w:highlight w:val="none"/>
          <w:lang w:eastAsia="zh-CN"/>
        </w:rPr>
        <w:t>，</w:t>
      </w:r>
      <w:r>
        <w:rPr>
          <w:rFonts w:hint="eastAsia"/>
          <w:color w:val="auto"/>
          <w:highlight w:val="none"/>
          <w:lang w:val="en-US" w:eastAsia="zh-CN"/>
        </w:rPr>
        <w:t>经甲方认可后</w:t>
      </w:r>
      <w:r>
        <w:rPr>
          <w:rFonts w:hint="eastAsia"/>
          <w:color w:val="auto"/>
          <w:lang w:val="en-US" w:eastAsia="zh-CN"/>
        </w:rPr>
        <w:t>20</w:t>
      </w:r>
      <w:r>
        <w:rPr>
          <w:rFonts w:hint="eastAsia"/>
          <w:color w:val="auto"/>
        </w:rPr>
        <w:t>个工作日内，乙方提交相应金额</w:t>
      </w:r>
      <w:r>
        <w:rPr>
          <w:rFonts w:hint="eastAsia" w:ascii="Times New Roman" w:hAnsi="Times New Roman" w:eastAsia="宋体" w:cs="Times New Roman"/>
          <w:color w:val="auto"/>
        </w:rPr>
        <w:t>的支付申请和增值税专用发票后，甲方向乙方支付第二次款项。</w:t>
      </w:r>
    </w:p>
    <w:p>
      <w:pPr>
        <w:ind w:firstLine="480"/>
        <w:rPr>
          <w:rFonts w:hint="eastAsia" w:ascii="Times New Roman" w:hAnsi="Times New Roman" w:eastAsia="宋体" w:cs="Times New Roman"/>
          <w:color w:val="auto"/>
        </w:rPr>
      </w:pPr>
      <w:r>
        <w:rPr>
          <w:rFonts w:hint="eastAsia" w:ascii="Times New Roman" w:hAnsi="Times New Roman" w:eastAsia="宋体" w:cs="Times New Roman"/>
          <w:color w:val="auto"/>
        </w:rPr>
        <w:t>第三次款项</w:t>
      </w:r>
      <w:r>
        <w:rPr>
          <w:rFonts w:hint="eastAsia" w:ascii="Times New Roman" w:hAnsi="Times New Roman" w:eastAsia="宋体" w:cs="Times New Roman"/>
          <w:color w:val="auto"/>
          <w:lang w:val="en-US" w:eastAsia="zh-CN"/>
        </w:rPr>
        <w:t>支付：第三次款项</w:t>
      </w:r>
      <w:r>
        <w:rPr>
          <w:rFonts w:hint="eastAsia" w:ascii="Times New Roman" w:hAnsi="Times New Roman" w:eastAsia="宋体" w:cs="Times New Roman"/>
          <w:color w:val="auto"/>
        </w:rPr>
        <w:t>金额为合同总价的</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7%，即￥元（大写人民币）。项目调试完毕，</w:t>
      </w:r>
      <w:r>
        <w:rPr>
          <w:rFonts w:hint="eastAsia" w:cs="Times New Roman"/>
          <w:color w:val="auto"/>
          <w:lang w:val="en-US" w:eastAsia="zh-CN"/>
        </w:rPr>
        <w:t>完工</w:t>
      </w:r>
      <w:r>
        <w:rPr>
          <w:rFonts w:hint="eastAsia" w:ascii="Times New Roman" w:hAnsi="Times New Roman" w:eastAsia="宋体" w:cs="Times New Roman"/>
          <w:color w:val="auto"/>
        </w:rPr>
        <w:t>验收合格后</w:t>
      </w:r>
      <w:r>
        <w:rPr>
          <w:rFonts w:hint="eastAsia" w:ascii="Times New Roman" w:hAnsi="Times New Roman" w:eastAsia="宋体" w:cs="Times New Roman"/>
          <w:color w:val="auto"/>
          <w:lang w:val="en-US" w:eastAsia="zh-CN"/>
        </w:rPr>
        <w:t>14</w:t>
      </w:r>
      <w:r>
        <w:rPr>
          <w:rFonts w:hint="eastAsia" w:ascii="Times New Roman" w:hAnsi="Times New Roman" w:eastAsia="宋体" w:cs="Times New Roman"/>
          <w:color w:val="auto"/>
        </w:rPr>
        <w:t>个工作日内，乙方提交相应金额的支付申请和增值税专用发票后，甲方向乙方支付第三次款项。</w:t>
      </w:r>
    </w:p>
    <w:p>
      <w:pPr>
        <w:ind w:firstLine="480"/>
      </w:pPr>
      <w:r>
        <w:rPr>
          <w:rFonts w:hint="eastAsia" w:ascii="Times New Roman" w:hAnsi="Times New Roman" w:eastAsia="宋体" w:cs="Times New Roman"/>
          <w:color w:val="auto"/>
        </w:rPr>
        <w:t>第四次款项支付：第四次款项金额为合同总价的3%，即￥元（大写人民币）。</w:t>
      </w:r>
      <w:r>
        <w:rPr>
          <w:rFonts w:hint="eastAsia" w:ascii="Times New Roman" w:hAnsi="Times New Roman" w:eastAsia="宋体" w:cs="Times New Roman"/>
        </w:rPr>
        <w:t>乙方按照本合同的规定完成为期一年的系统维保服务后，乙方提交相</w:t>
      </w:r>
      <w:r>
        <w:rPr>
          <w:rFonts w:hint="eastAsia"/>
        </w:rPr>
        <w:t>应金额的支付申请和增值税专用发票后，甲方向乙方支付第四次款项。</w:t>
      </w:r>
    </w:p>
    <w:p>
      <w:pPr>
        <w:ind w:firstLine="480"/>
      </w:pPr>
      <w:r>
        <w:rPr>
          <w:rFonts w:hint="eastAsia"/>
        </w:rPr>
        <w:t>乙方申请支付时，应提交书面支付申请表、达到合同支付条件的证明材料及符合国家税法规定的相应的增值税专用发票。</w:t>
      </w:r>
    </w:p>
    <w:p>
      <w:pPr>
        <w:pStyle w:val="4"/>
        <w:bidi w:val="0"/>
      </w:pPr>
      <w:r>
        <w:rPr>
          <w:rFonts w:hint="eastAsia"/>
        </w:rPr>
        <w:t>第4条</w:t>
      </w:r>
      <w:r>
        <w:rPr>
          <w:rFonts w:hint="eastAsia"/>
        </w:rPr>
        <w:tab/>
      </w:r>
      <w:r>
        <w:rPr>
          <w:rFonts w:hint="eastAsia"/>
        </w:rPr>
        <w:t>合同价格的调整</w:t>
      </w:r>
    </w:p>
    <w:p>
      <w:pPr>
        <w:ind w:firstLine="480"/>
      </w:pPr>
      <w:r>
        <w:rPr>
          <w:rFonts w:hint="eastAsia"/>
        </w:rPr>
        <w:t>乙方所报总价在合同有效期内固定不变，即合同总价不因国家和地方政策调整、物价变动等因数的影响而调整。</w:t>
      </w:r>
    </w:p>
    <w:p>
      <w:pPr>
        <w:pStyle w:val="4"/>
        <w:bidi w:val="0"/>
      </w:pPr>
      <w:r>
        <w:rPr>
          <w:rFonts w:hint="eastAsia"/>
        </w:rPr>
        <w:t>第5条</w:t>
      </w:r>
      <w:r>
        <w:rPr>
          <w:rFonts w:hint="eastAsia"/>
        </w:rPr>
        <w:tab/>
      </w:r>
      <w:r>
        <w:rPr>
          <w:rFonts w:hint="eastAsia"/>
        </w:rPr>
        <w:t xml:space="preserve">双方责任及义务 </w:t>
      </w:r>
    </w:p>
    <w:p>
      <w:pPr>
        <w:pStyle w:val="12"/>
        <w:keepNext w:val="0"/>
        <w:keepLines w:val="0"/>
        <w:pageBreakBefore w:val="0"/>
        <w:kinsoku/>
        <w:wordWrap/>
        <w:overflowPunct/>
        <w:topLinePunct w:val="0"/>
        <w:autoSpaceDE/>
        <w:autoSpaceDN/>
        <w:bidi w:val="0"/>
        <w:adjustRightInd w:val="0"/>
        <w:spacing w:line="360" w:lineRule="auto"/>
        <w:ind w:firstLine="480" w:firstLineChars="200"/>
        <w:jc w:val="both"/>
        <w:textAlignment w:val="auto"/>
        <w:outlineLvl w:val="2"/>
        <w:rPr>
          <w:rFonts w:ascii="宋体" w:hAnsi="宋体"/>
          <w:kern w:val="0"/>
          <w:sz w:val="24"/>
          <w:szCs w:val="24"/>
        </w:rPr>
      </w:pPr>
      <w:r>
        <w:rPr>
          <w:rFonts w:hint="eastAsia" w:ascii="宋体" w:hAnsi="宋体"/>
          <w:kern w:val="0"/>
          <w:sz w:val="24"/>
          <w:szCs w:val="24"/>
        </w:rPr>
        <w:t>1.甲方的责任和义务</w:t>
      </w:r>
    </w:p>
    <w:p>
      <w:pPr>
        <w:pStyle w:val="12"/>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（1）</w:t>
      </w:r>
      <w:r>
        <w:rPr>
          <w:rFonts w:hint="eastAsia" w:ascii="宋体" w:hAnsi="宋体"/>
          <w:color w:val="auto"/>
          <w:sz w:val="24"/>
          <w:szCs w:val="24"/>
          <w:highlight w:val="none"/>
        </w:rPr>
        <w:t>协助乙方收集</w:t>
      </w:r>
      <w:r>
        <w:rPr>
          <w:rFonts w:hint="eastAsia" w:ascii="宋体" w:hAnsi="宋体"/>
          <w:color w:val="auto"/>
          <w:sz w:val="24"/>
          <w:szCs w:val="24"/>
          <w:highlight w:val="none"/>
          <w:lang w:val="en-US" w:eastAsia="zh-CN"/>
        </w:rPr>
        <w:t>系统建设</w:t>
      </w:r>
      <w:r>
        <w:rPr>
          <w:rFonts w:hint="eastAsia" w:ascii="宋体" w:hAnsi="宋体"/>
          <w:color w:val="auto"/>
          <w:sz w:val="24"/>
          <w:szCs w:val="24"/>
          <w:highlight w:val="none"/>
        </w:rPr>
        <w:t>所需的基础资料。</w:t>
      </w:r>
    </w:p>
    <w:p>
      <w:pPr>
        <w:pStyle w:val="33"/>
        <w:keepNext w:val="0"/>
        <w:keepLines w:val="0"/>
        <w:pageBreakBefore w:val="0"/>
        <w:kinsoku/>
        <w:wordWrap/>
        <w:overflowPunct/>
        <w:topLinePunct w:val="0"/>
        <w:autoSpaceDE/>
        <w:autoSpaceDN/>
        <w:bidi w:val="0"/>
        <w:snapToGrid w:val="0"/>
        <w:spacing w:line="360" w:lineRule="auto"/>
        <w:ind w:firstLine="482"/>
        <w:textAlignment w:val="auto"/>
        <w:rPr>
          <w:rFonts w:hint="eastAsia" w:ascii="宋体" w:hAnsi="宋体" w:eastAsia="宋体" w:cs="Times New Roman"/>
          <w:color w:val="auto"/>
          <w:kern w:val="2"/>
          <w:sz w:val="24"/>
          <w:szCs w:val="24"/>
          <w:highlight w:val="none"/>
        </w:rPr>
      </w:pPr>
      <w:r>
        <w:rPr>
          <w:rFonts w:hint="eastAsia" w:ascii="宋体" w:hAnsi="宋体"/>
          <w:color w:val="auto"/>
          <w:kern w:val="0"/>
          <w:sz w:val="24"/>
          <w:szCs w:val="24"/>
          <w:highlight w:val="none"/>
        </w:rPr>
        <w:t>（2）</w:t>
      </w:r>
      <w:r>
        <w:rPr>
          <w:rFonts w:hint="eastAsia" w:ascii="宋体" w:hAnsi="宋体" w:eastAsia="宋体" w:cs="Times New Roman"/>
          <w:color w:val="auto"/>
          <w:kern w:val="2"/>
          <w:sz w:val="24"/>
          <w:szCs w:val="24"/>
          <w:highlight w:val="none"/>
        </w:rPr>
        <w:t>按时支付工作经费。</w:t>
      </w:r>
    </w:p>
    <w:p>
      <w:pPr>
        <w:pStyle w:val="33"/>
        <w:snapToGrid w:val="0"/>
        <w:spacing w:line="360" w:lineRule="auto"/>
        <w:ind w:firstLine="482"/>
        <w:rPr>
          <w:rFonts w:hint="eastAsia" w:ascii="宋体" w:hAnsi="宋体" w:eastAsia="宋体"/>
          <w:color w:val="auto"/>
          <w:sz w:val="24"/>
          <w:szCs w:val="24"/>
        </w:rPr>
      </w:pPr>
      <w:r>
        <w:rPr>
          <w:rFonts w:hint="eastAsia" w:ascii="宋体" w:hAnsi="宋体" w:eastAsia="宋体"/>
          <w:color w:val="auto"/>
          <w:sz w:val="24"/>
          <w:szCs w:val="24"/>
        </w:rPr>
        <w:t>（3）对工作过程和成果保密。</w:t>
      </w:r>
    </w:p>
    <w:p>
      <w:pPr>
        <w:pStyle w:val="33"/>
        <w:snapToGrid w:val="0"/>
        <w:spacing w:line="360" w:lineRule="auto"/>
        <w:ind w:firstLine="482"/>
        <w:outlineLvl w:val="2"/>
        <w:rPr>
          <w:rFonts w:hint="eastAsia" w:ascii="宋体" w:hAnsi="宋体" w:eastAsia="宋体"/>
          <w:color w:val="auto"/>
          <w:sz w:val="24"/>
          <w:szCs w:val="24"/>
        </w:rPr>
      </w:pPr>
      <w:r>
        <w:rPr>
          <w:rFonts w:hint="eastAsia" w:ascii="宋体" w:hAnsi="宋体" w:eastAsia="宋体"/>
          <w:color w:val="auto"/>
          <w:sz w:val="24"/>
          <w:szCs w:val="24"/>
        </w:rPr>
        <w:t>2.乙方的责任和义务</w:t>
      </w:r>
    </w:p>
    <w:p>
      <w:pPr>
        <w:pStyle w:val="33"/>
        <w:snapToGrid w:val="0"/>
        <w:spacing w:line="360" w:lineRule="auto"/>
        <w:ind w:firstLine="482"/>
        <w:rPr>
          <w:rFonts w:ascii="宋体" w:hAnsi="宋体"/>
          <w:color w:val="auto"/>
          <w:sz w:val="24"/>
          <w:szCs w:val="24"/>
        </w:rPr>
      </w:pPr>
      <w:r>
        <w:rPr>
          <w:rFonts w:hint="eastAsia" w:ascii="宋体" w:hAnsi="宋体"/>
          <w:color w:val="auto"/>
          <w:sz w:val="24"/>
          <w:szCs w:val="24"/>
        </w:rPr>
        <w:t>（1）认真收集和分析基础资料，按规范要求开展工作，按照合同或工作大纲的要求完成研究内容。</w:t>
      </w:r>
    </w:p>
    <w:p>
      <w:pPr>
        <w:pStyle w:val="12"/>
        <w:adjustRightInd w:val="0"/>
        <w:spacing w:line="360" w:lineRule="auto"/>
        <w:ind w:firstLine="480" w:firstLineChars="200"/>
        <w:jc w:val="both"/>
        <w:rPr>
          <w:rFonts w:ascii="宋体" w:hAnsi="宋体"/>
          <w:color w:val="auto"/>
          <w:kern w:val="0"/>
          <w:sz w:val="24"/>
          <w:szCs w:val="24"/>
        </w:rPr>
      </w:pPr>
      <w:r>
        <w:rPr>
          <w:rFonts w:hint="eastAsia" w:ascii="宋体" w:hAnsi="宋体"/>
          <w:color w:val="auto"/>
          <w:kern w:val="0"/>
          <w:sz w:val="24"/>
          <w:szCs w:val="24"/>
        </w:rPr>
        <w:t xml:space="preserve">（2）乙方在本合同实施过程中，自行解决交通、食宿，费用包含在相应合同总价中。 </w:t>
      </w:r>
    </w:p>
    <w:p>
      <w:pPr>
        <w:pStyle w:val="12"/>
        <w:adjustRightInd w:val="0"/>
        <w:spacing w:line="360" w:lineRule="auto"/>
        <w:ind w:firstLine="480" w:firstLineChars="200"/>
        <w:jc w:val="both"/>
        <w:rPr>
          <w:rFonts w:ascii="宋体" w:hAnsi="宋体"/>
          <w:color w:val="auto"/>
          <w:kern w:val="0"/>
          <w:sz w:val="24"/>
          <w:szCs w:val="24"/>
        </w:rPr>
      </w:pPr>
      <w:r>
        <w:rPr>
          <w:rFonts w:hint="eastAsia" w:ascii="宋体" w:hAnsi="宋体"/>
          <w:color w:val="auto"/>
          <w:kern w:val="0"/>
          <w:sz w:val="24"/>
          <w:szCs w:val="24"/>
        </w:rPr>
        <w:t>（3）乙方在工作实施期间，应为现场人员投保人身意外伤害险，并承担因乙方原因</w:t>
      </w:r>
      <w:r>
        <w:rPr>
          <w:rFonts w:hint="eastAsia" w:ascii="宋体" w:hAnsi="宋体"/>
          <w:color w:val="auto"/>
          <w:kern w:val="0"/>
          <w:sz w:val="24"/>
          <w:szCs w:val="24"/>
          <w:lang w:val="en-US" w:eastAsia="zh-CN"/>
        </w:rPr>
        <w:t>造成的</w:t>
      </w:r>
      <w:r>
        <w:rPr>
          <w:rFonts w:hint="eastAsia" w:ascii="宋体" w:hAnsi="宋体"/>
          <w:color w:val="auto"/>
          <w:kern w:val="0"/>
          <w:sz w:val="24"/>
          <w:szCs w:val="24"/>
        </w:rPr>
        <w:t>工作人员工伤事故责任和经济赔偿责任。</w:t>
      </w:r>
    </w:p>
    <w:p>
      <w:pPr>
        <w:pStyle w:val="12"/>
        <w:adjustRightInd w:val="0"/>
        <w:spacing w:line="360" w:lineRule="auto"/>
        <w:ind w:firstLine="480" w:firstLineChars="200"/>
        <w:jc w:val="both"/>
        <w:rPr>
          <w:rFonts w:ascii="宋体" w:hAnsi="宋体"/>
          <w:color w:val="auto"/>
          <w:kern w:val="0"/>
          <w:sz w:val="24"/>
          <w:szCs w:val="24"/>
        </w:rPr>
      </w:pPr>
      <w:r>
        <w:rPr>
          <w:rFonts w:hint="eastAsia" w:ascii="宋体" w:hAnsi="宋体"/>
          <w:color w:val="auto"/>
          <w:kern w:val="0"/>
          <w:sz w:val="24"/>
          <w:szCs w:val="24"/>
        </w:rPr>
        <w:t>（4）严格按照</w:t>
      </w:r>
      <w:r>
        <w:rPr>
          <w:rFonts w:hint="eastAsia" w:ascii="宋体" w:hAnsi="宋体"/>
          <w:color w:val="auto"/>
          <w:kern w:val="0"/>
          <w:sz w:val="24"/>
          <w:szCs w:val="24"/>
          <w:lang w:val="en-US" w:eastAsia="zh-CN"/>
        </w:rPr>
        <w:t>系统建设实施方案</w:t>
      </w:r>
      <w:r>
        <w:rPr>
          <w:rFonts w:hint="eastAsia" w:ascii="宋体" w:hAnsi="宋体"/>
          <w:color w:val="auto"/>
          <w:kern w:val="0"/>
          <w:sz w:val="24"/>
          <w:szCs w:val="24"/>
        </w:rPr>
        <w:t>开展工作，确保工程质量，按合同规定的时间如期完工。</w:t>
      </w:r>
    </w:p>
    <w:p>
      <w:pPr>
        <w:pStyle w:val="12"/>
        <w:adjustRightInd w:val="0"/>
        <w:spacing w:line="360" w:lineRule="auto"/>
        <w:ind w:firstLine="480" w:firstLineChars="200"/>
        <w:jc w:val="both"/>
        <w:rPr>
          <w:rFonts w:ascii="宋体" w:hAnsi="宋体"/>
          <w:color w:val="auto"/>
          <w:kern w:val="0"/>
          <w:sz w:val="24"/>
          <w:szCs w:val="24"/>
        </w:rPr>
      </w:pPr>
      <w:r>
        <w:rPr>
          <w:rFonts w:hint="eastAsia" w:ascii="宋体" w:hAnsi="宋体"/>
          <w:color w:val="auto"/>
          <w:kern w:val="0"/>
          <w:sz w:val="24"/>
          <w:szCs w:val="24"/>
        </w:rPr>
        <w:t>（5）负责档案资料（反映合同内项目的一切真实性资料）的收集、整理和移交，满足有关要求。</w:t>
      </w:r>
    </w:p>
    <w:p>
      <w:pPr>
        <w:pStyle w:val="12"/>
        <w:adjustRightInd w:val="0"/>
        <w:spacing w:line="360" w:lineRule="auto"/>
        <w:ind w:firstLine="480" w:firstLineChars="200"/>
        <w:jc w:val="both"/>
        <w:rPr>
          <w:color w:val="FF0000"/>
        </w:rPr>
      </w:pPr>
      <w:r>
        <w:rPr>
          <w:rFonts w:hint="eastAsia" w:ascii="宋体" w:hAnsi="宋体"/>
          <w:color w:val="auto"/>
          <w:kern w:val="0"/>
          <w:sz w:val="24"/>
          <w:szCs w:val="24"/>
        </w:rPr>
        <w:t>（6）全面负责乙方实施工作范围内的项目实施安全管理及安全责任。</w:t>
      </w:r>
    </w:p>
    <w:p>
      <w:pPr>
        <w:pStyle w:val="4"/>
        <w:bidi w:val="0"/>
      </w:pPr>
      <w:r>
        <w:rPr>
          <w:rFonts w:hint="eastAsia"/>
        </w:rPr>
        <w:t>第6条</w:t>
      </w:r>
      <w:r>
        <w:rPr>
          <w:rFonts w:hint="eastAsia"/>
        </w:rPr>
        <w:tab/>
      </w:r>
      <w:r>
        <w:rPr>
          <w:rFonts w:hint="eastAsia"/>
        </w:rPr>
        <w:t>成果提交</w:t>
      </w:r>
    </w:p>
    <w:p>
      <w:pPr>
        <w:pStyle w:val="33"/>
        <w:snapToGrid w:val="0"/>
        <w:spacing w:line="360" w:lineRule="auto"/>
        <w:ind w:firstLine="482"/>
        <w:rPr>
          <w:rFonts w:hint="eastAsia" w:ascii="宋体" w:hAnsi="宋体"/>
          <w:color w:val="auto"/>
          <w:sz w:val="24"/>
          <w:szCs w:val="24"/>
        </w:rPr>
      </w:pPr>
      <w:r>
        <w:rPr>
          <w:rFonts w:hint="eastAsia" w:ascii="宋体" w:hAnsi="宋体"/>
          <w:color w:val="auto"/>
          <w:sz w:val="24"/>
          <w:szCs w:val="24"/>
        </w:rPr>
        <w:t>（1）建设一套满足要求可靠安全运行的</w:t>
      </w:r>
      <w:r>
        <w:rPr>
          <w:rFonts w:hint="eastAsia" w:ascii="宋体" w:hAnsi="宋体"/>
          <w:color w:val="auto"/>
          <w:sz w:val="24"/>
          <w:szCs w:val="24"/>
          <w:lang w:eastAsia="zh-CN"/>
        </w:rPr>
        <w:t>生产管理系统</w:t>
      </w:r>
      <w:r>
        <w:rPr>
          <w:rFonts w:hint="eastAsia" w:ascii="宋体" w:hAnsi="宋体"/>
          <w:color w:val="auto"/>
          <w:sz w:val="24"/>
          <w:szCs w:val="24"/>
        </w:rPr>
        <w:t>。</w:t>
      </w:r>
    </w:p>
    <w:p>
      <w:pPr>
        <w:pStyle w:val="33"/>
        <w:snapToGrid w:val="0"/>
        <w:spacing w:line="360" w:lineRule="auto"/>
        <w:ind w:firstLine="482"/>
        <w:rPr>
          <w:rFonts w:hint="eastAsia" w:ascii="宋体" w:hAnsi="宋体"/>
          <w:color w:val="auto"/>
          <w:sz w:val="24"/>
          <w:szCs w:val="24"/>
        </w:rPr>
      </w:pPr>
      <w:r>
        <w:rPr>
          <w:rFonts w:hint="eastAsia" w:ascii="宋体" w:hAnsi="宋体"/>
          <w:color w:val="auto"/>
          <w:sz w:val="24"/>
          <w:szCs w:val="24"/>
        </w:rPr>
        <w:t>（2）本合同技术条款规定的全部软硬件安装、调试。</w:t>
      </w:r>
    </w:p>
    <w:p>
      <w:pPr>
        <w:pStyle w:val="33"/>
        <w:snapToGrid w:val="0"/>
        <w:spacing w:line="360" w:lineRule="auto"/>
        <w:ind w:firstLine="482"/>
        <w:rPr>
          <w:rFonts w:hint="eastAsia" w:ascii="宋体" w:hAnsi="宋体"/>
          <w:color w:val="auto"/>
          <w:sz w:val="24"/>
          <w:szCs w:val="24"/>
        </w:rPr>
      </w:pPr>
      <w:r>
        <w:rPr>
          <w:rFonts w:hint="eastAsia" w:ascii="宋体" w:hAnsi="宋体"/>
          <w:color w:val="auto"/>
          <w:sz w:val="24"/>
          <w:szCs w:val="24"/>
        </w:rPr>
        <w:t>（3）乙方提供整个系统建设的文档，包括系统运行、维护管理体系对应的全部管理规范和技术文档，技术文档应与系统相一致。</w:t>
      </w:r>
    </w:p>
    <w:p>
      <w:pPr>
        <w:pStyle w:val="33"/>
        <w:snapToGrid w:val="0"/>
        <w:spacing w:line="360" w:lineRule="auto"/>
        <w:ind w:firstLine="482"/>
        <w:rPr>
          <w:rFonts w:hint="eastAsia" w:ascii="宋体" w:hAnsi="宋体"/>
          <w:color w:val="auto"/>
          <w:sz w:val="24"/>
          <w:szCs w:val="24"/>
          <w:highlight w:val="none"/>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4）乙方应针对本次生产管理系统建设项目，提供</w:t>
      </w:r>
      <w:r>
        <w:rPr>
          <w:rFonts w:hint="eastAsia" w:ascii="宋体" w:hAnsi="宋体"/>
          <w:color w:val="auto"/>
          <w:sz w:val="24"/>
          <w:szCs w:val="24"/>
          <w:highlight w:val="none"/>
          <w:lang w:val="en-US" w:eastAsia="zh-CN"/>
        </w:rPr>
        <w:t>省部级期刊及以上论文不少于两篇。</w:t>
      </w:r>
    </w:p>
    <w:p>
      <w:pPr>
        <w:pStyle w:val="4"/>
        <w:bidi w:val="0"/>
        <w:rPr>
          <w:rFonts w:hint="eastAsia"/>
        </w:rPr>
      </w:pPr>
      <w:r>
        <w:rPr>
          <w:rFonts w:hint="eastAsia"/>
        </w:rPr>
        <w:t>第7条</w:t>
      </w:r>
      <w:r>
        <w:rPr>
          <w:rFonts w:hint="eastAsia"/>
        </w:rPr>
        <w:tab/>
      </w:r>
      <w:r>
        <w:rPr>
          <w:rFonts w:hint="eastAsia"/>
        </w:rPr>
        <w:t>违约责任</w:t>
      </w:r>
    </w:p>
    <w:p>
      <w:pPr>
        <w:keepNext w:val="0"/>
        <w:keepLines w:val="0"/>
        <w:pageBreakBefore w:val="0"/>
        <w:widowControl w:val="0"/>
        <w:kinsoku/>
        <w:wordWrap/>
        <w:overflowPunct/>
        <w:topLinePunct w:val="0"/>
        <w:autoSpaceDE/>
        <w:autoSpaceDN/>
        <w:bidi w:val="0"/>
        <w:textAlignment w:val="auto"/>
        <w:outlineLvl w:val="2"/>
        <w:rPr>
          <w:rFonts w:hint="eastAsia"/>
          <w:lang w:val="en-US" w:eastAsia="zh-CN"/>
        </w:rPr>
      </w:pPr>
      <w:r>
        <w:rPr>
          <w:rFonts w:hint="eastAsia"/>
          <w:lang w:val="en-US" w:eastAsia="zh-CN"/>
        </w:rPr>
        <w:t>1.甲方的违约责任</w:t>
      </w:r>
    </w:p>
    <w:p>
      <w:pPr>
        <w:pStyle w:val="12"/>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olor w:val="000000"/>
          <w:kern w:val="0"/>
          <w:sz w:val="24"/>
          <w:szCs w:val="24"/>
        </w:rPr>
      </w:pPr>
      <w:r>
        <w:rPr>
          <w:rFonts w:hint="eastAsia" w:ascii="宋体" w:hAnsi="宋体"/>
          <w:color w:val="000000"/>
          <w:kern w:val="0"/>
          <w:sz w:val="24"/>
          <w:szCs w:val="24"/>
        </w:rPr>
        <w:t>（l）未能按合同规定履行自已的义务而造成竣工日期滞后，</w:t>
      </w:r>
      <w:r>
        <w:rPr>
          <w:rFonts w:hint="eastAsia"/>
          <w:color w:val="000000"/>
          <w:sz w:val="24"/>
          <w:szCs w:val="24"/>
          <w:lang w:eastAsia="zh-CN"/>
        </w:rPr>
        <w:t>在征得乙方书面同意的前提下可顺延工期</w:t>
      </w:r>
      <w:r>
        <w:rPr>
          <w:rFonts w:hint="eastAsia" w:ascii="宋体" w:hAnsi="宋体"/>
          <w:color w:val="000000"/>
          <w:kern w:val="0"/>
          <w:sz w:val="24"/>
          <w:szCs w:val="24"/>
        </w:rPr>
        <w:t>。</w:t>
      </w:r>
    </w:p>
    <w:p>
      <w:pPr>
        <w:pStyle w:val="17"/>
        <w:keepNext w:val="0"/>
        <w:keepLines w:val="0"/>
        <w:pageBreakBefore w:val="0"/>
        <w:widowControl w:val="0"/>
        <w:kinsoku/>
        <w:wordWrap/>
        <w:overflowPunct/>
        <w:topLinePunct w:val="0"/>
        <w:autoSpaceDE/>
        <w:autoSpaceDN/>
        <w:bidi w:val="0"/>
        <w:ind w:left="0" w:leftChars="0" w:firstLine="480" w:firstLineChars="200"/>
        <w:textAlignment w:val="auto"/>
        <w:rPr>
          <w:rFonts w:hint="default"/>
          <w:lang w:val="en-US" w:eastAsia="zh-CN"/>
        </w:rPr>
      </w:pPr>
      <w:r>
        <w:rPr>
          <w:rFonts w:hint="eastAsia" w:ascii="宋体" w:hAnsi="宋体"/>
          <w:color w:val="000000"/>
          <w:kern w:val="0"/>
          <w:sz w:val="24"/>
          <w:szCs w:val="24"/>
        </w:rPr>
        <w:t>（2）工程未经初步验收，甲方提前使用应征得乙方的同意，否则由此而发生的质量或其他问题，由甲方承担责任。</w:t>
      </w:r>
    </w:p>
    <w:p>
      <w:pPr>
        <w:ind w:firstLine="480"/>
        <w:outlineLvl w:val="2"/>
      </w:pPr>
      <w:r>
        <w:rPr>
          <w:rFonts w:hint="eastAsia"/>
          <w:lang w:val="en-US" w:eastAsia="zh-CN"/>
        </w:rPr>
        <w:t>2</w:t>
      </w:r>
      <w:r>
        <w:rPr>
          <w:rFonts w:hint="eastAsia"/>
        </w:rPr>
        <w:t>.乙方的违约责任</w:t>
      </w:r>
    </w:p>
    <w:p>
      <w:pPr>
        <w:ind w:firstLine="480"/>
        <w:rPr>
          <w:color w:val="auto"/>
        </w:rPr>
      </w:pPr>
      <w:r>
        <w:rPr>
          <w:rFonts w:hint="eastAsia"/>
          <w:color w:val="auto"/>
        </w:rPr>
        <w:t>（1）乙方所提供的硬件设备存在瑕疵、缺陷，甲方有权要求退换货。甲方要求换货的，相关换货的费用由乙方承担；</w:t>
      </w:r>
      <w:r>
        <w:rPr>
          <w:rFonts w:hint="eastAsia"/>
          <w:color w:val="auto"/>
          <w:lang w:eastAsia="zh-CN"/>
        </w:rPr>
        <w:t>生产管理系统</w:t>
      </w:r>
      <w:r>
        <w:rPr>
          <w:rFonts w:hint="eastAsia"/>
          <w:color w:val="auto"/>
        </w:rPr>
        <w:t>功能与合同规定不符的，乙方按合同约定整改，如多次整改仍不符合合同要求，甲方有权要求乙方承担合同总价5%的违约金。</w:t>
      </w:r>
    </w:p>
    <w:p>
      <w:pPr>
        <w:ind w:firstLine="480"/>
        <w:rPr>
          <w:color w:val="auto"/>
        </w:rPr>
      </w:pPr>
      <w:r>
        <w:rPr>
          <w:rFonts w:hint="eastAsia"/>
          <w:color w:val="auto"/>
        </w:rPr>
        <w:t>（2）如因乙方原因导致项目不能按期完工或未通过甲方验收，在征得甲方书面同意的前提下可顺延工期，否则每延期完成一个工作日乙方按项目费用总额的0.5％向甲方支付违约赔偿金，该项违约金累计不超过本合同项目费用总额5%。</w:t>
      </w:r>
    </w:p>
    <w:p>
      <w:pPr>
        <w:ind w:firstLine="480"/>
        <w:rPr>
          <w:color w:val="auto"/>
        </w:rPr>
      </w:pPr>
      <w:r>
        <w:rPr>
          <w:rFonts w:hint="eastAsia"/>
          <w:color w:val="auto"/>
        </w:rPr>
        <w:t>（3）因乙方违约致使甲方行使相关权利而产生的所有费用应由乙方承担。</w:t>
      </w:r>
    </w:p>
    <w:p>
      <w:pPr>
        <w:ind w:firstLine="480"/>
        <w:outlineLvl w:val="2"/>
        <w:rPr>
          <w:color w:val="auto"/>
        </w:rPr>
      </w:pPr>
      <w:r>
        <w:rPr>
          <w:rFonts w:hint="eastAsia"/>
          <w:color w:val="auto"/>
          <w:lang w:val="en-US" w:eastAsia="zh-CN"/>
        </w:rPr>
        <w:t>2</w:t>
      </w:r>
      <w:r>
        <w:rPr>
          <w:rFonts w:hint="eastAsia"/>
          <w:color w:val="auto"/>
        </w:rPr>
        <w:t>.双方的违约责任</w:t>
      </w:r>
    </w:p>
    <w:p>
      <w:pPr>
        <w:ind w:firstLine="480"/>
        <w:rPr>
          <w:color w:val="auto"/>
        </w:rPr>
      </w:pPr>
      <w:r>
        <w:rPr>
          <w:rFonts w:hint="eastAsia"/>
          <w:color w:val="auto"/>
        </w:rPr>
        <w:t>（1）本合同的变更或终止必须由甲乙双方协商一致，并以书面方式确定，任何一方不得单方面变更或终止本合同。如一方未经另一方书面确认、单方面变更或终止本合同，另一方有权提出赔偿。</w:t>
      </w:r>
    </w:p>
    <w:p>
      <w:pPr>
        <w:ind w:firstLine="480"/>
        <w:rPr>
          <w:color w:val="auto"/>
        </w:rPr>
      </w:pPr>
      <w:r>
        <w:rPr>
          <w:rFonts w:hint="eastAsia"/>
          <w:color w:val="auto"/>
          <w:lang w:eastAsia="zh-CN"/>
        </w:rPr>
        <w:t>（</w:t>
      </w:r>
      <w:r>
        <w:rPr>
          <w:rFonts w:hint="eastAsia"/>
          <w:color w:val="auto"/>
          <w:lang w:val="en-US" w:eastAsia="zh-CN"/>
        </w:rPr>
        <w:t>2）</w:t>
      </w:r>
      <w:r>
        <w:rPr>
          <w:rFonts w:hint="eastAsia"/>
          <w:color w:val="auto"/>
        </w:rPr>
        <w:t>本合同甲乙双方向对方支付各项赔偿总额上限为本合同软件产品费用总额的30％。</w:t>
      </w:r>
    </w:p>
    <w:p>
      <w:pPr>
        <w:pStyle w:val="4"/>
        <w:bidi w:val="0"/>
        <w:rPr>
          <w:rFonts w:hint="default" w:eastAsia="宋体"/>
          <w:lang w:val="en-US" w:eastAsia="zh-CN"/>
        </w:rPr>
      </w:pPr>
      <w:r>
        <w:rPr>
          <w:rFonts w:hint="eastAsia"/>
        </w:rPr>
        <w:t>第8条</w:t>
      </w:r>
      <w:r>
        <w:rPr>
          <w:rFonts w:hint="eastAsia"/>
        </w:rPr>
        <w:tab/>
      </w:r>
      <w:r>
        <w:rPr>
          <w:rFonts w:hint="eastAsia"/>
        </w:rPr>
        <w:t>验收标准和方法</w:t>
      </w:r>
    </w:p>
    <w:p>
      <w:pPr>
        <w:ind w:firstLine="480"/>
        <w:rPr>
          <w:rFonts w:hint="default" w:eastAsia="宋体"/>
          <w:color w:val="auto"/>
          <w:lang w:val="en-US" w:eastAsia="zh-CN"/>
        </w:rPr>
      </w:pPr>
      <w:r>
        <w:rPr>
          <w:rFonts w:hint="eastAsia"/>
          <w:color w:val="auto"/>
          <w:lang w:eastAsia="zh-CN"/>
        </w:rPr>
        <w:t>（</w:t>
      </w:r>
      <w:r>
        <w:rPr>
          <w:rFonts w:hint="eastAsia"/>
          <w:color w:val="auto"/>
          <w:lang w:val="en-US" w:eastAsia="zh-CN"/>
        </w:rPr>
        <w:t>1）</w:t>
      </w:r>
      <w:r>
        <w:rPr>
          <w:rFonts w:hint="eastAsia"/>
          <w:highlight w:val="none"/>
          <w:lang w:val="en-US" w:eastAsia="zh-CN"/>
        </w:rPr>
        <w:t>在合同签订两个月内，乙方应按照合同规定</w:t>
      </w:r>
      <w:r>
        <w:rPr>
          <w:rFonts w:hint="eastAsia"/>
          <w:color w:val="auto"/>
        </w:rPr>
        <w:t>完成系统软</w:t>
      </w:r>
      <w:r>
        <w:rPr>
          <w:rFonts w:hint="eastAsia"/>
          <w:color w:val="auto"/>
          <w:lang w:eastAsia="zh-CN"/>
        </w:rPr>
        <w:t>、</w:t>
      </w:r>
      <w:r>
        <w:rPr>
          <w:rFonts w:hint="eastAsia"/>
          <w:color w:val="auto"/>
          <w:lang w:val="en-US" w:eastAsia="zh-CN"/>
        </w:rPr>
        <w:t>硬</w:t>
      </w:r>
      <w:r>
        <w:rPr>
          <w:rFonts w:hint="eastAsia"/>
          <w:color w:val="auto"/>
        </w:rPr>
        <w:t>件产品交付</w:t>
      </w:r>
      <w:r>
        <w:rPr>
          <w:rFonts w:hint="eastAsia"/>
          <w:color w:val="auto"/>
          <w:lang w:eastAsia="zh-CN"/>
        </w:rPr>
        <w:t>，</w:t>
      </w:r>
      <w:r>
        <w:rPr>
          <w:rFonts w:hint="eastAsia"/>
          <w:color w:val="auto"/>
          <w:lang w:val="en-US" w:eastAsia="zh-CN"/>
        </w:rPr>
        <w:t>软件实现运行管理、检修管理及两票管理模块功能。甲方以</w:t>
      </w:r>
      <w:r>
        <w:rPr>
          <w:rFonts w:hint="eastAsia"/>
          <w:color w:val="auto"/>
        </w:rPr>
        <w:t>《附件4：技术条款与要求》中“</w:t>
      </w:r>
      <w:r>
        <w:rPr>
          <w:color w:val="auto"/>
          <w:highlight w:val="none"/>
        </w:rPr>
        <w:t xml:space="preserve">2.3.2 </w:t>
      </w:r>
      <w:r>
        <w:rPr>
          <w:rFonts w:hint="eastAsia"/>
          <w:color w:val="auto"/>
        </w:rPr>
        <w:t>系统功能</w:t>
      </w:r>
      <w:r>
        <w:rPr>
          <w:rFonts w:hint="eastAsia"/>
          <w:color w:val="auto"/>
          <w:lang w:val="en-US" w:eastAsia="zh-CN"/>
        </w:rPr>
        <w:t>建设内容</w:t>
      </w:r>
      <w:r>
        <w:rPr>
          <w:rFonts w:hint="eastAsia"/>
          <w:color w:val="auto"/>
        </w:rPr>
        <w:t>第（2）点</w:t>
      </w:r>
      <w:r>
        <w:rPr>
          <w:rFonts w:hint="eastAsia"/>
          <w:color w:val="auto"/>
          <w:lang w:val="en-US" w:eastAsia="zh-CN"/>
        </w:rPr>
        <w:t>系统功能模块</w:t>
      </w:r>
      <w:r>
        <w:rPr>
          <w:rFonts w:hint="eastAsia"/>
          <w:color w:val="auto"/>
        </w:rPr>
        <w:t>清单”为标准</w:t>
      </w:r>
      <w:r>
        <w:rPr>
          <w:rFonts w:hint="eastAsia"/>
          <w:color w:val="auto"/>
          <w:lang w:val="en-US" w:eastAsia="zh-CN"/>
        </w:rPr>
        <w:t>组织验收相应模块功能。</w:t>
      </w:r>
    </w:p>
    <w:p>
      <w:pPr>
        <w:ind w:firstLine="480"/>
        <w:rPr>
          <w:color w:val="auto"/>
          <w:highlight w:val="yellow"/>
        </w:rPr>
      </w:pPr>
      <w:r>
        <w:rPr>
          <w:rFonts w:hint="eastAsia"/>
          <w:color w:val="auto"/>
          <w:lang w:eastAsia="zh-CN"/>
        </w:rPr>
        <w:t>（</w:t>
      </w:r>
      <w:r>
        <w:rPr>
          <w:rFonts w:hint="eastAsia"/>
          <w:color w:val="auto"/>
          <w:lang w:val="en-US" w:eastAsia="zh-CN"/>
        </w:rPr>
        <w:t>2）</w:t>
      </w:r>
      <w:r>
        <w:rPr>
          <w:rFonts w:hint="eastAsia"/>
          <w:color w:val="auto"/>
        </w:rPr>
        <w:t>在</w:t>
      </w:r>
      <w:r>
        <w:rPr>
          <w:rFonts w:hint="eastAsia"/>
          <w:color w:val="auto"/>
          <w:lang w:eastAsia="zh-CN"/>
        </w:rPr>
        <w:t>生产管理系统</w:t>
      </w:r>
      <w:r>
        <w:rPr>
          <w:rFonts w:hint="eastAsia"/>
          <w:color w:val="auto"/>
          <w:lang w:val="en-US" w:eastAsia="zh-CN"/>
        </w:rPr>
        <w:t>试运行结束，系统功能无异常后</w:t>
      </w:r>
      <w:r>
        <w:rPr>
          <w:rFonts w:hint="eastAsia"/>
          <w:color w:val="auto"/>
        </w:rPr>
        <w:t>，乙方向甲方提出重庆航发集团</w:t>
      </w:r>
      <w:r>
        <w:rPr>
          <w:rFonts w:hint="eastAsia"/>
          <w:color w:val="auto"/>
          <w:lang w:eastAsia="zh-CN"/>
        </w:rPr>
        <w:t>航电枢纽与集控中心生产管理系统</w:t>
      </w:r>
      <w:r>
        <w:rPr>
          <w:rFonts w:hint="eastAsia"/>
          <w:color w:val="auto"/>
        </w:rPr>
        <w:t>验收申请，甲方以</w:t>
      </w:r>
      <w:r>
        <w:rPr>
          <w:rFonts w:hint="eastAsia"/>
          <w:color w:val="auto"/>
          <w:lang w:val="en-US" w:eastAsia="zh-CN"/>
        </w:rPr>
        <w:t>第三章</w:t>
      </w:r>
      <w:r>
        <w:rPr>
          <w:rFonts w:hint="eastAsia"/>
          <w:color w:val="auto"/>
        </w:rPr>
        <w:t>《附件4：技术条款与要求》中“</w:t>
      </w:r>
      <w:r>
        <w:rPr>
          <w:color w:val="auto"/>
          <w:highlight w:val="none"/>
        </w:rPr>
        <w:t xml:space="preserve">2.3.2 </w:t>
      </w:r>
      <w:r>
        <w:rPr>
          <w:rFonts w:hint="eastAsia"/>
          <w:color w:val="auto"/>
        </w:rPr>
        <w:t>系统功能</w:t>
      </w:r>
      <w:r>
        <w:rPr>
          <w:rFonts w:hint="eastAsia"/>
          <w:color w:val="auto"/>
          <w:lang w:val="en-US" w:eastAsia="zh-CN"/>
        </w:rPr>
        <w:t>建设内容</w:t>
      </w:r>
      <w:r>
        <w:rPr>
          <w:rFonts w:hint="eastAsia"/>
          <w:color w:val="auto"/>
        </w:rPr>
        <w:t>第（2）点</w:t>
      </w:r>
      <w:r>
        <w:rPr>
          <w:rFonts w:hint="eastAsia"/>
          <w:color w:val="auto"/>
          <w:lang w:val="en-US" w:eastAsia="zh-CN"/>
        </w:rPr>
        <w:t>系统功能模块</w:t>
      </w:r>
      <w:r>
        <w:rPr>
          <w:rFonts w:hint="eastAsia"/>
          <w:color w:val="auto"/>
        </w:rPr>
        <w:t>清单”</w:t>
      </w:r>
      <w:r>
        <w:rPr>
          <w:rFonts w:hint="eastAsia"/>
          <w:color w:val="auto"/>
          <w:lang w:eastAsia="zh-CN"/>
        </w:rPr>
        <w:t>、</w:t>
      </w:r>
      <w:r>
        <w:rPr>
          <w:rFonts w:hint="eastAsia"/>
          <w:color w:val="auto"/>
          <w:lang w:val="en-US" w:eastAsia="zh-CN"/>
        </w:rPr>
        <w:t>第三章第六条成果提交相应内容</w:t>
      </w:r>
      <w:r>
        <w:rPr>
          <w:rFonts w:hint="eastAsia"/>
          <w:color w:val="auto"/>
        </w:rPr>
        <w:t>为标准组织</w:t>
      </w:r>
      <w:r>
        <w:rPr>
          <w:rFonts w:hint="eastAsia"/>
          <w:color w:val="auto"/>
          <w:lang w:val="en-US" w:eastAsia="zh-CN"/>
        </w:rPr>
        <w:t>完工</w:t>
      </w:r>
      <w:r>
        <w:rPr>
          <w:rFonts w:hint="eastAsia"/>
          <w:color w:val="auto"/>
        </w:rPr>
        <w:t>验收</w:t>
      </w:r>
      <w:r>
        <w:rPr>
          <w:rFonts w:hint="eastAsia"/>
          <w:color w:val="auto"/>
          <w:highlight w:val="none"/>
        </w:rPr>
        <w:t>。</w:t>
      </w:r>
    </w:p>
    <w:p>
      <w:pPr>
        <w:ind w:firstLine="480"/>
        <w:rPr>
          <w:color w:val="auto"/>
        </w:rPr>
      </w:pPr>
      <w:r>
        <w:rPr>
          <w:rFonts w:hint="eastAsia"/>
          <w:color w:val="auto"/>
          <w:lang w:eastAsia="zh-CN"/>
        </w:rPr>
        <w:t>（</w:t>
      </w:r>
      <w:r>
        <w:rPr>
          <w:rFonts w:hint="eastAsia"/>
          <w:color w:val="auto"/>
          <w:lang w:val="en-US" w:eastAsia="zh-CN"/>
        </w:rPr>
        <w:t>3）</w:t>
      </w:r>
      <w:r>
        <w:rPr>
          <w:rFonts w:hint="eastAsia"/>
          <w:color w:val="auto"/>
        </w:rPr>
        <w:t>甲方应在乙方提交重庆航发集团</w:t>
      </w:r>
      <w:r>
        <w:rPr>
          <w:rFonts w:hint="eastAsia"/>
          <w:color w:val="auto"/>
          <w:lang w:eastAsia="zh-CN"/>
        </w:rPr>
        <w:t>航电枢纽与集控中心生产管理系统</w:t>
      </w:r>
      <w:r>
        <w:rPr>
          <w:rFonts w:hint="eastAsia"/>
          <w:color w:val="auto"/>
        </w:rPr>
        <w:t>验收申请后出具书面验收意见。如果通过验收,甲方向乙方书面出具重庆航发集团</w:t>
      </w:r>
      <w:r>
        <w:rPr>
          <w:rFonts w:hint="eastAsia"/>
          <w:color w:val="auto"/>
          <w:lang w:eastAsia="zh-CN"/>
        </w:rPr>
        <w:t>航电枢纽与集控中心生产管理系统</w:t>
      </w:r>
      <w:r>
        <w:rPr>
          <w:rFonts w:hint="eastAsia"/>
          <w:color w:val="auto"/>
        </w:rPr>
        <w:t>通过验收证明文件；如果未通过验收，甲方向乙方书面出具重庆航发集团</w:t>
      </w:r>
      <w:r>
        <w:rPr>
          <w:rFonts w:hint="eastAsia"/>
          <w:color w:val="auto"/>
          <w:lang w:eastAsia="zh-CN"/>
        </w:rPr>
        <w:t>航电枢纽与集控中心生产管理系统</w:t>
      </w:r>
      <w:r>
        <w:rPr>
          <w:rFonts w:hint="eastAsia"/>
          <w:color w:val="auto"/>
        </w:rPr>
        <w:t>存在的问题，供乙方整改。</w:t>
      </w:r>
    </w:p>
    <w:p>
      <w:pPr>
        <w:pStyle w:val="4"/>
        <w:bidi w:val="0"/>
      </w:pPr>
      <w:r>
        <w:rPr>
          <w:rFonts w:hint="eastAsia"/>
        </w:rPr>
        <w:t>第9条</w:t>
      </w:r>
      <w:r>
        <w:rPr>
          <w:rFonts w:hint="eastAsia"/>
        </w:rPr>
        <w:tab/>
      </w:r>
      <w:r>
        <w:rPr>
          <w:rFonts w:hint="eastAsia"/>
        </w:rPr>
        <w:t>保密条款</w:t>
      </w:r>
    </w:p>
    <w:p>
      <w:pPr>
        <w:ind w:firstLine="480"/>
      </w:pPr>
      <w:r>
        <w:rPr>
          <w:rFonts w:hint="eastAsia"/>
        </w:rPr>
        <w:t>乙方需要与甲方单独签订保密协议，详见附件3。</w:t>
      </w:r>
    </w:p>
    <w:p>
      <w:pPr>
        <w:pStyle w:val="4"/>
        <w:bidi w:val="0"/>
      </w:pPr>
      <w:r>
        <w:rPr>
          <w:rFonts w:hint="eastAsia"/>
        </w:rPr>
        <w:t>第10条 合同争议的解决方式</w:t>
      </w:r>
    </w:p>
    <w:p>
      <w:pPr>
        <w:ind w:firstLine="480"/>
      </w:pPr>
      <w:r>
        <w:rPr>
          <w:rFonts w:hint="eastAsia"/>
        </w:rPr>
        <w:t>双方因履行本合同而发生的争议，应友好协商解决。协商、调解不成的，依法向甲方所在地人民法院起诉。</w:t>
      </w:r>
    </w:p>
    <w:p>
      <w:pPr>
        <w:pStyle w:val="4"/>
        <w:bidi w:val="0"/>
      </w:pPr>
      <w:r>
        <w:rPr>
          <w:rFonts w:hint="eastAsia"/>
        </w:rPr>
        <w:t>第11条 其他</w:t>
      </w:r>
    </w:p>
    <w:p>
      <w:pPr>
        <w:ind w:firstLine="480"/>
        <w:rPr>
          <w:color w:val="auto"/>
          <w:highlight w:val="none"/>
        </w:rPr>
      </w:pPr>
      <w:r>
        <w:rPr>
          <w:rFonts w:hint="eastAsia"/>
          <w:color w:val="auto"/>
          <w:highlight w:val="none"/>
        </w:rPr>
        <w:t>1.本合同文本一式</w:t>
      </w:r>
      <w:r>
        <w:rPr>
          <w:rFonts w:hint="eastAsia"/>
          <w:color w:val="auto"/>
          <w:highlight w:val="none"/>
          <w:lang w:val="en-US" w:eastAsia="zh-CN"/>
        </w:rPr>
        <w:t>8</w:t>
      </w:r>
      <w:r>
        <w:rPr>
          <w:rFonts w:hint="eastAsia"/>
          <w:color w:val="auto"/>
          <w:highlight w:val="none"/>
        </w:rPr>
        <w:t>份</w:t>
      </w:r>
      <w:r>
        <w:rPr>
          <w:rFonts w:hint="eastAsia"/>
          <w:color w:val="auto"/>
          <w:highlight w:val="none"/>
          <w:lang w:eastAsia="zh-CN"/>
        </w:rPr>
        <w:t>，</w:t>
      </w:r>
      <w:r>
        <w:rPr>
          <w:rFonts w:hint="eastAsia"/>
          <w:color w:val="auto"/>
          <w:highlight w:val="none"/>
          <w:lang w:val="en-US" w:eastAsia="zh-CN"/>
        </w:rPr>
        <w:t>双方各执4份</w:t>
      </w:r>
      <w:r>
        <w:rPr>
          <w:rFonts w:hint="eastAsia"/>
          <w:color w:val="auto"/>
          <w:highlight w:val="none"/>
        </w:rPr>
        <w:t>。</w:t>
      </w:r>
    </w:p>
    <w:p>
      <w:pPr>
        <w:ind w:firstLine="480"/>
      </w:pPr>
      <w:r>
        <w:rPr>
          <w:rFonts w:hint="eastAsia"/>
        </w:rPr>
        <w:t>2.本合同自双方签字盖章之日起生效，双方履行完合同协议规定的各自职责后即行终止。</w:t>
      </w:r>
    </w:p>
    <w:p>
      <w:pPr>
        <w:ind w:firstLine="480"/>
        <w:rPr>
          <w:rFonts w:hint="default" w:eastAsia="宋体"/>
          <w:highlight w:val="yellow"/>
          <w:lang w:val="en-US" w:eastAsia="zh-CN"/>
        </w:rPr>
      </w:pPr>
      <w:r>
        <w:rPr>
          <w:rFonts w:hint="eastAsia"/>
          <w:lang w:val="en-US" w:eastAsia="zh-CN"/>
        </w:rPr>
        <w:t>3</w:t>
      </w:r>
      <w:r>
        <w:rPr>
          <w:rFonts w:hint="eastAsia"/>
        </w:rPr>
        <w:t>.本文附页中廉政协议、保密协议、技术条款与要求等附件与主合同具有同等法律效应。</w:t>
      </w:r>
    </w:p>
    <w:p>
      <w:pPr>
        <w:ind w:firstLine="480"/>
      </w:pPr>
    </w:p>
    <w:tbl>
      <w:tblPr>
        <w:tblStyle w:val="18"/>
        <w:tblW w:w="8364" w:type="dxa"/>
        <w:tblInd w:w="0" w:type="dxa"/>
        <w:tblLayout w:type="fixed"/>
        <w:tblCellMar>
          <w:top w:w="0" w:type="dxa"/>
          <w:left w:w="108" w:type="dxa"/>
          <w:bottom w:w="0" w:type="dxa"/>
          <w:right w:w="108" w:type="dxa"/>
        </w:tblCellMar>
      </w:tblPr>
      <w:tblGrid>
        <w:gridCol w:w="4395"/>
        <w:gridCol w:w="3969"/>
      </w:tblGrid>
      <w:tr>
        <w:tblPrEx>
          <w:tblCellMar>
            <w:top w:w="0" w:type="dxa"/>
            <w:left w:w="108" w:type="dxa"/>
            <w:bottom w:w="0" w:type="dxa"/>
            <w:right w:w="108" w:type="dxa"/>
          </w:tblCellMar>
        </w:tblPrEx>
        <w:tc>
          <w:tcPr>
            <w:tcW w:w="4395" w:type="dxa"/>
            <w:noWrap w:val="0"/>
            <w:vAlign w:val="top"/>
          </w:tcPr>
          <w:p>
            <w:pPr>
              <w:ind w:firstLine="0" w:firstLineChars="0"/>
            </w:pPr>
            <w:r>
              <w:rPr>
                <w:rFonts w:hint="eastAsia"/>
              </w:rPr>
              <w:t>甲方：</w:t>
            </w:r>
          </w:p>
          <w:p>
            <w:pPr>
              <w:ind w:firstLine="0" w:firstLineChars="0"/>
            </w:pPr>
            <w:r>
              <w:rPr>
                <w:rFonts w:hint="eastAsia"/>
              </w:rPr>
              <w:t>法定代表人：</w:t>
            </w:r>
          </w:p>
          <w:p>
            <w:pPr>
              <w:ind w:firstLine="0" w:firstLineChars="0"/>
            </w:pPr>
            <w:r>
              <w:rPr>
                <w:rFonts w:hint="eastAsia"/>
              </w:rPr>
              <w:t>或其授权代理人：</w:t>
            </w:r>
          </w:p>
        </w:tc>
        <w:tc>
          <w:tcPr>
            <w:tcW w:w="3969" w:type="dxa"/>
            <w:noWrap w:val="0"/>
            <w:vAlign w:val="top"/>
          </w:tcPr>
          <w:p>
            <w:pPr>
              <w:ind w:firstLine="0" w:firstLineChars="0"/>
            </w:pPr>
            <w:r>
              <w:rPr>
                <w:rFonts w:hint="eastAsia"/>
              </w:rPr>
              <w:t>乙方：</w:t>
            </w:r>
          </w:p>
          <w:p>
            <w:pPr>
              <w:ind w:firstLine="0" w:firstLineChars="0"/>
            </w:pPr>
            <w:r>
              <w:rPr>
                <w:rFonts w:hint="eastAsia"/>
              </w:rPr>
              <w:t>法定代表人：</w:t>
            </w:r>
          </w:p>
          <w:p>
            <w:pPr>
              <w:ind w:firstLine="0" w:firstLineChars="0"/>
            </w:pPr>
            <w:r>
              <w:rPr>
                <w:rFonts w:hint="eastAsia"/>
              </w:rPr>
              <w:t>或其授权代理人：</w:t>
            </w:r>
          </w:p>
        </w:tc>
      </w:tr>
      <w:tr>
        <w:tblPrEx>
          <w:tblCellMar>
            <w:top w:w="0" w:type="dxa"/>
            <w:left w:w="108" w:type="dxa"/>
            <w:bottom w:w="0" w:type="dxa"/>
            <w:right w:w="108" w:type="dxa"/>
          </w:tblCellMar>
        </w:tblPrEx>
        <w:tc>
          <w:tcPr>
            <w:tcW w:w="4395" w:type="dxa"/>
            <w:noWrap w:val="0"/>
            <w:vAlign w:val="top"/>
          </w:tcPr>
          <w:p>
            <w:pPr>
              <w:ind w:firstLine="0" w:firstLineChars="0"/>
            </w:pPr>
            <w:r>
              <w:rPr>
                <w:rFonts w:hint="eastAsia"/>
              </w:rPr>
              <w:t>地址：</w:t>
            </w:r>
          </w:p>
        </w:tc>
        <w:tc>
          <w:tcPr>
            <w:tcW w:w="3969" w:type="dxa"/>
            <w:noWrap w:val="0"/>
            <w:vAlign w:val="top"/>
          </w:tcPr>
          <w:p>
            <w:pPr>
              <w:ind w:firstLine="0" w:firstLineChars="0"/>
            </w:pPr>
            <w:r>
              <w:rPr>
                <w:rFonts w:hint="eastAsia"/>
              </w:rPr>
              <w:t>地址：</w:t>
            </w:r>
          </w:p>
        </w:tc>
      </w:tr>
      <w:tr>
        <w:tblPrEx>
          <w:tblCellMar>
            <w:top w:w="0" w:type="dxa"/>
            <w:left w:w="108" w:type="dxa"/>
            <w:bottom w:w="0" w:type="dxa"/>
            <w:right w:w="108" w:type="dxa"/>
          </w:tblCellMar>
        </w:tblPrEx>
        <w:trPr>
          <w:trHeight w:val="397" w:hRule="atLeast"/>
        </w:trPr>
        <w:tc>
          <w:tcPr>
            <w:tcW w:w="4395" w:type="dxa"/>
            <w:noWrap w:val="0"/>
            <w:vAlign w:val="top"/>
          </w:tcPr>
          <w:p>
            <w:pPr>
              <w:ind w:firstLine="0" w:firstLineChars="0"/>
            </w:pPr>
            <w:r>
              <w:rPr>
                <w:rFonts w:hint="eastAsia"/>
              </w:rPr>
              <w:t>邮编：</w:t>
            </w:r>
          </w:p>
        </w:tc>
        <w:tc>
          <w:tcPr>
            <w:tcW w:w="3969" w:type="dxa"/>
            <w:noWrap w:val="0"/>
            <w:vAlign w:val="top"/>
          </w:tcPr>
          <w:p>
            <w:pPr>
              <w:ind w:firstLine="0" w:firstLineChars="0"/>
            </w:pPr>
            <w:r>
              <w:rPr>
                <w:rFonts w:hint="eastAsia"/>
              </w:rPr>
              <w:t>邮编：</w:t>
            </w:r>
          </w:p>
        </w:tc>
      </w:tr>
      <w:tr>
        <w:tblPrEx>
          <w:tblCellMar>
            <w:top w:w="0" w:type="dxa"/>
            <w:left w:w="108" w:type="dxa"/>
            <w:bottom w:w="0" w:type="dxa"/>
            <w:right w:w="108" w:type="dxa"/>
          </w:tblCellMar>
        </w:tblPrEx>
        <w:trPr>
          <w:trHeight w:val="397" w:hRule="atLeast"/>
        </w:trPr>
        <w:tc>
          <w:tcPr>
            <w:tcW w:w="4395" w:type="dxa"/>
            <w:noWrap w:val="0"/>
            <w:vAlign w:val="top"/>
          </w:tcPr>
          <w:p>
            <w:pPr>
              <w:ind w:firstLine="0" w:firstLineChars="0"/>
            </w:pPr>
            <w:r>
              <w:rPr>
                <w:rFonts w:hint="eastAsia"/>
              </w:rPr>
              <w:t>电话：</w:t>
            </w:r>
          </w:p>
        </w:tc>
        <w:tc>
          <w:tcPr>
            <w:tcW w:w="3969" w:type="dxa"/>
            <w:noWrap w:val="0"/>
            <w:vAlign w:val="top"/>
          </w:tcPr>
          <w:p>
            <w:pPr>
              <w:ind w:firstLine="0" w:firstLineChars="0"/>
            </w:pPr>
            <w:r>
              <w:rPr>
                <w:rFonts w:hint="eastAsia"/>
              </w:rPr>
              <w:t>电话：</w:t>
            </w:r>
          </w:p>
        </w:tc>
      </w:tr>
      <w:tr>
        <w:tblPrEx>
          <w:tblCellMar>
            <w:top w:w="0" w:type="dxa"/>
            <w:left w:w="108" w:type="dxa"/>
            <w:bottom w:w="0" w:type="dxa"/>
            <w:right w:w="108" w:type="dxa"/>
          </w:tblCellMar>
        </w:tblPrEx>
        <w:trPr>
          <w:trHeight w:val="397" w:hRule="atLeast"/>
        </w:trPr>
        <w:tc>
          <w:tcPr>
            <w:tcW w:w="4395" w:type="dxa"/>
            <w:noWrap w:val="0"/>
            <w:vAlign w:val="top"/>
          </w:tcPr>
          <w:p>
            <w:pPr>
              <w:ind w:firstLine="0" w:firstLineChars="0"/>
            </w:pPr>
            <w:r>
              <w:rPr>
                <w:rFonts w:hint="eastAsia"/>
              </w:rPr>
              <w:t>传真：</w:t>
            </w:r>
          </w:p>
        </w:tc>
        <w:tc>
          <w:tcPr>
            <w:tcW w:w="3969" w:type="dxa"/>
            <w:noWrap w:val="0"/>
            <w:vAlign w:val="top"/>
          </w:tcPr>
          <w:p>
            <w:pPr>
              <w:ind w:firstLine="0" w:firstLineChars="0"/>
            </w:pPr>
            <w:r>
              <w:rPr>
                <w:rFonts w:hint="eastAsia"/>
              </w:rPr>
              <w:t>传真：</w:t>
            </w:r>
          </w:p>
        </w:tc>
      </w:tr>
      <w:tr>
        <w:tblPrEx>
          <w:tblCellMar>
            <w:top w:w="0" w:type="dxa"/>
            <w:left w:w="108" w:type="dxa"/>
            <w:bottom w:w="0" w:type="dxa"/>
            <w:right w:w="108" w:type="dxa"/>
          </w:tblCellMar>
        </w:tblPrEx>
        <w:trPr>
          <w:trHeight w:val="397" w:hRule="atLeast"/>
        </w:trPr>
        <w:tc>
          <w:tcPr>
            <w:tcW w:w="4395" w:type="dxa"/>
            <w:noWrap w:val="0"/>
            <w:vAlign w:val="top"/>
          </w:tcPr>
          <w:p>
            <w:pPr>
              <w:ind w:firstLine="0" w:firstLineChars="0"/>
            </w:pPr>
            <w:r>
              <w:rPr>
                <w:rFonts w:hint="eastAsia"/>
              </w:rPr>
              <w:t>开户银行：</w:t>
            </w:r>
          </w:p>
        </w:tc>
        <w:tc>
          <w:tcPr>
            <w:tcW w:w="3969" w:type="dxa"/>
            <w:noWrap w:val="0"/>
            <w:vAlign w:val="top"/>
          </w:tcPr>
          <w:p>
            <w:pPr>
              <w:ind w:firstLine="0" w:firstLineChars="0"/>
            </w:pPr>
            <w:r>
              <w:rPr>
                <w:rFonts w:hint="eastAsia"/>
              </w:rPr>
              <w:t>开户银行：</w:t>
            </w:r>
          </w:p>
        </w:tc>
      </w:tr>
      <w:tr>
        <w:tblPrEx>
          <w:tblCellMar>
            <w:top w:w="0" w:type="dxa"/>
            <w:left w:w="108" w:type="dxa"/>
            <w:bottom w:w="0" w:type="dxa"/>
            <w:right w:w="108" w:type="dxa"/>
          </w:tblCellMar>
        </w:tblPrEx>
        <w:trPr>
          <w:trHeight w:val="397" w:hRule="atLeast"/>
        </w:trPr>
        <w:tc>
          <w:tcPr>
            <w:tcW w:w="4395" w:type="dxa"/>
            <w:noWrap w:val="0"/>
            <w:vAlign w:val="top"/>
          </w:tcPr>
          <w:p>
            <w:pPr>
              <w:ind w:firstLine="0" w:firstLineChars="0"/>
            </w:pPr>
            <w:r>
              <w:rPr>
                <w:rFonts w:hint="eastAsia"/>
              </w:rPr>
              <w:t>帐号：</w:t>
            </w:r>
          </w:p>
        </w:tc>
        <w:tc>
          <w:tcPr>
            <w:tcW w:w="3969" w:type="dxa"/>
            <w:noWrap w:val="0"/>
            <w:vAlign w:val="top"/>
          </w:tcPr>
          <w:p>
            <w:pPr>
              <w:ind w:firstLine="0" w:firstLineChars="0"/>
            </w:pPr>
            <w:r>
              <w:rPr>
                <w:rFonts w:hint="eastAsia"/>
              </w:rPr>
              <w:t>帐号：</w:t>
            </w:r>
          </w:p>
        </w:tc>
      </w:tr>
      <w:tr>
        <w:tblPrEx>
          <w:tblCellMar>
            <w:top w:w="0" w:type="dxa"/>
            <w:left w:w="108" w:type="dxa"/>
            <w:bottom w:w="0" w:type="dxa"/>
            <w:right w:w="108" w:type="dxa"/>
          </w:tblCellMar>
        </w:tblPrEx>
        <w:trPr>
          <w:trHeight w:val="397" w:hRule="atLeast"/>
        </w:trPr>
        <w:tc>
          <w:tcPr>
            <w:tcW w:w="4395" w:type="dxa"/>
            <w:noWrap w:val="0"/>
            <w:vAlign w:val="top"/>
          </w:tcPr>
          <w:p>
            <w:pPr>
              <w:ind w:firstLine="0" w:firstLineChars="0"/>
            </w:pPr>
            <w:r>
              <w:rPr>
                <w:rFonts w:hint="eastAsia"/>
              </w:rPr>
              <w:t>税号：</w:t>
            </w:r>
          </w:p>
        </w:tc>
        <w:tc>
          <w:tcPr>
            <w:tcW w:w="3969" w:type="dxa"/>
            <w:noWrap w:val="0"/>
            <w:vAlign w:val="top"/>
          </w:tcPr>
          <w:p>
            <w:pPr>
              <w:ind w:firstLine="0" w:firstLineChars="0"/>
            </w:pPr>
            <w:r>
              <w:rPr>
                <w:rFonts w:hint="eastAsia"/>
              </w:rPr>
              <w:t>税号：</w:t>
            </w:r>
          </w:p>
        </w:tc>
      </w:tr>
    </w:tbl>
    <w:p>
      <w:pPr>
        <w:ind w:firstLine="480"/>
      </w:pPr>
    </w:p>
    <w:p>
      <w:pPr>
        <w:ind w:firstLine="480"/>
      </w:pPr>
      <w:r>
        <w:rPr>
          <w:rFonts w:hint="eastAsia"/>
        </w:rPr>
        <w:t>签约日期：      年         月       日           签约地点：重庆市</w:t>
      </w:r>
    </w:p>
    <w:p>
      <w:pPr>
        <w:ind w:firstLine="480"/>
      </w:pPr>
      <w:r>
        <w:br w:type="page"/>
      </w:r>
      <w:r>
        <w:rPr>
          <w:rFonts w:hint="eastAsia"/>
        </w:rPr>
        <w:t>附件：</w:t>
      </w:r>
    </w:p>
    <w:p>
      <w:pPr>
        <w:pStyle w:val="29"/>
        <w:outlineLvl w:val="2"/>
        <w:rPr>
          <w:color w:val="4472C4"/>
        </w:rPr>
      </w:pPr>
      <w:r>
        <w:rPr>
          <w:rFonts w:hint="eastAsia"/>
        </w:rPr>
        <w:t>附件1：重庆航发集团</w:t>
      </w:r>
      <w:r>
        <w:rPr>
          <w:rFonts w:hint="eastAsia"/>
          <w:lang w:eastAsia="zh-CN"/>
        </w:rPr>
        <w:t>航电枢纽与集控中心生产管理系统</w:t>
      </w:r>
      <w:r>
        <w:rPr>
          <w:rFonts w:hint="eastAsia"/>
        </w:rPr>
        <w:t>建设项目合同清单</w:t>
      </w:r>
    </w:p>
    <w:p>
      <w:pPr>
        <w:pStyle w:val="29"/>
      </w:pPr>
      <w:r>
        <w:rPr>
          <w:rFonts w:hint="eastAsia"/>
        </w:rPr>
        <w:t>附件2：廉政合同</w:t>
      </w:r>
    </w:p>
    <w:p>
      <w:pPr>
        <w:pStyle w:val="29"/>
      </w:pPr>
      <w:r>
        <w:rPr>
          <w:rFonts w:hint="eastAsia"/>
        </w:rPr>
        <w:t>附件3：保密协议</w:t>
      </w:r>
    </w:p>
    <w:p>
      <w:pPr>
        <w:pStyle w:val="29"/>
      </w:pPr>
      <w:r>
        <w:rPr>
          <w:rFonts w:hint="eastAsia"/>
        </w:rPr>
        <w:t>附件4：技术条款与要求</w:t>
      </w:r>
      <w:r>
        <w:br w:type="page"/>
      </w:r>
      <w:bookmarkStart w:id="15" w:name="_Toc144386147"/>
      <w:r>
        <w:rPr>
          <w:rFonts w:hint="eastAsia"/>
        </w:rPr>
        <w:t>附件1：合同清单</w:t>
      </w:r>
      <w:bookmarkEnd w:id="15"/>
    </w:p>
    <w:p>
      <w:pPr>
        <w:pStyle w:val="29"/>
        <w:jc w:val="center"/>
        <w:rPr>
          <w:b/>
          <w:bCs/>
          <w:sz w:val="28"/>
          <w:szCs w:val="28"/>
        </w:rPr>
      </w:pPr>
      <w:r>
        <w:rPr>
          <w:rFonts w:hint="eastAsia"/>
          <w:b/>
          <w:bCs/>
          <w:sz w:val="28"/>
          <w:szCs w:val="28"/>
        </w:rPr>
        <w:t>重庆航发集团</w:t>
      </w:r>
      <w:r>
        <w:rPr>
          <w:rFonts w:hint="eastAsia"/>
          <w:b/>
          <w:bCs/>
          <w:sz w:val="28"/>
          <w:szCs w:val="28"/>
          <w:lang w:eastAsia="zh-CN"/>
        </w:rPr>
        <w:t>航电枢纽与集控中心生产管理系统</w:t>
      </w:r>
      <w:r>
        <w:rPr>
          <w:rFonts w:hint="eastAsia"/>
          <w:b/>
          <w:bCs/>
          <w:sz w:val="28"/>
          <w:szCs w:val="28"/>
        </w:rPr>
        <w:t>建设项目合同清单</w:t>
      </w:r>
    </w:p>
    <w:tbl>
      <w:tblPr>
        <w:tblStyle w:val="18"/>
        <w:tblW w:w="4999" w:type="pct"/>
        <w:tblInd w:w="0" w:type="dxa"/>
        <w:tblLayout w:type="fixed"/>
        <w:tblCellMar>
          <w:top w:w="0" w:type="dxa"/>
          <w:left w:w="108" w:type="dxa"/>
          <w:bottom w:w="0" w:type="dxa"/>
          <w:right w:w="108" w:type="dxa"/>
        </w:tblCellMar>
      </w:tblPr>
      <w:tblGrid>
        <w:gridCol w:w="621"/>
        <w:gridCol w:w="1486"/>
        <w:gridCol w:w="1381"/>
        <w:gridCol w:w="787"/>
        <w:gridCol w:w="610"/>
        <w:gridCol w:w="1420"/>
        <w:gridCol w:w="1573"/>
        <w:gridCol w:w="643"/>
      </w:tblGrid>
      <w:tr>
        <w:tblPrEx>
          <w:tblCellMar>
            <w:top w:w="0" w:type="dxa"/>
            <w:left w:w="108" w:type="dxa"/>
            <w:bottom w:w="0" w:type="dxa"/>
            <w:right w:w="108" w:type="dxa"/>
          </w:tblCellMar>
        </w:tblPrEx>
        <w:trPr>
          <w:trHeight w:val="245" w:hRule="atLeast"/>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b/>
                <w:bCs/>
                <w:color w:val="000000"/>
                <w:sz w:val="16"/>
                <w:szCs w:val="16"/>
              </w:rPr>
            </w:pPr>
            <w:r>
              <w:rPr>
                <w:rFonts w:hint="eastAsia" w:ascii="宋体" w:hAnsi="宋体"/>
                <w:b/>
                <w:bCs/>
                <w:color w:val="000000"/>
                <w:sz w:val="16"/>
                <w:szCs w:val="16"/>
              </w:rPr>
              <w:t>序号</w:t>
            </w:r>
          </w:p>
        </w:tc>
        <w:tc>
          <w:tcPr>
            <w:tcW w:w="148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b/>
                <w:bCs/>
                <w:color w:val="000000"/>
                <w:sz w:val="16"/>
                <w:szCs w:val="16"/>
              </w:rPr>
            </w:pPr>
            <w:r>
              <w:rPr>
                <w:rFonts w:hint="eastAsia" w:ascii="宋体" w:hAnsi="宋体"/>
                <w:b/>
                <w:bCs/>
                <w:color w:val="000000"/>
                <w:sz w:val="16"/>
                <w:szCs w:val="16"/>
              </w:rPr>
              <w:t>项目名称</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b/>
                <w:bCs/>
                <w:color w:val="000000"/>
                <w:sz w:val="16"/>
                <w:szCs w:val="16"/>
              </w:rPr>
            </w:pPr>
            <w:r>
              <w:rPr>
                <w:rFonts w:hint="eastAsia" w:ascii="宋体" w:hAnsi="宋体"/>
                <w:b/>
                <w:bCs/>
                <w:color w:val="000000"/>
                <w:sz w:val="16"/>
                <w:szCs w:val="16"/>
              </w:rPr>
              <w:t>型号及主要技术参数</w:t>
            </w:r>
          </w:p>
        </w:tc>
        <w:tc>
          <w:tcPr>
            <w:tcW w:w="78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b/>
                <w:bCs/>
                <w:color w:val="000000"/>
                <w:sz w:val="16"/>
                <w:szCs w:val="16"/>
              </w:rPr>
            </w:pPr>
            <w:r>
              <w:rPr>
                <w:rFonts w:hint="eastAsia" w:ascii="宋体" w:hAnsi="宋体"/>
                <w:b/>
                <w:bCs/>
                <w:color w:val="000000"/>
                <w:sz w:val="16"/>
                <w:szCs w:val="16"/>
              </w:rPr>
              <w:t>计量单位</w:t>
            </w:r>
          </w:p>
        </w:tc>
        <w:tc>
          <w:tcPr>
            <w:tcW w:w="6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b/>
                <w:bCs/>
                <w:color w:val="000000"/>
                <w:sz w:val="16"/>
                <w:szCs w:val="16"/>
              </w:rPr>
            </w:pPr>
            <w:r>
              <w:rPr>
                <w:rFonts w:hint="eastAsia" w:ascii="宋体" w:hAnsi="宋体"/>
                <w:b/>
                <w:bCs/>
                <w:color w:val="000000"/>
                <w:sz w:val="16"/>
                <w:szCs w:val="16"/>
              </w:rPr>
              <w:t>数量</w:t>
            </w:r>
          </w:p>
        </w:tc>
        <w:tc>
          <w:tcPr>
            <w:tcW w:w="142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b/>
                <w:bCs/>
                <w:color w:val="000000"/>
                <w:sz w:val="16"/>
                <w:szCs w:val="16"/>
                <w:lang w:eastAsia="zh-CN"/>
              </w:rPr>
            </w:pPr>
            <w:r>
              <w:rPr>
                <w:rFonts w:hint="eastAsia" w:ascii="宋体" w:hAnsi="宋体"/>
                <w:b/>
                <w:bCs/>
                <w:color w:val="000000"/>
                <w:sz w:val="16"/>
                <w:szCs w:val="16"/>
              </w:rPr>
              <w:t>单价</w:t>
            </w:r>
            <w:r>
              <w:rPr>
                <w:rFonts w:hint="eastAsia" w:ascii="宋体" w:hAnsi="宋体"/>
                <w:b/>
                <w:bCs/>
                <w:color w:val="000000"/>
                <w:sz w:val="16"/>
                <w:szCs w:val="16"/>
                <w:lang w:eastAsia="zh-CN"/>
              </w:rPr>
              <w:t>（</w:t>
            </w:r>
            <w:r>
              <w:rPr>
                <w:rFonts w:hint="eastAsia" w:ascii="宋体" w:hAnsi="宋体"/>
                <w:b/>
                <w:bCs/>
                <w:color w:val="000000"/>
                <w:sz w:val="16"/>
                <w:szCs w:val="16"/>
                <w:lang w:val="en-US" w:eastAsia="zh-CN"/>
              </w:rPr>
              <w:t>元</w:t>
            </w:r>
            <w:r>
              <w:rPr>
                <w:rFonts w:hint="eastAsia" w:ascii="宋体" w:hAnsi="宋体"/>
                <w:b/>
                <w:bCs/>
                <w:color w:val="000000"/>
                <w:sz w:val="16"/>
                <w:szCs w:val="16"/>
                <w:lang w:eastAsia="zh-CN"/>
              </w:rPr>
              <w:t>）</w:t>
            </w:r>
          </w:p>
        </w:tc>
        <w:tc>
          <w:tcPr>
            <w:tcW w:w="15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b/>
                <w:bCs/>
                <w:color w:val="000000"/>
                <w:sz w:val="16"/>
                <w:szCs w:val="16"/>
                <w:lang w:eastAsia="zh-CN"/>
              </w:rPr>
            </w:pPr>
            <w:r>
              <w:rPr>
                <w:rFonts w:hint="eastAsia" w:ascii="宋体" w:hAnsi="宋体"/>
                <w:b/>
                <w:bCs/>
                <w:color w:val="000000"/>
                <w:sz w:val="16"/>
                <w:szCs w:val="16"/>
                <w:lang w:val="en-US" w:eastAsia="zh-CN"/>
              </w:rPr>
              <w:t>总价（元）</w:t>
            </w: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b/>
                <w:bCs/>
                <w:color w:val="000000"/>
                <w:sz w:val="16"/>
                <w:szCs w:val="16"/>
              </w:rPr>
            </w:pPr>
            <w:r>
              <w:rPr>
                <w:rFonts w:hint="eastAsia" w:ascii="宋体" w:hAnsi="宋体"/>
                <w:b/>
                <w:bCs/>
                <w:color w:val="000000"/>
                <w:sz w:val="16"/>
                <w:szCs w:val="16"/>
              </w:rPr>
              <w:t>备注</w:t>
            </w:r>
          </w:p>
        </w:tc>
      </w:tr>
      <w:tr>
        <w:tblPrEx>
          <w:tblCellMar>
            <w:top w:w="0" w:type="dxa"/>
            <w:left w:w="108" w:type="dxa"/>
            <w:bottom w:w="0" w:type="dxa"/>
            <w:right w:w="108" w:type="dxa"/>
          </w:tblCellMar>
        </w:tblPrEx>
        <w:trPr>
          <w:trHeight w:val="414"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b/>
                <w:bCs/>
                <w:color w:val="000000"/>
                <w:sz w:val="16"/>
                <w:szCs w:val="16"/>
              </w:rPr>
            </w:pPr>
            <w:r>
              <w:rPr>
                <w:rFonts w:hint="eastAsia" w:ascii="宋体" w:hAnsi="宋体"/>
                <w:b/>
                <w:bCs/>
                <w:color w:val="000000"/>
                <w:sz w:val="16"/>
                <w:szCs w:val="16"/>
              </w:rPr>
              <w:t>一</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b/>
                <w:bCs/>
                <w:color w:val="000000"/>
                <w:sz w:val="16"/>
                <w:szCs w:val="16"/>
              </w:rPr>
            </w:pPr>
            <w:r>
              <w:rPr>
                <w:rFonts w:hint="eastAsia" w:ascii="宋体" w:hAnsi="宋体"/>
                <w:b/>
                <w:bCs/>
                <w:color w:val="000000"/>
                <w:sz w:val="16"/>
                <w:szCs w:val="16"/>
              </w:rPr>
              <w:t>硬件设备</w:t>
            </w:r>
          </w:p>
        </w:tc>
        <w:tc>
          <w:tcPr>
            <w:tcW w:w="641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b/>
                <w:bCs/>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1.1</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r>
              <w:rPr>
                <w:rFonts w:hint="eastAsia" w:ascii="宋体" w:hAnsi="宋体"/>
                <w:color w:val="000000"/>
                <w:sz w:val="16"/>
                <w:szCs w:val="16"/>
              </w:rPr>
              <w:t>系统应用服务器</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台</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Times New Roman"/>
                <w:b/>
                <w:bCs/>
                <w:color w:val="000000"/>
                <w:sz w:val="16"/>
                <w:szCs w:val="16"/>
                <w:lang w:val="en-US" w:eastAsia="zh-CN"/>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1.2</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r>
              <w:rPr>
                <w:rFonts w:hint="eastAsia" w:ascii="宋体" w:hAnsi="宋体"/>
                <w:color w:val="000000"/>
                <w:sz w:val="16"/>
                <w:szCs w:val="16"/>
              </w:rPr>
              <w:t>数据库服务器</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台</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1.3</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r>
              <w:rPr>
                <w:rFonts w:ascii="宋体" w:hAnsi="宋体"/>
                <w:color w:val="000000"/>
                <w:sz w:val="16"/>
                <w:szCs w:val="16"/>
              </w:rPr>
              <w:t>Web服务器</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台</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.4</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r>
              <w:rPr>
                <w:rFonts w:hint="eastAsia" w:ascii="宋体" w:hAnsi="宋体"/>
                <w:color w:val="000000"/>
                <w:sz w:val="16"/>
                <w:szCs w:val="16"/>
              </w:rPr>
              <w:t>交换机</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台</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.5</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r>
              <w:rPr>
                <w:rFonts w:hint="eastAsia" w:ascii="宋体" w:hAnsi="宋体"/>
                <w:color w:val="000000"/>
                <w:sz w:val="16"/>
                <w:szCs w:val="16"/>
              </w:rPr>
              <w:t>防火墙</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台</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宋体" w:hAnsi="宋体" w:eastAsia="宋体"/>
                <w:color w:val="000000"/>
                <w:sz w:val="16"/>
                <w:szCs w:val="16"/>
                <w:lang w:val="en-US" w:eastAsia="zh-CN"/>
              </w:rPr>
            </w:pPr>
            <w:r>
              <w:rPr>
                <w:rFonts w:hint="eastAsia" w:ascii="宋体" w:hAnsi="宋体"/>
                <w:color w:val="000000"/>
                <w:sz w:val="16"/>
                <w:szCs w:val="16"/>
                <w:lang w:val="en-US" w:eastAsia="zh-CN"/>
              </w:rPr>
              <w:t>1.6</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eastAsia" w:ascii="宋体" w:hAnsi="宋体" w:eastAsia="宋体" w:cs="Times New Roman"/>
                <w:color w:val="000000"/>
                <w:kern w:val="2"/>
                <w:sz w:val="16"/>
                <w:szCs w:val="16"/>
                <w:lang w:val="en-US" w:eastAsia="zh-CN" w:bidi="ar-SA"/>
              </w:rPr>
            </w:pPr>
            <w:r>
              <w:rPr>
                <w:rFonts w:hint="eastAsia" w:ascii="宋体" w:hAnsi="宋体"/>
                <w:color w:val="000000"/>
                <w:sz w:val="16"/>
                <w:szCs w:val="16"/>
                <w:lang w:val="en-US" w:eastAsia="zh-CN"/>
              </w:rPr>
              <w:t>操作员站</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Times New Roman"/>
                <w:color w:val="000000"/>
                <w:kern w:val="2"/>
                <w:sz w:val="16"/>
                <w:szCs w:val="16"/>
                <w:lang w:val="en-US" w:eastAsia="zh-CN" w:bidi="ar-SA"/>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Times New Roman"/>
                <w:color w:val="000000"/>
                <w:kern w:val="2"/>
                <w:sz w:val="16"/>
                <w:szCs w:val="16"/>
                <w:lang w:val="en-US" w:eastAsia="zh-CN" w:bidi="ar-SA"/>
              </w:rPr>
            </w:pPr>
            <w:r>
              <w:rPr>
                <w:rFonts w:hint="eastAsia" w:ascii="宋体" w:hAnsi="宋体"/>
                <w:color w:val="000000"/>
                <w:sz w:val="16"/>
                <w:szCs w:val="16"/>
                <w:lang w:val="en-US" w:eastAsia="zh-CN"/>
              </w:rPr>
              <w:t>台</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Times New Roman"/>
                <w:color w:val="000000"/>
                <w:kern w:val="2"/>
                <w:sz w:val="16"/>
                <w:szCs w:val="16"/>
                <w:lang w:val="en-US" w:eastAsia="zh-CN" w:bidi="ar-SA"/>
              </w:rPr>
            </w:pPr>
            <w:r>
              <w:rPr>
                <w:rFonts w:hint="eastAsia" w:ascii="宋体" w:hAnsi="宋体"/>
                <w:color w:val="000000"/>
                <w:sz w:val="16"/>
                <w:szCs w:val="16"/>
                <w:lang w:val="en-US" w:eastAsia="zh-CN"/>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Times New Roman"/>
                <w:color w:val="000000"/>
                <w:kern w:val="2"/>
                <w:sz w:val="16"/>
                <w:szCs w:val="16"/>
                <w:lang w:val="en-US" w:eastAsia="zh-CN" w:bidi="ar-S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Times New Roman"/>
                <w:color w:val="000000"/>
                <w:kern w:val="2"/>
                <w:sz w:val="16"/>
                <w:szCs w:val="16"/>
                <w:lang w:val="en-US" w:eastAsia="zh-CN" w:bidi="ar-SA"/>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eastAsia="宋体" w:cs="Times New Roman"/>
                <w:color w:val="000000"/>
                <w:kern w:val="2"/>
                <w:sz w:val="16"/>
                <w:szCs w:val="16"/>
                <w:lang w:val="en-US" w:eastAsia="zh-CN" w:bidi="ar-SA"/>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b/>
                <w:bCs/>
                <w:color w:val="000000"/>
                <w:sz w:val="16"/>
                <w:szCs w:val="16"/>
              </w:rPr>
            </w:pPr>
            <w:r>
              <w:rPr>
                <w:rFonts w:hint="eastAsia" w:ascii="宋体" w:hAnsi="宋体"/>
                <w:b/>
                <w:bCs/>
                <w:color w:val="000000"/>
                <w:sz w:val="16"/>
                <w:szCs w:val="16"/>
                <w:lang w:val="en-US" w:eastAsia="zh-CN"/>
              </w:rPr>
              <w:t>二</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b/>
                <w:bCs/>
                <w:color w:val="000000"/>
                <w:sz w:val="16"/>
                <w:szCs w:val="16"/>
              </w:rPr>
            </w:pPr>
            <w:r>
              <w:rPr>
                <w:rFonts w:hint="eastAsia" w:ascii="宋体" w:hAnsi="宋体"/>
                <w:b/>
                <w:bCs/>
                <w:color w:val="000000"/>
                <w:sz w:val="16"/>
                <w:szCs w:val="16"/>
                <w:lang w:bidi="ar"/>
              </w:rPr>
              <w:t>软件产品</w:t>
            </w:r>
          </w:p>
        </w:tc>
        <w:tc>
          <w:tcPr>
            <w:tcW w:w="641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olor w:val="000000"/>
                <w:sz w:val="16"/>
                <w:szCs w:val="16"/>
                <w:lang w:val="en-US" w:eastAsia="zh-CN"/>
              </w:rPr>
            </w:pPr>
            <w:r>
              <w:rPr>
                <w:rFonts w:hint="eastAsia" w:ascii="宋体" w:hAnsi="宋体"/>
                <w:color w:val="000000"/>
                <w:sz w:val="16"/>
                <w:szCs w:val="16"/>
                <w:lang w:val="en-US" w:eastAsia="zh-CN" w:bidi="ar"/>
              </w:rPr>
              <w:t>2</w:t>
            </w:r>
            <w:r>
              <w:rPr>
                <w:rFonts w:hint="eastAsia" w:ascii="宋体" w:hAnsi="宋体"/>
                <w:color w:val="000000"/>
                <w:sz w:val="16"/>
                <w:szCs w:val="16"/>
                <w:lang w:bidi="ar"/>
              </w:rPr>
              <w:t>.1</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r>
              <w:rPr>
                <w:rFonts w:hint="eastAsia" w:ascii="宋体" w:hAnsi="宋体"/>
                <w:color w:val="000000"/>
                <w:sz w:val="16"/>
                <w:szCs w:val="16"/>
                <w:lang w:bidi="ar"/>
              </w:rPr>
              <w:t>系统平台</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78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pPr>
            <w:r>
              <w:rPr>
                <w:rFonts w:hint="eastAsia" w:ascii="宋体" w:hAnsi="宋体"/>
                <w:color w:val="000000"/>
                <w:sz w:val="16"/>
                <w:szCs w:val="16"/>
                <w:lang w:bidi="ar"/>
              </w:rPr>
              <w:t>项</w:t>
            </w:r>
          </w:p>
        </w:tc>
        <w:tc>
          <w:tcPr>
            <w:tcW w:w="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pPr>
            <w:r>
              <w:rPr>
                <w:rFonts w:hint="eastAsia" w:ascii="宋体" w:hAnsi="宋体"/>
                <w:color w:val="000000"/>
                <w:sz w:val="16"/>
                <w:szCs w:val="16"/>
                <w:lang w:bidi="ar"/>
              </w:rPr>
              <w:t>1</w:t>
            </w:r>
          </w:p>
        </w:tc>
        <w:tc>
          <w:tcPr>
            <w:tcW w:w="142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pPr>
          </w:p>
        </w:tc>
        <w:tc>
          <w:tcPr>
            <w:tcW w:w="157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pPr>
          </w:p>
        </w:tc>
        <w:tc>
          <w:tcPr>
            <w:tcW w:w="64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val="en-US" w:eastAsia="zh-CN" w:bidi="ar"/>
              </w:rPr>
              <w:t>2</w:t>
            </w:r>
            <w:r>
              <w:rPr>
                <w:rFonts w:hint="eastAsia" w:ascii="宋体" w:hAnsi="宋体"/>
                <w:color w:val="000000"/>
                <w:sz w:val="16"/>
                <w:szCs w:val="16"/>
                <w:lang w:bidi="ar"/>
              </w:rPr>
              <w:t>.2</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r>
              <w:rPr>
                <w:rFonts w:hint="eastAsia" w:ascii="宋体" w:hAnsi="宋体"/>
                <w:color w:val="000000"/>
                <w:sz w:val="16"/>
                <w:szCs w:val="16"/>
                <w:lang w:bidi="ar"/>
              </w:rPr>
              <w:t>设备管理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val="en-US" w:eastAsia="zh-CN" w:bidi="ar"/>
              </w:rPr>
              <w:t>2</w:t>
            </w:r>
            <w:r>
              <w:rPr>
                <w:rFonts w:hint="eastAsia" w:ascii="宋体" w:hAnsi="宋体"/>
                <w:color w:val="000000"/>
                <w:sz w:val="16"/>
                <w:szCs w:val="16"/>
                <w:lang w:bidi="ar"/>
              </w:rPr>
              <w:t>.3</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r>
              <w:rPr>
                <w:rFonts w:hint="eastAsia" w:ascii="宋体" w:hAnsi="宋体"/>
                <w:color w:val="000000"/>
                <w:sz w:val="16"/>
                <w:szCs w:val="16"/>
                <w:lang w:bidi="ar"/>
              </w:rPr>
              <w:t>检修管理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val="en-US" w:eastAsia="zh-CN" w:bidi="ar"/>
              </w:rPr>
              <w:t>2</w:t>
            </w:r>
            <w:r>
              <w:rPr>
                <w:rFonts w:hint="eastAsia" w:ascii="宋体" w:hAnsi="宋体"/>
                <w:color w:val="000000"/>
                <w:sz w:val="16"/>
                <w:szCs w:val="16"/>
                <w:lang w:bidi="ar"/>
              </w:rPr>
              <w:t>.4</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r>
              <w:rPr>
                <w:rFonts w:hint="eastAsia" w:ascii="宋体" w:hAnsi="宋体"/>
                <w:color w:val="000000"/>
                <w:sz w:val="16"/>
                <w:szCs w:val="16"/>
                <w:lang w:bidi="ar"/>
              </w:rPr>
              <w:t>运行管理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val="en-US" w:eastAsia="zh-CN" w:bidi="ar"/>
              </w:rPr>
              <w:t>2</w:t>
            </w:r>
            <w:r>
              <w:rPr>
                <w:rFonts w:hint="eastAsia" w:ascii="宋体" w:hAnsi="宋体"/>
                <w:color w:val="000000"/>
                <w:sz w:val="16"/>
                <w:szCs w:val="16"/>
                <w:lang w:bidi="ar"/>
              </w:rPr>
              <w:t>.5</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r>
              <w:rPr>
                <w:rFonts w:hint="eastAsia" w:ascii="宋体" w:hAnsi="宋体"/>
                <w:color w:val="000000"/>
                <w:sz w:val="16"/>
                <w:szCs w:val="16"/>
                <w:lang w:bidi="ar"/>
              </w:rPr>
              <w:t>两票管理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val="en-US" w:eastAsia="zh-CN" w:bidi="ar"/>
              </w:rPr>
              <w:t>2</w:t>
            </w:r>
            <w:r>
              <w:rPr>
                <w:rFonts w:hint="eastAsia" w:ascii="宋体" w:hAnsi="宋体"/>
                <w:color w:val="000000"/>
                <w:sz w:val="16"/>
                <w:szCs w:val="16"/>
                <w:lang w:bidi="ar"/>
              </w:rPr>
              <w:t>.6</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r>
              <w:rPr>
                <w:rFonts w:hint="eastAsia" w:ascii="宋体" w:hAnsi="宋体"/>
                <w:color w:val="000000"/>
                <w:sz w:val="16"/>
                <w:szCs w:val="16"/>
                <w:lang w:bidi="ar"/>
              </w:rPr>
              <w:t>闸门调度管理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olor w:val="000000"/>
                <w:sz w:val="16"/>
                <w:szCs w:val="16"/>
                <w:lang w:eastAsia="zh-CN" w:bidi="ar"/>
              </w:rPr>
            </w:pPr>
            <w:r>
              <w:rPr>
                <w:rFonts w:hint="eastAsia" w:ascii="宋体" w:hAnsi="宋体"/>
                <w:color w:val="000000"/>
                <w:sz w:val="16"/>
                <w:szCs w:val="16"/>
                <w:lang w:val="en-US" w:eastAsia="zh-CN" w:bidi="ar"/>
              </w:rPr>
              <w:t>2</w:t>
            </w:r>
            <w:r>
              <w:rPr>
                <w:rFonts w:ascii="宋体" w:hAnsi="宋体"/>
                <w:color w:val="000000"/>
                <w:sz w:val="16"/>
                <w:szCs w:val="16"/>
                <w:lang w:bidi="ar"/>
              </w:rPr>
              <w:t>.</w:t>
            </w:r>
            <w:r>
              <w:rPr>
                <w:rFonts w:hint="eastAsia" w:ascii="宋体" w:hAnsi="宋体"/>
                <w:color w:val="000000"/>
                <w:sz w:val="16"/>
                <w:szCs w:val="16"/>
                <w:lang w:val="en-US" w:eastAsia="zh-CN" w:bidi="ar"/>
              </w:rPr>
              <w:t>7</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r>
              <w:rPr>
                <w:rFonts w:hint="eastAsia" w:ascii="宋体" w:hAnsi="宋体"/>
                <w:color w:val="000000"/>
                <w:sz w:val="16"/>
                <w:szCs w:val="16"/>
                <w:lang w:bidi="ar"/>
              </w:rPr>
              <w:t>网络防病毒软件</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olor w:val="000000"/>
                <w:sz w:val="16"/>
                <w:szCs w:val="16"/>
                <w:lang w:eastAsia="zh-CN" w:bidi="ar"/>
              </w:rPr>
            </w:pPr>
            <w:r>
              <w:rPr>
                <w:rFonts w:hint="eastAsia" w:ascii="宋体" w:hAnsi="宋体"/>
                <w:color w:val="000000"/>
                <w:sz w:val="16"/>
                <w:szCs w:val="16"/>
                <w:highlight w:val="none"/>
                <w:lang w:val="en-US" w:eastAsia="zh-CN"/>
              </w:rPr>
              <w:t>套</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rPr>
              <w:t>1</w:t>
            </w:r>
            <w:r>
              <w:rPr>
                <w:rFonts w:ascii="宋体" w:hAnsi="宋体"/>
                <w:color w:val="000000"/>
                <w:sz w:val="16"/>
                <w:szCs w:val="16"/>
              </w:rPr>
              <w:t>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b/>
                <w:bCs/>
                <w:color w:val="000000"/>
                <w:sz w:val="16"/>
                <w:szCs w:val="16"/>
                <w:lang w:val="en-US" w:eastAsia="zh-CN"/>
              </w:rPr>
            </w:pPr>
            <w:r>
              <w:rPr>
                <w:rFonts w:hint="eastAsia" w:ascii="宋体" w:hAnsi="宋体"/>
                <w:b/>
                <w:bCs/>
                <w:color w:val="000000"/>
                <w:sz w:val="16"/>
                <w:szCs w:val="16"/>
                <w:lang w:val="en-US" w:eastAsia="zh-CN"/>
              </w:rPr>
              <w:t>三</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b/>
                <w:bCs/>
                <w:color w:val="000000"/>
                <w:sz w:val="16"/>
                <w:szCs w:val="16"/>
                <w:lang w:val="en-US" w:eastAsia="zh-CN"/>
              </w:rPr>
            </w:pPr>
            <w:r>
              <w:rPr>
                <w:rFonts w:hint="eastAsia" w:ascii="宋体" w:hAnsi="宋体"/>
                <w:b/>
                <w:bCs/>
                <w:color w:val="000000"/>
                <w:sz w:val="16"/>
                <w:szCs w:val="16"/>
                <w:lang w:val="en-US" w:eastAsia="zh-CN"/>
              </w:rPr>
              <w:t>项目技术服务及培训</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ascii="宋体" w:hAnsi="宋体"/>
                <w:color w:val="000000"/>
                <w:sz w:val="16"/>
                <w:szCs w:val="16"/>
                <w:lang w:bidi="ar"/>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default" w:ascii="宋体" w:hAnsi="宋体"/>
                <w:color w:val="000000"/>
                <w:sz w:val="16"/>
                <w:szCs w:val="16"/>
                <w:lang w:val="en-US" w:eastAsia="zh-CN" w:bidi="ar"/>
              </w:rPr>
            </w:pPr>
            <w:r>
              <w:rPr>
                <w:rFonts w:hint="eastAsia" w:ascii="宋体" w:hAnsi="宋体"/>
                <w:color w:val="000000"/>
                <w:sz w:val="16"/>
                <w:szCs w:val="16"/>
                <w:lang w:val="en-US" w:eastAsia="zh-CN" w:bidi="ar"/>
              </w:rPr>
              <w:t>3.1</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default" w:ascii="宋体" w:hAnsi="宋体"/>
                <w:color w:val="000000"/>
                <w:sz w:val="16"/>
                <w:szCs w:val="16"/>
                <w:lang w:val="en-US" w:eastAsia="zh-CN" w:bidi="ar"/>
              </w:rPr>
            </w:pPr>
            <w:r>
              <w:rPr>
                <w:rFonts w:hint="eastAsia" w:ascii="宋体" w:hAnsi="宋体"/>
                <w:color w:val="000000"/>
                <w:sz w:val="16"/>
                <w:szCs w:val="16"/>
                <w:lang w:val="en-US" w:eastAsia="zh-CN" w:bidi="ar"/>
              </w:rPr>
              <w:t>项目安装及调试费用</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hint="eastAsia" w:ascii="宋体" w:hAnsi="宋体" w:eastAsia="宋体"/>
                <w:color w:val="000000"/>
                <w:sz w:val="16"/>
                <w:szCs w:val="16"/>
                <w:lang w:val="en-US" w:eastAsia="zh-CN" w:bidi="ar"/>
              </w:rPr>
            </w:pPr>
            <w:r>
              <w:rPr>
                <w:rFonts w:hint="eastAsia" w:ascii="宋体" w:hAnsi="宋体"/>
                <w:color w:val="000000"/>
                <w:sz w:val="16"/>
                <w:szCs w:val="16"/>
                <w:lang w:val="en-US" w:eastAsia="zh-CN" w:bidi="ar"/>
              </w:rPr>
              <w:t>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olor w:val="000000"/>
                <w:sz w:val="16"/>
                <w:szCs w:val="16"/>
                <w:lang w:val="en-US" w:eastAsia="zh-CN" w:bidi="ar"/>
              </w:rPr>
            </w:pPr>
            <w:r>
              <w:rPr>
                <w:rFonts w:hint="eastAsia" w:ascii="宋体" w:hAnsi="宋体"/>
                <w:color w:val="000000"/>
                <w:sz w:val="16"/>
                <w:szCs w:val="16"/>
                <w:lang w:val="en-US" w:eastAsia="zh-CN"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default" w:ascii="宋体" w:hAnsi="宋体"/>
                <w:color w:val="000000"/>
                <w:sz w:val="16"/>
                <w:szCs w:val="16"/>
                <w:lang w:val="en-US" w:eastAsia="zh-CN" w:bidi="ar"/>
              </w:rPr>
            </w:pPr>
            <w:r>
              <w:rPr>
                <w:rFonts w:hint="eastAsia" w:ascii="宋体" w:hAnsi="宋体"/>
                <w:color w:val="000000"/>
                <w:sz w:val="16"/>
                <w:szCs w:val="16"/>
                <w:lang w:val="en-US" w:eastAsia="zh-CN" w:bidi="ar"/>
              </w:rPr>
              <w:t>3.2</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default" w:ascii="宋体" w:hAnsi="宋体"/>
                <w:color w:val="000000"/>
                <w:sz w:val="16"/>
                <w:szCs w:val="16"/>
                <w:lang w:val="en-US" w:eastAsia="zh-CN" w:bidi="ar"/>
              </w:rPr>
            </w:pPr>
            <w:r>
              <w:rPr>
                <w:rFonts w:hint="eastAsia" w:ascii="宋体" w:hAnsi="宋体"/>
                <w:color w:val="000000"/>
                <w:sz w:val="16"/>
                <w:szCs w:val="16"/>
                <w:lang w:val="en-US" w:eastAsia="zh-CN" w:bidi="ar"/>
              </w:rPr>
              <w:t>项目培训费用</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hint="eastAsia" w:ascii="宋体" w:hAnsi="宋体" w:eastAsia="宋体"/>
                <w:color w:val="000000"/>
                <w:sz w:val="16"/>
                <w:szCs w:val="16"/>
                <w:lang w:val="en-US" w:eastAsia="zh-CN" w:bidi="ar"/>
              </w:rPr>
            </w:pPr>
            <w:r>
              <w:rPr>
                <w:rFonts w:hint="eastAsia" w:ascii="宋体" w:hAnsi="宋体"/>
                <w:color w:val="000000"/>
                <w:sz w:val="16"/>
                <w:szCs w:val="16"/>
                <w:lang w:val="en-US" w:eastAsia="zh-CN" w:bidi="ar"/>
              </w:rPr>
              <w:t>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olor w:val="000000"/>
                <w:sz w:val="16"/>
                <w:szCs w:val="16"/>
                <w:lang w:val="en-US" w:eastAsia="zh-CN" w:bidi="ar"/>
              </w:rPr>
            </w:pPr>
            <w:r>
              <w:rPr>
                <w:rFonts w:hint="eastAsia" w:ascii="宋体" w:hAnsi="宋体"/>
                <w:color w:val="000000"/>
                <w:sz w:val="16"/>
                <w:szCs w:val="16"/>
                <w:lang w:val="en-US" w:eastAsia="zh-CN"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default" w:ascii="宋体" w:hAnsi="宋体"/>
                <w:color w:val="000000"/>
                <w:sz w:val="16"/>
                <w:szCs w:val="16"/>
                <w:lang w:val="en-US" w:eastAsia="zh-CN" w:bidi="ar"/>
              </w:rPr>
            </w:pPr>
            <w:r>
              <w:rPr>
                <w:rFonts w:hint="eastAsia" w:ascii="宋体" w:hAnsi="宋体"/>
                <w:color w:val="000000"/>
                <w:sz w:val="16"/>
                <w:szCs w:val="16"/>
                <w:lang w:val="en-US" w:eastAsia="zh-CN" w:bidi="ar"/>
              </w:rPr>
              <w:t>3.3</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default" w:ascii="宋体" w:hAnsi="宋体"/>
                <w:color w:val="000000"/>
                <w:sz w:val="16"/>
                <w:szCs w:val="16"/>
                <w:lang w:val="en-US" w:eastAsia="zh-CN" w:bidi="ar"/>
              </w:rPr>
            </w:pPr>
            <w:r>
              <w:rPr>
                <w:rFonts w:hint="eastAsia" w:ascii="宋体" w:hAnsi="宋体"/>
                <w:color w:val="000000"/>
                <w:sz w:val="16"/>
                <w:szCs w:val="16"/>
                <w:lang w:val="en-US" w:eastAsia="zh-CN" w:bidi="ar"/>
              </w:rPr>
              <w:t>技术文档提供及论文发表</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hint="default" w:ascii="宋体" w:hAnsi="宋体"/>
                <w:color w:val="000000"/>
                <w:sz w:val="16"/>
                <w:szCs w:val="16"/>
                <w:lang w:val="en-US" w:eastAsia="zh-CN" w:bidi="ar"/>
              </w:rPr>
            </w:pPr>
            <w:r>
              <w:rPr>
                <w:rFonts w:hint="eastAsia" w:ascii="宋体" w:hAnsi="宋体"/>
                <w:color w:val="000000"/>
                <w:sz w:val="16"/>
                <w:szCs w:val="16"/>
                <w:lang w:val="en-US" w:eastAsia="zh-CN" w:bidi="ar"/>
              </w:rPr>
              <w:t>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宋体" w:hAnsi="宋体"/>
                <w:color w:val="000000"/>
                <w:sz w:val="16"/>
                <w:szCs w:val="16"/>
                <w:lang w:val="en-US" w:eastAsia="zh-CN" w:bidi="ar"/>
              </w:rPr>
            </w:pPr>
            <w:r>
              <w:rPr>
                <w:rFonts w:hint="eastAsia" w:ascii="宋体" w:hAnsi="宋体"/>
                <w:color w:val="000000"/>
                <w:sz w:val="16"/>
                <w:szCs w:val="16"/>
                <w:lang w:val="en-US" w:eastAsia="zh-CN"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b/>
                <w:bCs/>
                <w:color w:val="000000"/>
                <w:sz w:val="16"/>
                <w:szCs w:val="16"/>
                <w:highlight w:val="yellow"/>
                <w:lang w:eastAsia="zh-CN"/>
              </w:rPr>
            </w:pPr>
            <w:r>
              <w:rPr>
                <w:rFonts w:hint="eastAsia" w:ascii="宋体" w:hAnsi="宋体"/>
                <w:b/>
                <w:bCs/>
                <w:color w:val="000000"/>
                <w:sz w:val="16"/>
                <w:szCs w:val="16"/>
                <w:lang w:val="en-US" w:eastAsia="zh-CN" w:bidi="ar"/>
              </w:rPr>
              <w:t>四</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b/>
                <w:bCs/>
                <w:color w:val="000000"/>
                <w:sz w:val="16"/>
                <w:szCs w:val="16"/>
                <w:highlight w:val="yellow"/>
                <w:lang w:bidi="ar"/>
              </w:rPr>
            </w:pPr>
            <w:r>
              <w:rPr>
                <w:rFonts w:hint="eastAsia" w:ascii="宋体" w:hAnsi="宋体"/>
                <w:b/>
                <w:bCs/>
                <w:color w:val="000000"/>
                <w:sz w:val="16"/>
                <w:szCs w:val="16"/>
                <w:lang w:val="en-US" w:eastAsia="zh-CN" w:bidi="ar"/>
              </w:rPr>
              <w:t>合计</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bl>
    <w:p>
      <w:pPr>
        <w:pStyle w:val="16"/>
        <w:spacing w:after="0" w:line="360" w:lineRule="auto"/>
        <w:ind w:firstLine="210"/>
        <w:rPr>
          <w:rFonts w:ascii="宋体" w:hAnsi="宋体"/>
          <w:color w:val="000000"/>
          <w:kern w:val="0"/>
          <w:szCs w:val="21"/>
        </w:rPr>
      </w:pPr>
      <w:r>
        <w:rPr>
          <w:rFonts w:ascii="宋体" w:hAnsi="宋体"/>
          <w:color w:val="000000"/>
          <w:kern w:val="0"/>
          <w:szCs w:val="21"/>
        </w:rPr>
        <w:t>说明：</w:t>
      </w:r>
      <w:r>
        <w:rPr>
          <w:rFonts w:hint="eastAsia" w:ascii="宋体" w:hAnsi="宋体"/>
          <w:color w:val="000000"/>
          <w:kern w:val="0"/>
          <w:szCs w:val="21"/>
        </w:rPr>
        <w:t>1.</w:t>
      </w:r>
      <w:r>
        <w:rPr>
          <w:rFonts w:ascii="宋体" w:hAnsi="宋体"/>
          <w:color w:val="000000"/>
          <w:kern w:val="0"/>
          <w:szCs w:val="21"/>
        </w:rPr>
        <w:t>所有价格均系用人民币表示，单位为元，精确到个数位。</w:t>
      </w:r>
    </w:p>
    <w:p>
      <w:pPr>
        <w:pStyle w:val="16"/>
        <w:spacing w:after="0" w:line="360" w:lineRule="auto"/>
        <w:ind w:firstLine="840" w:firstLineChars="400"/>
        <w:rPr>
          <w:rFonts w:ascii="宋体" w:hAnsi="宋体"/>
          <w:color w:val="000000"/>
          <w:kern w:val="0"/>
          <w:szCs w:val="21"/>
        </w:rPr>
      </w:pPr>
      <w:r>
        <w:rPr>
          <w:rFonts w:hint="eastAsia" w:ascii="宋体" w:hAnsi="宋体"/>
          <w:color w:val="000000"/>
          <w:kern w:val="0"/>
          <w:szCs w:val="21"/>
        </w:rPr>
        <w:t>2.</w:t>
      </w:r>
      <w:r>
        <w:rPr>
          <w:rFonts w:hint="eastAsia" w:ascii="宋体" w:hAnsi="宋体"/>
          <w:color w:val="000000"/>
          <w:kern w:val="0"/>
          <w:szCs w:val="21"/>
          <w:lang w:val="en-US" w:eastAsia="zh-CN"/>
        </w:rPr>
        <w:t>合同清单价格</w:t>
      </w:r>
      <w:r>
        <w:rPr>
          <w:rFonts w:ascii="宋体" w:hAnsi="宋体"/>
          <w:color w:val="000000"/>
          <w:kern w:val="0"/>
          <w:szCs w:val="21"/>
        </w:rPr>
        <w:t>（单价、</w:t>
      </w:r>
      <w:r>
        <w:rPr>
          <w:rFonts w:hint="eastAsia" w:ascii="宋体" w:hAnsi="宋体"/>
          <w:color w:val="000000"/>
          <w:kern w:val="0"/>
          <w:szCs w:val="21"/>
          <w:lang w:val="en-US" w:eastAsia="zh-CN"/>
        </w:rPr>
        <w:t>总价</w:t>
      </w:r>
      <w:r>
        <w:rPr>
          <w:rFonts w:ascii="宋体" w:hAnsi="宋体"/>
          <w:color w:val="000000"/>
          <w:kern w:val="0"/>
          <w:szCs w:val="21"/>
        </w:rPr>
        <w:t>）为本项目所涉的设备材料制造、供应、施工及相关服务的全部费用的报价，以及对于本表中未列项目或数量缺漏的，但的确是本项目实施所必需的任何费用（包括税费、报检费）均已视为包含在合同总价中。</w:t>
      </w:r>
    </w:p>
    <w:p>
      <w:pPr>
        <w:ind w:firstLine="400"/>
      </w:pPr>
      <w:r>
        <w:rPr>
          <w:sz w:val="20"/>
          <w:szCs w:val="15"/>
        </w:rPr>
        <w:br w:type="page"/>
      </w:r>
      <w:bookmarkStart w:id="16" w:name="_Toc144386148"/>
      <w:r>
        <w:rPr>
          <w:rFonts w:hint="eastAsia"/>
        </w:rPr>
        <w:t>附件2：廉政合同</w:t>
      </w:r>
      <w:bookmarkEnd w:id="16"/>
    </w:p>
    <w:p>
      <w:pPr>
        <w:ind w:firstLine="0" w:firstLineChars="0"/>
        <w:jc w:val="center"/>
        <w:rPr>
          <w:b/>
          <w:bCs/>
          <w:sz w:val="32"/>
          <w:szCs w:val="22"/>
        </w:rPr>
      </w:pPr>
      <w:r>
        <w:rPr>
          <w:rFonts w:hint="eastAsia"/>
          <w:b/>
          <w:bCs/>
          <w:sz w:val="32"/>
          <w:szCs w:val="22"/>
        </w:rPr>
        <w:t>廉 政 合 同</w:t>
      </w:r>
    </w:p>
    <w:p>
      <w:pPr>
        <w:ind w:firstLine="480"/>
      </w:pPr>
      <w:r>
        <w:rPr>
          <w:rFonts w:hint="eastAsia"/>
        </w:rPr>
        <w:t>根据有关工程建设、廉政建设的规定，为做好工程建设中的党风廉政建设，保证工程建设高效优质，保证建设资金的安全和有效使用以及投资效益，建设工程的项目法人</w:t>
      </w:r>
      <w:r>
        <w:rPr>
          <w:rFonts w:hint="eastAsia"/>
          <w:color w:val="auto"/>
          <w:u w:val="single"/>
        </w:rPr>
        <w:t>重庆航运建设发展(集团)有限公司</w:t>
      </w:r>
      <w:r>
        <w:rPr>
          <w:rFonts w:hint="eastAsia"/>
          <w:color w:val="auto"/>
        </w:rPr>
        <w:t>（</w:t>
      </w:r>
      <w:r>
        <w:rPr>
          <w:rFonts w:hint="eastAsia"/>
        </w:rPr>
        <w:t>以下简称“买方”）与（以下简称“卖方”），特订立如下合同：</w:t>
      </w:r>
    </w:p>
    <w:p>
      <w:pPr>
        <w:pStyle w:val="29"/>
        <w:outlineLvl w:val="2"/>
      </w:pPr>
      <w:r>
        <w:rPr>
          <w:rFonts w:hint="eastAsia"/>
        </w:rPr>
        <w:t>1、双方的权利和义务</w:t>
      </w:r>
    </w:p>
    <w:p>
      <w:pPr>
        <w:ind w:firstLine="480"/>
      </w:pPr>
      <w:r>
        <w:rPr>
          <w:rFonts w:hint="eastAsia"/>
        </w:rPr>
        <w:t>（1）严格遵守党的政策规定和国家有关法律法规及行业部门的有关规定。</w:t>
      </w:r>
    </w:p>
    <w:p>
      <w:pPr>
        <w:ind w:firstLine="480"/>
      </w:pPr>
      <w:r>
        <w:rPr>
          <w:rFonts w:hint="eastAsia"/>
        </w:rPr>
        <w:t>（2）严格执行合同的合同文件，自觉按合同办事。</w:t>
      </w:r>
    </w:p>
    <w:p>
      <w:pPr>
        <w:ind w:firstLine="480"/>
      </w:pPr>
      <w:r>
        <w:rPr>
          <w:rFonts w:hint="eastAsia"/>
        </w:rPr>
        <w:t>（3）双方的业务活动坚持公开、公正、诚信、透明的原则（法律认定的商业秘密和合同文件另有规定除外），不得损害国家和集体利益，违反工程建设管理规章制度。</w:t>
      </w:r>
    </w:p>
    <w:p>
      <w:pPr>
        <w:ind w:firstLine="480"/>
      </w:pPr>
      <w:r>
        <w:rPr>
          <w:rFonts w:hint="eastAsia"/>
        </w:rPr>
        <w:t>（4）建立健全廉政制度，开展廉政教育，设立廉政告示牌，公布举报电话，监督并认真查处违法违纪行为。</w:t>
      </w:r>
    </w:p>
    <w:p>
      <w:pPr>
        <w:ind w:firstLine="480"/>
      </w:pPr>
      <w:r>
        <w:rPr>
          <w:rFonts w:hint="eastAsia"/>
        </w:rPr>
        <w:t>（5）发现对方在业务活动中有违反廉政规定的行为，有及时提醒对方纠正的权利和义务。</w:t>
      </w:r>
    </w:p>
    <w:p>
      <w:pPr>
        <w:ind w:firstLine="480"/>
      </w:pPr>
      <w:r>
        <w:rPr>
          <w:rFonts w:hint="eastAsia"/>
        </w:rPr>
        <w:t>（6）发现对方严重违反本合同义务条款的行为，有向其上级有关部门举报、建议给予处理并要求告知处理结果的权利。</w:t>
      </w:r>
    </w:p>
    <w:p>
      <w:pPr>
        <w:pStyle w:val="29"/>
        <w:outlineLvl w:val="2"/>
      </w:pPr>
      <w:r>
        <w:rPr>
          <w:rFonts w:hint="eastAsia"/>
        </w:rPr>
        <w:t>2、买方的义务</w:t>
      </w:r>
    </w:p>
    <w:p>
      <w:pPr>
        <w:ind w:firstLine="480"/>
      </w:pPr>
      <w:r>
        <w:rPr>
          <w:rFonts w:hint="eastAsia"/>
        </w:rPr>
        <w:t>（1）买方及其工作人员不得索要或接受卖方的礼金、有价证券和贵重物品，不得在卖方报销任何应由买方或买方工作人员个人支付的费用等。</w:t>
      </w:r>
    </w:p>
    <w:p>
      <w:pPr>
        <w:ind w:firstLine="480"/>
      </w:pPr>
      <w:r>
        <w:rPr>
          <w:rFonts w:hint="eastAsia"/>
        </w:rPr>
        <w:t>（2）买方工作人员不得参加卖方安排的超标准宴请和娱乐活动；不得接受卖方提供的通讯工具、交通工具和高档办公用品等。</w:t>
      </w:r>
    </w:p>
    <w:p>
      <w:pPr>
        <w:ind w:firstLine="480"/>
      </w:pPr>
      <w:r>
        <w:rPr>
          <w:rFonts w:hint="eastAsia"/>
        </w:rPr>
        <w:t>（3）买方及其工作人员不得要求或者接受卖方为其住房装修、婚丧嫁娶活动、配偶子女的工作安排以及出国出境、旅游等提供方便等。</w:t>
      </w:r>
    </w:p>
    <w:p>
      <w:pPr>
        <w:ind w:firstLine="480"/>
      </w:pPr>
      <w:r>
        <w:rPr>
          <w:rFonts w:hint="eastAsia"/>
        </w:rPr>
        <w:t>（4）买方工作人员及其配偶、子女不得从事与买方工程有关的材料设备供应、工程分包、劳务等经济活动。</w:t>
      </w:r>
    </w:p>
    <w:p>
      <w:pPr>
        <w:ind w:firstLine="480"/>
      </w:pPr>
      <w:r>
        <w:rPr>
          <w:rFonts w:hint="eastAsia"/>
        </w:rPr>
        <w:t>（5）买方及其工作人员不得以任何理由向卖方推荐分包单位或推销材料，不得要求卖方购买合同规定外的材料和设备。</w:t>
      </w:r>
    </w:p>
    <w:p>
      <w:pPr>
        <w:ind w:firstLine="480"/>
      </w:pPr>
      <w:r>
        <w:rPr>
          <w:rFonts w:hint="eastAsia"/>
        </w:rPr>
        <w:t>（6）买方工作人员要秉公办事，不准营私舞弊，不准利用职权从事各种个人有偿中介活动和安排个人施工队伍。</w:t>
      </w:r>
    </w:p>
    <w:p>
      <w:pPr>
        <w:pStyle w:val="29"/>
        <w:outlineLvl w:val="2"/>
      </w:pPr>
      <w:r>
        <w:rPr>
          <w:rFonts w:hint="eastAsia"/>
        </w:rPr>
        <w:t>3、卖方义务</w:t>
      </w:r>
      <w:r>
        <w:tab/>
      </w:r>
    </w:p>
    <w:p>
      <w:pPr>
        <w:ind w:firstLine="480"/>
      </w:pPr>
      <w:r>
        <w:rPr>
          <w:rFonts w:hint="eastAsia"/>
        </w:rPr>
        <w:t>（1）卖方不得以任何理由向买方及其工作人员行贿或馈赠礼金、有价证券、贵重礼品。</w:t>
      </w:r>
    </w:p>
    <w:p>
      <w:pPr>
        <w:ind w:firstLine="480"/>
      </w:pPr>
      <w:r>
        <w:rPr>
          <w:rFonts w:hint="eastAsia"/>
        </w:rPr>
        <w:t>（2）卖方不得以任何名义为买方及其工作人员报销应由买方单位或个人支付的任何费用。</w:t>
      </w:r>
    </w:p>
    <w:p>
      <w:pPr>
        <w:ind w:firstLine="480"/>
      </w:pPr>
      <w:r>
        <w:rPr>
          <w:rFonts w:hint="eastAsia"/>
        </w:rPr>
        <w:t>（3）卖方不得以任何理由安排买方工作人员参加超标准宴请及娱乐活动。</w:t>
      </w:r>
    </w:p>
    <w:p>
      <w:pPr>
        <w:ind w:firstLine="480"/>
      </w:pPr>
      <w:r>
        <w:rPr>
          <w:rFonts w:hint="eastAsia"/>
        </w:rPr>
        <w:t>（4）卖方不得为买方单位和个人购置或提供通讯工具、交通工具和高档办公用品等。</w:t>
      </w:r>
    </w:p>
    <w:p>
      <w:pPr>
        <w:pStyle w:val="29"/>
        <w:outlineLvl w:val="2"/>
      </w:pPr>
      <w:r>
        <w:rPr>
          <w:rFonts w:hint="eastAsia"/>
        </w:rPr>
        <w:t>4、违约责任</w:t>
      </w:r>
    </w:p>
    <w:p>
      <w:pPr>
        <w:ind w:firstLine="480"/>
      </w:pPr>
      <w:r>
        <w:rPr>
          <w:rFonts w:hint="eastAsia"/>
        </w:rPr>
        <w:t>（1）买方及其工作人员违反本合同第一、二条，按管理权限，依据有关规定给予党纪、政纪或组织处理；涉嫌犯罪的，移交司法机关追究刑事责任；给卖方单位造成经济损失的，应予以赔偿。</w:t>
      </w:r>
    </w:p>
    <w:p>
      <w:pPr>
        <w:ind w:firstLine="480"/>
      </w:pPr>
      <w:r>
        <w:rPr>
          <w:rFonts w:hint="eastAsia"/>
        </w:rPr>
        <w:t>（2）卖方及其工作人员违反本合同第一、三条，按管理权限，依据有关规定给予党纪、政纪或组织处理；给买方单位造成经济损失的，应予以赔偿；情节严重的，买方建议交通主管部门给予卖方一至三年内不得进入其交通建设市场的处罚。</w:t>
      </w:r>
    </w:p>
    <w:p>
      <w:pPr>
        <w:ind w:firstLine="480"/>
      </w:pPr>
      <w:r>
        <w:rPr>
          <w:rFonts w:hint="eastAsia"/>
        </w:rPr>
        <w:t>5、双方约定：本合同由双方或双方上级单位的纪检监察机关负责监督执行。由买方或买方上级单位的纪检监察机关约请卖方或卖方上级单位纪检监察机关对本合同执行情况进行检查，提出在本合同规定范围内的裁定意见。</w:t>
      </w:r>
    </w:p>
    <w:p>
      <w:pPr>
        <w:ind w:firstLine="480"/>
      </w:pPr>
      <w:r>
        <w:rPr>
          <w:rFonts w:hint="eastAsia"/>
        </w:rPr>
        <w:t>6、本合同有效期为甲乙双方签署之日起至该工程项目竣工验收后止。</w:t>
      </w:r>
    </w:p>
    <w:p>
      <w:pPr>
        <w:ind w:firstLine="480"/>
      </w:pPr>
      <w:r>
        <w:rPr>
          <w:rFonts w:hint="eastAsia"/>
        </w:rPr>
        <w:t>7、本合同作为合同的附件，与合同具有同等的法律效力，经合同双方签署立即生效。</w:t>
      </w:r>
    </w:p>
    <w:p>
      <w:pPr>
        <w:ind w:firstLine="480"/>
      </w:pPr>
      <w:r>
        <w:rPr>
          <w:rFonts w:hint="eastAsia"/>
        </w:rPr>
        <w:t>8、本合同一式八份，由甲乙双方各执三份，送交双方的监督单位各一份。</w:t>
      </w:r>
    </w:p>
    <w:p>
      <w:pPr>
        <w:ind w:firstLine="480"/>
      </w:pPr>
    </w:p>
    <w:p>
      <w:pPr>
        <w:ind w:firstLine="480"/>
      </w:pPr>
      <w:r>
        <w:rPr>
          <w:rFonts w:hint="eastAsia"/>
        </w:rPr>
        <w:t xml:space="preserve">甲方：                                        乙方：                 </w:t>
      </w:r>
    </w:p>
    <w:p>
      <w:pPr>
        <w:ind w:firstLine="480"/>
      </w:pPr>
      <w:r>
        <w:rPr>
          <w:rFonts w:hint="eastAsia"/>
        </w:rPr>
        <w:t>法定代表人：                                  法定代表人：</w:t>
      </w:r>
    </w:p>
    <w:p>
      <w:pPr>
        <w:ind w:firstLine="480"/>
      </w:pPr>
      <w:r>
        <w:rPr>
          <w:rFonts w:hint="eastAsia"/>
        </w:rPr>
        <w:t>或其授权的代理人：</w:t>
      </w:r>
      <w:r>
        <w:rPr>
          <w:rFonts w:hint="eastAsia"/>
        </w:rPr>
        <w:tab/>
      </w:r>
      <w:r>
        <w:rPr>
          <w:rFonts w:hint="eastAsia"/>
        </w:rPr>
        <w:t xml:space="preserve">                         或其授权的代理人</w:t>
      </w:r>
    </w:p>
    <w:p>
      <w:pPr>
        <w:ind w:firstLine="480"/>
      </w:pPr>
      <w:r>
        <w:rPr>
          <w:rFonts w:hint="eastAsia"/>
        </w:rPr>
        <w:t>职务：                                        职务：</w:t>
      </w:r>
    </w:p>
    <w:p>
      <w:pPr>
        <w:ind w:firstLine="480"/>
      </w:pPr>
      <w:r>
        <w:rPr>
          <w:rFonts w:hint="eastAsia"/>
        </w:rPr>
        <w:t>姓名：                                        姓名：</w:t>
      </w:r>
    </w:p>
    <w:p>
      <w:pPr>
        <w:ind w:firstLine="480"/>
      </w:pPr>
      <w:r>
        <w:rPr>
          <w:rFonts w:hint="eastAsia"/>
        </w:rPr>
        <w:t>签字：                                        签字：</w:t>
      </w:r>
    </w:p>
    <w:p>
      <w:pPr>
        <w:ind w:firstLine="480"/>
      </w:pPr>
      <w:r>
        <w:rPr>
          <w:rFonts w:hint="eastAsia"/>
        </w:rPr>
        <w:t>日期：                                        日期：</w:t>
      </w:r>
    </w:p>
    <w:p>
      <w:pPr>
        <w:ind w:firstLine="480"/>
      </w:pPr>
      <w:r>
        <w:rPr>
          <w:rFonts w:hint="eastAsia"/>
        </w:rPr>
        <w:t>甲方监督单位：                                乙方监督单位：</w:t>
      </w:r>
    </w:p>
    <w:p>
      <w:pPr>
        <w:ind w:firstLine="480"/>
        <w:outlineLvl w:val="3"/>
      </w:pPr>
      <w:r>
        <w:br w:type="page"/>
      </w:r>
      <w:bookmarkStart w:id="17" w:name="_Toc144386149"/>
      <w:r>
        <w:rPr>
          <w:rStyle w:val="22"/>
          <w:rFonts w:hint="eastAsia"/>
        </w:rPr>
        <w:t>附件3：保密协议</w:t>
      </w:r>
      <w:bookmarkEnd w:id="17"/>
    </w:p>
    <w:p>
      <w:pPr>
        <w:ind w:firstLine="0" w:firstLineChars="0"/>
        <w:jc w:val="center"/>
        <w:rPr>
          <w:b/>
          <w:bCs/>
          <w:sz w:val="32"/>
          <w:szCs w:val="22"/>
        </w:rPr>
      </w:pPr>
      <w:r>
        <w:rPr>
          <w:rFonts w:hint="eastAsia"/>
          <w:b/>
          <w:bCs/>
          <w:sz w:val="32"/>
          <w:szCs w:val="22"/>
        </w:rPr>
        <w:t>保密协议</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eastAsia="zh-CN"/>
        </w:rPr>
        <w:t>根据</w:t>
      </w:r>
      <w:r>
        <w:rPr>
          <w:rFonts w:hint="eastAsia" w:cs="楷体_GB2312"/>
          <w:sz w:val="24"/>
          <w:szCs w:val="24"/>
          <w:lang w:val="zh-CN" w:eastAsia="zh-CN"/>
        </w:rPr>
        <w:t>甲乙双方在</w:t>
      </w:r>
      <w:r>
        <w:rPr>
          <w:rFonts w:hint="eastAsia" w:cs="楷体_GB2312"/>
          <w:sz w:val="24"/>
          <w:szCs w:val="24"/>
          <w:u w:val="single"/>
          <w:lang w:eastAsia="zh-CN"/>
        </w:rPr>
        <w:t>航发集团航电枢纽与集控中心生产管理系统建设</w:t>
      </w:r>
      <w:r>
        <w:rPr>
          <w:rFonts w:hint="eastAsia" w:cs="楷体_GB2312"/>
          <w:sz w:val="24"/>
          <w:szCs w:val="24"/>
          <w:u w:val="single"/>
          <w:lang w:val="zh-CN" w:eastAsia="zh-CN"/>
        </w:rPr>
        <w:t>项目</w:t>
      </w:r>
      <w:r>
        <w:rPr>
          <w:rFonts w:hint="eastAsia" w:cs="楷体_GB2312"/>
          <w:sz w:val="24"/>
          <w:szCs w:val="24"/>
          <w:lang w:val="zh-CN" w:eastAsia="zh-CN"/>
        </w:rPr>
        <w:t>中的合作，因此甲乙双方认为有必要透露各方一定的涉密信息，甲乙双方透露的信息仅用于本次服务项目，防止任何第三方获得、使用该信息。鉴于甲乙双方信息的重要性，甲乙双方同意遵守如下保密条款：</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eastAsia="zh-CN"/>
        </w:rPr>
        <w:t>1.</w:t>
      </w:r>
      <w:r>
        <w:rPr>
          <w:rFonts w:hint="eastAsia" w:cs="楷体_GB2312"/>
          <w:sz w:val="24"/>
          <w:szCs w:val="24"/>
          <w:lang w:val="zh-CN" w:eastAsia="zh-CN"/>
        </w:rPr>
        <w:t>保密内容：对于乙方在甲方工作期间获得和知晓的甲方信息系统以及相关信息、企业信息，及属于第三方但甲方负有保密义务的信息，乙方均应保守秘密。</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eastAsia="zh-CN"/>
        </w:rPr>
        <w:t>2.</w:t>
      </w:r>
      <w:r>
        <w:rPr>
          <w:rFonts w:hint="eastAsia" w:cs="楷体_GB2312"/>
          <w:sz w:val="24"/>
          <w:szCs w:val="24"/>
          <w:lang w:val="zh-CN" w:eastAsia="zh-CN"/>
        </w:rPr>
        <w:t>未经甲方书面许可，乙方不得对任何第三方透露本项目任何信息。</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eastAsia="zh-CN"/>
        </w:rPr>
        <w:t>3.</w:t>
      </w:r>
      <w:r>
        <w:rPr>
          <w:rFonts w:hint="eastAsia" w:cs="楷体_GB2312"/>
          <w:sz w:val="24"/>
          <w:szCs w:val="24"/>
          <w:lang w:val="zh-CN" w:eastAsia="zh-CN"/>
        </w:rPr>
        <w:t>保密措施：乙方应当以审慎态度对待甲方信息系统相关数据与信息。</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val="zh-CN" w:eastAsia="zh-CN"/>
        </w:rPr>
        <w:t>（</w:t>
      </w:r>
      <w:r>
        <w:rPr>
          <w:rFonts w:hint="eastAsia" w:cs="楷体_GB2312"/>
          <w:sz w:val="24"/>
          <w:szCs w:val="24"/>
          <w:lang w:eastAsia="zh-CN"/>
        </w:rPr>
        <w:t>1）</w:t>
      </w:r>
      <w:r>
        <w:rPr>
          <w:rFonts w:hint="eastAsia" w:cs="楷体_GB2312"/>
          <w:sz w:val="24"/>
          <w:szCs w:val="24"/>
          <w:lang w:val="zh-CN" w:eastAsia="zh-CN"/>
        </w:rPr>
        <w:t>遵守甲方有关保密的各项管理规定；</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val="zh-CN" w:eastAsia="zh-CN"/>
        </w:rPr>
        <w:t>（</w:t>
      </w:r>
      <w:r>
        <w:rPr>
          <w:rFonts w:hint="eastAsia" w:cs="楷体_GB2312"/>
          <w:sz w:val="24"/>
          <w:szCs w:val="24"/>
          <w:lang w:eastAsia="zh-CN"/>
        </w:rPr>
        <w:t>2）</w:t>
      </w:r>
      <w:r>
        <w:rPr>
          <w:rFonts w:hint="eastAsia" w:cs="楷体_GB2312"/>
          <w:sz w:val="24"/>
          <w:szCs w:val="24"/>
          <w:lang w:val="zh-CN" w:eastAsia="zh-CN"/>
        </w:rPr>
        <w:t>未经甲方书面许可，乙方不得将所知的甲方信息系统以及相关信息以任何方式提供给任何第三方；</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val="zh-CN" w:eastAsia="zh-CN"/>
        </w:rPr>
        <w:t>（</w:t>
      </w:r>
      <w:r>
        <w:rPr>
          <w:rFonts w:hint="eastAsia" w:cs="楷体_GB2312"/>
          <w:sz w:val="24"/>
          <w:szCs w:val="24"/>
          <w:lang w:eastAsia="zh-CN"/>
        </w:rPr>
        <w:t>3）</w:t>
      </w:r>
      <w:r>
        <w:rPr>
          <w:rFonts w:hint="eastAsia" w:cs="楷体_GB2312"/>
          <w:sz w:val="24"/>
          <w:szCs w:val="24"/>
          <w:lang w:val="zh-CN" w:eastAsia="zh-CN"/>
        </w:rPr>
        <w:t>未经甲方书面许可，不得擅自披露知晓的甲方信息；</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val="zh-CN" w:eastAsia="zh-CN"/>
        </w:rPr>
        <w:t>（</w:t>
      </w:r>
      <w:r>
        <w:rPr>
          <w:rFonts w:hint="eastAsia" w:cs="楷体_GB2312"/>
          <w:sz w:val="24"/>
          <w:szCs w:val="24"/>
          <w:lang w:eastAsia="zh-CN"/>
        </w:rPr>
        <w:t>4）</w:t>
      </w:r>
      <w:r>
        <w:rPr>
          <w:rFonts w:hint="eastAsia" w:cs="楷体_GB2312"/>
          <w:sz w:val="24"/>
          <w:szCs w:val="24"/>
          <w:lang w:val="zh-CN" w:eastAsia="zh-CN"/>
        </w:rPr>
        <w:t>除了完成甲乙双方约定的工作目的之外，未经甲方书面许可，不得擅自使用甲方的上述信息；</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val="zh-CN" w:eastAsia="zh-CN"/>
        </w:rPr>
        <w:t>（</w:t>
      </w:r>
      <w:r>
        <w:rPr>
          <w:rFonts w:hint="eastAsia" w:cs="楷体_GB2312"/>
          <w:sz w:val="24"/>
          <w:szCs w:val="24"/>
          <w:lang w:eastAsia="zh-CN"/>
        </w:rPr>
        <w:t>5）</w:t>
      </w:r>
      <w:r>
        <w:rPr>
          <w:rFonts w:hint="eastAsia" w:cs="楷体_GB2312"/>
          <w:sz w:val="24"/>
          <w:szCs w:val="24"/>
          <w:lang w:val="zh-CN" w:eastAsia="zh-CN"/>
        </w:rPr>
        <w:t>未经甲方书面许可，乙方不得带走从甲方得到的任何文档、图纸、资料、</w:t>
      </w:r>
      <w:r>
        <w:rPr>
          <w:rFonts w:hint="eastAsia" w:cs="楷体_GB2312"/>
          <w:sz w:val="24"/>
          <w:szCs w:val="24"/>
          <w:lang w:eastAsia="zh-CN"/>
        </w:rPr>
        <w:t>U盘</w:t>
      </w:r>
      <w:r>
        <w:rPr>
          <w:rFonts w:hint="eastAsia" w:cs="楷体_GB2312"/>
          <w:sz w:val="24"/>
          <w:szCs w:val="24"/>
          <w:lang w:val="zh-CN" w:eastAsia="zh-CN"/>
        </w:rPr>
        <w:t>等载有甲方信息系统以及相关信息介质；</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val="zh-CN" w:eastAsia="zh-CN"/>
        </w:rPr>
        <w:t>（</w:t>
      </w:r>
      <w:r>
        <w:rPr>
          <w:rFonts w:hint="eastAsia" w:cs="楷体_GB2312"/>
          <w:sz w:val="24"/>
          <w:szCs w:val="24"/>
          <w:lang w:eastAsia="zh-CN"/>
        </w:rPr>
        <w:t>6）</w:t>
      </w:r>
      <w:r>
        <w:rPr>
          <w:rFonts w:hint="eastAsia" w:cs="楷体_GB2312"/>
          <w:sz w:val="24"/>
          <w:szCs w:val="24"/>
          <w:lang w:val="zh-CN" w:eastAsia="zh-CN"/>
        </w:rPr>
        <w:t>对于乙方因工作需要必须携带的数据资料，需经甲方许可后加密存储，并且保证信息的机密性；</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val="zh-CN" w:eastAsia="zh-CN"/>
        </w:rPr>
        <w:t>（</w:t>
      </w:r>
      <w:r>
        <w:rPr>
          <w:rFonts w:hint="eastAsia" w:cs="楷体_GB2312"/>
          <w:sz w:val="24"/>
          <w:szCs w:val="24"/>
          <w:lang w:eastAsia="zh-CN"/>
        </w:rPr>
        <w:t>7）</w:t>
      </w:r>
      <w:r>
        <w:rPr>
          <w:rFonts w:hint="eastAsia" w:cs="楷体_GB2312"/>
          <w:sz w:val="24"/>
          <w:szCs w:val="24"/>
          <w:lang w:val="zh-CN" w:eastAsia="zh-CN"/>
        </w:rPr>
        <w:t>对于甲方数据和服务结果数据的保管、访问，乙方需采取相应积极有效的措施进行严格控制，即无关人员不能访问；必须访问的人员，乙方要进行严格的访问控制。</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eastAsia="zh-CN"/>
        </w:rPr>
        <w:t>4.</w:t>
      </w:r>
      <w:r>
        <w:rPr>
          <w:rFonts w:hint="eastAsia" w:cs="楷体_GB2312"/>
          <w:sz w:val="24"/>
          <w:szCs w:val="24"/>
          <w:lang w:val="zh-CN" w:eastAsia="zh-CN"/>
        </w:rPr>
        <w:t>对于甲方提供给乙方使用的任何资源，如网络、NOTES等，乙方都只能将其用于工作，而不能用于其他目的，特别是从事侵害公司利益的活动。</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eastAsia="zh-CN"/>
        </w:rPr>
        <w:t>5.</w:t>
      </w:r>
      <w:r>
        <w:rPr>
          <w:rFonts w:hint="eastAsia" w:cs="楷体_GB2312"/>
          <w:sz w:val="24"/>
          <w:szCs w:val="24"/>
          <w:lang w:val="zh-CN" w:eastAsia="zh-CN"/>
        </w:rPr>
        <w:t>乙方同意遵守甲方的各项管理制度，甲方有权依据上述制度对乙方进行检查，并且对乙方违反制度的行为进行处罚。</w:t>
      </w:r>
    </w:p>
    <w:p>
      <w:pPr>
        <w:autoSpaceDE w:val="0"/>
        <w:autoSpaceDN w:val="0"/>
        <w:adjustRightInd w:val="0"/>
        <w:snapToGrid w:val="0"/>
        <w:spacing w:line="360" w:lineRule="auto"/>
        <w:ind w:firstLine="480"/>
        <w:outlineLvl w:val="2"/>
        <w:rPr>
          <w:rFonts w:hint="eastAsia" w:cs="楷体_GB2312"/>
          <w:sz w:val="24"/>
          <w:szCs w:val="24"/>
          <w:lang w:val="zh-CN" w:eastAsia="zh-CN"/>
        </w:rPr>
      </w:pPr>
      <w:r>
        <w:rPr>
          <w:rFonts w:hint="eastAsia" w:cs="楷体_GB2312"/>
          <w:sz w:val="24"/>
          <w:szCs w:val="24"/>
          <w:lang w:eastAsia="zh-CN"/>
        </w:rPr>
        <w:t>6.</w:t>
      </w:r>
      <w:r>
        <w:rPr>
          <w:rFonts w:hint="eastAsia" w:cs="楷体_GB2312"/>
          <w:sz w:val="24"/>
          <w:szCs w:val="24"/>
          <w:lang w:val="zh-CN" w:eastAsia="zh-CN"/>
        </w:rPr>
        <w:t>甲方保证乙方提供资料的保密性及只在直接相关人员中传阅。</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eastAsia="zh-CN"/>
        </w:rPr>
        <w:t>7.</w:t>
      </w:r>
      <w:r>
        <w:rPr>
          <w:rFonts w:hint="eastAsia" w:cs="楷体_GB2312"/>
          <w:sz w:val="24"/>
          <w:szCs w:val="24"/>
          <w:lang w:val="zh-CN" w:eastAsia="zh-CN"/>
        </w:rPr>
        <w:t>甲乙双方同意并确认，严守己方所掌握的对方的机密信息并不向任何第三方透露上述机密信息。</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eastAsia="zh-CN"/>
        </w:rPr>
        <w:t>8.</w:t>
      </w:r>
      <w:r>
        <w:rPr>
          <w:rFonts w:hint="eastAsia" w:cs="楷体_GB2312"/>
          <w:sz w:val="24"/>
          <w:szCs w:val="24"/>
          <w:lang w:val="zh-CN" w:eastAsia="zh-CN"/>
        </w:rPr>
        <w:t>甲乙双方确认，任何一方因不可抗力（如法律、法规、国家政策调整等）而透露信息的，应当事先书面通知对方，并且尽力提供保护。</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eastAsia="zh-CN"/>
        </w:rPr>
        <w:t>9.</w:t>
      </w:r>
      <w:r>
        <w:rPr>
          <w:rFonts w:hint="eastAsia" w:cs="楷体_GB2312"/>
          <w:sz w:val="24"/>
          <w:szCs w:val="24"/>
          <w:lang w:val="zh-CN" w:eastAsia="zh-CN"/>
        </w:rPr>
        <w:t xml:space="preserve">甲乙双方确认，任何一方对其所接触并知悉上述信息的员工在三年内，对上述机密信息负有保密义务，甲乙双方应通过一定手段保证上述承诺。 </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eastAsia="zh-CN"/>
        </w:rPr>
        <w:t>10.</w:t>
      </w:r>
      <w:r>
        <w:rPr>
          <w:rFonts w:hint="eastAsia" w:cs="楷体_GB2312"/>
          <w:sz w:val="24"/>
          <w:szCs w:val="24"/>
          <w:lang w:val="zh-CN" w:eastAsia="zh-CN"/>
        </w:rPr>
        <w:t>甲乙双方确认，本协议未含之内容，属机密性的，由甲乙双方另行补签书面协议；非属机密性的，属于任何一方的权利。</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eastAsia="zh-CN"/>
        </w:rPr>
        <w:t>11.</w:t>
      </w:r>
      <w:r>
        <w:rPr>
          <w:rFonts w:hint="eastAsia" w:cs="楷体_GB2312"/>
          <w:sz w:val="24"/>
          <w:szCs w:val="24"/>
          <w:lang w:val="zh-CN" w:eastAsia="zh-CN"/>
        </w:rPr>
        <w:t>甲乙双方确认，所有机密信息由甲方按照本协议规定透露，任何一方不能或将不能利用上述信息为自己或其他方开发信息、技术和产品，或与另一方的产品进行竞争。</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eastAsia="zh-CN"/>
        </w:rPr>
        <w:t>12.</w:t>
      </w:r>
      <w:r>
        <w:rPr>
          <w:rFonts w:hint="eastAsia" w:cs="楷体_GB2312"/>
          <w:sz w:val="24"/>
          <w:szCs w:val="24"/>
          <w:lang w:val="zh-CN" w:eastAsia="zh-CN"/>
        </w:rPr>
        <w:t>本协议依据中华人民共和国的法律解释并应用，不包括法律规范的冲突。</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eastAsia="zh-CN"/>
        </w:rPr>
        <w:t>13.</w:t>
      </w:r>
      <w:r>
        <w:rPr>
          <w:rFonts w:hint="eastAsia" w:cs="楷体_GB2312"/>
          <w:sz w:val="24"/>
          <w:szCs w:val="24"/>
          <w:lang w:val="zh-CN" w:eastAsia="zh-CN"/>
        </w:rPr>
        <w:t>甲乙双方确认，任何一方违反本协议的约定，除上述权利归守约方之外，违约方将向对方承担合同总额20%的违约金，违约金不足以赔偿对方损失的，违约方应当承担因此而给对方造成的一切损失，包括但不限于律师费、诉讼费、仲裁费、交通费等。</w:t>
      </w:r>
    </w:p>
    <w:p>
      <w:pPr>
        <w:autoSpaceDE w:val="0"/>
        <w:autoSpaceDN w:val="0"/>
        <w:adjustRightInd w:val="0"/>
        <w:snapToGrid w:val="0"/>
        <w:spacing w:line="360" w:lineRule="auto"/>
        <w:ind w:firstLine="480"/>
        <w:rPr>
          <w:rFonts w:hint="eastAsia" w:cs="楷体_GB2312"/>
          <w:sz w:val="24"/>
          <w:szCs w:val="24"/>
          <w:lang w:val="zh-CN" w:eastAsia="zh-CN"/>
        </w:rPr>
      </w:pPr>
      <w:r>
        <w:rPr>
          <w:rFonts w:hint="eastAsia" w:cs="楷体_GB2312"/>
          <w:sz w:val="24"/>
          <w:szCs w:val="24"/>
          <w:lang w:eastAsia="zh-CN"/>
        </w:rPr>
        <w:t>14.</w:t>
      </w:r>
      <w:r>
        <w:rPr>
          <w:rFonts w:hint="eastAsia" w:cs="楷体_GB2312"/>
          <w:sz w:val="24"/>
          <w:szCs w:val="24"/>
          <w:lang w:val="zh-CN" w:eastAsia="zh-CN"/>
        </w:rPr>
        <w:t>本协议自甲乙双方法定代表人（负责人）或授权代理人签字生效。本协议一式</w:t>
      </w:r>
      <w:r>
        <w:rPr>
          <w:rFonts w:hint="eastAsia" w:cs="楷体_GB2312"/>
          <w:sz w:val="24"/>
          <w:szCs w:val="24"/>
          <w:lang w:val="en-US" w:eastAsia="zh-CN"/>
        </w:rPr>
        <w:t>8</w:t>
      </w:r>
      <w:r>
        <w:rPr>
          <w:rFonts w:hint="eastAsia" w:cs="楷体_GB2312"/>
          <w:sz w:val="24"/>
          <w:szCs w:val="24"/>
          <w:lang w:val="zh-CN" w:eastAsia="zh-CN"/>
        </w:rPr>
        <w:t>份，甲</w:t>
      </w:r>
      <w:r>
        <w:rPr>
          <w:rFonts w:hint="eastAsia" w:cs="楷体_GB2312"/>
          <w:sz w:val="24"/>
          <w:szCs w:val="24"/>
          <w:lang w:val="en-US" w:eastAsia="zh-CN"/>
        </w:rPr>
        <w:t>乙</w:t>
      </w:r>
      <w:r>
        <w:rPr>
          <w:rFonts w:hint="eastAsia" w:cs="楷体_GB2312"/>
          <w:sz w:val="24"/>
          <w:szCs w:val="24"/>
          <w:lang w:val="zh-CN" w:eastAsia="zh-CN"/>
        </w:rPr>
        <w:t>方</w:t>
      </w:r>
      <w:r>
        <w:rPr>
          <w:rFonts w:hint="eastAsia" w:cs="楷体_GB2312"/>
          <w:sz w:val="24"/>
          <w:szCs w:val="24"/>
          <w:lang w:val="en-US" w:eastAsia="zh-CN"/>
        </w:rPr>
        <w:t>各执</w:t>
      </w:r>
      <w:r>
        <w:rPr>
          <w:rFonts w:hint="eastAsia" w:cs="楷体_GB2312"/>
          <w:sz w:val="24"/>
          <w:szCs w:val="24"/>
          <w:lang w:eastAsia="zh-CN"/>
        </w:rPr>
        <w:t>4</w:t>
      </w:r>
      <w:r>
        <w:rPr>
          <w:rFonts w:hint="eastAsia" w:cs="楷体_GB2312"/>
          <w:sz w:val="24"/>
          <w:szCs w:val="24"/>
          <w:lang w:val="zh-CN" w:eastAsia="zh-CN"/>
        </w:rPr>
        <w:t>份，具有同等效力。</w:t>
      </w:r>
    </w:p>
    <w:p>
      <w:pPr>
        <w:autoSpaceDE w:val="0"/>
        <w:autoSpaceDN w:val="0"/>
        <w:adjustRightInd w:val="0"/>
        <w:snapToGrid w:val="0"/>
        <w:spacing w:line="360" w:lineRule="auto"/>
        <w:rPr>
          <w:rFonts w:hint="eastAsia" w:cs="楷体_GB2312"/>
          <w:sz w:val="24"/>
          <w:szCs w:val="24"/>
          <w:lang w:eastAsia="zh-CN"/>
        </w:rPr>
      </w:pPr>
    </w:p>
    <w:p>
      <w:pPr>
        <w:autoSpaceDE w:val="0"/>
        <w:autoSpaceDN w:val="0"/>
        <w:adjustRightInd w:val="0"/>
        <w:snapToGrid w:val="0"/>
        <w:spacing w:line="360" w:lineRule="auto"/>
        <w:rPr>
          <w:rFonts w:cs="楷体_GB2312"/>
          <w:sz w:val="24"/>
          <w:szCs w:val="24"/>
          <w:lang w:eastAsia="zh-CN"/>
        </w:rPr>
      </w:pPr>
      <w:r>
        <w:rPr>
          <w:rFonts w:hint="eastAsia" w:cs="楷体_GB2312"/>
          <w:sz w:val="24"/>
          <w:szCs w:val="24"/>
          <w:lang w:eastAsia="zh-CN"/>
        </w:rPr>
        <w:t xml:space="preserve">甲方：                                        乙方：                 </w:t>
      </w:r>
    </w:p>
    <w:p>
      <w:pPr>
        <w:autoSpaceDE w:val="0"/>
        <w:autoSpaceDN w:val="0"/>
        <w:adjustRightInd w:val="0"/>
        <w:snapToGrid w:val="0"/>
        <w:spacing w:line="360" w:lineRule="auto"/>
        <w:rPr>
          <w:rFonts w:cs="楷体_GB2312"/>
          <w:sz w:val="24"/>
          <w:szCs w:val="24"/>
          <w:lang w:eastAsia="zh-CN"/>
        </w:rPr>
      </w:pPr>
      <w:r>
        <w:rPr>
          <w:rFonts w:hint="eastAsia" w:cs="楷体_GB2312"/>
          <w:sz w:val="24"/>
          <w:szCs w:val="24"/>
          <w:lang w:eastAsia="zh-CN"/>
        </w:rPr>
        <w:t>法定代表人：                                  法定代表人：</w:t>
      </w:r>
    </w:p>
    <w:p>
      <w:pPr>
        <w:autoSpaceDE w:val="0"/>
        <w:autoSpaceDN w:val="0"/>
        <w:adjustRightInd w:val="0"/>
        <w:snapToGrid w:val="0"/>
        <w:spacing w:line="360" w:lineRule="auto"/>
        <w:rPr>
          <w:rFonts w:cs="楷体_GB2312"/>
          <w:sz w:val="24"/>
          <w:szCs w:val="24"/>
          <w:lang w:eastAsia="zh-CN"/>
        </w:rPr>
      </w:pPr>
      <w:r>
        <w:rPr>
          <w:rFonts w:hint="eastAsia" w:cs="楷体_GB2312"/>
          <w:sz w:val="24"/>
          <w:szCs w:val="24"/>
          <w:lang w:eastAsia="zh-CN"/>
        </w:rPr>
        <w:t>或其授权的代理人：</w:t>
      </w:r>
      <w:r>
        <w:rPr>
          <w:rFonts w:hint="eastAsia" w:cs="楷体_GB2312"/>
          <w:sz w:val="24"/>
          <w:szCs w:val="24"/>
          <w:lang w:eastAsia="zh-CN"/>
        </w:rPr>
        <w:tab/>
      </w:r>
      <w:r>
        <w:rPr>
          <w:rFonts w:hint="eastAsia" w:cs="楷体_GB2312"/>
          <w:sz w:val="24"/>
          <w:szCs w:val="24"/>
          <w:lang w:eastAsia="zh-CN"/>
        </w:rPr>
        <w:t xml:space="preserve">                         或其授权的代理人</w:t>
      </w:r>
    </w:p>
    <w:p>
      <w:pPr>
        <w:autoSpaceDE w:val="0"/>
        <w:autoSpaceDN w:val="0"/>
        <w:adjustRightInd w:val="0"/>
        <w:snapToGrid w:val="0"/>
        <w:spacing w:line="360" w:lineRule="auto"/>
        <w:rPr>
          <w:rFonts w:cs="楷体_GB2312"/>
          <w:sz w:val="24"/>
          <w:szCs w:val="24"/>
          <w:lang w:eastAsia="zh-CN"/>
        </w:rPr>
      </w:pPr>
      <w:r>
        <w:rPr>
          <w:rFonts w:hint="eastAsia" w:cs="楷体_GB2312"/>
          <w:sz w:val="24"/>
          <w:szCs w:val="24"/>
          <w:lang w:eastAsia="zh-CN"/>
        </w:rPr>
        <w:t>职务：                                        职务：</w:t>
      </w:r>
    </w:p>
    <w:p>
      <w:pPr>
        <w:autoSpaceDE w:val="0"/>
        <w:autoSpaceDN w:val="0"/>
        <w:adjustRightInd w:val="0"/>
        <w:snapToGrid w:val="0"/>
        <w:spacing w:line="360" w:lineRule="auto"/>
        <w:rPr>
          <w:rFonts w:cs="楷体_GB2312"/>
          <w:sz w:val="24"/>
          <w:szCs w:val="24"/>
          <w:lang w:eastAsia="zh-CN"/>
        </w:rPr>
      </w:pPr>
      <w:r>
        <w:rPr>
          <w:rFonts w:hint="eastAsia" w:cs="楷体_GB2312"/>
          <w:sz w:val="24"/>
          <w:szCs w:val="24"/>
          <w:lang w:eastAsia="zh-CN"/>
        </w:rPr>
        <w:t>姓名：                                        姓名：</w:t>
      </w:r>
    </w:p>
    <w:p>
      <w:pPr>
        <w:autoSpaceDE w:val="0"/>
        <w:autoSpaceDN w:val="0"/>
        <w:adjustRightInd w:val="0"/>
        <w:snapToGrid w:val="0"/>
        <w:spacing w:line="360" w:lineRule="auto"/>
        <w:rPr>
          <w:rFonts w:cs="楷体_GB2312"/>
          <w:sz w:val="24"/>
          <w:szCs w:val="24"/>
          <w:lang w:eastAsia="zh-CN"/>
        </w:rPr>
      </w:pPr>
      <w:r>
        <w:rPr>
          <w:rFonts w:hint="eastAsia" w:cs="楷体_GB2312"/>
          <w:sz w:val="24"/>
          <w:szCs w:val="24"/>
          <w:lang w:eastAsia="zh-CN"/>
        </w:rPr>
        <w:t>签字：                                        签字：</w:t>
      </w:r>
    </w:p>
    <w:p>
      <w:pPr>
        <w:autoSpaceDE w:val="0"/>
        <w:autoSpaceDN w:val="0"/>
        <w:adjustRightInd w:val="0"/>
        <w:snapToGrid w:val="0"/>
        <w:spacing w:line="360" w:lineRule="auto"/>
        <w:rPr>
          <w:rFonts w:cs="楷体_GB2312"/>
          <w:sz w:val="24"/>
          <w:szCs w:val="24"/>
          <w:lang w:eastAsia="zh-CN"/>
        </w:rPr>
      </w:pPr>
      <w:r>
        <w:rPr>
          <w:rFonts w:hint="eastAsia" w:cs="楷体_GB2312"/>
          <w:sz w:val="24"/>
          <w:szCs w:val="24"/>
          <w:lang w:eastAsia="zh-CN"/>
        </w:rPr>
        <w:t>日期：                                        日期：</w:t>
      </w:r>
    </w:p>
    <w:p>
      <w:pPr>
        <w:tabs>
          <w:tab w:val="left" w:pos="1170"/>
        </w:tabs>
        <w:ind w:firstLine="480"/>
        <w:outlineLvl w:val="3"/>
      </w:pPr>
      <w:r>
        <w:t xml:space="preserve"> </w:t>
      </w:r>
      <w:r>
        <w:tab/>
      </w:r>
      <w:r>
        <w:br w:type="page"/>
      </w:r>
      <w:bookmarkStart w:id="18" w:name="_Toc144386150"/>
      <w:r>
        <w:rPr>
          <w:rStyle w:val="22"/>
          <w:rFonts w:hint="eastAsia"/>
        </w:rPr>
        <w:t>附件4：技术条款与要求</w:t>
      </w:r>
      <w:bookmarkEnd w:id="18"/>
    </w:p>
    <w:p>
      <w:pPr>
        <w:ind w:firstLine="0" w:firstLineChars="0"/>
        <w:jc w:val="center"/>
        <w:rPr>
          <w:b/>
          <w:bCs/>
          <w:sz w:val="32"/>
          <w:szCs w:val="22"/>
        </w:rPr>
      </w:pPr>
      <w:r>
        <w:rPr>
          <w:rFonts w:hint="eastAsia"/>
          <w:b/>
          <w:bCs/>
          <w:sz w:val="32"/>
          <w:szCs w:val="22"/>
        </w:rPr>
        <w:t>技术条款与要求</w:t>
      </w:r>
    </w:p>
    <w:p>
      <w:pPr>
        <w:pStyle w:val="29"/>
        <w:outlineLvl w:val="2"/>
        <w:rPr>
          <w:b/>
          <w:bCs/>
        </w:rPr>
      </w:pPr>
      <w:r>
        <w:rPr>
          <w:rFonts w:hint="eastAsia"/>
          <w:b/>
          <w:bCs/>
        </w:rPr>
        <w:t>1.技术条款</w:t>
      </w:r>
    </w:p>
    <w:p>
      <w:pPr>
        <w:pStyle w:val="29"/>
        <w:outlineLvl w:val="3"/>
        <w:rPr>
          <w:b/>
          <w:bCs/>
        </w:rPr>
      </w:pPr>
      <w:r>
        <w:rPr>
          <w:rFonts w:hint="eastAsia"/>
          <w:b/>
          <w:bCs/>
        </w:rPr>
        <w:t xml:space="preserve">1.1标准与规范 </w:t>
      </w:r>
    </w:p>
    <w:p>
      <w:pPr>
        <w:pStyle w:val="29"/>
      </w:pPr>
      <w:r>
        <w:rPr>
          <w:rFonts w:hint="eastAsia"/>
        </w:rPr>
        <w:t>满足以下技术要求，包括但不限于：</w:t>
      </w:r>
    </w:p>
    <w:p>
      <w:pPr>
        <w:pStyle w:val="29"/>
      </w:pPr>
      <w:r>
        <w:rPr>
          <w:rFonts w:hint="eastAsia"/>
        </w:rPr>
        <w:t>（1）《计算机软件文档编制规范》（GB/T8567-2006）</w:t>
      </w:r>
    </w:p>
    <w:p>
      <w:pPr>
        <w:pStyle w:val="29"/>
      </w:pPr>
      <w:r>
        <w:rPr>
          <w:rFonts w:hint="eastAsia"/>
        </w:rPr>
        <w:t>（2）《计算机软件需求规格说明规范》（GB/T9385-2008）</w:t>
      </w:r>
    </w:p>
    <w:p>
      <w:pPr>
        <w:pStyle w:val="29"/>
      </w:pPr>
      <w:r>
        <w:rPr>
          <w:rFonts w:hint="eastAsia"/>
        </w:rPr>
        <w:t>（3）《计算机软件测试文档编制规范》（GB/T9386-2008）</w:t>
      </w:r>
    </w:p>
    <w:p>
      <w:pPr>
        <w:pStyle w:val="29"/>
      </w:pPr>
      <w:r>
        <w:rPr>
          <w:rFonts w:hint="eastAsia"/>
        </w:rPr>
        <w:t>（4）《计算机软件可靠性和可维护性管理》（GB/T14394-2008）</w:t>
      </w:r>
    </w:p>
    <w:p>
      <w:pPr>
        <w:pStyle w:val="29"/>
      </w:pPr>
      <w:r>
        <w:rPr>
          <w:rFonts w:hint="eastAsia"/>
        </w:rPr>
        <w:t>（5）《计算机软件测试规范》（GB/T15532-2008）</w:t>
      </w:r>
    </w:p>
    <w:p>
      <w:pPr>
        <w:pStyle w:val="29"/>
      </w:pPr>
      <w:r>
        <w:rPr>
          <w:rFonts w:hint="eastAsia"/>
        </w:rPr>
        <w:t>（6）《信息安全技术</w:t>
      </w:r>
      <w:r>
        <w:rPr>
          <w:rFonts w:hint="eastAsia"/>
          <w:lang w:val="en-US" w:eastAsia="zh-CN"/>
        </w:rPr>
        <w:t>网络</w:t>
      </w:r>
      <w:r>
        <w:rPr>
          <w:rFonts w:hint="eastAsia"/>
        </w:rPr>
        <w:t>安全等级保护实施指南》(GB/T25058-201</w:t>
      </w:r>
      <w:r>
        <w:rPr>
          <w:rFonts w:hint="eastAsia"/>
          <w:lang w:val="en-US" w:eastAsia="zh-CN"/>
        </w:rPr>
        <w:t>9</w:t>
      </w:r>
      <w:r>
        <w:rPr>
          <w:rFonts w:hint="eastAsia"/>
        </w:rPr>
        <w:t>)</w:t>
      </w:r>
    </w:p>
    <w:p>
      <w:pPr>
        <w:pStyle w:val="29"/>
        <w:rPr>
          <w:rFonts w:hint="eastAsia"/>
        </w:rPr>
      </w:pPr>
      <w:r>
        <w:rPr>
          <w:rFonts w:hint="eastAsia"/>
        </w:rPr>
        <w:t>（7）《电力系统实时数据通信应用层协议》（DL476-2012）</w:t>
      </w:r>
    </w:p>
    <w:p>
      <w:pPr>
        <w:pStyle w:val="29"/>
        <w:rPr>
          <w:rFonts w:hint="eastAsia"/>
        </w:rPr>
      </w:pPr>
      <w:r>
        <w:rPr>
          <w:rFonts w:hint="eastAsia"/>
          <w:lang w:eastAsia="zh-CN"/>
        </w:rPr>
        <w:t>（</w:t>
      </w:r>
      <w:r>
        <w:rPr>
          <w:rFonts w:hint="eastAsia"/>
          <w:lang w:val="en-US" w:eastAsia="zh-CN"/>
        </w:rPr>
        <w:t>8）</w:t>
      </w:r>
      <w:r>
        <w:rPr>
          <w:rFonts w:hint="eastAsia"/>
        </w:rPr>
        <w:t>《信息技术设备（包括电气事务设备）的安全》（GB4943</w:t>
      </w:r>
      <w:r>
        <w:rPr>
          <w:rFonts w:hint="eastAsia"/>
          <w:lang w:val="en-US" w:eastAsia="zh-CN"/>
        </w:rPr>
        <w:t>-2011</w:t>
      </w:r>
      <w:r>
        <w:rPr>
          <w:rFonts w:hint="eastAsia"/>
        </w:rPr>
        <w:t>）</w:t>
      </w:r>
    </w:p>
    <w:p>
      <w:pPr>
        <w:pStyle w:val="29"/>
        <w:rPr>
          <w:rFonts w:hint="eastAsia"/>
        </w:rPr>
      </w:pPr>
      <w:r>
        <w:rPr>
          <w:rFonts w:hint="eastAsia"/>
          <w:lang w:eastAsia="zh-CN"/>
        </w:rPr>
        <w:t>（</w:t>
      </w:r>
      <w:r>
        <w:rPr>
          <w:rFonts w:hint="eastAsia"/>
          <w:lang w:val="en-US" w:eastAsia="zh-CN"/>
        </w:rPr>
        <w:t>9）</w:t>
      </w:r>
      <w:r>
        <w:rPr>
          <w:rFonts w:hint="eastAsia"/>
        </w:rPr>
        <w:t>《计算机软件单元测试》（GB/T15532</w:t>
      </w:r>
      <w:r>
        <w:rPr>
          <w:rFonts w:hint="eastAsia"/>
          <w:lang w:val="en-US" w:eastAsia="zh-CN"/>
        </w:rPr>
        <w:t>-1995</w:t>
      </w:r>
      <w:r>
        <w:rPr>
          <w:rFonts w:hint="eastAsia"/>
        </w:rPr>
        <w:t>）</w:t>
      </w:r>
    </w:p>
    <w:p>
      <w:pPr>
        <w:pStyle w:val="29"/>
      </w:pPr>
      <w:r>
        <w:rPr>
          <w:rFonts w:hint="eastAsia"/>
          <w:lang w:eastAsia="zh-CN"/>
        </w:rPr>
        <w:t>（</w:t>
      </w:r>
      <w:r>
        <w:rPr>
          <w:rFonts w:hint="eastAsia"/>
          <w:lang w:val="en-US" w:eastAsia="zh-CN"/>
        </w:rPr>
        <w:t>10）</w:t>
      </w:r>
      <w:r>
        <w:rPr>
          <w:rFonts w:hint="eastAsia"/>
        </w:rPr>
        <w:t>《计算机软件工程规范国家标准》</w:t>
      </w:r>
    </w:p>
    <w:p>
      <w:pPr>
        <w:pStyle w:val="29"/>
      </w:pPr>
      <w:r>
        <w:rPr>
          <w:rFonts w:hint="eastAsia"/>
        </w:rPr>
        <w:t>（</w:t>
      </w:r>
      <w:r>
        <w:rPr>
          <w:rFonts w:hint="eastAsia"/>
          <w:lang w:val="en-US" w:eastAsia="zh-CN"/>
        </w:rPr>
        <w:t>11</w:t>
      </w:r>
      <w:r>
        <w:rPr>
          <w:rFonts w:hint="eastAsia"/>
        </w:rPr>
        <w:t>）《信息系统安全技术国家标准》</w:t>
      </w:r>
      <w:r>
        <w:rPr>
          <w:rFonts w:hint="eastAsia"/>
        </w:rPr>
        <w:tab/>
      </w:r>
    </w:p>
    <w:p>
      <w:pPr>
        <w:pStyle w:val="29"/>
        <w:rPr>
          <w:rFonts w:hint="eastAsia"/>
        </w:rPr>
      </w:pPr>
      <w:r>
        <w:rPr>
          <w:rFonts w:hint="eastAsia"/>
        </w:rPr>
        <w:t>（</w:t>
      </w:r>
      <w:r>
        <w:rPr>
          <w:rFonts w:hint="eastAsia"/>
          <w:lang w:val="en-US" w:eastAsia="zh-CN"/>
        </w:rPr>
        <w:t>1</w:t>
      </w:r>
      <w:r>
        <w:rPr>
          <w:rFonts w:hint="eastAsia"/>
        </w:rPr>
        <w:t>2）《中华人民共和国计算机信息安全保护条例》</w:t>
      </w:r>
    </w:p>
    <w:p>
      <w:pPr>
        <w:pStyle w:val="29"/>
      </w:pPr>
      <w:r>
        <w:rPr>
          <w:rFonts w:hint="eastAsia"/>
        </w:rPr>
        <w:t>（</w:t>
      </w:r>
      <w:r>
        <w:rPr>
          <w:rFonts w:hint="eastAsia"/>
          <w:lang w:val="en-US" w:eastAsia="zh-CN"/>
        </w:rPr>
        <w:t>13</w:t>
      </w:r>
      <w:r>
        <w:rPr>
          <w:rFonts w:hint="eastAsia"/>
        </w:rPr>
        <w:t>）综合能源企业生产运营数据标准第 1 部分：生产过程数据分类编码导则</w:t>
      </w:r>
    </w:p>
    <w:p>
      <w:pPr>
        <w:pStyle w:val="29"/>
      </w:pPr>
      <w:r>
        <w:rPr>
          <w:rFonts w:hint="eastAsia"/>
        </w:rPr>
        <w:t>（</w:t>
      </w:r>
      <w:r>
        <w:rPr>
          <w:rFonts w:hint="eastAsia"/>
          <w:lang w:val="en-US" w:eastAsia="zh-CN"/>
        </w:rPr>
        <w:t>14</w:t>
      </w:r>
      <w:r>
        <w:rPr>
          <w:rFonts w:hint="eastAsia"/>
        </w:rPr>
        <w:t>）综合能源企业生产运营数据标准第 2 部分：数据采集与传输</w:t>
      </w:r>
    </w:p>
    <w:p>
      <w:pPr>
        <w:pStyle w:val="29"/>
      </w:pPr>
      <w:r>
        <w:rPr>
          <w:rFonts w:hint="eastAsia"/>
        </w:rPr>
        <w:t>（</w:t>
      </w:r>
      <w:r>
        <w:rPr>
          <w:rFonts w:hint="eastAsia"/>
          <w:lang w:val="en-US" w:eastAsia="zh-CN"/>
        </w:rPr>
        <w:t>15</w:t>
      </w:r>
      <w:r>
        <w:rPr>
          <w:rFonts w:hint="eastAsia"/>
        </w:rPr>
        <w:t>）综合能源企业生产运营数据标准第 4 部分：基础生产能力与运营指标</w:t>
      </w:r>
    </w:p>
    <w:p>
      <w:pPr>
        <w:pStyle w:val="29"/>
      </w:pPr>
      <w:r>
        <w:rPr>
          <w:rFonts w:hint="eastAsia"/>
        </w:rPr>
        <w:t>（</w:t>
      </w:r>
      <w:r>
        <w:rPr>
          <w:rFonts w:hint="eastAsia"/>
          <w:lang w:val="en-US" w:eastAsia="zh-CN"/>
        </w:rPr>
        <w:t>16</w:t>
      </w:r>
      <w:r>
        <w:rPr>
          <w:rFonts w:hint="eastAsia"/>
        </w:rPr>
        <w:t>）综合能源企业生产运营数据标准第 5 部分：生产数据库表结构</w:t>
      </w:r>
    </w:p>
    <w:p>
      <w:pPr>
        <w:pStyle w:val="29"/>
        <w:outlineLvl w:val="2"/>
        <w:rPr>
          <w:b/>
          <w:bCs/>
        </w:rPr>
      </w:pPr>
      <w:r>
        <w:rPr>
          <w:rFonts w:hint="eastAsia"/>
          <w:b/>
          <w:bCs/>
          <w:lang w:val="en-US" w:eastAsia="zh-CN"/>
        </w:rPr>
        <w:t>2.</w:t>
      </w:r>
      <w:r>
        <w:rPr>
          <w:rFonts w:hint="eastAsia"/>
          <w:b/>
          <w:bCs/>
        </w:rPr>
        <w:t>项目内容技术要求：</w:t>
      </w:r>
    </w:p>
    <w:p>
      <w:pPr>
        <w:pStyle w:val="29"/>
        <w:outlineLvl w:val="3"/>
        <w:rPr>
          <w:b/>
          <w:bCs/>
        </w:rPr>
      </w:pPr>
      <w:r>
        <w:rPr>
          <w:rFonts w:hint="eastAsia"/>
          <w:b/>
          <w:bCs/>
        </w:rPr>
        <w:t>2.1 系统技术架构要求</w:t>
      </w:r>
    </w:p>
    <w:p>
      <w:pPr>
        <w:ind w:firstLine="480"/>
        <w:rPr>
          <w:color w:val="auto"/>
        </w:rPr>
      </w:pPr>
      <w:r>
        <w:rPr>
          <w:rFonts w:hint="eastAsia"/>
          <w:color w:val="auto"/>
        </w:rPr>
        <w:t>（1）</w:t>
      </w:r>
      <w:r>
        <w:rPr>
          <w:rFonts w:hint="eastAsia"/>
          <w:color w:val="auto"/>
          <w:lang w:eastAsia="zh-CN"/>
        </w:rPr>
        <w:t>生产管理系统</w:t>
      </w:r>
      <w:r>
        <w:rPr>
          <w:rFonts w:hint="eastAsia"/>
          <w:color w:val="auto"/>
        </w:rPr>
        <w:t>必须采用.NET架构，以便于对系统的应用与维护。</w:t>
      </w:r>
    </w:p>
    <w:p>
      <w:pPr>
        <w:ind w:firstLine="480"/>
        <w:rPr>
          <w:color w:val="auto"/>
        </w:rPr>
      </w:pPr>
      <w:r>
        <w:rPr>
          <w:rFonts w:hint="eastAsia"/>
          <w:color w:val="auto"/>
        </w:rPr>
        <w:t>（2）</w:t>
      </w:r>
      <w:r>
        <w:rPr>
          <w:rFonts w:hint="eastAsia"/>
          <w:color w:val="auto"/>
          <w:lang w:eastAsia="zh-CN"/>
        </w:rPr>
        <w:t>生产管理系统</w:t>
      </w:r>
      <w:r>
        <w:rPr>
          <w:rFonts w:hint="eastAsia"/>
          <w:color w:val="auto"/>
        </w:rPr>
        <w:t>必须采用B/S模式，客户端免维护，用户无需安装客户端软件，能基于浏览器进行信息系统的访问和使用。</w:t>
      </w:r>
    </w:p>
    <w:p>
      <w:pPr>
        <w:ind w:firstLine="480"/>
        <w:rPr>
          <w:color w:val="auto"/>
        </w:rPr>
      </w:pPr>
      <w:r>
        <w:rPr>
          <w:rFonts w:hint="eastAsia"/>
          <w:color w:val="auto"/>
        </w:rPr>
        <w:t>（3）整套系统数据必须横向隔离、纵向贯通，电站之间数据不交叉，集团数据自动汇总电站数据，相关用户和岗位的功能权限清晰、业务数据独立。</w:t>
      </w:r>
    </w:p>
    <w:p>
      <w:pPr>
        <w:ind w:firstLine="480"/>
        <w:rPr>
          <w:color w:val="auto"/>
        </w:rPr>
      </w:pPr>
      <w:r>
        <w:rPr>
          <w:rFonts w:hint="eastAsia"/>
          <w:color w:val="auto"/>
        </w:rPr>
        <w:t>（4）系统平台必须支持通过系统参数、功能参数灵活定义相同功能不同人的数据查看权限，保障功能数据分层管理。参数应支持多种设置方式，权限由低到高分：系统级、单位级、功能级、功能+单位级、岗位级、用户级、岗位 + 功能级、用户 + 功能级。</w:t>
      </w:r>
    </w:p>
    <w:p>
      <w:pPr>
        <w:pStyle w:val="29"/>
        <w:outlineLvl w:val="3"/>
        <w:rPr>
          <w:b/>
          <w:bCs/>
          <w:color w:val="auto"/>
        </w:rPr>
      </w:pPr>
      <w:r>
        <w:rPr>
          <w:rFonts w:hint="eastAsia"/>
          <w:b/>
          <w:bCs/>
        </w:rPr>
        <w:t>2.2</w:t>
      </w:r>
      <w:r>
        <w:rPr>
          <w:rFonts w:hint="eastAsia"/>
          <w:b/>
          <w:bCs/>
          <w:lang w:val="en-US" w:eastAsia="zh-CN"/>
        </w:rPr>
        <w:t xml:space="preserve"> </w:t>
      </w:r>
      <w:r>
        <w:rPr>
          <w:rFonts w:hint="eastAsia"/>
          <w:b/>
          <w:bCs/>
          <w:color w:val="auto"/>
          <w:lang w:val="en-US" w:eastAsia="zh-CN"/>
        </w:rPr>
        <w:t>系统设备</w:t>
      </w:r>
      <w:r>
        <w:rPr>
          <w:rFonts w:hint="eastAsia"/>
          <w:b/>
          <w:bCs/>
          <w:color w:val="auto"/>
        </w:rPr>
        <w:t xml:space="preserve">要求 </w:t>
      </w:r>
    </w:p>
    <w:p>
      <w:pPr>
        <w:pStyle w:val="29"/>
        <w:jc w:val="center"/>
        <w:outlineLvl w:val="4"/>
        <w:rPr>
          <w:rFonts w:hint="default" w:eastAsia="宋体"/>
          <w:color w:val="auto"/>
          <w:lang w:val="en-US" w:eastAsia="zh-CN"/>
        </w:rPr>
      </w:pPr>
      <w:r>
        <w:rPr>
          <w:rFonts w:hint="eastAsia"/>
          <w:color w:val="auto"/>
        </w:rPr>
        <w:t>系统建设所需</w:t>
      </w:r>
      <w:r>
        <w:rPr>
          <w:rFonts w:hint="eastAsia"/>
          <w:color w:val="auto"/>
          <w:lang w:val="en-US" w:eastAsia="zh-CN"/>
        </w:rPr>
        <w:t>设备清单表</w:t>
      </w:r>
    </w:p>
    <w:tbl>
      <w:tblPr>
        <w:tblStyle w:val="18"/>
        <w:tblW w:w="8359" w:type="dxa"/>
        <w:tblInd w:w="0" w:type="dxa"/>
        <w:tblLayout w:type="fixed"/>
        <w:tblCellMar>
          <w:top w:w="0" w:type="dxa"/>
          <w:left w:w="108" w:type="dxa"/>
          <w:bottom w:w="0" w:type="dxa"/>
          <w:right w:w="108" w:type="dxa"/>
        </w:tblCellMar>
      </w:tblPr>
      <w:tblGrid>
        <w:gridCol w:w="704"/>
        <w:gridCol w:w="1636"/>
        <w:gridCol w:w="3548"/>
        <w:gridCol w:w="628"/>
        <w:gridCol w:w="850"/>
        <w:gridCol w:w="993"/>
      </w:tblGrid>
      <w:tr>
        <w:tblPrEx>
          <w:tblCellMar>
            <w:top w:w="0" w:type="dxa"/>
            <w:left w:w="108" w:type="dxa"/>
            <w:bottom w:w="0" w:type="dxa"/>
            <w:right w:w="108" w:type="dxa"/>
          </w:tblCellMar>
        </w:tblPrEx>
        <w:trPr>
          <w:trHeight w:val="28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b/>
                <w:bCs/>
                <w:color w:val="000000"/>
                <w:sz w:val="18"/>
                <w:szCs w:val="18"/>
              </w:rPr>
            </w:pPr>
            <w:r>
              <w:rPr>
                <w:rFonts w:hint="eastAsia"/>
                <w:b/>
                <w:bCs/>
                <w:color w:val="000000"/>
                <w:sz w:val="18"/>
                <w:szCs w:val="18"/>
              </w:rPr>
              <w:t>序号</w:t>
            </w:r>
          </w:p>
        </w:tc>
        <w:tc>
          <w:tcPr>
            <w:tcW w:w="163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b/>
                <w:bCs/>
                <w:color w:val="000000"/>
                <w:sz w:val="18"/>
                <w:szCs w:val="18"/>
              </w:rPr>
            </w:pPr>
            <w:r>
              <w:rPr>
                <w:rFonts w:hint="eastAsia"/>
                <w:b/>
                <w:bCs/>
                <w:color w:val="000000"/>
                <w:sz w:val="18"/>
                <w:szCs w:val="18"/>
              </w:rPr>
              <w:t>产品名称</w:t>
            </w:r>
          </w:p>
        </w:tc>
        <w:tc>
          <w:tcPr>
            <w:tcW w:w="354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b/>
                <w:bCs/>
                <w:color w:val="000000"/>
                <w:sz w:val="18"/>
                <w:szCs w:val="18"/>
              </w:rPr>
            </w:pPr>
            <w:r>
              <w:rPr>
                <w:rFonts w:hint="eastAsia"/>
                <w:b/>
                <w:bCs/>
                <w:color w:val="000000"/>
                <w:sz w:val="18"/>
                <w:szCs w:val="18"/>
              </w:rPr>
              <w:t>参数配置</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b/>
                <w:bCs/>
                <w:color w:val="000000"/>
                <w:sz w:val="18"/>
                <w:szCs w:val="18"/>
              </w:rPr>
            </w:pPr>
            <w:r>
              <w:rPr>
                <w:rFonts w:hint="eastAsia"/>
                <w:b/>
                <w:bCs/>
                <w:color w:val="000000"/>
                <w:sz w:val="18"/>
                <w:szCs w:val="18"/>
              </w:rPr>
              <w:t>单位</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b/>
                <w:bCs/>
                <w:color w:val="000000"/>
                <w:sz w:val="18"/>
                <w:szCs w:val="18"/>
              </w:rPr>
            </w:pPr>
            <w:r>
              <w:rPr>
                <w:rFonts w:hint="eastAsia"/>
                <w:b/>
                <w:bCs/>
                <w:color w:val="000000"/>
                <w:sz w:val="18"/>
                <w:szCs w:val="18"/>
              </w:rPr>
              <w:t>数量</w:t>
            </w:r>
          </w:p>
        </w:tc>
        <w:tc>
          <w:tcPr>
            <w:tcW w:w="993" w:type="dxa"/>
            <w:tcBorders>
              <w:top w:val="single" w:color="auto" w:sz="4" w:space="0"/>
              <w:left w:val="nil"/>
              <w:bottom w:val="single" w:color="auto" w:sz="4" w:space="0"/>
              <w:right w:val="single" w:color="auto" w:sz="4" w:space="0"/>
            </w:tcBorders>
            <w:noWrap w:val="0"/>
            <w:vAlign w:val="top"/>
          </w:tcPr>
          <w:p>
            <w:pPr>
              <w:widowControl/>
              <w:spacing w:line="240" w:lineRule="auto"/>
              <w:ind w:firstLine="0" w:firstLineChars="0"/>
              <w:jc w:val="center"/>
              <w:rPr>
                <w:b/>
                <w:bCs/>
                <w:color w:val="000000"/>
                <w:sz w:val="18"/>
                <w:szCs w:val="18"/>
              </w:rPr>
            </w:pPr>
            <w:r>
              <w:rPr>
                <w:rFonts w:hint="eastAsia"/>
                <w:b/>
                <w:bCs/>
                <w:color w:val="000000"/>
                <w:sz w:val="18"/>
                <w:szCs w:val="18"/>
              </w:rPr>
              <w:t>备注</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1</w:t>
            </w:r>
          </w:p>
        </w:tc>
        <w:tc>
          <w:tcPr>
            <w:tcW w:w="1636" w:type="dxa"/>
            <w:tcBorders>
              <w:top w:val="nil"/>
              <w:left w:val="nil"/>
              <w:bottom w:val="single" w:color="auto" w:sz="4" w:space="0"/>
              <w:right w:val="single" w:color="auto" w:sz="4" w:space="0"/>
            </w:tcBorders>
            <w:noWrap/>
            <w:vAlign w:val="center"/>
          </w:tcPr>
          <w:p>
            <w:pPr>
              <w:widowControl/>
              <w:spacing w:line="240" w:lineRule="auto"/>
              <w:ind w:firstLine="0" w:firstLineChars="0"/>
              <w:rPr>
                <w:color w:val="000000"/>
                <w:sz w:val="18"/>
                <w:szCs w:val="18"/>
              </w:rPr>
            </w:pPr>
            <w:r>
              <w:rPr>
                <w:rFonts w:hint="eastAsia"/>
                <w:color w:val="000000"/>
                <w:sz w:val="18"/>
                <w:szCs w:val="18"/>
              </w:rPr>
              <w:t>系统应用服务器</w:t>
            </w:r>
          </w:p>
        </w:tc>
        <w:tc>
          <w:tcPr>
            <w:tcW w:w="3548"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1、2U机架式服务器《含安装导轨)</w:t>
            </w:r>
          </w:p>
          <w:p>
            <w:pPr>
              <w:widowControl/>
              <w:numPr>
                <w:ilvl w:val="0"/>
                <w:numId w:val="0"/>
              </w:numPr>
              <w:spacing w:line="240" w:lineRule="auto"/>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2、CPU:配置2颗4210处理器(单颗10核心,2.2GHz主频)</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3、内存:配置64GB DDR4 2933内存，支持16个内存插槽，内存容量可达 1TB，支持</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RDIMM，LRDIMM,NVDIMM,支持 ECC、内存镜像、热备。（单条32G 2933)  </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4、硬盘:配置2块3.84TSSD 7.2K企业级热插拔硬盘;前置支持 12 块 3.5”硬盘或 25 块 2.5”硬盘，后置 2 块 M.2 硬盘或 2 块 2.5” SATA 硬盘</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5、RAD:独立2G缓存RAID卡8204-2G，支持RAIDO/1/5/10/50/60</w:t>
            </w:r>
          </w:p>
          <w:p>
            <w:pPr>
              <w:widowControl/>
              <w:spacing w:line="240" w:lineRule="auto"/>
              <w:ind w:firstLine="0" w:firstLineChars="0"/>
              <w:jc w:val="left"/>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6、网络:配置4个千兆电口</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7、电源:配置550W 1+1冗余白金电源;</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8、IO扩展:支持6个标准PCIe插槽。</w:t>
            </w:r>
          </w:p>
          <w:p>
            <w:pPr>
              <w:widowControl/>
              <w:spacing w:line="240" w:lineRule="auto"/>
              <w:ind w:firstLine="0" w:firstLineChars="0"/>
              <w:jc w:val="left"/>
              <w:rPr>
                <w:color w:val="000000"/>
                <w:sz w:val="18"/>
                <w:szCs w:val="18"/>
              </w:rPr>
            </w:pPr>
            <w:r>
              <w:rPr>
                <w:rFonts w:hint="eastAsia" w:ascii="宋体" w:hAnsi="宋体" w:eastAsia="宋体" w:cs="宋体"/>
                <w:i w:val="0"/>
                <w:iCs w:val="0"/>
                <w:color w:val="000000"/>
                <w:kern w:val="0"/>
                <w:sz w:val="18"/>
                <w:szCs w:val="18"/>
                <w:u w:val="none"/>
                <w:lang w:val="en-US" w:eastAsia="zh-CN" w:bidi="ar"/>
              </w:rPr>
              <w:t>9、服务:3年原厂质保服务</w:t>
            </w:r>
          </w:p>
        </w:tc>
        <w:tc>
          <w:tcPr>
            <w:tcW w:w="62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台</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1</w:t>
            </w:r>
          </w:p>
        </w:tc>
        <w:tc>
          <w:tcPr>
            <w:tcW w:w="993" w:type="dxa"/>
            <w:tcBorders>
              <w:top w:val="nil"/>
              <w:left w:val="nil"/>
              <w:bottom w:val="single" w:color="auto" w:sz="4" w:space="0"/>
              <w:right w:val="single" w:color="auto" w:sz="4" w:space="0"/>
            </w:tcBorders>
            <w:noWrap w:val="0"/>
            <w:vAlign w:val="top"/>
          </w:tcPr>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color w:val="000000"/>
                <w:sz w:val="18"/>
                <w:szCs w:val="18"/>
              </w:rPr>
            </w:pPr>
            <w:r>
              <w:rPr>
                <w:rFonts w:hint="eastAsia"/>
                <w:color w:val="000000"/>
                <w:sz w:val="18"/>
                <w:szCs w:val="18"/>
              </w:rPr>
              <w:t>由报价人提供</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2</w:t>
            </w:r>
          </w:p>
        </w:tc>
        <w:tc>
          <w:tcPr>
            <w:tcW w:w="1636" w:type="dxa"/>
            <w:tcBorders>
              <w:top w:val="nil"/>
              <w:left w:val="nil"/>
              <w:bottom w:val="single" w:color="auto" w:sz="4" w:space="0"/>
              <w:right w:val="single" w:color="auto" w:sz="4" w:space="0"/>
            </w:tcBorders>
            <w:noWrap/>
            <w:vAlign w:val="center"/>
          </w:tcPr>
          <w:p>
            <w:pPr>
              <w:widowControl/>
              <w:spacing w:line="240" w:lineRule="auto"/>
              <w:ind w:firstLine="0" w:firstLineChars="0"/>
              <w:rPr>
                <w:sz w:val="18"/>
                <w:szCs w:val="18"/>
              </w:rPr>
            </w:pPr>
            <w:r>
              <w:rPr>
                <w:rFonts w:hint="eastAsia"/>
                <w:sz w:val="18"/>
                <w:szCs w:val="18"/>
              </w:rPr>
              <w:t>数据库服务器</w:t>
            </w:r>
          </w:p>
        </w:tc>
        <w:tc>
          <w:tcPr>
            <w:tcW w:w="3548"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1、2U机架式服务器《含安装导轨)</w:t>
            </w:r>
          </w:p>
          <w:p>
            <w:pPr>
              <w:widowControl/>
              <w:numPr>
                <w:ilvl w:val="0"/>
                <w:numId w:val="0"/>
              </w:numPr>
              <w:spacing w:line="240" w:lineRule="auto"/>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2、CPU:配置2颗4210处理器(单颗10核心,2.2GHz主频)</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3、内存:配置64GB DDR4 2933内存，支持16个内存插槽，内存容量可达 1TB，支持</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RDIMM，LRDIMM,NVDIMM,支持 ECC、内存镜像、热备。（单条32G 2933)  </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4、硬盘:配置2块3.84TSSD 7.2K企业级热插拔硬盘;前置支持 12 块 3.5”硬盘或 25 块 2.5”硬盘，后置 2 块 M.2 硬盘或 2 块 2.5” SATA 硬盘</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5、RAD:独立2G缓存RAID卡8204-2G，支持RAIDO/1/5/10/50/60</w:t>
            </w:r>
          </w:p>
          <w:p>
            <w:pPr>
              <w:widowControl/>
              <w:spacing w:line="240" w:lineRule="auto"/>
              <w:ind w:firstLine="0" w:firstLineChars="0"/>
              <w:jc w:val="left"/>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6、网络:配置4个千兆电口</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7、电源:配置550W 1+1冗余白金电源;</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8、IO扩展:支持6个标准PCIe插槽。</w:t>
            </w:r>
          </w:p>
          <w:p>
            <w:pPr>
              <w:widowControl/>
              <w:spacing w:line="240" w:lineRule="auto"/>
              <w:ind w:firstLine="0" w:firstLineChars="0"/>
              <w:jc w:val="left"/>
              <w:rPr>
                <w:color w:val="000000"/>
                <w:sz w:val="18"/>
                <w:szCs w:val="18"/>
              </w:rPr>
            </w:pPr>
            <w:r>
              <w:rPr>
                <w:rFonts w:hint="eastAsia" w:ascii="宋体" w:hAnsi="宋体" w:eastAsia="宋体" w:cs="宋体"/>
                <w:i w:val="0"/>
                <w:iCs w:val="0"/>
                <w:color w:val="000000"/>
                <w:kern w:val="0"/>
                <w:sz w:val="18"/>
                <w:szCs w:val="18"/>
                <w:u w:val="none"/>
                <w:lang w:val="en-US" w:eastAsia="zh-CN" w:bidi="ar"/>
              </w:rPr>
              <w:t>9、服务:3年原厂质保服务</w:t>
            </w:r>
          </w:p>
        </w:tc>
        <w:tc>
          <w:tcPr>
            <w:tcW w:w="62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台</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1</w:t>
            </w:r>
          </w:p>
        </w:tc>
        <w:tc>
          <w:tcPr>
            <w:tcW w:w="993" w:type="dxa"/>
            <w:tcBorders>
              <w:top w:val="nil"/>
              <w:left w:val="nil"/>
              <w:bottom w:val="single" w:color="auto" w:sz="4" w:space="0"/>
              <w:right w:val="single" w:color="auto" w:sz="4" w:space="0"/>
            </w:tcBorders>
            <w:noWrap w:val="0"/>
            <w:vAlign w:val="top"/>
          </w:tcPr>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color w:val="000000"/>
                <w:sz w:val="18"/>
                <w:szCs w:val="18"/>
              </w:rPr>
            </w:pPr>
            <w:r>
              <w:rPr>
                <w:rFonts w:hint="eastAsia"/>
                <w:color w:val="000000"/>
                <w:sz w:val="18"/>
                <w:szCs w:val="18"/>
              </w:rPr>
              <w:t>由报价人提供</w:t>
            </w:r>
          </w:p>
        </w:tc>
      </w:tr>
      <w:tr>
        <w:tblPrEx>
          <w:tblCellMar>
            <w:top w:w="0" w:type="dxa"/>
            <w:left w:w="108" w:type="dxa"/>
            <w:bottom w:w="0" w:type="dxa"/>
            <w:right w:w="108" w:type="dxa"/>
          </w:tblCellMar>
        </w:tblPrEx>
        <w:trPr>
          <w:trHeight w:val="48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3</w:t>
            </w:r>
          </w:p>
        </w:tc>
        <w:tc>
          <w:tcPr>
            <w:tcW w:w="163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rPr>
                <w:sz w:val="18"/>
                <w:szCs w:val="18"/>
              </w:rPr>
            </w:pPr>
            <w:r>
              <w:rPr>
                <w:rFonts w:hint="eastAsia"/>
                <w:sz w:val="18"/>
                <w:szCs w:val="18"/>
              </w:rPr>
              <w:t>Web服务器</w:t>
            </w:r>
          </w:p>
        </w:tc>
        <w:tc>
          <w:tcPr>
            <w:tcW w:w="354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1、2U机架式服务器《含安装导轨)</w:t>
            </w:r>
          </w:p>
          <w:p>
            <w:pPr>
              <w:widowControl/>
              <w:numPr>
                <w:ilvl w:val="0"/>
                <w:numId w:val="0"/>
              </w:numPr>
              <w:spacing w:line="240" w:lineRule="auto"/>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2、CPU:配置2颗4210处理器(单颗10核心,2.2GHz主频)</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3、内存:配置64GB DDR4 2933内存，支持16个内存插槽，内存容量可达 1TB，支持</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RDIMM，LRDIMM,NVDIMM,支持 ECC、内存镜像、热备。（单条32G 2933)  </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4、硬盘:配置2块3.84TSSD 7.2K企业级热插拔硬盘;前置支持 12 块 3.5”硬盘或 25 块 2.5”硬盘，后置 2 块 M.2 硬盘或 2 块 2.5” SATA 硬盘</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5、RAD:独立2G缓存RAID卡8204-2G，支持RAIDO/1/5/10/50/60</w:t>
            </w:r>
          </w:p>
          <w:p>
            <w:pPr>
              <w:widowControl/>
              <w:spacing w:line="240" w:lineRule="auto"/>
              <w:ind w:firstLine="0" w:firstLineChars="0"/>
              <w:jc w:val="left"/>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6、网络:配置4个千兆电口</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7、电源:配置550W 1+1冗余白金电源;</w:t>
            </w:r>
          </w:p>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8、IO扩展:支持6个标准PCIe插槽。</w:t>
            </w:r>
          </w:p>
          <w:p>
            <w:pPr>
              <w:widowControl/>
              <w:spacing w:line="240" w:lineRule="auto"/>
              <w:ind w:firstLine="0" w:firstLineChars="0"/>
              <w:jc w:val="both"/>
              <w:rPr>
                <w:color w:val="000000"/>
                <w:sz w:val="18"/>
                <w:szCs w:val="18"/>
              </w:rPr>
            </w:pPr>
            <w:r>
              <w:rPr>
                <w:rFonts w:hint="eastAsia" w:ascii="宋体" w:hAnsi="宋体" w:eastAsia="宋体" w:cs="宋体"/>
                <w:i w:val="0"/>
                <w:iCs w:val="0"/>
                <w:color w:val="000000"/>
                <w:kern w:val="0"/>
                <w:sz w:val="18"/>
                <w:szCs w:val="18"/>
                <w:u w:val="none"/>
                <w:lang w:val="en-US" w:eastAsia="zh-CN" w:bidi="ar"/>
              </w:rPr>
              <w:t>9、服务:3年原厂质保服务</w:t>
            </w:r>
          </w:p>
        </w:tc>
        <w:tc>
          <w:tcPr>
            <w:tcW w:w="62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台</w:t>
            </w:r>
          </w:p>
        </w:tc>
        <w:tc>
          <w:tcPr>
            <w:tcW w:w="85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1</w:t>
            </w:r>
          </w:p>
        </w:tc>
        <w:tc>
          <w:tcPr>
            <w:tcW w:w="993" w:type="dxa"/>
            <w:tcBorders>
              <w:top w:val="single" w:color="auto" w:sz="4" w:space="0"/>
              <w:left w:val="nil"/>
              <w:bottom w:val="single" w:color="auto" w:sz="4" w:space="0"/>
              <w:right w:val="single" w:color="auto" w:sz="4" w:space="0"/>
            </w:tcBorders>
            <w:noWrap w:val="0"/>
            <w:vAlign w:val="top"/>
          </w:tcPr>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color w:val="000000"/>
                <w:sz w:val="18"/>
                <w:szCs w:val="18"/>
              </w:rPr>
            </w:pPr>
            <w:r>
              <w:rPr>
                <w:rFonts w:hint="eastAsia"/>
                <w:color w:val="000000"/>
                <w:sz w:val="18"/>
                <w:szCs w:val="18"/>
              </w:rPr>
              <w:t>由报价人提供</w:t>
            </w:r>
          </w:p>
        </w:tc>
      </w:tr>
      <w:tr>
        <w:tblPrEx>
          <w:tblCellMar>
            <w:top w:w="0" w:type="dxa"/>
            <w:left w:w="108" w:type="dxa"/>
            <w:bottom w:w="0" w:type="dxa"/>
            <w:right w:w="108" w:type="dxa"/>
          </w:tblCellMar>
        </w:tblPrEx>
        <w:trPr>
          <w:trHeight w:val="48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4</w:t>
            </w:r>
          </w:p>
        </w:tc>
        <w:tc>
          <w:tcPr>
            <w:tcW w:w="163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rPr>
                <w:sz w:val="18"/>
                <w:szCs w:val="18"/>
              </w:rPr>
            </w:pPr>
            <w:r>
              <w:rPr>
                <w:rFonts w:hint="eastAsia"/>
                <w:sz w:val="18"/>
                <w:szCs w:val="18"/>
              </w:rPr>
              <w:t>交换机</w:t>
            </w:r>
          </w:p>
        </w:tc>
        <w:tc>
          <w:tcPr>
            <w:tcW w:w="354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万兆以太网交换机，包转发率 222Mpps，端口数量 24个，冗余电源。</w:t>
            </w:r>
          </w:p>
        </w:tc>
        <w:tc>
          <w:tcPr>
            <w:tcW w:w="62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台</w:t>
            </w:r>
          </w:p>
        </w:tc>
        <w:tc>
          <w:tcPr>
            <w:tcW w:w="85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1</w:t>
            </w:r>
          </w:p>
        </w:tc>
        <w:tc>
          <w:tcPr>
            <w:tcW w:w="993" w:type="dxa"/>
            <w:tcBorders>
              <w:top w:val="single" w:color="auto" w:sz="4" w:space="0"/>
              <w:left w:val="nil"/>
              <w:bottom w:val="single" w:color="auto" w:sz="4" w:space="0"/>
              <w:right w:val="single" w:color="auto" w:sz="4" w:space="0"/>
            </w:tcBorders>
            <w:noWrap w:val="0"/>
            <w:vAlign w:val="top"/>
          </w:tcPr>
          <w:p>
            <w:pPr>
              <w:widowControl/>
              <w:spacing w:line="240" w:lineRule="auto"/>
              <w:ind w:firstLine="0" w:firstLineChars="0"/>
              <w:jc w:val="center"/>
              <w:rPr>
                <w:color w:val="000000"/>
                <w:sz w:val="18"/>
                <w:szCs w:val="18"/>
              </w:rPr>
            </w:pPr>
            <w:r>
              <w:rPr>
                <w:rFonts w:hint="eastAsia"/>
                <w:color w:val="000000"/>
                <w:sz w:val="18"/>
                <w:szCs w:val="18"/>
              </w:rPr>
              <w:t>由报价人提供</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5</w:t>
            </w:r>
          </w:p>
        </w:tc>
        <w:tc>
          <w:tcPr>
            <w:tcW w:w="1636" w:type="dxa"/>
            <w:tcBorders>
              <w:top w:val="nil"/>
              <w:left w:val="nil"/>
              <w:bottom w:val="single" w:color="auto" w:sz="4" w:space="0"/>
              <w:right w:val="single" w:color="auto" w:sz="4" w:space="0"/>
            </w:tcBorders>
            <w:noWrap/>
            <w:vAlign w:val="center"/>
          </w:tcPr>
          <w:p>
            <w:pPr>
              <w:widowControl/>
              <w:spacing w:line="240" w:lineRule="auto"/>
              <w:ind w:firstLine="0" w:firstLineChars="0"/>
              <w:rPr>
                <w:sz w:val="18"/>
                <w:szCs w:val="18"/>
              </w:rPr>
            </w:pPr>
            <w:r>
              <w:rPr>
                <w:rFonts w:hint="eastAsia"/>
                <w:sz w:val="18"/>
                <w:szCs w:val="18"/>
              </w:rPr>
              <w:t>防火墙</w:t>
            </w:r>
          </w:p>
        </w:tc>
        <w:tc>
          <w:tcPr>
            <w:tcW w:w="3548"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1、标准机架式设备，千兆电口≥6个，千兆光口≥4个，扩展插槽≥2，冗余电源，网络层吞吐量≥8G，HTTP吞吐量≥300M，</w:t>
            </w:r>
            <w:r>
              <w:rPr>
                <w:rFonts w:hint="eastAsia" w:ascii="宋体" w:hAnsi="宋体" w:eastAsia="宋体" w:cs="宋体"/>
                <w:i w:val="0"/>
                <w:iCs w:val="0"/>
                <w:color w:val="000000"/>
                <w:kern w:val="0"/>
                <w:sz w:val="18"/>
                <w:szCs w:val="18"/>
                <w:u w:val="none"/>
                <w:lang w:val="en-US" w:eastAsia="zh-CN" w:bidi="ar"/>
              </w:rPr>
              <w:t>HTTPS吞吐量≥30M</w:t>
            </w:r>
          </w:p>
          <w:p>
            <w:pPr>
              <w:widowControl/>
              <w:numPr>
                <w:ilvl w:val="0"/>
                <w:numId w:val="1"/>
              </w:numPr>
              <w:spacing w:line="240" w:lineRule="auto"/>
              <w:ind w:firstLine="0" w:firstLine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支持透明、代理模式、旁路部署、单臂部署、策略路由部署</w:t>
            </w:r>
          </w:p>
          <w:p>
            <w:pPr>
              <w:widowControl/>
              <w:spacing w:line="240" w:lineRule="auto"/>
              <w:ind w:firstLine="0" w:firstLineChars="0"/>
              <w:jc w:val="lef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3、支持智能部署，上线WAF设备能够自动感知Web网站IP和端口</w:t>
            </w:r>
          </w:p>
          <w:p>
            <w:pPr>
              <w:widowControl/>
              <w:spacing w:line="240" w:lineRule="auto"/>
              <w:ind w:firstLine="0" w:firstLineChars="0"/>
              <w:jc w:val="lef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支持NAT环境下的用户识别能力</w:t>
            </w:r>
          </w:p>
          <w:p>
            <w:pPr>
              <w:widowControl/>
              <w:spacing w:line="240" w:lineRule="auto"/>
              <w:ind w:firstLine="0" w:firstLineChars="0"/>
              <w:jc w:val="lef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具备Web恶意扫描防护的检测与防御能力，专利级别防护能力</w:t>
            </w:r>
          </w:p>
          <w:p>
            <w:pPr>
              <w:widowControl/>
              <w:spacing w:line="240" w:lineRule="auto"/>
              <w:ind w:firstLine="0" w:firstLineChars="0"/>
              <w:jc w:val="lef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4、支持Web应用安全XSS攻击、Webshell、敏感信息泄露、弱口令</w:t>
            </w:r>
          </w:p>
          <w:p>
            <w:pPr>
              <w:widowControl/>
              <w:spacing w:line="240" w:lineRule="auto"/>
              <w:ind w:firstLine="0" w:firstLineChars="0"/>
              <w:jc w:val="lef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5、具备检测到攻击日志可高亮显示，有利于用户比较直观看到攻击脚本。</w:t>
            </w:r>
          </w:p>
          <w:p>
            <w:pPr>
              <w:widowControl/>
              <w:spacing w:line="240" w:lineRule="auto"/>
              <w:ind w:firstLine="0" w:firstLineChars="0"/>
              <w:jc w:val="lef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支持协议识别及解码能力，应支持:URL解码、XML解码、JSON解析、XML解析、Base64解码、Unicode解码、十六进制转换、斜杠反转义、CHR解码、UTF-7解码，支持解析7层以上混合编解码能力，可实现对多层编码攻击的检测</w:t>
            </w:r>
          </w:p>
          <w:p>
            <w:pPr>
              <w:widowControl/>
              <w:spacing w:line="240" w:lineRule="auto"/>
              <w:ind w:firstLine="0" w:firstLineChars="0"/>
              <w:jc w:val="left"/>
              <w:rPr>
                <w:rFonts w:hint="default" w:ascii="等线" w:hAnsi="等线" w:eastAsia="等线" w:cs="等线"/>
                <w:i w:val="0"/>
                <w:iCs w:val="0"/>
                <w:color w:val="000000"/>
                <w:kern w:val="0"/>
                <w:sz w:val="22"/>
                <w:szCs w:val="22"/>
                <w:u w:val="none"/>
                <w:lang w:val="en-US" w:eastAsia="zh-CN" w:bidi="ar"/>
              </w:rPr>
            </w:pPr>
            <w:r>
              <w:rPr>
                <w:rFonts w:hint="eastAsia" w:ascii="Times New Roman" w:hAnsi="Times New Roman" w:eastAsia="宋体" w:cs="Times New Roman"/>
                <w:sz w:val="18"/>
                <w:szCs w:val="18"/>
                <w:lang w:val="en-US" w:eastAsia="zh-CN"/>
              </w:rPr>
              <w:t>8、具备Web安全事件的报表功能，支持一般的单一条件报表输出、专业的多维度统计报表输出</w:t>
            </w:r>
          </w:p>
        </w:tc>
        <w:tc>
          <w:tcPr>
            <w:tcW w:w="62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台</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1</w:t>
            </w:r>
          </w:p>
        </w:tc>
        <w:tc>
          <w:tcPr>
            <w:tcW w:w="993" w:type="dxa"/>
            <w:tcBorders>
              <w:top w:val="nil"/>
              <w:left w:val="nil"/>
              <w:bottom w:val="single" w:color="auto" w:sz="4" w:space="0"/>
              <w:right w:val="single" w:color="auto" w:sz="4" w:space="0"/>
            </w:tcBorders>
            <w:noWrap w:val="0"/>
            <w:vAlign w:val="top"/>
          </w:tcPr>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center"/>
              <w:rPr>
                <w:rFonts w:hint="eastAsia"/>
                <w:color w:val="000000"/>
                <w:sz w:val="18"/>
                <w:szCs w:val="18"/>
              </w:rPr>
            </w:pPr>
          </w:p>
          <w:p>
            <w:pPr>
              <w:widowControl/>
              <w:spacing w:line="240" w:lineRule="auto"/>
              <w:ind w:firstLine="0" w:firstLineChars="0"/>
              <w:jc w:val="both"/>
              <w:rPr>
                <w:color w:val="000000"/>
                <w:sz w:val="18"/>
                <w:szCs w:val="18"/>
              </w:rPr>
            </w:pPr>
            <w:r>
              <w:rPr>
                <w:rFonts w:hint="eastAsia"/>
                <w:color w:val="000000"/>
                <w:sz w:val="18"/>
                <w:szCs w:val="18"/>
              </w:rPr>
              <w:t>由报价人提供</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nil"/>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6</w:t>
            </w:r>
          </w:p>
        </w:tc>
        <w:tc>
          <w:tcPr>
            <w:tcW w:w="1636" w:type="dxa"/>
            <w:tcBorders>
              <w:top w:val="nil"/>
              <w:left w:val="nil"/>
              <w:bottom w:val="nil"/>
              <w:right w:val="single" w:color="auto" w:sz="4" w:space="0"/>
            </w:tcBorders>
            <w:noWrap/>
            <w:vAlign w:val="center"/>
          </w:tcPr>
          <w:p>
            <w:pPr>
              <w:widowControl/>
              <w:spacing w:line="240" w:lineRule="auto"/>
              <w:ind w:firstLine="0" w:firstLineChars="0"/>
              <w:rPr>
                <w:sz w:val="18"/>
                <w:szCs w:val="18"/>
              </w:rPr>
            </w:pPr>
            <w:r>
              <w:rPr>
                <w:rFonts w:hint="eastAsia"/>
                <w:sz w:val="18"/>
                <w:szCs w:val="18"/>
              </w:rPr>
              <w:t>网络防病毒软件</w:t>
            </w:r>
          </w:p>
        </w:tc>
        <w:tc>
          <w:tcPr>
            <w:tcW w:w="3548" w:type="dxa"/>
            <w:tcBorders>
              <w:top w:val="nil"/>
              <w:left w:val="nil"/>
              <w:bottom w:val="nil"/>
              <w:right w:val="single" w:color="auto" w:sz="4" w:space="0"/>
            </w:tcBorders>
            <w:noWrap w:val="0"/>
            <w:vAlign w:val="center"/>
          </w:tcPr>
          <w:p>
            <w:pPr>
              <w:widowControl/>
              <w:spacing w:line="240" w:lineRule="auto"/>
              <w:ind w:firstLine="0" w:firstLineChars="0"/>
              <w:jc w:val="center"/>
              <w:rPr>
                <w:color w:val="000000"/>
                <w:sz w:val="18"/>
                <w:szCs w:val="18"/>
              </w:rPr>
            </w:pPr>
            <w:r>
              <w:rPr>
                <w:rFonts w:hint="eastAsia"/>
                <w:color w:val="000000"/>
                <w:sz w:val="18"/>
                <w:szCs w:val="18"/>
              </w:rPr>
              <w:t>10用户起订，三年</w:t>
            </w:r>
          </w:p>
        </w:tc>
        <w:tc>
          <w:tcPr>
            <w:tcW w:w="628" w:type="dxa"/>
            <w:tcBorders>
              <w:top w:val="nil"/>
              <w:left w:val="nil"/>
              <w:bottom w:val="nil"/>
              <w:right w:val="single" w:color="auto" w:sz="4" w:space="0"/>
            </w:tcBorders>
            <w:noWrap/>
            <w:vAlign w:val="center"/>
          </w:tcPr>
          <w:p>
            <w:pPr>
              <w:widowControl/>
              <w:spacing w:line="240" w:lineRule="auto"/>
              <w:ind w:firstLine="0" w:firstLineChars="0"/>
              <w:jc w:val="center"/>
              <w:rPr>
                <w:rFonts w:hint="eastAsia" w:eastAsia="宋体"/>
                <w:color w:val="000000"/>
                <w:sz w:val="18"/>
                <w:szCs w:val="18"/>
                <w:lang w:eastAsia="zh-CN"/>
              </w:rPr>
            </w:pPr>
            <w:r>
              <w:rPr>
                <w:rFonts w:hint="eastAsia"/>
                <w:color w:val="000000"/>
                <w:sz w:val="18"/>
                <w:szCs w:val="18"/>
                <w:lang w:val="en-US" w:eastAsia="zh-CN"/>
              </w:rPr>
              <w:t>套</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color w:val="000000"/>
                <w:sz w:val="18"/>
                <w:szCs w:val="18"/>
              </w:rPr>
            </w:pPr>
            <w:r>
              <w:rPr>
                <w:rFonts w:hint="eastAsia"/>
                <w:color w:val="000000"/>
                <w:sz w:val="18"/>
                <w:szCs w:val="18"/>
              </w:rPr>
              <w:t>10</w:t>
            </w:r>
          </w:p>
        </w:tc>
        <w:tc>
          <w:tcPr>
            <w:tcW w:w="993" w:type="dxa"/>
            <w:tcBorders>
              <w:top w:val="single" w:color="auto" w:sz="4" w:space="0"/>
              <w:left w:val="nil"/>
              <w:bottom w:val="single" w:color="auto" w:sz="4" w:space="0"/>
              <w:right w:val="single" w:color="auto" w:sz="4" w:space="0"/>
            </w:tcBorders>
            <w:noWrap w:val="0"/>
            <w:vAlign w:val="top"/>
          </w:tcPr>
          <w:p>
            <w:pPr>
              <w:widowControl/>
              <w:spacing w:line="240" w:lineRule="auto"/>
              <w:ind w:firstLine="0" w:firstLineChars="0"/>
              <w:jc w:val="center"/>
              <w:rPr>
                <w:color w:val="000000"/>
                <w:sz w:val="18"/>
                <w:szCs w:val="18"/>
              </w:rPr>
            </w:pPr>
            <w:r>
              <w:rPr>
                <w:rFonts w:hint="eastAsia"/>
                <w:color w:val="000000"/>
                <w:sz w:val="18"/>
                <w:szCs w:val="18"/>
              </w:rPr>
              <w:t>由报价人提供</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7</w:t>
            </w:r>
          </w:p>
        </w:tc>
        <w:tc>
          <w:tcPr>
            <w:tcW w:w="163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操作员站</w:t>
            </w:r>
          </w:p>
        </w:tc>
        <w:tc>
          <w:tcPr>
            <w:tcW w:w="3548"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hint="eastAsia"/>
                <w:color w:val="000000"/>
                <w:sz w:val="18"/>
                <w:szCs w:val="18"/>
                <w:lang w:val="en-US" w:eastAsia="zh-CN"/>
              </w:rPr>
            </w:pPr>
            <w:r>
              <w:rPr>
                <w:rFonts w:hint="eastAsia"/>
                <w:color w:val="000000"/>
                <w:sz w:val="18"/>
                <w:szCs w:val="18"/>
                <w:lang w:val="en-US" w:eastAsia="zh-CN"/>
              </w:rPr>
              <w:t>内存不低于8G，硬盘采用SSD 1T；</w:t>
            </w:r>
          </w:p>
          <w:p>
            <w:pPr>
              <w:widowControl/>
              <w:spacing w:line="240" w:lineRule="auto"/>
              <w:ind w:firstLine="0" w:firstLineChars="0"/>
              <w:jc w:val="left"/>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个</w:t>
            </w:r>
            <w:r>
              <w:rPr>
                <w:rFonts w:hint="eastAsia" w:ascii="宋体" w:hAnsi="宋体" w:cs="宋体"/>
                <w:i w:val="0"/>
                <w:iCs w:val="0"/>
                <w:color w:val="000000"/>
                <w:kern w:val="0"/>
                <w:sz w:val="18"/>
                <w:szCs w:val="18"/>
                <w:u w:val="none"/>
                <w:lang w:val="en-US" w:eastAsia="zh-CN" w:bidi="ar"/>
              </w:rPr>
              <w:t>；</w:t>
            </w:r>
          </w:p>
          <w:p>
            <w:pPr>
              <w:widowControl/>
              <w:spacing w:line="240" w:lineRule="auto"/>
              <w:ind w:firstLine="0" w:firstLineChars="0"/>
              <w:jc w:val="left"/>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IO扩展:支持6个标准PCIe插槽。</w:t>
            </w:r>
          </w:p>
        </w:tc>
        <w:tc>
          <w:tcPr>
            <w:tcW w:w="62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1</w:t>
            </w:r>
          </w:p>
        </w:tc>
        <w:tc>
          <w:tcPr>
            <w:tcW w:w="993" w:type="dxa"/>
            <w:tcBorders>
              <w:top w:val="single" w:color="auto" w:sz="4" w:space="0"/>
              <w:left w:val="nil"/>
              <w:bottom w:val="single" w:color="auto" w:sz="4" w:space="0"/>
              <w:right w:val="single" w:color="auto" w:sz="4" w:space="0"/>
            </w:tcBorders>
            <w:noWrap w:val="0"/>
            <w:vAlign w:val="top"/>
          </w:tcPr>
          <w:p>
            <w:pPr>
              <w:widowControl/>
              <w:spacing w:line="240" w:lineRule="auto"/>
              <w:ind w:firstLine="0" w:firstLineChars="0"/>
              <w:jc w:val="center"/>
              <w:rPr>
                <w:rFonts w:hint="eastAsia" w:ascii="Times New Roman" w:hAnsi="Times New Roman" w:eastAsia="宋体" w:cs="Times New Roman"/>
                <w:color w:val="000000"/>
                <w:kern w:val="2"/>
                <w:sz w:val="18"/>
                <w:szCs w:val="18"/>
                <w:lang w:val="en-US" w:eastAsia="zh-CN" w:bidi="ar-SA"/>
              </w:rPr>
            </w:pPr>
          </w:p>
        </w:tc>
      </w:tr>
    </w:tbl>
    <w:p>
      <w:pPr>
        <w:pStyle w:val="29"/>
        <w:outlineLvl w:val="3"/>
        <w:rPr>
          <w:b/>
          <w:bCs/>
        </w:rPr>
      </w:pPr>
      <w:r>
        <w:rPr>
          <w:rFonts w:hint="eastAsia"/>
          <w:b/>
          <w:bCs/>
        </w:rPr>
        <w:t>2.3 系统功能模块要求</w:t>
      </w:r>
    </w:p>
    <w:p>
      <w:pPr>
        <w:pStyle w:val="29"/>
        <w:outlineLvl w:val="4"/>
        <w:rPr>
          <w:rFonts w:hint="default" w:eastAsia="宋体"/>
          <w:b/>
          <w:bCs/>
          <w:lang w:val="en-US" w:eastAsia="zh-CN"/>
        </w:rPr>
      </w:pPr>
      <w:r>
        <w:rPr>
          <w:rFonts w:hint="eastAsia"/>
          <w:b/>
          <w:bCs/>
          <w:lang w:val="en-US" w:eastAsia="zh-CN"/>
        </w:rPr>
        <w:t>2.3.1 总体要求</w:t>
      </w:r>
    </w:p>
    <w:p>
      <w:pPr>
        <w:ind w:firstLine="480"/>
      </w:pPr>
      <w:r>
        <w:rPr>
          <w:rFonts w:hint="eastAsia"/>
          <w:color w:val="auto"/>
          <w:lang w:eastAsia="zh-CN"/>
        </w:rPr>
        <w:t>生产管理系统</w:t>
      </w:r>
      <w:r>
        <w:rPr>
          <w:rFonts w:hint="eastAsia"/>
          <w:color w:val="auto"/>
        </w:rPr>
        <w:t>应以</w:t>
      </w:r>
      <w:r>
        <w:rPr>
          <w:rFonts w:hint="eastAsia"/>
        </w:rPr>
        <w:t>电力生产业务为中心，从业务流程出发，实现过程、人员和信息的高度集成，业务流程上下贯通，流程处理标准化、统一化。既满足管理的现实需求，又适应电力市场竞争环境变迁和公司发展变化，不断提升管理水平。</w:t>
      </w:r>
    </w:p>
    <w:p>
      <w:pPr>
        <w:pStyle w:val="29"/>
        <w:ind w:firstLine="480" w:firstLineChars="200"/>
      </w:pPr>
      <w:r>
        <w:rPr>
          <w:rFonts w:hint="eastAsia"/>
        </w:rPr>
        <w:t>（1）全面、实时、准确地采集各航电枢纽的生产指标，建立各航电枢纽与集控中心全方位的生产信息资源共享，为有关各方提供所需要的生产数据信息服务；</w:t>
      </w:r>
    </w:p>
    <w:p>
      <w:pPr>
        <w:pStyle w:val="29"/>
        <w:ind w:firstLine="480" w:firstLineChars="200"/>
      </w:pPr>
      <w:r>
        <w:rPr>
          <w:rFonts w:hint="eastAsia"/>
        </w:rPr>
        <w:t>（2）提供统一的信息输入输出格式和丰富友好的简单易用操作界面，统一发电企业内外生产信息数据来源，保证各方面信息的一致性、可靠性；</w:t>
      </w:r>
    </w:p>
    <w:p>
      <w:pPr>
        <w:pStyle w:val="29"/>
        <w:ind w:firstLine="480" w:firstLineChars="200"/>
      </w:pPr>
      <w:r>
        <w:rPr>
          <w:rFonts w:hint="eastAsia"/>
        </w:rPr>
        <w:t>（3）采用当今计算机网络的成熟技术，实现管理的自动化和无纸化；</w:t>
      </w:r>
    </w:p>
    <w:p>
      <w:pPr>
        <w:pStyle w:val="29"/>
        <w:ind w:firstLine="480" w:firstLineChars="200"/>
      </w:pPr>
      <w:r>
        <w:rPr>
          <w:rFonts w:hint="eastAsia"/>
        </w:rPr>
        <w:t>（4）通过缺陷管理，保障生产设备的安全运行，提高工作效率，降低维护成本；</w:t>
      </w:r>
    </w:p>
    <w:p>
      <w:pPr>
        <w:pStyle w:val="29"/>
        <w:ind w:firstLine="480" w:firstLineChars="200"/>
      </w:pPr>
      <w:r>
        <w:rPr>
          <w:rFonts w:hint="eastAsia"/>
        </w:rPr>
        <w:t>（5）通过工作票管理、操作票管理、运行日志、定期工作等模块，实现“两票三制”的系统化管理；</w:t>
      </w:r>
    </w:p>
    <w:p>
      <w:pPr>
        <w:pStyle w:val="29"/>
        <w:ind w:firstLine="480" w:firstLineChars="200"/>
      </w:pPr>
      <w:r>
        <w:rPr>
          <w:rFonts w:hint="eastAsia"/>
        </w:rPr>
        <w:t>（6）生产管理知识库沉淀。将日常生产过程形成的典型问题和经验进行沉淀，便于日后同类型问题发生时参考；</w:t>
      </w:r>
    </w:p>
    <w:p>
      <w:pPr>
        <w:pStyle w:val="29"/>
        <w:ind w:firstLine="480" w:firstLineChars="200"/>
      </w:pPr>
      <w:r>
        <w:rPr>
          <w:rFonts w:hint="eastAsia"/>
        </w:rPr>
        <w:t>（7）生产管理模式可快速精确复制和持续优化；</w:t>
      </w:r>
    </w:p>
    <w:p>
      <w:pPr>
        <w:pStyle w:val="29"/>
        <w:ind w:firstLine="480" w:firstLineChars="200"/>
        <w:rPr>
          <w:color w:val="auto"/>
        </w:rPr>
      </w:pPr>
      <w:r>
        <w:rPr>
          <w:rFonts w:hint="eastAsia"/>
          <w:color w:val="auto"/>
        </w:rPr>
        <w:t>（8）系统应支持检索模块，支持按中文拼音首字母检索，便于使用人快速打开模块，用户常用的模块应自动归集，提供快捷窗口，一键打开；平台中任意功能都当支持登录自启动，方便使用人设置自己常用的功能，使用人应能自己设置登录后自动启动和取消自动启动。</w:t>
      </w:r>
    </w:p>
    <w:p>
      <w:pPr>
        <w:pStyle w:val="29"/>
        <w:rPr>
          <w:rFonts w:hint="eastAsia"/>
          <w:color w:val="auto"/>
        </w:rPr>
      </w:pPr>
      <w:r>
        <w:rPr>
          <w:rFonts w:hint="eastAsia"/>
          <w:color w:val="auto"/>
        </w:rPr>
        <w:t>（9）系统功能树应支持自定义，功能树中功能名称应支持按甲方习惯命名、修改，设置权限时应支持按功能树授权，方便功能权限管理。</w:t>
      </w:r>
    </w:p>
    <w:p>
      <w:pPr>
        <w:pStyle w:val="29"/>
        <w:rPr>
          <w:rFonts w:hint="default" w:eastAsia="宋体"/>
          <w:color w:val="auto"/>
          <w:lang w:val="en-US" w:eastAsia="zh-CN"/>
        </w:rPr>
      </w:pPr>
      <w:r>
        <w:rPr>
          <w:rFonts w:hint="eastAsia"/>
          <w:color w:val="auto"/>
          <w:lang w:val="en-US" w:eastAsia="zh-CN"/>
        </w:rPr>
        <w:t>（10）系统应有可加入新功能模块的特性。</w:t>
      </w:r>
    </w:p>
    <w:p>
      <w:pPr>
        <w:pStyle w:val="29"/>
        <w:outlineLvl w:val="4"/>
        <w:rPr>
          <w:rFonts w:hint="eastAsia"/>
          <w:b/>
          <w:bCs/>
          <w:color w:val="auto"/>
        </w:rPr>
      </w:pPr>
      <w:r>
        <w:rPr>
          <w:rFonts w:hint="eastAsia"/>
          <w:b/>
          <w:bCs/>
          <w:color w:val="auto"/>
        </w:rPr>
        <w:t>2.3.2 系统</w:t>
      </w:r>
      <w:r>
        <w:rPr>
          <w:rFonts w:hint="eastAsia"/>
          <w:b/>
          <w:bCs/>
          <w:color w:val="auto"/>
          <w:lang w:val="en-US" w:eastAsia="zh-CN"/>
        </w:rPr>
        <w:t>功能建设</w:t>
      </w:r>
      <w:r>
        <w:rPr>
          <w:rFonts w:hint="eastAsia"/>
          <w:b/>
          <w:bCs/>
          <w:color w:val="auto"/>
        </w:rPr>
        <w:t>内容</w:t>
      </w:r>
    </w:p>
    <w:p>
      <w:pPr>
        <w:pStyle w:val="29"/>
      </w:pPr>
      <w:r>
        <w:rPr>
          <w:rFonts w:hint="eastAsia"/>
        </w:rPr>
        <w:t>（1）系统建设功能内容</w:t>
      </w:r>
    </w:p>
    <w:p>
      <w:pPr>
        <w:pStyle w:val="29"/>
        <w:ind w:firstLine="240" w:firstLineChars="100"/>
        <w:rPr>
          <w:color w:val="auto"/>
        </w:rPr>
      </w:pPr>
      <w:r>
        <w:rPr>
          <w:rFonts w:hint="eastAsia"/>
          <w:color w:val="auto"/>
          <w:lang w:val="en-US" w:eastAsia="zh-CN"/>
        </w:rPr>
        <w:t xml:space="preserve">① </w:t>
      </w:r>
      <w:r>
        <w:rPr>
          <w:rFonts w:hint="eastAsia"/>
          <w:color w:val="auto"/>
        </w:rPr>
        <w:t>建设</w:t>
      </w:r>
      <w:r>
        <w:rPr>
          <w:rFonts w:hint="eastAsia"/>
          <w:color w:val="auto"/>
          <w:lang w:eastAsia="zh-CN"/>
        </w:rPr>
        <w:t>生产管理系统</w:t>
      </w:r>
      <w:r>
        <w:rPr>
          <w:rFonts w:hint="eastAsia"/>
          <w:color w:val="auto"/>
        </w:rPr>
        <w:t>平台</w:t>
      </w:r>
    </w:p>
    <w:p>
      <w:pPr>
        <w:ind w:firstLine="480"/>
        <w:rPr>
          <w:color w:val="auto"/>
        </w:rPr>
      </w:pPr>
      <w:r>
        <w:rPr>
          <w:rFonts w:hint="eastAsia"/>
          <w:color w:val="auto"/>
        </w:rPr>
        <w:t>包含控制中心、服务部署、工作</w:t>
      </w:r>
      <w:r>
        <w:rPr>
          <w:rFonts w:hint="eastAsia"/>
          <w:color w:val="auto"/>
          <w:lang w:val="en-US" w:eastAsia="zh-CN"/>
        </w:rPr>
        <w:t>流</w:t>
      </w:r>
      <w:r>
        <w:rPr>
          <w:rFonts w:hint="eastAsia"/>
          <w:color w:val="auto"/>
        </w:rPr>
        <w:t>、事务中心、消息中心、公司基本信息及基础数据功能主题。</w:t>
      </w:r>
    </w:p>
    <w:p>
      <w:pPr>
        <w:ind w:firstLine="480"/>
        <w:rPr>
          <w:color w:val="auto"/>
        </w:rPr>
      </w:pPr>
      <w:r>
        <w:rPr>
          <w:rFonts w:hint="eastAsia"/>
          <w:color w:val="auto"/>
        </w:rPr>
        <w:t>系统平台要支持按需求配置先进使用的管理模式，平台体系结构支持业务单元组件，图形化工作流实现业务流程可视化描述，且平台内置代码助手、报表工具等应用可以保障提高系统应用效率以满足水电企业管理的现实需求。</w:t>
      </w:r>
    </w:p>
    <w:p>
      <w:pPr>
        <w:pStyle w:val="29"/>
        <w:ind w:firstLine="240" w:firstLineChars="100"/>
        <w:rPr>
          <w:color w:val="auto"/>
        </w:rPr>
      </w:pPr>
      <w:r>
        <w:rPr>
          <w:rFonts w:hint="eastAsia"/>
          <w:color w:val="auto"/>
          <w:lang w:val="en-US" w:eastAsia="zh-CN"/>
        </w:rPr>
        <w:t xml:space="preserve">② </w:t>
      </w:r>
      <w:r>
        <w:rPr>
          <w:rFonts w:hint="eastAsia"/>
          <w:color w:val="auto"/>
        </w:rPr>
        <w:t>建设设备管理功能</w:t>
      </w:r>
    </w:p>
    <w:p>
      <w:pPr>
        <w:ind w:firstLine="480"/>
        <w:rPr>
          <w:color w:val="auto"/>
        </w:rPr>
      </w:pPr>
      <w:r>
        <w:rPr>
          <w:rFonts w:hint="eastAsia"/>
          <w:color w:val="auto"/>
        </w:rPr>
        <w:t>包含设备编码、设备台账、查询统计、缺陷管理功能主题。</w:t>
      </w:r>
    </w:p>
    <w:p>
      <w:pPr>
        <w:ind w:firstLine="480"/>
        <w:rPr>
          <w:color w:val="auto"/>
        </w:rPr>
      </w:pPr>
      <w:r>
        <w:rPr>
          <w:rFonts w:hint="eastAsia"/>
          <w:color w:val="auto"/>
        </w:rPr>
        <w:t>建立企业设备台账，记录和提供设备信息，反映设备的基本参数以及维护的历史记录，为设备的日常维护和管理提供必要的信息。</w:t>
      </w:r>
    </w:p>
    <w:p>
      <w:pPr>
        <w:ind w:firstLine="480"/>
        <w:rPr>
          <w:color w:val="4472C4"/>
        </w:rPr>
      </w:pPr>
      <w:r>
        <w:rPr>
          <w:rFonts w:hint="eastAsia"/>
          <w:color w:val="auto"/>
        </w:rPr>
        <w:t>缺陷管理功能实现流程化管理，可按照发现日期、缺陷专业、检修班组、设备编码等组合查询统计条件对设备缺陷统计信息进行查询。</w:t>
      </w:r>
    </w:p>
    <w:p>
      <w:pPr>
        <w:pStyle w:val="29"/>
        <w:ind w:firstLine="240" w:firstLineChars="100"/>
        <w:rPr>
          <w:color w:val="auto"/>
        </w:rPr>
      </w:pPr>
      <w:r>
        <w:rPr>
          <w:rFonts w:hint="eastAsia"/>
          <w:color w:val="auto"/>
          <w:lang w:val="en-US" w:eastAsia="zh-CN"/>
        </w:rPr>
        <w:t xml:space="preserve">③ </w:t>
      </w:r>
      <w:r>
        <w:rPr>
          <w:rFonts w:hint="eastAsia"/>
          <w:color w:val="auto"/>
        </w:rPr>
        <w:t>建设检修管理功能</w:t>
      </w:r>
    </w:p>
    <w:p>
      <w:pPr>
        <w:ind w:firstLine="480"/>
        <w:rPr>
          <w:color w:val="auto"/>
        </w:rPr>
      </w:pPr>
      <w:r>
        <w:rPr>
          <w:rFonts w:hint="eastAsia"/>
          <w:color w:val="auto"/>
        </w:rPr>
        <w:t>包含项目计划、检修申请单、检修报告功能主题。</w:t>
      </w:r>
    </w:p>
    <w:p>
      <w:pPr>
        <w:ind w:firstLine="480"/>
        <w:rPr>
          <w:color w:val="auto"/>
        </w:rPr>
      </w:pPr>
      <w:r>
        <w:rPr>
          <w:rFonts w:hint="eastAsia"/>
          <w:color w:val="auto"/>
        </w:rPr>
        <w:t>检修管理使规范化、标准化、使检修预算更加科学、更合理，降低检修成本，以检修工单为线索，实现闭环式管理，通过事务机制和工作流机制，提高检修效率，并且提供多种统计分析手段，满足管理人员的需求。</w:t>
      </w:r>
    </w:p>
    <w:p>
      <w:pPr>
        <w:pStyle w:val="29"/>
        <w:ind w:firstLine="240" w:firstLineChars="100"/>
        <w:rPr>
          <w:color w:val="auto"/>
        </w:rPr>
      </w:pPr>
      <w:r>
        <w:rPr>
          <w:rFonts w:hint="eastAsia"/>
          <w:color w:val="auto"/>
          <w:lang w:val="en-US" w:eastAsia="zh-CN"/>
        </w:rPr>
        <w:t xml:space="preserve">④ </w:t>
      </w:r>
      <w:r>
        <w:rPr>
          <w:rFonts w:hint="eastAsia"/>
          <w:color w:val="auto"/>
        </w:rPr>
        <w:t>建设运行管理功能</w:t>
      </w:r>
    </w:p>
    <w:p>
      <w:pPr>
        <w:ind w:firstLine="480"/>
        <w:rPr>
          <w:color w:val="auto"/>
        </w:rPr>
      </w:pPr>
      <w:r>
        <w:rPr>
          <w:rFonts w:hint="eastAsia"/>
          <w:color w:val="auto"/>
        </w:rPr>
        <w:t>包含运行日志、定期工作、运行台账功能主题。</w:t>
      </w:r>
    </w:p>
    <w:p>
      <w:pPr>
        <w:ind w:firstLine="480"/>
        <w:rPr>
          <w:color w:val="auto"/>
        </w:rPr>
      </w:pPr>
      <w:r>
        <w:rPr>
          <w:rFonts w:hint="eastAsia"/>
          <w:color w:val="auto"/>
        </w:rPr>
        <w:t>运行管理围绕企业“两票三制”中的“运行交接班制”，集中规范管理各个运行岗位的值班记录，可供生产管理人员查询了解发电生产情况，实现各岗位运行交接班管理及相关日志记录、统计、分析、查询等功能。</w:t>
      </w:r>
    </w:p>
    <w:p>
      <w:pPr>
        <w:ind w:firstLine="480"/>
        <w:rPr>
          <w:color w:val="auto"/>
        </w:rPr>
      </w:pPr>
      <w:r>
        <w:rPr>
          <w:rFonts w:hint="eastAsia"/>
          <w:color w:val="auto"/>
        </w:rPr>
        <w:t>定期工作是运行管理的重要组成，</w:t>
      </w:r>
      <w:r>
        <w:rPr>
          <w:rFonts w:hint="eastAsia"/>
          <w:color w:val="auto"/>
          <w:lang w:eastAsia="zh-CN"/>
        </w:rPr>
        <w:t>生产管理系统</w:t>
      </w:r>
      <w:r>
        <w:rPr>
          <w:rFonts w:hint="eastAsia"/>
          <w:color w:val="auto"/>
        </w:rPr>
        <w:t>要求定期工作功能必须提高定期工作的时效性和可操作性，与设备台账集成，灵活设置定期工作的内容和操作项目。定期工作要求自动定期生产工作计划，提醒运行人员对设备进行定期试验与切换，避免人为原因导致遗漏。</w:t>
      </w:r>
    </w:p>
    <w:p>
      <w:pPr>
        <w:pStyle w:val="29"/>
        <w:ind w:firstLine="240" w:firstLineChars="100"/>
        <w:rPr>
          <w:color w:val="auto"/>
        </w:rPr>
      </w:pPr>
      <w:r>
        <w:rPr>
          <w:rFonts w:hint="eastAsia"/>
          <w:color w:val="auto"/>
          <w:lang w:val="en-US" w:eastAsia="zh-CN"/>
        </w:rPr>
        <w:t xml:space="preserve">⑤ </w:t>
      </w:r>
      <w:r>
        <w:rPr>
          <w:rFonts w:hint="eastAsia"/>
          <w:color w:val="auto"/>
        </w:rPr>
        <w:t>建设两票管理功能</w:t>
      </w:r>
    </w:p>
    <w:p>
      <w:pPr>
        <w:ind w:firstLine="480"/>
        <w:rPr>
          <w:color w:val="auto"/>
        </w:rPr>
      </w:pPr>
      <w:r>
        <w:rPr>
          <w:rFonts w:hint="eastAsia"/>
          <w:color w:val="auto"/>
        </w:rPr>
        <w:t>包含操作票票种、典型操作票、操作票、查询统计、票种设置、工作票办理功能主题。</w:t>
      </w:r>
    </w:p>
    <w:p>
      <w:pPr>
        <w:ind w:firstLine="480"/>
        <w:rPr>
          <w:color w:val="auto"/>
        </w:rPr>
      </w:pPr>
      <w:r>
        <w:rPr>
          <w:rFonts w:hint="eastAsia"/>
          <w:color w:val="auto"/>
          <w:lang w:eastAsia="zh-CN"/>
        </w:rPr>
        <w:t>生产管理系统</w:t>
      </w:r>
      <w:r>
        <w:rPr>
          <w:rFonts w:hint="eastAsia"/>
          <w:color w:val="auto"/>
        </w:rPr>
        <w:t>中两票管理要求为操作票和工作票建立标准的票种库，在开票时，根据情况允许用户对两票进行执行、作废、打印等操作，打印可设置在开票的任意一步流程中，并且对已执行和作废的两票进行存根，便于分析统计。</w:t>
      </w:r>
    </w:p>
    <w:p>
      <w:pPr>
        <w:pStyle w:val="29"/>
        <w:ind w:firstLine="240" w:firstLineChars="100"/>
        <w:rPr>
          <w:color w:val="auto"/>
        </w:rPr>
      </w:pPr>
      <w:r>
        <w:rPr>
          <w:rFonts w:hint="eastAsia"/>
          <w:color w:val="auto"/>
          <w:lang w:val="en-US" w:eastAsia="zh-CN"/>
        </w:rPr>
        <w:t xml:space="preserve">⑥ </w:t>
      </w:r>
      <w:r>
        <w:rPr>
          <w:rFonts w:hint="eastAsia"/>
          <w:color w:val="auto"/>
        </w:rPr>
        <w:t>建设闸门调度管理功能</w:t>
      </w:r>
    </w:p>
    <w:p>
      <w:pPr>
        <w:ind w:firstLine="480"/>
        <w:rPr>
          <w:color w:val="auto"/>
        </w:rPr>
      </w:pPr>
      <w:r>
        <w:rPr>
          <w:rFonts w:hint="eastAsia"/>
          <w:color w:val="auto"/>
        </w:rPr>
        <w:t>包含闸门登记、闸门开度流量对照、闸门操作令、闸门状态登记功能主题。</w:t>
      </w:r>
    </w:p>
    <w:p>
      <w:pPr>
        <w:ind w:firstLine="480"/>
        <w:rPr>
          <w:color w:val="auto"/>
        </w:rPr>
      </w:pPr>
      <w:r>
        <w:rPr>
          <w:rFonts w:hint="eastAsia"/>
          <w:color w:val="auto"/>
          <w:lang w:eastAsia="zh-CN"/>
        </w:rPr>
        <w:t>生产管理系统</w:t>
      </w:r>
      <w:r>
        <w:rPr>
          <w:rFonts w:hint="eastAsia"/>
          <w:color w:val="auto"/>
        </w:rPr>
        <w:t>中闸门调度管理功能要求可以记录闸门调度命令和执行情况，便于各值人员及时了解情况，明确责任。对闸门状态进行实时登记。</w:t>
      </w:r>
    </w:p>
    <w:p>
      <w:pPr>
        <w:pStyle w:val="29"/>
        <w:rPr>
          <w:color w:val="auto"/>
        </w:rPr>
      </w:pPr>
      <w:r>
        <w:rPr>
          <w:rFonts w:hint="eastAsia"/>
          <w:color w:val="auto"/>
        </w:rPr>
        <w:t>（2）</w:t>
      </w:r>
      <w:r>
        <w:rPr>
          <w:rFonts w:hint="eastAsia"/>
          <w:color w:val="auto"/>
          <w:lang w:val="en-US" w:eastAsia="zh-CN"/>
        </w:rPr>
        <w:t>系统</w:t>
      </w:r>
      <w:r>
        <w:rPr>
          <w:rFonts w:hint="eastAsia"/>
          <w:color w:val="auto"/>
        </w:rPr>
        <w:t>功能</w:t>
      </w:r>
      <w:r>
        <w:rPr>
          <w:rFonts w:hint="eastAsia"/>
          <w:color w:val="auto"/>
          <w:lang w:val="en-US" w:eastAsia="zh-CN"/>
        </w:rPr>
        <w:t>模块</w:t>
      </w:r>
      <w:r>
        <w:rPr>
          <w:rFonts w:hint="eastAsia"/>
          <w:color w:val="auto"/>
        </w:rPr>
        <w:t>清单</w:t>
      </w:r>
    </w:p>
    <w:tbl>
      <w:tblPr>
        <w:tblStyle w:val="18"/>
        <w:tblW w:w="8246" w:type="dxa"/>
        <w:tblInd w:w="113" w:type="dxa"/>
        <w:tblLayout w:type="autofit"/>
        <w:tblCellMar>
          <w:top w:w="0" w:type="dxa"/>
          <w:left w:w="108" w:type="dxa"/>
          <w:bottom w:w="0" w:type="dxa"/>
          <w:right w:w="108" w:type="dxa"/>
        </w:tblCellMar>
      </w:tblPr>
      <w:tblGrid>
        <w:gridCol w:w="1060"/>
        <w:gridCol w:w="949"/>
        <w:gridCol w:w="1559"/>
        <w:gridCol w:w="4678"/>
      </w:tblGrid>
      <w:tr>
        <w:tblPrEx>
          <w:tblCellMar>
            <w:top w:w="0" w:type="dxa"/>
            <w:left w:w="108" w:type="dxa"/>
            <w:bottom w:w="0" w:type="dxa"/>
            <w:right w:w="108" w:type="dxa"/>
          </w:tblCellMar>
        </w:tblPrEx>
        <w:trPr>
          <w:trHeight w:val="48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40" w:lineRule="auto"/>
              <w:ind w:firstLine="0" w:firstLineChars="0"/>
              <w:jc w:val="center"/>
              <w:rPr>
                <w:b/>
                <w:bCs/>
                <w:color w:val="000000"/>
                <w:sz w:val="18"/>
                <w:szCs w:val="18"/>
              </w:rPr>
            </w:pPr>
            <w:r>
              <w:rPr>
                <w:rFonts w:hint="eastAsia"/>
                <w:b/>
                <w:bCs/>
                <w:color w:val="000000"/>
                <w:sz w:val="18"/>
                <w:szCs w:val="18"/>
              </w:rPr>
              <w:t>功能</w:t>
            </w:r>
          </w:p>
        </w:tc>
        <w:tc>
          <w:tcPr>
            <w:tcW w:w="949"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b/>
                <w:bCs/>
                <w:color w:val="000000"/>
                <w:sz w:val="18"/>
                <w:szCs w:val="18"/>
              </w:rPr>
            </w:pPr>
            <w:r>
              <w:rPr>
                <w:rFonts w:hint="eastAsia"/>
                <w:b/>
                <w:bCs/>
                <w:color w:val="000000"/>
                <w:sz w:val="18"/>
                <w:szCs w:val="18"/>
              </w:rPr>
              <w:t>功能主题</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b/>
                <w:bCs/>
                <w:color w:val="000000"/>
                <w:sz w:val="18"/>
                <w:szCs w:val="18"/>
              </w:rPr>
            </w:pPr>
            <w:r>
              <w:rPr>
                <w:rFonts w:hint="eastAsia"/>
                <w:b/>
                <w:bCs/>
                <w:color w:val="000000"/>
                <w:sz w:val="18"/>
                <w:szCs w:val="18"/>
              </w:rPr>
              <w:t>功能模块</w:t>
            </w:r>
          </w:p>
        </w:tc>
        <w:tc>
          <w:tcPr>
            <w:tcW w:w="467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b/>
                <w:bCs/>
                <w:color w:val="000000"/>
                <w:sz w:val="18"/>
                <w:szCs w:val="18"/>
              </w:rPr>
            </w:pPr>
            <w:r>
              <w:rPr>
                <w:rFonts w:hint="eastAsia"/>
                <w:b/>
                <w:bCs/>
                <w:color w:val="000000"/>
                <w:sz w:val="18"/>
                <w:szCs w:val="18"/>
              </w:rPr>
              <w:t>功能简述</w:t>
            </w:r>
          </w:p>
        </w:tc>
      </w:tr>
      <w:tr>
        <w:tblPrEx>
          <w:tblCellMar>
            <w:top w:w="0" w:type="dxa"/>
            <w:left w:w="108" w:type="dxa"/>
            <w:bottom w:w="0" w:type="dxa"/>
            <w:right w:w="108" w:type="dxa"/>
          </w:tblCellMar>
        </w:tblPrEx>
        <w:trPr>
          <w:trHeight w:val="280" w:hRule="atLeast"/>
        </w:trPr>
        <w:tc>
          <w:tcPr>
            <w:tcW w:w="1060" w:type="dxa"/>
            <w:vMerge w:val="restart"/>
            <w:tcBorders>
              <w:top w:val="nil"/>
              <w:left w:val="single" w:color="auto" w:sz="4" w:space="0"/>
              <w:right w:val="single" w:color="auto" w:sz="4" w:space="0"/>
            </w:tcBorders>
            <w:noWrap/>
            <w:vAlign w:val="center"/>
          </w:tcPr>
          <w:p>
            <w:pPr>
              <w:widowControl/>
              <w:spacing w:line="240" w:lineRule="auto"/>
              <w:ind w:firstLine="0" w:firstLineChars="0"/>
              <w:jc w:val="center"/>
              <w:rPr>
                <w:rFonts w:hint="eastAsia"/>
                <w:b/>
                <w:bCs/>
                <w:color w:val="000000"/>
                <w:sz w:val="18"/>
                <w:szCs w:val="18"/>
              </w:rPr>
            </w:pPr>
          </w:p>
          <w:p>
            <w:pPr>
              <w:widowControl/>
              <w:spacing w:line="240" w:lineRule="auto"/>
              <w:ind w:firstLine="0" w:firstLineChars="0"/>
              <w:jc w:val="center"/>
              <w:rPr>
                <w:rFonts w:hint="eastAsia"/>
                <w:b/>
                <w:bCs/>
                <w:color w:val="000000"/>
                <w:sz w:val="18"/>
                <w:szCs w:val="18"/>
              </w:rPr>
            </w:pPr>
          </w:p>
          <w:p>
            <w:pPr>
              <w:widowControl/>
              <w:spacing w:line="240" w:lineRule="auto"/>
              <w:ind w:firstLine="0" w:firstLineChars="0"/>
              <w:jc w:val="center"/>
              <w:rPr>
                <w:rFonts w:hint="eastAsia"/>
                <w:b/>
                <w:bCs/>
                <w:color w:val="000000"/>
                <w:sz w:val="18"/>
                <w:szCs w:val="18"/>
              </w:rPr>
            </w:pPr>
          </w:p>
          <w:p>
            <w:pPr>
              <w:widowControl/>
              <w:spacing w:line="240" w:lineRule="auto"/>
              <w:ind w:firstLine="0" w:firstLineChars="0"/>
              <w:jc w:val="center"/>
              <w:rPr>
                <w:rFonts w:hint="eastAsia"/>
                <w:b/>
                <w:bCs/>
                <w:color w:val="000000"/>
                <w:sz w:val="18"/>
                <w:szCs w:val="18"/>
              </w:rPr>
            </w:pPr>
          </w:p>
          <w:p>
            <w:pPr>
              <w:widowControl/>
              <w:spacing w:line="240" w:lineRule="auto"/>
              <w:ind w:firstLine="0" w:firstLineChars="0"/>
              <w:jc w:val="center"/>
              <w:rPr>
                <w:rFonts w:hint="eastAsia"/>
                <w:b/>
                <w:bCs/>
                <w:color w:val="000000"/>
                <w:sz w:val="18"/>
                <w:szCs w:val="18"/>
              </w:rPr>
            </w:pPr>
            <w:r>
              <w:rPr>
                <w:rFonts w:hint="eastAsia"/>
                <w:b/>
                <w:bCs/>
                <w:color w:val="000000"/>
                <w:sz w:val="18"/>
                <w:szCs w:val="18"/>
              </w:rPr>
              <w:t>系统平台</w:t>
            </w:r>
          </w:p>
          <w:p>
            <w:pPr>
              <w:widowControl/>
              <w:spacing w:line="240" w:lineRule="auto"/>
              <w:ind w:firstLine="0" w:firstLineChars="0"/>
              <w:jc w:val="center"/>
              <w:rPr>
                <w:b/>
                <w:bCs/>
                <w:sz w:val="18"/>
                <w:szCs w:val="18"/>
              </w:rPr>
            </w:pPr>
          </w:p>
        </w:tc>
        <w:tc>
          <w:tcPr>
            <w:tcW w:w="94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控制中心</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角色</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●可以按照企业实际情况设置角色。</w:t>
            </w:r>
          </w:p>
        </w:tc>
      </w:tr>
      <w:tr>
        <w:tblPrEx>
          <w:tblCellMar>
            <w:top w:w="0" w:type="dxa"/>
            <w:left w:w="108" w:type="dxa"/>
            <w:bottom w:w="0" w:type="dxa"/>
            <w:right w:w="108" w:type="dxa"/>
          </w:tblCellMar>
        </w:tblPrEx>
        <w:trPr>
          <w:trHeight w:val="983"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用户</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●可以对用户信息进行设置，如用户的工号、用户名、电子邮件、所在部门、类型等。</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●支持用户权限和密码管理。支持以下授权模式：</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 xml:space="preserve">    A.按角色：可以设置角色对应的功能菜单权限，以及角色对业务数据的新增、修改、删除、打印权限。</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 xml:space="preserve">    B.按用户：管理员可以设置用户功能菜单的权限，以及用户对业务数据的新增、修改、删除、打印权限。用户功能菜单的权限可以从角色继承，对继承过来的权限也可以进行微调。</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 xml:space="preserve">    C.按部件模块：可以将某一功能模块的访问权限以及对该功能模块业务数据的控制权限赋给用户或角色。</w:t>
            </w:r>
          </w:p>
          <w:p>
            <w:pPr>
              <w:widowControl/>
              <w:spacing w:line="240" w:lineRule="auto"/>
              <w:ind w:firstLine="0" w:firstLineChars="0"/>
              <w:rPr>
                <w:rFonts w:hint="eastAsia"/>
                <w:color w:val="000000"/>
                <w:sz w:val="18"/>
                <w:szCs w:val="18"/>
              </w:rPr>
            </w:pPr>
            <w:r>
              <w:rPr>
                <w:rFonts w:hint="eastAsia"/>
                <w:color w:val="000000"/>
                <w:sz w:val="18"/>
                <w:szCs w:val="18"/>
              </w:rPr>
              <w:t xml:space="preserve">●可以查阅用户的系统运行日志。 </w:t>
            </w:r>
          </w:p>
          <w:p>
            <w:pPr>
              <w:pStyle w:val="2"/>
              <w:ind w:left="0" w:leftChars="0" w:firstLine="0" w:firstLineChars="0"/>
              <w:rPr>
                <w:rFonts w:hint="default" w:eastAsia="宋体"/>
                <w:lang w:val="en-US" w:eastAsia="zh-CN"/>
              </w:rPr>
            </w:pPr>
            <w:r>
              <w:rPr>
                <w:rFonts w:hint="eastAsia"/>
                <w:color w:val="000000"/>
                <w:sz w:val="18"/>
                <w:szCs w:val="18"/>
              </w:rPr>
              <w:t>●</w:t>
            </w:r>
            <w:r>
              <w:rPr>
                <w:rFonts w:hint="eastAsia"/>
                <w:color w:val="000000"/>
                <w:sz w:val="18"/>
                <w:szCs w:val="18"/>
                <w:lang w:val="en-US" w:eastAsia="zh-CN"/>
              </w:rPr>
              <w:t>本系统可支持用户许可人数应按不低于500个配置。</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用户组</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●可以定义用户组并设定用户组成员，用户组的成员可以是用户，也可以是其他用户组。</w:t>
            </w:r>
          </w:p>
        </w:tc>
      </w:tr>
      <w:tr>
        <w:tblPrEx>
          <w:tblCellMar>
            <w:top w:w="0" w:type="dxa"/>
            <w:left w:w="108" w:type="dxa"/>
            <w:bottom w:w="0" w:type="dxa"/>
            <w:right w:w="108" w:type="dxa"/>
          </w:tblCellMar>
        </w:tblPrEx>
        <w:trPr>
          <w:trHeight w:val="72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更改密码</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●普通用户可以设置自己的密码。管理员可以修改其他用户的密码。管理员可以针对用户密码的最短长度、新密码与历史密码不允许相同、密码失效的提醒天数、历史密码的保留次数等进行安全性设置。</w:t>
            </w:r>
          </w:p>
        </w:tc>
      </w:tr>
      <w:tr>
        <w:tblPrEx>
          <w:tblCellMar>
            <w:top w:w="0" w:type="dxa"/>
            <w:left w:w="108" w:type="dxa"/>
            <w:bottom w:w="0" w:type="dxa"/>
            <w:right w:w="108" w:type="dxa"/>
          </w:tblCellMar>
        </w:tblPrEx>
        <w:trPr>
          <w:trHeight w:val="26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系统信息</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●可查看系统概况、安全设置、注册信息。</w:t>
            </w:r>
          </w:p>
        </w:tc>
      </w:tr>
      <w:tr>
        <w:tblPrEx>
          <w:tblCellMar>
            <w:top w:w="0" w:type="dxa"/>
            <w:left w:w="108" w:type="dxa"/>
            <w:bottom w:w="0" w:type="dxa"/>
            <w:right w:w="108" w:type="dxa"/>
          </w:tblCellMar>
        </w:tblPrEx>
        <w:trPr>
          <w:trHeight w:val="72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部件模块</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●可以将模块授权给相应用户或角色。可以进行模块的参数配置以及工作流的启用和停用。</w:t>
            </w:r>
          </w:p>
          <w:p>
            <w:pPr>
              <w:widowControl/>
              <w:spacing w:line="240" w:lineRule="auto"/>
              <w:ind w:firstLine="0" w:firstLineChars="0"/>
              <w:rPr>
                <w:color w:val="000000"/>
                <w:sz w:val="18"/>
                <w:szCs w:val="18"/>
              </w:rPr>
            </w:pPr>
            <w:r>
              <w:rPr>
                <w:rFonts w:hint="eastAsia"/>
                <w:color w:val="000000"/>
                <w:sz w:val="18"/>
                <w:szCs w:val="18"/>
              </w:rPr>
              <w:t>●可以按部件模块查阅系统运行日志。</w:t>
            </w:r>
          </w:p>
        </w:tc>
      </w:tr>
      <w:tr>
        <w:tblPrEx>
          <w:tblCellMar>
            <w:top w:w="0" w:type="dxa"/>
            <w:left w:w="108" w:type="dxa"/>
            <w:bottom w:w="0" w:type="dxa"/>
            <w:right w:w="108" w:type="dxa"/>
          </w:tblCellMar>
        </w:tblPrEx>
        <w:trPr>
          <w:trHeight w:val="26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p>
        </w:tc>
        <w:tc>
          <w:tcPr>
            <w:tcW w:w="1559" w:type="dxa"/>
            <w:tcBorders>
              <w:top w:val="nil"/>
              <w:left w:val="nil"/>
              <w:bottom w:val="single" w:color="auto" w:sz="4" w:space="0"/>
              <w:right w:val="single" w:color="auto" w:sz="4" w:space="0"/>
            </w:tcBorders>
            <w:noWrap/>
            <w:vAlign w:val="center"/>
          </w:tcPr>
          <w:p>
            <w:pPr>
              <w:widowControl/>
              <w:spacing w:line="240" w:lineRule="auto"/>
              <w:ind w:firstLine="0" w:firstLineChars="0"/>
              <w:rPr>
                <w:color w:val="000000"/>
                <w:sz w:val="18"/>
                <w:szCs w:val="18"/>
              </w:rPr>
            </w:pPr>
            <w:r>
              <w:rPr>
                <w:rFonts w:hint="eastAsia"/>
                <w:color w:val="000000"/>
                <w:sz w:val="18"/>
                <w:szCs w:val="18"/>
              </w:rPr>
              <w:t>功能模型</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●可以按企业业务需求设置或调整企业模型。</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代码助手</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●对于业务功能界面上需要直接输入的信息，支持按F1调出代码助手，辅助输入。</w:t>
            </w:r>
          </w:p>
          <w:p>
            <w:pPr>
              <w:widowControl/>
              <w:spacing w:line="240" w:lineRule="auto"/>
              <w:ind w:firstLine="0" w:firstLineChars="0"/>
              <w:rPr>
                <w:color w:val="000000"/>
                <w:sz w:val="18"/>
                <w:szCs w:val="18"/>
              </w:rPr>
            </w:pPr>
            <w:r>
              <w:rPr>
                <w:rFonts w:hint="eastAsia"/>
                <w:color w:val="000000"/>
                <w:sz w:val="18"/>
                <w:szCs w:val="18"/>
              </w:rPr>
              <w:t>●代码助手的内容可以通过自定义SQL语句获得。</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参数配置</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●可以查看系统支持的参数、参数所应用的用户或角色。可以按系统、角色、用户、模块逐级定义参数。</w:t>
            </w:r>
          </w:p>
        </w:tc>
      </w:tr>
      <w:tr>
        <w:tblPrEx>
          <w:tblCellMar>
            <w:top w:w="0" w:type="dxa"/>
            <w:left w:w="108" w:type="dxa"/>
            <w:bottom w:w="0" w:type="dxa"/>
            <w:right w:w="108" w:type="dxa"/>
          </w:tblCellMar>
        </w:tblPrEx>
        <w:trPr>
          <w:trHeight w:val="26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服务部署</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服务部署</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●对服务模块、定时模块进行部署，启动、停用以及查看运行日志等操作。</w:t>
            </w:r>
          </w:p>
        </w:tc>
      </w:tr>
      <w:tr>
        <w:tblPrEx>
          <w:tblCellMar>
            <w:top w:w="0" w:type="dxa"/>
            <w:left w:w="108" w:type="dxa"/>
            <w:bottom w:w="0" w:type="dxa"/>
            <w:right w:w="108" w:type="dxa"/>
          </w:tblCellMar>
        </w:tblPrEx>
        <w:trPr>
          <w:trHeight w:val="699"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工作流</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流程配置</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●可以以图形化的方式按照业务自定义合适的工作流，包括流程中各事务的定义，事务的执行条件、执行人员等。</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可以自定义每步事务的选项，如：是否允许撤回、转交，是否需要签署意见等。也可以自定义每步事务的执行人员。如果某步事务的下一步有多个事务时，可以分别定义到多个事务的执行条件，在业务处理时系统会根据条件自动选择下一步事务和执行人员。</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●可以根据业务需要定义工作流的事务为会签，可以自定义会签人员和执行人数。</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●如果同一业务存在不同的处理流程，定义多个工作流并为每个工作流设定执行条件，在业务处理时系统会根据条件自动选择工作流。</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●事务执行时可以以消息发送通知，在集成应用邮件、手机短信时，也可以通过邮件、手机短信的方式发送通知，可以自定义通知人员、通知条件、通知主题和通知内容。</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●因特殊情况无法自己处理相关事务时可以通过设置代理将事务交由其他人处理。</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●可以以列表、图形的方式跟踪业务处理过程，包括每步事务的执行人员、执行时间、代理人和处理意见等。</w:t>
            </w:r>
          </w:p>
          <w:p>
            <w:pPr>
              <w:widowControl/>
              <w:spacing w:line="240" w:lineRule="auto"/>
              <w:ind w:firstLine="0" w:firstLineChars="0"/>
              <w:rPr>
                <w:color w:val="000000"/>
                <w:sz w:val="18"/>
                <w:szCs w:val="18"/>
              </w:rPr>
            </w:pPr>
            <w:r>
              <w:rPr>
                <w:rFonts w:hint="eastAsia"/>
                <w:color w:val="000000"/>
                <w:sz w:val="18"/>
                <w:szCs w:val="18"/>
              </w:rPr>
              <w:t>●可以设定业务调度员，在需要时调整工作流事务和事务待处理人员。</w:t>
            </w:r>
          </w:p>
        </w:tc>
      </w:tr>
      <w:tr>
        <w:tblPrEx>
          <w:tblCellMar>
            <w:top w:w="0" w:type="dxa"/>
            <w:left w:w="108" w:type="dxa"/>
            <w:bottom w:w="0" w:type="dxa"/>
            <w:right w:w="108" w:type="dxa"/>
          </w:tblCellMar>
        </w:tblPrEx>
        <w:trPr>
          <w:trHeight w:val="26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事务中心</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待办事务</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●支持按工作流查看各类待办事务。</w:t>
            </w:r>
          </w:p>
        </w:tc>
      </w:tr>
      <w:tr>
        <w:tblPrEx>
          <w:tblCellMar>
            <w:top w:w="0" w:type="dxa"/>
            <w:left w:w="108" w:type="dxa"/>
            <w:bottom w:w="0" w:type="dxa"/>
            <w:right w:w="108" w:type="dxa"/>
          </w:tblCellMar>
        </w:tblPrEx>
        <w:trPr>
          <w:trHeight w:val="26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我的事务</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●实时查看自己创建的审批单据所处的工作流状态，以便了解审批的状况。</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事务代理设置</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●因特殊情况无法自己处理相关事务时可以通过设置代理将事务交由其他人处理。可以为每一工作流程的每一事务分别设定代理人。</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消息中心</w:t>
            </w:r>
          </w:p>
        </w:tc>
        <w:tc>
          <w:tcPr>
            <w:tcW w:w="1559" w:type="dxa"/>
            <w:tcBorders>
              <w:top w:val="nil"/>
              <w:left w:val="nil"/>
              <w:bottom w:val="single" w:color="auto" w:sz="4" w:space="0"/>
              <w:right w:val="single" w:color="auto" w:sz="4" w:space="0"/>
            </w:tcBorders>
            <w:noWrap/>
            <w:vAlign w:val="center"/>
          </w:tcPr>
          <w:p>
            <w:pPr>
              <w:widowControl/>
              <w:spacing w:line="240" w:lineRule="auto"/>
              <w:ind w:firstLine="0" w:firstLineChars="0"/>
              <w:rPr>
                <w:color w:val="000000"/>
                <w:sz w:val="18"/>
                <w:szCs w:val="18"/>
              </w:rPr>
            </w:pPr>
            <w:r>
              <w:rPr>
                <w:rFonts w:hint="eastAsia"/>
                <w:color w:val="000000"/>
                <w:sz w:val="18"/>
                <w:szCs w:val="18"/>
              </w:rPr>
              <w:t>消息订阅</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●对系统发出的消息进行订阅，设置是否订阅某类消息（即是否提醒）。</w:t>
            </w:r>
          </w:p>
          <w:p>
            <w:pPr>
              <w:widowControl/>
              <w:spacing w:line="240" w:lineRule="auto"/>
              <w:ind w:firstLine="0" w:firstLineChars="0"/>
              <w:rPr>
                <w:color w:val="000000"/>
                <w:sz w:val="18"/>
                <w:szCs w:val="18"/>
              </w:rPr>
            </w:pPr>
            <w:r>
              <w:rPr>
                <w:rFonts w:hint="eastAsia"/>
                <w:color w:val="000000"/>
                <w:sz w:val="18"/>
                <w:szCs w:val="18"/>
              </w:rPr>
              <w:t>●当用户接收到系统消息时，能从视觉、听觉方面提醒用户。</w:t>
            </w:r>
          </w:p>
        </w:tc>
      </w:tr>
      <w:tr>
        <w:tblPrEx>
          <w:tblCellMar>
            <w:top w:w="0" w:type="dxa"/>
            <w:left w:w="108" w:type="dxa"/>
            <w:bottom w:w="0" w:type="dxa"/>
            <w:right w:w="108" w:type="dxa"/>
          </w:tblCellMar>
        </w:tblPrEx>
        <w:trPr>
          <w:trHeight w:val="72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公司</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公司信息</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部门</w:t>
            </w:r>
          </w:p>
          <w:p>
            <w:pPr>
              <w:widowControl/>
              <w:spacing w:line="240" w:lineRule="auto"/>
              <w:ind w:firstLine="0" w:firstLineChars="0"/>
              <w:rPr>
                <w:color w:val="000000"/>
                <w:sz w:val="18"/>
                <w:szCs w:val="18"/>
              </w:rPr>
            </w:pPr>
            <w:r>
              <w:rPr>
                <w:rFonts w:hint="eastAsia"/>
                <w:color w:val="000000"/>
                <w:sz w:val="18"/>
                <w:szCs w:val="18"/>
              </w:rPr>
              <w:t>人员</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●提供统一的公司基本信息资料管理。</w:t>
            </w:r>
          </w:p>
        </w:tc>
      </w:tr>
      <w:tr>
        <w:tblPrEx>
          <w:tblCellMar>
            <w:top w:w="0" w:type="dxa"/>
            <w:left w:w="108" w:type="dxa"/>
            <w:bottom w:w="0" w:type="dxa"/>
            <w:right w:w="108" w:type="dxa"/>
          </w:tblCellMar>
        </w:tblPrEx>
        <w:trPr>
          <w:trHeight w:val="71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jc w:val="center"/>
              <w:rPr>
                <w:b/>
                <w:bCs/>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基础数据</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人员</w:t>
            </w:r>
            <w:r>
              <w:rPr>
                <w:rFonts w:hint="eastAsia"/>
                <w:sz w:val="18"/>
                <w:szCs w:val="18"/>
              </w:rPr>
              <w:br w:type="page"/>
            </w:r>
            <w:r>
              <w:rPr>
                <w:rFonts w:hint="eastAsia"/>
                <w:sz w:val="18"/>
                <w:szCs w:val="18"/>
              </w:rPr>
              <w:t>部门</w:t>
            </w:r>
            <w:r>
              <w:rPr>
                <w:rFonts w:hint="eastAsia"/>
                <w:sz w:val="18"/>
                <w:szCs w:val="18"/>
              </w:rPr>
              <w:br w:type="page"/>
            </w:r>
            <w:r>
              <w:rPr>
                <w:rFonts w:hint="eastAsia"/>
                <w:sz w:val="18"/>
                <w:szCs w:val="18"/>
              </w:rPr>
              <w:t>货币</w:t>
            </w:r>
            <w:r>
              <w:rPr>
                <w:rFonts w:hint="eastAsia"/>
                <w:sz w:val="18"/>
                <w:szCs w:val="18"/>
              </w:rPr>
              <w:br w:type="page"/>
            </w:r>
            <w:r>
              <w:rPr>
                <w:rFonts w:hint="eastAsia"/>
                <w:sz w:val="18"/>
                <w:szCs w:val="18"/>
              </w:rPr>
              <w:t>班组</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●维护基础数据：人员、部门、班组、货币。</w:t>
            </w:r>
          </w:p>
        </w:tc>
      </w:tr>
      <w:tr>
        <w:tblPrEx>
          <w:tblCellMar>
            <w:top w:w="0" w:type="dxa"/>
            <w:left w:w="108" w:type="dxa"/>
            <w:bottom w:w="0" w:type="dxa"/>
            <w:right w:w="108" w:type="dxa"/>
          </w:tblCellMar>
        </w:tblPrEx>
        <w:trPr>
          <w:trHeight w:val="120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sz w:val="18"/>
                <w:szCs w:val="18"/>
                <w:lang w:eastAsia="zh-CN"/>
              </w:rPr>
            </w:pPr>
            <w:r>
              <w:rPr>
                <w:rFonts w:hint="eastAsia"/>
                <w:sz w:val="18"/>
                <w:szCs w:val="18"/>
              </w:rPr>
              <w:t>电厂</w:t>
            </w:r>
          </w:p>
          <w:p>
            <w:pPr>
              <w:widowControl/>
              <w:spacing w:line="240" w:lineRule="auto"/>
              <w:ind w:firstLine="0" w:firstLineChars="0"/>
              <w:rPr>
                <w:sz w:val="18"/>
                <w:szCs w:val="18"/>
              </w:rPr>
            </w:pPr>
            <w:r>
              <w:rPr>
                <w:rFonts w:hint="eastAsia"/>
                <w:sz w:val="18"/>
                <w:szCs w:val="18"/>
              </w:rPr>
              <w:t>基础数据</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sz w:val="18"/>
                <w:szCs w:val="18"/>
                <w:lang w:eastAsia="zh-CN"/>
              </w:rPr>
            </w:pPr>
            <w:r>
              <w:rPr>
                <w:rFonts w:hint="eastAsia"/>
                <w:sz w:val="18"/>
                <w:szCs w:val="18"/>
              </w:rPr>
              <w:t>机组维护</w:t>
            </w:r>
          </w:p>
          <w:p>
            <w:pPr>
              <w:widowControl/>
              <w:spacing w:line="240" w:lineRule="auto"/>
              <w:ind w:firstLine="0" w:firstLineChars="0"/>
              <w:rPr>
                <w:rFonts w:hint="eastAsia" w:eastAsia="宋体"/>
                <w:sz w:val="18"/>
                <w:szCs w:val="18"/>
                <w:lang w:eastAsia="zh-CN"/>
              </w:rPr>
            </w:pPr>
            <w:r>
              <w:rPr>
                <w:rFonts w:hint="eastAsia"/>
                <w:sz w:val="18"/>
                <w:szCs w:val="18"/>
              </w:rPr>
              <w:t xml:space="preserve">班制维护 </w:t>
            </w:r>
          </w:p>
          <w:p>
            <w:pPr>
              <w:widowControl/>
              <w:spacing w:line="240" w:lineRule="auto"/>
              <w:ind w:firstLine="0" w:firstLineChars="0"/>
              <w:rPr>
                <w:rFonts w:hint="eastAsia" w:eastAsia="宋体"/>
                <w:sz w:val="18"/>
                <w:szCs w:val="18"/>
                <w:lang w:eastAsia="zh-CN"/>
              </w:rPr>
            </w:pPr>
            <w:r>
              <w:rPr>
                <w:rFonts w:hint="eastAsia"/>
                <w:sz w:val="18"/>
                <w:szCs w:val="18"/>
              </w:rPr>
              <w:t>排班表</w:t>
            </w:r>
          </w:p>
          <w:p>
            <w:pPr>
              <w:widowControl/>
              <w:spacing w:line="240" w:lineRule="auto"/>
              <w:ind w:firstLine="0" w:firstLineChars="0"/>
              <w:rPr>
                <w:rFonts w:hint="eastAsia" w:eastAsia="宋体"/>
                <w:sz w:val="18"/>
                <w:szCs w:val="18"/>
                <w:lang w:eastAsia="zh-CN"/>
              </w:rPr>
            </w:pPr>
            <w:r>
              <w:rPr>
                <w:rFonts w:hint="eastAsia"/>
                <w:sz w:val="18"/>
                <w:szCs w:val="18"/>
              </w:rPr>
              <w:t xml:space="preserve">专业维护 </w:t>
            </w:r>
          </w:p>
          <w:p>
            <w:pPr>
              <w:widowControl/>
              <w:spacing w:line="240" w:lineRule="auto"/>
              <w:ind w:firstLine="0" w:firstLineChars="0"/>
              <w:rPr>
                <w:sz w:val="18"/>
                <w:szCs w:val="18"/>
              </w:rPr>
            </w:pPr>
            <w:r>
              <w:rPr>
                <w:rFonts w:hint="eastAsia"/>
                <w:sz w:val="18"/>
                <w:szCs w:val="18"/>
              </w:rPr>
              <w:t xml:space="preserve">班组维护 </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●维护发电生产业务使用的基础数据：机组、班制、排班表、专业、班组。</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生产技术数据</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工厂</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sz w:val="18"/>
                <w:szCs w:val="18"/>
                <w:lang w:eastAsia="zh-CN"/>
              </w:rPr>
            </w:pPr>
            <w:r>
              <w:rPr>
                <w:rFonts w:hint="eastAsia"/>
                <w:sz w:val="18"/>
                <w:szCs w:val="18"/>
              </w:rPr>
              <w:t>●工厂是发电生产组织的基本单位。</w:t>
            </w:r>
          </w:p>
          <w:p>
            <w:pPr>
              <w:widowControl/>
              <w:spacing w:line="240" w:lineRule="auto"/>
              <w:ind w:firstLine="0" w:firstLineChars="0"/>
              <w:rPr>
                <w:sz w:val="18"/>
                <w:szCs w:val="18"/>
              </w:rPr>
            </w:pPr>
            <w:r>
              <w:rPr>
                <w:rFonts w:hint="eastAsia"/>
                <w:sz w:val="18"/>
                <w:szCs w:val="18"/>
              </w:rPr>
              <w:t>●工厂可以归属特定单位。</w:t>
            </w:r>
          </w:p>
        </w:tc>
      </w:tr>
      <w:tr>
        <w:tblPrEx>
          <w:tblCellMar>
            <w:top w:w="0" w:type="dxa"/>
            <w:left w:w="108" w:type="dxa"/>
            <w:bottom w:w="0" w:type="dxa"/>
            <w:right w:w="108" w:type="dxa"/>
          </w:tblCellMar>
        </w:tblPrEx>
        <w:trPr>
          <w:trHeight w:val="480" w:hRule="atLeast"/>
        </w:trPr>
        <w:tc>
          <w:tcPr>
            <w:tcW w:w="1060" w:type="dxa"/>
            <w:vMerge w:val="restart"/>
            <w:tcBorders>
              <w:top w:val="nil"/>
              <w:left w:val="single" w:color="auto" w:sz="4" w:space="0"/>
              <w:right w:val="single" w:color="auto" w:sz="4" w:space="0"/>
            </w:tcBorders>
            <w:noWrap w:val="0"/>
            <w:vAlign w:val="center"/>
          </w:tcPr>
          <w:p>
            <w:pPr>
              <w:widowControl/>
              <w:spacing w:line="240" w:lineRule="auto"/>
              <w:ind w:firstLine="0" w:firstLineChars="0"/>
              <w:jc w:val="center"/>
              <w:rPr>
                <w:rFonts w:hint="eastAsia"/>
                <w:b/>
                <w:bCs/>
                <w:color w:val="000000"/>
                <w:sz w:val="18"/>
                <w:szCs w:val="18"/>
              </w:rPr>
            </w:pPr>
          </w:p>
          <w:p>
            <w:pPr>
              <w:widowControl/>
              <w:spacing w:line="240" w:lineRule="auto"/>
              <w:ind w:firstLine="0" w:firstLineChars="0"/>
              <w:jc w:val="center"/>
              <w:rPr>
                <w:rFonts w:hint="eastAsia"/>
                <w:b/>
                <w:bCs/>
                <w:color w:val="000000"/>
                <w:sz w:val="18"/>
                <w:szCs w:val="18"/>
              </w:rPr>
            </w:pPr>
          </w:p>
          <w:p>
            <w:pPr>
              <w:widowControl/>
              <w:spacing w:line="240" w:lineRule="auto"/>
              <w:ind w:firstLine="0" w:firstLineChars="0"/>
              <w:jc w:val="center"/>
              <w:rPr>
                <w:rFonts w:hint="eastAsia"/>
                <w:b/>
                <w:bCs/>
                <w:color w:val="000000"/>
                <w:sz w:val="18"/>
                <w:szCs w:val="18"/>
              </w:rPr>
            </w:pPr>
          </w:p>
          <w:p>
            <w:pPr>
              <w:widowControl/>
              <w:spacing w:line="240" w:lineRule="auto"/>
              <w:ind w:firstLine="0" w:firstLineChars="0"/>
              <w:jc w:val="center"/>
              <w:rPr>
                <w:rFonts w:hint="eastAsia"/>
                <w:b/>
                <w:bCs/>
                <w:color w:val="000000"/>
                <w:sz w:val="18"/>
                <w:szCs w:val="18"/>
              </w:rPr>
            </w:pPr>
            <w:r>
              <w:rPr>
                <w:rFonts w:hint="eastAsia"/>
                <w:b/>
                <w:bCs/>
                <w:color w:val="000000"/>
                <w:sz w:val="18"/>
                <w:szCs w:val="18"/>
              </w:rPr>
              <w:t>设备管理</w:t>
            </w:r>
          </w:p>
          <w:p>
            <w:pPr>
              <w:widowControl/>
              <w:spacing w:line="240" w:lineRule="auto"/>
              <w:ind w:firstLine="0" w:firstLineChars="0"/>
              <w:jc w:val="center"/>
              <w:rPr>
                <w:b/>
                <w:bCs/>
                <w:color w:val="000000"/>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设备编码</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设备编码</w:t>
            </w:r>
          </w:p>
          <w:p>
            <w:pPr>
              <w:widowControl/>
              <w:spacing w:line="240" w:lineRule="auto"/>
              <w:ind w:firstLine="0" w:firstLineChars="0"/>
              <w:rPr>
                <w:color w:val="000000"/>
                <w:sz w:val="18"/>
                <w:szCs w:val="18"/>
              </w:rPr>
            </w:pPr>
            <w:r>
              <w:rPr>
                <w:rFonts w:hint="eastAsia"/>
                <w:color w:val="000000"/>
                <w:sz w:val="18"/>
                <w:szCs w:val="18"/>
              </w:rPr>
              <w:t>设备二维码</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●可以根据确定的设备编码规则，对设备进行编码，建立设备的树形层次结构。</w:t>
            </w:r>
          </w:p>
          <w:p>
            <w:pPr>
              <w:widowControl/>
              <w:spacing w:line="240" w:lineRule="auto"/>
              <w:ind w:firstLine="0" w:firstLineChars="0"/>
              <w:rPr>
                <w:color w:val="000000"/>
                <w:sz w:val="18"/>
                <w:szCs w:val="18"/>
              </w:rPr>
            </w:pPr>
            <w:r>
              <w:rPr>
                <w:rFonts w:hint="eastAsia"/>
                <w:color w:val="000000"/>
                <w:sz w:val="18"/>
                <w:szCs w:val="18"/>
              </w:rPr>
              <w:t>●自动生成设备二维码，可用手机扫码查看。</w:t>
            </w:r>
          </w:p>
        </w:tc>
      </w:tr>
      <w:tr>
        <w:tblPrEx>
          <w:tblCellMar>
            <w:top w:w="0" w:type="dxa"/>
            <w:left w:w="108" w:type="dxa"/>
            <w:bottom w:w="0" w:type="dxa"/>
            <w:right w:w="108" w:type="dxa"/>
          </w:tblCellMar>
        </w:tblPrEx>
        <w:trPr>
          <w:trHeight w:val="96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设备台账</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设备基本信息</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设备基本信息查询</w:t>
            </w:r>
          </w:p>
          <w:p>
            <w:pPr>
              <w:widowControl/>
              <w:spacing w:line="240" w:lineRule="auto"/>
              <w:ind w:firstLine="0" w:firstLineChars="0"/>
              <w:rPr>
                <w:color w:val="000000"/>
                <w:sz w:val="18"/>
                <w:szCs w:val="18"/>
              </w:rPr>
            </w:pPr>
            <w:r>
              <w:rPr>
                <w:rFonts w:hint="eastAsia"/>
                <w:color w:val="000000"/>
                <w:sz w:val="18"/>
                <w:szCs w:val="18"/>
              </w:rPr>
              <w:t>设备保修期查询</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●建立完整的设备档案信息。包括设备号、设备名称、规格、图号、使用部门等设备的基本信息，也包括设备的工程技术图纸、技术手册、使用手册等相关的电子资料信息。</w:t>
            </w:r>
          </w:p>
        </w:tc>
      </w:tr>
      <w:tr>
        <w:tblPrEx>
          <w:tblCellMar>
            <w:top w:w="0" w:type="dxa"/>
            <w:left w:w="108" w:type="dxa"/>
            <w:bottom w:w="0" w:type="dxa"/>
            <w:right w:w="108" w:type="dxa"/>
          </w:tblCellMar>
        </w:tblPrEx>
        <w:trPr>
          <w:trHeight w:val="26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设备技术参数</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●建立设备的技术参数清单。</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设备变动记录</w:t>
            </w:r>
          </w:p>
          <w:p>
            <w:pPr>
              <w:widowControl/>
              <w:spacing w:line="240" w:lineRule="auto"/>
              <w:ind w:firstLine="0" w:firstLineChars="0"/>
              <w:rPr>
                <w:color w:val="000000"/>
                <w:sz w:val="18"/>
                <w:szCs w:val="18"/>
              </w:rPr>
            </w:pPr>
            <w:r>
              <w:rPr>
                <w:rFonts w:hint="eastAsia"/>
                <w:color w:val="000000"/>
                <w:sz w:val="18"/>
                <w:szCs w:val="18"/>
              </w:rPr>
              <w:t>设备变动查询</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●包括设备的调拨、异动、报废、出售、转让、租赁、封存、启封等变动的处理，形成设备变动记录台账。</w:t>
            </w:r>
          </w:p>
        </w:tc>
      </w:tr>
      <w:tr>
        <w:tblPrEx>
          <w:tblCellMar>
            <w:top w:w="0" w:type="dxa"/>
            <w:left w:w="108" w:type="dxa"/>
            <w:bottom w:w="0" w:type="dxa"/>
            <w:right w:w="108" w:type="dxa"/>
          </w:tblCellMar>
        </w:tblPrEx>
        <w:trPr>
          <w:trHeight w:val="26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设备评级</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●支持对设备进行周期性的级别评定，形成设备的评级历史。</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设备备件</w:t>
            </w:r>
          </w:p>
          <w:p>
            <w:pPr>
              <w:widowControl/>
              <w:spacing w:line="240" w:lineRule="auto"/>
              <w:ind w:firstLine="0" w:firstLineChars="0"/>
              <w:rPr>
                <w:color w:val="000000"/>
                <w:sz w:val="18"/>
                <w:szCs w:val="18"/>
              </w:rPr>
            </w:pPr>
            <w:r>
              <w:rPr>
                <w:rFonts w:hint="eastAsia"/>
                <w:color w:val="000000"/>
                <w:sz w:val="18"/>
                <w:szCs w:val="18"/>
              </w:rPr>
              <w:t xml:space="preserve">设备备件查询  </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●建立设备的备件清单，并可快速查询设备备件定额、库存情况。</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查询统计</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设备台账查询</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●可以快速查询设备全生命周期内的所有相关的设备静态信息和动态信息，包括基本信息、技术参数、备品备件、检修历史、变动历史、评级历史等。</w:t>
            </w:r>
          </w:p>
        </w:tc>
      </w:tr>
      <w:tr>
        <w:tblPrEx>
          <w:tblCellMar>
            <w:top w:w="0" w:type="dxa"/>
            <w:left w:w="108" w:type="dxa"/>
            <w:bottom w:w="0" w:type="dxa"/>
            <w:right w:w="108" w:type="dxa"/>
          </w:tblCellMar>
        </w:tblPrEx>
        <w:trPr>
          <w:trHeight w:val="168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jc w:val="center"/>
              <w:rPr>
                <w:b/>
                <w:bCs/>
                <w:color w:val="000000"/>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基础数据</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缺陷类别</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缺陷部位</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缺陷现象</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渗漏介质</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缺陷原因</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处理措施</w:t>
            </w:r>
          </w:p>
          <w:p>
            <w:pPr>
              <w:widowControl/>
              <w:spacing w:line="240" w:lineRule="auto"/>
              <w:ind w:firstLine="0" w:firstLineChars="0"/>
              <w:rPr>
                <w:color w:val="000000"/>
                <w:sz w:val="18"/>
                <w:szCs w:val="18"/>
              </w:rPr>
            </w:pPr>
            <w:r>
              <w:rPr>
                <w:rFonts w:hint="eastAsia"/>
                <w:color w:val="000000"/>
                <w:sz w:val="18"/>
                <w:szCs w:val="18"/>
              </w:rPr>
              <w:t>处理结果</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●对缺陷管理相关的基础业务进行设置。</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缺陷处理</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缺陷维护</w:t>
            </w:r>
          </w:p>
          <w:p>
            <w:pPr>
              <w:widowControl/>
              <w:spacing w:line="240" w:lineRule="auto"/>
              <w:ind w:firstLine="0" w:firstLineChars="0"/>
              <w:rPr>
                <w:color w:val="000000"/>
                <w:sz w:val="18"/>
                <w:szCs w:val="18"/>
              </w:rPr>
            </w:pPr>
            <w:r>
              <w:rPr>
                <w:rFonts w:hint="eastAsia"/>
                <w:color w:val="000000"/>
                <w:sz w:val="18"/>
                <w:szCs w:val="18"/>
              </w:rPr>
              <w:t>缺陷查询</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●对缺陷登记、缺陷诊断、缺陷消除到消缺验收的整个处理过程进行管理。</w:t>
            </w:r>
          </w:p>
        </w:tc>
      </w:tr>
      <w:tr>
        <w:tblPrEx>
          <w:tblCellMar>
            <w:top w:w="0" w:type="dxa"/>
            <w:left w:w="108" w:type="dxa"/>
            <w:bottom w:w="0" w:type="dxa"/>
            <w:right w:w="108" w:type="dxa"/>
          </w:tblCellMar>
        </w:tblPrEx>
        <w:trPr>
          <w:trHeight w:val="720" w:hRule="atLeast"/>
        </w:trPr>
        <w:tc>
          <w:tcPr>
            <w:tcW w:w="1060" w:type="dxa"/>
            <w:vMerge w:val="continue"/>
            <w:tcBorders>
              <w:left w:val="single" w:color="auto" w:sz="4" w:space="0"/>
              <w:bottom w:val="single" w:color="auto" w:sz="4" w:space="0"/>
              <w:right w:val="single" w:color="auto" w:sz="4" w:space="0"/>
            </w:tcBorders>
            <w:noWrap w:val="0"/>
            <w:vAlign w:val="center"/>
          </w:tcPr>
          <w:p>
            <w:pPr>
              <w:widowControl/>
              <w:spacing w:line="240" w:lineRule="auto"/>
              <w:ind w:firstLine="0" w:firstLineChars="0"/>
              <w:rPr>
                <w:b/>
                <w:bCs/>
                <w:color w:val="000000"/>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缺陷统计</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汇总方式</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缺陷指标</w:t>
            </w:r>
          </w:p>
          <w:p>
            <w:pPr>
              <w:widowControl/>
              <w:spacing w:line="240" w:lineRule="auto"/>
              <w:ind w:firstLine="0" w:firstLineChars="0"/>
              <w:rPr>
                <w:color w:val="000000"/>
                <w:sz w:val="18"/>
                <w:szCs w:val="18"/>
              </w:rPr>
            </w:pPr>
            <w:r>
              <w:rPr>
                <w:rFonts w:hint="eastAsia"/>
                <w:color w:val="000000"/>
                <w:sz w:val="18"/>
                <w:szCs w:val="18"/>
              </w:rPr>
              <w:t>消缺统计</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●可按缺陷类别、设备、班组和专业等统计方式对缺陷率、消缺率、不及时率等缺陷处理情况进行统计。</w:t>
            </w:r>
          </w:p>
          <w:p>
            <w:pPr>
              <w:widowControl/>
              <w:spacing w:line="240" w:lineRule="auto"/>
              <w:ind w:firstLine="0" w:firstLineChars="0"/>
              <w:rPr>
                <w:color w:val="000000"/>
                <w:sz w:val="18"/>
                <w:szCs w:val="18"/>
              </w:rPr>
            </w:pPr>
            <w:r>
              <w:rPr>
                <w:rFonts w:hint="eastAsia"/>
                <w:color w:val="000000"/>
                <w:sz w:val="18"/>
                <w:szCs w:val="18"/>
              </w:rPr>
              <w:t>●支持自定义缺陷统计指标。</w:t>
            </w:r>
          </w:p>
        </w:tc>
      </w:tr>
      <w:tr>
        <w:tblPrEx>
          <w:tblCellMar>
            <w:top w:w="0" w:type="dxa"/>
            <w:left w:w="108" w:type="dxa"/>
            <w:bottom w:w="0" w:type="dxa"/>
            <w:right w:w="108" w:type="dxa"/>
          </w:tblCellMar>
        </w:tblPrEx>
        <w:trPr>
          <w:trHeight w:val="260" w:hRule="atLeast"/>
        </w:trPr>
        <w:tc>
          <w:tcPr>
            <w:tcW w:w="106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auto"/>
              <w:ind w:firstLine="0" w:firstLineChars="0"/>
              <w:jc w:val="center"/>
              <w:rPr>
                <w:b/>
                <w:bCs/>
                <w:sz w:val="18"/>
                <w:szCs w:val="18"/>
              </w:rPr>
            </w:pPr>
            <w:r>
              <w:rPr>
                <w:rFonts w:hint="eastAsia"/>
                <w:b/>
                <w:bCs/>
                <w:sz w:val="18"/>
                <w:szCs w:val="18"/>
              </w:rPr>
              <w:t>检修管理</w:t>
            </w:r>
          </w:p>
        </w:tc>
        <w:tc>
          <w:tcPr>
            <w:tcW w:w="949" w:type="dxa"/>
            <w:tcBorders>
              <w:top w:val="nil"/>
              <w:left w:val="nil"/>
              <w:bottom w:val="single" w:color="auto" w:sz="4" w:space="0"/>
              <w:right w:val="single" w:color="auto" w:sz="4" w:space="0"/>
            </w:tcBorders>
            <w:noWrap/>
            <w:vAlign w:val="center"/>
          </w:tcPr>
          <w:p>
            <w:pPr>
              <w:widowControl/>
              <w:spacing w:line="240" w:lineRule="auto"/>
              <w:ind w:firstLine="0" w:firstLineChars="0"/>
              <w:rPr>
                <w:color w:val="000000"/>
                <w:sz w:val="18"/>
                <w:szCs w:val="18"/>
              </w:rPr>
            </w:pPr>
            <w:r>
              <w:rPr>
                <w:rFonts w:hint="eastAsia"/>
                <w:color w:val="000000"/>
                <w:sz w:val="18"/>
                <w:szCs w:val="18"/>
              </w:rPr>
              <w:t>项目计划</w:t>
            </w:r>
          </w:p>
        </w:tc>
        <w:tc>
          <w:tcPr>
            <w:tcW w:w="1559" w:type="dxa"/>
            <w:tcBorders>
              <w:top w:val="nil"/>
              <w:left w:val="nil"/>
              <w:bottom w:val="single" w:color="auto" w:sz="4" w:space="0"/>
              <w:right w:val="single" w:color="auto" w:sz="4" w:space="0"/>
            </w:tcBorders>
            <w:noWrap/>
            <w:vAlign w:val="center"/>
          </w:tcPr>
          <w:p>
            <w:pPr>
              <w:widowControl/>
              <w:spacing w:line="240" w:lineRule="auto"/>
              <w:ind w:firstLine="0" w:firstLineChars="0"/>
              <w:rPr>
                <w:color w:val="000000"/>
                <w:sz w:val="18"/>
                <w:szCs w:val="18"/>
              </w:rPr>
            </w:pPr>
            <w:r>
              <w:rPr>
                <w:rFonts w:hint="eastAsia"/>
                <w:color w:val="000000"/>
                <w:sz w:val="18"/>
                <w:szCs w:val="18"/>
              </w:rPr>
              <w:t>项目计划</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●支持登记、审批年度检修计划，支持流程审批。</w:t>
            </w:r>
          </w:p>
        </w:tc>
      </w:tr>
      <w:tr>
        <w:tblPrEx>
          <w:tblCellMar>
            <w:top w:w="0" w:type="dxa"/>
            <w:left w:w="108" w:type="dxa"/>
            <w:bottom w:w="0" w:type="dxa"/>
            <w:right w:w="108" w:type="dxa"/>
          </w:tblCellMar>
        </w:tblPrEx>
        <w:trPr>
          <w:trHeight w:val="1440" w:hRule="atLeast"/>
        </w:trPr>
        <w:tc>
          <w:tcPr>
            <w:tcW w:w="106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firstLineChars="0"/>
              <w:rPr>
                <w:b/>
                <w:bCs/>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检修申请单</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检修申请单</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●电站填写检修申请单，向集控申请，支持上传附件。</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●支持工作流，集控及职能部门审批检修申请单。</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●检修申请单与操作票关联，操作申请审批后，执行操作票。</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●检修申请单与工作票关联，集控审核工作票批准开工。</w:t>
            </w:r>
          </w:p>
          <w:p>
            <w:pPr>
              <w:widowControl/>
              <w:spacing w:line="240" w:lineRule="auto"/>
              <w:ind w:firstLine="0" w:firstLineChars="0"/>
              <w:rPr>
                <w:rFonts w:hint="eastAsia" w:eastAsia="宋体"/>
                <w:color w:val="000000"/>
                <w:sz w:val="18"/>
                <w:szCs w:val="18"/>
                <w:lang w:eastAsia="zh-CN"/>
              </w:rPr>
            </w:pPr>
            <w:r>
              <w:rPr>
                <w:rFonts w:hint="eastAsia"/>
                <w:color w:val="000000"/>
                <w:sz w:val="18"/>
                <w:szCs w:val="18"/>
              </w:rPr>
              <w:t>●检修申请单支持与停送电单关联。</w:t>
            </w:r>
          </w:p>
          <w:p>
            <w:pPr>
              <w:widowControl/>
              <w:spacing w:line="240" w:lineRule="auto"/>
              <w:ind w:firstLine="0" w:firstLineChars="0"/>
              <w:rPr>
                <w:color w:val="000000"/>
                <w:sz w:val="18"/>
                <w:szCs w:val="18"/>
              </w:rPr>
            </w:pPr>
            <w:r>
              <w:rPr>
                <w:rFonts w:hint="eastAsia"/>
                <w:color w:val="000000"/>
                <w:sz w:val="18"/>
                <w:szCs w:val="18"/>
              </w:rPr>
              <w:t>●检修申请单支持办理延期。</w:t>
            </w:r>
          </w:p>
        </w:tc>
      </w:tr>
      <w:tr>
        <w:tblPrEx>
          <w:tblCellMar>
            <w:top w:w="0" w:type="dxa"/>
            <w:left w:w="108" w:type="dxa"/>
            <w:bottom w:w="0" w:type="dxa"/>
            <w:right w:w="108" w:type="dxa"/>
          </w:tblCellMar>
        </w:tblPrEx>
        <w:trPr>
          <w:trHeight w:val="260" w:hRule="atLeast"/>
        </w:trPr>
        <w:tc>
          <w:tcPr>
            <w:tcW w:w="106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firstLineChars="0"/>
              <w:rPr>
                <w:b/>
                <w:bCs/>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检修报告</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检修报告</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color w:val="000000"/>
                <w:sz w:val="18"/>
                <w:szCs w:val="18"/>
              </w:rPr>
            </w:pPr>
            <w:r>
              <w:rPr>
                <w:rFonts w:hint="eastAsia"/>
                <w:color w:val="000000"/>
                <w:sz w:val="18"/>
                <w:szCs w:val="18"/>
              </w:rPr>
              <w:t>●支持登记、审批检修报告。</w:t>
            </w:r>
          </w:p>
        </w:tc>
      </w:tr>
      <w:tr>
        <w:tblPrEx>
          <w:tblCellMar>
            <w:top w:w="0" w:type="dxa"/>
            <w:left w:w="108" w:type="dxa"/>
            <w:bottom w:w="0" w:type="dxa"/>
            <w:right w:w="108" w:type="dxa"/>
          </w:tblCellMar>
        </w:tblPrEx>
        <w:trPr>
          <w:trHeight w:val="960" w:hRule="atLeast"/>
        </w:trPr>
        <w:tc>
          <w:tcPr>
            <w:tcW w:w="10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b/>
                <w:bCs/>
                <w:sz w:val="18"/>
                <w:szCs w:val="18"/>
              </w:rPr>
            </w:pPr>
            <w:r>
              <w:rPr>
                <w:rFonts w:hint="eastAsia"/>
                <w:b/>
                <w:bCs/>
                <w:sz w:val="18"/>
                <w:szCs w:val="18"/>
              </w:rPr>
              <w:t>运行管理</w:t>
            </w: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运行日志</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sz w:val="18"/>
                <w:szCs w:val="18"/>
                <w:lang w:eastAsia="zh-CN"/>
              </w:rPr>
            </w:pPr>
            <w:r>
              <w:rPr>
                <w:rFonts w:hint="eastAsia"/>
                <w:sz w:val="18"/>
                <w:szCs w:val="18"/>
              </w:rPr>
              <w:t>登记相关交待</w:t>
            </w:r>
          </w:p>
          <w:p>
            <w:pPr>
              <w:widowControl/>
              <w:spacing w:line="240" w:lineRule="auto"/>
              <w:ind w:firstLine="0" w:firstLineChars="0"/>
              <w:rPr>
                <w:rFonts w:hint="eastAsia" w:eastAsia="宋体"/>
                <w:sz w:val="18"/>
                <w:szCs w:val="18"/>
                <w:lang w:eastAsia="zh-CN"/>
              </w:rPr>
            </w:pPr>
            <w:r>
              <w:rPr>
                <w:rFonts w:hint="eastAsia"/>
                <w:sz w:val="18"/>
                <w:szCs w:val="18"/>
              </w:rPr>
              <w:t>登记值班记录</w:t>
            </w:r>
          </w:p>
          <w:p>
            <w:pPr>
              <w:widowControl/>
              <w:spacing w:line="240" w:lineRule="auto"/>
              <w:ind w:firstLine="0" w:firstLineChars="0"/>
              <w:rPr>
                <w:rFonts w:hint="eastAsia" w:eastAsia="宋体"/>
                <w:sz w:val="18"/>
                <w:szCs w:val="18"/>
                <w:lang w:eastAsia="zh-CN"/>
              </w:rPr>
            </w:pPr>
            <w:r>
              <w:rPr>
                <w:rFonts w:hint="eastAsia"/>
                <w:sz w:val="18"/>
                <w:szCs w:val="18"/>
              </w:rPr>
              <w:t>查询值班记事</w:t>
            </w:r>
          </w:p>
          <w:p>
            <w:pPr>
              <w:widowControl/>
              <w:spacing w:line="240" w:lineRule="auto"/>
              <w:ind w:firstLine="0" w:firstLineChars="0"/>
              <w:rPr>
                <w:sz w:val="18"/>
                <w:szCs w:val="18"/>
              </w:rPr>
            </w:pPr>
            <w:r>
              <w:rPr>
                <w:rFonts w:hint="eastAsia"/>
                <w:sz w:val="18"/>
                <w:szCs w:val="18"/>
              </w:rPr>
              <w:t>查询值班报表</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●记录各运行岗位（值长、单元长、班组长等）当班期间的相关信息，包括岗位记事、设备状态、指标值、操作记录等相关信息。</w:t>
            </w:r>
          </w:p>
        </w:tc>
      </w:tr>
      <w:tr>
        <w:tblPrEx>
          <w:tblCellMar>
            <w:top w:w="0" w:type="dxa"/>
            <w:left w:w="108" w:type="dxa"/>
            <w:bottom w:w="0" w:type="dxa"/>
            <w:right w:w="108" w:type="dxa"/>
          </w:tblCellMar>
        </w:tblPrEx>
        <w:trPr>
          <w:trHeight w:val="120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定期工作</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sz w:val="18"/>
                <w:szCs w:val="18"/>
                <w:lang w:eastAsia="zh-CN"/>
              </w:rPr>
            </w:pPr>
            <w:r>
              <w:rPr>
                <w:rFonts w:hint="eastAsia"/>
                <w:sz w:val="18"/>
                <w:szCs w:val="18"/>
              </w:rPr>
              <w:t>定期工作类别</w:t>
            </w:r>
          </w:p>
          <w:p>
            <w:pPr>
              <w:widowControl/>
              <w:spacing w:line="240" w:lineRule="auto"/>
              <w:ind w:firstLine="0" w:firstLineChars="0"/>
              <w:rPr>
                <w:rFonts w:hint="eastAsia" w:eastAsia="宋体"/>
                <w:sz w:val="18"/>
                <w:szCs w:val="18"/>
                <w:lang w:eastAsia="zh-CN"/>
              </w:rPr>
            </w:pPr>
            <w:r>
              <w:rPr>
                <w:rFonts w:hint="eastAsia"/>
                <w:sz w:val="18"/>
                <w:szCs w:val="18"/>
              </w:rPr>
              <w:t>定期工作内容</w:t>
            </w:r>
          </w:p>
          <w:p>
            <w:pPr>
              <w:widowControl/>
              <w:spacing w:line="240" w:lineRule="auto"/>
              <w:ind w:firstLine="0" w:firstLineChars="0"/>
              <w:rPr>
                <w:rFonts w:hint="eastAsia" w:eastAsia="宋体"/>
                <w:sz w:val="18"/>
                <w:szCs w:val="18"/>
                <w:lang w:eastAsia="zh-CN"/>
              </w:rPr>
            </w:pPr>
            <w:r>
              <w:rPr>
                <w:rFonts w:hint="eastAsia"/>
                <w:sz w:val="18"/>
                <w:szCs w:val="18"/>
              </w:rPr>
              <w:t>登记定期工作</w:t>
            </w:r>
          </w:p>
          <w:p>
            <w:pPr>
              <w:widowControl/>
              <w:spacing w:line="240" w:lineRule="auto"/>
              <w:ind w:firstLine="0" w:firstLineChars="0"/>
              <w:rPr>
                <w:rFonts w:hint="eastAsia" w:eastAsia="宋体"/>
                <w:sz w:val="18"/>
                <w:szCs w:val="18"/>
                <w:lang w:eastAsia="zh-CN"/>
              </w:rPr>
            </w:pPr>
            <w:r>
              <w:rPr>
                <w:rFonts w:hint="eastAsia"/>
                <w:sz w:val="18"/>
                <w:szCs w:val="18"/>
              </w:rPr>
              <w:t>查询定期工作</w:t>
            </w:r>
          </w:p>
          <w:p>
            <w:pPr>
              <w:widowControl/>
              <w:spacing w:line="240" w:lineRule="auto"/>
              <w:ind w:firstLine="0" w:firstLineChars="0"/>
              <w:rPr>
                <w:sz w:val="18"/>
                <w:szCs w:val="18"/>
              </w:rPr>
            </w:pPr>
            <w:r>
              <w:rPr>
                <w:rFonts w:hint="eastAsia"/>
                <w:sz w:val="18"/>
                <w:szCs w:val="18"/>
              </w:rPr>
              <w:t>定期工作预警</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●通过设置相关岗位的定期工作，系统根据周期自动生成相关岗位的定期工作，并记录完成情况。</w:t>
            </w:r>
          </w:p>
        </w:tc>
      </w:tr>
      <w:tr>
        <w:tblPrEx>
          <w:tblCellMar>
            <w:top w:w="0" w:type="dxa"/>
            <w:left w:w="108" w:type="dxa"/>
            <w:bottom w:w="0" w:type="dxa"/>
            <w:right w:w="108" w:type="dxa"/>
          </w:tblCellMar>
        </w:tblPrEx>
        <w:trPr>
          <w:trHeight w:val="26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运行台账</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事故预想</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●记录事故预想相关信息。</w:t>
            </w:r>
          </w:p>
        </w:tc>
      </w:tr>
      <w:tr>
        <w:tblPrEx>
          <w:tblCellMar>
            <w:top w:w="0" w:type="dxa"/>
            <w:left w:w="108" w:type="dxa"/>
            <w:bottom w:w="0" w:type="dxa"/>
            <w:right w:w="108" w:type="dxa"/>
          </w:tblCellMar>
        </w:tblPrEx>
        <w:trPr>
          <w:trHeight w:val="26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设备停复役申请</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●记录办理的设备停复役申请相关信息，支持流程审核。</w:t>
            </w:r>
          </w:p>
        </w:tc>
      </w:tr>
      <w:tr>
        <w:tblPrEx>
          <w:tblCellMar>
            <w:top w:w="0" w:type="dxa"/>
            <w:left w:w="108" w:type="dxa"/>
            <w:bottom w:w="0" w:type="dxa"/>
            <w:right w:w="108" w:type="dxa"/>
          </w:tblCellMar>
        </w:tblPrEx>
        <w:trPr>
          <w:trHeight w:val="72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sz w:val="18"/>
                <w:szCs w:val="18"/>
                <w:lang w:eastAsia="zh-CN"/>
              </w:rPr>
            </w:pPr>
            <w:r>
              <w:rPr>
                <w:rFonts w:hint="eastAsia"/>
                <w:sz w:val="18"/>
                <w:szCs w:val="18"/>
              </w:rPr>
              <w:t>设置机组状态</w:t>
            </w:r>
          </w:p>
          <w:p>
            <w:pPr>
              <w:widowControl/>
              <w:spacing w:line="240" w:lineRule="auto"/>
              <w:ind w:firstLine="0" w:firstLineChars="0"/>
              <w:rPr>
                <w:rFonts w:hint="eastAsia" w:eastAsia="宋体"/>
                <w:sz w:val="18"/>
                <w:szCs w:val="18"/>
                <w:lang w:eastAsia="zh-CN"/>
              </w:rPr>
            </w:pPr>
            <w:r>
              <w:rPr>
                <w:rFonts w:hint="eastAsia"/>
                <w:sz w:val="18"/>
                <w:szCs w:val="18"/>
              </w:rPr>
              <w:t>查询机组状态</w:t>
            </w:r>
          </w:p>
          <w:p>
            <w:pPr>
              <w:widowControl/>
              <w:spacing w:line="240" w:lineRule="auto"/>
              <w:ind w:firstLine="0" w:firstLineChars="0"/>
              <w:rPr>
                <w:sz w:val="18"/>
                <w:szCs w:val="18"/>
              </w:rPr>
            </w:pPr>
            <w:r>
              <w:rPr>
                <w:rFonts w:hint="eastAsia"/>
                <w:sz w:val="18"/>
                <w:szCs w:val="18"/>
              </w:rPr>
              <w:t>机组状态登记</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●记录机组状态变更信息。</w:t>
            </w:r>
          </w:p>
        </w:tc>
      </w:tr>
      <w:tr>
        <w:tblPrEx>
          <w:tblCellMar>
            <w:top w:w="0" w:type="dxa"/>
            <w:left w:w="108" w:type="dxa"/>
            <w:bottom w:w="0" w:type="dxa"/>
            <w:right w:w="108" w:type="dxa"/>
          </w:tblCellMar>
        </w:tblPrEx>
        <w:trPr>
          <w:trHeight w:val="26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机组启停记录</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●记录机组启停相关信息。</w:t>
            </w:r>
          </w:p>
        </w:tc>
      </w:tr>
      <w:tr>
        <w:tblPrEx>
          <w:tblCellMar>
            <w:top w:w="0" w:type="dxa"/>
            <w:left w:w="108" w:type="dxa"/>
            <w:bottom w:w="0" w:type="dxa"/>
            <w:right w:w="108" w:type="dxa"/>
          </w:tblCellMar>
        </w:tblPrEx>
        <w:trPr>
          <w:trHeight w:val="26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闸门启闭记录</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●记录闸门启闭相关信息。</w:t>
            </w:r>
          </w:p>
        </w:tc>
      </w:tr>
      <w:tr>
        <w:tblPrEx>
          <w:tblCellMar>
            <w:top w:w="0" w:type="dxa"/>
            <w:left w:w="108" w:type="dxa"/>
            <w:bottom w:w="0" w:type="dxa"/>
            <w:right w:w="108" w:type="dxa"/>
          </w:tblCellMar>
        </w:tblPrEx>
        <w:trPr>
          <w:trHeight w:val="26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反事故演习</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●记录反事故演习相关信息。</w:t>
            </w:r>
          </w:p>
        </w:tc>
      </w:tr>
      <w:tr>
        <w:tblPrEx>
          <w:tblCellMar>
            <w:top w:w="0" w:type="dxa"/>
            <w:left w:w="108" w:type="dxa"/>
            <w:bottom w:w="0" w:type="dxa"/>
            <w:right w:w="108" w:type="dxa"/>
          </w:tblCellMar>
        </w:tblPrEx>
        <w:trPr>
          <w:trHeight w:val="26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运行分析记录</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●记录运行分析相关信息。</w:t>
            </w:r>
          </w:p>
        </w:tc>
      </w:tr>
      <w:tr>
        <w:tblPrEx>
          <w:tblCellMar>
            <w:top w:w="0" w:type="dxa"/>
            <w:left w:w="108" w:type="dxa"/>
            <w:bottom w:w="0" w:type="dxa"/>
            <w:right w:w="108" w:type="dxa"/>
          </w:tblCellMar>
        </w:tblPrEx>
        <w:trPr>
          <w:trHeight w:val="699"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sz w:val="18"/>
                <w:szCs w:val="18"/>
                <w:lang w:eastAsia="zh-CN"/>
              </w:rPr>
            </w:pPr>
            <w:r>
              <w:rPr>
                <w:rFonts w:hint="eastAsia"/>
                <w:sz w:val="18"/>
                <w:szCs w:val="18"/>
              </w:rPr>
              <w:t>接地线（地刀闸）登记</w:t>
            </w:r>
          </w:p>
          <w:p>
            <w:pPr>
              <w:widowControl/>
              <w:spacing w:line="240" w:lineRule="auto"/>
              <w:ind w:firstLine="0" w:firstLineChars="0"/>
              <w:rPr>
                <w:sz w:val="18"/>
                <w:szCs w:val="18"/>
              </w:rPr>
            </w:pPr>
            <w:r>
              <w:rPr>
                <w:rFonts w:hint="eastAsia"/>
                <w:sz w:val="18"/>
                <w:szCs w:val="18"/>
              </w:rPr>
              <w:t>装设接地线（地刀闸）记录</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●记录接地线（地刀闸）相关信息。</w:t>
            </w:r>
          </w:p>
        </w:tc>
      </w:tr>
      <w:tr>
        <w:tblPrEx>
          <w:tblCellMar>
            <w:top w:w="0" w:type="dxa"/>
            <w:left w:w="108" w:type="dxa"/>
            <w:bottom w:w="0" w:type="dxa"/>
            <w:right w:w="108" w:type="dxa"/>
          </w:tblCellMar>
        </w:tblPrEx>
        <w:trPr>
          <w:trHeight w:val="26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操作指令记录</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●记录操作指令相关信息。</w:t>
            </w:r>
          </w:p>
        </w:tc>
      </w:tr>
      <w:tr>
        <w:tblPrEx>
          <w:tblCellMar>
            <w:top w:w="0" w:type="dxa"/>
            <w:left w:w="108" w:type="dxa"/>
            <w:bottom w:w="0" w:type="dxa"/>
            <w:right w:w="108" w:type="dxa"/>
          </w:tblCellMar>
        </w:tblPrEx>
        <w:trPr>
          <w:trHeight w:val="26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技术问答</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●记录技术问答相关信息。</w:t>
            </w:r>
          </w:p>
        </w:tc>
      </w:tr>
      <w:tr>
        <w:tblPrEx>
          <w:tblCellMar>
            <w:top w:w="0" w:type="dxa"/>
            <w:left w:w="108" w:type="dxa"/>
            <w:bottom w:w="0" w:type="dxa"/>
            <w:right w:w="108" w:type="dxa"/>
          </w:tblCellMar>
        </w:tblPrEx>
        <w:trPr>
          <w:trHeight w:val="260" w:hRule="atLeast"/>
        </w:trPr>
        <w:tc>
          <w:tcPr>
            <w:tcW w:w="10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b/>
                <w:bCs/>
                <w:sz w:val="18"/>
                <w:szCs w:val="18"/>
              </w:rPr>
            </w:pPr>
            <w:r>
              <w:rPr>
                <w:rFonts w:hint="eastAsia"/>
                <w:b/>
                <w:bCs/>
                <w:sz w:val="18"/>
                <w:szCs w:val="18"/>
              </w:rPr>
              <w:t>两票管理</w:t>
            </w: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操作票票种</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操作票票种</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●设置操作票票种。</w:t>
            </w:r>
          </w:p>
        </w:tc>
      </w:tr>
      <w:tr>
        <w:tblPrEx>
          <w:tblCellMar>
            <w:top w:w="0" w:type="dxa"/>
            <w:left w:w="108" w:type="dxa"/>
            <w:bottom w:w="0" w:type="dxa"/>
            <w:right w:w="108" w:type="dxa"/>
          </w:tblCellMar>
        </w:tblPrEx>
        <w:trPr>
          <w:trHeight w:val="26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典型操作票</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典型操作票</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●登记典型操作票的信息，以便在开操作票时能快速、方便地调用典型票。</w:t>
            </w:r>
          </w:p>
        </w:tc>
      </w:tr>
      <w:tr>
        <w:tblPrEx>
          <w:tblCellMar>
            <w:top w:w="0" w:type="dxa"/>
            <w:left w:w="108" w:type="dxa"/>
            <w:bottom w:w="0" w:type="dxa"/>
            <w:right w:w="108" w:type="dxa"/>
          </w:tblCellMar>
        </w:tblPrEx>
        <w:trPr>
          <w:trHeight w:val="26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操作票</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操作票维护</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●实现操作票的流程化管理，根据操作步骤填写操作情况。</w:t>
            </w:r>
          </w:p>
        </w:tc>
      </w:tr>
      <w:tr>
        <w:tblPrEx>
          <w:tblCellMar>
            <w:top w:w="0" w:type="dxa"/>
            <w:left w:w="108" w:type="dxa"/>
            <w:bottom w:w="0" w:type="dxa"/>
            <w:right w:w="108" w:type="dxa"/>
          </w:tblCellMar>
        </w:tblPrEx>
        <w:trPr>
          <w:trHeight w:val="72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查询统计</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sz w:val="18"/>
                <w:szCs w:val="18"/>
                <w:lang w:eastAsia="zh-CN"/>
              </w:rPr>
            </w:pPr>
            <w:r>
              <w:rPr>
                <w:rFonts w:hint="eastAsia"/>
                <w:sz w:val="18"/>
                <w:szCs w:val="18"/>
              </w:rPr>
              <w:t>操作票查询</w:t>
            </w:r>
          </w:p>
          <w:p>
            <w:pPr>
              <w:widowControl/>
              <w:spacing w:line="240" w:lineRule="auto"/>
              <w:ind w:firstLine="0" w:firstLineChars="0"/>
              <w:rPr>
                <w:rFonts w:hint="eastAsia" w:eastAsia="宋体"/>
                <w:sz w:val="18"/>
                <w:szCs w:val="18"/>
                <w:lang w:eastAsia="zh-CN"/>
              </w:rPr>
            </w:pPr>
            <w:r>
              <w:rPr>
                <w:rFonts w:hint="eastAsia"/>
                <w:sz w:val="18"/>
                <w:szCs w:val="18"/>
              </w:rPr>
              <w:t>操作票统计</w:t>
            </w:r>
          </w:p>
          <w:p>
            <w:pPr>
              <w:widowControl/>
              <w:spacing w:line="240" w:lineRule="auto"/>
              <w:ind w:firstLine="0" w:firstLineChars="0"/>
              <w:rPr>
                <w:sz w:val="18"/>
                <w:szCs w:val="18"/>
              </w:rPr>
            </w:pPr>
            <w:r>
              <w:rPr>
                <w:rFonts w:hint="eastAsia"/>
                <w:sz w:val="18"/>
                <w:szCs w:val="18"/>
              </w:rPr>
              <w:t>千次操作统计</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●支持各种操作票不同组合方式查询。</w:t>
            </w:r>
          </w:p>
        </w:tc>
      </w:tr>
      <w:tr>
        <w:tblPrEx>
          <w:tblCellMar>
            <w:top w:w="0" w:type="dxa"/>
            <w:left w:w="108" w:type="dxa"/>
            <w:bottom w:w="0" w:type="dxa"/>
            <w:right w:w="108" w:type="dxa"/>
          </w:tblCellMar>
        </w:tblPrEx>
        <w:trPr>
          <w:trHeight w:val="48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票种设置</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票种设置</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●设置工作票票种，内容包括票种编码、票种名称、编号规则、主辅票关系。</w:t>
            </w:r>
          </w:p>
        </w:tc>
      </w:tr>
      <w:tr>
        <w:tblPrEx>
          <w:tblCellMar>
            <w:top w:w="0" w:type="dxa"/>
            <w:left w:w="108" w:type="dxa"/>
            <w:bottom w:w="0" w:type="dxa"/>
            <w:right w:w="108" w:type="dxa"/>
          </w:tblCellMar>
        </w:tblPrEx>
        <w:trPr>
          <w:trHeight w:val="56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工作票办理</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工作票办理</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●实现工作票的流程化管理，支持工作票标准库，供运行、检修人员调用直接生成工作票，具备进行作业“危险点（源）辨识和预控”的管理功能。</w:t>
            </w:r>
          </w:p>
        </w:tc>
      </w:tr>
      <w:tr>
        <w:tblPrEx>
          <w:tblCellMar>
            <w:top w:w="0" w:type="dxa"/>
            <w:left w:w="108" w:type="dxa"/>
            <w:bottom w:w="0" w:type="dxa"/>
            <w:right w:w="108" w:type="dxa"/>
          </w:tblCellMar>
        </w:tblPrEx>
        <w:trPr>
          <w:trHeight w:val="48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查询统计</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hint="eastAsia" w:eastAsia="宋体"/>
                <w:sz w:val="18"/>
                <w:szCs w:val="18"/>
                <w:lang w:eastAsia="zh-CN"/>
              </w:rPr>
            </w:pPr>
            <w:r>
              <w:rPr>
                <w:rFonts w:hint="eastAsia"/>
                <w:sz w:val="18"/>
                <w:szCs w:val="18"/>
              </w:rPr>
              <w:t>工作票查询</w:t>
            </w:r>
          </w:p>
          <w:p>
            <w:pPr>
              <w:widowControl/>
              <w:spacing w:line="240" w:lineRule="auto"/>
              <w:ind w:firstLine="0" w:firstLineChars="0"/>
              <w:rPr>
                <w:sz w:val="18"/>
                <w:szCs w:val="18"/>
              </w:rPr>
            </w:pPr>
            <w:r>
              <w:rPr>
                <w:rFonts w:hint="eastAsia"/>
                <w:sz w:val="18"/>
                <w:szCs w:val="18"/>
              </w:rPr>
              <w:t>工作票统计</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●用于查询汇总各类工作票。</w:t>
            </w:r>
          </w:p>
        </w:tc>
      </w:tr>
      <w:tr>
        <w:tblPrEx>
          <w:tblCellMar>
            <w:top w:w="0" w:type="dxa"/>
            <w:left w:w="108" w:type="dxa"/>
            <w:bottom w:w="0" w:type="dxa"/>
            <w:right w:w="108" w:type="dxa"/>
          </w:tblCellMar>
        </w:tblPrEx>
        <w:trPr>
          <w:trHeight w:val="260" w:hRule="atLeast"/>
        </w:trPr>
        <w:tc>
          <w:tcPr>
            <w:tcW w:w="10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b/>
                <w:bCs/>
                <w:sz w:val="18"/>
                <w:szCs w:val="18"/>
              </w:rPr>
            </w:pPr>
            <w:r>
              <w:rPr>
                <w:rFonts w:hint="eastAsia"/>
                <w:b/>
                <w:bCs/>
                <w:sz w:val="18"/>
                <w:szCs w:val="18"/>
              </w:rPr>
              <w:t>闸门调度管理</w:t>
            </w: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闸门登记</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闸门登记</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●用于登记闸门基础信息。</w:t>
            </w:r>
          </w:p>
        </w:tc>
      </w:tr>
      <w:tr>
        <w:tblPrEx>
          <w:tblCellMar>
            <w:top w:w="0" w:type="dxa"/>
            <w:left w:w="108" w:type="dxa"/>
            <w:bottom w:w="0" w:type="dxa"/>
            <w:right w:w="108" w:type="dxa"/>
          </w:tblCellMar>
        </w:tblPrEx>
        <w:trPr>
          <w:trHeight w:val="48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闸门开度流量对照</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闸门开度流量对照</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●登记闸门在不同水位时的开度、流量对照表。</w:t>
            </w:r>
          </w:p>
        </w:tc>
      </w:tr>
      <w:tr>
        <w:tblPrEx>
          <w:tblCellMar>
            <w:top w:w="0" w:type="dxa"/>
            <w:left w:w="108" w:type="dxa"/>
            <w:bottom w:w="0" w:type="dxa"/>
            <w:right w:w="108" w:type="dxa"/>
          </w:tblCellMar>
        </w:tblPrEx>
        <w:trPr>
          <w:trHeight w:val="48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闸门操作令</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闸门操作令</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●内容包含命令报审、操作方式、受令情况、执行结果，闸门操作令支持流程审批。</w:t>
            </w:r>
          </w:p>
        </w:tc>
      </w:tr>
      <w:tr>
        <w:tblPrEx>
          <w:tblCellMar>
            <w:top w:w="0" w:type="dxa"/>
            <w:left w:w="108" w:type="dxa"/>
            <w:bottom w:w="0" w:type="dxa"/>
            <w:right w:w="108" w:type="dxa"/>
          </w:tblCellMar>
        </w:tblPrEx>
        <w:trPr>
          <w:trHeight w:val="48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闸门状态登记</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闸门状态登记</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●支持登记闸门的状态，包含：状态变化时间、操作人、监护人。</w:t>
            </w:r>
          </w:p>
        </w:tc>
      </w:tr>
      <w:tr>
        <w:tblPrEx>
          <w:tblCellMar>
            <w:top w:w="0" w:type="dxa"/>
            <w:left w:w="108" w:type="dxa"/>
            <w:bottom w:w="0" w:type="dxa"/>
            <w:right w:w="108" w:type="dxa"/>
          </w:tblCellMar>
        </w:tblPrEx>
        <w:trPr>
          <w:trHeight w:val="480" w:hRule="atLeast"/>
        </w:trPr>
        <w:tc>
          <w:tcPr>
            <w:tcW w:w="10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rPr>
                <w:b/>
                <w:bCs/>
                <w:sz w:val="18"/>
                <w:szCs w:val="18"/>
              </w:rPr>
            </w:pPr>
          </w:p>
        </w:tc>
        <w:tc>
          <w:tcPr>
            <w:tcW w:w="94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闸门状态查询</w:t>
            </w:r>
          </w:p>
        </w:tc>
        <w:tc>
          <w:tcPr>
            <w:tcW w:w="1559"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这门状态查询</w:t>
            </w:r>
          </w:p>
        </w:tc>
        <w:tc>
          <w:tcPr>
            <w:tcW w:w="4678" w:type="dxa"/>
            <w:tcBorders>
              <w:top w:val="nil"/>
              <w:left w:val="nil"/>
              <w:bottom w:val="single" w:color="auto" w:sz="4" w:space="0"/>
              <w:right w:val="single" w:color="auto" w:sz="4" w:space="0"/>
            </w:tcBorders>
            <w:noWrap w:val="0"/>
            <w:vAlign w:val="center"/>
          </w:tcPr>
          <w:p>
            <w:pPr>
              <w:widowControl/>
              <w:spacing w:line="240" w:lineRule="auto"/>
              <w:ind w:firstLine="0" w:firstLineChars="0"/>
              <w:rPr>
                <w:sz w:val="18"/>
                <w:szCs w:val="18"/>
              </w:rPr>
            </w:pPr>
            <w:r>
              <w:rPr>
                <w:rFonts w:hint="eastAsia"/>
                <w:sz w:val="18"/>
                <w:szCs w:val="18"/>
              </w:rPr>
              <w:t>●支持查询闸门开、闭的时长。</w:t>
            </w:r>
          </w:p>
        </w:tc>
      </w:tr>
    </w:tbl>
    <w:p>
      <w:pPr>
        <w:pStyle w:val="29"/>
        <w:outlineLvl w:val="3"/>
        <w:rPr>
          <w:rFonts w:hint="eastAsia"/>
          <w:b/>
          <w:bCs/>
        </w:rPr>
      </w:pPr>
    </w:p>
    <w:p>
      <w:pPr>
        <w:pStyle w:val="29"/>
        <w:outlineLvl w:val="3"/>
        <w:rPr>
          <w:b/>
          <w:bCs/>
        </w:rPr>
      </w:pPr>
      <w:r>
        <w:rPr>
          <w:rFonts w:hint="eastAsia"/>
          <w:b/>
          <w:bCs/>
        </w:rPr>
        <w:t>2.</w:t>
      </w:r>
      <w:r>
        <w:rPr>
          <w:rFonts w:hint="eastAsia"/>
          <w:b/>
          <w:bCs/>
          <w:lang w:val="en-US" w:eastAsia="zh-CN"/>
        </w:rPr>
        <w:t>4</w:t>
      </w:r>
      <w:r>
        <w:rPr>
          <w:rFonts w:hint="eastAsia"/>
          <w:b/>
          <w:bCs/>
        </w:rPr>
        <w:t xml:space="preserve"> 系统技术要求</w:t>
      </w:r>
    </w:p>
    <w:p>
      <w:pPr>
        <w:pStyle w:val="29"/>
        <w:outlineLvl w:val="4"/>
        <w:rPr>
          <w:b/>
          <w:bCs/>
          <w:color w:val="auto"/>
        </w:rPr>
      </w:pPr>
      <w:r>
        <w:rPr>
          <w:rFonts w:hint="eastAsia"/>
          <w:b/>
          <w:bCs/>
          <w:color w:val="auto"/>
        </w:rPr>
        <w:t>2.</w:t>
      </w:r>
      <w:r>
        <w:rPr>
          <w:rFonts w:hint="eastAsia"/>
          <w:b/>
          <w:bCs/>
          <w:color w:val="auto"/>
          <w:lang w:val="en-US" w:eastAsia="zh-CN"/>
        </w:rPr>
        <w:t>4</w:t>
      </w:r>
      <w:r>
        <w:rPr>
          <w:rFonts w:hint="eastAsia"/>
          <w:b/>
          <w:bCs/>
          <w:color w:val="auto"/>
        </w:rPr>
        <w:t>.1 应用软件可靠性</w:t>
      </w:r>
    </w:p>
    <w:p>
      <w:pPr>
        <w:pStyle w:val="29"/>
      </w:pPr>
      <w:r>
        <w:rPr>
          <w:rFonts w:hint="eastAsia"/>
        </w:rPr>
        <w:t>（1）应用系统必须确保连续7×24 小时不间断地正常工作，应用软件中的任一模块更新、加载时不影响业务运转和服务。</w:t>
      </w:r>
    </w:p>
    <w:p>
      <w:pPr>
        <w:pStyle w:val="29"/>
      </w:pPr>
      <w:r>
        <w:rPr>
          <w:rFonts w:hint="eastAsia"/>
        </w:rPr>
        <w:t>（2）通讯接口软件，应具备可靠的TCP/IP传输、转发容错机制。当出现与对方的连接系统暂时断开，如：对方系统重启、网络中断等故障情况下，应用程序应采取适当的容错机制：本地缓存需转发的消息或数据,确保已收到的数据不因目标系统故障或网络中断而丢弃；自动、定时发起重新连接目标系统的请求，确保在目标系统工作正常或网络故障恢复后的第一时间自动恢复接口数据转送和处理。</w:t>
      </w:r>
    </w:p>
    <w:p>
      <w:pPr>
        <w:pStyle w:val="29"/>
      </w:pPr>
      <w:r>
        <w:rPr>
          <w:rFonts w:hint="eastAsia"/>
        </w:rPr>
        <w:t>（3）应用软件应输出详尽、易懂的运行日志(包括成功和失败日志)，每条日志必须有明确的时间戳。错误日志和成功日志应采用独立的文件保存。</w:t>
      </w:r>
    </w:p>
    <w:p>
      <w:pPr>
        <w:pStyle w:val="29"/>
      </w:pPr>
      <w:r>
        <w:rPr>
          <w:rFonts w:hint="eastAsia"/>
        </w:rPr>
        <w:t>（4）</w:t>
      </w:r>
      <w:r>
        <w:rPr>
          <w:rFonts w:hint="eastAsia"/>
          <w:lang w:val="en-US" w:eastAsia="zh-CN"/>
        </w:rPr>
        <w:t xml:space="preserve"> </w:t>
      </w:r>
      <w:r>
        <w:rPr>
          <w:rFonts w:hint="eastAsia"/>
        </w:rPr>
        <w:t>失败日志应明确标注失败原因，失败时调用的模块或功能函数等。每日0 点以日期为后缀自动备份程序运行日志文件，并重新生成新的日志文件。</w:t>
      </w:r>
    </w:p>
    <w:p>
      <w:pPr>
        <w:pStyle w:val="29"/>
        <w:outlineLvl w:val="4"/>
        <w:rPr>
          <w:b/>
          <w:bCs/>
          <w:color w:val="auto"/>
        </w:rPr>
      </w:pPr>
      <w:r>
        <w:rPr>
          <w:rFonts w:hint="eastAsia"/>
          <w:b/>
          <w:bCs/>
          <w:color w:val="auto"/>
        </w:rPr>
        <w:t>2.</w:t>
      </w:r>
      <w:r>
        <w:rPr>
          <w:rFonts w:hint="eastAsia"/>
          <w:b/>
          <w:bCs/>
          <w:color w:val="auto"/>
          <w:lang w:val="en-US" w:eastAsia="zh-CN"/>
        </w:rPr>
        <w:t>4</w:t>
      </w:r>
      <w:r>
        <w:rPr>
          <w:rFonts w:hint="eastAsia"/>
          <w:b/>
          <w:bCs/>
          <w:color w:val="auto"/>
        </w:rPr>
        <w:t>.2 数据安全性</w:t>
      </w:r>
    </w:p>
    <w:p>
      <w:pPr>
        <w:pStyle w:val="29"/>
      </w:pPr>
      <w:r>
        <w:rPr>
          <w:rFonts w:hint="eastAsia"/>
        </w:rPr>
        <w:t>（1）应在系统上配置可靠的数据备份机制，系统必须采用增量备份和全备份相结合的方式定期备份重要的系统数据，确保在任何情况下均不出现数据丢失，确保系统的可恢复性。备份过程应实现自动化，数据应</w:t>
      </w:r>
      <w:r>
        <w:rPr>
          <w:rFonts w:hint="eastAsia"/>
          <w:lang w:val="en-US" w:eastAsia="zh-CN"/>
        </w:rPr>
        <w:t>自动备份</w:t>
      </w:r>
      <w:r>
        <w:rPr>
          <w:rFonts w:hint="eastAsia"/>
        </w:rPr>
        <w:t>异机保存，并输出明确的备份结果。</w:t>
      </w:r>
    </w:p>
    <w:p>
      <w:pPr>
        <w:pStyle w:val="29"/>
      </w:pPr>
      <w:r>
        <w:rPr>
          <w:rFonts w:hint="eastAsia"/>
        </w:rPr>
        <w:t>（2）每天的备份时间不多于8小时，而且不影响对数据库正常运行。</w:t>
      </w:r>
    </w:p>
    <w:p>
      <w:pPr>
        <w:pStyle w:val="29"/>
      </w:pPr>
      <w:r>
        <w:rPr>
          <w:rFonts w:hint="eastAsia"/>
        </w:rPr>
        <w:t>（3）从备份系统拷贝到数据库里的时间：数据恢复时长不多于48小时。</w:t>
      </w:r>
    </w:p>
    <w:p>
      <w:pPr>
        <w:pStyle w:val="29"/>
      </w:pPr>
      <w:r>
        <w:rPr>
          <w:rFonts w:hint="eastAsia"/>
        </w:rPr>
        <w:t>（4）数据备份需保障数据的完整性和可靠性。</w:t>
      </w:r>
    </w:p>
    <w:p>
      <w:pPr>
        <w:pStyle w:val="29"/>
        <w:outlineLvl w:val="4"/>
        <w:rPr>
          <w:b/>
          <w:bCs/>
        </w:rPr>
      </w:pPr>
      <w:r>
        <w:rPr>
          <w:rFonts w:hint="eastAsia"/>
          <w:b/>
          <w:bCs/>
        </w:rPr>
        <w:t>2.</w:t>
      </w:r>
      <w:r>
        <w:rPr>
          <w:rFonts w:hint="eastAsia"/>
          <w:b/>
          <w:bCs/>
          <w:lang w:val="en-US" w:eastAsia="zh-CN"/>
        </w:rPr>
        <w:t>4</w:t>
      </w:r>
      <w:r>
        <w:rPr>
          <w:rFonts w:hint="eastAsia"/>
          <w:b/>
          <w:bCs/>
        </w:rPr>
        <w:t>.3 安全防护要求</w:t>
      </w:r>
    </w:p>
    <w:p>
      <w:pPr>
        <w:pStyle w:val="29"/>
      </w:pPr>
      <w:r>
        <w:rPr>
          <w:rFonts w:hint="eastAsia"/>
        </w:rPr>
        <w:t>（1）网络安全防护</w:t>
      </w:r>
    </w:p>
    <w:p>
      <w:pPr>
        <w:ind w:firstLine="480"/>
        <w:jc w:val="both"/>
      </w:pPr>
      <w:r>
        <w:rPr>
          <w:rFonts w:hint="eastAsia"/>
        </w:rPr>
        <w:t>在生产控制大区与管理信息大区之间必须设置经国家指定部门检测认证的电力专用横向单向安全隔离装置。生产控制大区内部的安全区之间应当采用具有访问控制功能的设备、防火墙或者相当功能的设施，实现逻辑隔离。安全接入区与生产控制大区中其他部分的联接处必须设置经国家指定部门检测认证的电力专用横向单向安全隔离装置。</w:t>
      </w:r>
    </w:p>
    <w:p>
      <w:pPr>
        <w:ind w:firstLine="480"/>
        <w:jc w:val="both"/>
      </w:pPr>
      <w:r>
        <w:rPr>
          <w:rFonts w:hint="eastAsia"/>
        </w:rPr>
        <w:t>在生产控制大区与广域网的纵向联接处应当设置经过国家指定部门检测认证的电力专用纵向加密认证装置或者加密认证网关及相应设施。安全区边界应当采取必要的安全防护措施，禁止任何穿越生产控制大区和管理信息大区之间边界的通用网络服务。生产控制大区中的业务系统应当具有高安全性和高可靠性，禁止采用安全风险高的通用网络服务功能。</w:t>
      </w:r>
    </w:p>
    <w:p>
      <w:pPr>
        <w:pStyle w:val="29"/>
      </w:pPr>
      <w:r>
        <w:rPr>
          <w:rFonts w:hint="eastAsia"/>
        </w:rPr>
        <w:t>（</w:t>
      </w:r>
      <w:r>
        <w:t>2</w:t>
      </w:r>
      <w:r>
        <w:rPr>
          <w:rFonts w:hint="eastAsia"/>
        </w:rPr>
        <w:t>）应用安全防护</w:t>
      </w:r>
    </w:p>
    <w:p>
      <w:pPr>
        <w:ind w:firstLine="480"/>
      </w:pPr>
      <w:r>
        <w:rPr>
          <w:rFonts w:hint="eastAsia"/>
        </w:rPr>
        <w:t>应用安全防护即实现对应用系统的身份鉴别、访问控制、通信完整性和保密性以及容错和资源控制。</w:t>
      </w:r>
    </w:p>
    <w:p>
      <w:pPr>
        <w:pStyle w:val="29"/>
        <w:ind w:firstLine="240" w:firstLineChars="100"/>
      </w:pPr>
      <w:r>
        <w:rPr>
          <w:rFonts w:hint="eastAsia"/>
        </w:rPr>
        <w:t>① 身份鉴别</w:t>
      </w:r>
    </w:p>
    <w:p>
      <w:pPr>
        <w:ind w:firstLine="480"/>
      </w:pPr>
      <w:r>
        <w:rPr>
          <w:rFonts w:hint="eastAsia"/>
        </w:rPr>
        <w:t>为应用系统不同用户分配不同的用户名和权限，确保用户名唯一，并设置访问强口令和定期更新机制，口令采用加密存储。同时提供身份鉴别、用户身份标识唯一性检查、用户身份鉴别信息复杂度检查功能。启用登录失败处理功能，支持结束会话、限制非法登录次数和自动退出等不同的登陆失败处理方式。</w:t>
      </w:r>
    </w:p>
    <w:p>
      <w:pPr>
        <w:pStyle w:val="29"/>
        <w:ind w:firstLine="240" w:firstLineChars="100"/>
      </w:pPr>
      <w:r>
        <w:rPr>
          <w:rFonts w:hint="eastAsia"/>
        </w:rPr>
        <w:t>② 访问控制</w:t>
      </w:r>
    </w:p>
    <w:p>
      <w:pPr>
        <w:ind w:firstLine="480"/>
      </w:pPr>
      <w:r>
        <w:rPr>
          <w:rFonts w:hint="eastAsia"/>
        </w:rPr>
        <w:t>提供对应用系统的访问控制功能，包括：配置安全策略控制用户对文件、数据库表等客体的访问；访问控制范围包括与资源访问相关的主体、客体及它们之间的操作；严格控制由授权主体配置访问控制策略，并限制默认帐户的访问权限；授予不同帐户为完成各自承担任务所需的最小权限，并在它们之间形成相互制约的关系。</w:t>
      </w:r>
    </w:p>
    <w:p>
      <w:pPr>
        <w:ind w:firstLine="480"/>
      </w:pPr>
      <w:r>
        <w:rPr>
          <w:rFonts w:hint="eastAsia"/>
        </w:rPr>
        <w:t>提供口令强度控制和对口令的生存期进行配置以及检查的功能，并对口令认证失败次数进行限制，在多次连续尝试认证失败后锁定账号。在静态口令认证工作方式下，支持账号登陆口令的修改功能，并确保业务正常使用。</w:t>
      </w:r>
    </w:p>
    <w:p>
      <w:pPr>
        <w:ind w:firstLine="480"/>
      </w:pPr>
      <w:r>
        <w:rPr>
          <w:rFonts w:hint="eastAsia"/>
        </w:rPr>
        <w:t>对于用户可通过人机交互界面访问文件系统的设备，支持为不同用户或用户组分别授予文件系统的读、写、执行权限。</w:t>
      </w:r>
    </w:p>
    <w:p>
      <w:pPr>
        <w:ind w:firstLine="480"/>
      </w:pPr>
      <w:r>
        <w:rPr>
          <w:rFonts w:hint="eastAsia"/>
        </w:rPr>
        <w:t>系统记录用户登录/登出系统和操作产生相应的日志。</w:t>
      </w:r>
    </w:p>
    <w:p>
      <w:pPr>
        <w:ind w:firstLine="480"/>
      </w:pPr>
      <w:r>
        <w:rPr>
          <w:rFonts w:hint="eastAsia"/>
        </w:rPr>
        <w:t>系统提供日志远程输出功能，即设备是否至少支持一种通用的远程标准日志接口，如SYSLOG、FTP等，将日志输出至远程日志服务器。</w:t>
      </w:r>
    </w:p>
    <w:p>
      <w:pPr>
        <w:ind w:firstLine="480"/>
      </w:pPr>
      <w:r>
        <w:rPr>
          <w:rFonts w:hint="eastAsia"/>
        </w:rPr>
        <w:t>系统按账号分配日志文件读取、修改和删除权限，防止日志文件被篡改或非法删除。</w:t>
      </w:r>
    </w:p>
    <w:p>
      <w:pPr>
        <w:ind w:firstLine="480"/>
      </w:pPr>
      <w:r>
        <w:rPr>
          <w:rFonts w:hint="eastAsia"/>
        </w:rPr>
        <w:t>提供针对图形界面（含WEB界面）的手动和定时自动屏幕锁定功能，锁屏后需再次进行身份认证后才能解除屏幕锁定</w:t>
      </w:r>
      <w:r>
        <w:rPr>
          <w:rFonts w:hint="eastAsia"/>
        </w:rPr>
        <w:tab/>
      </w:r>
      <w:r>
        <w:rPr>
          <w:rFonts w:hint="eastAsia"/>
        </w:rPr>
        <w:t>。</w:t>
      </w:r>
    </w:p>
    <w:p>
      <w:pPr>
        <w:pStyle w:val="29"/>
        <w:ind w:firstLine="240" w:firstLineChars="100"/>
      </w:pPr>
      <w:r>
        <w:rPr>
          <w:rFonts w:hint="eastAsia"/>
        </w:rPr>
        <w:t>③ 通信完整性和保密性</w:t>
      </w:r>
    </w:p>
    <w:p>
      <w:pPr>
        <w:ind w:firstLine="480"/>
      </w:pPr>
      <w:r>
        <w:rPr>
          <w:rFonts w:hint="eastAsia"/>
        </w:rPr>
        <w:t>应用系统采用校验码技术保证通信过程中数据的完整性。</w:t>
      </w:r>
    </w:p>
    <w:p>
      <w:pPr>
        <w:ind w:firstLine="480"/>
        <w:jc w:val="both"/>
      </w:pPr>
      <w:r>
        <w:rPr>
          <w:rFonts w:hint="eastAsia"/>
        </w:rPr>
        <w:t>应用系统模块设计加入数据通信完整性措施，确保在通信双方建立连接之前，应用系统利用密码技术进行会话初始化验证。</w:t>
      </w:r>
    </w:p>
    <w:p>
      <w:pPr>
        <w:pStyle w:val="29"/>
        <w:ind w:firstLine="240" w:firstLineChars="100"/>
      </w:pPr>
      <w:r>
        <w:rPr>
          <w:rFonts w:hint="eastAsia"/>
        </w:rPr>
        <w:t>④ 软件容错</w:t>
      </w:r>
    </w:p>
    <w:p>
      <w:pPr>
        <w:ind w:firstLine="480"/>
      </w:pPr>
      <w:r>
        <w:rPr>
          <w:rFonts w:hint="eastAsia"/>
        </w:rPr>
        <w:t>应用系统提供数据有效性检验功能，保证通过人机接口输入或通过通信接口输入的数据格式或长度符合系统设定要求。</w:t>
      </w:r>
    </w:p>
    <w:p>
      <w:pPr>
        <w:pStyle w:val="29"/>
        <w:ind w:firstLine="240" w:firstLineChars="100"/>
      </w:pPr>
      <w:r>
        <w:rPr>
          <w:rFonts w:hint="eastAsia"/>
        </w:rPr>
        <w:t>⑤ 资源控制</w:t>
      </w:r>
    </w:p>
    <w:p>
      <w:pPr>
        <w:ind w:firstLine="480"/>
      </w:pPr>
      <w:r>
        <w:rPr>
          <w:rFonts w:hint="eastAsia"/>
        </w:rPr>
        <w:t>应用系统提供资源控制功能，包括：当应用系统的通信双方中的一方在一段时间内未作任何响应，另一方自动结束会话。系统对应用系统的最大并发会话连接数进行限制；对单个帐户的多重并发会话进行限制。</w:t>
      </w:r>
    </w:p>
    <w:p>
      <w:pPr>
        <w:ind w:firstLine="480"/>
      </w:pPr>
      <w:r>
        <w:rPr>
          <w:rFonts w:hint="eastAsia"/>
        </w:rPr>
        <w:t>系统支持通过SSH等功能保证通信数据的安全性。</w:t>
      </w:r>
    </w:p>
    <w:p>
      <w:pPr>
        <w:ind w:firstLine="480"/>
      </w:pPr>
      <w:r>
        <w:rPr>
          <w:rFonts w:hint="eastAsia"/>
        </w:rPr>
        <w:t>系统提供当前活动的TCP/UDP服务端口以及已建IP连接情况统计功能。</w:t>
      </w:r>
    </w:p>
    <w:p>
      <w:pPr>
        <w:ind w:firstLine="480"/>
      </w:pPr>
      <w:r>
        <w:rPr>
          <w:rFonts w:hint="eastAsia"/>
        </w:rPr>
        <w:t>系统提供对外开放的IP服务端口和设备内部进程的对应关系统计功能。</w:t>
      </w:r>
    </w:p>
    <w:p>
      <w:pPr>
        <w:pStyle w:val="29"/>
        <w:outlineLvl w:val="3"/>
        <w:rPr>
          <w:b/>
          <w:bCs/>
        </w:rPr>
      </w:pPr>
      <w:r>
        <w:rPr>
          <w:rFonts w:hint="eastAsia"/>
          <w:b/>
          <w:bCs/>
          <w:lang w:val="en-US" w:eastAsia="zh-CN"/>
        </w:rPr>
        <w:t>2</w:t>
      </w:r>
      <w:r>
        <w:rPr>
          <w:rFonts w:hint="eastAsia"/>
          <w:b/>
          <w:bCs/>
        </w:rPr>
        <w:t>.</w:t>
      </w:r>
      <w:r>
        <w:rPr>
          <w:rFonts w:hint="eastAsia"/>
          <w:b/>
          <w:bCs/>
          <w:lang w:val="en-US" w:eastAsia="zh-CN"/>
        </w:rPr>
        <w:t>5</w:t>
      </w:r>
      <w:r>
        <w:rPr>
          <w:rFonts w:hint="eastAsia"/>
          <w:b/>
          <w:bCs/>
        </w:rPr>
        <w:t xml:space="preserve"> 项目实施要求 </w:t>
      </w:r>
    </w:p>
    <w:p>
      <w:pPr>
        <w:ind w:firstLine="480"/>
      </w:pPr>
      <w:r>
        <w:rPr>
          <w:rFonts w:hint="eastAsia"/>
        </w:rPr>
        <w:t>本系统作为一个软件开发项目，必须严格遵守软件开发的各项管理规范，通过项目管理来保证系统的开发、实施。</w:t>
      </w:r>
    </w:p>
    <w:p>
      <w:pPr>
        <w:pStyle w:val="29"/>
        <w:outlineLvl w:val="4"/>
        <w:rPr>
          <w:b/>
          <w:bCs/>
        </w:rPr>
      </w:pPr>
      <w:r>
        <w:rPr>
          <w:rFonts w:hint="eastAsia"/>
          <w:b/>
          <w:bCs/>
          <w:lang w:val="en-US" w:eastAsia="zh-CN"/>
        </w:rPr>
        <w:t>2.5</w:t>
      </w:r>
      <w:r>
        <w:rPr>
          <w:rFonts w:hint="eastAsia"/>
          <w:b/>
          <w:bCs/>
        </w:rPr>
        <w:t>.1 项目管理</w:t>
      </w:r>
      <w:r>
        <w:rPr>
          <w:b/>
          <w:bCs/>
        </w:rPr>
        <w:tab/>
      </w:r>
    </w:p>
    <w:p>
      <w:pPr>
        <w:ind w:firstLine="480"/>
      </w:pPr>
      <w:r>
        <w:rPr>
          <w:rFonts w:hint="eastAsia"/>
        </w:rPr>
        <w:t>（1）乙方应设计针对该项目的项目管理方案，制定切实可行的项目实施方案，方案中至少要包含项目阶段的定义、各阶段的实施内容、管理控制措施以及阶段性成果，方案中要有风险管理、配置管理、文档管理等以及甲方如何配合等内容；</w:t>
      </w:r>
    </w:p>
    <w:p>
      <w:pPr>
        <w:rPr>
          <w:rFonts w:hint="eastAsia"/>
          <w:highlight w:val="none"/>
          <w:lang w:eastAsia="zh-CN"/>
        </w:rPr>
      </w:pPr>
      <w:r>
        <w:rPr>
          <w:rFonts w:hint="eastAsia"/>
          <w:highlight w:val="none"/>
          <w:lang w:eastAsia="zh-CN"/>
        </w:rPr>
        <w:t>（</w:t>
      </w:r>
      <w:r>
        <w:rPr>
          <w:rFonts w:hint="eastAsia"/>
          <w:highlight w:val="none"/>
          <w:lang w:val="en-US" w:eastAsia="zh-CN"/>
        </w:rPr>
        <w:t>2）报价人</w:t>
      </w:r>
      <w:r>
        <w:rPr>
          <w:rFonts w:hint="eastAsia"/>
          <w:highlight w:val="none"/>
        </w:rPr>
        <w:t>应针对本项目成立专门的项目组，确保人力、物力的投入，项目组成员必须稳定，项目组主要成员在项目终验前不得</w:t>
      </w:r>
      <w:r>
        <w:rPr>
          <w:rFonts w:hint="eastAsia"/>
          <w:highlight w:val="none"/>
          <w:lang w:val="en-US" w:eastAsia="zh-CN"/>
        </w:rPr>
        <w:t>轻易</w:t>
      </w:r>
      <w:r>
        <w:rPr>
          <w:rFonts w:hint="eastAsia"/>
          <w:highlight w:val="none"/>
        </w:rPr>
        <w:t>退出或更换</w:t>
      </w:r>
      <w:r>
        <w:rPr>
          <w:rFonts w:hint="eastAsia"/>
          <w:highlight w:val="none"/>
          <w:lang w:eastAsia="zh-CN"/>
        </w:rPr>
        <w:t>，</w:t>
      </w:r>
      <w:r>
        <w:rPr>
          <w:rFonts w:hint="eastAsia"/>
          <w:highlight w:val="none"/>
          <w:lang w:val="en-US" w:eastAsia="zh-CN"/>
        </w:rPr>
        <w:t>项目组成员如需退出或更换应与业主方协商，经业主方同意后方可进行人员变更</w:t>
      </w:r>
      <w:r>
        <w:rPr>
          <w:rFonts w:hint="eastAsia"/>
          <w:highlight w:val="none"/>
          <w:lang w:eastAsia="zh-CN"/>
        </w:rPr>
        <w:t>。</w:t>
      </w:r>
    </w:p>
    <w:p>
      <w:pPr>
        <w:ind w:firstLine="480"/>
      </w:pPr>
      <w:r>
        <w:rPr>
          <w:rFonts w:hint="eastAsia"/>
        </w:rPr>
        <w:t>（3）在项目实施的全过程中，</w:t>
      </w:r>
      <w:r>
        <w:rPr>
          <w:rFonts w:hint="eastAsia"/>
          <w:lang w:val="en-US" w:eastAsia="zh-CN"/>
        </w:rPr>
        <w:t>甲方</w:t>
      </w:r>
      <w:r>
        <w:rPr>
          <w:rFonts w:hint="eastAsia"/>
        </w:rPr>
        <w:t>有对项目进度、软件质量进行监督控制的职责和权利，乙方应全面配合，定期向采购人提交项目进展情况报告；</w:t>
      </w:r>
    </w:p>
    <w:p>
      <w:pPr>
        <w:pStyle w:val="29"/>
        <w:outlineLvl w:val="4"/>
        <w:rPr>
          <w:b/>
          <w:bCs/>
        </w:rPr>
      </w:pPr>
      <w:r>
        <w:rPr>
          <w:rFonts w:hint="eastAsia"/>
          <w:b/>
          <w:bCs/>
          <w:lang w:val="en-US" w:eastAsia="zh-CN"/>
        </w:rPr>
        <w:t>2.5</w:t>
      </w:r>
      <w:r>
        <w:rPr>
          <w:rFonts w:hint="eastAsia"/>
          <w:b/>
          <w:bCs/>
        </w:rPr>
        <w:t>.2 质量管理</w:t>
      </w:r>
    </w:p>
    <w:p>
      <w:pPr>
        <w:ind w:firstLine="480"/>
      </w:pPr>
      <w:r>
        <w:rPr>
          <w:rFonts w:hint="eastAsia"/>
        </w:rPr>
        <w:t>（1）乙方在投标书中应对本组织的质量保证体系做出说明。提出本工程的质量管理措施和保障措施。</w:t>
      </w:r>
    </w:p>
    <w:p>
      <w:pPr>
        <w:ind w:firstLine="480"/>
        <w:rPr>
          <w:rFonts w:hint="eastAsia"/>
        </w:rPr>
      </w:pPr>
      <w:r>
        <w:rPr>
          <w:rFonts w:hint="eastAsia"/>
        </w:rPr>
        <w:t>（2）工程实施结束后，乙方应对应用系统进行全面的综合测试，并形成测试报告，配合甲方组织工程验收。</w:t>
      </w:r>
    </w:p>
    <w:p>
      <w:pPr>
        <w:pStyle w:val="2"/>
        <w:rPr>
          <w:rFonts w:hint="eastAsia"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hint="eastAsia" w:cs="Times New Roman"/>
          <w:kern w:val="2"/>
          <w:sz w:val="24"/>
          <w:szCs w:val="20"/>
          <w:lang w:val="en-US" w:eastAsia="zh-CN" w:bidi="ar-SA"/>
        </w:rPr>
        <w:t>3</w:t>
      </w:r>
      <w:r>
        <w:rPr>
          <w:rFonts w:hint="eastAsia" w:ascii="Times New Roman" w:hAnsi="Times New Roman" w:eastAsia="宋体" w:cs="Times New Roman"/>
          <w:kern w:val="2"/>
          <w:sz w:val="24"/>
          <w:szCs w:val="20"/>
          <w:lang w:val="en-US" w:eastAsia="zh-CN" w:bidi="ar-SA"/>
        </w:rPr>
        <w:t>）</w:t>
      </w:r>
      <w:r>
        <w:rPr>
          <w:rFonts w:hint="eastAsia" w:cs="Times New Roman"/>
          <w:kern w:val="2"/>
          <w:sz w:val="24"/>
          <w:szCs w:val="20"/>
          <w:lang w:val="en-US" w:eastAsia="zh-CN" w:bidi="ar-SA"/>
        </w:rPr>
        <w:t>质保期：</w:t>
      </w:r>
    </w:p>
    <w:p>
      <w:pPr>
        <w:pStyle w:val="2"/>
        <w:rPr>
          <w:rFonts w:hint="eastAsia" w:ascii="Times New Roman" w:hAnsi="Times New Roman" w:eastAsia="宋体" w:cs="Times New Roman"/>
          <w:kern w:val="2"/>
          <w:sz w:val="24"/>
          <w:szCs w:val="20"/>
          <w:lang w:val="en-US" w:eastAsia="zh-CN" w:bidi="ar-SA"/>
        </w:rPr>
      </w:pPr>
      <w:r>
        <w:rPr>
          <w:rFonts w:hint="eastAsia" w:cs="Times New Roman"/>
          <w:kern w:val="2"/>
          <w:sz w:val="24"/>
          <w:szCs w:val="20"/>
          <w:lang w:val="en-US" w:eastAsia="zh-CN" w:bidi="ar-SA"/>
        </w:rPr>
        <w:t xml:space="preserve">① </w:t>
      </w:r>
      <w:r>
        <w:rPr>
          <w:rFonts w:hint="eastAsia" w:ascii="Times New Roman" w:hAnsi="Times New Roman" w:eastAsia="宋体" w:cs="Times New Roman"/>
          <w:kern w:val="2"/>
          <w:sz w:val="24"/>
          <w:szCs w:val="20"/>
          <w:lang w:val="en-US" w:eastAsia="zh-CN" w:bidi="ar-SA"/>
        </w:rPr>
        <w:t>系统硬件产品在完成系统平台搭建，软件功能实现运行管理、检修管理及两票管理基础模块功能，经硬件交付及产品安装</w:t>
      </w:r>
      <w:r>
        <w:rPr>
          <w:rFonts w:hint="eastAsia" w:cs="Times New Roman"/>
          <w:kern w:val="2"/>
          <w:sz w:val="24"/>
          <w:szCs w:val="20"/>
          <w:lang w:val="en-US" w:eastAsia="zh-CN" w:bidi="ar-SA"/>
        </w:rPr>
        <w:t>并经甲方认可</w:t>
      </w:r>
      <w:r>
        <w:rPr>
          <w:rFonts w:hint="eastAsia" w:ascii="Times New Roman" w:hAnsi="Times New Roman" w:eastAsia="宋体" w:cs="Times New Roman"/>
          <w:kern w:val="2"/>
          <w:sz w:val="24"/>
          <w:szCs w:val="20"/>
          <w:lang w:val="en-US" w:eastAsia="zh-CN" w:bidi="ar-SA"/>
        </w:rPr>
        <w:t>之日起算，</w:t>
      </w:r>
      <w:r>
        <w:rPr>
          <w:rFonts w:hint="eastAsia" w:cs="Times New Roman"/>
          <w:kern w:val="2"/>
          <w:sz w:val="24"/>
          <w:szCs w:val="20"/>
          <w:lang w:val="en-US" w:eastAsia="zh-CN" w:bidi="ar-SA"/>
        </w:rPr>
        <w:t>相应硬件产品</w:t>
      </w:r>
      <w:r>
        <w:rPr>
          <w:rFonts w:hint="eastAsia" w:ascii="Times New Roman" w:hAnsi="Times New Roman" w:eastAsia="宋体" w:cs="Times New Roman"/>
          <w:kern w:val="2"/>
          <w:sz w:val="24"/>
          <w:szCs w:val="20"/>
          <w:lang w:val="en-US" w:eastAsia="zh-CN" w:bidi="ar-SA"/>
        </w:rPr>
        <w:t>提供三年质保维护服务；</w:t>
      </w:r>
    </w:p>
    <w:p>
      <w:pPr>
        <w:ind w:firstLine="480"/>
        <w:rPr>
          <w:rFonts w:hint="eastAsia" w:ascii="Times New Roman" w:hAnsi="Times New Roman" w:eastAsia="宋体" w:cs="Times New Roman"/>
          <w:kern w:val="2"/>
          <w:sz w:val="24"/>
          <w:szCs w:val="20"/>
          <w:lang w:val="en-US" w:eastAsia="zh-CN" w:bidi="ar-SA"/>
        </w:rPr>
      </w:pPr>
      <w:r>
        <w:rPr>
          <w:rFonts w:hint="eastAsia" w:cs="Times New Roman"/>
          <w:kern w:val="2"/>
          <w:sz w:val="24"/>
          <w:szCs w:val="20"/>
          <w:lang w:val="en-US" w:eastAsia="zh-CN" w:bidi="ar-SA"/>
        </w:rPr>
        <w:t xml:space="preserve">② </w:t>
      </w:r>
      <w:r>
        <w:rPr>
          <w:rFonts w:hint="eastAsia"/>
          <w:color w:val="auto"/>
          <w:highlight w:val="none"/>
          <w:lang w:eastAsia="zh-CN"/>
        </w:rPr>
        <w:t>生产管理系统</w:t>
      </w:r>
      <w:r>
        <w:rPr>
          <w:rFonts w:hint="eastAsia"/>
          <w:color w:val="auto"/>
          <w:highlight w:val="none"/>
        </w:rPr>
        <w:t>，自项目</w:t>
      </w:r>
      <w:r>
        <w:rPr>
          <w:rFonts w:hint="eastAsia"/>
          <w:color w:val="auto"/>
          <w:highlight w:val="none"/>
          <w:lang w:val="en-US" w:eastAsia="zh-CN"/>
        </w:rPr>
        <w:t>整体完工合格</w:t>
      </w:r>
      <w:r>
        <w:rPr>
          <w:rFonts w:hint="eastAsia"/>
          <w:color w:val="auto"/>
          <w:highlight w:val="none"/>
        </w:rPr>
        <w:t>之日起算，提供</w:t>
      </w:r>
      <w:r>
        <w:rPr>
          <w:rFonts w:hint="eastAsia"/>
          <w:color w:val="auto"/>
          <w:highlight w:val="none"/>
          <w:lang w:val="en-US" w:eastAsia="zh-CN"/>
        </w:rPr>
        <w:t>为期</w:t>
      </w:r>
      <w:r>
        <w:rPr>
          <w:rFonts w:hint="eastAsia"/>
          <w:color w:val="auto"/>
          <w:highlight w:val="none"/>
        </w:rPr>
        <w:t>一年</w:t>
      </w:r>
      <w:r>
        <w:rPr>
          <w:rFonts w:hint="eastAsia"/>
          <w:color w:val="auto"/>
          <w:highlight w:val="none"/>
          <w:lang w:val="en-US" w:eastAsia="zh-CN"/>
        </w:rPr>
        <w:t>的</w:t>
      </w:r>
      <w:r>
        <w:rPr>
          <w:rFonts w:hint="eastAsia"/>
          <w:color w:val="auto"/>
          <w:highlight w:val="none"/>
        </w:rPr>
        <w:t>系统质保维护服务</w:t>
      </w:r>
      <w:r>
        <w:rPr>
          <w:rFonts w:hint="eastAsia"/>
          <w:color w:val="auto"/>
          <w:highlight w:val="none"/>
          <w:lang w:val="en-US" w:eastAsia="zh-CN"/>
        </w:rPr>
        <w:t>，服务内容包括针对</w:t>
      </w:r>
      <w:r>
        <w:rPr>
          <w:rFonts w:hint="eastAsia" w:ascii="宋体" w:hAnsi="宋体"/>
          <w:sz w:val="24"/>
          <w:lang w:val="en-US" w:eastAsia="zh-CN"/>
        </w:rPr>
        <w:t>系统</w:t>
      </w:r>
      <w:r>
        <w:rPr>
          <w:rFonts w:hint="eastAsia" w:ascii="宋体" w:hAnsi="宋体"/>
          <w:sz w:val="24"/>
        </w:rPr>
        <w:t>出现的故障</w:t>
      </w:r>
      <w:r>
        <w:rPr>
          <w:rFonts w:hint="eastAsia" w:ascii="宋体" w:hAnsi="宋体"/>
          <w:sz w:val="24"/>
          <w:lang w:val="en-US" w:eastAsia="zh-CN"/>
        </w:rPr>
        <w:t>或异常</w:t>
      </w:r>
      <w:r>
        <w:rPr>
          <w:rFonts w:hint="eastAsia" w:ascii="宋体" w:hAnsi="宋体"/>
          <w:sz w:val="24"/>
        </w:rPr>
        <w:t>，</w:t>
      </w:r>
      <w:r>
        <w:rPr>
          <w:rFonts w:hint="eastAsia" w:ascii="宋体" w:hAnsi="宋体"/>
          <w:sz w:val="24"/>
          <w:lang w:val="en-US" w:eastAsia="zh-CN"/>
        </w:rPr>
        <w:t>报价人</w:t>
      </w:r>
      <w:r>
        <w:rPr>
          <w:rFonts w:hint="eastAsia" w:ascii="宋体" w:hAnsi="宋体"/>
          <w:sz w:val="24"/>
        </w:rPr>
        <w:t>应保证在</w:t>
      </w:r>
      <w:r>
        <w:rPr>
          <w:rFonts w:hint="eastAsia" w:ascii="宋体" w:hAnsi="宋体"/>
          <w:sz w:val="24"/>
          <w:lang w:val="en-US" w:eastAsia="zh-CN"/>
        </w:rPr>
        <w:t>承诺的系统维保期</w:t>
      </w:r>
      <w:r>
        <w:rPr>
          <w:rFonts w:hint="eastAsia" w:ascii="宋体" w:hAnsi="宋体"/>
          <w:sz w:val="24"/>
        </w:rPr>
        <w:t>内，及时提供技术服务，分析故障原因，并及时进行技术修复</w:t>
      </w:r>
      <w:r>
        <w:rPr>
          <w:rFonts w:hint="eastAsia" w:ascii="宋体" w:hAnsi="宋体"/>
          <w:sz w:val="24"/>
          <w:lang w:eastAsia="zh-CN"/>
        </w:rPr>
        <w:t>，</w:t>
      </w:r>
      <w:r>
        <w:rPr>
          <w:rFonts w:hint="eastAsia" w:ascii="宋体" w:hAnsi="宋体"/>
          <w:sz w:val="24"/>
          <w:lang w:val="en-US" w:eastAsia="zh-CN"/>
        </w:rPr>
        <w:t>确保系统正常运行</w:t>
      </w:r>
      <w:r>
        <w:rPr>
          <w:rFonts w:hint="eastAsia" w:ascii="宋体" w:hAnsi="宋体"/>
          <w:sz w:val="24"/>
          <w:lang w:eastAsia="zh-CN"/>
        </w:rPr>
        <w:t>；</w:t>
      </w:r>
      <w:r>
        <w:rPr>
          <w:rFonts w:hint="eastAsia" w:ascii="宋体" w:hAnsi="宋体"/>
          <w:sz w:val="24"/>
          <w:lang w:val="en-US" w:eastAsia="zh-CN"/>
        </w:rPr>
        <w:t>对于该系统提供一年的技术支持，解答和指导甲方关于技术方面的各项需求。如遇</w:t>
      </w:r>
      <w:r>
        <w:rPr>
          <w:rFonts w:hint="eastAsia" w:ascii="宋体" w:hAnsi="宋体"/>
          <w:sz w:val="24"/>
        </w:rPr>
        <w:t>突发故障或急需解决的问题时</w:t>
      </w:r>
      <w:r>
        <w:rPr>
          <w:rFonts w:hint="eastAsia" w:ascii="宋体" w:hAnsi="宋体"/>
          <w:sz w:val="24"/>
          <w:lang w:eastAsia="zh-CN"/>
        </w:rPr>
        <w:t>，</w:t>
      </w:r>
      <w:r>
        <w:rPr>
          <w:rFonts w:hint="eastAsia" w:ascii="宋体" w:hAnsi="宋体"/>
          <w:sz w:val="24"/>
        </w:rPr>
        <w:t>提供7</w:t>
      </w:r>
      <w:r>
        <w:rPr>
          <w:rFonts w:ascii="宋体" w:hAnsi="宋体"/>
          <w:sz w:val="24"/>
        </w:rPr>
        <w:t>x24h</w:t>
      </w:r>
      <w:r>
        <w:rPr>
          <w:rFonts w:hint="eastAsia" w:ascii="宋体" w:hAnsi="宋体"/>
          <w:sz w:val="24"/>
        </w:rPr>
        <w:t>远程技术服务</w:t>
      </w:r>
      <w:r>
        <w:rPr>
          <w:rFonts w:hint="eastAsia" w:ascii="宋体" w:hAnsi="宋体"/>
          <w:sz w:val="24"/>
          <w:lang w:eastAsia="zh-CN"/>
        </w:rPr>
        <w:t>。</w:t>
      </w:r>
    </w:p>
    <w:p>
      <w:pPr>
        <w:pStyle w:val="29"/>
        <w:outlineLvl w:val="4"/>
        <w:rPr>
          <w:b/>
          <w:bCs/>
        </w:rPr>
      </w:pPr>
      <w:r>
        <w:rPr>
          <w:rFonts w:hint="eastAsia"/>
          <w:b/>
          <w:bCs/>
          <w:lang w:val="en-US" w:eastAsia="zh-CN"/>
        </w:rPr>
        <w:t>2.5</w:t>
      </w:r>
      <w:r>
        <w:rPr>
          <w:rFonts w:hint="eastAsia"/>
          <w:b/>
          <w:bCs/>
        </w:rPr>
        <w:t>.3 项目培训</w:t>
      </w:r>
    </w:p>
    <w:p>
      <w:pPr>
        <w:ind w:firstLine="480"/>
      </w:pPr>
      <w:r>
        <w:rPr>
          <w:rFonts w:hint="eastAsia"/>
        </w:rPr>
        <w:t>项目中标单位应免费提供技术培训，培训方案包括现场培训、系统平台培训、系统操作维护培训。</w:t>
      </w:r>
      <w:r>
        <w:t>后期运行维护服务和培训计划措施科学可行、内容完备、方法合理</w:t>
      </w:r>
      <w:r>
        <w:rPr>
          <w:rFonts w:hint="eastAsia"/>
        </w:rPr>
        <w:t>。</w:t>
      </w:r>
    </w:p>
    <w:p>
      <w:pPr>
        <w:pStyle w:val="29"/>
        <w:outlineLvl w:val="4"/>
        <w:rPr>
          <w:b/>
          <w:bCs/>
        </w:rPr>
      </w:pPr>
      <w:r>
        <w:rPr>
          <w:rFonts w:hint="eastAsia"/>
          <w:b/>
          <w:bCs/>
          <w:lang w:val="en-US" w:eastAsia="zh-CN"/>
        </w:rPr>
        <w:t>2.5.4</w:t>
      </w:r>
      <w:r>
        <w:rPr>
          <w:rFonts w:hint="eastAsia"/>
          <w:b/>
          <w:bCs/>
        </w:rPr>
        <w:t xml:space="preserve"> 交货及安装要求</w:t>
      </w:r>
    </w:p>
    <w:p>
      <w:pPr>
        <w:ind w:firstLine="480"/>
      </w:pPr>
      <w:r>
        <w:rPr>
          <w:rFonts w:hint="eastAsia"/>
        </w:rPr>
        <w:t>（1）乙方负责所有招标范围内软硬件的交货、检验及安装调试等工作。</w:t>
      </w:r>
    </w:p>
    <w:p>
      <w:pPr>
        <w:ind w:firstLine="480"/>
      </w:pPr>
      <w:r>
        <w:rPr>
          <w:rFonts w:hint="eastAsia"/>
        </w:rPr>
        <w:t>（2）乙方根据重庆航发集团航电枢纽集中调度控制中心提供的安装环境做出安装方案，经双方讨论确认后，作为安装的依据。</w:t>
      </w:r>
    </w:p>
    <w:p>
      <w:pPr>
        <w:ind w:firstLine="480"/>
      </w:pPr>
      <w:r>
        <w:rPr>
          <w:rFonts w:hint="eastAsia"/>
        </w:rPr>
        <w:t xml:space="preserve">（3）乙方负责职责范围内一切与系统安装调试有关的实地工作和服务。 </w:t>
      </w:r>
    </w:p>
    <w:p>
      <w:pPr>
        <w:pStyle w:val="29"/>
        <w:outlineLvl w:val="4"/>
        <w:rPr>
          <w:b/>
          <w:bCs/>
          <w:highlight w:val="none"/>
        </w:rPr>
      </w:pPr>
      <w:r>
        <w:rPr>
          <w:rFonts w:hint="eastAsia"/>
          <w:b/>
          <w:bCs/>
          <w:highlight w:val="none"/>
          <w:lang w:val="en-US" w:eastAsia="zh-CN"/>
        </w:rPr>
        <w:t>2.5.5</w:t>
      </w:r>
      <w:r>
        <w:rPr>
          <w:rFonts w:hint="eastAsia"/>
          <w:b/>
          <w:bCs/>
          <w:highlight w:val="none"/>
        </w:rPr>
        <w:t xml:space="preserve"> 验收及测试要求 </w:t>
      </w:r>
    </w:p>
    <w:p>
      <w:pPr>
        <w:ind w:firstLine="480"/>
        <w:rPr>
          <w:rFonts w:hint="default" w:eastAsia="宋体"/>
          <w:color w:val="auto"/>
          <w:lang w:val="en-US" w:eastAsia="zh-CN"/>
        </w:rPr>
      </w:pPr>
      <w:r>
        <w:rPr>
          <w:rFonts w:hint="eastAsia"/>
          <w:color w:val="auto"/>
          <w:lang w:eastAsia="zh-CN"/>
        </w:rPr>
        <w:t>（</w:t>
      </w:r>
      <w:r>
        <w:rPr>
          <w:rFonts w:hint="eastAsia"/>
          <w:color w:val="auto"/>
          <w:lang w:val="en-US" w:eastAsia="zh-CN"/>
        </w:rPr>
        <w:t>1）</w:t>
      </w:r>
      <w:r>
        <w:rPr>
          <w:rFonts w:hint="eastAsia"/>
          <w:highlight w:val="none"/>
          <w:lang w:val="en-US" w:eastAsia="zh-CN"/>
        </w:rPr>
        <w:t>在合同签订两个月后，乙方应按照合同规定</w:t>
      </w:r>
      <w:r>
        <w:rPr>
          <w:rFonts w:hint="eastAsia"/>
          <w:color w:val="auto"/>
        </w:rPr>
        <w:t>完成系统软</w:t>
      </w:r>
      <w:r>
        <w:rPr>
          <w:rFonts w:hint="eastAsia"/>
          <w:color w:val="auto"/>
          <w:lang w:eastAsia="zh-CN"/>
        </w:rPr>
        <w:t>、</w:t>
      </w:r>
      <w:r>
        <w:rPr>
          <w:rFonts w:hint="eastAsia"/>
          <w:color w:val="auto"/>
          <w:lang w:val="en-US" w:eastAsia="zh-CN"/>
        </w:rPr>
        <w:t>硬</w:t>
      </w:r>
      <w:r>
        <w:rPr>
          <w:rFonts w:hint="eastAsia"/>
          <w:color w:val="auto"/>
        </w:rPr>
        <w:t>件产品交付</w:t>
      </w:r>
      <w:r>
        <w:rPr>
          <w:rFonts w:hint="eastAsia"/>
          <w:color w:val="auto"/>
          <w:lang w:eastAsia="zh-CN"/>
        </w:rPr>
        <w:t>，</w:t>
      </w:r>
      <w:r>
        <w:rPr>
          <w:rFonts w:hint="eastAsia"/>
          <w:color w:val="auto"/>
          <w:lang w:val="en-US" w:eastAsia="zh-CN"/>
        </w:rPr>
        <w:t>系统实现运行管理、检修管理及两票管理模块功能。甲方以</w:t>
      </w:r>
      <w:r>
        <w:rPr>
          <w:rFonts w:hint="eastAsia"/>
          <w:color w:val="auto"/>
        </w:rPr>
        <w:t>《附件4：技术条款与要求》中“</w:t>
      </w:r>
      <w:r>
        <w:rPr>
          <w:color w:val="auto"/>
          <w:highlight w:val="none"/>
        </w:rPr>
        <w:t xml:space="preserve">2.3.2 </w:t>
      </w:r>
      <w:r>
        <w:rPr>
          <w:rFonts w:hint="eastAsia"/>
          <w:color w:val="auto"/>
        </w:rPr>
        <w:t>系统功能</w:t>
      </w:r>
      <w:r>
        <w:rPr>
          <w:rFonts w:hint="eastAsia"/>
          <w:color w:val="auto"/>
          <w:lang w:val="en-US" w:eastAsia="zh-CN"/>
        </w:rPr>
        <w:t>建设内容</w:t>
      </w:r>
      <w:r>
        <w:rPr>
          <w:rFonts w:hint="eastAsia"/>
          <w:color w:val="auto"/>
        </w:rPr>
        <w:t>第（2）点</w:t>
      </w:r>
      <w:r>
        <w:rPr>
          <w:rFonts w:hint="eastAsia"/>
          <w:color w:val="auto"/>
          <w:lang w:val="en-US" w:eastAsia="zh-CN"/>
        </w:rPr>
        <w:t>系统功能模块</w:t>
      </w:r>
      <w:r>
        <w:rPr>
          <w:rFonts w:hint="eastAsia"/>
          <w:color w:val="auto"/>
        </w:rPr>
        <w:t>清单”为标准</w:t>
      </w:r>
      <w:r>
        <w:rPr>
          <w:rFonts w:hint="eastAsia"/>
          <w:color w:val="auto"/>
          <w:lang w:val="en-US" w:eastAsia="zh-CN"/>
        </w:rPr>
        <w:t>组织验收相应模块功能。</w:t>
      </w:r>
    </w:p>
    <w:p>
      <w:pPr>
        <w:ind w:firstLine="480"/>
        <w:rPr>
          <w:color w:val="auto"/>
          <w:highlight w:val="yellow"/>
        </w:rPr>
      </w:pPr>
      <w:r>
        <w:rPr>
          <w:rFonts w:hint="eastAsia"/>
          <w:color w:val="auto"/>
          <w:lang w:eastAsia="zh-CN"/>
        </w:rPr>
        <w:t>（</w:t>
      </w:r>
      <w:r>
        <w:rPr>
          <w:rFonts w:hint="eastAsia"/>
          <w:color w:val="auto"/>
          <w:lang w:val="en-US" w:eastAsia="zh-CN"/>
        </w:rPr>
        <w:t>2）</w:t>
      </w:r>
      <w:r>
        <w:rPr>
          <w:rFonts w:hint="eastAsia"/>
          <w:color w:val="auto"/>
        </w:rPr>
        <w:t>在</w:t>
      </w:r>
      <w:r>
        <w:rPr>
          <w:rFonts w:hint="eastAsia"/>
          <w:color w:val="auto"/>
          <w:lang w:eastAsia="zh-CN"/>
        </w:rPr>
        <w:t>生产管理系统</w:t>
      </w:r>
      <w:r>
        <w:rPr>
          <w:rFonts w:hint="eastAsia"/>
          <w:color w:val="auto"/>
          <w:lang w:val="en-US" w:eastAsia="zh-CN"/>
        </w:rPr>
        <w:t>试运行结束，系统功能无异常后</w:t>
      </w:r>
      <w:r>
        <w:rPr>
          <w:rFonts w:hint="eastAsia"/>
          <w:color w:val="auto"/>
        </w:rPr>
        <w:t>，乙方向甲方提出重庆航发集团</w:t>
      </w:r>
      <w:r>
        <w:rPr>
          <w:rFonts w:hint="eastAsia"/>
          <w:color w:val="auto"/>
          <w:lang w:eastAsia="zh-CN"/>
        </w:rPr>
        <w:t>航电枢纽与集控中心生产管理系统</w:t>
      </w:r>
      <w:r>
        <w:rPr>
          <w:rFonts w:hint="eastAsia"/>
          <w:color w:val="auto"/>
        </w:rPr>
        <w:t>验收申请，甲方以</w:t>
      </w:r>
      <w:r>
        <w:rPr>
          <w:rFonts w:hint="eastAsia"/>
          <w:color w:val="auto"/>
          <w:lang w:val="en-US" w:eastAsia="zh-CN"/>
        </w:rPr>
        <w:t>第三章</w:t>
      </w:r>
      <w:r>
        <w:rPr>
          <w:rFonts w:hint="eastAsia"/>
          <w:color w:val="auto"/>
        </w:rPr>
        <w:t>《附件4：技术条款与要求》中“</w:t>
      </w:r>
      <w:r>
        <w:rPr>
          <w:color w:val="auto"/>
          <w:highlight w:val="none"/>
        </w:rPr>
        <w:t xml:space="preserve">2.3.2 </w:t>
      </w:r>
      <w:r>
        <w:rPr>
          <w:rFonts w:hint="eastAsia"/>
          <w:color w:val="auto"/>
        </w:rPr>
        <w:t>系统功能</w:t>
      </w:r>
      <w:r>
        <w:rPr>
          <w:rFonts w:hint="eastAsia"/>
          <w:color w:val="auto"/>
          <w:lang w:val="en-US" w:eastAsia="zh-CN"/>
        </w:rPr>
        <w:t>建设内容</w:t>
      </w:r>
      <w:r>
        <w:rPr>
          <w:rFonts w:hint="eastAsia"/>
          <w:color w:val="auto"/>
        </w:rPr>
        <w:t>第（2）点</w:t>
      </w:r>
      <w:r>
        <w:rPr>
          <w:rFonts w:hint="eastAsia"/>
          <w:color w:val="auto"/>
          <w:lang w:val="en-US" w:eastAsia="zh-CN"/>
        </w:rPr>
        <w:t>系统功能模块</w:t>
      </w:r>
      <w:r>
        <w:rPr>
          <w:rFonts w:hint="eastAsia"/>
          <w:color w:val="auto"/>
        </w:rPr>
        <w:t>清单”</w:t>
      </w:r>
      <w:r>
        <w:rPr>
          <w:rFonts w:hint="eastAsia"/>
          <w:color w:val="auto"/>
          <w:lang w:eastAsia="zh-CN"/>
        </w:rPr>
        <w:t>、</w:t>
      </w:r>
      <w:r>
        <w:rPr>
          <w:rFonts w:hint="eastAsia"/>
          <w:color w:val="auto"/>
          <w:lang w:val="en-US" w:eastAsia="zh-CN"/>
        </w:rPr>
        <w:t>第三章第六条成果提交相应内容</w:t>
      </w:r>
      <w:r>
        <w:rPr>
          <w:rFonts w:hint="eastAsia"/>
          <w:color w:val="auto"/>
        </w:rPr>
        <w:t>为标准组织</w:t>
      </w:r>
      <w:r>
        <w:rPr>
          <w:rFonts w:hint="eastAsia"/>
          <w:color w:val="auto"/>
          <w:lang w:val="en-US" w:eastAsia="zh-CN"/>
        </w:rPr>
        <w:t>完工</w:t>
      </w:r>
      <w:r>
        <w:rPr>
          <w:rFonts w:hint="eastAsia"/>
          <w:color w:val="auto"/>
        </w:rPr>
        <w:t>验收</w:t>
      </w:r>
      <w:r>
        <w:rPr>
          <w:rFonts w:hint="eastAsia"/>
          <w:color w:val="auto"/>
          <w:highlight w:val="none"/>
        </w:rPr>
        <w:t>。</w:t>
      </w:r>
    </w:p>
    <w:p>
      <w:pPr>
        <w:ind w:firstLine="480"/>
        <w:jc w:val="both"/>
        <w:rPr>
          <w:color w:val="auto"/>
        </w:rPr>
      </w:pPr>
      <w:r>
        <w:rPr>
          <w:rFonts w:hint="eastAsia"/>
          <w:color w:val="auto"/>
          <w:lang w:eastAsia="zh-CN"/>
        </w:rPr>
        <w:t>（</w:t>
      </w:r>
      <w:r>
        <w:rPr>
          <w:rFonts w:hint="eastAsia"/>
          <w:color w:val="auto"/>
          <w:lang w:val="en-US" w:eastAsia="zh-CN"/>
        </w:rPr>
        <w:t>3）</w:t>
      </w:r>
      <w:r>
        <w:rPr>
          <w:rFonts w:hint="eastAsia"/>
          <w:color w:val="auto"/>
        </w:rPr>
        <w:t>甲方应在乙方提交重庆航发集团</w:t>
      </w:r>
      <w:r>
        <w:rPr>
          <w:rFonts w:hint="eastAsia"/>
          <w:color w:val="auto"/>
          <w:lang w:eastAsia="zh-CN"/>
        </w:rPr>
        <w:t>航电枢纽与集控中心生产管理系统</w:t>
      </w:r>
      <w:r>
        <w:rPr>
          <w:rFonts w:hint="eastAsia"/>
          <w:color w:val="auto"/>
        </w:rPr>
        <w:t>验收申请后出具书面验收意见。如果通过验收,甲方向乙方书面出具重庆航发集团</w:t>
      </w:r>
      <w:r>
        <w:rPr>
          <w:rFonts w:hint="eastAsia"/>
          <w:color w:val="auto"/>
          <w:lang w:eastAsia="zh-CN"/>
        </w:rPr>
        <w:t>航电枢纽与集控中心生产管理系统</w:t>
      </w:r>
      <w:r>
        <w:rPr>
          <w:rFonts w:hint="eastAsia"/>
          <w:color w:val="auto"/>
        </w:rPr>
        <w:t>通过验收证明文件；如果未通过验收，甲方向乙方书面出具重庆航发集团</w:t>
      </w:r>
      <w:r>
        <w:rPr>
          <w:rFonts w:hint="eastAsia"/>
          <w:color w:val="auto"/>
          <w:lang w:eastAsia="zh-CN"/>
        </w:rPr>
        <w:t>航电枢纽与集控中心生产管理系统</w:t>
      </w:r>
      <w:r>
        <w:rPr>
          <w:rFonts w:hint="eastAsia"/>
          <w:color w:val="auto"/>
        </w:rPr>
        <w:t>存在的问题，供乙方整改。</w:t>
      </w:r>
    </w:p>
    <w:p>
      <w:pPr>
        <w:ind w:firstLine="480"/>
      </w:pPr>
      <w:r>
        <w:rPr>
          <w:rFonts w:hint="eastAsia"/>
        </w:rPr>
        <w:t>乙方提供的验收方案、验收测试报告及接受检验来证明其提供的系统需要符合本询价文件（技术协议）的各项要求。</w:t>
      </w:r>
    </w:p>
    <w:p>
      <w:pPr>
        <w:ind w:firstLine="480"/>
      </w:pPr>
      <w:r>
        <w:rPr>
          <w:rFonts w:hint="eastAsia"/>
        </w:rPr>
        <w:t>验收项目应包括：</w:t>
      </w:r>
    </w:p>
    <w:p>
      <w:pPr>
        <w:ind w:firstLine="480"/>
      </w:pPr>
      <w:r>
        <w:rPr>
          <w:rFonts w:hint="eastAsia"/>
        </w:rPr>
        <w:t>（1） 功能测试；</w:t>
      </w:r>
    </w:p>
    <w:p>
      <w:pPr>
        <w:ind w:firstLine="480"/>
      </w:pPr>
      <w:r>
        <w:rPr>
          <w:rFonts w:hint="eastAsia"/>
        </w:rPr>
        <w:t>（2） 性能测试；</w:t>
      </w:r>
    </w:p>
    <w:p>
      <w:pPr>
        <w:ind w:firstLine="480"/>
      </w:pPr>
      <w:r>
        <w:rPr>
          <w:rFonts w:hint="eastAsia"/>
        </w:rPr>
        <w:t>（3） 文档验收。</w:t>
      </w:r>
    </w:p>
    <w:p>
      <w:pPr>
        <w:pStyle w:val="29"/>
        <w:outlineLvl w:val="4"/>
        <w:rPr>
          <w:rFonts w:hint="default" w:eastAsia="宋体"/>
          <w:b/>
          <w:bCs/>
          <w:lang w:val="en-US" w:eastAsia="zh-CN"/>
        </w:rPr>
      </w:pPr>
      <w:r>
        <w:rPr>
          <w:rFonts w:hint="eastAsia"/>
          <w:b/>
          <w:bCs/>
          <w:lang w:val="en-US" w:eastAsia="zh-CN"/>
        </w:rPr>
        <w:t>2.5.6</w:t>
      </w:r>
      <w:r>
        <w:rPr>
          <w:rFonts w:hint="eastAsia"/>
          <w:b/>
          <w:bCs/>
        </w:rPr>
        <w:t xml:space="preserve"> 技术文档要求 </w:t>
      </w:r>
    </w:p>
    <w:p>
      <w:pPr>
        <w:ind w:firstLine="480"/>
      </w:pPr>
      <w:r>
        <w:rPr>
          <w:rFonts w:hint="eastAsia"/>
        </w:rPr>
        <w:t>（1）乙方提供的技术文件应能够满足甲方对乙方所提供的软、硬件安装、使用、维护的需要；</w:t>
      </w:r>
    </w:p>
    <w:p>
      <w:pPr>
        <w:ind w:firstLine="480"/>
      </w:pPr>
      <w:r>
        <w:rPr>
          <w:rFonts w:hint="eastAsia"/>
        </w:rPr>
        <w:t>（2）乙方应提供应用软件配置说明书和应用软件使用说明书(包括用户手册、操作手册、维护手册)。</w:t>
      </w:r>
    </w:p>
    <w:p>
      <w:pPr>
        <w:ind w:firstLine="480"/>
      </w:pPr>
    </w:p>
    <w:p>
      <w:pPr>
        <w:pStyle w:val="3"/>
      </w:pPr>
      <w:bookmarkStart w:id="19" w:name="_Toc144386151"/>
      <w:r>
        <w:rPr>
          <w:rFonts w:hint="eastAsia"/>
        </w:rPr>
        <w:t>第四章 报价文件格式</w:t>
      </w:r>
      <w:bookmarkEnd w:id="19"/>
    </w:p>
    <w:p>
      <w:pPr>
        <w:ind w:firstLine="480"/>
      </w:pPr>
    </w:p>
    <w:p>
      <w:pPr>
        <w:ind w:firstLine="0" w:firstLineChars="0"/>
        <w:jc w:val="center"/>
        <w:outlineLvl w:val="1"/>
        <w:rPr>
          <w:b/>
          <w:bCs/>
          <w:sz w:val="48"/>
          <w:szCs w:val="36"/>
        </w:rPr>
      </w:pPr>
      <w:r>
        <w:rPr>
          <w:rFonts w:hint="eastAsia"/>
          <w:b/>
          <w:bCs/>
          <w:sz w:val="48"/>
          <w:szCs w:val="36"/>
        </w:rPr>
        <w:t>重庆航发集团</w:t>
      </w:r>
      <w:r>
        <w:rPr>
          <w:rFonts w:hint="eastAsia"/>
          <w:b/>
          <w:bCs/>
          <w:sz w:val="48"/>
          <w:szCs w:val="36"/>
          <w:lang w:eastAsia="zh-CN"/>
        </w:rPr>
        <w:t>航电枢纽与集控中心生产管理系统</w:t>
      </w:r>
      <w:r>
        <w:rPr>
          <w:rFonts w:hint="eastAsia"/>
          <w:b/>
          <w:bCs/>
          <w:sz w:val="48"/>
          <w:szCs w:val="36"/>
        </w:rPr>
        <w:t>建设项目</w:t>
      </w:r>
    </w:p>
    <w:p>
      <w:pPr>
        <w:ind w:firstLine="480"/>
      </w:pPr>
    </w:p>
    <w:p>
      <w:pPr>
        <w:ind w:firstLine="480"/>
      </w:pPr>
    </w:p>
    <w:p>
      <w:pPr>
        <w:ind w:firstLine="480"/>
      </w:pPr>
    </w:p>
    <w:p>
      <w:pPr>
        <w:ind w:firstLine="0" w:firstLineChars="0"/>
        <w:jc w:val="center"/>
        <w:rPr>
          <w:b/>
          <w:bCs/>
          <w:sz w:val="48"/>
          <w:szCs w:val="36"/>
        </w:rPr>
      </w:pPr>
      <w:r>
        <w:rPr>
          <w:rFonts w:hint="eastAsia"/>
          <w:b/>
          <w:bCs/>
          <w:sz w:val="48"/>
          <w:szCs w:val="36"/>
        </w:rPr>
        <w:t>报价文件</w:t>
      </w:r>
    </w:p>
    <w:p>
      <w:pPr>
        <w:ind w:firstLine="480"/>
      </w:pPr>
    </w:p>
    <w:p>
      <w:pPr>
        <w:ind w:firstLine="480"/>
      </w:pPr>
    </w:p>
    <w:p>
      <w:pPr>
        <w:ind w:firstLine="480"/>
      </w:pPr>
    </w:p>
    <w:p>
      <w:pPr>
        <w:ind w:firstLine="480"/>
      </w:pPr>
    </w:p>
    <w:p>
      <w:pPr>
        <w:ind w:firstLine="480"/>
      </w:pPr>
    </w:p>
    <w:p>
      <w:pPr>
        <w:ind w:firstLine="480"/>
      </w:pPr>
    </w:p>
    <w:p>
      <w:pPr>
        <w:ind w:firstLine="480"/>
      </w:pPr>
    </w:p>
    <w:p>
      <w:pPr>
        <w:ind w:firstLine="0" w:firstLineChars="0"/>
        <w:jc w:val="center"/>
        <w:rPr>
          <w:sz w:val="32"/>
          <w:szCs w:val="22"/>
        </w:rPr>
      </w:pPr>
      <w:r>
        <w:rPr>
          <w:rFonts w:hint="eastAsia"/>
          <w:sz w:val="32"/>
          <w:szCs w:val="22"/>
        </w:rPr>
        <w:t>报价人：（盖单位章）</w:t>
      </w:r>
    </w:p>
    <w:p>
      <w:pPr>
        <w:ind w:firstLine="0" w:firstLineChars="0"/>
        <w:jc w:val="center"/>
        <w:rPr>
          <w:sz w:val="32"/>
          <w:szCs w:val="22"/>
        </w:rPr>
      </w:pPr>
    </w:p>
    <w:p>
      <w:pPr>
        <w:ind w:firstLine="0" w:firstLineChars="0"/>
        <w:jc w:val="center"/>
        <w:rPr>
          <w:sz w:val="32"/>
          <w:szCs w:val="22"/>
        </w:rPr>
      </w:pPr>
      <w:r>
        <w:rPr>
          <w:rFonts w:hint="eastAsia"/>
          <w:sz w:val="32"/>
          <w:szCs w:val="22"/>
        </w:rPr>
        <w:t>法定代表人或其委托代理人:（签字）</w:t>
      </w:r>
    </w:p>
    <w:p>
      <w:pPr>
        <w:ind w:firstLine="0" w:firstLineChars="0"/>
        <w:jc w:val="center"/>
        <w:rPr>
          <w:sz w:val="32"/>
          <w:szCs w:val="22"/>
        </w:rPr>
      </w:pPr>
    </w:p>
    <w:p>
      <w:pPr>
        <w:ind w:firstLine="0" w:firstLineChars="0"/>
        <w:jc w:val="center"/>
        <w:rPr>
          <w:sz w:val="32"/>
          <w:szCs w:val="22"/>
        </w:rPr>
      </w:pPr>
      <w:r>
        <w:rPr>
          <w:rFonts w:hint="eastAsia"/>
          <w:sz w:val="32"/>
          <w:szCs w:val="22"/>
        </w:rPr>
        <w:t xml:space="preserve">2023年 </w:t>
      </w:r>
      <w:r>
        <w:rPr>
          <w:sz w:val="32"/>
          <w:szCs w:val="22"/>
        </w:rPr>
        <w:t xml:space="preserve">  </w:t>
      </w:r>
      <w:r>
        <w:rPr>
          <w:rFonts w:hint="eastAsia"/>
          <w:sz w:val="32"/>
          <w:szCs w:val="22"/>
        </w:rPr>
        <w:t>月   日</w:t>
      </w:r>
    </w:p>
    <w:p>
      <w:pPr>
        <w:bidi w:val="0"/>
      </w:pPr>
      <w:r>
        <w:br w:type="page"/>
      </w:r>
    </w:p>
    <w:p>
      <w:pPr>
        <w:ind w:firstLine="0" w:firstLineChars="0"/>
        <w:jc w:val="center"/>
        <w:rPr>
          <w:b/>
          <w:bCs/>
          <w:sz w:val="32"/>
          <w:szCs w:val="22"/>
        </w:rPr>
      </w:pPr>
      <w:r>
        <w:rPr>
          <w:rFonts w:hint="eastAsia"/>
          <w:b/>
          <w:bCs/>
          <w:sz w:val="32"/>
          <w:szCs w:val="22"/>
        </w:rPr>
        <w:t>目  录</w:t>
      </w:r>
    </w:p>
    <w:p>
      <w:pPr>
        <w:ind w:firstLine="0" w:firstLineChars="0"/>
        <w:jc w:val="center"/>
        <w:rPr>
          <w:b/>
          <w:bCs/>
          <w:sz w:val="32"/>
          <w:szCs w:val="22"/>
        </w:rPr>
      </w:pPr>
    </w:p>
    <w:p>
      <w:pPr>
        <w:pStyle w:val="29"/>
        <w:rPr>
          <w:b/>
          <w:bCs/>
          <w:sz w:val="32"/>
          <w:szCs w:val="22"/>
        </w:rPr>
      </w:pPr>
      <w:r>
        <w:rPr>
          <w:rFonts w:hint="eastAsia"/>
          <w:b/>
          <w:bCs/>
          <w:sz w:val="32"/>
          <w:szCs w:val="22"/>
        </w:rPr>
        <w:t>一、法定代表人身份证明（适用于无委托代理人的情况)或授权委托书（适用于有委托代理人的情况）</w:t>
      </w:r>
    </w:p>
    <w:p>
      <w:pPr>
        <w:pStyle w:val="29"/>
        <w:rPr>
          <w:b/>
          <w:bCs/>
          <w:sz w:val="32"/>
          <w:szCs w:val="22"/>
        </w:rPr>
      </w:pPr>
      <w:r>
        <w:rPr>
          <w:rFonts w:hint="eastAsia"/>
          <w:b/>
          <w:bCs/>
          <w:sz w:val="32"/>
          <w:szCs w:val="22"/>
        </w:rPr>
        <w:t>二、报价函</w:t>
      </w:r>
    </w:p>
    <w:p>
      <w:pPr>
        <w:pStyle w:val="29"/>
        <w:rPr>
          <w:b/>
          <w:bCs/>
          <w:sz w:val="32"/>
          <w:szCs w:val="22"/>
        </w:rPr>
      </w:pPr>
      <w:r>
        <w:rPr>
          <w:rFonts w:hint="eastAsia"/>
          <w:b/>
          <w:bCs/>
          <w:sz w:val="32"/>
          <w:szCs w:val="22"/>
        </w:rPr>
        <w:t>三、报价表</w:t>
      </w:r>
    </w:p>
    <w:p>
      <w:pPr>
        <w:pStyle w:val="29"/>
        <w:rPr>
          <w:b/>
          <w:bCs/>
          <w:sz w:val="32"/>
          <w:szCs w:val="22"/>
        </w:rPr>
      </w:pPr>
      <w:r>
        <w:rPr>
          <w:rFonts w:hint="eastAsia"/>
          <w:b/>
          <w:bCs/>
          <w:sz w:val="32"/>
          <w:szCs w:val="22"/>
        </w:rPr>
        <w:t>四、资格审查资料</w:t>
      </w:r>
    </w:p>
    <w:p>
      <w:pPr>
        <w:pStyle w:val="29"/>
        <w:rPr>
          <w:b/>
          <w:bCs/>
          <w:sz w:val="32"/>
          <w:szCs w:val="22"/>
        </w:rPr>
      </w:pPr>
      <w:r>
        <w:rPr>
          <w:rFonts w:hint="eastAsia"/>
          <w:b/>
          <w:bCs/>
          <w:sz w:val="32"/>
          <w:szCs w:val="22"/>
        </w:rPr>
        <w:t>五、项目方案及进度安排</w:t>
      </w:r>
    </w:p>
    <w:p>
      <w:pPr>
        <w:pStyle w:val="29"/>
        <w:rPr>
          <w:b/>
          <w:bCs/>
          <w:sz w:val="32"/>
          <w:szCs w:val="22"/>
        </w:rPr>
      </w:pPr>
      <w:r>
        <w:rPr>
          <w:rFonts w:hint="eastAsia"/>
          <w:b/>
          <w:bCs/>
          <w:sz w:val="32"/>
          <w:szCs w:val="22"/>
        </w:rPr>
        <w:t>六、其他资料</w:t>
      </w:r>
    </w:p>
    <w:p>
      <w:pPr>
        <w:ind w:firstLine="480"/>
        <w:jc w:val="center"/>
        <w:rPr>
          <w:sz w:val="32"/>
          <w:szCs w:val="40"/>
        </w:rPr>
      </w:pPr>
      <w:r>
        <w:br w:type="page"/>
      </w:r>
      <w:bookmarkStart w:id="20" w:name="_Toc144386152"/>
      <w:r>
        <w:rPr>
          <w:rFonts w:hint="eastAsia"/>
          <w:sz w:val="32"/>
          <w:szCs w:val="40"/>
        </w:rPr>
        <w:t>一、法定代表人身份证明格式</w:t>
      </w:r>
      <w:bookmarkEnd w:id="20"/>
    </w:p>
    <w:p>
      <w:pPr>
        <w:pStyle w:val="29"/>
      </w:pPr>
      <w:r>
        <w:rPr>
          <w:rFonts w:hint="eastAsia"/>
        </w:rPr>
        <w:t>致：</w:t>
      </w:r>
      <w:r>
        <w:rPr>
          <w:rFonts w:hint="eastAsia"/>
          <w:u w:val="single"/>
        </w:rPr>
        <w:t xml:space="preserve">                     </w:t>
      </w:r>
      <w:r>
        <w:rPr>
          <w:rFonts w:hint="eastAsia"/>
        </w:rPr>
        <w:t>：</w:t>
      </w:r>
    </w:p>
    <w:p>
      <w:pPr>
        <w:ind w:firstLine="480"/>
      </w:pPr>
      <w:r>
        <w:rPr>
          <w:rFonts w:hint="eastAsia" w:ascii="方正仿宋_GBK" w:hAnsi="仿宋" w:eastAsia="方正仿宋_GBK"/>
          <w:u w:val="single"/>
        </w:rPr>
        <w:t xml:space="preserve">        </w:t>
      </w:r>
      <w:r>
        <w:rPr>
          <w:rFonts w:hint="eastAsia"/>
        </w:rPr>
        <w:t>（法定代表人姓名）在</w:t>
      </w:r>
      <w:r>
        <w:rPr>
          <w:rFonts w:hint="eastAsia" w:ascii="方正仿宋_GBK" w:hAnsi="仿宋" w:eastAsia="方正仿宋_GBK"/>
          <w:u w:val="single"/>
        </w:rPr>
        <w:t xml:space="preserve">                       </w:t>
      </w:r>
      <w:r>
        <w:rPr>
          <w:rFonts w:hint="eastAsia"/>
        </w:rPr>
        <w:t xml:space="preserve">（投标人名称）任 </w:t>
      </w:r>
      <w:r>
        <w:rPr>
          <w:rFonts w:hint="eastAsia" w:ascii="方正仿宋_GBK" w:hAnsi="仿宋" w:eastAsia="方正仿宋_GBK"/>
          <w:u w:val="single"/>
        </w:rPr>
        <w:t xml:space="preserve">    </w:t>
      </w:r>
      <w:r>
        <w:rPr>
          <w:rFonts w:hint="eastAsia"/>
        </w:rPr>
        <w:t>（职务名称）职务，是（投标人名称）</w:t>
      </w:r>
      <w:r>
        <w:rPr>
          <w:rFonts w:hint="eastAsia"/>
          <w:u w:val="single"/>
        </w:rPr>
        <w:t xml:space="preserve">              </w:t>
      </w:r>
      <w:r>
        <w:rPr>
          <w:rFonts w:hint="eastAsia"/>
        </w:rPr>
        <w:t>的法定代表人。</w:t>
      </w:r>
    </w:p>
    <w:p>
      <w:pPr>
        <w:ind w:firstLine="480"/>
      </w:pPr>
    </w:p>
    <w:p>
      <w:pPr>
        <w:ind w:firstLine="480"/>
      </w:pPr>
      <w:r>
        <w:rPr>
          <w:rFonts w:hint="eastAsia"/>
        </w:rPr>
        <w:t>特此证明。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4261" w:type="dxa"/>
            <w:noWrap w:val="0"/>
            <w:vAlign w:val="center"/>
          </w:tcPr>
          <w:p>
            <w:pPr>
              <w:ind w:firstLine="480"/>
              <w:jc w:val="center"/>
            </w:pPr>
            <w:r>
              <w:rPr>
                <w:rFonts w:hint="eastAsia"/>
              </w:rPr>
              <w:t>单位负责人身份证复印件</w:t>
            </w:r>
          </w:p>
          <w:p>
            <w:pPr>
              <w:ind w:firstLine="480"/>
              <w:jc w:val="center"/>
            </w:pPr>
            <w:r>
              <w:rPr>
                <w:rFonts w:hint="eastAsia"/>
              </w:rPr>
              <w:t>（身份证复印件需清晰可辨认）</w:t>
            </w:r>
          </w:p>
        </w:tc>
        <w:tc>
          <w:tcPr>
            <w:tcW w:w="4261" w:type="dxa"/>
            <w:noWrap w:val="0"/>
            <w:vAlign w:val="center"/>
          </w:tcPr>
          <w:p>
            <w:pPr>
              <w:ind w:firstLine="480"/>
              <w:jc w:val="center"/>
            </w:pPr>
            <w:r>
              <w:rPr>
                <w:rFonts w:hint="eastAsia"/>
              </w:rPr>
              <w:t>单位负责人身份证复印件</w:t>
            </w:r>
          </w:p>
          <w:p>
            <w:pPr>
              <w:ind w:firstLine="480"/>
              <w:jc w:val="center"/>
            </w:pPr>
            <w:r>
              <w:rPr>
                <w:rFonts w:hint="eastAsia"/>
              </w:rPr>
              <w:t>（身份证复印件需清晰可辨认）</w:t>
            </w:r>
          </w:p>
        </w:tc>
      </w:tr>
    </w:tbl>
    <w:p>
      <w:pPr>
        <w:ind w:firstLine="480"/>
      </w:pPr>
    </w:p>
    <w:p>
      <w:pPr>
        <w:ind w:firstLine="480"/>
      </w:pPr>
    </w:p>
    <w:p>
      <w:pPr>
        <w:ind w:firstLine="480"/>
      </w:pPr>
      <w:r>
        <w:rPr>
          <w:rFonts w:hint="eastAsia"/>
        </w:rPr>
        <w:t xml:space="preserve">                                           投标人：（投标人公章）</w:t>
      </w:r>
    </w:p>
    <w:p>
      <w:pPr>
        <w:ind w:firstLine="480"/>
      </w:pPr>
    </w:p>
    <w:p>
      <w:pPr>
        <w:ind w:firstLine="480"/>
      </w:pPr>
      <w:r>
        <w:rPr>
          <w:rFonts w:hint="eastAsia"/>
        </w:rPr>
        <w:t xml:space="preserve">                                             年   月   日</w:t>
      </w:r>
    </w:p>
    <w:p>
      <w:pPr>
        <w:ind w:firstLine="480"/>
        <w:jc w:val="center"/>
        <w:rPr>
          <w:rFonts w:ascii="宋体" w:hAnsi="宋体" w:cs="宋体"/>
          <w:b/>
          <w:kern w:val="0"/>
          <w:sz w:val="32"/>
          <w:szCs w:val="32"/>
          <w:lang w:val="zh-CN"/>
        </w:rPr>
      </w:pPr>
      <w:r>
        <w:br w:type="page"/>
      </w:r>
      <w:r>
        <w:rPr>
          <w:rFonts w:hint="eastAsia" w:ascii="宋体" w:hAnsi="宋体" w:cs="宋体"/>
          <w:b/>
          <w:kern w:val="0"/>
          <w:sz w:val="32"/>
          <w:szCs w:val="32"/>
          <w:lang w:val="zh-CN"/>
        </w:rPr>
        <w:t>授权委托书（格式）</w:t>
      </w:r>
    </w:p>
    <w:p>
      <w:pPr>
        <w:spacing w:line="360" w:lineRule="auto"/>
        <w:ind w:firstLine="480" w:firstLineChars="200"/>
        <w:rPr>
          <w:sz w:val="24"/>
          <w:szCs w:val="24"/>
          <w:lang w:eastAsia="zh-CN"/>
        </w:rPr>
      </w:pPr>
      <w:r>
        <w:rPr>
          <w:rFonts w:hint="eastAsia"/>
          <w:sz w:val="24"/>
          <w:szCs w:val="24"/>
          <w:lang w:eastAsia="zh-CN"/>
        </w:rPr>
        <w:t>本人</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val="en-US" w:eastAsia="zh-CN"/>
        </w:rPr>
        <w:t xml:space="preserve"> </w:t>
      </w:r>
      <w:r>
        <w:rPr>
          <w:sz w:val="24"/>
          <w:szCs w:val="24"/>
          <w:u w:val="single"/>
          <w:lang w:eastAsia="zh-CN"/>
        </w:rPr>
        <w:t xml:space="preserve">  </w:t>
      </w:r>
      <w:r>
        <w:rPr>
          <w:rFonts w:hint="eastAsia"/>
          <w:sz w:val="24"/>
          <w:szCs w:val="24"/>
          <w:lang w:eastAsia="zh-CN"/>
        </w:rPr>
        <w:t>（姓名）系</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val="en-US" w:eastAsia="zh-CN"/>
        </w:rPr>
        <w:t xml:space="preserve">     </w:t>
      </w:r>
      <w:r>
        <w:rPr>
          <w:sz w:val="24"/>
          <w:szCs w:val="24"/>
          <w:u w:val="single"/>
          <w:lang w:eastAsia="zh-CN"/>
        </w:rPr>
        <w:t xml:space="preserve">  </w:t>
      </w:r>
      <w:r>
        <w:rPr>
          <w:rFonts w:hint="eastAsia"/>
          <w:sz w:val="24"/>
          <w:szCs w:val="24"/>
          <w:lang w:eastAsia="zh-CN"/>
        </w:rPr>
        <w:t>（报价人名称）的法定代表人（单位负责人），现委托（姓名）</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val="en-US" w:eastAsia="zh-CN"/>
        </w:rPr>
        <w:t xml:space="preserve">   </w:t>
      </w:r>
      <w:r>
        <w:rPr>
          <w:sz w:val="24"/>
          <w:szCs w:val="24"/>
          <w:u w:val="single"/>
          <w:lang w:eastAsia="zh-CN"/>
        </w:rPr>
        <w:t xml:space="preserve">  </w:t>
      </w:r>
      <w:r>
        <w:rPr>
          <w:rFonts w:hint="eastAsia"/>
          <w:sz w:val="24"/>
          <w:szCs w:val="24"/>
          <w:lang w:eastAsia="zh-CN"/>
        </w:rPr>
        <w:t>为我方代理人。代理人根据授权，以我方名义签署、澄清确认、递交、撤回、修改</w:t>
      </w:r>
      <w:r>
        <w:rPr>
          <w:rFonts w:hint="eastAsia"/>
          <w:bCs/>
          <w:color w:val="auto"/>
          <w:sz w:val="24"/>
          <w:szCs w:val="24"/>
          <w:u w:val="single"/>
          <w:lang w:eastAsia="zh-CN"/>
        </w:rPr>
        <w:t>重庆航运建设发展(集团)有限公司</w:t>
      </w:r>
      <w:r>
        <w:rPr>
          <w:rFonts w:hint="eastAsia"/>
          <w:sz w:val="24"/>
          <w:szCs w:val="24"/>
          <w:lang w:eastAsia="zh-CN"/>
        </w:rPr>
        <w:t>报价文件、签订合同和处理有关事宜，其法律后果由我方承担。</w:t>
      </w:r>
    </w:p>
    <w:p>
      <w:pPr>
        <w:spacing w:line="360" w:lineRule="auto"/>
        <w:rPr>
          <w:sz w:val="24"/>
          <w:szCs w:val="24"/>
          <w:lang w:eastAsia="zh-CN"/>
        </w:rPr>
      </w:pPr>
      <w:r>
        <w:rPr>
          <w:rFonts w:hint="eastAsia"/>
          <w:sz w:val="24"/>
          <w:szCs w:val="24"/>
          <w:lang w:eastAsia="zh-CN"/>
        </w:rPr>
        <w:t>委托期限：</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r>
        <w:rPr>
          <w:rFonts w:hint="eastAsia"/>
          <w:sz w:val="24"/>
          <w:szCs w:val="24"/>
          <w:lang w:eastAsia="zh-CN"/>
        </w:rPr>
        <w:t>至</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r>
        <w:rPr>
          <w:rFonts w:hint="eastAsia"/>
          <w:sz w:val="24"/>
          <w:szCs w:val="24"/>
          <w:lang w:eastAsia="zh-CN"/>
        </w:rPr>
        <w:t>。代理人无转委托权。</w:t>
      </w:r>
    </w:p>
    <w:p>
      <w:pPr>
        <w:spacing w:line="360" w:lineRule="auto"/>
        <w:rPr>
          <w:sz w:val="24"/>
          <w:szCs w:val="24"/>
          <w:lang w:eastAsia="zh-CN"/>
        </w:rPr>
      </w:pPr>
      <w:r>
        <w:rPr>
          <w:rFonts w:hint="eastAsia"/>
          <w:sz w:val="24"/>
          <w:szCs w:val="24"/>
          <w:lang w:eastAsia="zh-CN"/>
        </w:rPr>
        <w:t>附：法定代表人（单位负责人）身份证复印件及委托代理人身份证复印件</w:t>
      </w:r>
    </w:p>
    <w:tbl>
      <w:tblPr>
        <w:tblStyle w:val="18"/>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4"/>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2557" w:type="pct"/>
            <w:noWrap w:val="0"/>
            <w:vAlign w:val="center"/>
          </w:tcPr>
          <w:p>
            <w:pPr>
              <w:spacing w:line="360" w:lineRule="auto"/>
              <w:jc w:val="center"/>
              <w:rPr>
                <w:sz w:val="24"/>
                <w:lang w:eastAsia="zh-CN"/>
              </w:rPr>
            </w:pPr>
            <w:r>
              <w:rPr>
                <w:rFonts w:hint="eastAsia"/>
                <w:sz w:val="24"/>
                <w:lang w:eastAsia="zh-CN"/>
              </w:rPr>
              <w:t>法定代表人身份证</w:t>
            </w:r>
          </w:p>
          <w:p>
            <w:pPr>
              <w:spacing w:line="360" w:lineRule="auto"/>
              <w:jc w:val="center"/>
              <w:rPr>
                <w:rFonts w:ascii="Calibri"/>
                <w:b/>
                <w:sz w:val="24"/>
                <w:lang w:eastAsia="zh-CN"/>
              </w:rPr>
            </w:pPr>
            <w:r>
              <w:rPr>
                <w:rFonts w:hint="eastAsia"/>
                <w:sz w:val="24"/>
                <w:lang w:eastAsia="zh-CN"/>
              </w:rPr>
              <w:t>复印件粘贴处</w:t>
            </w:r>
          </w:p>
        </w:tc>
        <w:tc>
          <w:tcPr>
            <w:tcW w:w="2443" w:type="pct"/>
            <w:noWrap w:val="0"/>
            <w:vAlign w:val="center"/>
          </w:tcPr>
          <w:p>
            <w:pPr>
              <w:spacing w:line="360" w:lineRule="auto"/>
              <w:jc w:val="center"/>
              <w:rPr>
                <w:sz w:val="24"/>
                <w:lang w:eastAsia="zh-CN"/>
              </w:rPr>
            </w:pPr>
            <w:r>
              <w:rPr>
                <w:rFonts w:hint="eastAsia"/>
                <w:sz w:val="24"/>
                <w:lang w:eastAsia="zh-CN"/>
              </w:rPr>
              <w:t>法定代表人授权代表身份证</w:t>
            </w:r>
          </w:p>
          <w:p>
            <w:pPr>
              <w:spacing w:line="360" w:lineRule="auto"/>
              <w:jc w:val="center"/>
              <w:rPr>
                <w:sz w:val="24"/>
              </w:rPr>
            </w:pPr>
            <w:r>
              <w:rPr>
                <w:rFonts w:hint="eastAsia"/>
                <w:sz w:val="24"/>
              </w:rPr>
              <w:t>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2557" w:type="pct"/>
            <w:noWrap w:val="0"/>
            <w:vAlign w:val="center"/>
          </w:tcPr>
          <w:p>
            <w:pPr>
              <w:spacing w:line="360" w:lineRule="auto"/>
              <w:jc w:val="center"/>
              <w:rPr>
                <w:sz w:val="24"/>
                <w:lang w:eastAsia="zh-CN"/>
              </w:rPr>
            </w:pPr>
            <w:r>
              <w:rPr>
                <w:rFonts w:hint="eastAsia"/>
                <w:sz w:val="24"/>
                <w:lang w:eastAsia="zh-CN"/>
              </w:rPr>
              <w:t>法定代表人身份证</w:t>
            </w:r>
          </w:p>
          <w:p>
            <w:pPr>
              <w:spacing w:line="360" w:lineRule="auto"/>
              <w:jc w:val="center"/>
              <w:rPr>
                <w:rFonts w:ascii="Calibri"/>
                <w:b/>
                <w:sz w:val="24"/>
                <w:lang w:eastAsia="zh-CN"/>
              </w:rPr>
            </w:pPr>
            <w:r>
              <w:rPr>
                <w:rFonts w:hint="eastAsia"/>
                <w:sz w:val="24"/>
                <w:lang w:eastAsia="zh-CN"/>
              </w:rPr>
              <w:t>复印件粘贴处</w:t>
            </w:r>
          </w:p>
        </w:tc>
        <w:tc>
          <w:tcPr>
            <w:tcW w:w="2443" w:type="pct"/>
            <w:noWrap w:val="0"/>
            <w:vAlign w:val="center"/>
          </w:tcPr>
          <w:p>
            <w:pPr>
              <w:spacing w:line="360" w:lineRule="auto"/>
              <w:jc w:val="center"/>
              <w:rPr>
                <w:sz w:val="24"/>
                <w:lang w:eastAsia="zh-CN"/>
              </w:rPr>
            </w:pPr>
            <w:r>
              <w:rPr>
                <w:rFonts w:hint="eastAsia"/>
                <w:sz w:val="24"/>
                <w:lang w:eastAsia="zh-CN"/>
              </w:rPr>
              <w:t>法定代表人授权代表身份证</w:t>
            </w:r>
          </w:p>
          <w:p>
            <w:pPr>
              <w:spacing w:line="360" w:lineRule="auto"/>
              <w:jc w:val="center"/>
              <w:rPr>
                <w:rFonts w:ascii="Calibri"/>
                <w:b/>
                <w:sz w:val="24"/>
              </w:rPr>
            </w:pPr>
            <w:r>
              <w:rPr>
                <w:rFonts w:hint="eastAsia"/>
                <w:sz w:val="24"/>
              </w:rPr>
              <w:t>复印件粘贴处</w:t>
            </w:r>
          </w:p>
        </w:tc>
      </w:tr>
    </w:tbl>
    <w:p>
      <w:pPr>
        <w:spacing w:line="360" w:lineRule="auto"/>
        <w:jc w:val="right"/>
        <w:rPr>
          <w:rFonts w:hint="eastAsia"/>
          <w:b/>
          <w:sz w:val="24"/>
          <w:szCs w:val="24"/>
          <w:lang w:eastAsia="zh-CN"/>
        </w:rPr>
      </w:pPr>
    </w:p>
    <w:p>
      <w:pPr>
        <w:spacing w:line="360" w:lineRule="auto"/>
        <w:jc w:val="center"/>
        <w:rPr>
          <w:b/>
          <w:sz w:val="24"/>
          <w:szCs w:val="24"/>
          <w:lang w:eastAsia="zh-CN"/>
        </w:rPr>
      </w:pPr>
      <w:r>
        <w:rPr>
          <w:rFonts w:hint="eastAsia"/>
          <w:b/>
          <w:sz w:val="24"/>
          <w:szCs w:val="24"/>
          <w:lang w:val="en-US" w:eastAsia="zh-CN"/>
        </w:rPr>
        <w:t xml:space="preserve">                        </w:t>
      </w:r>
      <w:r>
        <w:rPr>
          <w:rFonts w:hint="eastAsia"/>
          <w:b/>
          <w:sz w:val="24"/>
          <w:szCs w:val="24"/>
          <w:lang w:eastAsia="zh-CN"/>
        </w:rPr>
        <w:t>报价人：（单位公章）</w:t>
      </w:r>
    </w:p>
    <w:p>
      <w:pPr>
        <w:wordWrap w:val="0"/>
        <w:spacing w:line="360" w:lineRule="auto"/>
        <w:jc w:val="right"/>
        <w:rPr>
          <w:b/>
          <w:sz w:val="24"/>
          <w:szCs w:val="24"/>
          <w:u w:val="single"/>
          <w:lang w:eastAsia="zh-CN"/>
        </w:rPr>
      </w:pPr>
      <w:r>
        <w:rPr>
          <w:rFonts w:hint="eastAsia"/>
          <w:b/>
          <w:sz w:val="24"/>
          <w:szCs w:val="24"/>
          <w:lang w:eastAsia="zh-CN"/>
        </w:rPr>
        <w:t>法定代表人（单位负责人）：（签字）</w:t>
      </w:r>
      <w:r>
        <w:rPr>
          <w:rFonts w:hint="eastAsia"/>
          <w:b/>
          <w:sz w:val="24"/>
          <w:szCs w:val="24"/>
          <w:u w:val="single"/>
          <w:lang w:eastAsia="zh-CN"/>
        </w:rPr>
        <w:t xml:space="preserve">               </w:t>
      </w:r>
    </w:p>
    <w:p>
      <w:pPr>
        <w:wordWrap w:val="0"/>
        <w:spacing w:line="360" w:lineRule="auto"/>
        <w:jc w:val="right"/>
        <w:rPr>
          <w:b/>
          <w:sz w:val="24"/>
          <w:szCs w:val="24"/>
          <w:u w:val="single"/>
          <w:lang w:eastAsia="zh-CN"/>
        </w:rPr>
      </w:pPr>
      <w:r>
        <w:rPr>
          <w:rFonts w:hint="eastAsia"/>
          <w:b/>
          <w:sz w:val="24"/>
          <w:szCs w:val="24"/>
          <w:lang w:eastAsia="zh-CN"/>
        </w:rPr>
        <w:t>委托代理人：（签字）</w:t>
      </w:r>
      <w:r>
        <w:rPr>
          <w:rFonts w:hint="eastAsia"/>
          <w:b/>
          <w:sz w:val="24"/>
          <w:szCs w:val="24"/>
          <w:u w:val="single"/>
          <w:lang w:eastAsia="zh-CN"/>
        </w:rPr>
        <w:t xml:space="preserve">    </w:t>
      </w:r>
      <w:r>
        <w:rPr>
          <w:rFonts w:hint="eastAsia"/>
          <w:b/>
          <w:sz w:val="24"/>
          <w:szCs w:val="24"/>
          <w:u w:val="single"/>
          <w:lang w:val="en-US" w:eastAsia="zh-CN"/>
        </w:rPr>
        <w:t xml:space="preserve">  </w:t>
      </w:r>
      <w:r>
        <w:rPr>
          <w:rFonts w:hint="eastAsia"/>
          <w:b/>
          <w:sz w:val="24"/>
          <w:szCs w:val="24"/>
          <w:u w:val="single"/>
          <w:lang w:eastAsia="zh-CN"/>
        </w:rPr>
        <w:t xml:space="preserve">         </w:t>
      </w:r>
    </w:p>
    <w:p>
      <w:pPr>
        <w:wordWrap w:val="0"/>
        <w:spacing w:line="360" w:lineRule="auto"/>
        <w:jc w:val="center"/>
        <w:rPr>
          <w:b/>
          <w:sz w:val="24"/>
          <w:szCs w:val="24"/>
          <w:u w:val="single"/>
          <w:lang w:eastAsia="zh-CN"/>
        </w:rPr>
      </w:pPr>
      <w:r>
        <w:rPr>
          <w:rFonts w:hint="eastAsia"/>
          <w:b/>
          <w:sz w:val="24"/>
          <w:szCs w:val="24"/>
          <w:lang w:val="en-US" w:eastAsia="zh-CN"/>
        </w:rPr>
        <w:t xml:space="preserve">                                     </w:t>
      </w:r>
      <w:r>
        <w:rPr>
          <w:rFonts w:hint="eastAsia"/>
          <w:b/>
          <w:sz w:val="24"/>
          <w:szCs w:val="24"/>
          <w:lang w:eastAsia="zh-CN"/>
        </w:rPr>
        <w:t>时间：</w:t>
      </w:r>
      <w:r>
        <w:rPr>
          <w:rFonts w:hint="eastAsia"/>
          <w:b/>
          <w:sz w:val="24"/>
          <w:szCs w:val="24"/>
          <w:u w:val="single"/>
          <w:lang w:eastAsia="zh-CN"/>
        </w:rPr>
        <w:t xml:space="preserve"> </w:t>
      </w:r>
      <w:r>
        <w:rPr>
          <w:rFonts w:hint="eastAsia"/>
          <w:b/>
          <w:sz w:val="24"/>
          <w:szCs w:val="24"/>
          <w:u w:val="single"/>
          <w:lang w:val="en-US" w:eastAsia="zh-CN"/>
        </w:rPr>
        <w:t xml:space="preserve">    </w:t>
      </w:r>
      <w:r>
        <w:rPr>
          <w:rFonts w:hint="eastAsia"/>
          <w:b/>
          <w:sz w:val="24"/>
          <w:szCs w:val="24"/>
          <w:u w:val="single"/>
          <w:lang w:eastAsia="zh-CN"/>
        </w:rPr>
        <w:t xml:space="preserve">   </w:t>
      </w:r>
      <w:r>
        <w:rPr>
          <w:rFonts w:hint="eastAsia"/>
          <w:b/>
          <w:sz w:val="24"/>
          <w:szCs w:val="24"/>
          <w:u w:val="single"/>
          <w:lang w:val="en-US" w:eastAsia="zh-CN"/>
        </w:rPr>
        <w:t xml:space="preserve">  </w:t>
      </w:r>
      <w:r>
        <w:rPr>
          <w:rFonts w:hint="eastAsia"/>
          <w:b/>
          <w:sz w:val="24"/>
          <w:szCs w:val="24"/>
          <w:u w:val="single"/>
          <w:lang w:eastAsia="zh-CN"/>
        </w:rPr>
        <w:t xml:space="preserve">     </w:t>
      </w:r>
      <w:r>
        <w:rPr>
          <w:rFonts w:hint="eastAsia"/>
          <w:b/>
          <w:sz w:val="24"/>
          <w:szCs w:val="24"/>
          <w:u w:val="single"/>
          <w:lang w:val="en-US" w:eastAsia="zh-CN"/>
        </w:rPr>
        <w:t xml:space="preserve"> </w:t>
      </w:r>
      <w:r>
        <w:rPr>
          <w:rFonts w:hint="eastAsia"/>
          <w:b/>
          <w:sz w:val="24"/>
          <w:szCs w:val="24"/>
          <w:u w:val="single"/>
          <w:lang w:eastAsia="zh-CN"/>
        </w:rPr>
        <w:t xml:space="preserve">  </w:t>
      </w:r>
      <w:r>
        <w:rPr>
          <w:rFonts w:hint="eastAsia"/>
          <w:b/>
          <w:sz w:val="24"/>
          <w:szCs w:val="24"/>
          <w:u w:val="single"/>
          <w:lang w:val="en-US" w:eastAsia="zh-CN"/>
        </w:rPr>
        <w:t xml:space="preserve">  </w:t>
      </w:r>
      <w:r>
        <w:rPr>
          <w:rFonts w:hint="eastAsia"/>
          <w:b/>
          <w:sz w:val="24"/>
          <w:szCs w:val="24"/>
          <w:u w:val="single"/>
          <w:lang w:eastAsia="zh-CN"/>
        </w:rPr>
        <w:t xml:space="preserve">  </w:t>
      </w:r>
    </w:p>
    <w:p>
      <w:pPr>
        <w:wordWrap w:val="0"/>
        <w:spacing w:line="360" w:lineRule="auto"/>
        <w:jc w:val="right"/>
        <w:rPr>
          <w:rFonts w:hint="default"/>
          <w:b/>
          <w:sz w:val="24"/>
          <w:szCs w:val="24"/>
          <w:u w:val="single"/>
          <w:lang w:val="en-US" w:eastAsia="zh-CN"/>
        </w:rPr>
      </w:pPr>
      <w:r>
        <w:rPr>
          <w:rFonts w:hint="eastAsia"/>
          <w:b/>
          <w:sz w:val="24"/>
          <w:szCs w:val="24"/>
          <w:lang w:val="en-US" w:eastAsia="zh-CN"/>
        </w:rPr>
        <w:t xml:space="preserve">                      </w:t>
      </w:r>
    </w:p>
    <w:p>
      <w:pPr>
        <w:pStyle w:val="16"/>
        <w:spacing w:line="360" w:lineRule="auto"/>
        <w:ind w:firstLine="210"/>
      </w:pPr>
    </w:p>
    <w:p>
      <w:pPr>
        <w:ind w:firstLine="0" w:firstLineChars="0"/>
      </w:pPr>
      <w:r>
        <w:br w:type="page"/>
      </w:r>
    </w:p>
    <w:p>
      <w:pPr>
        <w:pStyle w:val="4"/>
        <w:jc w:val="center"/>
        <w:rPr>
          <w:sz w:val="32"/>
          <w:szCs w:val="40"/>
        </w:rPr>
      </w:pPr>
      <w:bookmarkStart w:id="21" w:name="_Toc144386153"/>
      <w:bookmarkStart w:id="22" w:name="_Hlk144325093"/>
      <w:r>
        <w:rPr>
          <w:rFonts w:hint="eastAsia"/>
          <w:sz w:val="32"/>
          <w:szCs w:val="40"/>
        </w:rPr>
        <w:t>二、报价函</w:t>
      </w:r>
      <w:bookmarkEnd w:id="21"/>
    </w:p>
    <w:bookmarkEnd w:id="22"/>
    <w:p>
      <w:pPr>
        <w:tabs>
          <w:tab w:val="left" w:leader="underscore" w:pos="2036"/>
        </w:tabs>
        <w:spacing w:line="360" w:lineRule="auto"/>
        <w:ind w:left="0" w:leftChars="0" w:firstLine="0" w:firstLineChars="0"/>
        <w:rPr>
          <w:sz w:val="24"/>
          <w:szCs w:val="24"/>
          <w:lang w:eastAsia="zh-CN"/>
        </w:rPr>
      </w:pPr>
      <w:bookmarkStart w:id="23" w:name="bookmark293"/>
      <w:r>
        <w:rPr>
          <w:rFonts w:hint="eastAsia"/>
          <w:color w:val="auto"/>
          <w:sz w:val="24"/>
          <w:szCs w:val="24"/>
          <w:u w:val="single"/>
          <w:lang w:eastAsia="zh-CN"/>
        </w:rPr>
        <w:t>重庆航运</w:t>
      </w:r>
      <w:r>
        <w:rPr>
          <w:rFonts w:hint="eastAsia"/>
          <w:color w:val="auto"/>
          <w:sz w:val="24"/>
          <w:szCs w:val="24"/>
          <w:u w:val="single"/>
          <w:lang w:val="en-US" w:eastAsia="zh-CN"/>
        </w:rPr>
        <w:t>建设发展（集团）</w:t>
      </w:r>
      <w:r>
        <w:rPr>
          <w:rFonts w:hint="eastAsia"/>
          <w:color w:val="auto"/>
          <w:sz w:val="24"/>
          <w:szCs w:val="24"/>
          <w:u w:val="single"/>
          <w:lang w:eastAsia="zh-CN"/>
        </w:rPr>
        <w:t>有限公司</w:t>
      </w:r>
      <w:r>
        <w:rPr>
          <w:rFonts w:hint="eastAsia"/>
          <w:color w:val="auto"/>
          <w:sz w:val="24"/>
          <w:szCs w:val="24"/>
          <w:lang w:eastAsia="zh-CN" w:bidi="en-US"/>
        </w:rPr>
        <w:t>：</w:t>
      </w:r>
      <w:bookmarkEnd w:id="23"/>
    </w:p>
    <w:p>
      <w:pPr>
        <w:tabs>
          <w:tab w:val="left" w:leader="underscore" w:pos="2036"/>
        </w:tabs>
        <w:spacing w:line="360" w:lineRule="auto"/>
        <w:ind w:firstLine="480" w:firstLineChars="200"/>
        <w:rPr>
          <w:sz w:val="24"/>
          <w:szCs w:val="24"/>
          <w:lang w:eastAsia="zh-CN"/>
        </w:rPr>
      </w:pPr>
      <w:r>
        <w:rPr>
          <w:rFonts w:hint="eastAsia"/>
          <w:sz w:val="24"/>
          <w:szCs w:val="24"/>
          <w:lang w:eastAsia="zh-CN" w:bidi="en-US"/>
        </w:rPr>
        <w:t>1.</w:t>
      </w:r>
      <w:r>
        <w:rPr>
          <w:rFonts w:hint="eastAsia"/>
          <w:sz w:val="24"/>
          <w:szCs w:val="24"/>
          <w:lang w:eastAsia="zh-CN"/>
        </w:rPr>
        <w:t>我方己仔细研究了</w:t>
      </w:r>
      <w:r>
        <w:rPr>
          <w:rFonts w:hint="eastAsia"/>
          <w:bCs/>
          <w:color w:val="auto"/>
          <w:sz w:val="24"/>
          <w:szCs w:val="24"/>
          <w:u w:val="single"/>
          <w:lang w:eastAsia="zh-CN"/>
        </w:rPr>
        <w:t>重庆航发集团航电枢纽与集控中心生产管理系统建设项目</w:t>
      </w:r>
      <w:r>
        <w:rPr>
          <w:rFonts w:hint="eastAsia"/>
          <w:sz w:val="24"/>
          <w:szCs w:val="24"/>
          <w:lang w:eastAsia="zh-CN"/>
        </w:rPr>
        <w:t>询价文件的全部内容，愿意以人民币</w:t>
      </w:r>
      <w:r>
        <w:rPr>
          <w:rFonts w:hint="eastAsia"/>
          <w:sz w:val="24"/>
          <w:szCs w:val="24"/>
          <w:lang w:eastAsia="zh-CN" w:bidi="en-US"/>
        </w:rPr>
        <w:t>¥</w:t>
      </w:r>
      <w:r>
        <w:rPr>
          <w:rFonts w:hint="eastAsia"/>
          <w:sz w:val="24"/>
          <w:szCs w:val="24"/>
          <w:lang w:eastAsia="zh-CN"/>
        </w:rPr>
        <w:t>（大写</w:t>
      </w:r>
      <w:r>
        <w:rPr>
          <w:rFonts w:hint="eastAsia"/>
          <w:sz w:val="24"/>
          <w:szCs w:val="24"/>
          <w:lang w:eastAsia="zh-CN" w:bidi="en-US"/>
        </w:rPr>
        <w:t>）</w:t>
      </w:r>
      <w:r>
        <w:rPr>
          <w:rFonts w:hint="eastAsia"/>
          <w:sz w:val="24"/>
          <w:szCs w:val="24"/>
          <w:lang w:eastAsia="zh-CN"/>
        </w:rPr>
        <w:t>的总报价提供相关服务，并按合同约定履行义务。</w:t>
      </w:r>
    </w:p>
    <w:p>
      <w:pPr>
        <w:spacing w:line="360" w:lineRule="auto"/>
        <w:ind w:firstLine="480" w:firstLineChars="200"/>
        <w:jc w:val="both"/>
        <w:outlineLvl w:val="2"/>
        <w:rPr>
          <w:bCs/>
          <w:color w:val="auto"/>
          <w:sz w:val="24"/>
          <w:szCs w:val="24"/>
          <w:lang w:eastAsia="zh-CN"/>
        </w:rPr>
      </w:pPr>
      <w:r>
        <w:rPr>
          <w:rFonts w:hint="eastAsia"/>
          <w:sz w:val="24"/>
          <w:szCs w:val="24"/>
          <w:lang w:eastAsia="zh-CN"/>
        </w:rPr>
        <w:t>2.我方的报价文件包括下列内容：</w:t>
      </w:r>
    </w:p>
    <w:p>
      <w:pPr>
        <w:tabs>
          <w:tab w:val="left" w:pos="1088"/>
        </w:tabs>
        <w:adjustRightInd w:val="0"/>
        <w:spacing w:line="360" w:lineRule="auto"/>
        <w:ind w:left="420"/>
        <w:rPr>
          <w:sz w:val="24"/>
          <w:szCs w:val="24"/>
          <w:lang w:eastAsia="zh-CN"/>
        </w:rPr>
      </w:pPr>
      <w:r>
        <w:rPr>
          <w:rFonts w:hint="eastAsia"/>
          <w:sz w:val="24"/>
          <w:szCs w:val="24"/>
          <w:lang w:eastAsia="zh-CN"/>
        </w:rPr>
        <w:t>（1）报价函；</w:t>
      </w:r>
    </w:p>
    <w:p>
      <w:pPr>
        <w:tabs>
          <w:tab w:val="left" w:pos="1088"/>
        </w:tabs>
        <w:adjustRightInd w:val="0"/>
        <w:spacing w:line="360" w:lineRule="auto"/>
        <w:ind w:left="420"/>
        <w:rPr>
          <w:sz w:val="24"/>
          <w:szCs w:val="24"/>
          <w:lang w:eastAsia="zh-CN"/>
        </w:rPr>
      </w:pPr>
      <w:r>
        <w:rPr>
          <w:rFonts w:hint="eastAsia"/>
          <w:sz w:val="24"/>
          <w:szCs w:val="24"/>
          <w:lang w:eastAsia="zh-CN"/>
        </w:rPr>
        <w:t>（2）法定代表人身份证明或授权委托书；</w:t>
      </w:r>
    </w:p>
    <w:p>
      <w:pPr>
        <w:tabs>
          <w:tab w:val="left" w:pos="1088"/>
        </w:tabs>
        <w:adjustRightInd w:val="0"/>
        <w:spacing w:line="360" w:lineRule="auto"/>
        <w:ind w:left="420"/>
        <w:rPr>
          <w:sz w:val="24"/>
          <w:szCs w:val="24"/>
          <w:lang w:eastAsia="zh-CN"/>
        </w:rPr>
      </w:pPr>
      <w:r>
        <w:rPr>
          <w:rFonts w:hint="eastAsia"/>
          <w:sz w:val="24"/>
          <w:szCs w:val="24"/>
          <w:lang w:eastAsia="zh-CN"/>
        </w:rPr>
        <w:t>（3）报价表；</w:t>
      </w:r>
    </w:p>
    <w:p>
      <w:pPr>
        <w:tabs>
          <w:tab w:val="left" w:pos="1088"/>
        </w:tabs>
        <w:adjustRightInd w:val="0"/>
        <w:spacing w:line="360" w:lineRule="auto"/>
        <w:ind w:left="420"/>
        <w:rPr>
          <w:sz w:val="24"/>
          <w:szCs w:val="24"/>
          <w:lang w:eastAsia="zh-CN"/>
        </w:rPr>
      </w:pPr>
      <w:r>
        <w:rPr>
          <w:rFonts w:hint="eastAsia"/>
          <w:sz w:val="24"/>
          <w:szCs w:val="24"/>
          <w:lang w:eastAsia="zh-CN"/>
        </w:rPr>
        <w:t>（4）资格审查资料；</w:t>
      </w:r>
    </w:p>
    <w:p>
      <w:pPr>
        <w:tabs>
          <w:tab w:val="left" w:pos="1088"/>
        </w:tabs>
        <w:adjustRightInd w:val="0"/>
        <w:spacing w:line="360" w:lineRule="auto"/>
        <w:ind w:left="420"/>
        <w:rPr>
          <w:sz w:val="24"/>
          <w:szCs w:val="24"/>
          <w:lang w:eastAsia="zh-CN"/>
        </w:rPr>
      </w:pPr>
      <w:r>
        <w:rPr>
          <w:rFonts w:hint="eastAsia"/>
          <w:sz w:val="24"/>
          <w:szCs w:val="24"/>
          <w:lang w:eastAsia="zh-CN"/>
        </w:rPr>
        <w:t>（5）项目方案及进度安排；</w:t>
      </w:r>
    </w:p>
    <w:p>
      <w:pPr>
        <w:tabs>
          <w:tab w:val="left" w:pos="1088"/>
        </w:tabs>
        <w:adjustRightInd w:val="0"/>
        <w:spacing w:line="360" w:lineRule="auto"/>
        <w:ind w:left="420"/>
        <w:rPr>
          <w:sz w:val="24"/>
          <w:szCs w:val="24"/>
          <w:lang w:eastAsia="zh-CN"/>
        </w:rPr>
      </w:pPr>
      <w:r>
        <w:rPr>
          <w:rFonts w:hint="eastAsia"/>
          <w:sz w:val="24"/>
          <w:szCs w:val="24"/>
          <w:lang w:eastAsia="zh-CN"/>
        </w:rPr>
        <w:t>（6）其它。</w:t>
      </w:r>
    </w:p>
    <w:p>
      <w:pPr>
        <w:tabs>
          <w:tab w:val="left" w:leader="underscore" w:pos="2036"/>
        </w:tabs>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报价文件的上述组成部分如存在内容不一致的，以投标函为准。</w:t>
      </w:r>
    </w:p>
    <w:p>
      <w:pPr>
        <w:tabs>
          <w:tab w:val="left" w:leader="underscore" w:pos="2036"/>
        </w:tabs>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3.我方承诺除商务和技术偏差表列出的偏差外，我方响应询价文件的全部要求。</w:t>
      </w:r>
    </w:p>
    <w:p>
      <w:pPr>
        <w:tabs>
          <w:tab w:val="left" w:leader="underscore" w:pos="2036"/>
        </w:tabs>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4.我方承诺在询价文件规定的投标有效期内不撤销报价文件。</w:t>
      </w:r>
    </w:p>
    <w:p>
      <w:pPr>
        <w:tabs>
          <w:tab w:val="left" w:leader="underscore" w:pos="2036"/>
        </w:tabs>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5.如我方中标，我方承诺：</w:t>
      </w:r>
    </w:p>
    <w:p>
      <w:pPr>
        <w:tabs>
          <w:tab w:val="left" w:leader="underscore" w:pos="2036"/>
        </w:tabs>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（1）在收到中标通知后，在规定的期限内与你方签订合同；</w:t>
      </w:r>
    </w:p>
    <w:p>
      <w:pPr>
        <w:tabs>
          <w:tab w:val="left" w:leader="underscore" w:pos="2036"/>
        </w:tabs>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（2）在签订合同时不向你方提出附加条件；</w:t>
      </w:r>
    </w:p>
    <w:p>
      <w:pPr>
        <w:tabs>
          <w:tab w:val="left" w:leader="underscore" w:pos="2036"/>
        </w:tabs>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（3）按照询价文件要求提交履约保证金；</w:t>
      </w:r>
    </w:p>
    <w:p>
      <w:pPr>
        <w:tabs>
          <w:tab w:val="left" w:leader="underscore" w:pos="2036"/>
        </w:tabs>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（4）在合同约定的期限内完成合同规定的全部义务。</w:t>
      </w:r>
    </w:p>
    <w:p>
      <w:pPr>
        <w:tabs>
          <w:tab w:val="left" w:leader="underscore" w:pos="2036"/>
        </w:tabs>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6.我方在此声明，所递交的报价文件及有关资料内容完整、真实和准确。</w:t>
      </w:r>
    </w:p>
    <w:p>
      <w:pPr>
        <w:tabs>
          <w:tab w:val="left" w:leader="underscore" w:pos="2036"/>
        </w:tabs>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7.(其他补充说明)。</w:t>
      </w:r>
    </w:p>
    <w:p>
      <w:pPr>
        <w:tabs>
          <w:tab w:val="left" w:leader="underscore" w:pos="2036"/>
        </w:tabs>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报价人：(盖单位章)</w:t>
      </w:r>
    </w:p>
    <w:p>
      <w:pPr>
        <w:tabs>
          <w:tab w:val="left" w:leader="underscore" w:pos="2036"/>
        </w:tabs>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法定代表人或其委托代理人：(签字)</w:t>
      </w:r>
    </w:p>
    <w:p>
      <w:pPr>
        <w:tabs>
          <w:tab w:val="left" w:leader="underscore" w:pos="2036"/>
        </w:tabs>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地 址：</w:t>
      </w:r>
    </w:p>
    <w:p>
      <w:pPr>
        <w:tabs>
          <w:tab w:val="left" w:leader="underscore" w:pos="2036"/>
        </w:tabs>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网 址：</w:t>
      </w:r>
    </w:p>
    <w:p>
      <w:pPr>
        <w:tabs>
          <w:tab w:val="left" w:leader="underscore" w:pos="2036"/>
        </w:tabs>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电 话：</w:t>
      </w:r>
    </w:p>
    <w:p>
      <w:pPr>
        <w:tabs>
          <w:tab w:val="left" w:leader="underscore" w:pos="2036"/>
        </w:tabs>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传 真：</w:t>
      </w:r>
    </w:p>
    <w:p>
      <w:pPr>
        <w:tabs>
          <w:tab w:val="left" w:leader="underscore" w:pos="2036"/>
        </w:tabs>
        <w:spacing w:line="360" w:lineRule="auto"/>
        <w:ind w:firstLine="480" w:firstLineChars="200"/>
      </w:pPr>
      <w:r>
        <w:rPr>
          <w:rFonts w:hint="eastAsia" w:ascii="Times New Roman" w:hAnsi="Times New Roman" w:eastAsia="宋体" w:cs="Times New Roman"/>
          <w:sz w:val="24"/>
          <w:szCs w:val="24"/>
          <w:lang w:eastAsia="zh-CN"/>
        </w:rPr>
        <w:t>邮政编码：</w:t>
      </w:r>
      <w:r>
        <w:br w:type="page"/>
      </w:r>
    </w:p>
    <w:p>
      <w:pPr>
        <w:pStyle w:val="4"/>
        <w:jc w:val="center"/>
        <w:rPr>
          <w:sz w:val="32"/>
          <w:szCs w:val="40"/>
        </w:rPr>
      </w:pPr>
      <w:bookmarkStart w:id="24" w:name="_Toc144386154"/>
      <w:r>
        <w:rPr>
          <w:rFonts w:hint="eastAsia"/>
          <w:sz w:val="32"/>
          <w:szCs w:val="40"/>
        </w:rPr>
        <w:t>三、报价表</w:t>
      </w:r>
      <w:bookmarkEnd w:id="24"/>
    </w:p>
    <w:p>
      <w:pPr>
        <w:tabs>
          <w:tab w:val="left" w:leader="underscore" w:pos="7582"/>
        </w:tabs>
        <w:spacing w:line="360" w:lineRule="auto"/>
        <w:outlineLvl w:val="2"/>
        <w:rPr>
          <w:sz w:val="21"/>
          <w:szCs w:val="21"/>
          <w:lang w:eastAsia="zh-CN"/>
        </w:rPr>
      </w:pPr>
      <w:r>
        <w:rPr>
          <w:rFonts w:hint="eastAsia"/>
          <w:sz w:val="21"/>
          <w:szCs w:val="21"/>
          <w:lang w:eastAsia="zh-CN"/>
        </w:rPr>
        <w:t>1.报价说明</w:t>
      </w:r>
    </w:p>
    <w:p>
      <w:pPr>
        <w:tabs>
          <w:tab w:val="left" w:leader="underscore" w:pos="7582"/>
        </w:tabs>
        <w:spacing w:line="360" w:lineRule="auto"/>
        <w:rPr>
          <w:sz w:val="21"/>
          <w:szCs w:val="21"/>
          <w:lang w:eastAsia="zh-CN"/>
        </w:rPr>
      </w:pPr>
      <w:r>
        <w:rPr>
          <w:rFonts w:hint="eastAsia"/>
          <w:sz w:val="21"/>
          <w:szCs w:val="21"/>
          <w:lang w:eastAsia="zh-CN"/>
        </w:rPr>
        <w:t>（1）价格应按照本说明的要求报价，以人民币计价，单位为元，精确到个数位。</w:t>
      </w:r>
    </w:p>
    <w:p>
      <w:pPr>
        <w:tabs>
          <w:tab w:val="left" w:leader="underscore" w:pos="7582"/>
        </w:tabs>
        <w:spacing w:line="360" w:lineRule="auto"/>
        <w:rPr>
          <w:rFonts w:hint="default"/>
          <w:color w:val="auto"/>
          <w:sz w:val="21"/>
          <w:szCs w:val="21"/>
          <w:lang w:val="en-US" w:eastAsia="zh-CN"/>
        </w:rPr>
      </w:pPr>
      <w:r>
        <w:rPr>
          <w:rFonts w:hint="eastAsia"/>
          <w:sz w:val="21"/>
          <w:szCs w:val="21"/>
          <w:lang w:eastAsia="zh-CN"/>
        </w:rPr>
        <w:t>（2）报价表中的价格，应包括报价单位完成合同内容</w:t>
      </w:r>
      <w:r>
        <w:rPr>
          <w:rFonts w:hint="eastAsia"/>
          <w:color w:val="auto"/>
          <w:sz w:val="21"/>
          <w:szCs w:val="21"/>
          <w:lang w:eastAsia="zh-CN"/>
        </w:rPr>
        <w:t>软硬件设备费用、软件产品费用、项目实施服务、培训费用、</w:t>
      </w:r>
      <w:r>
        <w:rPr>
          <w:rFonts w:hint="eastAsia"/>
          <w:color w:val="auto"/>
          <w:sz w:val="21"/>
          <w:szCs w:val="21"/>
          <w:lang w:val="en-US" w:eastAsia="zh-CN"/>
        </w:rPr>
        <w:t>其他服务及管理费用。</w:t>
      </w:r>
    </w:p>
    <w:p>
      <w:pPr>
        <w:tabs>
          <w:tab w:val="left" w:leader="underscore" w:pos="7582"/>
        </w:tabs>
        <w:spacing w:line="360" w:lineRule="auto"/>
        <w:rPr>
          <w:sz w:val="21"/>
          <w:szCs w:val="21"/>
          <w:lang w:eastAsia="zh-CN"/>
        </w:rPr>
      </w:pPr>
      <w:r>
        <w:rPr>
          <w:rFonts w:hint="eastAsia"/>
          <w:sz w:val="21"/>
          <w:szCs w:val="21"/>
          <w:lang w:eastAsia="zh-CN"/>
        </w:rPr>
        <w:t>（</w:t>
      </w:r>
      <w:r>
        <w:rPr>
          <w:rFonts w:hint="eastAsia"/>
          <w:sz w:val="21"/>
          <w:szCs w:val="21"/>
          <w:lang w:val="en-US" w:eastAsia="zh-CN"/>
        </w:rPr>
        <w:t>3</w:t>
      </w:r>
      <w:r>
        <w:rPr>
          <w:rFonts w:hint="eastAsia"/>
          <w:sz w:val="21"/>
          <w:szCs w:val="21"/>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360" w:lineRule="auto"/>
        <w:rPr>
          <w:sz w:val="21"/>
          <w:szCs w:val="21"/>
          <w:lang w:eastAsia="zh-CN"/>
        </w:rPr>
      </w:pPr>
      <w:r>
        <w:rPr>
          <w:rFonts w:hint="eastAsia"/>
          <w:sz w:val="21"/>
          <w:szCs w:val="21"/>
          <w:lang w:eastAsia="zh-CN"/>
        </w:rPr>
        <w:t>（</w:t>
      </w:r>
      <w:r>
        <w:rPr>
          <w:rFonts w:hint="eastAsia"/>
          <w:sz w:val="21"/>
          <w:szCs w:val="21"/>
          <w:lang w:val="en-US" w:eastAsia="zh-CN"/>
        </w:rPr>
        <w:t>4</w:t>
      </w:r>
      <w:r>
        <w:rPr>
          <w:rFonts w:hint="eastAsia"/>
          <w:sz w:val="21"/>
          <w:szCs w:val="21"/>
          <w:lang w:eastAsia="zh-CN"/>
        </w:rPr>
        <w:t>）报价文件报价的“单价”、“合价”均由报价人填写。若报价人对某些项目未填报单价和合价，则应认为已包括在其它项目的单价和合价以及投标总报价内。</w:t>
      </w:r>
      <w:r>
        <w:rPr>
          <w:sz w:val="21"/>
          <w:szCs w:val="21"/>
          <w:lang w:eastAsia="zh-CN"/>
        </w:rPr>
        <w:t>若</w:t>
      </w:r>
      <w:r>
        <w:rPr>
          <w:rFonts w:hint="eastAsia"/>
          <w:sz w:val="21"/>
          <w:szCs w:val="21"/>
          <w:lang w:eastAsia="zh-CN"/>
        </w:rPr>
        <w:t>某项</w:t>
      </w:r>
      <w:r>
        <w:rPr>
          <w:sz w:val="21"/>
          <w:szCs w:val="21"/>
          <w:lang w:eastAsia="zh-CN"/>
        </w:rPr>
        <w:t>费用不足以支付合同中约定的应支付费用，视为</w:t>
      </w:r>
      <w:r>
        <w:rPr>
          <w:rFonts w:hint="eastAsia"/>
          <w:sz w:val="21"/>
          <w:szCs w:val="21"/>
          <w:lang w:eastAsia="zh-CN"/>
        </w:rPr>
        <w:t>该项</w:t>
      </w:r>
      <w:r>
        <w:rPr>
          <w:sz w:val="21"/>
          <w:szCs w:val="21"/>
          <w:lang w:eastAsia="zh-CN"/>
        </w:rPr>
        <w:t>费用已包含在</w:t>
      </w:r>
      <w:r>
        <w:rPr>
          <w:rFonts w:hint="eastAsia"/>
          <w:sz w:val="21"/>
          <w:szCs w:val="21"/>
          <w:lang w:eastAsia="zh-CN"/>
        </w:rPr>
        <w:t>总报价</w:t>
      </w:r>
      <w:r>
        <w:rPr>
          <w:sz w:val="21"/>
          <w:szCs w:val="21"/>
          <w:lang w:eastAsia="zh-CN"/>
        </w:rPr>
        <w:t>中。</w:t>
      </w:r>
    </w:p>
    <w:p>
      <w:pPr>
        <w:tabs>
          <w:tab w:val="left" w:leader="underscore" w:pos="7582"/>
        </w:tabs>
        <w:spacing w:line="360" w:lineRule="auto"/>
        <w:rPr>
          <w:sz w:val="21"/>
          <w:szCs w:val="21"/>
          <w:lang w:eastAsia="zh-CN"/>
        </w:rPr>
      </w:pPr>
      <w:r>
        <w:rPr>
          <w:rFonts w:hint="eastAsia"/>
          <w:sz w:val="21"/>
          <w:szCs w:val="21"/>
          <w:lang w:eastAsia="zh-CN"/>
        </w:rPr>
        <w:t>（</w:t>
      </w:r>
      <w:r>
        <w:rPr>
          <w:rFonts w:hint="eastAsia"/>
          <w:sz w:val="21"/>
          <w:szCs w:val="21"/>
          <w:lang w:val="en-US" w:eastAsia="zh-CN"/>
        </w:rPr>
        <w:t>5</w:t>
      </w:r>
      <w:r>
        <w:rPr>
          <w:rFonts w:hint="eastAsia"/>
          <w:sz w:val="21"/>
          <w:szCs w:val="21"/>
          <w:lang w:eastAsia="zh-CN"/>
        </w:rPr>
        <w:t>）报价在合同有效期内固定不变，即合同价格不因国家和地方政策调整、物价变动等因数的影响而调整。</w:t>
      </w:r>
    </w:p>
    <w:p>
      <w:pPr>
        <w:ind w:firstLine="480"/>
      </w:pPr>
      <w:r>
        <w:br w:type="page"/>
      </w:r>
    </w:p>
    <w:p>
      <w:pPr>
        <w:ind w:firstLine="480"/>
        <w:outlineLvl w:val="2"/>
      </w:pPr>
      <w:r>
        <w:t>2</w:t>
      </w:r>
      <w:r>
        <w:rPr>
          <w:rFonts w:hint="eastAsia"/>
        </w:rPr>
        <w:t>.报价表</w:t>
      </w:r>
    </w:p>
    <w:p>
      <w:pPr>
        <w:pStyle w:val="29"/>
        <w:jc w:val="center"/>
        <w:rPr>
          <w:rFonts w:hint="default" w:eastAsia="宋体"/>
          <w:b/>
          <w:bCs/>
          <w:sz w:val="28"/>
          <w:szCs w:val="28"/>
          <w:lang w:val="en-US" w:eastAsia="zh-CN"/>
        </w:rPr>
      </w:pPr>
      <w:r>
        <w:rPr>
          <w:rFonts w:hint="eastAsia"/>
          <w:b/>
          <w:bCs/>
          <w:sz w:val="28"/>
          <w:szCs w:val="28"/>
        </w:rPr>
        <w:t>重庆航发集团</w:t>
      </w:r>
      <w:r>
        <w:rPr>
          <w:rFonts w:hint="eastAsia"/>
          <w:b/>
          <w:bCs/>
          <w:sz w:val="28"/>
          <w:szCs w:val="28"/>
          <w:lang w:eastAsia="zh-CN"/>
        </w:rPr>
        <w:t>航电枢纽与集控中心生产管理系统</w:t>
      </w:r>
      <w:r>
        <w:rPr>
          <w:rFonts w:hint="eastAsia"/>
          <w:b/>
          <w:bCs/>
          <w:sz w:val="28"/>
          <w:szCs w:val="28"/>
        </w:rPr>
        <w:t>建设项目</w:t>
      </w:r>
      <w:r>
        <w:rPr>
          <w:rFonts w:hint="eastAsia"/>
          <w:b/>
          <w:bCs/>
          <w:sz w:val="28"/>
          <w:szCs w:val="28"/>
          <w:lang w:val="en-US" w:eastAsia="zh-CN"/>
        </w:rPr>
        <w:t>报价表</w:t>
      </w:r>
    </w:p>
    <w:tbl>
      <w:tblPr>
        <w:tblStyle w:val="18"/>
        <w:tblW w:w="4999" w:type="pct"/>
        <w:tblInd w:w="0" w:type="dxa"/>
        <w:tblLayout w:type="fixed"/>
        <w:tblCellMar>
          <w:top w:w="0" w:type="dxa"/>
          <w:left w:w="108" w:type="dxa"/>
          <w:bottom w:w="0" w:type="dxa"/>
          <w:right w:w="108" w:type="dxa"/>
        </w:tblCellMar>
      </w:tblPr>
      <w:tblGrid>
        <w:gridCol w:w="621"/>
        <w:gridCol w:w="1486"/>
        <w:gridCol w:w="1381"/>
        <w:gridCol w:w="787"/>
        <w:gridCol w:w="610"/>
        <w:gridCol w:w="1420"/>
        <w:gridCol w:w="1573"/>
        <w:gridCol w:w="643"/>
      </w:tblGrid>
      <w:tr>
        <w:tblPrEx>
          <w:tblCellMar>
            <w:top w:w="0" w:type="dxa"/>
            <w:left w:w="108" w:type="dxa"/>
            <w:bottom w:w="0" w:type="dxa"/>
            <w:right w:w="108" w:type="dxa"/>
          </w:tblCellMar>
        </w:tblPrEx>
        <w:trPr>
          <w:trHeight w:val="245" w:hRule="atLeast"/>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b/>
                <w:bCs/>
                <w:color w:val="000000"/>
                <w:sz w:val="16"/>
                <w:szCs w:val="16"/>
              </w:rPr>
            </w:pPr>
            <w:r>
              <w:rPr>
                <w:rFonts w:hint="eastAsia" w:ascii="宋体" w:hAnsi="宋体"/>
                <w:b/>
                <w:bCs/>
                <w:color w:val="000000"/>
                <w:sz w:val="16"/>
                <w:szCs w:val="16"/>
              </w:rPr>
              <w:t>序号</w:t>
            </w:r>
          </w:p>
        </w:tc>
        <w:tc>
          <w:tcPr>
            <w:tcW w:w="148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b/>
                <w:bCs/>
                <w:color w:val="000000"/>
                <w:sz w:val="16"/>
                <w:szCs w:val="16"/>
              </w:rPr>
            </w:pPr>
            <w:r>
              <w:rPr>
                <w:rFonts w:hint="eastAsia" w:ascii="宋体" w:hAnsi="宋体"/>
                <w:b/>
                <w:bCs/>
                <w:color w:val="000000"/>
                <w:sz w:val="16"/>
                <w:szCs w:val="16"/>
              </w:rPr>
              <w:t>项目名称</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b/>
                <w:bCs/>
                <w:color w:val="000000"/>
                <w:sz w:val="16"/>
                <w:szCs w:val="16"/>
              </w:rPr>
            </w:pPr>
            <w:r>
              <w:rPr>
                <w:rFonts w:hint="eastAsia" w:ascii="宋体" w:hAnsi="宋体"/>
                <w:b/>
                <w:bCs/>
                <w:color w:val="000000"/>
                <w:sz w:val="16"/>
                <w:szCs w:val="16"/>
              </w:rPr>
              <w:t>型号及主要技术参数</w:t>
            </w:r>
          </w:p>
        </w:tc>
        <w:tc>
          <w:tcPr>
            <w:tcW w:w="78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b/>
                <w:bCs/>
                <w:color w:val="000000"/>
                <w:sz w:val="16"/>
                <w:szCs w:val="16"/>
              </w:rPr>
            </w:pPr>
            <w:r>
              <w:rPr>
                <w:rFonts w:hint="eastAsia" w:ascii="宋体" w:hAnsi="宋体"/>
                <w:b/>
                <w:bCs/>
                <w:color w:val="000000"/>
                <w:sz w:val="16"/>
                <w:szCs w:val="16"/>
              </w:rPr>
              <w:t>计量单位</w:t>
            </w:r>
          </w:p>
        </w:tc>
        <w:tc>
          <w:tcPr>
            <w:tcW w:w="6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b/>
                <w:bCs/>
                <w:color w:val="000000"/>
                <w:sz w:val="16"/>
                <w:szCs w:val="16"/>
              </w:rPr>
            </w:pPr>
            <w:r>
              <w:rPr>
                <w:rFonts w:hint="eastAsia" w:ascii="宋体" w:hAnsi="宋体"/>
                <w:b/>
                <w:bCs/>
                <w:color w:val="000000"/>
                <w:sz w:val="16"/>
                <w:szCs w:val="16"/>
              </w:rPr>
              <w:t>数量</w:t>
            </w:r>
          </w:p>
        </w:tc>
        <w:tc>
          <w:tcPr>
            <w:tcW w:w="142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b/>
                <w:bCs/>
                <w:color w:val="000000"/>
                <w:sz w:val="16"/>
                <w:szCs w:val="16"/>
                <w:lang w:eastAsia="zh-CN"/>
              </w:rPr>
            </w:pPr>
            <w:r>
              <w:rPr>
                <w:rFonts w:hint="eastAsia" w:ascii="宋体" w:hAnsi="宋体"/>
                <w:b/>
                <w:bCs/>
                <w:color w:val="000000"/>
                <w:sz w:val="16"/>
                <w:szCs w:val="16"/>
              </w:rPr>
              <w:t>单价</w:t>
            </w:r>
            <w:r>
              <w:rPr>
                <w:rFonts w:hint="eastAsia" w:ascii="宋体" w:hAnsi="宋体"/>
                <w:b/>
                <w:bCs/>
                <w:color w:val="000000"/>
                <w:sz w:val="16"/>
                <w:szCs w:val="16"/>
                <w:lang w:eastAsia="zh-CN"/>
              </w:rPr>
              <w:t>（</w:t>
            </w:r>
            <w:r>
              <w:rPr>
                <w:rFonts w:hint="eastAsia" w:ascii="宋体" w:hAnsi="宋体"/>
                <w:b/>
                <w:bCs/>
                <w:color w:val="000000"/>
                <w:sz w:val="16"/>
                <w:szCs w:val="16"/>
                <w:lang w:val="en-US" w:eastAsia="zh-CN"/>
              </w:rPr>
              <w:t>元</w:t>
            </w:r>
            <w:r>
              <w:rPr>
                <w:rFonts w:hint="eastAsia" w:ascii="宋体" w:hAnsi="宋体"/>
                <w:b/>
                <w:bCs/>
                <w:color w:val="000000"/>
                <w:sz w:val="16"/>
                <w:szCs w:val="16"/>
                <w:lang w:eastAsia="zh-CN"/>
              </w:rPr>
              <w:t>）</w:t>
            </w:r>
          </w:p>
        </w:tc>
        <w:tc>
          <w:tcPr>
            <w:tcW w:w="15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b/>
                <w:bCs/>
                <w:color w:val="000000"/>
                <w:sz w:val="16"/>
                <w:szCs w:val="16"/>
                <w:lang w:eastAsia="zh-CN"/>
              </w:rPr>
            </w:pPr>
            <w:r>
              <w:rPr>
                <w:rFonts w:hint="eastAsia" w:ascii="宋体" w:hAnsi="宋体"/>
                <w:b/>
                <w:bCs/>
                <w:color w:val="000000"/>
                <w:sz w:val="16"/>
                <w:szCs w:val="16"/>
                <w:lang w:val="en-US" w:eastAsia="zh-CN"/>
              </w:rPr>
              <w:t>总价（元）</w:t>
            </w: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b/>
                <w:bCs/>
                <w:color w:val="000000"/>
                <w:sz w:val="16"/>
                <w:szCs w:val="16"/>
              </w:rPr>
            </w:pPr>
            <w:r>
              <w:rPr>
                <w:rFonts w:hint="eastAsia" w:ascii="宋体" w:hAnsi="宋体"/>
                <w:b/>
                <w:bCs/>
                <w:color w:val="000000"/>
                <w:sz w:val="16"/>
                <w:szCs w:val="16"/>
              </w:rPr>
              <w:t>备注</w:t>
            </w:r>
          </w:p>
        </w:tc>
      </w:tr>
      <w:tr>
        <w:tblPrEx>
          <w:tblCellMar>
            <w:top w:w="0" w:type="dxa"/>
            <w:left w:w="108" w:type="dxa"/>
            <w:bottom w:w="0" w:type="dxa"/>
            <w:right w:w="108" w:type="dxa"/>
          </w:tblCellMar>
        </w:tblPrEx>
        <w:trPr>
          <w:trHeight w:val="414"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b/>
                <w:bCs/>
                <w:color w:val="000000"/>
                <w:sz w:val="16"/>
                <w:szCs w:val="16"/>
              </w:rPr>
            </w:pPr>
            <w:r>
              <w:rPr>
                <w:rFonts w:hint="eastAsia" w:ascii="宋体" w:hAnsi="宋体"/>
                <w:b/>
                <w:bCs/>
                <w:color w:val="000000"/>
                <w:sz w:val="16"/>
                <w:szCs w:val="16"/>
              </w:rPr>
              <w:t>一</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b/>
                <w:bCs/>
                <w:color w:val="000000"/>
                <w:sz w:val="16"/>
                <w:szCs w:val="16"/>
              </w:rPr>
            </w:pPr>
            <w:r>
              <w:rPr>
                <w:rFonts w:hint="eastAsia" w:ascii="宋体" w:hAnsi="宋体"/>
                <w:b/>
                <w:bCs/>
                <w:color w:val="000000"/>
                <w:sz w:val="16"/>
                <w:szCs w:val="16"/>
              </w:rPr>
              <w:t>硬件设备</w:t>
            </w:r>
          </w:p>
        </w:tc>
        <w:tc>
          <w:tcPr>
            <w:tcW w:w="641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b/>
                <w:bCs/>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1.1</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r>
              <w:rPr>
                <w:rFonts w:hint="eastAsia" w:ascii="宋体" w:hAnsi="宋体"/>
                <w:color w:val="000000"/>
                <w:sz w:val="16"/>
                <w:szCs w:val="16"/>
              </w:rPr>
              <w:t>系统应用服务器</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台</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Times New Roman"/>
                <w:b/>
                <w:bCs/>
                <w:color w:val="000000"/>
                <w:sz w:val="16"/>
                <w:szCs w:val="16"/>
                <w:lang w:val="en-US" w:eastAsia="zh-CN"/>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1.2</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r>
              <w:rPr>
                <w:rFonts w:hint="eastAsia" w:ascii="宋体" w:hAnsi="宋体"/>
                <w:color w:val="000000"/>
                <w:sz w:val="16"/>
                <w:szCs w:val="16"/>
              </w:rPr>
              <w:t>数据库服务器</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台</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1.3</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r>
              <w:rPr>
                <w:rFonts w:ascii="宋体" w:hAnsi="宋体"/>
                <w:color w:val="000000"/>
                <w:sz w:val="16"/>
                <w:szCs w:val="16"/>
              </w:rPr>
              <w:t>Web服务器</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台</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.4</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r>
              <w:rPr>
                <w:rFonts w:hint="eastAsia" w:ascii="宋体" w:hAnsi="宋体"/>
                <w:color w:val="000000"/>
                <w:sz w:val="16"/>
                <w:szCs w:val="16"/>
              </w:rPr>
              <w:t>交换机</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台</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.5</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r>
              <w:rPr>
                <w:rFonts w:hint="eastAsia" w:ascii="宋体" w:hAnsi="宋体"/>
                <w:color w:val="000000"/>
                <w:sz w:val="16"/>
                <w:szCs w:val="16"/>
              </w:rPr>
              <w:t>防火墙</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台</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rPr>
            </w:pPr>
            <w:r>
              <w:rPr>
                <w:rFonts w:hint="eastAsia" w:ascii="宋体" w:hAnsi="宋体"/>
                <w:color w:val="000000"/>
                <w:sz w:val="16"/>
                <w:szCs w:val="16"/>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b/>
                <w:bCs/>
                <w:color w:val="000000"/>
                <w:sz w:val="16"/>
                <w:szCs w:val="16"/>
              </w:rPr>
            </w:pPr>
            <w:r>
              <w:rPr>
                <w:rFonts w:hint="eastAsia" w:ascii="宋体" w:hAnsi="宋体"/>
                <w:b/>
                <w:bCs/>
                <w:color w:val="000000"/>
                <w:sz w:val="16"/>
                <w:szCs w:val="16"/>
                <w:lang w:val="en-US" w:eastAsia="zh-CN"/>
              </w:rPr>
              <w:t>二</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b/>
                <w:bCs/>
                <w:color w:val="000000"/>
                <w:sz w:val="16"/>
                <w:szCs w:val="16"/>
              </w:rPr>
            </w:pPr>
            <w:r>
              <w:rPr>
                <w:rFonts w:hint="eastAsia" w:ascii="宋体" w:hAnsi="宋体"/>
                <w:b/>
                <w:bCs/>
                <w:color w:val="000000"/>
                <w:sz w:val="16"/>
                <w:szCs w:val="16"/>
                <w:lang w:bidi="ar"/>
              </w:rPr>
              <w:t>软件产品</w:t>
            </w:r>
          </w:p>
        </w:tc>
        <w:tc>
          <w:tcPr>
            <w:tcW w:w="641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olor w:val="000000"/>
                <w:sz w:val="16"/>
                <w:szCs w:val="16"/>
                <w:lang w:val="en-US" w:eastAsia="zh-CN"/>
              </w:rPr>
            </w:pPr>
            <w:r>
              <w:rPr>
                <w:rFonts w:hint="eastAsia" w:ascii="宋体" w:hAnsi="宋体"/>
                <w:color w:val="000000"/>
                <w:sz w:val="16"/>
                <w:szCs w:val="16"/>
                <w:lang w:val="en-US" w:eastAsia="zh-CN" w:bidi="ar"/>
              </w:rPr>
              <w:t>2</w:t>
            </w:r>
            <w:r>
              <w:rPr>
                <w:rFonts w:hint="eastAsia" w:ascii="宋体" w:hAnsi="宋体"/>
                <w:color w:val="000000"/>
                <w:sz w:val="16"/>
                <w:szCs w:val="16"/>
                <w:lang w:bidi="ar"/>
              </w:rPr>
              <w:t>.1</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r>
              <w:rPr>
                <w:rFonts w:hint="eastAsia" w:ascii="宋体" w:hAnsi="宋体"/>
                <w:color w:val="000000"/>
                <w:sz w:val="16"/>
                <w:szCs w:val="16"/>
                <w:lang w:bidi="ar"/>
              </w:rPr>
              <w:t>系统平台</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78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pPr>
            <w:r>
              <w:rPr>
                <w:rFonts w:hint="eastAsia" w:ascii="宋体" w:hAnsi="宋体"/>
                <w:color w:val="000000"/>
                <w:sz w:val="16"/>
                <w:szCs w:val="16"/>
                <w:lang w:bidi="ar"/>
              </w:rPr>
              <w:t>项</w:t>
            </w:r>
          </w:p>
        </w:tc>
        <w:tc>
          <w:tcPr>
            <w:tcW w:w="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pPr>
            <w:r>
              <w:rPr>
                <w:rFonts w:hint="eastAsia" w:ascii="宋体" w:hAnsi="宋体"/>
                <w:color w:val="000000"/>
                <w:sz w:val="16"/>
                <w:szCs w:val="16"/>
                <w:lang w:bidi="ar"/>
              </w:rPr>
              <w:t>1</w:t>
            </w:r>
          </w:p>
        </w:tc>
        <w:tc>
          <w:tcPr>
            <w:tcW w:w="142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pPr>
          </w:p>
        </w:tc>
        <w:tc>
          <w:tcPr>
            <w:tcW w:w="157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pPr>
          </w:p>
        </w:tc>
        <w:tc>
          <w:tcPr>
            <w:tcW w:w="64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val="en-US" w:eastAsia="zh-CN" w:bidi="ar"/>
              </w:rPr>
              <w:t>2</w:t>
            </w:r>
            <w:r>
              <w:rPr>
                <w:rFonts w:hint="eastAsia" w:ascii="宋体" w:hAnsi="宋体"/>
                <w:color w:val="000000"/>
                <w:sz w:val="16"/>
                <w:szCs w:val="16"/>
                <w:lang w:bidi="ar"/>
              </w:rPr>
              <w:t>.2</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r>
              <w:rPr>
                <w:rFonts w:hint="eastAsia" w:ascii="宋体" w:hAnsi="宋体"/>
                <w:color w:val="000000"/>
                <w:sz w:val="16"/>
                <w:szCs w:val="16"/>
                <w:lang w:bidi="ar"/>
              </w:rPr>
              <w:t>设备管理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val="en-US" w:eastAsia="zh-CN" w:bidi="ar"/>
              </w:rPr>
              <w:t>2</w:t>
            </w:r>
            <w:r>
              <w:rPr>
                <w:rFonts w:hint="eastAsia" w:ascii="宋体" w:hAnsi="宋体"/>
                <w:color w:val="000000"/>
                <w:sz w:val="16"/>
                <w:szCs w:val="16"/>
                <w:lang w:bidi="ar"/>
              </w:rPr>
              <w:t>.3</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r>
              <w:rPr>
                <w:rFonts w:hint="eastAsia" w:ascii="宋体" w:hAnsi="宋体"/>
                <w:color w:val="000000"/>
                <w:sz w:val="16"/>
                <w:szCs w:val="16"/>
                <w:lang w:bidi="ar"/>
              </w:rPr>
              <w:t>检修管理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val="en-US" w:eastAsia="zh-CN" w:bidi="ar"/>
              </w:rPr>
              <w:t>2</w:t>
            </w:r>
            <w:r>
              <w:rPr>
                <w:rFonts w:hint="eastAsia" w:ascii="宋体" w:hAnsi="宋体"/>
                <w:color w:val="000000"/>
                <w:sz w:val="16"/>
                <w:szCs w:val="16"/>
                <w:lang w:bidi="ar"/>
              </w:rPr>
              <w:t>.4</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r>
              <w:rPr>
                <w:rFonts w:hint="eastAsia" w:ascii="宋体" w:hAnsi="宋体"/>
                <w:color w:val="000000"/>
                <w:sz w:val="16"/>
                <w:szCs w:val="16"/>
                <w:lang w:bidi="ar"/>
              </w:rPr>
              <w:t>运行管理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val="en-US" w:eastAsia="zh-CN" w:bidi="ar"/>
              </w:rPr>
              <w:t>2</w:t>
            </w:r>
            <w:r>
              <w:rPr>
                <w:rFonts w:hint="eastAsia" w:ascii="宋体" w:hAnsi="宋体"/>
                <w:color w:val="000000"/>
                <w:sz w:val="16"/>
                <w:szCs w:val="16"/>
                <w:lang w:bidi="ar"/>
              </w:rPr>
              <w:t>.5</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r>
              <w:rPr>
                <w:rFonts w:hint="eastAsia" w:ascii="宋体" w:hAnsi="宋体"/>
                <w:color w:val="000000"/>
                <w:sz w:val="16"/>
                <w:szCs w:val="16"/>
                <w:lang w:bidi="ar"/>
              </w:rPr>
              <w:t>两票管理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val="en-US" w:eastAsia="zh-CN" w:bidi="ar"/>
              </w:rPr>
              <w:t>2</w:t>
            </w:r>
            <w:r>
              <w:rPr>
                <w:rFonts w:hint="eastAsia" w:ascii="宋体" w:hAnsi="宋体"/>
                <w:color w:val="000000"/>
                <w:sz w:val="16"/>
                <w:szCs w:val="16"/>
                <w:lang w:bidi="ar"/>
              </w:rPr>
              <w:t>.6</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r>
              <w:rPr>
                <w:rFonts w:hint="eastAsia" w:ascii="宋体" w:hAnsi="宋体"/>
                <w:color w:val="000000"/>
                <w:sz w:val="16"/>
                <w:szCs w:val="16"/>
                <w:lang w:bidi="ar"/>
              </w:rPr>
              <w:t>闸门调度管理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lang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olor w:val="000000"/>
                <w:sz w:val="16"/>
                <w:szCs w:val="16"/>
                <w:lang w:eastAsia="zh-CN" w:bidi="ar"/>
              </w:rPr>
            </w:pPr>
            <w:r>
              <w:rPr>
                <w:rFonts w:hint="eastAsia" w:ascii="宋体" w:hAnsi="宋体"/>
                <w:color w:val="000000"/>
                <w:sz w:val="16"/>
                <w:szCs w:val="16"/>
                <w:lang w:val="en-US" w:eastAsia="zh-CN" w:bidi="ar"/>
              </w:rPr>
              <w:t>2</w:t>
            </w:r>
            <w:r>
              <w:rPr>
                <w:rFonts w:ascii="宋体" w:hAnsi="宋体"/>
                <w:color w:val="000000"/>
                <w:sz w:val="16"/>
                <w:szCs w:val="16"/>
                <w:lang w:bidi="ar"/>
              </w:rPr>
              <w:t>.</w:t>
            </w:r>
            <w:r>
              <w:rPr>
                <w:rFonts w:hint="eastAsia" w:ascii="宋体" w:hAnsi="宋体"/>
                <w:color w:val="000000"/>
                <w:sz w:val="16"/>
                <w:szCs w:val="16"/>
                <w:lang w:val="en-US" w:eastAsia="zh-CN" w:bidi="ar"/>
              </w:rPr>
              <w:t>7</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r>
              <w:rPr>
                <w:rFonts w:hint="eastAsia" w:ascii="宋体" w:hAnsi="宋体"/>
                <w:color w:val="000000"/>
                <w:sz w:val="16"/>
                <w:szCs w:val="16"/>
                <w:lang w:bidi="ar"/>
              </w:rPr>
              <w:t>网络防病毒软件</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olor w:val="000000"/>
                <w:sz w:val="16"/>
                <w:szCs w:val="16"/>
                <w:lang w:eastAsia="zh-CN" w:bidi="ar"/>
              </w:rPr>
            </w:pPr>
            <w:r>
              <w:rPr>
                <w:rFonts w:hint="eastAsia" w:ascii="宋体" w:hAnsi="宋体"/>
                <w:color w:val="000000"/>
                <w:sz w:val="16"/>
                <w:szCs w:val="16"/>
                <w:highlight w:val="none"/>
                <w:lang w:val="en-US" w:eastAsia="zh-CN"/>
              </w:rPr>
              <w:t>套</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r>
              <w:rPr>
                <w:rFonts w:hint="eastAsia" w:ascii="宋体" w:hAnsi="宋体"/>
                <w:color w:val="000000"/>
                <w:sz w:val="16"/>
                <w:szCs w:val="16"/>
              </w:rPr>
              <w:t>1</w:t>
            </w:r>
            <w:r>
              <w:rPr>
                <w:rFonts w:ascii="宋体" w:hAnsi="宋体"/>
                <w:color w:val="000000"/>
                <w:sz w:val="16"/>
                <w:szCs w:val="16"/>
              </w:rPr>
              <w:t>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right"/>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b/>
                <w:bCs/>
                <w:color w:val="000000"/>
                <w:sz w:val="16"/>
                <w:szCs w:val="16"/>
                <w:lang w:val="en-US" w:eastAsia="zh-CN"/>
              </w:rPr>
            </w:pPr>
            <w:r>
              <w:rPr>
                <w:rFonts w:hint="eastAsia" w:ascii="宋体" w:hAnsi="宋体"/>
                <w:b/>
                <w:bCs/>
                <w:color w:val="000000"/>
                <w:sz w:val="16"/>
                <w:szCs w:val="16"/>
                <w:lang w:val="en-US" w:eastAsia="zh-CN"/>
              </w:rPr>
              <w:t>三</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b/>
                <w:bCs/>
                <w:color w:val="000000"/>
                <w:sz w:val="16"/>
                <w:szCs w:val="16"/>
                <w:lang w:val="en-US" w:eastAsia="zh-CN"/>
              </w:rPr>
            </w:pPr>
            <w:r>
              <w:rPr>
                <w:rFonts w:hint="eastAsia" w:ascii="宋体" w:hAnsi="宋体"/>
                <w:b/>
                <w:bCs/>
                <w:color w:val="000000"/>
                <w:sz w:val="16"/>
                <w:szCs w:val="16"/>
                <w:lang w:val="en-US" w:eastAsia="zh-CN"/>
              </w:rPr>
              <w:t>项目技术服务及培训</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ascii="宋体" w:hAnsi="宋体"/>
                <w:color w:val="000000"/>
                <w:sz w:val="16"/>
                <w:szCs w:val="16"/>
                <w:lang w:bidi="ar"/>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default" w:ascii="宋体" w:hAnsi="宋体"/>
                <w:color w:val="000000"/>
                <w:sz w:val="16"/>
                <w:szCs w:val="16"/>
                <w:lang w:val="en-US" w:eastAsia="zh-CN" w:bidi="ar"/>
              </w:rPr>
            </w:pPr>
            <w:r>
              <w:rPr>
                <w:rFonts w:hint="eastAsia" w:ascii="宋体" w:hAnsi="宋体"/>
                <w:color w:val="000000"/>
                <w:sz w:val="16"/>
                <w:szCs w:val="16"/>
                <w:lang w:val="en-US" w:eastAsia="zh-CN" w:bidi="ar"/>
              </w:rPr>
              <w:t>3.1</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default" w:ascii="宋体" w:hAnsi="宋体"/>
                <w:color w:val="000000"/>
                <w:sz w:val="16"/>
                <w:szCs w:val="16"/>
                <w:lang w:val="en-US" w:eastAsia="zh-CN" w:bidi="ar"/>
              </w:rPr>
            </w:pPr>
            <w:r>
              <w:rPr>
                <w:rFonts w:hint="eastAsia" w:ascii="宋体" w:hAnsi="宋体"/>
                <w:color w:val="000000"/>
                <w:sz w:val="16"/>
                <w:szCs w:val="16"/>
                <w:lang w:val="en-US" w:eastAsia="zh-CN" w:bidi="ar"/>
              </w:rPr>
              <w:t>项目安装及调试费用</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hint="eastAsia" w:ascii="宋体" w:hAnsi="宋体" w:eastAsia="宋体"/>
                <w:color w:val="000000"/>
                <w:sz w:val="16"/>
                <w:szCs w:val="16"/>
                <w:lang w:val="en-US" w:eastAsia="zh-CN" w:bidi="ar"/>
              </w:rPr>
            </w:pPr>
            <w:r>
              <w:rPr>
                <w:rFonts w:hint="eastAsia" w:ascii="宋体" w:hAnsi="宋体"/>
                <w:color w:val="000000"/>
                <w:sz w:val="16"/>
                <w:szCs w:val="16"/>
                <w:lang w:val="en-US" w:eastAsia="zh-CN" w:bidi="ar"/>
              </w:rPr>
              <w:t>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olor w:val="000000"/>
                <w:sz w:val="16"/>
                <w:szCs w:val="16"/>
                <w:lang w:val="en-US" w:eastAsia="zh-CN" w:bidi="ar"/>
              </w:rPr>
            </w:pPr>
            <w:r>
              <w:rPr>
                <w:rFonts w:hint="eastAsia" w:ascii="宋体" w:hAnsi="宋体"/>
                <w:color w:val="000000"/>
                <w:sz w:val="16"/>
                <w:szCs w:val="16"/>
                <w:lang w:val="en-US" w:eastAsia="zh-CN"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default" w:ascii="宋体" w:hAnsi="宋体"/>
                <w:color w:val="000000"/>
                <w:sz w:val="16"/>
                <w:szCs w:val="16"/>
                <w:lang w:val="en-US" w:eastAsia="zh-CN" w:bidi="ar"/>
              </w:rPr>
            </w:pPr>
            <w:r>
              <w:rPr>
                <w:rFonts w:hint="eastAsia" w:ascii="宋体" w:hAnsi="宋体"/>
                <w:color w:val="000000"/>
                <w:sz w:val="16"/>
                <w:szCs w:val="16"/>
                <w:lang w:val="en-US" w:eastAsia="zh-CN" w:bidi="ar"/>
              </w:rPr>
              <w:t>3.2</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default" w:ascii="宋体" w:hAnsi="宋体"/>
                <w:color w:val="000000"/>
                <w:sz w:val="16"/>
                <w:szCs w:val="16"/>
                <w:lang w:val="en-US" w:eastAsia="zh-CN" w:bidi="ar"/>
              </w:rPr>
            </w:pPr>
            <w:r>
              <w:rPr>
                <w:rFonts w:hint="eastAsia" w:ascii="宋体" w:hAnsi="宋体"/>
                <w:color w:val="000000"/>
                <w:sz w:val="16"/>
                <w:szCs w:val="16"/>
                <w:lang w:val="en-US" w:eastAsia="zh-CN" w:bidi="ar"/>
              </w:rPr>
              <w:t>项目培训费用</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hint="eastAsia" w:ascii="宋体" w:hAnsi="宋体" w:eastAsia="宋体"/>
                <w:color w:val="000000"/>
                <w:sz w:val="16"/>
                <w:szCs w:val="16"/>
                <w:lang w:val="en-US" w:eastAsia="zh-CN" w:bidi="ar"/>
              </w:rPr>
            </w:pPr>
            <w:r>
              <w:rPr>
                <w:rFonts w:hint="eastAsia" w:ascii="宋体" w:hAnsi="宋体"/>
                <w:color w:val="000000"/>
                <w:sz w:val="16"/>
                <w:szCs w:val="16"/>
                <w:lang w:val="en-US" w:eastAsia="zh-CN" w:bidi="ar"/>
              </w:rPr>
              <w:t>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olor w:val="000000"/>
                <w:sz w:val="16"/>
                <w:szCs w:val="16"/>
                <w:lang w:val="en-US" w:eastAsia="zh-CN" w:bidi="ar"/>
              </w:rPr>
            </w:pPr>
            <w:r>
              <w:rPr>
                <w:rFonts w:hint="eastAsia" w:ascii="宋体" w:hAnsi="宋体"/>
                <w:color w:val="000000"/>
                <w:sz w:val="16"/>
                <w:szCs w:val="16"/>
                <w:lang w:val="en-US" w:eastAsia="zh-CN"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default" w:ascii="宋体" w:hAnsi="宋体"/>
                <w:color w:val="000000"/>
                <w:sz w:val="16"/>
                <w:szCs w:val="16"/>
                <w:lang w:val="en-US" w:eastAsia="zh-CN" w:bidi="ar"/>
              </w:rPr>
            </w:pPr>
            <w:r>
              <w:rPr>
                <w:rFonts w:hint="eastAsia" w:ascii="宋体" w:hAnsi="宋体"/>
                <w:color w:val="000000"/>
                <w:sz w:val="16"/>
                <w:szCs w:val="16"/>
                <w:lang w:val="en-US" w:eastAsia="zh-CN" w:bidi="ar"/>
              </w:rPr>
              <w:t>3.3</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default" w:ascii="宋体" w:hAnsi="宋体"/>
                <w:color w:val="000000"/>
                <w:sz w:val="16"/>
                <w:szCs w:val="16"/>
                <w:lang w:val="en-US" w:eastAsia="zh-CN" w:bidi="ar"/>
              </w:rPr>
            </w:pPr>
            <w:r>
              <w:rPr>
                <w:rFonts w:hint="eastAsia" w:ascii="宋体" w:hAnsi="宋体"/>
                <w:color w:val="000000"/>
                <w:sz w:val="16"/>
                <w:szCs w:val="16"/>
                <w:lang w:val="en-US" w:eastAsia="zh-CN" w:bidi="ar"/>
              </w:rPr>
              <w:t>技术文档提交及论文发表</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hint="default" w:ascii="宋体" w:hAnsi="宋体"/>
                <w:color w:val="000000"/>
                <w:sz w:val="16"/>
                <w:szCs w:val="16"/>
                <w:lang w:val="en-US" w:eastAsia="zh-CN" w:bidi="ar"/>
              </w:rPr>
            </w:pPr>
            <w:r>
              <w:rPr>
                <w:rFonts w:hint="eastAsia" w:ascii="宋体" w:hAnsi="宋体"/>
                <w:color w:val="000000"/>
                <w:sz w:val="16"/>
                <w:szCs w:val="16"/>
                <w:lang w:val="en-US" w:eastAsia="zh-CN" w:bidi="ar"/>
              </w:rPr>
              <w:t>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宋体" w:hAnsi="宋体"/>
                <w:color w:val="000000"/>
                <w:sz w:val="16"/>
                <w:szCs w:val="16"/>
                <w:lang w:val="en-US" w:eastAsia="zh-CN" w:bidi="ar"/>
              </w:rPr>
            </w:pPr>
            <w:r>
              <w:rPr>
                <w:rFonts w:hint="eastAsia" w:ascii="宋体" w:hAnsi="宋体"/>
                <w:color w:val="000000"/>
                <w:sz w:val="16"/>
                <w:szCs w:val="16"/>
                <w:lang w:val="en-US" w:eastAsia="zh-CN"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r>
        <w:tblPrEx>
          <w:tblCellMar>
            <w:top w:w="0" w:type="dxa"/>
            <w:left w:w="108" w:type="dxa"/>
            <w:bottom w:w="0" w:type="dxa"/>
            <w:right w:w="10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b/>
                <w:bCs/>
                <w:color w:val="000000"/>
                <w:sz w:val="16"/>
                <w:szCs w:val="16"/>
                <w:highlight w:val="yellow"/>
                <w:lang w:eastAsia="zh-CN"/>
              </w:rPr>
            </w:pPr>
            <w:r>
              <w:rPr>
                <w:rFonts w:hint="eastAsia" w:ascii="宋体" w:hAnsi="宋体"/>
                <w:b/>
                <w:bCs/>
                <w:color w:val="000000"/>
                <w:sz w:val="16"/>
                <w:szCs w:val="16"/>
                <w:lang w:val="en-US" w:eastAsia="zh-CN" w:bidi="ar"/>
              </w:rPr>
              <w:t>四</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b/>
                <w:bCs/>
                <w:color w:val="000000"/>
                <w:sz w:val="16"/>
                <w:szCs w:val="16"/>
                <w:highlight w:val="yellow"/>
                <w:lang w:bidi="ar"/>
              </w:rPr>
            </w:pPr>
            <w:r>
              <w:rPr>
                <w:rFonts w:hint="eastAsia" w:ascii="宋体" w:hAnsi="宋体"/>
                <w:b/>
                <w:bCs/>
                <w:color w:val="000000"/>
                <w:sz w:val="16"/>
                <w:szCs w:val="16"/>
                <w:lang w:val="en-US" w:eastAsia="zh-CN" w:bidi="ar"/>
              </w:rPr>
              <w:t>合计</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lang w:bidi="ar"/>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000000"/>
                <w:sz w:val="16"/>
                <w:szCs w:val="16"/>
                <w:lang w:bidi="ar"/>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olor w:val="000000"/>
                <w:sz w:val="16"/>
                <w:szCs w:val="16"/>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color w:val="000000"/>
                <w:sz w:val="16"/>
                <w:szCs w:val="16"/>
              </w:rPr>
            </w:pPr>
          </w:p>
        </w:tc>
      </w:tr>
    </w:tbl>
    <w:p>
      <w:pPr>
        <w:ind w:firstLine="480"/>
      </w:pPr>
      <w:r>
        <w:br w:type="page"/>
      </w:r>
    </w:p>
    <w:p>
      <w:pPr>
        <w:pStyle w:val="4"/>
        <w:jc w:val="center"/>
        <w:rPr>
          <w:sz w:val="40"/>
          <w:szCs w:val="48"/>
        </w:rPr>
      </w:pPr>
      <w:bookmarkStart w:id="25" w:name="_Toc144386155"/>
      <w:bookmarkStart w:id="26" w:name="_Hlk144328827"/>
      <w:r>
        <w:rPr>
          <w:rFonts w:hint="eastAsia"/>
          <w:sz w:val="32"/>
          <w:szCs w:val="40"/>
        </w:rPr>
        <w:t>四、资格审查资料</w:t>
      </w:r>
      <w:bookmarkEnd w:id="25"/>
    </w:p>
    <w:bookmarkEnd w:id="26"/>
    <w:p>
      <w:pPr>
        <w:pStyle w:val="29"/>
      </w:pPr>
      <w:r>
        <w:rPr>
          <w:rFonts w:hint="eastAsia"/>
        </w:rPr>
        <w:t>1.营业执照、法定代表人身份证明或授权委托书</w:t>
      </w:r>
    </w:p>
    <w:p>
      <w:pPr>
        <w:pStyle w:val="29"/>
      </w:pPr>
      <w:r>
        <w:rPr>
          <w:rFonts w:hint="eastAsia"/>
        </w:rPr>
        <w:t>2.资质证书</w:t>
      </w:r>
    </w:p>
    <w:p>
      <w:pPr>
        <w:pStyle w:val="29"/>
      </w:pPr>
      <w:r>
        <w:rPr>
          <w:rFonts w:hint="eastAsia"/>
        </w:rPr>
        <w:t>3.证明</w:t>
      </w:r>
    </w:p>
    <w:p>
      <w:pPr>
        <w:pStyle w:val="29"/>
      </w:pPr>
      <w:r>
        <w:rPr>
          <w:rFonts w:hint="eastAsia"/>
        </w:rPr>
        <w:t>4.人力资源配备</w:t>
      </w:r>
    </w:p>
    <w:p>
      <w:pPr>
        <w:pStyle w:val="29"/>
      </w:pPr>
      <w:r>
        <w:rPr>
          <w:rFonts w:hint="eastAsia"/>
        </w:rPr>
        <w:t>5.其他</w:t>
      </w:r>
    </w:p>
    <w:p>
      <w:pPr>
        <w:pStyle w:val="29"/>
      </w:pPr>
      <w:r>
        <w:rPr>
          <w:rFonts w:hint="eastAsia"/>
        </w:rPr>
        <w:t>6.信用承诺书</w:t>
      </w:r>
    </w:p>
    <w:p>
      <w:pPr>
        <w:pStyle w:val="29"/>
      </w:pPr>
      <w:r>
        <w:rPr>
          <w:rFonts w:hint="eastAsia"/>
        </w:rPr>
        <w:t>*注：以上报价文</w:t>
      </w:r>
      <w:r>
        <w:rPr>
          <w:rFonts w:hint="eastAsia"/>
          <w:highlight w:val="none"/>
        </w:rPr>
        <w:t>件均需加盖鲜章并装订成册</w:t>
      </w:r>
      <w:r>
        <w:rPr>
          <w:rFonts w:hint="eastAsia"/>
        </w:rPr>
        <w:t>。装订采用A4纸幅面，不得采用活页夹等可随时拆换的方式装订，目录、页码齐全。报价文件一并装入一个封套中左侧胶封，密封完好并在两头封口处加盖报价人单位公章，否则其报价文件将被否决。</w:t>
      </w:r>
    </w:p>
    <w:p>
      <w:pPr>
        <w:ind w:firstLine="480"/>
      </w:pPr>
      <w:r>
        <w:br w:type="page"/>
      </w:r>
    </w:p>
    <w:p>
      <w:pPr>
        <w:ind w:firstLine="0" w:firstLineChars="0"/>
        <w:jc w:val="center"/>
        <w:outlineLvl w:val="2"/>
        <w:rPr>
          <w:b/>
          <w:bCs/>
          <w:sz w:val="32"/>
          <w:szCs w:val="32"/>
        </w:rPr>
      </w:pPr>
      <w:r>
        <w:rPr>
          <w:rFonts w:hint="eastAsia"/>
          <w:b/>
          <w:bCs/>
          <w:sz w:val="32"/>
          <w:szCs w:val="32"/>
        </w:rPr>
        <w:t>信用承诺书</w:t>
      </w:r>
    </w:p>
    <w:p>
      <w:pPr>
        <w:ind w:firstLine="480"/>
      </w:pPr>
      <w:r>
        <w:rPr>
          <w:rFonts w:hint="eastAsia"/>
        </w:rPr>
        <w:t>重庆草街航运电力开发有限公司：</w:t>
      </w:r>
    </w:p>
    <w:p>
      <w:pPr>
        <w:ind w:firstLine="480"/>
      </w:pPr>
      <w:r>
        <w:rPr>
          <w:rFonts w:hint="eastAsia"/>
        </w:rPr>
        <w:t>我公司</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rPr>
        <w:t>（报价人名称）参加了贵单位</w:t>
      </w:r>
      <w:r>
        <w:rPr>
          <w:rFonts w:hint="eastAsia"/>
          <w:color w:val="auto"/>
          <w:u w:val="single"/>
        </w:rPr>
        <w:t>重庆航发集团</w:t>
      </w:r>
      <w:r>
        <w:rPr>
          <w:rFonts w:hint="eastAsia"/>
          <w:color w:val="auto"/>
          <w:u w:val="single"/>
          <w:lang w:eastAsia="zh-CN"/>
        </w:rPr>
        <w:t>航电枢纽与集控中心生产管理系统</w:t>
      </w:r>
      <w:r>
        <w:rPr>
          <w:rFonts w:hint="eastAsia"/>
          <w:color w:val="auto"/>
          <w:u w:val="single"/>
        </w:rPr>
        <w:t>建设项目</w:t>
      </w:r>
      <w:r>
        <w:rPr>
          <w:rFonts w:hint="eastAsia"/>
        </w:rPr>
        <w:t>的询价，自愿作出以下承诺：</w:t>
      </w:r>
    </w:p>
    <w:p>
      <w:pPr>
        <w:ind w:firstLine="480"/>
        <w:outlineLvl w:val="2"/>
      </w:pPr>
      <w:r>
        <w:rPr>
          <w:rFonts w:hint="eastAsia"/>
        </w:rPr>
        <w:t>1、询价截止日投标资格情况不存在下列情形之一：</w:t>
      </w:r>
    </w:p>
    <w:p>
      <w:pPr>
        <w:ind w:firstLine="480"/>
      </w:pPr>
      <w:r>
        <w:rPr>
          <w:rFonts w:hint="eastAsia"/>
        </w:rPr>
        <w:t>（1）被人民法院在“信用中国”网站（www.creditchina.gov.cn）列入失信被执行人名单且在被执行期内；</w:t>
      </w:r>
    </w:p>
    <w:p>
      <w:pPr>
        <w:ind w:firstLine="480"/>
      </w:pPr>
      <w:r>
        <w:rPr>
          <w:rFonts w:hint="eastAsia"/>
        </w:rPr>
        <w:t>（2）被列入《重庆市工程建设领域招标投标信用管理暂行办法》规定的重点关注名单且记分达到12分且在记分有效期内；</w:t>
      </w:r>
    </w:p>
    <w:p>
      <w:pPr>
        <w:ind w:firstLine="480"/>
      </w:pPr>
      <w:r>
        <w:rPr>
          <w:rFonts w:hint="eastAsia"/>
        </w:rPr>
        <w:t>（3）被列入《重庆市工程建设领域招标投标信用管理暂行办法》规定的黑名单且在有效期内；</w:t>
      </w:r>
    </w:p>
    <w:p>
      <w:pPr>
        <w:ind w:firstLine="480"/>
      </w:pPr>
      <w:r>
        <w:rPr>
          <w:rFonts w:hint="eastAsia"/>
        </w:rPr>
        <w:t>（4）被国家、重庆市（含市或任意区县）有关行政部门处以暂停投标资格行政处罚，且在处罚期限内；</w:t>
      </w:r>
    </w:p>
    <w:p>
      <w:pPr>
        <w:ind w:firstLine="480"/>
      </w:pPr>
      <w:r>
        <w:rPr>
          <w:rFonts w:hint="eastAsia"/>
        </w:rPr>
        <w:t>（5）被重庆市相关行政主管部门暂停在渝承揽新业务且在暂停期内。</w:t>
      </w:r>
    </w:p>
    <w:p>
      <w:pPr>
        <w:ind w:firstLine="480"/>
      </w:pPr>
      <w:r>
        <w:rPr>
          <w:rFonts w:hint="eastAsia"/>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ind w:firstLine="480"/>
      </w:pPr>
      <w:r>
        <w:rPr>
          <w:rFonts w:hint="eastAsia"/>
        </w:rPr>
        <w:t>4、询价文件符合 “合同条款与格式”规定，询价文件中没有询价人不能接受的条件。</w:t>
      </w:r>
    </w:p>
    <w:p>
      <w:pPr>
        <w:ind w:firstLine="480"/>
        <w:outlineLvl w:val="2"/>
      </w:pPr>
      <w:r>
        <w:rPr>
          <w:rFonts w:hint="eastAsia"/>
        </w:rPr>
        <w:t>5、询价文件符合 “技术标准和要求”规定。</w:t>
      </w:r>
    </w:p>
    <w:p>
      <w:pPr>
        <w:ind w:firstLine="480"/>
      </w:pPr>
      <w:r>
        <w:rPr>
          <w:rFonts w:hint="eastAsia"/>
        </w:rPr>
        <w:t>特此承诺。</w:t>
      </w:r>
    </w:p>
    <w:p>
      <w:pPr>
        <w:ind w:firstLine="480"/>
        <w:jc w:val="right"/>
      </w:pPr>
      <w:r>
        <w:rPr>
          <w:rFonts w:hint="eastAsia"/>
        </w:rPr>
        <w:t>报价人：         （盖单位法人章）</w:t>
      </w:r>
    </w:p>
    <w:p>
      <w:pPr>
        <w:ind w:firstLine="480"/>
        <w:jc w:val="right"/>
      </w:pPr>
      <w:r>
        <w:rPr>
          <w:rFonts w:hint="eastAsia"/>
        </w:rPr>
        <w:t>法定代表人：       （签字或盖章）</w:t>
      </w:r>
    </w:p>
    <w:p>
      <w:pPr>
        <w:ind w:firstLine="480"/>
        <w:jc w:val="right"/>
      </w:pPr>
      <w:r>
        <w:rPr>
          <w:rFonts w:hint="eastAsia"/>
        </w:rPr>
        <w:t>2</w:t>
      </w:r>
      <w:r>
        <w:t>023</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ind w:firstLine="480"/>
      </w:pPr>
      <w:r>
        <w:br w:type="page"/>
      </w:r>
    </w:p>
    <w:p>
      <w:pPr>
        <w:pStyle w:val="4"/>
        <w:jc w:val="center"/>
        <w:rPr>
          <w:sz w:val="32"/>
          <w:szCs w:val="40"/>
        </w:rPr>
      </w:pPr>
      <w:bookmarkStart w:id="27" w:name="_Toc144386156"/>
      <w:r>
        <w:rPr>
          <w:rFonts w:hint="eastAsia"/>
          <w:sz w:val="32"/>
          <w:szCs w:val="40"/>
        </w:rPr>
        <w:t>五、项目方案及进度安排</w:t>
      </w:r>
      <w:bookmarkEnd w:id="27"/>
    </w:p>
    <w:p>
      <w:pPr>
        <w:ind w:firstLine="480"/>
      </w:pPr>
      <w:r>
        <w:rPr>
          <w:rFonts w:hint="eastAsia"/>
        </w:rPr>
        <w:t>对项目的认识（结合项目背景等书面资料），技术方案（结合项目需求，编制工作程序等），项目管理及质量保证措施（项目管理组织合理、管理体系完善、质量保证措施等），列出施工进度计划与措施（总计划各关键环节的工期切实可行，保证工期的措施科学、可靠等方面)，拟投入的安全用品和试验，检测仪器设备以及承诺等。</w:t>
      </w:r>
      <w:r>
        <w:br w:type="page"/>
      </w:r>
    </w:p>
    <w:p>
      <w:pPr>
        <w:pStyle w:val="4"/>
        <w:jc w:val="center"/>
        <w:rPr>
          <w:sz w:val="32"/>
          <w:szCs w:val="40"/>
        </w:rPr>
      </w:pPr>
      <w:bookmarkStart w:id="28" w:name="_Toc144386157"/>
      <w:r>
        <w:rPr>
          <w:rFonts w:hint="eastAsia"/>
          <w:sz w:val="32"/>
          <w:szCs w:val="40"/>
        </w:rPr>
        <w:t>六、其他资料</w:t>
      </w:r>
      <w:bookmarkEnd w:id="28"/>
    </w:p>
    <w:sectPr>
      <w:footerReference r:id="rId11"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EE32A68-2248-477D-A67B-B083EEF56CF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FBAEDB8-1DFC-4CFF-A041-D7FAAE60E7F6}"/>
  </w:font>
  <w:font w:name="等线 Light">
    <w:panose1 w:val="02010600030101010101"/>
    <w:charset w:val="86"/>
    <w:family w:val="auto"/>
    <w:pitch w:val="default"/>
    <w:sig w:usb0="A00002BF" w:usb1="38CF7CFA" w:usb2="00000016" w:usb3="00000000" w:csb0="0004000F" w:csb1="00000000"/>
    <w:embedRegular r:id="rId3" w:fontKey="{BCD7E413-02DD-4E90-8B52-A377B7D2E003}"/>
  </w:font>
  <w:font w:name="等线">
    <w:panose1 w:val="02010600030101010101"/>
    <w:charset w:val="86"/>
    <w:family w:val="auto"/>
    <w:pitch w:val="default"/>
    <w:sig w:usb0="A00002BF" w:usb1="38CF7CFA" w:usb2="00000016" w:usb3="00000000" w:csb0="0004000F" w:csb1="00000000"/>
    <w:embedRegular r:id="rId4" w:fontKey="{70FE1CEB-2B28-43A1-ACCC-FCFB5C3048ED}"/>
  </w:font>
  <w:font w:name="仿宋GB2312">
    <w:altName w:val="宋体"/>
    <w:panose1 w:val="00000000000000000000"/>
    <w:charset w:val="86"/>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embedRegular r:id="rId5" w:fontKey="{01D1EC04-74B6-4351-8642-5FA5DF2B17AD}"/>
  </w:font>
  <w:font w:name="宋体-简">
    <w:altName w:val="宋体"/>
    <w:panose1 w:val="00000000000000000000"/>
    <w:charset w:val="86"/>
    <w:family w:val="auto"/>
    <w:pitch w:val="default"/>
    <w:sig w:usb0="00000000" w:usb1="00000000" w:usb2="00000000" w:usb3="00000000" w:csb0="00040000" w:csb1="00000000"/>
    <w:embedRegular r:id="rId6" w:fontKey="{6FCA6340-6555-4C01-AF1B-D412D44931B7}"/>
  </w:font>
  <w:font w:name="楷体_GB2312">
    <w:altName w:val="楷体"/>
    <w:panose1 w:val="00000000000000000000"/>
    <w:charset w:val="86"/>
    <w:family w:val="modern"/>
    <w:pitch w:val="default"/>
    <w:sig w:usb0="00000000" w:usb1="00000000" w:usb2="00000010" w:usb3="00000000" w:csb0="00040000" w:csb1="00000000"/>
    <w:embedRegular r:id="rId7" w:fontKey="{299412BD-5283-4CD6-B9B2-8F3A1779794A}"/>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8" w:fontKey="{3FE205CB-F67C-45C2-B4EE-D71E725225FC}"/>
  </w:font>
  <w:font w:name="仿宋">
    <w:panose1 w:val="02010609060101010101"/>
    <w:charset w:val="86"/>
    <w:family w:val="modern"/>
    <w:pitch w:val="default"/>
    <w:sig w:usb0="800002BF" w:usb1="38CF7CFA" w:usb2="00000016" w:usb3="00000000" w:csb0="00040001" w:csb1="00000000"/>
    <w:embedRegular r:id="rId9" w:fontKey="{DE47A29B-9837-40A5-AD2E-5F0D6B1D65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fldChar w:fldCharType="begin"/>
    </w:r>
    <w:r>
      <w:instrText xml:space="preserve">PAGE   \* MERGEFORMAT</w:instrText>
    </w:r>
    <w:r>
      <w:fldChar w:fldCharType="separate"/>
    </w:r>
    <w:r>
      <w:rPr>
        <w:lang w:val="zh-CN"/>
      </w:rPr>
      <w:t>2</w:t>
    </w:r>
    <w:r>
      <w:fldChar w:fldCharType="end"/>
    </w:r>
  </w:p>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E60C3"/>
    <w:multiLevelType w:val="singleLevel"/>
    <w:tmpl w:val="C2DE60C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MDgxMDkwOGI1YWMyYjE1ZDc1YzcwYTU3ODYyMzkifQ=="/>
  </w:docVars>
  <w:rsids>
    <w:rsidRoot w:val="00327A5F"/>
    <w:rsid w:val="00023BD5"/>
    <w:rsid w:val="00026604"/>
    <w:rsid w:val="00034B3C"/>
    <w:rsid w:val="00045596"/>
    <w:rsid w:val="000472ED"/>
    <w:rsid w:val="00080FCB"/>
    <w:rsid w:val="00091BDA"/>
    <w:rsid w:val="000927CE"/>
    <w:rsid w:val="000B7EB8"/>
    <w:rsid w:val="000C632B"/>
    <w:rsid w:val="000D070C"/>
    <w:rsid w:val="000D10C2"/>
    <w:rsid w:val="000D67FD"/>
    <w:rsid w:val="00100250"/>
    <w:rsid w:val="001101E9"/>
    <w:rsid w:val="00113562"/>
    <w:rsid w:val="00131EAB"/>
    <w:rsid w:val="00142071"/>
    <w:rsid w:val="00144D57"/>
    <w:rsid w:val="00156E9B"/>
    <w:rsid w:val="00184F0E"/>
    <w:rsid w:val="001A34AF"/>
    <w:rsid w:val="001A76D6"/>
    <w:rsid w:val="001B6FD4"/>
    <w:rsid w:val="001D4B38"/>
    <w:rsid w:val="001E6783"/>
    <w:rsid w:val="001F22AB"/>
    <w:rsid w:val="00215800"/>
    <w:rsid w:val="00222AB7"/>
    <w:rsid w:val="00230D11"/>
    <w:rsid w:val="0023229C"/>
    <w:rsid w:val="0023775F"/>
    <w:rsid w:val="00262D14"/>
    <w:rsid w:val="00264129"/>
    <w:rsid w:val="0027063F"/>
    <w:rsid w:val="002758CC"/>
    <w:rsid w:val="00275E57"/>
    <w:rsid w:val="00281B5E"/>
    <w:rsid w:val="002A194B"/>
    <w:rsid w:val="002A5BB1"/>
    <w:rsid w:val="002D6312"/>
    <w:rsid w:val="00310806"/>
    <w:rsid w:val="00315929"/>
    <w:rsid w:val="00327A5F"/>
    <w:rsid w:val="003423FB"/>
    <w:rsid w:val="00342789"/>
    <w:rsid w:val="00362159"/>
    <w:rsid w:val="00365E84"/>
    <w:rsid w:val="00366435"/>
    <w:rsid w:val="003803C7"/>
    <w:rsid w:val="00380FEF"/>
    <w:rsid w:val="003B1BA2"/>
    <w:rsid w:val="003D1391"/>
    <w:rsid w:val="003E537F"/>
    <w:rsid w:val="003E6B1E"/>
    <w:rsid w:val="00401D26"/>
    <w:rsid w:val="0040550D"/>
    <w:rsid w:val="00415069"/>
    <w:rsid w:val="0042553B"/>
    <w:rsid w:val="00455A32"/>
    <w:rsid w:val="00462694"/>
    <w:rsid w:val="00492A03"/>
    <w:rsid w:val="004C354B"/>
    <w:rsid w:val="004E56A6"/>
    <w:rsid w:val="004F4616"/>
    <w:rsid w:val="00502C84"/>
    <w:rsid w:val="00513A21"/>
    <w:rsid w:val="005155E0"/>
    <w:rsid w:val="00522A2C"/>
    <w:rsid w:val="00536C9D"/>
    <w:rsid w:val="00544D14"/>
    <w:rsid w:val="00544ECC"/>
    <w:rsid w:val="00546E75"/>
    <w:rsid w:val="00562498"/>
    <w:rsid w:val="00586210"/>
    <w:rsid w:val="0059056A"/>
    <w:rsid w:val="005B221B"/>
    <w:rsid w:val="005C61A4"/>
    <w:rsid w:val="005C7624"/>
    <w:rsid w:val="005E162A"/>
    <w:rsid w:val="005F4D7C"/>
    <w:rsid w:val="00630062"/>
    <w:rsid w:val="006361BD"/>
    <w:rsid w:val="006604CA"/>
    <w:rsid w:val="00667B08"/>
    <w:rsid w:val="00676399"/>
    <w:rsid w:val="006A7C75"/>
    <w:rsid w:val="006B2B64"/>
    <w:rsid w:val="006C0871"/>
    <w:rsid w:val="006E2F82"/>
    <w:rsid w:val="00752708"/>
    <w:rsid w:val="007533A2"/>
    <w:rsid w:val="0075522E"/>
    <w:rsid w:val="00764D48"/>
    <w:rsid w:val="007776A8"/>
    <w:rsid w:val="0078350E"/>
    <w:rsid w:val="007B2DA7"/>
    <w:rsid w:val="007F551E"/>
    <w:rsid w:val="00812141"/>
    <w:rsid w:val="00812EAF"/>
    <w:rsid w:val="008216E5"/>
    <w:rsid w:val="0082746B"/>
    <w:rsid w:val="00856F00"/>
    <w:rsid w:val="008800DF"/>
    <w:rsid w:val="0088032C"/>
    <w:rsid w:val="00894630"/>
    <w:rsid w:val="0089596D"/>
    <w:rsid w:val="008A1C23"/>
    <w:rsid w:val="008A1ED0"/>
    <w:rsid w:val="008A4F77"/>
    <w:rsid w:val="008A6396"/>
    <w:rsid w:val="008D4E7A"/>
    <w:rsid w:val="008E1930"/>
    <w:rsid w:val="008E43E1"/>
    <w:rsid w:val="008E631B"/>
    <w:rsid w:val="008E6689"/>
    <w:rsid w:val="008F18A5"/>
    <w:rsid w:val="00906D27"/>
    <w:rsid w:val="00916B14"/>
    <w:rsid w:val="0092760F"/>
    <w:rsid w:val="00934F6D"/>
    <w:rsid w:val="00956C44"/>
    <w:rsid w:val="00972655"/>
    <w:rsid w:val="0099485D"/>
    <w:rsid w:val="0099555F"/>
    <w:rsid w:val="0099755C"/>
    <w:rsid w:val="009A54B1"/>
    <w:rsid w:val="009D419A"/>
    <w:rsid w:val="009E37DD"/>
    <w:rsid w:val="009E7B03"/>
    <w:rsid w:val="009F62C9"/>
    <w:rsid w:val="00A0543A"/>
    <w:rsid w:val="00A06D2D"/>
    <w:rsid w:val="00A12A34"/>
    <w:rsid w:val="00A175E7"/>
    <w:rsid w:val="00A23709"/>
    <w:rsid w:val="00A306DC"/>
    <w:rsid w:val="00A53E68"/>
    <w:rsid w:val="00A97976"/>
    <w:rsid w:val="00AC0387"/>
    <w:rsid w:val="00AC0577"/>
    <w:rsid w:val="00AE5B6C"/>
    <w:rsid w:val="00AE69B9"/>
    <w:rsid w:val="00AE7AD2"/>
    <w:rsid w:val="00AF6646"/>
    <w:rsid w:val="00B26021"/>
    <w:rsid w:val="00B46066"/>
    <w:rsid w:val="00B72C10"/>
    <w:rsid w:val="00B75405"/>
    <w:rsid w:val="00B807C0"/>
    <w:rsid w:val="00B81688"/>
    <w:rsid w:val="00B95E97"/>
    <w:rsid w:val="00BA39BB"/>
    <w:rsid w:val="00BA6A45"/>
    <w:rsid w:val="00BD4E5A"/>
    <w:rsid w:val="00BD5C31"/>
    <w:rsid w:val="00BD62F2"/>
    <w:rsid w:val="00BD6ABF"/>
    <w:rsid w:val="00BE4665"/>
    <w:rsid w:val="00BF7DA3"/>
    <w:rsid w:val="00C10403"/>
    <w:rsid w:val="00C11BD3"/>
    <w:rsid w:val="00C2148E"/>
    <w:rsid w:val="00C24AD1"/>
    <w:rsid w:val="00C31E7A"/>
    <w:rsid w:val="00C40196"/>
    <w:rsid w:val="00C67073"/>
    <w:rsid w:val="00C77847"/>
    <w:rsid w:val="00CB5E9C"/>
    <w:rsid w:val="00CC07E3"/>
    <w:rsid w:val="00CE43A9"/>
    <w:rsid w:val="00CF3530"/>
    <w:rsid w:val="00D25CFE"/>
    <w:rsid w:val="00D335A4"/>
    <w:rsid w:val="00D45A32"/>
    <w:rsid w:val="00D45EB1"/>
    <w:rsid w:val="00D53796"/>
    <w:rsid w:val="00D84F22"/>
    <w:rsid w:val="00D909DB"/>
    <w:rsid w:val="00D931E6"/>
    <w:rsid w:val="00DA5579"/>
    <w:rsid w:val="00DB1DF8"/>
    <w:rsid w:val="00DB6323"/>
    <w:rsid w:val="00DC008C"/>
    <w:rsid w:val="00DF3BB1"/>
    <w:rsid w:val="00DF3CB2"/>
    <w:rsid w:val="00DF65E1"/>
    <w:rsid w:val="00E313B3"/>
    <w:rsid w:val="00E43E6E"/>
    <w:rsid w:val="00E44F8B"/>
    <w:rsid w:val="00E569B5"/>
    <w:rsid w:val="00E7605A"/>
    <w:rsid w:val="00EC1A57"/>
    <w:rsid w:val="00EE461F"/>
    <w:rsid w:val="00EF261A"/>
    <w:rsid w:val="00EF5A7A"/>
    <w:rsid w:val="00F012AC"/>
    <w:rsid w:val="00F1557D"/>
    <w:rsid w:val="00F26A62"/>
    <w:rsid w:val="00F4041C"/>
    <w:rsid w:val="00F47F68"/>
    <w:rsid w:val="00F66A0F"/>
    <w:rsid w:val="00F767AD"/>
    <w:rsid w:val="00F8043D"/>
    <w:rsid w:val="00F82219"/>
    <w:rsid w:val="00F83C52"/>
    <w:rsid w:val="00F922D4"/>
    <w:rsid w:val="00F95DC6"/>
    <w:rsid w:val="00FA195C"/>
    <w:rsid w:val="00FB4881"/>
    <w:rsid w:val="00FC67A1"/>
    <w:rsid w:val="00FE5249"/>
    <w:rsid w:val="011F3F7B"/>
    <w:rsid w:val="01544C79"/>
    <w:rsid w:val="02DF6A83"/>
    <w:rsid w:val="03E970F2"/>
    <w:rsid w:val="04623ABD"/>
    <w:rsid w:val="04EC61BF"/>
    <w:rsid w:val="05C01E78"/>
    <w:rsid w:val="05F25116"/>
    <w:rsid w:val="069A5585"/>
    <w:rsid w:val="06A268D0"/>
    <w:rsid w:val="08145EEF"/>
    <w:rsid w:val="08534C69"/>
    <w:rsid w:val="08752E31"/>
    <w:rsid w:val="08BB55EE"/>
    <w:rsid w:val="08C1776C"/>
    <w:rsid w:val="0E9354BF"/>
    <w:rsid w:val="125210B8"/>
    <w:rsid w:val="14067033"/>
    <w:rsid w:val="145E7868"/>
    <w:rsid w:val="14B74B6E"/>
    <w:rsid w:val="1517746B"/>
    <w:rsid w:val="155B3295"/>
    <w:rsid w:val="173A09D4"/>
    <w:rsid w:val="17C47DBE"/>
    <w:rsid w:val="18636D79"/>
    <w:rsid w:val="1A1F7C5C"/>
    <w:rsid w:val="1A400DC5"/>
    <w:rsid w:val="1A935399"/>
    <w:rsid w:val="1A951111"/>
    <w:rsid w:val="1B472497"/>
    <w:rsid w:val="1C112F61"/>
    <w:rsid w:val="1C3C24CD"/>
    <w:rsid w:val="1E5A60D2"/>
    <w:rsid w:val="1F891175"/>
    <w:rsid w:val="1FAB284B"/>
    <w:rsid w:val="1FC12A90"/>
    <w:rsid w:val="206E0A53"/>
    <w:rsid w:val="2265761B"/>
    <w:rsid w:val="2348627B"/>
    <w:rsid w:val="239425A3"/>
    <w:rsid w:val="23963804"/>
    <w:rsid w:val="25183999"/>
    <w:rsid w:val="251A1C35"/>
    <w:rsid w:val="27417518"/>
    <w:rsid w:val="276C144B"/>
    <w:rsid w:val="27745C80"/>
    <w:rsid w:val="289B1FE8"/>
    <w:rsid w:val="289E1270"/>
    <w:rsid w:val="29084A1E"/>
    <w:rsid w:val="293023F2"/>
    <w:rsid w:val="2DA21723"/>
    <w:rsid w:val="2DA22700"/>
    <w:rsid w:val="2DC105CA"/>
    <w:rsid w:val="31B21FB6"/>
    <w:rsid w:val="34282BEF"/>
    <w:rsid w:val="34B85CD0"/>
    <w:rsid w:val="36113BFB"/>
    <w:rsid w:val="365E4655"/>
    <w:rsid w:val="36AC5A28"/>
    <w:rsid w:val="37057A97"/>
    <w:rsid w:val="38244308"/>
    <w:rsid w:val="39162A33"/>
    <w:rsid w:val="394713D0"/>
    <w:rsid w:val="395B7C14"/>
    <w:rsid w:val="3ABD5DEE"/>
    <w:rsid w:val="3C834E15"/>
    <w:rsid w:val="3D87417C"/>
    <w:rsid w:val="3D9372DA"/>
    <w:rsid w:val="3EF50B95"/>
    <w:rsid w:val="40A67323"/>
    <w:rsid w:val="414127C0"/>
    <w:rsid w:val="426052B1"/>
    <w:rsid w:val="42714558"/>
    <w:rsid w:val="43633C2D"/>
    <w:rsid w:val="449A71A0"/>
    <w:rsid w:val="45C60D19"/>
    <w:rsid w:val="46AE739A"/>
    <w:rsid w:val="4A3977AA"/>
    <w:rsid w:val="4A9F00F9"/>
    <w:rsid w:val="4D4E28D6"/>
    <w:rsid w:val="4D981DA3"/>
    <w:rsid w:val="4DDA6459"/>
    <w:rsid w:val="4E0D09E3"/>
    <w:rsid w:val="4F2014B2"/>
    <w:rsid w:val="509B6ACF"/>
    <w:rsid w:val="53275D10"/>
    <w:rsid w:val="544C2316"/>
    <w:rsid w:val="54996B2C"/>
    <w:rsid w:val="57C61656"/>
    <w:rsid w:val="57CB010E"/>
    <w:rsid w:val="58EF652E"/>
    <w:rsid w:val="59671CE2"/>
    <w:rsid w:val="596C511C"/>
    <w:rsid w:val="5BED36F5"/>
    <w:rsid w:val="5D4903DC"/>
    <w:rsid w:val="5F607FFD"/>
    <w:rsid w:val="5FB143B2"/>
    <w:rsid w:val="60335FE2"/>
    <w:rsid w:val="60457B68"/>
    <w:rsid w:val="606B1875"/>
    <w:rsid w:val="621912AD"/>
    <w:rsid w:val="6491705D"/>
    <w:rsid w:val="65526291"/>
    <w:rsid w:val="670E33AA"/>
    <w:rsid w:val="678A184A"/>
    <w:rsid w:val="680447AD"/>
    <w:rsid w:val="68352BB8"/>
    <w:rsid w:val="69230659"/>
    <w:rsid w:val="692A3D9F"/>
    <w:rsid w:val="697D4817"/>
    <w:rsid w:val="6A8125DD"/>
    <w:rsid w:val="6AD30444"/>
    <w:rsid w:val="6B8A4FC9"/>
    <w:rsid w:val="6E8244E0"/>
    <w:rsid w:val="6E8255BA"/>
    <w:rsid w:val="6FD35191"/>
    <w:rsid w:val="70AA56FF"/>
    <w:rsid w:val="72572B82"/>
    <w:rsid w:val="72CE4DF3"/>
    <w:rsid w:val="73F2211E"/>
    <w:rsid w:val="74B91EDF"/>
    <w:rsid w:val="766C4A7D"/>
    <w:rsid w:val="77C47720"/>
    <w:rsid w:val="78C45BA2"/>
    <w:rsid w:val="7AD37F4A"/>
    <w:rsid w:val="7E837D82"/>
    <w:rsid w:val="7EB37C8D"/>
    <w:rsid w:val="7FCD45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宋体" w:cs="Times New Roman"/>
      <w:kern w:val="2"/>
      <w:sz w:val="24"/>
      <w:szCs w:val="20"/>
      <w:lang w:val="en-US" w:eastAsia="zh-CN" w:bidi="ar-SA"/>
    </w:rPr>
  </w:style>
  <w:style w:type="paragraph" w:styleId="3">
    <w:name w:val="heading 1"/>
    <w:basedOn w:val="1"/>
    <w:next w:val="1"/>
    <w:link w:val="21"/>
    <w:qFormat/>
    <w:uiPriority w:val="9"/>
    <w:pPr>
      <w:keepNext/>
      <w:keepLines/>
      <w:pageBreakBefore/>
      <w:ind w:firstLine="0" w:firstLineChars="0"/>
      <w:jc w:val="center"/>
      <w:outlineLvl w:val="0"/>
    </w:pPr>
    <w:rPr>
      <w:b/>
      <w:bCs/>
      <w:kern w:val="44"/>
      <w:sz w:val="32"/>
      <w:szCs w:val="44"/>
    </w:rPr>
  </w:style>
  <w:style w:type="paragraph" w:styleId="4">
    <w:name w:val="heading 2"/>
    <w:basedOn w:val="1"/>
    <w:next w:val="1"/>
    <w:link w:val="22"/>
    <w:unhideWhenUsed/>
    <w:qFormat/>
    <w:uiPriority w:val="9"/>
    <w:pPr>
      <w:keepNext/>
      <w:keepLines/>
      <w:ind w:firstLine="0" w:firstLineChars="0"/>
      <w:outlineLvl w:val="1"/>
    </w:pPr>
    <w:rPr>
      <w:rFonts w:ascii="等线 Light" w:hAnsi="等线 Light"/>
      <w:b/>
      <w:bCs/>
      <w:szCs w:val="32"/>
    </w:rPr>
  </w:style>
  <w:style w:type="paragraph" w:styleId="5">
    <w:name w:val="heading 3"/>
    <w:basedOn w:val="1"/>
    <w:next w:val="1"/>
    <w:link w:val="23"/>
    <w:unhideWhenUsed/>
    <w:qFormat/>
    <w:uiPriority w:val="9"/>
    <w:pPr>
      <w:keepNext/>
      <w:keepLines/>
      <w:ind w:left="100" w:leftChars="100" w:firstLine="0" w:firstLineChars="0"/>
      <w:outlineLvl w:val="2"/>
    </w:pPr>
    <w:rPr>
      <w:b/>
      <w:bCs/>
      <w:sz w:val="30"/>
      <w:szCs w:val="32"/>
    </w:rPr>
  </w:style>
  <w:style w:type="paragraph" w:styleId="6">
    <w:name w:val="heading 4"/>
    <w:basedOn w:val="1"/>
    <w:next w:val="1"/>
    <w:link w:val="24"/>
    <w:unhideWhenUsed/>
    <w:qFormat/>
    <w:uiPriority w:val="9"/>
    <w:pPr>
      <w:keepNext/>
      <w:keepLines/>
      <w:ind w:left="100" w:leftChars="100" w:firstLine="0" w:firstLineChars="0"/>
      <w:outlineLvl w:val="3"/>
    </w:pPr>
    <w:rPr>
      <w:rFonts w:cs="Times New Roman"/>
      <w:b/>
      <w:bCs/>
      <w:szCs w:val="28"/>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1"/>
      <w:szCs w:val="21"/>
    </w:rPr>
  </w:style>
  <w:style w:type="paragraph" w:styleId="7">
    <w:name w:val="annotation text"/>
    <w:basedOn w:val="1"/>
    <w:unhideWhenUsed/>
    <w:qFormat/>
    <w:uiPriority w:val="99"/>
    <w:pPr>
      <w:jc w:val="left"/>
    </w:pPr>
  </w:style>
  <w:style w:type="paragraph" w:styleId="8">
    <w:name w:val="Body Text Indent"/>
    <w:basedOn w:val="1"/>
    <w:qFormat/>
    <w:uiPriority w:val="0"/>
    <w:pPr>
      <w:spacing w:after="120"/>
      <w:ind w:left="420" w:leftChars="200"/>
      <w:jc w:val="both"/>
    </w:pPr>
    <w:rPr>
      <w:rFonts w:ascii="Calibri" w:hAnsi="Calibri" w:cs="Times New Roman"/>
      <w:kern w:val="2"/>
      <w:sz w:val="21"/>
      <w:szCs w:val="24"/>
      <w:lang w:eastAsia="zh-CN"/>
    </w:rPr>
  </w:style>
  <w:style w:type="paragraph" w:styleId="9">
    <w:name w:val="toc 3"/>
    <w:basedOn w:val="1"/>
    <w:next w:val="1"/>
    <w:unhideWhenUsed/>
    <w:qFormat/>
    <w:uiPriority w:val="39"/>
    <w:pPr>
      <w:widowControl/>
      <w:spacing w:after="100" w:line="259" w:lineRule="auto"/>
      <w:ind w:left="440" w:firstLine="0" w:firstLineChars="0"/>
    </w:pPr>
    <w:rPr>
      <w:rFonts w:ascii="等线" w:hAnsi="等线" w:eastAsia="等线"/>
      <w:kern w:val="0"/>
      <w:sz w:val="22"/>
      <w:szCs w:val="22"/>
    </w:rPr>
  </w:style>
  <w:style w:type="paragraph" w:styleId="10">
    <w:name w:val="Plain Text"/>
    <w:basedOn w:val="1"/>
    <w:link w:val="25"/>
    <w:qFormat/>
    <w:uiPriority w:val="0"/>
    <w:pPr>
      <w:spacing w:line="240" w:lineRule="auto"/>
      <w:ind w:firstLine="0" w:firstLineChars="0"/>
      <w:jc w:val="both"/>
    </w:pPr>
    <w:rPr>
      <w:rFonts w:ascii="宋体" w:hAnsi="Courier New"/>
      <w:sz w:val="21"/>
      <w:szCs w:val="21"/>
    </w:rPr>
  </w:style>
  <w:style w:type="paragraph" w:styleId="11">
    <w:name w:val="Date"/>
    <w:basedOn w:val="1"/>
    <w:next w:val="1"/>
    <w:link w:val="26"/>
    <w:unhideWhenUsed/>
    <w:qFormat/>
    <w:uiPriority w:val="99"/>
    <w:pPr>
      <w:ind w:left="100" w:leftChars="2500"/>
    </w:pPr>
  </w:style>
  <w:style w:type="paragraph" w:styleId="12">
    <w:name w:val="footer"/>
    <w:basedOn w:val="1"/>
    <w:link w:val="27"/>
    <w:unhideWhenUsed/>
    <w:qFormat/>
    <w:uiPriority w:val="99"/>
    <w:pPr>
      <w:tabs>
        <w:tab w:val="center" w:pos="4153"/>
        <w:tab w:val="right" w:pos="8306"/>
      </w:tabs>
      <w:snapToGrid w:val="0"/>
      <w:spacing w:line="240" w:lineRule="atLeast"/>
    </w:pPr>
    <w:rPr>
      <w:sz w:val="18"/>
      <w:szCs w:val="18"/>
    </w:rPr>
  </w:style>
  <w:style w:type="paragraph" w:styleId="13">
    <w:name w:val="header"/>
    <w:basedOn w:val="1"/>
    <w:link w:val="28"/>
    <w:unhideWhenUsed/>
    <w:qFormat/>
    <w:uiPriority w:val="99"/>
    <w:pPr>
      <w:tabs>
        <w:tab w:val="center" w:pos="4153"/>
        <w:tab w:val="right" w:pos="8306"/>
      </w:tabs>
      <w:snapToGrid w:val="0"/>
      <w:spacing w:line="240" w:lineRule="atLeast"/>
      <w:jc w:val="center"/>
    </w:pPr>
    <w:rPr>
      <w:sz w:val="18"/>
      <w:szCs w:val="18"/>
    </w:rPr>
  </w:style>
  <w:style w:type="paragraph" w:styleId="14">
    <w:name w:val="toc 1"/>
    <w:basedOn w:val="1"/>
    <w:next w:val="1"/>
    <w:unhideWhenUsed/>
    <w:qFormat/>
    <w:uiPriority w:val="39"/>
    <w:pPr>
      <w:widowControl/>
      <w:tabs>
        <w:tab w:val="right" w:leader="dot" w:pos="8296"/>
      </w:tabs>
      <w:ind w:firstLine="0" w:firstLineChars="0"/>
    </w:pPr>
    <w:rPr>
      <w:rFonts w:ascii="等线" w:hAnsi="等线" w:eastAsia="等线"/>
      <w:kern w:val="0"/>
      <w:sz w:val="22"/>
      <w:szCs w:val="22"/>
    </w:rPr>
  </w:style>
  <w:style w:type="paragraph" w:styleId="15">
    <w:name w:val="toc 2"/>
    <w:basedOn w:val="1"/>
    <w:next w:val="1"/>
    <w:unhideWhenUsed/>
    <w:qFormat/>
    <w:uiPriority w:val="39"/>
    <w:pPr>
      <w:widowControl/>
      <w:spacing w:after="100" w:line="259" w:lineRule="auto"/>
    </w:pPr>
    <w:rPr>
      <w:rFonts w:ascii="等线" w:hAnsi="等线"/>
      <w:kern w:val="0"/>
      <w:sz w:val="22"/>
      <w:szCs w:val="22"/>
    </w:rPr>
  </w:style>
  <w:style w:type="paragraph" w:styleId="16">
    <w:name w:val="Body Text First Indent"/>
    <w:basedOn w:val="2"/>
    <w:qFormat/>
    <w:uiPriority w:val="0"/>
    <w:pPr>
      <w:spacing w:after="120"/>
      <w:ind w:firstLine="420" w:firstLineChars="100"/>
      <w:jc w:val="both"/>
    </w:pPr>
    <w:rPr>
      <w:rFonts w:ascii="Calibri" w:hAnsi="Calibri" w:cs="Times New Roman"/>
      <w:kern w:val="2"/>
      <w:szCs w:val="24"/>
      <w:lang w:eastAsia="zh-CN"/>
    </w:rPr>
  </w:style>
  <w:style w:type="paragraph" w:styleId="17">
    <w:name w:val="Body Text First Indent 2"/>
    <w:basedOn w:val="8"/>
    <w:unhideWhenUsed/>
    <w:qFormat/>
    <w:uiPriority w:val="99"/>
    <w:pPr>
      <w:ind w:firstLine="420"/>
    </w:pPr>
  </w:style>
  <w:style w:type="character" w:styleId="20">
    <w:name w:val="Hyperlink"/>
    <w:basedOn w:val="19"/>
    <w:unhideWhenUsed/>
    <w:qFormat/>
    <w:uiPriority w:val="99"/>
    <w:rPr>
      <w:color w:val="0563C1"/>
      <w:u w:val="single"/>
    </w:rPr>
  </w:style>
  <w:style w:type="character" w:customStyle="1" w:styleId="21">
    <w:name w:val="标题 1 字符"/>
    <w:link w:val="3"/>
    <w:qFormat/>
    <w:uiPriority w:val="9"/>
    <w:rPr>
      <w:rFonts w:ascii="Times New Roman" w:hAnsi="Times New Roman" w:eastAsia="宋体" w:cs="Times New Roman"/>
      <w:b/>
      <w:bCs/>
      <w:kern w:val="44"/>
      <w:sz w:val="32"/>
      <w:szCs w:val="44"/>
    </w:rPr>
  </w:style>
  <w:style w:type="character" w:customStyle="1" w:styleId="22">
    <w:name w:val="标题 2 字符"/>
    <w:link w:val="4"/>
    <w:qFormat/>
    <w:uiPriority w:val="9"/>
    <w:rPr>
      <w:rFonts w:ascii="等线 Light" w:hAnsi="等线 Light" w:eastAsia="宋体" w:cs="Times New Roman"/>
      <w:b/>
      <w:bCs/>
      <w:sz w:val="24"/>
      <w:szCs w:val="32"/>
    </w:rPr>
  </w:style>
  <w:style w:type="character" w:customStyle="1" w:styleId="23">
    <w:name w:val="标题 3 字符"/>
    <w:link w:val="5"/>
    <w:qFormat/>
    <w:uiPriority w:val="9"/>
    <w:rPr>
      <w:rFonts w:ascii="Times New Roman" w:hAnsi="Times New Roman" w:eastAsia="仿宋GB2312" w:cs="Times New Roman"/>
      <w:b/>
      <w:bCs/>
      <w:sz w:val="30"/>
      <w:szCs w:val="32"/>
    </w:rPr>
  </w:style>
  <w:style w:type="character" w:customStyle="1" w:styleId="24">
    <w:name w:val="标题 4 字符"/>
    <w:basedOn w:val="19"/>
    <w:link w:val="6"/>
    <w:qFormat/>
    <w:uiPriority w:val="9"/>
    <w:rPr>
      <w:rFonts w:ascii="Times New Roman" w:hAnsi="Times New Roman" w:eastAsia="仿宋GB2312" w:cs="Times New Roman"/>
      <w:b/>
      <w:bCs/>
      <w:sz w:val="28"/>
      <w:szCs w:val="28"/>
    </w:rPr>
  </w:style>
  <w:style w:type="character" w:customStyle="1" w:styleId="25">
    <w:name w:val="纯文本 字符"/>
    <w:basedOn w:val="19"/>
    <w:link w:val="10"/>
    <w:qFormat/>
    <w:uiPriority w:val="0"/>
    <w:rPr>
      <w:rFonts w:ascii="宋体" w:hAnsi="Courier New" w:eastAsia="宋体" w:cs="Times New Roman"/>
      <w:szCs w:val="21"/>
    </w:rPr>
  </w:style>
  <w:style w:type="character" w:customStyle="1" w:styleId="26">
    <w:name w:val="日期 字符"/>
    <w:basedOn w:val="19"/>
    <w:link w:val="11"/>
    <w:semiHidden/>
    <w:qFormat/>
    <w:uiPriority w:val="99"/>
    <w:rPr>
      <w:rFonts w:ascii="Times New Roman" w:hAnsi="Times New Roman" w:eastAsia="宋体" w:cs="Times New Roman"/>
      <w:sz w:val="28"/>
      <w:szCs w:val="20"/>
    </w:rPr>
  </w:style>
  <w:style w:type="character" w:customStyle="1" w:styleId="27">
    <w:name w:val="页脚 字符"/>
    <w:basedOn w:val="19"/>
    <w:link w:val="12"/>
    <w:qFormat/>
    <w:uiPriority w:val="99"/>
    <w:rPr>
      <w:rFonts w:ascii="Times New Roman" w:hAnsi="Times New Roman" w:eastAsia="仿宋GB2312" w:cs="Times New Roman"/>
      <w:sz w:val="18"/>
      <w:szCs w:val="18"/>
    </w:rPr>
  </w:style>
  <w:style w:type="character" w:customStyle="1" w:styleId="28">
    <w:name w:val="页眉 字符"/>
    <w:basedOn w:val="19"/>
    <w:link w:val="13"/>
    <w:qFormat/>
    <w:uiPriority w:val="99"/>
    <w:rPr>
      <w:rFonts w:ascii="Times New Roman" w:hAnsi="Times New Roman" w:eastAsia="仿宋GB2312" w:cs="Times New Roman"/>
      <w:sz w:val="18"/>
      <w:szCs w:val="18"/>
    </w:rPr>
  </w:style>
  <w:style w:type="paragraph" w:styleId="29">
    <w:name w:val="No Spacing"/>
    <w:qFormat/>
    <w:uiPriority w:val="1"/>
    <w:pPr>
      <w:widowControl w:val="0"/>
      <w:spacing w:line="360" w:lineRule="auto"/>
    </w:pPr>
    <w:rPr>
      <w:rFonts w:ascii="Times New Roman" w:hAnsi="Times New Roman" w:eastAsia="宋体" w:cs="Times New Roman"/>
      <w:kern w:val="2"/>
      <w:sz w:val="24"/>
      <w:szCs w:val="20"/>
      <w:lang w:val="en-US" w:eastAsia="zh-CN" w:bidi="ar-SA"/>
    </w:rPr>
  </w:style>
  <w:style w:type="paragraph" w:customStyle="1" w:styleId="30">
    <w:name w:val="Revision"/>
    <w:semiHidden/>
    <w:qFormat/>
    <w:uiPriority w:val="99"/>
    <w:rPr>
      <w:rFonts w:ascii="Times New Roman" w:hAnsi="Times New Roman" w:eastAsia="宋体" w:cs="Times New Roman"/>
      <w:kern w:val="2"/>
      <w:sz w:val="24"/>
      <w:szCs w:val="20"/>
      <w:lang w:val="en-US" w:eastAsia="zh-CN" w:bidi="ar-SA"/>
    </w:rPr>
  </w:style>
  <w:style w:type="paragraph" w:customStyle="1" w:styleId="31">
    <w:name w:val="TOC Heading"/>
    <w:basedOn w:val="3"/>
    <w:next w:val="1"/>
    <w:unhideWhenUsed/>
    <w:qFormat/>
    <w:uiPriority w:val="39"/>
    <w:pPr>
      <w:pageBreakBefore w:val="0"/>
      <w:widowControl/>
      <w:spacing w:before="240" w:line="259" w:lineRule="auto"/>
      <w:jc w:val="left"/>
      <w:outlineLvl w:val="9"/>
    </w:pPr>
    <w:rPr>
      <w:rFonts w:ascii="等线 Light" w:hAnsi="等线 Light" w:eastAsia="等线 Light" w:cs="Times New Roman"/>
      <w:b w:val="0"/>
      <w:bCs w:val="0"/>
      <w:color w:val="2F5496"/>
      <w:kern w:val="0"/>
      <w:szCs w:val="32"/>
    </w:rPr>
  </w:style>
  <w:style w:type="paragraph" w:styleId="32">
    <w:name w:val="List Paragraph"/>
    <w:basedOn w:val="1"/>
    <w:qFormat/>
    <w:uiPriority w:val="34"/>
    <w:pPr>
      <w:ind w:firstLine="420"/>
    </w:pPr>
  </w:style>
  <w:style w:type="paragraph" w:customStyle="1" w:styleId="33">
    <w:name w:val="p0"/>
    <w:basedOn w:val="1"/>
    <w:qFormat/>
    <w:uiPriority w:val="0"/>
    <w:pPr>
      <w:widowControl/>
      <w:jc w:val="both"/>
    </w:pPr>
    <w:rPr>
      <w:rFonts w:ascii="Times New Roman" w:hAnsi="Times New Roman" w:cs="Times New Roman"/>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22013</Words>
  <Characters>23111</Characters>
  <Lines>189</Lines>
  <Paragraphs>53</Paragraphs>
  <TotalTime>25</TotalTime>
  <ScaleCrop>false</ScaleCrop>
  <LinksUpToDate>false</LinksUpToDate>
  <CharactersWithSpaces>25018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2023-08-30T07:11:00Z</dcterms:created>
  <dc:creator>付 晓阳</dc:creator>
  <cp:lastModifiedBy>任鑫</cp:lastModifiedBy>
  <dcterms:modified xsi:type="dcterms:W3CDTF">2023-10-12T02:12:35Z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22AC2946A201478E93C93ECA14E3EED1_13</vt:lpwstr>
  </property>
</Properties>
</file>