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2"/>
        <w:rPr>
          <w:color w:val="auto"/>
        </w:rPr>
      </w:pP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彭水服务区经营项目租赁</w:t>
      </w:r>
      <w:r>
        <w:rPr>
          <w:rFonts w:hint="eastAsia" w:ascii="方正小标宋_GBK" w:hAnsi="方正小标宋_GBK" w:eastAsia="方正小标宋_GBK" w:cs="方正小标宋_GBK"/>
          <w:b w:val="0"/>
          <w:bCs w:val="0"/>
          <w:color w:val="auto"/>
          <w:sz w:val="44"/>
          <w:szCs w:val="44"/>
        </w:rPr>
        <w:t>招商文件</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彭水服务区位于G65包茂高速K1798+400处。目前设有中餐、小吃</w:t>
      </w:r>
      <w:r>
        <w:rPr>
          <w:rFonts w:hint="eastAsia" w:ascii="方正仿宋_GBK" w:hAnsi="方正仿宋_GBK" w:eastAsia="方正仿宋_GBK" w:cs="方正仿宋_GBK"/>
          <w:color w:val="auto"/>
          <w:sz w:val="32"/>
          <w:szCs w:val="32"/>
          <w:lang w:val="en-US" w:eastAsia="zh-CN"/>
        </w:rPr>
        <w:t>和</w:t>
      </w:r>
      <w:bookmarkStart w:id="0" w:name="_GoBack"/>
      <w:bookmarkEnd w:id="0"/>
      <w:r>
        <w:rPr>
          <w:rFonts w:hint="eastAsia" w:ascii="方正仿宋_GBK" w:hAnsi="方正仿宋_GBK" w:eastAsia="方正仿宋_GBK" w:cs="方正仿宋_GBK"/>
          <w:color w:val="auto"/>
          <w:sz w:val="32"/>
          <w:szCs w:val="32"/>
          <w:lang w:eastAsia="zh-CN"/>
        </w:rPr>
        <w:t>超市等业态。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彭水服务区的超市、自助售卖机、充电宝为招商人自营</w:t>
      </w: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招商标的：彭水服务区经营项目租赁（红线区域内）</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仿宋_GBK" w:cs="方正黑体_GBK"/>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本租赁物用途仅限为中餐、西餐、卤食、小吃、小面、水果经营项目。经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1.租金采取</w:t>
      </w:r>
      <w:r>
        <w:rPr>
          <w:rFonts w:hint="eastAsia" w:ascii="方正仿宋_GBK" w:hAnsi="方正仿宋_GBK" w:eastAsia="方正仿宋_GBK" w:cs="方正仿宋_GBK"/>
          <w:b/>
          <w:bCs/>
          <w:color w:val="auto"/>
          <w:sz w:val="32"/>
          <w:szCs w:val="32"/>
          <w:lang w:val="en-US" w:eastAsia="zh-CN"/>
        </w:rPr>
        <w:t>“有保底租金的总收入提成（二者就高收取）方式”</w:t>
      </w:r>
      <w:r>
        <w:rPr>
          <w:rFonts w:hint="eastAsia" w:ascii="方正仿宋_GBK" w:hAnsi="方正仿宋_GBK" w:eastAsia="方正仿宋_GBK" w:cs="方正仿宋_GBK"/>
          <w:b w:val="0"/>
          <w:bCs w:val="0"/>
          <w:color w:val="auto"/>
          <w:sz w:val="32"/>
          <w:szCs w:val="32"/>
          <w:lang w:val="en-US" w:eastAsia="zh-CN"/>
        </w:rPr>
        <w:t>，按申请单位经营总收入的提成比例计算提成租金，当提成租金小于或等于保底租金时，招商人按保底租金收取；当提成租金大于保底租金时，招商人按提成租金收取。提成租金按照年度核算。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2.申请单位“仅申报第1年度的保底租金和提成比例”，以后年度保底租金按5%逐年递增，提成比例不变，即Y2=Y1×1.05、Y3=Y2×1.05、Y4=Y3×1.05，以此类推（注：Y1即第1年度、Y2即第2年度）。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首年保底租金下限控制价：180万元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w:t>
      </w:r>
      <w:r>
        <w:rPr>
          <w:rFonts w:hint="eastAsia" w:ascii="方正仿宋_GBK" w:hAnsi="方正仿宋_GBK" w:eastAsia="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bCs/>
          <w:color w:val="auto"/>
          <w:kern w:val="2"/>
          <w:sz w:val="32"/>
          <w:szCs w:val="32"/>
          <w:lang w:val="en-US" w:eastAsia="zh-CN" w:bidi="ar-SA"/>
        </w:rPr>
        <w:t>提成比例下限控制率</w:t>
      </w:r>
      <w:r>
        <w:rPr>
          <w:rFonts w:hint="eastAsia" w:ascii="方正仿宋_GBK" w:hAnsi="方正仿宋_GBK" w:eastAsia="方正仿宋_GBK" w:cs="方正仿宋_GBK"/>
          <w:b w:val="0"/>
          <w:bCs w:val="0"/>
          <w:color w:val="auto"/>
          <w:kern w:val="2"/>
          <w:sz w:val="32"/>
          <w:szCs w:val="32"/>
          <w:lang w:val="en-US" w:eastAsia="zh-CN" w:bidi="ar-SA"/>
        </w:rPr>
        <w:t>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2.具有拟经营项目的能力，具有3个及以上高速公路服务区经营项目或大型商业连锁经营经验。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中国招标投标公共服务平台（</w:t>
      </w:r>
      <w:r>
        <w:rPr>
          <w:rFonts w:hint="eastAsia" w:ascii="宋体" w:hAnsi="宋体" w:cs="方正仿宋_GBK"/>
          <w:color w:val="auto"/>
          <w:sz w:val="28"/>
          <w:szCs w:val="28"/>
        </w:rPr>
        <w:t>http://www.cebpubservice.com/</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彭水服务区经营项目投标保证金：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彭水服务区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截止时间为2023年11月3日12：00时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按租赁合同相关条款执行。若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人同意，而未履行租赁合同的签订，</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彭水服务区装修保证金为20万元。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（一）彭水服务区位于G65包茂高速，车流量和服务区商业将受到渝湘复线高速、渝湘高铁等交通路线开通的影响。申请人需自行测算并充分考虑到渝湘复线高速、渝湘高铁等交通路线开通带来的影响。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（二）装修条款。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1.彭水服务区的中标人，需对所承租的服务区商业区域内</w:t>
      </w:r>
      <w:r>
        <w:rPr>
          <w:rFonts w:hint="eastAsia" w:ascii="方正仿宋_GBK" w:hAnsi="方正仿宋_GBK" w:eastAsia="方正仿宋_GBK" w:cs="方正仿宋_GBK"/>
          <w:b/>
          <w:bCs/>
          <w:color w:val="auto"/>
          <w:kern w:val="2"/>
          <w:sz w:val="32"/>
          <w:szCs w:val="32"/>
          <w:highlight w:val="none"/>
          <w:lang w:val="en-US" w:eastAsia="zh-CN" w:bidi="ar-SA"/>
        </w:rPr>
        <w:t>（包含超市）</w:t>
      </w:r>
      <w:r>
        <w:rPr>
          <w:rFonts w:hint="eastAsia" w:ascii="方正仿宋_GBK" w:hAnsi="方正仿宋_GBK" w:eastAsia="方正仿宋_GBK" w:cs="方正仿宋_GBK"/>
          <w:color w:val="auto"/>
          <w:kern w:val="2"/>
          <w:sz w:val="32"/>
          <w:szCs w:val="32"/>
          <w:highlight w:val="none"/>
          <w:lang w:val="en-US" w:eastAsia="zh-CN" w:bidi="ar-SA"/>
        </w:rPr>
        <w:t>进行装修升级改造，对商业区域内的装修投入不少于1000元/㎡（不含厨房设备、餐厅座椅、小吃灶具等可移动的经营设施设备）。承租方的装修投入以招商人认可的造价咨询单位审核通过为准，若审核的装修投入低于装修标准的，招商人将扣除承租方缴纳的装修保证金。</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（三）免租期。</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彭水服务区装修免租期为30日。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每个标的申请文件递交5份，申请函及其附件、设计装修施工方案、经营方案需单独成册密封在同一档案袋内。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3.装修、经营方案得分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C</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所有通过初步评审和评审合格的投标人的保底租金报价得分（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保底租金报价最高的得分60分，其余投标人保底租金报价得分=申请报价/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所有通过初步评审和评审合格的投标人的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装修、经营方案得分（20分）</w:t>
            </w:r>
          </w:p>
        </w:tc>
        <w:tc>
          <w:tcPr>
            <w:tcW w:w="645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1.设计装修施工方案（10分）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（1）施工方案（满分4分）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按“安全、环保、地方特色”等评审。</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（2）设计方案（满分6分）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w:t>
            </w:r>
            <w:r>
              <w:rPr>
                <w:rFonts w:hint="default" w:ascii="方正仿宋_GBK" w:hAnsi="方正仿宋_GBK" w:eastAsia="方正仿宋_GBK" w:cs="方正仿宋_GBK"/>
                <w:color w:val="auto"/>
                <w:kern w:val="0"/>
                <w:sz w:val="28"/>
                <w:szCs w:val="28"/>
                <w:lang w:val="en-US" w:eastAsia="zh-CN"/>
              </w:rPr>
              <w:t>装修的“区域范围、效果呈现、特色亮点、氛围营造、可实施性”等评审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2.经营方案（10分）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（1）动线和商业布局（满分5分）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按人流动线、业态布局、品牌落位的“清晰性、合理性、丰富性”等评审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（2）业态品牌引进（满分5分）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按“引进的业态品牌（非产品品牌）”的“档次和地域”评审。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特别提示：申请文件需按照“申请文件格式”提交，申请函及其附件、设计装修施工方案、经营方案需单独成册。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2.由招商人组织专家评审委员会，按评审方案对申请人的申请文件进行评审。</w:t>
      </w:r>
      <w:r>
        <w:rPr>
          <w:rFonts w:hint="eastAsia" w:ascii="方正仿宋_GBK" w:hAnsi="方正仿宋_GBK" w:eastAsia="方正仿宋_GBK" w:cs="方正仿宋_GBK"/>
          <w:b/>
          <w:bCs/>
          <w:color w:val="auto"/>
          <w:sz w:val="32"/>
          <w:szCs w:val="32"/>
          <w:lang w:val="en-US" w:eastAsia="zh-CN"/>
        </w:rPr>
        <w:t>评审费用为1500元，评审费用由中标人支付。</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3.经评审，确定符合本项目要求且评分得分最高的申请人为中标人。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kern w:val="2"/>
          <w:sz w:val="32"/>
          <w:szCs w:val="32"/>
          <w:highlight w:val="none"/>
          <w:lang w:val="en-US" w:eastAsia="zh-CN" w:bidi="ar-SA"/>
        </w:rPr>
        <w:t>若有递交申请文件的有效申请人不足三家时，则按流标处理。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934960" cy="4915535"/>
            <wp:effectExtent l="0" t="0" r="8890" b="18415"/>
            <wp:docPr id="2" name="图片 2" descr="彭水服务区右线（出城）商铺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彭水服务区右线（出城）商铺平面示意图"/>
                    <pic:cNvPicPr>
                      <a:picLocks noChangeAspect="1"/>
                    </pic:cNvPicPr>
                  </pic:nvPicPr>
                  <pic:blipFill>
                    <a:blip r:embed="rId5"/>
                    <a:srcRect t="3565" b="4414"/>
                    <a:stretch>
                      <a:fillRect/>
                    </a:stretch>
                  </pic:blipFill>
                  <pic:spPr>
                    <a:xfrm>
                      <a:off x="0" y="0"/>
                      <a:ext cx="7934960" cy="4915535"/>
                    </a:xfrm>
                    <a:prstGeom prst="rect">
                      <a:avLst/>
                    </a:prstGeom>
                  </pic:spPr>
                </pic:pic>
              </a:graphicData>
            </a:graphic>
          </wp:inline>
        </w:drawing>
      </w:r>
      <w:r>
        <w:rPr>
          <w:rFonts w:hint="eastAsia"/>
          <w:color w:val="auto"/>
          <w:lang w:eastAsia="zh-CN"/>
        </w:rPr>
        <w:drawing>
          <wp:inline distT="0" distB="0" distL="114300" distR="114300">
            <wp:extent cx="7934960" cy="5182235"/>
            <wp:effectExtent l="0" t="0" r="8890" b="18415"/>
            <wp:docPr id="1" name="图片 1" descr="彭水服务区左线（回城）商铺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彭水服务区左线（回城）商铺平面示意图"/>
                    <pic:cNvPicPr>
                      <a:picLocks noChangeAspect="1"/>
                    </pic:cNvPicPr>
                  </pic:nvPicPr>
                  <pic:blipFill>
                    <a:blip r:embed="rId6"/>
                    <a:srcRect t="4244" b="3395"/>
                    <a:stretch>
                      <a:fillRect/>
                    </a:stretch>
                  </pic:blipFill>
                  <pic:spPr>
                    <a:xfrm>
                      <a:off x="0" y="0"/>
                      <a:ext cx="7934960" cy="51822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ascii="方正仿宋_GBK" w:hAnsi="方正小标宋_GBK" w:eastAsia="方正仿宋_GBK" w:cs="方正小标宋_GBK"/>
          <w:b/>
          <w:bCs/>
          <w:color w:val="auto"/>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w:t>
            </w:r>
            <w:r>
              <w:rPr>
                <w:rFonts w:hint="eastAsia" w:ascii="方正仿宋_GBK" w:hAnsi="方正仿宋_GBK" w:eastAsia="方正仿宋_GBK" w:cs="方正仿宋_GBK"/>
                <w:b/>
                <w:color w:val="auto"/>
                <w:sz w:val="44"/>
                <w:szCs w:val="44"/>
              </w:rPr>
              <w:t>XXX服务区经营项目租赁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《设计装修施工方案》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eastAsia="zh-CN"/>
        </w:rPr>
        <w:t>彭水</w:t>
      </w:r>
      <w:r>
        <w:rPr>
          <w:rFonts w:hint="eastAsia" w:ascii="方正仿宋_GBK" w:hAnsi="方正仿宋_GBK" w:eastAsia="方正仿宋_GBK" w:cs="方正仿宋_GBK"/>
          <w:color w:val="auto"/>
          <w:sz w:val="32"/>
          <w:szCs w:val="32"/>
          <w:u w:val="single"/>
        </w:rPr>
        <w:t>服务区经营项目租赁招商文件</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对彭水服务区经营项目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彭水</w:t>
      </w:r>
      <w:r>
        <w:rPr>
          <w:rFonts w:hint="eastAsia" w:ascii="方正仿宋_GBK" w:hAnsi="方正仿宋_GBK" w:eastAsia="方正仿宋_GBK" w:cs="方正仿宋_GBK"/>
          <w:color w:val="auto"/>
          <w:sz w:val="32"/>
          <w:szCs w:val="32"/>
          <w:u w:val="single"/>
          <w:lang w:val="en-US" w:eastAsia="zh-CN"/>
        </w:rPr>
        <w:t>服务区经营项目</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二、设计装修施工方案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三、经营方案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BD0CD5"/>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B1146"/>
    <w:rsid w:val="063B36C5"/>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A74589"/>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65DD1"/>
    <w:rsid w:val="0F7C68D3"/>
    <w:rsid w:val="0F8C1528"/>
    <w:rsid w:val="0FA10548"/>
    <w:rsid w:val="0FF103A7"/>
    <w:rsid w:val="10067CF4"/>
    <w:rsid w:val="104B7348"/>
    <w:rsid w:val="106B2065"/>
    <w:rsid w:val="1086286E"/>
    <w:rsid w:val="10873021"/>
    <w:rsid w:val="10CC7F87"/>
    <w:rsid w:val="10DD097D"/>
    <w:rsid w:val="11CD3FC1"/>
    <w:rsid w:val="11DF775E"/>
    <w:rsid w:val="11E6296C"/>
    <w:rsid w:val="1219567B"/>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8C2ABC"/>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7D7253"/>
    <w:rsid w:val="278814E0"/>
    <w:rsid w:val="278E48B4"/>
    <w:rsid w:val="27AB4E39"/>
    <w:rsid w:val="27F8262F"/>
    <w:rsid w:val="283B6D0F"/>
    <w:rsid w:val="28E13773"/>
    <w:rsid w:val="28FC0D47"/>
    <w:rsid w:val="2922359D"/>
    <w:rsid w:val="29492AC3"/>
    <w:rsid w:val="29A53E05"/>
    <w:rsid w:val="2A2433F6"/>
    <w:rsid w:val="2A3000C3"/>
    <w:rsid w:val="2A4976CA"/>
    <w:rsid w:val="2AC97BFE"/>
    <w:rsid w:val="2AD11B67"/>
    <w:rsid w:val="2AD90B54"/>
    <w:rsid w:val="2AEA0767"/>
    <w:rsid w:val="2AF22A8B"/>
    <w:rsid w:val="2B47568D"/>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977BB2"/>
    <w:rsid w:val="2E990AAC"/>
    <w:rsid w:val="2EE87D82"/>
    <w:rsid w:val="2F010CAC"/>
    <w:rsid w:val="2F012EAA"/>
    <w:rsid w:val="2F5310D8"/>
    <w:rsid w:val="2F5364B1"/>
    <w:rsid w:val="2F5716BB"/>
    <w:rsid w:val="2F5E1BEF"/>
    <w:rsid w:val="2F6973D6"/>
    <w:rsid w:val="2F6B28DA"/>
    <w:rsid w:val="2F7164CA"/>
    <w:rsid w:val="2FDF49B2"/>
    <w:rsid w:val="300A115E"/>
    <w:rsid w:val="305B7C64"/>
    <w:rsid w:val="305E56A9"/>
    <w:rsid w:val="306E0E83"/>
    <w:rsid w:val="308C0433"/>
    <w:rsid w:val="30AA3B33"/>
    <w:rsid w:val="30AD08ED"/>
    <w:rsid w:val="30AF274F"/>
    <w:rsid w:val="30B86C6C"/>
    <w:rsid w:val="30C60FCB"/>
    <w:rsid w:val="30E3303B"/>
    <w:rsid w:val="311C22A0"/>
    <w:rsid w:val="312B0056"/>
    <w:rsid w:val="313111D2"/>
    <w:rsid w:val="31676E9C"/>
    <w:rsid w:val="31AE7611"/>
    <w:rsid w:val="31FE2FBB"/>
    <w:rsid w:val="321231C7"/>
    <w:rsid w:val="328672F4"/>
    <w:rsid w:val="329955E9"/>
    <w:rsid w:val="32A24447"/>
    <w:rsid w:val="32A724AC"/>
    <w:rsid w:val="32A76E6F"/>
    <w:rsid w:val="330111BC"/>
    <w:rsid w:val="334675F5"/>
    <w:rsid w:val="334B6F32"/>
    <w:rsid w:val="33716A39"/>
    <w:rsid w:val="344055DB"/>
    <w:rsid w:val="346421AE"/>
    <w:rsid w:val="349921D7"/>
    <w:rsid w:val="34B13680"/>
    <w:rsid w:val="35081F3C"/>
    <w:rsid w:val="351B1D0B"/>
    <w:rsid w:val="3529352F"/>
    <w:rsid w:val="35596118"/>
    <w:rsid w:val="35645510"/>
    <w:rsid w:val="356D03A5"/>
    <w:rsid w:val="356F3B0C"/>
    <w:rsid w:val="357B34F2"/>
    <w:rsid w:val="35AB0DC6"/>
    <w:rsid w:val="35B409F8"/>
    <w:rsid w:val="35CF3EBB"/>
    <w:rsid w:val="36322285"/>
    <w:rsid w:val="36BF695C"/>
    <w:rsid w:val="36EE26AB"/>
    <w:rsid w:val="370051FB"/>
    <w:rsid w:val="37525967"/>
    <w:rsid w:val="376D796F"/>
    <w:rsid w:val="37BE7500"/>
    <w:rsid w:val="38156C48"/>
    <w:rsid w:val="3871485E"/>
    <w:rsid w:val="38C77E3B"/>
    <w:rsid w:val="38D351DF"/>
    <w:rsid w:val="38F71AD6"/>
    <w:rsid w:val="38FC777E"/>
    <w:rsid w:val="396024B0"/>
    <w:rsid w:val="396531C1"/>
    <w:rsid w:val="39A150C6"/>
    <w:rsid w:val="3A9B298B"/>
    <w:rsid w:val="3ADE2921"/>
    <w:rsid w:val="3AE45CEC"/>
    <w:rsid w:val="3B2F09B1"/>
    <w:rsid w:val="3B6D1693"/>
    <w:rsid w:val="3B9B6557"/>
    <w:rsid w:val="3BCE2DBC"/>
    <w:rsid w:val="3BE846ED"/>
    <w:rsid w:val="3C114887"/>
    <w:rsid w:val="3C4E4986"/>
    <w:rsid w:val="3C611E49"/>
    <w:rsid w:val="3C7C2C1D"/>
    <w:rsid w:val="3CE4270A"/>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7562BD9"/>
    <w:rsid w:val="4767646F"/>
    <w:rsid w:val="48AF12A5"/>
    <w:rsid w:val="48C45C6F"/>
    <w:rsid w:val="49141918"/>
    <w:rsid w:val="49223AEA"/>
    <w:rsid w:val="49320E62"/>
    <w:rsid w:val="495C4BAB"/>
    <w:rsid w:val="497E2D8A"/>
    <w:rsid w:val="4993373C"/>
    <w:rsid w:val="4A503D34"/>
    <w:rsid w:val="4A5867AF"/>
    <w:rsid w:val="4A6F68F4"/>
    <w:rsid w:val="4A8D7688"/>
    <w:rsid w:val="4AFF6625"/>
    <w:rsid w:val="4B0D19D8"/>
    <w:rsid w:val="4B1663C4"/>
    <w:rsid w:val="4B227AD6"/>
    <w:rsid w:val="4B403E05"/>
    <w:rsid w:val="4B512950"/>
    <w:rsid w:val="4BA72569"/>
    <w:rsid w:val="4BA93D64"/>
    <w:rsid w:val="4BF53156"/>
    <w:rsid w:val="4C1E46ED"/>
    <w:rsid w:val="4C7D71E6"/>
    <w:rsid w:val="4C857451"/>
    <w:rsid w:val="4C87411C"/>
    <w:rsid w:val="4CC40815"/>
    <w:rsid w:val="4CD25495"/>
    <w:rsid w:val="4CF36EDE"/>
    <w:rsid w:val="4CF50903"/>
    <w:rsid w:val="4D0F3C65"/>
    <w:rsid w:val="4D373B8E"/>
    <w:rsid w:val="4D40134C"/>
    <w:rsid w:val="4D59246D"/>
    <w:rsid w:val="4D7A03A5"/>
    <w:rsid w:val="4D7E7C65"/>
    <w:rsid w:val="4DB73ACE"/>
    <w:rsid w:val="4DFB243D"/>
    <w:rsid w:val="4E657FC8"/>
    <w:rsid w:val="4EA61139"/>
    <w:rsid w:val="4EB821B8"/>
    <w:rsid w:val="4F06761A"/>
    <w:rsid w:val="4F1625AD"/>
    <w:rsid w:val="4F267EE8"/>
    <w:rsid w:val="4F275969"/>
    <w:rsid w:val="4F2B52C1"/>
    <w:rsid w:val="4FBB2B41"/>
    <w:rsid w:val="4FDD3430"/>
    <w:rsid w:val="4FDF36E3"/>
    <w:rsid w:val="4FFC4121"/>
    <w:rsid w:val="50076C03"/>
    <w:rsid w:val="500C4AC9"/>
    <w:rsid w:val="50247608"/>
    <w:rsid w:val="50280D8F"/>
    <w:rsid w:val="504B48A7"/>
    <w:rsid w:val="505962C7"/>
    <w:rsid w:val="50792360"/>
    <w:rsid w:val="509C3104"/>
    <w:rsid w:val="50E7594A"/>
    <w:rsid w:val="50F759D0"/>
    <w:rsid w:val="51B8717E"/>
    <w:rsid w:val="521425AF"/>
    <w:rsid w:val="522762D7"/>
    <w:rsid w:val="52497DCE"/>
    <w:rsid w:val="52592CF5"/>
    <w:rsid w:val="527C4F8C"/>
    <w:rsid w:val="528021E8"/>
    <w:rsid w:val="52BD1722"/>
    <w:rsid w:val="5334770E"/>
    <w:rsid w:val="536F7AC2"/>
    <w:rsid w:val="53814831"/>
    <w:rsid w:val="53D64307"/>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7D64BE"/>
    <w:rsid w:val="5D7E2271"/>
    <w:rsid w:val="5DEE4F2A"/>
    <w:rsid w:val="5E666123"/>
    <w:rsid w:val="5E872AA3"/>
    <w:rsid w:val="5EA01370"/>
    <w:rsid w:val="5ED067FB"/>
    <w:rsid w:val="5EE00BB3"/>
    <w:rsid w:val="5F122687"/>
    <w:rsid w:val="5F3673C4"/>
    <w:rsid w:val="600638B7"/>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232A40"/>
    <w:rsid w:val="643F7402"/>
    <w:rsid w:val="64771AAA"/>
    <w:rsid w:val="649303EC"/>
    <w:rsid w:val="64B74971"/>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4626D0"/>
    <w:rsid w:val="687E64A3"/>
    <w:rsid w:val="687F65B4"/>
    <w:rsid w:val="68C27A0B"/>
    <w:rsid w:val="68D74F6E"/>
    <w:rsid w:val="68DD26B8"/>
    <w:rsid w:val="68F9273B"/>
    <w:rsid w:val="69095760"/>
    <w:rsid w:val="69447E74"/>
    <w:rsid w:val="69B22269"/>
    <w:rsid w:val="69FB0204"/>
    <w:rsid w:val="6A06437E"/>
    <w:rsid w:val="6A24399F"/>
    <w:rsid w:val="6A4576E6"/>
    <w:rsid w:val="6A6025DF"/>
    <w:rsid w:val="6A825A1E"/>
    <w:rsid w:val="6B4636D2"/>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B6F11"/>
    <w:rsid w:val="78333ABF"/>
    <w:rsid w:val="784072DC"/>
    <w:rsid w:val="785D5F3F"/>
    <w:rsid w:val="78976F8A"/>
    <w:rsid w:val="78F0601D"/>
    <w:rsid w:val="78F114F9"/>
    <w:rsid w:val="78F637DD"/>
    <w:rsid w:val="79676F3A"/>
    <w:rsid w:val="797B4D1B"/>
    <w:rsid w:val="79966B70"/>
    <w:rsid w:val="79967E13"/>
    <w:rsid w:val="79E43920"/>
    <w:rsid w:val="7A2B296B"/>
    <w:rsid w:val="7A390DBB"/>
    <w:rsid w:val="7AA037BE"/>
    <w:rsid w:val="7ABC23ED"/>
    <w:rsid w:val="7B1A12D6"/>
    <w:rsid w:val="7B560E53"/>
    <w:rsid w:val="7B610AA0"/>
    <w:rsid w:val="7B750522"/>
    <w:rsid w:val="7B7631DA"/>
    <w:rsid w:val="7BB80A08"/>
    <w:rsid w:val="7C2166E2"/>
    <w:rsid w:val="7C2B2B29"/>
    <w:rsid w:val="7C345DD3"/>
    <w:rsid w:val="7C4E220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6"/>
    <w:link w:val="26"/>
    <w:qFormat/>
    <w:uiPriority w:val="0"/>
    <w:pPr>
      <w:spacing w:after="120"/>
    </w:pPr>
    <w:rPr>
      <w:rFonts w:ascii="Times New Roman" w:hAnsi="Times New Roman" w:eastAsia="宋体" w:cs="Times New Roman"/>
      <w:szCs w:val="20"/>
    </w:rPr>
  </w:style>
  <w:style w:type="paragraph" w:customStyle="1" w:styleId="6">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5"/>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5"/>
    <w:qFormat/>
    <w:uiPriority w:val="0"/>
    <w:rPr>
      <w:rFonts w:ascii="Times New Roman" w:hAnsi="Times New Roman" w:eastAsia="宋体" w:cs="Times New Roman"/>
      <w:kern w:val="2"/>
      <w:sz w:val="21"/>
    </w:rPr>
  </w:style>
  <w:style w:type="character" w:customStyle="1" w:styleId="27">
    <w:name w:val="引用 字符"/>
    <w:basedOn w:val="15"/>
    <w:link w:val="6"/>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0</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2023-10-26T07:07:13Z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