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sz w:val="32"/>
          <w:szCs w:val="32"/>
        </w:rPr>
      </w:pPr>
    </w:p>
    <w:p>
      <w:pPr>
        <w:spacing w:line="360" w:lineRule="auto"/>
        <w:jc w:val="center"/>
        <w:rPr>
          <w:rFonts w:ascii="宋体" w:hAnsi="宋体" w:cs="宋体"/>
          <w:b/>
          <w:sz w:val="28"/>
        </w:rPr>
      </w:pPr>
      <w:r>
        <w:rPr>
          <w:rFonts w:hint="eastAsia" w:ascii="宋体" w:hAnsi="宋体" w:cs="宋体"/>
          <w:b/>
          <w:sz w:val="32"/>
          <w:szCs w:val="32"/>
        </w:rPr>
        <w:t>项目名称：</w:t>
      </w:r>
      <w:r>
        <w:rPr>
          <w:rFonts w:hint="eastAsia" w:ascii="宋体" w:hAnsi="宋体" w:cs="宋体"/>
          <w:b/>
          <w:sz w:val="32"/>
          <w:szCs w:val="32"/>
          <w:lang w:val="en-US" w:eastAsia="zh-CN"/>
        </w:rPr>
        <w:t>重庆</w:t>
      </w:r>
      <w:r>
        <w:rPr>
          <w:rFonts w:hint="eastAsia" w:ascii="宋体" w:hAnsi="宋体" w:cs="宋体"/>
          <w:b/>
          <w:sz w:val="32"/>
          <w:szCs w:val="32"/>
        </w:rPr>
        <w:t>成渝垫丰武</w:t>
      </w:r>
      <w:r>
        <w:rPr>
          <w:rFonts w:hint="eastAsia" w:ascii="宋体" w:hAnsi="宋体" w:cs="宋体"/>
          <w:b/>
          <w:sz w:val="32"/>
          <w:szCs w:val="32"/>
          <w:lang w:val="en-US" w:eastAsia="zh-CN"/>
        </w:rPr>
        <w:t>高速公路有限</w:t>
      </w:r>
      <w:r>
        <w:rPr>
          <w:rFonts w:hint="eastAsia" w:ascii="宋体" w:hAnsi="宋体" w:cs="宋体"/>
          <w:b/>
          <w:sz w:val="32"/>
          <w:szCs w:val="32"/>
        </w:rPr>
        <w:t>公司</w:t>
      </w:r>
      <w:r>
        <w:rPr>
          <w:rFonts w:hint="eastAsia" w:ascii="宋体" w:hAnsi="宋体" w:cs="宋体"/>
          <w:b/>
          <w:sz w:val="32"/>
          <w:szCs w:val="32"/>
          <w:lang w:eastAsia="zh-CN"/>
        </w:rPr>
        <w:t>白市驿、垫江、丰都、武隆驻点</w:t>
      </w:r>
      <w:r>
        <w:rPr>
          <w:rFonts w:hint="eastAsia" w:ascii="宋体" w:hAnsi="宋体" w:cs="宋体"/>
          <w:b/>
          <w:sz w:val="32"/>
          <w:szCs w:val="32"/>
        </w:rPr>
        <w:t>办公家具采购</w:t>
      </w:r>
    </w:p>
    <w:p>
      <w:pPr>
        <w:pStyle w:val="20"/>
        <w:spacing w:line="360" w:lineRule="auto"/>
      </w:pPr>
    </w:p>
    <w:p>
      <w:pPr>
        <w:pStyle w:val="20"/>
        <w:spacing w:line="360" w:lineRule="auto"/>
      </w:pPr>
    </w:p>
    <w:p>
      <w:pPr>
        <w:pStyle w:val="20"/>
        <w:spacing w:line="360" w:lineRule="auto"/>
      </w:pPr>
    </w:p>
    <w:p>
      <w:pPr>
        <w:pStyle w:val="20"/>
        <w:spacing w:line="360" w:lineRule="auto"/>
      </w:pPr>
    </w:p>
    <w:p>
      <w:pPr>
        <w:pStyle w:val="20"/>
        <w:spacing w:line="360" w:lineRule="auto"/>
      </w:pPr>
    </w:p>
    <w:p>
      <w:pPr>
        <w:pStyle w:val="20"/>
        <w:spacing w:line="360" w:lineRule="auto"/>
      </w:pPr>
    </w:p>
    <w:p>
      <w:pPr>
        <w:pStyle w:val="20"/>
        <w:spacing w:line="360" w:lineRule="auto"/>
      </w:pPr>
    </w:p>
    <w:p>
      <w:pPr>
        <w:pStyle w:val="20"/>
        <w:spacing w:line="360" w:lineRule="auto"/>
      </w:pPr>
    </w:p>
    <w:p>
      <w:pPr>
        <w:jc w:val="distribute"/>
        <w:rPr>
          <w:b/>
          <w:bCs/>
          <w:sz w:val="96"/>
          <w:szCs w:val="160"/>
        </w:rPr>
      </w:pPr>
      <w:bookmarkStart w:id="0" w:name="_Toc16779"/>
      <w:bookmarkStart w:id="1" w:name="_Toc30988"/>
      <w:bookmarkStart w:id="2" w:name="_Toc31370"/>
      <w:bookmarkStart w:id="3" w:name="_Toc12707"/>
      <w:bookmarkStart w:id="4" w:name="_Toc19609"/>
      <w:bookmarkStart w:id="5" w:name="_Toc31917"/>
      <w:bookmarkStart w:id="6" w:name="_Toc17591"/>
      <w:bookmarkStart w:id="7" w:name="_Toc7408"/>
      <w:r>
        <w:rPr>
          <w:rFonts w:hint="eastAsia"/>
          <w:b/>
          <w:bCs/>
          <w:sz w:val="96"/>
          <w:szCs w:val="160"/>
        </w:rPr>
        <w:t>竞争性比选文件</w:t>
      </w:r>
      <w:bookmarkEnd w:id="0"/>
      <w:bookmarkEnd w:id="1"/>
      <w:bookmarkEnd w:id="2"/>
      <w:bookmarkEnd w:id="3"/>
      <w:bookmarkEnd w:id="4"/>
      <w:bookmarkEnd w:id="5"/>
      <w:bookmarkEnd w:id="6"/>
      <w:bookmarkEnd w:id="7"/>
    </w:p>
    <w:p>
      <w:pPr>
        <w:spacing w:line="360" w:lineRule="auto"/>
        <w:rPr>
          <w:rFonts w:ascii="宋体" w:hAnsi="宋体" w:cs="宋体"/>
          <w:sz w:val="32"/>
        </w:rPr>
      </w:pPr>
    </w:p>
    <w:p>
      <w:pPr>
        <w:spacing w:line="360" w:lineRule="auto"/>
        <w:rPr>
          <w:rFonts w:ascii="宋体" w:hAnsi="宋体" w:cs="宋体"/>
        </w:rPr>
      </w:pPr>
    </w:p>
    <w:p>
      <w:pPr>
        <w:pStyle w:val="15"/>
        <w:spacing w:line="360" w:lineRule="auto"/>
      </w:pPr>
    </w:p>
    <w:p>
      <w:pPr>
        <w:pStyle w:val="51"/>
        <w:ind w:left="0"/>
      </w:pPr>
    </w:p>
    <w:p/>
    <w:p>
      <w:pPr>
        <w:pStyle w:val="15"/>
      </w:pPr>
    </w:p>
    <w:p>
      <w:pPr>
        <w:spacing w:line="360" w:lineRule="auto"/>
        <w:jc w:val="center"/>
        <w:rPr>
          <w:rFonts w:ascii="宋体" w:hAnsi="宋体" w:cs="宋体"/>
        </w:rPr>
      </w:pPr>
    </w:p>
    <w:p>
      <w:pPr>
        <w:spacing w:line="360" w:lineRule="auto"/>
        <w:jc w:val="center"/>
        <w:rPr>
          <w:rFonts w:ascii="宋体" w:hAnsi="宋体" w:cs="宋体"/>
        </w:rPr>
      </w:pPr>
    </w:p>
    <w:p>
      <w:pPr>
        <w:spacing w:line="360" w:lineRule="auto"/>
        <w:ind w:firstLine="361" w:firstLineChars="100"/>
        <w:jc w:val="center"/>
        <w:rPr>
          <w:rFonts w:hint="eastAsia" w:ascii="宋体" w:hAnsi="宋体" w:eastAsia="宋体" w:cs="宋体"/>
          <w:b/>
          <w:sz w:val="36"/>
          <w:lang w:val="en-US" w:eastAsia="zh-CN"/>
        </w:rPr>
      </w:pPr>
      <w:r>
        <w:rPr>
          <w:rFonts w:hint="eastAsia" w:ascii="宋体" w:hAnsi="宋体" w:cs="宋体"/>
          <w:b/>
          <w:sz w:val="36"/>
        </w:rPr>
        <w:t>采购人：重庆成渝垫丰武高速公路有限公司</w:t>
      </w:r>
    </w:p>
    <w:p>
      <w:pPr>
        <w:spacing w:line="360" w:lineRule="auto"/>
        <w:jc w:val="center"/>
        <w:rPr>
          <w:rFonts w:ascii="宋体" w:hAnsi="宋体" w:cs="宋体"/>
          <w:b/>
          <w:sz w:val="40"/>
          <w:szCs w:val="32"/>
        </w:rPr>
      </w:pPr>
      <w:r>
        <w:rPr>
          <w:rFonts w:hint="eastAsia" w:ascii="宋体" w:hAnsi="宋体" w:cs="宋体"/>
          <w:b/>
          <w:sz w:val="40"/>
          <w:szCs w:val="32"/>
        </w:rPr>
        <w:t>二〇二三年</w:t>
      </w:r>
      <w:r>
        <w:rPr>
          <w:rFonts w:hint="eastAsia" w:ascii="宋体" w:hAnsi="宋体" w:cs="宋体"/>
          <w:b/>
          <w:sz w:val="40"/>
          <w:szCs w:val="32"/>
          <w:lang w:val="en-US" w:eastAsia="zh-CN"/>
        </w:rPr>
        <w:t>九</w:t>
      </w:r>
      <w:r>
        <w:rPr>
          <w:rFonts w:hint="eastAsia" w:ascii="宋体" w:hAnsi="宋体" w:cs="宋体"/>
          <w:b/>
          <w:sz w:val="40"/>
          <w:szCs w:val="32"/>
        </w:rPr>
        <w:t>月</w:t>
      </w:r>
    </w:p>
    <w:p>
      <w:pPr>
        <w:pStyle w:val="15"/>
      </w:pPr>
    </w:p>
    <w:p>
      <w:pPr>
        <w:pStyle w:val="51"/>
      </w:pPr>
    </w:p>
    <w:p>
      <w:pPr>
        <w:tabs>
          <w:tab w:val="left" w:pos="1185"/>
          <w:tab w:val="center" w:pos="4156"/>
          <w:tab w:val="left" w:pos="7095"/>
        </w:tabs>
        <w:spacing w:line="360" w:lineRule="auto"/>
        <w:jc w:val="left"/>
      </w:pPr>
      <w:r>
        <w:rPr>
          <w:rFonts w:hint="eastAsia" w:ascii="仿宋" w:hAnsi="仿宋" w:eastAsia="仿宋"/>
          <w:sz w:val="24"/>
        </w:rPr>
        <w:t xml:space="preserve"> </w:t>
      </w:r>
      <w:r>
        <w:tab/>
      </w:r>
      <w:bookmarkStart w:id="8" w:name="_Toc296602400"/>
      <w:bookmarkStart w:id="9" w:name="_Toc247085669"/>
      <w:bookmarkStart w:id="10" w:name="_Toc507319889"/>
      <w:bookmarkStart w:id="11" w:name="_Toc246996898"/>
      <w:bookmarkStart w:id="12" w:name="_Toc507428442"/>
    </w:p>
    <w:p>
      <w:pPr>
        <w:pStyle w:val="15"/>
      </w:pPr>
      <w:r>
        <w:br w:type="page"/>
      </w:r>
    </w:p>
    <w:bookmarkEnd w:id="8"/>
    <w:bookmarkEnd w:id="9"/>
    <w:bookmarkEnd w:id="10"/>
    <w:bookmarkEnd w:id="11"/>
    <w:bookmarkEnd w:id="12"/>
    <w:sdt>
      <w:sdtPr>
        <w:rPr>
          <w:rFonts w:cs="Times New Roman" w:asciiTheme="minorEastAsia" w:hAnsiTheme="minorEastAsia" w:eastAsiaTheme="minorEastAsia"/>
          <w:i w:val="0"/>
          <w:iCs w:val="0"/>
          <w:color w:val="auto"/>
          <w:kern w:val="2"/>
          <w:sz w:val="21"/>
          <w:szCs w:val="21"/>
          <w:lang w:val="zh-CN" w:bidi="ar-SA"/>
        </w:rPr>
        <w:id w:val="1330872674"/>
      </w:sdtPr>
      <w:sdtEndPr>
        <w:rPr>
          <w:rFonts w:cs="Times New Roman" w:asciiTheme="minorEastAsia" w:hAnsiTheme="minorEastAsia" w:eastAsiaTheme="minorEastAsia"/>
          <w:b/>
          <w:bCs/>
          <w:i w:val="0"/>
          <w:iCs w:val="0"/>
          <w:color w:val="auto"/>
          <w:kern w:val="2"/>
          <w:sz w:val="21"/>
          <w:szCs w:val="21"/>
          <w:lang w:val="zh-CN" w:bidi="ar-SA"/>
        </w:rPr>
      </w:sdtEndPr>
      <w:sdtContent>
        <w:p>
          <w:pPr>
            <w:pStyle w:val="174"/>
            <w:spacing w:line="276" w:lineRule="auto"/>
            <w:rPr>
              <w:rFonts w:asciiTheme="minorEastAsia" w:hAnsiTheme="minorEastAsia" w:eastAsiaTheme="minorEastAsia"/>
              <w:b/>
              <w:bCs/>
              <w:i w:val="0"/>
              <w:iCs w:val="0"/>
              <w:color w:val="auto"/>
              <w:sz w:val="21"/>
              <w:szCs w:val="21"/>
            </w:rPr>
          </w:pPr>
          <w:bookmarkStart w:id="13" w:name="_Toc507319890"/>
          <w:bookmarkStart w:id="14" w:name="_Toc247085671"/>
          <w:bookmarkStart w:id="15" w:name="_Toc152045511"/>
          <w:bookmarkStart w:id="16" w:name="_Toc144974479"/>
          <w:bookmarkStart w:id="17" w:name="_Toc247096243"/>
          <w:bookmarkStart w:id="18" w:name="_Toc246996157"/>
          <w:bookmarkStart w:id="19" w:name="_Toc2000404"/>
          <w:bookmarkStart w:id="20" w:name="_Toc179632527"/>
          <w:bookmarkStart w:id="21" w:name="_Toc152042287"/>
          <w:bookmarkStart w:id="22" w:name="_Toc246996900"/>
          <w:bookmarkStart w:id="23" w:name="_Toc13001"/>
          <w:r>
            <w:rPr>
              <w:rFonts w:asciiTheme="minorEastAsia" w:hAnsiTheme="minorEastAsia" w:eastAsiaTheme="minorEastAsia"/>
              <w:b/>
              <w:bCs/>
              <w:i w:val="0"/>
              <w:iCs w:val="0"/>
              <w:color w:val="auto"/>
              <w:sz w:val="21"/>
              <w:szCs w:val="21"/>
              <w:lang w:val="zh-CN"/>
            </w:rPr>
            <w:t>目录</w:t>
          </w:r>
        </w:p>
        <w:p>
          <w:pPr>
            <w:pStyle w:val="27"/>
            <w:tabs>
              <w:tab w:val="right" w:leader="dot" w:pos="9638"/>
            </w:tabs>
          </w:pPr>
          <w:r>
            <w:rPr>
              <w:rFonts w:asciiTheme="minorEastAsia" w:hAnsiTheme="minorEastAsia" w:eastAsiaTheme="minorEastAsia"/>
              <w:i w:val="0"/>
              <w:iCs w:val="0"/>
              <w:sz w:val="21"/>
              <w:szCs w:val="21"/>
            </w:rPr>
            <w:fldChar w:fldCharType="begin"/>
          </w:r>
          <w:r>
            <w:rPr>
              <w:rFonts w:asciiTheme="minorEastAsia" w:hAnsiTheme="minorEastAsia" w:eastAsiaTheme="minorEastAsia"/>
              <w:i w:val="0"/>
              <w:iCs w:val="0"/>
              <w:sz w:val="21"/>
              <w:szCs w:val="21"/>
            </w:rPr>
            <w:instrText xml:space="preserve"> TOC \o "1-3" \h \z \u </w:instrText>
          </w:r>
          <w:r>
            <w:rPr>
              <w:rFonts w:asciiTheme="minorEastAsia" w:hAnsiTheme="minorEastAsia" w:eastAsiaTheme="minorEastAsia"/>
              <w:i w:val="0"/>
              <w:iCs w:val="0"/>
              <w:sz w:val="21"/>
              <w:szCs w:val="21"/>
            </w:rPr>
            <w:fldChar w:fldCharType="separate"/>
          </w:r>
          <w:r>
            <w:rPr>
              <w:rFonts w:asciiTheme="minorEastAsia" w:hAnsiTheme="minorEastAsia" w:eastAsiaTheme="minorEastAsia"/>
              <w:bCs/>
              <w:i w:val="0"/>
              <w:iCs w:val="0"/>
              <w:szCs w:val="21"/>
              <w:lang w:val="zh-CN"/>
            </w:rPr>
            <w:fldChar w:fldCharType="begin"/>
          </w:r>
          <w:r>
            <w:rPr>
              <w:rFonts w:asciiTheme="minorEastAsia" w:hAnsiTheme="minorEastAsia" w:eastAsiaTheme="minorEastAsia"/>
              <w:bCs/>
              <w:i w:val="0"/>
              <w:iCs w:val="0"/>
              <w:szCs w:val="21"/>
              <w:lang w:val="zh-CN"/>
            </w:rPr>
            <w:instrText xml:space="preserve"> HYPERLINK \l _Toc28418 </w:instrText>
          </w:r>
          <w:r>
            <w:rPr>
              <w:rFonts w:asciiTheme="minorEastAsia" w:hAnsiTheme="minorEastAsia" w:eastAsiaTheme="minorEastAsia"/>
              <w:bCs/>
              <w:i w:val="0"/>
              <w:iCs w:val="0"/>
              <w:szCs w:val="21"/>
              <w:lang w:val="zh-CN"/>
            </w:rPr>
            <w:fldChar w:fldCharType="separate"/>
          </w:r>
          <w:r>
            <w:rPr>
              <w:rFonts w:hint="eastAsia"/>
            </w:rPr>
            <w:t>第一章 比选公告</w:t>
          </w:r>
          <w:r>
            <w:tab/>
          </w:r>
          <w:r>
            <w:fldChar w:fldCharType="begin"/>
          </w:r>
          <w:r>
            <w:instrText xml:space="preserve"> PAGEREF _Toc28418 \h </w:instrText>
          </w:r>
          <w:r>
            <w:fldChar w:fldCharType="separate"/>
          </w:r>
          <w:r>
            <w:t>1</w:t>
          </w:r>
          <w:r>
            <w:fldChar w:fldCharType="end"/>
          </w:r>
          <w:r>
            <w:rPr>
              <w:rFonts w:asciiTheme="minorEastAsia" w:hAnsiTheme="minorEastAsia" w:eastAsiaTheme="minorEastAsia"/>
              <w:bCs/>
              <w:i w:val="0"/>
              <w:iCs w:val="0"/>
              <w:szCs w:val="21"/>
              <w:lang w:val="zh-CN"/>
            </w:rPr>
            <w:fldChar w:fldCharType="end"/>
          </w:r>
        </w:p>
        <w:p>
          <w:pPr>
            <w:pStyle w:val="33"/>
            <w:tabs>
              <w:tab w:val="right" w:leader="dot" w:pos="9638"/>
            </w:tabs>
          </w:pPr>
          <w:r>
            <w:rPr>
              <w:rFonts w:asciiTheme="minorEastAsia" w:hAnsiTheme="minorEastAsia" w:eastAsiaTheme="minorEastAsia"/>
              <w:bCs/>
              <w:i w:val="0"/>
              <w:iCs w:val="0"/>
              <w:szCs w:val="21"/>
              <w:lang w:val="zh-CN"/>
            </w:rPr>
            <w:fldChar w:fldCharType="begin"/>
          </w:r>
          <w:r>
            <w:rPr>
              <w:rFonts w:asciiTheme="minorEastAsia" w:hAnsiTheme="minorEastAsia" w:eastAsiaTheme="minorEastAsia"/>
              <w:bCs/>
              <w:i w:val="0"/>
              <w:iCs w:val="0"/>
              <w:szCs w:val="21"/>
              <w:lang w:val="zh-CN"/>
            </w:rPr>
            <w:instrText xml:space="preserve"> HYPERLINK \l _Toc14717 </w:instrText>
          </w:r>
          <w:r>
            <w:rPr>
              <w:rFonts w:asciiTheme="minorEastAsia" w:hAnsiTheme="minorEastAsia" w:eastAsiaTheme="minorEastAsia"/>
              <w:bCs/>
              <w:i w:val="0"/>
              <w:iCs w:val="0"/>
              <w:szCs w:val="21"/>
              <w:lang w:val="zh-CN"/>
            </w:rPr>
            <w:fldChar w:fldCharType="separate"/>
          </w:r>
          <w:r>
            <w:rPr>
              <w:rFonts w:ascii="宋体" w:hAnsi="宋体" w:eastAsia="宋体" w:cs="宋体"/>
            </w:rPr>
            <w:t xml:space="preserve">一、 </w:t>
          </w:r>
          <w:r>
            <w:rPr>
              <w:rFonts w:hint="eastAsia" w:ascii="宋体" w:hAnsi="宋体" w:eastAsia="宋体" w:cs="宋体"/>
            </w:rPr>
            <w:t>比选概况</w:t>
          </w:r>
          <w:r>
            <w:tab/>
          </w:r>
          <w:r>
            <w:fldChar w:fldCharType="begin"/>
          </w:r>
          <w:r>
            <w:instrText xml:space="preserve"> PAGEREF _Toc14717 \h </w:instrText>
          </w:r>
          <w:r>
            <w:fldChar w:fldCharType="separate"/>
          </w:r>
          <w:r>
            <w:t>1</w:t>
          </w:r>
          <w:r>
            <w:fldChar w:fldCharType="end"/>
          </w:r>
          <w:r>
            <w:rPr>
              <w:rFonts w:asciiTheme="minorEastAsia" w:hAnsiTheme="minorEastAsia" w:eastAsiaTheme="minorEastAsia"/>
              <w:bCs/>
              <w:i w:val="0"/>
              <w:iCs w:val="0"/>
              <w:szCs w:val="21"/>
              <w:lang w:val="zh-CN"/>
            </w:rPr>
            <w:fldChar w:fldCharType="end"/>
          </w:r>
        </w:p>
        <w:p>
          <w:pPr>
            <w:pStyle w:val="33"/>
            <w:tabs>
              <w:tab w:val="right" w:leader="dot" w:pos="9638"/>
            </w:tabs>
          </w:pPr>
          <w:r>
            <w:rPr>
              <w:rFonts w:asciiTheme="minorEastAsia" w:hAnsiTheme="minorEastAsia" w:eastAsiaTheme="minorEastAsia"/>
              <w:bCs/>
              <w:i w:val="0"/>
              <w:iCs w:val="0"/>
              <w:szCs w:val="21"/>
              <w:lang w:val="zh-CN"/>
            </w:rPr>
            <w:fldChar w:fldCharType="begin"/>
          </w:r>
          <w:r>
            <w:rPr>
              <w:rFonts w:asciiTheme="minorEastAsia" w:hAnsiTheme="minorEastAsia" w:eastAsiaTheme="minorEastAsia"/>
              <w:bCs/>
              <w:i w:val="0"/>
              <w:iCs w:val="0"/>
              <w:szCs w:val="21"/>
              <w:lang w:val="zh-CN"/>
            </w:rPr>
            <w:instrText xml:space="preserve"> HYPERLINK \l _Toc7576 </w:instrText>
          </w:r>
          <w:r>
            <w:rPr>
              <w:rFonts w:asciiTheme="minorEastAsia" w:hAnsiTheme="minorEastAsia" w:eastAsiaTheme="minorEastAsia"/>
              <w:bCs/>
              <w:i w:val="0"/>
              <w:iCs w:val="0"/>
              <w:szCs w:val="21"/>
              <w:lang w:val="zh-CN"/>
            </w:rPr>
            <w:fldChar w:fldCharType="separate"/>
          </w:r>
          <w:r>
            <w:rPr>
              <w:rFonts w:ascii="宋体" w:hAnsi="宋体" w:eastAsia="宋体" w:cs="宋体"/>
            </w:rPr>
            <w:t xml:space="preserve">二、 </w:t>
          </w:r>
          <w:r>
            <w:rPr>
              <w:rFonts w:hint="eastAsia" w:ascii="宋体" w:hAnsi="宋体" w:eastAsia="宋体" w:cs="宋体"/>
            </w:rPr>
            <w:t>项目内容</w:t>
          </w:r>
          <w:r>
            <w:tab/>
          </w:r>
          <w:r>
            <w:fldChar w:fldCharType="begin"/>
          </w:r>
          <w:r>
            <w:instrText xml:space="preserve"> PAGEREF _Toc7576 \h </w:instrText>
          </w:r>
          <w:r>
            <w:fldChar w:fldCharType="separate"/>
          </w:r>
          <w:r>
            <w:t>1</w:t>
          </w:r>
          <w:r>
            <w:fldChar w:fldCharType="end"/>
          </w:r>
          <w:r>
            <w:rPr>
              <w:rFonts w:asciiTheme="minorEastAsia" w:hAnsiTheme="minorEastAsia" w:eastAsiaTheme="minorEastAsia"/>
              <w:bCs/>
              <w:i w:val="0"/>
              <w:iCs w:val="0"/>
              <w:szCs w:val="21"/>
              <w:lang w:val="zh-CN"/>
            </w:rPr>
            <w:fldChar w:fldCharType="end"/>
          </w:r>
        </w:p>
        <w:p>
          <w:pPr>
            <w:pStyle w:val="33"/>
            <w:tabs>
              <w:tab w:val="right" w:leader="dot" w:pos="9638"/>
            </w:tabs>
          </w:pPr>
          <w:r>
            <w:rPr>
              <w:rFonts w:asciiTheme="minorEastAsia" w:hAnsiTheme="minorEastAsia" w:eastAsiaTheme="minorEastAsia"/>
              <w:bCs/>
              <w:i w:val="0"/>
              <w:iCs w:val="0"/>
              <w:szCs w:val="21"/>
              <w:lang w:val="zh-CN"/>
            </w:rPr>
            <w:fldChar w:fldCharType="begin"/>
          </w:r>
          <w:r>
            <w:rPr>
              <w:rFonts w:asciiTheme="minorEastAsia" w:hAnsiTheme="minorEastAsia" w:eastAsiaTheme="minorEastAsia"/>
              <w:bCs/>
              <w:i w:val="0"/>
              <w:iCs w:val="0"/>
              <w:szCs w:val="21"/>
              <w:lang w:val="zh-CN"/>
            </w:rPr>
            <w:instrText xml:space="preserve"> HYPERLINK \l _Toc22164 </w:instrText>
          </w:r>
          <w:r>
            <w:rPr>
              <w:rFonts w:asciiTheme="minorEastAsia" w:hAnsiTheme="minorEastAsia" w:eastAsiaTheme="minorEastAsia"/>
              <w:bCs/>
              <w:i w:val="0"/>
              <w:iCs w:val="0"/>
              <w:szCs w:val="21"/>
              <w:lang w:val="zh-CN"/>
            </w:rPr>
            <w:fldChar w:fldCharType="separate"/>
          </w:r>
          <w:r>
            <w:rPr>
              <w:rFonts w:ascii="宋体" w:hAnsi="宋体" w:eastAsia="宋体" w:cs="宋体"/>
            </w:rPr>
            <w:t xml:space="preserve">三、 </w:t>
          </w:r>
          <w:r>
            <w:rPr>
              <w:rFonts w:hint="eastAsia" w:ascii="宋体" w:hAnsi="宋体" w:eastAsia="宋体" w:cs="宋体"/>
            </w:rPr>
            <w:t>比选人资格要求</w:t>
          </w:r>
          <w:r>
            <w:tab/>
          </w:r>
          <w:r>
            <w:fldChar w:fldCharType="begin"/>
          </w:r>
          <w:r>
            <w:instrText xml:space="preserve"> PAGEREF _Toc22164 \h </w:instrText>
          </w:r>
          <w:r>
            <w:fldChar w:fldCharType="separate"/>
          </w:r>
          <w:r>
            <w:t>1</w:t>
          </w:r>
          <w:r>
            <w:fldChar w:fldCharType="end"/>
          </w:r>
          <w:r>
            <w:rPr>
              <w:rFonts w:asciiTheme="minorEastAsia" w:hAnsiTheme="minorEastAsia" w:eastAsiaTheme="minorEastAsia"/>
              <w:bCs/>
              <w:i w:val="0"/>
              <w:iCs w:val="0"/>
              <w:szCs w:val="21"/>
              <w:lang w:val="zh-CN"/>
            </w:rPr>
            <w:fldChar w:fldCharType="end"/>
          </w:r>
        </w:p>
        <w:p>
          <w:pPr>
            <w:pStyle w:val="33"/>
            <w:tabs>
              <w:tab w:val="right" w:leader="dot" w:pos="9638"/>
            </w:tabs>
          </w:pPr>
          <w:r>
            <w:rPr>
              <w:rFonts w:asciiTheme="minorEastAsia" w:hAnsiTheme="minorEastAsia" w:eastAsiaTheme="minorEastAsia"/>
              <w:bCs/>
              <w:i w:val="0"/>
              <w:iCs w:val="0"/>
              <w:szCs w:val="21"/>
              <w:lang w:val="zh-CN"/>
            </w:rPr>
            <w:fldChar w:fldCharType="begin"/>
          </w:r>
          <w:r>
            <w:rPr>
              <w:rFonts w:asciiTheme="minorEastAsia" w:hAnsiTheme="minorEastAsia" w:eastAsiaTheme="minorEastAsia"/>
              <w:bCs/>
              <w:i w:val="0"/>
              <w:iCs w:val="0"/>
              <w:szCs w:val="21"/>
              <w:lang w:val="zh-CN"/>
            </w:rPr>
            <w:instrText xml:space="preserve"> HYPERLINK \l _Toc11238 </w:instrText>
          </w:r>
          <w:r>
            <w:rPr>
              <w:rFonts w:asciiTheme="minorEastAsia" w:hAnsiTheme="minorEastAsia" w:eastAsiaTheme="minorEastAsia"/>
              <w:bCs/>
              <w:i w:val="0"/>
              <w:iCs w:val="0"/>
              <w:szCs w:val="21"/>
              <w:lang w:val="zh-CN"/>
            </w:rPr>
            <w:fldChar w:fldCharType="separate"/>
          </w:r>
          <w:r>
            <w:rPr>
              <w:rFonts w:ascii="宋体" w:hAnsi="宋体" w:eastAsia="宋体" w:cs="宋体"/>
            </w:rPr>
            <w:t xml:space="preserve">四、 </w:t>
          </w:r>
          <w:r>
            <w:rPr>
              <w:rFonts w:hint="eastAsia" w:ascii="宋体" w:hAnsi="宋体" w:eastAsia="宋体" w:cs="宋体"/>
            </w:rPr>
            <w:t>比选文件的获取</w:t>
          </w:r>
          <w:r>
            <w:tab/>
          </w:r>
          <w:r>
            <w:fldChar w:fldCharType="begin"/>
          </w:r>
          <w:r>
            <w:instrText xml:space="preserve"> PAGEREF _Toc11238 \h </w:instrText>
          </w:r>
          <w:r>
            <w:fldChar w:fldCharType="separate"/>
          </w:r>
          <w:r>
            <w:t>2</w:t>
          </w:r>
          <w:r>
            <w:fldChar w:fldCharType="end"/>
          </w:r>
          <w:r>
            <w:rPr>
              <w:rFonts w:asciiTheme="minorEastAsia" w:hAnsiTheme="minorEastAsia" w:eastAsiaTheme="minorEastAsia"/>
              <w:bCs/>
              <w:i w:val="0"/>
              <w:iCs w:val="0"/>
              <w:szCs w:val="21"/>
              <w:lang w:val="zh-CN"/>
            </w:rPr>
            <w:fldChar w:fldCharType="end"/>
          </w:r>
        </w:p>
        <w:p>
          <w:pPr>
            <w:pStyle w:val="33"/>
            <w:tabs>
              <w:tab w:val="right" w:leader="dot" w:pos="9638"/>
            </w:tabs>
          </w:pPr>
          <w:r>
            <w:rPr>
              <w:rFonts w:asciiTheme="minorEastAsia" w:hAnsiTheme="minorEastAsia" w:eastAsiaTheme="minorEastAsia"/>
              <w:bCs/>
              <w:i w:val="0"/>
              <w:iCs w:val="0"/>
              <w:szCs w:val="21"/>
              <w:lang w:val="zh-CN"/>
            </w:rPr>
            <w:fldChar w:fldCharType="begin"/>
          </w:r>
          <w:r>
            <w:rPr>
              <w:rFonts w:asciiTheme="minorEastAsia" w:hAnsiTheme="minorEastAsia" w:eastAsiaTheme="minorEastAsia"/>
              <w:bCs/>
              <w:i w:val="0"/>
              <w:iCs w:val="0"/>
              <w:szCs w:val="21"/>
              <w:lang w:val="zh-CN"/>
            </w:rPr>
            <w:instrText xml:space="preserve"> HYPERLINK \l _Toc23185 </w:instrText>
          </w:r>
          <w:r>
            <w:rPr>
              <w:rFonts w:asciiTheme="minorEastAsia" w:hAnsiTheme="minorEastAsia" w:eastAsiaTheme="minorEastAsia"/>
              <w:bCs/>
              <w:i w:val="0"/>
              <w:iCs w:val="0"/>
              <w:szCs w:val="21"/>
              <w:lang w:val="zh-CN"/>
            </w:rPr>
            <w:fldChar w:fldCharType="separate"/>
          </w:r>
          <w:r>
            <w:rPr>
              <w:rFonts w:ascii="宋体" w:hAnsi="宋体" w:eastAsia="宋体" w:cs="宋体"/>
            </w:rPr>
            <w:t xml:space="preserve">五、 </w:t>
          </w:r>
          <w:r>
            <w:rPr>
              <w:rFonts w:hint="eastAsia" w:ascii="宋体" w:hAnsi="宋体" w:eastAsia="宋体" w:cs="宋体"/>
              <w:highlight w:val="none"/>
            </w:rPr>
            <w:t>竞争性比选响应文件的递交及相关事宜</w:t>
          </w:r>
          <w:r>
            <w:tab/>
          </w:r>
          <w:r>
            <w:fldChar w:fldCharType="begin"/>
          </w:r>
          <w:r>
            <w:instrText xml:space="preserve"> PAGEREF _Toc23185 \h </w:instrText>
          </w:r>
          <w:r>
            <w:fldChar w:fldCharType="separate"/>
          </w:r>
          <w:r>
            <w:t>2</w:t>
          </w:r>
          <w:r>
            <w:fldChar w:fldCharType="end"/>
          </w:r>
          <w:r>
            <w:rPr>
              <w:rFonts w:asciiTheme="minorEastAsia" w:hAnsiTheme="minorEastAsia" w:eastAsiaTheme="minorEastAsia"/>
              <w:bCs/>
              <w:i w:val="0"/>
              <w:iCs w:val="0"/>
              <w:szCs w:val="21"/>
              <w:lang w:val="zh-CN"/>
            </w:rPr>
            <w:fldChar w:fldCharType="end"/>
          </w:r>
        </w:p>
        <w:p>
          <w:pPr>
            <w:pStyle w:val="33"/>
            <w:tabs>
              <w:tab w:val="right" w:leader="dot" w:pos="9638"/>
            </w:tabs>
          </w:pPr>
          <w:r>
            <w:rPr>
              <w:rFonts w:asciiTheme="minorEastAsia" w:hAnsiTheme="minorEastAsia" w:eastAsiaTheme="minorEastAsia"/>
              <w:bCs/>
              <w:i w:val="0"/>
              <w:iCs w:val="0"/>
              <w:szCs w:val="21"/>
              <w:lang w:val="zh-CN"/>
            </w:rPr>
            <w:fldChar w:fldCharType="begin"/>
          </w:r>
          <w:r>
            <w:rPr>
              <w:rFonts w:asciiTheme="minorEastAsia" w:hAnsiTheme="minorEastAsia" w:eastAsiaTheme="minorEastAsia"/>
              <w:bCs/>
              <w:i w:val="0"/>
              <w:iCs w:val="0"/>
              <w:szCs w:val="21"/>
              <w:lang w:val="zh-CN"/>
            </w:rPr>
            <w:instrText xml:space="preserve"> HYPERLINK \l _Toc29790 </w:instrText>
          </w:r>
          <w:r>
            <w:rPr>
              <w:rFonts w:asciiTheme="minorEastAsia" w:hAnsiTheme="minorEastAsia" w:eastAsiaTheme="minorEastAsia"/>
              <w:bCs/>
              <w:i w:val="0"/>
              <w:iCs w:val="0"/>
              <w:szCs w:val="21"/>
              <w:lang w:val="zh-CN"/>
            </w:rPr>
            <w:fldChar w:fldCharType="separate"/>
          </w:r>
          <w:r>
            <w:rPr>
              <w:rFonts w:hint="eastAsia" w:ascii="宋体" w:hAnsi="宋体" w:eastAsia="宋体" w:cs="宋体"/>
              <w:bCs/>
              <w:kern w:val="0"/>
              <w:szCs w:val="32"/>
              <w:highlight w:val="none"/>
              <w:lang w:val="en-US" w:eastAsia="zh-CN"/>
            </w:rPr>
            <w:t>六、重新招标和不再招标：</w:t>
          </w:r>
          <w:r>
            <w:tab/>
          </w:r>
          <w:r>
            <w:fldChar w:fldCharType="begin"/>
          </w:r>
          <w:r>
            <w:instrText xml:space="preserve"> PAGEREF _Toc29790 \h </w:instrText>
          </w:r>
          <w:r>
            <w:fldChar w:fldCharType="separate"/>
          </w:r>
          <w:r>
            <w:t>2</w:t>
          </w:r>
          <w:r>
            <w:fldChar w:fldCharType="end"/>
          </w:r>
          <w:r>
            <w:rPr>
              <w:rFonts w:asciiTheme="minorEastAsia" w:hAnsiTheme="minorEastAsia" w:eastAsiaTheme="minorEastAsia"/>
              <w:bCs/>
              <w:i w:val="0"/>
              <w:iCs w:val="0"/>
              <w:szCs w:val="21"/>
              <w:lang w:val="zh-CN"/>
            </w:rPr>
            <w:fldChar w:fldCharType="end"/>
          </w:r>
        </w:p>
        <w:p>
          <w:pPr>
            <w:pStyle w:val="33"/>
            <w:tabs>
              <w:tab w:val="right" w:leader="dot" w:pos="9638"/>
            </w:tabs>
          </w:pPr>
          <w:r>
            <w:rPr>
              <w:rFonts w:asciiTheme="minorEastAsia" w:hAnsiTheme="minorEastAsia" w:eastAsiaTheme="minorEastAsia"/>
              <w:bCs/>
              <w:i w:val="0"/>
              <w:iCs w:val="0"/>
              <w:szCs w:val="21"/>
              <w:lang w:val="zh-CN"/>
            </w:rPr>
            <w:fldChar w:fldCharType="begin"/>
          </w:r>
          <w:r>
            <w:rPr>
              <w:rFonts w:asciiTheme="minorEastAsia" w:hAnsiTheme="minorEastAsia" w:eastAsiaTheme="minorEastAsia"/>
              <w:bCs/>
              <w:i w:val="0"/>
              <w:iCs w:val="0"/>
              <w:szCs w:val="21"/>
              <w:lang w:val="zh-CN"/>
            </w:rPr>
            <w:instrText xml:space="preserve"> HYPERLINK \l _Toc24699 </w:instrText>
          </w:r>
          <w:r>
            <w:rPr>
              <w:rFonts w:asciiTheme="minorEastAsia" w:hAnsiTheme="minorEastAsia" w:eastAsiaTheme="minorEastAsia"/>
              <w:bCs/>
              <w:i w:val="0"/>
              <w:iCs w:val="0"/>
              <w:szCs w:val="21"/>
              <w:lang w:val="zh-CN"/>
            </w:rPr>
            <w:fldChar w:fldCharType="separate"/>
          </w:r>
          <w:r>
            <w:rPr>
              <w:rFonts w:hint="eastAsia" w:ascii="宋体" w:hAnsi="宋体" w:eastAsia="宋体" w:cs="宋体"/>
              <w:lang w:val="en-US" w:eastAsia="zh-CN"/>
            </w:rPr>
            <w:t>七、</w:t>
          </w:r>
          <w:r>
            <w:rPr>
              <w:rFonts w:hint="eastAsia" w:ascii="宋体" w:hAnsi="宋体" w:eastAsia="宋体" w:cs="宋体"/>
            </w:rPr>
            <w:t>联系方式</w:t>
          </w:r>
          <w:r>
            <w:tab/>
          </w:r>
          <w:r>
            <w:fldChar w:fldCharType="begin"/>
          </w:r>
          <w:r>
            <w:instrText xml:space="preserve"> PAGEREF _Toc24699 \h </w:instrText>
          </w:r>
          <w:r>
            <w:fldChar w:fldCharType="separate"/>
          </w:r>
          <w:r>
            <w:t>2</w:t>
          </w:r>
          <w:r>
            <w:fldChar w:fldCharType="end"/>
          </w:r>
          <w:r>
            <w:rPr>
              <w:rFonts w:asciiTheme="minorEastAsia" w:hAnsiTheme="minorEastAsia" w:eastAsiaTheme="minorEastAsia"/>
              <w:bCs/>
              <w:i w:val="0"/>
              <w:iCs w:val="0"/>
              <w:szCs w:val="21"/>
              <w:lang w:val="zh-CN"/>
            </w:rPr>
            <w:fldChar w:fldCharType="end"/>
          </w:r>
        </w:p>
        <w:p>
          <w:pPr>
            <w:pStyle w:val="27"/>
            <w:tabs>
              <w:tab w:val="right" w:leader="dot" w:pos="9638"/>
            </w:tabs>
          </w:pPr>
          <w:r>
            <w:rPr>
              <w:rFonts w:asciiTheme="minorEastAsia" w:hAnsiTheme="minorEastAsia" w:eastAsiaTheme="minorEastAsia"/>
              <w:bCs/>
              <w:i w:val="0"/>
              <w:iCs w:val="0"/>
              <w:szCs w:val="21"/>
              <w:lang w:val="zh-CN"/>
            </w:rPr>
            <w:fldChar w:fldCharType="begin"/>
          </w:r>
          <w:r>
            <w:rPr>
              <w:rFonts w:asciiTheme="minorEastAsia" w:hAnsiTheme="minorEastAsia" w:eastAsiaTheme="minorEastAsia"/>
              <w:bCs/>
              <w:i w:val="0"/>
              <w:iCs w:val="0"/>
              <w:szCs w:val="21"/>
              <w:lang w:val="zh-CN"/>
            </w:rPr>
            <w:instrText xml:space="preserve"> HYPERLINK \l _Toc11970 </w:instrText>
          </w:r>
          <w:r>
            <w:rPr>
              <w:rFonts w:asciiTheme="minorEastAsia" w:hAnsiTheme="minorEastAsia" w:eastAsiaTheme="minorEastAsia"/>
              <w:bCs/>
              <w:i w:val="0"/>
              <w:iCs w:val="0"/>
              <w:szCs w:val="21"/>
              <w:lang w:val="zh-CN"/>
            </w:rPr>
            <w:fldChar w:fldCharType="separate"/>
          </w:r>
          <w:r>
            <w:rPr>
              <w:rFonts w:hint="eastAsia"/>
            </w:rPr>
            <w:t xml:space="preserve">第二章 </w:t>
          </w:r>
          <w:r>
            <w:rPr>
              <w:rFonts w:hint="eastAsia" w:asciiTheme="minorEastAsia" w:hAnsiTheme="minorEastAsia" w:eastAsiaTheme="minorEastAsia"/>
              <w:szCs w:val="21"/>
            </w:rPr>
            <w:t>比选人</w:t>
          </w:r>
          <w:r>
            <w:rPr>
              <w:rFonts w:hint="eastAsia"/>
            </w:rPr>
            <w:t>须知</w:t>
          </w:r>
          <w:r>
            <w:tab/>
          </w:r>
          <w:r>
            <w:fldChar w:fldCharType="begin"/>
          </w:r>
          <w:r>
            <w:instrText xml:space="preserve"> PAGEREF _Toc11970 \h </w:instrText>
          </w:r>
          <w:r>
            <w:fldChar w:fldCharType="separate"/>
          </w:r>
          <w:r>
            <w:t>3</w:t>
          </w:r>
          <w:r>
            <w:fldChar w:fldCharType="end"/>
          </w:r>
          <w:r>
            <w:rPr>
              <w:rFonts w:asciiTheme="minorEastAsia" w:hAnsiTheme="minorEastAsia" w:eastAsiaTheme="minorEastAsia"/>
              <w:bCs/>
              <w:i w:val="0"/>
              <w:iCs w:val="0"/>
              <w:szCs w:val="21"/>
              <w:lang w:val="zh-CN"/>
            </w:rPr>
            <w:fldChar w:fldCharType="end"/>
          </w:r>
        </w:p>
        <w:p>
          <w:pPr>
            <w:pStyle w:val="27"/>
            <w:tabs>
              <w:tab w:val="right" w:leader="dot" w:pos="9638"/>
            </w:tabs>
          </w:pPr>
          <w:r>
            <w:rPr>
              <w:rFonts w:asciiTheme="minorEastAsia" w:hAnsiTheme="minorEastAsia" w:eastAsiaTheme="minorEastAsia"/>
              <w:bCs/>
              <w:i w:val="0"/>
              <w:iCs w:val="0"/>
              <w:szCs w:val="21"/>
              <w:lang w:val="zh-CN"/>
            </w:rPr>
            <w:fldChar w:fldCharType="begin"/>
          </w:r>
          <w:r>
            <w:rPr>
              <w:rFonts w:asciiTheme="minorEastAsia" w:hAnsiTheme="minorEastAsia" w:eastAsiaTheme="minorEastAsia"/>
              <w:bCs/>
              <w:i w:val="0"/>
              <w:iCs w:val="0"/>
              <w:szCs w:val="21"/>
              <w:lang w:val="zh-CN"/>
            </w:rPr>
            <w:instrText xml:space="preserve"> HYPERLINK \l _Toc3716 </w:instrText>
          </w:r>
          <w:r>
            <w:rPr>
              <w:rFonts w:asciiTheme="minorEastAsia" w:hAnsiTheme="minorEastAsia" w:eastAsiaTheme="minorEastAsia"/>
              <w:bCs/>
              <w:i w:val="0"/>
              <w:iCs w:val="0"/>
              <w:szCs w:val="21"/>
              <w:lang w:val="zh-CN"/>
            </w:rPr>
            <w:fldChar w:fldCharType="separate"/>
          </w:r>
          <w:r>
            <w:rPr>
              <w:rFonts w:hint="eastAsia" w:ascii="宋体" w:hAnsi="宋体" w:cs="宋体"/>
            </w:rPr>
            <w:t>第三章 评标办法（经评审的</w:t>
          </w:r>
          <w:r>
            <w:rPr>
              <w:rFonts w:hint="eastAsia" w:ascii="宋体" w:hAnsi="宋体" w:cs="宋体"/>
              <w:lang w:val="en-US" w:eastAsia="zh-CN"/>
            </w:rPr>
            <w:t>最低投标价</w:t>
          </w:r>
          <w:r>
            <w:rPr>
              <w:rFonts w:hint="eastAsia" w:ascii="宋体" w:hAnsi="宋体" w:cs="宋体"/>
            </w:rPr>
            <w:t>法）</w:t>
          </w:r>
          <w:r>
            <w:tab/>
          </w:r>
          <w:r>
            <w:fldChar w:fldCharType="begin"/>
          </w:r>
          <w:r>
            <w:instrText xml:space="preserve"> PAGEREF _Toc3716 \h </w:instrText>
          </w:r>
          <w:r>
            <w:fldChar w:fldCharType="separate"/>
          </w:r>
          <w:r>
            <w:t>6</w:t>
          </w:r>
          <w:r>
            <w:fldChar w:fldCharType="end"/>
          </w:r>
          <w:r>
            <w:rPr>
              <w:rFonts w:asciiTheme="minorEastAsia" w:hAnsiTheme="minorEastAsia" w:eastAsiaTheme="minorEastAsia"/>
              <w:bCs/>
              <w:i w:val="0"/>
              <w:iCs w:val="0"/>
              <w:szCs w:val="21"/>
              <w:lang w:val="zh-CN"/>
            </w:rPr>
            <w:fldChar w:fldCharType="end"/>
          </w:r>
        </w:p>
        <w:p>
          <w:pPr>
            <w:pStyle w:val="33"/>
            <w:tabs>
              <w:tab w:val="right" w:leader="dot" w:pos="9638"/>
            </w:tabs>
          </w:pPr>
          <w:r>
            <w:rPr>
              <w:rFonts w:asciiTheme="minorEastAsia" w:hAnsiTheme="minorEastAsia" w:eastAsiaTheme="minorEastAsia"/>
              <w:bCs/>
              <w:i w:val="0"/>
              <w:iCs w:val="0"/>
              <w:szCs w:val="21"/>
              <w:lang w:val="zh-CN"/>
            </w:rPr>
            <w:fldChar w:fldCharType="begin"/>
          </w:r>
          <w:r>
            <w:rPr>
              <w:rFonts w:asciiTheme="minorEastAsia" w:hAnsiTheme="minorEastAsia" w:eastAsiaTheme="minorEastAsia"/>
              <w:bCs/>
              <w:i w:val="0"/>
              <w:iCs w:val="0"/>
              <w:szCs w:val="21"/>
              <w:lang w:val="zh-CN"/>
            </w:rPr>
            <w:instrText xml:space="preserve"> HYPERLINK \l _Toc18476 </w:instrText>
          </w:r>
          <w:r>
            <w:rPr>
              <w:rFonts w:asciiTheme="minorEastAsia" w:hAnsiTheme="minorEastAsia" w:eastAsiaTheme="minorEastAsia"/>
              <w:bCs/>
              <w:i w:val="0"/>
              <w:iCs w:val="0"/>
              <w:szCs w:val="21"/>
              <w:lang w:val="zh-CN"/>
            </w:rPr>
            <w:fldChar w:fldCharType="separate"/>
          </w:r>
          <w:r>
            <w:rPr>
              <w:rFonts w:hint="eastAsia" w:asciiTheme="minorEastAsia" w:hAnsiTheme="minorEastAsia"/>
              <w:szCs w:val="21"/>
              <w:lang w:val="en-US" w:eastAsia="zh-CN"/>
            </w:rPr>
            <w:t>二、</w:t>
          </w:r>
          <w:r>
            <w:rPr>
              <w:rFonts w:hint="eastAsia" w:asciiTheme="minorEastAsia" w:hAnsiTheme="minorEastAsia"/>
              <w:szCs w:val="21"/>
            </w:rPr>
            <w:t>资格审查条件（资质最低要求）</w:t>
          </w:r>
          <w:r>
            <w:tab/>
          </w:r>
          <w:r>
            <w:fldChar w:fldCharType="begin"/>
          </w:r>
          <w:r>
            <w:instrText xml:space="preserve"> PAGEREF _Toc18476 \h </w:instrText>
          </w:r>
          <w:r>
            <w:fldChar w:fldCharType="separate"/>
          </w:r>
          <w:r>
            <w:t>6</w:t>
          </w:r>
          <w:r>
            <w:fldChar w:fldCharType="end"/>
          </w:r>
          <w:r>
            <w:rPr>
              <w:rFonts w:asciiTheme="minorEastAsia" w:hAnsiTheme="minorEastAsia" w:eastAsiaTheme="minorEastAsia"/>
              <w:bCs/>
              <w:i w:val="0"/>
              <w:iCs w:val="0"/>
              <w:szCs w:val="21"/>
              <w:lang w:val="zh-CN"/>
            </w:rPr>
            <w:fldChar w:fldCharType="end"/>
          </w:r>
        </w:p>
        <w:p>
          <w:pPr>
            <w:pStyle w:val="33"/>
            <w:tabs>
              <w:tab w:val="right" w:leader="dot" w:pos="9638"/>
            </w:tabs>
          </w:pPr>
          <w:r>
            <w:rPr>
              <w:rFonts w:asciiTheme="minorEastAsia" w:hAnsiTheme="minorEastAsia" w:eastAsiaTheme="minorEastAsia"/>
              <w:bCs/>
              <w:i w:val="0"/>
              <w:iCs w:val="0"/>
              <w:szCs w:val="21"/>
              <w:lang w:val="zh-CN"/>
            </w:rPr>
            <w:fldChar w:fldCharType="begin"/>
          </w:r>
          <w:r>
            <w:rPr>
              <w:rFonts w:asciiTheme="minorEastAsia" w:hAnsiTheme="minorEastAsia" w:eastAsiaTheme="minorEastAsia"/>
              <w:bCs/>
              <w:i w:val="0"/>
              <w:iCs w:val="0"/>
              <w:szCs w:val="21"/>
              <w:lang w:val="zh-CN"/>
            </w:rPr>
            <w:instrText xml:space="preserve"> HYPERLINK \l _Toc9821 </w:instrText>
          </w:r>
          <w:r>
            <w:rPr>
              <w:rFonts w:asciiTheme="minorEastAsia" w:hAnsiTheme="minorEastAsia" w:eastAsiaTheme="minorEastAsia"/>
              <w:bCs/>
              <w:i w:val="0"/>
              <w:iCs w:val="0"/>
              <w:szCs w:val="21"/>
              <w:lang w:val="zh-CN"/>
            </w:rPr>
            <w:fldChar w:fldCharType="separate"/>
          </w:r>
          <w:r>
            <w:rPr>
              <w:rFonts w:asciiTheme="minorEastAsia" w:hAnsiTheme="minorEastAsia"/>
              <w:szCs w:val="21"/>
            </w:rPr>
            <w:t xml:space="preserve">一、 </w:t>
          </w:r>
          <w:r>
            <w:rPr>
              <w:rFonts w:hint="eastAsia" w:asciiTheme="minorEastAsia" w:hAnsiTheme="minorEastAsia"/>
              <w:szCs w:val="21"/>
            </w:rPr>
            <w:t>符合性检查</w:t>
          </w:r>
          <w:r>
            <w:tab/>
          </w:r>
          <w:r>
            <w:fldChar w:fldCharType="begin"/>
          </w:r>
          <w:r>
            <w:instrText xml:space="preserve"> PAGEREF _Toc9821 \h </w:instrText>
          </w:r>
          <w:r>
            <w:fldChar w:fldCharType="separate"/>
          </w:r>
          <w:r>
            <w:t>7</w:t>
          </w:r>
          <w:r>
            <w:fldChar w:fldCharType="end"/>
          </w:r>
          <w:r>
            <w:rPr>
              <w:rFonts w:asciiTheme="minorEastAsia" w:hAnsiTheme="minorEastAsia" w:eastAsiaTheme="minorEastAsia"/>
              <w:bCs/>
              <w:i w:val="0"/>
              <w:iCs w:val="0"/>
              <w:szCs w:val="21"/>
              <w:lang w:val="zh-CN"/>
            </w:rPr>
            <w:fldChar w:fldCharType="end"/>
          </w:r>
        </w:p>
        <w:p>
          <w:pPr>
            <w:pStyle w:val="33"/>
            <w:tabs>
              <w:tab w:val="right" w:leader="dot" w:pos="9638"/>
            </w:tabs>
          </w:pPr>
          <w:r>
            <w:rPr>
              <w:rFonts w:asciiTheme="minorEastAsia" w:hAnsiTheme="minorEastAsia" w:eastAsiaTheme="minorEastAsia"/>
              <w:bCs/>
              <w:i w:val="0"/>
              <w:iCs w:val="0"/>
              <w:szCs w:val="21"/>
              <w:lang w:val="zh-CN"/>
            </w:rPr>
            <w:fldChar w:fldCharType="begin"/>
          </w:r>
          <w:r>
            <w:rPr>
              <w:rFonts w:asciiTheme="minorEastAsia" w:hAnsiTheme="minorEastAsia" w:eastAsiaTheme="minorEastAsia"/>
              <w:bCs/>
              <w:i w:val="0"/>
              <w:iCs w:val="0"/>
              <w:szCs w:val="21"/>
              <w:lang w:val="zh-CN"/>
            </w:rPr>
            <w:instrText xml:space="preserve"> HYPERLINK \l _Toc26749 </w:instrText>
          </w:r>
          <w:r>
            <w:rPr>
              <w:rFonts w:asciiTheme="minorEastAsia" w:hAnsiTheme="minorEastAsia" w:eastAsiaTheme="minorEastAsia"/>
              <w:bCs/>
              <w:i w:val="0"/>
              <w:iCs w:val="0"/>
              <w:szCs w:val="21"/>
              <w:lang w:val="zh-CN"/>
            </w:rPr>
            <w:fldChar w:fldCharType="separate"/>
          </w:r>
          <w:r>
            <w:t xml:space="preserve">二、 </w:t>
          </w:r>
          <w:r>
            <w:rPr>
              <w:rFonts w:hint="eastAsia"/>
            </w:rPr>
            <w:t>成交标准</w:t>
          </w:r>
          <w:r>
            <w:tab/>
          </w:r>
          <w:r>
            <w:fldChar w:fldCharType="begin"/>
          </w:r>
          <w:r>
            <w:instrText xml:space="preserve"> PAGEREF _Toc26749 \h </w:instrText>
          </w:r>
          <w:r>
            <w:fldChar w:fldCharType="separate"/>
          </w:r>
          <w:r>
            <w:t>8</w:t>
          </w:r>
          <w:r>
            <w:fldChar w:fldCharType="end"/>
          </w:r>
          <w:r>
            <w:rPr>
              <w:rFonts w:asciiTheme="minorEastAsia" w:hAnsiTheme="minorEastAsia" w:eastAsiaTheme="minorEastAsia"/>
              <w:bCs/>
              <w:i w:val="0"/>
              <w:iCs w:val="0"/>
              <w:szCs w:val="21"/>
              <w:lang w:val="zh-CN"/>
            </w:rPr>
            <w:fldChar w:fldCharType="end"/>
          </w:r>
        </w:p>
        <w:p>
          <w:pPr>
            <w:pStyle w:val="33"/>
            <w:tabs>
              <w:tab w:val="right" w:leader="dot" w:pos="9638"/>
            </w:tabs>
          </w:pPr>
          <w:r>
            <w:rPr>
              <w:rFonts w:asciiTheme="minorEastAsia" w:hAnsiTheme="minorEastAsia" w:eastAsiaTheme="minorEastAsia"/>
              <w:bCs/>
              <w:i w:val="0"/>
              <w:iCs w:val="0"/>
              <w:szCs w:val="21"/>
              <w:lang w:val="zh-CN"/>
            </w:rPr>
            <w:fldChar w:fldCharType="begin"/>
          </w:r>
          <w:r>
            <w:rPr>
              <w:rFonts w:asciiTheme="minorEastAsia" w:hAnsiTheme="minorEastAsia" w:eastAsiaTheme="minorEastAsia"/>
              <w:bCs/>
              <w:i w:val="0"/>
              <w:iCs w:val="0"/>
              <w:szCs w:val="21"/>
              <w:lang w:val="zh-CN"/>
            </w:rPr>
            <w:instrText xml:space="preserve"> HYPERLINK \l _Toc20854 </w:instrText>
          </w:r>
          <w:r>
            <w:rPr>
              <w:rFonts w:asciiTheme="minorEastAsia" w:hAnsiTheme="minorEastAsia" w:eastAsiaTheme="minorEastAsia"/>
              <w:bCs/>
              <w:i w:val="0"/>
              <w:iCs w:val="0"/>
              <w:szCs w:val="21"/>
              <w:lang w:val="zh-CN"/>
            </w:rPr>
            <w:fldChar w:fldCharType="separate"/>
          </w:r>
          <w:r>
            <w:t xml:space="preserve">三、 </w:t>
          </w:r>
          <w:r>
            <w:rPr>
              <w:rFonts w:hint="eastAsia"/>
            </w:rPr>
            <w:t>评审依据</w:t>
          </w:r>
          <w:r>
            <w:tab/>
          </w:r>
          <w:r>
            <w:fldChar w:fldCharType="begin"/>
          </w:r>
          <w:r>
            <w:instrText xml:space="preserve"> PAGEREF _Toc20854 \h </w:instrText>
          </w:r>
          <w:r>
            <w:fldChar w:fldCharType="separate"/>
          </w:r>
          <w:r>
            <w:t>8</w:t>
          </w:r>
          <w:r>
            <w:fldChar w:fldCharType="end"/>
          </w:r>
          <w:r>
            <w:rPr>
              <w:rFonts w:asciiTheme="minorEastAsia" w:hAnsiTheme="minorEastAsia" w:eastAsiaTheme="minorEastAsia"/>
              <w:bCs/>
              <w:i w:val="0"/>
              <w:iCs w:val="0"/>
              <w:szCs w:val="21"/>
              <w:lang w:val="zh-CN"/>
            </w:rPr>
            <w:fldChar w:fldCharType="end"/>
          </w:r>
        </w:p>
        <w:p>
          <w:pPr>
            <w:pStyle w:val="33"/>
            <w:tabs>
              <w:tab w:val="right" w:leader="dot" w:pos="9638"/>
            </w:tabs>
          </w:pPr>
          <w:r>
            <w:rPr>
              <w:rFonts w:asciiTheme="minorEastAsia" w:hAnsiTheme="minorEastAsia" w:eastAsiaTheme="minorEastAsia"/>
              <w:bCs/>
              <w:i w:val="0"/>
              <w:iCs w:val="0"/>
              <w:szCs w:val="21"/>
              <w:lang w:val="zh-CN"/>
            </w:rPr>
            <w:fldChar w:fldCharType="begin"/>
          </w:r>
          <w:r>
            <w:rPr>
              <w:rFonts w:asciiTheme="minorEastAsia" w:hAnsiTheme="minorEastAsia" w:eastAsiaTheme="minorEastAsia"/>
              <w:bCs/>
              <w:i w:val="0"/>
              <w:iCs w:val="0"/>
              <w:szCs w:val="21"/>
              <w:lang w:val="zh-CN"/>
            </w:rPr>
            <w:instrText xml:space="preserve"> HYPERLINK \l _Toc30770 </w:instrText>
          </w:r>
          <w:r>
            <w:rPr>
              <w:rFonts w:asciiTheme="minorEastAsia" w:hAnsiTheme="minorEastAsia" w:eastAsiaTheme="minorEastAsia"/>
              <w:bCs/>
              <w:i w:val="0"/>
              <w:iCs w:val="0"/>
              <w:szCs w:val="21"/>
              <w:lang w:val="zh-CN"/>
            </w:rPr>
            <w:fldChar w:fldCharType="separate"/>
          </w:r>
          <w:r>
            <w:t xml:space="preserve">四、 </w:t>
          </w:r>
          <w:r>
            <w:rPr>
              <w:rFonts w:hint="eastAsia"/>
            </w:rPr>
            <w:t>成交通知</w:t>
          </w:r>
          <w:r>
            <w:tab/>
          </w:r>
          <w:r>
            <w:fldChar w:fldCharType="begin"/>
          </w:r>
          <w:r>
            <w:instrText xml:space="preserve"> PAGEREF _Toc30770 \h </w:instrText>
          </w:r>
          <w:r>
            <w:fldChar w:fldCharType="separate"/>
          </w:r>
          <w:r>
            <w:t>8</w:t>
          </w:r>
          <w:r>
            <w:fldChar w:fldCharType="end"/>
          </w:r>
          <w:r>
            <w:rPr>
              <w:rFonts w:asciiTheme="minorEastAsia" w:hAnsiTheme="minorEastAsia" w:eastAsiaTheme="minorEastAsia"/>
              <w:bCs/>
              <w:i w:val="0"/>
              <w:iCs w:val="0"/>
              <w:szCs w:val="21"/>
              <w:lang w:val="zh-CN"/>
            </w:rPr>
            <w:fldChar w:fldCharType="end"/>
          </w:r>
        </w:p>
        <w:p>
          <w:pPr>
            <w:pStyle w:val="33"/>
            <w:tabs>
              <w:tab w:val="right" w:leader="dot" w:pos="9638"/>
            </w:tabs>
          </w:pPr>
          <w:r>
            <w:rPr>
              <w:rFonts w:asciiTheme="minorEastAsia" w:hAnsiTheme="minorEastAsia" w:eastAsiaTheme="minorEastAsia"/>
              <w:bCs/>
              <w:i w:val="0"/>
              <w:iCs w:val="0"/>
              <w:szCs w:val="21"/>
              <w:lang w:val="zh-CN"/>
            </w:rPr>
            <w:fldChar w:fldCharType="begin"/>
          </w:r>
          <w:r>
            <w:rPr>
              <w:rFonts w:asciiTheme="minorEastAsia" w:hAnsiTheme="minorEastAsia" w:eastAsiaTheme="minorEastAsia"/>
              <w:bCs/>
              <w:i w:val="0"/>
              <w:iCs w:val="0"/>
              <w:szCs w:val="21"/>
              <w:lang w:val="zh-CN"/>
            </w:rPr>
            <w:instrText xml:space="preserve"> HYPERLINK \l _Toc20470 </w:instrText>
          </w:r>
          <w:r>
            <w:rPr>
              <w:rFonts w:asciiTheme="minorEastAsia" w:hAnsiTheme="minorEastAsia" w:eastAsiaTheme="minorEastAsia"/>
              <w:bCs/>
              <w:i w:val="0"/>
              <w:iCs w:val="0"/>
              <w:szCs w:val="21"/>
              <w:lang w:val="zh-CN"/>
            </w:rPr>
            <w:fldChar w:fldCharType="separate"/>
          </w:r>
          <w:r>
            <w:rPr>
              <w:rFonts w:hint="eastAsia" w:ascii="宋体" w:hAnsi="宋体" w:eastAsia="宋体" w:cs="宋体"/>
              <w:szCs w:val="24"/>
            </w:rPr>
            <w:t>五、 签订合同</w:t>
          </w:r>
          <w:r>
            <w:tab/>
          </w:r>
          <w:r>
            <w:fldChar w:fldCharType="begin"/>
          </w:r>
          <w:r>
            <w:instrText xml:space="preserve"> PAGEREF _Toc20470 \h </w:instrText>
          </w:r>
          <w:r>
            <w:fldChar w:fldCharType="separate"/>
          </w:r>
          <w:r>
            <w:t>9</w:t>
          </w:r>
          <w:r>
            <w:fldChar w:fldCharType="end"/>
          </w:r>
          <w:r>
            <w:rPr>
              <w:rFonts w:asciiTheme="minorEastAsia" w:hAnsiTheme="minorEastAsia" w:eastAsiaTheme="minorEastAsia"/>
              <w:bCs/>
              <w:i w:val="0"/>
              <w:iCs w:val="0"/>
              <w:szCs w:val="21"/>
              <w:lang w:val="zh-CN"/>
            </w:rPr>
            <w:fldChar w:fldCharType="end"/>
          </w:r>
        </w:p>
        <w:p>
          <w:pPr>
            <w:pStyle w:val="27"/>
            <w:tabs>
              <w:tab w:val="right" w:leader="dot" w:pos="9638"/>
            </w:tabs>
          </w:pPr>
          <w:r>
            <w:rPr>
              <w:rFonts w:asciiTheme="minorEastAsia" w:hAnsiTheme="minorEastAsia" w:eastAsiaTheme="minorEastAsia"/>
              <w:bCs/>
              <w:i w:val="0"/>
              <w:iCs w:val="0"/>
              <w:szCs w:val="21"/>
              <w:lang w:val="zh-CN"/>
            </w:rPr>
            <w:fldChar w:fldCharType="begin"/>
          </w:r>
          <w:r>
            <w:rPr>
              <w:rFonts w:asciiTheme="minorEastAsia" w:hAnsiTheme="minorEastAsia" w:eastAsiaTheme="minorEastAsia"/>
              <w:bCs/>
              <w:i w:val="0"/>
              <w:iCs w:val="0"/>
              <w:szCs w:val="21"/>
              <w:lang w:val="zh-CN"/>
            </w:rPr>
            <w:instrText xml:space="preserve"> HYPERLINK \l _Toc20975 </w:instrText>
          </w:r>
          <w:r>
            <w:rPr>
              <w:rFonts w:asciiTheme="minorEastAsia" w:hAnsiTheme="minorEastAsia" w:eastAsiaTheme="minorEastAsia"/>
              <w:bCs/>
              <w:i w:val="0"/>
              <w:iCs w:val="0"/>
              <w:szCs w:val="21"/>
              <w:lang w:val="zh-CN"/>
            </w:rPr>
            <w:fldChar w:fldCharType="separate"/>
          </w:r>
          <w:r>
            <w:rPr>
              <w:rFonts w:hint="eastAsia"/>
              <w:lang w:val="en-US" w:eastAsia="zh-CN"/>
            </w:rPr>
            <w:t>第四章 采购要求</w:t>
          </w:r>
          <w:r>
            <w:tab/>
          </w:r>
          <w:r>
            <w:fldChar w:fldCharType="begin"/>
          </w:r>
          <w:r>
            <w:instrText xml:space="preserve"> PAGEREF _Toc20975 \h </w:instrText>
          </w:r>
          <w:r>
            <w:fldChar w:fldCharType="separate"/>
          </w:r>
          <w:r>
            <w:t>10</w:t>
          </w:r>
          <w:r>
            <w:fldChar w:fldCharType="end"/>
          </w:r>
          <w:r>
            <w:rPr>
              <w:rFonts w:asciiTheme="minorEastAsia" w:hAnsiTheme="minorEastAsia" w:eastAsiaTheme="minorEastAsia"/>
              <w:bCs/>
              <w:i w:val="0"/>
              <w:iCs w:val="0"/>
              <w:szCs w:val="21"/>
              <w:lang w:val="zh-CN"/>
            </w:rPr>
            <w:fldChar w:fldCharType="end"/>
          </w:r>
        </w:p>
        <w:p>
          <w:pPr>
            <w:pStyle w:val="33"/>
            <w:tabs>
              <w:tab w:val="right" w:leader="dot" w:pos="9638"/>
            </w:tabs>
          </w:pPr>
          <w:r>
            <w:rPr>
              <w:rFonts w:asciiTheme="minorEastAsia" w:hAnsiTheme="minorEastAsia" w:eastAsiaTheme="minorEastAsia"/>
              <w:bCs/>
              <w:i w:val="0"/>
              <w:iCs w:val="0"/>
              <w:szCs w:val="21"/>
              <w:lang w:val="zh-CN"/>
            </w:rPr>
            <w:fldChar w:fldCharType="begin"/>
          </w:r>
          <w:r>
            <w:rPr>
              <w:rFonts w:asciiTheme="minorEastAsia" w:hAnsiTheme="minorEastAsia" w:eastAsiaTheme="minorEastAsia"/>
              <w:bCs/>
              <w:i w:val="0"/>
              <w:iCs w:val="0"/>
              <w:szCs w:val="21"/>
              <w:lang w:val="zh-CN"/>
            </w:rPr>
            <w:instrText xml:space="preserve"> HYPERLINK \l _Toc10409 </w:instrText>
          </w:r>
          <w:r>
            <w:rPr>
              <w:rFonts w:asciiTheme="minorEastAsia" w:hAnsiTheme="minorEastAsia" w:eastAsiaTheme="minorEastAsia"/>
              <w:bCs/>
              <w:i w:val="0"/>
              <w:iCs w:val="0"/>
              <w:szCs w:val="21"/>
              <w:lang w:val="zh-CN"/>
            </w:rPr>
            <w:fldChar w:fldCharType="separate"/>
          </w:r>
          <w:r>
            <w:rPr>
              <w:rFonts w:hint="eastAsia"/>
            </w:rPr>
            <w:t xml:space="preserve">一、 </w:t>
          </w:r>
          <w:r>
            <w:rPr>
              <w:rFonts w:hint="eastAsia"/>
              <w:lang w:val="en-US" w:eastAsia="zh-CN"/>
            </w:rPr>
            <w:t>交货及</w:t>
          </w:r>
          <w:r>
            <w:rPr>
              <w:rFonts w:hint="eastAsia"/>
            </w:rPr>
            <w:t>验收方式</w:t>
          </w:r>
          <w:r>
            <w:tab/>
          </w:r>
          <w:r>
            <w:fldChar w:fldCharType="begin"/>
          </w:r>
          <w:r>
            <w:instrText xml:space="preserve"> PAGEREF _Toc10409 \h </w:instrText>
          </w:r>
          <w:r>
            <w:fldChar w:fldCharType="separate"/>
          </w:r>
          <w:r>
            <w:t>10</w:t>
          </w:r>
          <w:r>
            <w:fldChar w:fldCharType="end"/>
          </w:r>
          <w:r>
            <w:rPr>
              <w:rFonts w:asciiTheme="minorEastAsia" w:hAnsiTheme="minorEastAsia" w:eastAsiaTheme="minorEastAsia"/>
              <w:bCs/>
              <w:i w:val="0"/>
              <w:iCs w:val="0"/>
              <w:szCs w:val="21"/>
              <w:lang w:val="zh-CN"/>
            </w:rPr>
            <w:fldChar w:fldCharType="end"/>
          </w:r>
        </w:p>
        <w:p>
          <w:pPr>
            <w:pStyle w:val="33"/>
            <w:tabs>
              <w:tab w:val="right" w:leader="dot" w:pos="9638"/>
            </w:tabs>
          </w:pPr>
          <w:r>
            <w:rPr>
              <w:rFonts w:asciiTheme="minorEastAsia" w:hAnsiTheme="minorEastAsia" w:eastAsiaTheme="minorEastAsia"/>
              <w:bCs/>
              <w:i w:val="0"/>
              <w:iCs w:val="0"/>
              <w:szCs w:val="21"/>
              <w:lang w:val="zh-CN"/>
            </w:rPr>
            <w:fldChar w:fldCharType="begin"/>
          </w:r>
          <w:r>
            <w:rPr>
              <w:rFonts w:asciiTheme="minorEastAsia" w:hAnsiTheme="minorEastAsia" w:eastAsiaTheme="minorEastAsia"/>
              <w:bCs/>
              <w:i w:val="0"/>
              <w:iCs w:val="0"/>
              <w:szCs w:val="21"/>
              <w:lang w:val="zh-CN"/>
            </w:rPr>
            <w:instrText xml:space="preserve"> HYPERLINK \l _Toc25913 </w:instrText>
          </w:r>
          <w:r>
            <w:rPr>
              <w:rFonts w:asciiTheme="minorEastAsia" w:hAnsiTheme="minorEastAsia" w:eastAsiaTheme="minorEastAsia"/>
              <w:bCs/>
              <w:i w:val="0"/>
              <w:iCs w:val="0"/>
              <w:szCs w:val="21"/>
              <w:lang w:val="zh-CN"/>
            </w:rPr>
            <w:fldChar w:fldCharType="separate"/>
          </w:r>
          <w:r>
            <w:rPr>
              <w:rFonts w:hint="eastAsia" w:ascii="Arial" w:hAnsi="Arial"/>
              <w:szCs w:val="32"/>
            </w:rPr>
            <w:t xml:space="preserve">二、 </w:t>
          </w:r>
          <w:r>
            <w:rPr>
              <w:rFonts w:hint="eastAsia" w:ascii="Arial" w:hAnsi="Arial"/>
              <w:szCs w:val="32"/>
              <w:highlight w:val="none"/>
            </w:rPr>
            <w:t>质量保证及售后服务</w:t>
          </w:r>
          <w:r>
            <w:tab/>
          </w:r>
          <w:r>
            <w:fldChar w:fldCharType="begin"/>
          </w:r>
          <w:r>
            <w:instrText xml:space="preserve"> PAGEREF _Toc25913 \h </w:instrText>
          </w:r>
          <w:r>
            <w:fldChar w:fldCharType="separate"/>
          </w:r>
          <w:r>
            <w:t>10</w:t>
          </w:r>
          <w:r>
            <w:fldChar w:fldCharType="end"/>
          </w:r>
          <w:r>
            <w:rPr>
              <w:rFonts w:asciiTheme="minorEastAsia" w:hAnsiTheme="minorEastAsia" w:eastAsiaTheme="minorEastAsia"/>
              <w:bCs/>
              <w:i w:val="0"/>
              <w:iCs w:val="0"/>
              <w:szCs w:val="21"/>
              <w:lang w:val="zh-CN"/>
            </w:rPr>
            <w:fldChar w:fldCharType="end"/>
          </w:r>
        </w:p>
        <w:p>
          <w:pPr>
            <w:pStyle w:val="27"/>
            <w:tabs>
              <w:tab w:val="right" w:leader="dot" w:pos="9638"/>
            </w:tabs>
          </w:pPr>
          <w:r>
            <w:rPr>
              <w:rFonts w:asciiTheme="minorEastAsia" w:hAnsiTheme="minorEastAsia" w:eastAsiaTheme="minorEastAsia"/>
              <w:bCs/>
              <w:i w:val="0"/>
              <w:iCs w:val="0"/>
              <w:szCs w:val="21"/>
              <w:lang w:val="zh-CN"/>
            </w:rPr>
            <w:fldChar w:fldCharType="begin"/>
          </w:r>
          <w:r>
            <w:rPr>
              <w:rFonts w:asciiTheme="minorEastAsia" w:hAnsiTheme="minorEastAsia" w:eastAsiaTheme="minorEastAsia"/>
              <w:bCs/>
              <w:i w:val="0"/>
              <w:iCs w:val="0"/>
              <w:szCs w:val="21"/>
              <w:lang w:val="zh-CN"/>
            </w:rPr>
            <w:instrText xml:space="preserve"> HYPERLINK \l _Toc10560 </w:instrText>
          </w:r>
          <w:r>
            <w:rPr>
              <w:rFonts w:asciiTheme="minorEastAsia" w:hAnsiTheme="minorEastAsia" w:eastAsiaTheme="minorEastAsia"/>
              <w:bCs/>
              <w:i w:val="0"/>
              <w:iCs w:val="0"/>
              <w:szCs w:val="21"/>
              <w:lang w:val="zh-CN"/>
            </w:rPr>
            <w:fldChar w:fldCharType="separate"/>
          </w:r>
          <w:r>
            <w:rPr>
              <w:rFonts w:hint="eastAsia" w:ascii="Times New Roman" w:hAnsi="Times New Roman" w:cs="Times New Roman"/>
            </w:rPr>
            <w:t>第五章 竞争性比选响应文件格式</w:t>
          </w:r>
          <w:r>
            <w:tab/>
          </w:r>
          <w:r>
            <w:fldChar w:fldCharType="begin"/>
          </w:r>
          <w:r>
            <w:instrText xml:space="preserve"> PAGEREF _Toc10560 \h </w:instrText>
          </w:r>
          <w:r>
            <w:fldChar w:fldCharType="separate"/>
          </w:r>
          <w:r>
            <w:t>12</w:t>
          </w:r>
          <w:r>
            <w:fldChar w:fldCharType="end"/>
          </w:r>
          <w:r>
            <w:rPr>
              <w:rFonts w:asciiTheme="minorEastAsia" w:hAnsiTheme="minorEastAsia" w:eastAsiaTheme="minorEastAsia"/>
              <w:bCs/>
              <w:i w:val="0"/>
              <w:iCs w:val="0"/>
              <w:szCs w:val="21"/>
              <w:lang w:val="zh-CN"/>
            </w:rPr>
            <w:fldChar w:fldCharType="end"/>
          </w:r>
        </w:p>
        <w:p>
          <w:pPr>
            <w:pStyle w:val="33"/>
            <w:tabs>
              <w:tab w:val="right" w:leader="dot" w:pos="9638"/>
            </w:tabs>
            <w:rPr>
              <w:rFonts w:asciiTheme="minorEastAsia" w:hAnsiTheme="minorEastAsia" w:eastAsiaTheme="minorEastAsia"/>
              <w:bCs/>
              <w:szCs w:val="21"/>
              <w:lang w:val="zh-CN"/>
            </w:rPr>
          </w:pPr>
          <w:r>
            <w:rPr>
              <w:rFonts w:asciiTheme="minorEastAsia" w:hAnsiTheme="minorEastAsia" w:eastAsiaTheme="minorEastAsia"/>
              <w:bCs/>
              <w:i w:val="0"/>
              <w:iCs w:val="0"/>
              <w:szCs w:val="21"/>
              <w:lang w:val="zh-CN"/>
            </w:rPr>
            <w:fldChar w:fldCharType="begin"/>
          </w:r>
          <w:r>
            <w:rPr>
              <w:rFonts w:asciiTheme="minorEastAsia" w:hAnsiTheme="minorEastAsia" w:eastAsiaTheme="minorEastAsia"/>
              <w:bCs/>
              <w:i w:val="0"/>
              <w:iCs w:val="0"/>
              <w:szCs w:val="21"/>
              <w:lang w:val="zh-CN"/>
            </w:rPr>
            <w:instrText xml:space="preserve"> HYPERLINK \l _Toc31803 </w:instrText>
          </w:r>
          <w:r>
            <w:rPr>
              <w:rFonts w:asciiTheme="minorEastAsia" w:hAnsiTheme="minorEastAsia" w:eastAsiaTheme="minorEastAsia"/>
              <w:bCs/>
              <w:i w:val="0"/>
              <w:iCs w:val="0"/>
              <w:szCs w:val="21"/>
              <w:lang w:val="zh-CN"/>
            </w:rPr>
            <w:fldChar w:fldCharType="separate"/>
          </w:r>
          <w:r>
            <w:rPr>
              <w:rFonts w:hint="default" w:asciiTheme="minorEastAsia" w:hAnsiTheme="minorEastAsia" w:eastAsiaTheme="minorEastAsia"/>
              <w:bCs/>
              <w:szCs w:val="21"/>
              <w:lang w:val="zh-CN" w:eastAsia="zh-CN"/>
            </w:rPr>
            <w:t>一、报价函</w:t>
          </w:r>
          <w:r>
            <w:rPr>
              <w:rFonts w:asciiTheme="minorEastAsia" w:hAnsiTheme="minorEastAsia" w:eastAsiaTheme="minorEastAsia"/>
              <w:bCs/>
              <w:szCs w:val="21"/>
              <w:lang w:val="zh-CN"/>
            </w:rPr>
            <w:tab/>
          </w:r>
          <w:r>
            <w:rPr>
              <w:rFonts w:asciiTheme="minorEastAsia" w:hAnsiTheme="minorEastAsia" w:eastAsiaTheme="minorEastAsia"/>
              <w:bCs/>
              <w:szCs w:val="21"/>
              <w:lang w:val="zh-CN"/>
            </w:rPr>
            <w:fldChar w:fldCharType="begin"/>
          </w:r>
          <w:r>
            <w:rPr>
              <w:rFonts w:asciiTheme="minorEastAsia" w:hAnsiTheme="minorEastAsia" w:eastAsiaTheme="minorEastAsia"/>
              <w:bCs/>
              <w:szCs w:val="21"/>
              <w:lang w:val="zh-CN"/>
            </w:rPr>
            <w:instrText xml:space="preserve"> PAGEREF _Toc31803 \h </w:instrText>
          </w:r>
          <w:r>
            <w:rPr>
              <w:rFonts w:asciiTheme="minorEastAsia" w:hAnsiTheme="minorEastAsia" w:eastAsiaTheme="minorEastAsia"/>
              <w:bCs/>
              <w:szCs w:val="21"/>
              <w:lang w:val="zh-CN"/>
            </w:rPr>
            <w:fldChar w:fldCharType="separate"/>
          </w:r>
          <w:r>
            <w:rPr>
              <w:rFonts w:asciiTheme="minorEastAsia" w:hAnsiTheme="minorEastAsia" w:eastAsiaTheme="minorEastAsia"/>
              <w:bCs/>
              <w:szCs w:val="21"/>
              <w:lang w:val="zh-CN"/>
            </w:rPr>
            <w:t>14</w:t>
          </w:r>
          <w:r>
            <w:rPr>
              <w:rFonts w:asciiTheme="minorEastAsia" w:hAnsiTheme="minorEastAsia" w:eastAsiaTheme="minorEastAsia"/>
              <w:bCs/>
              <w:szCs w:val="21"/>
              <w:lang w:val="zh-CN"/>
            </w:rPr>
            <w:fldChar w:fldCharType="end"/>
          </w:r>
          <w:r>
            <w:rPr>
              <w:rFonts w:asciiTheme="minorEastAsia" w:hAnsiTheme="minorEastAsia" w:eastAsiaTheme="minorEastAsia"/>
              <w:bCs/>
              <w:i w:val="0"/>
              <w:iCs w:val="0"/>
              <w:szCs w:val="21"/>
              <w:lang w:val="zh-CN"/>
            </w:rPr>
            <w:fldChar w:fldCharType="end"/>
          </w:r>
        </w:p>
        <w:p>
          <w:pPr>
            <w:pStyle w:val="33"/>
            <w:tabs>
              <w:tab w:val="right" w:leader="dot" w:pos="9638"/>
            </w:tabs>
            <w:rPr>
              <w:rFonts w:asciiTheme="minorEastAsia" w:hAnsiTheme="minorEastAsia" w:eastAsiaTheme="minorEastAsia"/>
              <w:bCs/>
              <w:szCs w:val="21"/>
              <w:lang w:val="zh-CN"/>
            </w:rPr>
          </w:pPr>
          <w:r>
            <w:rPr>
              <w:rFonts w:asciiTheme="minorEastAsia" w:hAnsiTheme="minorEastAsia" w:eastAsiaTheme="minorEastAsia"/>
              <w:bCs/>
              <w:i w:val="0"/>
              <w:iCs w:val="0"/>
              <w:szCs w:val="21"/>
              <w:lang w:val="zh-CN"/>
            </w:rPr>
            <w:fldChar w:fldCharType="begin"/>
          </w:r>
          <w:r>
            <w:rPr>
              <w:rFonts w:asciiTheme="minorEastAsia" w:hAnsiTheme="minorEastAsia" w:eastAsiaTheme="minorEastAsia"/>
              <w:bCs/>
              <w:i w:val="0"/>
              <w:iCs w:val="0"/>
              <w:szCs w:val="21"/>
              <w:lang w:val="zh-CN"/>
            </w:rPr>
            <w:instrText xml:space="preserve"> HYPERLINK \l _Toc16777 </w:instrText>
          </w:r>
          <w:r>
            <w:rPr>
              <w:rFonts w:asciiTheme="minorEastAsia" w:hAnsiTheme="minorEastAsia" w:eastAsiaTheme="minorEastAsia"/>
              <w:bCs/>
              <w:i w:val="0"/>
              <w:iCs w:val="0"/>
              <w:szCs w:val="21"/>
              <w:lang w:val="zh-CN"/>
            </w:rPr>
            <w:fldChar w:fldCharType="separate"/>
          </w:r>
          <w:r>
            <w:rPr>
              <w:rFonts w:hint="default" w:cs="Times New Roman" w:asciiTheme="minorEastAsia" w:hAnsiTheme="minorEastAsia" w:eastAsiaTheme="minorEastAsia"/>
              <w:bCs/>
              <w:szCs w:val="21"/>
              <w:lang w:val="zh-CN" w:eastAsia="zh-CN"/>
            </w:rPr>
            <w:t>二、 报价</w:t>
          </w:r>
          <w:r>
            <w:rPr>
              <w:rFonts w:asciiTheme="minorEastAsia" w:hAnsiTheme="minorEastAsia" w:eastAsiaTheme="minorEastAsia"/>
              <w:bCs/>
              <w:szCs w:val="21"/>
              <w:lang w:val="zh-CN"/>
            </w:rPr>
            <w:tab/>
          </w:r>
          <w:r>
            <w:rPr>
              <w:rFonts w:asciiTheme="minorEastAsia" w:hAnsiTheme="minorEastAsia" w:eastAsiaTheme="minorEastAsia"/>
              <w:bCs/>
              <w:szCs w:val="21"/>
              <w:lang w:val="zh-CN"/>
            </w:rPr>
            <w:fldChar w:fldCharType="begin"/>
          </w:r>
          <w:r>
            <w:rPr>
              <w:rFonts w:asciiTheme="minorEastAsia" w:hAnsiTheme="minorEastAsia" w:eastAsiaTheme="minorEastAsia"/>
              <w:bCs/>
              <w:szCs w:val="21"/>
              <w:lang w:val="zh-CN"/>
            </w:rPr>
            <w:instrText xml:space="preserve"> PAGEREF _Toc16777 \h </w:instrText>
          </w:r>
          <w:r>
            <w:rPr>
              <w:rFonts w:asciiTheme="minorEastAsia" w:hAnsiTheme="minorEastAsia" w:eastAsiaTheme="minorEastAsia"/>
              <w:bCs/>
              <w:szCs w:val="21"/>
              <w:lang w:val="zh-CN"/>
            </w:rPr>
            <w:fldChar w:fldCharType="separate"/>
          </w:r>
          <w:r>
            <w:rPr>
              <w:rFonts w:asciiTheme="minorEastAsia" w:hAnsiTheme="minorEastAsia" w:eastAsiaTheme="minorEastAsia"/>
              <w:bCs/>
              <w:szCs w:val="21"/>
              <w:lang w:val="zh-CN"/>
            </w:rPr>
            <w:t>15</w:t>
          </w:r>
          <w:r>
            <w:rPr>
              <w:rFonts w:asciiTheme="minorEastAsia" w:hAnsiTheme="minorEastAsia" w:eastAsiaTheme="minorEastAsia"/>
              <w:bCs/>
              <w:szCs w:val="21"/>
              <w:lang w:val="zh-CN"/>
            </w:rPr>
            <w:fldChar w:fldCharType="end"/>
          </w:r>
          <w:r>
            <w:rPr>
              <w:rFonts w:asciiTheme="minorEastAsia" w:hAnsiTheme="minorEastAsia" w:eastAsiaTheme="minorEastAsia"/>
              <w:bCs/>
              <w:i w:val="0"/>
              <w:iCs w:val="0"/>
              <w:szCs w:val="21"/>
              <w:lang w:val="zh-CN"/>
            </w:rPr>
            <w:fldChar w:fldCharType="end"/>
          </w:r>
        </w:p>
        <w:p>
          <w:pPr>
            <w:pStyle w:val="33"/>
            <w:tabs>
              <w:tab w:val="right" w:leader="dot" w:pos="9638"/>
            </w:tabs>
            <w:rPr>
              <w:rFonts w:asciiTheme="minorEastAsia" w:hAnsiTheme="minorEastAsia" w:eastAsiaTheme="minorEastAsia"/>
              <w:bCs/>
              <w:szCs w:val="21"/>
              <w:lang w:val="zh-CN"/>
            </w:rPr>
          </w:pPr>
          <w:r>
            <w:rPr>
              <w:rFonts w:asciiTheme="minorEastAsia" w:hAnsiTheme="minorEastAsia" w:eastAsiaTheme="minorEastAsia"/>
              <w:bCs/>
              <w:i w:val="0"/>
              <w:iCs w:val="0"/>
              <w:szCs w:val="21"/>
              <w:lang w:val="zh-CN"/>
            </w:rPr>
            <w:fldChar w:fldCharType="begin"/>
          </w:r>
          <w:r>
            <w:rPr>
              <w:rFonts w:asciiTheme="minorEastAsia" w:hAnsiTheme="minorEastAsia" w:eastAsiaTheme="minorEastAsia"/>
              <w:bCs/>
              <w:i w:val="0"/>
              <w:iCs w:val="0"/>
              <w:szCs w:val="21"/>
              <w:lang w:val="zh-CN"/>
            </w:rPr>
            <w:instrText xml:space="preserve"> HYPERLINK \l _Toc9361 </w:instrText>
          </w:r>
          <w:r>
            <w:rPr>
              <w:rFonts w:asciiTheme="minorEastAsia" w:hAnsiTheme="minorEastAsia" w:eastAsiaTheme="minorEastAsia"/>
              <w:bCs/>
              <w:i w:val="0"/>
              <w:iCs w:val="0"/>
              <w:szCs w:val="21"/>
              <w:lang w:val="zh-CN"/>
            </w:rPr>
            <w:fldChar w:fldCharType="separate"/>
          </w:r>
          <w:r>
            <w:rPr>
              <w:rFonts w:hint="default" w:cs="Times New Roman" w:asciiTheme="minorEastAsia" w:hAnsiTheme="minorEastAsia" w:eastAsiaTheme="minorEastAsia"/>
              <w:bCs/>
              <w:szCs w:val="21"/>
              <w:lang w:val="zh-CN" w:eastAsia="zh-CN"/>
            </w:rPr>
            <w:t>（一）</w:t>
          </w:r>
          <w:r>
            <w:rPr>
              <w:rFonts w:hint="default" w:cs="Times New Roman" w:asciiTheme="minorEastAsia" w:hAnsiTheme="minorEastAsia" w:eastAsiaTheme="minorEastAsia"/>
              <w:bCs/>
              <w:szCs w:val="21"/>
              <w:lang w:val="zh-CN"/>
            </w:rPr>
            <w:t>开标一览表</w:t>
          </w:r>
          <w:r>
            <w:rPr>
              <w:rFonts w:asciiTheme="minorEastAsia" w:hAnsiTheme="minorEastAsia" w:eastAsiaTheme="minorEastAsia"/>
              <w:bCs/>
              <w:szCs w:val="21"/>
              <w:lang w:val="zh-CN"/>
            </w:rPr>
            <w:tab/>
          </w:r>
          <w:r>
            <w:rPr>
              <w:rFonts w:asciiTheme="minorEastAsia" w:hAnsiTheme="minorEastAsia" w:eastAsiaTheme="minorEastAsia"/>
              <w:bCs/>
              <w:szCs w:val="21"/>
              <w:lang w:val="zh-CN"/>
            </w:rPr>
            <w:fldChar w:fldCharType="begin"/>
          </w:r>
          <w:r>
            <w:rPr>
              <w:rFonts w:asciiTheme="minorEastAsia" w:hAnsiTheme="minorEastAsia" w:eastAsiaTheme="minorEastAsia"/>
              <w:bCs/>
              <w:szCs w:val="21"/>
              <w:lang w:val="zh-CN"/>
            </w:rPr>
            <w:instrText xml:space="preserve"> PAGEREF _Toc9361 \h </w:instrText>
          </w:r>
          <w:r>
            <w:rPr>
              <w:rFonts w:asciiTheme="minorEastAsia" w:hAnsiTheme="minorEastAsia" w:eastAsiaTheme="minorEastAsia"/>
              <w:bCs/>
              <w:szCs w:val="21"/>
              <w:lang w:val="zh-CN"/>
            </w:rPr>
            <w:fldChar w:fldCharType="separate"/>
          </w:r>
          <w:r>
            <w:rPr>
              <w:rFonts w:asciiTheme="minorEastAsia" w:hAnsiTheme="minorEastAsia" w:eastAsiaTheme="minorEastAsia"/>
              <w:bCs/>
              <w:szCs w:val="21"/>
              <w:lang w:val="zh-CN"/>
            </w:rPr>
            <w:t>15</w:t>
          </w:r>
          <w:r>
            <w:rPr>
              <w:rFonts w:asciiTheme="minorEastAsia" w:hAnsiTheme="minorEastAsia" w:eastAsiaTheme="minorEastAsia"/>
              <w:bCs/>
              <w:szCs w:val="21"/>
              <w:lang w:val="zh-CN"/>
            </w:rPr>
            <w:fldChar w:fldCharType="end"/>
          </w:r>
          <w:r>
            <w:rPr>
              <w:rFonts w:asciiTheme="minorEastAsia" w:hAnsiTheme="minorEastAsia" w:eastAsiaTheme="minorEastAsia"/>
              <w:bCs/>
              <w:i w:val="0"/>
              <w:iCs w:val="0"/>
              <w:szCs w:val="21"/>
              <w:lang w:val="zh-CN"/>
            </w:rPr>
            <w:fldChar w:fldCharType="end"/>
          </w:r>
        </w:p>
        <w:p>
          <w:pPr>
            <w:pStyle w:val="33"/>
            <w:tabs>
              <w:tab w:val="right" w:leader="dot" w:pos="9638"/>
            </w:tabs>
            <w:rPr>
              <w:rFonts w:asciiTheme="minorEastAsia" w:hAnsiTheme="minorEastAsia" w:eastAsiaTheme="minorEastAsia"/>
              <w:bCs/>
              <w:szCs w:val="21"/>
              <w:lang w:val="zh-CN"/>
            </w:rPr>
          </w:pPr>
          <w:r>
            <w:rPr>
              <w:rFonts w:asciiTheme="minorEastAsia" w:hAnsiTheme="minorEastAsia" w:eastAsiaTheme="minorEastAsia"/>
              <w:bCs/>
              <w:i w:val="0"/>
              <w:iCs w:val="0"/>
              <w:szCs w:val="21"/>
              <w:lang w:val="zh-CN"/>
            </w:rPr>
            <w:fldChar w:fldCharType="begin"/>
          </w:r>
          <w:r>
            <w:rPr>
              <w:rFonts w:asciiTheme="minorEastAsia" w:hAnsiTheme="minorEastAsia" w:eastAsiaTheme="minorEastAsia"/>
              <w:bCs/>
              <w:i w:val="0"/>
              <w:iCs w:val="0"/>
              <w:szCs w:val="21"/>
              <w:lang w:val="zh-CN"/>
            </w:rPr>
            <w:instrText xml:space="preserve"> HYPERLINK \l _Toc22934 </w:instrText>
          </w:r>
          <w:r>
            <w:rPr>
              <w:rFonts w:asciiTheme="minorEastAsia" w:hAnsiTheme="minorEastAsia" w:eastAsiaTheme="minorEastAsia"/>
              <w:bCs/>
              <w:i w:val="0"/>
              <w:iCs w:val="0"/>
              <w:szCs w:val="21"/>
              <w:lang w:val="zh-CN"/>
            </w:rPr>
            <w:fldChar w:fldCharType="separate"/>
          </w:r>
          <w:r>
            <w:rPr>
              <w:rFonts w:hint="default" w:cs="Times New Roman" w:asciiTheme="minorEastAsia" w:hAnsiTheme="minorEastAsia" w:eastAsiaTheme="minorEastAsia"/>
              <w:bCs/>
              <w:szCs w:val="21"/>
              <w:lang w:val="zh-CN" w:eastAsia="zh-CN"/>
            </w:rPr>
            <w:t xml:space="preserve">（二） </w:t>
          </w:r>
          <w:r>
            <w:rPr>
              <w:rFonts w:hint="default" w:cs="Times New Roman" w:asciiTheme="minorEastAsia" w:hAnsiTheme="minorEastAsia" w:eastAsiaTheme="minorEastAsia"/>
              <w:bCs/>
              <w:szCs w:val="21"/>
              <w:lang w:val="zh-CN"/>
            </w:rPr>
            <w:t>报价</w:t>
          </w:r>
          <w:r>
            <w:rPr>
              <w:rFonts w:hint="default" w:cs="Times New Roman" w:asciiTheme="minorEastAsia" w:hAnsiTheme="minorEastAsia" w:eastAsiaTheme="minorEastAsia"/>
              <w:bCs/>
              <w:szCs w:val="21"/>
              <w:lang w:val="zh-CN" w:eastAsia="zh-CN"/>
            </w:rPr>
            <w:t>明细表</w:t>
          </w:r>
          <w:r>
            <w:rPr>
              <w:rFonts w:asciiTheme="minorEastAsia" w:hAnsiTheme="minorEastAsia" w:eastAsiaTheme="minorEastAsia"/>
              <w:bCs/>
              <w:szCs w:val="21"/>
              <w:lang w:val="zh-CN"/>
            </w:rPr>
            <w:tab/>
          </w:r>
          <w:r>
            <w:rPr>
              <w:rFonts w:asciiTheme="minorEastAsia" w:hAnsiTheme="minorEastAsia" w:eastAsiaTheme="minorEastAsia"/>
              <w:bCs/>
              <w:szCs w:val="21"/>
              <w:lang w:val="zh-CN"/>
            </w:rPr>
            <w:fldChar w:fldCharType="begin"/>
          </w:r>
          <w:r>
            <w:rPr>
              <w:rFonts w:asciiTheme="minorEastAsia" w:hAnsiTheme="minorEastAsia" w:eastAsiaTheme="minorEastAsia"/>
              <w:bCs/>
              <w:szCs w:val="21"/>
              <w:lang w:val="zh-CN"/>
            </w:rPr>
            <w:instrText xml:space="preserve"> PAGEREF _Toc22934 \h </w:instrText>
          </w:r>
          <w:r>
            <w:rPr>
              <w:rFonts w:asciiTheme="minorEastAsia" w:hAnsiTheme="minorEastAsia" w:eastAsiaTheme="minorEastAsia"/>
              <w:bCs/>
              <w:szCs w:val="21"/>
              <w:lang w:val="zh-CN"/>
            </w:rPr>
            <w:fldChar w:fldCharType="separate"/>
          </w:r>
          <w:r>
            <w:rPr>
              <w:rFonts w:asciiTheme="minorEastAsia" w:hAnsiTheme="minorEastAsia" w:eastAsiaTheme="minorEastAsia"/>
              <w:bCs/>
              <w:szCs w:val="21"/>
              <w:lang w:val="zh-CN"/>
            </w:rPr>
            <w:t>16</w:t>
          </w:r>
          <w:r>
            <w:rPr>
              <w:rFonts w:asciiTheme="minorEastAsia" w:hAnsiTheme="minorEastAsia" w:eastAsiaTheme="minorEastAsia"/>
              <w:bCs/>
              <w:szCs w:val="21"/>
              <w:lang w:val="zh-CN"/>
            </w:rPr>
            <w:fldChar w:fldCharType="end"/>
          </w:r>
          <w:r>
            <w:rPr>
              <w:rFonts w:asciiTheme="minorEastAsia" w:hAnsiTheme="minorEastAsia" w:eastAsiaTheme="minorEastAsia"/>
              <w:bCs/>
              <w:i w:val="0"/>
              <w:iCs w:val="0"/>
              <w:szCs w:val="21"/>
              <w:lang w:val="zh-CN"/>
            </w:rPr>
            <w:fldChar w:fldCharType="end"/>
          </w:r>
        </w:p>
        <w:p>
          <w:pPr>
            <w:pStyle w:val="33"/>
            <w:tabs>
              <w:tab w:val="right" w:leader="dot" w:pos="9638"/>
            </w:tabs>
            <w:rPr>
              <w:rFonts w:asciiTheme="minorEastAsia" w:hAnsiTheme="minorEastAsia" w:eastAsiaTheme="minorEastAsia"/>
              <w:bCs/>
              <w:szCs w:val="21"/>
              <w:lang w:val="zh-CN"/>
            </w:rPr>
          </w:pPr>
          <w:r>
            <w:rPr>
              <w:rFonts w:asciiTheme="minorEastAsia" w:hAnsiTheme="minorEastAsia" w:eastAsiaTheme="minorEastAsia"/>
              <w:bCs/>
              <w:i w:val="0"/>
              <w:iCs w:val="0"/>
              <w:szCs w:val="21"/>
              <w:lang w:val="zh-CN"/>
            </w:rPr>
            <w:fldChar w:fldCharType="begin"/>
          </w:r>
          <w:r>
            <w:rPr>
              <w:rFonts w:asciiTheme="minorEastAsia" w:hAnsiTheme="minorEastAsia" w:eastAsiaTheme="minorEastAsia"/>
              <w:bCs/>
              <w:i w:val="0"/>
              <w:iCs w:val="0"/>
              <w:szCs w:val="21"/>
              <w:lang w:val="zh-CN"/>
            </w:rPr>
            <w:instrText xml:space="preserve"> HYPERLINK \l _Toc31583 </w:instrText>
          </w:r>
          <w:r>
            <w:rPr>
              <w:rFonts w:asciiTheme="minorEastAsia" w:hAnsiTheme="minorEastAsia" w:eastAsiaTheme="minorEastAsia"/>
              <w:bCs/>
              <w:i w:val="0"/>
              <w:iCs w:val="0"/>
              <w:szCs w:val="21"/>
              <w:lang w:val="zh-CN"/>
            </w:rPr>
            <w:fldChar w:fldCharType="separate"/>
          </w:r>
          <w:r>
            <w:rPr>
              <w:rFonts w:hint="default" w:cs="Times New Roman" w:asciiTheme="minorEastAsia" w:hAnsiTheme="minorEastAsia" w:eastAsiaTheme="minorEastAsia"/>
              <w:bCs/>
              <w:szCs w:val="21"/>
              <w:lang w:val="zh-CN" w:eastAsia="zh-CN"/>
            </w:rPr>
            <w:t>（三）</w:t>
          </w:r>
          <w:r>
            <w:rPr>
              <w:rFonts w:hint="default" w:cs="Times New Roman" w:asciiTheme="minorEastAsia" w:hAnsiTheme="minorEastAsia" w:eastAsiaTheme="minorEastAsia"/>
              <w:bCs/>
              <w:szCs w:val="21"/>
              <w:lang w:val="zh-CN"/>
            </w:rPr>
            <w:t>报价说明</w:t>
          </w:r>
          <w:r>
            <w:rPr>
              <w:rFonts w:asciiTheme="minorEastAsia" w:hAnsiTheme="minorEastAsia" w:eastAsiaTheme="minorEastAsia"/>
              <w:bCs/>
              <w:szCs w:val="21"/>
              <w:lang w:val="zh-CN"/>
            </w:rPr>
            <w:tab/>
          </w:r>
          <w:r>
            <w:rPr>
              <w:rFonts w:asciiTheme="minorEastAsia" w:hAnsiTheme="minorEastAsia" w:eastAsiaTheme="minorEastAsia"/>
              <w:bCs/>
              <w:szCs w:val="21"/>
              <w:lang w:val="zh-CN"/>
            </w:rPr>
            <w:fldChar w:fldCharType="begin"/>
          </w:r>
          <w:r>
            <w:rPr>
              <w:rFonts w:asciiTheme="minorEastAsia" w:hAnsiTheme="minorEastAsia" w:eastAsiaTheme="minorEastAsia"/>
              <w:bCs/>
              <w:szCs w:val="21"/>
              <w:lang w:val="zh-CN"/>
            </w:rPr>
            <w:instrText xml:space="preserve"> PAGEREF _Toc31583 \h </w:instrText>
          </w:r>
          <w:r>
            <w:rPr>
              <w:rFonts w:asciiTheme="minorEastAsia" w:hAnsiTheme="minorEastAsia" w:eastAsiaTheme="minorEastAsia"/>
              <w:bCs/>
              <w:szCs w:val="21"/>
              <w:lang w:val="zh-CN"/>
            </w:rPr>
            <w:fldChar w:fldCharType="separate"/>
          </w:r>
          <w:r>
            <w:rPr>
              <w:rFonts w:asciiTheme="minorEastAsia" w:hAnsiTheme="minorEastAsia" w:eastAsiaTheme="minorEastAsia"/>
              <w:bCs/>
              <w:szCs w:val="21"/>
              <w:lang w:val="zh-CN"/>
            </w:rPr>
            <w:t>173</w:t>
          </w:r>
          <w:r>
            <w:rPr>
              <w:rFonts w:asciiTheme="minorEastAsia" w:hAnsiTheme="minorEastAsia" w:eastAsiaTheme="minorEastAsia"/>
              <w:bCs/>
              <w:szCs w:val="21"/>
              <w:lang w:val="zh-CN"/>
            </w:rPr>
            <w:fldChar w:fldCharType="end"/>
          </w:r>
          <w:r>
            <w:rPr>
              <w:rFonts w:asciiTheme="minorEastAsia" w:hAnsiTheme="minorEastAsia" w:eastAsiaTheme="minorEastAsia"/>
              <w:bCs/>
              <w:i w:val="0"/>
              <w:iCs w:val="0"/>
              <w:szCs w:val="21"/>
              <w:lang w:val="zh-CN"/>
            </w:rPr>
            <w:fldChar w:fldCharType="end"/>
          </w:r>
        </w:p>
        <w:p>
          <w:pPr>
            <w:pStyle w:val="33"/>
            <w:tabs>
              <w:tab w:val="right" w:leader="dot" w:pos="9638"/>
            </w:tabs>
            <w:rPr>
              <w:rFonts w:asciiTheme="minorEastAsia" w:hAnsiTheme="minorEastAsia" w:eastAsiaTheme="minorEastAsia"/>
              <w:bCs/>
              <w:szCs w:val="21"/>
              <w:lang w:val="zh-CN"/>
            </w:rPr>
          </w:pPr>
          <w:r>
            <w:rPr>
              <w:rFonts w:asciiTheme="minorEastAsia" w:hAnsiTheme="minorEastAsia" w:eastAsiaTheme="minorEastAsia"/>
              <w:bCs/>
              <w:i w:val="0"/>
              <w:iCs w:val="0"/>
              <w:szCs w:val="21"/>
              <w:lang w:val="zh-CN"/>
            </w:rPr>
            <w:fldChar w:fldCharType="begin"/>
          </w:r>
          <w:r>
            <w:rPr>
              <w:rFonts w:asciiTheme="minorEastAsia" w:hAnsiTheme="minorEastAsia" w:eastAsiaTheme="minorEastAsia"/>
              <w:bCs/>
              <w:i w:val="0"/>
              <w:iCs w:val="0"/>
              <w:szCs w:val="21"/>
              <w:lang w:val="zh-CN"/>
            </w:rPr>
            <w:instrText xml:space="preserve"> HYPERLINK \l _Toc489 </w:instrText>
          </w:r>
          <w:r>
            <w:rPr>
              <w:rFonts w:asciiTheme="minorEastAsia" w:hAnsiTheme="minorEastAsia" w:eastAsiaTheme="minorEastAsia"/>
              <w:bCs/>
              <w:i w:val="0"/>
              <w:iCs w:val="0"/>
              <w:szCs w:val="21"/>
              <w:lang w:val="zh-CN"/>
            </w:rPr>
            <w:fldChar w:fldCharType="separate"/>
          </w:r>
          <w:r>
            <w:rPr>
              <w:rFonts w:hint="default" w:cs="Times New Roman" w:asciiTheme="minorEastAsia" w:hAnsiTheme="minorEastAsia" w:eastAsiaTheme="minorEastAsia"/>
              <w:bCs/>
              <w:szCs w:val="21"/>
              <w:lang w:val="zh-CN" w:eastAsia="zh-CN"/>
            </w:rPr>
            <w:t>三、</w:t>
          </w:r>
          <w:r>
            <w:rPr>
              <w:rFonts w:hint="default" w:cs="Times New Roman" w:asciiTheme="minorEastAsia" w:hAnsiTheme="minorEastAsia" w:eastAsiaTheme="minorEastAsia"/>
              <w:bCs/>
              <w:szCs w:val="21"/>
              <w:lang w:val="zh-CN"/>
            </w:rPr>
            <w:t>基本资格条件承诺函</w:t>
          </w:r>
          <w:r>
            <w:rPr>
              <w:rFonts w:asciiTheme="minorEastAsia" w:hAnsiTheme="minorEastAsia" w:eastAsiaTheme="minorEastAsia"/>
              <w:bCs/>
              <w:szCs w:val="21"/>
              <w:lang w:val="zh-CN"/>
            </w:rPr>
            <w:tab/>
          </w:r>
          <w:r>
            <w:rPr>
              <w:rFonts w:asciiTheme="minorEastAsia" w:hAnsiTheme="minorEastAsia" w:eastAsiaTheme="minorEastAsia"/>
              <w:bCs/>
              <w:szCs w:val="21"/>
              <w:lang w:val="zh-CN"/>
            </w:rPr>
            <w:fldChar w:fldCharType="begin"/>
          </w:r>
          <w:r>
            <w:rPr>
              <w:rFonts w:asciiTheme="minorEastAsia" w:hAnsiTheme="minorEastAsia" w:eastAsiaTheme="minorEastAsia"/>
              <w:bCs/>
              <w:szCs w:val="21"/>
              <w:lang w:val="zh-CN"/>
            </w:rPr>
            <w:instrText xml:space="preserve"> PAGEREF _Toc489 \h </w:instrText>
          </w:r>
          <w:r>
            <w:rPr>
              <w:rFonts w:asciiTheme="minorEastAsia" w:hAnsiTheme="minorEastAsia" w:eastAsiaTheme="minorEastAsia"/>
              <w:bCs/>
              <w:szCs w:val="21"/>
              <w:lang w:val="zh-CN"/>
            </w:rPr>
            <w:fldChar w:fldCharType="separate"/>
          </w:r>
          <w:r>
            <w:rPr>
              <w:rFonts w:asciiTheme="minorEastAsia" w:hAnsiTheme="minorEastAsia" w:eastAsiaTheme="minorEastAsia"/>
              <w:bCs/>
              <w:szCs w:val="21"/>
              <w:lang w:val="zh-CN"/>
            </w:rPr>
            <w:t>175</w:t>
          </w:r>
          <w:r>
            <w:rPr>
              <w:rFonts w:asciiTheme="minorEastAsia" w:hAnsiTheme="minorEastAsia" w:eastAsiaTheme="minorEastAsia"/>
              <w:bCs/>
              <w:szCs w:val="21"/>
              <w:lang w:val="zh-CN"/>
            </w:rPr>
            <w:fldChar w:fldCharType="end"/>
          </w:r>
          <w:r>
            <w:rPr>
              <w:rFonts w:asciiTheme="minorEastAsia" w:hAnsiTheme="minorEastAsia" w:eastAsiaTheme="minorEastAsia"/>
              <w:bCs/>
              <w:i w:val="0"/>
              <w:iCs w:val="0"/>
              <w:szCs w:val="21"/>
              <w:lang w:val="zh-CN"/>
            </w:rPr>
            <w:fldChar w:fldCharType="end"/>
          </w:r>
        </w:p>
        <w:p>
          <w:pPr>
            <w:pStyle w:val="33"/>
            <w:tabs>
              <w:tab w:val="right" w:leader="dot" w:pos="9638"/>
            </w:tabs>
            <w:rPr>
              <w:rFonts w:asciiTheme="minorEastAsia" w:hAnsiTheme="minorEastAsia" w:eastAsiaTheme="minorEastAsia"/>
              <w:bCs/>
              <w:szCs w:val="21"/>
              <w:lang w:val="zh-CN"/>
            </w:rPr>
          </w:pPr>
          <w:r>
            <w:rPr>
              <w:rFonts w:asciiTheme="minorEastAsia" w:hAnsiTheme="minorEastAsia" w:eastAsiaTheme="minorEastAsia"/>
              <w:bCs/>
              <w:i w:val="0"/>
              <w:iCs w:val="0"/>
              <w:szCs w:val="21"/>
              <w:lang w:val="zh-CN"/>
            </w:rPr>
            <w:fldChar w:fldCharType="begin"/>
          </w:r>
          <w:r>
            <w:rPr>
              <w:rFonts w:asciiTheme="minorEastAsia" w:hAnsiTheme="minorEastAsia" w:eastAsiaTheme="minorEastAsia"/>
              <w:bCs/>
              <w:i w:val="0"/>
              <w:iCs w:val="0"/>
              <w:szCs w:val="21"/>
              <w:lang w:val="zh-CN"/>
            </w:rPr>
            <w:instrText xml:space="preserve"> HYPERLINK \l _Toc24394 </w:instrText>
          </w:r>
          <w:r>
            <w:rPr>
              <w:rFonts w:asciiTheme="minorEastAsia" w:hAnsiTheme="minorEastAsia" w:eastAsiaTheme="minorEastAsia"/>
              <w:bCs/>
              <w:i w:val="0"/>
              <w:iCs w:val="0"/>
              <w:szCs w:val="21"/>
              <w:lang w:val="zh-CN"/>
            </w:rPr>
            <w:fldChar w:fldCharType="separate"/>
          </w:r>
          <w:r>
            <w:rPr>
              <w:rFonts w:hint="default" w:cs="Times New Roman" w:asciiTheme="minorEastAsia" w:hAnsiTheme="minorEastAsia" w:eastAsiaTheme="minorEastAsia"/>
              <w:bCs/>
              <w:szCs w:val="21"/>
              <w:lang w:val="zh-CN" w:eastAsia="zh-CN"/>
            </w:rPr>
            <w:t>（一）</w:t>
          </w:r>
          <w:r>
            <w:rPr>
              <w:rFonts w:hint="default" w:cs="Times New Roman" w:asciiTheme="minorEastAsia" w:hAnsiTheme="minorEastAsia" w:eastAsiaTheme="minorEastAsia"/>
              <w:bCs/>
              <w:szCs w:val="21"/>
              <w:lang w:val="zh-CN"/>
            </w:rPr>
            <w:t>法定</w:t>
          </w:r>
          <w:r>
            <w:rPr>
              <w:rFonts w:hint="default" w:asciiTheme="minorEastAsia" w:hAnsiTheme="minorEastAsia" w:eastAsiaTheme="minorEastAsia"/>
              <w:bCs/>
              <w:szCs w:val="21"/>
              <w:lang w:val="zh-CN"/>
            </w:rPr>
            <w:t>代表</w:t>
          </w:r>
          <w:r>
            <w:rPr>
              <w:rFonts w:hint="default" w:cs="Times New Roman" w:asciiTheme="minorEastAsia" w:hAnsiTheme="minorEastAsia" w:eastAsiaTheme="minorEastAsia"/>
              <w:bCs/>
              <w:szCs w:val="21"/>
              <w:lang w:val="zh-CN"/>
            </w:rPr>
            <w:t>人身份证明及授权委托书</w:t>
          </w:r>
          <w:r>
            <w:rPr>
              <w:rFonts w:asciiTheme="minorEastAsia" w:hAnsiTheme="minorEastAsia" w:eastAsiaTheme="minorEastAsia"/>
              <w:bCs/>
              <w:szCs w:val="21"/>
              <w:lang w:val="zh-CN"/>
            </w:rPr>
            <w:tab/>
          </w:r>
          <w:r>
            <w:rPr>
              <w:rFonts w:asciiTheme="minorEastAsia" w:hAnsiTheme="minorEastAsia" w:eastAsiaTheme="minorEastAsia"/>
              <w:bCs/>
              <w:szCs w:val="21"/>
              <w:lang w:val="zh-CN"/>
            </w:rPr>
            <w:fldChar w:fldCharType="begin"/>
          </w:r>
          <w:r>
            <w:rPr>
              <w:rFonts w:asciiTheme="minorEastAsia" w:hAnsiTheme="minorEastAsia" w:eastAsiaTheme="minorEastAsia"/>
              <w:bCs/>
              <w:szCs w:val="21"/>
              <w:lang w:val="zh-CN"/>
            </w:rPr>
            <w:instrText xml:space="preserve"> PAGEREF _Toc24394 \h </w:instrText>
          </w:r>
          <w:r>
            <w:rPr>
              <w:rFonts w:asciiTheme="minorEastAsia" w:hAnsiTheme="minorEastAsia" w:eastAsiaTheme="minorEastAsia"/>
              <w:bCs/>
              <w:szCs w:val="21"/>
              <w:lang w:val="zh-CN"/>
            </w:rPr>
            <w:fldChar w:fldCharType="separate"/>
          </w:r>
          <w:r>
            <w:rPr>
              <w:rFonts w:asciiTheme="minorEastAsia" w:hAnsiTheme="minorEastAsia" w:eastAsiaTheme="minorEastAsia"/>
              <w:bCs/>
              <w:szCs w:val="21"/>
              <w:lang w:val="zh-CN"/>
            </w:rPr>
            <w:t>176</w:t>
          </w:r>
          <w:r>
            <w:rPr>
              <w:rFonts w:asciiTheme="minorEastAsia" w:hAnsiTheme="minorEastAsia" w:eastAsiaTheme="minorEastAsia"/>
              <w:bCs/>
              <w:szCs w:val="21"/>
              <w:lang w:val="zh-CN"/>
            </w:rPr>
            <w:fldChar w:fldCharType="end"/>
          </w:r>
          <w:r>
            <w:rPr>
              <w:rFonts w:asciiTheme="minorEastAsia" w:hAnsiTheme="minorEastAsia" w:eastAsiaTheme="minorEastAsia"/>
              <w:bCs/>
              <w:i w:val="0"/>
              <w:iCs w:val="0"/>
              <w:szCs w:val="21"/>
              <w:lang w:val="zh-CN"/>
            </w:rPr>
            <w:fldChar w:fldCharType="end"/>
          </w:r>
        </w:p>
        <w:p>
          <w:pPr>
            <w:pStyle w:val="33"/>
            <w:tabs>
              <w:tab w:val="right" w:leader="dot" w:pos="9638"/>
            </w:tabs>
            <w:rPr>
              <w:rFonts w:asciiTheme="minorEastAsia" w:hAnsiTheme="minorEastAsia" w:eastAsiaTheme="minorEastAsia"/>
              <w:bCs/>
              <w:szCs w:val="21"/>
              <w:lang w:val="zh-CN"/>
            </w:rPr>
          </w:pPr>
          <w:r>
            <w:rPr>
              <w:rFonts w:asciiTheme="minorEastAsia" w:hAnsiTheme="minorEastAsia" w:eastAsiaTheme="minorEastAsia"/>
              <w:bCs/>
              <w:i w:val="0"/>
              <w:iCs w:val="0"/>
              <w:szCs w:val="21"/>
              <w:lang w:val="zh-CN"/>
            </w:rPr>
            <w:fldChar w:fldCharType="begin"/>
          </w:r>
          <w:r>
            <w:rPr>
              <w:rFonts w:asciiTheme="minorEastAsia" w:hAnsiTheme="minorEastAsia" w:eastAsiaTheme="minorEastAsia"/>
              <w:bCs/>
              <w:i w:val="0"/>
              <w:iCs w:val="0"/>
              <w:szCs w:val="21"/>
              <w:lang w:val="zh-CN"/>
            </w:rPr>
            <w:instrText xml:space="preserve"> HYPERLINK \l _Toc5657 </w:instrText>
          </w:r>
          <w:r>
            <w:rPr>
              <w:rFonts w:asciiTheme="minorEastAsia" w:hAnsiTheme="minorEastAsia" w:eastAsiaTheme="minorEastAsia"/>
              <w:bCs/>
              <w:i w:val="0"/>
              <w:iCs w:val="0"/>
              <w:szCs w:val="21"/>
              <w:lang w:val="zh-CN"/>
            </w:rPr>
            <w:fldChar w:fldCharType="separate"/>
          </w:r>
          <w:r>
            <w:rPr>
              <w:rFonts w:hint="default" w:cs="Times New Roman" w:asciiTheme="minorEastAsia" w:hAnsiTheme="minorEastAsia" w:eastAsiaTheme="minorEastAsia"/>
              <w:bCs/>
              <w:szCs w:val="21"/>
              <w:lang w:val="zh-CN" w:eastAsia="zh-CN"/>
            </w:rPr>
            <w:t>（二）营业执照</w:t>
          </w:r>
          <w:r>
            <w:rPr>
              <w:rFonts w:asciiTheme="minorEastAsia" w:hAnsiTheme="minorEastAsia" w:eastAsiaTheme="minorEastAsia"/>
              <w:bCs/>
              <w:szCs w:val="21"/>
              <w:lang w:val="zh-CN"/>
            </w:rPr>
            <w:tab/>
          </w:r>
          <w:r>
            <w:rPr>
              <w:rFonts w:asciiTheme="minorEastAsia" w:hAnsiTheme="minorEastAsia" w:eastAsiaTheme="minorEastAsia"/>
              <w:bCs/>
              <w:szCs w:val="21"/>
              <w:lang w:val="zh-CN"/>
            </w:rPr>
            <w:fldChar w:fldCharType="begin"/>
          </w:r>
          <w:r>
            <w:rPr>
              <w:rFonts w:asciiTheme="minorEastAsia" w:hAnsiTheme="minorEastAsia" w:eastAsiaTheme="minorEastAsia"/>
              <w:bCs/>
              <w:szCs w:val="21"/>
              <w:lang w:val="zh-CN"/>
            </w:rPr>
            <w:instrText xml:space="preserve"> PAGEREF _Toc5657 \h </w:instrText>
          </w:r>
          <w:r>
            <w:rPr>
              <w:rFonts w:asciiTheme="minorEastAsia" w:hAnsiTheme="minorEastAsia" w:eastAsiaTheme="minorEastAsia"/>
              <w:bCs/>
              <w:szCs w:val="21"/>
              <w:lang w:val="zh-CN"/>
            </w:rPr>
            <w:fldChar w:fldCharType="separate"/>
          </w:r>
          <w:r>
            <w:rPr>
              <w:rFonts w:asciiTheme="minorEastAsia" w:hAnsiTheme="minorEastAsia" w:eastAsiaTheme="minorEastAsia"/>
              <w:bCs/>
              <w:szCs w:val="21"/>
              <w:lang w:val="zh-CN"/>
            </w:rPr>
            <w:t>178</w:t>
          </w:r>
          <w:r>
            <w:rPr>
              <w:rFonts w:asciiTheme="minorEastAsia" w:hAnsiTheme="minorEastAsia" w:eastAsiaTheme="minorEastAsia"/>
              <w:bCs/>
              <w:szCs w:val="21"/>
              <w:lang w:val="zh-CN"/>
            </w:rPr>
            <w:fldChar w:fldCharType="end"/>
          </w:r>
          <w:r>
            <w:rPr>
              <w:rFonts w:asciiTheme="minorEastAsia" w:hAnsiTheme="minorEastAsia" w:eastAsiaTheme="minorEastAsia"/>
              <w:bCs/>
              <w:i w:val="0"/>
              <w:iCs w:val="0"/>
              <w:szCs w:val="21"/>
              <w:lang w:val="zh-CN"/>
            </w:rPr>
            <w:fldChar w:fldCharType="end"/>
          </w:r>
        </w:p>
        <w:p>
          <w:pPr>
            <w:pStyle w:val="33"/>
            <w:tabs>
              <w:tab w:val="right" w:leader="dot" w:pos="9638"/>
            </w:tabs>
            <w:rPr>
              <w:rFonts w:asciiTheme="minorEastAsia" w:hAnsiTheme="minorEastAsia" w:eastAsiaTheme="minorEastAsia"/>
              <w:bCs/>
              <w:szCs w:val="21"/>
              <w:lang w:val="zh-CN"/>
            </w:rPr>
          </w:pPr>
          <w:r>
            <w:rPr>
              <w:rFonts w:asciiTheme="minorEastAsia" w:hAnsiTheme="minorEastAsia" w:eastAsiaTheme="minorEastAsia"/>
              <w:bCs/>
              <w:i w:val="0"/>
              <w:iCs w:val="0"/>
              <w:szCs w:val="21"/>
              <w:lang w:val="zh-CN"/>
            </w:rPr>
            <w:fldChar w:fldCharType="begin"/>
          </w:r>
          <w:r>
            <w:rPr>
              <w:rFonts w:asciiTheme="minorEastAsia" w:hAnsiTheme="minorEastAsia" w:eastAsiaTheme="minorEastAsia"/>
              <w:bCs/>
              <w:i w:val="0"/>
              <w:iCs w:val="0"/>
              <w:szCs w:val="21"/>
              <w:lang w:val="zh-CN"/>
            </w:rPr>
            <w:instrText xml:space="preserve"> HYPERLINK \l _Toc24329 </w:instrText>
          </w:r>
          <w:r>
            <w:rPr>
              <w:rFonts w:asciiTheme="minorEastAsia" w:hAnsiTheme="minorEastAsia" w:eastAsiaTheme="minorEastAsia"/>
              <w:bCs/>
              <w:i w:val="0"/>
              <w:iCs w:val="0"/>
              <w:szCs w:val="21"/>
              <w:lang w:val="zh-CN"/>
            </w:rPr>
            <w:fldChar w:fldCharType="separate"/>
          </w:r>
          <w:r>
            <w:rPr>
              <w:rFonts w:hint="default" w:cs="Times New Roman" w:asciiTheme="minorEastAsia" w:hAnsiTheme="minorEastAsia" w:eastAsiaTheme="minorEastAsia"/>
              <w:bCs/>
              <w:szCs w:val="21"/>
              <w:lang w:val="zh-CN" w:eastAsia="zh-CN"/>
            </w:rPr>
            <w:t>（三）</w:t>
          </w:r>
          <w:r>
            <w:rPr>
              <w:rFonts w:hint="default" w:cs="Times New Roman" w:asciiTheme="minorEastAsia" w:hAnsiTheme="minorEastAsia" w:eastAsiaTheme="minorEastAsia"/>
              <w:bCs/>
              <w:szCs w:val="21"/>
              <w:lang w:val="zh-CN"/>
            </w:rPr>
            <w:t>资质证书</w:t>
          </w:r>
          <w:r>
            <w:rPr>
              <w:rFonts w:asciiTheme="minorEastAsia" w:hAnsiTheme="minorEastAsia" w:eastAsiaTheme="minorEastAsia"/>
              <w:bCs/>
              <w:szCs w:val="21"/>
              <w:lang w:val="zh-CN"/>
            </w:rPr>
            <w:tab/>
          </w:r>
          <w:r>
            <w:rPr>
              <w:rFonts w:asciiTheme="minorEastAsia" w:hAnsiTheme="minorEastAsia" w:eastAsiaTheme="minorEastAsia"/>
              <w:bCs/>
              <w:szCs w:val="21"/>
              <w:lang w:val="zh-CN"/>
            </w:rPr>
            <w:fldChar w:fldCharType="begin"/>
          </w:r>
          <w:r>
            <w:rPr>
              <w:rFonts w:asciiTheme="minorEastAsia" w:hAnsiTheme="minorEastAsia" w:eastAsiaTheme="minorEastAsia"/>
              <w:bCs/>
              <w:szCs w:val="21"/>
              <w:lang w:val="zh-CN"/>
            </w:rPr>
            <w:instrText xml:space="preserve"> PAGEREF _Toc24329 \h </w:instrText>
          </w:r>
          <w:r>
            <w:rPr>
              <w:rFonts w:asciiTheme="minorEastAsia" w:hAnsiTheme="minorEastAsia" w:eastAsiaTheme="minorEastAsia"/>
              <w:bCs/>
              <w:szCs w:val="21"/>
              <w:lang w:val="zh-CN"/>
            </w:rPr>
            <w:fldChar w:fldCharType="separate"/>
          </w:r>
          <w:r>
            <w:rPr>
              <w:rFonts w:asciiTheme="minorEastAsia" w:hAnsiTheme="minorEastAsia" w:eastAsiaTheme="minorEastAsia"/>
              <w:bCs/>
              <w:szCs w:val="21"/>
              <w:lang w:val="zh-CN"/>
            </w:rPr>
            <w:t>179</w:t>
          </w:r>
          <w:r>
            <w:rPr>
              <w:rFonts w:asciiTheme="minorEastAsia" w:hAnsiTheme="minorEastAsia" w:eastAsiaTheme="minorEastAsia"/>
              <w:bCs/>
              <w:szCs w:val="21"/>
              <w:lang w:val="zh-CN"/>
            </w:rPr>
            <w:fldChar w:fldCharType="end"/>
          </w:r>
          <w:r>
            <w:rPr>
              <w:rFonts w:asciiTheme="minorEastAsia" w:hAnsiTheme="minorEastAsia" w:eastAsiaTheme="minorEastAsia"/>
              <w:bCs/>
              <w:i w:val="0"/>
              <w:iCs w:val="0"/>
              <w:szCs w:val="21"/>
              <w:lang w:val="zh-CN"/>
            </w:rPr>
            <w:fldChar w:fldCharType="end"/>
          </w:r>
        </w:p>
        <w:p>
          <w:pPr>
            <w:pStyle w:val="33"/>
            <w:tabs>
              <w:tab w:val="right" w:leader="dot" w:pos="9638"/>
            </w:tabs>
            <w:rPr>
              <w:rFonts w:asciiTheme="minorEastAsia" w:hAnsiTheme="minorEastAsia" w:eastAsiaTheme="minorEastAsia"/>
              <w:bCs/>
              <w:szCs w:val="21"/>
              <w:lang w:val="zh-CN"/>
            </w:rPr>
          </w:pPr>
          <w:r>
            <w:rPr>
              <w:rFonts w:asciiTheme="minorEastAsia" w:hAnsiTheme="minorEastAsia" w:eastAsiaTheme="minorEastAsia"/>
              <w:bCs/>
              <w:i w:val="0"/>
              <w:iCs w:val="0"/>
              <w:szCs w:val="21"/>
              <w:lang w:val="zh-CN"/>
            </w:rPr>
            <w:fldChar w:fldCharType="begin"/>
          </w:r>
          <w:r>
            <w:rPr>
              <w:rFonts w:asciiTheme="minorEastAsia" w:hAnsiTheme="minorEastAsia" w:eastAsiaTheme="minorEastAsia"/>
              <w:bCs/>
              <w:i w:val="0"/>
              <w:iCs w:val="0"/>
              <w:szCs w:val="21"/>
              <w:lang w:val="zh-CN"/>
            </w:rPr>
            <w:instrText xml:space="preserve"> HYPERLINK \l _Toc28048 </w:instrText>
          </w:r>
          <w:r>
            <w:rPr>
              <w:rFonts w:asciiTheme="minorEastAsia" w:hAnsiTheme="minorEastAsia" w:eastAsiaTheme="minorEastAsia"/>
              <w:bCs/>
              <w:i w:val="0"/>
              <w:iCs w:val="0"/>
              <w:szCs w:val="21"/>
              <w:lang w:val="zh-CN"/>
            </w:rPr>
            <w:fldChar w:fldCharType="separate"/>
          </w:r>
          <w:r>
            <w:rPr>
              <w:rFonts w:hint="default" w:cs="Times New Roman" w:asciiTheme="minorEastAsia" w:hAnsiTheme="minorEastAsia" w:eastAsiaTheme="minorEastAsia"/>
              <w:bCs/>
              <w:szCs w:val="21"/>
              <w:lang w:val="zh-CN" w:eastAsia="zh-CN"/>
            </w:rPr>
            <w:t>（四）投标</w:t>
          </w:r>
          <w:r>
            <w:rPr>
              <w:rFonts w:hint="default" w:cs="Times New Roman" w:asciiTheme="minorEastAsia" w:hAnsiTheme="minorEastAsia" w:eastAsiaTheme="minorEastAsia"/>
              <w:bCs/>
              <w:szCs w:val="21"/>
              <w:lang w:val="zh-CN"/>
            </w:rPr>
            <w:t>人类似项目</w:t>
          </w:r>
          <w:r>
            <w:rPr>
              <w:rFonts w:hint="default" w:asciiTheme="minorEastAsia" w:hAnsiTheme="minorEastAsia" w:eastAsiaTheme="minorEastAsia"/>
              <w:bCs/>
              <w:szCs w:val="21"/>
              <w:lang w:val="zh-CN"/>
            </w:rPr>
            <w:t>实施情况一览表</w:t>
          </w:r>
          <w:r>
            <w:rPr>
              <w:rFonts w:asciiTheme="minorEastAsia" w:hAnsiTheme="minorEastAsia" w:eastAsiaTheme="minorEastAsia"/>
              <w:bCs/>
              <w:szCs w:val="21"/>
              <w:lang w:val="zh-CN"/>
            </w:rPr>
            <w:tab/>
          </w:r>
          <w:r>
            <w:rPr>
              <w:rFonts w:asciiTheme="minorEastAsia" w:hAnsiTheme="minorEastAsia" w:eastAsiaTheme="minorEastAsia"/>
              <w:bCs/>
              <w:szCs w:val="21"/>
              <w:lang w:val="zh-CN"/>
            </w:rPr>
            <w:fldChar w:fldCharType="begin"/>
          </w:r>
          <w:r>
            <w:rPr>
              <w:rFonts w:asciiTheme="minorEastAsia" w:hAnsiTheme="minorEastAsia" w:eastAsiaTheme="minorEastAsia"/>
              <w:bCs/>
              <w:szCs w:val="21"/>
              <w:lang w:val="zh-CN"/>
            </w:rPr>
            <w:instrText xml:space="preserve"> PAGEREF _Toc28048 \h </w:instrText>
          </w:r>
          <w:r>
            <w:rPr>
              <w:rFonts w:asciiTheme="minorEastAsia" w:hAnsiTheme="minorEastAsia" w:eastAsiaTheme="minorEastAsia"/>
              <w:bCs/>
              <w:szCs w:val="21"/>
              <w:lang w:val="zh-CN"/>
            </w:rPr>
            <w:fldChar w:fldCharType="separate"/>
          </w:r>
          <w:r>
            <w:rPr>
              <w:rFonts w:asciiTheme="minorEastAsia" w:hAnsiTheme="minorEastAsia" w:eastAsiaTheme="minorEastAsia"/>
              <w:bCs/>
              <w:szCs w:val="21"/>
              <w:lang w:val="zh-CN"/>
            </w:rPr>
            <w:t>180</w:t>
          </w:r>
          <w:r>
            <w:rPr>
              <w:rFonts w:asciiTheme="minorEastAsia" w:hAnsiTheme="minorEastAsia" w:eastAsiaTheme="minorEastAsia"/>
              <w:bCs/>
              <w:szCs w:val="21"/>
              <w:lang w:val="zh-CN"/>
            </w:rPr>
            <w:fldChar w:fldCharType="end"/>
          </w:r>
          <w:r>
            <w:rPr>
              <w:rFonts w:asciiTheme="minorEastAsia" w:hAnsiTheme="minorEastAsia" w:eastAsiaTheme="minorEastAsia"/>
              <w:bCs/>
              <w:i w:val="0"/>
              <w:iCs w:val="0"/>
              <w:szCs w:val="21"/>
              <w:lang w:val="zh-CN"/>
            </w:rPr>
            <w:fldChar w:fldCharType="end"/>
          </w:r>
        </w:p>
        <w:p>
          <w:pPr>
            <w:pStyle w:val="33"/>
            <w:tabs>
              <w:tab w:val="right" w:leader="dot" w:pos="9638"/>
            </w:tabs>
            <w:rPr>
              <w:rFonts w:asciiTheme="minorEastAsia" w:hAnsiTheme="minorEastAsia" w:eastAsiaTheme="minorEastAsia"/>
              <w:bCs/>
              <w:szCs w:val="21"/>
              <w:lang w:val="zh-CN"/>
            </w:rPr>
          </w:pPr>
          <w:r>
            <w:rPr>
              <w:rFonts w:asciiTheme="minorEastAsia" w:hAnsiTheme="minorEastAsia" w:eastAsiaTheme="minorEastAsia"/>
              <w:bCs/>
              <w:i w:val="0"/>
              <w:iCs w:val="0"/>
              <w:szCs w:val="21"/>
              <w:lang w:val="zh-CN"/>
            </w:rPr>
            <w:fldChar w:fldCharType="begin"/>
          </w:r>
          <w:r>
            <w:rPr>
              <w:rFonts w:asciiTheme="minorEastAsia" w:hAnsiTheme="minorEastAsia" w:eastAsiaTheme="minorEastAsia"/>
              <w:bCs/>
              <w:i w:val="0"/>
              <w:iCs w:val="0"/>
              <w:szCs w:val="21"/>
              <w:lang w:val="zh-CN"/>
            </w:rPr>
            <w:instrText xml:space="preserve"> HYPERLINK \l _Toc12711 </w:instrText>
          </w:r>
          <w:r>
            <w:rPr>
              <w:rFonts w:asciiTheme="minorEastAsia" w:hAnsiTheme="minorEastAsia" w:eastAsiaTheme="minorEastAsia"/>
              <w:bCs/>
              <w:i w:val="0"/>
              <w:iCs w:val="0"/>
              <w:szCs w:val="21"/>
              <w:lang w:val="zh-CN"/>
            </w:rPr>
            <w:fldChar w:fldCharType="separate"/>
          </w:r>
          <w:r>
            <w:rPr>
              <w:rFonts w:hint="default" w:cs="Times New Roman" w:asciiTheme="minorEastAsia" w:hAnsiTheme="minorEastAsia" w:eastAsiaTheme="minorEastAsia"/>
              <w:bCs/>
              <w:szCs w:val="21"/>
              <w:lang w:val="zh-CN" w:eastAsia="zh-CN"/>
            </w:rPr>
            <w:t>（五）资格审查资料</w:t>
          </w:r>
          <w:r>
            <w:rPr>
              <w:rFonts w:asciiTheme="minorEastAsia" w:hAnsiTheme="minorEastAsia" w:eastAsiaTheme="minorEastAsia"/>
              <w:bCs/>
              <w:szCs w:val="21"/>
              <w:lang w:val="zh-CN"/>
            </w:rPr>
            <w:tab/>
          </w:r>
          <w:r>
            <w:rPr>
              <w:rFonts w:asciiTheme="minorEastAsia" w:hAnsiTheme="minorEastAsia" w:eastAsiaTheme="minorEastAsia"/>
              <w:bCs/>
              <w:szCs w:val="21"/>
              <w:lang w:val="zh-CN"/>
            </w:rPr>
            <w:fldChar w:fldCharType="begin"/>
          </w:r>
          <w:r>
            <w:rPr>
              <w:rFonts w:asciiTheme="minorEastAsia" w:hAnsiTheme="minorEastAsia" w:eastAsiaTheme="minorEastAsia"/>
              <w:bCs/>
              <w:szCs w:val="21"/>
              <w:lang w:val="zh-CN"/>
            </w:rPr>
            <w:instrText xml:space="preserve"> PAGEREF _Toc12711 \h </w:instrText>
          </w:r>
          <w:r>
            <w:rPr>
              <w:rFonts w:asciiTheme="minorEastAsia" w:hAnsiTheme="minorEastAsia" w:eastAsiaTheme="minorEastAsia"/>
              <w:bCs/>
              <w:szCs w:val="21"/>
              <w:lang w:val="zh-CN"/>
            </w:rPr>
            <w:fldChar w:fldCharType="separate"/>
          </w:r>
          <w:r>
            <w:rPr>
              <w:rFonts w:asciiTheme="minorEastAsia" w:hAnsiTheme="minorEastAsia" w:eastAsiaTheme="minorEastAsia"/>
              <w:bCs/>
              <w:szCs w:val="21"/>
              <w:lang w:val="zh-CN"/>
            </w:rPr>
            <w:t>181</w:t>
          </w:r>
          <w:r>
            <w:rPr>
              <w:rFonts w:asciiTheme="minorEastAsia" w:hAnsiTheme="minorEastAsia" w:eastAsiaTheme="minorEastAsia"/>
              <w:bCs/>
              <w:szCs w:val="21"/>
              <w:lang w:val="zh-CN"/>
            </w:rPr>
            <w:fldChar w:fldCharType="end"/>
          </w:r>
          <w:r>
            <w:rPr>
              <w:rFonts w:asciiTheme="minorEastAsia" w:hAnsiTheme="minorEastAsia" w:eastAsiaTheme="minorEastAsia"/>
              <w:bCs/>
              <w:i w:val="0"/>
              <w:iCs w:val="0"/>
              <w:szCs w:val="21"/>
              <w:lang w:val="zh-CN"/>
            </w:rPr>
            <w:fldChar w:fldCharType="end"/>
          </w:r>
        </w:p>
        <w:p>
          <w:pPr>
            <w:pStyle w:val="33"/>
            <w:tabs>
              <w:tab w:val="right" w:leader="dot" w:pos="9638"/>
            </w:tabs>
            <w:rPr>
              <w:rFonts w:asciiTheme="minorEastAsia" w:hAnsiTheme="minorEastAsia" w:eastAsiaTheme="minorEastAsia"/>
              <w:bCs/>
              <w:szCs w:val="21"/>
              <w:lang w:val="zh-CN"/>
            </w:rPr>
          </w:pPr>
          <w:r>
            <w:rPr>
              <w:rFonts w:asciiTheme="minorEastAsia" w:hAnsiTheme="minorEastAsia" w:eastAsiaTheme="minorEastAsia"/>
              <w:bCs/>
              <w:i w:val="0"/>
              <w:iCs w:val="0"/>
              <w:szCs w:val="21"/>
              <w:lang w:val="zh-CN"/>
            </w:rPr>
            <w:fldChar w:fldCharType="begin"/>
          </w:r>
          <w:r>
            <w:rPr>
              <w:rFonts w:asciiTheme="minorEastAsia" w:hAnsiTheme="minorEastAsia" w:eastAsiaTheme="minorEastAsia"/>
              <w:bCs/>
              <w:i w:val="0"/>
              <w:iCs w:val="0"/>
              <w:szCs w:val="21"/>
              <w:lang w:val="zh-CN"/>
            </w:rPr>
            <w:instrText xml:space="preserve"> HYPERLINK \l _Toc21331 </w:instrText>
          </w:r>
          <w:r>
            <w:rPr>
              <w:rFonts w:asciiTheme="minorEastAsia" w:hAnsiTheme="minorEastAsia" w:eastAsiaTheme="minorEastAsia"/>
              <w:bCs/>
              <w:i w:val="0"/>
              <w:iCs w:val="0"/>
              <w:szCs w:val="21"/>
              <w:lang w:val="zh-CN"/>
            </w:rPr>
            <w:fldChar w:fldCharType="separate"/>
          </w:r>
          <w:r>
            <w:rPr>
              <w:rFonts w:hint="default" w:cs="Times New Roman" w:asciiTheme="minorEastAsia" w:hAnsiTheme="minorEastAsia" w:eastAsiaTheme="minorEastAsia"/>
              <w:bCs/>
              <w:szCs w:val="21"/>
              <w:lang w:val="zh-CN" w:eastAsia="zh-CN"/>
            </w:rPr>
            <w:t>（六）合同主要条款</w:t>
          </w:r>
          <w:r>
            <w:rPr>
              <w:rFonts w:asciiTheme="minorEastAsia" w:hAnsiTheme="minorEastAsia" w:eastAsiaTheme="minorEastAsia"/>
              <w:bCs/>
              <w:szCs w:val="21"/>
              <w:lang w:val="zh-CN"/>
            </w:rPr>
            <w:tab/>
          </w:r>
          <w:r>
            <w:rPr>
              <w:rFonts w:asciiTheme="minorEastAsia" w:hAnsiTheme="minorEastAsia" w:eastAsiaTheme="minorEastAsia"/>
              <w:bCs/>
              <w:szCs w:val="21"/>
              <w:lang w:val="zh-CN"/>
            </w:rPr>
            <w:fldChar w:fldCharType="begin"/>
          </w:r>
          <w:r>
            <w:rPr>
              <w:rFonts w:asciiTheme="minorEastAsia" w:hAnsiTheme="minorEastAsia" w:eastAsiaTheme="minorEastAsia"/>
              <w:bCs/>
              <w:szCs w:val="21"/>
              <w:lang w:val="zh-CN"/>
            </w:rPr>
            <w:instrText xml:space="preserve"> PAGEREF _Toc21331 \h </w:instrText>
          </w:r>
          <w:r>
            <w:rPr>
              <w:rFonts w:asciiTheme="minorEastAsia" w:hAnsiTheme="minorEastAsia" w:eastAsiaTheme="minorEastAsia"/>
              <w:bCs/>
              <w:szCs w:val="21"/>
              <w:lang w:val="zh-CN"/>
            </w:rPr>
            <w:fldChar w:fldCharType="separate"/>
          </w:r>
          <w:r>
            <w:rPr>
              <w:rFonts w:asciiTheme="minorEastAsia" w:hAnsiTheme="minorEastAsia" w:eastAsiaTheme="minorEastAsia"/>
              <w:bCs/>
              <w:szCs w:val="21"/>
              <w:lang w:val="zh-CN"/>
            </w:rPr>
            <w:t>182</w:t>
          </w:r>
          <w:r>
            <w:rPr>
              <w:rFonts w:asciiTheme="minorEastAsia" w:hAnsiTheme="minorEastAsia" w:eastAsiaTheme="minorEastAsia"/>
              <w:bCs/>
              <w:szCs w:val="21"/>
              <w:lang w:val="zh-CN"/>
            </w:rPr>
            <w:fldChar w:fldCharType="end"/>
          </w:r>
          <w:r>
            <w:rPr>
              <w:rFonts w:asciiTheme="minorEastAsia" w:hAnsiTheme="minorEastAsia" w:eastAsiaTheme="minorEastAsia"/>
              <w:bCs/>
              <w:i w:val="0"/>
              <w:iCs w:val="0"/>
              <w:szCs w:val="21"/>
              <w:lang w:val="zh-CN"/>
            </w:rPr>
            <w:fldChar w:fldCharType="end"/>
          </w:r>
        </w:p>
        <w:p>
          <w:pPr>
            <w:pStyle w:val="33"/>
            <w:tabs>
              <w:tab w:val="right" w:leader="dot" w:pos="9638"/>
            </w:tabs>
            <w:rPr>
              <w:rFonts w:asciiTheme="minorEastAsia" w:hAnsiTheme="minorEastAsia" w:eastAsiaTheme="minorEastAsia"/>
              <w:bCs/>
              <w:szCs w:val="21"/>
              <w:lang w:val="zh-CN"/>
            </w:rPr>
          </w:pPr>
        </w:p>
        <w:p>
          <w:pPr>
            <w:spacing w:line="276" w:lineRule="auto"/>
          </w:pPr>
          <w:r>
            <w:rPr>
              <w:rFonts w:asciiTheme="minorEastAsia" w:hAnsiTheme="minorEastAsia" w:eastAsiaTheme="minorEastAsia"/>
              <w:bCs/>
              <w:i w:val="0"/>
              <w:iCs w:val="0"/>
              <w:szCs w:val="21"/>
              <w:lang w:val="zh-CN"/>
            </w:rPr>
            <w:fldChar w:fldCharType="end"/>
          </w:r>
        </w:p>
      </w:sdtContent>
    </w:sdt>
    <w:p/>
    <w:p>
      <w:pPr>
        <w:pStyle w:val="2"/>
      </w:pPr>
    </w:p>
    <w:p>
      <w:pPr>
        <w:pStyle w:val="2"/>
        <w:sectPr>
          <w:footerReference r:id="rId6" w:type="first"/>
          <w:headerReference r:id="rId3" w:type="default"/>
          <w:footerReference r:id="rId4" w:type="default"/>
          <w:footerReference r:id="rId5" w:type="even"/>
          <w:pgSz w:w="11906" w:h="16838"/>
          <w:pgMar w:top="1418" w:right="1134" w:bottom="1418" w:left="1134" w:header="851" w:footer="992" w:gutter="0"/>
          <w:cols w:space="720" w:num="1"/>
          <w:docGrid w:type="lines" w:linePitch="312" w:charSpace="0"/>
        </w:sectPr>
      </w:pPr>
    </w:p>
    <w:p>
      <w:pPr>
        <w:pStyle w:val="3"/>
        <w:spacing w:line="360" w:lineRule="auto"/>
      </w:pPr>
      <w:bookmarkStart w:id="24" w:name="_Toc28519"/>
      <w:bookmarkStart w:id="25" w:name="_Toc28418"/>
      <w:bookmarkStart w:id="26" w:name="_Toc11961"/>
      <w:bookmarkStart w:id="27" w:name="_Toc19121"/>
      <w:bookmarkStart w:id="28" w:name="_Toc28298"/>
      <w:bookmarkStart w:id="29" w:name="_Toc7540"/>
      <w:bookmarkStart w:id="30" w:name="_Toc12316"/>
      <w:bookmarkStart w:id="31" w:name="_Toc11"/>
      <w:bookmarkStart w:id="32" w:name="_Toc31703"/>
      <w:bookmarkStart w:id="33" w:name="_Toc25352"/>
      <w:r>
        <w:rPr>
          <w:rFonts w:hint="eastAsia"/>
        </w:rPr>
        <w:t xml:space="preserve">第一章 </w:t>
      </w:r>
      <w:bookmarkEnd w:id="13"/>
      <w:bookmarkEnd w:id="14"/>
      <w:bookmarkEnd w:id="15"/>
      <w:bookmarkEnd w:id="16"/>
      <w:bookmarkEnd w:id="17"/>
      <w:bookmarkEnd w:id="18"/>
      <w:bookmarkEnd w:id="19"/>
      <w:bookmarkEnd w:id="20"/>
      <w:bookmarkEnd w:id="21"/>
      <w:bookmarkEnd w:id="22"/>
      <w:r>
        <w:rPr>
          <w:rFonts w:hint="eastAsia"/>
        </w:rPr>
        <w:t>比选公告</w:t>
      </w:r>
      <w:bookmarkEnd w:id="23"/>
      <w:bookmarkEnd w:id="24"/>
      <w:bookmarkEnd w:id="25"/>
      <w:bookmarkEnd w:id="26"/>
      <w:bookmarkEnd w:id="27"/>
      <w:bookmarkEnd w:id="28"/>
      <w:bookmarkEnd w:id="29"/>
      <w:bookmarkEnd w:id="30"/>
      <w:bookmarkEnd w:id="31"/>
      <w:bookmarkEnd w:id="32"/>
      <w:bookmarkEnd w:id="33"/>
    </w:p>
    <w:p>
      <w:pPr>
        <w:pStyle w:val="4"/>
        <w:numPr>
          <w:ilvl w:val="0"/>
          <w:numId w:val="2"/>
        </w:numPr>
        <w:spacing w:before="0" w:after="0" w:line="360" w:lineRule="auto"/>
        <w:rPr>
          <w:rFonts w:ascii="宋体" w:hAnsi="宋体" w:eastAsia="宋体" w:cs="宋体"/>
        </w:rPr>
      </w:pPr>
      <w:bookmarkStart w:id="34" w:name="_Toc246996901"/>
      <w:bookmarkStart w:id="35" w:name="_Toc144974480"/>
      <w:bookmarkStart w:id="36" w:name="_Toc10076"/>
      <w:bookmarkStart w:id="37" w:name="_Toc179632528"/>
      <w:bookmarkStart w:id="38" w:name="_Toc152045512"/>
      <w:bookmarkStart w:id="39" w:name="_Toc247085672"/>
      <w:bookmarkStart w:id="40" w:name="_Toc246996158"/>
      <w:bookmarkStart w:id="41" w:name="_Toc152042288"/>
      <w:bookmarkStart w:id="42" w:name="_Toc11329213"/>
      <w:bookmarkStart w:id="43" w:name="_Toc507319891"/>
      <w:bookmarkStart w:id="44" w:name="_Toc2824"/>
      <w:bookmarkStart w:id="45" w:name="_Toc16367"/>
      <w:bookmarkStart w:id="46" w:name="_Toc12455"/>
      <w:bookmarkStart w:id="47" w:name="_Toc16272"/>
      <w:bookmarkStart w:id="48" w:name="_Toc8261"/>
      <w:bookmarkStart w:id="49" w:name="_Toc14717"/>
      <w:bookmarkStart w:id="50" w:name="_Toc9116"/>
      <w:bookmarkStart w:id="51" w:name="_Toc4411"/>
      <w:bookmarkStart w:id="52" w:name="_Toc3202"/>
      <w:bookmarkStart w:id="53" w:name="_Toc4107"/>
      <w:bookmarkStart w:id="54" w:name="OLE_LINK2"/>
      <w:bookmarkStart w:id="55" w:name="OLE_LINK3"/>
      <w:r>
        <w:rPr>
          <w:rFonts w:hint="eastAsia" w:ascii="宋体" w:hAnsi="宋体" w:eastAsia="宋体" w:cs="宋体"/>
        </w:rPr>
        <w:t>比选</w:t>
      </w:r>
      <w:bookmarkEnd w:id="34"/>
      <w:bookmarkEnd w:id="35"/>
      <w:bookmarkEnd w:id="36"/>
      <w:bookmarkEnd w:id="37"/>
      <w:bookmarkEnd w:id="38"/>
      <w:bookmarkEnd w:id="39"/>
      <w:bookmarkEnd w:id="40"/>
      <w:bookmarkEnd w:id="41"/>
      <w:bookmarkEnd w:id="42"/>
      <w:bookmarkEnd w:id="43"/>
      <w:r>
        <w:rPr>
          <w:rFonts w:hint="eastAsia" w:ascii="宋体" w:hAnsi="宋体" w:eastAsia="宋体" w:cs="宋体"/>
        </w:rPr>
        <w:t>概况</w:t>
      </w:r>
      <w:bookmarkEnd w:id="44"/>
      <w:bookmarkEnd w:id="45"/>
      <w:bookmarkEnd w:id="46"/>
      <w:bookmarkEnd w:id="47"/>
      <w:bookmarkEnd w:id="48"/>
      <w:bookmarkEnd w:id="49"/>
      <w:bookmarkEnd w:id="50"/>
      <w:bookmarkEnd w:id="51"/>
      <w:bookmarkEnd w:id="52"/>
      <w:bookmarkEnd w:id="53"/>
    </w:p>
    <w:p>
      <w:pPr>
        <w:spacing w:line="360" w:lineRule="auto"/>
        <w:rPr>
          <w:rFonts w:ascii="宋体" w:hAnsi="宋体" w:cs="宋体"/>
          <w:szCs w:val="21"/>
        </w:rPr>
      </w:pPr>
      <w:r>
        <w:rPr>
          <w:rFonts w:hint="eastAsia" w:ascii="宋体" w:hAnsi="宋体" w:cs="宋体"/>
          <w:szCs w:val="21"/>
        </w:rPr>
        <w:t>　　本竞争性比选项目</w:t>
      </w:r>
      <w:r>
        <w:rPr>
          <w:rFonts w:hint="eastAsia" w:ascii="宋体" w:hAnsi="宋体" w:cs="宋体"/>
          <w:szCs w:val="21"/>
          <w:lang w:val="en-US" w:eastAsia="zh-CN"/>
        </w:rPr>
        <w:t>为</w:t>
      </w:r>
      <w:r>
        <w:rPr>
          <w:rFonts w:hint="eastAsia" w:ascii="宋体" w:hAnsi="宋体" w:cs="宋体"/>
          <w:szCs w:val="21"/>
          <w:u w:val="single"/>
        </w:rPr>
        <w:t>重庆成渝垫丰武</w:t>
      </w:r>
      <w:r>
        <w:rPr>
          <w:rFonts w:hint="eastAsia" w:ascii="宋体" w:hAnsi="宋体" w:cs="宋体"/>
          <w:szCs w:val="21"/>
          <w:u w:val="single"/>
          <w:lang w:val="en-US" w:eastAsia="zh-CN"/>
        </w:rPr>
        <w:t>高速公路有限</w:t>
      </w:r>
      <w:r>
        <w:rPr>
          <w:rFonts w:hint="eastAsia" w:ascii="宋体" w:hAnsi="宋体" w:cs="宋体"/>
          <w:szCs w:val="21"/>
          <w:u w:val="single"/>
        </w:rPr>
        <w:t>公司</w:t>
      </w:r>
      <w:r>
        <w:rPr>
          <w:rFonts w:hint="eastAsia" w:ascii="宋体" w:hAnsi="宋体" w:cs="宋体"/>
          <w:szCs w:val="21"/>
          <w:u w:val="single"/>
          <w:lang w:eastAsia="zh-CN"/>
        </w:rPr>
        <w:t>白市驿、垫江、丰都、武隆驻点</w:t>
      </w:r>
      <w:r>
        <w:rPr>
          <w:rFonts w:hint="eastAsia" w:ascii="宋体" w:hAnsi="宋体" w:cs="宋体"/>
          <w:szCs w:val="21"/>
          <w:u w:val="single"/>
        </w:rPr>
        <w:t>办公家具采购</w:t>
      </w:r>
      <w:r>
        <w:rPr>
          <w:rFonts w:hint="eastAsia" w:ascii="宋体" w:hAnsi="宋体" w:cs="宋体"/>
          <w:szCs w:val="21"/>
        </w:rPr>
        <w:t>，采购人为</w:t>
      </w:r>
      <w:r>
        <w:rPr>
          <w:rFonts w:hint="eastAsia" w:ascii="宋体" w:hAnsi="宋体" w:cs="宋体"/>
          <w:szCs w:val="21"/>
          <w:u w:val="single"/>
        </w:rPr>
        <w:t xml:space="preserve"> 重庆成渝垫丰武高速公路有限公司 </w:t>
      </w:r>
      <w:r>
        <w:rPr>
          <w:rFonts w:hint="eastAsia" w:ascii="宋体" w:hAnsi="宋体" w:cs="宋体"/>
          <w:szCs w:val="21"/>
        </w:rPr>
        <w:t>，项目</w:t>
      </w:r>
      <w:r>
        <w:rPr>
          <w:rFonts w:hint="eastAsia" w:ascii="宋体" w:hAnsi="宋体" w:eastAsia="宋体" w:cs="宋体"/>
          <w:sz w:val="21"/>
          <w:szCs w:val="21"/>
          <w:lang w:val="en-US" w:eastAsia="zh-CN"/>
        </w:rPr>
        <w:t>由重庆成渝改扩建工程建设管理有限公司、重庆垫丰高速工程建设管理有限公司及重庆丰武高速工程建设管理有限公司</w:t>
      </w:r>
      <w:r>
        <w:rPr>
          <w:rFonts w:hint="eastAsia" w:ascii="宋体" w:hAnsi="宋体" w:eastAsia="宋体" w:cs="宋体"/>
          <w:sz w:val="21"/>
          <w:szCs w:val="21"/>
        </w:rPr>
        <w:t>出资</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按照资金来源：</w:t>
      </w:r>
      <w:r>
        <w:rPr>
          <w:rFonts w:hint="eastAsia" w:ascii="宋体" w:hAnsi="宋体" w:eastAsia="宋体" w:cs="宋体"/>
          <w:kern w:val="2"/>
          <w:sz w:val="21"/>
          <w:szCs w:val="21"/>
          <w:lang w:val="en-US" w:eastAsia="zh-CN" w:bidi="ar-SA"/>
        </w:rPr>
        <w:t>垫江驻点办公家具重庆垫丰高速工程建设管理有限公司出资100%；武隆及丰都驻点办公家具由重庆丰武高速工程建设管理有限公司出资100%。白市驿驻点办公家具由</w:t>
      </w:r>
      <w:r>
        <w:rPr>
          <w:rFonts w:hint="eastAsia" w:ascii="宋体" w:hAnsi="宋体" w:eastAsia="宋体" w:cs="宋体"/>
          <w:sz w:val="21"/>
          <w:szCs w:val="21"/>
          <w:lang w:val="en-US" w:eastAsia="zh-CN"/>
        </w:rPr>
        <w:t>重庆成渝改扩建工程建设管理有限公司出资100%</w:t>
      </w:r>
      <w:r>
        <w:rPr>
          <w:rFonts w:hint="eastAsia" w:ascii="宋体" w:hAnsi="宋体" w:cs="宋体"/>
          <w:szCs w:val="21"/>
          <w:u w:val="none"/>
          <w:lang w:eastAsia="zh-CN"/>
        </w:rPr>
        <w:t>。</w:t>
      </w:r>
      <w:r>
        <w:rPr>
          <w:rFonts w:hint="eastAsia" w:ascii="宋体" w:hAnsi="宋体" w:cs="宋体"/>
          <w:szCs w:val="21"/>
        </w:rPr>
        <w:t>该项目已具备比选条件，现对该项目进行竞争性比选。</w:t>
      </w:r>
    </w:p>
    <w:p>
      <w:pPr>
        <w:pStyle w:val="4"/>
        <w:numPr>
          <w:ilvl w:val="0"/>
          <w:numId w:val="2"/>
        </w:numPr>
        <w:spacing w:before="120" w:after="0" w:line="360" w:lineRule="auto"/>
        <w:rPr>
          <w:rFonts w:ascii="宋体" w:hAnsi="宋体" w:eastAsia="宋体" w:cs="宋体"/>
        </w:rPr>
      </w:pPr>
      <w:bookmarkStart w:id="56" w:name="_Toc247085673"/>
      <w:bookmarkStart w:id="57" w:name="_Toc152045513"/>
      <w:bookmarkStart w:id="58" w:name="_Toc11329214"/>
      <w:bookmarkStart w:id="59" w:name="_Toc246996902"/>
      <w:bookmarkStart w:id="60" w:name="_Toc507319892"/>
      <w:bookmarkStart w:id="61" w:name="_Toc246996159"/>
      <w:bookmarkStart w:id="62" w:name="_Toc18109"/>
      <w:bookmarkStart w:id="63" w:name="_Toc152042289"/>
      <w:bookmarkStart w:id="64" w:name="_Toc179632529"/>
      <w:bookmarkStart w:id="65" w:name="_Toc144974481"/>
      <w:bookmarkStart w:id="66" w:name="_Toc27468"/>
      <w:bookmarkStart w:id="67" w:name="_Toc11881"/>
      <w:bookmarkStart w:id="68" w:name="_Toc19372"/>
      <w:bookmarkStart w:id="69" w:name="_Toc2604"/>
      <w:bookmarkStart w:id="70" w:name="_Toc3158"/>
      <w:bookmarkStart w:id="71" w:name="_Toc15060"/>
      <w:bookmarkStart w:id="72" w:name="_Toc5108"/>
      <w:bookmarkStart w:id="73" w:name="_Toc26119"/>
      <w:bookmarkStart w:id="74" w:name="_Toc7576"/>
      <w:bookmarkStart w:id="75" w:name="_Toc1038"/>
      <w:r>
        <w:rPr>
          <w:rFonts w:hint="eastAsia" w:ascii="宋体" w:hAnsi="宋体" w:eastAsia="宋体" w:cs="宋体"/>
        </w:rPr>
        <w:t>项目</w:t>
      </w:r>
      <w:bookmarkEnd w:id="56"/>
      <w:bookmarkEnd w:id="57"/>
      <w:bookmarkEnd w:id="58"/>
      <w:bookmarkEnd w:id="59"/>
      <w:bookmarkEnd w:id="60"/>
      <w:bookmarkEnd w:id="61"/>
      <w:bookmarkEnd w:id="62"/>
      <w:bookmarkEnd w:id="63"/>
      <w:bookmarkEnd w:id="64"/>
      <w:bookmarkEnd w:id="65"/>
      <w:r>
        <w:rPr>
          <w:rFonts w:hint="eastAsia" w:ascii="宋体" w:hAnsi="宋体" w:eastAsia="宋体" w:cs="宋体"/>
        </w:rPr>
        <w:t>内容</w:t>
      </w:r>
      <w:bookmarkEnd w:id="66"/>
      <w:bookmarkEnd w:id="67"/>
      <w:bookmarkEnd w:id="68"/>
      <w:bookmarkEnd w:id="69"/>
      <w:bookmarkEnd w:id="70"/>
      <w:bookmarkEnd w:id="71"/>
      <w:bookmarkEnd w:id="72"/>
      <w:bookmarkEnd w:id="73"/>
      <w:bookmarkEnd w:id="74"/>
      <w:bookmarkEnd w:id="75"/>
    </w:p>
    <w:p>
      <w:pPr>
        <w:spacing w:line="360" w:lineRule="auto"/>
        <w:ind w:firstLine="420" w:firstLineChars="200"/>
        <w:rPr>
          <w:rFonts w:hint="eastAsia" w:ascii="宋体" w:hAnsi="宋体" w:cs="宋体"/>
          <w:szCs w:val="21"/>
        </w:rPr>
      </w:pPr>
      <w:bookmarkStart w:id="76" w:name="_Toc446247226"/>
      <w:r>
        <w:rPr>
          <w:rFonts w:hint="eastAsia" w:ascii="宋体" w:hAnsi="宋体" w:cs="宋体"/>
          <w:szCs w:val="21"/>
          <w:lang w:eastAsia="zh-CN"/>
        </w:rPr>
        <w:t>（</w:t>
      </w:r>
      <w:r>
        <w:rPr>
          <w:rFonts w:hint="eastAsia" w:ascii="宋体" w:hAnsi="宋体" w:cs="宋体"/>
          <w:szCs w:val="21"/>
          <w:lang w:val="en-US" w:eastAsia="zh-CN"/>
        </w:rPr>
        <w:t>一</w:t>
      </w:r>
      <w:r>
        <w:rPr>
          <w:rFonts w:hint="eastAsia" w:ascii="宋体" w:hAnsi="宋体" w:cs="宋体"/>
          <w:szCs w:val="21"/>
          <w:lang w:eastAsia="zh-CN"/>
        </w:rPr>
        <w:t>）</w:t>
      </w:r>
      <w:r>
        <w:rPr>
          <w:rFonts w:hint="eastAsia" w:ascii="宋体" w:hAnsi="宋体" w:cs="宋体"/>
          <w:szCs w:val="21"/>
        </w:rPr>
        <w:t>项目地点</w:t>
      </w:r>
    </w:p>
    <w:p>
      <w:pPr>
        <w:numPr>
          <w:ilvl w:val="0"/>
          <w:numId w:val="3"/>
        </w:numPr>
        <w:spacing w:line="360" w:lineRule="auto"/>
        <w:ind w:firstLine="420" w:firstLineChars="200"/>
        <w:rPr>
          <w:rFonts w:hint="eastAsia" w:ascii="宋体" w:hAnsi="宋体" w:cs="宋体"/>
          <w:sz w:val="21"/>
          <w:szCs w:val="21"/>
          <w:lang w:val="en-US" w:eastAsia="zh-CN"/>
        </w:rPr>
      </w:pPr>
      <w:r>
        <w:rPr>
          <w:rFonts w:hint="eastAsia" w:ascii="宋体" w:hAnsi="宋体" w:eastAsia="宋体" w:cs="宋体"/>
          <w:sz w:val="21"/>
          <w:szCs w:val="21"/>
          <w:lang w:val="en-US" w:eastAsia="zh-CN"/>
        </w:rPr>
        <w:t>重庆成渝改扩建工程建设管理有限公司</w:t>
      </w:r>
      <w:r>
        <w:rPr>
          <w:rFonts w:hint="eastAsia" w:ascii="宋体" w:hAnsi="宋体" w:cs="宋体"/>
          <w:sz w:val="21"/>
          <w:szCs w:val="21"/>
          <w:lang w:val="en-US" w:eastAsia="zh-CN"/>
        </w:rPr>
        <w:t>位于白市驿太慈佳园商业楼；</w:t>
      </w:r>
    </w:p>
    <w:p>
      <w:pPr>
        <w:numPr>
          <w:ilvl w:val="0"/>
          <w:numId w:val="3"/>
        </w:numPr>
        <w:spacing w:line="360" w:lineRule="auto"/>
        <w:ind w:firstLine="420" w:firstLineChars="200"/>
        <w:rPr>
          <w:rFonts w:ascii="宋体" w:hAnsi="宋体" w:cs="宋体"/>
          <w:szCs w:val="21"/>
        </w:rPr>
      </w:pPr>
      <w:r>
        <w:rPr>
          <w:rFonts w:hint="eastAsia" w:ascii="宋体" w:hAnsi="宋体" w:eastAsia="宋体" w:cs="宋体"/>
          <w:kern w:val="2"/>
          <w:sz w:val="21"/>
          <w:szCs w:val="21"/>
          <w:lang w:val="en-US" w:eastAsia="zh-CN" w:bidi="ar-SA"/>
        </w:rPr>
        <w:t>重庆垫丰高速工程建设管理有限公司</w:t>
      </w:r>
      <w:r>
        <w:rPr>
          <w:rFonts w:hint="eastAsia" w:ascii="宋体" w:hAnsi="宋体" w:cs="宋体"/>
          <w:kern w:val="2"/>
          <w:sz w:val="21"/>
          <w:szCs w:val="21"/>
          <w:lang w:val="en-US" w:eastAsia="zh-CN" w:bidi="ar-SA"/>
        </w:rPr>
        <w:t>位于</w:t>
      </w:r>
      <w:r>
        <w:rPr>
          <w:rFonts w:hint="eastAsia" w:ascii="宋体" w:hAnsi="宋体" w:eastAsia="宋体" w:cs="宋体"/>
          <w:sz w:val="21"/>
          <w:szCs w:val="21"/>
          <w:lang w:val="en-US" w:eastAsia="zh-CN"/>
        </w:rPr>
        <w:t>垫江县财富商务大厦12楼；</w:t>
      </w:r>
    </w:p>
    <w:p>
      <w:pPr>
        <w:numPr>
          <w:ilvl w:val="0"/>
          <w:numId w:val="3"/>
        </w:numPr>
        <w:spacing w:line="360" w:lineRule="auto"/>
        <w:ind w:firstLine="420" w:firstLineChars="200"/>
        <w:rPr>
          <w:rFonts w:hint="eastAsia" w:ascii="宋体" w:hAnsi="宋体" w:cs="宋体"/>
          <w:szCs w:val="21"/>
        </w:rPr>
      </w:pPr>
      <w:r>
        <w:rPr>
          <w:rFonts w:hint="eastAsia" w:ascii="宋体" w:hAnsi="宋体" w:eastAsia="宋体" w:cs="宋体"/>
          <w:kern w:val="2"/>
          <w:sz w:val="21"/>
          <w:szCs w:val="21"/>
          <w:lang w:val="en-US" w:eastAsia="zh-CN" w:bidi="ar-SA"/>
        </w:rPr>
        <w:t>重庆丰武高速工程建设管理有限公司</w:t>
      </w:r>
      <w:r>
        <w:rPr>
          <w:rFonts w:hint="eastAsia" w:ascii="宋体" w:hAnsi="宋体" w:cs="宋体"/>
          <w:kern w:val="2"/>
          <w:sz w:val="21"/>
          <w:szCs w:val="21"/>
          <w:lang w:val="en-US" w:eastAsia="zh-CN" w:bidi="ar-SA"/>
        </w:rPr>
        <w:t>位于</w:t>
      </w:r>
      <w:r>
        <w:rPr>
          <w:rFonts w:hint="eastAsia" w:ascii="宋体" w:hAnsi="宋体" w:eastAsia="宋体" w:cs="宋体"/>
          <w:sz w:val="21"/>
          <w:szCs w:val="21"/>
          <w:lang w:val="en-US" w:eastAsia="zh-CN"/>
        </w:rPr>
        <w:t>武隆区芙蓉东路芙蓉街道芙蓉东路5号荣融大厦11楼；</w:t>
      </w:r>
    </w:p>
    <w:p>
      <w:pPr>
        <w:numPr>
          <w:ilvl w:val="0"/>
          <w:numId w:val="3"/>
        </w:numPr>
        <w:spacing w:line="360" w:lineRule="auto"/>
        <w:ind w:firstLine="420" w:firstLineChars="200"/>
        <w:rPr>
          <w:rFonts w:ascii="宋体" w:hAnsi="宋体" w:cs="宋体"/>
          <w:szCs w:val="21"/>
        </w:rPr>
      </w:pPr>
      <w:r>
        <w:rPr>
          <w:rFonts w:hint="eastAsia" w:ascii="宋体" w:hAnsi="宋体" w:eastAsia="宋体" w:cs="宋体"/>
          <w:sz w:val="21"/>
          <w:szCs w:val="21"/>
          <w:lang w:val="en-US" w:eastAsia="zh-CN"/>
        </w:rPr>
        <w:t>丰都驻点位于丰都县三合街道滨江西路38号附1号2楼。</w:t>
      </w:r>
      <w:bookmarkEnd w:id="76"/>
    </w:p>
    <w:p>
      <w:pPr>
        <w:pStyle w:val="2"/>
        <w:adjustRightInd w:val="0"/>
        <w:spacing w:line="360" w:lineRule="auto"/>
        <w:rPr>
          <w:rFonts w:ascii="宋体" w:hAnsi="宋体" w:cs="宋体"/>
          <w:color w:val="auto"/>
          <w:szCs w:val="21"/>
        </w:rPr>
      </w:pPr>
      <w:r>
        <w:rPr>
          <w:rFonts w:hint="eastAsia" w:ascii="宋体" w:hAnsi="宋体" w:cs="宋体"/>
          <w:szCs w:val="21"/>
          <w:lang w:eastAsia="zh-CN"/>
        </w:rPr>
        <w:t>（</w:t>
      </w:r>
      <w:r>
        <w:rPr>
          <w:rFonts w:hint="eastAsia" w:ascii="宋体" w:hAnsi="宋体" w:cs="宋体"/>
          <w:szCs w:val="21"/>
          <w:lang w:val="en-US" w:eastAsia="zh-CN"/>
        </w:rPr>
        <w:t>二</w:t>
      </w:r>
      <w:r>
        <w:rPr>
          <w:rFonts w:hint="eastAsia" w:ascii="宋体" w:hAnsi="宋体" w:cs="宋体"/>
          <w:szCs w:val="21"/>
          <w:lang w:eastAsia="zh-CN"/>
        </w:rPr>
        <w:t>）</w:t>
      </w:r>
      <w:r>
        <w:rPr>
          <w:rFonts w:hint="eastAsia" w:ascii="宋体" w:hAnsi="宋体" w:cs="宋体"/>
          <w:szCs w:val="21"/>
        </w:rPr>
        <w:t>项目概况：</w:t>
      </w:r>
      <w:r>
        <w:rPr>
          <w:rFonts w:hint="eastAsia" w:ascii="宋体" w:hAnsi="宋体" w:eastAsia="宋体" w:cs="宋体"/>
          <w:sz w:val="21"/>
          <w:szCs w:val="21"/>
          <w:lang w:val="en-US" w:eastAsia="zh-CN"/>
        </w:rPr>
        <w:t>重庆成渝改扩建工程建设管理有限公司、重庆垫丰高速工程建设管理有限公司及重庆丰武高速工程建设管理有限公司</w:t>
      </w:r>
      <w:r>
        <w:rPr>
          <w:rFonts w:hint="eastAsia" w:ascii="宋体" w:hAnsi="宋体" w:cs="宋体"/>
          <w:sz w:val="21"/>
          <w:szCs w:val="21"/>
          <w:lang w:val="en-US" w:eastAsia="zh-CN"/>
        </w:rPr>
        <w:t>是重庆成渝垫丰武高速公路有限公司三个全资子公司，</w:t>
      </w:r>
      <w:r>
        <w:rPr>
          <w:rFonts w:hint="eastAsia" w:ascii="宋体" w:hAnsi="宋体" w:cs="宋体"/>
          <w:szCs w:val="21"/>
          <w:lang w:val="en-US" w:eastAsia="zh-CN"/>
        </w:rPr>
        <w:t>位于白市驿、垫江、丰都、武隆的办公驻点</w:t>
      </w:r>
      <w:r>
        <w:rPr>
          <w:rFonts w:hint="eastAsia" w:ascii="宋体" w:hAnsi="宋体" w:cs="宋体"/>
          <w:szCs w:val="21"/>
        </w:rPr>
        <w:t>目前缺少办公家具，为保障日常办公需要，急需采购办公家具一批。项目业主为</w:t>
      </w:r>
      <w:r>
        <w:rPr>
          <w:rFonts w:hint="eastAsia" w:ascii="宋体" w:hAnsi="宋体" w:cs="宋体"/>
          <w:szCs w:val="21"/>
          <w:lang w:eastAsia="zh-CN"/>
        </w:rPr>
        <w:t>重庆成渝垫丰武高速公路有限公司</w:t>
      </w:r>
      <w:r>
        <w:rPr>
          <w:rFonts w:hint="eastAsia" w:ascii="宋体" w:hAnsi="宋体" w:cs="宋体"/>
          <w:szCs w:val="21"/>
        </w:rPr>
        <w:t>，本项目上限价</w:t>
      </w:r>
      <w:r>
        <w:rPr>
          <w:rFonts w:hint="eastAsia" w:ascii="宋体" w:hAnsi="宋体" w:cs="宋体"/>
          <w:color w:val="auto"/>
          <w:szCs w:val="21"/>
        </w:rPr>
        <w:t>为</w:t>
      </w:r>
      <w:r>
        <w:rPr>
          <w:rFonts w:hint="eastAsia" w:asciiTheme="majorEastAsia" w:hAnsiTheme="majorEastAsia" w:eastAsiaTheme="majorEastAsia"/>
          <w:b/>
          <w:bCs/>
          <w:color w:val="auto"/>
          <w:kern w:val="0"/>
          <w:szCs w:val="21"/>
          <w:u w:val="single"/>
          <w:lang w:val="en-US" w:eastAsia="zh-CN"/>
        </w:rPr>
        <w:t>54.9595万元人民币</w:t>
      </w:r>
      <w:r>
        <w:rPr>
          <w:rFonts w:hint="eastAsia" w:ascii="宋体" w:hAnsi="宋体" w:cs="宋体"/>
          <w:color w:val="auto"/>
          <w:szCs w:val="21"/>
        </w:rPr>
        <w:t>（</w:t>
      </w:r>
      <w:r>
        <w:rPr>
          <w:rFonts w:hint="eastAsia" w:ascii="宋体" w:hAnsi="宋体" w:cs="宋体"/>
          <w:b/>
          <w:bCs/>
          <w:color w:val="auto"/>
          <w:szCs w:val="21"/>
          <w:u w:val="single"/>
        </w:rPr>
        <w:t>单项限价</w:t>
      </w:r>
      <w:r>
        <w:rPr>
          <w:rFonts w:hint="eastAsia" w:ascii="宋体" w:hAnsi="宋体" w:cs="宋体"/>
          <w:color w:val="auto"/>
          <w:szCs w:val="21"/>
        </w:rPr>
        <w:t>详见</w:t>
      </w:r>
      <w:r>
        <w:rPr>
          <w:rFonts w:hint="eastAsia" w:ascii="宋体" w:hAnsi="宋体" w:cs="宋体"/>
          <w:color w:val="auto"/>
          <w:szCs w:val="21"/>
          <w:lang w:val="en-US" w:eastAsia="zh-CN"/>
        </w:rPr>
        <w:t>报价明细表《重庆成渝垫丰武高速公路有限公司子公司驻地办公家具采购限价清单》</w:t>
      </w:r>
      <w:r>
        <w:rPr>
          <w:rFonts w:hint="eastAsia" w:ascii="宋体" w:hAnsi="宋体" w:cs="宋体"/>
          <w:color w:val="auto"/>
          <w:szCs w:val="21"/>
        </w:rPr>
        <w:t>）。</w:t>
      </w:r>
    </w:p>
    <w:p>
      <w:pPr>
        <w:pStyle w:val="2"/>
        <w:adjustRightInd w:val="0"/>
        <w:spacing w:line="360" w:lineRule="auto"/>
        <w:rPr>
          <w:rFonts w:ascii="宋体" w:hAnsi="宋体" w:cs="宋体"/>
          <w:szCs w:val="21"/>
        </w:rPr>
      </w:pPr>
      <w:r>
        <w:rPr>
          <w:rFonts w:hint="eastAsia" w:ascii="宋体" w:hAnsi="宋体" w:cs="宋体"/>
          <w:szCs w:val="21"/>
          <w:lang w:eastAsia="zh-CN"/>
        </w:rPr>
        <w:t>（</w:t>
      </w:r>
      <w:r>
        <w:rPr>
          <w:rFonts w:hint="eastAsia" w:ascii="宋体" w:hAnsi="宋体" w:cs="宋体"/>
          <w:szCs w:val="21"/>
          <w:lang w:val="en-US" w:eastAsia="zh-CN"/>
        </w:rPr>
        <w:t>三</w:t>
      </w:r>
      <w:r>
        <w:rPr>
          <w:rFonts w:hint="eastAsia" w:ascii="宋体" w:hAnsi="宋体" w:cs="宋体"/>
          <w:szCs w:val="21"/>
          <w:lang w:eastAsia="zh-CN"/>
        </w:rPr>
        <w:t>）</w:t>
      </w:r>
      <w:r>
        <w:rPr>
          <w:rFonts w:hint="eastAsia" w:ascii="宋体" w:hAnsi="宋体" w:cs="宋体"/>
          <w:szCs w:val="21"/>
        </w:rPr>
        <w:t>比选范围：按照设计方案提供班台、沙发、定制书柜、办公桌椅</w:t>
      </w:r>
      <w:r>
        <w:rPr>
          <w:rFonts w:hint="eastAsia" w:ascii="宋体" w:hAnsi="宋体" w:cs="宋体"/>
          <w:szCs w:val="21"/>
          <w:lang w:eastAsia="zh-CN"/>
        </w:rPr>
        <w:t>、</w:t>
      </w:r>
      <w:r>
        <w:rPr>
          <w:rFonts w:hint="eastAsia" w:ascii="宋体" w:hAnsi="宋体" w:cs="宋体"/>
          <w:szCs w:val="21"/>
          <w:lang w:val="en-US" w:eastAsia="zh-CN"/>
        </w:rPr>
        <w:t>会议室桌椅</w:t>
      </w:r>
      <w:r>
        <w:rPr>
          <w:rFonts w:hint="eastAsia" w:ascii="宋体" w:hAnsi="宋体" w:cs="宋体"/>
          <w:szCs w:val="21"/>
        </w:rPr>
        <w:t>等。</w:t>
      </w:r>
    </w:p>
    <w:p>
      <w:pPr>
        <w:pStyle w:val="2"/>
        <w:adjustRightInd w:val="0"/>
        <w:spacing w:line="360" w:lineRule="auto"/>
        <w:rPr>
          <w:rFonts w:ascii="宋体" w:hAnsi="宋体" w:cs="宋体"/>
          <w:szCs w:val="21"/>
        </w:rPr>
      </w:pPr>
      <w:r>
        <w:rPr>
          <w:rFonts w:hint="eastAsia" w:ascii="宋体" w:hAnsi="宋体" w:cs="宋体"/>
          <w:szCs w:val="21"/>
        </w:rPr>
        <w:t>上述实施内容包含</w:t>
      </w:r>
      <w:r>
        <w:rPr>
          <w:rFonts w:hint="eastAsia" w:ascii="宋体" w:hAnsi="宋体"/>
          <w:szCs w:val="21"/>
        </w:rPr>
        <w:t>根据办公场所实际需求进行量尺、设计、制作、运输、安装</w:t>
      </w:r>
      <w:r>
        <w:rPr>
          <w:rFonts w:hint="eastAsia" w:ascii="宋体" w:hAnsi="宋体" w:cs="宋体"/>
          <w:szCs w:val="21"/>
        </w:rPr>
        <w:t>及</w:t>
      </w:r>
      <w:r>
        <w:rPr>
          <w:rFonts w:hint="eastAsia" w:ascii="宋体" w:hAnsi="宋体" w:cs="宋体"/>
          <w:szCs w:val="21"/>
          <w:lang w:val="en-US" w:eastAsia="zh-CN"/>
        </w:rPr>
        <w:t>调试</w:t>
      </w:r>
      <w:r>
        <w:rPr>
          <w:rFonts w:hint="eastAsia" w:ascii="宋体" w:hAnsi="宋体" w:cs="宋体"/>
          <w:szCs w:val="21"/>
        </w:rPr>
        <w:t>。</w:t>
      </w:r>
    </w:p>
    <w:p>
      <w:pPr>
        <w:spacing w:line="360" w:lineRule="auto"/>
        <w:ind w:firstLine="420" w:firstLineChars="200"/>
        <w:rPr>
          <w:rFonts w:hint="eastAsia" w:ascii="宋体" w:hAnsi="宋体" w:cs="宋体"/>
          <w:szCs w:val="21"/>
        </w:rPr>
      </w:pPr>
      <w:r>
        <w:rPr>
          <w:rFonts w:hint="eastAsia" w:ascii="宋体" w:hAnsi="宋体" w:cs="宋体"/>
          <w:szCs w:val="21"/>
          <w:lang w:eastAsia="zh-CN"/>
        </w:rPr>
        <w:t>（</w:t>
      </w:r>
      <w:r>
        <w:rPr>
          <w:rFonts w:hint="eastAsia" w:ascii="宋体" w:hAnsi="宋体" w:cs="宋体"/>
          <w:szCs w:val="21"/>
          <w:lang w:val="en-US" w:eastAsia="zh-CN"/>
        </w:rPr>
        <w:t>四</w:t>
      </w:r>
      <w:r>
        <w:rPr>
          <w:rFonts w:hint="eastAsia" w:ascii="宋体" w:hAnsi="宋体" w:cs="宋体"/>
          <w:szCs w:val="21"/>
          <w:lang w:eastAsia="zh-CN"/>
        </w:rPr>
        <w:t>）</w:t>
      </w:r>
      <w:r>
        <w:rPr>
          <w:rFonts w:hint="eastAsia" w:ascii="宋体" w:hAnsi="宋体" w:cs="宋体"/>
          <w:szCs w:val="21"/>
        </w:rPr>
        <w:t>计划交货期：</w:t>
      </w:r>
      <w:r>
        <w:rPr>
          <w:rFonts w:hint="eastAsia" w:ascii="宋体" w:hAnsi="宋体" w:cs="宋体"/>
          <w:szCs w:val="21"/>
          <w:lang w:val="en-US" w:eastAsia="zh-CN"/>
        </w:rPr>
        <w:t>以合同签订时间为工期起始日，白市驿驻点办公家具交货安装工期15历日；</w:t>
      </w:r>
      <w:r>
        <w:rPr>
          <w:rFonts w:hint="eastAsia" w:ascii="宋体" w:hAnsi="宋体" w:eastAsia="宋体" w:cs="宋体"/>
          <w:sz w:val="21"/>
          <w:szCs w:val="21"/>
          <w:lang w:val="en-US" w:eastAsia="zh-CN"/>
        </w:rPr>
        <w:t>垫江驻点办公家具</w:t>
      </w:r>
      <w:r>
        <w:rPr>
          <w:rFonts w:hint="eastAsia" w:ascii="宋体" w:hAnsi="宋体" w:cs="宋体"/>
          <w:szCs w:val="21"/>
          <w:lang w:val="en-US" w:eastAsia="zh-CN"/>
        </w:rPr>
        <w:t>交货安装</w:t>
      </w:r>
      <w:r>
        <w:rPr>
          <w:rFonts w:hint="eastAsia" w:ascii="宋体" w:hAnsi="宋体" w:eastAsia="宋体" w:cs="宋体"/>
          <w:sz w:val="21"/>
          <w:szCs w:val="21"/>
          <w:lang w:val="en-US" w:eastAsia="zh-CN"/>
        </w:rPr>
        <w:t>工期</w:t>
      </w:r>
      <w:r>
        <w:rPr>
          <w:rFonts w:hint="eastAsia" w:ascii="宋体" w:hAnsi="宋体" w:cs="宋体"/>
          <w:szCs w:val="21"/>
          <w:lang w:val="en-US" w:eastAsia="zh-CN"/>
        </w:rPr>
        <w:t>15历日</w:t>
      </w:r>
      <w:r>
        <w:rPr>
          <w:rFonts w:hint="eastAsia" w:ascii="宋体" w:hAnsi="宋体" w:eastAsia="宋体" w:cs="宋体"/>
          <w:sz w:val="21"/>
          <w:szCs w:val="21"/>
          <w:lang w:val="en-US" w:eastAsia="zh-CN"/>
        </w:rPr>
        <w:t>；武隆驻点办公家具</w:t>
      </w:r>
      <w:r>
        <w:rPr>
          <w:rFonts w:hint="eastAsia" w:ascii="宋体" w:hAnsi="宋体" w:cs="宋体"/>
          <w:szCs w:val="21"/>
          <w:lang w:val="en-US" w:eastAsia="zh-CN"/>
        </w:rPr>
        <w:t>交货安装</w:t>
      </w:r>
      <w:r>
        <w:rPr>
          <w:rFonts w:hint="eastAsia" w:ascii="宋体" w:hAnsi="宋体" w:eastAsia="宋体" w:cs="宋体"/>
          <w:sz w:val="21"/>
          <w:szCs w:val="21"/>
          <w:lang w:val="en-US" w:eastAsia="zh-CN"/>
        </w:rPr>
        <w:t>工期</w:t>
      </w:r>
      <w:r>
        <w:rPr>
          <w:rFonts w:hint="eastAsia" w:ascii="宋体" w:hAnsi="宋体" w:cs="宋体"/>
          <w:szCs w:val="21"/>
          <w:lang w:val="en-US" w:eastAsia="zh-CN"/>
        </w:rPr>
        <w:t>15历日</w:t>
      </w:r>
      <w:r>
        <w:rPr>
          <w:rFonts w:hint="eastAsia" w:ascii="宋体" w:hAnsi="宋体" w:eastAsia="宋体" w:cs="宋体"/>
          <w:sz w:val="21"/>
          <w:szCs w:val="21"/>
          <w:lang w:val="en-US" w:eastAsia="zh-CN"/>
        </w:rPr>
        <w:t>；丰都驻点办公家具</w:t>
      </w:r>
      <w:r>
        <w:rPr>
          <w:rFonts w:hint="eastAsia" w:ascii="宋体" w:hAnsi="宋体" w:cs="宋体"/>
          <w:szCs w:val="21"/>
          <w:lang w:val="en-US" w:eastAsia="zh-CN"/>
        </w:rPr>
        <w:t>交货安装</w:t>
      </w:r>
      <w:r>
        <w:rPr>
          <w:rFonts w:hint="eastAsia" w:ascii="宋体" w:hAnsi="宋体" w:eastAsia="宋体" w:cs="宋体"/>
          <w:sz w:val="21"/>
          <w:szCs w:val="21"/>
          <w:lang w:val="en-US" w:eastAsia="zh-CN"/>
        </w:rPr>
        <w:t>工期</w:t>
      </w:r>
      <w:r>
        <w:rPr>
          <w:rFonts w:hint="eastAsia" w:ascii="宋体" w:hAnsi="宋体" w:cs="宋体"/>
          <w:szCs w:val="21"/>
          <w:lang w:val="en-US" w:eastAsia="zh-CN"/>
        </w:rPr>
        <w:t>15历日</w:t>
      </w:r>
      <w:r>
        <w:rPr>
          <w:rFonts w:hint="eastAsia" w:ascii="宋体" w:hAnsi="宋体" w:eastAsia="宋体" w:cs="宋体"/>
          <w:sz w:val="21"/>
          <w:szCs w:val="21"/>
          <w:lang w:val="en-US" w:eastAsia="zh-CN"/>
        </w:rPr>
        <w:t>。</w:t>
      </w:r>
    </w:p>
    <w:p>
      <w:pPr>
        <w:pStyle w:val="4"/>
        <w:numPr>
          <w:ilvl w:val="0"/>
          <w:numId w:val="2"/>
        </w:numPr>
        <w:spacing w:before="120" w:after="0" w:line="360" w:lineRule="auto"/>
        <w:rPr>
          <w:rFonts w:ascii="宋体" w:hAnsi="宋体" w:eastAsia="宋体" w:cs="宋体"/>
        </w:rPr>
      </w:pPr>
      <w:bookmarkStart w:id="77" w:name="_Toc152042290"/>
      <w:bookmarkStart w:id="78" w:name="_Toc247085674"/>
      <w:bookmarkStart w:id="79" w:name="_Toc179632530"/>
      <w:bookmarkStart w:id="80" w:name="_Toc10171"/>
      <w:bookmarkStart w:id="81" w:name="_Toc6285"/>
      <w:bookmarkStart w:id="82" w:name="_Toc31457"/>
      <w:bookmarkStart w:id="83" w:name="_Toc22164"/>
      <w:bookmarkStart w:id="84" w:name="_Toc11329215"/>
      <w:bookmarkStart w:id="85" w:name="_Toc11757"/>
      <w:bookmarkStart w:id="86" w:name="_Toc15840"/>
      <w:bookmarkStart w:id="87" w:name="_Toc16063"/>
      <w:bookmarkStart w:id="88" w:name="_Toc507319893"/>
      <w:bookmarkStart w:id="89" w:name="_Toc246996160"/>
      <w:bookmarkStart w:id="90" w:name="_Toc27413"/>
      <w:bookmarkStart w:id="91" w:name="_Toc152045514"/>
      <w:bookmarkStart w:id="92" w:name="_Toc144974482"/>
      <w:bookmarkStart w:id="93" w:name="_Toc246996903"/>
      <w:bookmarkStart w:id="94" w:name="_Toc11054"/>
      <w:bookmarkStart w:id="95" w:name="_Toc20738"/>
      <w:bookmarkStart w:id="96" w:name="_Toc13936"/>
      <w:r>
        <w:rPr>
          <w:rFonts w:hint="eastAsia" w:ascii="宋体" w:hAnsi="宋体" w:eastAsia="宋体" w:cs="宋体"/>
        </w:rPr>
        <w:t>比选人资格要求</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pPr>
        <w:spacing w:line="360" w:lineRule="auto"/>
        <w:ind w:firstLine="495" w:firstLineChars="236"/>
        <w:rPr>
          <w:rFonts w:hint="eastAsia" w:ascii="宋体" w:hAnsi="宋体" w:eastAsia="宋体" w:cs="宋体"/>
          <w:color w:val="auto"/>
          <w:szCs w:val="21"/>
        </w:rPr>
      </w:pPr>
      <w:bookmarkStart w:id="97" w:name="_Toc179632531"/>
      <w:bookmarkStart w:id="98" w:name="_Toc11329216"/>
      <w:bookmarkStart w:id="99" w:name="_Toc246996904"/>
      <w:bookmarkStart w:id="100" w:name="_Toc246996161"/>
      <w:bookmarkStart w:id="101" w:name="_Toc25619"/>
      <w:bookmarkStart w:id="102" w:name="_Toc152045515"/>
      <w:bookmarkStart w:id="103" w:name="_Toc144974483"/>
      <w:bookmarkStart w:id="104" w:name="_Toc247085675"/>
      <w:bookmarkStart w:id="105" w:name="_Toc507319894"/>
      <w:bookmarkStart w:id="106" w:name="_Toc152042291"/>
      <w:r>
        <w:rPr>
          <w:rFonts w:hint="eastAsia" w:ascii="宋体" w:hAnsi="宋体" w:cs="宋体"/>
          <w:szCs w:val="21"/>
        </w:rPr>
        <w:t>1、具有独立承担民事责任的能力</w:t>
      </w:r>
      <w:r>
        <w:rPr>
          <w:rFonts w:hint="eastAsia" w:ascii="宋体" w:hAnsi="宋体" w:cs="宋体"/>
          <w:color w:val="auto"/>
          <w:szCs w:val="21"/>
          <w:lang w:eastAsia="zh-CN"/>
        </w:rPr>
        <w:t>，</w:t>
      </w:r>
      <w:r>
        <w:rPr>
          <w:rFonts w:hint="eastAsia" w:asciiTheme="majorEastAsia" w:hAnsiTheme="majorEastAsia" w:eastAsiaTheme="majorEastAsia" w:cstheme="majorEastAsia"/>
          <w:color w:val="auto"/>
          <w:szCs w:val="21"/>
          <w:lang w:val="en-US" w:eastAsia="zh-CN"/>
        </w:rPr>
        <w:t>如投标人为经销商的提供相关证明材料并加盖授权商公章（原件备查）</w:t>
      </w:r>
      <w:r>
        <w:rPr>
          <w:rFonts w:hint="eastAsia"/>
          <w:color w:val="auto"/>
          <w:lang w:eastAsia="zh-CN"/>
        </w:rPr>
        <w:t>；</w:t>
      </w:r>
    </w:p>
    <w:p>
      <w:pPr>
        <w:spacing w:line="360" w:lineRule="auto"/>
        <w:ind w:firstLine="495" w:firstLineChars="236"/>
        <w:rPr>
          <w:rFonts w:ascii="宋体" w:hAnsi="宋体" w:cs="宋体"/>
          <w:szCs w:val="21"/>
        </w:rPr>
      </w:pPr>
      <w:r>
        <w:rPr>
          <w:rFonts w:hint="eastAsia" w:ascii="宋体" w:hAnsi="宋体" w:cs="宋体"/>
          <w:szCs w:val="21"/>
        </w:rPr>
        <w:t>2、具有良好的商业信誉和健全的财务会计制度；</w:t>
      </w:r>
    </w:p>
    <w:p>
      <w:pPr>
        <w:spacing w:line="360" w:lineRule="auto"/>
        <w:ind w:firstLine="495" w:firstLineChars="236"/>
        <w:rPr>
          <w:rFonts w:hint="eastAsia" w:ascii="宋体" w:hAnsi="宋体" w:cs="宋体"/>
          <w:szCs w:val="21"/>
          <w:lang w:eastAsia="zh-CN"/>
        </w:rPr>
      </w:pPr>
      <w:r>
        <w:rPr>
          <w:rFonts w:hint="eastAsia" w:ascii="宋体" w:hAnsi="宋体" w:cs="宋体"/>
          <w:szCs w:val="21"/>
        </w:rPr>
        <w:t>3、</w:t>
      </w:r>
      <w:r>
        <w:rPr>
          <w:rFonts w:hint="eastAsia" w:cs="仿宋_GB2312" w:asciiTheme="minorEastAsia" w:hAnsiTheme="minorEastAsia" w:eastAsiaTheme="minorEastAsia"/>
          <w:szCs w:val="21"/>
          <w:lang w:val="zh-CN"/>
        </w:rPr>
        <w:t>具有履行合同所必需的</w:t>
      </w:r>
      <w:r>
        <w:rPr>
          <w:rFonts w:hint="eastAsia" w:cs="仿宋_GB2312" w:asciiTheme="minorEastAsia" w:hAnsiTheme="minorEastAsia" w:eastAsiaTheme="minorEastAsia"/>
          <w:szCs w:val="21"/>
          <w:lang w:val="en-US" w:eastAsia="zh-CN"/>
        </w:rPr>
        <w:t>资质证书</w:t>
      </w:r>
      <w:r>
        <w:rPr>
          <w:rFonts w:hint="eastAsia" w:ascii="宋体" w:hAnsi="宋体" w:cs="宋体"/>
          <w:szCs w:val="21"/>
          <w:lang w:eastAsia="zh-CN"/>
        </w:rPr>
        <w:t>：</w:t>
      </w:r>
    </w:p>
    <w:p>
      <w:pPr>
        <w:spacing w:line="360" w:lineRule="auto"/>
        <w:ind w:firstLine="495" w:firstLineChars="236"/>
        <w:rPr>
          <w:rFonts w:ascii="宋体" w:hAnsi="宋体" w:cs="宋体"/>
          <w:szCs w:val="21"/>
        </w:rPr>
      </w:pPr>
      <w:r>
        <w:rPr>
          <w:rFonts w:hint="eastAsia" w:ascii="宋体" w:hAnsi="宋体" w:cs="宋体"/>
          <w:szCs w:val="21"/>
        </w:rPr>
        <w:t>4、有依法缴纳税收和社会保障资金的良好记录；</w:t>
      </w:r>
    </w:p>
    <w:p>
      <w:pPr>
        <w:spacing w:line="360" w:lineRule="auto"/>
        <w:ind w:firstLine="495" w:firstLineChars="236"/>
        <w:rPr>
          <w:rFonts w:hint="eastAsia" w:ascii="宋体" w:hAnsi="宋体" w:cs="宋体"/>
          <w:szCs w:val="21"/>
        </w:rPr>
      </w:pPr>
      <w:r>
        <w:rPr>
          <w:rFonts w:hint="eastAsia" w:ascii="宋体" w:hAnsi="宋体" w:cs="宋体"/>
          <w:szCs w:val="21"/>
        </w:rPr>
        <w:t xml:space="preserve">5、参加投标活动前三年内，在经营活动中没有重大违法记录。 </w:t>
      </w:r>
    </w:p>
    <w:p>
      <w:pPr>
        <w:widowControl/>
        <w:spacing w:line="360" w:lineRule="auto"/>
        <w:ind w:firstLine="495" w:firstLineChars="236"/>
        <w:rPr>
          <w:rFonts w:hint="eastAsia" w:ascii="宋体" w:hAnsi="宋体" w:eastAsia="宋体" w:cs="宋体"/>
          <w:szCs w:val="21"/>
        </w:rPr>
      </w:pPr>
      <w:r>
        <w:rPr>
          <w:rFonts w:hint="eastAsia" w:ascii="宋体" w:hAnsi="宋体" w:eastAsia="宋体" w:cs="宋体"/>
          <w:sz w:val="21"/>
          <w:szCs w:val="21"/>
          <w:lang w:val="en-US" w:eastAsia="zh-CN"/>
        </w:rPr>
        <w:t>6</w:t>
      </w:r>
      <w:r>
        <w:rPr>
          <w:rFonts w:hint="eastAsia" w:ascii="宋体" w:hAnsi="宋体" w:cs="宋体"/>
          <w:sz w:val="21"/>
          <w:szCs w:val="21"/>
          <w:lang w:val="en-US" w:eastAsia="zh-CN"/>
        </w:rPr>
        <w:t>、提供2020年1月1日至投标截止日内至少一项已办结的</w:t>
      </w:r>
      <w:r>
        <w:rPr>
          <w:rFonts w:hint="eastAsia" w:ascii="宋体" w:hAnsi="宋体" w:eastAsia="宋体" w:cs="宋体"/>
          <w:sz w:val="21"/>
          <w:szCs w:val="21"/>
          <w:lang w:val="en-US" w:eastAsia="zh-CN"/>
        </w:rPr>
        <w:t>办公类家具承包业绩，且单项合同金额不少于</w:t>
      </w:r>
      <w:r>
        <w:rPr>
          <w:rFonts w:hint="eastAsia" w:ascii="宋体" w:hAnsi="宋体" w:cs="宋体"/>
          <w:sz w:val="21"/>
          <w:szCs w:val="21"/>
          <w:lang w:val="en-US" w:eastAsia="zh-CN"/>
        </w:rPr>
        <w:t>40</w:t>
      </w:r>
      <w:r>
        <w:rPr>
          <w:rFonts w:hint="eastAsia" w:ascii="宋体" w:hAnsi="宋体" w:eastAsia="宋体" w:cs="宋体"/>
          <w:sz w:val="21"/>
          <w:szCs w:val="21"/>
          <w:lang w:val="en-US" w:eastAsia="zh-CN"/>
        </w:rPr>
        <w:t>万元。</w:t>
      </w:r>
    </w:p>
    <w:p>
      <w:pPr>
        <w:pStyle w:val="4"/>
        <w:numPr>
          <w:ilvl w:val="0"/>
          <w:numId w:val="2"/>
        </w:numPr>
        <w:spacing w:before="120" w:after="0" w:line="360" w:lineRule="auto"/>
        <w:rPr>
          <w:rFonts w:ascii="宋体" w:hAnsi="宋体" w:eastAsia="宋体" w:cs="宋体"/>
        </w:rPr>
      </w:pPr>
      <w:bookmarkStart w:id="107" w:name="_Toc29402"/>
      <w:bookmarkStart w:id="108" w:name="_Toc23155"/>
      <w:bookmarkStart w:id="109" w:name="_Toc11238"/>
      <w:bookmarkStart w:id="110" w:name="_Toc15901"/>
      <w:bookmarkStart w:id="111" w:name="_Toc1208"/>
      <w:bookmarkStart w:id="112" w:name="_Toc15959"/>
      <w:bookmarkStart w:id="113" w:name="_Toc15485"/>
      <w:bookmarkStart w:id="114" w:name="_Toc1107"/>
      <w:bookmarkStart w:id="115" w:name="_Toc18119"/>
      <w:bookmarkStart w:id="116" w:name="_Toc15991"/>
      <w:r>
        <w:rPr>
          <w:rFonts w:hint="eastAsia" w:ascii="宋体" w:hAnsi="宋体" w:eastAsia="宋体" w:cs="宋体"/>
        </w:rPr>
        <w:t>比选文件的获取</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pPr>
        <w:numPr>
          <w:ilvl w:val="0"/>
          <w:numId w:val="4"/>
        </w:numPr>
        <w:spacing w:line="360" w:lineRule="auto"/>
        <w:ind w:firstLine="424" w:firstLineChars="0"/>
        <w:rPr>
          <w:rFonts w:hint="eastAsia" w:ascii="Times New Roman" w:hAnsi="Times New Roman" w:cs="Times New Roman"/>
        </w:rPr>
      </w:pPr>
      <w:bookmarkStart w:id="117" w:name="_Toc144974484"/>
      <w:bookmarkStart w:id="118" w:name="_Toc152042292"/>
      <w:bookmarkStart w:id="119" w:name="_Toc179632532"/>
      <w:bookmarkStart w:id="120" w:name="_Toc152045516"/>
      <w:bookmarkStart w:id="121" w:name="_Toc246996162"/>
      <w:bookmarkStart w:id="122" w:name="_Toc507319895"/>
      <w:bookmarkStart w:id="123" w:name="_Toc246996905"/>
      <w:bookmarkStart w:id="124" w:name="_Toc247085676"/>
      <w:bookmarkStart w:id="125" w:name="_Toc11329217"/>
      <w:bookmarkStart w:id="126" w:name="_Toc31493"/>
      <w:r>
        <w:rPr>
          <w:rFonts w:hint="eastAsia"/>
        </w:rPr>
        <w:t>凡愿意参加的潜在比选人，请于公告发布之日起至提交首次响应报名文件截止时间之前</w:t>
      </w:r>
      <w:r>
        <w:rPr>
          <w:rFonts w:hint="eastAsia" w:ascii="Times New Roman" w:hAnsi="Times New Roman" w:cs="Times New Roman"/>
        </w:rPr>
        <w:t>，凡愿意参加的潜在</w:t>
      </w:r>
      <w:r>
        <w:rPr>
          <w:rFonts w:hint="eastAsia" w:ascii="Times New Roman" w:hAnsi="Times New Roman" w:cs="Times New Roman"/>
          <w:lang w:eastAsia="zh-CN"/>
        </w:rPr>
        <w:t>竞</w:t>
      </w:r>
      <w:r>
        <w:rPr>
          <w:rFonts w:hint="eastAsia" w:ascii="Times New Roman" w:hAnsi="Times New Roman" w:cs="Times New Roman"/>
        </w:rPr>
        <w:t>标人，</w:t>
      </w:r>
      <w:r>
        <w:rPr>
          <w:rFonts w:hint="eastAsia" w:ascii="Times New Roman" w:hAnsi="Times New Roman" w:cs="Times New Roman"/>
          <w:lang w:eastAsia="zh-CN"/>
        </w:rPr>
        <w:t>详见重庆高速集团官网（http://www.cegc.com.cn/gw/newsInfoMenu.html?id=42&amp;key=2）、重庆高速公路集团有限公司招投标管理平台（</w:t>
      </w:r>
      <w:r>
        <w:rPr>
          <w:rFonts w:ascii="Arial" w:hAnsi="Arial" w:eastAsia="宋体" w:cs="Arial"/>
          <w:sz w:val="18"/>
          <w:szCs w:val="18"/>
        </w:rPr>
        <w:t>http://112.35.165.219:8088/PMS/jsp/business/cccc/login.jsp</w:t>
      </w:r>
      <w:r>
        <w:rPr>
          <w:rFonts w:hint="eastAsia" w:ascii="Times New Roman" w:hAnsi="Times New Roman" w:cs="Times New Roman"/>
          <w:lang w:eastAsia="zh-CN"/>
        </w:rPr>
        <w:t>）上发布的本项目</w:t>
      </w:r>
      <w:r>
        <w:rPr>
          <w:rFonts w:hint="eastAsia" w:ascii="Times New Roman" w:hAnsi="Times New Roman" w:cs="Times New Roman"/>
          <w:lang w:val="en-US" w:eastAsia="zh-CN"/>
        </w:rPr>
        <w:t>竞争性比选</w:t>
      </w:r>
      <w:r>
        <w:rPr>
          <w:rFonts w:hint="eastAsia" w:ascii="Times New Roman" w:hAnsi="Times New Roman" w:cs="Times New Roman"/>
          <w:lang w:eastAsia="zh-CN"/>
        </w:rPr>
        <w:t>公告中的获取方式（链接）自行下载</w:t>
      </w:r>
      <w:r>
        <w:rPr>
          <w:rFonts w:hint="eastAsia" w:ascii="Times New Roman" w:hAnsi="Times New Roman" w:cs="Times New Roman"/>
        </w:rPr>
        <w:t>。无论比选人下载与否，均视为已知晓所有比选的实质性要求内容。</w:t>
      </w:r>
    </w:p>
    <w:p>
      <w:pPr>
        <w:pStyle w:val="4"/>
        <w:numPr>
          <w:ilvl w:val="0"/>
          <w:numId w:val="2"/>
        </w:numPr>
        <w:spacing w:before="120" w:after="0" w:line="360" w:lineRule="auto"/>
        <w:rPr>
          <w:rFonts w:ascii="宋体" w:hAnsi="宋体" w:eastAsia="宋体" w:cs="宋体"/>
          <w:highlight w:val="none"/>
        </w:rPr>
      </w:pPr>
      <w:bookmarkStart w:id="127" w:name="_Toc8463"/>
      <w:bookmarkStart w:id="128" w:name="_Toc12251"/>
      <w:bookmarkStart w:id="129" w:name="_Toc4339"/>
      <w:bookmarkStart w:id="130" w:name="_Toc325"/>
      <w:bookmarkStart w:id="131" w:name="_Toc23185"/>
      <w:bookmarkStart w:id="132" w:name="_Toc20890"/>
      <w:bookmarkStart w:id="133" w:name="_Toc20300"/>
      <w:bookmarkStart w:id="134" w:name="_Toc16330"/>
      <w:bookmarkStart w:id="135" w:name="_Toc29665"/>
      <w:bookmarkStart w:id="136" w:name="_Toc11346"/>
      <w:r>
        <w:rPr>
          <w:rFonts w:hint="eastAsia" w:ascii="宋体" w:hAnsi="宋体" w:eastAsia="宋体" w:cs="宋体"/>
          <w:highlight w:val="none"/>
        </w:rPr>
        <w:t>竞争性比选响应文件的递交</w:t>
      </w:r>
      <w:bookmarkEnd w:id="117"/>
      <w:bookmarkEnd w:id="118"/>
      <w:bookmarkEnd w:id="119"/>
      <w:bookmarkEnd w:id="120"/>
      <w:bookmarkEnd w:id="121"/>
      <w:bookmarkEnd w:id="122"/>
      <w:bookmarkEnd w:id="123"/>
      <w:bookmarkEnd w:id="124"/>
      <w:bookmarkEnd w:id="125"/>
      <w:r>
        <w:rPr>
          <w:rFonts w:hint="eastAsia" w:ascii="宋体" w:hAnsi="宋体" w:eastAsia="宋体" w:cs="宋体"/>
          <w:highlight w:val="none"/>
        </w:rPr>
        <w:t>及相关事宜</w:t>
      </w:r>
      <w:bookmarkEnd w:id="126"/>
      <w:bookmarkEnd w:id="127"/>
      <w:bookmarkEnd w:id="128"/>
      <w:bookmarkEnd w:id="129"/>
      <w:bookmarkEnd w:id="130"/>
      <w:bookmarkEnd w:id="131"/>
      <w:bookmarkEnd w:id="132"/>
      <w:bookmarkEnd w:id="133"/>
      <w:bookmarkEnd w:id="134"/>
      <w:bookmarkEnd w:id="135"/>
      <w:bookmarkEnd w:id="136"/>
    </w:p>
    <w:p>
      <w:pPr>
        <w:tabs>
          <w:tab w:val="left" w:pos="360"/>
        </w:tabs>
        <w:spacing w:line="360" w:lineRule="auto"/>
        <w:ind w:firstLine="420" w:firstLineChars="200"/>
        <w:rPr>
          <w:rFonts w:ascii="宋体" w:hAnsi="宋体" w:cs="宋体"/>
          <w:color w:val="auto"/>
          <w:szCs w:val="21"/>
          <w:highlight w:val="none"/>
        </w:rPr>
      </w:pPr>
      <w:bookmarkStart w:id="137" w:name="_Toc152042293"/>
      <w:bookmarkStart w:id="138" w:name="_Toc21615"/>
      <w:bookmarkStart w:id="139" w:name="_Toc246996164"/>
      <w:bookmarkStart w:id="140" w:name="_Toc246996907"/>
      <w:bookmarkStart w:id="141" w:name="_Toc507319897"/>
      <w:bookmarkStart w:id="142" w:name="_Toc152045517"/>
      <w:bookmarkStart w:id="143" w:name="_Toc11329219"/>
      <w:bookmarkStart w:id="144" w:name="_Toc247085678"/>
      <w:bookmarkStart w:id="145" w:name="_Toc179632534"/>
      <w:bookmarkStart w:id="146" w:name="_Toc144974485"/>
      <w:r>
        <w:rPr>
          <w:rFonts w:hint="eastAsia" w:ascii="宋体" w:hAnsi="宋体" w:cs="宋体"/>
          <w:color w:val="auto"/>
          <w:szCs w:val="21"/>
          <w:highlight w:val="none"/>
        </w:rPr>
        <w:t>1．报价截止时间和开标时间：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2023年10</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12</w:t>
      </w:r>
      <w:bookmarkStart w:id="430" w:name="_GoBack"/>
      <w:bookmarkEnd w:id="430"/>
      <w:r>
        <w:rPr>
          <w:rFonts w:ascii="宋体" w:hAnsi="宋体" w:cs="宋体"/>
          <w:color w:val="auto"/>
          <w:szCs w:val="21"/>
          <w:highlight w:val="none"/>
          <w:u w:val="single"/>
        </w:rPr>
        <w:t xml:space="preserve"> </w:t>
      </w:r>
      <w:r>
        <w:rPr>
          <w:rFonts w:hint="eastAsia" w:ascii="宋体" w:hAnsi="宋体" w:cs="宋体"/>
          <w:color w:val="auto"/>
          <w:szCs w:val="21"/>
          <w:highlight w:val="none"/>
        </w:rPr>
        <w:t>日</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1</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时</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ascii="宋体" w:hAnsi="宋体" w:cs="宋体"/>
          <w:color w:val="auto"/>
          <w:szCs w:val="21"/>
          <w:highlight w:val="none"/>
          <w:u w:val="single"/>
        </w:rPr>
        <w:t>0</w:t>
      </w:r>
      <w:r>
        <w:rPr>
          <w:rFonts w:hint="eastAsia" w:ascii="宋体" w:hAnsi="宋体" w:cs="宋体"/>
          <w:color w:val="auto"/>
          <w:szCs w:val="21"/>
          <w:highlight w:val="none"/>
        </w:rPr>
        <w:t>分（北京时间）。</w:t>
      </w:r>
    </w:p>
    <w:p>
      <w:pPr>
        <w:spacing w:line="360"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2．报价地点和开标地点：</w:t>
      </w:r>
      <w:r>
        <w:rPr>
          <w:rFonts w:hint="eastAsia" w:ascii="宋体" w:hAnsi="宋体" w:cs="宋体"/>
          <w:color w:val="auto"/>
          <w:szCs w:val="21"/>
          <w:highlight w:val="none"/>
          <w:u w:val="single"/>
        </w:rPr>
        <w:t>重庆高速公路</w:t>
      </w:r>
      <w:r>
        <w:rPr>
          <w:rFonts w:hint="eastAsia" w:ascii="宋体" w:hAnsi="宋体" w:cs="宋体"/>
          <w:color w:val="auto"/>
          <w:szCs w:val="21"/>
          <w:highlight w:val="none"/>
          <w:u w:val="single"/>
          <w:lang w:val="en-US" w:eastAsia="zh-CN"/>
        </w:rPr>
        <w:t>集团</w:t>
      </w:r>
      <w:r>
        <w:rPr>
          <w:rFonts w:hint="eastAsia" w:ascii="宋体" w:hAnsi="宋体" w:cs="宋体"/>
          <w:color w:val="auto"/>
          <w:szCs w:val="21"/>
          <w:highlight w:val="none"/>
          <w:u w:val="single"/>
        </w:rPr>
        <w:t>有限公司</w:t>
      </w:r>
      <w:r>
        <w:rPr>
          <w:rFonts w:hint="eastAsia" w:ascii="宋体" w:hAnsi="宋体" w:cs="宋体"/>
          <w:color w:val="auto"/>
          <w:szCs w:val="21"/>
          <w:highlight w:val="none"/>
          <w:u w:val="single"/>
          <w:lang w:val="en-US" w:eastAsia="zh-CN"/>
        </w:rPr>
        <w:t>906会议室</w:t>
      </w:r>
      <w:r>
        <w:rPr>
          <w:rFonts w:hint="eastAsia" w:ascii="宋体" w:hAnsi="宋体" w:cs="宋体"/>
          <w:color w:val="auto"/>
          <w:szCs w:val="21"/>
          <w:highlight w:val="none"/>
          <w:u w:val="single"/>
        </w:rPr>
        <w:t>（重庆市渝北区银杉路66号高速集团办公大楼</w:t>
      </w:r>
      <w:r>
        <w:rPr>
          <w:rFonts w:hint="eastAsia" w:ascii="宋体" w:hAnsi="宋体" w:cs="宋体"/>
          <w:color w:val="auto"/>
          <w:szCs w:val="21"/>
          <w:highlight w:val="none"/>
          <w:u w:val="single"/>
          <w:lang w:val="en-US" w:eastAsia="zh-CN"/>
        </w:rPr>
        <w:t>9楼</w:t>
      </w:r>
      <w:r>
        <w:rPr>
          <w:rFonts w:hint="eastAsia" w:ascii="宋体" w:hAnsi="宋体" w:cs="宋体"/>
          <w:color w:val="auto"/>
          <w:szCs w:val="21"/>
          <w:highlight w:val="none"/>
          <w:u w:val="single"/>
        </w:rPr>
        <w:t>）。</w:t>
      </w:r>
    </w:p>
    <w:p>
      <w:pPr>
        <w:pStyle w:val="4"/>
        <w:pageBreakBefore w:val="0"/>
        <w:widowControl/>
        <w:numPr>
          <w:ilvl w:val="-1"/>
          <w:numId w:val="0"/>
        </w:numPr>
        <w:kinsoku/>
        <w:wordWrap/>
        <w:overflowPunct/>
        <w:topLinePunct w:val="0"/>
        <w:autoSpaceDE/>
        <w:autoSpaceDN/>
        <w:bidi w:val="0"/>
        <w:snapToGrid/>
        <w:spacing w:before="120" w:line="360" w:lineRule="auto"/>
        <w:ind w:left="0" w:firstLine="0" w:firstLineChars="0"/>
        <w:jc w:val="left"/>
        <w:textAlignment w:val="auto"/>
        <w:rPr>
          <w:rFonts w:hint="eastAsia" w:ascii="宋体" w:hAnsi="宋体" w:eastAsia="宋体" w:cs="宋体"/>
          <w:bCs/>
          <w:kern w:val="0"/>
          <w:sz w:val="24"/>
          <w:szCs w:val="32"/>
          <w:highlight w:val="none"/>
          <w:lang w:val="en-US" w:eastAsia="zh-CN"/>
        </w:rPr>
      </w:pPr>
      <w:bookmarkStart w:id="147" w:name="_Toc4764"/>
      <w:bookmarkStart w:id="148" w:name="_Toc10304"/>
      <w:bookmarkStart w:id="149" w:name="_Toc2620"/>
      <w:bookmarkStart w:id="150" w:name="_Toc29790"/>
      <w:bookmarkStart w:id="151" w:name="_Toc19568"/>
      <w:bookmarkStart w:id="152" w:name="_Toc23371"/>
      <w:bookmarkStart w:id="153" w:name="_Toc13966"/>
      <w:r>
        <w:rPr>
          <w:rFonts w:hint="eastAsia" w:ascii="宋体" w:hAnsi="宋体" w:eastAsia="宋体" w:cs="宋体"/>
          <w:bCs/>
          <w:kern w:val="0"/>
          <w:sz w:val="24"/>
          <w:szCs w:val="32"/>
          <w:highlight w:val="none"/>
          <w:lang w:val="en-US" w:eastAsia="zh-CN"/>
        </w:rPr>
        <w:t>六、重新招标和不再招标：</w:t>
      </w:r>
      <w:bookmarkEnd w:id="147"/>
      <w:bookmarkEnd w:id="148"/>
      <w:bookmarkEnd w:id="149"/>
      <w:bookmarkEnd w:id="150"/>
      <w:bookmarkEnd w:id="151"/>
      <w:bookmarkEnd w:id="152"/>
      <w:bookmarkEnd w:id="153"/>
    </w:p>
    <w:p>
      <w:pPr>
        <w:pageBreakBefore w:val="0"/>
        <w:widowControl/>
        <w:kinsoku/>
        <w:wordWrap/>
        <w:overflowPunct/>
        <w:topLinePunct w:val="0"/>
        <w:autoSpaceDE/>
        <w:autoSpaceDN/>
        <w:bidi w:val="0"/>
        <w:snapToGrid/>
        <w:spacing w:line="360" w:lineRule="auto"/>
        <w:ind w:firstLine="420" w:firstLineChars="200"/>
        <w:jc w:val="left"/>
        <w:textAlignment w:val="auto"/>
        <w:rPr>
          <w:rFonts w:hint="eastAsia"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u w:val="single"/>
          <w:lang w:val="en-US" w:eastAsia="zh-CN"/>
        </w:rPr>
        <w:t>（一）投标截止时间止，报价人少于3个的；</w:t>
      </w:r>
    </w:p>
    <w:p>
      <w:pPr>
        <w:pageBreakBefore w:val="0"/>
        <w:widowControl/>
        <w:kinsoku/>
        <w:wordWrap/>
        <w:overflowPunct/>
        <w:topLinePunct w:val="0"/>
        <w:autoSpaceDE/>
        <w:autoSpaceDN/>
        <w:bidi w:val="0"/>
        <w:snapToGrid/>
        <w:spacing w:line="360" w:lineRule="auto"/>
        <w:ind w:firstLine="420" w:firstLineChars="200"/>
        <w:jc w:val="left"/>
        <w:textAlignment w:val="auto"/>
        <w:rPr>
          <w:rFonts w:hint="eastAsia" w:ascii="宋体" w:hAnsi="宋体" w:eastAsia="宋体" w:cs="宋体"/>
          <w:color w:val="auto"/>
          <w:sz w:val="21"/>
          <w:szCs w:val="21"/>
          <w:highlight w:val="none"/>
          <w:u w:val="single"/>
          <w:lang w:val="zh-TW" w:eastAsia="zh-CN"/>
        </w:rPr>
      </w:pPr>
      <w:r>
        <w:rPr>
          <w:rFonts w:hint="eastAsia" w:ascii="宋体" w:hAnsi="宋体" w:eastAsia="宋体" w:cs="宋体"/>
          <w:color w:val="auto"/>
          <w:sz w:val="21"/>
          <w:szCs w:val="21"/>
          <w:highlight w:val="none"/>
          <w:u w:val="single"/>
          <w:lang w:val="en-US" w:eastAsia="zh-CN"/>
        </w:rPr>
        <w:t>（二）经评审后，如合格的报价人少于三个且评标委员会评定为仍具有竞争的，评标委员会可以继续进行评审，并按招标文件规定推荐中标候选人。如合格的报价人少于三个的，且明显缺乏竞争的，评标委员会可以否决全部投标，比选人将重新组织招标。</w:t>
      </w:r>
    </w:p>
    <w:p>
      <w:pPr>
        <w:widowControl/>
        <w:spacing w:line="360" w:lineRule="auto"/>
        <w:ind w:firstLine="420" w:firstLineChars="200"/>
        <w:jc w:val="left"/>
        <w:rPr>
          <w:rFonts w:hint="eastAsia" w:ascii="宋体" w:hAnsi="宋体" w:eastAsia="宋体" w:cs="宋体"/>
          <w:color w:val="auto"/>
          <w:szCs w:val="21"/>
          <w:highlight w:val="none"/>
          <w:u w:val="single"/>
        </w:rPr>
      </w:pPr>
      <w:r>
        <w:rPr>
          <w:rFonts w:hint="eastAsia" w:ascii="宋体" w:hAnsi="宋体" w:eastAsia="宋体" w:cs="宋体"/>
          <w:color w:val="auto"/>
          <w:sz w:val="21"/>
          <w:szCs w:val="21"/>
          <w:highlight w:val="none"/>
          <w:u w:val="single"/>
          <w:lang w:val="en-US" w:eastAsia="zh-CN"/>
        </w:rPr>
        <w:t>（三）重新招标后报价人仍少于三人，按法定程序开标和评标，确定中标人。经评审无合格报价人，属于审批或核准项目的，报经</w:t>
      </w:r>
      <w:r>
        <w:rPr>
          <w:rFonts w:hint="eastAsia" w:ascii="宋体" w:hAnsi="宋体" w:cs="宋体"/>
          <w:color w:val="auto"/>
          <w:sz w:val="21"/>
          <w:szCs w:val="21"/>
          <w:highlight w:val="none"/>
          <w:u w:val="single"/>
          <w:lang w:val="en-US" w:eastAsia="zh-CN"/>
        </w:rPr>
        <w:t>公司招标采购领导小组</w:t>
      </w:r>
      <w:r>
        <w:rPr>
          <w:rFonts w:hint="eastAsia" w:ascii="宋体" w:hAnsi="宋体" w:eastAsia="宋体" w:cs="宋体"/>
          <w:color w:val="auto"/>
          <w:sz w:val="21"/>
          <w:szCs w:val="21"/>
          <w:highlight w:val="none"/>
          <w:u w:val="single"/>
          <w:lang w:val="en-US" w:eastAsia="zh-CN"/>
        </w:rPr>
        <w:t>批准可以不再招标。</w:t>
      </w:r>
    </w:p>
    <w:p>
      <w:pPr>
        <w:pStyle w:val="4"/>
        <w:numPr>
          <w:ilvl w:val="0"/>
          <w:numId w:val="0"/>
        </w:numPr>
        <w:spacing w:before="120" w:after="0" w:line="360" w:lineRule="auto"/>
        <w:ind w:leftChars="0"/>
        <w:rPr>
          <w:rFonts w:ascii="宋体" w:hAnsi="宋体" w:eastAsia="宋体" w:cs="宋体"/>
        </w:rPr>
      </w:pPr>
      <w:bookmarkStart w:id="154" w:name="_Toc32323"/>
      <w:bookmarkStart w:id="155" w:name="_Toc9555"/>
      <w:bookmarkStart w:id="156" w:name="_Toc14322"/>
      <w:bookmarkStart w:id="157" w:name="_Toc6195"/>
      <w:bookmarkStart w:id="158" w:name="_Toc30650"/>
      <w:bookmarkStart w:id="159" w:name="_Toc646"/>
      <w:bookmarkStart w:id="160" w:name="_Toc22209"/>
      <w:bookmarkStart w:id="161" w:name="_Toc24699"/>
      <w:bookmarkStart w:id="162" w:name="_Toc19706"/>
      <w:bookmarkStart w:id="163" w:name="_Toc31889"/>
      <w:r>
        <w:rPr>
          <w:rFonts w:hint="eastAsia" w:ascii="宋体" w:hAnsi="宋体" w:eastAsia="宋体" w:cs="宋体"/>
          <w:lang w:val="en-US" w:eastAsia="zh-CN"/>
        </w:rPr>
        <w:t>七、</w:t>
      </w:r>
      <w:r>
        <w:rPr>
          <w:rFonts w:hint="eastAsia" w:ascii="宋体" w:hAnsi="宋体" w:eastAsia="宋体" w:cs="宋体"/>
        </w:rPr>
        <w:t>联系方式</w:t>
      </w:r>
      <w:bookmarkEnd w:id="137"/>
      <w:bookmarkEnd w:id="138"/>
      <w:bookmarkEnd w:id="139"/>
      <w:bookmarkEnd w:id="140"/>
      <w:bookmarkEnd w:id="141"/>
      <w:bookmarkEnd w:id="142"/>
      <w:bookmarkEnd w:id="143"/>
      <w:bookmarkEnd w:id="144"/>
      <w:bookmarkEnd w:id="145"/>
      <w:bookmarkEnd w:id="146"/>
      <w:bookmarkEnd w:id="154"/>
      <w:bookmarkEnd w:id="155"/>
      <w:bookmarkEnd w:id="156"/>
      <w:bookmarkEnd w:id="157"/>
      <w:bookmarkEnd w:id="158"/>
      <w:bookmarkEnd w:id="159"/>
      <w:bookmarkEnd w:id="160"/>
      <w:bookmarkEnd w:id="161"/>
      <w:bookmarkEnd w:id="162"/>
      <w:bookmarkEnd w:id="163"/>
    </w:p>
    <w:tbl>
      <w:tblPr>
        <w:tblStyle w:val="41"/>
        <w:tblW w:w="9628" w:type="dxa"/>
        <w:tblInd w:w="0" w:type="dxa"/>
        <w:tblLayout w:type="fixed"/>
        <w:tblCellMar>
          <w:top w:w="0" w:type="dxa"/>
          <w:left w:w="108" w:type="dxa"/>
          <w:bottom w:w="0" w:type="dxa"/>
          <w:right w:w="108" w:type="dxa"/>
        </w:tblCellMar>
      </w:tblPr>
      <w:tblGrid>
        <w:gridCol w:w="8213"/>
        <w:gridCol w:w="1415"/>
      </w:tblGrid>
      <w:tr>
        <w:tblPrEx>
          <w:tblCellMar>
            <w:top w:w="0" w:type="dxa"/>
            <w:left w:w="108" w:type="dxa"/>
            <w:bottom w:w="0" w:type="dxa"/>
            <w:right w:w="108" w:type="dxa"/>
          </w:tblCellMar>
        </w:tblPrEx>
        <w:trPr>
          <w:trHeight w:val="470" w:hRule="atLeast"/>
        </w:trPr>
        <w:tc>
          <w:tcPr>
            <w:tcW w:w="8213" w:type="dxa"/>
            <w:vAlign w:val="center"/>
          </w:tcPr>
          <w:p>
            <w:pPr>
              <w:spacing w:line="360" w:lineRule="auto"/>
              <w:ind w:firstLine="420" w:firstLineChars="200"/>
              <w:jc w:val="left"/>
              <w:rPr>
                <w:rFonts w:hint="eastAsia" w:ascii="宋体" w:hAnsi="宋体" w:eastAsia="宋体" w:cs="宋体"/>
                <w:szCs w:val="21"/>
                <w:lang w:val="en-US" w:eastAsia="zh-CN"/>
              </w:rPr>
            </w:pPr>
            <w:r>
              <w:rPr>
                <w:rFonts w:hint="eastAsia" w:ascii="宋体" w:hAnsi="宋体" w:cs="宋体"/>
                <w:szCs w:val="21"/>
              </w:rPr>
              <w:t>采购人：</w:t>
            </w:r>
            <w:r>
              <w:rPr>
                <w:rFonts w:hint="eastAsia" w:ascii="宋体" w:hAnsi="宋体" w:cs="宋体"/>
                <w:szCs w:val="21"/>
                <w:lang w:eastAsia="zh-CN"/>
              </w:rPr>
              <w:t>重庆成渝垫丰武高速公路有限公司</w:t>
            </w:r>
          </w:p>
        </w:tc>
        <w:tc>
          <w:tcPr>
            <w:tcW w:w="1415" w:type="dxa"/>
            <w:vAlign w:val="center"/>
          </w:tcPr>
          <w:p>
            <w:pPr>
              <w:pStyle w:val="102"/>
              <w:spacing w:before="0" w:beforeAutospacing="0" w:after="0" w:afterAutospacing="0" w:line="360" w:lineRule="auto"/>
              <w:ind w:firstLine="420" w:firstLineChars="200"/>
              <w:jc w:val="both"/>
              <w:rPr>
                <w:rFonts w:ascii="宋体" w:hAnsi="宋体" w:cs="宋体"/>
                <w:kern w:val="2"/>
                <w:sz w:val="21"/>
                <w:szCs w:val="21"/>
              </w:rPr>
            </w:pPr>
          </w:p>
        </w:tc>
      </w:tr>
      <w:tr>
        <w:tblPrEx>
          <w:tblCellMar>
            <w:top w:w="0" w:type="dxa"/>
            <w:left w:w="108" w:type="dxa"/>
            <w:bottom w:w="0" w:type="dxa"/>
            <w:right w:w="108" w:type="dxa"/>
          </w:tblCellMar>
        </w:tblPrEx>
        <w:trPr>
          <w:trHeight w:val="461" w:hRule="atLeast"/>
        </w:trPr>
        <w:tc>
          <w:tcPr>
            <w:tcW w:w="8213" w:type="dxa"/>
            <w:vAlign w:val="center"/>
          </w:tcPr>
          <w:p>
            <w:pPr>
              <w:spacing w:line="360" w:lineRule="auto"/>
              <w:ind w:firstLine="420" w:firstLineChars="200"/>
              <w:jc w:val="left"/>
              <w:rPr>
                <w:rFonts w:ascii="宋体" w:hAnsi="宋体" w:cs="宋体"/>
                <w:szCs w:val="21"/>
              </w:rPr>
            </w:pPr>
            <w:r>
              <w:rPr>
                <w:rFonts w:hint="eastAsia" w:ascii="宋体" w:hAnsi="宋体" w:cs="宋体"/>
                <w:szCs w:val="21"/>
              </w:rPr>
              <w:t>地址：重庆市渝北区银杉路路66号</w:t>
            </w:r>
          </w:p>
        </w:tc>
        <w:tc>
          <w:tcPr>
            <w:tcW w:w="1415" w:type="dxa"/>
            <w:vAlign w:val="center"/>
          </w:tcPr>
          <w:p>
            <w:pPr>
              <w:spacing w:line="360" w:lineRule="auto"/>
              <w:ind w:firstLine="420" w:firstLineChars="200"/>
              <w:rPr>
                <w:rFonts w:ascii="宋体" w:hAnsi="宋体" w:cs="宋体"/>
                <w:szCs w:val="21"/>
              </w:rPr>
            </w:pPr>
          </w:p>
        </w:tc>
      </w:tr>
      <w:tr>
        <w:tblPrEx>
          <w:tblCellMar>
            <w:top w:w="0" w:type="dxa"/>
            <w:left w:w="108" w:type="dxa"/>
            <w:bottom w:w="0" w:type="dxa"/>
            <w:right w:w="108" w:type="dxa"/>
          </w:tblCellMar>
        </w:tblPrEx>
        <w:trPr>
          <w:trHeight w:val="470" w:hRule="atLeast"/>
        </w:trPr>
        <w:tc>
          <w:tcPr>
            <w:tcW w:w="8213" w:type="dxa"/>
            <w:vAlign w:val="center"/>
          </w:tcPr>
          <w:p>
            <w:pPr>
              <w:spacing w:line="360" w:lineRule="auto"/>
              <w:ind w:firstLine="420" w:firstLineChars="200"/>
              <w:jc w:val="left"/>
              <w:rPr>
                <w:rFonts w:hint="eastAsia" w:ascii="宋体" w:hAnsi="宋体" w:eastAsia="宋体" w:cs="宋体"/>
                <w:szCs w:val="21"/>
              </w:rPr>
            </w:pPr>
            <w:r>
              <w:rPr>
                <w:rFonts w:hint="eastAsia" w:ascii="宋体" w:hAnsi="宋体" w:eastAsia="宋体" w:cs="宋体"/>
                <w:szCs w:val="21"/>
              </w:rPr>
              <w:t xml:space="preserve">联系人： </w:t>
            </w:r>
            <w:r>
              <w:rPr>
                <w:rFonts w:hint="eastAsia" w:ascii="宋体" w:hAnsi="宋体" w:cs="宋体"/>
                <w:szCs w:val="21"/>
                <w:lang w:val="en-US" w:eastAsia="zh-CN"/>
              </w:rPr>
              <w:t xml:space="preserve">万老师         </w:t>
            </w:r>
            <w:r>
              <w:rPr>
                <w:rFonts w:hint="eastAsia" w:ascii="宋体" w:hAnsi="宋体" w:eastAsia="宋体" w:cs="宋体"/>
                <w:szCs w:val="21"/>
              </w:rPr>
              <w:t xml:space="preserve">          </w:t>
            </w:r>
          </w:p>
        </w:tc>
        <w:tc>
          <w:tcPr>
            <w:tcW w:w="1415" w:type="dxa"/>
            <w:vAlign w:val="center"/>
          </w:tcPr>
          <w:p>
            <w:pPr>
              <w:spacing w:line="360" w:lineRule="auto"/>
              <w:ind w:firstLine="420" w:firstLineChars="200"/>
              <w:rPr>
                <w:rFonts w:ascii="宋体" w:hAnsi="宋体" w:cs="宋体"/>
                <w:szCs w:val="21"/>
              </w:rPr>
            </w:pPr>
          </w:p>
        </w:tc>
      </w:tr>
      <w:tr>
        <w:tblPrEx>
          <w:tblCellMar>
            <w:top w:w="0" w:type="dxa"/>
            <w:left w:w="108" w:type="dxa"/>
            <w:bottom w:w="0" w:type="dxa"/>
            <w:right w:w="108" w:type="dxa"/>
          </w:tblCellMar>
        </w:tblPrEx>
        <w:trPr>
          <w:trHeight w:val="80" w:hRule="atLeast"/>
        </w:trPr>
        <w:tc>
          <w:tcPr>
            <w:tcW w:w="8213" w:type="dxa"/>
            <w:vAlign w:val="center"/>
          </w:tcPr>
          <w:p>
            <w:pPr>
              <w:spacing w:line="360" w:lineRule="auto"/>
              <w:ind w:firstLine="420" w:firstLineChars="200"/>
              <w:jc w:val="left"/>
              <w:rPr>
                <w:rFonts w:hint="eastAsia" w:ascii="宋体" w:hAnsi="宋体" w:eastAsia="宋体" w:cs="宋体"/>
                <w:szCs w:val="21"/>
              </w:rPr>
            </w:pPr>
            <w:r>
              <w:rPr>
                <w:rFonts w:hint="eastAsia" w:ascii="宋体" w:hAnsi="宋体" w:eastAsia="宋体" w:cs="宋体"/>
                <w:szCs w:val="21"/>
              </w:rPr>
              <w:t xml:space="preserve">电 话： </w:t>
            </w:r>
            <w:r>
              <w:rPr>
                <w:rFonts w:hint="eastAsia" w:ascii="宋体" w:hAnsi="宋体" w:cs="宋体"/>
                <w:szCs w:val="21"/>
                <w:lang w:val="en-US" w:eastAsia="zh-CN"/>
              </w:rPr>
              <w:t>023-88210900</w:t>
            </w:r>
            <w:r>
              <w:rPr>
                <w:rFonts w:hint="eastAsia" w:ascii="宋体" w:hAnsi="宋体" w:eastAsia="宋体" w:cs="宋体"/>
                <w:szCs w:val="21"/>
              </w:rPr>
              <w:t xml:space="preserve">    </w:t>
            </w:r>
          </w:p>
        </w:tc>
        <w:tc>
          <w:tcPr>
            <w:tcW w:w="1415" w:type="dxa"/>
            <w:vAlign w:val="center"/>
          </w:tcPr>
          <w:p>
            <w:pPr>
              <w:spacing w:line="360" w:lineRule="auto"/>
              <w:ind w:firstLine="420" w:firstLineChars="200"/>
              <w:rPr>
                <w:rFonts w:ascii="宋体" w:hAnsi="宋体" w:cs="宋体"/>
                <w:szCs w:val="21"/>
              </w:rPr>
            </w:pPr>
          </w:p>
        </w:tc>
      </w:tr>
      <w:bookmarkEnd w:id="54"/>
      <w:bookmarkEnd w:id="55"/>
    </w:tbl>
    <w:p>
      <w:bookmarkStart w:id="164" w:name="_Toc247085687"/>
      <w:bookmarkStart w:id="165" w:name="_Toc246996916"/>
      <w:bookmarkStart w:id="166" w:name="_Toc152045527"/>
      <w:bookmarkStart w:id="167" w:name="_Toc179632544"/>
      <w:bookmarkStart w:id="168" w:name="_Toc507319898"/>
      <w:bookmarkStart w:id="169" w:name="_Toc152042303"/>
      <w:bookmarkStart w:id="170" w:name="_Toc246996173"/>
      <w:bookmarkStart w:id="171" w:name="_Toc9955"/>
      <w:bookmarkStart w:id="172" w:name="_Toc144974495"/>
      <w:bookmarkStart w:id="173" w:name="_Toc2000405"/>
    </w:p>
    <w:p>
      <w:pPr>
        <w:pStyle w:val="15"/>
        <w:rPr>
          <w:kern w:val="44"/>
          <w:sz w:val="44"/>
          <w:szCs w:val="44"/>
        </w:rPr>
      </w:pPr>
      <w:r>
        <w:br w:type="page"/>
      </w:r>
    </w:p>
    <w:p>
      <w:pPr>
        <w:pStyle w:val="3"/>
      </w:pPr>
      <w:bookmarkStart w:id="174" w:name="_Toc30823"/>
      <w:bookmarkStart w:id="175" w:name="_Toc25862"/>
      <w:bookmarkStart w:id="176" w:name="_Toc27734"/>
      <w:bookmarkStart w:id="177" w:name="_Toc11970"/>
      <w:bookmarkStart w:id="178" w:name="_Toc6798"/>
      <w:bookmarkStart w:id="179" w:name="_Toc19561"/>
      <w:bookmarkStart w:id="180" w:name="_Toc16174"/>
      <w:bookmarkStart w:id="181" w:name="_Toc32754"/>
      <w:bookmarkStart w:id="182" w:name="_Toc6751"/>
      <w:bookmarkStart w:id="183" w:name="_Toc17867"/>
      <w:r>
        <w:rPr>
          <w:rFonts w:hint="eastAsia"/>
        </w:rPr>
        <w:t xml:space="preserve">第二章 </w:t>
      </w:r>
      <w:r>
        <w:rPr>
          <w:rFonts w:hint="eastAsia" w:asciiTheme="minorEastAsia" w:hAnsiTheme="minorEastAsia" w:eastAsiaTheme="minorEastAsia"/>
          <w:szCs w:val="21"/>
        </w:rPr>
        <w:t>比选人</w:t>
      </w:r>
      <w:r>
        <w:rPr>
          <w:rFonts w:hint="eastAsia"/>
        </w:rPr>
        <w:t>须知</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tbl>
      <w:tblPr>
        <w:tblStyle w:val="41"/>
        <w:tblW w:w="9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8"/>
        <w:gridCol w:w="1675"/>
        <w:gridCol w:w="7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blHeader/>
          <w:jc w:val="center"/>
        </w:trPr>
        <w:tc>
          <w:tcPr>
            <w:tcW w:w="1128" w:type="dxa"/>
            <w:vAlign w:val="center"/>
          </w:tcPr>
          <w:p>
            <w:pPr>
              <w:spacing w:line="360" w:lineRule="auto"/>
              <w:jc w:val="center"/>
              <w:rPr>
                <w:rFonts w:cs="宋体" w:asciiTheme="minorEastAsia" w:hAnsiTheme="minorEastAsia" w:eastAsiaTheme="minorEastAsia"/>
                <w:b/>
                <w:kern w:val="0"/>
                <w:szCs w:val="21"/>
              </w:rPr>
            </w:pPr>
            <w:bookmarkStart w:id="184" w:name="_Toc326760840"/>
            <w:r>
              <w:rPr>
                <w:rFonts w:hint="eastAsia" w:cs="宋体" w:asciiTheme="minorEastAsia" w:hAnsiTheme="minorEastAsia" w:eastAsiaTheme="minorEastAsia"/>
                <w:b/>
                <w:kern w:val="0"/>
                <w:szCs w:val="21"/>
              </w:rPr>
              <w:t>序号</w:t>
            </w:r>
          </w:p>
        </w:tc>
        <w:tc>
          <w:tcPr>
            <w:tcW w:w="1675" w:type="dxa"/>
            <w:vAlign w:val="center"/>
          </w:tcPr>
          <w:p>
            <w:pPr>
              <w:spacing w:line="360" w:lineRule="auto"/>
              <w:jc w:val="center"/>
              <w:rPr>
                <w:rFonts w:cs="宋体" w:asciiTheme="minorEastAsia" w:hAnsiTheme="minorEastAsia" w:eastAsiaTheme="minorEastAsia"/>
                <w:b/>
                <w:kern w:val="0"/>
                <w:szCs w:val="21"/>
              </w:rPr>
            </w:pPr>
            <w:r>
              <w:rPr>
                <w:rFonts w:hint="eastAsia" w:cs="宋体" w:asciiTheme="minorEastAsia" w:hAnsiTheme="minorEastAsia" w:eastAsiaTheme="minorEastAsia"/>
                <w:b/>
                <w:kern w:val="0"/>
                <w:szCs w:val="21"/>
              </w:rPr>
              <w:t>条款名称</w:t>
            </w:r>
          </w:p>
        </w:tc>
        <w:tc>
          <w:tcPr>
            <w:tcW w:w="7104" w:type="dxa"/>
            <w:vAlign w:val="center"/>
          </w:tcPr>
          <w:p>
            <w:pPr>
              <w:spacing w:line="360" w:lineRule="auto"/>
              <w:ind w:firstLine="422" w:firstLineChars="200"/>
              <w:jc w:val="center"/>
              <w:rPr>
                <w:rFonts w:cs="宋体" w:asciiTheme="minorEastAsia" w:hAnsiTheme="minorEastAsia" w:eastAsiaTheme="minorEastAsia"/>
                <w:b/>
                <w:kern w:val="0"/>
                <w:szCs w:val="21"/>
              </w:rPr>
            </w:pPr>
            <w:r>
              <w:rPr>
                <w:rFonts w:hint="eastAsia" w:cs="宋体" w:asciiTheme="minorEastAsia" w:hAnsiTheme="minorEastAsia" w:eastAsiaTheme="minorEastAsia"/>
                <w:b/>
                <w:kern w:val="0"/>
                <w:szCs w:val="21"/>
              </w:rPr>
              <w:t>编  列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jc w:val="center"/>
        </w:trPr>
        <w:tc>
          <w:tcPr>
            <w:tcW w:w="1128" w:type="dxa"/>
            <w:vAlign w:val="center"/>
          </w:tcPr>
          <w:p>
            <w:pPr>
              <w:pStyle w:val="173"/>
              <w:numPr>
                <w:ilvl w:val="0"/>
                <w:numId w:val="5"/>
              </w:numPr>
              <w:spacing w:line="360" w:lineRule="auto"/>
              <w:ind w:firstLineChars="0"/>
              <w:jc w:val="center"/>
              <w:rPr>
                <w:rFonts w:cs="宋体" w:asciiTheme="minorEastAsia" w:hAnsiTheme="minorEastAsia" w:eastAsiaTheme="minorEastAsia"/>
                <w:kern w:val="0"/>
                <w:szCs w:val="21"/>
              </w:rPr>
            </w:pPr>
          </w:p>
        </w:tc>
        <w:tc>
          <w:tcPr>
            <w:tcW w:w="1675" w:type="dxa"/>
            <w:vAlign w:val="center"/>
          </w:tcPr>
          <w:p>
            <w:pPr>
              <w:spacing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采购人</w:t>
            </w:r>
          </w:p>
        </w:tc>
        <w:tc>
          <w:tcPr>
            <w:tcW w:w="7104" w:type="dxa"/>
            <w:vAlign w:val="center"/>
          </w:tcPr>
          <w:p>
            <w:pPr>
              <w:spacing w:line="360" w:lineRule="auto"/>
              <w:ind w:firstLine="420" w:firstLineChars="200"/>
              <w:rPr>
                <w:rFonts w:hint="eastAsia" w:cs="宋体" w:asciiTheme="minorEastAsia" w:hAnsiTheme="minorEastAsia" w:eastAsiaTheme="minorEastAsia"/>
                <w:szCs w:val="21"/>
                <w:lang w:eastAsia="zh-CN"/>
              </w:rPr>
            </w:pPr>
            <w:r>
              <w:rPr>
                <w:rFonts w:hint="eastAsia" w:cs="宋体" w:asciiTheme="minorEastAsia" w:hAnsiTheme="minorEastAsia" w:eastAsiaTheme="minorEastAsia"/>
                <w:szCs w:val="21"/>
              </w:rPr>
              <w:t>采购人：</w:t>
            </w:r>
            <w:r>
              <w:rPr>
                <w:rFonts w:hint="eastAsia" w:cs="宋体" w:asciiTheme="minorEastAsia" w:hAnsiTheme="minorEastAsia" w:eastAsiaTheme="minorEastAsia"/>
                <w:szCs w:val="21"/>
                <w:lang w:eastAsia="zh-CN"/>
              </w:rPr>
              <w:t>重庆成渝垫丰武高速公路有限公司</w:t>
            </w:r>
          </w:p>
          <w:p>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地  址：重庆市渝北区银杉路路66号</w:t>
            </w:r>
          </w:p>
          <w:p>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联系人：</w:t>
            </w:r>
            <w:r>
              <w:rPr>
                <w:rFonts w:hint="eastAsia" w:cs="宋体" w:asciiTheme="minorEastAsia" w:hAnsiTheme="minorEastAsia" w:eastAsiaTheme="minorEastAsia"/>
                <w:szCs w:val="21"/>
                <w:lang w:val="en-US" w:eastAsia="zh-CN"/>
              </w:rPr>
              <w:t>万</w:t>
            </w:r>
            <w:r>
              <w:rPr>
                <w:rFonts w:hint="eastAsia" w:cs="宋体" w:asciiTheme="minorEastAsia" w:hAnsiTheme="minorEastAsia" w:eastAsiaTheme="minorEastAsia"/>
                <w:szCs w:val="21"/>
              </w:rPr>
              <w:t>老师</w:t>
            </w:r>
          </w:p>
          <w:p>
            <w:pPr>
              <w:topLinePunct/>
              <w:spacing w:line="360" w:lineRule="auto"/>
              <w:ind w:firstLine="420" w:firstLineChars="200"/>
              <w:rPr>
                <w:rFonts w:hint="default" w:asciiTheme="minorEastAsia" w:hAnsiTheme="minorEastAsia" w:eastAsiaTheme="minorEastAsia"/>
                <w:szCs w:val="21"/>
                <w:lang w:val="en-US" w:eastAsia="zh-CN"/>
              </w:rPr>
            </w:pPr>
            <w:r>
              <w:rPr>
                <w:rFonts w:hint="eastAsia" w:cs="宋体" w:asciiTheme="minorEastAsia" w:hAnsiTheme="minorEastAsia" w:eastAsiaTheme="minorEastAsia"/>
                <w:szCs w:val="21"/>
              </w:rPr>
              <w:t>电  话：</w:t>
            </w:r>
            <w:r>
              <w:rPr>
                <w:rFonts w:hint="eastAsia" w:ascii="宋体" w:hAnsi="宋体" w:cs="宋体"/>
                <w:szCs w:val="21"/>
                <w:lang w:val="en-US" w:eastAsia="zh-CN"/>
              </w:rPr>
              <w:t>023-88210900</w:t>
            </w:r>
            <w:r>
              <w:rPr>
                <w:rFonts w:hint="eastAsia" w:ascii="宋体" w:hAnsi="宋体" w:eastAsia="宋体" w:cs="宋体"/>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28" w:type="dxa"/>
            <w:vAlign w:val="center"/>
          </w:tcPr>
          <w:p>
            <w:pPr>
              <w:pStyle w:val="173"/>
              <w:numPr>
                <w:ilvl w:val="0"/>
                <w:numId w:val="5"/>
              </w:numPr>
              <w:spacing w:line="360" w:lineRule="auto"/>
              <w:ind w:firstLineChars="0"/>
              <w:jc w:val="center"/>
              <w:rPr>
                <w:rFonts w:cs="宋体" w:asciiTheme="minorEastAsia" w:hAnsiTheme="minorEastAsia" w:eastAsiaTheme="minorEastAsia"/>
                <w:kern w:val="0"/>
                <w:szCs w:val="21"/>
              </w:rPr>
            </w:pPr>
          </w:p>
        </w:tc>
        <w:tc>
          <w:tcPr>
            <w:tcW w:w="1675" w:type="dxa"/>
            <w:vAlign w:val="center"/>
          </w:tcPr>
          <w:p>
            <w:pPr>
              <w:spacing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项目名称</w:t>
            </w:r>
          </w:p>
        </w:tc>
        <w:tc>
          <w:tcPr>
            <w:tcW w:w="7104" w:type="dxa"/>
            <w:vAlign w:val="center"/>
          </w:tcPr>
          <w:p>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lang w:val="en-US" w:eastAsia="zh-CN"/>
              </w:rPr>
              <w:t>重庆</w:t>
            </w:r>
            <w:r>
              <w:rPr>
                <w:rFonts w:hint="eastAsia" w:cs="宋体" w:asciiTheme="minorEastAsia" w:hAnsiTheme="minorEastAsia" w:eastAsiaTheme="minorEastAsia"/>
                <w:szCs w:val="21"/>
              </w:rPr>
              <w:t>成渝垫丰武</w:t>
            </w:r>
            <w:r>
              <w:rPr>
                <w:rFonts w:hint="eastAsia" w:cs="宋体" w:asciiTheme="minorEastAsia" w:hAnsiTheme="minorEastAsia" w:eastAsiaTheme="minorEastAsia"/>
                <w:szCs w:val="21"/>
                <w:lang w:val="en-US" w:eastAsia="zh-CN"/>
              </w:rPr>
              <w:t>高速公路有限</w:t>
            </w:r>
            <w:r>
              <w:rPr>
                <w:rFonts w:hint="eastAsia" w:cs="宋体" w:asciiTheme="minorEastAsia" w:hAnsiTheme="minorEastAsia" w:eastAsiaTheme="minorEastAsia"/>
                <w:szCs w:val="21"/>
              </w:rPr>
              <w:t>公司</w:t>
            </w:r>
            <w:r>
              <w:rPr>
                <w:rFonts w:hint="eastAsia" w:cs="宋体" w:asciiTheme="minorEastAsia" w:hAnsiTheme="minorEastAsia" w:eastAsiaTheme="minorEastAsia"/>
                <w:szCs w:val="21"/>
                <w:lang w:eastAsia="zh-CN"/>
              </w:rPr>
              <w:t>白市驿、垫江、丰都、武隆驻点</w:t>
            </w:r>
            <w:r>
              <w:rPr>
                <w:rFonts w:hint="eastAsia" w:cs="宋体" w:asciiTheme="minorEastAsia" w:hAnsiTheme="minorEastAsia" w:eastAsiaTheme="minorEastAsia"/>
                <w:szCs w:val="21"/>
              </w:rPr>
              <w:t>办公家具采购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28" w:type="dxa"/>
            <w:vAlign w:val="center"/>
          </w:tcPr>
          <w:p>
            <w:pPr>
              <w:pStyle w:val="173"/>
              <w:numPr>
                <w:ilvl w:val="0"/>
                <w:numId w:val="5"/>
              </w:numPr>
              <w:spacing w:line="360" w:lineRule="auto"/>
              <w:ind w:firstLineChars="0"/>
              <w:jc w:val="center"/>
              <w:rPr>
                <w:rFonts w:cs="宋体" w:asciiTheme="minorEastAsia" w:hAnsiTheme="minorEastAsia" w:eastAsiaTheme="minorEastAsia"/>
                <w:kern w:val="0"/>
                <w:szCs w:val="21"/>
              </w:rPr>
            </w:pPr>
          </w:p>
        </w:tc>
        <w:tc>
          <w:tcPr>
            <w:tcW w:w="1675" w:type="dxa"/>
            <w:vAlign w:val="center"/>
          </w:tcPr>
          <w:p>
            <w:pPr>
              <w:spacing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项目地点</w:t>
            </w:r>
          </w:p>
        </w:tc>
        <w:tc>
          <w:tcPr>
            <w:tcW w:w="7104" w:type="dxa"/>
            <w:vAlign w:val="center"/>
          </w:tcPr>
          <w:p>
            <w:pPr>
              <w:numPr>
                <w:ilvl w:val="0"/>
                <w:numId w:val="0"/>
              </w:numPr>
              <w:spacing w:line="360" w:lineRule="auto"/>
              <w:ind w:firstLine="0" w:firstLineChars="0"/>
              <w:rPr>
                <w:rFonts w:cs="宋体" w:asciiTheme="minorEastAsia" w:hAnsiTheme="minorEastAsia" w:eastAsiaTheme="minorEastAsia"/>
                <w:szCs w:val="21"/>
              </w:rPr>
            </w:pPr>
            <w:r>
              <w:rPr>
                <w:rFonts w:hint="eastAsia" w:ascii="宋体" w:hAnsi="宋体" w:cs="宋体"/>
                <w:sz w:val="21"/>
                <w:szCs w:val="21"/>
                <w:lang w:val="en-US" w:eastAsia="zh-CN"/>
              </w:rPr>
              <w:t>白市驿太慈佳园商业楼；</w:t>
            </w:r>
            <w:r>
              <w:rPr>
                <w:rFonts w:hint="eastAsia" w:ascii="宋体" w:hAnsi="宋体" w:eastAsia="宋体" w:cs="宋体"/>
                <w:sz w:val="21"/>
                <w:szCs w:val="21"/>
                <w:lang w:val="en-US" w:eastAsia="zh-CN"/>
              </w:rPr>
              <w:t>垫江县财富商务大厦12楼；武隆区芙蓉东路芙蓉街道芙蓉东路5号荣融大厦11楼；丰都县三合街道滨江西路38号附1号2楼。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128" w:type="dxa"/>
            <w:vAlign w:val="center"/>
          </w:tcPr>
          <w:p>
            <w:pPr>
              <w:pStyle w:val="173"/>
              <w:numPr>
                <w:ilvl w:val="0"/>
                <w:numId w:val="5"/>
              </w:numPr>
              <w:spacing w:line="360" w:lineRule="auto"/>
              <w:ind w:firstLineChars="0"/>
              <w:jc w:val="center"/>
              <w:rPr>
                <w:rFonts w:cs="宋体" w:asciiTheme="minorEastAsia" w:hAnsiTheme="minorEastAsia" w:eastAsiaTheme="minorEastAsia"/>
                <w:kern w:val="0"/>
                <w:szCs w:val="21"/>
              </w:rPr>
            </w:pPr>
          </w:p>
        </w:tc>
        <w:tc>
          <w:tcPr>
            <w:tcW w:w="1675" w:type="dxa"/>
            <w:vAlign w:val="center"/>
          </w:tcPr>
          <w:p>
            <w:pPr>
              <w:spacing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资金来源</w:t>
            </w:r>
          </w:p>
        </w:tc>
        <w:tc>
          <w:tcPr>
            <w:tcW w:w="7104" w:type="dxa"/>
            <w:vAlign w:val="center"/>
          </w:tcPr>
          <w:p>
            <w:pPr>
              <w:spacing w:line="360" w:lineRule="auto"/>
              <w:ind w:firstLine="420" w:firstLineChars="200"/>
              <w:rPr>
                <w:rFonts w:cs="宋体" w:asciiTheme="minorEastAsia" w:hAnsiTheme="minorEastAsia" w:eastAsiaTheme="minorEastAsia"/>
                <w:szCs w:val="21"/>
              </w:rPr>
            </w:pPr>
            <w:r>
              <w:rPr>
                <w:rFonts w:hint="eastAsia" w:ascii="宋体" w:hAnsi="宋体" w:eastAsia="宋体" w:cs="宋体"/>
                <w:sz w:val="21"/>
                <w:szCs w:val="21"/>
                <w:lang w:val="en-US" w:eastAsia="zh-CN"/>
              </w:rPr>
              <w:t>重庆成渝改扩建工程建设管理有限公司、重庆垫丰高速工程建设管理有限公司及重庆丰武高速工程建设管理有限公司预算资金</w:t>
            </w:r>
            <w:r>
              <w:rPr>
                <w:rFonts w:hint="eastAsia" w:cs="宋体" w:asciiTheme="minorEastAsia" w:hAnsiTheme="minorEastAsia"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128" w:type="dxa"/>
            <w:vAlign w:val="center"/>
          </w:tcPr>
          <w:p>
            <w:pPr>
              <w:pStyle w:val="173"/>
              <w:numPr>
                <w:ilvl w:val="0"/>
                <w:numId w:val="5"/>
              </w:numPr>
              <w:spacing w:line="360" w:lineRule="auto"/>
              <w:ind w:firstLineChars="0"/>
              <w:jc w:val="center"/>
              <w:rPr>
                <w:rFonts w:cs="宋体" w:asciiTheme="minorEastAsia" w:hAnsiTheme="minorEastAsia" w:eastAsiaTheme="minorEastAsia"/>
                <w:kern w:val="0"/>
                <w:szCs w:val="21"/>
              </w:rPr>
            </w:pPr>
          </w:p>
        </w:tc>
        <w:tc>
          <w:tcPr>
            <w:tcW w:w="1675" w:type="dxa"/>
            <w:vAlign w:val="center"/>
          </w:tcPr>
          <w:p>
            <w:pPr>
              <w:spacing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出资比例</w:t>
            </w:r>
          </w:p>
        </w:tc>
        <w:tc>
          <w:tcPr>
            <w:tcW w:w="7104" w:type="dxa"/>
            <w:vAlign w:val="center"/>
          </w:tcPr>
          <w:p>
            <w:pPr>
              <w:spacing w:line="360" w:lineRule="auto"/>
              <w:ind w:firstLine="420" w:firstLineChars="200"/>
              <w:rPr>
                <w:rFonts w:cs="宋体" w:asciiTheme="minorEastAsia" w:hAnsiTheme="minorEastAsia" w:eastAsiaTheme="minorEastAsia"/>
                <w:szCs w:val="21"/>
              </w:rPr>
            </w:pPr>
            <w:r>
              <w:rPr>
                <w:rFonts w:hint="eastAsia" w:ascii="宋体" w:hAnsi="宋体" w:eastAsia="宋体" w:cs="宋体"/>
                <w:sz w:val="21"/>
                <w:szCs w:val="21"/>
                <w:lang w:val="en-US" w:eastAsia="zh-CN"/>
              </w:rPr>
              <w:t>按照资金来源：</w:t>
            </w:r>
            <w:r>
              <w:rPr>
                <w:rFonts w:hint="eastAsia" w:ascii="宋体" w:hAnsi="宋体" w:eastAsia="宋体" w:cs="宋体"/>
                <w:kern w:val="2"/>
                <w:sz w:val="21"/>
                <w:szCs w:val="21"/>
                <w:lang w:val="en-US" w:eastAsia="zh-CN" w:bidi="ar-SA"/>
              </w:rPr>
              <w:t>垫江驻点办公家具重庆垫丰高速工程建设管理有限公司出资100%；武隆及丰都驻点办公家具由重庆丰武高速工程建设管理有限公司出资100%；白市驿驻点办公家具由</w:t>
            </w:r>
            <w:r>
              <w:rPr>
                <w:rFonts w:hint="eastAsia" w:ascii="宋体" w:hAnsi="宋体" w:eastAsia="宋体" w:cs="宋体"/>
                <w:sz w:val="21"/>
                <w:szCs w:val="21"/>
                <w:lang w:val="en-US" w:eastAsia="zh-CN"/>
              </w:rPr>
              <w:t>重庆成渝改扩建工程建设管理有限公司出资100%</w:t>
            </w:r>
            <w:r>
              <w:rPr>
                <w:rFonts w:hint="eastAsia" w:ascii="宋体" w:hAnsi="宋体" w:cs="宋体"/>
                <w:szCs w:val="21"/>
                <w:u w:val="none"/>
                <w:lang w:eastAsia="zh-CN"/>
              </w:rPr>
              <w:t>。</w:t>
            </w:r>
            <w:r>
              <w:rPr>
                <w:rFonts w:hint="eastAsia" w:cs="宋体" w:asciiTheme="minorEastAsia" w:hAnsiTheme="minorEastAsia"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128" w:type="dxa"/>
            <w:vAlign w:val="center"/>
          </w:tcPr>
          <w:p>
            <w:pPr>
              <w:pStyle w:val="173"/>
              <w:numPr>
                <w:ilvl w:val="0"/>
                <w:numId w:val="5"/>
              </w:numPr>
              <w:spacing w:line="360" w:lineRule="auto"/>
              <w:ind w:firstLineChars="0"/>
              <w:jc w:val="center"/>
              <w:rPr>
                <w:rFonts w:cs="宋体" w:asciiTheme="minorEastAsia" w:hAnsiTheme="minorEastAsia" w:eastAsiaTheme="minorEastAsia"/>
                <w:kern w:val="0"/>
                <w:szCs w:val="21"/>
              </w:rPr>
            </w:pPr>
          </w:p>
        </w:tc>
        <w:tc>
          <w:tcPr>
            <w:tcW w:w="1675" w:type="dxa"/>
            <w:vAlign w:val="center"/>
          </w:tcPr>
          <w:p>
            <w:pPr>
              <w:spacing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资金落实情况</w:t>
            </w:r>
          </w:p>
        </w:tc>
        <w:tc>
          <w:tcPr>
            <w:tcW w:w="7104" w:type="dxa"/>
            <w:vAlign w:val="center"/>
          </w:tcPr>
          <w:p>
            <w:pPr>
              <w:autoSpaceDE w:val="0"/>
              <w:autoSpaceDN w:val="0"/>
              <w:adjustRightInd w:val="0"/>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128" w:type="dxa"/>
            <w:tcBorders>
              <w:bottom w:val="single" w:color="auto" w:sz="4" w:space="0"/>
            </w:tcBorders>
            <w:vAlign w:val="center"/>
          </w:tcPr>
          <w:p>
            <w:pPr>
              <w:pStyle w:val="173"/>
              <w:numPr>
                <w:ilvl w:val="0"/>
                <w:numId w:val="5"/>
              </w:numPr>
              <w:spacing w:line="360" w:lineRule="auto"/>
              <w:ind w:firstLineChars="0"/>
              <w:jc w:val="center"/>
              <w:rPr>
                <w:rFonts w:cs="宋体" w:asciiTheme="minorEastAsia" w:hAnsiTheme="minorEastAsia" w:eastAsiaTheme="minorEastAsia"/>
                <w:kern w:val="0"/>
                <w:szCs w:val="21"/>
              </w:rPr>
            </w:pPr>
          </w:p>
        </w:tc>
        <w:tc>
          <w:tcPr>
            <w:tcW w:w="1675" w:type="dxa"/>
            <w:tcBorders>
              <w:bottom w:val="single" w:color="auto" w:sz="4" w:space="0"/>
            </w:tcBorders>
            <w:vAlign w:val="center"/>
          </w:tcPr>
          <w:p>
            <w:pPr>
              <w:spacing w:line="360" w:lineRule="auto"/>
              <w:jc w:val="center"/>
              <w:rPr>
                <w:rFonts w:hint="eastAsia" w:cs="宋体" w:asciiTheme="minorEastAsia" w:hAnsiTheme="minorEastAsia" w:eastAsiaTheme="minorEastAsia"/>
                <w:szCs w:val="21"/>
                <w:lang w:val="en-US" w:eastAsia="zh-CN"/>
              </w:rPr>
            </w:pPr>
            <w:r>
              <w:rPr>
                <w:rFonts w:hint="eastAsia" w:cs="宋体" w:asciiTheme="minorEastAsia" w:hAnsiTheme="minorEastAsia" w:eastAsiaTheme="minorEastAsia"/>
                <w:szCs w:val="21"/>
                <w:lang w:val="en-US" w:eastAsia="zh-CN"/>
              </w:rPr>
              <w:t>评标方式</w:t>
            </w:r>
          </w:p>
        </w:tc>
        <w:tc>
          <w:tcPr>
            <w:tcW w:w="7104" w:type="dxa"/>
            <w:tcBorders>
              <w:bottom w:val="single" w:color="auto" w:sz="4" w:space="0"/>
            </w:tcBorders>
            <w:vAlign w:val="center"/>
          </w:tcPr>
          <w:p>
            <w:pPr>
              <w:tabs>
                <w:tab w:val="left" w:pos="3000"/>
                <w:tab w:val="left" w:pos="3280"/>
                <w:tab w:val="left" w:pos="6120"/>
                <w:tab w:val="left" w:pos="7540"/>
                <w:tab w:val="left" w:pos="8320"/>
              </w:tabs>
              <w:autoSpaceDE w:val="0"/>
              <w:autoSpaceDN w:val="0"/>
              <w:adjustRightInd w:val="0"/>
              <w:spacing w:line="360" w:lineRule="auto"/>
              <w:ind w:firstLine="420" w:firstLineChars="200"/>
              <w:rPr>
                <w:rFonts w:hint="default" w:cs="宋体" w:asciiTheme="minorEastAsia" w:hAnsiTheme="minorEastAsia" w:eastAsiaTheme="minorEastAsia"/>
                <w:kern w:val="0"/>
                <w:szCs w:val="21"/>
                <w:lang w:val="en-US" w:eastAsia="zh-CN"/>
              </w:rPr>
            </w:pPr>
            <w:r>
              <w:rPr>
                <w:rFonts w:hint="eastAsia" w:cs="宋体" w:asciiTheme="minorEastAsia" w:hAnsiTheme="minorEastAsia" w:eastAsiaTheme="minorEastAsia"/>
                <w:kern w:val="0"/>
                <w:szCs w:val="21"/>
                <w:lang w:val="en-US" w:eastAsia="zh-CN"/>
              </w:rPr>
              <w:t>经评审的最低投标价法。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128" w:type="dxa"/>
            <w:tcBorders>
              <w:top w:val="single" w:color="auto" w:sz="4" w:space="0"/>
            </w:tcBorders>
            <w:vAlign w:val="center"/>
          </w:tcPr>
          <w:p>
            <w:pPr>
              <w:pStyle w:val="173"/>
              <w:numPr>
                <w:ilvl w:val="0"/>
                <w:numId w:val="5"/>
              </w:numPr>
              <w:spacing w:line="360" w:lineRule="auto"/>
              <w:ind w:firstLineChars="0"/>
              <w:jc w:val="center"/>
              <w:rPr>
                <w:rFonts w:cs="宋体" w:asciiTheme="minorEastAsia" w:hAnsiTheme="minorEastAsia" w:eastAsiaTheme="minorEastAsia"/>
                <w:kern w:val="0"/>
                <w:szCs w:val="21"/>
              </w:rPr>
            </w:pPr>
          </w:p>
        </w:tc>
        <w:tc>
          <w:tcPr>
            <w:tcW w:w="1675" w:type="dxa"/>
            <w:tcBorders>
              <w:top w:val="single" w:color="auto" w:sz="4" w:space="0"/>
            </w:tcBorders>
            <w:vAlign w:val="center"/>
          </w:tcPr>
          <w:p>
            <w:pPr>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比选范围</w:t>
            </w:r>
          </w:p>
        </w:tc>
        <w:tc>
          <w:tcPr>
            <w:tcW w:w="7104" w:type="dxa"/>
            <w:tcBorders>
              <w:top w:val="single" w:color="auto" w:sz="4" w:space="0"/>
            </w:tcBorders>
            <w:vAlign w:val="center"/>
          </w:tcPr>
          <w:p>
            <w:pPr>
              <w:tabs>
                <w:tab w:val="left" w:pos="3000"/>
                <w:tab w:val="left" w:pos="3280"/>
                <w:tab w:val="left" w:pos="6120"/>
                <w:tab w:val="left" w:pos="7540"/>
                <w:tab w:val="left" w:pos="8320"/>
              </w:tabs>
              <w:autoSpaceDE w:val="0"/>
              <w:autoSpaceDN w:val="0"/>
              <w:adjustRightInd w:val="0"/>
              <w:spacing w:line="360" w:lineRule="auto"/>
              <w:ind w:firstLine="420" w:firstLineChars="200"/>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比选范围：本次采购主要内容包括：按照设计方案提供班台、沙发、定制书柜、办公桌椅等。</w:t>
            </w:r>
          </w:p>
          <w:p>
            <w:pPr>
              <w:tabs>
                <w:tab w:val="left" w:pos="3000"/>
                <w:tab w:val="left" w:pos="3280"/>
                <w:tab w:val="left" w:pos="6120"/>
                <w:tab w:val="left" w:pos="7540"/>
                <w:tab w:val="left" w:pos="8320"/>
              </w:tabs>
              <w:autoSpaceDE w:val="0"/>
              <w:autoSpaceDN w:val="0"/>
              <w:adjustRightInd w:val="0"/>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kern w:val="0"/>
                <w:szCs w:val="21"/>
              </w:rPr>
              <w:t>上述实施内容包含根据办公场所实际需求进行量尺、设计、制作、运输、安装及</w:t>
            </w:r>
            <w:r>
              <w:rPr>
                <w:rFonts w:hint="eastAsia" w:cs="宋体" w:asciiTheme="minorEastAsia" w:hAnsiTheme="minorEastAsia" w:eastAsiaTheme="minorEastAsia"/>
                <w:kern w:val="0"/>
                <w:szCs w:val="21"/>
                <w:lang w:val="en-US" w:eastAsia="zh-CN"/>
              </w:rPr>
              <w:t>调试</w:t>
            </w:r>
            <w:r>
              <w:rPr>
                <w:rFonts w:hint="eastAsia" w:cs="宋体" w:asciiTheme="minorEastAsia" w:hAnsiTheme="minorEastAsia" w:eastAsiaTheme="minorEastAsia"/>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8" w:type="dxa"/>
            <w:vAlign w:val="center"/>
          </w:tcPr>
          <w:p>
            <w:pPr>
              <w:pStyle w:val="173"/>
              <w:numPr>
                <w:ilvl w:val="0"/>
                <w:numId w:val="5"/>
              </w:numPr>
              <w:spacing w:line="360" w:lineRule="auto"/>
              <w:ind w:firstLineChars="0"/>
              <w:jc w:val="center"/>
              <w:rPr>
                <w:rFonts w:cs="宋体" w:asciiTheme="minorEastAsia" w:hAnsiTheme="minorEastAsia" w:eastAsiaTheme="minorEastAsia"/>
                <w:kern w:val="0"/>
                <w:szCs w:val="21"/>
              </w:rPr>
            </w:pPr>
          </w:p>
        </w:tc>
        <w:tc>
          <w:tcPr>
            <w:tcW w:w="1675" w:type="dxa"/>
            <w:vAlign w:val="center"/>
          </w:tcPr>
          <w:p>
            <w:pPr>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kern w:val="0"/>
                <w:szCs w:val="21"/>
              </w:rPr>
              <w:t>计划交货期</w:t>
            </w:r>
          </w:p>
        </w:tc>
        <w:tc>
          <w:tcPr>
            <w:tcW w:w="7104" w:type="dxa"/>
            <w:vAlign w:val="center"/>
          </w:tcPr>
          <w:p>
            <w:pPr>
              <w:tabs>
                <w:tab w:val="left" w:pos="3000"/>
                <w:tab w:val="left" w:pos="3280"/>
                <w:tab w:val="left" w:pos="6120"/>
                <w:tab w:val="left" w:pos="7540"/>
                <w:tab w:val="left" w:pos="8320"/>
              </w:tabs>
              <w:autoSpaceDE w:val="0"/>
              <w:autoSpaceDN w:val="0"/>
              <w:adjustRightInd w:val="0"/>
              <w:spacing w:line="360" w:lineRule="auto"/>
              <w:ind w:firstLine="420" w:firstLineChars="200"/>
              <w:rPr>
                <w:rFonts w:cs="宋体" w:asciiTheme="minorEastAsia" w:hAnsiTheme="minorEastAsia" w:eastAsiaTheme="minorEastAsia"/>
                <w:kern w:val="10"/>
                <w:szCs w:val="21"/>
              </w:rPr>
            </w:pPr>
            <w:r>
              <w:rPr>
                <w:rFonts w:hint="eastAsia" w:cs="宋体" w:asciiTheme="minorEastAsia" w:hAnsiTheme="minorEastAsia" w:eastAsiaTheme="minorEastAsia"/>
                <w:kern w:val="0"/>
                <w:szCs w:val="21"/>
                <w:highlight w:val="none"/>
              </w:rPr>
              <w:t>计划交货期：</w:t>
            </w:r>
            <w:r>
              <w:rPr>
                <w:rFonts w:hint="eastAsia" w:cs="宋体" w:asciiTheme="minorEastAsia" w:hAnsiTheme="minorEastAsia" w:eastAsiaTheme="minorEastAsia"/>
                <w:kern w:val="0"/>
                <w:szCs w:val="21"/>
                <w:highlight w:val="none"/>
                <w:lang w:val="en-US" w:eastAsia="zh-CN"/>
              </w:rPr>
              <w:t>以合同签订时间为工期起始日。其中，</w:t>
            </w:r>
            <w:r>
              <w:rPr>
                <w:rFonts w:hint="eastAsia" w:ascii="宋体" w:hAnsi="宋体" w:cs="宋体"/>
                <w:szCs w:val="21"/>
                <w:lang w:val="en-US" w:eastAsia="zh-CN"/>
              </w:rPr>
              <w:t>白市驿驻点办公家具交货安装工期15历日；</w:t>
            </w:r>
            <w:r>
              <w:rPr>
                <w:rFonts w:hint="eastAsia" w:ascii="宋体" w:hAnsi="宋体" w:eastAsia="宋体" w:cs="宋体"/>
                <w:sz w:val="21"/>
                <w:szCs w:val="21"/>
                <w:lang w:val="en-US" w:eastAsia="zh-CN"/>
              </w:rPr>
              <w:t>垫江驻点办公家具</w:t>
            </w:r>
            <w:r>
              <w:rPr>
                <w:rFonts w:hint="eastAsia" w:ascii="宋体" w:hAnsi="宋体" w:cs="宋体"/>
                <w:sz w:val="21"/>
                <w:szCs w:val="21"/>
                <w:lang w:val="en-US" w:eastAsia="zh-CN"/>
              </w:rPr>
              <w:t>交货</w:t>
            </w:r>
            <w:r>
              <w:rPr>
                <w:rFonts w:hint="eastAsia" w:ascii="宋体" w:hAnsi="宋体" w:eastAsia="宋体" w:cs="宋体"/>
                <w:sz w:val="21"/>
                <w:szCs w:val="21"/>
                <w:lang w:val="en-US" w:eastAsia="zh-CN"/>
              </w:rPr>
              <w:t>安装工期</w:t>
            </w:r>
            <w:r>
              <w:rPr>
                <w:rFonts w:hint="eastAsia" w:ascii="宋体" w:hAnsi="宋体" w:cs="宋体"/>
                <w:sz w:val="21"/>
                <w:szCs w:val="21"/>
                <w:lang w:val="en-US" w:eastAsia="zh-CN"/>
              </w:rPr>
              <w:t>15历日</w:t>
            </w:r>
            <w:r>
              <w:rPr>
                <w:rFonts w:hint="eastAsia" w:ascii="宋体" w:hAnsi="宋体" w:eastAsia="宋体" w:cs="宋体"/>
                <w:sz w:val="21"/>
                <w:szCs w:val="21"/>
                <w:lang w:val="en-US" w:eastAsia="zh-CN"/>
              </w:rPr>
              <w:t>天；武隆驻点办公家具</w:t>
            </w:r>
            <w:r>
              <w:rPr>
                <w:rFonts w:hint="eastAsia" w:ascii="宋体" w:hAnsi="宋体" w:cs="宋体"/>
                <w:sz w:val="21"/>
                <w:szCs w:val="21"/>
                <w:lang w:val="en-US" w:eastAsia="zh-CN"/>
              </w:rPr>
              <w:t>交货</w:t>
            </w:r>
            <w:r>
              <w:rPr>
                <w:rFonts w:hint="eastAsia" w:ascii="宋体" w:hAnsi="宋体" w:eastAsia="宋体" w:cs="宋体"/>
                <w:sz w:val="21"/>
                <w:szCs w:val="21"/>
                <w:lang w:val="en-US" w:eastAsia="zh-CN"/>
              </w:rPr>
              <w:t>安装工期</w:t>
            </w:r>
            <w:r>
              <w:rPr>
                <w:rFonts w:hint="eastAsia" w:ascii="宋体" w:hAnsi="宋体" w:cs="宋体"/>
                <w:sz w:val="21"/>
                <w:szCs w:val="21"/>
                <w:lang w:val="en-US" w:eastAsia="zh-CN"/>
              </w:rPr>
              <w:t>15历日</w:t>
            </w:r>
            <w:r>
              <w:rPr>
                <w:rFonts w:hint="eastAsia" w:ascii="宋体" w:hAnsi="宋体" w:eastAsia="宋体" w:cs="宋体"/>
                <w:sz w:val="21"/>
                <w:szCs w:val="21"/>
                <w:lang w:val="en-US" w:eastAsia="zh-CN"/>
              </w:rPr>
              <w:t>；丰都驻点办公家具</w:t>
            </w:r>
            <w:r>
              <w:rPr>
                <w:rFonts w:hint="eastAsia" w:ascii="宋体" w:hAnsi="宋体" w:cs="宋体"/>
                <w:sz w:val="21"/>
                <w:szCs w:val="21"/>
                <w:lang w:val="en-US" w:eastAsia="zh-CN"/>
              </w:rPr>
              <w:t>交货</w:t>
            </w:r>
            <w:r>
              <w:rPr>
                <w:rFonts w:hint="eastAsia" w:ascii="宋体" w:hAnsi="宋体" w:eastAsia="宋体" w:cs="宋体"/>
                <w:sz w:val="21"/>
                <w:szCs w:val="21"/>
                <w:lang w:val="en-US" w:eastAsia="zh-CN"/>
              </w:rPr>
              <w:t>安装工期</w:t>
            </w:r>
            <w:r>
              <w:rPr>
                <w:rFonts w:hint="eastAsia" w:ascii="宋体" w:hAnsi="宋体" w:cs="宋体"/>
                <w:sz w:val="21"/>
                <w:szCs w:val="21"/>
                <w:lang w:val="en-US" w:eastAsia="zh-CN"/>
              </w:rPr>
              <w:t>15</w:t>
            </w:r>
            <w:r>
              <w:rPr>
                <w:rFonts w:hint="eastAsia" w:ascii="宋体" w:hAnsi="宋体" w:eastAsia="宋体" w:cs="宋体"/>
                <w:sz w:val="21"/>
                <w:szCs w:val="21"/>
                <w:lang w:val="en-US" w:eastAsia="zh-CN"/>
              </w:rPr>
              <w:t>天</w:t>
            </w:r>
            <w:r>
              <w:rPr>
                <w:rFonts w:hint="eastAsia" w:cs="宋体" w:asciiTheme="minorEastAsia" w:hAnsiTheme="minorEastAsia" w:eastAsiaTheme="minorEastAsia"/>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128" w:type="dxa"/>
            <w:vAlign w:val="center"/>
          </w:tcPr>
          <w:p>
            <w:pPr>
              <w:pStyle w:val="173"/>
              <w:numPr>
                <w:ilvl w:val="0"/>
                <w:numId w:val="5"/>
              </w:numPr>
              <w:spacing w:line="360" w:lineRule="auto"/>
              <w:ind w:firstLineChars="0"/>
              <w:jc w:val="center"/>
              <w:rPr>
                <w:rFonts w:cs="宋体" w:asciiTheme="minorEastAsia" w:hAnsiTheme="minorEastAsia" w:eastAsiaTheme="minorEastAsia"/>
                <w:kern w:val="0"/>
                <w:szCs w:val="21"/>
              </w:rPr>
            </w:pPr>
          </w:p>
        </w:tc>
        <w:tc>
          <w:tcPr>
            <w:tcW w:w="1675" w:type="dxa"/>
            <w:vAlign w:val="center"/>
          </w:tcPr>
          <w:p>
            <w:pPr>
              <w:spacing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质量要求</w:t>
            </w:r>
          </w:p>
        </w:tc>
        <w:tc>
          <w:tcPr>
            <w:tcW w:w="7104" w:type="dxa"/>
          </w:tcPr>
          <w:p>
            <w:pPr>
              <w:spacing w:line="360" w:lineRule="auto"/>
              <w:ind w:firstLine="489" w:firstLineChars="233"/>
              <w:rPr>
                <w:rFonts w:asciiTheme="minorEastAsia" w:hAnsiTheme="minorEastAsia" w:eastAsiaTheme="minorEastAsia"/>
                <w:szCs w:val="21"/>
              </w:rPr>
            </w:pPr>
            <w:r>
              <w:rPr>
                <w:rFonts w:hint="eastAsia" w:asciiTheme="minorEastAsia" w:hAnsiTheme="minorEastAsia" w:eastAsiaTheme="minorEastAsia"/>
                <w:szCs w:val="21"/>
              </w:rPr>
              <w:t>比选人提供的产品应符合国家质量技术要求和重庆市相关标准规定等，货物质量不符合国家、行业规定的以及本比选函约定的相关标准而产生的一切后果责任由比选人承担；若由此而给采购人造成损失的，比选人应全额赔偿。（详见第五章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128" w:type="dxa"/>
            <w:vAlign w:val="center"/>
          </w:tcPr>
          <w:p>
            <w:pPr>
              <w:pStyle w:val="173"/>
              <w:numPr>
                <w:ilvl w:val="0"/>
                <w:numId w:val="5"/>
              </w:numPr>
              <w:spacing w:line="360" w:lineRule="auto"/>
              <w:ind w:firstLineChars="0"/>
              <w:jc w:val="center"/>
              <w:rPr>
                <w:rFonts w:cs="宋体" w:asciiTheme="minorEastAsia" w:hAnsiTheme="minorEastAsia" w:eastAsiaTheme="minorEastAsia"/>
                <w:kern w:val="0"/>
                <w:szCs w:val="21"/>
              </w:rPr>
            </w:pPr>
          </w:p>
        </w:tc>
        <w:tc>
          <w:tcPr>
            <w:tcW w:w="1675" w:type="dxa"/>
            <w:vAlign w:val="center"/>
          </w:tcPr>
          <w:p>
            <w:pPr>
              <w:spacing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服务要求</w:t>
            </w:r>
          </w:p>
        </w:tc>
        <w:tc>
          <w:tcPr>
            <w:tcW w:w="7104" w:type="dxa"/>
          </w:tcPr>
          <w:p>
            <w:pPr>
              <w:spacing w:line="360" w:lineRule="auto"/>
              <w:ind w:firstLine="420" w:firstLineChars="200"/>
              <w:rPr>
                <w:rFonts w:ascii="宋体" w:hAnsi="宋体" w:cs="宋体"/>
                <w:szCs w:val="21"/>
              </w:rPr>
            </w:pPr>
            <w:r>
              <w:rPr>
                <w:rFonts w:hint="eastAsia" w:cs="宋体" w:asciiTheme="minorEastAsia" w:hAnsiTheme="minorEastAsia" w:eastAsiaTheme="minorEastAsia"/>
                <w:szCs w:val="21"/>
              </w:rPr>
              <w:t>比选产品必须为中国关境内生产，若为进口产品将按无效投标处理</w:t>
            </w:r>
            <w:r>
              <w:rPr>
                <w:rFonts w:hint="eastAsia" w:ascii="宋体" w:hAnsi="宋体" w:cs="宋体"/>
                <w:szCs w:val="21"/>
              </w:rPr>
              <w:t xml:space="preserve">  </w:t>
            </w:r>
          </w:p>
          <w:p>
            <w:pPr>
              <w:pStyle w:val="15"/>
            </w:pPr>
            <w:r>
              <w:rPr>
                <w:rFonts w:hint="eastAsia" w:cs="宋体" w:asciiTheme="minorEastAsia" w:hAnsiTheme="minorEastAsia" w:eastAsiaTheme="minorEastAsia"/>
                <w:kern w:val="2"/>
                <w:sz w:val="21"/>
                <w:szCs w:val="21"/>
                <w:lang w:val="en-US" w:eastAsia="zh-CN" w:bidi="ar-SA"/>
              </w:rPr>
              <w:t>（详见第五章商务要求）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128" w:type="dxa"/>
            <w:vAlign w:val="center"/>
          </w:tcPr>
          <w:p>
            <w:pPr>
              <w:pStyle w:val="173"/>
              <w:numPr>
                <w:ilvl w:val="0"/>
                <w:numId w:val="5"/>
              </w:numPr>
              <w:spacing w:line="360" w:lineRule="auto"/>
              <w:ind w:firstLineChars="0"/>
              <w:jc w:val="center"/>
              <w:rPr>
                <w:rFonts w:cs="宋体" w:asciiTheme="minorEastAsia" w:hAnsiTheme="minorEastAsia" w:eastAsiaTheme="minorEastAsia"/>
                <w:kern w:val="0"/>
                <w:szCs w:val="21"/>
              </w:rPr>
            </w:pPr>
          </w:p>
        </w:tc>
        <w:tc>
          <w:tcPr>
            <w:tcW w:w="1675" w:type="dxa"/>
            <w:vAlign w:val="center"/>
          </w:tcPr>
          <w:p>
            <w:pPr>
              <w:spacing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安全目标</w:t>
            </w:r>
          </w:p>
        </w:tc>
        <w:tc>
          <w:tcPr>
            <w:tcW w:w="7104" w:type="dxa"/>
          </w:tcPr>
          <w:p>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无安全生产责任事故，</w:t>
            </w:r>
            <w:r>
              <w:rPr>
                <w:rFonts w:hint="eastAsia" w:ascii="宋体" w:hAnsi="宋体" w:cs="宋体"/>
                <w:szCs w:val="21"/>
              </w:rPr>
              <w:t>成交供应商做好工作人员的管理和安全教育，在施工期间出现任何安全事故由成交供应商自行负责。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1128" w:type="dxa"/>
            <w:vAlign w:val="center"/>
          </w:tcPr>
          <w:p>
            <w:pPr>
              <w:pStyle w:val="173"/>
              <w:numPr>
                <w:ilvl w:val="0"/>
                <w:numId w:val="5"/>
              </w:numPr>
              <w:spacing w:line="360" w:lineRule="auto"/>
              <w:ind w:firstLineChars="0"/>
              <w:jc w:val="center"/>
              <w:rPr>
                <w:rFonts w:cs="宋体" w:asciiTheme="minorEastAsia" w:hAnsiTheme="minorEastAsia" w:eastAsiaTheme="minorEastAsia"/>
                <w:kern w:val="0"/>
                <w:szCs w:val="21"/>
              </w:rPr>
            </w:pPr>
          </w:p>
        </w:tc>
        <w:tc>
          <w:tcPr>
            <w:tcW w:w="1675" w:type="dxa"/>
            <w:vAlign w:val="center"/>
          </w:tcPr>
          <w:p>
            <w:pPr>
              <w:spacing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是否接受</w:t>
            </w:r>
          </w:p>
          <w:p>
            <w:pPr>
              <w:spacing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联合体报价</w:t>
            </w:r>
          </w:p>
        </w:tc>
        <w:tc>
          <w:tcPr>
            <w:tcW w:w="7104" w:type="dxa"/>
            <w:vAlign w:val="center"/>
          </w:tcPr>
          <w:p>
            <w:pPr>
              <w:spacing w:line="360" w:lineRule="auto"/>
              <w:ind w:firstLine="420" w:firstLineChars="200"/>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128" w:type="dxa"/>
            <w:vAlign w:val="center"/>
          </w:tcPr>
          <w:p>
            <w:pPr>
              <w:pStyle w:val="173"/>
              <w:numPr>
                <w:ilvl w:val="0"/>
                <w:numId w:val="5"/>
              </w:numPr>
              <w:spacing w:line="360" w:lineRule="auto"/>
              <w:ind w:firstLineChars="0"/>
              <w:jc w:val="center"/>
              <w:rPr>
                <w:rFonts w:cs="宋体" w:asciiTheme="minorEastAsia" w:hAnsiTheme="minorEastAsia" w:eastAsiaTheme="minorEastAsia"/>
                <w:kern w:val="0"/>
                <w:szCs w:val="21"/>
              </w:rPr>
            </w:pPr>
          </w:p>
        </w:tc>
        <w:tc>
          <w:tcPr>
            <w:tcW w:w="1675" w:type="dxa"/>
            <w:vAlign w:val="center"/>
          </w:tcPr>
          <w:p>
            <w:pPr>
              <w:spacing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分包</w:t>
            </w:r>
          </w:p>
        </w:tc>
        <w:tc>
          <w:tcPr>
            <w:tcW w:w="7104" w:type="dxa"/>
            <w:vAlign w:val="center"/>
          </w:tcPr>
          <w:p>
            <w:pPr>
              <w:spacing w:line="360" w:lineRule="auto"/>
              <w:ind w:firstLine="420" w:firstLineChars="200"/>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128" w:type="dxa"/>
            <w:vAlign w:val="center"/>
          </w:tcPr>
          <w:p>
            <w:pPr>
              <w:pStyle w:val="173"/>
              <w:numPr>
                <w:ilvl w:val="0"/>
                <w:numId w:val="5"/>
              </w:numPr>
              <w:spacing w:line="360" w:lineRule="auto"/>
              <w:ind w:firstLineChars="0"/>
              <w:jc w:val="center"/>
              <w:rPr>
                <w:rFonts w:cs="宋体" w:asciiTheme="minorEastAsia" w:hAnsiTheme="minorEastAsia" w:eastAsiaTheme="minorEastAsia"/>
                <w:kern w:val="0"/>
                <w:szCs w:val="21"/>
              </w:rPr>
            </w:pPr>
          </w:p>
        </w:tc>
        <w:tc>
          <w:tcPr>
            <w:tcW w:w="1675" w:type="dxa"/>
            <w:vAlign w:val="center"/>
          </w:tcPr>
          <w:p>
            <w:pPr>
              <w:spacing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偏差</w:t>
            </w:r>
          </w:p>
        </w:tc>
        <w:tc>
          <w:tcPr>
            <w:tcW w:w="7104" w:type="dxa"/>
            <w:vAlign w:val="center"/>
          </w:tcPr>
          <w:p>
            <w:pPr>
              <w:spacing w:line="360" w:lineRule="auto"/>
              <w:ind w:firstLine="420" w:firstLineChars="200"/>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不允许偏差。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1128" w:type="dxa"/>
            <w:vAlign w:val="center"/>
          </w:tcPr>
          <w:p>
            <w:pPr>
              <w:pStyle w:val="173"/>
              <w:numPr>
                <w:ilvl w:val="0"/>
                <w:numId w:val="5"/>
              </w:numPr>
              <w:spacing w:line="360" w:lineRule="auto"/>
              <w:ind w:firstLineChars="0"/>
              <w:jc w:val="center"/>
              <w:rPr>
                <w:rFonts w:cs="宋体" w:asciiTheme="minorEastAsia" w:hAnsiTheme="minorEastAsia" w:eastAsiaTheme="minorEastAsia"/>
                <w:kern w:val="0"/>
                <w:szCs w:val="21"/>
              </w:rPr>
            </w:pPr>
          </w:p>
        </w:tc>
        <w:tc>
          <w:tcPr>
            <w:tcW w:w="1675" w:type="dxa"/>
            <w:vAlign w:val="center"/>
          </w:tcPr>
          <w:p>
            <w:pPr>
              <w:spacing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bCs/>
                <w:szCs w:val="21"/>
              </w:rPr>
              <w:t>构成比选文件的其他材料</w:t>
            </w:r>
          </w:p>
        </w:tc>
        <w:tc>
          <w:tcPr>
            <w:tcW w:w="7104" w:type="dxa"/>
            <w:vAlign w:val="center"/>
          </w:tcPr>
          <w:p>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采购人发布的设计方案、补遗书、答疑、澄清、最高限价通知等附件。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1128" w:type="dxa"/>
            <w:vAlign w:val="center"/>
          </w:tcPr>
          <w:p>
            <w:pPr>
              <w:pStyle w:val="173"/>
              <w:numPr>
                <w:ilvl w:val="0"/>
                <w:numId w:val="5"/>
              </w:numPr>
              <w:spacing w:line="360" w:lineRule="auto"/>
              <w:ind w:firstLineChars="0"/>
              <w:jc w:val="center"/>
              <w:rPr>
                <w:rFonts w:cs="宋体" w:asciiTheme="minorEastAsia" w:hAnsiTheme="minorEastAsia" w:eastAsiaTheme="minorEastAsia"/>
                <w:kern w:val="0"/>
                <w:szCs w:val="21"/>
              </w:rPr>
            </w:pPr>
            <w:bookmarkStart w:id="185" w:name="_Hlt227984024"/>
            <w:bookmarkEnd w:id="185"/>
          </w:p>
        </w:tc>
        <w:tc>
          <w:tcPr>
            <w:tcW w:w="1675" w:type="dxa"/>
            <w:vAlign w:val="center"/>
          </w:tcPr>
          <w:p>
            <w:pPr>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构成竞争性比选响应文件的其他材料</w:t>
            </w:r>
          </w:p>
        </w:tc>
        <w:tc>
          <w:tcPr>
            <w:tcW w:w="7104" w:type="dxa"/>
            <w:vAlign w:val="center"/>
          </w:tcPr>
          <w:p>
            <w:pPr>
              <w:pStyle w:val="50"/>
              <w:spacing w:before="72" w:line="360" w:lineRule="auto"/>
              <w:ind w:firstLine="420" w:firstLineChars="200"/>
              <w:jc w:val="both"/>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比选人书面澄清或补正，但不得改变竞争性比选响应文件实质。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128" w:type="dxa"/>
            <w:tcBorders>
              <w:bottom w:val="single" w:color="auto" w:sz="4" w:space="0"/>
            </w:tcBorders>
            <w:vAlign w:val="center"/>
          </w:tcPr>
          <w:p>
            <w:pPr>
              <w:pStyle w:val="173"/>
              <w:numPr>
                <w:ilvl w:val="0"/>
                <w:numId w:val="5"/>
              </w:numPr>
              <w:spacing w:line="360" w:lineRule="auto"/>
              <w:ind w:firstLineChars="0"/>
              <w:jc w:val="center"/>
              <w:rPr>
                <w:rFonts w:cs="宋体" w:asciiTheme="minorEastAsia" w:hAnsiTheme="minorEastAsia" w:eastAsiaTheme="minorEastAsia"/>
                <w:kern w:val="0"/>
                <w:szCs w:val="21"/>
              </w:rPr>
            </w:pPr>
          </w:p>
        </w:tc>
        <w:tc>
          <w:tcPr>
            <w:tcW w:w="1675" w:type="dxa"/>
            <w:tcBorders>
              <w:bottom w:val="single" w:color="auto" w:sz="4" w:space="0"/>
            </w:tcBorders>
            <w:vAlign w:val="center"/>
          </w:tcPr>
          <w:p>
            <w:pPr>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采购清单的填写方式</w:t>
            </w:r>
          </w:p>
        </w:tc>
        <w:tc>
          <w:tcPr>
            <w:tcW w:w="7104" w:type="dxa"/>
            <w:tcBorders>
              <w:bottom w:val="single" w:color="auto" w:sz="4" w:space="0"/>
            </w:tcBorders>
          </w:tcPr>
          <w:p>
            <w:pPr>
              <w:spacing w:line="360" w:lineRule="auto"/>
              <w:ind w:firstLine="420" w:firstLineChars="200"/>
              <w:jc w:val="left"/>
              <w:rPr>
                <w:rFonts w:cs="宋体" w:asciiTheme="minorEastAsia" w:hAnsiTheme="minorEastAsia" w:eastAsiaTheme="minorEastAsia"/>
                <w:szCs w:val="21"/>
              </w:rPr>
            </w:pPr>
            <w:r>
              <w:rPr>
                <w:rFonts w:hint="eastAsia" w:asciiTheme="minorEastAsia" w:hAnsiTheme="minorEastAsia" w:eastAsiaTheme="minorEastAsia"/>
                <w:szCs w:val="21"/>
              </w:rPr>
              <w:t>比选人</w:t>
            </w:r>
            <w:r>
              <w:rPr>
                <w:rFonts w:hint="eastAsia" w:cs="宋体" w:asciiTheme="minorEastAsia" w:hAnsiTheme="minorEastAsia" w:eastAsiaTheme="minorEastAsia"/>
                <w:szCs w:val="21"/>
              </w:rPr>
              <w:t>按照采购人提供的采购清单填写采购清单</w:t>
            </w:r>
          </w:p>
          <w:p>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综合单价取小数点后两位，小数点后第三位四舍五入。</w:t>
            </w:r>
          </w:p>
          <w:p>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本项目采购清单及说明随比选文件一并发布， 详见附件1项目质量技术需求表。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1128" w:type="dxa"/>
            <w:tcBorders>
              <w:bottom w:val="single" w:color="auto" w:sz="4" w:space="0"/>
            </w:tcBorders>
            <w:vAlign w:val="center"/>
          </w:tcPr>
          <w:p>
            <w:pPr>
              <w:pStyle w:val="173"/>
              <w:numPr>
                <w:ilvl w:val="0"/>
                <w:numId w:val="5"/>
              </w:numPr>
              <w:spacing w:line="360" w:lineRule="auto"/>
              <w:ind w:firstLineChars="0"/>
              <w:jc w:val="center"/>
              <w:rPr>
                <w:rFonts w:cs="宋体" w:asciiTheme="minorEastAsia" w:hAnsiTheme="minorEastAsia" w:eastAsiaTheme="minorEastAsia"/>
                <w:kern w:val="0"/>
                <w:szCs w:val="21"/>
              </w:rPr>
            </w:pPr>
          </w:p>
        </w:tc>
        <w:tc>
          <w:tcPr>
            <w:tcW w:w="1675" w:type="dxa"/>
            <w:tcBorders>
              <w:bottom w:val="single" w:color="auto" w:sz="4" w:space="0"/>
            </w:tcBorders>
            <w:vAlign w:val="center"/>
          </w:tcPr>
          <w:p>
            <w:pPr>
              <w:spacing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合同支付办法</w:t>
            </w:r>
          </w:p>
        </w:tc>
        <w:tc>
          <w:tcPr>
            <w:tcW w:w="7104" w:type="dxa"/>
            <w:tcBorders>
              <w:bottom w:val="single" w:color="auto" w:sz="4" w:space="0"/>
            </w:tcBorders>
          </w:tcPr>
          <w:p>
            <w:pPr>
              <w:spacing w:line="360" w:lineRule="auto"/>
              <w:ind w:firstLine="420" w:firstLineChars="200"/>
              <w:jc w:val="left"/>
              <w:rPr>
                <w:rFonts w:cs="宋体" w:asciiTheme="minorEastAsia" w:hAnsiTheme="minorEastAsia" w:eastAsiaTheme="minorEastAsia"/>
                <w:szCs w:val="21"/>
              </w:rPr>
            </w:pPr>
            <w:r>
              <w:rPr>
                <w:rFonts w:hint="eastAsia" w:ascii="宋体" w:hAnsi="宋体" w:cs="宋体"/>
              </w:rPr>
              <w:t>本项目经业主单位组织的验收合格后</w:t>
            </w:r>
            <w:r>
              <w:rPr>
                <w:rFonts w:hint="eastAsia" w:ascii="宋体" w:hAnsi="宋体" w:cs="宋体"/>
                <w:b/>
                <w:bCs/>
                <w:u w:val="single"/>
                <w:lang w:val="en-US" w:eastAsia="zh-CN"/>
              </w:rPr>
              <w:t>10</w:t>
            </w:r>
            <w:r>
              <w:rPr>
                <w:rFonts w:hint="eastAsia" w:ascii="宋体" w:hAnsi="宋体" w:cs="宋体"/>
                <w:b/>
                <w:bCs/>
                <w:u w:val="single"/>
              </w:rPr>
              <w:t>个工作日内</w:t>
            </w:r>
            <w:r>
              <w:rPr>
                <w:rFonts w:hint="eastAsia" w:ascii="宋体" w:hAnsi="宋体" w:cs="宋体"/>
              </w:rPr>
              <w:t>向成交比选人支付</w:t>
            </w:r>
            <w:r>
              <w:rPr>
                <w:rFonts w:hint="eastAsia" w:ascii="宋体" w:hAnsi="宋体" w:cs="宋体"/>
                <w:lang w:val="en-US" w:eastAsia="zh-CN"/>
              </w:rPr>
              <w:t>货</w:t>
            </w:r>
            <w:r>
              <w:rPr>
                <w:rFonts w:hint="eastAsia" w:ascii="宋体" w:hAnsi="宋体" w:cs="宋体"/>
              </w:rPr>
              <w:t>款</w:t>
            </w:r>
            <w:r>
              <w:rPr>
                <w:rFonts w:hint="eastAsia" w:ascii="宋体" w:hAnsi="宋体" w:cs="宋体"/>
                <w:b/>
                <w:bCs/>
                <w:u w:val="single"/>
              </w:rPr>
              <w:t>97%</w:t>
            </w:r>
            <w:r>
              <w:rPr>
                <w:rFonts w:hint="eastAsia" w:ascii="宋体" w:hAnsi="宋体" w:cs="宋体"/>
              </w:rPr>
              <w:t>，同时成交比选人向</w:t>
            </w:r>
            <w:r>
              <w:rPr>
                <w:rFonts w:hint="eastAsia" w:ascii="宋体" w:hAnsi="宋体" w:cs="宋体"/>
                <w:lang w:val="en-US" w:eastAsia="zh-CN"/>
              </w:rPr>
              <w:t>合同相对方</w:t>
            </w:r>
            <w:r>
              <w:rPr>
                <w:rFonts w:hint="eastAsia" w:ascii="宋体" w:hAnsi="宋体" w:cs="宋体"/>
              </w:rPr>
              <w:t>开具合同全额总货款金额的发票</w:t>
            </w:r>
            <w:r>
              <w:rPr>
                <w:rFonts w:hint="eastAsia" w:cs="宋体" w:asciiTheme="minorEastAsia" w:hAnsiTheme="minorEastAsia" w:eastAsiaTheme="minorEastAsia"/>
                <w:szCs w:val="21"/>
              </w:rPr>
              <w:t>。</w:t>
            </w:r>
          </w:p>
          <w:p>
            <w:pPr>
              <w:pStyle w:val="15"/>
              <w:ind w:firstLine="508" w:firstLineChars="242"/>
            </w:pPr>
            <w:r>
              <w:rPr>
                <w:rFonts w:hint="eastAsia" w:ascii="宋体" w:hAnsi="宋体" w:eastAsia="宋体" w:cs="宋体"/>
                <w:kern w:val="2"/>
                <w:sz w:val="21"/>
                <w:szCs w:val="24"/>
                <w:lang w:val="en-US" w:eastAsia="zh-CN" w:bidi="ar-SA"/>
              </w:rPr>
              <w:t>剩余</w:t>
            </w:r>
            <w:r>
              <w:rPr>
                <w:rFonts w:hint="eastAsia" w:ascii="宋体" w:hAnsi="宋体" w:eastAsia="宋体" w:cs="宋体"/>
                <w:b/>
                <w:bCs/>
                <w:kern w:val="2"/>
                <w:sz w:val="21"/>
                <w:szCs w:val="24"/>
                <w:u w:val="single"/>
                <w:lang w:val="en-US" w:eastAsia="zh-CN" w:bidi="ar-SA"/>
              </w:rPr>
              <w:t>3%</w:t>
            </w:r>
            <w:r>
              <w:rPr>
                <w:rFonts w:hint="eastAsia" w:ascii="宋体" w:hAnsi="宋体" w:eastAsia="宋体" w:cs="宋体"/>
                <w:kern w:val="2"/>
                <w:sz w:val="21"/>
                <w:szCs w:val="24"/>
                <w:lang w:val="en-US" w:eastAsia="zh-CN" w:bidi="ar-SA"/>
              </w:rPr>
              <w:t>作为</w:t>
            </w:r>
            <w:r>
              <w:rPr>
                <w:rFonts w:hint="eastAsia" w:ascii="宋体" w:hAnsi="宋体" w:cs="宋体"/>
                <w:kern w:val="2"/>
                <w:sz w:val="21"/>
                <w:szCs w:val="24"/>
                <w:lang w:val="en-US" w:eastAsia="zh-CN" w:bidi="ar-SA"/>
              </w:rPr>
              <w:t>家具</w:t>
            </w:r>
            <w:r>
              <w:rPr>
                <w:rFonts w:hint="eastAsia" w:ascii="宋体" w:hAnsi="宋体" w:eastAsia="宋体" w:cs="宋体"/>
                <w:kern w:val="2"/>
                <w:sz w:val="21"/>
                <w:szCs w:val="24"/>
                <w:lang w:val="en-US" w:eastAsia="zh-CN" w:bidi="ar-SA"/>
              </w:rPr>
              <w:t>质保金，于2年后无息支付</w:t>
            </w:r>
            <w:r>
              <w:rPr>
                <w:rFonts w:hint="eastAsia" w:ascii="宋体" w:hAnsi="宋体" w:cs="宋体"/>
                <w:kern w:val="2"/>
                <w:sz w:val="21"/>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1128" w:type="dxa"/>
            <w:vAlign w:val="center"/>
          </w:tcPr>
          <w:p>
            <w:pPr>
              <w:pStyle w:val="173"/>
              <w:numPr>
                <w:ilvl w:val="0"/>
                <w:numId w:val="5"/>
              </w:numPr>
              <w:spacing w:line="360" w:lineRule="auto"/>
              <w:ind w:firstLineChars="0"/>
              <w:jc w:val="center"/>
              <w:rPr>
                <w:rFonts w:cs="宋体" w:asciiTheme="minorEastAsia" w:hAnsiTheme="minorEastAsia" w:eastAsiaTheme="minorEastAsia"/>
                <w:szCs w:val="21"/>
              </w:rPr>
            </w:pPr>
          </w:p>
        </w:tc>
        <w:tc>
          <w:tcPr>
            <w:tcW w:w="1675" w:type="dxa"/>
          </w:tcPr>
          <w:p>
            <w:pPr>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中标候选人的人数</w:t>
            </w:r>
          </w:p>
        </w:tc>
        <w:tc>
          <w:tcPr>
            <w:tcW w:w="7104" w:type="dxa"/>
            <w:vAlign w:val="center"/>
          </w:tcPr>
          <w:p>
            <w:pPr>
              <w:spacing w:line="360" w:lineRule="auto"/>
              <w:ind w:firstLine="420" w:firstLineChars="20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推荐的中标候选人数：</w:t>
            </w:r>
            <w:r>
              <w:rPr>
                <w:rFonts w:hint="eastAsia" w:cs="宋体" w:asciiTheme="minorEastAsia" w:hAnsiTheme="minorEastAsia" w:eastAsiaTheme="minorEastAsia"/>
                <w:kern w:val="0"/>
                <w:szCs w:val="21"/>
                <w:lang w:val="en-US" w:eastAsia="zh-CN"/>
              </w:rPr>
              <w:t>3</w:t>
            </w:r>
            <w:r>
              <w:rPr>
                <w:rFonts w:hint="eastAsia" w:cs="宋体" w:asciiTheme="minorEastAsia" w:hAnsiTheme="minorEastAsia" w:eastAsiaTheme="minorEastAsia"/>
                <w:kern w:val="0"/>
                <w:szCs w:val="21"/>
              </w:rPr>
              <w:t>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1128" w:type="dxa"/>
            <w:vAlign w:val="center"/>
          </w:tcPr>
          <w:p>
            <w:pPr>
              <w:pStyle w:val="50"/>
              <w:numPr>
                <w:ilvl w:val="0"/>
                <w:numId w:val="5"/>
              </w:numPr>
              <w:spacing w:line="360" w:lineRule="auto"/>
              <w:jc w:val="center"/>
              <w:rPr>
                <w:rFonts w:asciiTheme="minorEastAsia" w:hAnsiTheme="minorEastAsia" w:eastAsiaTheme="minorEastAsia"/>
                <w:color w:val="auto"/>
                <w:sz w:val="21"/>
                <w:szCs w:val="21"/>
              </w:rPr>
            </w:pPr>
          </w:p>
        </w:tc>
        <w:tc>
          <w:tcPr>
            <w:tcW w:w="1675" w:type="dxa"/>
            <w:vAlign w:val="center"/>
          </w:tcPr>
          <w:p>
            <w:pPr>
              <w:pStyle w:val="50"/>
              <w:spacing w:line="360" w:lineRule="auto"/>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kern w:val="2"/>
                <w:sz w:val="21"/>
                <w:szCs w:val="21"/>
              </w:rPr>
              <w:t>监督部门</w:t>
            </w:r>
          </w:p>
        </w:tc>
        <w:tc>
          <w:tcPr>
            <w:tcW w:w="7104" w:type="dxa"/>
            <w:vAlign w:val="center"/>
          </w:tcPr>
          <w:p>
            <w:pPr>
              <w:pStyle w:val="50"/>
              <w:spacing w:line="360" w:lineRule="auto"/>
              <w:ind w:firstLine="420" w:firstLineChars="200"/>
              <w:rPr>
                <w:rFonts w:asciiTheme="minorEastAsia" w:hAnsiTheme="minorEastAsia" w:eastAsiaTheme="minorEastAsia"/>
                <w:color w:val="auto"/>
                <w:kern w:val="2"/>
                <w:sz w:val="21"/>
                <w:szCs w:val="21"/>
              </w:rPr>
            </w:pPr>
            <w:r>
              <w:rPr>
                <w:rFonts w:hint="eastAsia" w:asciiTheme="minorEastAsia" w:hAnsiTheme="minorEastAsia" w:eastAsiaTheme="minorEastAsia"/>
                <w:color w:val="auto"/>
                <w:kern w:val="2"/>
                <w:sz w:val="21"/>
                <w:szCs w:val="21"/>
              </w:rPr>
              <w:t>监督部门：重庆成渝垫丰武高速公路有限公司党群人力部</w:t>
            </w:r>
          </w:p>
          <w:p>
            <w:pPr>
              <w:spacing w:line="360" w:lineRule="auto"/>
              <w:ind w:firstLine="420" w:firstLineChars="200"/>
              <w:rPr>
                <w:rFonts w:hint="default" w:asciiTheme="minorEastAsia" w:hAnsiTheme="minorEastAsia" w:eastAsiaTheme="minorEastAsia"/>
                <w:szCs w:val="21"/>
                <w:lang w:val="en-US" w:eastAsia="zh-CN"/>
              </w:rPr>
            </w:pPr>
            <w:r>
              <w:rPr>
                <w:rFonts w:hint="eastAsia" w:asciiTheme="minorEastAsia" w:hAnsiTheme="minorEastAsia" w:eastAsiaTheme="minorEastAsia"/>
                <w:szCs w:val="21"/>
              </w:rPr>
              <w:t>地    址：</w:t>
            </w:r>
            <w:r>
              <w:rPr>
                <w:rFonts w:hint="eastAsia" w:cs="宋体" w:asciiTheme="minorEastAsia" w:hAnsiTheme="minorEastAsia" w:eastAsiaTheme="minorEastAsia"/>
                <w:szCs w:val="21"/>
              </w:rPr>
              <w:t>重庆高速公路集团有限公司</w:t>
            </w:r>
            <w:r>
              <w:rPr>
                <w:rFonts w:hint="eastAsia" w:cs="宋体" w:asciiTheme="minorEastAsia" w:hAnsiTheme="minorEastAsia" w:eastAsiaTheme="minorEastAsia"/>
                <w:szCs w:val="21"/>
                <w:lang w:val="en-US" w:eastAsia="zh-CN"/>
              </w:rPr>
              <w:t>办公大楼912室</w:t>
            </w:r>
          </w:p>
          <w:p>
            <w:pPr>
              <w:pStyle w:val="50"/>
              <w:spacing w:line="360" w:lineRule="auto"/>
              <w:ind w:firstLine="420" w:firstLineChars="200"/>
              <w:rPr>
                <w:rFonts w:hint="default" w:asciiTheme="minorEastAsia" w:hAnsiTheme="minorEastAsia" w:eastAsiaTheme="minorEastAsia"/>
                <w:color w:val="auto"/>
                <w:sz w:val="21"/>
                <w:szCs w:val="21"/>
                <w:lang w:val="en-US" w:eastAsia="zh-CN"/>
              </w:rPr>
            </w:pPr>
            <w:r>
              <w:rPr>
                <w:rFonts w:hint="eastAsia" w:asciiTheme="minorEastAsia" w:hAnsiTheme="minorEastAsia" w:eastAsiaTheme="minorEastAsia"/>
                <w:color w:val="auto"/>
                <w:kern w:val="2"/>
                <w:sz w:val="21"/>
                <w:szCs w:val="21"/>
              </w:rPr>
              <w:t>电    话：</w:t>
            </w:r>
            <w:r>
              <w:rPr>
                <w:rFonts w:hint="eastAsia" w:asciiTheme="minorEastAsia" w:hAnsiTheme="minorEastAsia" w:eastAsiaTheme="minorEastAsia"/>
                <w:color w:val="auto"/>
                <w:kern w:val="2"/>
                <w:sz w:val="21"/>
                <w:szCs w:val="21"/>
                <w:lang w:val="en-US" w:eastAsia="zh-CN"/>
              </w:rPr>
              <w:t>023-</w:t>
            </w:r>
            <w:r>
              <w:rPr>
                <w:rFonts w:hint="eastAsia" w:asciiTheme="minorEastAsia" w:hAnsiTheme="minorEastAsia" w:eastAsiaTheme="minorEastAsia"/>
                <w:color w:val="auto"/>
                <w:kern w:val="2"/>
                <w:sz w:val="21"/>
                <w:szCs w:val="21"/>
                <w:highlight w:val="none"/>
                <w:lang w:val="en-US" w:eastAsia="zh-CN"/>
              </w:rPr>
              <w:t>89690778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1128" w:type="dxa"/>
            <w:vAlign w:val="center"/>
          </w:tcPr>
          <w:p>
            <w:pPr>
              <w:pStyle w:val="50"/>
              <w:numPr>
                <w:ilvl w:val="0"/>
                <w:numId w:val="5"/>
              </w:numPr>
              <w:spacing w:line="360" w:lineRule="auto"/>
              <w:jc w:val="center"/>
              <w:rPr>
                <w:rFonts w:asciiTheme="minorEastAsia" w:hAnsiTheme="minorEastAsia" w:eastAsiaTheme="minorEastAsia"/>
                <w:color w:val="auto"/>
                <w:kern w:val="2"/>
                <w:sz w:val="21"/>
                <w:szCs w:val="21"/>
              </w:rPr>
            </w:pPr>
          </w:p>
        </w:tc>
        <w:tc>
          <w:tcPr>
            <w:tcW w:w="1675" w:type="dxa"/>
            <w:vAlign w:val="center"/>
          </w:tcPr>
          <w:p>
            <w:pPr>
              <w:pStyle w:val="50"/>
              <w:spacing w:line="360" w:lineRule="auto"/>
              <w:jc w:val="center"/>
              <w:rPr>
                <w:rFonts w:asciiTheme="minorEastAsia" w:hAnsiTheme="minorEastAsia" w:eastAsiaTheme="minorEastAsia"/>
                <w:color w:val="auto"/>
                <w:kern w:val="2"/>
                <w:sz w:val="21"/>
                <w:szCs w:val="21"/>
              </w:rPr>
            </w:pPr>
            <w:r>
              <w:rPr>
                <w:rFonts w:hint="eastAsia" w:asciiTheme="minorEastAsia" w:hAnsiTheme="minorEastAsia" w:eastAsiaTheme="minorEastAsia"/>
                <w:color w:val="auto"/>
                <w:kern w:val="2"/>
                <w:sz w:val="21"/>
                <w:szCs w:val="21"/>
              </w:rPr>
              <w:t>报价文件份数及格式封装要求</w:t>
            </w:r>
          </w:p>
        </w:tc>
        <w:tc>
          <w:tcPr>
            <w:tcW w:w="7104" w:type="dxa"/>
            <w:vAlign w:val="center"/>
          </w:tcPr>
          <w:p>
            <w:pPr>
              <w:pStyle w:val="50"/>
              <w:spacing w:line="360" w:lineRule="auto"/>
              <w:ind w:firstLine="420" w:firstLineChars="200"/>
              <w:rPr>
                <w:rFonts w:asciiTheme="minorEastAsia" w:hAnsiTheme="minorEastAsia" w:eastAsiaTheme="minorEastAsia"/>
                <w:bCs/>
                <w:kern w:val="2"/>
                <w:sz w:val="21"/>
                <w:szCs w:val="21"/>
              </w:rPr>
            </w:pPr>
            <w:r>
              <w:rPr>
                <w:rFonts w:hint="eastAsia" w:asciiTheme="minorEastAsia" w:hAnsiTheme="minorEastAsia" w:eastAsiaTheme="minorEastAsia"/>
                <w:bCs/>
                <w:kern w:val="2"/>
                <w:sz w:val="21"/>
                <w:szCs w:val="21"/>
              </w:rPr>
              <w:t>1</w:t>
            </w:r>
            <w:r>
              <w:rPr>
                <w:rFonts w:asciiTheme="minorEastAsia" w:hAnsiTheme="minorEastAsia" w:eastAsiaTheme="minorEastAsia"/>
                <w:bCs/>
                <w:kern w:val="2"/>
                <w:sz w:val="21"/>
                <w:szCs w:val="21"/>
              </w:rPr>
              <w:t>.</w:t>
            </w:r>
            <w:r>
              <w:rPr>
                <w:rFonts w:hint="eastAsia" w:asciiTheme="minorEastAsia" w:hAnsiTheme="minorEastAsia" w:eastAsiaTheme="minorEastAsia"/>
                <w:bCs/>
                <w:kern w:val="2"/>
                <w:sz w:val="21"/>
                <w:szCs w:val="21"/>
              </w:rPr>
              <w:t>比选文件正本1份，副本1份，副本可为正本的复印件。当正本与副本不一致时，以正本为准。响应文件由“第六章  竞争性比选响应文件格式”规定的部分和比选人所作的一切有效补充、修改和承诺等文件组成，比选人应按照“第六章  竞争性比选响应文件格式”规定进行编写和装订</w:t>
            </w:r>
            <w:r>
              <w:rPr>
                <w:rFonts w:asciiTheme="minorEastAsia" w:hAnsiTheme="minorEastAsia" w:eastAsiaTheme="minorEastAsia"/>
                <w:bCs/>
                <w:kern w:val="2"/>
                <w:sz w:val="21"/>
                <w:szCs w:val="21"/>
              </w:rPr>
              <w:t xml:space="preserve"> </w:t>
            </w:r>
          </w:p>
          <w:p>
            <w:pPr>
              <w:pStyle w:val="50"/>
              <w:spacing w:line="360" w:lineRule="auto"/>
              <w:ind w:firstLine="420" w:firstLineChars="200"/>
              <w:rPr>
                <w:rFonts w:asciiTheme="minorEastAsia" w:hAnsiTheme="minorEastAsia" w:eastAsiaTheme="minorEastAsia"/>
                <w:bCs/>
                <w:kern w:val="2"/>
                <w:sz w:val="21"/>
                <w:szCs w:val="21"/>
              </w:rPr>
            </w:pPr>
            <w:r>
              <w:rPr>
                <w:rFonts w:hint="eastAsia" w:asciiTheme="minorEastAsia" w:hAnsiTheme="minorEastAsia" w:eastAsiaTheme="minorEastAsia"/>
                <w:bCs/>
                <w:kern w:val="2"/>
                <w:sz w:val="21"/>
                <w:szCs w:val="21"/>
              </w:rPr>
              <w:t>2.比选文件中报价文件单独装订成册。</w:t>
            </w:r>
          </w:p>
          <w:p>
            <w:pPr>
              <w:pStyle w:val="50"/>
              <w:spacing w:line="360" w:lineRule="auto"/>
              <w:ind w:firstLine="420" w:firstLineChars="200"/>
              <w:rPr>
                <w:rFonts w:asciiTheme="minorEastAsia" w:hAnsiTheme="minorEastAsia" w:eastAsiaTheme="minorEastAsia"/>
                <w:bCs/>
                <w:kern w:val="2"/>
                <w:sz w:val="21"/>
                <w:szCs w:val="21"/>
              </w:rPr>
            </w:pPr>
            <w:r>
              <w:rPr>
                <w:rFonts w:hint="eastAsia" w:asciiTheme="minorEastAsia" w:hAnsiTheme="minorEastAsia" w:eastAsiaTheme="minorEastAsia"/>
                <w:bCs/>
                <w:kern w:val="2"/>
                <w:sz w:val="21"/>
                <w:szCs w:val="21"/>
              </w:rPr>
              <w:t>3</w:t>
            </w:r>
            <w:r>
              <w:rPr>
                <w:rFonts w:asciiTheme="minorEastAsia" w:hAnsiTheme="minorEastAsia" w:eastAsiaTheme="minorEastAsia"/>
                <w:bCs/>
                <w:kern w:val="2"/>
                <w:sz w:val="21"/>
                <w:szCs w:val="21"/>
              </w:rPr>
              <w:t>.</w:t>
            </w:r>
            <w:r>
              <w:rPr>
                <w:rFonts w:hint="eastAsia" w:asciiTheme="minorEastAsia" w:hAnsiTheme="minorEastAsia" w:eastAsiaTheme="minorEastAsia"/>
                <w:bCs/>
                <w:kern w:val="2"/>
                <w:sz w:val="21"/>
                <w:szCs w:val="21"/>
              </w:rPr>
              <w:t>也可在本格式基础上对表格进行扩展，未规定格式的由供应商自定格式。</w:t>
            </w:r>
          </w:p>
          <w:p>
            <w:pPr>
              <w:pStyle w:val="50"/>
              <w:spacing w:line="360" w:lineRule="auto"/>
              <w:ind w:firstLine="420" w:firstLineChars="200"/>
              <w:rPr>
                <w:rFonts w:asciiTheme="minorEastAsia" w:hAnsiTheme="minorEastAsia" w:eastAsiaTheme="minorEastAsia"/>
                <w:bCs/>
                <w:kern w:val="2"/>
                <w:sz w:val="21"/>
                <w:szCs w:val="21"/>
              </w:rPr>
            </w:pPr>
            <w:r>
              <w:rPr>
                <w:rFonts w:hint="eastAsia" w:asciiTheme="minorEastAsia" w:hAnsiTheme="minorEastAsia" w:eastAsiaTheme="minorEastAsia"/>
                <w:bCs/>
                <w:kern w:val="2"/>
                <w:sz w:val="21"/>
                <w:szCs w:val="21"/>
              </w:rPr>
              <w:t>4</w:t>
            </w:r>
            <w:r>
              <w:rPr>
                <w:rFonts w:asciiTheme="minorEastAsia" w:hAnsiTheme="minorEastAsia" w:eastAsiaTheme="minorEastAsia"/>
                <w:bCs/>
                <w:kern w:val="2"/>
                <w:sz w:val="21"/>
                <w:szCs w:val="21"/>
              </w:rPr>
              <w:t>.</w:t>
            </w:r>
            <w:r>
              <w:rPr>
                <w:rFonts w:hint="eastAsia"/>
              </w:rPr>
              <w:t xml:space="preserve"> </w:t>
            </w:r>
            <w:r>
              <w:rPr>
                <w:rFonts w:hint="eastAsia" w:asciiTheme="minorEastAsia" w:hAnsiTheme="minorEastAsia" w:eastAsiaTheme="minorEastAsia"/>
                <w:bCs/>
                <w:kern w:val="2"/>
                <w:sz w:val="21"/>
                <w:szCs w:val="21"/>
              </w:rPr>
              <w:t>供应商在投标时需提供报价文件的电子文档（单独封装，建议使用U盘），以便网上公示使用，电子文档将不予退还。</w:t>
            </w:r>
          </w:p>
        </w:tc>
      </w:tr>
      <w:bookmarkEnd w:id="184"/>
    </w:tbl>
    <w:p>
      <w:pPr>
        <w:spacing w:line="360" w:lineRule="auto"/>
        <w:jc w:val="center"/>
        <w:rPr>
          <w:rFonts w:ascii="宋体" w:hAnsi="宋体" w:cs="宋体"/>
          <w:b/>
          <w:sz w:val="28"/>
          <w:szCs w:val="28"/>
        </w:rPr>
        <w:sectPr>
          <w:headerReference r:id="rId7" w:type="default"/>
          <w:footerReference r:id="rId8" w:type="default"/>
          <w:pgSz w:w="11906" w:h="16838"/>
          <w:pgMar w:top="1418" w:right="1134" w:bottom="1418" w:left="1134" w:header="851" w:footer="992" w:gutter="0"/>
          <w:pgNumType w:start="1"/>
          <w:cols w:space="720" w:num="1"/>
          <w:docGrid w:type="lines" w:linePitch="312" w:charSpace="0"/>
        </w:sectPr>
      </w:pPr>
    </w:p>
    <w:p>
      <w:pPr>
        <w:pStyle w:val="3"/>
        <w:numPr>
          <w:ilvl w:val="0"/>
          <w:numId w:val="6"/>
        </w:numPr>
        <w:spacing w:before="0" w:after="0" w:line="360" w:lineRule="auto"/>
        <w:rPr>
          <w:rFonts w:ascii="宋体" w:hAnsi="宋体" w:cs="宋体"/>
        </w:rPr>
      </w:pPr>
      <w:bookmarkStart w:id="186" w:name="_Toc507319957"/>
      <w:bookmarkStart w:id="187" w:name="_Toc19575"/>
      <w:bookmarkStart w:id="188" w:name="_Toc17432"/>
      <w:bookmarkStart w:id="189" w:name="_Toc7563"/>
      <w:bookmarkStart w:id="190" w:name="_Toc152042364"/>
      <w:bookmarkStart w:id="191" w:name="_Toc21036"/>
      <w:bookmarkStart w:id="192" w:name="_Toc246996973"/>
      <w:bookmarkStart w:id="193" w:name="_Toc24471"/>
      <w:bookmarkStart w:id="194" w:name="_Toc247085745"/>
      <w:bookmarkStart w:id="195" w:name="_Toc2911"/>
      <w:bookmarkStart w:id="196" w:name="_Toc19839"/>
      <w:bookmarkStart w:id="197" w:name="_Toc246996230"/>
      <w:bookmarkStart w:id="198" w:name="_Toc2000406"/>
      <w:bookmarkStart w:id="199" w:name="_Toc144974554"/>
      <w:bookmarkStart w:id="200" w:name="_Toc179632605"/>
      <w:bookmarkStart w:id="201" w:name="_Toc152045587"/>
      <w:bookmarkStart w:id="202" w:name="_Toc29380"/>
      <w:bookmarkStart w:id="203" w:name="_Toc2734"/>
      <w:bookmarkStart w:id="204" w:name="_Toc19616"/>
      <w:bookmarkStart w:id="205" w:name="_Toc3716"/>
      <w:r>
        <w:rPr>
          <w:rFonts w:hint="eastAsia" w:ascii="宋体" w:hAnsi="宋体" w:cs="宋体"/>
        </w:rPr>
        <w:t>评标办法（经评审的</w:t>
      </w:r>
      <w:r>
        <w:rPr>
          <w:rFonts w:hint="eastAsia" w:ascii="宋体" w:hAnsi="宋体" w:cs="宋体"/>
          <w:lang w:val="en-US" w:eastAsia="zh-CN"/>
        </w:rPr>
        <w:t>最低投标价</w:t>
      </w:r>
      <w:r>
        <w:rPr>
          <w:rFonts w:hint="eastAsia" w:ascii="宋体" w:hAnsi="宋体" w:cs="宋体"/>
        </w:rPr>
        <w:t>法）</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pPr>
        <w:pStyle w:val="173"/>
        <w:ind w:left="420" w:firstLine="0" w:firstLineChars="0"/>
        <w:rPr>
          <w:rFonts w:asciiTheme="minorEastAsia" w:hAnsiTheme="minorEastAsia" w:eastAsiaTheme="minorEastAsia"/>
          <w:color w:val="000000" w:themeColor="text1"/>
          <w:kern w:val="0"/>
          <w:szCs w:val="21"/>
          <w14:textFill>
            <w14:solidFill>
              <w14:schemeClr w14:val="tx1"/>
            </w14:solidFill>
          </w14:textFill>
        </w:rPr>
      </w:pPr>
    </w:p>
    <w:p>
      <w:pPr>
        <w:snapToGrid w:val="0"/>
        <w:spacing w:line="360" w:lineRule="auto"/>
        <w:ind w:firstLine="420" w:firstLineChars="200"/>
        <w:rPr>
          <w:rFonts w:hint="eastAsia" w:cs="Times New Roman" w:asciiTheme="minorEastAsia" w:hAnsiTheme="minorEastAsia" w:eastAsiaTheme="minorEastAsia"/>
          <w:bCs/>
          <w:caps w:val="0"/>
          <w:color w:val="auto"/>
          <w:spacing w:val="0"/>
          <w:kern w:val="0"/>
          <w:sz w:val="21"/>
          <w:szCs w:val="21"/>
          <w:lang w:val="en-US" w:eastAsia="zh-CN"/>
        </w:rPr>
      </w:pPr>
      <w:r>
        <w:rPr>
          <w:rFonts w:hint="eastAsia" w:cs="Times New Roman" w:asciiTheme="minorEastAsia" w:hAnsiTheme="minorEastAsia" w:eastAsiaTheme="minorEastAsia"/>
          <w:bCs/>
          <w:caps w:val="0"/>
          <w:color w:val="auto"/>
          <w:spacing w:val="0"/>
          <w:kern w:val="0"/>
          <w:sz w:val="21"/>
          <w:szCs w:val="21"/>
          <w:lang w:val="en-US" w:eastAsia="zh-CN"/>
        </w:rPr>
        <w:t>一、评标办法</w:t>
      </w:r>
    </w:p>
    <w:p>
      <w:pPr>
        <w:snapToGrid w:val="0"/>
        <w:spacing w:line="360" w:lineRule="auto"/>
        <w:ind w:firstLine="420" w:firstLineChars="200"/>
        <w:rPr>
          <w:rFonts w:hint="eastAsia" w:ascii="方正仿宋_GBK" w:hAnsi="方正仿宋_GBK" w:eastAsia="方正仿宋_GBK" w:cs="方正仿宋_GBK"/>
          <w:caps w:val="0"/>
          <w:color w:val="auto"/>
          <w:spacing w:val="0"/>
          <w:sz w:val="24"/>
          <w:szCs w:val="24"/>
          <w:highlight w:val="none"/>
          <w:lang w:val="en-US" w:eastAsia="zh-CN"/>
        </w:rPr>
      </w:pPr>
      <w:r>
        <w:rPr>
          <w:rFonts w:hint="eastAsia" w:cs="Times New Roman" w:asciiTheme="minorEastAsia" w:hAnsiTheme="minorEastAsia" w:eastAsiaTheme="minorEastAsia"/>
          <w:bCs/>
          <w:caps w:val="0"/>
          <w:color w:val="auto"/>
          <w:spacing w:val="0"/>
          <w:kern w:val="0"/>
          <w:sz w:val="21"/>
          <w:szCs w:val="21"/>
          <w:lang w:val="en-US" w:eastAsia="zh-CN"/>
        </w:rPr>
        <w:t>本次询价采</w:t>
      </w:r>
      <w:r>
        <w:rPr>
          <w:rFonts w:hint="eastAsia" w:cs="Times New Roman" w:asciiTheme="minorEastAsia" w:hAnsiTheme="minorEastAsia" w:eastAsiaTheme="minorEastAsia"/>
          <w:bCs/>
          <w:caps w:val="0"/>
          <w:color w:val="auto"/>
          <w:spacing w:val="0"/>
          <w:kern w:val="0"/>
          <w:sz w:val="21"/>
          <w:szCs w:val="21"/>
          <w:highlight w:val="none"/>
          <w:lang w:val="en-US" w:eastAsia="zh-CN"/>
        </w:rPr>
        <w:t>用经评审的最低投标价法</w:t>
      </w:r>
      <w:r>
        <w:rPr>
          <w:rFonts w:hint="eastAsia" w:ascii="方正仿宋_GBK" w:hAnsi="方正仿宋_GBK" w:eastAsia="方正仿宋_GBK" w:cs="方正仿宋_GBK"/>
          <w:caps w:val="0"/>
          <w:color w:val="auto"/>
          <w:spacing w:val="0"/>
          <w:sz w:val="24"/>
          <w:szCs w:val="24"/>
          <w:highlight w:val="none"/>
          <w:lang w:val="en-US" w:eastAsia="zh-CN"/>
        </w:rPr>
        <w:t>。</w:t>
      </w:r>
    </w:p>
    <w:p>
      <w:pPr>
        <w:snapToGrid w:val="0"/>
        <w:spacing w:line="360" w:lineRule="auto"/>
        <w:ind w:firstLine="420" w:firstLineChars="200"/>
        <w:rPr>
          <w:rFonts w:hint="eastAsia" w:cs="Times New Roman" w:asciiTheme="minorEastAsia" w:hAnsiTheme="minorEastAsia" w:eastAsiaTheme="minorEastAsia"/>
          <w:bCs/>
          <w:kern w:val="0"/>
          <w:sz w:val="21"/>
          <w:szCs w:val="21"/>
        </w:rPr>
      </w:pPr>
      <w:r>
        <w:rPr>
          <w:rFonts w:hint="eastAsia" w:cs="Times New Roman" w:asciiTheme="minorEastAsia" w:hAnsiTheme="minorEastAsia" w:eastAsiaTheme="minorEastAsia"/>
          <w:bCs/>
          <w:kern w:val="0"/>
          <w:sz w:val="21"/>
          <w:szCs w:val="21"/>
        </w:rPr>
        <w:t>1、</w:t>
      </w:r>
      <w:r>
        <w:rPr>
          <w:rFonts w:hint="eastAsia" w:cs="Times New Roman" w:asciiTheme="minorEastAsia" w:hAnsiTheme="minorEastAsia" w:eastAsiaTheme="minorEastAsia"/>
          <w:bCs/>
          <w:kern w:val="0"/>
          <w:sz w:val="21"/>
          <w:szCs w:val="21"/>
          <w:lang w:val="en-US" w:eastAsia="zh-CN"/>
        </w:rPr>
        <w:t>报价最低</w:t>
      </w:r>
      <w:r>
        <w:rPr>
          <w:rFonts w:hint="eastAsia" w:cs="Times New Roman" w:asciiTheme="minorEastAsia" w:hAnsiTheme="minorEastAsia" w:eastAsiaTheme="minorEastAsia"/>
          <w:bCs/>
          <w:kern w:val="0"/>
          <w:sz w:val="21"/>
          <w:szCs w:val="21"/>
        </w:rPr>
        <w:t>的单位为第一中标候选人。</w:t>
      </w:r>
    </w:p>
    <w:p>
      <w:pPr>
        <w:snapToGrid w:val="0"/>
        <w:spacing w:line="360" w:lineRule="auto"/>
        <w:ind w:firstLine="420" w:firstLineChars="200"/>
        <w:rPr>
          <w:rFonts w:hint="eastAsia" w:cs="Times New Roman" w:asciiTheme="minorEastAsia" w:hAnsiTheme="minorEastAsia" w:eastAsiaTheme="minorEastAsia"/>
          <w:bCs/>
          <w:kern w:val="0"/>
          <w:sz w:val="21"/>
          <w:szCs w:val="21"/>
        </w:rPr>
      </w:pPr>
      <w:r>
        <w:rPr>
          <w:rFonts w:hint="eastAsia" w:cs="Times New Roman" w:asciiTheme="minorEastAsia" w:hAnsiTheme="minorEastAsia" w:eastAsiaTheme="minorEastAsia"/>
          <w:bCs/>
          <w:kern w:val="0"/>
          <w:sz w:val="21"/>
          <w:szCs w:val="21"/>
        </w:rPr>
        <w:t>2、若存在</w:t>
      </w:r>
      <w:r>
        <w:rPr>
          <w:rFonts w:hint="eastAsia" w:cs="Times New Roman" w:asciiTheme="minorEastAsia" w:hAnsiTheme="minorEastAsia" w:eastAsiaTheme="minorEastAsia"/>
          <w:bCs/>
          <w:kern w:val="0"/>
          <w:sz w:val="21"/>
          <w:szCs w:val="21"/>
          <w:lang w:val="en-US" w:eastAsia="zh-CN"/>
        </w:rPr>
        <w:t>报价</w:t>
      </w:r>
      <w:r>
        <w:rPr>
          <w:rFonts w:hint="eastAsia" w:cs="Times New Roman" w:asciiTheme="minorEastAsia" w:hAnsiTheme="minorEastAsia" w:eastAsiaTheme="minorEastAsia"/>
          <w:bCs/>
          <w:kern w:val="0"/>
          <w:sz w:val="21"/>
          <w:szCs w:val="21"/>
        </w:rPr>
        <w:t>相同的情况，</w:t>
      </w:r>
      <w:r>
        <w:rPr>
          <w:rFonts w:hint="eastAsia" w:cs="Times New Roman" w:asciiTheme="minorEastAsia" w:hAnsiTheme="minorEastAsia" w:eastAsiaTheme="minorEastAsia"/>
          <w:bCs/>
          <w:kern w:val="0"/>
          <w:sz w:val="21"/>
          <w:szCs w:val="21"/>
          <w:lang w:val="en-US" w:eastAsia="zh-CN"/>
        </w:rPr>
        <w:t>由评标委员会投票表决</w:t>
      </w:r>
      <w:r>
        <w:rPr>
          <w:rFonts w:hint="eastAsia" w:cs="Times New Roman" w:asciiTheme="minorEastAsia" w:hAnsiTheme="minorEastAsia" w:eastAsiaTheme="minorEastAsia"/>
          <w:bCs/>
          <w:kern w:val="0"/>
          <w:sz w:val="21"/>
          <w:szCs w:val="21"/>
        </w:rPr>
        <w:t>确定中标候选人。</w:t>
      </w:r>
    </w:p>
    <w:p>
      <w:pPr>
        <w:snapToGrid w:val="0"/>
        <w:spacing w:line="360" w:lineRule="auto"/>
        <w:ind w:firstLine="420" w:firstLineChars="200"/>
        <w:rPr>
          <w:rFonts w:hint="eastAsia" w:cs="Times New Roman" w:asciiTheme="minorEastAsia" w:hAnsiTheme="minorEastAsia" w:eastAsiaTheme="minorEastAsia"/>
          <w:bCs/>
          <w:kern w:val="0"/>
          <w:szCs w:val="21"/>
        </w:rPr>
      </w:pPr>
      <w:r>
        <w:rPr>
          <w:rFonts w:hint="eastAsia" w:cs="Times New Roman" w:asciiTheme="minorEastAsia" w:hAnsiTheme="minorEastAsia" w:eastAsiaTheme="minorEastAsia"/>
          <w:bCs/>
          <w:kern w:val="0"/>
          <w:sz w:val="21"/>
          <w:szCs w:val="21"/>
          <w:lang w:val="en-US" w:eastAsia="zh-CN"/>
        </w:rPr>
        <w:t>3</w:t>
      </w:r>
      <w:r>
        <w:rPr>
          <w:rFonts w:hint="eastAsia" w:cs="Times New Roman" w:asciiTheme="minorEastAsia" w:hAnsiTheme="minorEastAsia" w:eastAsiaTheme="minorEastAsia"/>
          <w:bCs/>
          <w:kern w:val="0"/>
          <w:sz w:val="21"/>
          <w:szCs w:val="21"/>
        </w:rPr>
        <w:t>、若第一中标候选人放弃中标的，则以第二中标候选人为最终的中标人，以此类推</w:t>
      </w:r>
    </w:p>
    <w:p>
      <w:pPr>
        <w:pStyle w:val="4"/>
        <w:numPr>
          <w:ilvl w:val="-1"/>
          <w:numId w:val="0"/>
        </w:numPr>
        <w:ind w:left="0" w:firstLine="0"/>
        <w:rPr>
          <w:rFonts w:asciiTheme="minorEastAsia" w:hAnsiTheme="minorEastAsia"/>
          <w:sz w:val="21"/>
          <w:szCs w:val="21"/>
        </w:rPr>
      </w:pPr>
      <w:bookmarkStart w:id="206" w:name="_Toc25904"/>
      <w:bookmarkStart w:id="207" w:name="_Toc12502"/>
      <w:bookmarkStart w:id="208" w:name="_Toc30506"/>
      <w:bookmarkStart w:id="209" w:name="_Toc11329222"/>
      <w:bookmarkStart w:id="210" w:name="_Toc3860"/>
      <w:bookmarkStart w:id="211" w:name="_Toc26000"/>
      <w:bookmarkStart w:id="212" w:name="_Toc18476"/>
      <w:bookmarkStart w:id="213" w:name="_Toc17532"/>
      <w:bookmarkStart w:id="214" w:name="_Toc13362"/>
      <w:bookmarkStart w:id="215" w:name="_Toc23320"/>
      <w:bookmarkStart w:id="216" w:name="_Toc28282"/>
      <w:bookmarkStart w:id="217" w:name="_Toc3023"/>
      <w:r>
        <w:rPr>
          <w:rFonts w:hint="eastAsia" w:asciiTheme="minorEastAsia" w:hAnsiTheme="minorEastAsia"/>
          <w:sz w:val="21"/>
          <w:szCs w:val="21"/>
          <w:lang w:val="en-US" w:eastAsia="zh-CN"/>
        </w:rPr>
        <w:t>二、</w:t>
      </w:r>
      <w:r>
        <w:rPr>
          <w:rFonts w:hint="eastAsia" w:asciiTheme="minorEastAsia" w:hAnsiTheme="minorEastAsia"/>
          <w:sz w:val="21"/>
          <w:szCs w:val="21"/>
        </w:rPr>
        <w:t>资格审查条件（资质最低要求）</w:t>
      </w:r>
      <w:bookmarkEnd w:id="206"/>
      <w:bookmarkEnd w:id="207"/>
      <w:bookmarkEnd w:id="208"/>
      <w:bookmarkEnd w:id="209"/>
      <w:bookmarkEnd w:id="210"/>
      <w:bookmarkEnd w:id="211"/>
      <w:bookmarkEnd w:id="212"/>
      <w:bookmarkEnd w:id="213"/>
      <w:bookmarkEnd w:id="214"/>
      <w:bookmarkEnd w:id="215"/>
      <w:bookmarkEnd w:id="216"/>
      <w:bookmarkEnd w:id="217"/>
    </w:p>
    <w:p>
      <w:pPr>
        <w:pStyle w:val="173"/>
        <w:spacing w:line="360" w:lineRule="auto"/>
        <w:ind w:left="440" w:firstLine="0" w:firstLineChars="0"/>
        <w:rPr>
          <w:rFonts w:asciiTheme="minorEastAsia" w:hAnsiTheme="minorEastAsia" w:eastAsiaTheme="minorEastAsia"/>
          <w:color w:val="000000" w:themeColor="text1"/>
          <w:kern w:val="0"/>
          <w:szCs w:val="21"/>
          <w14:textFill>
            <w14:solidFill>
              <w14:schemeClr w14:val="tx1"/>
            </w14:solidFill>
          </w14:textFill>
        </w:rPr>
      </w:pPr>
      <w:r>
        <w:rPr>
          <w:rFonts w:hint="eastAsia" w:asciiTheme="minorEastAsia" w:hAnsiTheme="minorEastAsia" w:eastAsiaTheme="minorEastAsia"/>
          <w:color w:val="000000" w:themeColor="text1"/>
          <w:kern w:val="0"/>
          <w:szCs w:val="21"/>
          <w14:textFill>
            <w14:solidFill>
              <w14:schemeClr w14:val="tx1"/>
            </w14:solidFill>
          </w14:textFill>
        </w:rPr>
        <w:t>评标委员会依据法律法规和</w:t>
      </w:r>
      <w:r>
        <w:rPr>
          <w:rFonts w:hint="eastAsia" w:asciiTheme="minorEastAsia" w:hAnsiTheme="minorEastAsia" w:eastAsiaTheme="minorEastAsia"/>
          <w:szCs w:val="21"/>
        </w:rPr>
        <w:t>竞争性比选文件</w:t>
      </w:r>
      <w:r>
        <w:rPr>
          <w:rFonts w:hint="eastAsia" w:asciiTheme="minorEastAsia" w:hAnsiTheme="minorEastAsia" w:eastAsiaTheme="minorEastAsia"/>
          <w:color w:val="000000" w:themeColor="text1"/>
          <w:kern w:val="0"/>
          <w:szCs w:val="21"/>
          <w14:textFill>
            <w14:solidFill>
              <w14:schemeClr w14:val="tx1"/>
            </w14:solidFill>
          </w14:textFill>
        </w:rPr>
        <w:t>中的规定，对投标人比选文件中的资格证明等进行审查，以确定比选人是否具备竞选资格。资格性检查资料表如下：</w:t>
      </w:r>
    </w:p>
    <w:tbl>
      <w:tblPr>
        <w:tblStyle w:val="41"/>
        <w:tblW w:w="8648"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1"/>
        <w:gridCol w:w="965"/>
        <w:gridCol w:w="3130"/>
        <w:gridCol w:w="3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序号</w:t>
            </w:r>
          </w:p>
        </w:tc>
        <w:tc>
          <w:tcPr>
            <w:tcW w:w="4095" w:type="dxa"/>
            <w:gridSpan w:val="2"/>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检查因素</w:t>
            </w:r>
          </w:p>
        </w:tc>
        <w:tc>
          <w:tcPr>
            <w:tcW w:w="3992"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vMerge w:val="restart"/>
            <w:vAlign w:val="center"/>
          </w:tcPr>
          <w:p>
            <w:pPr>
              <w:spacing w:line="360" w:lineRule="auto"/>
              <w:rPr>
                <w:rFonts w:asciiTheme="minorEastAsia" w:hAnsiTheme="minorEastAsia" w:eastAsiaTheme="minorEastAsia"/>
                <w:szCs w:val="21"/>
              </w:rPr>
            </w:pPr>
            <w:r>
              <w:rPr>
                <w:rFonts w:hint="eastAsia" w:asciiTheme="minorEastAsia" w:hAnsiTheme="minorEastAsia" w:eastAsiaTheme="minorEastAsia"/>
                <w:szCs w:val="21"/>
              </w:rPr>
              <w:t>1</w:t>
            </w:r>
          </w:p>
        </w:tc>
        <w:tc>
          <w:tcPr>
            <w:tcW w:w="965" w:type="dxa"/>
            <w:vMerge w:val="restart"/>
            <w:vAlign w:val="center"/>
          </w:tcPr>
          <w:p>
            <w:pPr>
              <w:spacing w:line="360" w:lineRule="auto"/>
              <w:rPr>
                <w:rFonts w:cs="仿宋_GB2312" w:asciiTheme="minorEastAsia" w:hAnsiTheme="minorEastAsia" w:eastAsiaTheme="minorEastAsia"/>
                <w:szCs w:val="21"/>
                <w:lang w:val="zh-CN"/>
              </w:rPr>
            </w:pPr>
            <w:r>
              <w:rPr>
                <w:rFonts w:hint="eastAsia" w:cs="仿宋_GB2312" w:asciiTheme="minorEastAsia" w:hAnsiTheme="minorEastAsia" w:eastAsiaTheme="minorEastAsia"/>
                <w:szCs w:val="21"/>
              </w:rPr>
              <w:t>供应商</w:t>
            </w:r>
            <w:r>
              <w:rPr>
                <w:rFonts w:hint="eastAsia" w:cs="仿宋_GB2312" w:asciiTheme="minorEastAsia" w:hAnsiTheme="minorEastAsia" w:eastAsiaTheme="minorEastAsia"/>
                <w:szCs w:val="21"/>
                <w:lang w:val="zh-CN"/>
              </w:rPr>
              <w:t>应符合的基本资格条件</w:t>
            </w:r>
          </w:p>
        </w:tc>
        <w:tc>
          <w:tcPr>
            <w:tcW w:w="3130" w:type="dxa"/>
            <w:vAlign w:val="center"/>
          </w:tcPr>
          <w:p>
            <w:pPr>
              <w:spacing w:line="360" w:lineRule="auto"/>
              <w:ind w:firstLine="495" w:firstLineChars="236"/>
              <w:rPr>
                <w:rFonts w:hint="eastAsia" w:ascii="宋体" w:hAnsi="宋体" w:eastAsia="宋体" w:cs="宋体"/>
                <w:color w:val="auto"/>
                <w:szCs w:val="21"/>
              </w:rPr>
            </w:pPr>
            <w:r>
              <w:rPr>
                <w:rFonts w:hint="eastAsia" w:asciiTheme="minorEastAsia" w:hAnsiTheme="minorEastAsia" w:eastAsiaTheme="minorEastAsia"/>
                <w:szCs w:val="21"/>
              </w:rPr>
              <w:t>（1）具有独立承担民事责任的能</w:t>
            </w:r>
            <w:r>
              <w:rPr>
                <w:rFonts w:hint="eastAsia" w:asciiTheme="minorEastAsia" w:hAnsiTheme="minorEastAsia" w:eastAsiaTheme="minorEastAsia"/>
                <w:color w:val="auto"/>
                <w:szCs w:val="21"/>
              </w:rPr>
              <w:t>力</w:t>
            </w:r>
            <w:r>
              <w:rPr>
                <w:rFonts w:hint="eastAsia" w:asciiTheme="minorEastAsia" w:hAnsiTheme="minorEastAsia" w:eastAsiaTheme="minorEastAsia"/>
                <w:color w:val="auto"/>
                <w:szCs w:val="21"/>
                <w:lang w:eastAsia="zh-CN"/>
              </w:rPr>
              <w:t>，</w:t>
            </w:r>
            <w:r>
              <w:rPr>
                <w:rFonts w:hint="eastAsia" w:asciiTheme="majorEastAsia" w:hAnsiTheme="majorEastAsia" w:eastAsiaTheme="majorEastAsia" w:cstheme="majorEastAsia"/>
                <w:color w:val="auto"/>
                <w:szCs w:val="21"/>
                <w:lang w:val="en-US" w:eastAsia="zh-CN"/>
              </w:rPr>
              <w:t>如投标人为经销商的提供相关证明材料并加盖授权商公章（原件备查）</w:t>
            </w:r>
            <w:r>
              <w:rPr>
                <w:rFonts w:hint="eastAsia"/>
                <w:color w:val="auto"/>
                <w:lang w:eastAsia="zh-CN"/>
              </w:rPr>
              <w:t>；</w:t>
            </w:r>
          </w:p>
          <w:p>
            <w:pPr>
              <w:spacing w:line="240" w:lineRule="auto"/>
              <w:rPr>
                <w:rFonts w:hint="eastAsia" w:asciiTheme="minorEastAsia" w:hAnsiTheme="minorEastAsia" w:eastAsiaTheme="minorEastAsia"/>
                <w:szCs w:val="21"/>
                <w:lang w:val="en-US" w:eastAsia="zh-CN"/>
              </w:rPr>
            </w:pPr>
          </w:p>
        </w:tc>
        <w:tc>
          <w:tcPr>
            <w:tcW w:w="3992" w:type="dxa"/>
            <w:vAlign w:val="center"/>
          </w:tcPr>
          <w:p>
            <w:pPr>
              <w:spacing w:line="240" w:lineRule="auto"/>
              <w:rPr>
                <w:rFonts w:cs="仿宋" w:asciiTheme="minorEastAsia" w:hAnsiTheme="minorEastAsia" w:eastAsiaTheme="minorEastAsia"/>
                <w:szCs w:val="21"/>
              </w:rPr>
            </w:pPr>
            <w:r>
              <w:rPr>
                <w:rFonts w:hint="eastAsia" w:cs="仿宋" w:asciiTheme="minorEastAsia" w:hAnsiTheme="minorEastAsia" w:eastAsiaTheme="minorEastAsia"/>
                <w:szCs w:val="21"/>
                <w:lang w:val="en-US" w:eastAsia="zh-CN"/>
              </w:rPr>
              <w:t>投标人</w:t>
            </w:r>
            <w:r>
              <w:rPr>
                <w:rFonts w:hint="eastAsia" w:cs="仿宋" w:asciiTheme="minorEastAsia" w:hAnsiTheme="minorEastAsia" w:eastAsiaTheme="minorEastAsia"/>
                <w:szCs w:val="21"/>
              </w:rPr>
              <w:t xml:space="preserve">法人营业执照（副本）或事业单位法人证书（副本）或个体工商户营业执照或有效的自然人身份证明或社会团体法人登记证书（提供复印件）。 </w:t>
            </w:r>
          </w:p>
          <w:p>
            <w:pPr>
              <w:spacing w:line="240" w:lineRule="auto"/>
              <w:rPr>
                <w:rFonts w:asciiTheme="minorEastAsia" w:hAnsiTheme="minorEastAsia" w:eastAsiaTheme="minorEastAsia"/>
                <w:szCs w:val="21"/>
              </w:rPr>
            </w:pPr>
            <w:r>
              <w:rPr>
                <w:rFonts w:hint="eastAsia" w:asciiTheme="minorEastAsia" w:hAnsiTheme="minorEastAsia" w:eastAsiaTheme="minorEastAsia"/>
                <w:szCs w:val="21"/>
              </w:rPr>
              <w:t>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vMerge w:val="continue"/>
            <w:vAlign w:val="center"/>
          </w:tcPr>
          <w:p>
            <w:pPr>
              <w:spacing w:line="360" w:lineRule="auto"/>
              <w:rPr>
                <w:rFonts w:asciiTheme="minorEastAsia" w:hAnsiTheme="minorEastAsia" w:eastAsiaTheme="minorEastAsia"/>
                <w:szCs w:val="21"/>
              </w:rPr>
            </w:pPr>
          </w:p>
        </w:tc>
        <w:tc>
          <w:tcPr>
            <w:tcW w:w="965" w:type="dxa"/>
            <w:vMerge w:val="continue"/>
            <w:vAlign w:val="center"/>
          </w:tcPr>
          <w:p>
            <w:pPr>
              <w:spacing w:line="360" w:lineRule="auto"/>
              <w:rPr>
                <w:rFonts w:cs="仿宋_GB2312" w:asciiTheme="minorEastAsia" w:hAnsiTheme="minorEastAsia" w:eastAsiaTheme="minorEastAsia"/>
                <w:szCs w:val="21"/>
                <w:lang w:val="zh-CN"/>
              </w:rPr>
            </w:pPr>
          </w:p>
        </w:tc>
        <w:tc>
          <w:tcPr>
            <w:tcW w:w="3130" w:type="dxa"/>
            <w:vAlign w:val="center"/>
          </w:tcPr>
          <w:p>
            <w:pPr>
              <w:spacing w:line="240" w:lineRule="auto"/>
              <w:rPr>
                <w:rFonts w:asciiTheme="minorEastAsia" w:hAnsiTheme="minorEastAsia" w:eastAsiaTheme="minorEastAsia"/>
                <w:szCs w:val="21"/>
              </w:rPr>
            </w:pPr>
            <w:r>
              <w:rPr>
                <w:rFonts w:hint="eastAsia" w:cs="仿宋_GB2312" w:asciiTheme="minorEastAsia" w:hAnsiTheme="minorEastAsia" w:eastAsiaTheme="minorEastAsia"/>
                <w:szCs w:val="21"/>
                <w:lang w:val="zh-CN"/>
              </w:rPr>
              <w:t>（2）</w:t>
            </w:r>
            <w:r>
              <w:rPr>
                <w:rFonts w:hint="eastAsia" w:asciiTheme="minorEastAsia" w:hAnsiTheme="minorEastAsia" w:eastAsiaTheme="minorEastAsia"/>
                <w:szCs w:val="21"/>
              </w:rPr>
              <w:t>具有良好的商业信誉和健全的财务会计制度</w:t>
            </w:r>
          </w:p>
        </w:tc>
        <w:tc>
          <w:tcPr>
            <w:tcW w:w="3992" w:type="dxa"/>
            <w:vAlign w:val="center"/>
          </w:tcPr>
          <w:p>
            <w:pPr>
              <w:spacing w:line="240" w:lineRule="auto"/>
              <w:rPr>
                <w:rFonts w:hint="eastAsia" w:asciiTheme="minorEastAsia" w:hAnsiTheme="minorEastAsia" w:eastAsiaTheme="minorEastAsia"/>
                <w:szCs w:val="21"/>
              </w:rPr>
            </w:pPr>
            <w:r>
              <w:rPr>
                <w:rFonts w:hint="eastAsia" w:cs="仿宋" w:asciiTheme="minorEastAsia" w:hAnsiTheme="minorEastAsia" w:eastAsiaTheme="minorEastAsia"/>
                <w:szCs w:val="21"/>
                <w:lang w:val="en-US" w:eastAsia="zh-CN"/>
              </w:rPr>
              <w:t>投标人</w:t>
            </w:r>
            <w:r>
              <w:rPr>
                <w:rFonts w:hint="eastAsia" w:asciiTheme="minorEastAsia" w:hAnsiTheme="minorEastAsia" w:eastAsiaTheme="minorEastAsia"/>
                <w:szCs w:val="21"/>
              </w:rPr>
              <w:t>提供</w:t>
            </w:r>
            <w:r>
              <w:rPr>
                <w:rFonts w:hint="eastAsia" w:ascii="宋体" w:hAnsi="宋体" w:cs="宋体"/>
                <w:color w:val="auto"/>
                <w:kern w:val="0"/>
              </w:rPr>
              <w:t>在2020-2022年在经营活动中没有重大违法记录，</w:t>
            </w:r>
            <w:r>
              <w:rPr>
                <w:rFonts w:hint="eastAsia" w:ascii="宋体" w:hAnsi="宋体" w:cs="宋体"/>
                <w:color w:val="auto"/>
                <w:kern w:val="0"/>
                <w:lang w:eastAsia="zh-CN"/>
              </w:rPr>
              <w:t>比选申请人</w:t>
            </w:r>
            <w:r>
              <w:rPr>
                <w:rFonts w:hint="eastAsia" w:ascii="宋体" w:hAnsi="宋体" w:cs="宋体"/>
                <w:color w:val="auto"/>
                <w:kern w:val="0"/>
              </w:rPr>
              <w:t>提供国家企业信用信息公示系统</w:t>
            </w:r>
            <w:r>
              <w:rPr>
                <w:rFonts w:ascii="宋体" w:hAnsi="宋体" w:cs="宋体"/>
                <w:color w:val="auto"/>
                <w:kern w:val="0"/>
              </w:rPr>
              <w:t>http://www.gsxt.gov.cn/）中</w:t>
            </w:r>
            <w:r>
              <w:rPr>
                <w:rFonts w:hint="eastAsia" w:ascii="宋体" w:hAnsi="宋体" w:cs="宋体"/>
                <w:color w:val="auto"/>
                <w:kern w:val="0"/>
              </w:rPr>
              <w:t>未</w:t>
            </w:r>
            <w:r>
              <w:rPr>
                <w:rFonts w:ascii="宋体" w:hAnsi="宋体" w:cs="宋体"/>
                <w:color w:val="auto"/>
                <w:kern w:val="0"/>
              </w:rPr>
              <w:t>被列入严重违法失信企业名单</w:t>
            </w:r>
            <w:r>
              <w:rPr>
                <w:rFonts w:hint="eastAsia" w:ascii="宋体" w:hAnsi="宋体" w:cs="宋体"/>
                <w:color w:val="auto"/>
                <w:kern w:val="0"/>
              </w:rPr>
              <w:t>、“信用中国”（</w:t>
            </w:r>
            <w:r>
              <w:rPr>
                <w:rFonts w:ascii="宋体" w:hAnsi="宋体" w:cs="宋体"/>
                <w:color w:val="auto"/>
                <w:kern w:val="0"/>
              </w:rPr>
              <w:t>http://www.creditchina.gov.cn/）中</w:t>
            </w:r>
            <w:r>
              <w:rPr>
                <w:rFonts w:hint="eastAsia" w:ascii="宋体" w:hAnsi="宋体" w:cs="宋体"/>
                <w:color w:val="auto"/>
                <w:kern w:val="0"/>
              </w:rPr>
              <w:t>未</w:t>
            </w:r>
            <w:r>
              <w:rPr>
                <w:rFonts w:ascii="宋体" w:hAnsi="宋体" w:cs="宋体"/>
                <w:color w:val="auto"/>
                <w:kern w:val="0"/>
              </w:rPr>
              <w:t>被列入失信</w:t>
            </w:r>
            <w:r>
              <w:rPr>
                <w:rFonts w:hint="eastAsia" w:ascii="宋体" w:hAnsi="宋体" w:cs="宋体"/>
                <w:color w:val="auto"/>
                <w:kern w:val="0"/>
              </w:rPr>
              <w:t>惩戒对象系统查询结果证明材料</w:t>
            </w:r>
            <w:r>
              <w:rPr>
                <w:rFonts w:hint="eastAsia" w:ascii="宋体" w:hAnsi="宋体" w:cs="宋体"/>
                <w:color w:val="auto"/>
                <w:kern w:val="0"/>
                <w:lang w:eastAsia="zh-CN"/>
              </w:rPr>
              <w:t>（</w:t>
            </w:r>
            <w:r>
              <w:rPr>
                <w:rFonts w:hint="eastAsia" w:ascii="宋体" w:hAnsi="宋体" w:cs="宋体"/>
                <w:color w:val="auto"/>
                <w:kern w:val="0"/>
                <w:lang w:val="en-US" w:eastAsia="zh-CN"/>
              </w:rPr>
              <w:t>截图方式</w:t>
            </w:r>
            <w:r>
              <w:rPr>
                <w:rFonts w:hint="eastAsia" w:ascii="宋体" w:hAnsi="宋体" w:cs="宋体"/>
                <w:color w:val="auto"/>
                <w:kern w:val="0"/>
                <w:lang w:eastAsia="zh-CN"/>
              </w:rPr>
              <w:t>）</w:t>
            </w:r>
            <w:r>
              <w:rPr>
                <w:rFonts w:hint="eastAsia" w:ascii="宋体" w:hAnsi="宋体" w:cs="宋体"/>
                <w:color w:val="auto"/>
                <w:kern w:val="0"/>
              </w:rPr>
              <w:t>并加盖</w:t>
            </w:r>
            <w:r>
              <w:rPr>
                <w:rFonts w:hint="eastAsia" w:ascii="宋体" w:hAnsi="宋体" w:cs="宋体"/>
                <w:color w:val="auto"/>
                <w:kern w:val="0"/>
                <w:lang w:eastAsia="zh-CN"/>
              </w:rPr>
              <w:t>比选申请人</w:t>
            </w:r>
            <w:r>
              <w:rPr>
                <w:rFonts w:hint="eastAsia" w:ascii="宋体" w:hAnsi="宋体" w:cs="宋体"/>
                <w:color w:val="auto"/>
                <w:kern w:val="0"/>
              </w:rPr>
              <w:t>公章。</w:t>
            </w:r>
          </w:p>
          <w:p>
            <w:pPr>
              <w:spacing w:line="240" w:lineRule="auto"/>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2021-2022年</w:t>
            </w:r>
            <w:r>
              <w:rPr>
                <w:rFonts w:hint="eastAsia" w:asciiTheme="minorEastAsia" w:hAnsiTheme="minorEastAsia" w:eastAsiaTheme="minorEastAsia"/>
                <w:szCs w:val="21"/>
              </w:rPr>
              <w:t>的经审计的财务情况和财务报告（审计页及关键内容页复印件）</w:t>
            </w:r>
            <w:r>
              <w:rPr>
                <w:rFonts w:hint="eastAsia" w:asciiTheme="minorEastAsia" w:hAnsiTheme="minorEastAsia" w:eastAsiaTheme="minorEastAsia"/>
                <w:szCs w:val="21"/>
                <w:lang w:eastAsia="zh-CN"/>
              </w:rPr>
              <w:t>；</w:t>
            </w:r>
            <w:r>
              <w:rPr>
                <w:rFonts w:hint="eastAsia" w:cs="仿宋_GB2312" w:asciiTheme="minorEastAsia" w:hAnsiTheme="minorEastAsia" w:eastAsiaTheme="minorEastAsia"/>
                <w:szCs w:val="21"/>
                <w:lang w:val="zh-CN"/>
              </w:rPr>
              <w:t>税收</w:t>
            </w:r>
            <w:r>
              <w:rPr>
                <w:rFonts w:hint="eastAsia" w:cs="仿宋_GB2312" w:asciiTheme="minorEastAsia" w:hAnsiTheme="minorEastAsia" w:eastAsiaTheme="minorEastAsia"/>
                <w:szCs w:val="21"/>
                <w:lang w:val="en-US" w:eastAsia="zh-CN"/>
              </w:rPr>
              <w:t>及</w:t>
            </w:r>
            <w:r>
              <w:rPr>
                <w:rFonts w:hint="eastAsia" w:cs="仿宋_GB2312" w:asciiTheme="minorEastAsia" w:hAnsiTheme="minorEastAsia" w:eastAsiaTheme="minorEastAsia"/>
                <w:szCs w:val="21"/>
                <w:lang w:val="zh-CN"/>
              </w:rPr>
              <w:t>社会保障金的记录；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vMerge w:val="continue"/>
            <w:vAlign w:val="center"/>
          </w:tcPr>
          <w:p>
            <w:pPr>
              <w:spacing w:line="360" w:lineRule="auto"/>
              <w:rPr>
                <w:rFonts w:asciiTheme="minorEastAsia" w:hAnsiTheme="minorEastAsia" w:eastAsiaTheme="minorEastAsia"/>
                <w:szCs w:val="21"/>
              </w:rPr>
            </w:pPr>
          </w:p>
        </w:tc>
        <w:tc>
          <w:tcPr>
            <w:tcW w:w="965" w:type="dxa"/>
            <w:vMerge w:val="continue"/>
            <w:vAlign w:val="center"/>
          </w:tcPr>
          <w:p>
            <w:pPr>
              <w:spacing w:line="360" w:lineRule="auto"/>
              <w:rPr>
                <w:rFonts w:cs="仿宋_GB2312" w:asciiTheme="minorEastAsia" w:hAnsiTheme="minorEastAsia" w:eastAsiaTheme="minorEastAsia"/>
                <w:szCs w:val="21"/>
                <w:lang w:val="zh-CN"/>
              </w:rPr>
            </w:pPr>
          </w:p>
        </w:tc>
        <w:tc>
          <w:tcPr>
            <w:tcW w:w="3130" w:type="dxa"/>
            <w:vAlign w:val="center"/>
          </w:tcPr>
          <w:p>
            <w:pPr>
              <w:spacing w:line="360" w:lineRule="auto"/>
              <w:rPr>
                <w:rFonts w:hint="eastAsia" w:cs="仿宋_GB2312" w:asciiTheme="minorEastAsia" w:hAnsiTheme="minorEastAsia" w:eastAsiaTheme="minorEastAsia"/>
                <w:szCs w:val="21"/>
                <w:lang w:val="zh-CN" w:eastAsia="zh-CN"/>
              </w:rPr>
            </w:pPr>
            <w:r>
              <w:rPr>
                <w:rFonts w:hint="eastAsia" w:cs="仿宋_GB2312" w:asciiTheme="minorEastAsia" w:hAnsiTheme="minorEastAsia" w:eastAsiaTheme="minorEastAsia"/>
                <w:szCs w:val="21"/>
                <w:lang w:val="zh-CN"/>
              </w:rPr>
              <w:t>（3）具有履行合同所必需的</w:t>
            </w:r>
            <w:r>
              <w:rPr>
                <w:rFonts w:hint="eastAsia" w:cs="仿宋_GB2312" w:asciiTheme="minorEastAsia" w:hAnsiTheme="minorEastAsia" w:eastAsiaTheme="minorEastAsia"/>
                <w:szCs w:val="21"/>
                <w:lang w:val="en-US" w:eastAsia="zh-CN"/>
              </w:rPr>
              <w:t>资质证书</w:t>
            </w:r>
          </w:p>
        </w:tc>
        <w:tc>
          <w:tcPr>
            <w:tcW w:w="3992" w:type="dxa"/>
            <w:vAlign w:val="center"/>
          </w:tcPr>
          <w:p>
            <w:pPr>
              <w:spacing w:line="240" w:lineRule="auto"/>
              <w:rPr>
                <w:rFonts w:hint="eastAsia" w:cs="仿宋_GB2312" w:asciiTheme="minorEastAsia" w:hAnsiTheme="minorEastAsia" w:eastAsiaTheme="minorEastAsia"/>
                <w:szCs w:val="21"/>
                <w:lang w:val="zh-CN" w:eastAsia="zh-CN"/>
              </w:rPr>
            </w:pPr>
            <w:r>
              <w:rPr>
                <w:rFonts w:hint="eastAsia" w:cs="仿宋_GB2312" w:asciiTheme="minorEastAsia" w:hAnsiTheme="minorEastAsia" w:eastAsiaTheme="minorEastAsia"/>
                <w:szCs w:val="21"/>
                <w:lang w:val="zh-CN" w:eastAsia="zh-CN"/>
              </w:rPr>
              <w:t>1.投标人或所投产品制造商提供中国绿色产品认证证书，认证产品包括 ：金属家具、木家具（人造板家具）、木家具（板木家具）、软体家具；</w:t>
            </w:r>
          </w:p>
          <w:p>
            <w:pPr>
              <w:spacing w:line="240" w:lineRule="auto"/>
              <w:rPr>
                <w:rFonts w:hint="default"/>
                <w:lang w:val="en-US" w:eastAsia="zh-CN"/>
              </w:rPr>
            </w:pPr>
            <w:r>
              <w:rPr>
                <w:rFonts w:hint="eastAsia" w:cs="仿宋_GB2312" w:asciiTheme="minorEastAsia" w:hAnsiTheme="minorEastAsia" w:eastAsiaTheme="minorEastAsia"/>
                <w:szCs w:val="21"/>
                <w:lang w:val="zh-CN" w:eastAsia="zh-CN"/>
              </w:rPr>
              <w:t>2.投标人或投标产品制造商具有家具中有害物质限量认证证书;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vMerge w:val="continue"/>
            <w:vAlign w:val="center"/>
          </w:tcPr>
          <w:p>
            <w:pPr>
              <w:spacing w:line="360" w:lineRule="auto"/>
              <w:rPr>
                <w:rFonts w:asciiTheme="minorEastAsia" w:hAnsiTheme="minorEastAsia" w:eastAsiaTheme="minorEastAsia"/>
                <w:szCs w:val="21"/>
              </w:rPr>
            </w:pPr>
          </w:p>
        </w:tc>
        <w:tc>
          <w:tcPr>
            <w:tcW w:w="965" w:type="dxa"/>
            <w:vMerge w:val="continue"/>
            <w:vAlign w:val="center"/>
          </w:tcPr>
          <w:p>
            <w:pPr>
              <w:spacing w:line="360" w:lineRule="auto"/>
              <w:rPr>
                <w:rFonts w:cs="仿宋_GB2312" w:asciiTheme="minorEastAsia" w:hAnsiTheme="minorEastAsia" w:eastAsiaTheme="minorEastAsia"/>
                <w:szCs w:val="21"/>
                <w:lang w:val="zh-CN"/>
              </w:rPr>
            </w:pPr>
          </w:p>
        </w:tc>
        <w:tc>
          <w:tcPr>
            <w:tcW w:w="3130" w:type="dxa"/>
            <w:vAlign w:val="center"/>
          </w:tcPr>
          <w:p>
            <w:pPr>
              <w:spacing w:line="360" w:lineRule="auto"/>
              <w:rPr>
                <w:rFonts w:cs="仿宋_GB2312" w:asciiTheme="minorEastAsia" w:hAnsiTheme="minorEastAsia" w:eastAsiaTheme="minorEastAsia"/>
                <w:szCs w:val="21"/>
                <w:lang w:val="zh-CN"/>
              </w:rPr>
            </w:pPr>
            <w:r>
              <w:rPr>
                <w:rFonts w:hint="eastAsia" w:cs="仿宋_GB2312" w:asciiTheme="minorEastAsia" w:hAnsiTheme="minorEastAsia" w:eastAsiaTheme="minorEastAsia"/>
                <w:szCs w:val="21"/>
                <w:lang w:val="zh-CN"/>
              </w:rPr>
              <w:t>（4）有依法缴纳税收和社会保障金的良好记录</w:t>
            </w:r>
          </w:p>
        </w:tc>
        <w:tc>
          <w:tcPr>
            <w:tcW w:w="3992" w:type="dxa"/>
            <w:vAlign w:val="center"/>
          </w:tcPr>
          <w:p>
            <w:pPr>
              <w:spacing w:line="240" w:lineRule="auto"/>
              <w:rPr>
                <w:rFonts w:hint="eastAsia" w:cs="仿宋_GB2312" w:asciiTheme="minorEastAsia" w:hAnsiTheme="minorEastAsia" w:eastAsiaTheme="minorEastAsia"/>
                <w:szCs w:val="21"/>
                <w:lang w:val="zh-CN"/>
              </w:rPr>
            </w:pPr>
            <w:r>
              <w:rPr>
                <w:rFonts w:hint="eastAsia" w:cs="仿宋_GB2312" w:asciiTheme="minorEastAsia" w:hAnsiTheme="minorEastAsia" w:eastAsiaTheme="minorEastAsia"/>
                <w:szCs w:val="21"/>
                <w:lang w:val="zh-CN"/>
              </w:rPr>
              <w:t>1.企业完税证明；</w:t>
            </w:r>
          </w:p>
          <w:p>
            <w:pPr>
              <w:spacing w:line="240" w:lineRule="auto"/>
              <w:rPr>
                <w:rFonts w:asciiTheme="minorEastAsia" w:hAnsiTheme="minorEastAsia" w:eastAsiaTheme="minorEastAsia"/>
                <w:szCs w:val="21"/>
              </w:rPr>
            </w:pPr>
            <w:r>
              <w:rPr>
                <w:rFonts w:hint="eastAsia" w:cs="仿宋_GB2312" w:asciiTheme="minorEastAsia" w:hAnsiTheme="minorEastAsia" w:eastAsiaTheme="minorEastAsia"/>
                <w:szCs w:val="21"/>
                <w:lang w:val="zh-CN"/>
              </w:rPr>
              <w:t>2.缴纳社会保障金的证明材料复印件（缴纳社会保障金的证明材料指：社会保险登记证或缴纳社会保险的凭据（专用收据或社会保险缴纳清单）。依法免税或不需要缴纳社会保障资金的报价人，应提供相应文件证明其依法免税或不需要缴纳社会保障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vMerge w:val="continue"/>
            <w:vAlign w:val="center"/>
          </w:tcPr>
          <w:p>
            <w:pPr>
              <w:spacing w:line="360" w:lineRule="auto"/>
              <w:rPr>
                <w:rFonts w:asciiTheme="minorEastAsia" w:hAnsiTheme="minorEastAsia" w:eastAsiaTheme="minorEastAsia"/>
                <w:szCs w:val="21"/>
              </w:rPr>
            </w:pPr>
          </w:p>
        </w:tc>
        <w:tc>
          <w:tcPr>
            <w:tcW w:w="965" w:type="dxa"/>
            <w:vMerge w:val="continue"/>
            <w:vAlign w:val="center"/>
          </w:tcPr>
          <w:p>
            <w:pPr>
              <w:spacing w:line="360" w:lineRule="auto"/>
              <w:rPr>
                <w:rFonts w:cs="仿宋_GB2312" w:asciiTheme="minorEastAsia" w:hAnsiTheme="minorEastAsia" w:eastAsiaTheme="minorEastAsia"/>
                <w:szCs w:val="21"/>
                <w:lang w:val="zh-CN"/>
              </w:rPr>
            </w:pPr>
          </w:p>
        </w:tc>
        <w:tc>
          <w:tcPr>
            <w:tcW w:w="3130" w:type="dxa"/>
            <w:vAlign w:val="center"/>
          </w:tcPr>
          <w:p>
            <w:pPr>
              <w:spacing w:line="240" w:lineRule="auto"/>
              <w:rPr>
                <w:rFonts w:cs="仿宋_GB2312" w:asciiTheme="minorEastAsia" w:hAnsiTheme="minorEastAsia" w:eastAsiaTheme="minorEastAsia"/>
                <w:szCs w:val="21"/>
                <w:lang w:val="zh-CN"/>
              </w:rPr>
            </w:pPr>
            <w:r>
              <w:rPr>
                <w:rFonts w:hint="eastAsia" w:cs="仿宋_GB2312" w:asciiTheme="minorEastAsia" w:hAnsiTheme="minorEastAsia" w:eastAsiaTheme="minorEastAsia"/>
                <w:szCs w:val="21"/>
                <w:lang w:val="zh-CN"/>
              </w:rPr>
              <w:t>（5）参加投标活动三年内，在经营活动中没有重大违法记录</w:t>
            </w:r>
          </w:p>
        </w:tc>
        <w:tc>
          <w:tcPr>
            <w:tcW w:w="3992" w:type="dxa"/>
            <w:vAlign w:val="center"/>
          </w:tcPr>
          <w:p>
            <w:pPr>
              <w:numPr>
                <w:ilvl w:val="0"/>
                <w:numId w:val="7"/>
              </w:numPr>
              <w:spacing w:line="360" w:lineRule="auto"/>
              <w:rPr>
                <w:rFonts w:hint="eastAsia" w:cs="仿宋_GB2312" w:asciiTheme="minorEastAsia" w:hAnsiTheme="minorEastAsia" w:eastAsiaTheme="minorEastAsia"/>
                <w:szCs w:val="21"/>
                <w:lang w:val="zh-CN" w:eastAsia="zh-CN"/>
              </w:rPr>
            </w:pPr>
            <w:r>
              <w:rPr>
                <w:rFonts w:hint="eastAsia" w:ascii="宋体" w:hAnsi="宋体" w:cs="宋体"/>
                <w:color w:val="auto"/>
                <w:kern w:val="0"/>
              </w:rPr>
              <w:t>2020</w:t>
            </w:r>
            <w:r>
              <w:rPr>
                <w:rFonts w:hint="eastAsia" w:ascii="宋体" w:hAnsi="宋体" w:cs="宋体"/>
                <w:color w:val="auto"/>
                <w:kern w:val="0"/>
                <w:lang w:val="en-US" w:eastAsia="zh-CN"/>
              </w:rPr>
              <w:t>年1月1日至投标截止日</w:t>
            </w:r>
            <w:r>
              <w:rPr>
                <w:rFonts w:hint="eastAsia" w:ascii="宋体" w:hAnsi="宋体" w:cs="宋体"/>
                <w:color w:val="auto"/>
                <w:kern w:val="0"/>
              </w:rPr>
              <w:t>年经营活动中没有重大违法记录</w:t>
            </w:r>
            <w:r>
              <w:rPr>
                <w:rFonts w:hint="eastAsia" w:ascii="宋体" w:hAnsi="宋体" w:cs="宋体"/>
                <w:color w:val="auto"/>
                <w:kern w:val="0"/>
                <w:lang w:eastAsia="zh-CN"/>
              </w:rPr>
              <w:t>，</w:t>
            </w:r>
            <w:r>
              <w:rPr>
                <w:rFonts w:hint="eastAsia" w:ascii="宋体" w:hAnsi="宋体" w:eastAsia="宋体" w:cs="宋体"/>
                <w:color w:val="auto"/>
                <w:kern w:val="0"/>
                <w:sz w:val="21"/>
                <w:szCs w:val="24"/>
                <w:lang w:val="en-US" w:eastAsia="zh-CN"/>
              </w:rPr>
              <w:t>申请人须提供国家企业信息公示系统（http://www.gsxt.gov.cn）中未被列入严重违法失信企业名单的网页截图</w:t>
            </w:r>
            <w:r>
              <w:rPr>
                <w:rFonts w:hint="eastAsia" w:ascii="宋体" w:hAnsi="宋体" w:eastAsia="宋体" w:cs="宋体"/>
                <w:color w:val="auto"/>
                <w:kern w:val="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vMerge w:val="continue"/>
            <w:vAlign w:val="center"/>
          </w:tcPr>
          <w:p>
            <w:pPr>
              <w:spacing w:line="360" w:lineRule="auto"/>
              <w:rPr>
                <w:rFonts w:asciiTheme="minorEastAsia" w:hAnsiTheme="minorEastAsia" w:eastAsiaTheme="minorEastAsia"/>
                <w:szCs w:val="21"/>
              </w:rPr>
            </w:pPr>
          </w:p>
        </w:tc>
        <w:tc>
          <w:tcPr>
            <w:tcW w:w="965" w:type="dxa"/>
            <w:vMerge w:val="continue"/>
            <w:vAlign w:val="center"/>
          </w:tcPr>
          <w:p>
            <w:pPr>
              <w:spacing w:line="360" w:lineRule="auto"/>
              <w:rPr>
                <w:rFonts w:cs="仿宋_GB2312" w:asciiTheme="minorEastAsia" w:hAnsiTheme="minorEastAsia" w:eastAsiaTheme="minorEastAsia"/>
                <w:szCs w:val="21"/>
                <w:lang w:val="zh-CN"/>
              </w:rPr>
            </w:pPr>
          </w:p>
        </w:tc>
        <w:tc>
          <w:tcPr>
            <w:tcW w:w="3130" w:type="dxa"/>
            <w:vAlign w:val="center"/>
          </w:tcPr>
          <w:p>
            <w:pPr>
              <w:spacing w:line="240" w:lineRule="auto"/>
              <w:rPr>
                <w:rFonts w:hint="eastAsia" w:cs="仿宋_GB2312" w:asciiTheme="minorEastAsia" w:hAnsiTheme="minorEastAsia" w:eastAsiaTheme="minorEastAsia"/>
                <w:szCs w:val="21"/>
                <w:lang w:val="zh-CN"/>
              </w:rPr>
            </w:pPr>
            <w:r>
              <w:rPr>
                <w:rFonts w:hint="eastAsia" w:cs="仿宋_GB2312" w:asciiTheme="minorEastAsia" w:hAnsiTheme="minorEastAsia" w:eastAsiaTheme="minorEastAsia"/>
                <w:sz w:val="21"/>
                <w:szCs w:val="21"/>
                <w:lang w:val="zh-CN" w:eastAsia="zh-CN"/>
              </w:rPr>
              <w:t>（六）具有办公类家具承包业绩，且单项合同金额不少于40万元。</w:t>
            </w:r>
          </w:p>
        </w:tc>
        <w:tc>
          <w:tcPr>
            <w:tcW w:w="3992" w:type="dxa"/>
            <w:vAlign w:val="center"/>
          </w:tcPr>
          <w:p>
            <w:pPr>
              <w:spacing w:line="240" w:lineRule="auto"/>
              <w:rPr>
                <w:rFonts w:hint="eastAsia" w:cs="仿宋_GB2312" w:asciiTheme="minorEastAsia" w:hAnsiTheme="minorEastAsia" w:eastAsiaTheme="minorEastAsia"/>
                <w:szCs w:val="21"/>
                <w:lang w:val="zh-CN"/>
              </w:rPr>
            </w:pPr>
            <w:bookmarkStart w:id="218" w:name="_Toc16604"/>
            <w:r>
              <w:rPr>
                <w:rFonts w:hint="eastAsia" w:cs="仿宋_GB2312" w:asciiTheme="minorEastAsia" w:hAnsiTheme="minorEastAsia" w:eastAsiaTheme="minorEastAsia"/>
                <w:szCs w:val="21"/>
                <w:lang w:val="zh-CN" w:eastAsia="zh-CN"/>
              </w:rPr>
              <w:t xml:space="preserve">提供合同及发票扫描件或复印件。 </w:t>
            </w:r>
            <w:bookmarkEnd w:id="218"/>
          </w:p>
        </w:tc>
      </w:tr>
    </w:tbl>
    <w:p>
      <w:pPr>
        <w:tabs>
          <w:tab w:val="left" w:pos="312"/>
        </w:tabs>
        <w:snapToGrid w:val="0"/>
        <w:spacing w:line="360" w:lineRule="auto"/>
        <w:rPr>
          <w:rFonts w:cs="宋体" w:asciiTheme="minorEastAsia" w:hAnsiTheme="minorEastAsia" w:eastAsiaTheme="minorEastAsia"/>
          <w:kern w:val="0"/>
          <w:szCs w:val="21"/>
        </w:rPr>
      </w:pPr>
      <w:bookmarkStart w:id="219" w:name="_Toc17235"/>
      <w:bookmarkStart w:id="220" w:name="_Toc11329223"/>
    </w:p>
    <w:p>
      <w:pPr>
        <w:tabs>
          <w:tab w:val="left" w:pos="312"/>
        </w:tabs>
        <w:snapToGrid w:val="0"/>
        <w:spacing w:line="360" w:lineRule="auto"/>
        <w:ind w:firstLine="424" w:firstLineChars="202"/>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注：</w:t>
      </w:r>
    </w:p>
    <w:p>
      <w:pPr>
        <w:tabs>
          <w:tab w:val="left" w:pos="312"/>
        </w:tabs>
        <w:snapToGrid w:val="0"/>
        <w:spacing w:line="360" w:lineRule="auto"/>
        <w:ind w:firstLine="424" w:firstLineChars="202"/>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按表内要求检查内容中供复印件以外，并加盖比选人鲜（公）章，原件备查。</w:t>
      </w:r>
    </w:p>
    <w:p>
      <w:pPr>
        <w:pStyle w:val="4"/>
        <w:numPr>
          <w:ilvl w:val="0"/>
          <w:numId w:val="8"/>
        </w:numPr>
        <w:rPr>
          <w:rFonts w:asciiTheme="minorEastAsia" w:hAnsiTheme="minorEastAsia"/>
          <w:sz w:val="21"/>
          <w:szCs w:val="21"/>
        </w:rPr>
      </w:pPr>
      <w:bookmarkStart w:id="221" w:name="_Toc7372"/>
      <w:bookmarkStart w:id="222" w:name="_Toc30813"/>
      <w:bookmarkStart w:id="223" w:name="_Toc27059"/>
      <w:bookmarkStart w:id="224" w:name="_Toc5092"/>
      <w:bookmarkStart w:id="225" w:name="_Toc27389"/>
      <w:bookmarkStart w:id="226" w:name="_Toc9821"/>
      <w:bookmarkStart w:id="227" w:name="_Toc9085"/>
      <w:bookmarkStart w:id="228" w:name="_Toc1081"/>
      <w:bookmarkStart w:id="229" w:name="_Toc2657"/>
      <w:bookmarkStart w:id="230" w:name="_Toc14697"/>
      <w:r>
        <w:rPr>
          <w:rFonts w:hint="eastAsia" w:asciiTheme="minorEastAsia" w:hAnsiTheme="minorEastAsia"/>
          <w:sz w:val="21"/>
          <w:szCs w:val="21"/>
        </w:rPr>
        <w:t>符合性检查</w:t>
      </w:r>
      <w:bookmarkEnd w:id="221"/>
      <w:bookmarkEnd w:id="222"/>
      <w:bookmarkEnd w:id="223"/>
      <w:bookmarkEnd w:id="224"/>
      <w:bookmarkEnd w:id="225"/>
      <w:bookmarkEnd w:id="226"/>
      <w:bookmarkEnd w:id="227"/>
      <w:bookmarkEnd w:id="228"/>
      <w:bookmarkEnd w:id="229"/>
      <w:bookmarkEnd w:id="230"/>
    </w:p>
    <w:p>
      <w:pPr>
        <w:spacing w:line="360" w:lineRule="auto"/>
        <w:ind w:firstLine="424" w:firstLineChars="202"/>
        <w:rPr>
          <w:rFonts w:cs="仿宋_GB2312" w:asciiTheme="minorEastAsia" w:hAnsiTheme="minorEastAsia" w:eastAsiaTheme="minorEastAsia"/>
          <w:szCs w:val="21"/>
        </w:rPr>
      </w:pPr>
      <w:r>
        <w:rPr>
          <w:rFonts w:hint="eastAsia" w:cs="仿宋_GB2312" w:asciiTheme="minorEastAsia" w:hAnsiTheme="minorEastAsia" w:eastAsiaTheme="minorEastAsia"/>
          <w:szCs w:val="21"/>
        </w:rPr>
        <w:t>评标委员会依据法律法规和竞争性比选文件中的规定，对比选文件的有效性、完整性和对竞争性比选文件中的响应程度进行审查，以确定是否对竞争性比选文件中的实质性要求作出响应。符合性检查资料表如下：</w:t>
      </w:r>
    </w:p>
    <w:tbl>
      <w:tblPr>
        <w:tblStyle w:val="41"/>
        <w:tblW w:w="8648"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
        <w:gridCol w:w="1455"/>
        <w:gridCol w:w="1905"/>
        <w:gridCol w:w="4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4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b/>
                <w:kern w:val="0"/>
                <w:szCs w:val="21"/>
              </w:rPr>
            </w:pPr>
            <w:r>
              <w:rPr>
                <w:rFonts w:hint="eastAsia" w:cs="宋体" w:asciiTheme="minorEastAsia" w:hAnsiTheme="minorEastAsia" w:eastAsiaTheme="minorEastAsia"/>
                <w:b/>
                <w:kern w:val="0"/>
                <w:szCs w:val="21"/>
              </w:rPr>
              <w:t>序号</w:t>
            </w:r>
          </w:p>
        </w:tc>
        <w:tc>
          <w:tcPr>
            <w:tcW w:w="336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b/>
                <w:kern w:val="0"/>
                <w:szCs w:val="21"/>
              </w:rPr>
            </w:pPr>
            <w:r>
              <w:rPr>
                <w:rFonts w:hint="eastAsia" w:cs="宋体" w:asciiTheme="minorEastAsia" w:hAnsiTheme="minorEastAsia" w:eastAsiaTheme="minorEastAsia"/>
                <w:b/>
                <w:kern w:val="0"/>
                <w:szCs w:val="21"/>
              </w:rPr>
              <w:t>评审因素</w:t>
            </w:r>
          </w:p>
        </w:tc>
        <w:tc>
          <w:tcPr>
            <w:tcW w:w="48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b/>
                <w:kern w:val="0"/>
                <w:szCs w:val="21"/>
              </w:rPr>
            </w:pPr>
            <w:r>
              <w:rPr>
                <w:rFonts w:hint="eastAsia" w:cs="宋体" w:asciiTheme="minorEastAsia" w:hAnsiTheme="minorEastAsia" w:eastAsiaTheme="minorEastAsia"/>
                <w:b/>
                <w:kern w:val="0"/>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486" w:type="dxa"/>
            <w:vMerge w:val="restart"/>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w:t>
            </w:r>
          </w:p>
        </w:tc>
        <w:tc>
          <w:tcPr>
            <w:tcW w:w="1455" w:type="dxa"/>
            <w:vMerge w:val="restart"/>
            <w:tcBorders>
              <w:top w:val="single" w:color="auto" w:sz="4" w:space="0"/>
              <w:left w:val="single" w:color="auto" w:sz="4" w:space="0"/>
              <w:bottom w:val="single" w:color="auto" w:sz="4" w:space="0"/>
              <w:right w:val="single" w:color="auto" w:sz="4" w:space="0"/>
            </w:tcBorders>
            <w:vAlign w:val="center"/>
          </w:tcPr>
          <w:p>
            <w:pPr>
              <w:spacing w:line="380" w:lineRule="exac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有效性审查</w:t>
            </w:r>
          </w:p>
        </w:tc>
        <w:tc>
          <w:tcPr>
            <w:tcW w:w="1905" w:type="dxa"/>
            <w:tcBorders>
              <w:top w:val="single" w:color="auto" w:sz="4" w:space="0"/>
              <w:left w:val="single" w:color="auto" w:sz="4" w:space="0"/>
              <w:bottom w:val="single" w:color="auto" w:sz="4" w:space="0"/>
              <w:right w:val="single" w:color="auto" w:sz="4" w:space="0"/>
            </w:tcBorders>
            <w:vAlign w:val="center"/>
          </w:tcPr>
          <w:p>
            <w:pPr>
              <w:spacing w:line="380" w:lineRule="exact"/>
              <w:rPr>
                <w:rFonts w:cs="宋体" w:asciiTheme="minorEastAsia" w:hAnsiTheme="minorEastAsia" w:eastAsiaTheme="minorEastAsia"/>
                <w:kern w:val="0"/>
                <w:szCs w:val="21"/>
              </w:rPr>
            </w:pPr>
            <w:r>
              <w:rPr>
                <w:rFonts w:hint="eastAsia" w:asciiTheme="minorEastAsia" w:hAnsiTheme="minorEastAsia" w:eastAsiaTheme="minorEastAsia"/>
                <w:szCs w:val="21"/>
              </w:rPr>
              <w:t>竞选文件签署</w:t>
            </w:r>
          </w:p>
        </w:tc>
        <w:tc>
          <w:tcPr>
            <w:tcW w:w="4802" w:type="dxa"/>
            <w:tcBorders>
              <w:top w:val="single" w:color="auto" w:sz="4" w:space="0"/>
              <w:left w:val="single" w:color="auto" w:sz="4" w:space="0"/>
              <w:bottom w:val="single" w:color="auto" w:sz="4" w:space="0"/>
              <w:right w:val="single" w:color="auto" w:sz="4" w:space="0"/>
            </w:tcBorders>
            <w:vAlign w:val="center"/>
          </w:tcPr>
          <w:p>
            <w:pPr>
              <w:spacing w:line="380" w:lineRule="exac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按比选文件“第二章中报价文件份数及格式要求”装订、签署、盖章。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dxa"/>
            <w:vMerge w:val="continue"/>
            <w:tcBorders>
              <w:top w:val="single" w:color="auto" w:sz="4" w:space="0"/>
              <w:left w:val="single" w:color="auto" w:sz="4" w:space="0"/>
              <w:bottom w:val="single" w:color="auto" w:sz="4" w:space="0"/>
              <w:right w:val="single" w:color="auto" w:sz="4" w:space="0"/>
            </w:tcBorders>
            <w:vAlign w:val="center"/>
          </w:tcPr>
          <w:p>
            <w:pPr>
              <w:keepNext/>
              <w:keepLines/>
              <w:widowControl/>
              <w:spacing w:before="260" w:after="260" w:line="380" w:lineRule="exact"/>
              <w:jc w:val="left"/>
              <w:outlineLvl w:val="2"/>
              <w:rPr>
                <w:rFonts w:cs="宋体" w:asciiTheme="minorEastAsia" w:hAnsiTheme="minorEastAsia" w:eastAsiaTheme="minorEastAsia"/>
                <w:kern w:val="0"/>
                <w:szCs w:val="21"/>
              </w:rPr>
            </w:pPr>
          </w:p>
        </w:tc>
        <w:tc>
          <w:tcPr>
            <w:tcW w:w="1455" w:type="dxa"/>
            <w:vMerge w:val="continue"/>
            <w:tcBorders>
              <w:top w:val="single" w:color="auto" w:sz="4" w:space="0"/>
              <w:left w:val="single" w:color="auto" w:sz="4" w:space="0"/>
              <w:bottom w:val="single" w:color="auto" w:sz="4" w:space="0"/>
              <w:right w:val="single" w:color="auto" w:sz="4" w:space="0"/>
            </w:tcBorders>
            <w:vAlign w:val="center"/>
          </w:tcPr>
          <w:p>
            <w:pPr>
              <w:keepNext/>
              <w:keepLines/>
              <w:widowControl/>
              <w:spacing w:before="260" w:after="260" w:line="380" w:lineRule="exact"/>
              <w:jc w:val="left"/>
              <w:outlineLvl w:val="2"/>
              <w:rPr>
                <w:rFonts w:cs="宋体" w:asciiTheme="minorEastAsia" w:hAnsiTheme="minorEastAsia" w:eastAsiaTheme="minorEastAsia"/>
                <w:kern w:val="0"/>
                <w:szCs w:val="21"/>
              </w:rPr>
            </w:pPr>
          </w:p>
        </w:tc>
        <w:tc>
          <w:tcPr>
            <w:tcW w:w="1905" w:type="dxa"/>
            <w:tcBorders>
              <w:top w:val="single" w:color="auto" w:sz="4" w:space="0"/>
              <w:left w:val="single" w:color="auto" w:sz="4" w:space="0"/>
              <w:bottom w:val="single" w:color="auto" w:sz="4" w:space="0"/>
              <w:right w:val="single" w:color="auto" w:sz="4" w:space="0"/>
            </w:tcBorders>
            <w:vAlign w:val="center"/>
          </w:tcPr>
          <w:p>
            <w:pPr>
              <w:spacing w:line="380" w:lineRule="exact"/>
              <w:rPr>
                <w:rFonts w:asciiTheme="minorEastAsia" w:hAnsiTheme="minorEastAsia" w:eastAsiaTheme="minorEastAsia"/>
                <w:szCs w:val="21"/>
              </w:rPr>
            </w:pPr>
            <w:r>
              <w:rPr>
                <w:rFonts w:hint="eastAsia" w:asciiTheme="minorEastAsia" w:hAnsiTheme="minorEastAsia" w:eastAsiaTheme="minorEastAsia"/>
                <w:szCs w:val="21"/>
              </w:rPr>
              <w:t>法定代表人身份证明及授权委托书</w:t>
            </w:r>
          </w:p>
        </w:tc>
        <w:tc>
          <w:tcPr>
            <w:tcW w:w="4802" w:type="dxa"/>
            <w:tcBorders>
              <w:top w:val="single" w:color="auto" w:sz="4" w:space="0"/>
              <w:left w:val="single" w:color="auto" w:sz="4" w:space="0"/>
              <w:bottom w:val="single" w:color="auto" w:sz="4" w:space="0"/>
              <w:right w:val="single" w:color="auto" w:sz="4" w:space="0"/>
            </w:tcBorders>
            <w:vAlign w:val="center"/>
          </w:tcPr>
          <w:p>
            <w:pPr>
              <w:spacing w:line="380" w:lineRule="exact"/>
              <w:rPr>
                <w:rFonts w:asciiTheme="minorEastAsia" w:hAnsiTheme="minorEastAsia" w:eastAsiaTheme="minorEastAsia"/>
                <w:szCs w:val="21"/>
              </w:rPr>
            </w:pPr>
            <w:r>
              <w:rPr>
                <w:rFonts w:hint="eastAsia" w:asciiTheme="minorEastAsia" w:hAnsiTheme="minorEastAsia" w:eastAsiaTheme="minorEastAsia"/>
                <w:szCs w:val="21"/>
              </w:rPr>
              <w:t>法定代表人身份证明及授权委托书有效，符合比选文件规定的格式，签字或盖章齐全。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dxa"/>
            <w:vMerge w:val="continue"/>
            <w:tcBorders>
              <w:top w:val="single" w:color="auto" w:sz="4" w:space="0"/>
              <w:left w:val="single" w:color="auto" w:sz="4" w:space="0"/>
              <w:bottom w:val="single" w:color="auto" w:sz="4" w:space="0"/>
              <w:right w:val="single" w:color="auto" w:sz="4" w:space="0"/>
            </w:tcBorders>
            <w:vAlign w:val="center"/>
          </w:tcPr>
          <w:p>
            <w:pPr>
              <w:keepNext/>
              <w:keepLines/>
              <w:widowControl/>
              <w:spacing w:before="260" w:after="260" w:line="380" w:lineRule="exact"/>
              <w:jc w:val="left"/>
              <w:outlineLvl w:val="2"/>
              <w:rPr>
                <w:rFonts w:cs="宋体" w:asciiTheme="minorEastAsia" w:hAnsiTheme="minorEastAsia" w:eastAsiaTheme="minorEastAsia"/>
                <w:kern w:val="0"/>
                <w:szCs w:val="21"/>
              </w:rPr>
            </w:pPr>
          </w:p>
        </w:tc>
        <w:tc>
          <w:tcPr>
            <w:tcW w:w="1455" w:type="dxa"/>
            <w:vMerge w:val="continue"/>
            <w:tcBorders>
              <w:top w:val="single" w:color="auto" w:sz="4" w:space="0"/>
              <w:left w:val="single" w:color="auto" w:sz="4" w:space="0"/>
              <w:bottom w:val="single" w:color="auto" w:sz="4" w:space="0"/>
              <w:right w:val="single" w:color="auto" w:sz="4" w:space="0"/>
            </w:tcBorders>
            <w:vAlign w:val="center"/>
          </w:tcPr>
          <w:p>
            <w:pPr>
              <w:keepNext/>
              <w:keepLines/>
              <w:widowControl/>
              <w:spacing w:before="260" w:after="260" w:line="380" w:lineRule="exact"/>
              <w:jc w:val="left"/>
              <w:outlineLvl w:val="2"/>
              <w:rPr>
                <w:rFonts w:cs="宋体" w:asciiTheme="minorEastAsia" w:hAnsiTheme="minorEastAsia" w:eastAsiaTheme="minorEastAsia"/>
                <w:kern w:val="0"/>
                <w:szCs w:val="21"/>
              </w:rPr>
            </w:pPr>
          </w:p>
        </w:tc>
        <w:tc>
          <w:tcPr>
            <w:tcW w:w="1905" w:type="dxa"/>
            <w:tcBorders>
              <w:top w:val="single" w:color="auto" w:sz="4" w:space="0"/>
              <w:left w:val="single" w:color="auto" w:sz="4" w:space="0"/>
              <w:bottom w:val="single" w:color="auto" w:sz="4" w:space="0"/>
              <w:right w:val="single" w:color="auto" w:sz="4" w:space="0"/>
            </w:tcBorders>
            <w:vAlign w:val="center"/>
          </w:tcPr>
          <w:p>
            <w:pPr>
              <w:spacing w:line="380" w:lineRule="exact"/>
              <w:rPr>
                <w:rFonts w:cs="仿宋_GB2312" w:asciiTheme="minorEastAsia" w:hAnsiTheme="minorEastAsia" w:eastAsiaTheme="minorEastAsia"/>
                <w:szCs w:val="21"/>
                <w:lang w:val="zh-CN"/>
              </w:rPr>
            </w:pPr>
            <w:r>
              <w:rPr>
                <w:rFonts w:hint="eastAsia" w:cs="仿宋_GB2312" w:asciiTheme="minorEastAsia" w:hAnsiTheme="minorEastAsia" w:eastAsiaTheme="minorEastAsia"/>
                <w:szCs w:val="21"/>
              </w:rPr>
              <w:t>响应</w:t>
            </w:r>
            <w:r>
              <w:rPr>
                <w:rFonts w:hint="eastAsia" w:cs="仿宋_GB2312" w:asciiTheme="minorEastAsia" w:hAnsiTheme="minorEastAsia" w:eastAsiaTheme="minorEastAsia"/>
                <w:szCs w:val="21"/>
                <w:lang w:val="zh-CN"/>
              </w:rPr>
              <w:t>方案</w:t>
            </w:r>
          </w:p>
        </w:tc>
        <w:tc>
          <w:tcPr>
            <w:tcW w:w="4802" w:type="dxa"/>
            <w:tcBorders>
              <w:top w:val="single" w:color="auto" w:sz="4" w:space="0"/>
              <w:left w:val="single" w:color="auto" w:sz="4" w:space="0"/>
              <w:bottom w:val="single" w:color="auto" w:sz="4" w:space="0"/>
              <w:right w:val="single" w:color="auto" w:sz="4" w:space="0"/>
            </w:tcBorders>
            <w:vAlign w:val="center"/>
          </w:tcPr>
          <w:p>
            <w:pPr>
              <w:spacing w:line="380" w:lineRule="exact"/>
              <w:rPr>
                <w:rFonts w:cs="宋体" w:asciiTheme="minorEastAsia" w:hAnsiTheme="minorEastAsia" w:eastAsiaTheme="minorEastAsia"/>
                <w:kern w:val="0"/>
                <w:szCs w:val="21"/>
              </w:rPr>
            </w:pPr>
            <w:r>
              <w:rPr>
                <w:rFonts w:hint="eastAsia" w:cs="仿宋_GB2312" w:asciiTheme="minorEastAsia" w:hAnsiTheme="minorEastAsia" w:eastAsiaTheme="minorEastAsia"/>
                <w:szCs w:val="21"/>
                <w:lang w:val="zh-CN"/>
              </w:rPr>
              <w:t>只能有一个</w:t>
            </w:r>
            <w:r>
              <w:rPr>
                <w:rFonts w:hint="eastAsia" w:cs="仿宋_GB2312" w:asciiTheme="minorEastAsia" w:hAnsiTheme="minorEastAsia" w:eastAsiaTheme="minorEastAsia"/>
                <w:szCs w:val="21"/>
              </w:rPr>
              <w:t>响应</w:t>
            </w:r>
            <w:r>
              <w:rPr>
                <w:rFonts w:hint="eastAsia" w:cs="仿宋_GB2312" w:asciiTheme="minorEastAsia" w:hAnsiTheme="minorEastAsia" w:eastAsiaTheme="minorEastAsia"/>
                <w:szCs w:val="21"/>
                <w:lang w:val="zh-CN"/>
              </w:rPr>
              <w:t>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dxa"/>
            <w:vMerge w:val="continue"/>
            <w:tcBorders>
              <w:top w:val="single" w:color="auto" w:sz="4" w:space="0"/>
              <w:left w:val="single" w:color="auto" w:sz="4" w:space="0"/>
              <w:bottom w:val="single" w:color="auto" w:sz="4" w:space="0"/>
              <w:right w:val="single" w:color="auto" w:sz="4" w:space="0"/>
            </w:tcBorders>
            <w:vAlign w:val="center"/>
          </w:tcPr>
          <w:p>
            <w:pPr>
              <w:keepNext/>
              <w:keepLines/>
              <w:widowControl/>
              <w:spacing w:before="260" w:after="260" w:line="380" w:lineRule="exact"/>
              <w:jc w:val="left"/>
              <w:outlineLvl w:val="2"/>
              <w:rPr>
                <w:rFonts w:cs="宋体" w:asciiTheme="minorEastAsia" w:hAnsiTheme="minorEastAsia" w:eastAsiaTheme="minorEastAsia"/>
                <w:kern w:val="0"/>
                <w:szCs w:val="21"/>
              </w:rPr>
            </w:pPr>
          </w:p>
        </w:tc>
        <w:tc>
          <w:tcPr>
            <w:tcW w:w="1455" w:type="dxa"/>
            <w:vMerge w:val="continue"/>
            <w:tcBorders>
              <w:top w:val="single" w:color="auto" w:sz="4" w:space="0"/>
              <w:left w:val="single" w:color="auto" w:sz="4" w:space="0"/>
              <w:bottom w:val="single" w:color="auto" w:sz="4" w:space="0"/>
              <w:right w:val="single" w:color="auto" w:sz="4" w:space="0"/>
            </w:tcBorders>
            <w:vAlign w:val="center"/>
          </w:tcPr>
          <w:p>
            <w:pPr>
              <w:keepNext/>
              <w:keepLines/>
              <w:widowControl/>
              <w:spacing w:before="260" w:after="260" w:line="380" w:lineRule="exact"/>
              <w:jc w:val="left"/>
              <w:outlineLvl w:val="2"/>
              <w:rPr>
                <w:rFonts w:cs="宋体" w:asciiTheme="minorEastAsia" w:hAnsiTheme="minorEastAsia" w:eastAsiaTheme="minorEastAsia"/>
                <w:kern w:val="0"/>
                <w:szCs w:val="21"/>
              </w:rPr>
            </w:pPr>
          </w:p>
        </w:tc>
        <w:tc>
          <w:tcPr>
            <w:tcW w:w="1905" w:type="dxa"/>
            <w:tcBorders>
              <w:top w:val="single" w:color="auto" w:sz="4" w:space="0"/>
              <w:left w:val="single" w:color="auto" w:sz="4" w:space="0"/>
              <w:bottom w:val="single" w:color="auto" w:sz="4" w:space="0"/>
              <w:right w:val="single" w:color="auto" w:sz="4" w:space="0"/>
            </w:tcBorders>
            <w:vAlign w:val="center"/>
          </w:tcPr>
          <w:p>
            <w:pPr>
              <w:spacing w:line="380" w:lineRule="exact"/>
              <w:rPr>
                <w:rFonts w:cs="仿宋_GB2312" w:asciiTheme="minorEastAsia" w:hAnsiTheme="minorEastAsia" w:eastAsiaTheme="minorEastAsia"/>
                <w:szCs w:val="21"/>
                <w:lang w:val="zh-CN"/>
              </w:rPr>
            </w:pPr>
            <w:r>
              <w:rPr>
                <w:rFonts w:hint="eastAsia" w:asciiTheme="minorEastAsia" w:hAnsiTheme="minorEastAsia" w:eastAsiaTheme="minorEastAsia"/>
                <w:szCs w:val="21"/>
              </w:rPr>
              <w:t>报价唯一</w:t>
            </w:r>
          </w:p>
        </w:tc>
        <w:tc>
          <w:tcPr>
            <w:tcW w:w="4802" w:type="dxa"/>
            <w:tcBorders>
              <w:top w:val="single" w:color="auto" w:sz="4" w:space="0"/>
              <w:left w:val="single" w:color="auto" w:sz="4" w:space="0"/>
              <w:bottom w:val="single" w:color="auto" w:sz="4" w:space="0"/>
              <w:right w:val="single" w:color="auto" w:sz="4" w:space="0"/>
            </w:tcBorders>
            <w:vAlign w:val="center"/>
          </w:tcPr>
          <w:p>
            <w:pPr>
              <w:spacing w:line="380" w:lineRule="exact"/>
              <w:rPr>
                <w:rFonts w:cs="宋体" w:asciiTheme="minorEastAsia" w:hAnsiTheme="minorEastAsia" w:eastAsiaTheme="minorEastAsia"/>
                <w:kern w:val="0"/>
                <w:szCs w:val="21"/>
              </w:rPr>
            </w:pPr>
            <w:r>
              <w:rPr>
                <w:rFonts w:hint="eastAsia" w:asciiTheme="minorEastAsia" w:hAnsiTheme="minorEastAsia" w:eastAsiaTheme="minorEastAsia"/>
                <w:szCs w:val="21"/>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86"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w:t>
            </w:r>
          </w:p>
        </w:tc>
        <w:tc>
          <w:tcPr>
            <w:tcW w:w="1455" w:type="dxa"/>
            <w:tcBorders>
              <w:top w:val="single" w:color="auto" w:sz="4" w:space="0"/>
              <w:left w:val="single" w:color="auto" w:sz="4" w:space="0"/>
              <w:bottom w:val="single" w:color="auto" w:sz="4" w:space="0"/>
              <w:right w:val="single" w:color="auto" w:sz="4" w:space="0"/>
            </w:tcBorders>
            <w:vAlign w:val="center"/>
          </w:tcPr>
          <w:p>
            <w:pPr>
              <w:spacing w:line="380" w:lineRule="exac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完整性审查</w:t>
            </w:r>
          </w:p>
        </w:tc>
        <w:tc>
          <w:tcPr>
            <w:tcW w:w="1905" w:type="dxa"/>
            <w:tcBorders>
              <w:top w:val="single" w:color="auto" w:sz="4" w:space="0"/>
              <w:left w:val="single" w:color="auto" w:sz="4" w:space="0"/>
              <w:bottom w:val="single" w:color="auto" w:sz="4" w:space="0"/>
              <w:right w:val="single" w:color="auto" w:sz="4" w:space="0"/>
            </w:tcBorders>
            <w:vAlign w:val="center"/>
          </w:tcPr>
          <w:p>
            <w:pPr>
              <w:spacing w:line="380" w:lineRule="exact"/>
              <w:rPr>
                <w:rFonts w:cs="宋体" w:asciiTheme="minorEastAsia" w:hAnsiTheme="minorEastAsia" w:eastAsiaTheme="minorEastAsia"/>
                <w:kern w:val="0"/>
                <w:szCs w:val="21"/>
              </w:rPr>
            </w:pPr>
            <w:r>
              <w:rPr>
                <w:rFonts w:hint="eastAsia" w:cs="仿宋_GB2312" w:asciiTheme="minorEastAsia" w:hAnsiTheme="minorEastAsia" w:eastAsiaTheme="minorEastAsia"/>
                <w:szCs w:val="21"/>
              </w:rPr>
              <w:t>响应</w:t>
            </w:r>
            <w:r>
              <w:rPr>
                <w:rFonts w:hint="eastAsia" w:cs="仿宋_GB2312" w:asciiTheme="minorEastAsia" w:hAnsiTheme="minorEastAsia" w:eastAsiaTheme="minorEastAsia"/>
                <w:szCs w:val="21"/>
                <w:lang w:val="zh-CN"/>
              </w:rPr>
              <w:t>文件份数</w:t>
            </w:r>
          </w:p>
        </w:tc>
        <w:tc>
          <w:tcPr>
            <w:tcW w:w="4802" w:type="dxa"/>
            <w:tcBorders>
              <w:top w:val="single" w:color="auto" w:sz="4" w:space="0"/>
              <w:left w:val="single" w:color="auto" w:sz="4" w:space="0"/>
              <w:bottom w:val="single" w:color="auto" w:sz="4" w:space="0"/>
              <w:right w:val="single" w:color="auto" w:sz="4" w:space="0"/>
            </w:tcBorders>
            <w:vAlign w:val="center"/>
          </w:tcPr>
          <w:p>
            <w:pPr>
              <w:spacing w:line="380" w:lineRule="exact"/>
              <w:rPr>
                <w:rFonts w:cs="宋体" w:asciiTheme="minorEastAsia" w:hAnsiTheme="minorEastAsia" w:eastAsiaTheme="minorEastAsia"/>
                <w:kern w:val="0"/>
                <w:szCs w:val="21"/>
              </w:rPr>
            </w:pPr>
            <w:r>
              <w:rPr>
                <w:rFonts w:hint="eastAsia" w:cs="仿宋_GB2312" w:asciiTheme="minorEastAsia" w:hAnsiTheme="minorEastAsia" w:eastAsiaTheme="minorEastAsia"/>
                <w:szCs w:val="21"/>
              </w:rPr>
              <w:t>按比选文件“第二章中报价文件份数及格式要求”装订、签署、盖章。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3</w:t>
            </w:r>
          </w:p>
        </w:tc>
        <w:tc>
          <w:tcPr>
            <w:tcW w:w="1455"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rPr>
                <w:rFonts w:cs="仿宋_GB2312" w:asciiTheme="minorEastAsia" w:hAnsiTheme="minorEastAsia" w:eastAsiaTheme="minorEastAsia"/>
                <w:szCs w:val="21"/>
                <w:lang w:val="zh-CN"/>
              </w:rPr>
            </w:pPr>
            <w:r>
              <w:rPr>
                <w:rFonts w:hint="eastAsia" w:cs="宋体" w:asciiTheme="minorEastAsia" w:hAnsiTheme="minorEastAsia" w:eastAsiaTheme="minorEastAsia"/>
                <w:kern w:val="0"/>
                <w:szCs w:val="21"/>
              </w:rPr>
              <w:t>比选文件的响应程度审查</w:t>
            </w:r>
          </w:p>
        </w:tc>
        <w:tc>
          <w:tcPr>
            <w:tcW w:w="1905" w:type="dxa"/>
            <w:tcBorders>
              <w:top w:val="single" w:color="auto" w:sz="4" w:space="0"/>
              <w:left w:val="single" w:color="auto" w:sz="4" w:space="0"/>
              <w:bottom w:val="single" w:color="auto" w:sz="4" w:space="0"/>
              <w:right w:val="single" w:color="auto" w:sz="4" w:space="0"/>
            </w:tcBorders>
            <w:vAlign w:val="center"/>
          </w:tcPr>
          <w:p>
            <w:pPr>
              <w:spacing w:line="360" w:lineRule="auto"/>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响应文件内容</w:t>
            </w:r>
          </w:p>
        </w:tc>
        <w:tc>
          <w:tcPr>
            <w:tcW w:w="4802" w:type="dxa"/>
            <w:tcBorders>
              <w:top w:val="single" w:color="auto" w:sz="4" w:space="0"/>
              <w:left w:val="single" w:color="auto" w:sz="4" w:space="0"/>
              <w:bottom w:val="single" w:color="auto" w:sz="4" w:space="0"/>
              <w:right w:val="single" w:color="auto" w:sz="4" w:space="0"/>
            </w:tcBorders>
            <w:vAlign w:val="center"/>
          </w:tcPr>
          <w:p>
            <w:pPr>
              <w:pStyle w:val="22"/>
              <w:spacing w:line="360" w:lineRule="auto"/>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对比选文件中规定的响应要求作出响应。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dxa"/>
            <w:vMerge w:val="continue"/>
            <w:tcBorders>
              <w:top w:val="single" w:color="auto" w:sz="4" w:space="0"/>
              <w:left w:val="single" w:color="auto" w:sz="4" w:space="0"/>
              <w:bottom w:val="single" w:color="auto" w:sz="4" w:space="0"/>
              <w:right w:val="single" w:color="auto" w:sz="4" w:space="0"/>
            </w:tcBorders>
            <w:vAlign w:val="center"/>
          </w:tcPr>
          <w:p>
            <w:pPr>
              <w:keepNext/>
              <w:keepLines/>
              <w:widowControl/>
              <w:spacing w:before="260" w:after="260" w:line="360" w:lineRule="auto"/>
              <w:jc w:val="left"/>
              <w:outlineLvl w:val="2"/>
              <w:rPr>
                <w:rFonts w:cs="宋体" w:asciiTheme="minorEastAsia" w:hAnsiTheme="minorEastAsia" w:eastAsiaTheme="minorEastAsia"/>
                <w:kern w:val="0"/>
                <w:szCs w:val="21"/>
              </w:rPr>
            </w:pPr>
          </w:p>
        </w:tc>
        <w:tc>
          <w:tcPr>
            <w:tcW w:w="1455" w:type="dxa"/>
            <w:vMerge w:val="continue"/>
            <w:tcBorders>
              <w:top w:val="single" w:color="auto" w:sz="4" w:space="0"/>
              <w:left w:val="single" w:color="auto" w:sz="4" w:space="0"/>
              <w:bottom w:val="single" w:color="auto" w:sz="4" w:space="0"/>
              <w:right w:val="single" w:color="auto" w:sz="4" w:space="0"/>
            </w:tcBorders>
            <w:vAlign w:val="center"/>
          </w:tcPr>
          <w:p>
            <w:pPr>
              <w:keepNext/>
              <w:keepLines/>
              <w:widowControl/>
              <w:spacing w:before="260" w:after="260" w:line="360" w:lineRule="auto"/>
              <w:jc w:val="left"/>
              <w:outlineLvl w:val="2"/>
              <w:rPr>
                <w:rFonts w:cs="仿宋_GB2312" w:asciiTheme="minorEastAsia" w:hAnsiTheme="minorEastAsia" w:eastAsiaTheme="minorEastAsia"/>
                <w:szCs w:val="21"/>
                <w:lang w:val="zh-CN"/>
              </w:rPr>
            </w:pPr>
          </w:p>
        </w:tc>
        <w:tc>
          <w:tcPr>
            <w:tcW w:w="1905" w:type="dxa"/>
            <w:tcBorders>
              <w:top w:val="single" w:color="auto" w:sz="4" w:space="0"/>
              <w:left w:val="single" w:color="auto" w:sz="4" w:space="0"/>
              <w:bottom w:val="single" w:color="auto" w:sz="4" w:space="0"/>
              <w:right w:val="single" w:color="auto" w:sz="4" w:space="0"/>
            </w:tcBorders>
            <w:vAlign w:val="center"/>
          </w:tcPr>
          <w:p>
            <w:pPr>
              <w:spacing w:line="360" w:lineRule="auto"/>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比选文件有效期</w:t>
            </w:r>
          </w:p>
        </w:tc>
        <w:tc>
          <w:tcPr>
            <w:tcW w:w="4802" w:type="dxa"/>
            <w:tcBorders>
              <w:top w:val="single" w:color="auto" w:sz="4" w:space="0"/>
              <w:left w:val="single" w:color="auto" w:sz="4" w:space="0"/>
              <w:bottom w:val="single" w:color="auto" w:sz="4" w:space="0"/>
              <w:right w:val="single" w:color="auto" w:sz="4" w:space="0"/>
            </w:tcBorders>
            <w:vAlign w:val="center"/>
          </w:tcPr>
          <w:p>
            <w:pPr>
              <w:spacing w:line="360" w:lineRule="auto"/>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满足比选文件</w:t>
            </w:r>
            <w:r>
              <w:rPr>
                <w:rFonts w:hint="eastAsia" w:cs="仿宋_GB2312" w:asciiTheme="minorEastAsia" w:hAnsiTheme="minorEastAsia" w:eastAsiaTheme="minorEastAsia"/>
                <w:szCs w:val="21"/>
                <w:lang w:val="zh-CN"/>
              </w:rPr>
              <w:t>规定。</w:t>
            </w:r>
          </w:p>
        </w:tc>
      </w:tr>
      <w:bookmarkEnd w:id="219"/>
      <w:bookmarkEnd w:id="220"/>
    </w:tbl>
    <w:p>
      <w:pPr>
        <w:snapToGrid w:val="0"/>
        <w:spacing w:line="360" w:lineRule="auto"/>
        <w:ind w:firstLine="420" w:firstLineChars="200"/>
        <w:rPr>
          <w:rFonts w:cs="仿宋_GB2312" w:asciiTheme="minorEastAsia" w:hAnsiTheme="minorEastAsia" w:eastAsiaTheme="minorEastAsia"/>
          <w:szCs w:val="21"/>
        </w:rPr>
      </w:pPr>
    </w:p>
    <w:p>
      <w:pPr>
        <w:snapToGrid w:val="0"/>
        <w:spacing w:line="360" w:lineRule="auto"/>
        <w:ind w:firstLine="420" w:firstLineChars="200"/>
        <w:rPr>
          <w:rFonts w:cs="仿宋_GB2312" w:asciiTheme="minorEastAsia" w:hAnsiTheme="minorEastAsia" w:eastAsiaTheme="minorEastAsia"/>
          <w:szCs w:val="21"/>
        </w:rPr>
      </w:pPr>
      <w:r>
        <w:rPr>
          <w:rFonts w:hint="eastAsia" w:cs="仿宋_GB2312" w:asciiTheme="minorEastAsia" w:hAnsiTheme="minorEastAsia" w:eastAsiaTheme="minorEastAsia"/>
          <w:szCs w:val="21"/>
        </w:rPr>
        <w:t>（1）评标委员会在对比选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napToGrid w:val="0"/>
        <w:spacing w:line="360" w:lineRule="auto"/>
        <w:ind w:firstLine="420" w:firstLineChars="200"/>
        <w:rPr>
          <w:rFonts w:cs="仿宋_GB2312" w:asciiTheme="minorEastAsia" w:hAnsiTheme="minorEastAsia" w:eastAsiaTheme="minorEastAsia"/>
          <w:szCs w:val="21"/>
        </w:rPr>
      </w:pPr>
      <w:r>
        <w:rPr>
          <w:rFonts w:hint="eastAsia" w:cs="仿宋_GB2312" w:asciiTheme="minorEastAsia" w:hAnsiTheme="minorEastAsia" w:eastAsiaTheme="minorEastAsia"/>
          <w:szCs w:val="21"/>
        </w:rPr>
        <w:t>（2）评标委员会要求比选人澄清、说明或者更正响应文件应当以书面形式作出。比选人的澄清、说明或者更正应当由法定代表人或其授权代表签字或者加盖公章。由授权代表签字的，应当附法定代表人授权书。比选人为自然人的，应当由本人签字并附身份证明。</w:t>
      </w:r>
    </w:p>
    <w:p>
      <w:pPr>
        <w:snapToGrid w:val="0"/>
        <w:spacing w:line="360" w:lineRule="auto"/>
        <w:ind w:firstLine="420" w:firstLineChars="200"/>
        <w:rPr>
          <w:rFonts w:cs="仿宋_GB2312" w:asciiTheme="minorEastAsia" w:hAnsiTheme="minorEastAsia" w:eastAsiaTheme="minorEastAsia"/>
          <w:szCs w:val="21"/>
        </w:rPr>
      </w:pPr>
      <w:r>
        <w:rPr>
          <w:rFonts w:hint="eastAsia" w:cs="仿宋_GB2312" w:asciiTheme="minorEastAsia" w:hAnsiTheme="minorEastAsia" w:eastAsiaTheme="minorEastAsia"/>
          <w:szCs w:val="21"/>
        </w:rPr>
        <w:t>（3）在竞选过程中比选的任何一方不得向他人透露与竞选有关的技术资料、价格或其他信息。</w:t>
      </w:r>
    </w:p>
    <w:p>
      <w:pPr>
        <w:pStyle w:val="4"/>
        <w:numPr>
          <w:ilvl w:val="0"/>
          <w:numId w:val="8"/>
        </w:numPr>
      </w:pPr>
      <w:bookmarkStart w:id="231" w:name="_Toc18618"/>
      <w:bookmarkStart w:id="232" w:name="_Toc11324"/>
      <w:bookmarkStart w:id="233" w:name="_Toc32588"/>
      <w:bookmarkStart w:id="234" w:name="_Toc24616"/>
      <w:bookmarkStart w:id="235" w:name="_Toc4512"/>
      <w:bookmarkStart w:id="236" w:name="_Toc13763"/>
      <w:bookmarkStart w:id="237" w:name="_Toc26749"/>
      <w:bookmarkStart w:id="238" w:name="_Toc2559"/>
      <w:bookmarkStart w:id="239" w:name="_Toc9145"/>
      <w:bookmarkStart w:id="240" w:name="_Toc25383"/>
      <w:r>
        <w:rPr>
          <w:rFonts w:hint="eastAsia"/>
        </w:rPr>
        <w:t>成交标准</w:t>
      </w:r>
      <w:bookmarkEnd w:id="231"/>
      <w:bookmarkEnd w:id="232"/>
      <w:bookmarkEnd w:id="233"/>
      <w:bookmarkEnd w:id="234"/>
      <w:bookmarkEnd w:id="235"/>
      <w:bookmarkEnd w:id="236"/>
      <w:bookmarkEnd w:id="237"/>
      <w:bookmarkEnd w:id="238"/>
      <w:bookmarkEnd w:id="239"/>
      <w:bookmarkEnd w:id="240"/>
    </w:p>
    <w:p>
      <w:pPr>
        <w:widowControl/>
        <w:snapToGrid w:val="0"/>
        <w:spacing w:line="360" w:lineRule="auto"/>
        <w:ind w:firstLine="420" w:firstLineChars="200"/>
        <w:jc w:val="left"/>
        <w:rPr>
          <w:rFonts w:hint="eastAsia" w:cs="仿宋_GB2312" w:asciiTheme="minorEastAsia" w:hAnsiTheme="minorEastAsia" w:eastAsiaTheme="minorEastAsia"/>
          <w:bCs w:val="0"/>
          <w:kern w:val="2"/>
          <w:sz w:val="21"/>
          <w:szCs w:val="21"/>
          <w:highlight w:val="none"/>
        </w:rPr>
      </w:pPr>
      <w:r>
        <w:rPr>
          <w:rFonts w:hint="eastAsia" w:cs="仿宋_GB2312" w:asciiTheme="minorEastAsia" w:hAnsiTheme="minorEastAsia" w:eastAsiaTheme="minorEastAsia"/>
          <w:bCs w:val="0"/>
          <w:kern w:val="2"/>
          <w:sz w:val="21"/>
          <w:szCs w:val="21"/>
          <w:highlight w:val="none"/>
          <w:lang w:eastAsia="zh-CN"/>
        </w:rPr>
        <w:t>（</w:t>
      </w:r>
      <w:r>
        <w:rPr>
          <w:rFonts w:hint="eastAsia" w:cs="仿宋_GB2312" w:asciiTheme="minorEastAsia" w:hAnsiTheme="minorEastAsia" w:eastAsiaTheme="minorEastAsia"/>
          <w:bCs w:val="0"/>
          <w:kern w:val="2"/>
          <w:sz w:val="21"/>
          <w:szCs w:val="21"/>
          <w:highlight w:val="none"/>
          <w:lang w:val="en-US" w:eastAsia="zh-CN"/>
        </w:rPr>
        <w:t>一</w:t>
      </w:r>
      <w:r>
        <w:rPr>
          <w:rFonts w:hint="eastAsia" w:cs="仿宋_GB2312" w:asciiTheme="minorEastAsia" w:hAnsiTheme="minorEastAsia" w:eastAsiaTheme="minorEastAsia"/>
          <w:bCs w:val="0"/>
          <w:kern w:val="2"/>
          <w:sz w:val="21"/>
          <w:szCs w:val="21"/>
          <w:highlight w:val="none"/>
          <w:lang w:eastAsia="zh-CN"/>
        </w:rPr>
        <w:t>）</w:t>
      </w:r>
      <w:r>
        <w:rPr>
          <w:rFonts w:hint="eastAsia" w:cs="仿宋_GB2312" w:asciiTheme="minorEastAsia" w:hAnsiTheme="minorEastAsia" w:eastAsiaTheme="minorEastAsia"/>
          <w:bCs w:val="0"/>
          <w:kern w:val="2"/>
          <w:sz w:val="21"/>
          <w:szCs w:val="21"/>
          <w:highlight w:val="none"/>
        </w:rPr>
        <w:t>评标委员会认为比选人的报价明显低于其他通过符合性审查比选人的报价，有可能影响产品质量或者不能诚信履约的，应当要求其在评标现场合理的时间内提供书面说明，必要时提交相关证明材料；竞标人不能证明其报价合理性的，评标委员会应当将其作为无效投标处理。</w:t>
      </w:r>
    </w:p>
    <w:p>
      <w:pPr>
        <w:widowControl/>
        <w:snapToGrid w:val="0"/>
        <w:spacing w:line="360" w:lineRule="auto"/>
        <w:ind w:firstLine="420" w:firstLineChars="200"/>
        <w:jc w:val="left"/>
        <w:rPr>
          <w:rFonts w:hint="eastAsia" w:cs="仿宋_GB2312" w:asciiTheme="minorEastAsia" w:hAnsiTheme="minorEastAsia" w:eastAsiaTheme="minorEastAsia"/>
          <w:bCs w:val="0"/>
          <w:kern w:val="2"/>
          <w:sz w:val="21"/>
          <w:szCs w:val="21"/>
          <w:highlight w:val="none"/>
          <w:lang w:val="en-US"/>
        </w:rPr>
      </w:pPr>
      <w:r>
        <w:rPr>
          <w:rFonts w:hint="eastAsia" w:cs="仿宋_GB2312" w:asciiTheme="minorEastAsia" w:hAnsiTheme="minorEastAsia" w:eastAsiaTheme="minorEastAsia"/>
          <w:bCs w:val="0"/>
          <w:kern w:val="2"/>
          <w:sz w:val="21"/>
          <w:szCs w:val="21"/>
          <w:highlight w:val="none"/>
          <w:lang w:eastAsia="zh-CN"/>
        </w:rPr>
        <w:t>（</w:t>
      </w:r>
      <w:r>
        <w:rPr>
          <w:rFonts w:hint="eastAsia" w:cs="仿宋_GB2312" w:asciiTheme="minorEastAsia" w:hAnsiTheme="minorEastAsia" w:eastAsiaTheme="minorEastAsia"/>
          <w:bCs w:val="0"/>
          <w:kern w:val="2"/>
          <w:sz w:val="21"/>
          <w:szCs w:val="21"/>
          <w:highlight w:val="none"/>
          <w:lang w:val="en-US" w:eastAsia="zh-CN"/>
        </w:rPr>
        <w:t>二</w:t>
      </w:r>
      <w:r>
        <w:rPr>
          <w:rFonts w:hint="eastAsia" w:cs="仿宋_GB2312" w:asciiTheme="minorEastAsia" w:hAnsiTheme="minorEastAsia" w:eastAsiaTheme="minorEastAsia"/>
          <w:bCs w:val="0"/>
          <w:kern w:val="2"/>
          <w:sz w:val="21"/>
          <w:szCs w:val="21"/>
          <w:highlight w:val="none"/>
          <w:lang w:eastAsia="zh-CN"/>
        </w:rPr>
        <w:t>）</w:t>
      </w:r>
      <w:r>
        <w:rPr>
          <w:rFonts w:hint="eastAsia" w:cs="仿宋_GB2312" w:asciiTheme="minorEastAsia" w:hAnsiTheme="minorEastAsia" w:eastAsiaTheme="minorEastAsia"/>
          <w:bCs w:val="0"/>
          <w:kern w:val="2"/>
          <w:sz w:val="21"/>
          <w:szCs w:val="21"/>
          <w:highlight w:val="none"/>
        </w:rPr>
        <w:t>从评审报告提出的成交候选人中，</w:t>
      </w:r>
      <w:r>
        <w:rPr>
          <w:rFonts w:hint="eastAsia" w:cs="仿宋_GB2312" w:asciiTheme="minorEastAsia" w:hAnsiTheme="minorEastAsia" w:eastAsiaTheme="minorEastAsia"/>
          <w:bCs w:val="0"/>
          <w:caps w:val="0"/>
          <w:color w:val="auto"/>
          <w:spacing w:val="0"/>
          <w:kern w:val="2"/>
          <w:sz w:val="21"/>
          <w:szCs w:val="21"/>
          <w:highlight w:val="none"/>
          <w:lang w:val="en-US" w:eastAsia="zh-CN"/>
        </w:rPr>
        <w:t>有效报价最低的单位为第一中标候选人。报价排名第二和第三的为后备的中标候选人。</w:t>
      </w:r>
    </w:p>
    <w:p>
      <w:pPr>
        <w:pStyle w:val="4"/>
        <w:numPr>
          <w:ilvl w:val="0"/>
          <w:numId w:val="8"/>
        </w:numPr>
      </w:pPr>
      <w:bookmarkStart w:id="241" w:name="_Toc7425"/>
      <w:bookmarkStart w:id="242" w:name="_Toc20854"/>
      <w:bookmarkStart w:id="243" w:name="_Toc18422"/>
      <w:bookmarkStart w:id="244" w:name="_Toc13730"/>
      <w:bookmarkStart w:id="245" w:name="_Toc1719"/>
      <w:bookmarkStart w:id="246" w:name="_Toc13563"/>
      <w:bookmarkStart w:id="247" w:name="_Toc20910"/>
      <w:bookmarkStart w:id="248" w:name="_Toc8423"/>
      <w:bookmarkStart w:id="249" w:name="_Toc19691"/>
      <w:bookmarkStart w:id="250" w:name="_Toc30834"/>
      <w:bookmarkStart w:id="251" w:name="_Toc13605"/>
      <w:bookmarkStart w:id="252" w:name="_Toc3707"/>
      <w:r>
        <w:rPr>
          <w:rFonts w:hint="eastAsia"/>
        </w:rPr>
        <w:t>评审依据</w:t>
      </w:r>
      <w:bookmarkEnd w:id="241"/>
      <w:bookmarkEnd w:id="242"/>
      <w:bookmarkEnd w:id="243"/>
      <w:bookmarkEnd w:id="244"/>
      <w:bookmarkEnd w:id="245"/>
      <w:bookmarkEnd w:id="246"/>
      <w:bookmarkEnd w:id="247"/>
      <w:bookmarkEnd w:id="248"/>
      <w:bookmarkEnd w:id="249"/>
      <w:bookmarkEnd w:id="250"/>
      <w:bookmarkEnd w:id="251"/>
      <w:bookmarkEnd w:id="252"/>
    </w:p>
    <w:p>
      <w:pPr>
        <w:snapToGrid w:val="0"/>
        <w:spacing w:line="360" w:lineRule="auto"/>
        <w:ind w:firstLine="480" w:firstLineChars="200"/>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评审的依据为：比选文件和竞选文件（含有效的补充文件）。评标委员会判断竞选文件对比选文件要求的响应，仅基于竞选响应文件本身而不靠外部证据。</w:t>
      </w:r>
    </w:p>
    <w:p>
      <w:pPr>
        <w:pStyle w:val="4"/>
        <w:numPr>
          <w:ilvl w:val="0"/>
          <w:numId w:val="8"/>
        </w:numPr>
      </w:pPr>
      <w:bookmarkStart w:id="253" w:name="_Toc1256"/>
      <w:bookmarkStart w:id="254" w:name="_Toc30042"/>
      <w:bookmarkStart w:id="255" w:name="_Toc13947"/>
      <w:bookmarkStart w:id="256" w:name="_Toc30770"/>
      <w:bookmarkStart w:id="257" w:name="_Toc15130"/>
      <w:bookmarkStart w:id="258" w:name="_Toc17995"/>
      <w:bookmarkStart w:id="259" w:name="_Toc11777"/>
      <w:bookmarkStart w:id="260" w:name="_Toc27314"/>
      <w:bookmarkStart w:id="261" w:name="_Toc15576"/>
      <w:bookmarkStart w:id="262" w:name="_Toc31821"/>
      <w:r>
        <w:rPr>
          <w:rFonts w:hint="eastAsia"/>
        </w:rPr>
        <w:t>成交通知</w:t>
      </w:r>
      <w:bookmarkEnd w:id="253"/>
      <w:bookmarkEnd w:id="254"/>
      <w:bookmarkEnd w:id="255"/>
      <w:bookmarkEnd w:id="256"/>
      <w:bookmarkEnd w:id="257"/>
      <w:bookmarkEnd w:id="258"/>
      <w:bookmarkEnd w:id="259"/>
      <w:bookmarkEnd w:id="260"/>
      <w:bookmarkEnd w:id="261"/>
      <w:bookmarkEnd w:id="262"/>
    </w:p>
    <w:p>
      <w:pPr>
        <w:widowControl/>
        <w:snapToGrid w:val="0"/>
        <w:spacing w:line="360" w:lineRule="auto"/>
        <w:ind w:firstLine="420" w:firstLineChars="200"/>
        <w:jc w:val="left"/>
        <w:rPr>
          <w:rFonts w:hint="eastAsia"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（一）</w:t>
      </w:r>
      <w:r>
        <w:rPr>
          <w:rFonts w:hint="eastAsia" w:cs="仿宋_GB2312" w:asciiTheme="minorEastAsia" w:hAnsiTheme="minorEastAsia" w:eastAsiaTheme="minorEastAsia"/>
          <w:sz w:val="21"/>
          <w:szCs w:val="21"/>
          <w:lang w:val="en-US" w:eastAsia="zh-CN"/>
        </w:rPr>
        <w:t>比选</w:t>
      </w:r>
      <w:r>
        <w:rPr>
          <w:rFonts w:hint="eastAsia" w:cs="仿宋_GB2312" w:asciiTheme="minorEastAsia" w:hAnsiTheme="minorEastAsia" w:eastAsiaTheme="minorEastAsia"/>
          <w:sz w:val="21"/>
          <w:szCs w:val="21"/>
          <w:lang w:eastAsia="zh-CN"/>
        </w:rPr>
        <w:t>结果公示将在</w:t>
      </w:r>
      <w:r>
        <w:rPr>
          <w:rFonts w:hint="eastAsia" w:cs="仿宋_GB2312" w:asciiTheme="minorEastAsia" w:hAnsiTheme="minorEastAsia" w:eastAsiaTheme="minorEastAsia"/>
          <w:sz w:val="21"/>
          <w:szCs w:val="21"/>
        </w:rPr>
        <w:t>将在“</w:t>
      </w:r>
      <w:r>
        <w:rPr>
          <w:rFonts w:hint="eastAsia" w:cs="仿宋_GB2312" w:asciiTheme="minorEastAsia" w:hAnsiTheme="minorEastAsia" w:eastAsiaTheme="minorEastAsia"/>
          <w:sz w:val="21"/>
          <w:szCs w:val="21"/>
          <w:lang w:eastAsia="zh-CN"/>
        </w:rPr>
        <w:t>重庆高速集团官网（http://www.cegc.com.cn/gw/newsInfoMenu.html?id=42&amp;key=2）、重庆高速公路集团有限公司招投标管理平台（</w:t>
      </w:r>
      <w:r>
        <w:rPr>
          <w:rFonts w:hint="eastAsia" w:cs="仿宋_GB2312" w:asciiTheme="minorEastAsia" w:hAnsiTheme="minorEastAsia" w:eastAsiaTheme="minorEastAsia"/>
          <w:sz w:val="21"/>
          <w:szCs w:val="21"/>
        </w:rPr>
        <w:t>http://112.35.165.219:8088/PMS/jsp/business/cccc/login.jsp</w:t>
      </w:r>
      <w:r>
        <w:rPr>
          <w:rFonts w:hint="eastAsia" w:cs="仿宋_GB2312" w:asciiTheme="minorEastAsia" w:hAnsiTheme="minorEastAsia" w:eastAsiaTheme="minorEastAsia"/>
          <w:sz w:val="21"/>
          <w:szCs w:val="21"/>
          <w:lang w:eastAsia="zh-CN"/>
        </w:rPr>
        <w:t>）”</w:t>
      </w:r>
      <w:r>
        <w:rPr>
          <w:rFonts w:hint="eastAsia" w:cs="仿宋_GB2312" w:asciiTheme="minorEastAsia" w:hAnsiTheme="minorEastAsia" w:eastAsiaTheme="minorEastAsia"/>
          <w:sz w:val="21"/>
          <w:szCs w:val="21"/>
        </w:rPr>
        <w:t>上</w:t>
      </w:r>
      <w:r>
        <w:rPr>
          <w:rFonts w:hint="eastAsia" w:cs="仿宋_GB2312" w:asciiTheme="minorEastAsia" w:hAnsiTheme="minorEastAsia" w:eastAsiaTheme="minorEastAsia"/>
          <w:sz w:val="21"/>
          <w:szCs w:val="21"/>
          <w:lang w:eastAsia="zh-CN"/>
        </w:rPr>
        <w:t>发布</w:t>
      </w:r>
      <w:r>
        <w:rPr>
          <w:rFonts w:hint="eastAsia" w:cs="仿宋_GB2312" w:asciiTheme="minorEastAsia" w:hAnsiTheme="minorEastAsia" w:eastAsiaTheme="minorEastAsia"/>
          <w:sz w:val="21"/>
          <w:szCs w:val="21"/>
        </w:rPr>
        <w:t>。</w:t>
      </w:r>
    </w:p>
    <w:p>
      <w:pPr>
        <w:widowControl/>
        <w:snapToGrid w:val="0"/>
        <w:spacing w:line="360" w:lineRule="auto"/>
        <w:ind w:firstLine="420" w:firstLineChars="200"/>
        <w:jc w:val="left"/>
        <w:rPr>
          <w:rFonts w:hint="eastAsia"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（二）结果公</w:t>
      </w:r>
      <w:r>
        <w:rPr>
          <w:rFonts w:hint="eastAsia" w:cs="仿宋_GB2312" w:asciiTheme="minorEastAsia" w:hAnsiTheme="minorEastAsia" w:eastAsiaTheme="minorEastAsia"/>
          <w:sz w:val="21"/>
          <w:szCs w:val="21"/>
          <w:lang w:val="en-US" w:eastAsia="zh-CN"/>
        </w:rPr>
        <w:t>示结束后</w:t>
      </w:r>
      <w:r>
        <w:rPr>
          <w:rFonts w:hint="eastAsia" w:cs="仿宋_GB2312" w:asciiTheme="minorEastAsia" w:hAnsiTheme="minorEastAsia" w:eastAsiaTheme="minorEastAsia"/>
          <w:sz w:val="21"/>
          <w:szCs w:val="21"/>
        </w:rPr>
        <w:t>，采购人将以书面形式发出《</w:t>
      </w:r>
      <w:r>
        <w:rPr>
          <w:rFonts w:hint="eastAsia" w:cs="仿宋_GB2312" w:asciiTheme="minorEastAsia" w:hAnsiTheme="minorEastAsia" w:eastAsiaTheme="minorEastAsia"/>
          <w:sz w:val="21"/>
          <w:szCs w:val="21"/>
          <w:lang w:val="en-US" w:eastAsia="zh-CN"/>
        </w:rPr>
        <w:t>中标</w:t>
      </w:r>
      <w:r>
        <w:rPr>
          <w:rFonts w:hint="eastAsia" w:cs="仿宋_GB2312" w:asciiTheme="minorEastAsia" w:hAnsiTheme="minorEastAsia" w:eastAsiaTheme="minorEastAsia"/>
          <w:sz w:val="21"/>
          <w:szCs w:val="21"/>
        </w:rPr>
        <w:t>通知书》。《</w:t>
      </w:r>
      <w:r>
        <w:rPr>
          <w:rFonts w:hint="eastAsia" w:cs="仿宋_GB2312" w:asciiTheme="minorEastAsia" w:hAnsiTheme="minorEastAsia" w:eastAsiaTheme="minorEastAsia"/>
          <w:sz w:val="21"/>
          <w:szCs w:val="21"/>
          <w:lang w:val="en-US" w:eastAsia="zh-CN"/>
        </w:rPr>
        <w:t>中标</w:t>
      </w:r>
      <w:r>
        <w:rPr>
          <w:rFonts w:hint="eastAsia" w:cs="仿宋_GB2312" w:asciiTheme="minorEastAsia" w:hAnsiTheme="minorEastAsia" w:eastAsiaTheme="minorEastAsia"/>
          <w:sz w:val="21"/>
          <w:szCs w:val="21"/>
        </w:rPr>
        <w:t>通知书》一经发出即发生法律效力。</w:t>
      </w:r>
    </w:p>
    <w:p>
      <w:pPr>
        <w:widowControl/>
        <w:snapToGrid w:val="0"/>
        <w:spacing w:line="360" w:lineRule="auto"/>
        <w:ind w:firstLine="420" w:firstLineChars="200"/>
        <w:jc w:val="left"/>
        <w:rPr>
          <w:rFonts w:hint="eastAsia"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（三）《</w:t>
      </w:r>
      <w:r>
        <w:rPr>
          <w:rFonts w:hint="eastAsia" w:cs="仿宋_GB2312" w:asciiTheme="minorEastAsia" w:hAnsiTheme="minorEastAsia" w:eastAsiaTheme="minorEastAsia"/>
          <w:sz w:val="21"/>
          <w:szCs w:val="21"/>
          <w:lang w:val="en-US" w:eastAsia="zh-CN"/>
        </w:rPr>
        <w:t>中标</w:t>
      </w:r>
      <w:r>
        <w:rPr>
          <w:rFonts w:hint="eastAsia" w:cs="仿宋_GB2312" w:asciiTheme="minorEastAsia" w:hAnsiTheme="minorEastAsia" w:eastAsiaTheme="minorEastAsia"/>
          <w:sz w:val="21"/>
          <w:szCs w:val="21"/>
        </w:rPr>
        <w:t>通知书》将作为签订合同的依据。</w:t>
      </w:r>
    </w:p>
    <w:p>
      <w:pPr>
        <w:pStyle w:val="4"/>
        <w:numPr>
          <w:ilvl w:val="0"/>
          <w:numId w:val="8"/>
        </w:numPr>
        <w:rPr>
          <w:rFonts w:hint="eastAsia" w:ascii="宋体" w:hAnsi="宋体" w:eastAsia="宋体" w:cs="宋体"/>
          <w:szCs w:val="24"/>
        </w:rPr>
      </w:pPr>
      <w:bookmarkStart w:id="263" w:name="_Toc24479"/>
      <w:bookmarkStart w:id="264" w:name="_Toc1572"/>
      <w:bookmarkStart w:id="265" w:name="_Toc3934"/>
      <w:bookmarkStart w:id="266" w:name="_Toc30052"/>
      <w:bookmarkStart w:id="267" w:name="_Toc25129"/>
      <w:bookmarkStart w:id="268" w:name="_Toc9618"/>
      <w:bookmarkStart w:id="269" w:name="_Toc20470"/>
      <w:bookmarkStart w:id="270" w:name="_Toc13878"/>
      <w:bookmarkStart w:id="271" w:name="_Toc3186"/>
      <w:bookmarkStart w:id="272" w:name="_Toc31296"/>
      <w:r>
        <w:rPr>
          <w:rFonts w:hint="eastAsia" w:ascii="宋体" w:hAnsi="宋体" w:eastAsia="宋体" w:cs="宋体"/>
          <w:szCs w:val="24"/>
        </w:rPr>
        <w:t>签订合同</w:t>
      </w:r>
      <w:bookmarkEnd w:id="263"/>
      <w:bookmarkEnd w:id="264"/>
      <w:bookmarkEnd w:id="265"/>
      <w:bookmarkEnd w:id="266"/>
      <w:bookmarkEnd w:id="267"/>
      <w:bookmarkEnd w:id="268"/>
      <w:bookmarkEnd w:id="269"/>
      <w:bookmarkEnd w:id="270"/>
      <w:bookmarkEnd w:id="271"/>
      <w:bookmarkEnd w:id="272"/>
    </w:p>
    <w:p>
      <w:pPr>
        <w:widowControl/>
        <w:snapToGrid w:val="0"/>
        <w:spacing w:line="360" w:lineRule="auto"/>
        <w:ind w:firstLine="420" w:firstLineChars="200"/>
        <w:jc w:val="left"/>
        <w:rPr>
          <w:rFonts w:hint="eastAsia"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（一）采购人与成交比选人应当在成交通知书发出之日起</w:t>
      </w:r>
      <w:r>
        <w:rPr>
          <w:rFonts w:hint="eastAsia" w:cs="仿宋_GB2312" w:asciiTheme="minorEastAsia" w:hAnsiTheme="minorEastAsia" w:eastAsiaTheme="minorEastAsia"/>
          <w:sz w:val="21"/>
          <w:szCs w:val="21"/>
          <w:lang w:val="en-US" w:eastAsia="zh-CN"/>
        </w:rPr>
        <w:t>30</w:t>
      </w:r>
      <w:r>
        <w:rPr>
          <w:rFonts w:hint="eastAsia" w:cs="仿宋_GB2312" w:asciiTheme="minorEastAsia" w:hAnsiTheme="minorEastAsia" w:eastAsiaTheme="minorEastAsia"/>
          <w:sz w:val="21"/>
          <w:szCs w:val="21"/>
        </w:rPr>
        <w:t>日内，按照采购人合同文本格式要求签订采购合同。</w:t>
      </w:r>
    </w:p>
    <w:p>
      <w:pPr>
        <w:widowControl/>
        <w:snapToGrid w:val="0"/>
        <w:spacing w:line="360" w:lineRule="auto"/>
        <w:ind w:firstLine="420" w:firstLineChars="200"/>
        <w:jc w:val="left"/>
        <w:rPr>
          <w:rFonts w:hint="eastAsia"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（二）采购人不得向成交比选人提出超出本次采购项目以外的任何要求作为签订合同的条件。</w:t>
      </w:r>
    </w:p>
    <w:p>
      <w:pPr>
        <w:widowControl/>
        <w:snapToGrid w:val="0"/>
        <w:spacing w:line="360" w:lineRule="auto"/>
        <w:ind w:firstLine="420" w:firstLineChars="200"/>
        <w:jc w:val="left"/>
        <w:rPr>
          <w:rFonts w:hint="eastAsia"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（三）除不可抗力等因素外，成交通知书发出后，采购人改变成交结果，或者成交供应商无正当理由拒绝签订采购合同的，应当承担相应的法律责任。</w:t>
      </w:r>
    </w:p>
    <w:p>
      <w:pPr>
        <w:widowControl/>
        <w:snapToGrid w:val="0"/>
        <w:spacing w:line="360" w:lineRule="auto"/>
        <w:ind w:firstLine="420" w:firstLineChars="200"/>
        <w:jc w:val="left"/>
        <w:rPr>
          <w:rFonts w:hint="eastAsia"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br w:type="page"/>
      </w:r>
    </w:p>
    <w:p>
      <w:pPr>
        <w:pStyle w:val="3"/>
        <w:numPr>
          <w:ilvl w:val="0"/>
          <w:numId w:val="6"/>
        </w:numPr>
        <w:rPr>
          <w:rFonts w:hint="eastAsia"/>
          <w:lang w:val="en-US" w:eastAsia="zh-CN"/>
        </w:rPr>
      </w:pPr>
      <w:bookmarkStart w:id="273" w:name="_Toc10714"/>
      <w:bookmarkStart w:id="274" w:name="_Toc13531"/>
      <w:bookmarkStart w:id="275" w:name="_Toc28174"/>
      <w:bookmarkStart w:id="276" w:name="_Toc17200"/>
      <w:bookmarkStart w:id="277" w:name="_Toc428"/>
      <w:bookmarkStart w:id="278" w:name="_Toc21105"/>
      <w:r>
        <w:rPr>
          <w:rFonts w:hint="eastAsia"/>
        </w:rPr>
        <w:t xml:space="preserve"> </w:t>
      </w:r>
      <w:bookmarkStart w:id="279" w:name="_Toc12948"/>
      <w:bookmarkStart w:id="280" w:name="_Toc31475"/>
      <w:bookmarkStart w:id="281" w:name="_Toc9110"/>
      <w:bookmarkStart w:id="282" w:name="_Toc20975"/>
      <w:r>
        <w:rPr>
          <w:rFonts w:hint="eastAsia"/>
          <w:lang w:val="en-US" w:eastAsia="zh-CN"/>
        </w:rPr>
        <w:t>采购</w:t>
      </w:r>
      <w:bookmarkEnd w:id="273"/>
      <w:r>
        <w:rPr>
          <w:rFonts w:hint="eastAsia"/>
          <w:lang w:val="en-US" w:eastAsia="zh-CN"/>
        </w:rPr>
        <w:t>要求</w:t>
      </w:r>
      <w:bookmarkEnd w:id="274"/>
      <w:bookmarkEnd w:id="275"/>
      <w:bookmarkEnd w:id="276"/>
      <w:bookmarkEnd w:id="277"/>
      <w:bookmarkEnd w:id="278"/>
      <w:bookmarkEnd w:id="279"/>
      <w:bookmarkEnd w:id="280"/>
      <w:bookmarkEnd w:id="281"/>
      <w:bookmarkEnd w:id="282"/>
    </w:p>
    <w:p>
      <w:pPr>
        <w:pStyle w:val="4"/>
        <w:numPr>
          <w:ilvl w:val="0"/>
          <w:numId w:val="9"/>
        </w:numPr>
        <w:ind w:left="0" w:firstLine="420"/>
        <w:rPr>
          <w:rFonts w:hint="eastAsia"/>
        </w:rPr>
      </w:pPr>
      <w:bookmarkStart w:id="283" w:name="_Toc22584"/>
      <w:bookmarkStart w:id="284" w:name="_Toc23281"/>
      <w:bookmarkStart w:id="285" w:name="_Toc7997"/>
      <w:bookmarkStart w:id="286" w:name="_Toc6887"/>
      <w:bookmarkStart w:id="287" w:name="_Toc25226"/>
      <w:bookmarkStart w:id="288" w:name="_Toc10409"/>
      <w:bookmarkStart w:id="289" w:name="_Toc15297"/>
      <w:r>
        <w:rPr>
          <w:rFonts w:hint="eastAsia"/>
          <w:lang w:val="en-US" w:eastAsia="zh-CN"/>
        </w:rPr>
        <w:t>交货及</w:t>
      </w:r>
      <w:r>
        <w:rPr>
          <w:rFonts w:hint="eastAsia"/>
        </w:rPr>
        <w:t>验收方式</w:t>
      </w:r>
      <w:bookmarkEnd w:id="283"/>
      <w:bookmarkEnd w:id="284"/>
      <w:bookmarkEnd w:id="285"/>
      <w:bookmarkEnd w:id="286"/>
      <w:bookmarkEnd w:id="287"/>
      <w:bookmarkEnd w:id="288"/>
      <w:bookmarkEnd w:id="289"/>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eastAsia="zh-CN"/>
        </w:rPr>
        <w:t>一</w:t>
      </w:r>
      <w:r>
        <w:rPr>
          <w:rFonts w:hint="eastAsia" w:ascii="宋体" w:hAnsi="宋体" w:eastAsia="宋体" w:cs="宋体"/>
          <w:sz w:val="24"/>
        </w:rPr>
        <w:t>）货物到达现场后，成交供应商应在使用单位人员在场情况下当面开箱，共同清点、检查外观，作出开箱记录，双方签字确认。</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eastAsia="zh-CN"/>
        </w:rPr>
        <w:t>二</w:t>
      </w:r>
      <w:r>
        <w:rPr>
          <w:rFonts w:hint="eastAsia" w:ascii="宋体" w:hAnsi="宋体" w:eastAsia="宋体" w:cs="宋体"/>
          <w:sz w:val="24"/>
        </w:rPr>
        <w:t>）成交供应商应保证货物到达采购人所在地完好无损，如有缺漏、损坏，由供应商负责调换、补齐或赔偿。</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三</w:t>
      </w:r>
      <w:r>
        <w:rPr>
          <w:rFonts w:hint="eastAsia" w:ascii="宋体" w:hAnsi="宋体" w:eastAsia="宋体" w:cs="宋体"/>
          <w:sz w:val="24"/>
        </w:rPr>
        <w:t>）成交供应商应提供完备的技术资料、装箱单和合格证等，并派遣专业技术人员进行现场安装调试。</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四</w:t>
      </w:r>
      <w:r>
        <w:rPr>
          <w:rFonts w:hint="eastAsia" w:ascii="宋体" w:hAnsi="宋体" w:eastAsia="宋体" w:cs="宋体"/>
          <w:sz w:val="24"/>
          <w:lang w:eastAsia="zh-CN"/>
        </w:rPr>
        <w:t>）</w:t>
      </w:r>
      <w:r>
        <w:rPr>
          <w:rFonts w:hint="eastAsia" w:ascii="宋体" w:hAnsi="宋体" w:eastAsia="宋体" w:cs="宋体"/>
          <w:sz w:val="24"/>
        </w:rPr>
        <w:t>验收合格条件如下：</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eastAsia="zh-CN"/>
        </w:rPr>
        <w:t>、</w:t>
      </w:r>
      <w:r>
        <w:rPr>
          <w:rFonts w:hint="eastAsia" w:ascii="宋体" w:hAnsi="宋体" w:eastAsia="宋体" w:cs="宋体"/>
          <w:sz w:val="24"/>
        </w:rPr>
        <w:t>设备技术参数与采购合同一致，性能指标达到规定的标准。</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2</w:t>
      </w:r>
      <w:r>
        <w:rPr>
          <w:rFonts w:hint="eastAsia" w:ascii="宋体" w:hAnsi="宋体" w:eastAsia="宋体" w:cs="宋体"/>
          <w:sz w:val="24"/>
          <w:lang w:eastAsia="zh-CN"/>
        </w:rPr>
        <w:t>、</w:t>
      </w:r>
      <w:r>
        <w:rPr>
          <w:rFonts w:hint="eastAsia" w:ascii="宋体" w:hAnsi="宋体" w:eastAsia="宋体" w:cs="宋体"/>
          <w:sz w:val="24"/>
        </w:rPr>
        <w:t>货物技术资料、装箱单、合格证等资料齐全。</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3</w:t>
      </w:r>
      <w:r>
        <w:rPr>
          <w:rFonts w:hint="eastAsia" w:ascii="宋体" w:hAnsi="宋体" w:eastAsia="宋体" w:cs="宋体"/>
          <w:sz w:val="24"/>
          <w:lang w:eastAsia="zh-CN"/>
        </w:rPr>
        <w:t>、</w:t>
      </w:r>
      <w:r>
        <w:rPr>
          <w:rFonts w:hint="eastAsia" w:ascii="宋体" w:hAnsi="宋体" w:eastAsia="宋体" w:cs="宋体"/>
          <w:sz w:val="24"/>
        </w:rPr>
        <w:t>在规定时间内完成交货并验收，并经采购人确认。</w:t>
      </w:r>
    </w:p>
    <w:p>
      <w:pPr>
        <w:spacing w:line="360" w:lineRule="auto"/>
        <w:ind w:firstLine="480" w:firstLineChars="200"/>
        <w:rPr>
          <w:rFonts w:hint="eastAsia" w:ascii="宋体" w:hAnsi="宋体" w:cs="宋体"/>
          <w:sz w:val="24"/>
          <w:lang w:eastAsia="zh-CN"/>
        </w:rPr>
      </w:pPr>
      <w:r>
        <w:rPr>
          <w:rFonts w:hint="eastAsia" w:ascii="宋体" w:hAnsi="宋体" w:eastAsia="宋体" w:cs="宋体"/>
          <w:sz w:val="24"/>
        </w:rPr>
        <w:t>4</w:t>
      </w:r>
      <w:r>
        <w:rPr>
          <w:rFonts w:hint="eastAsia" w:ascii="宋体" w:hAnsi="宋体" w:eastAsia="宋体" w:cs="宋体"/>
          <w:sz w:val="24"/>
          <w:lang w:eastAsia="zh-CN"/>
        </w:rPr>
        <w:t>、</w:t>
      </w:r>
      <w:r>
        <w:rPr>
          <w:rFonts w:hint="eastAsia" w:ascii="宋体" w:hAnsi="宋体" w:eastAsia="宋体" w:cs="宋体"/>
          <w:sz w:val="24"/>
        </w:rPr>
        <w:t>产品在安装调试并试运行符合要求后，才作为最终验收</w:t>
      </w:r>
      <w:r>
        <w:rPr>
          <w:rFonts w:hint="eastAsia" w:ascii="宋体" w:hAnsi="宋体" w:cs="宋体"/>
          <w:sz w:val="24"/>
          <w:lang w:eastAsia="zh-CN"/>
        </w:rPr>
        <w:t>。</w:t>
      </w:r>
    </w:p>
    <w:p>
      <w:pPr>
        <w:keepNext w:val="0"/>
        <w:keepLines w:val="0"/>
        <w:widowControl/>
        <w:suppressLineNumbers w:val="0"/>
        <w:spacing w:line="360" w:lineRule="auto"/>
        <w:ind w:firstLine="480" w:firstLineChars="200"/>
        <w:rPr>
          <w:rFonts w:hint="eastAsia" w:ascii="宋体" w:hAnsi="宋体" w:eastAsia="宋体" w:cs="宋体"/>
          <w:color w:val="auto"/>
          <w:kern w:val="2"/>
          <w:sz w:val="24"/>
        </w:rPr>
      </w:pPr>
      <w:r>
        <w:rPr>
          <w:rFonts w:hint="eastAsia" w:ascii="宋体" w:hAnsi="宋体" w:eastAsia="宋体" w:cs="宋体"/>
          <w:color w:val="auto"/>
          <w:kern w:val="2"/>
          <w:sz w:val="24"/>
          <w:lang w:val="en-US" w:eastAsia="zh-CN"/>
        </w:rPr>
        <w:t>5、</w:t>
      </w:r>
      <w:r>
        <w:rPr>
          <w:rFonts w:hint="eastAsia" w:ascii="宋体" w:hAnsi="宋体" w:eastAsia="宋体" w:cs="宋体"/>
          <w:color w:val="auto"/>
          <w:kern w:val="2"/>
          <w:sz w:val="24"/>
        </w:rPr>
        <w:t>办公室家具安装完成后，</w:t>
      </w:r>
      <w:r>
        <w:rPr>
          <w:rFonts w:hint="eastAsia" w:ascii="宋体" w:hAnsi="宋体" w:eastAsia="宋体" w:cs="宋体"/>
          <w:color w:val="auto"/>
          <w:kern w:val="2"/>
          <w:sz w:val="24"/>
          <w:lang w:val="en-US" w:eastAsia="zh-CN"/>
        </w:rPr>
        <w:t>采购人</w:t>
      </w:r>
      <w:r>
        <w:rPr>
          <w:rFonts w:hint="eastAsia" w:ascii="宋体" w:hAnsi="宋体" w:eastAsia="宋体" w:cs="宋体"/>
          <w:color w:val="auto"/>
          <w:kern w:val="2"/>
          <w:sz w:val="24"/>
        </w:rPr>
        <w:t>需邀请第三方检测机构，对办公室</w:t>
      </w:r>
      <w:r>
        <w:rPr>
          <w:rFonts w:hint="eastAsia" w:ascii="宋体" w:hAnsi="宋体" w:eastAsia="宋体" w:cs="宋体"/>
          <w:color w:val="auto"/>
          <w:kern w:val="2"/>
          <w:sz w:val="24"/>
          <w:lang w:val="en-US" w:eastAsia="zh-CN"/>
        </w:rPr>
        <w:t>内</w:t>
      </w:r>
      <w:r>
        <w:rPr>
          <w:rFonts w:hint="eastAsia" w:ascii="宋体" w:hAnsi="宋体" w:eastAsia="宋体" w:cs="宋体"/>
          <w:color w:val="auto"/>
          <w:kern w:val="2"/>
          <w:sz w:val="24"/>
        </w:rPr>
        <w:t>进行有害气体检测，需达到合格标准，且</w:t>
      </w:r>
      <w:r>
        <w:rPr>
          <w:rFonts w:hint="eastAsia" w:ascii="宋体" w:hAnsi="宋体" w:eastAsia="宋体" w:cs="宋体"/>
          <w:color w:val="auto"/>
          <w:kern w:val="2"/>
          <w:sz w:val="24"/>
          <w:lang w:val="en-US" w:eastAsia="zh-CN"/>
        </w:rPr>
        <w:t>同时</w:t>
      </w:r>
      <w:r>
        <w:rPr>
          <w:rFonts w:hint="eastAsia" w:ascii="宋体" w:hAnsi="宋体" w:eastAsia="宋体" w:cs="宋体"/>
          <w:color w:val="auto"/>
          <w:kern w:val="2"/>
          <w:sz w:val="24"/>
        </w:rPr>
        <w:t>出具有效的检测报告</w:t>
      </w:r>
      <w:r>
        <w:rPr>
          <w:rFonts w:hint="eastAsia" w:ascii="宋体" w:hAnsi="宋体" w:eastAsia="宋体" w:cs="宋体"/>
          <w:color w:val="auto"/>
          <w:kern w:val="2"/>
          <w:sz w:val="24"/>
          <w:lang w:val="en-US" w:eastAsia="zh-CN"/>
        </w:rPr>
        <w:t>对比</w:t>
      </w:r>
      <w:r>
        <w:rPr>
          <w:rFonts w:hint="eastAsia" w:ascii="宋体" w:hAnsi="宋体" w:eastAsia="宋体" w:cs="宋体"/>
          <w:color w:val="auto"/>
          <w:kern w:val="2"/>
          <w:sz w:val="24"/>
        </w:rPr>
        <w:t>。若未达标，则投标单位有权不支付货款</w:t>
      </w:r>
      <w:r>
        <w:rPr>
          <w:rFonts w:hint="eastAsia" w:ascii="宋体" w:hAnsi="宋体" w:eastAsia="宋体" w:cs="宋体"/>
          <w:color w:val="auto"/>
          <w:kern w:val="2"/>
          <w:sz w:val="24"/>
          <w:lang w:eastAsia="zh-CN"/>
        </w:rPr>
        <w:t>，</w:t>
      </w:r>
      <w:r>
        <w:rPr>
          <w:rFonts w:hint="eastAsia" w:ascii="宋体" w:hAnsi="宋体" w:eastAsia="宋体" w:cs="宋体"/>
          <w:color w:val="auto"/>
          <w:kern w:val="2"/>
          <w:sz w:val="24"/>
          <w:lang w:val="en-US" w:eastAsia="zh-CN"/>
        </w:rPr>
        <w:t>承担相关法律责任外还将列入失信黑名单。</w:t>
      </w:r>
    </w:p>
    <w:p>
      <w:pPr>
        <w:pStyle w:val="4"/>
        <w:numPr>
          <w:ilvl w:val="0"/>
          <w:numId w:val="9"/>
        </w:numPr>
        <w:ind w:left="0" w:firstLine="420"/>
        <w:rPr>
          <w:rFonts w:hint="eastAsia" w:ascii="Arial" w:hAnsi="Arial"/>
          <w:sz w:val="24"/>
          <w:szCs w:val="32"/>
          <w:highlight w:val="none"/>
        </w:rPr>
      </w:pPr>
      <w:bookmarkStart w:id="290" w:name="_Toc29710"/>
      <w:bookmarkStart w:id="291" w:name="_Toc25913"/>
      <w:bookmarkStart w:id="292" w:name="_Toc32553"/>
      <w:bookmarkStart w:id="293" w:name="_Toc26087"/>
      <w:bookmarkStart w:id="294" w:name="_Toc10065"/>
      <w:bookmarkStart w:id="295" w:name="_Toc17390"/>
      <w:bookmarkStart w:id="296" w:name="_Toc29721"/>
      <w:r>
        <w:rPr>
          <w:rFonts w:hint="eastAsia" w:ascii="Arial" w:hAnsi="Arial"/>
          <w:sz w:val="24"/>
          <w:szCs w:val="32"/>
          <w:highlight w:val="none"/>
        </w:rPr>
        <w:t>质量保证及售后服务</w:t>
      </w:r>
      <w:bookmarkEnd w:id="290"/>
      <w:bookmarkEnd w:id="291"/>
      <w:bookmarkEnd w:id="292"/>
      <w:bookmarkEnd w:id="293"/>
      <w:bookmarkEnd w:id="294"/>
      <w:bookmarkEnd w:id="295"/>
      <w:bookmarkEnd w:id="296"/>
    </w:p>
    <w:p>
      <w:pPr>
        <w:spacing w:line="360" w:lineRule="auto"/>
        <w:ind w:firstLine="480" w:firstLineChars="200"/>
        <w:rPr>
          <w:rFonts w:hint="eastAsia" w:ascii="宋体" w:hAnsi="宋体" w:eastAsia="宋体" w:cs="宋体"/>
          <w:sz w:val="24"/>
          <w:u w:val="none"/>
          <w:lang w:eastAsia="zh-CN"/>
        </w:rPr>
      </w:pPr>
      <w:r>
        <w:rPr>
          <w:rFonts w:hint="eastAsia" w:ascii="宋体" w:hAnsi="宋体" w:eastAsia="宋体" w:cs="宋体"/>
          <w:sz w:val="24"/>
          <w:u w:val="none"/>
          <w:lang w:eastAsia="zh-CN"/>
        </w:rPr>
        <w:t>（</w:t>
      </w:r>
      <w:r>
        <w:rPr>
          <w:rFonts w:hint="eastAsia" w:ascii="宋体" w:hAnsi="宋体" w:eastAsia="宋体" w:cs="宋体"/>
          <w:sz w:val="24"/>
          <w:u w:val="none"/>
          <w:lang w:val="en-US" w:eastAsia="zh-CN"/>
        </w:rPr>
        <w:t>一</w:t>
      </w:r>
      <w:r>
        <w:rPr>
          <w:rFonts w:hint="eastAsia" w:ascii="宋体" w:hAnsi="宋体" w:eastAsia="宋体" w:cs="宋体"/>
          <w:sz w:val="24"/>
          <w:u w:val="none"/>
          <w:lang w:eastAsia="zh-CN"/>
        </w:rPr>
        <w:t>）</w:t>
      </w:r>
      <w:r>
        <w:rPr>
          <w:rFonts w:hint="eastAsia" w:ascii="宋体" w:hAnsi="宋体" w:eastAsia="宋体" w:cs="宋体"/>
          <w:sz w:val="24"/>
          <w:u w:val="none"/>
        </w:rPr>
        <w:t>自验收之日起，提供最低2年的免费质保期</w:t>
      </w:r>
      <w:r>
        <w:rPr>
          <w:rFonts w:hint="eastAsia" w:ascii="宋体" w:hAnsi="宋体" w:eastAsia="宋体" w:cs="宋体"/>
          <w:sz w:val="24"/>
          <w:u w:val="none"/>
          <w:lang w:eastAsia="zh-CN"/>
        </w:rPr>
        <w:t>。</w:t>
      </w:r>
    </w:p>
    <w:p>
      <w:pPr>
        <w:spacing w:line="360" w:lineRule="auto"/>
        <w:ind w:firstLine="480" w:firstLineChars="200"/>
        <w:rPr>
          <w:rFonts w:hint="eastAsia" w:ascii="宋体" w:hAnsi="宋体" w:eastAsia="宋体" w:cs="宋体"/>
          <w:sz w:val="24"/>
          <w:u w:val="none"/>
        </w:rPr>
      </w:pPr>
      <w:r>
        <w:rPr>
          <w:rFonts w:hint="eastAsia" w:ascii="宋体" w:hAnsi="宋体" w:eastAsia="宋体" w:cs="宋体"/>
          <w:sz w:val="24"/>
          <w:u w:val="none"/>
          <w:lang w:eastAsia="zh-CN"/>
        </w:rPr>
        <w:t>（</w:t>
      </w:r>
      <w:r>
        <w:rPr>
          <w:rFonts w:hint="eastAsia" w:ascii="宋体" w:hAnsi="宋体" w:eastAsia="宋体" w:cs="宋体"/>
          <w:sz w:val="24"/>
          <w:u w:val="none"/>
          <w:lang w:val="en-US" w:eastAsia="zh-CN"/>
        </w:rPr>
        <w:t>二</w:t>
      </w:r>
      <w:r>
        <w:rPr>
          <w:rFonts w:hint="eastAsia" w:ascii="宋体" w:hAnsi="宋体" w:eastAsia="宋体" w:cs="宋体"/>
          <w:sz w:val="24"/>
          <w:u w:val="none"/>
          <w:lang w:eastAsia="zh-CN"/>
        </w:rPr>
        <w:t>）</w:t>
      </w:r>
      <w:r>
        <w:rPr>
          <w:rFonts w:hint="eastAsia" w:ascii="宋体" w:hAnsi="宋体" w:eastAsia="宋体" w:cs="宋体"/>
          <w:sz w:val="24"/>
          <w:u w:val="none"/>
        </w:rPr>
        <w:t>采购货物属于国家规定“三包”范围，其产品质量保证期不得低于“三包”规定。</w:t>
      </w:r>
    </w:p>
    <w:p>
      <w:pPr>
        <w:spacing w:line="360" w:lineRule="auto"/>
        <w:ind w:firstLine="480" w:firstLineChars="200"/>
        <w:rPr>
          <w:rFonts w:hint="eastAsia" w:ascii="宋体" w:hAnsi="宋体" w:eastAsia="宋体" w:cs="宋体"/>
          <w:sz w:val="24"/>
          <w:u w:val="none"/>
        </w:rPr>
      </w:pPr>
      <w:r>
        <w:rPr>
          <w:rFonts w:hint="eastAsia" w:ascii="宋体" w:hAnsi="宋体" w:eastAsia="宋体" w:cs="宋体"/>
          <w:sz w:val="24"/>
          <w:u w:val="none"/>
          <w:lang w:eastAsia="zh-CN"/>
        </w:rPr>
        <w:t>（</w:t>
      </w:r>
      <w:r>
        <w:rPr>
          <w:rFonts w:hint="eastAsia" w:ascii="宋体" w:hAnsi="宋体" w:eastAsia="宋体" w:cs="宋体"/>
          <w:sz w:val="24"/>
          <w:u w:val="none"/>
          <w:lang w:val="en-US" w:eastAsia="zh-CN"/>
        </w:rPr>
        <w:t>三</w:t>
      </w:r>
      <w:r>
        <w:rPr>
          <w:rFonts w:hint="eastAsia" w:ascii="宋体" w:hAnsi="宋体" w:eastAsia="宋体" w:cs="宋体"/>
          <w:sz w:val="24"/>
          <w:u w:val="none"/>
          <w:lang w:eastAsia="zh-CN"/>
        </w:rPr>
        <w:t>）</w:t>
      </w:r>
      <w:r>
        <w:rPr>
          <w:rFonts w:hint="eastAsia" w:ascii="宋体" w:hAnsi="宋体" w:eastAsia="宋体" w:cs="宋体"/>
          <w:sz w:val="24"/>
          <w:u w:val="none"/>
        </w:rPr>
        <w:t>质量保证期内服务要求</w:t>
      </w:r>
    </w:p>
    <w:p>
      <w:pPr>
        <w:spacing w:line="360" w:lineRule="auto"/>
        <w:ind w:firstLine="480" w:firstLineChars="200"/>
        <w:rPr>
          <w:rFonts w:hint="eastAsia" w:ascii="宋体" w:hAnsi="宋体" w:eastAsia="宋体" w:cs="宋体"/>
          <w:sz w:val="24"/>
          <w:u w:val="none"/>
        </w:rPr>
      </w:pPr>
      <w:r>
        <w:rPr>
          <w:rFonts w:hint="eastAsia" w:ascii="宋体" w:hAnsi="宋体" w:eastAsia="宋体" w:cs="宋体"/>
          <w:sz w:val="24"/>
          <w:u w:val="none"/>
          <w:lang w:val="en-US" w:eastAsia="zh-CN"/>
        </w:rPr>
        <w:t>1.</w:t>
      </w:r>
      <w:r>
        <w:rPr>
          <w:rFonts w:hint="eastAsia" w:ascii="宋体" w:hAnsi="宋体" w:eastAsia="宋体" w:cs="宋体"/>
          <w:sz w:val="24"/>
          <w:u w:val="none"/>
        </w:rPr>
        <w:t>电话咨询：成交供应商和厂家应当为用户提供技术援助电话，解答用户在使用过程中遇到的问题，及时为用户提出解决问题的建议。</w:t>
      </w:r>
    </w:p>
    <w:p>
      <w:pPr>
        <w:spacing w:line="360" w:lineRule="auto"/>
        <w:ind w:firstLine="480" w:firstLineChars="200"/>
        <w:rPr>
          <w:rFonts w:hint="eastAsia" w:ascii="宋体" w:hAnsi="宋体" w:eastAsia="宋体" w:cs="宋体"/>
          <w:sz w:val="24"/>
          <w:u w:val="none"/>
        </w:rPr>
      </w:pPr>
      <w:r>
        <w:rPr>
          <w:rFonts w:hint="eastAsia" w:ascii="宋体" w:hAnsi="宋体" w:eastAsia="宋体" w:cs="宋体"/>
          <w:sz w:val="24"/>
          <w:u w:val="none"/>
          <w:lang w:val="en-US" w:eastAsia="zh-CN"/>
        </w:rPr>
        <w:t>2.</w:t>
      </w:r>
      <w:r>
        <w:rPr>
          <w:rFonts w:hint="eastAsia" w:ascii="宋体" w:hAnsi="宋体" w:eastAsia="宋体" w:cs="宋体"/>
          <w:sz w:val="24"/>
          <w:u w:val="none"/>
        </w:rPr>
        <w:t>现场响应：用户遇到使用及技术问题，电话咨询不能解决的，成交供应商或厂家应在2小时内采取相应响应措施；无法在4小时内解决的，应在12小时内派出专业人员进行技术支持。</w:t>
      </w:r>
    </w:p>
    <w:p>
      <w:pPr>
        <w:spacing w:line="360" w:lineRule="auto"/>
        <w:ind w:firstLine="480" w:firstLineChars="200"/>
        <w:rPr>
          <w:rFonts w:hint="eastAsia" w:ascii="宋体" w:hAnsi="宋体" w:eastAsia="宋体" w:cs="宋体"/>
          <w:sz w:val="24"/>
          <w:u w:val="none"/>
        </w:rPr>
      </w:pPr>
      <w:r>
        <w:rPr>
          <w:rFonts w:hint="eastAsia" w:ascii="宋体" w:hAnsi="宋体" w:eastAsia="宋体" w:cs="宋体"/>
          <w:sz w:val="24"/>
          <w:u w:val="none"/>
          <w:lang w:val="en-US" w:eastAsia="zh-CN"/>
        </w:rPr>
        <w:t>3.</w:t>
      </w:r>
      <w:r>
        <w:rPr>
          <w:rFonts w:hint="eastAsia" w:ascii="宋体" w:hAnsi="宋体" w:eastAsia="宋体" w:cs="宋体"/>
          <w:sz w:val="24"/>
          <w:u w:val="none"/>
        </w:rPr>
        <w:t>质保期外服务要求：成交供应商和厂家应同样提供免费电话咨询服务，并应承诺提供产品上门维护服务；采购人需要继续由原成交供应商和厂家提供售后服务的，成交供应商和厂家应以优惠价格提供售后服务。</w:t>
      </w:r>
    </w:p>
    <w:p>
      <w:pPr>
        <w:spacing w:line="360" w:lineRule="auto"/>
        <w:ind w:firstLine="480" w:firstLineChars="200"/>
        <w:rPr>
          <w:rFonts w:hint="eastAsia" w:ascii="宋体" w:hAnsi="宋体" w:eastAsia="宋体" w:cs="宋体"/>
          <w:sz w:val="24"/>
          <w:u w:val="none"/>
        </w:rPr>
      </w:pPr>
      <w:r>
        <w:rPr>
          <w:rFonts w:hint="eastAsia" w:ascii="宋体" w:hAnsi="宋体" w:eastAsia="宋体" w:cs="宋体"/>
          <w:sz w:val="24"/>
          <w:u w:val="none"/>
          <w:lang w:val="en-US" w:eastAsia="zh-CN"/>
        </w:rPr>
        <w:t>4.</w:t>
      </w:r>
      <w:r>
        <w:rPr>
          <w:rFonts w:hint="eastAsia" w:ascii="宋体" w:hAnsi="宋体" w:eastAsia="宋体" w:cs="宋体"/>
          <w:sz w:val="24"/>
          <w:u w:val="none"/>
        </w:rPr>
        <w:t xml:space="preserve">培训：供应商应负责免费对采购单位的使用及维护人员进行技术培训并提供相关技术资料。      </w:t>
      </w:r>
    </w:p>
    <w:p>
      <w:pPr>
        <w:spacing w:line="240" w:lineRule="auto"/>
        <w:rPr>
          <w:rFonts w:hint="eastAsia" w:asciiTheme="minorEastAsia" w:hAnsiTheme="minorEastAsia" w:eastAsiaTheme="minorEastAsia" w:cstheme="minorEastAsia"/>
          <w:sz w:val="24"/>
        </w:rPr>
      </w:pPr>
      <w:bookmarkStart w:id="297" w:name="_Toc247085872"/>
      <w:bookmarkStart w:id="298" w:name="_Toc152042575"/>
      <w:bookmarkStart w:id="299" w:name="_Toc152045786"/>
      <w:bookmarkStart w:id="300" w:name="_Toc246997097"/>
      <w:bookmarkStart w:id="301" w:name="_Toc246996354"/>
      <w:bookmarkStart w:id="302" w:name="_Toc144974855"/>
      <w:bookmarkStart w:id="303" w:name="_Toc179632806"/>
    </w:p>
    <w:p>
      <w:pPr>
        <w:pStyle w:val="158"/>
        <w:spacing w:line="360" w:lineRule="auto"/>
        <w:rPr>
          <w:rFonts w:ascii="宋体" w:hAnsi="宋体" w:cs="宋体"/>
          <w:szCs w:val="21"/>
        </w:rPr>
      </w:pPr>
    </w:p>
    <w:p>
      <w:pPr>
        <w:spacing w:line="360" w:lineRule="auto"/>
        <w:jc w:val="center"/>
        <w:rPr>
          <w:rFonts w:ascii="宋体" w:hAnsi="宋体" w:cs="宋体"/>
          <w:b/>
        </w:rPr>
        <w:sectPr>
          <w:footerReference r:id="rId9" w:type="default"/>
          <w:pgSz w:w="11906" w:h="16838"/>
          <w:pgMar w:top="1440" w:right="1800" w:bottom="1440" w:left="1800" w:header="851" w:footer="992" w:gutter="0"/>
          <w:cols w:space="720" w:num="1"/>
          <w:titlePg/>
          <w:docGrid w:type="lines" w:linePitch="312" w:charSpace="0"/>
        </w:sectPr>
      </w:pPr>
      <w:bookmarkStart w:id="304" w:name="_Toc152045782"/>
      <w:bookmarkStart w:id="305" w:name="_Toc144974851"/>
      <w:bookmarkStart w:id="306" w:name="_Toc152042571"/>
      <w:bookmarkStart w:id="307" w:name="_Toc179632800"/>
      <w:bookmarkStart w:id="308" w:name="_Toc247085866"/>
      <w:bookmarkStart w:id="309" w:name="_Toc246997093"/>
      <w:bookmarkStart w:id="310" w:name="_Toc246996350"/>
      <w:bookmarkStart w:id="311" w:name="_Toc247096438"/>
    </w:p>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Pr>
        <w:pStyle w:val="3"/>
        <w:numPr>
          <w:ilvl w:val="0"/>
          <w:numId w:val="6"/>
        </w:numPr>
        <w:spacing w:before="0" w:after="0" w:line="240" w:lineRule="auto"/>
        <w:rPr>
          <w:rFonts w:hint="eastAsia" w:ascii="Times New Roman" w:hAnsi="Times New Roman" w:cs="Times New Roman"/>
        </w:rPr>
      </w:pPr>
      <w:bookmarkStart w:id="312" w:name="_Toc23907"/>
      <w:bookmarkStart w:id="313" w:name="_Toc10980"/>
      <w:bookmarkStart w:id="314" w:name="_Toc17322"/>
      <w:bookmarkStart w:id="315" w:name="_Toc7478"/>
      <w:bookmarkStart w:id="316" w:name="_Toc12617"/>
      <w:bookmarkStart w:id="317" w:name="_Toc1706"/>
      <w:bookmarkStart w:id="318" w:name="_Toc152042576"/>
      <w:bookmarkStart w:id="319" w:name="_Toc246997098"/>
      <w:bookmarkStart w:id="320" w:name="_Toc246996355"/>
      <w:bookmarkStart w:id="321" w:name="_Toc179632807"/>
      <w:bookmarkStart w:id="322" w:name="_Toc152045787"/>
      <w:bookmarkStart w:id="323" w:name="_Toc247085873"/>
      <w:bookmarkStart w:id="324" w:name="_Toc144974856"/>
      <w:bookmarkStart w:id="325" w:name="_Toc507320039"/>
      <w:r>
        <w:rPr>
          <w:rFonts w:hint="eastAsia" w:ascii="Times New Roman" w:hAnsi="Times New Roman" w:cs="Times New Roman"/>
        </w:rPr>
        <w:t xml:space="preserve">  </w:t>
      </w:r>
      <w:bookmarkStart w:id="326" w:name="_Toc5612"/>
      <w:bookmarkStart w:id="327" w:name="_Toc28455"/>
      <w:bookmarkStart w:id="328" w:name="_Toc10560"/>
      <w:bookmarkStart w:id="329" w:name="_Toc756"/>
      <w:r>
        <w:rPr>
          <w:rFonts w:hint="eastAsia" w:ascii="Times New Roman" w:hAnsi="Times New Roman" w:cs="Times New Roman"/>
        </w:rPr>
        <w:t>竞争性比选响应文件格式</w:t>
      </w:r>
      <w:bookmarkEnd w:id="312"/>
      <w:bookmarkEnd w:id="313"/>
      <w:bookmarkEnd w:id="314"/>
      <w:bookmarkEnd w:id="315"/>
      <w:bookmarkEnd w:id="316"/>
      <w:bookmarkEnd w:id="317"/>
      <w:bookmarkEnd w:id="326"/>
      <w:bookmarkEnd w:id="327"/>
      <w:bookmarkEnd w:id="328"/>
      <w:bookmarkEnd w:id="329"/>
    </w:p>
    <w:p>
      <w:pPr>
        <w:spacing w:line="360" w:lineRule="auto"/>
        <w:rPr>
          <w:rFonts w:ascii="宋体" w:hAnsi="宋体" w:cs="宋体"/>
        </w:rPr>
      </w:pPr>
    </w:p>
    <w:p>
      <w:pPr>
        <w:pStyle w:val="158"/>
        <w:spacing w:line="360" w:lineRule="auto"/>
        <w:rPr>
          <w:rFonts w:ascii="宋体" w:hAnsi="宋体" w:cs="宋体"/>
          <w:b/>
          <w:color w:val="auto"/>
          <w:szCs w:val="24"/>
        </w:rPr>
      </w:pPr>
    </w:p>
    <w:p>
      <w:pPr>
        <w:pStyle w:val="158"/>
        <w:spacing w:line="360" w:lineRule="auto"/>
        <w:rPr>
          <w:rFonts w:ascii="宋体" w:hAnsi="宋体" w:cs="宋体"/>
          <w:b/>
          <w:color w:val="auto"/>
          <w:szCs w:val="24"/>
        </w:rPr>
      </w:pPr>
    </w:p>
    <w:p>
      <w:pPr>
        <w:spacing w:line="360" w:lineRule="auto"/>
        <w:jc w:val="left"/>
        <w:rPr>
          <w:rFonts w:ascii="宋体" w:hAnsi="宋体"/>
          <w:b/>
          <w:sz w:val="44"/>
          <w:szCs w:val="32"/>
        </w:rPr>
      </w:pPr>
      <w:r>
        <w:rPr>
          <w:rFonts w:hint="eastAsia" w:asciiTheme="minorEastAsia" w:hAnsiTheme="minorEastAsia" w:eastAsiaTheme="minorEastAsia"/>
          <w:bCs/>
          <w:sz w:val="32"/>
          <w:szCs w:val="32"/>
        </w:rPr>
        <w:t>项目名称：</w:t>
      </w:r>
      <w:r>
        <w:rPr>
          <w:rFonts w:hint="eastAsia" w:cs="Times New Roman" w:asciiTheme="minorEastAsia" w:hAnsiTheme="minorEastAsia" w:eastAsiaTheme="minorEastAsia"/>
          <w:b/>
          <w:sz w:val="32"/>
          <w:szCs w:val="32"/>
          <w:u w:val="single"/>
          <w:lang w:val="en-US" w:eastAsia="zh-CN"/>
        </w:rPr>
        <w:t>重庆</w:t>
      </w:r>
      <w:r>
        <w:rPr>
          <w:rFonts w:hint="eastAsia" w:cs="Times New Roman" w:asciiTheme="minorEastAsia" w:hAnsiTheme="minorEastAsia" w:eastAsiaTheme="minorEastAsia"/>
          <w:b/>
          <w:sz w:val="32"/>
          <w:szCs w:val="32"/>
          <w:u w:val="single"/>
        </w:rPr>
        <w:t>成渝</w:t>
      </w:r>
      <w:r>
        <w:rPr>
          <w:rFonts w:hint="eastAsia" w:asciiTheme="minorEastAsia" w:hAnsiTheme="minorEastAsia" w:eastAsiaTheme="minorEastAsia"/>
          <w:b/>
          <w:sz w:val="32"/>
          <w:szCs w:val="32"/>
          <w:u w:val="single"/>
        </w:rPr>
        <w:t>垫丰武</w:t>
      </w:r>
      <w:r>
        <w:rPr>
          <w:rFonts w:hint="eastAsia" w:asciiTheme="minorEastAsia" w:hAnsiTheme="minorEastAsia" w:eastAsiaTheme="minorEastAsia"/>
          <w:b/>
          <w:sz w:val="32"/>
          <w:szCs w:val="32"/>
          <w:u w:val="single"/>
          <w:lang w:val="en-US" w:eastAsia="zh-CN"/>
        </w:rPr>
        <w:t>高速公路有限</w:t>
      </w:r>
      <w:r>
        <w:rPr>
          <w:rFonts w:hint="eastAsia" w:asciiTheme="minorEastAsia" w:hAnsiTheme="minorEastAsia" w:eastAsiaTheme="minorEastAsia"/>
          <w:b/>
          <w:sz w:val="32"/>
          <w:szCs w:val="32"/>
          <w:u w:val="single"/>
        </w:rPr>
        <w:t>公司</w:t>
      </w:r>
      <w:r>
        <w:rPr>
          <w:rFonts w:hint="eastAsia" w:asciiTheme="minorEastAsia" w:hAnsiTheme="minorEastAsia" w:eastAsiaTheme="minorEastAsia"/>
          <w:b/>
          <w:sz w:val="32"/>
          <w:szCs w:val="32"/>
          <w:u w:val="single"/>
          <w:lang w:eastAsia="zh-CN"/>
        </w:rPr>
        <w:t>白市驿、垫江、丰都、武隆驻点</w:t>
      </w:r>
      <w:r>
        <w:rPr>
          <w:rFonts w:hint="eastAsia" w:asciiTheme="minorEastAsia" w:hAnsiTheme="minorEastAsia" w:eastAsiaTheme="minorEastAsia"/>
          <w:b/>
          <w:sz w:val="32"/>
          <w:szCs w:val="32"/>
          <w:u w:val="single"/>
        </w:rPr>
        <w:t>办公家具采购</w:t>
      </w:r>
    </w:p>
    <w:p>
      <w:pPr>
        <w:pStyle w:val="15"/>
      </w:pPr>
    </w:p>
    <w:p>
      <w:pPr>
        <w:pStyle w:val="51"/>
      </w:pPr>
    </w:p>
    <w:p/>
    <w:p>
      <w:pPr>
        <w:spacing w:line="360" w:lineRule="auto"/>
        <w:jc w:val="distribute"/>
        <w:rPr>
          <w:rFonts w:ascii="宋体"/>
          <w:b/>
          <w:spacing w:val="80"/>
          <w:sz w:val="130"/>
          <w:szCs w:val="130"/>
        </w:rPr>
      </w:pPr>
      <w:r>
        <w:rPr>
          <w:rFonts w:hint="eastAsia" w:ascii="宋体"/>
          <w:b/>
          <w:spacing w:val="80"/>
          <w:sz w:val="130"/>
          <w:szCs w:val="130"/>
        </w:rPr>
        <w:t>竞选文件</w:t>
      </w:r>
    </w:p>
    <w:p>
      <w:pPr>
        <w:spacing w:line="360" w:lineRule="auto"/>
        <w:rPr>
          <w:b/>
          <w:sz w:val="36"/>
          <w:szCs w:val="15"/>
        </w:rPr>
      </w:pPr>
    </w:p>
    <w:p>
      <w:pPr>
        <w:spacing w:line="360" w:lineRule="auto"/>
        <w:rPr>
          <w:b/>
          <w:sz w:val="36"/>
          <w:szCs w:val="15"/>
        </w:rPr>
      </w:pPr>
    </w:p>
    <w:p>
      <w:pPr>
        <w:spacing w:line="360" w:lineRule="auto"/>
        <w:rPr>
          <w:b/>
          <w:sz w:val="36"/>
          <w:szCs w:val="15"/>
        </w:rPr>
      </w:pPr>
    </w:p>
    <w:p>
      <w:pPr>
        <w:spacing w:line="360" w:lineRule="auto"/>
        <w:rPr>
          <w:b/>
          <w:sz w:val="36"/>
          <w:szCs w:val="15"/>
        </w:rPr>
      </w:pPr>
    </w:p>
    <w:p>
      <w:pPr>
        <w:spacing w:line="360" w:lineRule="auto"/>
        <w:rPr>
          <w:b/>
          <w:sz w:val="36"/>
          <w:szCs w:val="15"/>
        </w:rPr>
      </w:pPr>
    </w:p>
    <w:p>
      <w:pPr>
        <w:spacing w:line="360" w:lineRule="auto"/>
        <w:rPr>
          <w:b/>
          <w:sz w:val="36"/>
          <w:szCs w:val="15"/>
        </w:rPr>
      </w:pPr>
    </w:p>
    <w:p>
      <w:pPr>
        <w:spacing w:line="360" w:lineRule="auto"/>
        <w:jc w:val="center"/>
        <w:rPr>
          <w:rFonts w:asciiTheme="minorEastAsia" w:hAnsiTheme="minorEastAsia" w:eastAsiaTheme="minorEastAsia"/>
          <w:b/>
          <w:sz w:val="32"/>
          <w:szCs w:val="32"/>
        </w:rPr>
      </w:pPr>
    </w:p>
    <w:p>
      <w:pPr>
        <w:spacing w:line="360" w:lineRule="auto"/>
        <w:ind w:firstLine="1984" w:firstLineChars="620"/>
        <w:jc w:val="left"/>
        <w:rPr>
          <w:rFonts w:asciiTheme="minorEastAsia" w:hAnsiTheme="minorEastAsia" w:eastAsiaTheme="minorEastAsia"/>
          <w:b/>
          <w:sz w:val="32"/>
          <w:szCs w:val="32"/>
          <w:u w:val="single"/>
        </w:rPr>
      </w:pPr>
      <w:r>
        <w:rPr>
          <w:rFonts w:hint="eastAsia" w:asciiTheme="minorEastAsia" w:hAnsiTheme="minorEastAsia" w:eastAsiaTheme="minorEastAsia"/>
          <w:bCs/>
          <w:sz w:val="32"/>
          <w:szCs w:val="32"/>
          <w:lang w:val="en-US" w:eastAsia="zh-CN"/>
        </w:rPr>
        <w:t>投标人</w:t>
      </w:r>
      <w:r>
        <w:rPr>
          <w:rFonts w:hint="eastAsia" w:asciiTheme="minorEastAsia" w:hAnsiTheme="minorEastAsia" w:eastAsiaTheme="minorEastAsia"/>
          <w:bCs/>
          <w:sz w:val="32"/>
          <w:szCs w:val="32"/>
        </w:rPr>
        <w:t>名称（盖章）：</w:t>
      </w:r>
    </w:p>
    <w:p>
      <w:pPr>
        <w:spacing w:line="360" w:lineRule="auto"/>
        <w:ind w:firstLine="1992" w:firstLineChars="620"/>
        <w:jc w:val="left"/>
        <w:rPr>
          <w:rFonts w:asciiTheme="minorEastAsia" w:hAnsiTheme="minorEastAsia" w:eastAsiaTheme="minorEastAsia"/>
          <w:b/>
          <w:sz w:val="32"/>
          <w:szCs w:val="32"/>
          <w:u w:val="single"/>
        </w:rPr>
      </w:pPr>
    </w:p>
    <w:p>
      <w:pPr>
        <w:spacing w:line="360" w:lineRule="auto"/>
        <w:ind w:firstLine="1984" w:firstLineChars="620"/>
        <w:jc w:val="left"/>
        <w:rPr>
          <w:rFonts w:asciiTheme="minorEastAsia" w:hAnsiTheme="minorEastAsia" w:eastAsiaTheme="minorEastAsia"/>
          <w:sz w:val="32"/>
          <w:szCs w:val="32"/>
        </w:rPr>
      </w:pPr>
      <w:r>
        <w:rPr>
          <w:rFonts w:asciiTheme="minorEastAsia" w:hAnsiTheme="minorEastAsia" w:eastAsiaTheme="minorEastAsia"/>
          <w:sz w:val="32"/>
          <w:szCs w:val="32"/>
        </w:rPr>
        <w:t>年</w:t>
      </w:r>
      <w:r>
        <w:rPr>
          <w:rFonts w:asciiTheme="minorEastAsia" w:hAnsiTheme="minorEastAsia" w:eastAsiaTheme="minorEastAsia"/>
          <w:sz w:val="32"/>
          <w:szCs w:val="32"/>
          <w:u w:val="single"/>
        </w:rPr>
        <w:t xml:space="preserve">        </w:t>
      </w:r>
      <w:r>
        <w:rPr>
          <w:rFonts w:asciiTheme="minorEastAsia" w:hAnsiTheme="minorEastAsia" w:eastAsiaTheme="minorEastAsia"/>
          <w:sz w:val="32"/>
          <w:szCs w:val="32"/>
        </w:rPr>
        <w:t>月</w:t>
      </w:r>
      <w:r>
        <w:rPr>
          <w:rFonts w:asciiTheme="minorEastAsia" w:hAnsiTheme="minorEastAsia" w:eastAsiaTheme="minorEastAsia"/>
          <w:sz w:val="32"/>
          <w:szCs w:val="32"/>
          <w:u w:val="single"/>
        </w:rPr>
        <w:t xml:space="preserve">        </w:t>
      </w:r>
      <w:r>
        <w:rPr>
          <w:rFonts w:asciiTheme="minorEastAsia" w:hAnsiTheme="minorEastAsia" w:eastAsiaTheme="minorEastAsia"/>
          <w:sz w:val="32"/>
          <w:szCs w:val="32"/>
        </w:rPr>
        <w:t>日</w:t>
      </w:r>
    </w:p>
    <w:p>
      <w:pPr>
        <w:pStyle w:val="15"/>
      </w:pPr>
      <w:r>
        <w:br w:type="page"/>
      </w:r>
    </w:p>
    <w:p>
      <w:pPr>
        <w:spacing w:line="360" w:lineRule="auto"/>
        <w:jc w:val="center"/>
        <w:rPr>
          <w:rFonts w:ascii="宋体" w:hAnsi="宋体"/>
          <w:b/>
          <w:bCs/>
          <w:color w:val="000000" w:themeColor="text1"/>
          <w:sz w:val="36"/>
          <w:szCs w:val="36"/>
          <w14:textFill>
            <w14:solidFill>
              <w14:schemeClr w14:val="tx1"/>
            </w14:solidFill>
          </w14:textFill>
        </w:rPr>
      </w:pPr>
      <w:r>
        <w:rPr>
          <w:rFonts w:hint="eastAsia" w:ascii="宋体" w:hAnsi="宋体" w:cs="宋体"/>
          <w:b/>
          <w:sz w:val="28"/>
        </w:rPr>
        <w:t>目录</w:t>
      </w:r>
    </w:p>
    <w:p>
      <w:pPr>
        <w:pStyle w:val="20"/>
        <w:spacing w:line="360" w:lineRule="auto"/>
        <w:jc w:val="center"/>
      </w:pPr>
      <w:r>
        <w:rPr>
          <w:rFonts w:hint="eastAsia" w:ascii="Times New Roman" w:hAnsi="Times New Roman"/>
          <w:b/>
          <w:kern w:val="2"/>
          <w:sz w:val="28"/>
          <w:szCs w:val="24"/>
        </w:rPr>
        <w:t>自定格式</w:t>
      </w:r>
    </w:p>
    <w:p>
      <w:pPr>
        <w:spacing w:line="360" w:lineRule="auto"/>
        <w:rPr>
          <w:b/>
          <w:sz w:val="28"/>
        </w:rPr>
      </w:pPr>
    </w:p>
    <w:p>
      <w:pPr>
        <w:pStyle w:val="20"/>
        <w:spacing w:line="360" w:lineRule="auto"/>
      </w:pPr>
    </w:p>
    <w:p>
      <w:pPr>
        <w:spacing w:line="360" w:lineRule="auto"/>
        <w:rPr>
          <w:b/>
          <w:sz w:val="28"/>
        </w:rPr>
      </w:pPr>
    </w:p>
    <w:p>
      <w:pPr>
        <w:pStyle w:val="15"/>
        <w:spacing w:line="360" w:lineRule="auto"/>
        <w:rPr>
          <w:b/>
          <w:sz w:val="28"/>
        </w:rPr>
      </w:pPr>
    </w:p>
    <w:p>
      <w:pPr>
        <w:pStyle w:val="51"/>
        <w:spacing w:line="360" w:lineRule="auto"/>
        <w:rPr>
          <w:b/>
          <w:sz w:val="28"/>
        </w:rPr>
      </w:pPr>
    </w:p>
    <w:p>
      <w:pPr>
        <w:spacing w:line="360" w:lineRule="auto"/>
      </w:pPr>
    </w:p>
    <w:p>
      <w:pPr>
        <w:widowControl/>
        <w:spacing w:line="360" w:lineRule="auto"/>
        <w:jc w:val="left"/>
        <w:rPr>
          <w:b/>
          <w:sz w:val="28"/>
        </w:rPr>
      </w:pPr>
      <w:r>
        <w:rPr>
          <w:b/>
          <w:sz w:val="28"/>
        </w:rPr>
        <w:br w:type="page"/>
      </w:r>
    </w:p>
    <w:p>
      <w:pPr>
        <w:pStyle w:val="5"/>
      </w:pPr>
      <w:bookmarkStart w:id="330" w:name="_Toc23075"/>
      <w:bookmarkStart w:id="331" w:name="_Toc14262"/>
      <w:bookmarkStart w:id="332" w:name="_Toc12415"/>
      <w:bookmarkStart w:id="333" w:name="_Toc18115"/>
      <w:bookmarkStart w:id="334" w:name="_Toc8062"/>
      <w:bookmarkStart w:id="335" w:name="_Toc14704"/>
      <w:bookmarkStart w:id="336" w:name="_Toc21200"/>
      <w:bookmarkStart w:id="337" w:name="_Toc16132"/>
      <w:bookmarkStart w:id="338" w:name="_Toc31803"/>
      <w:bookmarkStart w:id="339" w:name="_Toc10783"/>
      <w:r>
        <w:rPr>
          <w:rFonts w:hint="eastAsia"/>
          <w:lang w:val="en-US" w:eastAsia="zh-CN"/>
        </w:rPr>
        <w:t>一、报价函</w:t>
      </w:r>
      <w:bookmarkEnd w:id="330"/>
      <w:bookmarkEnd w:id="331"/>
      <w:bookmarkEnd w:id="332"/>
      <w:bookmarkEnd w:id="333"/>
      <w:bookmarkEnd w:id="334"/>
      <w:bookmarkEnd w:id="335"/>
      <w:bookmarkEnd w:id="336"/>
      <w:bookmarkEnd w:id="337"/>
      <w:bookmarkEnd w:id="338"/>
      <w:bookmarkEnd w:id="339"/>
    </w:p>
    <w:p>
      <w:pPr>
        <w:spacing w:after="120" w:line="360" w:lineRule="auto"/>
        <w:rPr>
          <w:rFonts w:hint="eastAsia" w:ascii="宋体" w:hAnsi="宋体" w:eastAsia="宋体"/>
          <w:szCs w:val="21"/>
          <w:u w:val="single"/>
          <w:lang w:eastAsia="zh-CN"/>
        </w:rPr>
      </w:pPr>
      <w:r>
        <w:rPr>
          <w:rFonts w:hint="eastAsia" w:ascii="宋体" w:hAnsi="宋体" w:cs="宋体"/>
          <w:szCs w:val="21"/>
        </w:rPr>
        <w:t>致：</w:t>
      </w:r>
      <w:r>
        <w:rPr>
          <w:rFonts w:hint="eastAsia" w:ascii="宋体" w:hAnsi="宋体" w:cs="宋体"/>
          <w:szCs w:val="21"/>
          <w:u w:val="single"/>
          <w:lang w:eastAsia="zh-CN"/>
        </w:rPr>
        <w:t>重庆成渝垫丰武高速公路有限公司</w:t>
      </w:r>
    </w:p>
    <w:p>
      <w:pPr>
        <w:numPr>
          <w:ilvl w:val="0"/>
          <w:numId w:val="10"/>
        </w:numPr>
        <w:spacing w:line="360" w:lineRule="auto"/>
        <w:ind w:firstLine="420" w:firstLineChars="200"/>
        <w:rPr>
          <w:color w:val="000000"/>
          <w:szCs w:val="21"/>
        </w:rPr>
      </w:pPr>
      <w:r>
        <w:rPr>
          <w:szCs w:val="21"/>
        </w:rPr>
        <w:t>我方已仔细研究了</w:t>
      </w:r>
      <w:r>
        <w:rPr>
          <w:rFonts w:hint="eastAsia" w:ascii="宋体" w:hAnsi="宋体"/>
          <w:b/>
          <w:bCs/>
          <w:szCs w:val="21"/>
          <w:u w:val="single"/>
        </w:rPr>
        <w:t>重庆成渝垫丰武高速公路有限公司</w:t>
      </w:r>
      <w:r>
        <w:rPr>
          <w:rFonts w:hint="eastAsia" w:ascii="宋体" w:hAnsi="宋体"/>
          <w:b/>
          <w:bCs/>
          <w:szCs w:val="21"/>
          <w:u w:val="single"/>
          <w:lang w:eastAsia="zh-CN"/>
        </w:rPr>
        <w:t>白市驿、垫江、丰都、武隆驻点</w:t>
      </w:r>
      <w:r>
        <w:rPr>
          <w:rFonts w:hint="eastAsia" w:ascii="宋体" w:hAnsi="宋体"/>
          <w:b/>
          <w:bCs/>
          <w:szCs w:val="21"/>
          <w:u w:val="single"/>
        </w:rPr>
        <w:t>办公家具采购</w:t>
      </w:r>
      <w:r>
        <w:rPr>
          <w:rFonts w:hint="eastAsia"/>
          <w:szCs w:val="21"/>
        </w:rPr>
        <w:t>竞争性比选</w:t>
      </w:r>
      <w:r>
        <w:rPr>
          <w:szCs w:val="21"/>
        </w:rPr>
        <w:t>文件的全部内容，</w:t>
      </w:r>
      <w:r>
        <w:rPr>
          <w:rFonts w:hint="eastAsia"/>
          <w:szCs w:val="21"/>
        </w:rPr>
        <w:t>根据相关取费标准，愿意以报价</w:t>
      </w:r>
      <w:r>
        <w:rPr>
          <w:rFonts w:hint="eastAsia"/>
          <w:szCs w:val="21"/>
          <w:u w:val="single"/>
        </w:rPr>
        <w:t xml:space="preserve">     </w:t>
      </w:r>
      <w:r>
        <w:rPr>
          <w:szCs w:val="21"/>
          <w:u w:val="single"/>
        </w:rPr>
        <w:t xml:space="preserve"> </w:t>
      </w:r>
      <w:r>
        <w:rPr>
          <w:rFonts w:hint="eastAsia"/>
          <w:szCs w:val="21"/>
          <w:u w:val="single"/>
        </w:rPr>
        <w:t xml:space="preserve"> 元（大写：    ）</w:t>
      </w:r>
      <w:r>
        <w:rPr>
          <w:rFonts w:hint="eastAsia"/>
          <w:szCs w:val="21"/>
        </w:rPr>
        <w:t>作为总报价，</w:t>
      </w:r>
      <w:r>
        <w:rPr>
          <w:rFonts w:hint="eastAsia"/>
          <w:color w:val="000000"/>
          <w:szCs w:val="21"/>
        </w:rPr>
        <w:t>完成比选文件规定的所有工作及供货任务</w:t>
      </w:r>
      <w:r>
        <w:rPr>
          <w:color w:val="000000"/>
          <w:szCs w:val="21"/>
        </w:rPr>
        <w:t>。</w:t>
      </w:r>
    </w:p>
    <w:p>
      <w:pPr>
        <w:numPr>
          <w:ilvl w:val="0"/>
          <w:numId w:val="10"/>
        </w:numPr>
        <w:spacing w:line="360" w:lineRule="auto"/>
        <w:ind w:firstLine="420" w:firstLineChars="200"/>
        <w:rPr>
          <w:szCs w:val="21"/>
        </w:rPr>
      </w:pPr>
      <w:r>
        <w:rPr>
          <w:szCs w:val="21"/>
        </w:rPr>
        <w:t>我方承诺在投标有效期内不修改、撤销</w:t>
      </w:r>
      <w:r>
        <w:rPr>
          <w:rFonts w:hint="eastAsia"/>
          <w:szCs w:val="21"/>
        </w:rPr>
        <w:t>竞争性比选响应文件</w:t>
      </w:r>
      <w:r>
        <w:rPr>
          <w:szCs w:val="21"/>
        </w:rPr>
        <w:t>。</w:t>
      </w:r>
    </w:p>
    <w:p>
      <w:pPr>
        <w:spacing w:line="360" w:lineRule="auto"/>
        <w:ind w:firstLine="420" w:firstLineChars="200"/>
        <w:rPr>
          <w:szCs w:val="21"/>
        </w:rPr>
      </w:pPr>
      <w:r>
        <w:rPr>
          <w:szCs w:val="21"/>
        </w:rPr>
        <w:t>3．</w:t>
      </w:r>
      <w:r>
        <w:rPr>
          <w:rFonts w:hint="eastAsia"/>
          <w:szCs w:val="21"/>
        </w:rPr>
        <w:t>我方在此声明，所递交的竞争性比选响应文件及有关资料内容完整、真实和准确。</w:t>
      </w:r>
    </w:p>
    <w:p>
      <w:pPr>
        <w:spacing w:line="360" w:lineRule="auto"/>
        <w:ind w:firstLine="420" w:firstLineChars="200"/>
        <w:rPr>
          <w:szCs w:val="21"/>
        </w:rPr>
      </w:pPr>
      <w:r>
        <w:rPr>
          <w:szCs w:val="21"/>
        </w:rPr>
        <w:t>4</w:t>
      </w:r>
      <w:r>
        <w:rPr>
          <w:rFonts w:hint="eastAsia"/>
          <w:szCs w:val="21"/>
        </w:rPr>
        <w:t>．在合同协议书正式签署生效之前，本报价书连同你方的成交通知书将构成我们双方之间共同遵守的文件，对双方具有约束力。</w:t>
      </w:r>
    </w:p>
    <w:p>
      <w:pPr>
        <w:spacing w:line="360" w:lineRule="auto"/>
        <w:rPr>
          <w:rFonts w:ascii="宋体" w:hAnsi="宋体"/>
          <w:spacing w:val="6"/>
          <w:szCs w:val="21"/>
        </w:rPr>
      </w:pPr>
    </w:p>
    <w:p>
      <w:pPr>
        <w:spacing w:line="360" w:lineRule="auto"/>
        <w:rPr>
          <w:rFonts w:ascii="宋体" w:hAnsi="宋体"/>
          <w:spacing w:val="6"/>
          <w:szCs w:val="21"/>
        </w:rPr>
      </w:pPr>
    </w:p>
    <w:p>
      <w:pPr>
        <w:spacing w:after="120" w:line="360" w:lineRule="auto"/>
        <w:ind w:firstLine="2730" w:firstLineChars="1300"/>
        <w:rPr>
          <w:rFonts w:ascii="宋体" w:hAnsi="宋体"/>
          <w:szCs w:val="21"/>
        </w:rPr>
      </w:pPr>
      <w:r>
        <w:rPr>
          <w:rFonts w:hint="eastAsia" w:ascii="宋体" w:hAnsi="宋体" w:cs="宋体"/>
          <w:szCs w:val="21"/>
        </w:rPr>
        <w:t>比选人</w:t>
      </w:r>
      <w:r>
        <w:rPr>
          <w:rFonts w:hint="eastAsia" w:ascii="宋体" w:hAnsi="宋体" w:cs="宋体"/>
          <w:szCs w:val="21"/>
          <w:u w:val="single"/>
        </w:rPr>
        <w:t>（盖章）</w:t>
      </w:r>
      <w:r>
        <w:rPr>
          <w:rFonts w:hint="eastAsia" w:ascii="宋体" w:hAnsi="宋体" w:cs="宋体"/>
          <w:szCs w:val="21"/>
        </w:rPr>
        <w:t>：</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u w:val="single"/>
        </w:rPr>
        <w:t xml:space="preserve">      </w:t>
      </w:r>
    </w:p>
    <w:p>
      <w:pPr>
        <w:spacing w:after="120" w:line="360" w:lineRule="auto"/>
        <w:ind w:firstLine="2730" w:firstLineChars="1300"/>
        <w:rPr>
          <w:rFonts w:ascii="宋体" w:hAnsi="宋体" w:cs="宋体"/>
          <w:szCs w:val="21"/>
        </w:rPr>
      </w:pPr>
      <w:r>
        <w:rPr>
          <w:rFonts w:hint="eastAsia" w:ascii="宋体" w:hAnsi="宋体" w:cs="宋体"/>
          <w:szCs w:val="21"/>
        </w:rPr>
        <w:t>法定代表人或</w:t>
      </w:r>
    </w:p>
    <w:p>
      <w:pPr>
        <w:spacing w:after="120" w:line="360" w:lineRule="auto"/>
        <w:ind w:firstLine="2730" w:firstLineChars="1300"/>
        <w:rPr>
          <w:rFonts w:ascii="宋体" w:hAnsi="宋体"/>
          <w:szCs w:val="21"/>
        </w:rPr>
      </w:pPr>
      <w:r>
        <w:rPr>
          <w:rFonts w:hint="eastAsia" w:ascii="宋体" w:hAnsi="宋体" w:cs="宋体"/>
          <w:szCs w:val="21"/>
        </w:rPr>
        <w:t>其授权代表</w:t>
      </w:r>
      <w:r>
        <w:rPr>
          <w:rFonts w:hint="eastAsia" w:ascii="宋体" w:hAnsi="宋体" w:cs="宋体"/>
          <w:szCs w:val="21"/>
          <w:u w:val="single"/>
        </w:rPr>
        <w:t>（签字）</w:t>
      </w:r>
      <w:r>
        <w:rPr>
          <w:rFonts w:hint="eastAsia" w:ascii="宋体" w:hAnsi="宋体" w:cs="宋体"/>
          <w:szCs w:val="21"/>
        </w:rPr>
        <w:t>：</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u w:val="single"/>
        </w:rPr>
        <w:t xml:space="preserve"> </w:t>
      </w:r>
      <w:r>
        <w:rPr>
          <w:rFonts w:ascii="宋体" w:hAnsi="宋体" w:cs="宋体"/>
          <w:szCs w:val="21"/>
        </w:rPr>
        <w:t xml:space="preserve">        </w:t>
      </w:r>
    </w:p>
    <w:p>
      <w:pPr>
        <w:spacing w:line="360" w:lineRule="auto"/>
        <w:rPr>
          <w:szCs w:val="21"/>
        </w:rPr>
      </w:pPr>
      <w:r>
        <w:rPr>
          <w:rFonts w:ascii="宋体" w:hAnsi="宋体" w:cs="宋体"/>
          <w:szCs w:val="21"/>
        </w:rPr>
        <w:t xml:space="preserve">                      </w:t>
      </w:r>
      <w:r>
        <w:rPr>
          <w:rFonts w:hint="eastAsia" w:ascii="宋体" w:hAnsi="宋体" w:cs="宋体"/>
          <w:szCs w:val="21"/>
        </w:rPr>
        <w:t xml:space="preserve">    日期：</w:t>
      </w:r>
      <w:r>
        <w:rPr>
          <w:rFonts w:ascii="宋体" w:hAnsi="宋体" w:cs="宋体"/>
          <w:szCs w:val="21"/>
          <w:u w:val="single"/>
        </w:rPr>
        <w:t xml:space="preserve">                </w:t>
      </w:r>
    </w:p>
    <w:p>
      <w:pPr>
        <w:pStyle w:val="20"/>
        <w:spacing w:line="360" w:lineRule="auto"/>
      </w:pPr>
      <w:r>
        <w:rPr>
          <w:rFonts w:hint="eastAsia"/>
        </w:rPr>
        <w:tab/>
      </w:r>
    </w:p>
    <w:p>
      <w:pPr>
        <w:widowControl/>
        <w:jc w:val="left"/>
        <w:rPr>
          <w:rFonts w:ascii="宋体" w:hAnsi="宋体" w:cs="宋体"/>
          <w:b/>
          <w:sz w:val="32"/>
        </w:rPr>
      </w:pPr>
      <w:r>
        <w:rPr>
          <w:rFonts w:ascii="宋体" w:hAnsi="宋体" w:cs="宋体"/>
          <w:b/>
          <w:sz w:val="32"/>
        </w:rPr>
        <w:br w:type="page"/>
      </w:r>
    </w:p>
    <w:p>
      <w:pPr>
        <w:pStyle w:val="5"/>
        <w:numPr>
          <w:ilvl w:val="0"/>
          <w:numId w:val="11"/>
        </w:numPr>
        <w:jc w:val="center"/>
        <w:rPr>
          <w:rFonts w:hint="eastAsia" w:ascii="Times New Roman" w:hAnsi="Times New Roman" w:eastAsia="宋体" w:cs="Times New Roman"/>
          <w:b/>
          <w:sz w:val="30"/>
          <w:lang w:val="en-US" w:eastAsia="zh-CN"/>
        </w:rPr>
      </w:pPr>
      <w:bookmarkStart w:id="340" w:name="_Toc20335"/>
      <w:bookmarkStart w:id="341" w:name="_Toc20693"/>
      <w:bookmarkStart w:id="342" w:name="_Toc24607"/>
      <w:bookmarkStart w:id="343" w:name="_Toc29856"/>
      <w:bookmarkStart w:id="344" w:name="_Toc16777"/>
      <w:bookmarkStart w:id="345" w:name="_Toc27041"/>
      <w:r>
        <w:rPr>
          <w:rFonts w:hint="eastAsia" w:ascii="Times New Roman" w:hAnsi="Times New Roman" w:eastAsia="宋体" w:cs="Times New Roman"/>
          <w:b/>
          <w:sz w:val="30"/>
          <w:lang w:val="en-US" w:eastAsia="zh-CN"/>
        </w:rPr>
        <w:t>报价</w:t>
      </w:r>
      <w:bookmarkEnd w:id="340"/>
      <w:bookmarkEnd w:id="341"/>
      <w:bookmarkEnd w:id="342"/>
      <w:bookmarkEnd w:id="343"/>
      <w:bookmarkEnd w:id="344"/>
      <w:bookmarkEnd w:id="345"/>
    </w:p>
    <w:p>
      <w:pPr>
        <w:pStyle w:val="5"/>
        <w:spacing w:line="360" w:lineRule="auto"/>
        <w:ind w:left="-2" w:hanging="2"/>
        <w:jc w:val="center"/>
        <w:rPr>
          <w:rFonts w:hint="eastAsia" w:ascii="宋体" w:hAnsi="宋体" w:eastAsia="宋体" w:cs="宋体"/>
          <w:b/>
          <w:bCs w:val="0"/>
          <w:color w:val="000000" w:themeColor="text1"/>
          <w:sz w:val="32"/>
          <w:szCs w:val="32"/>
          <w14:textFill>
            <w14:solidFill>
              <w14:schemeClr w14:val="tx1"/>
            </w14:solidFill>
          </w14:textFill>
        </w:rPr>
      </w:pPr>
      <w:bookmarkStart w:id="346" w:name="_Toc11416"/>
      <w:bookmarkStart w:id="347" w:name="_Toc24319"/>
      <w:bookmarkStart w:id="348" w:name="_Toc9361"/>
      <w:bookmarkStart w:id="349" w:name="_Toc25171"/>
      <w:bookmarkStart w:id="350" w:name="_Toc4124"/>
      <w:r>
        <w:rPr>
          <w:rFonts w:hint="eastAsia" w:ascii="宋体" w:hAnsi="宋体" w:eastAsia="宋体" w:cs="宋体"/>
          <w:b/>
          <w:bCs w:val="0"/>
          <w:color w:val="000000" w:themeColor="text1"/>
          <w:sz w:val="32"/>
          <w:szCs w:val="32"/>
          <w:lang w:eastAsia="zh-CN"/>
          <w14:textFill>
            <w14:solidFill>
              <w14:schemeClr w14:val="tx1"/>
            </w14:solidFill>
          </w14:textFill>
        </w:rPr>
        <w:t>（</w:t>
      </w:r>
      <w:r>
        <w:rPr>
          <w:rFonts w:hint="eastAsia" w:ascii="宋体" w:hAnsi="宋体" w:eastAsia="宋体" w:cs="宋体"/>
          <w:b/>
          <w:bCs w:val="0"/>
          <w:color w:val="000000" w:themeColor="text1"/>
          <w:sz w:val="32"/>
          <w:szCs w:val="32"/>
          <w:lang w:val="en-US" w:eastAsia="zh-CN"/>
          <w14:textFill>
            <w14:solidFill>
              <w14:schemeClr w14:val="tx1"/>
            </w14:solidFill>
          </w14:textFill>
        </w:rPr>
        <w:t>一</w:t>
      </w:r>
      <w:r>
        <w:rPr>
          <w:rFonts w:hint="eastAsia" w:ascii="宋体" w:hAnsi="宋体" w:eastAsia="宋体" w:cs="宋体"/>
          <w:b/>
          <w:bCs w:val="0"/>
          <w:color w:val="000000" w:themeColor="text1"/>
          <w:sz w:val="32"/>
          <w:szCs w:val="32"/>
          <w:lang w:eastAsia="zh-CN"/>
          <w14:textFill>
            <w14:solidFill>
              <w14:schemeClr w14:val="tx1"/>
            </w14:solidFill>
          </w14:textFill>
        </w:rPr>
        <w:t>）</w:t>
      </w:r>
      <w:r>
        <w:rPr>
          <w:rFonts w:hint="eastAsia" w:ascii="宋体" w:hAnsi="宋体" w:eastAsia="宋体" w:cs="宋体"/>
          <w:b/>
          <w:bCs w:val="0"/>
          <w:color w:val="000000" w:themeColor="text1"/>
          <w:sz w:val="32"/>
          <w:szCs w:val="32"/>
          <w14:textFill>
            <w14:solidFill>
              <w14:schemeClr w14:val="tx1"/>
            </w14:solidFill>
          </w14:textFill>
        </w:rPr>
        <w:t>开标一览表</w:t>
      </w:r>
      <w:bookmarkEnd w:id="346"/>
      <w:bookmarkEnd w:id="347"/>
      <w:bookmarkEnd w:id="348"/>
      <w:bookmarkEnd w:id="349"/>
      <w:bookmarkEnd w:id="350"/>
      <w:r>
        <w:rPr>
          <w:rFonts w:hint="eastAsia" w:ascii="宋体" w:hAnsi="宋体" w:eastAsia="宋体" w:cs="宋体"/>
          <w:b/>
          <w:bCs w:val="0"/>
          <w:color w:val="000000" w:themeColor="text1"/>
          <w:sz w:val="32"/>
          <w:szCs w:val="32"/>
          <w14:textFill>
            <w14:solidFill>
              <w14:schemeClr w14:val="tx1"/>
            </w14:solidFill>
          </w14:textFill>
        </w:rPr>
        <w:t xml:space="preserve"> </w:t>
      </w:r>
    </w:p>
    <w:p>
      <w:pPr>
        <w:pStyle w:val="158"/>
        <w:numPr>
          <w:ilvl w:val="0"/>
          <w:numId w:val="0"/>
        </w:numPr>
        <w:rPr>
          <w:rFonts w:hAnsi="宋体"/>
          <w:color w:val="000000" w:themeColor="text1"/>
          <w:sz w:val="24"/>
          <w14:textFill>
            <w14:solidFill>
              <w14:schemeClr w14:val="tx1"/>
            </w14:solidFill>
          </w14:textFill>
        </w:rPr>
      </w:pPr>
      <w:r>
        <w:rPr>
          <w:rFonts w:hint="eastAsia" w:ascii="Times New Roman" w:hAnsi="Times New Roman" w:eastAsia="宋体" w:cs="Times New Roman"/>
          <w:b w:val="0"/>
          <w:color w:val="auto"/>
          <w:kern w:val="2"/>
          <w:sz w:val="21"/>
          <w:szCs w:val="21"/>
        </w:rPr>
        <w:t>项目名称：</w:t>
      </w:r>
      <w:r>
        <w:rPr>
          <w:rFonts w:hint="eastAsia" w:ascii="Times New Roman" w:hAnsi="Times New Roman" w:eastAsia="宋体" w:cs="Times New Roman"/>
          <w:color w:val="auto"/>
          <w:kern w:val="2"/>
          <w:sz w:val="21"/>
          <w:szCs w:val="21"/>
        </w:rPr>
        <w:t xml:space="preserve">                   [货币单位：人民币元</w:t>
      </w:r>
      <w:r>
        <w:rPr>
          <w:rFonts w:hint="eastAsia" w:ascii="Times New Roman" w:hAnsi="Times New Roman" w:eastAsia="宋体" w:cs="Times New Roman"/>
          <w:color w:val="auto"/>
          <w:kern w:val="2"/>
          <w:sz w:val="21"/>
          <w:szCs w:val="21"/>
          <w:lang w:val="en-US" w:eastAsia="zh-CN"/>
        </w:rPr>
        <w:t xml:space="preserve">  </w:t>
      </w:r>
      <w:r>
        <w:rPr>
          <w:rFonts w:hint="eastAsia" w:ascii="宋体" w:hAnsi="宋体"/>
          <w:color w:val="000000" w:themeColor="text1"/>
          <w:sz w:val="24"/>
          <w:lang w:val="en-US" w:eastAsia="zh-CN"/>
          <w14:textFill>
            <w14:solidFill>
              <w14:schemeClr w14:val="tx1"/>
            </w14:solidFill>
          </w14:textFill>
        </w:rPr>
        <w:t xml:space="preserve">           </w:t>
      </w:r>
      <w:r>
        <w:rPr>
          <w:rFonts w:hint="eastAsia" w:ascii="Times New Roman" w:hAnsi="Times New Roman" w:eastAsia="宋体" w:cs="Times New Roman"/>
          <w:b w:val="0"/>
          <w:color w:val="auto"/>
          <w:kern w:val="2"/>
          <w:sz w:val="21"/>
          <w:szCs w:val="21"/>
          <w:lang w:val="en-US" w:eastAsia="zh-CN"/>
        </w:rPr>
        <w:t>报价单位：盖章</w:t>
      </w:r>
    </w:p>
    <w:tbl>
      <w:tblPr>
        <w:tblStyle w:val="41"/>
        <w:tblW w:w="8672"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0" w:type="dxa"/>
          <w:bottom w:w="0" w:type="dxa"/>
          <w:right w:w="0" w:type="dxa"/>
        </w:tblCellMar>
      </w:tblPr>
      <w:tblGrid>
        <w:gridCol w:w="2694"/>
        <w:gridCol w:w="1349"/>
        <w:gridCol w:w="4629"/>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1469" w:hRule="atLeast"/>
          <w:jc w:val="center"/>
        </w:trPr>
        <w:tc>
          <w:tcPr>
            <w:tcW w:w="2694" w:type="dxa"/>
            <w:vMerge w:val="restart"/>
            <w:tcBorders>
              <w:top w:val="single" w:color="auto" w:sz="12" w:space="0"/>
              <w:left w:val="single" w:color="auto" w:sz="12" w:space="0"/>
              <w:bottom w:val="single" w:color="auto" w:sz="4" w:space="0"/>
              <w:right w:val="single" w:color="auto" w:sz="4" w:space="0"/>
            </w:tcBorders>
            <w:vAlign w:val="center"/>
          </w:tcPr>
          <w:p>
            <w:pPr>
              <w:autoSpaceDE w:val="0"/>
              <w:autoSpaceDN w:val="0"/>
              <w:spacing w:line="360" w:lineRule="auto"/>
              <w:jc w:val="center"/>
              <w:textAlignment w:val="bottom"/>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投标总报价(元)</w:t>
            </w:r>
          </w:p>
        </w:tc>
        <w:tc>
          <w:tcPr>
            <w:tcW w:w="1349" w:type="dxa"/>
            <w:tcBorders>
              <w:top w:val="single" w:color="auto" w:sz="12" w:space="0"/>
              <w:left w:val="single" w:color="auto" w:sz="4" w:space="0"/>
              <w:bottom w:val="single" w:color="auto" w:sz="4" w:space="0"/>
              <w:right w:val="single" w:color="auto" w:sz="4" w:space="0"/>
            </w:tcBorders>
            <w:vAlign w:val="center"/>
          </w:tcPr>
          <w:p>
            <w:pPr>
              <w:autoSpaceDE w:val="0"/>
              <w:autoSpaceDN w:val="0"/>
              <w:spacing w:line="360" w:lineRule="auto"/>
              <w:jc w:val="center"/>
              <w:textAlignment w:val="bottom"/>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大写</w:t>
            </w:r>
          </w:p>
        </w:tc>
        <w:tc>
          <w:tcPr>
            <w:tcW w:w="4629" w:type="dxa"/>
            <w:tcBorders>
              <w:top w:val="single" w:color="auto" w:sz="12" w:space="0"/>
              <w:left w:val="single" w:color="auto" w:sz="4" w:space="0"/>
              <w:bottom w:val="single" w:color="auto" w:sz="4" w:space="0"/>
              <w:right w:val="single" w:color="auto" w:sz="12" w:space="0"/>
            </w:tcBorders>
            <w:vAlign w:val="center"/>
          </w:tcPr>
          <w:p>
            <w:pPr>
              <w:autoSpaceDE w:val="0"/>
              <w:autoSpaceDN w:val="0"/>
              <w:spacing w:line="360" w:lineRule="auto"/>
              <w:jc w:val="center"/>
              <w:textAlignment w:val="bottom"/>
              <w:rPr>
                <w:rFonts w:ascii="宋体" w:hAnsi="宋体"/>
                <w:color w:val="000000" w:themeColor="text1"/>
                <w:sz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1530" w:hRule="atLeast"/>
          <w:jc w:val="center"/>
        </w:trPr>
        <w:tc>
          <w:tcPr>
            <w:tcW w:w="2694" w:type="dxa"/>
            <w:vMerge w:val="continue"/>
            <w:tcBorders>
              <w:top w:val="single" w:color="auto" w:sz="12" w:space="0"/>
              <w:left w:val="single" w:color="auto" w:sz="12" w:space="0"/>
              <w:bottom w:val="single" w:color="auto" w:sz="4" w:space="0"/>
              <w:right w:val="single" w:color="auto" w:sz="4" w:space="0"/>
            </w:tcBorders>
            <w:vAlign w:val="center"/>
          </w:tcPr>
          <w:p>
            <w:pPr>
              <w:spacing w:line="360" w:lineRule="auto"/>
              <w:rPr>
                <w:rFonts w:ascii="宋体" w:hAnsi="宋体"/>
                <w:color w:val="000000" w:themeColor="text1"/>
                <w:sz w:val="24"/>
                <w14:textFill>
                  <w14:solidFill>
                    <w14:schemeClr w14:val="tx1"/>
                  </w14:solidFill>
                </w14:textFill>
              </w:rPr>
            </w:pPr>
          </w:p>
        </w:tc>
        <w:tc>
          <w:tcPr>
            <w:tcW w:w="134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textAlignment w:val="bottom"/>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小写</w:t>
            </w:r>
          </w:p>
        </w:tc>
        <w:tc>
          <w:tcPr>
            <w:tcW w:w="4629" w:type="dxa"/>
            <w:tcBorders>
              <w:top w:val="single" w:color="auto" w:sz="4" w:space="0"/>
              <w:left w:val="single" w:color="auto" w:sz="4" w:space="0"/>
              <w:bottom w:val="single" w:color="auto" w:sz="4" w:space="0"/>
              <w:right w:val="single" w:color="auto" w:sz="12" w:space="0"/>
            </w:tcBorders>
            <w:vAlign w:val="center"/>
          </w:tcPr>
          <w:p>
            <w:pPr>
              <w:autoSpaceDE w:val="0"/>
              <w:autoSpaceDN w:val="0"/>
              <w:spacing w:line="360" w:lineRule="auto"/>
              <w:jc w:val="center"/>
              <w:textAlignment w:val="bottom"/>
              <w:rPr>
                <w:rFonts w:ascii="宋体" w:hAnsi="宋体"/>
                <w:color w:val="000000" w:themeColor="text1"/>
                <w:sz w:val="24"/>
                <w14:textFill>
                  <w14:solidFill>
                    <w14:schemeClr w14:val="tx1"/>
                  </w14:solidFill>
                </w14:textFill>
              </w:rPr>
            </w:pPr>
          </w:p>
        </w:tc>
      </w:tr>
    </w:tbl>
    <w:p>
      <w:pPr>
        <w:spacing w:line="360" w:lineRule="auto"/>
        <w:ind w:left="480"/>
        <w:rPr>
          <w:rFonts w:ascii="宋体" w:hAnsi="宋体"/>
          <w:b/>
          <w:color w:val="000000" w:themeColor="text1"/>
          <w:sz w:val="30"/>
          <w14:textFill>
            <w14:solidFill>
              <w14:schemeClr w14:val="tx1"/>
            </w14:solidFill>
          </w14:textFill>
        </w:rPr>
      </w:pPr>
    </w:p>
    <w:p>
      <w:pPr>
        <w:spacing w:line="360" w:lineRule="auto"/>
        <w:rPr>
          <w:rFonts w:ascii="宋体" w:hAnsi="宋体"/>
          <w:color w:val="000000" w:themeColor="text1"/>
          <w:sz w:val="24"/>
          <w14:textFill>
            <w14:solidFill>
              <w14:schemeClr w14:val="tx1"/>
            </w14:solidFill>
          </w14:textFill>
        </w:rPr>
      </w:pPr>
      <w:r>
        <w:rPr>
          <w:rFonts w:hint="eastAsia" w:ascii="宋体" w:hAnsi="宋体"/>
          <w:b/>
          <w:color w:val="000000" w:themeColor="text1"/>
          <w:szCs w:val="21"/>
          <w14:textFill>
            <w14:solidFill>
              <w14:schemeClr w14:val="tx1"/>
            </w14:solidFill>
          </w14:textFill>
        </w:rPr>
        <w:t>填报要求：</w:t>
      </w:r>
    </w:p>
    <w:p>
      <w:pPr>
        <w:pStyle w:val="2"/>
        <w:spacing w:line="360" w:lineRule="auto"/>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1.投标总报价是包括货款、标准附件、备品备件、专用工具、包装、运输、装卸、保险、税金、货到就位以及安装、调试、培训、保修、合同包含的所有风险责任等各项费用及不可预见费等所需的全部费用。</w:t>
      </w:r>
    </w:p>
    <w:p>
      <w:pPr>
        <w:spacing w:line="360" w:lineRule="auto"/>
        <w:ind w:firstLine="420" w:firstLineChars="200"/>
        <w:rPr>
          <w:rFonts w:ascii="宋体" w:hAnsi="宋体"/>
          <w:b/>
          <w:i/>
          <w:color w:val="000000" w:themeColor="text1"/>
          <w:szCs w:val="21"/>
          <w:u w:val="single"/>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2.报价一经涂改，应在涂改处加盖单位公章，或者由法定代表人或全权代表签字或盖章，否则其投标作无效标处理。</w:t>
      </w:r>
    </w:p>
    <w:p>
      <w:pPr>
        <w:spacing w:line="360" w:lineRule="auto"/>
        <w:rPr>
          <w:rFonts w:ascii="宋体" w:hAnsi="宋体"/>
          <w:color w:val="000000" w:themeColor="text1"/>
          <w:sz w:val="24"/>
          <w14:textFill>
            <w14:solidFill>
              <w14:schemeClr w14:val="tx1"/>
            </w14:solidFill>
          </w14:textFill>
        </w:rPr>
      </w:pPr>
    </w:p>
    <w:p>
      <w:pPr>
        <w:spacing w:line="360" w:lineRule="auto"/>
        <w:rPr>
          <w:rFonts w:ascii="宋体" w:hAnsi="宋体"/>
          <w:color w:val="000000" w:themeColor="text1"/>
          <w:sz w:val="24"/>
          <w14:textFill>
            <w14:solidFill>
              <w14:schemeClr w14:val="tx1"/>
            </w14:solidFill>
          </w14:textFill>
        </w:rPr>
      </w:pPr>
    </w:p>
    <w:p>
      <w:pPr>
        <w:spacing w:line="360" w:lineRule="auto"/>
        <w:ind w:left="420"/>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比选人名称（盖章）：</w:t>
      </w:r>
    </w:p>
    <w:p>
      <w:pPr>
        <w:spacing w:line="360" w:lineRule="auto"/>
        <w:ind w:left="420"/>
        <w:rPr>
          <w:rFonts w:ascii="宋体" w:hAnsi="宋体"/>
          <w:color w:val="000000" w:themeColor="text1"/>
          <w:sz w:val="24"/>
          <w14:textFill>
            <w14:solidFill>
              <w14:schemeClr w14:val="tx1"/>
            </w14:solidFill>
          </w14:textFill>
        </w:rPr>
      </w:pPr>
    </w:p>
    <w:p>
      <w:pPr>
        <w:spacing w:line="360" w:lineRule="auto"/>
        <w:ind w:firstLine="435"/>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比选人代表签字或盖章：</w:t>
      </w:r>
    </w:p>
    <w:p>
      <w:pPr>
        <w:spacing w:line="360" w:lineRule="auto"/>
        <w:ind w:firstLine="435"/>
        <w:rPr>
          <w:rFonts w:ascii="宋体" w:hAnsi="宋体"/>
          <w:color w:val="000000" w:themeColor="text1"/>
          <w:sz w:val="24"/>
          <w14:textFill>
            <w14:solidFill>
              <w14:schemeClr w14:val="tx1"/>
            </w14:solidFill>
          </w14:textFill>
        </w:rPr>
      </w:pPr>
    </w:p>
    <w:p>
      <w:pPr>
        <w:spacing w:line="360" w:lineRule="auto"/>
        <w:ind w:firstLine="435"/>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职        务：</w:t>
      </w:r>
    </w:p>
    <w:p>
      <w:pPr>
        <w:spacing w:line="360" w:lineRule="auto"/>
        <w:rPr>
          <w:rFonts w:ascii="宋体" w:hAnsi="宋体"/>
          <w:color w:val="000000" w:themeColor="text1"/>
          <w:sz w:val="24"/>
          <w14:textFill>
            <w14:solidFill>
              <w14:schemeClr w14:val="tx1"/>
            </w14:solidFill>
          </w14:textFill>
        </w:rPr>
      </w:pPr>
    </w:p>
    <w:p>
      <w:pPr>
        <w:spacing w:line="360" w:lineRule="auto"/>
        <w:ind w:firstLine="435"/>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日        期：</w:t>
      </w:r>
    </w:p>
    <w:p>
      <w:pPr>
        <w:spacing w:line="360" w:lineRule="auto"/>
        <w:ind w:firstLine="435"/>
        <w:rPr>
          <w:rFonts w:ascii="宋体" w:hAnsi="宋体"/>
          <w:color w:val="000000" w:themeColor="text1"/>
          <w:sz w:val="24"/>
          <w14:textFill>
            <w14:solidFill>
              <w14:schemeClr w14:val="tx1"/>
            </w14:solidFill>
          </w14:textFill>
        </w:rPr>
      </w:pPr>
    </w:p>
    <w:p>
      <w:pPr>
        <w:spacing w:line="360" w:lineRule="auto"/>
        <w:rPr>
          <w:rFonts w:ascii="宋体" w:hAnsi="宋体"/>
          <w:b/>
          <w:color w:val="000000" w:themeColor="text1"/>
          <w:sz w:val="28"/>
          <w14:textFill>
            <w14:solidFill>
              <w14:schemeClr w14:val="tx1"/>
            </w14:solidFill>
          </w14:textFill>
        </w:rPr>
        <w:sectPr>
          <w:pgSz w:w="11906" w:h="16838"/>
          <w:pgMar w:top="1440" w:right="1803" w:bottom="1440" w:left="1803" w:header="851" w:footer="992" w:gutter="0"/>
          <w:cols w:space="720" w:num="1"/>
          <w:titlePg/>
          <w:docGrid w:type="lines" w:linePitch="319" w:charSpace="0"/>
        </w:sectPr>
      </w:pPr>
    </w:p>
    <w:p>
      <w:pPr>
        <w:pStyle w:val="5"/>
        <w:numPr>
          <w:ilvl w:val="0"/>
          <w:numId w:val="4"/>
        </w:numPr>
        <w:spacing w:line="360" w:lineRule="auto"/>
        <w:ind w:left="-4" w:firstLine="649" w:firstLineChars="0"/>
        <w:jc w:val="center"/>
        <w:rPr>
          <w:rFonts w:hint="eastAsia" w:ascii="宋体" w:hAnsi="宋体" w:eastAsia="宋体" w:cs="宋体"/>
          <w:b/>
          <w:bCs w:val="0"/>
          <w:color w:val="000000" w:themeColor="text1"/>
          <w:sz w:val="32"/>
          <w:szCs w:val="32"/>
          <w:lang w:val="en-US" w:eastAsia="zh-CN"/>
          <w14:textFill>
            <w14:solidFill>
              <w14:schemeClr w14:val="tx1"/>
            </w14:solidFill>
          </w14:textFill>
        </w:rPr>
      </w:pPr>
      <w:bookmarkStart w:id="351" w:name="_Toc19625"/>
      <w:bookmarkStart w:id="352" w:name="_Toc13132"/>
      <w:bookmarkStart w:id="353" w:name="_Toc28521"/>
      <w:bookmarkStart w:id="354" w:name="_Toc22934"/>
      <w:bookmarkStart w:id="355" w:name="_Toc31788"/>
      <w:r>
        <w:rPr>
          <w:rFonts w:hint="eastAsia" w:ascii="宋体" w:hAnsi="宋体" w:eastAsia="宋体" w:cs="宋体"/>
          <w:b/>
          <w:bCs w:val="0"/>
          <w:color w:val="000000" w:themeColor="text1"/>
          <w:sz w:val="32"/>
          <w:szCs w:val="32"/>
          <w14:textFill>
            <w14:solidFill>
              <w14:schemeClr w14:val="tx1"/>
            </w14:solidFill>
          </w14:textFill>
        </w:rPr>
        <w:t>报价</w:t>
      </w:r>
      <w:r>
        <w:rPr>
          <w:rFonts w:hint="eastAsia" w:ascii="宋体" w:hAnsi="宋体" w:eastAsia="宋体" w:cs="宋体"/>
          <w:b/>
          <w:bCs w:val="0"/>
          <w:color w:val="000000" w:themeColor="text1"/>
          <w:sz w:val="32"/>
          <w:szCs w:val="32"/>
          <w:lang w:val="en-US" w:eastAsia="zh-CN"/>
          <w14:textFill>
            <w14:solidFill>
              <w14:schemeClr w14:val="tx1"/>
            </w14:solidFill>
          </w14:textFill>
        </w:rPr>
        <w:t>明细表</w:t>
      </w:r>
      <w:bookmarkEnd w:id="351"/>
      <w:bookmarkEnd w:id="352"/>
      <w:bookmarkEnd w:id="353"/>
      <w:bookmarkEnd w:id="354"/>
      <w:bookmarkEnd w:id="355"/>
    </w:p>
    <w:tbl>
      <w:tblPr>
        <w:tblStyle w:val="4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04"/>
        <w:gridCol w:w="1028"/>
        <w:gridCol w:w="977"/>
        <w:gridCol w:w="481"/>
        <w:gridCol w:w="4145"/>
        <w:gridCol w:w="1565"/>
        <w:gridCol w:w="660"/>
        <w:gridCol w:w="735"/>
        <w:gridCol w:w="690"/>
        <w:gridCol w:w="645"/>
        <w:gridCol w:w="990"/>
        <w:gridCol w:w="915"/>
        <w:gridCol w:w="8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2" w:hRule="atLeast"/>
        </w:trPr>
        <w:tc>
          <w:tcPr>
            <w:tcW w:w="5000" w:type="pct"/>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32"/>
                <w:szCs w:val="32"/>
                <w:u w:val="none"/>
                <w:lang w:val="en-US" w:eastAsia="zh-CN" w:bidi="ar"/>
              </w:rPr>
            </w:pPr>
            <w:r>
              <w:rPr>
                <w:rFonts w:hint="eastAsia" w:ascii="宋体" w:hAnsi="宋体" w:eastAsia="宋体" w:cs="宋体"/>
                <w:b/>
                <w:bCs/>
                <w:i w:val="0"/>
                <w:iCs w:val="0"/>
                <w:color w:val="000000"/>
                <w:kern w:val="0"/>
                <w:sz w:val="32"/>
                <w:szCs w:val="32"/>
                <w:u w:val="none"/>
                <w:lang w:val="en-US" w:eastAsia="zh-CN" w:bidi="ar"/>
              </w:rPr>
              <w:t>成渝垫丰武子公司驻地办公家具报价明细表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1"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项目地点</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功能划分</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产品名称</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图片</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规格</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含税单价</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合计</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材质说明</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0"/>
                <w:szCs w:val="20"/>
                <w:u w:val="none"/>
                <w:lang w:val="en-US" w:eastAsia="zh-CN" w:bidi="ar"/>
              </w:rPr>
            </w:pPr>
            <w:r>
              <w:rPr>
                <w:rFonts w:hint="eastAsia" w:ascii="宋体" w:hAnsi="宋体" w:cs="宋体"/>
                <w:b/>
                <w:bCs/>
                <w:i w:val="0"/>
                <w:iCs w:val="0"/>
                <w:color w:val="000000"/>
                <w:kern w:val="0"/>
                <w:sz w:val="20"/>
                <w:szCs w:val="20"/>
                <w:u w:val="none"/>
                <w:lang w:val="en-US" w:eastAsia="zh-CN" w:bidi="ar"/>
              </w:rPr>
              <w:t>投标单价</w:t>
            </w:r>
          </w:p>
        </w:tc>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0"/>
                <w:szCs w:val="20"/>
                <w:u w:val="none"/>
                <w:lang w:val="en-US" w:eastAsia="zh-CN" w:bidi="ar"/>
              </w:rPr>
            </w:pPr>
            <w:r>
              <w:rPr>
                <w:rFonts w:hint="eastAsia" w:ascii="宋体" w:hAnsi="宋体" w:cs="宋体"/>
                <w:b/>
                <w:bCs/>
                <w:i w:val="0"/>
                <w:iCs w:val="0"/>
                <w:color w:val="000000"/>
                <w:kern w:val="0"/>
                <w:sz w:val="20"/>
                <w:szCs w:val="20"/>
                <w:u w:val="none"/>
                <w:lang w:val="en-US" w:eastAsia="zh-CN" w:bidi="ar"/>
              </w:rPr>
              <w:t>投标合价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白市驿驻地</w:t>
            </w:r>
          </w:p>
        </w:tc>
        <w:tc>
          <w:tcPr>
            <w:tcW w:w="3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办公室1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班台</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2506980" cy="1548130"/>
                  <wp:effectExtent l="0" t="0" r="7620" b="13970"/>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15"/>
                          <a:srcRect/>
                          <a:stretch>
                            <a:fillRect/>
                          </a:stretch>
                        </pic:blipFill>
                        <pic:spPr>
                          <a:xfrm>
                            <a:off x="0" y="0"/>
                            <a:ext cx="2506980" cy="1548130"/>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1800W*1600D*750H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2500.00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德国“夏特”SCHATTDECOR，其表面硬度是一般油漆的3倍，耐刮、耐磨、耐腐蚀、耐高温；采用纯三聚氰胺浸胶，使表面透明度更好，耐污性更强。压纹采用德国“胡克”钢板，浮雕细腻，质感明显                                                  2、基料板材：选用福建“大亚”牌优质E1级环保高密度刨花板；                                                               3、PVC封边：欧德雅封边。                                                      4、五金配件：DTC、冠辉等国国际品牌优质五金件，均经过酸洗、磷洗等防锈处理</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文件柜</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1152525" cy="2657475"/>
                  <wp:effectExtent l="0" t="0" r="3175" b="9525"/>
                  <wp:docPr id="16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2" descr="IMG_257"/>
                          <pic:cNvPicPr>
                            <a:picLocks noChangeAspect="1"/>
                          </pic:cNvPicPr>
                        </pic:nvPicPr>
                        <pic:blipFill>
                          <a:blip r:embed="rId16"/>
                          <a:stretch>
                            <a:fillRect/>
                          </a:stretch>
                        </pic:blipFill>
                        <pic:spPr>
                          <a:xfrm>
                            <a:off x="0" y="0"/>
                            <a:ext cx="1152525" cy="2657475"/>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800W*400D*2000H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1050.00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2100.00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德国“夏特”SCHATTDECOR，其表面硬度是一般油漆的3倍，耐刮、耐磨、耐腐蚀、耐高温；采用纯三聚氰胺浸胶，使表面透明度更好，耐污性更强。压纹采用德国“胡克”钢板，浮雕细腻，质感明显                                                2、基料板材：选用福建“大亚”牌优质E1级环保高密度刨花板；                                                               3、PVC封边：欧德雅封边。                                                      4、五金配件：DTC、冠辉等国国际品牌优质五金件，均经过酸洗、磷洗等防锈处理</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班椅</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1438275" cy="2171700"/>
                  <wp:effectExtent l="0" t="0" r="9525" b="0"/>
                  <wp:docPr id="16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3" descr="IMG_258"/>
                          <pic:cNvPicPr>
                            <a:picLocks noChangeAspect="1"/>
                          </pic:cNvPicPr>
                        </pic:nvPicPr>
                        <pic:blipFill>
                          <a:blip r:embed="rId17"/>
                          <a:stretch>
                            <a:fillRect/>
                          </a:stretch>
                        </pic:blipFill>
                        <pic:spPr>
                          <a:xfrm>
                            <a:off x="0" y="0"/>
                            <a:ext cx="1438275" cy="2171700"/>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高背</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1100.00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·优质西皮饰面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·18mm厚内外弯板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·高弹力海绵</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·铝合金扶手架连体扶手，配皮扶手面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·飞机底盘带原位锁定功能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·65#电镀汽杆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·∮350铝合金面包脚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·φ50MM黑色尼龙轮</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2"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班前椅</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866900" cy="2676525"/>
                  <wp:effectExtent l="0" t="0" r="0" b="3175"/>
                  <wp:docPr id="158"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4" descr="IMG_259"/>
                          <pic:cNvPicPr>
                            <a:picLocks noChangeAspect="1"/>
                          </pic:cNvPicPr>
                        </pic:nvPicPr>
                        <pic:blipFill>
                          <a:blip r:embed="rId18"/>
                          <a:stretch>
                            <a:fillRect/>
                          </a:stretch>
                        </pic:blipFill>
                        <pic:spPr>
                          <a:xfrm>
                            <a:off x="0" y="0"/>
                            <a:ext cx="1866900" cy="2676525"/>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弯管</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1260.00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·优质西皮饰面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·18mm厚内外弯板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·高弹力海绵</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·1.8厚扁管电镀扶手连体弓形架配扪皮扶手面</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沙发      （三人位）</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2854960" cy="1626870"/>
                  <wp:effectExtent l="0" t="0" r="2540" b="11430"/>
                  <wp:docPr id="157"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5" descr="IMG_260"/>
                          <pic:cNvPicPr>
                            <a:picLocks noChangeAspect="1"/>
                          </pic:cNvPicPr>
                        </pic:nvPicPr>
                        <pic:blipFill>
                          <a:blip r:embed="rId19"/>
                          <a:stretch>
                            <a:fillRect/>
                          </a:stretch>
                        </pic:blipFill>
                        <pic:spPr>
                          <a:xfrm>
                            <a:off x="0" y="0"/>
                            <a:ext cx="2854960" cy="1626870"/>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2020W*940D*810H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1800.00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·优质西皮饰面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·高弹力海绵</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·四面抛光、烘干、除虫处理实木木架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·锰钢蛇簧加平衡线处理，永不变形</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2"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茶几</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2409825" cy="2019300"/>
                  <wp:effectExtent l="0" t="0" r="3175" b="0"/>
                  <wp:docPr id="159"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6" descr="IMG_261"/>
                          <pic:cNvPicPr>
                            <a:picLocks noChangeAspect="1"/>
                          </pic:cNvPicPr>
                        </pic:nvPicPr>
                        <pic:blipFill>
                          <a:blip r:embed="rId20"/>
                          <a:stretch>
                            <a:fillRect/>
                          </a:stretch>
                        </pic:blipFill>
                        <pic:spPr>
                          <a:xfrm>
                            <a:off x="0" y="0"/>
                            <a:ext cx="2409825" cy="2019300"/>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1200W*600D*430H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650.00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650.00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德国“夏特”SCHATTDECOR，其表面硬度是一般油漆的3倍，耐刮、耐磨、耐腐蚀、耐高温；采用纯三聚氰胺浸胶，使表面透明度更好，耐污性更强。压纹采用德国“胡克”钢板，浮雕细腻，质感明显                                                  2、基料板材：选用福建“大亚”牌优质E1级环保高密度刨花板；                                                               3、PVC封边：欧德雅封边。                                                      4、五金配件：DTC、冠辉等国国际品牌优质五金件，均经过酸洗、磷洗等防锈处理</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3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办公室2（2个）</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班台</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4629150" cy="2857500"/>
                  <wp:effectExtent l="0" t="0" r="6350" b="0"/>
                  <wp:docPr id="163"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7" descr="IMG_262"/>
                          <pic:cNvPicPr>
                            <a:picLocks noChangeAspect="1"/>
                          </pic:cNvPicPr>
                        </pic:nvPicPr>
                        <pic:blipFill>
                          <a:blip r:embed="rId15"/>
                          <a:stretch>
                            <a:fillRect/>
                          </a:stretch>
                        </pic:blipFill>
                        <pic:spPr>
                          <a:xfrm>
                            <a:off x="0" y="0"/>
                            <a:ext cx="4629150" cy="2857500"/>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1600W*1600D*750H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4600.00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德国“夏特”SCHATTDECOR，其表面硬度是一般油漆的3倍，耐刮、耐磨、耐腐蚀、耐高温；采用纯三聚氰胺浸胶，使表面透明度更好，耐污性更强。压纹采用德国“胡克”钢板，浮雕细腻，质感明显                                                  2、基料板材：选用福建“大亚”牌优质E1级环保高密度刨花板；                                                               3、PVC封边：欧德雅封边。                                                      4、五金配件：DTC、冠辉等国国际品牌优质五金件，均经过酸洗、磷洗等防锈处理</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文件柜</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1152525" cy="2657475"/>
                  <wp:effectExtent l="0" t="0" r="3175" b="9525"/>
                  <wp:docPr id="162"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8" descr="IMG_263"/>
                          <pic:cNvPicPr>
                            <a:picLocks noChangeAspect="1"/>
                          </pic:cNvPicPr>
                        </pic:nvPicPr>
                        <pic:blipFill>
                          <a:blip r:embed="rId16"/>
                          <a:stretch>
                            <a:fillRect/>
                          </a:stretch>
                        </pic:blipFill>
                        <pic:spPr>
                          <a:xfrm>
                            <a:off x="0" y="0"/>
                            <a:ext cx="1152525" cy="2657475"/>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800W*400D*2000H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1050.00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4200.00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德国“夏特”SCHATTDECOR，其表面硬度是一般油漆的3倍，耐刮、耐磨、耐腐蚀、耐高温；采用纯三聚氰胺浸胶，使表面透明度更好，耐污性更强。压纹采用德国“胡克”钢板，浮雕细腻，质感明显                                               2、基料板材：选用福建“大亚”牌优质E1级环保高密度刨花板；                                                               3、PVC封边：欧德雅封边。                                                      4、五金配件：DTC、冠辉等国国际品牌优质五金件，均经过酸洗、磷洗等防锈处理</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沙发（三人位）</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4295775" cy="1714500"/>
                  <wp:effectExtent l="0" t="0" r="9525" b="0"/>
                  <wp:docPr id="161"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9" descr="IMG_264"/>
                          <pic:cNvPicPr>
                            <a:picLocks noChangeAspect="1"/>
                          </pic:cNvPicPr>
                        </pic:nvPicPr>
                        <pic:blipFill>
                          <a:blip r:embed="rId21"/>
                          <a:stretch>
                            <a:fillRect/>
                          </a:stretch>
                        </pic:blipFill>
                        <pic:spPr>
                          <a:xfrm>
                            <a:off x="0" y="0"/>
                            <a:ext cx="4295775" cy="1714500"/>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2020W*940D*810H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3600.00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·优质西皮饰面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·高弹力海绵</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·四面抛光、烘干、除虫处理实木木架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·锰钢蛇簧加平衡线处理，永不变形</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茶几</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2409825" cy="2019300"/>
                  <wp:effectExtent l="0" t="0" r="3175" b="0"/>
                  <wp:docPr id="164"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0" descr="IMG_265"/>
                          <pic:cNvPicPr>
                            <a:picLocks noChangeAspect="1"/>
                          </pic:cNvPicPr>
                        </pic:nvPicPr>
                        <pic:blipFill>
                          <a:blip r:embed="rId20"/>
                          <a:stretch>
                            <a:fillRect/>
                          </a:stretch>
                        </pic:blipFill>
                        <pic:spPr>
                          <a:xfrm>
                            <a:off x="0" y="0"/>
                            <a:ext cx="2409825" cy="2019300"/>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1200W*600D*430H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650.00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1300.00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德国“夏特”SCHATTDECOR，其表面硬度是一般油漆的3倍，耐刮、耐磨、耐腐蚀、耐高温；采用纯三聚氰胺浸胶，使表面透明度更好，耐污性更强。压纹采用德国“胡克”钢板，浮雕细腻，质感明显                                                  2、基料板材：选用福建“大亚”牌优质E1级环保高密度刨花板；                                                               3、PVC封边：欧德雅封边。                                                      4、五金配件：DTC、冠辉等国国际品牌优质五金件，均经过酸洗、磷洗等防锈处理</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班椅</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2266950" cy="2819400"/>
                  <wp:effectExtent l="0" t="0" r="6350" b="0"/>
                  <wp:docPr id="15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1" descr="IMG_266"/>
                          <pic:cNvPicPr>
                            <a:picLocks noChangeAspect="1"/>
                          </pic:cNvPicPr>
                        </pic:nvPicPr>
                        <pic:blipFill>
                          <a:blip r:embed="rId22"/>
                          <a:stretch>
                            <a:fillRect/>
                          </a:stretch>
                        </pic:blipFill>
                        <pic:spPr>
                          <a:xfrm>
                            <a:off x="0" y="0"/>
                            <a:ext cx="2266950" cy="2819400"/>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高背</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1980.00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头枕：PA+30%玻纤，网布2D头枕,上下升降，前后旋转</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椅背：PA+30%玻纤+自适应弹力双背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椅座：PA+30%玻纤外框+定型棉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底盘：5档锁定自负重底盘,带滑动功能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扶手：PA+30%玻纤扶手架+PU扶手面，3D扶手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气杆：行程65mm#沉口70mm三级气压棒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椅脚：340mm尼龙脚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椅轮：60/25PU黑色轮</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2"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班前椅</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457325" cy="2171700"/>
                  <wp:effectExtent l="0" t="0" r="3175" b="0"/>
                  <wp:docPr id="15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2" descr="IMG_267"/>
                          <pic:cNvPicPr>
                            <a:picLocks noChangeAspect="1"/>
                          </pic:cNvPicPr>
                        </pic:nvPicPr>
                        <pic:blipFill>
                          <a:blip r:embed="rId23"/>
                          <a:stretch>
                            <a:fillRect/>
                          </a:stretch>
                        </pic:blipFill>
                        <pic:spPr>
                          <a:xfrm>
                            <a:off x="0" y="0"/>
                            <a:ext cx="1457325" cy="2171700"/>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弯管</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1920.00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华宇优质特网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腰部独立支撑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黑色PP加玻纤背架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黑色尼龙玻纤独立扶手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座包采用定型绵</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弓型架采用2.0mm铁管黑色喷涂而成，通过抗氧化功能测试</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3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办公室3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职员位</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2400300" cy="2228850"/>
                  <wp:effectExtent l="0" t="0" r="0" b="6350"/>
                  <wp:docPr id="15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3" descr="IMG_268"/>
                          <pic:cNvPicPr>
                            <a:picLocks noChangeAspect="1"/>
                          </pic:cNvPicPr>
                        </pic:nvPicPr>
                        <pic:blipFill>
                          <a:blip r:embed="rId24"/>
                          <a:stretch>
                            <a:fillRect/>
                          </a:stretch>
                        </pic:blipFill>
                        <pic:spPr>
                          <a:xfrm>
                            <a:off x="0" y="0"/>
                            <a:ext cx="2400300" cy="2228850"/>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1600W*800D*750H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1650.00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26400.00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德国“夏特”SCHATTDECOR，其表面硬度是一般油漆的3倍，耐刮、耐磨、耐腐蚀、耐高温；采用纯三聚氰胺浸胶，使表面透明度更好，耐污性更强。压纹采用德国“胡克”钢板，浮雕细腻，质感明显                                                  2、基料板材：选用福建“大亚”牌优质E1级环保高密度刨花板；                                                               3、PVC封边：欧德雅封边。                                                      4、五金配件：DTC、冠辉等国国际品牌优质五金件，均经过酸洗、磷洗等防锈处理</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办公椅</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2209800" cy="2762250"/>
                  <wp:effectExtent l="0" t="0" r="0" b="6350"/>
                  <wp:docPr id="15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4" descr="IMG_269"/>
                          <pic:cNvPicPr>
                            <a:picLocks noChangeAspect="1"/>
                          </pic:cNvPicPr>
                        </pic:nvPicPr>
                        <pic:blipFill>
                          <a:blip r:embed="rId25"/>
                          <a:stretch>
                            <a:fillRect/>
                          </a:stretch>
                        </pic:blipFill>
                        <pic:spPr>
                          <a:xfrm>
                            <a:off x="0" y="0"/>
                            <a:ext cx="2209800" cy="2762250"/>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高背</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14400.00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·超大联体头枕加黑色尼龙加纤背架配300mm推背伸缩线控气杆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·黑色尼龙坐壳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·60密度定型座海绵</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·联动可拉伸尼龙扶手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·方形超宽底盘</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·可拉伸265mm行程脚托配可180度旋转脚踏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·65#沉70mm黑色气杆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·340mm黑色尼龙五星脚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·φ55mm黑色耐磨尼龙轮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·倾仰最大角度160°</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文件柜</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2447925" cy="2190750"/>
                  <wp:effectExtent l="0" t="0" r="3175" b="6350"/>
                  <wp:docPr id="15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 descr="IMG_270"/>
                          <pic:cNvPicPr>
                            <a:picLocks noChangeAspect="1"/>
                          </pic:cNvPicPr>
                        </pic:nvPicPr>
                        <pic:blipFill>
                          <a:blip r:embed="rId26"/>
                          <a:stretch>
                            <a:fillRect/>
                          </a:stretch>
                        </pic:blipFill>
                        <pic:spPr>
                          <a:xfrm>
                            <a:off x="0" y="0"/>
                            <a:ext cx="2447925" cy="2190750"/>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900W*400D*1850H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12800.00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1、材料：优质冷轧钢板，裸板厚度0.7mm，全自动化机械生产流程，加工精细，耐用年限长久，经除油、除锈、水洗、表调、磷化处理，符合国家质量环保标准。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2、喷涂：采用优质环保粉末静电哑光喷涂，具有抗划伤、耐高温。                                                          3、锁具：独立优质锁具。</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3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会议室1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会议桌</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4067175" cy="2809875"/>
                  <wp:effectExtent l="0" t="0" r="9525" b="9525"/>
                  <wp:docPr id="15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6" descr="IMG_271"/>
                          <pic:cNvPicPr>
                            <a:picLocks noChangeAspect="1"/>
                          </pic:cNvPicPr>
                        </pic:nvPicPr>
                        <pic:blipFill>
                          <a:blip r:embed="rId27"/>
                          <a:stretch>
                            <a:fillRect/>
                          </a:stretch>
                        </pic:blipFill>
                        <pic:spPr>
                          <a:xfrm>
                            <a:off x="0" y="0"/>
                            <a:ext cx="4067175" cy="2809875"/>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4200W*1450D*760H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7690.00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7690.00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1、材料：基材采用E1环保高密度板基材，符合GB/T31765-2015《高密度纤维板》标准，含水率（%）达到3.0-13.0，密度＞0.8g/cm³,甲醛释放限量E1≤0.124mg/m³。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2、面材采用（0.6mm）AAA级天然胡桃木皮贴面，采用机械化贴面，表面平整耐久，经过防虫防腐处理，纹理清晰，甲醛释放限量E1≤0.02mg/m³。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3、工艺要求：表面选用优质水性油漆涂料，符合GB 24410-2009室内装饰装修材料 水性木器涂料中有害物质限量标准，苯系列物（苯、甲苯、乙苯和二甲苯总和）含量≤50mg/kg，游离甲醛释放量E1≤10mg/kg，漆膜硬度大于2H；                                       5、五金配件：德国BMB锁具，优质连接件；采用“BMB”、“海福乐”、海蒂斯、百隆（BLUM）（参照或相当于）或以上等级五金配件。</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会议椅</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1800225" cy="2324100"/>
                  <wp:effectExtent l="0" t="0" r="3175" b="0"/>
                  <wp:docPr id="166"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7" descr="IMG_272"/>
                          <pic:cNvPicPr>
                            <a:picLocks noChangeAspect="1"/>
                          </pic:cNvPicPr>
                        </pic:nvPicPr>
                        <pic:blipFill>
                          <a:blip r:embed="rId28"/>
                          <a:stretch>
                            <a:fillRect/>
                          </a:stretch>
                        </pic:blipFill>
                        <pic:spPr>
                          <a:xfrm>
                            <a:off x="0" y="0"/>
                            <a:ext cx="1800225" cy="2324100"/>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640W*720D*1000H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477.00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5724.00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·一体成型PP椅座，标配定型绵坐垫；</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·标配坐壳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·可选5种颜色SN布；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·细砂粉喷12mm实心钢材雪橇架；</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3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会议室2</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会议条桌</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3457575" cy="2466975"/>
                  <wp:effectExtent l="0" t="0" r="9525" b="9525"/>
                  <wp:docPr id="167"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8" descr="IMG_273"/>
                          <pic:cNvPicPr>
                            <a:picLocks noChangeAspect="1"/>
                          </pic:cNvPicPr>
                        </pic:nvPicPr>
                        <pic:blipFill>
                          <a:blip r:embed="rId29"/>
                          <a:stretch>
                            <a:fillRect/>
                          </a:stretch>
                        </pic:blipFill>
                        <pic:spPr>
                          <a:xfrm>
                            <a:off x="0" y="0"/>
                            <a:ext cx="3457575" cy="2466975"/>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1200W*400D*760H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825.00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13200.00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1、材料：基材采用E1环保高密度板基材，符合GB/T31765-2015《高密度纤维板》标准，含水率（%）达到3.0-13.0，密度＞0.8g/cm³,甲醛释放限量E1≤0.124mg/m³。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2、面材采用（0.6mm）AAA级天然胡桃木皮贴面，采用机械化贴面，表面平整耐久，经过防虫防腐处理，纹理清晰，甲醛释放限量E1≤0.02mg/m³。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3、工艺要求：表面选用优质水性油漆涂料，符合GB 24410-2009室内装饰装修材料 水性木器涂料中有害物质限量标准，苯系列物（苯、甲苯、乙苯和二甲苯总和）含量≤50mg/kg，游离甲醛释放量E1≤10mg/kg，漆膜硬度大于2H；                                5、五金配件：德国BMB锁具，优质连接件；采用“BMB”、“海福乐”、海蒂斯、百隆（BLUM）（参照或相当于）或以上等级五金配件。</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椅子</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2200275" cy="2762250"/>
                  <wp:effectExtent l="0" t="0" r="9525" b="6350"/>
                  <wp:docPr id="193"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 descr="IMG_274"/>
                          <pic:cNvPicPr>
                            <a:picLocks noChangeAspect="1"/>
                          </pic:cNvPicPr>
                        </pic:nvPicPr>
                        <pic:blipFill>
                          <a:blip r:embed="rId30"/>
                          <a:stretch>
                            <a:fillRect/>
                          </a:stretch>
                        </pic:blipFill>
                        <pic:spPr>
                          <a:xfrm>
                            <a:off x="0" y="0"/>
                            <a:ext cx="2200275" cy="2762250"/>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标准</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405.00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12960.00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1、面料：优质西皮，黑色，皮面柔软光泽度好，厚度适中，透气性强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2、泡绵：优质高回弹PU泡棉，涂防老化变形保护膜。圆润厚实，弹性好，承受压力250kg                                                      3、实木脚架</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17</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椅子</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2324100" cy="2466975"/>
                  <wp:effectExtent l="0" t="0" r="0" b="9525"/>
                  <wp:docPr id="168"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20" descr="IMG_275"/>
                          <pic:cNvPicPr>
                            <a:picLocks noChangeAspect="1"/>
                          </pic:cNvPicPr>
                        </pic:nvPicPr>
                        <pic:blipFill>
                          <a:blip r:embed="rId31"/>
                          <a:stretch>
                            <a:fillRect/>
                          </a:stretch>
                        </pic:blipFill>
                        <pic:spPr>
                          <a:xfrm>
                            <a:off x="0" y="0"/>
                            <a:ext cx="2324100" cy="2466975"/>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标准</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auto"/>
                <w:kern w:val="0"/>
                <w:sz w:val="18"/>
                <w:szCs w:val="18"/>
                <w:u w:val="none"/>
                <w:lang w:val="en-US" w:eastAsia="zh-CN" w:bidi="ar"/>
              </w:rPr>
              <w:t>18</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420.00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7560.00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椅背：全新进口PA+玻纤材质，高弹力竹节布背网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椅座：硬度50，密度60的定型海绵，高弹力透气坐布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扶手：PA+15%玻纤，前后滑动扶手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写字板：PP+30%玻纤加厚板面，精抛铝合金旋转机构</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椅架：20.5*32.5*T1.5mm优质Q235碳素钢椅架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脚垫：Φ50mm黑色PU静音轮</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34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洽谈室</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洽谈桌</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2181225" cy="2352675"/>
                  <wp:effectExtent l="0" t="0" r="3175" b="9525"/>
                  <wp:docPr id="194"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21" descr="IMG_276"/>
                          <pic:cNvPicPr>
                            <a:picLocks noChangeAspect="1"/>
                          </pic:cNvPicPr>
                        </pic:nvPicPr>
                        <pic:blipFill>
                          <a:blip r:embed="rId32"/>
                          <a:stretch>
                            <a:fillRect/>
                          </a:stretch>
                        </pic:blipFill>
                        <pic:spPr>
                          <a:xfrm>
                            <a:off x="0" y="0"/>
                            <a:ext cx="2181225" cy="2352675"/>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φ800*750H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1450.00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1450.00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国际品牌“大亚”优质E0级环保高密度刨花板；2、饰面纸：采用全球领先的德国夏特及德国名士克、其表面硬度是一般油漆的3倍，耐刮、耐磨、耐腐蚀、耐高温、不怕烟头烫；采用纯三聚氰胺浸胶，使表面透明度更好，耐污性更强。压纹采用德国“胡克”钢板，浮雕细腻，质感明显。3、PVC封边：采用德国“欧德雅”优质厚PVC封边带，厚度≥2mm；4.胶水：采用德国知名品牌 “汉高”与“胶王”热熔胶或同级别品牌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5、结构：深铁灰色静电粉未喷涂工艺钢脚，稳固时尚。</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19</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洽谈椅</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2190750" cy="2447925"/>
                  <wp:effectExtent l="0" t="0" r="6350" b="3175"/>
                  <wp:docPr id="170"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22" descr="IMG_277"/>
                          <pic:cNvPicPr>
                            <a:picLocks noChangeAspect="1"/>
                          </pic:cNvPicPr>
                        </pic:nvPicPr>
                        <pic:blipFill>
                          <a:blip r:embed="rId33"/>
                          <a:stretch>
                            <a:fillRect/>
                          </a:stretch>
                        </pic:blipFill>
                        <pic:spPr>
                          <a:xfrm>
                            <a:off x="0" y="0"/>
                            <a:ext cx="2190750" cy="2447925"/>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427.50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1282.50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椅背：全新进口PP+玻纤，高弹力透气网布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扶手：PP+玻纤造型扶手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椅座：加厚定型海绵，弹力透气坐布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椅脚：32.5*20.5*T1.5mm定制异型管椅脚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脚轮：固定脚垫</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34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餐厅</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餐桌</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3143250" cy="2943225"/>
                  <wp:effectExtent l="0" t="0" r="6350" b="3175"/>
                  <wp:docPr id="169"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23" descr="IMG_278"/>
                          <pic:cNvPicPr>
                            <a:picLocks noChangeAspect="1"/>
                          </pic:cNvPicPr>
                        </pic:nvPicPr>
                        <pic:blipFill>
                          <a:blip r:embed="rId34"/>
                          <a:stretch>
                            <a:fillRect/>
                          </a:stretch>
                        </pic:blipFill>
                        <pic:spPr>
                          <a:xfrm>
                            <a:off x="0" y="0"/>
                            <a:ext cx="3143250" cy="2943225"/>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ø2800*750H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14800.00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14800.00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岩板+电动转盘</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21</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餐椅</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2057400" cy="2343150"/>
                  <wp:effectExtent l="0" t="0" r="0" b="6350"/>
                  <wp:docPr id="177"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24" descr="IMG_279"/>
                          <pic:cNvPicPr>
                            <a:picLocks noChangeAspect="1"/>
                          </pic:cNvPicPr>
                        </pic:nvPicPr>
                        <pic:blipFill>
                          <a:blip r:embed="rId35"/>
                          <a:stretch>
                            <a:fillRect/>
                          </a:stretch>
                        </pic:blipFill>
                        <pic:spPr>
                          <a:xfrm>
                            <a:off x="0" y="0"/>
                            <a:ext cx="2057400" cy="2343150"/>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标准</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693.00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11088.00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纯美国白蜡木全实木，软包35以上高密度海绵外扪耐磨西皮或布艺。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采用出榫开槽实结构，粘合全部进口AB铁胶。</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备餐柜</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3114675" cy="2486025"/>
                  <wp:effectExtent l="0" t="0" r="9525" b="3175"/>
                  <wp:docPr id="178"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25" descr="IMG_280"/>
                          <pic:cNvPicPr>
                            <a:picLocks noChangeAspect="1"/>
                          </pic:cNvPicPr>
                        </pic:nvPicPr>
                        <pic:blipFill>
                          <a:blip r:embed="rId36"/>
                          <a:stretch>
                            <a:fillRect/>
                          </a:stretch>
                        </pic:blipFill>
                        <pic:spPr>
                          <a:xfrm>
                            <a:off x="0" y="0"/>
                            <a:ext cx="3114675" cy="2486025"/>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1200W*400D*750H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1450.00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1450.00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德国“夏特”SCHATTDECOR，其表面硬度是一般油漆的3倍，耐刮、耐磨、耐腐蚀、耐高温；采用纯三聚氰胺浸胶，使表面透明度更好，耐污性更强。压纹采用德国“胡克”钢板，浮雕细腻，质感明显                                      2、基料板材：选用福建“大亚”牌优质E1级环保高密度刨花板；                                                               3、PVC封边：欧德雅封边。                                                      4、五金配件：DTC、冠辉等国国际品牌优质五金件，均经过酸洗、磷洗等防锈处理</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23</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沙发</w:t>
            </w:r>
          </w:p>
        </w:tc>
        <w:tc>
          <w:tcPr>
            <w:tcW w:w="146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4629150" cy="2705100"/>
                  <wp:effectExtent l="0" t="0" r="6350" b="0"/>
                  <wp:docPr id="171"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26" descr="IMG_281"/>
                          <pic:cNvPicPr>
                            <a:picLocks noChangeAspect="1"/>
                          </pic:cNvPicPr>
                        </pic:nvPicPr>
                        <pic:blipFill>
                          <a:blip r:embed="rId37"/>
                          <a:stretch>
                            <a:fillRect/>
                          </a:stretch>
                        </pic:blipFill>
                        <pic:spPr>
                          <a:xfrm>
                            <a:off x="0" y="0"/>
                            <a:ext cx="4629150" cy="2705100"/>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3+1+1</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3800.00 </w:t>
            </w:r>
          </w:p>
        </w:tc>
        <w:tc>
          <w:tcPr>
            <w:tcW w:w="34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沙发颜色：米白色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沙发饰面：优质西皮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内框架：实木框架配多层夹板+木方装钉而成；                                         海绵：靠背为35密度高回弹切割新棉，坐垫为45密度高回弹切割新棉；                                                        承重弹力结构：靠背装钉进口多条橡筋，坐垫为标准间距蛇形簧+平衡进口橡筋+面布；                                                                                          脚架：实木脚架；</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24</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茶几</w:t>
            </w:r>
          </w:p>
        </w:tc>
        <w:tc>
          <w:tcPr>
            <w:tcW w:w="14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16"/>
                <w:szCs w:val="16"/>
                <w:u w:val="none"/>
              </w:rPr>
            </w:pP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1200W*600D*450H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1000.00 </w:t>
            </w:r>
          </w:p>
        </w:tc>
        <w:tc>
          <w:tcPr>
            <w:tcW w:w="3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25</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餐桌</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2733675" cy="2828925"/>
                  <wp:effectExtent l="0" t="0" r="9525" b="3175"/>
                  <wp:docPr id="179"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27" descr="IMG_282"/>
                          <pic:cNvPicPr>
                            <a:picLocks noChangeAspect="1"/>
                          </pic:cNvPicPr>
                        </pic:nvPicPr>
                        <pic:blipFill>
                          <a:blip r:embed="rId38"/>
                          <a:stretch>
                            <a:fillRect/>
                          </a:stretch>
                        </pic:blipFill>
                        <pic:spPr>
                          <a:xfrm>
                            <a:off x="0" y="0"/>
                            <a:ext cx="2733675" cy="2828925"/>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ø1400*750H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6700.00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6700.00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岩板+手动转盘</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26</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餐椅</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2057400" cy="2343150"/>
                  <wp:effectExtent l="0" t="0" r="0" b="6350"/>
                  <wp:docPr id="180"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28" descr="IMG_283"/>
                          <pic:cNvPicPr>
                            <a:picLocks noChangeAspect="1"/>
                          </pic:cNvPicPr>
                        </pic:nvPicPr>
                        <pic:blipFill>
                          <a:blip r:embed="rId35"/>
                          <a:stretch>
                            <a:fillRect/>
                          </a:stretch>
                        </pic:blipFill>
                        <pic:spPr>
                          <a:xfrm>
                            <a:off x="0" y="0"/>
                            <a:ext cx="2057400" cy="2343150"/>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540W*550D*800H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693.00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5544.00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纯美国白蜡木全实木，软包35以上高密度海绵外扪耐磨西皮或布艺。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采用出榫开槽实结构，粘合全部进口AB铁胶。</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27</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备餐柜</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1838325" cy="2447925"/>
                  <wp:effectExtent l="0" t="0" r="3175" b="3175"/>
                  <wp:docPr id="183"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29" descr="IMG_284"/>
                          <pic:cNvPicPr>
                            <a:picLocks noChangeAspect="1"/>
                          </pic:cNvPicPr>
                        </pic:nvPicPr>
                        <pic:blipFill>
                          <a:blip r:embed="rId39"/>
                          <a:stretch>
                            <a:fillRect/>
                          </a:stretch>
                        </pic:blipFill>
                        <pic:spPr>
                          <a:xfrm>
                            <a:off x="0" y="0"/>
                            <a:ext cx="1838325" cy="2447925"/>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800W*400D*750H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900.00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900.00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贴面用材：采用德国“夏特”SCHATTDECOR，其表面硬度是一般油漆的3倍，耐刮、耐磨、耐腐蚀、耐高温；采用纯三聚氰胺浸胶，使表面透明度更好，耐污性更强。压纹采用德国“胡克”钢板，浮雕细腻，质感明显                                      2、基料板材：选用福建“大亚”牌优质E1级环保高密度刨花板；                                                               3、PVC封边：欧德雅封边。                                                      4、五金配件：DTC、冠辉等国国际品牌优质五金件，均经过酸洗、磷洗等防锈处理</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28</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餐桌</w:t>
            </w:r>
          </w:p>
        </w:tc>
        <w:tc>
          <w:tcPr>
            <w:tcW w:w="146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3810000" cy="2847975"/>
                  <wp:effectExtent l="0" t="0" r="0" b="9525"/>
                  <wp:docPr id="173"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30" descr="IMG_285"/>
                          <pic:cNvPicPr>
                            <a:picLocks noChangeAspect="1"/>
                          </pic:cNvPicPr>
                        </pic:nvPicPr>
                        <pic:blipFill>
                          <a:blip r:embed="rId40"/>
                          <a:stretch>
                            <a:fillRect/>
                          </a:stretch>
                        </pic:blipFill>
                        <pic:spPr>
                          <a:xfrm>
                            <a:off x="0" y="0"/>
                            <a:ext cx="3810000" cy="2847975"/>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ø1400*750H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1950.00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3900.00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桌面PVC广告布，封边圆润平整不伤手，可折叠，带玻璃转盘</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29</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餐椅</w:t>
            </w:r>
          </w:p>
        </w:tc>
        <w:tc>
          <w:tcPr>
            <w:tcW w:w="14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16"/>
                <w:szCs w:val="16"/>
                <w:u w:val="none"/>
              </w:rPr>
            </w:pP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标准</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234.00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4680.00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选用透气面料，加厚坐垫，人体工学设计，久坐不累</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6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34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休息室</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办公桌</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2514600" cy="2447925"/>
                  <wp:effectExtent l="0" t="0" r="0" b="3175"/>
                  <wp:docPr id="181"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31" descr="IMG_286"/>
                          <pic:cNvPicPr>
                            <a:picLocks noChangeAspect="1"/>
                          </pic:cNvPicPr>
                        </pic:nvPicPr>
                        <pic:blipFill>
                          <a:blip r:embed="rId41"/>
                          <a:stretch>
                            <a:fillRect/>
                          </a:stretch>
                        </pic:blipFill>
                        <pic:spPr>
                          <a:xfrm>
                            <a:off x="0" y="0"/>
                            <a:ext cx="2514600" cy="2447925"/>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1200W*600D*750H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1200.00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国际品牌“大亚”优质E0级环保高密度刨花板；2、饰面纸：采用全球领先的德国夏特及德国名士克、其表面硬度是一般油漆的3倍，耐刮、耐磨、耐腐蚀、耐高温、不怕烟头烫；采用纯三聚氰胺浸胶，使表面透明度更好，耐污性更强。压纹采用德国“胡克”钢板，浮雕细腻，质感明显。3、PVC封边：采用德国“欧德雅”优质厚PVC封边带，厚度≥2mm；4.胶水：采用德国知名品牌 “汉高”与“胶王”热熔胶或同级别品牌；</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办公椅</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2190750" cy="2447925"/>
                  <wp:effectExtent l="0" t="0" r="6350" b="3175"/>
                  <wp:docPr id="195"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32" descr="IMG_287"/>
                          <pic:cNvPicPr>
                            <a:picLocks noChangeAspect="1"/>
                          </pic:cNvPicPr>
                        </pic:nvPicPr>
                        <pic:blipFill>
                          <a:blip r:embed="rId33"/>
                          <a:stretch>
                            <a:fillRect/>
                          </a:stretch>
                        </pic:blipFill>
                        <pic:spPr>
                          <a:xfrm>
                            <a:off x="0" y="0"/>
                            <a:ext cx="2190750" cy="2447925"/>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427.50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855.00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椅背：全新进口PP+玻纤，高弹力透气网布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扶手：PP+玻纤造型扶手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椅座：加厚定型海绵，弹力透气坐布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椅脚：32.5*20.5*T1.5mm定制异型管椅脚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脚轮：固定脚垫</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沙发</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3019425" cy="2867025"/>
                  <wp:effectExtent l="0" t="0" r="3175" b="3175"/>
                  <wp:docPr id="196"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33" descr="IMG_288"/>
                          <pic:cNvPicPr>
                            <a:picLocks noChangeAspect="1"/>
                          </pic:cNvPicPr>
                        </pic:nvPicPr>
                        <pic:blipFill>
                          <a:blip r:embed="rId42"/>
                          <a:stretch>
                            <a:fillRect/>
                          </a:stretch>
                        </pic:blipFill>
                        <pic:spPr>
                          <a:xfrm>
                            <a:off x="0" y="0"/>
                            <a:ext cx="3019425" cy="2867025"/>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三人位</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700.00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内框架：实木框架配多层夹板+木方装钉而成；                                         海绵：靠背为35密度高回弹切割新棉，坐垫为45密度高回弹切割新棉；                                                          承重弹力结构：靠背装钉进口多条橡筋，坐垫为标准间距蛇形簧+平衡进口橡筋+面布；                                              面料：布艺饰面；</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34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党建室</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文件柜</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2667000" cy="2390775"/>
                  <wp:effectExtent l="0" t="0" r="0" b="9525"/>
                  <wp:docPr id="197"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34" descr="IMG_289"/>
                          <pic:cNvPicPr>
                            <a:picLocks noChangeAspect="1"/>
                          </pic:cNvPicPr>
                        </pic:nvPicPr>
                        <pic:blipFill>
                          <a:blip r:embed="rId43"/>
                          <a:stretch>
                            <a:fillRect/>
                          </a:stretch>
                        </pic:blipFill>
                        <pic:spPr>
                          <a:xfrm>
                            <a:off x="0" y="0"/>
                            <a:ext cx="2667000" cy="2390775"/>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900W*400D*1850H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3200.00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60960</wp:posOffset>
                  </wp:positionH>
                  <wp:positionV relativeFrom="paragraph">
                    <wp:posOffset>1972945</wp:posOffset>
                  </wp:positionV>
                  <wp:extent cx="2644775" cy="3609340"/>
                  <wp:effectExtent l="0" t="0" r="9525" b="10160"/>
                  <wp:wrapNone/>
                  <wp:docPr id="172" name="图片_14"/>
                  <wp:cNvGraphicFramePr/>
                  <a:graphic xmlns:a="http://schemas.openxmlformats.org/drawingml/2006/main">
                    <a:graphicData uri="http://schemas.openxmlformats.org/drawingml/2006/picture">
                      <pic:pic xmlns:pic="http://schemas.openxmlformats.org/drawingml/2006/picture">
                        <pic:nvPicPr>
                          <pic:cNvPr id="172" name="图片_14"/>
                          <pic:cNvPicPr/>
                        </pic:nvPicPr>
                        <pic:blipFill>
                          <a:blip r:embed="rId44"/>
                          <a:stretch>
                            <a:fillRect/>
                          </a:stretch>
                        </pic:blipFill>
                        <pic:spPr>
                          <a:xfrm>
                            <a:off x="0" y="0"/>
                            <a:ext cx="2644775" cy="36093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lang w:val="en-US" w:eastAsia="zh-CN" w:bidi="ar"/>
              </w:rPr>
              <w:t>1、材料：优质冷轧钢板，裸板厚度0.7mm，全自动化机械生产流程，加工精细，耐用年限长久，经除油、除锈、水洗、表调、磷化处理，符合国家质量环保标准。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2、喷涂：采用优质环保粉末静电哑光喷涂，具有抗划伤、耐高温。                                                          3、锁具：独立优质锁具。</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32</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会议桌</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2771775" cy="2066925"/>
                  <wp:effectExtent l="0" t="0" r="9525" b="3175"/>
                  <wp:docPr id="184"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35" descr="IMG_290"/>
                          <pic:cNvPicPr>
                            <a:picLocks noChangeAspect="1"/>
                          </pic:cNvPicPr>
                        </pic:nvPicPr>
                        <pic:blipFill>
                          <a:blip r:embed="rId45"/>
                          <a:stretch>
                            <a:fillRect/>
                          </a:stretch>
                        </pic:blipFill>
                        <pic:spPr>
                          <a:xfrm>
                            <a:off x="0" y="0"/>
                            <a:ext cx="2771775" cy="2066925"/>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2400W*1200D*750H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2800.00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2800.00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国际品牌“大亚”优质E0级环保高密度刨花板；2、饰面纸：采用全球领先的德国夏特及德国名士克、其表面硬度是一般油漆的3倍，耐刮、耐磨、耐腐蚀、耐高温、不怕烟头烫；采用纯三聚氰胺浸胶，使表面透明度更好，耐污性更强。压纹采用德国“胡克”钢板，浮雕细腻，质感明显。3、PVC封边：采用德国“欧德雅”优质厚PVC封边带，厚度≥2mm；4.胶水：采用德国知名品牌 “汉高”与“胶王”热熔胶或同级别品牌；</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33</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办公椅</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2190750" cy="2447925"/>
                  <wp:effectExtent l="0" t="0" r="6350" b="3175"/>
                  <wp:docPr id="185"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36" descr="IMG_291"/>
                          <pic:cNvPicPr>
                            <a:picLocks noChangeAspect="1"/>
                          </pic:cNvPicPr>
                        </pic:nvPicPr>
                        <pic:blipFill>
                          <a:blip r:embed="rId33"/>
                          <a:stretch>
                            <a:fillRect/>
                          </a:stretch>
                        </pic:blipFill>
                        <pic:spPr>
                          <a:xfrm>
                            <a:off x="0" y="0"/>
                            <a:ext cx="2190750" cy="2447925"/>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FF0000"/>
                <w:kern w:val="0"/>
                <w:sz w:val="18"/>
                <w:szCs w:val="18"/>
                <w:u w:val="none"/>
                <w:lang w:val="en-US" w:eastAsia="zh-CN" w:bidi="ar"/>
              </w:rPr>
              <w:t>9</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427.50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3847.50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椅背：全新进口PP+玻纤，高弹力透气网布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扶手：PP+玻纤造型扶手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椅座：加厚定型海绵，弹力透气坐布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椅脚：32.5*20.5*T1.5mm定制异型管椅脚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脚轮：固定脚垫</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34</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茶水柜</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2914650" cy="2743200"/>
                  <wp:effectExtent l="0" t="0" r="6350" b="0"/>
                  <wp:docPr id="174"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37" descr="IMG_292"/>
                          <pic:cNvPicPr>
                            <a:picLocks noChangeAspect="1"/>
                          </pic:cNvPicPr>
                        </pic:nvPicPr>
                        <pic:blipFill>
                          <a:blip r:embed="rId46"/>
                          <a:stretch>
                            <a:fillRect/>
                          </a:stretch>
                        </pic:blipFill>
                        <pic:spPr>
                          <a:xfrm>
                            <a:off x="0" y="0"/>
                            <a:ext cx="2914650" cy="2743200"/>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1200W*400D*800H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1480.00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1480.00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国际品牌“大亚”优质E0级环保高密度刨花板；2、饰面纸：采用全球领先的德国夏特及德国名士克、其表面硬度是一般油漆的3倍，耐刮、耐磨、耐腐蚀、耐高温、不怕烟头烫；采用纯三聚氰胺浸胶，使表面透明度更好，耐污性更强。压纹采用德国“胡克”钢板，浮雕细腻，质感明显。3、PVC封边：采用德国“欧德雅”优质厚PVC封边带，厚度≥2mm；4.胶水：采用德国知名品牌 “汉高”与“胶王”热熔胶或同级别品牌；</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35</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34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资料室</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文件柜</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2667000" cy="2400300"/>
                  <wp:effectExtent l="0" t="0" r="0" b="0"/>
                  <wp:docPr id="182"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38" descr="IMG_293"/>
                          <pic:cNvPicPr>
                            <a:picLocks noChangeAspect="1"/>
                          </pic:cNvPicPr>
                        </pic:nvPicPr>
                        <pic:blipFill>
                          <a:blip r:embed="rId47"/>
                          <a:stretch>
                            <a:fillRect/>
                          </a:stretch>
                        </pic:blipFill>
                        <pic:spPr>
                          <a:xfrm>
                            <a:off x="0" y="0"/>
                            <a:ext cx="2667000" cy="2400300"/>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900W*400D*1850H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8000.00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1、材料：优质冷轧钢板，裸板厚度0.7mm，全自动化机械生产流程，加工精细，耐用年限长久，经除油、除锈、水洗、表调、磷化处理，符合国家质量环保标准。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2、喷涂：采用优质环保粉末静电哑光喷涂，具有抗划伤、耐高温。                                                          3、锁具：独立优质锁具。</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36</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货架</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2562225" cy="2352675"/>
                  <wp:effectExtent l="0" t="0" r="3175" b="9525"/>
                  <wp:docPr id="175"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39" descr="IMG_294"/>
                          <pic:cNvPicPr>
                            <a:picLocks noChangeAspect="1"/>
                          </pic:cNvPicPr>
                        </pic:nvPicPr>
                        <pic:blipFill>
                          <a:blip r:embed="rId48"/>
                          <a:stretch>
                            <a:fillRect/>
                          </a:stretch>
                        </pic:blipFill>
                        <pic:spPr>
                          <a:xfrm>
                            <a:off x="0" y="0"/>
                            <a:ext cx="2562225" cy="2352675"/>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1500W*600D*2000H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1150.00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1150.00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1.结构：采用4层。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2.材料：层板用料不小于0.8mm 优质一级冷轧钢板，立柱用料不小于1.2mm,经过酸洗、磷化、除油、除锈、等十位工艺处理不易生锈经久耐用点焊、无漏焊假焊、焊疤。</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3.涂层:环氧聚酯粉末，抗撞击、耐腐蚀性强、光泽性好、附着力强、整体采用灰白色喷漆。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4.配件:优质五金配件。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5.造型:采用格板高度随意可调造型、空间利用率大、承重力强大、外型优美有质感。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6.功能:按装方便、整体外形轮廓垂直平整无变型。</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2" w:hRule="atLeast"/>
        </w:trPr>
        <w:tc>
          <w:tcPr>
            <w:tcW w:w="3804"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白市驿驻地总金额</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207571.00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2"/>
                <w:szCs w:val="12"/>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2"/>
                <w:szCs w:val="12"/>
                <w:u w:val="none"/>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垫江驻地</w:t>
            </w:r>
          </w:p>
        </w:tc>
        <w:tc>
          <w:tcPr>
            <w:tcW w:w="34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办公室1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班台</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4629150" cy="2857500"/>
                  <wp:effectExtent l="0" t="0" r="6350" b="0"/>
                  <wp:docPr id="186"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40" descr="IMG_295"/>
                          <pic:cNvPicPr>
                            <a:picLocks noChangeAspect="1"/>
                          </pic:cNvPicPr>
                        </pic:nvPicPr>
                        <pic:blipFill>
                          <a:blip r:embed="rId15"/>
                          <a:stretch>
                            <a:fillRect/>
                          </a:stretch>
                        </pic:blipFill>
                        <pic:spPr>
                          <a:xfrm>
                            <a:off x="0" y="0"/>
                            <a:ext cx="4629150" cy="2857500"/>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1800W*1800D*750H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1800.00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1800.00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德国“夏特”SCHATTDECOR，其表面硬度是一般油漆的3倍，耐刮、耐磨、耐腐蚀、耐高温；采用纯三聚氰胺浸胶，使表面透明度更好，耐污性更强。压纹采用德国“胡克”钢板，浮雕细腻，质感明显                                                  2、基料板材：选用福建“大亚”牌优质E1级环保高密度刨花板；                                                               3、PVC封边：欧德雅封边。                                                      4、五金配件：DTC、冠辉等国国际品牌优质五金件，均经过酸洗、磷洗等防锈处理</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文件柜</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1152525" cy="2657475"/>
                  <wp:effectExtent l="0" t="0" r="3175" b="9525"/>
                  <wp:docPr id="187"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41" descr="IMG_296"/>
                          <pic:cNvPicPr>
                            <a:picLocks noChangeAspect="1"/>
                          </pic:cNvPicPr>
                        </pic:nvPicPr>
                        <pic:blipFill>
                          <a:blip r:embed="rId16"/>
                          <a:stretch>
                            <a:fillRect/>
                          </a:stretch>
                        </pic:blipFill>
                        <pic:spPr>
                          <a:xfrm>
                            <a:off x="0" y="0"/>
                            <a:ext cx="1152525" cy="2657475"/>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800W*400D*2000H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1050.00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2100.00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德国“夏特”SCHATTDECOR，其表面硬度是一般油漆的3倍，耐刮、耐磨、耐腐蚀、耐高温；采用纯三聚氰胺浸胶，使表面透明度更好，耐污性更强。压纹采用德国“胡克”钢板，浮雕细腻，质感明显                                               2、基料板材：选用福建“大亚”牌优质E1级环保高密度刨花板；                                                               3、PVC封边：欧德雅封边。                                                      4、五金配件：DTC、冠辉等国国际品牌优质五金件，均经过酸洗、磷洗等防锈处理</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班椅</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1895475" cy="2724150"/>
                  <wp:effectExtent l="0" t="0" r="9525" b="6350"/>
                  <wp:docPr id="188"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42" descr="IMG_297"/>
                          <pic:cNvPicPr>
                            <a:picLocks noChangeAspect="1"/>
                          </pic:cNvPicPr>
                        </pic:nvPicPr>
                        <pic:blipFill>
                          <a:blip r:embed="rId49"/>
                          <a:stretch>
                            <a:fillRect/>
                          </a:stretch>
                        </pic:blipFill>
                        <pic:spPr>
                          <a:xfrm>
                            <a:off x="0" y="0"/>
                            <a:ext cx="1895475" cy="2724150"/>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高背</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1100.00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·优质西皮饰面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·18mm厚内外弯板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·高弹力海绵</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·铝合金扶手架连体扶手，配皮扶手面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·飞机底盘带原位锁定功能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·65#电镀汽杆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·∮350铝合金面包脚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·φ50MM黑色尼龙轮</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2"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班前椅</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866900" cy="2381250"/>
                  <wp:effectExtent l="0" t="0" r="0" b="6350"/>
                  <wp:docPr id="176"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43" descr="IMG_298"/>
                          <pic:cNvPicPr>
                            <a:picLocks noChangeAspect="1"/>
                          </pic:cNvPicPr>
                        </pic:nvPicPr>
                        <pic:blipFill>
                          <a:blip r:embed="rId50"/>
                          <a:stretch>
                            <a:fillRect/>
                          </a:stretch>
                        </pic:blipFill>
                        <pic:spPr>
                          <a:xfrm>
                            <a:off x="0" y="0"/>
                            <a:ext cx="1866900" cy="2381250"/>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弯管</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1260.00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·优质西皮饰面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·18mm厚内外弯板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·高弹力海绵</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·1.8厚扁管电镀扶手连体弓形架配扪皮扶手面</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沙发                （三人位）</w:t>
            </w:r>
          </w:p>
        </w:tc>
        <w:tc>
          <w:tcPr>
            <w:tcW w:w="146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4295775" cy="1714500"/>
                  <wp:effectExtent l="0" t="0" r="9525" b="0"/>
                  <wp:docPr id="189"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44" descr="IMG_299"/>
                          <pic:cNvPicPr>
                            <a:picLocks noChangeAspect="1"/>
                          </pic:cNvPicPr>
                        </pic:nvPicPr>
                        <pic:blipFill>
                          <a:blip r:embed="rId21"/>
                          <a:stretch>
                            <a:fillRect/>
                          </a:stretch>
                        </pic:blipFill>
                        <pic:spPr>
                          <a:xfrm>
                            <a:off x="0" y="0"/>
                            <a:ext cx="4295775" cy="1714500"/>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2020W*940D*810H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1800.00 </w:t>
            </w:r>
          </w:p>
        </w:tc>
        <w:tc>
          <w:tcPr>
            <w:tcW w:w="34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·优质西皮饰面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·高弹力海绵</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·四面抛光、烘干、除虫处理实木木架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·锰钢蛇簧加平衡线处理，永不变形</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沙发       （单人位）</w:t>
            </w:r>
          </w:p>
        </w:tc>
        <w:tc>
          <w:tcPr>
            <w:tcW w:w="14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16"/>
                <w:szCs w:val="16"/>
                <w:u w:val="none"/>
              </w:rPr>
            </w:pP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980W*940D*810H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900.00 </w:t>
            </w:r>
          </w:p>
        </w:tc>
        <w:tc>
          <w:tcPr>
            <w:tcW w:w="3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茶几</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3162300" cy="2276475"/>
                  <wp:effectExtent l="0" t="0" r="0" b="9525"/>
                  <wp:docPr id="190"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45" descr="IMG_300"/>
                          <pic:cNvPicPr>
                            <a:picLocks noChangeAspect="1"/>
                          </pic:cNvPicPr>
                        </pic:nvPicPr>
                        <pic:blipFill>
                          <a:blip r:embed="rId51"/>
                          <a:stretch>
                            <a:fillRect/>
                          </a:stretch>
                        </pic:blipFill>
                        <pic:spPr>
                          <a:xfrm>
                            <a:off x="0" y="0"/>
                            <a:ext cx="3162300" cy="2276475"/>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1200W*600D*540H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1300.00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面板：20MM一体式茶盘火烧石+钢化玻</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架子：优质黑砂喷涂钢架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茶炉：全自动智能抽水茶炉</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34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办公室2</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班台</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4629150" cy="2857500"/>
                  <wp:effectExtent l="0" t="0" r="6350" b="0"/>
                  <wp:docPr id="191"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46" descr="IMG_301"/>
                          <pic:cNvPicPr>
                            <a:picLocks noChangeAspect="1"/>
                          </pic:cNvPicPr>
                        </pic:nvPicPr>
                        <pic:blipFill>
                          <a:blip r:embed="rId15"/>
                          <a:stretch>
                            <a:fillRect/>
                          </a:stretch>
                        </pic:blipFill>
                        <pic:spPr>
                          <a:xfrm>
                            <a:off x="0" y="0"/>
                            <a:ext cx="4629150" cy="2857500"/>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1600W*1600D*750H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3600.00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德国“夏特”SCHATTDECOR，其表面硬度是一般油漆的3倍，耐刮、耐磨、耐腐蚀、耐高温；采用纯三聚氰胺浸胶，使表面透明度更好，耐污性更强。压纹采用德国“胡克”钢板，浮雕细腻，质感明显                                                  2、基料板材：选用福建“大亚”牌优质E1级环保高密度刨花板；                                                               3、PVC封边：欧德雅封边。                                                      4、五金配件：DTC、冠辉等国国际品牌优质五金件，均经过酸洗、磷洗等防锈处理</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文件柜</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1152525" cy="2657475"/>
                  <wp:effectExtent l="0" t="0" r="3175" b="9525"/>
                  <wp:docPr id="192"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47" descr="IMG_302"/>
                          <pic:cNvPicPr>
                            <a:picLocks noChangeAspect="1"/>
                          </pic:cNvPicPr>
                        </pic:nvPicPr>
                        <pic:blipFill>
                          <a:blip r:embed="rId16"/>
                          <a:stretch>
                            <a:fillRect/>
                          </a:stretch>
                        </pic:blipFill>
                        <pic:spPr>
                          <a:xfrm>
                            <a:off x="0" y="0"/>
                            <a:ext cx="1152525" cy="2657475"/>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800W*400D*2000H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1050.00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4200.00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德国“夏特”SCHATTDECOR，其表面硬度是一般油漆的3倍，耐刮、耐磨、耐腐蚀、耐高温；采用纯三聚氰胺浸胶，使表面透明度更好，耐污性更强。压纹采用德国“胡克”钢板，浮雕细腻，质感明显                                               2、基料板材：选用福建“大亚”牌优质E1级环保高密度刨花板；                                                               3、PVC封边：欧德雅封边。                                                      4、五金配件：DTC、冠辉等国国际品牌优质五金件，均经过酸洗、磷洗等防锈处理</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班椅</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2266950" cy="2819400"/>
                  <wp:effectExtent l="0" t="0" r="6350" b="0"/>
                  <wp:docPr id="204"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48" descr="IMG_303"/>
                          <pic:cNvPicPr>
                            <a:picLocks noChangeAspect="1"/>
                          </pic:cNvPicPr>
                        </pic:nvPicPr>
                        <pic:blipFill>
                          <a:blip r:embed="rId22"/>
                          <a:stretch>
                            <a:fillRect/>
                          </a:stretch>
                        </pic:blipFill>
                        <pic:spPr>
                          <a:xfrm>
                            <a:off x="0" y="0"/>
                            <a:ext cx="2266950" cy="2819400"/>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高背</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1980.00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头枕：PA+30%玻纤，网布2D头枕,上下升降，前后旋转</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椅背：PA+30%玻纤+自适应弹力双背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椅座：PA+30%玻纤外框+定型棉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底盘：5档锁定自负重底盘,带滑动功能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扶手：PA+30%玻纤扶手架+PU扶手面，3D扶手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气杆：行程65mm#沉口70mm三级气压棒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椅脚：340mm尼龙脚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椅轮：60/25PU黑色轮</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2"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班前椅</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457325" cy="2171700"/>
                  <wp:effectExtent l="0" t="0" r="3175" b="0"/>
                  <wp:docPr id="206"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49" descr="IMG_304"/>
                          <pic:cNvPicPr>
                            <a:picLocks noChangeAspect="1"/>
                          </pic:cNvPicPr>
                        </pic:nvPicPr>
                        <pic:blipFill>
                          <a:blip r:embed="rId23"/>
                          <a:stretch>
                            <a:fillRect/>
                          </a:stretch>
                        </pic:blipFill>
                        <pic:spPr>
                          <a:xfrm>
                            <a:off x="0" y="0"/>
                            <a:ext cx="1457325" cy="2171700"/>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弯管</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1920.00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华宇优质特网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腰部独立支撑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黑色PP加玻纤背架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黑色尼龙玻纤独立扶手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座包采用定型绵</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弓型架采用2.0mm铁管黑色喷涂而成，通过抗氧化功能测试</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沙发</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4295775" cy="1714500"/>
                  <wp:effectExtent l="0" t="0" r="9525" b="0"/>
                  <wp:docPr id="205"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50" descr="IMG_305"/>
                          <pic:cNvPicPr>
                            <a:picLocks noChangeAspect="1"/>
                          </pic:cNvPicPr>
                        </pic:nvPicPr>
                        <pic:blipFill>
                          <a:blip r:embed="rId21"/>
                          <a:stretch>
                            <a:fillRect/>
                          </a:stretch>
                        </pic:blipFill>
                        <pic:spPr>
                          <a:xfrm>
                            <a:off x="0" y="0"/>
                            <a:ext cx="4295775" cy="1714500"/>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三人位</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3600.00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·优质西皮饰面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·高弹力海绵</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·四面抛光、烘干、除虫处理实木木架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·锰钢蛇簧加平衡线处理，永不变形</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茶几</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2409825" cy="2019300"/>
                  <wp:effectExtent l="0" t="0" r="3175" b="0"/>
                  <wp:docPr id="198"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51" descr="IMG_306"/>
                          <pic:cNvPicPr>
                            <a:picLocks noChangeAspect="1"/>
                          </pic:cNvPicPr>
                        </pic:nvPicPr>
                        <pic:blipFill>
                          <a:blip r:embed="rId20"/>
                          <a:stretch>
                            <a:fillRect/>
                          </a:stretch>
                        </pic:blipFill>
                        <pic:spPr>
                          <a:xfrm>
                            <a:off x="0" y="0"/>
                            <a:ext cx="2409825" cy="2019300"/>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1200W*600D*430H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650.00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1300.00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德国“夏特”SCHATTDECOR，其表面硬度是一般油漆的3倍，耐刮、耐磨、耐腐蚀、耐高温；采用纯三聚氰胺浸胶，使表面透明度更好，耐污性更强。压纹采用德国“胡克”钢板，浮雕细腻，质感明显                                                  2、基料板材：选用福建“大亚”牌优质E1级环保高密度刨花板；                                                               3、PVC封边：欧德雅封边。                                                      4、五金配件：DTC、冠辉等国国际品牌优质五金件，均经过酸洗、磷洗等防锈处理</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3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办公室3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办公桌</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4191000" cy="2857500"/>
                  <wp:effectExtent l="0" t="0" r="0" b="0"/>
                  <wp:docPr id="199"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52" descr="IMG_307"/>
                          <pic:cNvPicPr>
                            <a:picLocks noChangeAspect="1"/>
                          </pic:cNvPicPr>
                        </pic:nvPicPr>
                        <pic:blipFill>
                          <a:blip r:embed="rId52"/>
                          <a:stretch>
                            <a:fillRect/>
                          </a:stretch>
                        </pic:blipFill>
                        <pic:spPr>
                          <a:xfrm>
                            <a:off x="0" y="0"/>
                            <a:ext cx="4191000" cy="2857500"/>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1400W*1400D*1100H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2400.00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31200.00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国际品牌“大亚”优质E0级环保高密度刨花板；2、饰面纸：采用全球领先的德国夏特及德国名士克、其表面硬度是一般油漆的3倍，耐刮、耐磨、耐腐蚀、耐高温、不怕烟头烫；采用纯三聚氰胺浸胶，使表面透明度更好，耐污性更强。压纹采用德国“胡克”钢板，浮雕细腻，质感明显。3、PVC封边：采用德国“欧德雅”优质厚PVC封边带，厚度≥2mm；4.胶水：采用德国知名品牌 “汉高”与“胶王”热熔胶或同级别品牌；5、屏风：外观厚度为≥32mm，高度为1100H,分三段。屏风框架边框为国标6063铝材挤压成型，铝材厚度达1.2mm以上，框架表面无尘静电喷涂或氧化工艺，符合GB/T 3325-2017金属家具通用技术条件标准；底部配可调节脚；采用三段式屏风。6、五金：采用优质五金配件。</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办公椅</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2209800" cy="2762250"/>
                  <wp:effectExtent l="0" t="0" r="0" b="6350"/>
                  <wp:docPr id="200"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53" descr="IMG_308"/>
                          <pic:cNvPicPr>
                            <a:picLocks noChangeAspect="1"/>
                          </pic:cNvPicPr>
                        </pic:nvPicPr>
                        <pic:blipFill>
                          <a:blip r:embed="rId25"/>
                          <a:stretch>
                            <a:fillRect/>
                          </a:stretch>
                        </pic:blipFill>
                        <pic:spPr>
                          <a:xfrm>
                            <a:off x="0" y="0"/>
                            <a:ext cx="2209800" cy="2762250"/>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高背</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11700.00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·超大联体头枕加黑色尼龙加纤背架配300mm推背伸缩线控气杆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·黑色尼龙坐壳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·60密度定型座海绵</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·联动可拉伸尼龙扶手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·方形超宽底盘</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·可拉伸265mm行程脚托配可180度旋转脚踏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·65#沉70mm黑色气杆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·340mm黑色尼龙五星脚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·φ55mm黑色耐磨尼龙轮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·倾仰最大角度160°</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344"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机动办公室</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职员位</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2400300" cy="2228850"/>
                  <wp:effectExtent l="0" t="0" r="0" b="6350"/>
                  <wp:docPr id="201"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54" descr="IMG_309"/>
                          <pic:cNvPicPr>
                            <a:picLocks noChangeAspect="1"/>
                          </pic:cNvPicPr>
                        </pic:nvPicPr>
                        <pic:blipFill>
                          <a:blip r:embed="rId24"/>
                          <a:stretch>
                            <a:fillRect/>
                          </a:stretch>
                        </pic:blipFill>
                        <pic:spPr>
                          <a:xfrm>
                            <a:off x="0" y="0"/>
                            <a:ext cx="2400300" cy="2228850"/>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1600W*800D*750H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1650.00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4950.00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德国“夏特”SCHATTDECOR，其表面硬度是一般油漆的3倍，耐刮、耐磨、耐腐蚀、耐高温；采用纯三聚氰胺浸胶，使表面透明度更好，耐污性更强。压纹采用德国“胡克”钢板，浮雕细腻，质感明显                                                  2、基料板材：选用福建“大亚”牌优质E1级环保高密度刨花板；                                                               3、PVC封边：欧德雅封边。                                                      4、五金配件：DTC、冠辉等国国际品牌优质五金件，均经过酸洗、磷洗等防锈处理</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3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会议室1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会议桌</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4105275" cy="1485900"/>
                  <wp:effectExtent l="0" t="0" r="9525" b="0"/>
                  <wp:docPr id="207"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55" descr="IMG_310"/>
                          <pic:cNvPicPr>
                            <a:picLocks noChangeAspect="1"/>
                          </pic:cNvPicPr>
                        </pic:nvPicPr>
                        <pic:blipFill>
                          <a:blip r:embed="rId53"/>
                          <a:stretch>
                            <a:fillRect/>
                          </a:stretch>
                        </pic:blipFill>
                        <pic:spPr>
                          <a:xfrm>
                            <a:off x="0" y="0"/>
                            <a:ext cx="4105275" cy="1485900"/>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3600W*1420D*760H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5735</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5735.00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1、材料：基材采用E1环保高密度板基材，符合GB/T31765-2015《高密度纤维板》标准，含水率（%）达到3.0-13.0，密度＞0.8g/cm³,甲醛释放限量E1≤0.124mg/m³。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2、面材采用（0.6mm）AAA级天然胡桃木皮贴面，采用机械化贴面，表面平整耐久，经过防虫防腐处理，纹理清晰，甲醛释放限量E1≤0.02mg/m³。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3、工艺要求：表面选用优质水性油漆涂料，符合GB 24410-2009室内装饰装修材料 水性木器涂料中有害物质限量标准，苯系列物（苯、甲苯、乙苯和二甲苯总和）含量≤50mg/kg，游离甲醛释放量E1≤10mg/kg，漆膜硬度大于2H；                                         5、五金配件：德国BMB锁具，优质连接件；采用“BMB”、“海福乐”、海蒂斯、百隆（BLUM）（参照或相当于）或以上等级五金配件。</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17</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会议椅</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1800225" cy="2324100"/>
                  <wp:effectExtent l="0" t="0" r="3175" b="0"/>
                  <wp:docPr id="202"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56" descr="IMG_311"/>
                          <pic:cNvPicPr>
                            <a:picLocks noChangeAspect="1"/>
                          </pic:cNvPicPr>
                        </pic:nvPicPr>
                        <pic:blipFill>
                          <a:blip r:embed="rId28"/>
                          <a:stretch>
                            <a:fillRect/>
                          </a:stretch>
                        </pic:blipFill>
                        <pic:spPr>
                          <a:xfrm>
                            <a:off x="0" y="0"/>
                            <a:ext cx="1800225" cy="2324100"/>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640W*720D*1000H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477.00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5724.00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·一体成型PP椅座，标配定型绵坐垫；</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·标配坐壳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·可选5种颜色SN布；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·细砂粉喷12mm实心钢材雪橇架；</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344"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会议室2</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会议条桌</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3457575" cy="2466975"/>
                  <wp:effectExtent l="0" t="0" r="9525" b="9525"/>
                  <wp:docPr id="203"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57" descr="IMG_312"/>
                          <pic:cNvPicPr>
                            <a:picLocks noChangeAspect="1"/>
                          </pic:cNvPicPr>
                        </pic:nvPicPr>
                        <pic:blipFill>
                          <a:blip r:embed="rId29"/>
                          <a:stretch>
                            <a:fillRect/>
                          </a:stretch>
                        </pic:blipFill>
                        <pic:spPr>
                          <a:xfrm>
                            <a:off x="0" y="0"/>
                            <a:ext cx="3457575" cy="2466975"/>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1200W*400D*760H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FF0000"/>
                <w:kern w:val="0"/>
                <w:sz w:val="18"/>
                <w:szCs w:val="18"/>
                <w:u w:val="none"/>
                <w:lang w:val="en-US" w:eastAsia="zh-CN" w:bidi="ar"/>
              </w:rPr>
              <w:t>16</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825.00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13200.00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1、材料：基材采用E1环保高密度板基材，符合GB/T31765-2015《高密度纤维板》标准，含水率（%）达到3.0-13.0，密度＞0.8g/cm³,甲醛释放限量E1≤0.124mg/m³。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2、面材采用（0.6mm）AAA级天然胡桃木皮贴面，采用机械化贴面，表面平整耐久，经过防虫防腐处理，纹理清晰，甲醛释放限量E1≤0.02mg/m³。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3、工艺要求：表面选用优质水性油漆涂料，符合GB 24410-2009室内装饰装修材料 水性木器涂料中有害物质限量标准，苯系列物（苯、甲苯、乙苯和二甲苯总和）含量≤50mg/kg，游离甲醛释放量E1≤10mg/kg，漆膜硬度大于2H；                                     5、五金配件：德国BMB锁具，优质连接件；采用“BMB”、“海福乐”、海蒂斯、百隆（BLUM）（参照或相当于）或以上等级五金配件。</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2" w:hRule="atLeast"/>
        </w:trPr>
        <w:tc>
          <w:tcPr>
            <w:tcW w:w="3804"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垫江驻地总金额</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99369.00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2"/>
                <w:szCs w:val="12"/>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2"/>
                <w:szCs w:val="12"/>
                <w:u w:val="none"/>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丰都驻地</w:t>
            </w:r>
          </w:p>
        </w:tc>
        <w:tc>
          <w:tcPr>
            <w:tcW w:w="34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办公室1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班台</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4629150" cy="2857500"/>
                  <wp:effectExtent l="0" t="0" r="6350" b="0"/>
                  <wp:docPr id="136"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58" descr="IMG_313"/>
                          <pic:cNvPicPr>
                            <a:picLocks noChangeAspect="1"/>
                          </pic:cNvPicPr>
                        </pic:nvPicPr>
                        <pic:blipFill>
                          <a:blip r:embed="rId15"/>
                          <a:stretch>
                            <a:fillRect/>
                          </a:stretch>
                        </pic:blipFill>
                        <pic:spPr>
                          <a:xfrm>
                            <a:off x="0" y="0"/>
                            <a:ext cx="4629150" cy="2857500"/>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1600W*1600D*750H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2300.00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16100.00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德国“夏特”SCHATTDECOR，其表面硬度是一般油漆的3倍，耐刮、耐磨、耐腐蚀、耐高温；采用纯三聚氰胺浸胶，使表面透明度更好，耐污性更强。压纹采用德国“胡克”钢板，浮雕细腻，质感明显                                                  2、基料板材：选用福建“大亚”牌优质E1级环保高密度刨花板；                                                               3、PVC封边：欧德雅封边。                                                      4、五金配件：DTC、冠辉等国国际品牌优质五金件，均经过酸洗、磷洗等防锈处理</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文件柜</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1390650" cy="2657475"/>
                  <wp:effectExtent l="0" t="0" r="6350" b="9525"/>
                  <wp:docPr id="117" name="图片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59" descr="IMG_314"/>
                          <pic:cNvPicPr>
                            <a:picLocks noChangeAspect="1"/>
                          </pic:cNvPicPr>
                        </pic:nvPicPr>
                        <pic:blipFill>
                          <a:blip r:embed="rId54"/>
                          <a:stretch>
                            <a:fillRect/>
                          </a:stretch>
                        </pic:blipFill>
                        <pic:spPr>
                          <a:xfrm>
                            <a:off x="0" y="0"/>
                            <a:ext cx="1390650" cy="2657475"/>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800W*400D*2000H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1050.00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8400.00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德国“夏特”SCHATTDECOR，其表面硬度是一般油漆的3倍，耐刮、耐磨、耐腐蚀、耐高温；采用纯三聚氰胺浸胶，使表面透明度更好，耐污性更强。压纹采用德国“胡克”钢板，浮雕细腻，质感明显                                               2、基料板材：选用福建“大亚”牌优质E1级环保高密度刨花板；                                                               3、PVC封边：欧德雅封边。                                                      4、五金配件：DTC、冠辉等国国际品牌优质五金件，均经过酸洗、磷洗等防锈处理</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班椅</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2266950" cy="2819400"/>
                  <wp:effectExtent l="0" t="0" r="6350" b="0"/>
                  <wp:docPr id="114" name="图片 6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0" descr="IMG_315"/>
                          <pic:cNvPicPr>
                            <a:picLocks noChangeAspect="1"/>
                          </pic:cNvPicPr>
                        </pic:nvPicPr>
                        <pic:blipFill>
                          <a:blip r:embed="rId22"/>
                          <a:stretch>
                            <a:fillRect/>
                          </a:stretch>
                        </pic:blipFill>
                        <pic:spPr>
                          <a:xfrm>
                            <a:off x="0" y="0"/>
                            <a:ext cx="2266950" cy="2819400"/>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高背</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6930.00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头枕：PA+30%玻纤，网布2D头枕,上下升降，前后旋转</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椅背：PA+30%玻纤+自适应弹力双背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椅座：PA+30%玻纤外框+定型棉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底盘：5档锁定自负重底盘,带滑动功能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扶手：PA+30%玻纤扶手架+PU扶手面，3D扶手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气杆：行程65mm#沉口70mm三级气压棒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椅脚：340mm尼龙脚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椅轮：60/25PU黑色轮</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沙发                （三人位）</w:t>
            </w:r>
          </w:p>
        </w:tc>
        <w:tc>
          <w:tcPr>
            <w:tcW w:w="146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4295775" cy="1714500"/>
                  <wp:effectExtent l="0" t="0" r="9525" b="0"/>
                  <wp:docPr id="113" name="图片 6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61" descr="IMG_316"/>
                          <pic:cNvPicPr>
                            <a:picLocks noChangeAspect="1"/>
                          </pic:cNvPicPr>
                        </pic:nvPicPr>
                        <pic:blipFill>
                          <a:blip r:embed="rId21"/>
                          <a:stretch>
                            <a:fillRect/>
                          </a:stretch>
                        </pic:blipFill>
                        <pic:spPr>
                          <a:xfrm>
                            <a:off x="0" y="0"/>
                            <a:ext cx="4295775" cy="1714500"/>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2020W*940D*810H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1800.00 </w:t>
            </w:r>
          </w:p>
        </w:tc>
        <w:tc>
          <w:tcPr>
            <w:tcW w:w="34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·优质西皮饰面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·高弹力海绵</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·四面抛光、烘干、除虫处理实木木架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·锰钢蛇簧加平衡线处理，永不变形</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沙发       （单人位）</w:t>
            </w:r>
          </w:p>
        </w:tc>
        <w:tc>
          <w:tcPr>
            <w:tcW w:w="14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16"/>
                <w:szCs w:val="16"/>
                <w:u w:val="none"/>
              </w:rPr>
            </w:pP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980W*940D*810H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1800.00 </w:t>
            </w:r>
          </w:p>
        </w:tc>
        <w:tc>
          <w:tcPr>
            <w:tcW w:w="3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3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办公室2</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屏风卡位</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4095750" cy="2809875"/>
                  <wp:effectExtent l="0" t="0" r="6350" b="9525"/>
                  <wp:docPr id="137" name="图片 6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62" descr="IMG_317"/>
                          <pic:cNvPicPr>
                            <a:picLocks noChangeAspect="1"/>
                          </pic:cNvPicPr>
                        </pic:nvPicPr>
                        <pic:blipFill>
                          <a:blip r:embed="rId55"/>
                          <a:stretch>
                            <a:fillRect/>
                          </a:stretch>
                        </pic:blipFill>
                        <pic:spPr>
                          <a:xfrm>
                            <a:off x="0" y="0"/>
                            <a:ext cx="4095750" cy="2809875"/>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1400W*1400D*1100H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2400.00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19200.00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国际品牌“大亚”优质E0级环保高密度刨花板；2、饰面纸：采用全球领先的德国夏特及德国名士克、其表面硬度是一般油漆的3倍，耐刮、耐磨、耐腐蚀、耐高温、不怕烟头烫；采用纯三聚氰胺浸胶，使表面透明度更好，耐污性更强。压纹采用德国“胡克”钢板，浮雕细腻，质感明显。3、PVC封边：采用德国“欧德雅”优质厚PVC封边带，厚度≥2mm；4.胶水：采用德国知名品牌 “汉高”与“胶王”热熔胶或同级别品牌；5、屏风：外观厚度为≥32mm，高度为1100H,分三段。屏风框架边框为国标6063铝材挤压成型，铝材厚度达1.2mm以上，框架表面无尘静电喷涂或氧化工艺，符合GB/T 3325-2017金属家具通用技术条件标准；底部配可调节脚；采用三段式屏风。6、五金：采用优质五金配件。</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活动柜</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1685925" cy="1971675"/>
                  <wp:effectExtent l="0" t="0" r="3175" b="9525"/>
                  <wp:docPr id="115" name="图片 63"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63" descr="IMG_318"/>
                          <pic:cNvPicPr>
                            <a:picLocks noChangeAspect="1"/>
                          </pic:cNvPicPr>
                        </pic:nvPicPr>
                        <pic:blipFill>
                          <a:blip r:embed="rId56"/>
                          <a:stretch>
                            <a:fillRect/>
                          </a:stretch>
                        </pic:blipFill>
                        <pic:spPr>
                          <a:xfrm>
                            <a:off x="0" y="0"/>
                            <a:ext cx="1685925" cy="1971675"/>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厂规</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2000.00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国际品牌“大亚”优质E0级环保高密度刨花板；2、饰面纸：采用全球领先的德国夏特及德国名士克、其表面硬度是一般油漆的3倍，耐刮、耐磨、耐腐蚀、耐高温、不怕烟头烫；采用纯三聚氰胺浸胶，使表面透明度更好，耐污性更强。压纹采用德国“胡克”钢板，浮雕细腻，质感明显。3、PVC封边：采用德国“欧德雅”优质厚PVC封边带，厚度≥2mm；4.胶水：采用德国知名品牌 “汉高”与“胶王”热熔胶或同级别品牌；</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办公椅</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2209800" cy="2762250"/>
                  <wp:effectExtent l="0" t="0" r="0" b="6350"/>
                  <wp:docPr id="110" name="图片 64"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64" descr="IMG_319"/>
                          <pic:cNvPicPr>
                            <a:picLocks noChangeAspect="1"/>
                          </pic:cNvPicPr>
                        </pic:nvPicPr>
                        <pic:blipFill>
                          <a:blip r:embed="rId25"/>
                          <a:stretch>
                            <a:fillRect/>
                          </a:stretch>
                        </pic:blipFill>
                        <pic:spPr>
                          <a:xfrm>
                            <a:off x="0" y="0"/>
                            <a:ext cx="2209800" cy="2762250"/>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高背</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13500.00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·超大联体头枕加黑色尼龙加纤背架配300mm推背伸缩线控气杆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·黑色尼龙坐壳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·60密度定型座海绵</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·联动可拉伸尼龙扶手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·方形超宽底盘</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·可拉伸265mm行程脚托配可180度旋转脚踏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·65#沉70mm黑色气杆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·340mm黑色尼龙五星脚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·φ55mm黑色耐磨尼龙轮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·倾仰最大角度160°</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文件柜</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2667000" cy="2390775"/>
                  <wp:effectExtent l="0" t="0" r="0" b="9525"/>
                  <wp:docPr id="109" name="图片 6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65" descr="IMG_320"/>
                          <pic:cNvPicPr>
                            <a:picLocks noChangeAspect="1"/>
                          </pic:cNvPicPr>
                        </pic:nvPicPr>
                        <pic:blipFill>
                          <a:blip r:embed="rId43"/>
                          <a:stretch>
                            <a:fillRect/>
                          </a:stretch>
                        </pic:blipFill>
                        <pic:spPr>
                          <a:xfrm>
                            <a:off x="0" y="0"/>
                            <a:ext cx="2667000" cy="2390775"/>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900W*400D*1850H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4000.00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1、材料：优质冷轧钢板，裸板厚度0.7mm，全自动化机械生产流程，加工精细，耐用年限长久，经除油、除锈、水洗、表调、磷化处理，符合国家质量环保标准。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2、喷涂：采用优质环保粉末静电哑光喷涂，具有抗划伤、耐高温。                                                          3、锁具：独立优质锁具。</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3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会议室</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会议条桌</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3457575" cy="2466975"/>
                  <wp:effectExtent l="0" t="0" r="9525" b="9525"/>
                  <wp:docPr id="108" name="图片 6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66" descr="IMG_321"/>
                          <pic:cNvPicPr>
                            <a:picLocks noChangeAspect="1"/>
                          </pic:cNvPicPr>
                        </pic:nvPicPr>
                        <pic:blipFill>
                          <a:blip r:embed="rId29"/>
                          <a:stretch>
                            <a:fillRect/>
                          </a:stretch>
                        </pic:blipFill>
                        <pic:spPr>
                          <a:xfrm>
                            <a:off x="0" y="0"/>
                            <a:ext cx="3457575" cy="2466975"/>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1200W*400D*760H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825.00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13200.00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1、材料：基材采用E1环保高密度板基材，符合GB/T31765-2015《高密度纤维板》标准，含水率（%）达到3.0-13.0，密度＞0.8g/cm³,甲醛释放限量E1≤0.124mg/m³。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2、面材采用（0.6mm）AAA级天然胡桃木皮贴面，采用机械化贴面，表面平整耐久，经过防虫防腐处理，纹理清晰，甲醛释放限量E1≤0.02mg/m³。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3、工艺要求：表面选用优质水性油漆涂料，符合GB 24410-2009室内装饰装修材料 水性木器涂料中有害物质限量标准，苯系列物（苯、甲苯、乙苯和二甲苯总和）含量≤50mg/kg，游离甲醛释放量E1≤10mg/kg，漆膜硬度大于2H；                                5、五金配件：德国BMB锁具，优质连接件；采用“BMB”、“海福乐”、海蒂斯、百隆（BLUM）（参照或相当于）或以上等级五金配件。</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椅子</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2200275" cy="2762250"/>
                  <wp:effectExtent l="0" t="0" r="9525" b="6350"/>
                  <wp:docPr id="111" name="图片 67"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67" descr="IMG_322"/>
                          <pic:cNvPicPr>
                            <a:picLocks noChangeAspect="1"/>
                          </pic:cNvPicPr>
                        </pic:nvPicPr>
                        <pic:blipFill>
                          <a:blip r:embed="rId30"/>
                          <a:stretch>
                            <a:fillRect/>
                          </a:stretch>
                        </pic:blipFill>
                        <pic:spPr>
                          <a:xfrm>
                            <a:off x="0" y="0"/>
                            <a:ext cx="2200275" cy="2762250"/>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标准</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405.00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12960.00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1、面料：优质西皮，黑色，皮面柔软光泽度好，厚度适中，透气性强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2、泡绵：优质高回弹PU泡棉，涂防老化变形保护膜。圆润厚实，弹性好，承受压力250kg                                                      3、实木脚架</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椅子</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2324100" cy="2466975"/>
                  <wp:effectExtent l="0" t="0" r="0" b="9525"/>
                  <wp:docPr id="122" name="图片 68"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68" descr="IMG_323"/>
                          <pic:cNvPicPr>
                            <a:picLocks noChangeAspect="1"/>
                          </pic:cNvPicPr>
                        </pic:nvPicPr>
                        <pic:blipFill>
                          <a:blip r:embed="rId31"/>
                          <a:stretch>
                            <a:fillRect/>
                          </a:stretch>
                        </pic:blipFill>
                        <pic:spPr>
                          <a:xfrm>
                            <a:off x="0" y="0"/>
                            <a:ext cx="2324100" cy="2466975"/>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标准</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FF0000"/>
                <w:kern w:val="0"/>
                <w:sz w:val="18"/>
                <w:szCs w:val="18"/>
                <w:u w:val="none"/>
                <w:lang w:val="en-US" w:eastAsia="zh-CN" w:bidi="ar"/>
              </w:rPr>
              <w:t>18</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420.00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7560.00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椅背：全新进口PA+玻纤材质，高弹力竹节布背网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椅座：硬度50，密度60的定型海绵，高弹力透气坐布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扶手：PA+15%玻纤，前后滑动扶手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写字板：PP+30%玻纤加厚板面，精抛铝合金旋转机构</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椅架：20.5*32.5*T1.5mm优质Q235碳素钢椅架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脚垫：Φ50mm黑色PU静音轮</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34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接待区</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接待沙发</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3200400" cy="2733675"/>
                  <wp:effectExtent l="0" t="0" r="0" b="9525"/>
                  <wp:docPr id="123" name="图片 69"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69" descr="IMG_324"/>
                          <pic:cNvPicPr>
                            <a:picLocks noChangeAspect="1"/>
                          </pic:cNvPicPr>
                        </pic:nvPicPr>
                        <pic:blipFill>
                          <a:blip r:embed="rId57"/>
                          <a:stretch>
                            <a:fillRect/>
                          </a:stretch>
                        </pic:blipFill>
                        <pic:spPr>
                          <a:xfrm>
                            <a:off x="0" y="0"/>
                            <a:ext cx="3200400" cy="2733675"/>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830W*770D*740H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1235.00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9880.00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内框架：实木框架配多层夹板+木方装钉而成；                                         海绵：靠背为35密度高回弹切割新棉，坐垫为45密度高回弹切割新棉；                                                      承重弹力结构：靠背装钉进口多条橡筋，坐垫为标准间距蛇形簧+平衡进口橡筋+面布；                                              面料：可选布艺/西皮及真皮；                                             五金：不锈钢钢脚；</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茶几</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1800225" cy="1781175"/>
                  <wp:effectExtent l="0" t="0" r="3175" b="9525"/>
                  <wp:docPr id="129" name="图片 70"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70" descr="IMG_325"/>
                          <pic:cNvPicPr>
                            <a:picLocks noChangeAspect="1"/>
                          </pic:cNvPicPr>
                        </pic:nvPicPr>
                        <pic:blipFill>
                          <a:blip r:embed="rId58"/>
                          <a:stretch>
                            <a:fillRect/>
                          </a:stretch>
                        </pic:blipFill>
                        <pic:spPr>
                          <a:xfrm>
                            <a:off x="0" y="0"/>
                            <a:ext cx="1800225" cy="1781175"/>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600W*600D*430H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480.00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1920.00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国际品牌“大亚”优质E0级环保高密度刨花板；2、饰面纸：采用全球领先的德国夏特及德国名士克、其表面硬度是一般油漆的3倍，耐刮、耐磨、耐腐蚀、耐高温、不怕烟头烫；采用纯三聚氰胺浸胶，使表面透明度更好，耐污性更强。压纹采用德国“胡克”钢板，浮雕细腻，质感明显。3、PVC封边：采用德国“欧德雅”优质厚PVC封边带，厚度≥2mm；4.胶水：采用德国知名品牌 “汉高”与“胶王”热熔胶或同级别品牌；</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34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休息室</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办公桌</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2514600" cy="2447925"/>
                  <wp:effectExtent l="0" t="0" r="0" b="3175"/>
                  <wp:docPr id="112" name="图片 71"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71" descr="IMG_326"/>
                          <pic:cNvPicPr>
                            <a:picLocks noChangeAspect="1"/>
                          </pic:cNvPicPr>
                        </pic:nvPicPr>
                        <pic:blipFill>
                          <a:blip r:embed="rId41"/>
                          <a:stretch>
                            <a:fillRect/>
                          </a:stretch>
                        </pic:blipFill>
                        <pic:spPr>
                          <a:xfrm>
                            <a:off x="0" y="0"/>
                            <a:ext cx="2514600" cy="2447925"/>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1200W*600D*750H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1200.00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国际品牌“大亚”优质E0级环保高密度刨花板；2、饰面纸：采用全球领先的德国夏特及德国名士克、其表面硬度是一般油漆的3倍，耐刮、耐磨、耐腐蚀、耐高温、不怕烟头烫；采用纯三聚氰胺浸胶，使表面透明度更好，耐污性更强。压纹采用德国“胡克”钢板，浮雕细腻，质感明显。3、PVC封边：采用德国“欧德雅”优质厚PVC封边带，厚度≥2mm；4.胶水：采用德国知名品牌 “汉高”与“胶王”热熔胶或同级别品牌；</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办公椅</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2190750" cy="2447925"/>
                  <wp:effectExtent l="0" t="0" r="6350" b="3175"/>
                  <wp:docPr id="135" name="图片 72"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72" descr="IMG_327"/>
                          <pic:cNvPicPr>
                            <a:picLocks noChangeAspect="1"/>
                          </pic:cNvPicPr>
                        </pic:nvPicPr>
                        <pic:blipFill>
                          <a:blip r:embed="rId33"/>
                          <a:stretch>
                            <a:fillRect/>
                          </a:stretch>
                        </pic:blipFill>
                        <pic:spPr>
                          <a:xfrm>
                            <a:off x="0" y="0"/>
                            <a:ext cx="2190750" cy="2447925"/>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427.50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855.00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椅背：全新进口PP+玻纤，高弹力透气网布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扶手：PP+玻纤造型扶手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椅座：加厚定型海绵，弹力透气坐布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椅脚：32.5*20.5*T1.5mm定制异型管椅脚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脚轮：固定脚垫</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沙发</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3019425" cy="2867025"/>
                  <wp:effectExtent l="0" t="0" r="3175" b="3175"/>
                  <wp:docPr id="130" name="图片 73"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73" descr="IMG_328"/>
                          <pic:cNvPicPr>
                            <a:picLocks noChangeAspect="1"/>
                          </pic:cNvPicPr>
                        </pic:nvPicPr>
                        <pic:blipFill>
                          <a:blip r:embed="rId42"/>
                          <a:stretch>
                            <a:fillRect/>
                          </a:stretch>
                        </pic:blipFill>
                        <pic:spPr>
                          <a:xfrm>
                            <a:off x="0" y="0"/>
                            <a:ext cx="3019425" cy="2867025"/>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三人位</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700.00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内框架：实木框架配多层夹板+木方装钉而成；                                         海绵：靠背为35密度高回弹切割新棉，坐垫为45密度高回弹切割新棉；                                                          承重弹力结构：靠背装钉进口多条橡筋，坐垫为标准间距蛇形簧+平衡进口橡筋+面布；                                              面料：布艺饰面；</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资料室</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文件柜</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2667000" cy="2390775"/>
                  <wp:effectExtent l="0" t="0" r="0" b="9525"/>
                  <wp:docPr id="116" name="图片 74"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74" descr="IMG_329"/>
                          <pic:cNvPicPr>
                            <a:picLocks noChangeAspect="1"/>
                          </pic:cNvPicPr>
                        </pic:nvPicPr>
                        <pic:blipFill>
                          <a:blip r:embed="rId43"/>
                          <a:stretch>
                            <a:fillRect/>
                          </a:stretch>
                        </pic:blipFill>
                        <pic:spPr>
                          <a:xfrm>
                            <a:off x="0" y="0"/>
                            <a:ext cx="2667000" cy="2390775"/>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900W*400D*1850H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6400.00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1、材料：优质冷轧钢板，裸板厚度0.7mm，全自动化机械生产流程，加工精细，耐用年限长久，经除油、除锈、水洗、表调、磷化处理，符合国家质量环保标准。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2、喷涂：采用优质环保粉末静电哑光喷涂，具有抗划伤、耐高温。                                                          3、锁具：独立优质锁具。</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2" w:hRule="atLeast"/>
        </w:trPr>
        <w:tc>
          <w:tcPr>
            <w:tcW w:w="3804"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丰都驻地总金额</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128405.00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2"/>
                <w:szCs w:val="12"/>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2"/>
                <w:szCs w:val="12"/>
                <w:u w:val="none"/>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武隆驻地</w:t>
            </w:r>
          </w:p>
        </w:tc>
        <w:tc>
          <w:tcPr>
            <w:tcW w:w="34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办公室1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班台</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4629150" cy="2857500"/>
                  <wp:effectExtent l="0" t="0" r="6350" b="0"/>
                  <wp:docPr id="118" name="图片 75"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75" descr="IMG_330"/>
                          <pic:cNvPicPr>
                            <a:picLocks noChangeAspect="1"/>
                          </pic:cNvPicPr>
                        </pic:nvPicPr>
                        <pic:blipFill>
                          <a:blip r:embed="rId15"/>
                          <a:stretch>
                            <a:fillRect/>
                          </a:stretch>
                        </pic:blipFill>
                        <pic:spPr>
                          <a:xfrm>
                            <a:off x="0" y="0"/>
                            <a:ext cx="4629150" cy="2857500"/>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1800W*1600D*750H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1800.00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德国“夏特”SCHATTDECOR，其表面硬度是一般油漆的3倍，耐刮、耐磨、耐腐蚀、耐高温；采用纯三聚氰胺浸胶，使表面透明度更好，耐污性更强。压纹采用德国“胡克”钢板，浮雕细腻，质感明显                                                  2、基料板材：选用福建“大亚”牌优质E1级环保高密度刨花板；                                                               3、PVC封边：欧德雅封边。                                                      4、五金配件：DTC、冠辉等国国际品牌优质五金件，均经过酸洗、磷洗等防锈处理</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班椅</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1438275" cy="2171700"/>
                  <wp:effectExtent l="0" t="0" r="9525" b="0"/>
                  <wp:docPr id="119" name="图片 76"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76" descr="IMG_331"/>
                          <pic:cNvPicPr>
                            <a:picLocks noChangeAspect="1"/>
                          </pic:cNvPicPr>
                        </pic:nvPicPr>
                        <pic:blipFill>
                          <a:blip r:embed="rId17"/>
                          <a:stretch>
                            <a:fillRect/>
                          </a:stretch>
                        </pic:blipFill>
                        <pic:spPr>
                          <a:xfrm>
                            <a:off x="0" y="0"/>
                            <a:ext cx="1438275" cy="2171700"/>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高背</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1100.00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·优质西皮饰面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·18mm厚内外弯板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·高弹力海绵</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·铝合金扶手架连体扶手，配皮扶手面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·飞机底盘带原位锁定功能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·65#电镀汽杆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·∮350铝合金面包脚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·φ50MM黑色尼龙轮</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2"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班前椅</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866900" cy="2381250"/>
                  <wp:effectExtent l="0" t="0" r="0" b="6350"/>
                  <wp:docPr id="126" name="图片 77"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7" descr="IMG_332"/>
                          <pic:cNvPicPr>
                            <a:picLocks noChangeAspect="1"/>
                          </pic:cNvPicPr>
                        </pic:nvPicPr>
                        <pic:blipFill>
                          <a:blip r:embed="rId50"/>
                          <a:stretch>
                            <a:fillRect/>
                          </a:stretch>
                        </pic:blipFill>
                        <pic:spPr>
                          <a:xfrm>
                            <a:off x="0" y="0"/>
                            <a:ext cx="1866900" cy="2381250"/>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弯管</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1260.00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·优质西皮饰面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·18mm厚内外弯板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·高弹力海绵</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·1.8厚扁管电镀扶手连体弓形架配扪皮扶手面</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2"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茶几</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2409825" cy="2019300"/>
                  <wp:effectExtent l="0" t="0" r="3175" b="0"/>
                  <wp:docPr id="120" name="图片 78"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78" descr="IMG_333"/>
                          <pic:cNvPicPr>
                            <a:picLocks noChangeAspect="1"/>
                          </pic:cNvPicPr>
                        </pic:nvPicPr>
                        <pic:blipFill>
                          <a:blip r:embed="rId20"/>
                          <a:stretch>
                            <a:fillRect/>
                          </a:stretch>
                        </pic:blipFill>
                        <pic:spPr>
                          <a:xfrm>
                            <a:off x="0" y="0"/>
                            <a:ext cx="2409825" cy="2019300"/>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1200W*600D*430H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650.00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650.00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德国“夏特”SCHATTDECOR，其表面硬度是一般油漆的3倍，耐刮、耐磨、耐腐蚀、耐高温；采用纯三聚氰胺浸胶，使表面透明度更好，耐污性更强。压纹采用德国“胡克”钢板，浮雕细腻，质感明显                                                  2、基料板材：选用福建“大亚”牌优质E1级环保高密度刨花板；                                                               3、PVC封边：欧德雅封边。                                                      4、五金配件：DTC、冠辉等国国际品牌优质五金件，均经过酸洗、磷洗等防锈处理</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沙发</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4295775" cy="1714500"/>
                  <wp:effectExtent l="0" t="0" r="9525" b="0"/>
                  <wp:docPr id="121" name="图片 79"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79" descr="IMG_334"/>
                          <pic:cNvPicPr>
                            <a:picLocks noChangeAspect="1"/>
                          </pic:cNvPicPr>
                        </pic:nvPicPr>
                        <pic:blipFill>
                          <a:blip r:embed="rId21"/>
                          <a:stretch>
                            <a:fillRect/>
                          </a:stretch>
                        </pic:blipFill>
                        <pic:spPr>
                          <a:xfrm>
                            <a:off x="0" y="0"/>
                            <a:ext cx="4295775" cy="1714500"/>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2020W*940D*810H  （三人位）</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1800.00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·优质西皮饰面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·高弹力海绵</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·四面抛光、烘干、除虫处理实木木架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·锰钢蛇簧加平衡线处理，永不变形</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34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办公室2</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班台</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4629150" cy="2857500"/>
                  <wp:effectExtent l="0" t="0" r="6350" b="0"/>
                  <wp:docPr id="139" name="图片 80"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80" descr="IMG_335"/>
                          <pic:cNvPicPr>
                            <a:picLocks noChangeAspect="1"/>
                          </pic:cNvPicPr>
                        </pic:nvPicPr>
                        <pic:blipFill>
                          <a:blip r:embed="rId15"/>
                          <a:stretch>
                            <a:fillRect/>
                          </a:stretch>
                        </pic:blipFill>
                        <pic:spPr>
                          <a:xfrm>
                            <a:off x="0" y="0"/>
                            <a:ext cx="4629150" cy="2857500"/>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1600W*1600D*750H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4600.00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德国“夏特”SCHATTDECOR，其表面硬度是一般油漆的3倍，耐刮、耐磨、耐腐蚀、耐高温；采用纯三聚氰胺浸胶，使表面透明度更好，耐污性更强。压纹采用德国“胡克”钢板，浮雕细腻，质感明显                                                  2、基料板材：选用福建“大亚”牌优质E1级环保高密度刨花板；                                                               3、PVC封边：欧德雅封边。                                                      4、五金配件：DTC、冠辉等国国际品牌优质五金件，均经过酸洗、磷洗等防锈处理</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班椅</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2266950" cy="2819400"/>
                  <wp:effectExtent l="0" t="0" r="6350" b="0"/>
                  <wp:docPr id="125" name="图片 81"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81" descr="IMG_336"/>
                          <pic:cNvPicPr>
                            <a:picLocks noChangeAspect="1"/>
                          </pic:cNvPicPr>
                        </pic:nvPicPr>
                        <pic:blipFill>
                          <a:blip r:embed="rId22"/>
                          <a:stretch>
                            <a:fillRect/>
                          </a:stretch>
                        </pic:blipFill>
                        <pic:spPr>
                          <a:xfrm>
                            <a:off x="0" y="0"/>
                            <a:ext cx="2266950" cy="2819400"/>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高背</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1980.00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头枕：PA+30%玻纤，网布2D头枕,上下升降，前后旋转</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椅背：PA+30%玻纤+自适应弹力双背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椅座：PA+30%玻纤外框+定型棉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底盘：5档锁定自负重底盘,带滑动功能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扶手：PA+30%玻纤扶手架+PU扶手面，3D扶手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气杆：行程65mm#沉口70mm三级气压棒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椅脚：340mm尼龙脚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椅轮：60/25PU黑色轮</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班前椅</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457325" cy="2171700"/>
                  <wp:effectExtent l="0" t="0" r="3175" b="0"/>
                  <wp:docPr id="128" name="图片 82" descr="IMG_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82" descr="IMG_337"/>
                          <pic:cNvPicPr>
                            <a:picLocks noChangeAspect="1"/>
                          </pic:cNvPicPr>
                        </pic:nvPicPr>
                        <pic:blipFill>
                          <a:blip r:embed="rId23"/>
                          <a:stretch>
                            <a:fillRect/>
                          </a:stretch>
                        </pic:blipFill>
                        <pic:spPr>
                          <a:xfrm>
                            <a:off x="0" y="0"/>
                            <a:ext cx="1457325" cy="2171700"/>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弯管</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1920.00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华宇优质特网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腰部独立支撑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黑色PP加玻纤背架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黑色尼龙玻纤独立扶手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座包采用定型绵</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弓型架采用2.0mm铁管黑色喷涂而成，通过抗氧化功能测试</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34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办公室3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班台</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2371725" cy="2324100"/>
                  <wp:effectExtent l="0" t="0" r="3175" b="0"/>
                  <wp:docPr id="138" name="图片 83" descr="IMG_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83" descr="IMG_338"/>
                          <pic:cNvPicPr>
                            <a:picLocks noChangeAspect="1"/>
                          </pic:cNvPicPr>
                        </pic:nvPicPr>
                        <pic:blipFill>
                          <a:blip r:embed="rId59"/>
                          <a:stretch>
                            <a:fillRect/>
                          </a:stretch>
                        </pic:blipFill>
                        <pic:spPr>
                          <a:xfrm>
                            <a:off x="0" y="0"/>
                            <a:ext cx="2371725" cy="2324100"/>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1400W*600D*750H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1250.00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2500.00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德国“夏特”SCHATTDECOR，其表面硬度是一般油漆的3倍，耐刮、耐磨、耐腐蚀、耐高温；采用纯三聚氰胺浸胶，使表面透明度更好，耐污性更强。压纹采用德国“胡克”钢板，浮雕细腻，质感明显                                                  2、基料板材：选用福建“大亚”牌优质E1级环保高密度刨花板；                                                               3、PVC封边：欧德雅封边。                                                      4、五金配件：DTC、冠辉等国国际品牌优质五金件，均经过酸洗、磷洗等防锈处理</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办公椅</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2209800" cy="2762250"/>
                  <wp:effectExtent l="0" t="0" r="0" b="6350"/>
                  <wp:docPr id="124" name="图片 84" descr="IMG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84" descr="IMG_339"/>
                          <pic:cNvPicPr>
                            <a:picLocks noChangeAspect="1"/>
                          </pic:cNvPicPr>
                        </pic:nvPicPr>
                        <pic:blipFill>
                          <a:blip r:embed="rId25"/>
                          <a:stretch>
                            <a:fillRect/>
                          </a:stretch>
                        </pic:blipFill>
                        <pic:spPr>
                          <a:xfrm>
                            <a:off x="0" y="0"/>
                            <a:ext cx="2209800" cy="2762250"/>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高背</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1800.00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·超大联体头枕加黑色尼龙加纤背架配300mm推背伸缩线控气杆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·黑色尼龙坐壳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·60密度定型座海绵</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·联动可拉伸尼龙扶手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·方形超宽底盘</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·可拉伸265mm行程脚托配可180度旋转脚踏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·65#沉70mm黑色气杆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·340mm黑色尼龙五星脚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·φ55mm黑色耐磨尼龙轮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·倾仰最大角度160°</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3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办公室4</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办公桌</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4248150" cy="2905125"/>
                  <wp:effectExtent l="0" t="0" r="6350" b="3175"/>
                  <wp:docPr id="127" name="图片 85"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85" descr="IMG_340"/>
                          <pic:cNvPicPr>
                            <a:picLocks noChangeAspect="1"/>
                          </pic:cNvPicPr>
                        </pic:nvPicPr>
                        <pic:blipFill>
                          <a:blip r:embed="rId60"/>
                          <a:stretch>
                            <a:fillRect/>
                          </a:stretch>
                        </pic:blipFill>
                        <pic:spPr>
                          <a:xfrm>
                            <a:off x="0" y="0"/>
                            <a:ext cx="4248150" cy="2905125"/>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1400W*1400D*1100H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2400.00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28800.00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国际品牌“大亚”优质E0级环保高密度刨花板；2、饰面纸：采用全球领先的德国夏特及德国名士克、其表面硬度是一般油漆的3倍，耐刮、耐磨、耐腐蚀、耐高温、不怕烟头烫；采用纯三聚氰胺浸胶，使表面透明度更好，耐污性更强。压纹采用德国“胡克”钢板，浮雕细腻，质感明显。3、PVC封边：采用德国“欧德雅”优质厚PVC封边带，厚度≥2mm；4.胶水：采用德国知名品牌 “汉高”与“胶王”热熔胶或同级别品牌；5、屏风：外观厚度为≥32mm，高度为1100H,分三段。屏风框架边框为国标6063铝材挤压成型，铝材厚度达1.2mm以上，框架表面无尘静电喷涂或氧化工艺，符合GB/T 3325-2017金属家具通用技术条件标准；底部配可调节脚；采用三段式屏风。6、五金：采用优质五金配件。</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活动柜</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1685925" cy="1971675"/>
                  <wp:effectExtent l="0" t="0" r="3175" b="9525"/>
                  <wp:docPr id="131" name="图片 86" descr="IMG_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86" descr="IMG_341"/>
                          <pic:cNvPicPr>
                            <a:picLocks noChangeAspect="1"/>
                          </pic:cNvPicPr>
                        </pic:nvPicPr>
                        <pic:blipFill>
                          <a:blip r:embed="rId56"/>
                          <a:stretch>
                            <a:fillRect/>
                          </a:stretch>
                        </pic:blipFill>
                        <pic:spPr>
                          <a:xfrm>
                            <a:off x="0" y="0"/>
                            <a:ext cx="1685925" cy="1971675"/>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厂规</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3000.00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国际品牌“大亚”优质E0级环保高密度刨花板；2、饰面纸：采用全球领先的德国夏特及德国名士克、其表面硬度是一般油漆的3倍，耐刮、耐磨、耐腐蚀、耐高温、不怕烟头烫；采用纯三聚氰胺浸胶，使表面透明度更好，耐污性更强。压纹采用德国“胡克”钢板，浮雕细腻，质感明显。3、PVC封边：采用德国“欧德雅”优质厚PVC封边带，厚度≥2mm；4.胶水：采用德国知名品牌 “汉高”与“胶王”热熔胶或同级别品牌；</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办公椅</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2209800" cy="2762250"/>
                  <wp:effectExtent l="0" t="0" r="0" b="6350"/>
                  <wp:docPr id="132" name="图片 87" descr="IMG_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87" descr="IMG_342"/>
                          <pic:cNvPicPr>
                            <a:picLocks noChangeAspect="1"/>
                          </pic:cNvPicPr>
                        </pic:nvPicPr>
                        <pic:blipFill>
                          <a:blip r:embed="rId25"/>
                          <a:stretch>
                            <a:fillRect/>
                          </a:stretch>
                        </pic:blipFill>
                        <pic:spPr>
                          <a:xfrm>
                            <a:off x="0" y="0"/>
                            <a:ext cx="2209800" cy="2762250"/>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高背</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10800.00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·超大联体头枕加黑色尼龙加纤背架配300mm推背伸缩线控气杆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·黑色尼龙坐壳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·60密度定型座海绵</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·联动可拉伸尼龙扶手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·方形超宽底盘</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·可拉伸265mm行程脚托配可180度旋转脚踏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·65#沉70mm黑色气杆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·340mm黑色尼龙五星脚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·φ55mm黑色耐磨尼龙轮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·倾仰最大角度160°</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文件柜</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2667000" cy="2390775"/>
                  <wp:effectExtent l="0" t="0" r="0" b="9525"/>
                  <wp:docPr id="133" name="图片 88" descr="IMG_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88" descr="IMG_343"/>
                          <pic:cNvPicPr>
                            <a:picLocks noChangeAspect="1"/>
                          </pic:cNvPicPr>
                        </pic:nvPicPr>
                        <pic:blipFill>
                          <a:blip r:embed="rId43"/>
                          <a:stretch>
                            <a:fillRect/>
                          </a:stretch>
                        </pic:blipFill>
                        <pic:spPr>
                          <a:xfrm>
                            <a:off x="0" y="0"/>
                            <a:ext cx="2667000" cy="2390775"/>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900W*400D*1850H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FF0000"/>
                <w:kern w:val="0"/>
                <w:sz w:val="18"/>
                <w:szCs w:val="18"/>
                <w:u w:val="none"/>
                <w:lang w:val="en-US" w:eastAsia="zh-CN" w:bidi="ar"/>
              </w:rPr>
              <w:t>10</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8000.00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1、材料：优质冷轧钢板，裸板厚度0.7mm，全自动化机械生产流程，加工精细，耐用年限长久，经除油、除锈、水洗、表调、磷化处理，符合国家质量环保标准。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2、喷涂：采用优质环保粉末静电哑光喷涂，具有抗划伤、耐高温。                                                          3、锁具：独立优质锁具。</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沙发</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3495675" cy="1571625"/>
                  <wp:effectExtent l="0" t="0" r="9525" b="3175"/>
                  <wp:docPr id="134" name="图片 89" descr="IMG_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89" descr="IMG_344"/>
                          <pic:cNvPicPr>
                            <a:picLocks noChangeAspect="1"/>
                          </pic:cNvPicPr>
                        </pic:nvPicPr>
                        <pic:blipFill>
                          <a:blip r:embed="rId61"/>
                          <a:stretch>
                            <a:fillRect/>
                          </a:stretch>
                        </pic:blipFill>
                        <pic:spPr>
                          <a:xfrm>
                            <a:off x="0" y="0"/>
                            <a:ext cx="3495675" cy="1571625"/>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三人位</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2200.00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4400.00 </w:t>
            </w:r>
          </w:p>
        </w:tc>
        <w:tc>
          <w:tcPr>
            <w:tcW w:w="34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内框架：实木框架配多层夹板+木方装钉而成；                                         海绵：靠背为35密度高回弹切割新棉，坐垫为45密度高回弹切割新棉；                                                      承重弹力结构：靠背装钉进口多条橡筋，坐垫为标准间距蛇形簧+平衡进口橡筋+面布；                                              面料：西皮饰面；</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沙发</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16"/>
                <w:szCs w:val="16"/>
                <w:u w:val="none"/>
              </w:rPr>
            </w:pP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单人位</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2400.00 </w:t>
            </w:r>
          </w:p>
        </w:tc>
        <w:tc>
          <w:tcPr>
            <w:tcW w:w="3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茶几</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2400300" cy="2019300"/>
                  <wp:effectExtent l="0" t="0" r="0" b="0"/>
                  <wp:docPr id="145" name="图片 90" descr="IMG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90" descr="IMG_345"/>
                          <pic:cNvPicPr>
                            <a:picLocks noChangeAspect="1"/>
                          </pic:cNvPicPr>
                        </pic:nvPicPr>
                        <pic:blipFill>
                          <a:blip r:embed="rId62"/>
                          <a:stretch>
                            <a:fillRect/>
                          </a:stretch>
                        </pic:blipFill>
                        <pic:spPr>
                          <a:xfrm>
                            <a:off x="0" y="0"/>
                            <a:ext cx="2400300" cy="2019300"/>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1200W*600D*430H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650.00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1300.00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德国“夏特”SCHATTDECOR，其表面硬度是一般油漆的3倍，耐刮、耐磨、耐腐蚀、耐高温；采用纯三聚氰胺浸胶，使表面透明度更好，耐污性更强。压纹采用德国“胡克”钢板，浮雕细腻，质感明显                                                  2、基料板材：选用福建“大亚”牌优质E1级环保高密度刨花板；                                                               3、PVC封边：欧德雅封边。                                                      4、五金配件：DTC、冠辉等国国际品牌优质五金件，均经过酸洗、磷洗等防锈处理</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3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党建室</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会议桌</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2771775" cy="2066925"/>
                  <wp:effectExtent l="0" t="0" r="9525" b="3175"/>
                  <wp:docPr id="142" name="图片 91" descr="IMG_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91" descr="IMG_346"/>
                          <pic:cNvPicPr>
                            <a:picLocks noChangeAspect="1"/>
                          </pic:cNvPicPr>
                        </pic:nvPicPr>
                        <pic:blipFill>
                          <a:blip r:embed="rId45"/>
                          <a:stretch>
                            <a:fillRect/>
                          </a:stretch>
                        </pic:blipFill>
                        <pic:spPr>
                          <a:xfrm>
                            <a:off x="0" y="0"/>
                            <a:ext cx="2771775" cy="2066925"/>
                          </a:xfrm>
                          <a:prstGeom prst="rect">
                            <a:avLst/>
                          </a:prstGeom>
                          <a:noFill/>
                          <a:ln w="9525">
                            <a:noFill/>
                          </a:ln>
                        </pic:spPr>
                      </pic:pic>
                    </a:graphicData>
                  </a:graphic>
                </wp:inline>
              </w:drawing>
            </w:r>
            <w:r>
              <w:rPr>
                <w:rFonts w:hint="eastAsia" w:ascii="宋体" w:hAnsi="宋体" w:eastAsia="宋体" w:cs="宋体"/>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735965</wp:posOffset>
                  </wp:positionH>
                  <wp:positionV relativeFrom="paragraph">
                    <wp:posOffset>384810</wp:posOffset>
                  </wp:positionV>
                  <wp:extent cx="1852295" cy="1383030"/>
                  <wp:effectExtent l="0" t="0" r="1905" b="1270"/>
                  <wp:wrapNone/>
                  <wp:docPr id="140" name="图片_1"/>
                  <wp:cNvGraphicFramePr/>
                  <a:graphic xmlns:a="http://schemas.openxmlformats.org/drawingml/2006/main">
                    <a:graphicData uri="http://schemas.openxmlformats.org/drawingml/2006/picture">
                      <pic:pic xmlns:pic="http://schemas.openxmlformats.org/drawingml/2006/picture">
                        <pic:nvPicPr>
                          <pic:cNvPr id="140" name="图片_1"/>
                          <pic:cNvPicPr/>
                        </pic:nvPicPr>
                        <pic:blipFill>
                          <a:blip r:embed="rId63"/>
                          <a:stretch>
                            <a:fillRect/>
                          </a:stretch>
                        </pic:blipFill>
                        <pic:spPr>
                          <a:xfrm>
                            <a:off x="0" y="0"/>
                            <a:ext cx="1852295" cy="1383030"/>
                          </a:xfrm>
                          <a:prstGeom prst="rect">
                            <a:avLst/>
                          </a:prstGeom>
                          <a:noFill/>
                          <a:ln>
                            <a:noFill/>
                          </a:ln>
                        </pic:spPr>
                      </pic:pic>
                    </a:graphicData>
                  </a:graphic>
                </wp:anchor>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2400W*1200D*750H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2800.00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2800.00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国际品牌“大亚”优质E0级环保高密度刨花板；2、饰面纸：采用全球领先的德国夏特及德国名士克、其表面硬度是一般油漆的3倍，耐刮、耐磨、耐腐蚀、耐高温、不怕烟头烫；采用纯三聚氰胺浸胶，使表面透明度更好，耐污性更强。压纹采用德国“胡克”钢板，浮雕细腻，质感明显。3、PVC封边：采用德国“欧德雅”优质厚PVC封边带，厚度≥2mm；4.胶水：采用德国知名品牌 “汉高”与“胶王”热熔胶或同级别品牌；</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17</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洽谈椅</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2190750" cy="2447925"/>
                  <wp:effectExtent l="0" t="0" r="6350" b="3175"/>
                  <wp:docPr id="141" name="图片 92" descr="IMG_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92" descr="IMG_347"/>
                          <pic:cNvPicPr>
                            <a:picLocks noChangeAspect="1"/>
                          </pic:cNvPicPr>
                        </pic:nvPicPr>
                        <pic:blipFill>
                          <a:blip r:embed="rId33"/>
                          <a:stretch>
                            <a:fillRect/>
                          </a:stretch>
                        </pic:blipFill>
                        <pic:spPr>
                          <a:xfrm>
                            <a:off x="0" y="0"/>
                            <a:ext cx="2190750" cy="2447925"/>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427.50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2992.50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椅背：全新进口PP+玻纤，高弹力透气网布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扶手：PP+玻纤造型扶手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椅座：加厚定型海绵，弹力透气坐布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椅脚：32.5*20.5*T1.5mm定制异型管椅脚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脚轮：固定脚垫</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3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会议室</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会议条桌</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3457575" cy="2466975"/>
                  <wp:effectExtent l="0" t="0" r="9525" b="9525"/>
                  <wp:docPr id="147" name="图片 93" descr="IMG_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93" descr="IMG_348"/>
                          <pic:cNvPicPr>
                            <a:picLocks noChangeAspect="1"/>
                          </pic:cNvPicPr>
                        </pic:nvPicPr>
                        <pic:blipFill>
                          <a:blip r:embed="rId29"/>
                          <a:stretch>
                            <a:fillRect/>
                          </a:stretch>
                        </pic:blipFill>
                        <pic:spPr>
                          <a:xfrm>
                            <a:off x="0" y="0"/>
                            <a:ext cx="3457575" cy="2466975"/>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1200W*400D*760H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825.00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9900.00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1、材料：基材采用E1环保高密度板基材，符合GB/T31765-2015《高密度纤维板》标准，含水率（%）达到3.0-13.0，密度＞0.8g/cm³,甲醛释放限量E1≤0.124mg/m³。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2、面材采用（0.6mm）AAA级天然胡桃木皮贴面，采用机械化贴面，表面平整耐久，经过防虫防腐处理，纹理清晰，甲醛释放限量E1≤0.02mg/m³。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3、工艺要求：表面选用优质水性油漆涂料，符合GB 24410-2009室内装饰装修材料 水性木器涂料中有害物质限量标准，苯系列物（苯、甲苯、乙苯和二甲苯总和）含量≤50mg/kg，游离甲醛释放量E1≤10mg/kg，漆膜硬度大于2H；                                5、五金配件：德国BMB锁具，优质连接件；采用“BMB”、“海福乐”、海蒂斯、百隆（BLUM）（参照或相当于）或以上等级五金配件。</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19</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椅子</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2200275" cy="2762250"/>
                  <wp:effectExtent l="0" t="0" r="9525" b="6350"/>
                  <wp:docPr id="144" name="图片 94" descr="IMG_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94" descr="IMG_349"/>
                          <pic:cNvPicPr>
                            <a:picLocks noChangeAspect="1"/>
                          </pic:cNvPicPr>
                        </pic:nvPicPr>
                        <pic:blipFill>
                          <a:blip r:embed="rId30"/>
                          <a:stretch>
                            <a:fillRect/>
                          </a:stretch>
                        </pic:blipFill>
                        <pic:spPr>
                          <a:xfrm>
                            <a:off x="0" y="0"/>
                            <a:ext cx="2200275" cy="2762250"/>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标准</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405.00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9720.00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1、面料：优质西皮，黑色，皮面柔软光泽度好，厚度适中，透气性强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2、泡绵：优质高回弹PU泡棉，涂防老化变形保护膜。圆润厚实，弹性好，承受压力250kg                                                      3、实木脚架</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椅子</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2324100" cy="2466975"/>
                  <wp:effectExtent l="0" t="0" r="0" b="9525"/>
                  <wp:docPr id="143" name="图片 95" descr="IMG_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95" descr="IMG_350"/>
                          <pic:cNvPicPr>
                            <a:picLocks noChangeAspect="1"/>
                          </pic:cNvPicPr>
                        </pic:nvPicPr>
                        <pic:blipFill>
                          <a:blip r:embed="rId31"/>
                          <a:stretch>
                            <a:fillRect/>
                          </a:stretch>
                        </pic:blipFill>
                        <pic:spPr>
                          <a:xfrm>
                            <a:off x="0" y="0"/>
                            <a:ext cx="2324100" cy="2466975"/>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标准</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FF0000"/>
                <w:kern w:val="0"/>
                <w:sz w:val="18"/>
                <w:szCs w:val="18"/>
                <w:u w:val="none"/>
                <w:lang w:val="en-US" w:eastAsia="zh-CN" w:bidi="ar"/>
              </w:rPr>
              <w:t>20</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420.00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8400.00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椅背：全新进口PA+玻纤材质，高弹力竹节布背网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椅座：硬度50，密度60的定型海绵，高弹力透气坐布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扶手：PA+15%玻纤，前后滑动扶手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写字板：PP+30%玻纤加厚板面，精抛铝合金旋转机构</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椅架：20.5*32.5*T1.5mm优质Q235碳素钢椅架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脚垫：Φ50mm黑色PU静音轮</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34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休息室</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办公桌</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2647950" cy="2571750"/>
                  <wp:effectExtent l="0" t="0" r="6350" b="6350"/>
                  <wp:docPr id="149" name="图片 96" descr="IMG_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96" descr="IMG_351"/>
                          <pic:cNvPicPr>
                            <a:picLocks noChangeAspect="1"/>
                          </pic:cNvPicPr>
                        </pic:nvPicPr>
                        <pic:blipFill>
                          <a:blip r:embed="rId64"/>
                          <a:stretch>
                            <a:fillRect/>
                          </a:stretch>
                        </pic:blipFill>
                        <pic:spPr>
                          <a:xfrm>
                            <a:off x="0" y="0"/>
                            <a:ext cx="2647950" cy="2571750"/>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1200W*600D*750H</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1200.00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国际品牌“大亚”优质E0级环保高密度刨花板；2、饰面纸：采用全球领先的德国夏特及德国名士克、其表面硬度是一般油漆的3倍，耐刮、耐磨、耐腐蚀、耐高温、不怕烟头烫；采用纯三聚氰胺浸胶，使表面透明度更好，耐污性更强。压纹采用德国“胡克”钢板，浮雕细腻，质感明显。3、PVC封边：采用德国“欧德雅”优质厚PVC封边带，厚度≥2mm；4.胶水：采用德国知名品牌 “汉高”与“胶王”热熔胶或同级别品牌；</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沙发</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3019425" cy="2867025"/>
                  <wp:effectExtent l="0" t="0" r="3175" b="3175"/>
                  <wp:docPr id="148" name="图片 97" descr="IMG_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97" descr="IMG_352"/>
                          <pic:cNvPicPr>
                            <a:picLocks noChangeAspect="1"/>
                          </pic:cNvPicPr>
                        </pic:nvPicPr>
                        <pic:blipFill>
                          <a:blip r:embed="rId42"/>
                          <a:stretch>
                            <a:fillRect/>
                          </a:stretch>
                        </pic:blipFill>
                        <pic:spPr>
                          <a:xfrm>
                            <a:off x="0" y="0"/>
                            <a:ext cx="3019425" cy="2867025"/>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三人位</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700.00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内框架：实木框架配多层夹板+木方装钉而成；                                         海绵：靠背为35密度高回弹切割新棉，坐垫为45密度高回弹切割新棉；                                                          承重弹力结构：靠背装钉进口多条橡筋，坐垫为标准间距蛇形簧+平衡进口橡筋+面布；                                              面料：布艺饰面；</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21</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办公椅</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inline distT="0" distB="0" distL="114300" distR="114300">
                  <wp:extent cx="2190750" cy="2447925"/>
                  <wp:effectExtent l="0" t="0" r="6350" b="3175"/>
                  <wp:docPr id="146" name="图片 98" descr="IMG_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98" descr="IMG_353"/>
                          <pic:cNvPicPr>
                            <a:picLocks noChangeAspect="1"/>
                          </pic:cNvPicPr>
                        </pic:nvPicPr>
                        <pic:blipFill>
                          <a:blip r:embed="rId33"/>
                          <a:stretch>
                            <a:fillRect/>
                          </a:stretch>
                        </pic:blipFill>
                        <pic:spPr>
                          <a:xfrm>
                            <a:off x="0" y="0"/>
                            <a:ext cx="2190750" cy="2447925"/>
                          </a:xfrm>
                          <a:prstGeom prst="rect">
                            <a:avLst/>
                          </a:prstGeom>
                          <a:noFill/>
                          <a:ln w="9525">
                            <a:noFill/>
                          </a:ln>
                        </pic:spPr>
                      </pic:pic>
                    </a:graphicData>
                  </a:graphic>
                </wp:inline>
              </w:drawing>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427.50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427.50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椅背：全新进口PP+玻纤，高弹力透气网布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扶手：PP+玻纤造型扶手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椅座：加厚定型海绵，弹力透气坐布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椅脚：32.5*20.5*T1.5mm定制异型管椅脚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脚轮：固定脚垫</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2" w:hRule="atLeast"/>
        </w:trPr>
        <w:tc>
          <w:tcPr>
            <w:tcW w:w="3804"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武隆驻地总金额</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 xml:space="preserve">114250.00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2"/>
                <w:szCs w:val="12"/>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2"/>
                <w:szCs w:val="12"/>
                <w:u w:val="none"/>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3804"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合计</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549595.00</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2"/>
                <w:szCs w:val="12"/>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2"/>
                <w:szCs w:val="12"/>
                <w:u w:val="none"/>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2"/>
                <w:szCs w:val="12"/>
                <w:u w:val="none"/>
              </w:rPr>
            </w:pPr>
          </w:p>
        </w:tc>
      </w:tr>
    </w:tbl>
    <w:p>
      <w:pPr>
        <w:numPr>
          <w:ilvl w:val="0"/>
          <w:numId w:val="4"/>
        </w:numPr>
        <w:ind w:firstLine="424" w:firstLineChars="0"/>
        <w:rPr>
          <w:rFonts w:hint="eastAsia"/>
          <w:lang w:val="en-US" w:eastAsia="zh-CN"/>
        </w:rPr>
      </w:pPr>
    </w:p>
    <w:p>
      <w:pPr>
        <w:spacing w:line="360" w:lineRule="auto"/>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要求：</w:t>
      </w:r>
    </w:p>
    <w:p>
      <w:pPr>
        <w:spacing w:line="360" w:lineRule="auto"/>
        <w:ind w:left="435"/>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 本表为《开标一览表》的报价明细表，如有缺项、漏项，视为投标报价中已包含相关费用，采购人无需另外支付任何费用。</w:t>
      </w:r>
    </w:p>
    <w:p>
      <w:pPr>
        <w:spacing w:line="360" w:lineRule="auto"/>
        <w:ind w:left="435"/>
        <w:rPr>
          <w:rFonts w:ascii="宋体"/>
          <w:color w:val="000000" w:themeColor="text1"/>
          <w:szCs w:val="21"/>
          <w:lang w:val="zh-CN"/>
          <w14:textFill>
            <w14:solidFill>
              <w14:schemeClr w14:val="tx1"/>
            </w14:solidFill>
          </w14:textFill>
        </w:rPr>
      </w:pPr>
      <w:r>
        <w:rPr>
          <w:rFonts w:hint="eastAsia" w:ascii="宋体" w:hAnsi="宋体"/>
          <w:color w:val="000000" w:themeColor="text1"/>
          <w:szCs w:val="21"/>
          <w14:textFill>
            <w14:solidFill>
              <w14:schemeClr w14:val="tx1"/>
            </w14:solidFill>
          </w14:textFill>
        </w:rPr>
        <w:t>2.</w:t>
      </w:r>
      <w:r>
        <w:rPr>
          <w:rFonts w:hint="eastAsia" w:ascii="宋体"/>
          <w:color w:val="000000" w:themeColor="text1"/>
          <w:szCs w:val="21"/>
          <w:lang w:val="zh-CN"/>
          <w14:textFill>
            <w14:solidFill>
              <w14:schemeClr w14:val="tx1"/>
            </w14:solidFill>
          </w14:textFill>
        </w:rPr>
        <w:t>“报价明细表”中的报价合计应与“开标一览表”中的投标总报价相一致，不一致时，以开标一览表为准。</w:t>
      </w:r>
    </w:p>
    <w:p>
      <w:pPr>
        <w:spacing w:line="360" w:lineRule="auto"/>
        <w:ind w:left="435"/>
        <w:rPr>
          <w:rFonts w:ascii="宋体"/>
          <w:color w:val="000000" w:themeColor="text1"/>
          <w:szCs w:val="21"/>
          <w:lang w:val="zh-CN"/>
          <w14:textFill>
            <w14:solidFill>
              <w14:schemeClr w14:val="tx1"/>
            </w14:solidFill>
          </w14:textFill>
        </w:rPr>
      </w:pPr>
      <w:r>
        <w:rPr>
          <w:rFonts w:hint="eastAsia" w:ascii="宋体"/>
          <w:color w:val="000000" w:themeColor="text1"/>
          <w:szCs w:val="21"/>
          <w14:textFill>
            <w14:solidFill>
              <w14:schemeClr w14:val="tx1"/>
            </w14:solidFill>
          </w14:textFill>
        </w:rPr>
        <w:t>3.</w:t>
      </w:r>
      <w:r>
        <w:rPr>
          <w:rFonts w:hint="eastAsia" w:ascii="宋体"/>
          <w:color w:val="000000" w:themeColor="text1"/>
          <w:szCs w:val="21"/>
          <w:lang w:val="zh-CN"/>
          <w14:textFill>
            <w14:solidFill>
              <w14:schemeClr w14:val="tx1"/>
            </w14:solidFill>
          </w14:textFill>
        </w:rPr>
        <w:t>投标报价明细表所填内容按招标文件采购设备清单要求为准。如有漏报的，视同已包含在投标总价内或已作优惠处理。有重大缺项的将作无效标处理。</w:t>
      </w:r>
    </w:p>
    <w:p>
      <w:pPr>
        <w:spacing w:line="360" w:lineRule="auto"/>
        <w:ind w:left="435"/>
        <w:rPr>
          <w:rFonts w:ascii="宋体"/>
          <w:color w:val="000000" w:themeColor="text1"/>
          <w:szCs w:val="21"/>
          <w:lang w:val="zh-CN"/>
          <w14:textFill>
            <w14:solidFill>
              <w14:schemeClr w14:val="tx1"/>
            </w14:solidFill>
          </w14:textFill>
        </w:rPr>
      </w:pPr>
      <w:r>
        <w:rPr>
          <w:rFonts w:hint="eastAsia" w:ascii="宋体"/>
          <w:color w:val="000000" w:themeColor="text1"/>
          <w:szCs w:val="21"/>
          <w:lang w:val="zh-CN"/>
          <w14:textFill>
            <w14:solidFill>
              <w14:schemeClr w14:val="tx1"/>
            </w14:solidFill>
          </w14:textFill>
        </w:rPr>
        <w:t>4. 本表中的型号规格必须明确，招标文件中明确要求定制的除外。</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5.</w:t>
      </w:r>
      <w:r>
        <w:rPr>
          <w:rFonts w:ascii="宋体" w:hAnsi="宋体" w:cs="宋体"/>
          <w:color w:val="000000" w:themeColor="text1"/>
          <w:kern w:val="0"/>
          <w:sz w:val="24"/>
          <w14:textFill>
            <w14:solidFill>
              <w14:schemeClr w14:val="tx1"/>
            </w14:solidFill>
          </w14:textFill>
        </w:rPr>
        <w:t>供应商在投标时需提供本表的电子文档（单独封装，建议使用</w:t>
      </w:r>
      <w:r>
        <w:rPr>
          <w:rFonts w:hint="eastAsia" w:ascii="宋体" w:hAnsi="宋体" w:cs="宋体"/>
          <w:color w:val="000000" w:themeColor="text1"/>
          <w:kern w:val="0"/>
          <w:sz w:val="24"/>
          <w14:textFill>
            <w14:solidFill>
              <w14:schemeClr w14:val="tx1"/>
            </w14:solidFill>
          </w14:textFill>
        </w:rPr>
        <w:t>U盘</w:t>
      </w:r>
      <w:r>
        <w:rPr>
          <w:rFonts w:ascii="宋体" w:hAnsi="宋体" w:cs="宋体"/>
          <w:color w:val="000000" w:themeColor="text1"/>
          <w:kern w:val="0"/>
          <w:sz w:val="24"/>
          <w14:textFill>
            <w14:solidFill>
              <w14:schemeClr w14:val="tx1"/>
            </w14:solidFill>
          </w14:textFill>
        </w:rPr>
        <w:t>），以便网上公示使用，电子文档将不予退还。</w:t>
      </w:r>
    </w:p>
    <w:p>
      <w:pPr>
        <w:spacing w:line="360" w:lineRule="auto"/>
        <w:ind w:left="420"/>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比选人名称（盖章）：</w:t>
      </w:r>
    </w:p>
    <w:p>
      <w:pPr>
        <w:spacing w:line="360" w:lineRule="auto"/>
        <w:ind w:left="420"/>
        <w:rPr>
          <w:rFonts w:ascii="宋体" w:hAnsi="宋体"/>
          <w:color w:val="000000" w:themeColor="text1"/>
          <w:sz w:val="24"/>
          <w14:textFill>
            <w14:solidFill>
              <w14:schemeClr w14:val="tx1"/>
            </w14:solidFill>
          </w14:textFill>
        </w:rPr>
      </w:pPr>
    </w:p>
    <w:p>
      <w:pPr>
        <w:spacing w:line="360" w:lineRule="auto"/>
        <w:ind w:firstLine="435"/>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比选人代表签字或盖章：</w:t>
      </w:r>
    </w:p>
    <w:p>
      <w:pPr>
        <w:spacing w:line="360" w:lineRule="auto"/>
        <w:ind w:firstLine="435"/>
        <w:rPr>
          <w:rFonts w:ascii="宋体" w:hAnsi="宋体"/>
          <w:color w:val="000000" w:themeColor="text1"/>
          <w:sz w:val="24"/>
          <w14:textFill>
            <w14:solidFill>
              <w14:schemeClr w14:val="tx1"/>
            </w14:solidFill>
          </w14:textFill>
        </w:rPr>
      </w:pPr>
    </w:p>
    <w:p>
      <w:pPr>
        <w:spacing w:line="360" w:lineRule="auto"/>
        <w:ind w:firstLine="435"/>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职        务：</w:t>
      </w:r>
    </w:p>
    <w:p>
      <w:pPr>
        <w:spacing w:line="360" w:lineRule="auto"/>
        <w:ind w:firstLine="435"/>
        <w:rPr>
          <w:rFonts w:ascii="宋体" w:hAnsi="宋体"/>
          <w:color w:val="000000" w:themeColor="text1"/>
          <w:sz w:val="24"/>
          <w14:textFill>
            <w14:solidFill>
              <w14:schemeClr w14:val="tx1"/>
            </w14:solidFill>
          </w14:textFill>
        </w:rPr>
      </w:pPr>
    </w:p>
    <w:p>
      <w:pPr>
        <w:spacing w:line="360" w:lineRule="auto"/>
        <w:ind w:firstLine="435"/>
        <w:rPr>
          <w:rFonts w:hint="eastAsia" w:eastAsia="宋体"/>
          <w:lang w:eastAsia="zh-CN"/>
        </w:rPr>
        <w:sectPr>
          <w:footerReference r:id="rId11" w:type="first"/>
          <w:footerReference r:id="rId10" w:type="default"/>
          <w:pgSz w:w="16838" w:h="11906" w:orient="landscape"/>
          <w:pgMar w:top="1800" w:right="1440" w:bottom="1800" w:left="1440" w:header="851" w:footer="992" w:gutter="0"/>
          <w:cols w:space="720" w:num="1"/>
          <w:titlePg/>
          <w:docGrid w:type="lines" w:linePitch="312" w:charSpace="0"/>
        </w:sectPr>
      </w:pPr>
      <w:r>
        <w:rPr>
          <w:rFonts w:hint="eastAsia" w:ascii="宋体" w:hAnsi="宋体"/>
          <w:color w:val="000000" w:themeColor="text1"/>
          <w:sz w:val="24"/>
          <w14:textFill>
            <w14:solidFill>
              <w14:schemeClr w14:val="tx1"/>
            </w14:solidFill>
          </w14:textFill>
        </w:rPr>
        <w:t>日        期：</w:t>
      </w:r>
    </w:p>
    <w:p>
      <w:pPr>
        <w:pStyle w:val="5"/>
        <w:numPr>
          <w:ilvl w:val="-1"/>
          <w:numId w:val="0"/>
        </w:numPr>
        <w:ind w:left="0" w:firstLine="0"/>
        <w:jc w:val="center"/>
        <w:rPr>
          <w:rFonts w:hint="eastAsia" w:ascii="宋体" w:hAnsi="宋体" w:eastAsia="宋体" w:cs="宋体"/>
          <w:b/>
          <w:bCs w:val="0"/>
          <w:sz w:val="32"/>
          <w:szCs w:val="32"/>
        </w:rPr>
      </w:pPr>
      <w:bookmarkStart w:id="356" w:name="_Toc21199"/>
      <w:bookmarkStart w:id="357" w:name="_Toc24102"/>
      <w:bookmarkStart w:id="358" w:name="_Toc3660"/>
      <w:bookmarkStart w:id="359" w:name="_Toc11547"/>
      <w:bookmarkStart w:id="360" w:name="_Toc31583"/>
      <w:r>
        <w:rPr>
          <w:rFonts w:hint="eastAsia" w:ascii="宋体" w:hAnsi="宋体" w:eastAsia="宋体" w:cs="宋体"/>
          <w:b/>
          <w:bCs w:val="0"/>
          <w:sz w:val="32"/>
          <w:szCs w:val="32"/>
          <w:lang w:eastAsia="zh-CN"/>
        </w:rPr>
        <w:t>（</w:t>
      </w:r>
      <w:r>
        <w:rPr>
          <w:rFonts w:hint="eastAsia" w:ascii="宋体" w:hAnsi="宋体" w:eastAsia="宋体" w:cs="宋体"/>
          <w:b/>
          <w:bCs w:val="0"/>
          <w:sz w:val="32"/>
          <w:szCs w:val="32"/>
          <w:lang w:val="en-US" w:eastAsia="zh-CN"/>
        </w:rPr>
        <w:t>三</w:t>
      </w:r>
      <w:r>
        <w:rPr>
          <w:rFonts w:hint="eastAsia" w:ascii="宋体" w:hAnsi="宋体" w:eastAsia="宋体" w:cs="宋体"/>
          <w:b/>
          <w:bCs w:val="0"/>
          <w:sz w:val="32"/>
          <w:szCs w:val="32"/>
          <w:lang w:eastAsia="zh-CN"/>
        </w:rPr>
        <w:t>）</w:t>
      </w:r>
      <w:r>
        <w:rPr>
          <w:rFonts w:hint="eastAsia" w:ascii="宋体" w:hAnsi="宋体" w:eastAsia="宋体" w:cs="宋体"/>
          <w:b/>
          <w:bCs w:val="0"/>
          <w:sz w:val="32"/>
          <w:szCs w:val="32"/>
        </w:rPr>
        <w:t>报价说明</w:t>
      </w:r>
      <w:bookmarkEnd w:id="356"/>
      <w:bookmarkEnd w:id="357"/>
      <w:bookmarkEnd w:id="358"/>
      <w:bookmarkEnd w:id="359"/>
      <w:bookmarkEnd w:id="360"/>
    </w:p>
    <w:p>
      <w:pPr>
        <w:pStyle w:val="27"/>
        <w:spacing w:line="360" w:lineRule="auto"/>
        <w:ind w:firstLine="420" w:firstLineChars="200"/>
        <w:rPr>
          <w:rFonts w:ascii="宋体" w:hAnsi="宋体" w:cs="宋体"/>
          <w:b w:val="0"/>
          <w:bCs w:val="0"/>
          <w:sz w:val="21"/>
          <w:szCs w:val="21"/>
        </w:rPr>
      </w:pPr>
      <w:r>
        <w:rPr>
          <w:rFonts w:hint="eastAsia" w:ascii="宋体" w:hAnsi="宋体" w:cs="宋体"/>
          <w:b w:val="0"/>
          <w:bCs w:val="0"/>
          <w:sz w:val="21"/>
          <w:szCs w:val="21"/>
        </w:rPr>
        <w:t>1、采购清单应与本项目竞争性比选文件、技术标准和要求等文件结合起来查阅与理解。</w:t>
      </w:r>
    </w:p>
    <w:p>
      <w:pPr>
        <w:snapToGrid w:val="0"/>
        <w:spacing w:line="360" w:lineRule="auto"/>
        <w:ind w:firstLine="420" w:firstLineChars="200"/>
        <w:rPr>
          <w:rFonts w:ascii="宋体" w:hAnsi="宋体" w:cs="宋体"/>
          <w:szCs w:val="21"/>
        </w:rPr>
      </w:pPr>
      <w:r>
        <w:rPr>
          <w:rFonts w:hint="eastAsia" w:ascii="宋体" w:hAnsi="宋体" w:cs="宋体"/>
          <w:szCs w:val="21"/>
        </w:rPr>
        <w:t>2、本竞争性比选报价采用综合单价报价。综合单价是指完成采购清单中一个规定计量单位的分部分项采购清单费用、措施项目清单费用、其他项目清单费用、规费、税金等完成本项目的一切费用（</w:t>
      </w:r>
      <w:r>
        <w:rPr>
          <w:rFonts w:hint="eastAsia" w:asciiTheme="minorEastAsia" w:hAnsiTheme="minorEastAsia" w:eastAsiaTheme="minorEastAsia"/>
          <w:color w:val="000000" w:themeColor="text1"/>
          <w:kern w:val="0"/>
          <w:szCs w:val="21"/>
          <w:lang w:val="zh-CN"/>
          <w14:textFill>
            <w14:solidFill>
              <w14:schemeClr w14:val="tx1"/>
            </w14:solidFill>
          </w14:textFill>
        </w:rPr>
        <w:t>包括货款、标准附件、备品备件、专用工具、包装、运输、装卸、保险、税金、货到就位以及安装、调试、培训、保修、合同包含的所有风险责任等各项费用及不可预见费等所需的全部费用，全部费用已包含在开标一览表的投标总报价中</w:t>
      </w:r>
      <w:r>
        <w:rPr>
          <w:rFonts w:hint="eastAsia" w:ascii="宋体" w:hAnsi="宋体" w:cs="宋体"/>
          <w:szCs w:val="21"/>
        </w:rPr>
        <w:t>）以及竞争性比选文件中明示或暗示的的所有责任、义务和一般风险。</w:t>
      </w:r>
    </w:p>
    <w:p>
      <w:pPr>
        <w:snapToGrid w:val="0"/>
        <w:spacing w:line="360" w:lineRule="auto"/>
        <w:ind w:firstLine="420" w:firstLineChars="200"/>
        <w:rPr>
          <w:rFonts w:ascii="宋体" w:hAnsi="宋体" w:cs="宋体"/>
          <w:szCs w:val="21"/>
        </w:rPr>
      </w:pPr>
      <w:r>
        <w:rPr>
          <w:rFonts w:hint="eastAsia" w:ascii="宋体" w:hAnsi="宋体" w:cs="宋体"/>
          <w:szCs w:val="21"/>
        </w:rPr>
        <w:t>3、报价人应结合办公现场实际和现在的市场情况、自身技术及管理水平、经营状况、机械设备及制定的施工方案的要求自行报价，该报价不低于报价人完成该项目的成本。</w:t>
      </w:r>
    </w:p>
    <w:p>
      <w:pPr>
        <w:snapToGrid w:val="0"/>
        <w:spacing w:line="360" w:lineRule="auto"/>
        <w:ind w:firstLine="420" w:firstLineChars="200"/>
        <w:rPr>
          <w:rFonts w:ascii="宋体" w:hAnsi="宋体" w:cs="宋体"/>
          <w:szCs w:val="21"/>
        </w:rPr>
      </w:pPr>
      <w:r>
        <w:rPr>
          <w:rFonts w:hint="eastAsia" w:ascii="宋体" w:hAnsi="宋体" w:cs="宋体"/>
          <w:szCs w:val="21"/>
        </w:rPr>
        <w:t>4、采购清单中所列工程数量是估算的数量，仅作为报价的共同基础，不能作为最终结算与支付的依据。实际支付应按实际完成的工程量*采购清单的单价来计算支付金额。</w:t>
      </w:r>
    </w:p>
    <w:p>
      <w:pPr>
        <w:snapToGrid w:val="0"/>
        <w:spacing w:line="360" w:lineRule="auto"/>
        <w:ind w:firstLine="420" w:firstLineChars="200"/>
        <w:rPr>
          <w:rFonts w:ascii="宋体" w:hAnsi="宋体" w:cs="宋体"/>
          <w:szCs w:val="21"/>
        </w:rPr>
      </w:pPr>
      <w:r>
        <w:rPr>
          <w:rFonts w:hint="eastAsia" w:ascii="宋体" w:hAnsi="宋体" w:cs="宋体"/>
          <w:szCs w:val="21"/>
        </w:rPr>
        <w:t>5、采购清单中所列工程量的变动，丝毫不会降低或影响合同条款的效力，也不免除报价人按规定的标准进行施工和修复缺陷的责任。</w:t>
      </w:r>
    </w:p>
    <w:p>
      <w:pPr>
        <w:snapToGrid w:val="0"/>
        <w:spacing w:line="360" w:lineRule="auto"/>
        <w:ind w:firstLine="420" w:firstLineChars="200"/>
        <w:rPr>
          <w:rFonts w:ascii="宋体" w:hAnsi="宋体" w:cs="宋体"/>
          <w:szCs w:val="21"/>
        </w:rPr>
      </w:pPr>
      <w:r>
        <w:rPr>
          <w:rFonts w:hint="eastAsia" w:ascii="宋体" w:hAnsi="宋体" w:cs="宋体"/>
          <w:szCs w:val="21"/>
        </w:rPr>
        <w:t>6、对采购清单中的每一个细目，报价人均填单价和合价，对于未填入单价和合价的细目，其费用应视为已包括在采购清单中的其他细目的单价和合价中，报价人必须按采购人指令完成采购清单中未填入单价和合价的细目，但不能得到结算与支付，报价人的总报价应是所有工程费用的汇总。</w:t>
      </w:r>
    </w:p>
    <w:p>
      <w:pPr>
        <w:snapToGrid w:val="0"/>
        <w:spacing w:line="360" w:lineRule="auto"/>
        <w:ind w:firstLine="420" w:firstLineChars="200"/>
        <w:rPr>
          <w:rFonts w:ascii="宋体" w:hAnsi="宋体" w:cs="宋体"/>
          <w:szCs w:val="21"/>
        </w:rPr>
      </w:pPr>
      <w:r>
        <w:rPr>
          <w:rFonts w:hint="eastAsia" w:ascii="宋体" w:hAnsi="宋体" w:cs="宋体"/>
          <w:szCs w:val="21"/>
        </w:rPr>
        <w:t>7、采购清单中的任何内容不得随意删除或涂改，若有误，在有效时间内书面向采购人提出，以“补遗”资料为准。</w:t>
      </w:r>
    </w:p>
    <w:p>
      <w:pPr>
        <w:snapToGrid w:val="0"/>
        <w:spacing w:line="360" w:lineRule="auto"/>
        <w:ind w:firstLine="420" w:firstLineChars="200"/>
        <w:rPr>
          <w:rFonts w:ascii="宋体" w:hAnsi="宋体" w:cs="宋体"/>
          <w:szCs w:val="21"/>
        </w:rPr>
      </w:pPr>
      <w:r>
        <w:rPr>
          <w:rFonts w:hint="eastAsia" w:ascii="宋体" w:hAnsi="宋体" w:cs="宋体"/>
          <w:szCs w:val="21"/>
        </w:rPr>
        <w:t>8、不同单项及单位工程中的分部分项采购清单中相同项目（项目特征及工作内容相同）的应报价统一，如有差异，按最低的一个报价进行结算；材料设备单价处理办法相同。</w:t>
      </w:r>
    </w:p>
    <w:p>
      <w:pPr>
        <w:snapToGrid w:val="0"/>
        <w:spacing w:line="360" w:lineRule="auto"/>
        <w:ind w:firstLine="420" w:firstLineChars="200"/>
        <w:rPr>
          <w:rFonts w:ascii="宋体" w:hAnsi="宋体" w:cs="宋体"/>
          <w:szCs w:val="21"/>
        </w:rPr>
      </w:pPr>
      <w:r>
        <w:rPr>
          <w:rFonts w:hint="eastAsia" w:ascii="宋体" w:hAnsi="宋体" w:cs="宋体"/>
          <w:szCs w:val="21"/>
        </w:rPr>
        <w:t>9、对定制和材料的技术标准和要求及一般说明或规定，未重复写入采购清单内，在给采购清单各细目报价前，应参阅设计文件及竞争性比选文件中技术标准和要求的有关部分。</w:t>
      </w:r>
    </w:p>
    <w:p>
      <w:pPr>
        <w:snapToGrid w:val="0"/>
        <w:spacing w:line="360" w:lineRule="auto"/>
        <w:ind w:firstLine="420" w:firstLineChars="200"/>
        <w:rPr>
          <w:rFonts w:ascii="宋体" w:hAnsi="宋体" w:cs="宋体"/>
          <w:szCs w:val="21"/>
        </w:rPr>
      </w:pPr>
      <w:r>
        <w:rPr>
          <w:rFonts w:hint="eastAsia" w:ascii="宋体" w:hAnsi="宋体" w:cs="宋体"/>
          <w:szCs w:val="21"/>
        </w:rPr>
        <w:t>10、对于符合要求的竞争性比选响应文件，在签订合同协议书前，如发现采购清单中有计算方面的算术差错，按以下规定予以修正：（1）当以数字表示的金额与文字表示的金额有差异时，以文字表示的金额为准；（2）当单价与数量相乘不等于合价时，以单价计算为准，如果单价有明显的小数点位置差错，应以标出的合价为准，同时对单价予以修正；（3）当各细目的合价累计不等于总价时，应以各细目合价累计数为准，修正总价。当按以上原则对算术性差错的修正，应以取得报价人的同意，并确认修正后的最终报价。如果报价人拒绝确认，则其竞争性响应文件将不予评审，并没收其履约担保。</w:t>
      </w:r>
    </w:p>
    <w:p>
      <w:pPr>
        <w:snapToGrid w:val="0"/>
        <w:spacing w:line="360" w:lineRule="auto"/>
        <w:ind w:firstLine="420" w:firstLineChars="200"/>
        <w:rPr>
          <w:rFonts w:ascii="宋体" w:hAnsi="宋体" w:cs="宋体"/>
          <w:szCs w:val="21"/>
        </w:rPr>
      </w:pPr>
      <w:r>
        <w:rPr>
          <w:rFonts w:hint="eastAsia" w:ascii="宋体" w:hAnsi="宋体" w:cs="宋体"/>
          <w:szCs w:val="21"/>
        </w:rPr>
        <w:t>11、采购清单中的任何内容不得随意删除或涂改，若有误，在有效时间内书面向采购人提出，以“补遗”资料为准。</w:t>
      </w:r>
    </w:p>
    <w:p>
      <w:pPr>
        <w:snapToGrid w:val="0"/>
        <w:spacing w:line="360" w:lineRule="auto"/>
        <w:ind w:firstLine="420" w:firstLineChars="200"/>
        <w:rPr>
          <w:rFonts w:ascii="宋体" w:hAnsi="宋体" w:cs="宋体"/>
          <w:szCs w:val="21"/>
        </w:rPr>
      </w:pPr>
      <w:r>
        <w:rPr>
          <w:rFonts w:hint="eastAsia" w:ascii="宋体" w:hAnsi="宋体" w:cs="宋体"/>
          <w:szCs w:val="21"/>
        </w:rPr>
        <w:t>12、报价中的单价和合价全部以人民币（元）表示。</w:t>
      </w:r>
    </w:p>
    <w:p>
      <w:pPr>
        <w:snapToGrid w:val="0"/>
        <w:spacing w:line="360" w:lineRule="auto"/>
        <w:ind w:firstLine="420" w:firstLineChars="200"/>
        <w:rPr>
          <w:rFonts w:ascii="宋体" w:hAnsi="宋体" w:cs="宋体"/>
          <w:szCs w:val="21"/>
        </w:rPr>
      </w:pPr>
      <w:r>
        <w:rPr>
          <w:rFonts w:hint="eastAsia" w:ascii="宋体" w:hAnsi="宋体" w:cs="宋体"/>
          <w:szCs w:val="21"/>
        </w:rPr>
        <w:t>13、对于报价人报价中明显高于市场价的单项报价，采购人有权进行价格审核后调整。调整后应以取得报价人的同意，并确认修正后的最终报价。如果报价人拒绝确认，则其竞争性响应文件将不予评审。</w:t>
      </w:r>
    </w:p>
    <w:p>
      <w:pPr>
        <w:snapToGrid w:val="0"/>
        <w:spacing w:line="360" w:lineRule="auto"/>
        <w:ind w:firstLine="420" w:firstLineChars="200"/>
        <w:rPr>
          <w:rFonts w:ascii="宋体" w:hAnsi="宋体" w:cs="宋体"/>
          <w:szCs w:val="21"/>
        </w:rPr>
      </w:pPr>
      <w:r>
        <w:rPr>
          <w:rFonts w:hint="eastAsia" w:ascii="宋体" w:hAnsi="宋体" w:cs="宋体"/>
          <w:szCs w:val="21"/>
        </w:rPr>
        <w:t>14、合同为</w:t>
      </w:r>
      <w:r>
        <w:rPr>
          <w:rFonts w:hint="eastAsia" w:ascii="宋体" w:hAnsi="宋体" w:cs="宋体"/>
          <w:szCs w:val="21"/>
          <w:lang w:val="en-US" w:eastAsia="zh-CN"/>
        </w:rPr>
        <w:t>固定</w:t>
      </w:r>
      <w:r>
        <w:rPr>
          <w:rFonts w:hint="eastAsia" w:ascii="宋体" w:hAnsi="宋体" w:cs="宋体"/>
          <w:szCs w:val="21"/>
        </w:rPr>
        <w:t>单价合同，合同期间不予调价。</w:t>
      </w:r>
    </w:p>
    <w:p>
      <w:pPr>
        <w:widowControl/>
        <w:jc w:val="left"/>
        <w:rPr>
          <w:rFonts w:ascii="宋体" w:hAnsi="宋体" w:cs="宋体"/>
          <w:b/>
          <w:sz w:val="32"/>
        </w:rPr>
      </w:pPr>
    </w:p>
    <w:p>
      <w:pPr>
        <w:pStyle w:val="158"/>
        <w:numPr>
          <w:ilvl w:val="0"/>
          <w:numId w:val="0"/>
        </w:numPr>
        <w:jc w:val="center"/>
        <w:rPr>
          <w:rFonts w:hint="default" w:ascii="宋体" w:hAnsi="宋体" w:cs="宋体"/>
          <w:b/>
          <w:sz w:val="32"/>
          <w:lang w:val="en-US" w:eastAsia="zh-CN"/>
        </w:rPr>
      </w:pPr>
    </w:p>
    <w:p>
      <w:pPr>
        <w:pStyle w:val="158"/>
        <w:numPr>
          <w:ilvl w:val="0"/>
          <w:numId w:val="0"/>
        </w:numPr>
        <w:jc w:val="center"/>
        <w:rPr>
          <w:rFonts w:hint="default" w:ascii="宋体" w:hAnsi="宋体" w:cs="宋体"/>
          <w:b/>
          <w:sz w:val="32"/>
          <w:lang w:val="en-US" w:eastAsia="zh-CN"/>
        </w:rPr>
      </w:pPr>
    </w:p>
    <w:p>
      <w:pPr>
        <w:pStyle w:val="158"/>
        <w:numPr>
          <w:ilvl w:val="0"/>
          <w:numId w:val="0"/>
        </w:numPr>
        <w:jc w:val="center"/>
        <w:rPr>
          <w:rFonts w:hint="default" w:ascii="宋体" w:hAnsi="宋体" w:cs="宋体"/>
          <w:b/>
          <w:sz w:val="32"/>
          <w:lang w:val="en-US" w:eastAsia="zh-CN"/>
        </w:rPr>
      </w:pPr>
    </w:p>
    <w:p>
      <w:pPr>
        <w:pStyle w:val="158"/>
        <w:numPr>
          <w:ilvl w:val="0"/>
          <w:numId w:val="0"/>
        </w:numPr>
        <w:jc w:val="center"/>
        <w:rPr>
          <w:rFonts w:hint="default" w:ascii="宋体" w:hAnsi="宋体" w:cs="宋体"/>
          <w:b/>
          <w:sz w:val="32"/>
          <w:lang w:val="en-US" w:eastAsia="zh-CN"/>
        </w:rPr>
      </w:pPr>
    </w:p>
    <w:p>
      <w:pPr>
        <w:pStyle w:val="158"/>
        <w:numPr>
          <w:ilvl w:val="0"/>
          <w:numId w:val="0"/>
        </w:numPr>
        <w:jc w:val="center"/>
        <w:rPr>
          <w:rFonts w:hint="default" w:ascii="宋体" w:hAnsi="宋体" w:cs="宋体"/>
          <w:b/>
          <w:sz w:val="32"/>
          <w:lang w:val="en-US" w:eastAsia="zh-CN"/>
        </w:rPr>
      </w:pPr>
    </w:p>
    <w:p>
      <w:pPr>
        <w:pStyle w:val="158"/>
        <w:numPr>
          <w:ilvl w:val="0"/>
          <w:numId w:val="0"/>
        </w:numPr>
        <w:jc w:val="center"/>
        <w:rPr>
          <w:rFonts w:hint="default" w:ascii="宋体" w:hAnsi="宋体" w:cs="宋体"/>
          <w:b/>
          <w:sz w:val="32"/>
          <w:lang w:val="en-US" w:eastAsia="zh-CN"/>
        </w:rPr>
      </w:pPr>
    </w:p>
    <w:p>
      <w:pPr>
        <w:pStyle w:val="158"/>
        <w:numPr>
          <w:ilvl w:val="0"/>
          <w:numId w:val="0"/>
        </w:numPr>
        <w:jc w:val="center"/>
        <w:rPr>
          <w:rFonts w:hint="default" w:ascii="宋体" w:hAnsi="宋体" w:cs="宋体"/>
          <w:b/>
          <w:sz w:val="32"/>
          <w:lang w:val="en-US" w:eastAsia="zh-CN"/>
        </w:rPr>
      </w:pPr>
    </w:p>
    <w:p>
      <w:pPr>
        <w:pStyle w:val="158"/>
        <w:numPr>
          <w:ilvl w:val="0"/>
          <w:numId w:val="0"/>
        </w:numPr>
        <w:jc w:val="center"/>
        <w:rPr>
          <w:rFonts w:hint="default" w:ascii="宋体" w:hAnsi="宋体" w:cs="宋体"/>
          <w:b/>
          <w:sz w:val="32"/>
          <w:lang w:val="en-US" w:eastAsia="zh-CN"/>
        </w:rPr>
      </w:pPr>
    </w:p>
    <w:p>
      <w:pPr>
        <w:pStyle w:val="158"/>
        <w:numPr>
          <w:ilvl w:val="0"/>
          <w:numId w:val="0"/>
        </w:numPr>
        <w:jc w:val="center"/>
        <w:rPr>
          <w:rFonts w:hint="default" w:ascii="宋体" w:hAnsi="宋体" w:cs="宋体"/>
          <w:b/>
          <w:sz w:val="32"/>
          <w:lang w:val="en-US" w:eastAsia="zh-CN"/>
        </w:rPr>
      </w:pPr>
    </w:p>
    <w:p>
      <w:pPr>
        <w:pStyle w:val="158"/>
        <w:numPr>
          <w:ilvl w:val="0"/>
          <w:numId w:val="0"/>
        </w:numPr>
        <w:jc w:val="center"/>
        <w:rPr>
          <w:rFonts w:hint="default" w:ascii="宋体" w:hAnsi="宋体" w:cs="宋体"/>
          <w:b/>
          <w:sz w:val="32"/>
          <w:lang w:val="en-US" w:eastAsia="zh-CN"/>
        </w:rPr>
      </w:pPr>
    </w:p>
    <w:p>
      <w:pPr>
        <w:pStyle w:val="158"/>
        <w:numPr>
          <w:ilvl w:val="0"/>
          <w:numId w:val="0"/>
        </w:numPr>
        <w:jc w:val="center"/>
        <w:rPr>
          <w:rFonts w:hint="default" w:ascii="宋体" w:hAnsi="宋体" w:cs="宋体"/>
          <w:b/>
          <w:sz w:val="32"/>
          <w:lang w:val="en-US" w:eastAsia="zh-CN"/>
        </w:rPr>
      </w:pPr>
    </w:p>
    <w:p>
      <w:pPr>
        <w:pStyle w:val="158"/>
        <w:numPr>
          <w:ilvl w:val="0"/>
          <w:numId w:val="0"/>
        </w:numPr>
        <w:jc w:val="center"/>
        <w:rPr>
          <w:rFonts w:hint="default" w:ascii="宋体" w:hAnsi="宋体" w:cs="宋体"/>
          <w:b/>
          <w:sz w:val="32"/>
          <w:lang w:val="en-US" w:eastAsia="zh-CN"/>
        </w:rPr>
      </w:pPr>
    </w:p>
    <w:p>
      <w:pPr>
        <w:pStyle w:val="158"/>
        <w:numPr>
          <w:ilvl w:val="0"/>
          <w:numId w:val="0"/>
        </w:numPr>
        <w:jc w:val="center"/>
        <w:rPr>
          <w:rFonts w:hint="default" w:ascii="宋体" w:hAnsi="宋体" w:cs="宋体"/>
          <w:b/>
          <w:sz w:val="32"/>
          <w:lang w:val="en-US" w:eastAsia="zh-CN"/>
        </w:rPr>
      </w:pPr>
    </w:p>
    <w:p>
      <w:pPr>
        <w:pStyle w:val="158"/>
        <w:numPr>
          <w:ilvl w:val="0"/>
          <w:numId w:val="0"/>
        </w:numPr>
        <w:jc w:val="center"/>
        <w:rPr>
          <w:rFonts w:hint="default" w:ascii="宋体" w:hAnsi="宋体" w:cs="宋体"/>
          <w:b/>
          <w:sz w:val="32"/>
          <w:lang w:val="en-US" w:eastAsia="zh-CN"/>
        </w:rPr>
      </w:pPr>
    </w:p>
    <w:p>
      <w:pPr>
        <w:pStyle w:val="158"/>
        <w:numPr>
          <w:ilvl w:val="0"/>
          <w:numId w:val="0"/>
        </w:numPr>
        <w:jc w:val="center"/>
        <w:rPr>
          <w:rFonts w:hint="default" w:ascii="宋体" w:hAnsi="宋体" w:cs="宋体"/>
          <w:b/>
          <w:sz w:val="32"/>
          <w:lang w:val="en-US" w:eastAsia="zh-CN"/>
        </w:rPr>
      </w:pPr>
    </w:p>
    <w:p>
      <w:pPr>
        <w:pStyle w:val="158"/>
        <w:numPr>
          <w:ilvl w:val="0"/>
          <w:numId w:val="0"/>
        </w:numPr>
        <w:jc w:val="center"/>
        <w:rPr>
          <w:rFonts w:hint="default" w:ascii="宋体" w:hAnsi="宋体" w:cs="宋体"/>
          <w:b/>
          <w:sz w:val="32"/>
          <w:lang w:val="en-US" w:eastAsia="zh-CN"/>
        </w:rPr>
      </w:pPr>
    </w:p>
    <w:p>
      <w:pPr>
        <w:pStyle w:val="158"/>
        <w:numPr>
          <w:ilvl w:val="0"/>
          <w:numId w:val="0"/>
        </w:numPr>
        <w:jc w:val="both"/>
        <w:rPr>
          <w:rFonts w:hint="default" w:ascii="宋体" w:hAnsi="宋体" w:cs="宋体"/>
          <w:b/>
          <w:sz w:val="32"/>
          <w:lang w:val="en-US" w:eastAsia="zh-CN"/>
        </w:rPr>
      </w:pPr>
    </w:p>
    <w:p>
      <w:pPr>
        <w:pStyle w:val="5"/>
        <w:numPr>
          <w:ilvl w:val="-1"/>
          <w:numId w:val="0"/>
        </w:numPr>
        <w:ind w:left="0" w:firstLine="0"/>
        <w:jc w:val="center"/>
        <w:rPr>
          <w:rFonts w:hint="eastAsia" w:ascii="Times New Roman" w:hAnsi="Times New Roman" w:eastAsia="宋体" w:cs="Times New Roman"/>
          <w:b/>
          <w:sz w:val="30"/>
          <w:szCs w:val="32"/>
        </w:rPr>
      </w:pPr>
      <w:bookmarkStart w:id="361" w:name="_Toc3631"/>
      <w:bookmarkStart w:id="362" w:name="_Toc30752"/>
      <w:bookmarkStart w:id="363" w:name="_Toc6404"/>
      <w:bookmarkStart w:id="364" w:name="_Toc5023"/>
      <w:bookmarkStart w:id="365" w:name="_Toc489"/>
      <w:bookmarkStart w:id="366" w:name="_Toc2223"/>
      <w:bookmarkStart w:id="367" w:name="_Toc9524"/>
      <w:r>
        <w:rPr>
          <w:rFonts w:hint="eastAsia" w:ascii="Times New Roman" w:hAnsi="Times New Roman" w:eastAsia="宋体" w:cs="Times New Roman"/>
          <w:b/>
          <w:sz w:val="30"/>
          <w:lang w:val="en-US" w:eastAsia="zh-CN"/>
        </w:rPr>
        <w:t>三、</w:t>
      </w:r>
      <w:r>
        <w:rPr>
          <w:rFonts w:hint="eastAsia" w:ascii="Times New Roman" w:hAnsi="Times New Roman" w:eastAsia="宋体" w:cs="Times New Roman"/>
          <w:b/>
          <w:sz w:val="30"/>
          <w:szCs w:val="32"/>
        </w:rPr>
        <w:t>基本资格条件承诺函</w:t>
      </w:r>
      <w:bookmarkEnd w:id="361"/>
      <w:bookmarkEnd w:id="362"/>
      <w:bookmarkEnd w:id="363"/>
      <w:bookmarkEnd w:id="364"/>
      <w:bookmarkEnd w:id="365"/>
      <w:bookmarkEnd w:id="366"/>
    </w:p>
    <w:p>
      <w:pPr>
        <w:tabs>
          <w:tab w:val="left" w:pos="6300"/>
        </w:tabs>
        <w:snapToGrid w:val="0"/>
        <w:spacing w:line="360" w:lineRule="auto"/>
        <w:ind w:firstLine="371" w:firstLineChars="177"/>
        <w:rPr>
          <w:rFonts w:cs="仿宋" w:asciiTheme="minorEastAsia" w:hAnsiTheme="minorEastAsia" w:eastAsiaTheme="minorEastAsia"/>
          <w:szCs w:val="21"/>
        </w:rPr>
      </w:pPr>
      <w:r>
        <w:rPr>
          <w:rFonts w:hint="eastAsia" w:cs="仿宋" w:asciiTheme="minorEastAsia" w:hAnsiTheme="minorEastAsia" w:eastAsiaTheme="minorEastAsia"/>
          <w:szCs w:val="21"/>
        </w:rPr>
        <w:t>致</w:t>
      </w:r>
      <w:r>
        <w:rPr>
          <w:rFonts w:hint="eastAsia" w:cs="仿宋" w:asciiTheme="minorEastAsia" w:hAnsiTheme="minorEastAsia" w:eastAsiaTheme="minorEastAsia"/>
          <w:szCs w:val="21"/>
          <w:u w:val="single"/>
        </w:rPr>
        <w:t xml:space="preserve">                   </w:t>
      </w:r>
      <w:r>
        <w:rPr>
          <w:rFonts w:hint="eastAsia" w:cs="仿宋" w:asciiTheme="minorEastAsia" w:hAnsiTheme="minorEastAsia" w:eastAsiaTheme="minorEastAsia"/>
          <w:szCs w:val="21"/>
        </w:rPr>
        <w:t>（采购人名称）：</w:t>
      </w:r>
    </w:p>
    <w:p>
      <w:pPr>
        <w:tabs>
          <w:tab w:val="left" w:pos="6300"/>
        </w:tabs>
        <w:snapToGrid w:val="0"/>
        <w:spacing w:line="360" w:lineRule="auto"/>
        <w:ind w:firstLine="371" w:firstLineChars="177"/>
        <w:rPr>
          <w:rFonts w:cs="仿宋" w:asciiTheme="minorEastAsia" w:hAnsiTheme="minorEastAsia" w:eastAsiaTheme="minorEastAsia"/>
          <w:szCs w:val="21"/>
        </w:rPr>
      </w:pPr>
      <w:r>
        <w:rPr>
          <w:rFonts w:hint="eastAsia" w:cs="仿宋" w:asciiTheme="minorEastAsia" w:hAnsiTheme="minorEastAsia" w:eastAsiaTheme="minorEastAsia"/>
          <w:szCs w:val="21"/>
          <w:u w:val="single"/>
        </w:rPr>
        <w:t xml:space="preserve">                      </w:t>
      </w:r>
      <w:r>
        <w:rPr>
          <w:rFonts w:hint="eastAsia" w:cs="仿宋" w:asciiTheme="minorEastAsia" w:hAnsiTheme="minorEastAsia" w:eastAsiaTheme="minorEastAsia"/>
          <w:szCs w:val="21"/>
        </w:rPr>
        <w:t>（供应商名称）郑重承诺：</w:t>
      </w:r>
    </w:p>
    <w:p>
      <w:pPr>
        <w:spacing w:line="360" w:lineRule="auto"/>
        <w:ind w:firstLine="371" w:firstLineChars="177"/>
        <w:rPr>
          <w:rFonts w:cs="仿宋" w:asciiTheme="minorEastAsia" w:hAnsiTheme="minorEastAsia" w:eastAsiaTheme="minorEastAsia"/>
          <w:szCs w:val="21"/>
        </w:rPr>
      </w:pPr>
      <w:r>
        <w:rPr>
          <w:rFonts w:hint="eastAsia" w:cs="仿宋" w:asciiTheme="minorEastAsia" w:hAnsiTheme="minorEastAsia" w:eastAsiaTheme="minorEastAsia"/>
          <w:szCs w:val="21"/>
        </w:rPr>
        <w:t>1.我方具有良好的商业信誉和健全的财务会计制度，具有履行合同所必需的具有履行合同所必需资质证书，具</w:t>
      </w:r>
      <w:r>
        <w:rPr>
          <w:rFonts w:hint="eastAsia" w:cs="仿宋" w:asciiTheme="minorEastAsia" w:hAnsiTheme="minorEastAsia" w:eastAsiaTheme="minorEastAsia"/>
          <w:szCs w:val="21"/>
          <w:lang w:val="zh-CN"/>
        </w:rPr>
        <w:t>有依法缴纳税收和社会保障金的良好记录</w:t>
      </w:r>
      <w:r>
        <w:rPr>
          <w:rFonts w:hint="eastAsia" w:cs="仿宋" w:asciiTheme="minorEastAsia" w:hAnsiTheme="minorEastAsia" w:eastAsiaTheme="minorEastAsia"/>
          <w:szCs w:val="21"/>
        </w:rPr>
        <w:t>，参加本项目采购活动前三年内无重大违法活动记录。</w:t>
      </w:r>
    </w:p>
    <w:p>
      <w:pPr>
        <w:spacing w:line="360" w:lineRule="auto"/>
        <w:ind w:firstLine="371" w:firstLineChars="177"/>
        <w:rPr>
          <w:rFonts w:cs="仿宋" w:asciiTheme="minorEastAsia" w:hAnsiTheme="minorEastAsia" w:eastAsiaTheme="minorEastAsia"/>
          <w:szCs w:val="21"/>
        </w:rPr>
      </w:pPr>
      <w:r>
        <w:rPr>
          <w:rFonts w:hint="eastAsia" w:cs="仿宋" w:asciiTheme="minorEastAsia" w:hAnsiTheme="minorEastAsia" w:eastAsiaTheme="minorEastAsia"/>
          <w:szCs w:val="21"/>
        </w:rPr>
        <w:t>2.我方未列入在信用中国网站（www.creditchina.gov.cn）“失信被执行人”、“重大税收违法案件当事人名单”中，也未列入中国政府采购网（www.ccgp.gov.cn）“政府采购严重违法失信行为记录名单”中。</w:t>
      </w:r>
    </w:p>
    <w:p>
      <w:pPr>
        <w:spacing w:line="360" w:lineRule="auto"/>
        <w:ind w:firstLine="371" w:firstLineChars="177"/>
        <w:rPr>
          <w:rFonts w:cs="仿宋" w:asciiTheme="minorEastAsia" w:hAnsiTheme="minorEastAsia" w:eastAsiaTheme="minorEastAsia"/>
          <w:szCs w:val="21"/>
        </w:rPr>
      </w:pPr>
      <w:r>
        <w:rPr>
          <w:rFonts w:hint="eastAsia" w:cs="仿宋" w:asciiTheme="minorEastAsia" w:hAnsiTheme="minorEastAsia" w:eastAsiaTheme="minorEastAsia"/>
          <w:szCs w:val="21"/>
        </w:rPr>
        <w:t>3.我方在采购项目评审（评标）环节结束后，随时接受采购人的检查验证，配合提供相关证明材料，证明符合《中华人民共和国政府采购法》规定的供应商基本资格条件。</w:t>
      </w:r>
    </w:p>
    <w:p>
      <w:pPr>
        <w:tabs>
          <w:tab w:val="left" w:pos="6300"/>
        </w:tabs>
        <w:snapToGrid w:val="0"/>
        <w:spacing w:line="360" w:lineRule="auto"/>
        <w:ind w:firstLine="371" w:firstLineChars="177"/>
        <w:rPr>
          <w:rFonts w:cs="仿宋" w:asciiTheme="minorEastAsia" w:hAnsiTheme="minorEastAsia" w:eastAsiaTheme="minorEastAsia"/>
          <w:szCs w:val="21"/>
        </w:rPr>
      </w:pPr>
      <w:r>
        <w:rPr>
          <w:rFonts w:hint="eastAsia" w:cs="仿宋" w:asciiTheme="minorEastAsia" w:hAnsiTheme="minorEastAsia" w:eastAsiaTheme="minorEastAsia"/>
          <w:szCs w:val="21"/>
        </w:rPr>
        <w:t>我方对以上承诺负全部法律责任。</w:t>
      </w:r>
    </w:p>
    <w:p>
      <w:pPr>
        <w:tabs>
          <w:tab w:val="left" w:pos="6300"/>
        </w:tabs>
        <w:snapToGrid w:val="0"/>
        <w:spacing w:line="360" w:lineRule="auto"/>
        <w:ind w:firstLine="371" w:firstLineChars="177"/>
        <w:rPr>
          <w:rFonts w:cs="仿宋" w:asciiTheme="minorEastAsia" w:hAnsiTheme="minorEastAsia" w:eastAsiaTheme="minorEastAsia"/>
          <w:szCs w:val="21"/>
        </w:rPr>
      </w:pPr>
      <w:r>
        <w:rPr>
          <w:rFonts w:hint="eastAsia" w:cs="仿宋" w:asciiTheme="minorEastAsia" w:hAnsiTheme="minorEastAsia" w:eastAsiaTheme="minorEastAsia"/>
          <w:szCs w:val="21"/>
        </w:rPr>
        <w:t>特此承诺。</w:t>
      </w:r>
    </w:p>
    <w:p>
      <w:pPr>
        <w:tabs>
          <w:tab w:val="left" w:pos="6300"/>
        </w:tabs>
        <w:snapToGrid w:val="0"/>
        <w:spacing w:line="360" w:lineRule="auto"/>
        <w:ind w:firstLine="371" w:firstLineChars="177"/>
        <w:rPr>
          <w:rFonts w:cs="仿宋" w:asciiTheme="minorEastAsia" w:hAnsiTheme="minorEastAsia" w:eastAsiaTheme="minorEastAsia"/>
          <w:szCs w:val="21"/>
        </w:rPr>
      </w:pPr>
    </w:p>
    <w:p>
      <w:pPr>
        <w:tabs>
          <w:tab w:val="left" w:pos="6300"/>
        </w:tabs>
        <w:snapToGrid w:val="0"/>
        <w:spacing w:line="360" w:lineRule="auto"/>
        <w:ind w:right="1054" w:firstLine="371" w:firstLineChars="177"/>
        <w:jc w:val="right"/>
        <w:rPr>
          <w:rFonts w:cs="仿宋" w:asciiTheme="minorEastAsia" w:hAnsiTheme="minorEastAsia" w:eastAsiaTheme="minorEastAsia"/>
          <w:szCs w:val="21"/>
        </w:rPr>
      </w:pPr>
      <w:r>
        <w:rPr>
          <w:rFonts w:hint="eastAsia" w:cs="仿宋" w:asciiTheme="minorEastAsia" w:hAnsiTheme="minorEastAsia" w:eastAsiaTheme="minorEastAsia"/>
          <w:szCs w:val="21"/>
        </w:rPr>
        <w:t>（供应商公章）</w:t>
      </w:r>
    </w:p>
    <w:p>
      <w:pPr>
        <w:widowControl/>
        <w:spacing w:line="360" w:lineRule="auto"/>
        <w:ind w:firstLine="5880" w:firstLineChars="2800"/>
        <w:jc w:val="left"/>
        <w:rPr>
          <w:rFonts w:cs="仿宋" w:asciiTheme="minorEastAsia" w:hAnsiTheme="minorEastAsia" w:eastAsiaTheme="minorEastAsia"/>
          <w:szCs w:val="21"/>
        </w:rPr>
      </w:pPr>
      <w:r>
        <w:rPr>
          <w:rFonts w:hint="eastAsia" w:cs="仿宋" w:asciiTheme="minorEastAsia" w:hAnsiTheme="minorEastAsia" w:eastAsiaTheme="minorEastAsia"/>
          <w:szCs w:val="21"/>
        </w:rPr>
        <w:t>年   月   日</w:t>
      </w:r>
    </w:p>
    <w:p>
      <w:pPr>
        <w:spacing w:line="360" w:lineRule="auto"/>
        <w:ind w:firstLine="371" w:firstLineChars="177"/>
        <w:rPr>
          <w:rFonts w:asciiTheme="minorEastAsia" w:hAnsiTheme="minorEastAsia" w:eastAsiaTheme="minorEastAsia"/>
          <w:szCs w:val="21"/>
        </w:rPr>
      </w:pPr>
    </w:p>
    <w:p>
      <w:pPr>
        <w:widowControl/>
        <w:jc w:val="left"/>
        <w:rPr>
          <w:rFonts w:asciiTheme="minorEastAsia" w:hAnsiTheme="minorEastAsia" w:eastAsiaTheme="minorEastAsia"/>
          <w:snapToGrid w:val="0"/>
          <w:color w:val="000000" w:themeColor="text1"/>
          <w:kern w:val="0"/>
          <w:szCs w:val="21"/>
          <w14:textFill>
            <w14:solidFill>
              <w14:schemeClr w14:val="tx1"/>
            </w14:solidFill>
          </w14:textFill>
        </w:rPr>
      </w:pPr>
      <w:r>
        <w:rPr>
          <w:rFonts w:asciiTheme="minorEastAsia" w:hAnsiTheme="minorEastAsia" w:eastAsiaTheme="minorEastAsia"/>
          <w:snapToGrid w:val="0"/>
          <w:color w:val="000000" w:themeColor="text1"/>
          <w:kern w:val="0"/>
          <w:szCs w:val="21"/>
          <w14:textFill>
            <w14:solidFill>
              <w14:schemeClr w14:val="tx1"/>
            </w14:solidFill>
          </w14:textFill>
        </w:rPr>
        <w:br w:type="page"/>
      </w:r>
    </w:p>
    <w:p>
      <w:pPr>
        <w:pStyle w:val="5"/>
        <w:rPr>
          <w:rFonts w:ascii="宋体" w:hAnsi="宋体" w:cs="宋体"/>
          <w:b w:val="0"/>
          <w:sz w:val="32"/>
        </w:rPr>
      </w:pPr>
      <w:bookmarkStart w:id="368" w:name="_Toc24394"/>
      <w:bookmarkStart w:id="369" w:name="_Toc10882"/>
      <w:bookmarkStart w:id="370" w:name="_Toc16740"/>
      <w:bookmarkStart w:id="371" w:name="_Toc25288"/>
      <w:bookmarkStart w:id="372" w:name="_Toc11613"/>
      <w:bookmarkStart w:id="373" w:name="_Toc2161"/>
      <w:bookmarkStart w:id="374" w:name="_Toc12630"/>
      <w:bookmarkStart w:id="375" w:name="_Toc4933"/>
      <w:bookmarkStart w:id="376" w:name="_Toc4904"/>
      <w:r>
        <w:rPr>
          <w:rFonts w:hint="eastAsia" w:ascii="宋体" w:hAnsi="宋体" w:cs="宋体"/>
          <w:b w:val="0"/>
          <w:sz w:val="32"/>
          <w:lang w:eastAsia="zh-CN"/>
        </w:rPr>
        <w:t>（</w:t>
      </w:r>
      <w:r>
        <w:rPr>
          <w:rFonts w:hint="eastAsia" w:ascii="宋体" w:hAnsi="宋体" w:cs="宋体"/>
          <w:b w:val="0"/>
          <w:sz w:val="32"/>
          <w:lang w:val="en-US" w:eastAsia="zh-CN"/>
        </w:rPr>
        <w:t>一</w:t>
      </w:r>
      <w:r>
        <w:rPr>
          <w:rFonts w:hint="eastAsia" w:ascii="宋体" w:hAnsi="宋体" w:cs="宋体"/>
          <w:b w:val="0"/>
          <w:sz w:val="32"/>
          <w:lang w:eastAsia="zh-CN"/>
        </w:rPr>
        <w:t>）</w:t>
      </w:r>
      <w:r>
        <w:rPr>
          <w:rFonts w:hint="eastAsia" w:ascii="宋体" w:hAnsi="宋体" w:cs="宋体"/>
          <w:sz w:val="32"/>
        </w:rPr>
        <w:t>法定</w:t>
      </w:r>
      <w:r>
        <w:rPr>
          <w:rFonts w:hint="eastAsia"/>
        </w:rPr>
        <w:t>代表</w:t>
      </w:r>
      <w:r>
        <w:rPr>
          <w:rFonts w:hint="eastAsia" w:ascii="宋体" w:hAnsi="宋体" w:cs="宋体"/>
          <w:sz w:val="32"/>
        </w:rPr>
        <w:t>人身份证明及授权委托书</w:t>
      </w:r>
      <w:bookmarkEnd w:id="367"/>
      <w:bookmarkEnd w:id="368"/>
      <w:bookmarkEnd w:id="369"/>
      <w:bookmarkEnd w:id="370"/>
      <w:bookmarkEnd w:id="371"/>
      <w:bookmarkEnd w:id="372"/>
      <w:bookmarkEnd w:id="373"/>
      <w:bookmarkEnd w:id="374"/>
      <w:bookmarkEnd w:id="375"/>
      <w:bookmarkEnd w:id="376"/>
    </w:p>
    <w:p>
      <w:pPr>
        <w:pStyle w:val="6"/>
        <w:rPr>
          <w:rFonts w:hint="eastAsia" w:ascii="宋体" w:hAnsi="宋体" w:eastAsia="宋体"/>
          <w:b/>
          <w:color w:val="000000" w:themeColor="text1"/>
          <w:sz w:val="32"/>
          <w:szCs w:val="32"/>
          <w14:textFill>
            <w14:solidFill>
              <w14:schemeClr w14:val="tx1"/>
            </w14:solidFill>
          </w14:textFill>
        </w:rPr>
      </w:pPr>
      <w:r>
        <w:rPr>
          <w:rFonts w:hint="eastAsia" w:ascii="宋体" w:hAnsi="宋体" w:eastAsia="宋体"/>
          <w:b/>
          <w:color w:val="000000" w:themeColor="text1"/>
          <w:sz w:val="32"/>
          <w:szCs w:val="32"/>
          <w:lang w:val="en-US" w:eastAsia="zh-CN"/>
          <w14:textFill>
            <w14:solidFill>
              <w14:schemeClr w14:val="tx1"/>
            </w14:solidFill>
          </w14:textFill>
        </w:rPr>
        <w:t>1.</w:t>
      </w:r>
      <w:r>
        <w:rPr>
          <w:rFonts w:hint="eastAsia" w:ascii="宋体" w:hAnsi="宋体" w:eastAsia="宋体"/>
          <w:b/>
          <w:color w:val="000000" w:themeColor="text1"/>
          <w:sz w:val="32"/>
          <w:szCs w:val="32"/>
          <w14:textFill>
            <w14:solidFill>
              <w14:schemeClr w14:val="tx1"/>
            </w14:solidFill>
          </w14:textFill>
        </w:rPr>
        <w:t>法定代表人身份证明</w:t>
      </w:r>
    </w:p>
    <w:p>
      <w:pPr>
        <w:spacing w:line="360" w:lineRule="auto"/>
        <w:rPr>
          <w:sz w:val="24"/>
        </w:rPr>
      </w:pPr>
      <w:r>
        <w:rPr>
          <w:rFonts w:hint="eastAsia" w:cs="宋体"/>
          <w:sz w:val="24"/>
        </w:rPr>
        <w:t>比选人名称：</w:t>
      </w:r>
      <w:r>
        <w:rPr>
          <w:sz w:val="24"/>
          <w:u w:val="single"/>
        </w:rPr>
        <w:t xml:space="preserve">                            </w:t>
      </w:r>
      <w:r>
        <w:rPr>
          <w:sz w:val="24"/>
        </w:rPr>
        <w:t xml:space="preserve"> </w:t>
      </w:r>
    </w:p>
    <w:p>
      <w:pPr>
        <w:spacing w:line="360" w:lineRule="auto"/>
        <w:rPr>
          <w:sz w:val="24"/>
        </w:rPr>
      </w:pPr>
      <w:r>
        <w:rPr>
          <w:rFonts w:hint="eastAsia" w:cs="宋体"/>
          <w:sz w:val="24"/>
        </w:rPr>
        <w:t>单位性质：</w:t>
      </w:r>
      <w:r>
        <w:rPr>
          <w:sz w:val="24"/>
          <w:u w:val="single"/>
        </w:rPr>
        <w:t xml:space="preserve">                               </w:t>
      </w:r>
      <w:r>
        <w:rPr>
          <w:sz w:val="24"/>
        </w:rPr>
        <w:t xml:space="preserve"> </w:t>
      </w:r>
    </w:p>
    <w:p>
      <w:pPr>
        <w:spacing w:line="360" w:lineRule="auto"/>
        <w:rPr>
          <w:sz w:val="24"/>
        </w:rPr>
      </w:pPr>
      <w:r>
        <w:rPr>
          <w:rFonts w:hint="eastAsia" w:cs="宋体"/>
          <w:sz w:val="24"/>
        </w:rPr>
        <w:t>单位地址：</w:t>
      </w:r>
      <w:r>
        <w:rPr>
          <w:sz w:val="24"/>
          <w:u w:val="single"/>
        </w:rPr>
        <w:t xml:space="preserve">                               </w:t>
      </w:r>
    </w:p>
    <w:p>
      <w:pPr>
        <w:spacing w:line="360" w:lineRule="auto"/>
        <w:rPr>
          <w:sz w:val="24"/>
        </w:rPr>
      </w:pPr>
      <w:r>
        <w:rPr>
          <w:rFonts w:hint="eastAsia" w:cs="宋体"/>
          <w:sz w:val="24"/>
        </w:rPr>
        <w:t>成立时间：</w:t>
      </w:r>
      <w:r>
        <w:rPr>
          <w:sz w:val="24"/>
          <w:u w:val="single"/>
        </w:rPr>
        <w:t xml:space="preserve">         </w:t>
      </w:r>
      <w:r>
        <w:rPr>
          <w:sz w:val="24"/>
        </w:rPr>
        <w:t xml:space="preserve"> </w:t>
      </w:r>
      <w:r>
        <w:rPr>
          <w:rFonts w:hint="eastAsia" w:cs="宋体"/>
          <w:sz w:val="24"/>
        </w:rPr>
        <w:t>年</w:t>
      </w:r>
      <w:r>
        <w:rPr>
          <w:sz w:val="24"/>
          <w:u w:val="single"/>
        </w:rPr>
        <w:t xml:space="preserve">       </w:t>
      </w:r>
      <w:r>
        <w:rPr>
          <w:sz w:val="24"/>
        </w:rPr>
        <w:t xml:space="preserve"> </w:t>
      </w:r>
      <w:r>
        <w:rPr>
          <w:rFonts w:hint="eastAsia" w:cs="宋体"/>
          <w:sz w:val="24"/>
        </w:rPr>
        <w:t>月</w:t>
      </w:r>
      <w:r>
        <w:rPr>
          <w:sz w:val="24"/>
          <w:u w:val="single"/>
        </w:rPr>
        <w:t xml:space="preserve">       </w:t>
      </w:r>
      <w:r>
        <w:rPr>
          <w:sz w:val="24"/>
        </w:rPr>
        <w:t xml:space="preserve"> </w:t>
      </w:r>
      <w:r>
        <w:rPr>
          <w:rFonts w:hint="eastAsia" w:cs="宋体"/>
          <w:sz w:val="24"/>
        </w:rPr>
        <w:t>日</w:t>
      </w:r>
    </w:p>
    <w:p>
      <w:pPr>
        <w:spacing w:line="360" w:lineRule="auto"/>
        <w:rPr>
          <w:sz w:val="24"/>
        </w:rPr>
      </w:pPr>
      <w:r>
        <w:rPr>
          <w:rFonts w:hint="eastAsia" w:cs="宋体"/>
          <w:sz w:val="24"/>
        </w:rPr>
        <w:t>经营期限：</w:t>
      </w:r>
      <w:r>
        <w:rPr>
          <w:sz w:val="24"/>
          <w:u w:val="single"/>
        </w:rPr>
        <w:t xml:space="preserve">                               </w:t>
      </w:r>
    </w:p>
    <w:p>
      <w:pPr>
        <w:spacing w:line="360" w:lineRule="auto"/>
        <w:rPr>
          <w:sz w:val="24"/>
        </w:rPr>
      </w:pPr>
      <w:r>
        <w:rPr>
          <w:rFonts w:hint="eastAsia" w:cs="宋体"/>
          <w:sz w:val="24"/>
        </w:rPr>
        <w:t>姓名（签字）：</w:t>
      </w:r>
      <w:r>
        <w:rPr>
          <w:rFonts w:hint="eastAsia" w:cs="宋体"/>
          <w:sz w:val="24"/>
          <w:u w:val="single"/>
        </w:rPr>
        <w:t xml:space="preserve">        </w:t>
      </w:r>
      <w:r>
        <w:rPr>
          <w:rFonts w:hint="eastAsia" w:cs="宋体"/>
          <w:sz w:val="24"/>
        </w:rPr>
        <w:t>性别：</w:t>
      </w:r>
      <w:r>
        <w:rPr>
          <w:sz w:val="24"/>
          <w:u w:val="single"/>
        </w:rPr>
        <w:t xml:space="preserve">         </w:t>
      </w:r>
      <w:r>
        <w:rPr>
          <w:sz w:val="24"/>
        </w:rPr>
        <w:t xml:space="preserve"> </w:t>
      </w:r>
      <w:r>
        <w:rPr>
          <w:rFonts w:hint="eastAsia" w:cs="宋体"/>
          <w:sz w:val="24"/>
        </w:rPr>
        <w:t>年龄：</w:t>
      </w:r>
      <w:r>
        <w:rPr>
          <w:sz w:val="24"/>
          <w:u w:val="single"/>
        </w:rPr>
        <w:t xml:space="preserve">        </w:t>
      </w:r>
      <w:r>
        <w:rPr>
          <w:rFonts w:hint="eastAsia" w:cs="宋体"/>
          <w:sz w:val="24"/>
        </w:rPr>
        <w:t>职务：</w:t>
      </w:r>
      <w:r>
        <w:rPr>
          <w:sz w:val="24"/>
          <w:u w:val="single"/>
        </w:rPr>
        <w:t xml:space="preserve">     </w:t>
      </w:r>
      <w:r>
        <w:rPr>
          <w:rFonts w:hint="eastAsia"/>
          <w:sz w:val="24"/>
          <w:u w:val="single"/>
        </w:rPr>
        <w:t xml:space="preserve">    </w:t>
      </w:r>
      <w:r>
        <w:rPr>
          <w:sz w:val="24"/>
          <w:u w:val="single"/>
        </w:rPr>
        <w:t xml:space="preserve">   </w:t>
      </w:r>
    </w:p>
    <w:p>
      <w:pPr>
        <w:spacing w:line="360" w:lineRule="auto"/>
        <w:rPr>
          <w:sz w:val="24"/>
        </w:rPr>
      </w:pPr>
      <w:r>
        <w:rPr>
          <w:rFonts w:hint="eastAsia" w:cs="宋体"/>
          <w:sz w:val="24"/>
        </w:rPr>
        <w:t>系</w:t>
      </w:r>
      <w:r>
        <w:rPr>
          <w:sz w:val="24"/>
          <w:u w:val="single"/>
        </w:rPr>
        <w:t xml:space="preserve">                             </w:t>
      </w:r>
      <w:r>
        <w:rPr>
          <w:sz w:val="24"/>
        </w:rPr>
        <w:t xml:space="preserve"> </w:t>
      </w:r>
      <w:r>
        <w:rPr>
          <w:rFonts w:hint="eastAsia" w:cs="宋体"/>
          <w:sz w:val="24"/>
        </w:rPr>
        <w:t>（比选人名称）的法定代表人。</w:t>
      </w:r>
    </w:p>
    <w:p>
      <w:pPr>
        <w:spacing w:line="360" w:lineRule="auto"/>
        <w:ind w:firstLine="480" w:firstLineChars="200"/>
        <w:rPr>
          <w:sz w:val="24"/>
        </w:rPr>
      </w:pPr>
      <w:r>
        <w:rPr>
          <w:rFonts w:hint="eastAsia" w:cs="宋体"/>
          <w:sz w:val="24"/>
        </w:rPr>
        <w:t>特此证明。</w:t>
      </w:r>
    </w:p>
    <w:p>
      <w:pPr>
        <w:spacing w:line="360" w:lineRule="auto"/>
        <w:rPr>
          <w:sz w:val="24"/>
        </w:rPr>
      </w:pPr>
    </w:p>
    <w:p>
      <w:pPr>
        <w:spacing w:line="360" w:lineRule="auto"/>
        <w:rPr>
          <w:sz w:val="24"/>
        </w:rPr>
      </w:pPr>
      <w:r>
        <w:rPr>
          <w:sz w:val="24"/>
        </w:rPr>
        <w:t xml:space="preserve">                          </w:t>
      </w:r>
      <w:r>
        <w:rPr>
          <w:rFonts w:hint="eastAsia"/>
          <w:sz w:val="24"/>
        </w:rPr>
        <w:t xml:space="preserve">         </w:t>
      </w:r>
      <w:r>
        <w:rPr>
          <w:rFonts w:hint="eastAsia" w:cs="宋体"/>
          <w:sz w:val="24"/>
        </w:rPr>
        <w:t>比选人（盖单位章）：</w:t>
      </w:r>
      <w:r>
        <w:rPr>
          <w:sz w:val="24"/>
          <w:u w:val="single"/>
        </w:rPr>
        <w:t xml:space="preserve">                </w:t>
      </w:r>
      <w:r>
        <w:rPr>
          <w:rFonts w:hint="eastAsia"/>
          <w:sz w:val="24"/>
          <w:u w:val="single"/>
        </w:rPr>
        <w:t xml:space="preserve"> </w:t>
      </w:r>
      <w:r>
        <w:rPr>
          <w:sz w:val="24"/>
          <w:u w:val="single"/>
        </w:rPr>
        <w:t xml:space="preserve"> </w:t>
      </w:r>
    </w:p>
    <w:p>
      <w:pPr>
        <w:spacing w:line="360" w:lineRule="auto"/>
        <w:rPr>
          <w:sz w:val="24"/>
        </w:rPr>
      </w:pPr>
      <w:r>
        <w:rPr>
          <w:sz w:val="24"/>
        </w:rPr>
        <w:t xml:space="preserve">                                  </w:t>
      </w:r>
      <w:r>
        <w:rPr>
          <w:rFonts w:hint="eastAsia"/>
          <w:sz w:val="24"/>
        </w:rPr>
        <w:t xml:space="preserve">      </w:t>
      </w:r>
      <w:r>
        <w:rPr>
          <w:sz w:val="24"/>
        </w:rPr>
        <w:t xml:space="preserve"> </w:t>
      </w:r>
      <w:r>
        <w:rPr>
          <w:sz w:val="24"/>
          <w:u w:val="single"/>
        </w:rPr>
        <w:t xml:space="preserve">       </w:t>
      </w:r>
      <w:r>
        <w:rPr>
          <w:rFonts w:hint="eastAsia" w:cs="宋体"/>
          <w:sz w:val="24"/>
        </w:rPr>
        <w:t>年</w:t>
      </w:r>
      <w:r>
        <w:rPr>
          <w:sz w:val="24"/>
          <w:u w:val="single"/>
        </w:rPr>
        <w:t xml:space="preserve">       </w:t>
      </w:r>
      <w:r>
        <w:rPr>
          <w:rFonts w:hint="eastAsia" w:cs="宋体"/>
          <w:sz w:val="24"/>
        </w:rPr>
        <w:t>月</w:t>
      </w:r>
      <w:r>
        <w:rPr>
          <w:sz w:val="24"/>
          <w:u w:val="single"/>
        </w:rPr>
        <w:t xml:space="preserve">       </w:t>
      </w:r>
      <w:r>
        <w:rPr>
          <w:rFonts w:hint="eastAsia" w:cs="宋体"/>
          <w:sz w:val="24"/>
        </w:rPr>
        <w:t>日</w:t>
      </w:r>
      <w:r>
        <w:rPr>
          <w:sz w:val="24"/>
        </w:rPr>
        <w:t xml:space="preserve">           </w:t>
      </w:r>
    </w:p>
    <w:p>
      <w:pPr>
        <w:spacing w:line="360" w:lineRule="auto"/>
        <w:ind w:firstLine="120" w:firstLineChars="50"/>
        <w:rPr>
          <w:rFonts w:ascii="宋体"/>
          <w:sz w:val="24"/>
        </w:rPr>
      </w:pPr>
    </w:p>
    <w:p>
      <w:pPr>
        <w:spacing w:line="360" w:lineRule="auto"/>
        <w:ind w:firstLine="120" w:firstLineChars="50"/>
        <w:rPr>
          <w:rFonts w:ascii="宋体" w:hAnsi="宋体" w:cs="宋体"/>
          <w:sz w:val="24"/>
        </w:rPr>
      </w:pPr>
      <w:r>
        <w:rPr>
          <w:rFonts w:hint="eastAsia" w:ascii="宋体" w:hAnsi="宋体" w:cs="宋体"/>
          <w:sz w:val="24"/>
        </w:rPr>
        <w:t>注：法定代表人的签字必须是亲笔签名，不得用印章、签名章或其他电子制版签名。</w:t>
      </w:r>
    </w:p>
    <w:tbl>
      <w:tblPr>
        <w:tblStyle w:val="41"/>
        <w:tblpPr w:leftFromText="180" w:rightFromText="180" w:vertAnchor="text" w:horzAnchor="page" w:tblpX="1365" w:tblpY="340"/>
        <w:tblOverlap w:val="never"/>
        <w:tblW w:w="9540"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4927"/>
        <w:gridCol w:w="4613"/>
      </w:tblGrid>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943" w:hRule="atLeast"/>
        </w:trPr>
        <w:tc>
          <w:tcPr>
            <w:tcW w:w="4927" w:type="dxa"/>
            <w:vAlign w:val="center"/>
          </w:tcPr>
          <w:p>
            <w:pPr>
              <w:spacing w:line="360" w:lineRule="auto"/>
              <w:jc w:val="center"/>
              <w:rPr>
                <w:sz w:val="28"/>
              </w:rPr>
            </w:pPr>
            <w:r>
              <w:rPr>
                <w:rFonts w:hint="eastAsia" w:ascii="宋体" w:hAnsi="宋体" w:cs="宋体"/>
                <w:sz w:val="24"/>
              </w:rPr>
              <w:t>法定代表人身份证正面</w:t>
            </w:r>
          </w:p>
        </w:tc>
        <w:tc>
          <w:tcPr>
            <w:tcW w:w="4613" w:type="dxa"/>
            <w:vAlign w:val="center"/>
          </w:tcPr>
          <w:p>
            <w:pPr>
              <w:spacing w:line="360" w:lineRule="auto"/>
              <w:jc w:val="center"/>
              <w:rPr>
                <w:sz w:val="28"/>
              </w:rPr>
            </w:pPr>
            <w:r>
              <w:rPr>
                <w:rFonts w:hint="eastAsia" w:ascii="宋体" w:hAnsi="宋体" w:cs="宋体"/>
                <w:sz w:val="24"/>
              </w:rPr>
              <w:t>法定代表人身份证反面</w:t>
            </w:r>
          </w:p>
        </w:tc>
      </w:tr>
    </w:tbl>
    <w:p>
      <w:pPr>
        <w:pStyle w:val="6"/>
        <w:rPr>
          <w:rFonts w:hint="eastAsia" w:ascii="宋体" w:hAnsi="宋体" w:eastAsia="宋体"/>
          <w:b/>
          <w:color w:val="000000" w:themeColor="text1"/>
          <w:sz w:val="32"/>
          <w:szCs w:val="32"/>
          <w14:textFill>
            <w14:solidFill>
              <w14:schemeClr w14:val="tx1"/>
            </w14:solidFill>
          </w14:textFill>
        </w:rPr>
      </w:pPr>
      <w:r>
        <w:rPr>
          <w:rFonts w:hint="eastAsia" w:ascii="宋体" w:hAnsi="宋体" w:eastAsia="宋体"/>
          <w:b/>
          <w:color w:val="000000" w:themeColor="text1"/>
          <w:sz w:val="32"/>
          <w:szCs w:val="32"/>
          <w:lang w:val="en-US" w:eastAsia="zh-CN"/>
          <w14:textFill>
            <w14:solidFill>
              <w14:schemeClr w14:val="tx1"/>
            </w14:solidFill>
          </w14:textFill>
        </w:rPr>
        <w:t>2.</w:t>
      </w:r>
      <w:r>
        <w:rPr>
          <w:rFonts w:hint="eastAsia" w:ascii="宋体" w:hAnsi="宋体" w:eastAsia="宋体"/>
          <w:b/>
          <w:color w:val="000000" w:themeColor="text1"/>
          <w:sz w:val="32"/>
          <w:szCs w:val="32"/>
          <w14:textFill>
            <w14:solidFill>
              <w14:schemeClr w14:val="tx1"/>
            </w14:solidFill>
          </w14:textFill>
        </w:rPr>
        <w:t>授权委托书</w:t>
      </w:r>
    </w:p>
    <w:p>
      <w:pPr>
        <w:spacing w:line="360" w:lineRule="auto"/>
        <w:ind w:firstLine="720" w:firstLineChars="300"/>
        <w:jc w:val="left"/>
        <w:rPr>
          <w:sz w:val="24"/>
        </w:rPr>
      </w:pPr>
      <w:r>
        <w:rPr>
          <w:rFonts w:hint="eastAsia" w:cs="宋体"/>
          <w:sz w:val="24"/>
        </w:rPr>
        <w:t>本人</w:t>
      </w:r>
      <w:r>
        <w:rPr>
          <w:sz w:val="24"/>
          <w:u w:val="single"/>
        </w:rPr>
        <w:t xml:space="preserve">       </w:t>
      </w:r>
      <w:r>
        <w:rPr>
          <w:rFonts w:hint="eastAsia" w:cs="宋体"/>
          <w:sz w:val="24"/>
        </w:rPr>
        <w:t>（姓名）系</w:t>
      </w:r>
      <w:r>
        <w:rPr>
          <w:sz w:val="24"/>
          <w:u w:val="single"/>
        </w:rPr>
        <w:t xml:space="preserve">        </w:t>
      </w:r>
      <w:r>
        <w:rPr>
          <w:rFonts w:hint="eastAsia" w:cs="宋体"/>
          <w:sz w:val="24"/>
        </w:rPr>
        <w:t>（比选人名称）的法定代表人，现委托</w:t>
      </w:r>
      <w:r>
        <w:rPr>
          <w:sz w:val="24"/>
          <w:u w:val="single"/>
        </w:rPr>
        <w:t xml:space="preserve">        </w:t>
      </w:r>
      <w:r>
        <w:rPr>
          <w:rFonts w:hint="eastAsia" w:cs="宋体"/>
          <w:sz w:val="24"/>
        </w:rPr>
        <w:t>（姓名）为我方代理人。代理人根据授权，以我方名义签署、澄清、说明、补正、递交、撤回、修改</w:t>
      </w:r>
      <w:r>
        <w:rPr>
          <w:rFonts w:hint="eastAsia" w:cs="宋体"/>
          <w:sz w:val="24"/>
          <w:u w:val="single"/>
        </w:rPr>
        <w:t>重庆成渝垫丰武高速公路有限公司</w:t>
      </w:r>
      <w:r>
        <w:rPr>
          <w:rFonts w:hint="eastAsia" w:cs="宋体"/>
          <w:sz w:val="24"/>
          <w:u w:val="single"/>
          <w:lang w:eastAsia="zh-CN"/>
        </w:rPr>
        <w:t>白市驿、垫江、丰都、武隆驻点</w:t>
      </w:r>
      <w:r>
        <w:rPr>
          <w:rFonts w:hint="eastAsia" w:cs="宋体"/>
          <w:sz w:val="24"/>
          <w:u w:val="single"/>
        </w:rPr>
        <w:t>办公家具采购</w:t>
      </w:r>
      <w:r>
        <w:rPr>
          <w:rFonts w:hint="eastAsia" w:cs="宋体"/>
          <w:sz w:val="24"/>
        </w:rPr>
        <w:t>竞标文件、签订合同和处理有关事宜，其法律后果由我方承担。</w:t>
      </w:r>
    </w:p>
    <w:p>
      <w:pPr>
        <w:spacing w:line="360" w:lineRule="auto"/>
        <w:rPr>
          <w:sz w:val="24"/>
        </w:rPr>
      </w:pPr>
      <w:r>
        <w:rPr>
          <w:sz w:val="24"/>
        </w:rPr>
        <w:t xml:space="preserve">    </w:t>
      </w:r>
      <w:r>
        <w:rPr>
          <w:rFonts w:hint="eastAsia" w:cs="宋体"/>
          <w:sz w:val="24"/>
        </w:rPr>
        <w:t>委托期限：</w:t>
      </w:r>
      <w:r>
        <w:rPr>
          <w:rFonts w:hint="eastAsia" w:cs="宋体"/>
          <w:sz w:val="24"/>
          <w:u w:val="single"/>
        </w:rPr>
        <w:t>本项目投标有效期内</w:t>
      </w:r>
      <w:r>
        <w:rPr>
          <w:rFonts w:hint="eastAsia" w:cs="宋体"/>
          <w:sz w:val="24"/>
        </w:rPr>
        <w:t>。</w:t>
      </w:r>
    </w:p>
    <w:p>
      <w:pPr>
        <w:spacing w:line="360" w:lineRule="auto"/>
        <w:ind w:firstLine="480" w:firstLineChars="200"/>
        <w:rPr>
          <w:sz w:val="24"/>
        </w:rPr>
      </w:pPr>
      <w:r>
        <w:rPr>
          <w:rFonts w:hint="eastAsia" w:cs="宋体"/>
          <w:sz w:val="24"/>
        </w:rPr>
        <w:t>代理人无转委托权。</w:t>
      </w:r>
    </w:p>
    <w:p>
      <w:pPr>
        <w:spacing w:line="360" w:lineRule="auto"/>
        <w:ind w:firstLine="480" w:firstLineChars="200"/>
        <w:rPr>
          <w:sz w:val="24"/>
        </w:rPr>
      </w:pPr>
    </w:p>
    <w:p>
      <w:pPr>
        <w:spacing w:line="360" w:lineRule="auto"/>
        <w:ind w:firstLine="480" w:firstLineChars="200"/>
        <w:rPr>
          <w:sz w:val="24"/>
        </w:rPr>
      </w:pPr>
      <w:r>
        <w:rPr>
          <w:rFonts w:hint="eastAsia" w:cs="宋体"/>
          <w:sz w:val="24"/>
        </w:rPr>
        <w:t>附：委托代表人身份证明</w:t>
      </w:r>
    </w:p>
    <w:p>
      <w:pPr>
        <w:spacing w:line="360" w:lineRule="auto"/>
        <w:ind w:firstLine="3120" w:firstLineChars="1300"/>
        <w:rPr>
          <w:sz w:val="24"/>
        </w:rPr>
      </w:pPr>
    </w:p>
    <w:p>
      <w:pPr>
        <w:spacing w:line="360" w:lineRule="auto"/>
        <w:ind w:firstLine="3120" w:firstLineChars="1300"/>
        <w:rPr>
          <w:sz w:val="24"/>
        </w:rPr>
      </w:pPr>
      <w:r>
        <w:rPr>
          <w:rFonts w:hint="eastAsia" w:cs="宋体"/>
          <w:sz w:val="24"/>
        </w:rPr>
        <w:t>比选人（盖单位章）：</w:t>
      </w:r>
      <w:r>
        <w:rPr>
          <w:sz w:val="24"/>
          <w:u w:val="single"/>
        </w:rPr>
        <w:t xml:space="preserve">               </w:t>
      </w:r>
      <w:r>
        <w:rPr>
          <w:rFonts w:hint="eastAsia"/>
          <w:sz w:val="24"/>
          <w:u w:val="single"/>
        </w:rPr>
        <w:t xml:space="preserve"> </w:t>
      </w:r>
      <w:r>
        <w:rPr>
          <w:sz w:val="24"/>
          <w:u w:val="single"/>
        </w:rPr>
        <w:t xml:space="preserve">                </w:t>
      </w:r>
    </w:p>
    <w:p>
      <w:pPr>
        <w:spacing w:line="360" w:lineRule="auto"/>
        <w:ind w:firstLine="3120" w:firstLineChars="1300"/>
        <w:rPr>
          <w:sz w:val="24"/>
        </w:rPr>
      </w:pPr>
      <w:r>
        <w:rPr>
          <w:rFonts w:hint="eastAsia" w:cs="宋体"/>
          <w:sz w:val="24"/>
        </w:rPr>
        <w:t>法定代表人（签字）：</w:t>
      </w:r>
      <w:r>
        <w:rPr>
          <w:sz w:val="24"/>
          <w:u w:val="single"/>
        </w:rPr>
        <w:t xml:space="preserve">           </w:t>
      </w:r>
      <w:r>
        <w:rPr>
          <w:rFonts w:hint="eastAsia"/>
          <w:sz w:val="24"/>
          <w:u w:val="single"/>
        </w:rPr>
        <w:t xml:space="preserve"> </w:t>
      </w:r>
      <w:r>
        <w:rPr>
          <w:sz w:val="24"/>
          <w:u w:val="single"/>
        </w:rPr>
        <w:t xml:space="preserve">                    </w:t>
      </w:r>
    </w:p>
    <w:p>
      <w:pPr>
        <w:spacing w:line="360" w:lineRule="auto"/>
        <w:ind w:firstLine="3120" w:firstLineChars="1300"/>
        <w:rPr>
          <w:sz w:val="24"/>
        </w:rPr>
      </w:pPr>
      <w:r>
        <w:rPr>
          <w:rFonts w:hint="eastAsia" w:cs="宋体"/>
          <w:sz w:val="24"/>
        </w:rPr>
        <w:t>身份证号码：</w:t>
      </w:r>
      <w:r>
        <w:rPr>
          <w:sz w:val="24"/>
          <w:u w:val="single"/>
        </w:rPr>
        <w:t xml:space="preserve">                                  </w:t>
      </w:r>
      <w:r>
        <w:rPr>
          <w:rFonts w:hint="eastAsia"/>
          <w:sz w:val="24"/>
          <w:u w:val="single"/>
        </w:rPr>
        <w:t xml:space="preserve">  </w:t>
      </w:r>
      <w:r>
        <w:rPr>
          <w:sz w:val="24"/>
          <w:u w:val="single"/>
        </w:rPr>
        <w:t xml:space="preserve">   </w:t>
      </w:r>
    </w:p>
    <w:p>
      <w:pPr>
        <w:spacing w:line="360" w:lineRule="auto"/>
        <w:ind w:firstLine="3120" w:firstLineChars="1300"/>
        <w:rPr>
          <w:sz w:val="24"/>
        </w:rPr>
      </w:pPr>
      <w:r>
        <w:rPr>
          <w:rFonts w:hint="eastAsia" w:cs="宋体"/>
          <w:sz w:val="24"/>
        </w:rPr>
        <w:t>委托代理人（签字）：</w:t>
      </w:r>
      <w:r>
        <w:rPr>
          <w:sz w:val="24"/>
          <w:u w:val="single"/>
        </w:rPr>
        <w:t xml:space="preserve">                                </w:t>
      </w:r>
    </w:p>
    <w:p>
      <w:pPr>
        <w:spacing w:line="360" w:lineRule="auto"/>
        <w:ind w:firstLine="3120" w:firstLineChars="1300"/>
        <w:rPr>
          <w:sz w:val="24"/>
        </w:rPr>
      </w:pPr>
      <w:r>
        <w:rPr>
          <w:rFonts w:hint="eastAsia" w:cs="宋体"/>
          <w:sz w:val="24"/>
        </w:rPr>
        <w:t>身份证号码：</w:t>
      </w:r>
      <w:r>
        <w:rPr>
          <w:sz w:val="24"/>
          <w:u w:val="single"/>
        </w:rPr>
        <w:t xml:space="preserve">                                 </w:t>
      </w:r>
      <w:r>
        <w:rPr>
          <w:rFonts w:hint="eastAsia"/>
          <w:sz w:val="24"/>
          <w:u w:val="single"/>
        </w:rPr>
        <w:t xml:space="preserve"> </w:t>
      </w:r>
      <w:r>
        <w:rPr>
          <w:sz w:val="24"/>
          <w:u w:val="single"/>
        </w:rPr>
        <w:t xml:space="preserve">     </w:t>
      </w:r>
    </w:p>
    <w:p>
      <w:pPr>
        <w:spacing w:line="360" w:lineRule="auto"/>
        <w:ind w:firstLine="4560" w:firstLineChars="1900"/>
        <w:rPr>
          <w:rFonts w:eastAsia="黑体"/>
          <w:sz w:val="24"/>
        </w:rPr>
      </w:pPr>
      <w:r>
        <w:rPr>
          <w:sz w:val="24"/>
          <w:u w:val="single"/>
        </w:rPr>
        <w:t xml:space="preserve">       </w:t>
      </w:r>
      <w:r>
        <w:rPr>
          <w:rFonts w:hint="eastAsia" w:cs="宋体"/>
          <w:sz w:val="24"/>
        </w:rPr>
        <w:t>年</w:t>
      </w:r>
      <w:r>
        <w:rPr>
          <w:sz w:val="24"/>
          <w:u w:val="single"/>
        </w:rPr>
        <w:t xml:space="preserve">       </w:t>
      </w:r>
      <w:r>
        <w:rPr>
          <w:rFonts w:hint="eastAsia" w:cs="宋体"/>
          <w:sz w:val="24"/>
        </w:rPr>
        <w:t>月</w:t>
      </w:r>
      <w:r>
        <w:rPr>
          <w:sz w:val="24"/>
          <w:u w:val="single"/>
        </w:rPr>
        <w:t xml:space="preserve">       </w:t>
      </w:r>
      <w:r>
        <w:rPr>
          <w:rFonts w:hint="eastAsia" w:cs="宋体"/>
          <w:sz w:val="24"/>
        </w:rPr>
        <w:t>日</w:t>
      </w:r>
    </w:p>
    <w:p>
      <w:pPr>
        <w:spacing w:line="360" w:lineRule="auto"/>
        <w:jc w:val="left"/>
        <w:rPr>
          <w:sz w:val="28"/>
        </w:rPr>
      </w:pPr>
    </w:p>
    <w:tbl>
      <w:tblPr>
        <w:tblStyle w:val="41"/>
        <w:tblpPr w:leftFromText="180" w:rightFromText="180" w:vertAnchor="text" w:horzAnchor="page" w:tblpX="1365" w:tblpY="340"/>
        <w:tblOverlap w:val="never"/>
        <w:tblW w:w="9540"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4927"/>
        <w:gridCol w:w="4613"/>
      </w:tblGrid>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943" w:hRule="atLeast"/>
        </w:trPr>
        <w:tc>
          <w:tcPr>
            <w:tcW w:w="4927" w:type="dxa"/>
            <w:vAlign w:val="center"/>
          </w:tcPr>
          <w:p>
            <w:pPr>
              <w:spacing w:line="360" w:lineRule="auto"/>
              <w:jc w:val="center"/>
              <w:rPr>
                <w:sz w:val="28"/>
              </w:rPr>
            </w:pPr>
            <w:r>
              <w:rPr>
                <w:rFonts w:hint="eastAsia" w:ascii="宋体" w:hAnsi="宋体" w:cs="宋体"/>
                <w:sz w:val="24"/>
              </w:rPr>
              <w:t>委托代表人身份证正面</w:t>
            </w:r>
          </w:p>
        </w:tc>
        <w:tc>
          <w:tcPr>
            <w:tcW w:w="4613" w:type="dxa"/>
            <w:vAlign w:val="center"/>
          </w:tcPr>
          <w:p>
            <w:pPr>
              <w:spacing w:line="360" w:lineRule="auto"/>
              <w:jc w:val="center"/>
              <w:rPr>
                <w:sz w:val="28"/>
              </w:rPr>
            </w:pPr>
            <w:r>
              <w:rPr>
                <w:rFonts w:hint="eastAsia" w:ascii="宋体" w:hAnsi="宋体" w:cs="宋体"/>
                <w:sz w:val="24"/>
              </w:rPr>
              <w:t>委托代表人身份证反面</w:t>
            </w:r>
          </w:p>
        </w:tc>
      </w:tr>
    </w:tbl>
    <w:p>
      <w:pPr>
        <w:pStyle w:val="5"/>
        <w:numPr>
          <w:ilvl w:val="-1"/>
          <w:numId w:val="0"/>
        </w:numPr>
        <w:jc w:val="center"/>
        <w:rPr>
          <w:rFonts w:hint="eastAsia" w:ascii="宋体" w:hAnsi="宋体" w:cs="宋体"/>
          <w:color w:val="auto"/>
          <w:sz w:val="32"/>
          <w:lang w:val="en-US" w:eastAsia="zh-CN"/>
        </w:rPr>
      </w:pPr>
      <w:bookmarkStart w:id="377" w:name="_Toc12264"/>
      <w:bookmarkStart w:id="378" w:name="_Toc18017"/>
      <w:bookmarkStart w:id="379" w:name="_Toc805"/>
      <w:bookmarkStart w:id="380" w:name="_Toc5657"/>
      <w:bookmarkStart w:id="381" w:name="_Toc24602"/>
      <w:bookmarkStart w:id="382" w:name="_Toc14441"/>
      <w:bookmarkStart w:id="383" w:name="_Toc8644"/>
      <w:bookmarkStart w:id="384" w:name="_Toc16467"/>
      <w:bookmarkStart w:id="385" w:name="_Toc16965"/>
      <w:bookmarkStart w:id="386" w:name="_Toc26776"/>
      <w:r>
        <w:rPr>
          <w:rFonts w:hint="eastAsia" w:ascii="宋体" w:hAnsi="宋体" w:eastAsia="宋体" w:cs="宋体"/>
          <w:sz w:val="32"/>
          <w:lang w:val="en-US" w:eastAsia="zh-CN"/>
        </w:rPr>
        <w:t>（二）</w:t>
      </w:r>
      <w:r>
        <w:rPr>
          <w:rFonts w:hint="eastAsia" w:ascii="宋体" w:hAnsi="宋体" w:cs="宋体"/>
          <w:color w:val="auto"/>
          <w:sz w:val="32"/>
          <w:lang w:val="en-US" w:eastAsia="zh-CN"/>
        </w:rPr>
        <w:t>营业执照</w:t>
      </w:r>
      <w:bookmarkEnd w:id="377"/>
      <w:bookmarkEnd w:id="378"/>
      <w:bookmarkEnd w:id="379"/>
      <w:bookmarkEnd w:id="380"/>
      <w:bookmarkEnd w:id="381"/>
      <w:bookmarkEnd w:id="382"/>
      <w:bookmarkEnd w:id="383"/>
      <w:bookmarkEnd w:id="384"/>
      <w:bookmarkEnd w:id="385"/>
    </w:p>
    <w:p>
      <w:pPr>
        <w:numPr>
          <w:ilvl w:val="-1"/>
          <w:numId w:val="0"/>
        </w:numPr>
        <w:rPr>
          <w:rFonts w:hint="default"/>
          <w:lang w:val="en-US" w:eastAsia="zh-CN"/>
        </w:rPr>
      </w:pPr>
    </w:p>
    <w:p>
      <w:pPr>
        <w:numPr>
          <w:ilvl w:val="-1"/>
          <w:numId w:val="0"/>
        </w:numPr>
        <w:rPr>
          <w:rFonts w:hint="default"/>
          <w:lang w:val="en-US" w:eastAsia="zh-CN"/>
        </w:rPr>
      </w:pPr>
    </w:p>
    <w:p>
      <w:pPr>
        <w:numPr>
          <w:ilvl w:val="-1"/>
          <w:numId w:val="0"/>
        </w:numPr>
        <w:rPr>
          <w:rFonts w:hint="default"/>
          <w:lang w:val="en-US" w:eastAsia="zh-CN"/>
        </w:rPr>
      </w:pPr>
    </w:p>
    <w:p>
      <w:pPr>
        <w:numPr>
          <w:ilvl w:val="-1"/>
          <w:numId w:val="0"/>
        </w:numPr>
        <w:rPr>
          <w:rFonts w:hint="default"/>
          <w:lang w:val="en-US" w:eastAsia="zh-CN"/>
        </w:rPr>
      </w:pPr>
    </w:p>
    <w:p>
      <w:pPr>
        <w:numPr>
          <w:ilvl w:val="-1"/>
          <w:numId w:val="0"/>
        </w:numPr>
        <w:rPr>
          <w:rFonts w:hint="default"/>
          <w:lang w:val="en-US" w:eastAsia="zh-CN"/>
        </w:rPr>
      </w:pPr>
    </w:p>
    <w:p>
      <w:pPr>
        <w:numPr>
          <w:ilvl w:val="-1"/>
          <w:numId w:val="0"/>
        </w:numPr>
        <w:rPr>
          <w:rFonts w:hint="default"/>
          <w:lang w:val="en-US" w:eastAsia="zh-CN"/>
        </w:rPr>
      </w:pPr>
    </w:p>
    <w:p>
      <w:pPr>
        <w:numPr>
          <w:ilvl w:val="-1"/>
          <w:numId w:val="0"/>
        </w:numPr>
        <w:rPr>
          <w:rFonts w:hint="default"/>
          <w:lang w:val="en-US" w:eastAsia="zh-CN"/>
        </w:rPr>
      </w:pPr>
    </w:p>
    <w:p>
      <w:pPr>
        <w:numPr>
          <w:ilvl w:val="-1"/>
          <w:numId w:val="0"/>
        </w:numPr>
        <w:rPr>
          <w:rFonts w:hint="default"/>
          <w:lang w:val="en-US" w:eastAsia="zh-CN"/>
        </w:rPr>
      </w:pPr>
    </w:p>
    <w:p>
      <w:pPr>
        <w:numPr>
          <w:ilvl w:val="-1"/>
          <w:numId w:val="0"/>
        </w:numPr>
        <w:rPr>
          <w:rFonts w:hint="default"/>
          <w:lang w:val="en-US" w:eastAsia="zh-CN"/>
        </w:rPr>
      </w:pPr>
    </w:p>
    <w:p>
      <w:pPr>
        <w:numPr>
          <w:ilvl w:val="-1"/>
          <w:numId w:val="0"/>
        </w:numPr>
        <w:rPr>
          <w:rFonts w:hint="default"/>
          <w:lang w:val="en-US" w:eastAsia="zh-CN"/>
        </w:rPr>
      </w:pPr>
    </w:p>
    <w:p>
      <w:pPr>
        <w:numPr>
          <w:ilvl w:val="-1"/>
          <w:numId w:val="0"/>
        </w:numPr>
        <w:rPr>
          <w:rFonts w:hint="default"/>
          <w:lang w:val="en-US" w:eastAsia="zh-CN"/>
        </w:rPr>
      </w:pPr>
    </w:p>
    <w:p>
      <w:pPr>
        <w:numPr>
          <w:ilvl w:val="-1"/>
          <w:numId w:val="0"/>
        </w:numPr>
        <w:rPr>
          <w:rFonts w:hint="default"/>
          <w:lang w:val="en-US" w:eastAsia="zh-CN"/>
        </w:rPr>
      </w:pPr>
    </w:p>
    <w:p>
      <w:pPr>
        <w:numPr>
          <w:ilvl w:val="-1"/>
          <w:numId w:val="0"/>
        </w:numPr>
        <w:rPr>
          <w:rFonts w:hint="default"/>
          <w:lang w:val="en-US" w:eastAsia="zh-CN"/>
        </w:rPr>
      </w:pPr>
    </w:p>
    <w:p>
      <w:pPr>
        <w:numPr>
          <w:ilvl w:val="-1"/>
          <w:numId w:val="0"/>
        </w:numPr>
        <w:rPr>
          <w:rFonts w:hint="default"/>
          <w:lang w:val="en-US" w:eastAsia="zh-CN"/>
        </w:rPr>
      </w:pPr>
    </w:p>
    <w:p>
      <w:pPr>
        <w:numPr>
          <w:ilvl w:val="-1"/>
          <w:numId w:val="0"/>
        </w:numPr>
        <w:rPr>
          <w:rFonts w:hint="default"/>
          <w:lang w:val="en-US" w:eastAsia="zh-CN"/>
        </w:rPr>
      </w:pPr>
    </w:p>
    <w:p>
      <w:pPr>
        <w:numPr>
          <w:ilvl w:val="-1"/>
          <w:numId w:val="0"/>
        </w:numPr>
        <w:rPr>
          <w:rFonts w:hint="default"/>
          <w:lang w:val="en-US" w:eastAsia="zh-CN"/>
        </w:rPr>
      </w:pPr>
    </w:p>
    <w:p>
      <w:pPr>
        <w:numPr>
          <w:ilvl w:val="-1"/>
          <w:numId w:val="0"/>
        </w:numPr>
        <w:rPr>
          <w:rFonts w:hint="default"/>
          <w:lang w:val="en-US" w:eastAsia="zh-CN"/>
        </w:rPr>
      </w:pPr>
    </w:p>
    <w:p>
      <w:pPr>
        <w:numPr>
          <w:ilvl w:val="-1"/>
          <w:numId w:val="0"/>
        </w:numPr>
        <w:rPr>
          <w:rFonts w:hint="default"/>
          <w:lang w:val="en-US" w:eastAsia="zh-CN"/>
        </w:rPr>
      </w:pPr>
    </w:p>
    <w:p>
      <w:pPr>
        <w:numPr>
          <w:ilvl w:val="-1"/>
          <w:numId w:val="0"/>
        </w:numPr>
        <w:rPr>
          <w:rFonts w:hint="default"/>
          <w:lang w:val="en-US" w:eastAsia="zh-CN"/>
        </w:rPr>
      </w:pPr>
    </w:p>
    <w:p>
      <w:pPr>
        <w:numPr>
          <w:ilvl w:val="-1"/>
          <w:numId w:val="0"/>
        </w:numPr>
        <w:rPr>
          <w:rFonts w:hint="default"/>
          <w:lang w:val="en-US" w:eastAsia="zh-CN"/>
        </w:rPr>
      </w:pPr>
    </w:p>
    <w:p>
      <w:pPr>
        <w:numPr>
          <w:ilvl w:val="-1"/>
          <w:numId w:val="0"/>
        </w:numPr>
        <w:rPr>
          <w:rFonts w:hint="default"/>
          <w:lang w:val="en-US" w:eastAsia="zh-CN"/>
        </w:rPr>
      </w:pPr>
    </w:p>
    <w:p>
      <w:pPr>
        <w:numPr>
          <w:ilvl w:val="-1"/>
          <w:numId w:val="0"/>
        </w:numPr>
        <w:rPr>
          <w:rFonts w:hint="default"/>
          <w:lang w:val="en-US" w:eastAsia="zh-CN"/>
        </w:rPr>
      </w:pPr>
    </w:p>
    <w:p>
      <w:pPr>
        <w:numPr>
          <w:ilvl w:val="-1"/>
          <w:numId w:val="0"/>
        </w:numPr>
        <w:rPr>
          <w:rFonts w:hint="default"/>
          <w:lang w:val="en-US" w:eastAsia="zh-CN"/>
        </w:rPr>
      </w:pPr>
    </w:p>
    <w:p>
      <w:pPr>
        <w:numPr>
          <w:ilvl w:val="-1"/>
          <w:numId w:val="0"/>
        </w:numPr>
        <w:rPr>
          <w:rFonts w:hint="default"/>
          <w:lang w:val="en-US" w:eastAsia="zh-CN"/>
        </w:rPr>
      </w:pPr>
    </w:p>
    <w:p>
      <w:pPr>
        <w:numPr>
          <w:ilvl w:val="-1"/>
          <w:numId w:val="0"/>
        </w:numPr>
        <w:rPr>
          <w:rFonts w:hint="default"/>
          <w:lang w:val="en-US" w:eastAsia="zh-CN"/>
        </w:rPr>
      </w:pPr>
    </w:p>
    <w:p>
      <w:pPr>
        <w:numPr>
          <w:ilvl w:val="-1"/>
          <w:numId w:val="0"/>
        </w:numPr>
        <w:rPr>
          <w:rFonts w:hint="default"/>
          <w:lang w:val="en-US" w:eastAsia="zh-CN"/>
        </w:rPr>
      </w:pPr>
    </w:p>
    <w:p>
      <w:pPr>
        <w:numPr>
          <w:ilvl w:val="-1"/>
          <w:numId w:val="0"/>
        </w:numPr>
        <w:rPr>
          <w:rFonts w:hint="default"/>
          <w:lang w:val="en-US" w:eastAsia="zh-CN"/>
        </w:rPr>
      </w:pPr>
    </w:p>
    <w:p>
      <w:pPr>
        <w:numPr>
          <w:ilvl w:val="-1"/>
          <w:numId w:val="0"/>
        </w:numPr>
        <w:rPr>
          <w:rFonts w:hint="default"/>
          <w:lang w:val="en-US" w:eastAsia="zh-CN"/>
        </w:rPr>
      </w:pPr>
    </w:p>
    <w:p>
      <w:pPr>
        <w:numPr>
          <w:ilvl w:val="-1"/>
          <w:numId w:val="0"/>
        </w:numPr>
        <w:rPr>
          <w:rFonts w:hint="default"/>
          <w:lang w:val="en-US" w:eastAsia="zh-CN"/>
        </w:rPr>
      </w:pPr>
    </w:p>
    <w:p>
      <w:pPr>
        <w:numPr>
          <w:ilvl w:val="-1"/>
          <w:numId w:val="0"/>
        </w:numPr>
        <w:rPr>
          <w:rFonts w:hint="default"/>
          <w:lang w:val="en-US" w:eastAsia="zh-CN"/>
        </w:rPr>
      </w:pPr>
    </w:p>
    <w:p>
      <w:pPr>
        <w:numPr>
          <w:ilvl w:val="-1"/>
          <w:numId w:val="0"/>
        </w:numPr>
        <w:rPr>
          <w:rFonts w:hint="default"/>
          <w:lang w:val="en-US" w:eastAsia="zh-CN"/>
        </w:rPr>
      </w:pPr>
    </w:p>
    <w:p>
      <w:pPr>
        <w:numPr>
          <w:ilvl w:val="-1"/>
          <w:numId w:val="0"/>
        </w:numPr>
        <w:rPr>
          <w:rFonts w:hint="default"/>
          <w:lang w:val="en-US" w:eastAsia="zh-CN"/>
        </w:rPr>
      </w:pPr>
    </w:p>
    <w:p>
      <w:pPr>
        <w:numPr>
          <w:ilvl w:val="-1"/>
          <w:numId w:val="0"/>
        </w:numPr>
        <w:rPr>
          <w:rFonts w:hint="default"/>
          <w:lang w:val="en-US" w:eastAsia="zh-CN"/>
        </w:rPr>
      </w:pPr>
    </w:p>
    <w:p>
      <w:pPr>
        <w:numPr>
          <w:ilvl w:val="-1"/>
          <w:numId w:val="0"/>
        </w:numPr>
        <w:rPr>
          <w:rFonts w:hint="default"/>
          <w:lang w:val="en-US" w:eastAsia="zh-CN"/>
        </w:rPr>
      </w:pPr>
    </w:p>
    <w:p>
      <w:pPr>
        <w:numPr>
          <w:ilvl w:val="-1"/>
          <w:numId w:val="0"/>
        </w:numPr>
        <w:rPr>
          <w:rFonts w:hint="default"/>
          <w:lang w:val="en-US" w:eastAsia="zh-CN"/>
        </w:rPr>
      </w:pPr>
    </w:p>
    <w:p>
      <w:pPr>
        <w:numPr>
          <w:ilvl w:val="-1"/>
          <w:numId w:val="0"/>
        </w:numPr>
        <w:rPr>
          <w:rFonts w:hint="default"/>
          <w:lang w:val="en-US" w:eastAsia="zh-CN"/>
        </w:rPr>
      </w:pPr>
    </w:p>
    <w:p>
      <w:pPr>
        <w:numPr>
          <w:ilvl w:val="-1"/>
          <w:numId w:val="0"/>
        </w:numPr>
        <w:rPr>
          <w:rFonts w:hint="default"/>
          <w:lang w:val="en-US" w:eastAsia="zh-CN"/>
        </w:rPr>
      </w:pPr>
    </w:p>
    <w:p>
      <w:pPr>
        <w:numPr>
          <w:ilvl w:val="-1"/>
          <w:numId w:val="0"/>
        </w:numPr>
        <w:rPr>
          <w:rFonts w:hint="default"/>
          <w:lang w:val="en-US" w:eastAsia="zh-CN"/>
        </w:rPr>
      </w:pPr>
    </w:p>
    <w:p>
      <w:pPr>
        <w:pStyle w:val="5"/>
        <w:numPr>
          <w:ilvl w:val="0"/>
          <w:numId w:val="0"/>
        </w:numPr>
        <w:jc w:val="center"/>
        <w:rPr>
          <w:rFonts w:hint="eastAsia" w:ascii="宋体" w:hAnsi="宋体" w:cs="宋体"/>
          <w:b/>
          <w:color w:val="auto"/>
          <w:sz w:val="32"/>
        </w:rPr>
      </w:pPr>
      <w:bookmarkStart w:id="387" w:name="_Toc22175"/>
      <w:bookmarkStart w:id="388" w:name="_Toc14689"/>
      <w:bookmarkStart w:id="389" w:name="_Toc27277"/>
      <w:bookmarkStart w:id="390" w:name="_Toc17198"/>
      <w:bookmarkStart w:id="391" w:name="_Toc23724"/>
      <w:bookmarkStart w:id="392" w:name="_Toc24329"/>
      <w:bookmarkStart w:id="393" w:name="_Toc4820"/>
      <w:bookmarkStart w:id="394" w:name="_Toc12983"/>
      <w:bookmarkStart w:id="395" w:name="_Toc32682"/>
      <w:r>
        <w:rPr>
          <w:rFonts w:hint="eastAsia" w:ascii="宋体" w:hAnsi="宋体" w:eastAsia="宋体" w:cs="宋体"/>
          <w:sz w:val="32"/>
          <w:lang w:val="en-US" w:eastAsia="zh-CN"/>
        </w:rPr>
        <w:t>（三）</w:t>
      </w:r>
      <w:r>
        <w:rPr>
          <w:rFonts w:hint="eastAsia" w:cs="仿宋" w:asciiTheme="minorEastAsia" w:hAnsiTheme="minorEastAsia" w:eastAsiaTheme="minorEastAsia"/>
          <w:szCs w:val="21"/>
        </w:rPr>
        <w:t>资质证书</w:t>
      </w:r>
      <w:bookmarkEnd w:id="386"/>
      <w:bookmarkEnd w:id="387"/>
      <w:bookmarkEnd w:id="388"/>
      <w:bookmarkEnd w:id="389"/>
      <w:bookmarkEnd w:id="390"/>
      <w:bookmarkEnd w:id="391"/>
      <w:bookmarkEnd w:id="392"/>
      <w:bookmarkEnd w:id="393"/>
      <w:bookmarkEnd w:id="394"/>
      <w:bookmarkEnd w:id="395"/>
    </w:p>
    <w:p>
      <w:pPr>
        <w:snapToGrid w:val="0"/>
        <w:spacing w:before="159" w:beforeLines="50" w:after="50" w:line="360" w:lineRule="auto"/>
        <w:ind w:firstLine="0" w:firstLineChars="0"/>
        <w:jc w:val="center"/>
        <w:rPr>
          <w:rFonts w:hint="eastAsia" w:ascii="宋体" w:hAnsi="宋体"/>
          <w:color w:val="000000" w:themeColor="text1"/>
          <w:sz w:val="24"/>
          <w:lang w:val="en-US" w:eastAsia="zh-CN"/>
          <w14:textFill>
            <w14:solidFill>
              <w14:schemeClr w14:val="tx1"/>
            </w14:solidFill>
          </w14:textFill>
        </w:rPr>
      </w:pPr>
      <w:r>
        <w:rPr>
          <w:rFonts w:hint="eastAsia" w:ascii="宋体" w:hAnsi="宋体"/>
          <w:color w:val="000000" w:themeColor="text1"/>
          <w:sz w:val="24"/>
          <w:lang w:val="en-US" w:eastAsia="zh-CN"/>
          <w14:textFill>
            <w14:solidFill>
              <w14:schemeClr w14:val="tx1"/>
            </w14:solidFill>
          </w14:textFill>
        </w:rPr>
        <w:t>1.投标人或所投产品制造商提供中国绿色产品认证证书（复印件）</w:t>
      </w:r>
    </w:p>
    <w:p>
      <w:pPr>
        <w:snapToGrid w:val="0"/>
        <w:spacing w:before="159" w:beforeLines="50" w:after="50" w:line="360" w:lineRule="auto"/>
        <w:ind w:firstLine="0" w:firstLineChars="0"/>
        <w:jc w:val="center"/>
        <w:rPr>
          <w:rFonts w:hint="eastAsia" w:ascii="宋体" w:hAnsi="宋体" w:eastAsia="宋体"/>
          <w:color w:val="000000" w:themeColor="text1"/>
          <w:sz w:val="24"/>
          <w:lang w:eastAsia="zh-CN"/>
          <w14:textFill>
            <w14:solidFill>
              <w14:schemeClr w14:val="tx1"/>
            </w14:solidFill>
          </w14:textFill>
        </w:rPr>
      </w:pPr>
      <w:r>
        <w:rPr>
          <w:rFonts w:hint="eastAsia" w:ascii="宋体" w:hAnsi="宋体"/>
          <w:color w:val="000000" w:themeColor="text1"/>
          <w:sz w:val="24"/>
          <w:lang w:val="en-US" w:eastAsia="zh-CN"/>
          <w14:textFill>
            <w14:solidFill>
              <w14:schemeClr w14:val="tx1"/>
            </w14:solidFill>
          </w14:textFill>
        </w:rPr>
        <w:t>2.</w:t>
      </w:r>
      <w:r>
        <w:rPr>
          <w:rFonts w:hint="eastAsia" w:ascii="宋体" w:hAnsi="宋体"/>
          <w:color w:val="000000" w:themeColor="text1"/>
          <w:sz w:val="24"/>
          <w14:textFill>
            <w14:solidFill>
              <w14:schemeClr w14:val="tx1"/>
            </w14:solidFill>
          </w14:textFill>
        </w:rPr>
        <w:t>投标人或投标产品制造商具有家具中有害物质限量认证证书</w:t>
      </w:r>
      <w:r>
        <w:rPr>
          <w:rFonts w:hint="eastAsia" w:ascii="宋体" w:hAnsi="宋体"/>
          <w:color w:val="000000" w:themeColor="text1"/>
          <w:sz w:val="24"/>
          <w:lang w:eastAsia="zh-CN"/>
          <w14:textFill>
            <w14:solidFill>
              <w14:schemeClr w14:val="tx1"/>
            </w14:solidFill>
          </w14:textFill>
        </w:rPr>
        <w:t>（</w:t>
      </w:r>
      <w:r>
        <w:rPr>
          <w:rFonts w:hint="eastAsia" w:ascii="宋体" w:hAnsi="宋体"/>
          <w:color w:val="000000" w:themeColor="text1"/>
          <w:sz w:val="24"/>
          <w:lang w:val="en-US" w:eastAsia="zh-CN"/>
          <w14:textFill>
            <w14:solidFill>
              <w14:schemeClr w14:val="tx1"/>
            </w14:solidFill>
          </w14:textFill>
        </w:rPr>
        <w:t>复印件</w:t>
      </w:r>
      <w:r>
        <w:rPr>
          <w:rFonts w:hint="eastAsia" w:ascii="宋体" w:hAnsi="宋体"/>
          <w:color w:val="000000" w:themeColor="text1"/>
          <w:sz w:val="24"/>
          <w:lang w:eastAsia="zh-CN"/>
          <w14:textFill>
            <w14:solidFill>
              <w14:schemeClr w14:val="tx1"/>
            </w14:solidFill>
          </w14:textFill>
        </w:rPr>
        <w:t>）</w:t>
      </w:r>
    </w:p>
    <w:p>
      <w:pPr>
        <w:spacing w:line="360" w:lineRule="auto"/>
        <w:ind w:left="480"/>
        <w:jc w:val="center"/>
        <w:rPr>
          <w:rFonts w:ascii="宋体" w:hAnsi="宋体"/>
          <w:b/>
          <w:color w:val="000000" w:themeColor="text1"/>
          <w:sz w:val="28"/>
          <w14:textFill>
            <w14:solidFill>
              <w14:schemeClr w14:val="tx1"/>
            </w14:solidFill>
          </w14:textFill>
        </w:rPr>
      </w:pPr>
    </w:p>
    <w:p>
      <w:pPr>
        <w:pStyle w:val="158"/>
        <w:rPr>
          <w:rFonts w:ascii="宋体" w:hAnsi="宋体"/>
          <w:b/>
          <w:color w:val="000000" w:themeColor="text1"/>
          <w:sz w:val="28"/>
          <w14:textFill>
            <w14:solidFill>
              <w14:schemeClr w14:val="tx1"/>
            </w14:solidFill>
          </w14:textFill>
        </w:rPr>
      </w:pPr>
    </w:p>
    <w:p>
      <w:pPr>
        <w:pStyle w:val="158"/>
        <w:rPr>
          <w:rFonts w:ascii="宋体" w:hAnsi="宋体"/>
          <w:b/>
          <w:color w:val="000000" w:themeColor="text1"/>
          <w:sz w:val="28"/>
          <w14:textFill>
            <w14:solidFill>
              <w14:schemeClr w14:val="tx1"/>
            </w14:solidFill>
          </w14:textFill>
        </w:rPr>
      </w:pPr>
    </w:p>
    <w:p>
      <w:pPr>
        <w:pStyle w:val="158"/>
        <w:rPr>
          <w:rFonts w:hint="eastAsia" w:ascii="宋体" w:hAnsi="宋体"/>
          <w:b/>
          <w:color w:val="000000" w:themeColor="text1"/>
          <w:sz w:val="28"/>
          <w:lang w:val="en-US" w:eastAsia="zh-CN"/>
          <w14:textFill>
            <w14:solidFill>
              <w14:schemeClr w14:val="tx1"/>
            </w14:solidFill>
          </w14:textFill>
        </w:rPr>
      </w:pPr>
    </w:p>
    <w:p>
      <w:pPr>
        <w:pStyle w:val="158"/>
        <w:rPr>
          <w:rFonts w:hint="eastAsia" w:ascii="宋体" w:hAnsi="宋体"/>
          <w:b/>
          <w:color w:val="000000" w:themeColor="text1"/>
          <w:sz w:val="28"/>
          <w:lang w:val="en-US" w:eastAsia="zh-CN"/>
          <w14:textFill>
            <w14:solidFill>
              <w14:schemeClr w14:val="tx1"/>
            </w14:solidFill>
          </w14:textFill>
        </w:rPr>
      </w:pPr>
    </w:p>
    <w:p>
      <w:pPr>
        <w:pStyle w:val="158"/>
        <w:rPr>
          <w:rFonts w:hint="eastAsia" w:ascii="宋体" w:hAnsi="宋体"/>
          <w:b/>
          <w:color w:val="000000" w:themeColor="text1"/>
          <w:sz w:val="28"/>
          <w:lang w:val="en-US" w:eastAsia="zh-CN"/>
          <w14:textFill>
            <w14:solidFill>
              <w14:schemeClr w14:val="tx1"/>
            </w14:solidFill>
          </w14:textFill>
        </w:rPr>
      </w:pPr>
    </w:p>
    <w:p>
      <w:pPr>
        <w:pStyle w:val="158"/>
        <w:rPr>
          <w:rFonts w:hint="eastAsia" w:ascii="宋体" w:hAnsi="宋体"/>
          <w:b/>
          <w:color w:val="000000" w:themeColor="text1"/>
          <w:sz w:val="28"/>
          <w:lang w:val="en-US" w:eastAsia="zh-CN"/>
          <w14:textFill>
            <w14:solidFill>
              <w14:schemeClr w14:val="tx1"/>
            </w14:solidFill>
          </w14:textFill>
        </w:rPr>
      </w:pPr>
    </w:p>
    <w:p>
      <w:pPr>
        <w:pStyle w:val="158"/>
        <w:rPr>
          <w:rFonts w:hint="eastAsia" w:ascii="宋体" w:hAnsi="宋体"/>
          <w:b/>
          <w:color w:val="000000" w:themeColor="text1"/>
          <w:sz w:val="28"/>
          <w:lang w:val="en-US" w:eastAsia="zh-CN"/>
          <w14:textFill>
            <w14:solidFill>
              <w14:schemeClr w14:val="tx1"/>
            </w14:solidFill>
          </w14:textFill>
        </w:rPr>
      </w:pPr>
    </w:p>
    <w:p>
      <w:pPr>
        <w:pStyle w:val="158"/>
        <w:rPr>
          <w:rFonts w:hint="eastAsia" w:ascii="宋体" w:hAnsi="宋体"/>
          <w:b/>
          <w:color w:val="000000" w:themeColor="text1"/>
          <w:sz w:val="28"/>
          <w:lang w:val="en-US" w:eastAsia="zh-CN"/>
          <w14:textFill>
            <w14:solidFill>
              <w14:schemeClr w14:val="tx1"/>
            </w14:solidFill>
          </w14:textFill>
        </w:rPr>
      </w:pPr>
    </w:p>
    <w:p>
      <w:pPr>
        <w:pStyle w:val="158"/>
        <w:rPr>
          <w:rFonts w:hint="eastAsia" w:ascii="宋体" w:hAnsi="宋体"/>
          <w:b/>
          <w:color w:val="000000" w:themeColor="text1"/>
          <w:sz w:val="28"/>
          <w:lang w:val="en-US" w:eastAsia="zh-CN"/>
          <w14:textFill>
            <w14:solidFill>
              <w14:schemeClr w14:val="tx1"/>
            </w14:solidFill>
          </w14:textFill>
        </w:rPr>
      </w:pPr>
    </w:p>
    <w:p>
      <w:pPr>
        <w:pStyle w:val="158"/>
        <w:rPr>
          <w:rFonts w:hint="eastAsia" w:ascii="宋体" w:hAnsi="宋体"/>
          <w:b/>
          <w:color w:val="000000" w:themeColor="text1"/>
          <w:sz w:val="28"/>
          <w:lang w:val="en-US" w:eastAsia="zh-CN"/>
          <w14:textFill>
            <w14:solidFill>
              <w14:schemeClr w14:val="tx1"/>
            </w14:solidFill>
          </w14:textFill>
        </w:rPr>
      </w:pPr>
    </w:p>
    <w:p>
      <w:pPr>
        <w:pStyle w:val="158"/>
        <w:rPr>
          <w:rFonts w:hint="eastAsia" w:ascii="宋体" w:hAnsi="宋体"/>
          <w:b/>
          <w:color w:val="000000" w:themeColor="text1"/>
          <w:sz w:val="28"/>
          <w:lang w:val="en-US" w:eastAsia="zh-CN"/>
          <w14:textFill>
            <w14:solidFill>
              <w14:schemeClr w14:val="tx1"/>
            </w14:solidFill>
          </w14:textFill>
        </w:rPr>
      </w:pPr>
    </w:p>
    <w:p>
      <w:pPr>
        <w:pStyle w:val="158"/>
        <w:rPr>
          <w:rFonts w:hint="eastAsia" w:ascii="宋体" w:hAnsi="宋体"/>
          <w:b/>
          <w:color w:val="000000" w:themeColor="text1"/>
          <w:sz w:val="28"/>
          <w:lang w:val="en-US" w:eastAsia="zh-CN"/>
          <w14:textFill>
            <w14:solidFill>
              <w14:schemeClr w14:val="tx1"/>
            </w14:solidFill>
          </w14:textFill>
        </w:rPr>
      </w:pPr>
    </w:p>
    <w:p>
      <w:pPr>
        <w:pStyle w:val="158"/>
        <w:rPr>
          <w:rFonts w:hint="eastAsia" w:ascii="宋体" w:hAnsi="宋体"/>
          <w:b/>
          <w:color w:val="000000" w:themeColor="text1"/>
          <w:sz w:val="28"/>
          <w:lang w:val="en-US" w:eastAsia="zh-CN"/>
          <w14:textFill>
            <w14:solidFill>
              <w14:schemeClr w14:val="tx1"/>
            </w14:solidFill>
          </w14:textFill>
        </w:rPr>
      </w:pPr>
    </w:p>
    <w:p>
      <w:pPr>
        <w:pStyle w:val="158"/>
        <w:rPr>
          <w:rFonts w:hint="eastAsia" w:ascii="宋体" w:hAnsi="宋体"/>
          <w:b/>
          <w:color w:val="000000" w:themeColor="text1"/>
          <w:sz w:val="28"/>
          <w:lang w:val="en-US" w:eastAsia="zh-CN"/>
          <w14:textFill>
            <w14:solidFill>
              <w14:schemeClr w14:val="tx1"/>
            </w14:solidFill>
          </w14:textFill>
        </w:rPr>
      </w:pPr>
    </w:p>
    <w:p>
      <w:pPr>
        <w:pStyle w:val="158"/>
      </w:pPr>
    </w:p>
    <w:p>
      <w:pPr>
        <w:pStyle w:val="158"/>
      </w:pPr>
    </w:p>
    <w:p>
      <w:pPr>
        <w:pStyle w:val="5"/>
        <w:jc w:val="center"/>
        <w:rPr>
          <w:rFonts w:hint="eastAsia" w:ascii="Times New Roman" w:hAnsi="Times New Roman"/>
          <w:b/>
          <w:color w:val="auto"/>
          <w:sz w:val="30"/>
        </w:rPr>
      </w:pPr>
      <w:bookmarkStart w:id="396" w:name="_Toc8832"/>
      <w:bookmarkStart w:id="397" w:name="_Toc983"/>
      <w:bookmarkStart w:id="398" w:name="_Toc17769"/>
      <w:bookmarkStart w:id="399" w:name="_Toc29398"/>
      <w:bookmarkStart w:id="400" w:name="_Toc1022"/>
      <w:bookmarkStart w:id="401" w:name="_Toc28181"/>
      <w:bookmarkStart w:id="402" w:name="_Toc30466"/>
      <w:bookmarkStart w:id="403" w:name="_Toc18521"/>
      <w:bookmarkStart w:id="404" w:name="_Toc28048"/>
      <w:bookmarkStart w:id="405" w:name="_Toc24849"/>
      <w:r>
        <w:rPr>
          <w:rFonts w:hint="eastAsia" w:ascii="Times New Roman" w:hAnsi="Times New Roman" w:eastAsia="宋体" w:cs="Times New Roman"/>
          <w:b/>
          <w:sz w:val="30"/>
          <w:lang w:val="en-US" w:eastAsia="zh-CN"/>
        </w:rPr>
        <w:t>（</w:t>
      </w:r>
      <w:r>
        <w:rPr>
          <w:rFonts w:hint="eastAsia" w:cs="Times New Roman"/>
          <w:b/>
          <w:sz w:val="30"/>
          <w:lang w:val="en-US" w:eastAsia="zh-CN"/>
        </w:rPr>
        <w:t>四</w:t>
      </w:r>
      <w:r>
        <w:rPr>
          <w:rFonts w:hint="eastAsia" w:ascii="Times New Roman" w:hAnsi="Times New Roman" w:eastAsia="宋体" w:cs="Times New Roman"/>
          <w:b/>
          <w:sz w:val="30"/>
          <w:lang w:val="en-US" w:eastAsia="zh-CN"/>
        </w:rPr>
        <w:t>）</w:t>
      </w:r>
      <w:r>
        <w:rPr>
          <w:rFonts w:hint="eastAsia" w:ascii="Times New Roman" w:hAnsi="Times New Roman" w:cs="Times New Roman"/>
          <w:color w:val="auto"/>
          <w:sz w:val="30"/>
          <w:lang w:val="en-US" w:eastAsia="zh-CN"/>
        </w:rPr>
        <w:t>投标</w:t>
      </w:r>
      <w:r>
        <w:rPr>
          <w:rFonts w:hint="eastAsia" w:ascii="Times New Roman" w:hAnsi="Times New Roman" w:eastAsia="宋体" w:cs="Times New Roman"/>
          <w:color w:val="auto"/>
          <w:sz w:val="30"/>
        </w:rPr>
        <w:t>人类似项目</w:t>
      </w:r>
      <w:r>
        <w:rPr>
          <w:rFonts w:hint="eastAsia" w:ascii="Times New Roman" w:hAnsi="Times New Roman"/>
          <w:color w:val="auto"/>
          <w:sz w:val="30"/>
        </w:rPr>
        <w:t>实施情况一览表</w:t>
      </w:r>
      <w:bookmarkEnd w:id="396"/>
      <w:bookmarkEnd w:id="397"/>
      <w:bookmarkEnd w:id="398"/>
      <w:bookmarkEnd w:id="399"/>
      <w:bookmarkEnd w:id="400"/>
      <w:bookmarkEnd w:id="401"/>
      <w:bookmarkEnd w:id="402"/>
      <w:bookmarkEnd w:id="403"/>
      <w:bookmarkEnd w:id="404"/>
      <w:bookmarkEnd w:id="405"/>
    </w:p>
    <w:tbl>
      <w:tblPr>
        <w:tblStyle w:val="41"/>
        <w:tblW w:w="851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81"/>
        <w:gridCol w:w="1154"/>
        <w:gridCol w:w="1407"/>
        <w:gridCol w:w="1125"/>
        <w:gridCol w:w="1298"/>
        <w:gridCol w:w="1235"/>
        <w:gridCol w:w="181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81" w:type="dxa"/>
            <w:tcBorders>
              <w:top w:val="single" w:color="auto" w:sz="6" w:space="0"/>
              <w:left w:val="single" w:color="auto" w:sz="6" w:space="0"/>
              <w:bottom w:val="single" w:color="auto" w:sz="6" w:space="0"/>
              <w:right w:val="single" w:color="auto" w:sz="6" w:space="0"/>
            </w:tcBorders>
            <w:vAlign w:val="center"/>
          </w:tcPr>
          <w:p>
            <w:pPr>
              <w:pStyle w:val="165"/>
              <w:spacing w:line="360" w:lineRule="auto"/>
              <w:jc w:val="center"/>
              <w:rPr>
                <w:rFonts w:ascii="宋体" w:hAnsi="宋体" w:cs="Arial"/>
                <w:b/>
                <w:bCs/>
                <w:color w:val="000000" w:themeColor="text1"/>
                <w:sz w:val="24"/>
                <w14:textFill>
                  <w14:solidFill>
                    <w14:schemeClr w14:val="tx1"/>
                  </w14:solidFill>
                </w14:textFill>
              </w:rPr>
            </w:pPr>
            <w:r>
              <w:rPr>
                <w:rFonts w:hint="eastAsia" w:ascii="宋体" w:hAnsi="宋体" w:cs="Arial"/>
                <w:b/>
                <w:bCs/>
                <w:color w:val="000000" w:themeColor="text1"/>
                <w:sz w:val="24"/>
                <w14:textFill>
                  <w14:solidFill>
                    <w14:schemeClr w14:val="tx1"/>
                  </w14:solidFill>
                </w14:textFill>
              </w:rPr>
              <w:t>序号</w:t>
            </w:r>
          </w:p>
        </w:tc>
        <w:tc>
          <w:tcPr>
            <w:tcW w:w="1154" w:type="dxa"/>
            <w:tcBorders>
              <w:top w:val="single" w:color="auto" w:sz="6" w:space="0"/>
              <w:left w:val="single" w:color="auto" w:sz="6" w:space="0"/>
              <w:bottom w:val="single" w:color="auto" w:sz="6" w:space="0"/>
              <w:right w:val="single" w:color="auto" w:sz="6" w:space="0"/>
            </w:tcBorders>
            <w:vAlign w:val="center"/>
          </w:tcPr>
          <w:p>
            <w:pPr>
              <w:pStyle w:val="165"/>
              <w:spacing w:line="360" w:lineRule="auto"/>
              <w:jc w:val="center"/>
              <w:rPr>
                <w:rFonts w:ascii="宋体" w:hAnsi="宋体" w:cs="Arial"/>
                <w:b/>
                <w:bCs/>
                <w:color w:val="000000" w:themeColor="text1"/>
                <w:sz w:val="24"/>
                <w14:textFill>
                  <w14:solidFill>
                    <w14:schemeClr w14:val="tx1"/>
                  </w14:solidFill>
                </w14:textFill>
              </w:rPr>
            </w:pPr>
            <w:r>
              <w:rPr>
                <w:rFonts w:hint="eastAsia" w:ascii="宋体" w:hAnsi="宋体" w:cs="Arial"/>
                <w:b/>
                <w:bCs/>
                <w:color w:val="000000" w:themeColor="text1"/>
                <w:sz w:val="24"/>
                <w14:textFill>
                  <w14:solidFill>
                    <w14:schemeClr w14:val="tx1"/>
                  </w14:solidFill>
                </w14:textFill>
              </w:rPr>
              <w:t>项目名称</w:t>
            </w:r>
          </w:p>
        </w:tc>
        <w:tc>
          <w:tcPr>
            <w:tcW w:w="1407" w:type="dxa"/>
            <w:tcBorders>
              <w:top w:val="single" w:color="auto" w:sz="6" w:space="0"/>
              <w:left w:val="single" w:color="auto" w:sz="6" w:space="0"/>
              <w:bottom w:val="single" w:color="auto" w:sz="6" w:space="0"/>
              <w:right w:val="single" w:color="auto" w:sz="6" w:space="0"/>
            </w:tcBorders>
            <w:vAlign w:val="center"/>
          </w:tcPr>
          <w:p>
            <w:pPr>
              <w:pStyle w:val="165"/>
              <w:spacing w:line="360" w:lineRule="auto"/>
              <w:jc w:val="center"/>
              <w:rPr>
                <w:rFonts w:ascii="宋体" w:hAnsi="宋体" w:cs="Arial"/>
                <w:b/>
                <w:bCs/>
                <w:color w:val="000000" w:themeColor="text1"/>
                <w:sz w:val="24"/>
                <w14:textFill>
                  <w14:solidFill>
                    <w14:schemeClr w14:val="tx1"/>
                  </w14:solidFill>
                </w14:textFill>
              </w:rPr>
            </w:pPr>
            <w:r>
              <w:rPr>
                <w:rFonts w:hint="eastAsia" w:ascii="宋体" w:hAnsi="宋体" w:cs="Arial"/>
                <w:b/>
                <w:bCs/>
                <w:color w:val="000000" w:themeColor="text1"/>
                <w:sz w:val="24"/>
                <w14:textFill>
                  <w14:solidFill>
                    <w14:schemeClr w14:val="tx1"/>
                  </w14:solidFill>
                </w14:textFill>
              </w:rPr>
              <w:t>项目地址</w:t>
            </w:r>
          </w:p>
        </w:tc>
        <w:tc>
          <w:tcPr>
            <w:tcW w:w="1125" w:type="dxa"/>
            <w:tcBorders>
              <w:top w:val="single" w:color="auto" w:sz="6" w:space="0"/>
              <w:left w:val="single" w:color="auto" w:sz="6" w:space="0"/>
              <w:bottom w:val="single" w:color="auto" w:sz="6" w:space="0"/>
              <w:right w:val="single" w:color="auto" w:sz="6" w:space="0"/>
            </w:tcBorders>
            <w:vAlign w:val="center"/>
          </w:tcPr>
          <w:p>
            <w:pPr>
              <w:pStyle w:val="165"/>
              <w:spacing w:line="360" w:lineRule="auto"/>
              <w:jc w:val="center"/>
              <w:rPr>
                <w:rFonts w:ascii="宋体" w:hAnsi="宋体" w:cs="Arial"/>
                <w:b/>
                <w:bCs/>
                <w:color w:val="000000" w:themeColor="text1"/>
                <w:sz w:val="24"/>
                <w14:textFill>
                  <w14:solidFill>
                    <w14:schemeClr w14:val="tx1"/>
                  </w14:solidFill>
                </w14:textFill>
              </w:rPr>
            </w:pPr>
            <w:r>
              <w:rPr>
                <w:rFonts w:hint="eastAsia" w:ascii="宋体" w:hAnsi="宋体" w:cs="Arial"/>
                <w:b/>
                <w:bCs/>
                <w:color w:val="000000" w:themeColor="text1"/>
                <w:sz w:val="24"/>
                <w14:textFill>
                  <w14:solidFill>
                    <w14:schemeClr w14:val="tx1"/>
                  </w14:solidFill>
                </w14:textFill>
              </w:rPr>
              <w:t>合同总价</w:t>
            </w:r>
          </w:p>
        </w:tc>
        <w:tc>
          <w:tcPr>
            <w:tcW w:w="1298" w:type="dxa"/>
            <w:tcBorders>
              <w:top w:val="single" w:color="auto" w:sz="6" w:space="0"/>
              <w:left w:val="single" w:color="auto" w:sz="6" w:space="0"/>
              <w:bottom w:val="single" w:color="auto" w:sz="6" w:space="0"/>
              <w:right w:val="single" w:color="auto" w:sz="6" w:space="0"/>
            </w:tcBorders>
            <w:vAlign w:val="center"/>
          </w:tcPr>
          <w:p>
            <w:pPr>
              <w:pStyle w:val="165"/>
              <w:spacing w:line="360" w:lineRule="auto"/>
              <w:jc w:val="center"/>
              <w:rPr>
                <w:rFonts w:ascii="宋体" w:hAnsi="宋体" w:cs="Arial"/>
                <w:b/>
                <w:bCs/>
                <w:color w:val="000000" w:themeColor="text1"/>
                <w:sz w:val="24"/>
                <w14:textFill>
                  <w14:solidFill>
                    <w14:schemeClr w14:val="tx1"/>
                  </w14:solidFill>
                </w14:textFill>
              </w:rPr>
            </w:pPr>
            <w:r>
              <w:rPr>
                <w:rFonts w:hint="eastAsia" w:ascii="宋体" w:hAnsi="宋体" w:cs="Arial"/>
                <w:b/>
                <w:bCs/>
                <w:color w:val="000000" w:themeColor="text1"/>
                <w:sz w:val="24"/>
                <w14:textFill>
                  <w14:solidFill>
                    <w14:schemeClr w14:val="tx1"/>
                  </w14:solidFill>
                </w14:textFill>
              </w:rPr>
              <w:t>实施时间</w:t>
            </w:r>
          </w:p>
        </w:tc>
        <w:tc>
          <w:tcPr>
            <w:tcW w:w="1235" w:type="dxa"/>
            <w:tcBorders>
              <w:top w:val="single" w:color="auto" w:sz="6" w:space="0"/>
              <w:left w:val="single" w:color="auto" w:sz="6" w:space="0"/>
              <w:bottom w:val="single" w:color="auto" w:sz="6" w:space="0"/>
              <w:right w:val="single" w:color="auto" w:sz="6" w:space="0"/>
            </w:tcBorders>
            <w:vAlign w:val="center"/>
          </w:tcPr>
          <w:p>
            <w:pPr>
              <w:pStyle w:val="165"/>
              <w:spacing w:line="360" w:lineRule="auto"/>
              <w:jc w:val="center"/>
              <w:rPr>
                <w:rFonts w:ascii="宋体" w:hAnsi="宋体" w:cs="Arial"/>
                <w:b/>
                <w:bCs/>
                <w:color w:val="000000" w:themeColor="text1"/>
                <w:sz w:val="24"/>
                <w14:textFill>
                  <w14:solidFill>
                    <w14:schemeClr w14:val="tx1"/>
                  </w14:solidFill>
                </w14:textFill>
              </w:rPr>
            </w:pPr>
            <w:r>
              <w:rPr>
                <w:rFonts w:hint="eastAsia" w:ascii="宋体" w:hAnsi="宋体" w:cs="Arial"/>
                <w:b/>
                <w:bCs/>
                <w:color w:val="000000" w:themeColor="text1"/>
                <w:sz w:val="24"/>
                <w14:textFill>
                  <w14:solidFill>
                    <w14:schemeClr w14:val="tx1"/>
                  </w14:solidFill>
                </w14:textFill>
              </w:rPr>
              <w:t>项目质量</w:t>
            </w:r>
          </w:p>
        </w:tc>
        <w:tc>
          <w:tcPr>
            <w:tcW w:w="1819" w:type="dxa"/>
            <w:tcBorders>
              <w:top w:val="single" w:color="auto" w:sz="6" w:space="0"/>
              <w:left w:val="single" w:color="auto" w:sz="6" w:space="0"/>
              <w:bottom w:val="single" w:color="auto" w:sz="6" w:space="0"/>
              <w:right w:val="single" w:color="auto" w:sz="6" w:space="0"/>
            </w:tcBorders>
            <w:vAlign w:val="center"/>
          </w:tcPr>
          <w:p>
            <w:pPr>
              <w:pStyle w:val="165"/>
              <w:spacing w:line="360" w:lineRule="auto"/>
              <w:jc w:val="center"/>
              <w:rPr>
                <w:rFonts w:ascii="宋体" w:hAnsi="宋体" w:cs="Arial"/>
                <w:b/>
                <w:bCs/>
                <w:color w:val="000000" w:themeColor="text1"/>
                <w:sz w:val="24"/>
                <w14:textFill>
                  <w14:solidFill>
                    <w14:schemeClr w14:val="tx1"/>
                  </w14:solidFill>
                </w14:textFill>
              </w:rPr>
            </w:pPr>
            <w:r>
              <w:rPr>
                <w:rFonts w:hint="eastAsia" w:ascii="宋体" w:hAnsi="宋体" w:cs="Arial"/>
                <w:b/>
                <w:bCs/>
                <w:color w:val="000000" w:themeColor="text1"/>
                <w:sz w:val="21"/>
                <w:szCs w:val="21"/>
                <w14:textFill>
                  <w14:solidFill>
                    <w14:schemeClr w14:val="tx1"/>
                  </w14:solidFill>
                </w14:textFill>
              </w:rPr>
              <w:t>项目单位名称及其联系人电话</w:t>
            </w:r>
            <w:r>
              <w:rPr>
                <w:rFonts w:hint="eastAsia" w:ascii="宋体" w:hAnsi="宋体" w:cs="Arial"/>
                <w:b/>
                <w:bCs/>
                <w:color w:val="000000" w:themeColor="text1"/>
                <w:sz w:val="21"/>
                <w:szCs w:val="21"/>
                <w:lang w:eastAsia="zh-CN"/>
                <w14:textFill>
                  <w14:solidFill>
                    <w14:schemeClr w14:val="tx1"/>
                  </w14:solidFill>
                </w14:textFill>
              </w:rPr>
              <w:t>（</w:t>
            </w:r>
            <w:r>
              <w:rPr>
                <w:rFonts w:hint="eastAsia" w:ascii="宋体" w:hAnsi="宋体" w:cs="Arial"/>
                <w:b/>
                <w:bCs/>
                <w:color w:val="000000" w:themeColor="text1"/>
                <w:sz w:val="21"/>
                <w:szCs w:val="21"/>
                <w:lang w:val="en-US" w:eastAsia="zh-CN"/>
                <w14:textFill>
                  <w14:solidFill>
                    <w14:schemeClr w14:val="tx1"/>
                  </w14:solidFill>
                </w14:textFill>
              </w:rPr>
              <w:t>如有)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1" w:hRule="atLeast"/>
          <w:jc w:val="center"/>
        </w:trPr>
        <w:tc>
          <w:tcPr>
            <w:tcW w:w="481" w:type="dxa"/>
            <w:tcBorders>
              <w:top w:val="single" w:color="auto" w:sz="6" w:space="0"/>
              <w:left w:val="single" w:color="auto" w:sz="6" w:space="0"/>
              <w:bottom w:val="single" w:color="auto" w:sz="6" w:space="0"/>
              <w:right w:val="single" w:color="auto" w:sz="6" w:space="0"/>
            </w:tcBorders>
          </w:tcPr>
          <w:p>
            <w:pPr>
              <w:pStyle w:val="165"/>
              <w:spacing w:line="360" w:lineRule="auto"/>
              <w:jc w:val="center"/>
              <w:rPr>
                <w:rFonts w:ascii="宋体" w:hAnsi="宋体" w:cs="Arial"/>
                <w:color w:val="000000" w:themeColor="text1"/>
                <w:sz w:val="24"/>
                <w14:textFill>
                  <w14:solidFill>
                    <w14:schemeClr w14:val="tx1"/>
                  </w14:solidFill>
                </w14:textFill>
              </w:rPr>
            </w:pPr>
            <w:r>
              <w:rPr>
                <w:rFonts w:hint="eastAsia" w:ascii="宋体" w:hAnsi="宋体" w:cs="Arial"/>
                <w:color w:val="000000" w:themeColor="text1"/>
                <w:sz w:val="24"/>
                <w14:textFill>
                  <w14:solidFill>
                    <w14:schemeClr w14:val="tx1"/>
                  </w14:solidFill>
                </w14:textFill>
              </w:rPr>
              <w:t>1</w:t>
            </w:r>
          </w:p>
        </w:tc>
        <w:tc>
          <w:tcPr>
            <w:tcW w:w="1154" w:type="dxa"/>
            <w:tcBorders>
              <w:top w:val="single" w:color="auto" w:sz="6" w:space="0"/>
              <w:left w:val="single" w:color="auto" w:sz="6" w:space="0"/>
              <w:bottom w:val="single" w:color="auto" w:sz="6" w:space="0"/>
              <w:right w:val="single" w:color="auto" w:sz="6" w:space="0"/>
            </w:tcBorders>
          </w:tcPr>
          <w:p>
            <w:pPr>
              <w:pStyle w:val="165"/>
              <w:spacing w:line="360" w:lineRule="auto"/>
              <w:rPr>
                <w:rFonts w:ascii="宋体" w:hAnsi="宋体" w:cs="Arial"/>
                <w:color w:val="000000" w:themeColor="text1"/>
                <w:sz w:val="24"/>
                <w14:textFill>
                  <w14:solidFill>
                    <w14:schemeClr w14:val="tx1"/>
                  </w14:solidFill>
                </w14:textFill>
              </w:rPr>
            </w:pPr>
          </w:p>
        </w:tc>
        <w:tc>
          <w:tcPr>
            <w:tcW w:w="1407" w:type="dxa"/>
            <w:tcBorders>
              <w:top w:val="single" w:color="auto" w:sz="6" w:space="0"/>
              <w:left w:val="single" w:color="auto" w:sz="6" w:space="0"/>
              <w:bottom w:val="single" w:color="auto" w:sz="6" w:space="0"/>
              <w:right w:val="single" w:color="auto" w:sz="6" w:space="0"/>
            </w:tcBorders>
          </w:tcPr>
          <w:p>
            <w:pPr>
              <w:pStyle w:val="165"/>
              <w:spacing w:line="360" w:lineRule="auto"/>
              <w:rPr>
                <w:rFonts w:ascii="宋体" w:hAnsi="宋体" w:cs="Arial"/>
                <w:color w:val="000000" w:themeColor="text1"/>
                <w:sz w:val="24"/>
                <w14:textFill>
                  <w14:solidFill>
                    <w14:schemeClr w14:val="tx1"/>
                  </w14:solidFill>
                </w14:textFill>
              </w:rPr>
            </w:pPr>
          </w:p>
        </w:tc>
        <w:tc>
          <w:tcPr>
            <w:tcW w:w="1125" w:type="dxa"/>
            <w:tcBorders>
              <w:top w:val="single" w:color="auto" w:sz="6" w:space="0"/>
              <w:left w:val="single" w:color="auto" w:sz="6" w:space="0"/>
              <w:bottom w:val="single" w:color="auto" w:sz="6" w:space="0"/>
              <w:right w:val="single" w:color="auto" w:sz="6" w:space="0"/>
            </w:tcBorders>
          </w:tcPr>
          <w:p>
            <w:pPr>
              <w:pStyle w:val="165"/>
              <w:spacing w:line="360" w:lineRule="auto"/>
              <w:rPr>
                <w:rFonts w:ascii="宋体" w:hAnsi="宋体" w:cs="Arial"/>
                <w:color w:val="000000" w:themeColor="text1"/>
                <w:sz w:val="24"/>
                <w14:textFill>
                  <w14:solidFill>
                    <w14:schemeClr w14:val="tx1"/>
                  </w14:solidFill>
                </w14:textFill>
              </w:rPr>
            </w:pPr>
          </w:p>
        </w:tc>
        <w:tc>
          <w:tcPr>
            <w:tcW w:w="1298" w:type="dxa"/>
            <w:tcBorders>
              <w:top w:val="single" w:color="auto" w:sz="6" w:space="0"/>
              <w:left w:val="single" w:color="auto" w:sz="6" w:space="0"/>
              <w:bottom w:val="single" w:color="auto" w:sz="6" w:space="0"/>
              <w:right w:val="single" w:color="auto" w:sz="6" w:space="0"/>
            </w:tcBorders>
          </w:tcPr>
          <w:p>
            <w:pPr>
              <w:pStyle w:val="165"/>
              <w:spacing w:line="360" w:lineRule="auto"/>
              <w:rPr>
                <w:rFonts w:ascii="宋体" w:hAnsi="宋体" w:cs="Arial"/>
                <w:color w:val="000000" w:themeColor="text1"/>
                <w:sz w:val="24"/>
                <w14:textFill>
                  <w14:solidFill>
                    <w14:schemeClr w14:val="tx1"/>
                  </w14:solidFill>
                </w14:textFill>
              </w:rPr>
            </w:pPr>
          </w:p>
        </w:tc>
        <w:tc>
          <w:tcPr>
            <w:tcW w:w="1235" w:type="dxa"/>
            <w:tcBorders>
              <w:top w:val="single" w:color="auto" w:sz="6" w:space="0"/>
              <w:left w:val="single" w:color="auto" w:sz="6" w:space="0"/>
              <w:bottom w:val="single" w:color="auto" w:sz="6" w:space="0"/>
              <w:right w:val="single" w:color="auto" w:sz="6" w:space="0"/>
            </w:tcBorders>
          </w:tcPr>
          <w:p>
            <w:pPr>
              <w:pStyle w:val="165"/>
              <w:spacing w:line="360" w:lineRule="auto"/>
              <w:rPr>
                <w:rFonts w:ascii="宋体" w:hAnsi="宋体" w:cs="Arial"/>
                <w:color w:val="000000" w:themeColor="text1"/>
                <w:sz w:val="24"/>
                <w14:textFill>
                  <w14:solidFill>
                    <w14:schemeClr w14:val="tx1"/>
                  </w14:solidFill>
                </w14:textFill>
              </w:rPr>
            </w:pPr>
          </w:p>
        </w:tc>
        <w:tc>
          <w:tcPr>
            <w:tcW w:w="1819" w:type="dxa"/>
            <w:tcBorders>
              <w:top w:val="single" w:color="auto" w:sz="6" w:space="0"/>
              <w:left w:val="single" w:color="auto" w:sz="6" w:space="0"/>
              <w:bottom w:val="single" w:color="auto" w:sz="6" w:space="0"/>
              <w:right w:val="single" w:color="auto" w:sz="6" w:space="0"/>
            </w:tcBorders>
          </w:tcPr>
          <w:p>
            <w:pPr>
              <w:pStyle w:val="165"/>
              <w:spacing w:line="360" w:lineRule="auto"/>
              <w:rPr>
                <w:rFonts w:ascii="宋体" w:hAnsi="宋体" w:cs="Arial"/>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481" w:type="dxa"/>
            <w:tcBorders>
              <w:top w:val="single" w:color="auto" w:sz="6" w:space="0"/>
              <w:left w:val="single" w:color="auto" w:sz="6" w:space="0"/>
              <w:bottom w:val="single" w:color="auto" w:sz="6" w:space="0"/>
              <w:right w:val="single" w:color="auto" w:sz="6" w:space="0"/>
            </w:tcBorders>
          </w:tcPr>
          <w:p>
            <w:pPr>
              <w:pStyle w:val="165"/>
              <w:spacing w:line="360" w:lineRule="auto"/>
              <w:jc w:val="center"/>
              <w:rPr>
                <w:rFonts w:ascii="宋体" w:hAnsi="宋体" w:cs="Arial"/>
                <w:color w:val="000000" w:themeColor="text1"/>
                <w:sz w:val="24"/>
                <w14:textFill>
                  <w14:solidFill>
                    <w14:schemeClr w14:val="tx1"/>
                  </w14:solidFill>
                </w14:textFill>
              </w:rPr>
            </w:pPr>
            <w:r>
              <w:rPr>
                <w:rFonts w:hint="eastAsia" w:ascii="宋体" w:hAnsi="宋体" w:cs="Arial"/>
                <w:color w:val="000000" w:themeColor="text1"/>
                <w:sz w:val="24"/>
                <w14:textFill>
                  <w14:solidFill>
                    <w14:schemeClr w14:val="tx1"/>
                  </w14:solidFill>
                </w14:textFill>
              </w:rPr>
              <w:t>2</w:t>
            </w:r>
          </w:p>
        </w:tc>
        <w:tc>
          <w:tcPr>
            <w:tcW w:w="1154" w:type="dxa"/>
            <w:tcBorders>
              <w:top w:val="single" w:color="auto" w:sz="6" w:space="0"/>
              <w:left w:val="single" w:color="auto" w:sz="6" w:space="0"/>
              <w:bottom w:val="single" w:color="auto" w:sz="6" w:space="0"/>
              <w:right w:val="single" w:color="auto" w:sz="6" w:space="0"/>
            </w:tcBorders>
          </w:tcPr>
          <w:p>
            <w:pPr>
              <w:pStyle w:val="165"/>
              <w:spacing w:line="360" w:lineRule="auto"/>
              <w:rPr>
                <w:rFonts w:ascii="宋体" w:hAnsi="宋体" w:cs="Arial"/>
                <w:color w:val="000000" w:themeColor="text1"/>
                <w:sz w:val="24"/>
                <w14:textFill>
                  <w14:solidFill>
                    <w14:schemeClr w14:val="tx1"/>
                  </w14:solidFill>
                </w14:textFill>
              </w:rPr>
            </w:pPr>
          </w:p>
        </w:tc>
        <w:tc>
          <w:tcPr>
            <w:tcW w:w="1407" w:type="dxa"/>
            <w:tcBorders>
              <w:top w:val="single" w:color="auto" w:sz="6" w:space="0"/>
              <w:left w:val="single" w:color="auto" w:sz="6" w:space="0"/>
              <w:bottom w:val="single" w:color="auto" w:sz="6" w:space="0"/>
              <w:right w:val="single" w:color="auto" w:sz="6" w:space="0"/>
            </w:tcBorders>
          </w:tcPr>
          <w:p>
            <w:pPr>
              <w:pStyle w:val="165"/>
              <w:spacing w:line="360" w:lineRule="auto"/>
              <w:rPr>
                <w:rFonts w:ascii="宋体" w:hAnsi="宋体" w:cs="Arial"/>
                <w:color w:val="000000" w:themeColor="text1"/>
                <w:sz w:val="24"/>
                <w14:textFill>
                  <w14:solidFill>
                    <w14:schemeClr w14:val="tx1"/>
                  </w14:solidFill>
                </w14:textFill>
              </w:rPr>
            </w:pPr>
          </w:p>
        </w:tc>
        <w:tc>
          <w:tcPr>
            <w:tcW w:w="1125" w:type="dxa"/>
            <w:tcBorders>
              <w:top w:val="single" w:color="auto" w:sz="6" w:space="0"/>
              <w:left w:val="single" w:color="auto" w:sz="6" w:space="0"/>
              <w:bottom w:val="single" w:color="auto" w:sz="6" w:space="0"/>
              <w:right w:val="single" w:color="auto" w:sz="6" w:space="0"/>
            </w:tcBorders>
          </w:tcPr>
          <w:p>
            <w:pPr>
              <w:pStyle w:val="165"/>
              <w:spacing w:line="360" w:lineRule="auto"/>
              <w:rPr>
                <w:rFonts w:ascii="宋体" w:hAnsi="宋体" w:cs="Arial"/>
                <w:color w:val="000000" w:themeColor="text1"/>
                <w:sz w:val="24"/>
                <w14:textFill>
                  <w14:solidFill>
                    <w14:schemeClr w14:val="tx1"/>
                  </w14:solidFill>
                </w14:textFill>
              </w:rPr>
            </w:pPr>
          </w:p>
        </w:tc>
        <w:tc>
          <w:tcPr>
            <w:tcW w:w="1298" w:type="dxa"/>
            <w:tcBorders>
              <w:top w:val="single" w:color="auto" w:sz="6" w:space="0"/>
              <w:left w:val="single" w:color="auto" w:sz="6" w:space="0"/>
              <w:bottom w:val="single" w:color="auto" w:sz="6" w:space="0"/>
              <w:right w:val="single" w:color="auto" w:sz="6" w:space="0"/>
            </w:tcBorders>
          </w:tcPr>
          <w:p>
            <w:pPr>
              <w:pStyle w:val="165"/>
              <w:spacing w:line="360" w:lineRule="auto"/>
              <w:rPr>
                <w:rFonts w:ascii="宋体" w:hAnsi="宋体" w:cs="Arial"/>
                <w:color w:val="000000" w:themeColor="text1"/>
                <w:sz w:val="24"/>
                <w14:textFill>
                  <w14:solidFill>
                    <w14:schemeClr w14:val="tx1"/>
                  </w14:solidFill>
                </w14:textFill>
              </w:rPr>
            </w:pPr>
          </w:p>
        </w:tc>
        <w:tc>
          <w:tcPr>
            <w:tcW w:w="1235" w:type="dxa"/>
            <w:tcBorders>
              <w:top w:val="single" w:color="auto" w:sz="6" w:space="0"/>
              <w:left w:val="single" w:color="auto" w:sz="6" w:space="0"/>
              <w:bottom w:val="single" w:color="auto" w:sz="6" w:space="0"/>
              <w:right w:val="single" w:color="auto" w:sz="6" w:space="0"/>
            </w:tcBorders>
          </w:tcPr>
          <w:p>
            <w:pPr>
              <w:pStyle w:val="165"/>
              <w:spacing w:line="360" w:lineRule="auto"/>
              <w:rPr>
                <w:rFonts w:ascii="宋体" w:hAnsi="宋体" w:cs="Arial"/>
                <w:color w:val="000000" w:themeColor="text1"/>
                <w:sz w:val="24"/>
                <w14:textFill>
                  <w14:solidFill>
                    <w14:schemeClr w14:val="tx1"/>
                  </w14:solidFill>
                </w14:textFill>
              </w:rPr>
            </w:pPr>
          </w:p>
        </w:tc>
        <w:tc>
          <w:tcPr>
            <w:tcW w:w="1819" w:type="dxa"/>
            <w:tcBorders>
              <w:top w:val="single" w:color="auto" w:sz="6" w:space="0"/>
              <w:left w:val="single" w:color="auto" w:sz="6" w:space="0"/>
              <w:bottom w:val="single" w:color="auto" w:sz="6" w:space="0"/>
              <w:right w:val="single" w:color="auto" w:sz="6" w:space="0"/>
            </w:tcBorders>
          </w:tcPr>
          <w:p>
            <w:pPr>
              <w:pStyle w:val="165"/>
              <w:spacing w:line="360" w:lineRule="auto"/>
              <w:rPr>
                <w:rFonts w:ascii="宋体" w:hAnsi="宋体" w:cs="Arial"/>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3" w:hRule="atLeast"/>
          <w:jc w:val="center"/>
        </w:trPr>
        <w:tc>
          <w:tcPr>
            <w:tcW w:w="481" w:type="dxa"/>
            <w:tcBorders>
              <w:top w:val="single" w:color="auto" w:sz="6" w:space="0"/>
              <w:left w:val="single" w:color="auto" w:sz="6" w:space="0"/>
              <w:bottom w:val="single" w:color="auto" w:sz="6" w:space="0"/>
              <w:right w:val="single" w:color="auto" w:sz="6" w:space="0"/>
            </w:tcBorders>
          </w:tcPr>
          <w:p>
            <w:pPr>
              <w:pStyle w:val="165"/>
              <w:spacing w:line="360" w:lineRule="auto"/>
              <w:jc w:val="center"/>
              <w:rPr>
                <w:rFonts w:ascii="宋体" w:hAnsi="宋体" w:cs="Arial"/>
                <w:color w:val="000000" w:themeColor="text1"/>
                <w:sz w:val="24"/>
                <w14:textFill>
                  <w14:solidFill>
                    <w14:schemeClr w14:val="tx1"/>
                  </w14:solidFill>
                </w14:textFill>
              </w:rPr>
            </w:pPr>
            <w:r>
              <w:rPr>
                <w:rFonts w:hint="eastAsia" w:ascii="宋体" w:hAnsi="宋体" w:cs="Arial"/>
                <w:color w:val="000000" w:themeColor="text1"/>
                <w:sz w:val="24"/>
                <w14:textFill>
                  <w14:solidFill>
                    <w14:schemeClr w14:val="tx1"/>
                  </w14:solidFill>
                </w14:textFill>
              </w:rPr>
              <w:t>3</w:t>
            </w:r>
          </w:p>
        </w:tc>
        <w:tc>
          <w:tcPr>
            <w:tcW w:w="1154" w:type="dxa"/>
            <w:tcBorders>
              <w:top w:val="single" w:color="auto" w:sz="6" w:space="0"/>
              <w:left w:val="single" w:color="auto" w:sz="6" w:space="0"/>
              <w:bottom w:val="single" w:color="auto" w:sz="6" w:space="0"/>
              <w:right w:val="single" w:color="auto" w:sz="6" w:space="0"/>
            </w:tcBorders>
          </w:tcPr>
          <w:p>
            <w:pPr>
              <w:pStyle w:val="165"/>
              <w:spacing w:line="360" w:lineRule="auto"/>
              <w:rPr>
                <w:rFonts w:ascii="宋体" w:hAnsi="宋体" w:cs="Arial"/>
                <w:color w:val="000000" w:themeColor="text1"/>
                <w:sz w:val="24"/>
                <w14:textFill>
                  <w14:solidFill>
                    <w14:schemeClr w14:val="tx1"/>
                  </w14:solidFill>
                </w14:textFill>
              </w:rPr>
            </w:pPr>
          </w:p>
        </w:tc>
        <w:tc>
          <w:tcPr>
            <w:tcW w:w="1407" w:type="dxa"/>
            <w:tcBorders>
              <w:top w:val="single" w:color="auto" w:sz="6" w:space="0"/>
              <w:left w:val="single" w:color="auto" w:sz="6" w:space="0"/>
              <w:bottom w:val="single" w:color="auto" w:sz="6" w:space="0"/>
              <w:right w:val="single" w:color="auto" w:sz="6" w:space="0"/>
            </w:tcBorders>
          </w:tcPr>
          <w:p>
            <w:pPr>
              <w:pStyle w:val="165"/>
              <w:spacing w:line="360" w:lineRule="auto"/>
              <w:rPr>
                <w:rFonts w:ascii="宋体" w:hAnsi="宋体" w:cs="Arial"/>
                <w:color w:val="000000" w:themeColor="text1"/>
                <w:sz w:val="24"/>
                <w14:textFill>
                  <w14:solidFill>
                    <w14:schemeClr w14:val="tx1"/>
                  </w14:solidFill>
                </w14:textFill>
              </w:rPr>
            </w:pPr>
          </w:p>
        </w:tc>
        <w:tc>
          <w:tcPr>
            <w:tcW w:w="1125" w:type="dxa"/>
            <w:tcBorders>
              <w:top w:val="single" w:color="auto" w:sz="6" w:space="0"/>
              <w:left w:val="single" w:color="auto" w:sz="6" w:space="0"/>
              <w:bottom w:val="single" w:color="auto" w:sz="6" w:space="0"/>
              <w:right w:val="single" w:color="auto" w:sz="6" w:space="0"/>
            </w:tcBorders>
          </w:tcPr>
          <w:p>
            <w:pPr>
              <w:pStyle w:val="165"/>
              <w:spacing w:line="360" w:lineRule="auto"/>
              <w:rPr>
                <w:rFonts w:ascii="宋体" w:hAnsi="宋体" w:cs="Arial"/>
                <w:color w:val="000000" w:themeColor="text1"/>
                <w:sz w:val="24"/>
                <w14:textFill>
                  <w14:solidFill>
                    <w14:schemeClr w14:val="tx1"/>
                  </w14:solidFill>
                </w14:textFill>
              </w:rPr>
            </w:pPr>
          </w:p>
        </w:tc>
        <w:tc>
          <w:tcPr>
            <w:tcW w:w="1298" w:type="dxa"/>
            <w:tcBorders>
              <w:top w:val="single" w:color="auto" w:sz="6" w:space="0"/>
              <w:left w:val="single" w:color="auto" w:sz="6" w:space="0"/>
              <w:bottom w:val="single" w:color="auto" w:sz="6" w:space="0"/>
              <w:right w:val="single" w:color="auto" w:sz="6" w:space="0"/>
            </w:tcBorders>
          </w:tcPr>
          <w:p>
            <w:pPr>
              <w:pStyle w:val="165"/>
              <w:spacing w:line="360" w:lineRule="auto"/>
              <w:rPr>
                <w:rFonts w:ascii="宋体" w:hAnsi="宋体" w:cs="Arial"/>
                <w:color w:val="000000" w:themeColor="text1"/>
                <w:sz w:val="24"/>
                <w14:textFill>
                  <w14:solidFill>
                    <w14:schemeClr w14:val="tx1"/>
                  </w14:solidFill>
                </w14:textFill>
              </w:rPr>
            </w:pPr>
          </w:p>
        </w:tc>
        <w:tc>
          <w:tcPr>
            <w:tcW w:w="1235" w:type="dxa"/>
            <w:tcBorders>
              <w:top w:val="single" w:color="auto" w:sz="6" w:space="0"/>
              <w:left w:val="single" w:color="auto" w:sz="6" w:space="0"/>
              <w:bottom w:val="single" w:color="auto" w:sz="6" w:space="0"/>
              <w:right w:val="single" w:color="auto" w:sz="6" w:space="0"/>
            </w:tcBorders>
          </w:tcPr>
          <w:p>
            <w:pPr>
              <w:pStyle w:val="165"/>
              <w:spacing w:line="360" w:lineRule="auto"/>
              <w:rPr>
                <w:rFonts w:ascii="宋体" w:hAnsi="宋体" w:cs="Arial"/>
                <w:color w:val="000000" w:themeColor="text1"/>
                <w:sz w:val="24"/>
                <w14:textFill>
                  <w14:solidFill>
                    <w14:schemeClr w14:val="tx1"/>
                  </w14:solidFill>
                </w14:textFill>
              </w:rPr>
            </w:pPr>
          </w:p>
        </w:tc>
        <w:tc>
          <w:tcPr>
            <w:tcW w:w="1819" w:type="dxa"/>
            <w:tcBorders>
              <w:top w:val="single" w:color="auto" w:sz="6" w:space="0"/>
              <w:left w:val="single" w:color="auto" w:sz="6" w:space="0"/>
              <w:bottom w:val="single" w:color="auto" w:sz="6" w:space="0"/>
              <w:right w:val="single" w:color="auto" w:sz="6" w:space="0"/>
            </w:tcBorders>
          </w:tcPr>
          <w:p>
            <w:pPr>
              <w:pStyle w:val="165"/>
              <w:spacing w:line="360" w:lineRule="auto"/>
              <w:rPr>
                <w:rFonts w:ascii="宋体" w:hAnsi="宋体" w:cs="Arial"/>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481" w:type="dxa"/>
            <w:tcBorders>
              <w:top w:val="single" w:color="auto" w:sz="6" w:space="0"/>
              <w:left w:val="single" w:color="auto" w:sz="6" w:space="0"/>
              <w:bottom w:val="single" w:color="auto" w:sz="6" w:space="0"/>
              <w:right w:val="single" w:color="auto" w:sz="6" w:space="0"/>
            </w:tcBorders>
          </w:tcPr>
          <w:p>
            <w:pPr>
              <w:pStyle w:val="165"/>
              <w:spacing w:line="360" w:lineRule="auto"/>
              <w:rPr>
                <w:rFonts w:ascii="宋体" w:hAnsi="宋体" w:cs="Arial"/>
                <w:color w:val="000000" w:themeColor="text1"/>
                <w:sz w:val="24"/>
                <w14:textFill>
                  <w14:solidFill>
                    <w14:schemeClr w14:val="tx1"/>
                  </w14:solidFill>
                </w14:textFill>
              </w:rPr>
            </w:pPr>
            <w:r>
              <w:rPr>
                <w:rFonts w:hint="eastAsia" w:ascii="宋体" w:hAnsi="宋体" w:cs="Arial"/>
                <w:color w:val="000000" w:themeColor="text1"/>
                <w:sz w:val="24"/>
                <w14:textFill>
                  <w14:solidFill>
                    <w14:schemeClr w14:val="tx1"/>
                  </w14:solidFill>
                </w14:textFill>
              </w:rPr>
              <w:t>…</w:t>
            </w:r>
          </w:p>
        </w:tc>
        <w:tc>
          <w:tcPr>
            <w:tcW w:w="1154" w:type="dxa"/>
            <w:tcBorders>
              <w:top w:val="single" w:color="auto" w:sz="6" w:space="0"/>
              <w:left w:val="single" w:color="auto" w:sz="6" w:space="0"/>
              <w:bottom w:val="single" w:color="auto" w:sz="6" w:space="0"/>
              <w:right w:val="single" w:color="auto" w:sz="6" w:space="0"/>
            </w:tcBorders>
          </w:tcPr>
          <w:p>
            <w:pPr>
              <w:pStyle w:val="165"/>
              <w:spacing w:line="360" w:lineRule="auto"/>
              <w:rPr>
                <w:rFonts w:ascii="宋体" w:hAnsi="宋体" w:cs="Arial"/>
                <w:color w:val="000000" w:themeColor="text1"/>
                <w:sz w:val="24"/>
                <w14:textFill>
                  <w14:solidFill>
                    <w14:schemeClr w14:val="tx1"/>
                  </w14:solidFill>
                </w14:textFill>
              </w:rPr>
            </w:pPr>
          </w:p>
        </w:tc>
        <w:tc>
          <w:tcPr>
            <w:tcW w:w="1407" w:type="dxa"/>
            <w:tcBorders>
              <w:top w:val="single" w:color="auto" w:sz="6" w:space="0"/>
              <w:left w:val="single" w:color="auto" w:sz="6" w:space="0"/>
              <w:bottom w:val="single" w:color="auto" w:sz="6" w:space="0"/>
              <w:right w:val="single" w:color="auto" w:sz="6" w:space="0"/>
            </w:tcBorders>
          </w:tcPr>
          <w:p>
            <w:pPr>
              <w:pStyle w:val="165"/>
              <w:spacing w:line="360" w:lineRule="auto"/>
              <w:rPr>
                <w:rFonts w:ascii="宋体" w:hAnsi="宋体" w:cs="Arial"/>
                <w:color w:val="000000" w:themeColor="text1"/>
                <w:sz w:val="24"/>
                <w14:textFill>
                  <w14:solidFill>
                    <w14:schemeClr w14:val="tx1"/>
                  </w14:solidFill>
                </w14:textFill>
              </w:rPr>
            </w:pPr>
          </w:p>
        </w:tc>
        <w:tc>
          <w:tcPr>
            <w:tcW w:w="1125" w:type="dxa"/>
            <w:tcBorders>
              <w:top w:val="single" w:color="auto" w:sz="6" w:space="0"/>
              <w:left w:val="single" w:color="auto" w:sz="6" w:space="0"/>
              <w:bottom w:val="single" w:color="auto" w:sz="6" w:space="0"/>
              <w:right w:val="single" w:color="auto" w:sz="6" w:space="0"/>
            </w:tcBorders>
          </w:tcPr>
          <w:p>
            <w:pPr>
              <w:pStyle w:val="165"/>
              <w:spacing w:line="360" w:lineRule="auto"/>
              <w:rPr>
                <w:rFonts w:ascii="宋体" w:hAnsi="宋体" w:cs="Arial"/>
                <w:color w:val="000000" w:themeColor="text1"/>
                <w:sz w:val="24"/>
                <w14:textFill>
                  <w14:solidFill>
                    <w14:schemeClr w14:val="tx1"/>
                  </w14:solidFill>
                </w14:textFill>
              </w:rPr>
            </w:pPr>
          </w:p>
        </w:tc>
        <w:tc>
          <w:tcPr>
            <w:tcW w:w="1298" w:type="dxa"/>
            <w:tcBorders>
              <w:top w:val="single" w:color="auto" w:sz="6" w:space="0"/>
              <w:left w:val="single" w:color="auto" w:sz="6" w:space="0"/>
              <w:bottom w:val="single" w:color="auto" w:sz="6" w:space="0"/>
              <w:right w:val="single" w:color="auto" w:sz="6" w:space="0"/>
            </w:tcBorders>
          </w:tcPr>
          <w:p>
            <w:pPr>
              <w:pStyle w:val="165"/>
              <w:spacing w:line="360" w:lineRule="auto"/>
              <w:rPr>
                <w:rFonts w:ascii="宋体" w:hAnsi="宋体" w:cs="Arial"/>
                <w:color w:val="000000" w:themeColor="text1"/>
                <w:sz w:val="24"/>
                <w14:textFill>
                  <w14:solidFill>
                    <w14:schemeClr w14:val="tx1"/>
                  </w14:solidFill>
                </w14:textFill>
              </w:rPr>
            </w:pPr>
          </w:p>
        </w:tc>
        <w:tc>
          <w:tcPr>
            <w:tcW w:w="1235" w:type="dxa"/>
            <w:tcBorders>
              <w:top w:val="single" w:color="auto" w:sz="6" w:space="0"/>
              <w:left w:val="single" w:color="auto" w:sz="6" w:space="0"/>
              <w:bottom w:val="single" w:color="auto" w:sz="6" w:space="0"/>
              <w:right w:val="single" w:color="auto" w:sz="6" w:space="0"/>
            </w:tcBorders>
          </w:tcPr>
          <w:p>
            <w:pPr>
              <w:pStyle w:val="165"/>
              <w:spacing w:line="360" w:lineRule="auto"/>
              <w:rPr>
                <w:rFonts w:ascii="宋体" w:hAnsi="宋体" w:cs="Arial"/>
                <w:color w:val="000000" w:themeColor="text1"/>
                <w:sz w:val="24"/>
                <w14:textFill>
                  <w14:solidFill>
                    <w14:schemeClr w14:val="tx1"/>
                  </w14:solidFill>
                </w14:textFill>
              </w:rPr>
            </w:pPr>
          </w:p>
        </w:tc>
        <w:tc>
          <w:tcPr>
            <w:tcW w:w="1819" w:type="dxa"/>
            <w:tcBorders>
              <w:top w:val="single" w:color="auto" w:sz="6" w:space="0"/>
              <w:left w:val="single" w:color="auto" w:sz="6" w:space="0"/>
              <w:bottom w:val="single" w:color="auto" w:sz="6" w:space="0"/>
              <w:right w:val="single" w:color="auto" w:sz="6" w:space="0"/>
            </w:tcBorders>
          </w:tcPr>
          <w:p>
            <w:pPr>
              <w:pStyle w:val="165"/>
              <w:spacing w:line="360" w:lineRule="auto"/>
              <w:rPr>
                <w:rFonts w:ascii="宋体" w:hAnsi="宋体" w:cs="Arial"/>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481" w:type="dxa"/>
            <w:tcBorders>
              <w:top w:val="single" w:color="auto" w:sz="6" w:space="0"/>
              <w:left w:val="single" w:color="auto" w:sz="6" w:space="0"/>
              <w:bottom w:val="single" w:color="auto" w:sz="6" w:space="0"/>
              <w:right w:val="single" w:color="auto" w:sz="6" w:space="0"/>
            </w:tcBorders>
          </w:tcPr>
          <w:p>
            <w:pPr>
              <w:pStyle w:val="165"/>
              <w:spacing w:line="360" w:lineRule="auto"/>
              <w:rPr>
                <w:rFonts w:ascii="宋体" w:hAnsi="宋体" w:cs="Arial"/>
                <w:color w:val="000000" w:themeColor="text1"/>
                <w:sz w:val="24"/>
                <w14:textFill>
                  <w14:solidFill>
                    <w14:schemeClr w14:val="tx1"/>
                  </w14:solidFill>
                </w14:textFill>
              </w:rPr>
            </w:pPr>
          </w:p>
        </w:tc>
        <w:tc>
          <w:tcPr>
            <w:tcW w:w="1154" w:type="dxa"/>
            <w:tcBorders>
              <w:top w:val="single" w:color="auto" w:sz="6" w:space="0"/>
              <w:left w:val="single" w:color="auto" w:sz="6" w:space="0"/>
              <w:bottom w:val="single" w:color="auto" w:sz="6" w:space="0"/>
              <w:right w:val="single" w:color="auto" w:sz="6" w:space="0"/>
            </w:tcBorders>
          </w:tcPr>
          <w:p>
            <w:pPr>
              <w:pStyle w:val="165"/>
              <w:spacing w:line="360" w:lineRule="auto"/>
              <w:rPr>
                <w:rFonts w:ascii="宋体" w:hAnsi="宋体" w:cs="Arial"/>
                <w:color w:val="000000" w:themeColor="text1"/>
                <w:sz w:val="24"/>
                <w14:textFill>
                  <w14:solidFill>
                    <w14:schemeClr w14:val="tx1"/>
                  </w14:solidFill>
                </w14:textFill>
              </w:rPr>
            </w:pPr>
          </w:p>
        </w:tc>
        <w:tc>
          <w:tcPr>
            <w:tcW w:w="1407" w:type="dxa"/>
            <w:tcBorders>
              <w:top w:val="single" w:color="auto" w:sz="6" w:space="0"/>
              <w:left w:val="single" w:color="auto" w:sz="6" w:space="0"/>
              <w:bottom w:val="single" w:color="auto" w:sz="6" w:space="0"/>
              <w:right w:val="single" w:color="auto" w:sz="6" w:space="0"/>
            </w:tcBorders>
          </w:tcPr>
          <w:p>
            <w:pPr>
              <w:pStyle w:val="165"/>
              <w:spacing w:line="360" w:lineRule="auto"/>
              <w:rPr>
                <w:rFonts w:ascii="宋体" w:hAnsi="宋体" w:cs="Arial"/>
                <w:color w:val="000000" w:themeColor="text1"/>
                <w:sz w:val="24"/>
                <w14:textFill>
                  <w14:solidFill>
                    <w14:schemeClr w14:val="tx1"/>
                  </w14:solidFill>
                </w14:textFill>
              </w:rPr>
            </w:pPr>
          </w:p>
        </w:tc>
        <w:tc>
          <w:tcPr>
            <w:tcW w:w="1125" w:type="dxa"/>
            <w:tcBorders>
              <w:top w:val="single" w:color="auto" w:sz="6" w:space="0"/>
              <w:left w:val="single" w:color="auto" w:sz="6" w:space="0"/>
              <w:bottom w:val="single" w:color="auto" w:sz="6" w:space="0"/>
              <w:right w:val="single" w:color="auto" w:sz="6" w:space="0"/>
            </w:tcBorders>
          </w:tcPr>
          <w:p>
            <w:pPr>
              <w:pStyle w:val="165"/>
              <w:spacing w:line="360" w:lineRule="auto"/>
              <w:rPr>
                <w:rFonts w:ascii="宋体" w:hAnsi="宋体" w:cs="Arial"/>
                <w:color w:val="000000" w:themeColor="text1"/>
                <w:sz w:val="24"/>
                <w14:textFill>
                  <w14:solidFill>
                    <w14:schemeClr w14:val="tx1"/>
                  </w14:solidFill>
                </w14:textFill>
              </w:rPr>
            </w:pPr>
          </w:p>
        </w:tc>
        <w:tc>
          <w:tcPr>
            <w:tcW w:w="1298" w:type="dxa"/>
            <w:tcBorders>
              <w:top w:val="single" w:color="auto" w:sz="6" w:space="0"/>
              <w:left w:val="single" w:color="auto" w:sz="6" w:space="0"/>
              <w:bottom w:val="single" w:color="auto" w:sz="6" w:space="0"/>
              <w:right w:val="single" w:color="auto" w:sz="6" w:space="0"/>
            </w:tcBorders>
          </w:tcPr>
          <w:p>
            <w:pPr>
              <w:pStyle w:val="165"/>
              <w:spacing w:line="360" w:lineRule="auto"/>
              <w:rPr>
                <w:rFonts w:ascii="宋体" w:hAnsi="宋体" w:cs="Arial"/>
                <w:color w:val="000000" w:themeColor="text1"/>
                <w:sz w:val="24"/>
                <w14:textFill>
                  <w14:solidFill>
                    <w14:schemeClr w14:val="tx1"/>
                  </w14:solidFill>
                </w14:textFill>
              </w:rPr>
            </w:pPr>
          </w:p>
        </w:tc>
        <w:tc>
          <w:tcPr>
            <w:tcW w:w="1235" w:type="dxa"/>
            <w:tcBorders>
              <w:top w:val="single" w:color="auto" w:sz="6" w:space="0"/>
              <w:left w:val="single" w:color="auto" w:sz="6" w:space="0"/>
              <w:bottom w:val="single" w:color="auto" w:sz="6" w:space="0"/>
              <w:right w:val="single" w:color="auto" w:sz="6" w:space="0"/>
            </w:tcBorders>
          </w:tcPr>
          <w:p>
            <w:pPr>
              <w:pStyle w:val="165"/>
              <w:spacing w:line="360" w:lineRule="auto"/>
              <w:rPr>
                <w:rFonts w:ascii="宋体" w:hAnsi="宋体" w:cs="Arial"/>
                <w:color w:val="000000" w:themeColor="text1"/>
                <w:sz w:val="24"/>
                <w14:textFill>
                  <w14:solidFill>
                    <w14:schemeClr w14:val="tx1"/>
                  </w14:solidFill>
                </w14:textFill>
              </w:rPr>
            </w:pPr>
          </w:p>
        </w:tc>
        <w:tc>
          <w:tcPr>
            <w:tcW w:w="1819" w:type="dxa"/>
            <w:tcBorders>
              <w:top w:val="single" w:color="auto" w:sz="6" w:space="0"/>
              <w:left w:val="single" w:color="auto" w:sz="6" w:space="0"/>
              <w:bottom w:val="single" w:color="auto" w:sz="6" w:space="0"/>
              <w:right w:val="single" w:color="auto" w:sz="6" w:space="0"/>
            </w:tcBorders>
          </w:tcPr>
          <w:p>
            <w:pPr>
              <w:pStyle w:val="165"/>
              <w:spacing w:line="360" w:lineRule="auto"/>
              <w:rPr>
                <w:rFonts w:ascii="宋体" w:hAnsi="宋体" w:cs="Arial"/>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481" w:type="dxa"/>
            <w:tcBorders>
              <w:top w:val="single" w:color="auto" w:sz="6" w:space="0"/>
              <w:left w:val="single" w:color="auto" w:sz="6" w:space="0"/>
              <w:bottom w:val="single" w:color="auto" w:sz="6" w:space="0"/>
              <w:right w:val="single" w:color="auto" w:sz="6" w:space="0"/>
            </w:tcBorders>
          </w:tcPr>
          <w:p>
            <w:pPr>
              <w:pStyle w:val="165"/>
              <w:spacing w:line="360" w:lineRule="auto"/>
              <w:rPr>
                <w:rFonts w:ascii="宋体" w:hAnsi="宋体" w:cs="Arial"/>
                <w:color w:val="000000" w:themeColor="text1"/>
                <w:sz w:val="24"/>
                <w14:textFill>
                  <w14:solidFill>
                    <w14:schemeClr w14:val="tx1"/>
                  </w14:solidFill>
                </w14:textFill>
              </w:rPr>
            </w:pPr>
          </w:p>
        </w:tc>
        <w:tc>
          <w:tcPr>
            <w:tcW w:w="1154" w:type="dxa"/>
            <w:tcBorders>
              <w:top w:val="single" w:color="auto" w:sz="6" w:space="0"/>
              <w:left w:val="single" w:color="auto" w:sz="6" w:space="0"/>
              <w:bottom w:val="single" w:color="auto" w:sz="6" w:space="0"/>
              <w:right w:val="single" w:color="auto" w:sz="6" w:space="0"/>
            </w:tcBorders>
          </w:tcPr>
          <w:p>
            <w:pPr>
              <w:pStyle w:val="165"/>
              <w:spacing w:line="360" w:lineRule="auto"/>
              <w:rPr>
                <w:rFonts w:ascii="宋体" w:hAnsi="宋体" w:cs="Arial"/>
                <w:color w:val="000000" w:themeColor="text1"/>
                <w:sz w:val="24"/>
                <w14:textFill>
                  <w14:solidFill>
                    <w14:schemeClr w14:val="tx1"/>
                  </w14:solidFill>
                </w14:textFill>
              </w:rPr>
            </w:pPr>
          </w:p>
        </w:tc>
        <w:tc>
          <w:tcPr>
            <w:tcW w:w="1407" w:type="dxa"/>
            <w:tcBorders>
              <w:top w:val="single" w:color="auto" w:sz="6" w:space="0"/>
              <w:left w:val="single" w:color="auto" w:sz="6" w:space="0"/>
              <w:bottom w:val="single" w:color="auto" w:sz="6" w:space="0"/>
              <w:right w:val="single" w:color="auto" w:sz="6" w:space="0"/>
            </w:tcBorders>
          </w:tcPr>
          <w:p>
            <w:pPr>
              <w:pStyle w:val="165"/>
              <w:spacing w:line="360" w:lineRule="auto"/>
              <w:rPr>
                <w:rFonts w:ascii="宋体" w:hAnsi="宋体" w:cs="Arial"/>
                <w:color w:val="000000" w:themeColor="text1"/>
                <w:sz w:val="24"/>
                <w14:textFill>
                  <w14:solidFill>
                    <w14:schemeClr w14:val="tx1"/>
                  </w14:solidFill>
                </w14:textFill>
              </w:rPr>
            </w:pPr>
          </w:p>
        </w:tc>
        <w:tc>
          <w:tcPr>
            <w:tcW w:w="1125" w:type="dxa"/>
            <w:tcBorders>
              <w:top w:val="single" w:color="auto" w:sz="6" w:space="0"/>
              <w:left w:val="single" w:color="auto" w:sz="6" w:space="0"/>
              <w:bottom w:val="single" w:color="auto" w:sz="6" w:space="0"/>
              <w:right w:val="single" w:color="auto" w:sz="6" w:space="0"/>
            </w:tcBorders>
          </w:tcPr>
          <w:p>
            <w:pPr>
              <w:pStyle w:val="165"/>
              <w:spacing w:line="360" w:lineRule="auto"/>
              <w:rPr>
                <w:rFonts w:ascii="宋体" w:hAnsi="宋体" w:cs="Arial"/>
                <w:color w:val="000000" w:themeColor="text1"/>
                <w:sz w:val="24"/>
                <w14:textFill>
                  <w14:solidFill>
                    <w14:schemeClr w14:val="tx1"/>
                  </w14:solidFill>
                </w14:textFill>
              </w:rPr>
            </w:pPr>
          </w:p>
        </w:tc>
        <w:tc>
          <w:tcPr>
            <w:tcW w:w="1298" w:type="dxa"/>
            <w:tcBorders>
              <w:top w:val="single" w:color="auto" w:sz="6" w:space="0"/>
              <w:left w:val="single" w:color="auto" w:sz="6" w:space="0"/>
              <w:bottom w:val="single" w:color="auto" w:sz="6" w:space="0"/>
              <w:right w:val="single" w:color="auto" w:sz="6" w:space="0"/>
            </w:tcBorders>
          </w:tcPr>
          <w:p>
            <w:pPr>
              <w:pStyle w:val="165"/>
              <w:spacing w:line="360" w:lineRule="auto"/>
              <w:rPr>
                <w:rFonts w:ascii="宋体" w:hAnsi="宋体" w:cs="Arial"/>
                <w:color w:val="000000" w:themeColor="text1"/>
                <w:sz w:val="24"/>
                <w14:textFill>
                  <w14:solidFill>
                    <w14:schemeClr w14:val="tx1"/>
                  </w14:solidFill>
                </w14:textFill>
              </w:rPr>
            </w:pPr>
          </w:p>
        </w:tc>
        <w:tc>
          <w:tcPr>
            <w:tcW w:w="1235" w:type="dxa"/>
            <w:tcBorders>
              <w:top w:val="single" w:color="auto" w:sz="6" w:space="0"/>
              <w:left w:val="single" w:color="auto" w:sz="6" w:space="0"/>
              <w:bottom w:val="single" w:color="auto" w:sz="6" w:space="0"/>
              <w:right w:val="single" w:color="auto" w:sz="6" w:space="0"/>
            </w:tcBorders>
          </w:tcPr>
          <w:p>
            <w:pPr>
              <w:pStyle w:val="165"/>
              <w:spacing w:line="360" w:lineRule="auto"/>
              <w:rPr>
                <w:rFonts w:ascii="宋体" w:hAnsi="宋体" w:cs="Arial"/>
                <w:color w:val="000000" w:themeColor="text1"/>
                <w:sz w:val="24"/>
                <w14:textFill>
                  <w14:solidFill>
                    <w14:schemeClr w14:val="tx1"/>
                  </w14:solidFill>
                </w14:textFill>
              </w:rPr>
            </w:pPr>
          </w:p>
        </w:tc>
        <w:tc>
          <w:tcPr>
            <w:tcW w:w="1819" w:type="dxa"/>
            <w:tcBorders>
              <w:top w:val="single" w:color="auto" w:sz="6" w:space="0"/>
              <w:left w:val="single" w:color="auto" w:sz="6" w:space="0"/>
              <w:bottom w:val="single" w:color="auto" w:sz="6" w:space="0"/>
              <w:right w:val="single" w:color="auto" w:sz="6" w:space="0"/>
            </w:tcBorders>
          </w:tcPr>
          <w:p>
            <w:pPr>
              <w:pStyle w:val="165"/>
              <w:spacing w:line="360" w:lineRule="auto"/>
              <w:rPr>
                <w:rFonts w:ascii="宋体" w:hAnsi="宋体" w:cs="Arial"/>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481" w:type="dxa"/>
            <w:tcBorders>
              <w:top w:val="single" w:color="auto" w:sz="6" w:space="0"/>
              <w:left w:val="single" w:color="auto" w:sz="6" w:space="0"/>
              <w:bottom w:val="single" w:color="auto" w:sz="6" w:space="0"/>
              <w:right w:val="single" w:color="auto" w:sz="6" w:space="0"/>
            </w:tcBorders>
          </w:tcPr>
          <w:p>
            <w:pPr>
              <w:pStyle w:val="165"/>
              <w:spacing w:line="360" w:lineRule="auto"/>
              <w:rPr>
                <w:rFonts w:ascii="宋体" w:hAnsi="宋体" w:cs="Arial"/>
                <w:color w:val="000000" w:themeColor="text1"/>
                <w:sz w:val="24"/>
                <w14:textFill>
                  <w14:solidFill>
                    <w14:schemeClr w14:val="tx1"/>
                  </w14:solidFill>
                </w14:textFill>
              </w:rPr>
            </w:pPr>
          </w:p>
        </w:tc>
        <w:tc>
          <w:tcPr>
            <w:tcW w:w="1154" w:type="dxa"/>
            <w:tcBorders>
              <w:top w:val="single" w:color="auto" w:sz="6" w:space="0"/>
              <w:left w:val="single" w:color="auto" w:sz="6" w:space="0"/>
              <w:bottom w:val="single" w:color="auto" w:sz="6" w:space="0"/>
              <w:right w:val="single" w:color="auto" w:sz="6" w:space="0"/>
            </w:tcBorders>
          </w:tcPr>
          <w:p>
            <w:pPr>
              <w:pStyle w:val="165"/>
              <w:spacing w:line="360" w:lineRule="auto"/>
              <w:rPr>
                <w:rFonts w:ascii="宋体" w:hAnsi="宋体" w:cs="Arial"/>
                <w:color w:val="000000" w:themeColor="text1"/>
                <w:sz w:val="24"/>
                <w14:textFill>
                  <w14:solidFill>
                    <w14:schemeClr w14:val="tx1"/>
                  </w14:solidFill>
                </w14:textFill>
              </w:rPr>
            </w:pPr>
          </w:p>
        </w:tc>
        <w:tc>
          <w:tcPr>
            <w:tcW w:w="1407" w:type="dxa"/>
            <w:tcBorders>
              <w:top w:val="single" w:color="auto" w:sz="6" w:space="0"/>
              <w:left w:val="single" w:color="auto" w:sz="6" w:space="0"/>
              <w:bottom w:val="single" w:color="auto" w:sz="6" w:space="0"/>
              <w:right w:val="single" w:color="auto" w:sz="6" w:space="0"/>
            </w:tcBorders>
          </w:tcPr>
          <w:p>
            <w:pPr>
              <w:pStyle w:val="165"/>
              <w:spacing w:line="360" w:lineRule="auto"/>
              <w:rPr>
                <w:rFonts w:ascii="宋体" w:hAnsi="宋体" w:cs="Arial"/>
                <w:color w:val="000000" w:themeColor="text1"/>
                <w:sz w:val="24"/>
                <w14:textFill>
                  <w14:solidFill>
                    <w14:schemeClr w14:val="tx1"/>
                  </w14:solidFill>
                </w14:textFill>
              </w:rPr>
            </w:pPr>
          </w:p>
        </w:tc>
        <w:tc>
          <w:tcPr>
            <w:tcW w:w="1125" w:type="dxa"/>
            <w:tcBorders>
              <w:top w:val="single" w:color="auto" w:sz="6" w:space="0"/>
              <w:left w:val="single" w:color="auto" w:sz="6" w:space="0"/>
              <w:bottom w:val="single" w:color="auto" w:sz="6" w:space="0"/>
              <w:right w:val="single" w:color="auto" w:sz="6" w:space="0"/>
            </w:tcBorders>
          </w:tcPr>
          <w:p>
            <w:pPr>
              <w:pStyle w:val="165"/>
              <w:spacing w:line="360" w:lineRule="auto"/>
              <w:rPr>
                <w:rFonts w:ascii="宋体" w:hAnsi="宋体" w:cs="Arial"/>
                <w:color w:val="000000" w:themeColor="text1"/>
                <w:sz w:val="24"/>
                <w14:textFill>
                  <w14:solidFill>
                    <w14:schemeClr w14:val="tx1"/>
                  </w14:solidFill>
                </w14:textFill>
              </w:rPr>
            </w:pPr>
          </w:p>
        </w:tc>
        <w:tc>
          <w:tcPr>
            <w:tcW w:w="1298" w:type="dxa"/>
            <w:tcBorders>
              <w:top w:val="single" w:color="auto" w:sz="6" w:space="0"/>
              <w:left w:val="single" w:color="auto" w:sz="6" w:space="0"/>
              <w:bottom w:val="single" w:color="auto" w:sz="6" w:space="0"/>
              <w:right w:val="single" w:color="auto" w:sz="6" w:space="0"/>
            </w:tcBorders>
          </w:tcPr>
          <w:p>
            <w:pPr>
              <w:pStyle w:val="165"/>
              <w:spacing w:line="360" w:lineRule="auto"/>
              <w:rPr>
                <w:rFonts w:ascii="宋体" w:hAnsi="宋体" w:cs="Arial"/>
                <w:color w:val="000000" w:themeColor="text1"/>
                <w:sz w:val="24"/>
                <w14:textFill>
                  <w14:solidFill>
                    <w14:schemeClr w14:val="tx1"/>
                  </w14:solidFill>
                </w14:textFill>
              </w:rPr>
            </w:pPr>
          </w:p>
        </w:tc>
        <w:tc>
          <w:tcPr>
            <w:tcW w:w="1235" w:type="dxa"/>
            <w:tcBorders>
              <w:top w:val="single" w:color="auto" w:sz="6" w:space="0"/>
              <w:left w:val="single" w:color="auto" w:sz="6" w:space="0"/>
              <w:bottom w:val="single" w:color="auto" w:sz="6" w:space="0"/>
              <w:right w:val="single" w:color="auto" w:sz="6" w:space="0"/>
            </w:tcBorders>
          </w:tcPr>
          <w:p>
            <w:pPr>
              <w:pStyle w:val="165"/>
              <w:spacing w:line="360" w:lineRule="auto"/>
              <w:rPr>
                <w:rFonts w:ascii="宋体" w:hAnsi="宋体" w:cs="Arial"/>
                <w:color w:val="000000" w:themeColor="text1"/>
                <w:sz w:val="24"/>
                <w14:textFill>
                  <w14:solidFill>
                    <w14:schemeClr w14:val="tx1"/>
                  </w14:solidFill>
                </w14:textFill>
              </w:rPr>
            </w:pPr>
          </w:p>
        </w:tc>
        <w:tc>
          <w:tcPr>
            <w:tcW w:w="1819" w:type="dxa"/>
            <w:tcBorders>
              <w:top w:val="single" w:color="auto" w:sz="6" w:space="0"/>
              <w:left w:val="single" w:color="auto" w:sz="6" w:space="0"/>
              <w:bottom w:val="single" w:color="auto" w:sz="6" w:space="0"/>
              <w:right w:val="single" w:color="auto" w:sz="6" w:space="0"/>
            </w:tcBorders>
          </w:tcPr>
          <w:p>
            <w:pPr>
              <w:pStyle w:val="165"/>
              <w:spacing w:line="360" w:lineRule="auto"/>
              <w:rPr>
                <w:rFonts w:ascii="宋体" w:hAnsi="宋体" w:cs="Arial"/>
                <w:color w:val="000000" w:themeColor="text1"/>
                <w:sz w:val="24"/>
                <w14:textFill>
                  <w14:solidFill>
                    <w14:schemeClr w14:val="tx1"/>
                  </w14:solidFill>
                </w14:textFill>
              </w:rPr>
            </w:pPr>
          </w:p>
        </w:tc>
      </w:tr>
    </w:tbl>
    <w:p>
      <w:pPr>
        <w:autoSpaceDE w:val="0"/>
        <w:autoSpaceDN w:val="0"/>
        <w:adjustRightInd w:val="0"/>
        <w:spacing w:before="159" w:beforeLines="50" w:line="360" w:lineRule="auto"/>
        <w:rPr>
          <w:rFonts w:ascii="宋体" w:hAnsi="宋体" w:cs="Arial"/>
          <w:b/>
          <w:color w:val="000000" w:themeColor="text1"/>
          <w:szCs w:val="21"/>
          <w14:textFill>
            <w14:solidFill>
              <w14:schemeClr w14:val="tx1"/>
            </w14:solidFill>
          </w14:textFill>
        </w:rPr>
      </w:pPr>
      <w:r>
        <w:rPr>
          <w:rFonts w:hint="eastAsia" w:ascii="宋体" w:hAnsi="宋体" w:cs="Arial"/>
          <w:b/>
          <w:color w:val="000000" w:themeColor="text1"/>
          <w:szCs w:val="21"/>
          <w14:textFill>
            <w14:solidFill>
              <w14:schemeClr w14:val="tx1"/>
            </w14:solidFill>
          </w14:textFill>
        </w:rPr>
        <w:t>要求</w:t>
      </w:r>
      <w:r>
        <w:rPr>
          <w:rFonts w:ascii="宋体" w:hAnsi="宋体" w:cs="Arial"/>
          <w:b/>
          <w:color w:val="000000" w:themeColor="text1"/>
          <w:szCs w:val="21"/>
          <w14:textFill>
            <w14:solidFill>
              <w14:schemeClr w14:val="tx1"/>
            </w14:solidFill>
          </w14:textFill>
        </w:rPr>
        <w:t>：</w:t>
      </w:r>
    </w:p>
    <w:p>
      <w:pPr>
        <w:autoSpaceDE w:val="0"/>
        <w:autoSpaceDN w:val="0"/>
        <w:adjustRightInd w:val="0"/>
        <w:spacing w:before="159" w:beforeLines="50" w:line="360" w:lineRule="auto"/>
        <w:ind w:firstLine="424" w:firstLineChars="202"/>
        <w:rPr>
          <w:rFonts w:ascii="宋体" w:hAnsi="宋体" w:cs="Arial"/>
          <w:b/>
          <w:color w:val="000000" w:themeColor="text1"/>
          <w:szCs w:val="21"/>
          <w14:textFill>
            <w14:solidFill>
              <w14:schemeClr w14:val="tx1"/>
            </w14:solidFill>
          </w14:textFill>
        </w:rPr>
      </w:pPr>
      <w:r>
        <w:rPr>
          <w:rFonts w:ascii="宋体" w:hAnsi="宋体" w:cs="Arial"/>
          <w:color w:val="000000" w:themeColor="text1"/>
          <w:szCs w:val="21"/>
          <w14:textFill>
            <w14:solidFill>
              <w14:schemeClr w14:val="tx1"/>
            </w14:solidFill>
          </w14:textFill>
        </w:rPr>
        <w:t>1</w:t>
      </w:r>
      <w:r>
        <w:rPr>
          <w:rFonts w:hint="eastAsia" w:ascii="宋体" w:hAnsi="宋体" w:cs="Arial"/>
          <w:color w:val="000000" w:themeColor="text1"/>
          <w:szCs w:val="21"/>
          <w14:textFill>
            <w14:solidFill>
              <w14:schemeClr w14:val="tx1"/>
            </w14:solidFill>
          </w14:textFill>
        </w:rPr>
        <w:t>.</w:t>
      </w:r>
      <w:r>
        <w:rPr>
          <w:rFonts w:ascii="宋体" w:hAnsi="宋体" w:cs="Arial"/>
          <w:color w:val="000000" w:themeColor="text1"/>
          <w:szCs w:val="21"/>
          <w14:textFill>
            <w14:solidFill>
              <w14:schemeClr w14:val="tx1"/>
            </w14:solidFill>
          </w14:textFill>
        </w:rPr>
        <w:t>业绩证明应提供证明材料（合同</w:t>
      </w:r>
      <w:r>
        <w:rPr>
          <w:rFonts w:hint="eastAsia" w:ascii="宋体" w:hAnsi="宋体" w:cs="Arial"/>
          <w:color w:val="000000" w:themeColor="text1"/>
          <w:szCs w:val="21"/>
          <w14:textFill>
            <w14:solidFill>
              <w14:schemeClr w14:val="tx1"/>
            </w14:solidFill>
          </w14:textFill>
        </w:rPr>
        <w:t>复印件可只提供首页、含金额页、盖章页并加盖比选人公章</w:t>
      </w:r>
      <w:r>
        <w:rPr>
          <w:rFonts w:ascii="宋体" w:hAnsi="宋体" w:cs="Arial"/>
          <w:color w:val="000000" w:themeColor="text1"/>
          <w:szCs w:val="21"/>
          <w14:textFill>
            <w14:solidFill>
              <w14:schemeClr w14:val="tx1"/>
            </w14:solidFill>
          </w14:textFill>
        </w:rPr>
        <w:t>）；</w:t>
      </w:r>
    </w:p>
    <w:p>
      <w:pPr>
        <w:spacing w:line="360" w:lineRule="auto"/>
        <w:ind w:firstLine="424" w:firstLineChars="202"/>
        <w:jc w:val="left"/>
        <w:rPr>
          <w:rFonts w:ascii="宋体" w:hAnsi="宋体" w:cs="Arial"/>
          <w:color w:val="000000" w:themeColor="text1"/>
          <w:szCs w:val="21"/>
          <w14:textFill>
            <w14:solidFill>
              <w14:schemeClr w14:val="tx1"/>
            </w14:solidFill>
          </w14:textFill>
        </w:rPr>
      </w:pPr>
      <w:r>
        <w:rPr>
          <w:rFonts w:ascii="宋体" w:hAnsi="宋体" w:cs="Arial"/>
          <w:color w:val="000000" w:themeColor="text1"/>
          <w:szCs w:val="21"/>
          <w14:textFill>
            <w14:solidFill>
              <w14:schemeClr w14:val="tx1"/>
            </w14:solidFill>
          </w14:textFill>
        </w:rPr>
        <w:t>2</w:t>
      </w:r>
      <w:r>
        <w:rPr>
          <w:rFonts w:hint="eastAsia" w:ascii="宋体" w:hAnsi="宋体" w:cs="Arial"/>
          <w:color w:val="000000" w:themeColor="text1"/>
          <w:szCs w:val="21"/>
          <w14:textFill>
            <w14:solidFill>
              <w14:schemeClr w14:val="tx1"/>
            </w14:solidFill>
          </w14:textFill>
        </w:rPr>
        <w:t>.报价供应商</w:t>
      </w:r>
      <w:r>
        <w:rPr>
          <w:rFonts w:ascii="宋体" w:hAnsi="宋体" w:cs="Arial"/>
          <w:color w:val="000000" w:themeColor="text1"/>
          <w:szCs w:val="21"/>
          <w14:textFill>
            <w14:solidFill>
              <w14:schemeClr w14:val="tx1"/>
            </w14:solidFill>
          </w14:textFill>
        </w:rPr>
        <w:t>可按此表格式复制</w:t>
      </w:r>
      <w:r>
        <w:rPr>
          <w:rFonts w:hint="eastAsia" w:ascii="宋体" w:hAnsi="宋体" w:cs="Arial"/>
          <w:color w:val="000000" w:themeColor="text1"/>
          <w:szCs w:val="21"/>
          <w14:textFill>
            <w14:solidFill>
              <w14:schemeClr w14:val="tx1"/>
            </w14:solidFill>
          </w14:textFill>
        </w:rPr>
        <w:t>。</w:t>
      </w:r>
    </w:p>
    <w:p>
      <w:pPr>
        <w:spacing w:line="360" w:lineRule="auto"/>
        <w:rPr>
          <w:rFonts w:ascii="宋体" w:hAnsi="宋体"/>
          <w:color w:val="000000" w:themeColor="text1"/>
          <w:sz w:val="22"/>
          <w:szCs w:val="22"/>
          <w14:textFill>
            <w14:solidFill>
              <w14:schemeClr w14:val="tx1"/>
            </w14:solidFill>
          </w14:textFill>
        </w:rPr>
      </w:pPr>
    </w:p>
    <w:p>
      <w:pPr>
        <w:spacing w:line="360" w:lineRule="auto"/>
        <w:rPr>
          <w:rFonts w:ascii="宋体" w:hAnsi="宋体"/>
          <w:color w:val="000000" w:themeColor="text1"/>
          <w:sz w:val="22"/>
          <w:szCs w:val="22"/>
          <w14:textFill>
            <w14:solidFill>
              <w14:schemeClr w14:val="tx1"/>
            </w14:solidFill>
          </w14:textFill>
        </w:rPr>
      </w:pPr>
    </w:p>
    <w:p>
      <w:pPr>
        <w:spacing w:line="360" w:lineRule="auto"/>
        <w:ind w:left="420"/>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比选人名称（盖章）：</w:t>
      </w:r>
    </w:p>
    <w:p>
      <w:pPr>
        <w:spacing w:line="360" w:lineRule="auto"/>
        <w:ind w:left="420"/>
        <w:rPr>
          <w:rFonts w:ascii="宋体" w:hAnsi="宋体"/>
          <w:color w:val="000000" w:themeColor="text1"/>
          <w:sz w:val="24"/>
          <w14:textFill>
            <w14:solidFill>
              <w14:schemeClr w14:val="tx1"/>
            </w14:solidFill>
          </w14:textFill>
        </w:rPr>
      </w:pPr>
    </w:p>
    <w:p>
      <w:pPr>
        <w:spacing w:line="360" w:lineRule="auto"/>
        <w:ind w:firstLine="435"/>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比选人代表签字或盖章：</w:t>
      </w:r>
    </w:p>
    <w:p>
      <w:pPr>
        <w:spacing w:line="360" w:lineRule="auto"/>
        <w:ind w:firstLine="435"/>
        <w:rPr>
          <w:rFonts w:ascii="宋体" w:hAnsi="宋体"/>
          <w:color w:val="000000" w:themeColor="text1"/>
          <w:sz w:val="24"/>
          <w14:textFill>
            <w14:solidFill>
              <w14:schemeClr w14:val="tx1"/>
            </w14:solidFill>
          </w14:textFill>
        </w:rPr>
      </w:pPr>
    </w:p>
    <w:p>
      <w:pPr>
        <w:spacing w:line="360" w:lineRule="auto"/>
        <w:ind w:firstLine="435"/>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职        务：</w:t>
      </w:r>
    </w:p>
    <w:p>
      <w:pPr>
        <w:spacing w:line="360" w:lineRule="auto"/>
        <w:rPr>
          <w:rFonts w:ascii="宋体" w:hAnsi="宋体"/>
          <w:color w:val="000000" w:themeColor="text1"/>
          <w:sz w:val="24"/>
          <w14:textFill>
            <w14:solidFill>
              <w14:schemeClr w14:val="tx1"/>
            </w14:solidFill>
          </w14:textFill>
        </w:rPr>
      </w:pPr>
    </w:p>
    <w:p>
      <w:pPr>
        <w:spacing w:line="360" w:lineRule="auto"/>
        <w:ind w:firstLine="435"/>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日        期：</w:t>
      </w:r>
    </w:p>
    <w:p>
      <w:pPr>
        <w:pStyle w:val="15"/>
      </w:pPr>
      <w:r>
        <w:br w:type="page"/>
      </w:r>
    </w:p>
    <w:p>
      <w:pPr>
        <w:pStyle w:val="5"/>
        <w:numPr>
          <w:ilvl w:val="-1"/>
          <w:numId w:val="0"/>
        </w:numPr>
        <w:rPr>
          <w:rFonts w:hint="eastAsia" w:ascii="宋体" w:hAnsi="宋体" w:cs="宋体"/>
          <w:b/>
          <w:color w:val="auto"/>
          <w:sz w:val="32"/>
          <w:lang w:val="en-US" w:eastAsia="zh-CN"/>
        </w:rPr>
      </w:pPr>
      <w:bookmarkStart w:id="406" w:name="_Toc21540"/>
      <w:bookmarkStart w:id="407" w:name="_Toc11628"/>
      <w:bookmarkStart w:id="408" w:name="_Toc1740"/>
      <w:bookmarkStart w:id="409" w:name="_Toc8968"/>
      <w:bookmarkStart w:id="410" w:name="_Toc2344"/>
      <w:bookmarkStart w:id="411" w:name="_Toc12687"/>
      <w:bookmarkStart w:id="412" w:name="_Toc12711"/>
      <w:bookmarkStart w:id="413" w:name="_Toc12953"/>
      <w:bookmarkStart w:id="414" w:name="_Toc6656"/>
      <w:bookmarkStart w:id="415" w:name="_Toc11603"/>
      <w:r>
        <w:rPr>
          <w:rFonts w:hint="eastAsia" w:ascii="宋体" w:hAnsi="宋体" w:eastAsia="宋体" w:cs="宋体"/>
          <w:b/>
          <w:sz w:val="32"/>
          <w:lang w:val="en-US" w:eastAsia="zh-CN"/>
        </w:rPr>
        <w:t>（</w:t>
      </w:r>
      <w:r>
        <w:rPr>
          <w:rFonts w:hint="eastAsia" w:ascii="宋体" w:hAnsi="宋体" w:cs="宋体"/>
          <w:b/>
          <w:sz w:val="32"/>
          <w:lang w:val="en-US" w:eastAsia="zh-CN"/>
        </w:rPr>
        <w:t>五</w:t>
      </w:r>
      <w:r>
        <w:rPr>
          <w:rFonts w:hint="eastAsia" w:ascii="宋体" w:hAnsi="宋体" w:eastAsia="宋体" w:cs="宋体"/>
          <w:b/>
          <w:sz w:val="32"/>
          <w:lang w:val="en-US" w:eastAsia="zh-CN"/>
        </w:rPr>
        <w:t>）</w:t>
      </w:r>
      <w:r>
        <w:rPr>
          <w:rFonts w:hint="eastAsia" w:ascii="宋体" w:hAnsi="宋体" w:cs="宋体"/>
          <w:b/>
          <w:color w:val="auto"/>
          <w:sz w:val="32"/>
          <w:lang w:val="en-US" w:eastAsia="zh-CN"/>
        </w:rPr>
        <w:t>资格审查资料</w:t>
      </w:r>
      <w:bookmarkEnd w:id="406"/>
      <w:bookmarkEnd w:id="407"/>
      <w:bookmarkEnd w:id="408"/>
      <w:bookmarkEnd w:id="409"/>
      <w:bookmarkEnd w:id="410"/>
      <w:bookmarkEnd w:id="411"/>
      <w:bookmarkEnd w:id="412"/>
      <w:bookmarkEnd w:id="413"/>
      <w:bookmarkEnd w:id="414"/>
      <w:bookmarkEnd w:id="415"/>
    </w:p>
    <w:p>
      <w:pPr>
        <w:spacing w:line="360" w:lineRule="auto"/>
        <w:rPr>
          <w:rFonts w:hint="eastAsia" w:asciiTheme="minorEastAsia" w:hAnsiTheme="minorEastAsia" w:eastAsiaTheme="minorEastAsia"/>
          <w:szCs w:val="21"/>
          <w:lang w:eastAsia="zh-CN"/>
        </w:rPr>
      </w:pPr>
      <w:r>
        <w:rPr>
          <w:rFonts w:hint="eastAsia" w:cs="仿宋" w:asciiTheme="minorEastAsia" w:hAnsiTheme="minorEastAsia" w:eastAsiaTheme="minorEastAsia"/>
          <w:szCs w:val="21"/>
          <w:lang w:val="en-US" w:eastAsia="zh-CN"/>
        </w:rPr>
        <w:t>投标人</w:t>
      </w:r>
      <w:r>
        <w:rPr>
          <w:rFonts w:hint="eastAsia" w:asciiTheme="minorEastAsia" w:hAnsiTheme="minorEastAsia" w:eastAsiaTheme="minorEastAsia"/>
          <w:szCs w:val="21"/>
        </w:rPr>
        <w:t>提供</w:t>
      </w:r>
      <w:r>
        <w:rPr>
          <w:rFonts w:hint="eastAsia" w:asciiTheme="minorEastAsia" w:hAnsiTheme="minorEastAsia" w:eastAsiaTheme="minorEastAsia"/>
          <w:szCs w:val="21"/>
          <w:lang w:eastAsia="zh-CN"/>
        </w:rPr>
        <w:t>：</w:t>
      </w:r>
    </w:p>
    <w:p>
      <w:pPr>
        <w:numPr>
          <w:ilvl w:val="0"/>
          <w:numId w:val="7"/>
        </w:numPr>
        <w:spacing w:line="360" w:lineRule="auto"/>
        <w:rPr>
          <w:rFonts w:hint="eastAsia" w:ascii="宋体" w:hAnsi="宋体" w:eastAsia="宋体" w:cs="宋体"/>
          <w:color w:val="auto"/>
          <w:kern w:val="0"/>
          <w:lang w:eastAsia="zh-CN"/>
        </w:rPr>
      </w:pPr>
      <w:r>
        <w:rPr>
          <w:rFonts w:hint="eastAsia" w:ascii="宋体" w:hAnsi="宋体" w:cs="宋体"/>
          <w:color w:val="auto"/>
          <w:kern w:val="0"/>
        </w:rPr>
        <w:t>在2020-2022年在经营活动中没有重大违法记录</w:t>
      </w:r>
      <w:r>
        <w:rPr>
          <w:rFonts w:hint="eastAsia" w:ascii="宋体" w:hAnsi="宋体" w:cs="宋体"/>
          <w:color w:val="auto"/>
          <w:kern w:val="0"/>
          <w:lang w:eastAsia="zh-CN"/>
        </w:rPr>
        <w:t>，</w:t>
      </w:r>
      <w:r>
        <w:rPr>
          <w:rFonts w:hint="eastAsia" w:ascii="宋体" w:hAnsi="宋体" w:eastAsia="宋体" w:cs="宋体"/>
          <w:color w:val="auto"/>
          <w:kern w:val="0"/>
          <w:sz w:val="21"/>
          <w:szCs w:val="24"/>
          <w:lang w:val="en-US" w:eastAsia="zh-CN"/>
        </w:rPr>
        <w:t>申请人须提供国家企业信息公示系统（http://www.gsxt.gov.cn）中未被列入严重违法失信企业名单的网页截图</w:t>
      </w:r>
      <w:r>
        <w:rPr>
          <w:rFonts w:hint="eastAsia" w:ascii="宋体" w:hAnsi="宋体" w:cs="宋体"/>
          <w:color w:val="auto"/>
          <w:kern w:val="0"/>
          <w:lang w:eastAsia="zh-CN"/>
        </w:rPr>
        <w:t>；</w:t>
      </w:r>
    </w:p>
    <w:p>
      <w:pPr>
        <w:numPr>
          <w:ilvl w:val="0"/>
          <w:numId w:val="7"/>
        </w:numPr>
        <w:spacing w:line="360" w:lineRule="auto"/>
        <w:rPr>
          <w:rFonts w:hint="eastAsia" w:ascii="宋体" w:hAnsi="宋体" w:cs="宋体"/>
          <w:color w:val="auto"/>
          <w:kern w:val="0"/>
          <w:lang w:eastAsia="zh-CN"/>
        </w:rPr>
      </w:pPr>
      <w:r>
        <w:rPr>
          <w:rFonts w:hint="eastAsia" w:ascii="宋体" w:hAnsi="宋体" w:cs="宋体"/>
          <w:color w:val="auto"/>
          <w:kern w:val="0"/>
        </w:rPr>
        <w:t>“信用中国”（</w:t>
      </w:r>
      <w:r>
        <w:rPr>
          <w:rFonts w:ascii="宋体" w:hAnsi="宋体" w:cs="宋体"/>
          <w:color w:val="auto"/>
          <w:kern w:val="0"/>
        </w:rPr>
        <w:t>http://www.creditchina.gov.cn/）中</w:t>
      </w:r>
      <w:r>
        <w:rPr>
          <w:rFonts w:hint="eastAsia" w:ascii="宋体" w:hAnsi="宋体" w:cs="宋体"/>
          <w:color w:val="auto"/>
          <w:kern w:val="0"/>
        </w:rPr>
        <w:t>未</w:t>
      </w:r>
      <w:r>
        <w:rPr>
          <w:rFonts w:ascii="宋体" w:hAnsi="宋体" w:cs="宋体"/>
          <w:color w:val="auto"/>
          <w:kern w:val="0"/>
        </w:rPr>
        <w:t>被列入失信</w:t>
      </w:r>
      <w:r>
        <w:rPr>
          <w:rFonts w:hint="eastAsia" w:ascii="宋体" w:hAnsi="宋体" w:cs="宋体"/>
          <w:color w:val="auto"/>
          <w:kern w:val="0"/>
        </w:rPr>
        <w:t>惩戒对象系统查询结果证明材料</w:t>
      </w:r>
      <w:r>
        <w:rPr>
          <w:rFonts w:hint="eastAsia" w:ascii="宋体" w:hAnsi="宋体" w:cs="宋体"/>
          <w:color w:val="auto"/>
          <w:kern w:val="0"/>
          <w:lang w:eastAsia="zh-CN"/>
        </w:rPr>
        <w:t>（</w:t>
      </w:r>
      <w:r>
        <w:rPr>
          <w:rFonts w:hint="eastAsia" w:ascii="宋体" w:hAnsi="宋体" w:cs="宋体"/>
          <w:color w:val="auto"/>
          <w:kern w:val="0"/>
          <w:lang w:val="en-US" w:eastAsia="zh-CN"/>
        </w:rPr>
        <w:t>截图方式</w:t>
      </w:r>
      <w:r>
        <w:rPr>
          <w:rFonts w:hint="eastAsia" w:ascii="宋体" w:hAnsi="宋体" w:cs="宋体"/>
          <w:color w:val="auto"/>
          <w:kern w:val="0"/>
          <w:lang w:eastAsia="zh-CN"/>
        </w:rPr>
        <w:t>）</w:t>
      </w:r>
      <w:r>
        <w:rPr>
          <w:rFonts w:hint="eastAsia" w:ascii="宋体" w:hAnsi="宋体" w:cs="宋体"/>
          <w:color w:val="auto"/>
          <w:kern w:val="0"/>
        </w:rPr>
        <w:t>并加盖</w:t>
      </w:r>
      <w:r>
        <w:rPr>
          <w:rFonts w:hint="eastAsia" w:ascii="宋体" w:hAnsi="宋体" w:cs="宋体"/>
          <w:color w:val="auto"/>
          <w:kern w:val="0"/>
          <w:lang w:eastAsia="zh-CN"/>
        </w:rPr>
        <w:t>比选申请人</w:t>
      </w:r>
      <w:r>
        <w:rPr>
          <w:rFonts w:hint="eastAsia" w:ascii="宋体" w:hAnsi="宋体" w:cs="宋体"/>
          <w:color w:val="auto"/>
          <w:kern w:val="0"/>
        </w:rPr>
        <w:t>公章</w:t>
      </w:r>
      <w:r>
        <w:rPr>
          <w:rFonts w:hint="eastAsia" w:ascii="宋体" w:hAnsi="宋体" w:cs="宋体"/>
          <w:color w:val="auto"/>
          <w:kern w:val="0"/>
          <w:lang w:eastAsia="zh-CN"/>
        </w:rPr>
        <w:t>；</w:t>
      </w:r>
    </w:p>
    <w:p>
      <w:pPr>
        <w:numPr>
          <w:ilvl w:val="-1"/>
          <w:numId w:val="0"/>
        </w:numPr>
        <w:spacing w:line="360" w:lineRule="auto"/>
        <w:rPr>
          <w:rFonts w:hint="eastAsia" w:asciiTheme="minorEastAsia" w:hAnsiTheme="minorEastAsia" w:eastAsiaTheme="minorEastAsia"/>
          <w:szCs w:val="21"/>
          <w:lang w:eastAsia="zh-CN"/>
        </w:rPr>
      </w:pPr>
      <w:r>
        <w:rPr>
          <w:rFonts w:hint="eastAsia" w:asciiTheme="minorEastAsia" w:hAnsiTheme="minorEastAsia" w:eastAsiaTheme="minorEastAsia"/>
          <w:szCs w:val="21"/>
          <w:lang w:val="en-US" w:eastAsia="zh-CN"/>
        </w:rPr>
        <w:t>3.2021-2022年</w:t>
      </w:r>
      <w:r>
        <w:rPr>
          <w:rFonts w:hint="eastAsia" w:asciiTheme="minorEastAsia" w:hAnsiTheme="minorEastAsia" w:eastAsiaTheme="minorEastAsia"/>
          <w:szCs w:val="21"/>
        </w:rPr>
        <w:t>的经审计的财务情况和财务报告（审计页及关键内容页复印件）</w:t>
      </w:r>
      <w:r>
        <w:rPr>
          <w:rFonts w:hint="eastAsia" w:asciiTheme="minorEastAsia" w:hAnsiTheme="minorEastAsia" w:eastAsiaTheme="minorEastAsia"/>
          <w:szCs w:val="21"/>
          <w:lang w:eastAsia="zh-CN"/>
        </w:rPr>
        <w:t>；</w:t>
      </w:r>
    </w:p>
    <w:p>
      <w:pPr>
        <w:numPr>
          <w:ilvl w:val="-1"/>
          <w:numId w:val="0"/>
        </w:numPr>
        <w:spacing w:line="360" w:lineRule="auto"/>
        <w:rPr>
          <w:rFonts w:ascii="宋体" w:hAnsi="宋体"/>
          <w:b/>
          <w:color w:val="000000" w:themeColor="text1"/>
          <w:sz w:val="28"/>
          <w14:textFill>
            <w14:solidFill>
              <w14:schemeClr w14:val="tx1"/>
            </w14:solidFill>
          </w14:textFill>
        </w:rPr>
      </w:pPr>
      <w:r>
        <w:rPr>
          <w:rFonts w:hint="eastAsia" w:asciiTheme="minorEastAsia" w:hAnsiTheme="minorEastAsia" w:eastAsiaTheme="minorEastAsia"/>
          <w:szCs w:val="21"/>
          <w:lang w:val="en-US" w:eastAsia="zh-CN"/>
        </w:rPr>
        <w:t>4.2021-2022年</w:t>
      </w:r>
      <w:r>
        <w:rPr>
          <w:rFonts w:hint="eastAsia" w:cs="仿宋_GB2312" w:asciiTheme="minorEastAsia" w:hAnsiTheme="minorEastAsia" w:eastAsiaTheme="minorEastAsia"/>
          <w:szCs w:val="21"/>
          <w:lang w:val="zh-CN"/>
        </w:rPr>
        <w:t>税收</w:t>
      </w:r>
      <w:r>
        <w:rPr>
          <w:rFonts w:hint="eastAsia" w:cs="仿宋_GB2312" w:asciiTheme="minorEastAsia" w:hAnsiTheme="minorEastAsia" w:eastAsiaTheme="minorEastAsia"/>
          <w:szCs w:val="21"/>
          <w:lang w:val="en-US" w:eastAsia="zh-CN"/>
        </w:rPr>
        <w:t>及</w:t>
      </w:r>
      <w:r>
        <w:rPr>
          <w:rFonts w:hint="eastAsia" w:cs="仿宋_GB2312" w:asciiTheme="minorEastAsia" w:hAnsiTheme="minorEastAsia" w:eastAsiaTheme="minorEastAsia"/>
          <w:szCs w:val="21"/>
          <w:lang w:val="zh-CN"/>
        </w:rPr>
        <w:t>社会保障金的记录；</w:t>
      </w:r>
    </w:p>
    <w:bookmarkEnd w:id="318"/>
    <w:bookmarkEnd w:id="319"/>
    <w:bookmarkEnd w:id="320"/>
    <w:bookmarkEnd w:id="321"/>
    <w:bookmarkEnd w:id="322"/>
    <w:bookmarkEnd w:id="323"/>
    <w:bookmarkEnd w:id="324"/>
    <w:bookmarkEnd w:id="325"/>
    <w:p>
      <w:pPr>
        <w:spacing w:line="760" w:lineRule="exact"/>
        <w:jc w:val="center"/>
        <w:rPr>
          <w:rFonts w:hint="eastAsia" w:ascii="方正小标宋_GBK" w:hAnsi="方正小标宋_GBK" w:eastAsia="方正小标宋_GBK" w:cs="方正小标宋_GBK"/>
          <w:b/>
          <w:sz w:val="52"/>
          <w:szCs w:val="52"/>
          <w:lang w:eastAsia="zh-CN"/>
        </w:rPr>
      </w:pPr>
    </w:p>
    <w:p>
      <w:pPr>
        <w:spacing w:line="760" w:lineRule="exact"/>
        <w:jc w:val="center"/>
        <w:rPr>
          <w:rFonts w:hint="eastAsia" w:ascii="方正小标宋_GBK" w:hAnsi="方正小标宋_GBK" w:eastAsia="方正小标宋_GBK" w:cs="方正小标宋_GBK"/>
          <w:b/>
          <w:sz w:val="52"/>
          <w:szCs w:val="52"/>
          <w:lang w:eastAsia="zh-CN"/>
        </w:rPr>
      </w:pPr>
    </w:p>
    <w:p>
      <w:pPr>
        <w:spacing w:line="760" w:lineRule="exact"/>
        <w:jc w:val="center"/>
        <w:rPr>
          <w:rFonts w:hint="eastAsia" w:ascii="方正小标宋_GBK" w:hAnsi="方正小标宋_GBK" w:eastAsia="方正小标宋_GBK" w:cs="方正小标宋_GBK"/>
          <w:b/>
          <w:sz w:val="52"/>
          <w:szCs w:val="52"/>
          <w:lang w:eastAsia="zh-CN"/>
        </w:rPr>
      </w:pPr>
    </w:p>
    <w:p>
      <w:pPr>
        <w:spacing w:line="760" w:lineRule="exact"/>
        <w:jc w:val="center"/>
        <w:rPr>
          <w:rFonts w:hint="eastAsia" w:ascii="方正小标宋_GBK" w:hAnsi="方正小标宋_GBK" w:eastAsia="方正小标宋_GBK" w:cs="方正小标宋_GBK"/>
          <w:b/>
          <w:sz w:val="52"/>
          <w:szCs w:val="52"/>
          <w:lang w:eastAsia="zh-CN"/>
        </w:rPr>
      </w:pPr>
    </w:p>
    <w:p>
      <w:pPr>
        <w:spacing w:line="760" w:lineRule="exact"/>
        <w:jc w:val="center"/>
        <w:rPr>
          <w:rFonts w:hint="eastAsia" w:ascii="方正小标宋_GBK" w:hAnsi="方正小标宋_GBK" w:eastAsia="方正小标宋_GBK" w:cs="方正小标宋_GBK"/>
          <w:b/>
          <w:sz w:val="52"/>
          <w:szCs w:val="52"/>
          <w:lang w:eastAsia="zh-CN"/>
        </w:rPr>
      </w:pPr>
    </w:p>
    <w:p>
      <w:pPr>
        <w:spacing w:line="760" w:lineRule="exact"/>
        <w:jc w:val="center"/>
        <w:rPr>
          <w:rFonts w:hint="eastAsia" w:ascii="方正小标宋_GBK" w:hAnsi="方正小标宋_GBK" w:eastAsia="方正小标宋_GBK" w:cs="方正小标宋_GBK"/>
          <w:b/>
          <w:sz w:val="52"/>
          <w:szCs w:val="52"/>
          <w:lang w:eastAsia="zh-CN"/>
        </w:rPr>
      </w:pPr>
    </w:p>
    <w:p>
      <w:pPr>
        <w:spacing w:line="760" w:lineRule="exact"/>
        <w:jc w:val="center"/>
        <w:rPr>
          <w:rFonts w:hint="eastAsia" w:ascii="方正小标宋_GBK" w:hAnsi="方正小标宋_GBK" w:eastAsia="方正小标宋_GBK" w:cs="方正小标宋_GBK"/>
          <w:b/>
          <w:sz w:val="52"/>
          <w:szCs w:val="52"/>
          <w:lang w:eastAsia="zh-CN"/>
        </w:rPr>
      </w:pPr>
    </w:p>
    <w:p>
      <w:pPr>
        <w:spacing w:line="760" w:lineRule="exact"/>
        <w:jc w:val="center"/>
        <w:rPr>
          <w:rFonts w:hint="eastAsia" w:ascii="方正小标宋_GBK" w:hAnsi="方正小标宋_GBK" w:eastAsia="方正小标宋_GBK" w:cs="方正小标宋_GBK"/>
          <w:b/>
          <w:sz w:val="52"/>
          <w:szCs w:val="52"/>
          <w:lang w:eastAsia="zh-CN"/>
        </w:rPr>
      </w:pPr>
    </w:p>
    <w:p>
      <w:pPr>
        <w:spacing w:line="760" w:lineRule="exact"/>
        <w:jc w:val="center"/>
        <w:rPr>
          <w:rFonts w:hint="eastAsia" w:ascii="方正小标宋_GBK" w:hAnsi="方正小标宋_GBK" w:eastAsia="方正小标宋_GBK" w:cs="方正小标宋_GBK"/>
          <w:b/>
          <w:sz w:val="52"/>
          <w:szCs w:val="52"/>
          <w:lang w:eastAsia="zh-CN"/>
        </w:rPr>
      </w:pPr>
    </w:p>
    <w:p>
      <w:pPr>
        <w:spacing w:line="760" w:lineRule="exact"/>
        <w:jc w:val="center"/>
        <w:rPr>
          <w:rFonts w:hint="eastAsia" w:ascii="方正小标宋_GBK" w:hAnsi="方正小标宋_GBK" w:eastAsia="方正小标宋_GBK" w:cs="方正小标宋_GBK"/>
          <w:b/>
          <w:sz w:val="52"/>
          <w:szCs w:val="52"/>
          <w:lang w:eastAsia="zh-CN"/>
        </w:rPr>
      </w:pPr>
    </w:p>
    <w:p>
      <w:pPr>
        <w:spacing w:line="760" w:lineRule="exact"/>
        <w:jc w:val="center"/>
        <w:rPr>
          <w:rFonts w:hint="eastAsia" w:ascii="方正小标宋_GBK" w:hAnsi="方正小标宋_GBK" w:eastAsia="方正小标宋_GBK" w:cs="方正小标宋_GBK"/>
          <w:b/>
          <w:sz w:val="52"/>
          <w:szCs w:val="52"/>
          <w:lang w:eastAsia="zh-CN"/>
        </w:rPr>
      </w:pPr>
    </w:p>
    <w:p>
      <w:pPr>
        <w:spacing w:line="760" w:lineRule="exact"/>
        <w:jc w:val="center"/>
        <w:rPr>
          <w:rFonts w:hint="eastAsia" w:ascii="方正小标宋_GBK" w:hAnsi="方正小标宋_GBK" w:eastAsia="方正小标宋_GBK" w:cs="方正小标宋_GBK"/>
          <w:b/>
          <w:sz w:val="52"/>
          <w:szCs w:val="52"/>
          <w:lang w:eastAsia="zh-CN"/>
        </w:rPr>
      </w:pPr>
    </w:p>
    <w:p>
      <w:pPr>
        <w:pStyle w:val="5"/>
        <w:numPr>
          <w:ilvl w:val="-1"/>
          <w:numId w:val="0"/>
        </w:numPr>
        <w:rPr>
          <w:rFonts w:hint="default" w:ascii="宋体" w:hAnsi="宋体" w:cs="宋体"/>
          <w:b/>
          <w:color w:val="auto"/>
          <w:sz w:val="32"/>
          <w:lang w:val="en-US" w:eastAsia="zh-CN"/>
        </w:rPr>
      </w:pPr>
      <w:bookmarkStart w:id="416" w:name="_Toc21331"/>
      <w:bookmarkStart w:id="417" w:name="_Toc16082"/>
      <w:r>
        <w:rPr>
          <w:rFonts w:hint="eastAsia" w:ascii="宋体" w:hAnsi="宋体" w:eastAsia="宋体" w:cs="宋体"/>
          <w:b/>
          <w:sz w:val="32"/>
          <w:lang w:val="en-US" w:eastAsia="zh-CN"/>
        </w:rPr>
        <w:t>（</w:t>
      </w:r>
      <w:r>
        <w:rPr>
          <w:rFonts w:hint="eastAsia" w:ascii="宋体" w:hAnsi="宋体" w:cs="宋体"/>
          <w:b/>
          <w:sz w:val="32"/>
          <w:lang w:val="en-US" w:eastAsia="zh-CN"/>
        </w:rPr>
        <w:t>六</w:t>
      </w:r>
      <w:r>
        <w:rPr>
          <w:rFonts w:hint="eastAsia" w:ascii="宋体" w:hAnsi="宋体" w:eastAsia="宋体" w:cs="宋体"/>
          <w:b/>
          <w:sz w:val="32"/>
          <w:lang w:val="en-US" w:eastAsia="zh-CN"/>
        </w:rPr>
        <w:t>）</w:t>
      </w:r>
      <w:r>
        <w:rPr>
          <w:rFonts w:hint="eastAsia" w:ascii="宋体" w:hAnsi="宋体" w:cs="宋体"/>
          <w:b/>
          <w:color w:val="auto"/>
          <w:sz w:val="32"/>
          <w:lang w:val="en-US" w:eastAsia="zh-CN"/>
        </w:rPr>
        <w:t>合同主要条款</w:t>
      </w:r>
      <w:bookmarkEnd w:id="416"/>
      <w:bookmarkEnd w:id="417"/>
    </w:p>
    <w:p>
      <w:pPr>
        <w:pStyle w:val="5"/>
        <w:numPr>
          <w:ilvl w:val="0"/>
          <w:numId w:val="0"/>
        </w:numPr>
        <w:spacing w:line="760" w:lineRule="exact"/>
        <w:jc w:val="center"/>
        <w:rPr>
          <w:rFonts w:hint="eastAsia" w:ascii="方正小标宋_GBK" w:hAnsi="方正小标宋_GBK" w:eastAsia="方正小标宋_GBK" w:cs="方正小标宋_GBK"/>
          <w:b/>
          <w:sz w:val="36"/>
          <w:szCs w:val="36"/>
          <w:lang w:eastAsia="zh-CN"/>
        </w:rPr>
      </w:pPr>
    </w:p>
    <w:p>
      <w:pPr>
        <w:spacing w:line="760" w:lineRule="exact"/>
        <w:jc w:val="center"/>
        <w:rPr>
          <w:rFonts w:hint="eastAsia" w:ascii="方正小标宋_GBK" w:hAnsi="方正小标宋_GBK" w:eastAsia="方正小标宋_GBK" w:cs="方正小标宋_GBK"/>
          <w:b/>
          <w:sz w:val="36"/>
          <w:szCs w:val="36"/>
          <w:lang w:eastAsia="zh-CN"/>
        </w:rPr>
      </w:pPr>
      <w:r>
        <w:rPr>
          <w:rFonts w:hint="eastAsia" w:ascii="方正小标宋_GBK" w:hAnsi="方正小标宋_GBK" w:eastAsia="方正小标宋_GBK" w:cs="方正小标宋_GBK"/>
          <w:b/>
          <w:sz w:val="36"/>
          <w:szCs w:val="36"/>
          <w:lang w:eastAsia="zh-CN"/>
        </w:rPr>
        <w:t>重庆</w:t>
      </w:r>
      <w:r>
        <w:rPr>
          <w:rFonts w:hint="eastAsia" w:ascii="方正小标宋_GBK" w:hAnsi="方正小标宋_GBK" w:eastAsia="方正小标宋_GBK" w:cs="方正小标宋_GBK"/>
          <w:b/>
          <w:sz w:val="36"/>
          <w:szCs w:val="36"/>
          <w:lang w:val="en-US" w:eastAsia="zh-CN"/>
        </w:rPr>
        <w:t>*****</w:t>
      </w:r>
      <w:r>
        <w:rPr>
          <w:rFonts w:hint="eastAsia" w:ascii="方正小标宋_GBK" w:hAnsi="方正小标宋_GBK" w:eastAsia="方正小标宋_GBK" w:cs="方正小标宋_GBK"/>
          <w:b/>
          <w:sz w:val="36"/>
          <w:szCs w:val="36"/>
          <w:lang w:eastAsia="zh-CN"/>
        </w:rPr>
        <w:t>高速公路有限公司</w:t>
      </w:r>
    </w:p>
    <w:p>
      <w:pPr>
        <w:spacing w:line="760" w:lineRule="exact"/>
        <w:jc w:val="center"/>
        <w:rPr>
          <w:rFonts w:hint="eastAsia" w:ascii="方正小标宋_GBK" w:hAnsi="方正小标宋_GBK" w:eastAsia="方正小标宋_GBK" w:cs="方正小标宋_GBK"/>
          <w:b/>
          <w:sz w:val="36"/>
          <w:szCs w:val="36"/>
          <w:lang w:val="en-US" w:eastAsia="zh-CN"/>
        </w:rPr>
      </w:pPr>
      <w:r>
        <w:rPr>
          <w:rFonts w:hint="eastAsia" w:ascii="方正小标宋_GBK" w:hAnsi="方正小标宋_GBK" w:eastAsia="方正小标宋_GBK" w:cs="方正小标宋_GBK"/>
          <w:b/>
          <w:sz w:val="36"/>
          <w:szCs w:val="36"/>
          <w:lang w:val="en-US" w:eastAsia="zh-CN"/>
        </w:rPr>
        <w:t>2023年办公家具采购</w:t>
      </w:r>
    </w:p>
    <w:p>
      <w:pPr>
        <w:jc w:val="both"/>
        <w:rPr>
          <w:rFonts w:hint="eastAsia" w:ascii="方正小标宋_GBK" w:hAnsi="方正小标宋_GBK" w:eastAsia="方正小标宋_GBK" w:cs="方正小标宋_GBK"/>
          <w:b/>
          <w:sz w:val="36"/>
          <w:szCs w:val="36"/>
        </w:rPr>
      </w:pPr>
    </w:p>
    <w:p>
      <w:pPr>
        <w:jc w:val="center"/>
        <w:rPr>
          <w:rFonts w:hint="eastAsia" w:ascii="方正小标宋_GBK" w:hAnsi="方正小标宋_GBK" w:eastAsia="方正小标宋_GBK" w:cs="方正小标宋_GBK"/>
          <w:b/>
          <w:sz w:val="36"/>
          <w:szCs w:val="36"/>
        </w:rPr>
      </w:pPr>
      <w:r>
        <w:rPr>
          <w:rFonts w:hint="eastAsia" w:ascii="方正小标宋_GBK" w:hAnsi="方正小标宋_GBK" w:eastAsia="方正小标宋_GBK" w:cs="方正小标宋_GBK"/>
          <w:b/>
          <w:sz w:val="36"/>
          <w:szCs w:val="36"/>
        </w:rPr>
        <w:t>合</w:t>
      </w:r>
    </w:p>
    <w:p>
      <w:pPr>
        <w:jc w:val="center"/>
        <w:rPr>
          <w:rFonts w:hint="eastAsia" w:ascii="方正小标宋_GBK" w:hAnsi="方正小标宋_GBK" w:eastAsia="方正小标宋_GBK" w:cs="方正小标宋_GBK"/>
          <w:b/>
          <w:sz w:val="36"/>
          <w:szCs w:val="36"/>
        </w:rPr>
      </w:pPr>
      <w:r>
        <w:rPr>
          <w:rFonts w:hint="eastAsia" w:ascii="方正小标宋_GBK" w:hAnsi="方正小标宋_GBK" w:eastAsia="方正小标宋_GBK" w:cs="方正小标宋_GBK"/>
          <w:b/>
          <w:sz w:val="36"/>
          <w:szCs w:val="36"/>
        </w:rPr>
        <w:t>同</w:t>
      </w:r>
    </w:p>
    <w:p>
      <w:pPr>
        <w:jc w:val="center"/>
        <w:rPr>
          <w:rFonts w:hint="eastAsia" w:ascii="方正小标宋_GBK" w:hAnsi="方正小标宋_GBK" w:eastAsia="方正小标宋_GBK" w:cs="方正小标宋_GBK"/>
          <w:b/>
          <w:sz w:val="36"/>
          <w:szCs w:val="36"/>
          <w:lang w:val="en-US" w:eastAsia="zh-CN"/>
        </w:rPr>
      </w:pPr>
      <w:r>
        <w:rPr>
          <w:rFonts w:hint="eastAsia" w:ascii="方正小标宋_GBK" w:hAnsi="方正小标宋_GBK" w:eastAsia="方正小标宋_GBK" w:cs="方正小标宋_GBK"/>
          <w:b/>
          <w:sz w:val="36"/>
          <w:szCs w:val="36"/>
          <w:lang w:val="en-US" w:eastAsia="zh-CN"/>
        </w:rPr>
        <w:t>协</w:t>
      </w:r>
    </w:p>
    <w:p>
      <w:pPr>
        <w:jc w:val="center"/>
        <w:rPr>
          <w:rFonts w:hint="eastAsia" w:ascii="方正小标宋_GBK" w:hAnsi="方正小标宋_GBK" w:eastAsia="方正小标宋_GBK" w:cs="方正小标宋_GBK"/>
          <w:b/>
          <w:sz w:val="36"/>
          <w:szCs w:val="36"/>
          <w:lang w:val="en-US" w:eastAsia="zh-CN"/>
        </w:rPr>
      </w:pPr>
      <w:r>
        <w:rPr>
          <w:rFonts w:hint="eastAsia" w:ascii="方正小标宋_GBK" w:hAnsi="方正小标宋_GBK" w:eastAsia="方正小标宋_GBK" w:cs="方正小标宋_GBK"/>
          <w:b/>
          <w:sz w:val="36"/>
          <w:szCs w:val="36"/>
          <w:lang w:val="en-US" w:eastAsia="zh-CN"/>
        </w:rPr>
        <w:t>议</w:t>
      </w:r>
    </w:p>
    <w:p>
      <w:pPr>
        <w:jc w:val="center"/>
        <w:rPr>
          <w:rFonts w:hint="eastAsia" w:ascii="方正小标宋_GBK" w:hAnsi="方正小标宋_GBK" w:eastAsia="方正小标宋_GBK" w:cs="方正小标宋_GBK"/>
          <w:b/>
          <w:sz w:val="36"/>
          <w:szCs w:val="36"/>
          <w:lang w:val="en-US" w:eastAsia="zh-CN"/>
        </w:rPr>
      </w:pPr>
      <w:r>
        <w:rPr>
          <w:rFonts w:hint="eastAsia" w:ascii="方正小标宋_GBK" w:hAnsi="方正小标宋_GBK" w:eastAsia="方正小标宋_GBK" w:cs="方正小标宋_GBK"/>
          <w:b/>
          <w:sz w:val="36"/>
          <w:szCs w:val="36"/>
          <w:lang w:val="en-US" w:eastAsia="zh-CN"/>
        </w:rPr>
        <w:t>书</w:t>
      </w:r>
    </w:p>
    <w:p>
      <w:pPr>
        <w:ind w:firstLine="1124" w:firstLineChars="400"/>
        <w:rPr>
          <w:rFonts w:hint="eastAsia" w:ascii="宋体" w:hAnsi="宋体"/>
          <w:b/>
          <w:bCs/>
          <w:sz w:val="28"/>
          <w:szCs w:val="28"/>
        </w:rPr>
      </w:pPr>
    </w:p>
    <w:p>
      <w:pPr>
        <w:adjustRightInd w:val="0"/>
        <w:rPr>
          <w:rFonts w:ascii="Arial"/>
          <w:b/>
          <w:bCs/>
          <w:sz w:val="40"/>
          <w:szCs w:val="40"/>
        </w:rPr>
      </w:pPr>
    </w:p>
    <w:p>
      <w:pPr>
        <w:adjustRightInd w:val="0"/>
        <w:rPr>
          <w:rFonts w:ascii="Arial"/>
          <w:b/>
          <w:bCs/>
          <w:sz w:val="40"/>
          <w:szCs w:val="40"/>
        </w:rPr>
      </w:pPr>
    </w:p>
    <w:p>
      <w:pPr>
        <w:adjustRightInd w:val="0"/>
        <w:rPr>
          <w:rFonts w:ascii="Arial"/>
          <w:b/>
          <w:bCs/>
          <w:sz w:val="40"/>
          <w:szCs w:val="40"/>
        </w:rPr>
      </w:pPr>
    </w:p>
    <w:p>
      <w:pPr>
        <w:adjustRightInd w:val="0"/>
        <w:rPr>
          <w:rFonts w:ascii="Arial"/>
          <w:b/>
          <w:bCs/>
          <w:sz w:val="40"/>
          <w:szCs w:val="40"/>
        </w:rPr>
      </w:pPr>
    </w:p>
    <w:p>
      <w:pPr>
        <w:adjustRightInd w:val="0"/>
        <w:rPr>
          <w:rFonts w:ascii="Arial"/>
          <w:b/>
          <w:bCs/>
          <w:sz w:val="40"/>
          <w:szCs w:val="40"/>
        </w:rPr>
      </w:pPr>
    </w:p>
    <w:p>
      <w:pPr>
        <w:adjustRightInd w:val="0"/>
        <w:rPr>
          <w:rFonts w:ascii="Arial"/>
          <w:b/>
          <w:bCs/>
          <w:sz w:val="40"/>
          <w:szCs w:val="40"/>
        </w:rPr>
      </w:pPr>
    </w:p>
    <w:p>
      <w:pPr>
        <w:adjustRightInd w:val="0"/>
        <w:rPr>
          <w:rFonts w:ascii="Arial"/>
          <w:b/>
          <w:bCs/>
          <w:sz w:val="40"/>
          <w:szCs w:val="40"/>
        </w:rPr>
      </w:pPr>
    </w:p>
    <w:p>
      <w:pPr>
        <w:adjustRightInd w:val="0"/>
        <w:ind w:firstLine="602" w:firstLineChars="200"/>
        <w:jc w:val="center"/>
        <w:rPr>
          <w:rFonts w:hint="default" w:eastAsia="宋体"/>
          <w:b/>
          <w:sz w:val="30"/>
          <w:szCs w:val="30"/>
          <w:lang w:val="en-US" w:eastAsia="zh-CN"/>
        </w:rPr>
      </w:pPr>
      <w:r>
        <w:rPr>
          <w:rFonts w:hint="eastAsia"/>
          <w:b/>
          <w:sz w:val="30"/>
          <w:szCs w:val="30"/>
          <w:lang w:val="en-US" w:eastAsia="zh-CN"/>
        </w:rPr>
        <w:t xml:space="preserve">  </w:t>
      </w:r>
      <w:r>
        <w:rPr>
          <w:rFonts w:hint="eastAsia"/>
          <w:b/>
          <w:sz w:val="30"/>
          <w:szCs w:val="30"/>
        </w:rPr>
        <w:t>签约地点：</w:t>
      </w:r>
      <w:r>
        <w:rPr>
          <w:rFonts w:hint="eastAsia"/>
          <w:b/>
          <w:sz w:val="30"/>
          <w:szCs w:val="30"/>
          <w:lang w:val="en-US" w:eastAsia="zh-CN"/>
        </w:rPr>
        <w:t>*************</w:t>
      </w:r>
    </w:p>
    <w:p>
      <w:pPr>
        <w:adjustRightInd w:val="0"/>
        <w:ind w:firstLine="2711" w:firstLineChars="900"/>
        <w:jc w:val="both"/>
        <w:rPr>
          <w:rFonts w:hint="eastAsia"/>
          <w:b/>
          <w:sz w:val="30"/>
          <w:szCs w:val="30"/>
        </w:rPr>
      </w:pPr>
      <w:r>
        <w:rPr>
          <w:rFonts w:hint="eastAsia"/>
          <w:b/>
          <w:sz w:val="30"/>
          <w:szCs w:val="30"/>
          <w:lang w:val="en-US" w:eastAsia="zh-CN"/>
        </w:rPr>
        <w:t>签约时间：</w:t>
      </w:r>
      <w:r>
        <w:rPr>
          <w:rFonts w:hint="eastAsia"/>
          <w:b/>
          <w:sz w:val="30"/>
          <w:szCs w:val="30"/>
        </w:rPr>
        <w:t>二〇二</w:t>
      </w:r>
      <w:r>
        <w:rPr>
          <w:rFonts w:hint="eastAsia"/>
          <w:b/>
          <w:sz w:val="30"/>
          <w:szCs w:val="30"/>
          <w:lang w:val="en-US" w:eastAsia="zh-CN"/>
        </w:rPr>
        <w:t>三</w:t>
      </w:r>
      <w:r>
        <w:rPr>
          <w:rFonts w:hint="eastAsia"/>
          <w:b/>
          <w:sz w:val="30"/>
          <w:szCs w:val="30"/>
        </w:rPr>
        <w:t>年</w:t>
      </w:r>
      <w:r>
        <w:rPr>
          <w:rFonts w:hint="eastAsia"/>
          <w:b/>
          <w:sz w:val="30"/>
          <w:szCs w:val="30"/>
          <w:lang w:val="en-US" w:eastAsia="zh-CN"/>
        </w:rPr>
        <w:t>十</w:t>
      </w:r>
      <w:r>
        <w:rPr>
          <w:rFonts w:hint="eastAsia"/>
          <w:b/>
          <w:sz w:val="30"/>
          <w:szCs w:val="30"/>
        </w:rPr>
        <w:t>月</w:t>
      </w:r>
    </w:p>
    <w:p>
      <w:pPr>
        <w:rPr>
          <w:rFonts w:hint="eastAsia" w:ascii="黑体" w:eastAsia="黑体"/>
          <w:bCs/>
        </w:rPr>
      </w:pPr>
      <w:r>
        <w:rPr>
          <w:rFonts w:hint="eastAsia" w:ascii="宋体" w:hAnsi="宋体"/>
          <w:b/>
          <w:sz w:val="36"/>
          <w:szCs w:val="36"/>
        </w:rPr>
        <w:br w:type="page"/>
      </w:r>
    </w:p>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宋体" w:hAnsi="宋体" w:cs="宋体"/>
          <w:b/>
          <w:sz w:val="32"/>
          <w:szCs w:val="32"/>
        </w:rPr>
      </w:pPr>
      <w:r>
        <w:rPr>
          <w:rFonts w:hint="eastAsia" w:ascii="宋体" w:hAnsi="宋体" w:cs="宋体"/>
          <w:b/>
          <w:sz w:val="32"/>
          <w:szCs w:val="32"/>
          <w:lang w:val="en-US" w:eastAsia="zh-CN"/>
        </w:rPr>
        <w:t>重庆*************有限</w:t>
      </w:r>
      <w:r>
        <w:rPr>
          <w:rFonts w:hint="eastAsia" w:ascii="宋体" w:hAnsi="宋体" w:cs="宋体"/>
          <w:b/>
          <w:sz w:val="32"/>
          <w:szCs w:val="32"/>
        </w:rPr>
        <w:t>公司</w:t>
      </w:r>
    </w:p>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宋体" w:hAnsi="宋体" w:eastAsia="宋体"/>
          <w:b/>
          <w:sz w:val="36"/>
          <w:szCs w:val="36"/>
          <w:lang w:val="en-US" w:eastAsia="zh-CN"/>
        </w:rPr>
      </w:pPr>
      <w:r>
        <w:rPr>
          <w:rFonts w:hint="eastAsia" w:ascii="宋体" w:hAnsi="宋体" w:cs="宋体"/>
          <w:b/>
          <w:sz w:val="32"/>
          <w:szCs w:val="32"/>
        </w:rPr>
        <w:t>2023年办公家具采购</w:t>
      </w:r>
      <w:r>
        <w:rPr>
          <w:rFonts w:hint="eastAsia" w:ascii="宋体" w:hAnsi="宋体"/>
          <w:b/>
          <w:sz w:val="32"/>
          <w:szCs w:val="32"/>
        </w:rPr>
        <w:t>合同</w:t>
      </w:r>
      <w:r>
        <w:rPr>
          <w:rFonts w:hint="eastAsia" w:ascii="宋体" w:hAnsi="宋体"/>
          <w:b/>
          <w:sz w:val="32"/>
          <w:szCs w:val="32"/>
          <w:lang w:val="en-US" w:eastAsia="zh-CN"/>
        </w:rPr>
        <w:t>协议书</w:t>
      </w:r>
    </w:p>
    <w:p>
      <w:pPr>
        <w:jc w:val="center"/>
        <w:rPr>
          <w:rFonts w:hint="eastAsia" w:ascii="黑体" w:eastAsia="黑体"/>
          <w:b/>
          <w:sz w:val="28"/>
          <w:szCs w:val="28"/>
        </w:rPr>
      </w:pPr>
    </w:p>
    <w:p>
      <w:pPr>
        <w:tabs>
          <w:tab w:val="left" w:pos="6360"/>
        </w:tabs>
        <w:spacing w:after="120"/>
        <w:jc w:val="both"/>
        <w:rPr>
          <w:rFonts w:hint="eastAsia" w:ascii="楷体_GB2312" w:eastAsia="楷体_GB2312"/>
          <w:b/>
          <w:sz w:val="28"/>
          <w:szCs w:val="28"/>
        </w:rPr>
      </w:pPr>
    </w:p>
    <w:p>
      <w:pPr>
        <w:spacing w:line="440" w:lineRule="exact"/>
        <w:jc w:val="left"/>
        <w:rPr>
          <w:sz w:val="28"/>
          <w:szCs w:val="28"/>
        </w:rPr>
      </w:pPr>
      <w:r>
        <w:rPr>
          <w:rFonts w:hint="eastAsia"/>
          <w:sz w:val="28"/>
          <w:szCs w:val="28"/>
        </w:rPr>
        <w:t>甲 方（发包方）：</w:t>
      </w:r>
      <w:r>
        <w:rPr>
          <w:rFonts w:hint="eastAsia"/>
          <w:sz w:val="28"/>
          <w:szCs w:val="28"/>
          <w:u w:val="single"/>
        </w:rPr>
        <w:t xml:space="preserve"> </w:t>
      </w:r>
      <w:r>
        <w:rPr>
          <w:rFonts w:hint="eastAsia"/>
          <w:bCs/>
          <w:sz w:val="28"/>
          <w:szCs w:val="28"/>
          <w:u w:val="single"/>
        </w:rPr>
        <w:t xml:space="preserve">                </w:t>
      </w:r>
    </w:p>
    <w:p>
      <w:pPr>
        <w:pStyle w:val="36"/>
        <w:adjustRightInd w:val="0"/>
        <w:snapToGrid w:val="0"/>
        <w:spacing w:before="0" w:beforeAutospacing="0" w:after="0" w:afterAutospacing="0" w:line="440" w:lineRule="exact"/>
        <w:rPr>
          <w:rFonts w:hint="eastAsia"/>
          <w:sz w:val="28"/>
          <w:szCs w:val="28"/>
          <w:u w:val="single"/>
        </w:rPr>
      </w:pPr>
      <w:r>
        <w:rPr>
          <w:rFonts w:hint="eastAsia"/>
          <w:sz w:val="28"/>
          <w:szCs w:val="28"/>
        </w:rPr>
        <w:t>地 址：</w:t>
      </w:r>
      <w:r>
        <w:rPr>
          <w:rFonts w:hint="eastAsia"/>
          <w:sz w:val="28"/>
          <w:szCs w:val="28"/>
          <w:u w:val="single"/>
        </w:rPr>
        <w:t xml:space="preserve">  </w:t>
      </w:r>
      <w:r>
        <w:rPr>
          <w:rFonts w:hint="eastAsia"/>
          <w:sz w:val="28"/>
          <w:szCs w:val="28"/>
          <w:u w:val="single"/>
          <w:lang w:val="en-US" w:eastAsia="zh-CN"/>
        </w:rPr>
        <w:t xml:space="preserve">             </w:t>
      </w:r>
      <w:r>
        <w:rPr>
          <w:rFonts w:hint="eastAsia"/>
          <w:sz w:val="28"/>
          <w:szCs w:val="28"/>
          <w:u w:val="single"/>
        </w:rPr>
        <w:t xml:space="preserve">  </w:t>
      </w:r>
      <w:r>
        <w:rPr>
          <w:rFonts w:hint="eastAsia"/>
          <w:sz w:val="28"/>
          <w:szCs w:val="28"/>
        </w:rPr>
        <w:t xml:space="preserve">              邮 编：</w:t>
      </w:r>
      <w:r>
        <w:rPr>
          <w:rFonts w:hint="eastAsia"/>
          <w:sz w:val="28"/>
          <w:szCs w:val="28"/>
          <w:u w:val="single"/>
        </w:rPr>
        <w:t xml:space="preserve">                        </w:t>
      </w:r>
    </w:p>
    <w:p>
      <w:pPr>
        <w:pStyle w:val="36"/>
        <w:adjustRightInd w:val="0"/>
        <w:snapToGrid w:val="0"/>
        <w:spacing w:before="0" w:beforeAutospacing="0" w:after="0" w:afterAutospacing="0" w:line="440" w:lineRule="exact"/>
        <w:rPr>
          <w:rFonts w:hint="eastAsia"/>
          <w:sz w:val="28"/>
          <w:szCs w:val="28"/>
        </w:rPr>
      </w:pPr>
      <w:r>
        <w:rPr>
          <w:rFonts w:hint="eastAsia"/>
          <w:sz w:val="28"/>
          <w:szCs w:val="28"/>
        </w:rPr>
        <w:t>法定代表人（或授权代表）：</w:t>
      </w:r>
      <w:r>
        <w:rPr>
          <w:rFonts w:hint="eastAsia"/>
          <w:sz w:val="28"/>
          <w:szCs w:val="28"/>
          <w:u w:val="single"/>
        </w:rPr>
        <w:t xml:space="preserve">      </w:t>
      </w:r>
      <w:r>
        <w:rPr>
          <w:rFonts w:hint="eastAsia"/>
          <w:sz w:val="28"/>
          <w:szCs w:val="28"/>
        </w:rPr>
        <w:t xml:space="preserve">      职 务：</w:t>
      </w:r>
      <w:r>
        <w:rPr>
          <w:rFonts w:hint="eastAsia"/>
          <w:sz w:val="28"/>
          <w:szCs w:val="28"/>
          <w:u w:val="single"/>
        </w:rPr>
        <w:t xml:space="preserve">                       </w:t>
      </w:r>
    </w:p>
    <w:p>
      <w:pPr>
        <w:pStyle w:val="36"/>
        <w:adjustRightInd w:val="0"/>
        <w:snapToGrid w:val="0"/>
        <w:spacing w:before="0" w:beforeAutospacing="0" w:after="0" w:afterAutospacing="0" w:line="440" w:lineRule="exact"/>
        <w:rPr>
          <w:rFonts w:hint="eastAsia"/>
          <w:sz w:val="28"/>
          <w:szCs w:val="28"/>
        </w:rPr>
      </w:pPr>
    </w:p>
    <w:p>
      <w:pPr>
        <w:pStyle w:val="36"/>
        <w:adjustRightInd w:val="0"/>
        <w:snapToGrid w:val="0"/>
        <w:spacing w:before="0" w:beforeAutospacing="0" w:after="0" w:afterAutospacing="0" w:line="440" w:lineRule="exact"/>
        <w:rPr>
          <w:rFonts w:hint="eastAsia"/>
          <w:color w:val="000000"/>
          <w:sz w:val="28"/>
          <w:szCs w:val="28"/>
          <w:highlight w:val="none"/>
        </w:rPr>
      </w:pPr>
      <w:r>
        <w:rPr>
          <w:rFonts w:hint="eastAsia"/>
          <w:color w:val="000000"/>
          <w:sz w:val="28"/>
          <w:szCs w:val="28"/>
          <w:highlight w:val="none"/>
        </w:rPr>
        <w:t>乙 方（承包方）：</w:t>
      </w:r>
      <w:r>
        <w:rPr>
          <w:rFonts w:hint="eastAsia" w:ascii="Calibri" w:hAnsi="Calibri" w:eastAsia="宋体" w:cs="Times New Roman"/>
          <w:bCs/>
          <w:color w:val="000000"/>
          <w:kern w:val="2"/>
          <w:sz w:val="28"/>
          <w:szCs w:val="28"/>
          <w:highlight w:val="none"/>
          <w:u w:val="single"/>
          <w:lang w:val="en-US" w:eastAsia="zh-CN" w:bidi="ar-SA"/>
        </w:rPr>
        <w:t xml:space="preserve"> </w:t>
      </w:r>
      <w:r>
        <w:rPr>
          <w:rFonts w:hint="eastAsia"/>
          <w:color w:val="000000"/>
          <w:sz w:val="28"/>
          <w:szCs w:val="28"/>
          <w:highlight w:val="none"/>
          <w:u w:val="single"/>
        </w:rPr>
        <w:t xml:space="preserve">   </w:t>
      </w:r>
      <w:r>
        <w:rPr>
          <w:rFonts w:hint="eastAsia"/>
          <w:color w:val="000000"/>
          <w:sz w:val="28"/>
          <w:szCs w:val="28"/>
          <w:highlight w:val="none"/>
          <w:u w:val="single"/>
          <w:lang w:val="en-US" w:eastAsia="zh-CN"/>
        </w:rPr>
        <w:t xml:space="preserve">    </w:t>
      </w:r>
      <w:r>
        <w:rPr>
          <w:rFonts w:hint="eastAsia"/>
          <w:color w:val="000000"/>
          <w:sz w:val="28"/>
          <w:szCs w:val="28"/>
          <w:highlight w:val="none"/>
          <w:u w:val="single"/>
        </w:rPr>
        <w:t xml:space="preserve">  </w:t>
      </w:r>
    </w:p>
    <w:p>
      <w:pPr>
        <w:pStyle w:val="36"/>
        <w:adjustRightInd w:val="0"/>
        <w:snapToGrid w:val="0"/>
        <w:spacing w:before="0" w:beforeAutospacing="0" w:after="0" w:afterAutospacing="0" w:line="440" w:lineRule="exact"/>
        <w:rPr>
          <w:rFonts w:hint="eastAsia"/>
          <w:color w:val="000000"/>
          <w:sz w:val="28"/>
          <w:szCs w:val="28"/>
          <w:highlight w:val="none"/>
          <w:u w:val="single"/>
        </w:rPr>
      </w:pPr>
      <w:r>
        <w:rPr>
          <w:rFonts w:hint="eastAsia"/>
          <w:color w:val="000000"/>
          <w:sz w:val="28"/>
          <w:szCs w:val="28"/>
          <w:highlight w:val="none"/>
        </w:rPr>
        <w:t>地 址：</w:t>
      </w:r>
      <w:r>
        <w:rPr>
          <w:rFonts w:hint="eastAsia"/>
          <w:color w:val="000000"/>
          <w:sz w:val="28"/>
          <w:szCs w:val="28"/>
          <w:highlight w:val="none"/>
          <w:u w:val="single"/>
        </w:rPr>
        <w:t xml:space="preserve">   </w:t>
      </w:r>
      <w:r>
        <w:rPr>
          <w:rFonts w:hint="eastAsia"/>
          <w:color w:val="000000"/>
          <w:sz w:val="28"/>
          <w:szCs w:val="28"/>
          <w:highlight w:val="none"/>
          <w:u w:val="single"/>
          <w:lang w:val="en-US" w:eastAsia="zh-CN"/>
        </w:rPr>
        <w:t xml:space="preserve">                </w:t>
      </w:r>
      <w:r>
        <w:rPr>
          <w:rFonts w:hint="eastAsia"/>
          <w:color w:val="000000"/>
          <w:sz w:val="28"/>
          <w:szCs w:val="28"/>
          <w:highlight w:val="none"/>
          <w:u w:val="single"/>
        </w:rPr>
        <w:t xml:space="preserve">  </w:t>
      </w:r>
      <w:r>
        <w:rPr>
          <w:rFonts w:hint="eastAsia"/>
          <w:color w:val="000000"/>
          <w:sz w:val="28"/>
          <w:szCs w:val="28"/>
          <w:highlight w:val="none"/>
        </w:rPr>
        <w:t xml:space="preserve"> </w:t>
      </w:r>
      <w:r>
        <w:rPr>
          <w:rFonts w:hint="eastAsia"/>
          <w:color w:val="000000"/>
          <w:sz w:val="28"/>
          <w:szCs w:val="28"/>
          <w:highlight w:val="none"/>
          <w:lang w:val="en-US" w:eastAsia="zh-CN"/>
        </w:rPr>
        <w:t xml:space="preserve">         </w:t>
      </w:r>
      <w:r>
        <w:rPr>
          <w:rFonts w:hint="eastAsia"/>
          <w:color w:val="000000"/>
          <w:sz w:val="28"/>
          <w:szCs w:val="28"/>
          <w:highlight w:val="none"/>
        </w:rPr>
        <w:t>邮 编：</w:t>
      </w:r>
      <w:r>
        <w:rPr>
          <w:rFonts w:hint="eastAsia"/>
          <w:color w:val="000000"/>
          <w:sz w:val="28"/>
          <w:szCs w:val="28"/>
          <w:highlight w:val="none"/>
          <w:u w:val="single"/>
        </w:rPr>
        <w:t xml:space="preserve">       </w:t>
      </w:r>
      <w:r>
        <w:rPr>
          <w:rFonts w:hint="eastAsia"/>
          <w:color w:val="000000"/>
          <w:sz w:val="28"/>
          <w:szCs w:val="28"/>
          <w:highlight w:val="none"/>
          <w:u w:val="single"/>
          <w:lang w:val="en-US" w:eastAsia="zh-CN"/>
        </w:rPr>
        <w:t xml:space="preserve">  </w:t>
      </w:r>
      <w:r>
        <w:rPr>
          <w:rFonts w:hint="eastAsia"/>
          <w:color w:val="000000"/>
          <w:sz w:val="28"/>
          <w:szCs w:val="28"/>
          <w:highlight w:val="none"/>
          <w:u w:val="single"/>
        </w:rPr>
        <w:t xml:space="preserve">                   </w:t>
      </w:r>
    </w:p>
    <w:p>
      <w:pPr>
        <w:pStyle w:val="36"/>
        <w:adjustRightInd w:val="0"/>
        <w:snapToGrid w:val="0"/>
        <w:spacing w:before="0" w:beforeAutospacing="0" w:after="0" w:afterAutospacing="0" w:line="440" w:lineRule="exact"/>
        <w:rPr>
          <w:rFonts w:hint="eastAsia"/>
          <w:b/>
          <w:color w:val="000000"/>
          <w:sz w:val="28"/>
          <w:szCs w:val="28"/>
          <w:highlight w:val="none"/>
        </w:rPr>
      </w:pPr>
      <w:r>
        <w:rPr>
          <w:rFonts w:hint="eastAsia"/>
          <w:color w:val="000000"/>
          <w:sz w:val="28"/>
          <w:szCs w:val="28"/>
          <w:highlight w:val="none"/>
        </w:rPr>
        <w:t>法定代表人（或授权代表）：</w:t>
      </w:r>
      <w:r>
        <w:rPr>
          <w:rFonts w:hint="eastAsia"/>
          <w:color w:val="000000"/>
          <w:sz w:val="28"/>
          <w:szCs w:val="28"/>
          <w:highlight w:val="none"/>
          <w:u w:val="single"/>
        </w:rPr>
        <w:t xml:space="preserve">  </w:t>
      </w:r>
      <w:r>
        <w:rPr>
          <w:rFonts w:hint="eastAsia"/>
          <w:color w:val="000000"/>
          <w:sz w:val="28"/>
          <w:szCs w:val="28"/>
          <w:highlight w:val="none"/>
          <w:u w:val="single"/>
          <w:lang w:val="en-US" w:eastAsia="zh-CN"/>
        </w:rPr>
        <w:t xml:space="preserve">       </w:t>
      </w:r>
      <w:r>
        <w:rPr>
          <w:rFonts w:hint="eastAsia"/>
          <w:color w:val="000000"/>
          <w:sz w:val="28"/>
          <w:szCs w:val="28"/>
          <w:highlight w:val="none"/>
          <w:u w:val="single"/>
        </w:rPr>
        <w:t xml:space="preserve">   </w:t>
      </w:r>
      <w:r>
        <w:rPr>
          <w:rFonts w:hint="eastAsia"/>
          <w:color w:val="000000"/>
          <w:sz w:val="28"/>
          <w:szCs w:val="28"/>
          <w:highlight w:val="none"/>
        </w:rPr>
        <w:t xml:space="preserve"> 职 务：</w:t>
      </w:r>
      <w:r>
        <w:rPr>
          <w:rFonts w:hint="eastAsia"/>
          <w:color w:val="000000"/>
          <w:sz w:val="28"/>
          <w:szCs w:val="28"/>
          <w:highlight w:val="none"/>
          <w:u w:val="single"/>
        </w:rPr>
        <w:t xml:space="preserve">                             </w:t>
      </w:r>
    </w:p>
    <w:p>
      <w:pPr>
        <w:spacing w:line="440" w:lineRule="exact"/>
        <w:ind w:firstLine="420"/>
        <w:rPr>
          <w:rFonts w:hint="eastAsia"/>
          <w:sz w:val="28"/>
          <w:szCs w:val="28"/>
        </w:rPr>
      </w:pPr>
      <w:r>
        <w:rPr>
          <w:rFonts w:hint="eastAsia"/>
          <w:sz w:val="28"/>
          <w:szCs w:val="28"/>
        </w:rPr>
        <w:t xml:space="preserve">    </w:t>
      </w:r>
    </w:p>
    <w:p>
      <w:pPr>
        <w:pStyle w:val="16"/>
        <w:tabs>
          <w:tab w:val="left" w:pos="6360"/>
        </w:tabs>
        <w:spacing w:line="240" w:lineRule="auto"/>
        <w:ind w:firstLineChars="200"/>
        <w:jc w:val="both"/>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根据《中华人民共和国合同法》及相关法律规定，双方本着“平等互利、诚实信用”的原则，经充分协商一致，签订本合同。</w:t>
      </w:r>
    </w:p>
    <w:p>
      <w:pPr>
        <w:tabs>
          <w:tab w:val="left" w:pos="6360"/>
        </w:tabs>
        <w:spacing w:line="240" w:lineRule="auto"/>
        <w:ind w:firstLine="562" w:firstLineChars="200"/>
        <w:jc w:val="both"/>
        <w:rPr>
          <w:rFonts w:hint="eastAsia" w:ascii="方正仿宋_GBK" w:hAnsi="方正仿宋_GBK" w:eastAsia="方正仿宋_GBK" w:cs="方正仿宋_GBK"/>
          <w:sz w:val="28"/>
          <w:szCs w:val="28"/>
        </w:rPr>
      </w:pPr>
      <w:r>
        <w:rPr>
          <w:rFonts w:hint="eastAsia" w:ascii="方正仿宋_GBK" w:hAnsi="方正仿宋_GBK" w:eastAsia="方正仿宋_GBK" w:cs="方正仿宋_GBK"/>
          <w:b/>
          <w:bCs/>
          <w:sz w:val="28"/>
          <w:szCs w:val="28"/>
        </w:rPr>
        <w:t>一、产品名称、型号、数量、金额：</w:t>
      </w:r>
      <w:r>
        <w:rPr>
          <w:rFonts w:hint="eastAsia" w:ascii="方正仿宋_GBK" w:hAnsi="方正仿宋_GBK" w:eastAsia="方正仿宋_GBK" w:cs="方正仿宋_GBK"/>
          <w:sz w:val="28"/>
          <w:szCs w:val="28"/>
        </w:rPr>
        <w:t>详见双方确认的本合同之报价单，</w:t>
      </w:r>
      <w:r>
        <w:rPr>
          <w:rFonts w:hint="eastAsia" w:ascii="方正仿宋_GBK" w:hAnsi="方正仿宋_GBK" w:eastAsia="方正仿宋_GBK" w:cs="方正仿宋_GBK"/>
          <w:sz w:val="28"/>
          <w:szCs w:val="28"/>
          <w:highlight w:val="none"/>
        </w:rPr>
        <w:t>共计（</w:t>
      </w:r>
      <w:r>
        <w:rPr>
          <w:rFonts w:hint="eastAsia" w:ascii="方正仿宋_GBK" w:hAnsi="方正仿宋_GBK" w:eastAsia="方正仿宋_GBK" w:cs="方正仿宋_GBK"/>
          <w:sz w:val="28"/>
          <w:szCs w:val="28"/>
          <w:highlight w:val="none"/>
          <w:lang w:val="en-US" w:eastAsia="zh-CN"/>
        </w:rPr>
        <w:t xml:space="preserve"> </w:t>
      </w:r>
      <w:r>
        <w:rPr>
          <w:rFonts w:hint="eastAsia" w:ascii="方正仿宋_GBK" w:hAnsi="方正仿宋_GBK" w:eastAsia="方正仿宋_GBK" w:cs="方正仿宋_GBK"/>
          <w:sz w:val="28"/>
          <w:szCs w:val="28"/>
          <w:highlight w:val="none"/>
        </w:rPr>
        <w:t>）页</w:t>
      </w:r>
      <w:r>
        <w:rPr>
          <w:rFonts w:hint="eastAsia" w:ascii="方正仿宋_GBK" w:hAnsi="方正仿宋_GBK" w:eastAsia="方正仿宋_GBK" w:cs="方正仿宋_GBK"/>
          <w:sz w:val="28"/>
          <w:szCs w:val="28"/>
          <w:highlight w:val="none"/>
          <w:lang w:eastAsia="zh-CN"/>
        </w:rPr>
        <w:t>，</w:t>
      </w:r>
      <w:r>
        <w:rPr>
          <w:rFonts w:hint="eastAsia" w:ascii="方正仿宋_GBK" w:hAnsi="方正仿宋_GBK" w:eastAsia="方正仿宋_GBK" w:cs="方正仿宋_GBK"/>
          <w:sz w:val="28"/>
          <w:szCs w:val="28"/>
          <w:highlight w:val="none"/>
          <w:lang w:val="en-US" w:eastAsia="zh-CN"/>
        </w:rPr>
        <w:t>乙方应对甲方提供家具平面设计图及采购清单进行现场复尺，</w:t>
      </w:r>
      <w:r>
        <w:rPr>
          <w:rFonts w:hint="eastAsia" w:ascii="方正仿宋_GBK" w:hAnsi="方正仿宋_GBK" w:eastAsia="方正仿宋_GBK" w:cs="方正仿宋_GBK"/>
          <w:sz w:val="28"/>
          <w:szCs w:val="28"/>
        </w:rPr>
        <w:t>如</w:t>
      </w:r>
      <w:r>
        <w:rPr>
          <w:rFonts w:hint="eastAsia" w:ascii="方正仿宋_GBK" w:hAnsi="方正仿宋_GBK" w:eastAsia="方正仿宋_GBK" w:cs="方正仿宋_GBK"/>
          <w:sz w:val="28"/>
          <w:szCs w:val="28"/>
          <w:lang w:eastAsia="zh-CN"/>
        </w:rPr>
        <w:t>甲方</w:t>
      </w:r>
      <w:r>
        <w:rPr>
          <w:rFonts w:hint="eastAsia" w:ascii="方正仿宋_GBK" w:hAnsi="方正仿宋_GBK" w:eastAsia="方正仿宋_GBK" w:cs="方正仿宋_GBK"/>
          <w:sz w:val="28"/>
          <w:szCs w:val="28"/>
        </w:rPr>
        <w:t>有定制商品，有关型号及式样以双方确认之定制品样稿确认单为准。</w:t>
      </w:r>
    </w:p>
    <w:p>
      <w:pPr>
        <w:pStyle w:val="146"/>
        <w:adjustRightInd/>
        <w:spacing w:before="0" w:after="0" w:line="400" w:lineRule="exact"/>
        <w:ind w:left="0" w:right="0" w:firstLine="562"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b/>
          <w:bCs/>
          <w:sz w:val="28"/>
          <w:szCs w:val="28"/>
        </w:rPr>
        <w:t>二、</w:t>
      </w:r>
      <w:r>
        <w:rPr>
          <w:rFonts w:hint="eastAsia" w:ascii="宋体" w:hAnsi="宋体" w:cs="宋体"/>
          <w:kern w:val="2"/>
          <w:sz w:val="28"/>
          <w:szCs w:val="28"/>
        </w:rPr>
        <w:t xml:space="preserve"> </w:t>
      </w:r>
      <w:r>
        <w:rPr>
          <w:rFonts w:hint="eastAsia" w:ascii="方正仿宋_GBK" w:hAnsi="方正仿宋_GBK" w:eastAsia="方正仿宋_GBK" w:cs="方正仿宋_GBK"/>
          <w:b/>
          <w:bCs/>
          <w:sz w:val="28"/>
          <w:szCs w:val="28"/>
        </w:rPr>
        <w:t>本合同为</w:t>
      </w:r>
      <w:r>
        <w:rPr>
          <w:rFonts w:hint="eastAsia" w:ascii="方正仿宋_GBK" w:hAnsi="方正仿宋_GBK" w:eastAsia="方正仿宋_GBK" w:cs="方正仿宋_GBK"/>
          <w:b/>
          <w:bCs/>
          <w:sz w:val="28"/>
          <w:szCs w:val="28"/>
          <w:lang w:val="en-US" w:eastAsia="zh-CN"/>
        </w:rPr>
        <w:t>固定单价</w:t>
      </w:r>
      <w:r>
        <w:rPr>
          <w:rFonts w:hint="eastAsia" w:ascii="方正仿宋_GBK" w:hAnsi="方正仿宋_GBK" w:eastAsia="方正仿宋_GBK" w:cs="方正仿宋_GBK"/>
          <w:b/>
          <w:bCs/>
          <w:sz w:val="28"/>
          <w:szCs w:val="28"/>
        </w:rPr>
        <w:t>合同</w:t>
      </w:r>
      <w:r>
        <w:rPr>
          <w:rFonts w:hint="eastAsia" w:ascii="方正仿宋_GBK" w:hAnsi="方正仿宋_GBK" w:eastAsia="方正仿宋_GBK" w:cs="方正仿宋_GBK"/>
          <w:b/>
          <w:bCs/>
          <w:sz w:val="28"/>
          <w:szCs w:val="28"/>
          <w:lang w:eastAsia="zh-CN"/>
        </w:rPr>
        <w:t>，</w:t>
      </w:r>
      <w:r>
        <w:rPr>
          <w:rFonts w:hint="eastAsia" w:ascii="方正仿宋_GBK" w:hAnsi="方正仿宋_GBK" w:eastAsia="方正仿宋_GBK" w:cs="方正仿宋_GBK"/>
          <w:b/>
          <w:bCs/>
          <w:sz w:val="28"/>
          <w:szCs w:val="28"/>
        </w:rPr>
        <w:t>合同暂定总金额：</w:t>
      </w:r>
      <w:r>
        <w:rPr>
          <w:rFonts w:hint="eastAsia" w:ascii="方正仿宋_GBK" w:hAnsi="方正仿宋_GBK" w:eastAsia="方正仿宋_GBK" w:cs="方正仿宋_GBK"/>
          <w:b/>
          <w:bCs/>
          <w:sz w:val="28"/>
          <w:szCs w:val="28"/>
          <w:lang w:val="en-US" w:eastAsia="zh-CN"/>
        </w:rPr>
        <w:t>......元</w:t>
      </w:r>
      <w:r>
        <w:rPr>
          <w:rFonts w:hint="eastAsia" w:ascii="方正仿宋_GBK" w:hAnsi="方正仿宋_GBK" w:eastAsia="方正仿宋_GBK" w:cs="方正仿宋_GBK"/>
          <w:sz w:val="28"/>
          <w:szCs w:val="28"/>
        </w:rPr>
        <w:t>（人民币）</w:t>
      </w:r>
      <w:r>
        <w:rPr>
          <w:rFonts w:hint="eastAsia" w:ascii="方正仿宋_GBK" w:hAnsi="方正仿宋_GBK" w:eastAsia="方正仿宋_GBK" w:cs="方正仿宋_GBK"/>
          <w:sz w:val="28"/>
          <w:szCs w:val="28"/>
          <w:u w:val="single"/>
          <w:lang w:val="en-US" w:eastAsia="zh-CN"/>
        </w:rPr>
        <w:t>.......</w:t>
      </w:r>
      <w:r>
        <w:rPr>
          <w:rFonts w:hint="eastAsia" w:ascii="方正仿宋_GBK" w:hAnsi="方正仿宋_GBK" w:eastAsia="方正仿宋_GBK" w:cs="方正仿宋_GBK"/>
          <w:sz w:val="28"/>
          <w:szCs w:val="28"/>
        </w:rPr>
        <w:t>；</w:t>
      </w:r>
      <w:r>
        <w:rPr>
          <w:rFonts w:hint="eastAsia" w:ascii="方正仿宋_GBK" w:hAnsi="方正仿宋_GBK" w:eastAsia="方正仿宋_GBK" w:cs="方正仿宋_GBK"/>
          <w:sz w:val="28"/>
          <w:szCs w:val="28"/>
          <w:lang w:val="en-US" w:eastAsia="zh-CN"/>
        </w:rPr>
        <w:t>不含锐金额为</w:t>
      </w:r>
      <w:r>
        <w:rPr>
          <w:rFonts w:hint="eastAsia" w:ascii="方正仿宋_GBK" w:hAnsi="方正仿宋_GBK" w:eastAsia="方正仿宋_GBK" w:cs="方正仿宋_GBK"/>
          <w:b/>
          <w:bCs/>
          <w:sz w:val="28"/>
          <w:szCs w:val="28"/>
          <w:lang w:val="en-US" w:eastAsia="zh-CN"/>
        </w:rPr>
        <w:t>......元</w:t>
      </w:r>
      <w:r>
        <w:rPr>
          <w:rFonts w:hint="eastAsia" w:ascii="方正仿宋_GBK" w:hAnsi="方正仿宋_GBK" w:eastAsia="方正仿宋_GBK" w:cs="方正仿宋_GBK"/>
          <w:sz w:val="28"/>
          <w:szCs w:val="28"/>
        </w:rPr>
        <w:t>（人民币）</w:t>
      </w:r>
      <w:r>
        <w:rPr>
          <w:rFonts w:hint="eastAsia" w:ascii="方正仿宋_GBK" w:hAnsi="方正仿宋_GBK" w:eastAsia="方正仿宋_GBK" w:cs="方正仿宋_GBK"/>
          <w:sz w:val="28"/>
          <w:szCs w:val="28"/>
          <w:u w:val="single"/>
          <w:lang w:val="en-US" w:eastAsia="zh-CN"/>
        </w:rPr>
        <w:t>.......；</w:t>
      </w:r>
      <w:r>
        <w:rPr>
          <w:rFonts w:hint="eastAsia" w:ascii="方正仿宋_GBK" w:hAnsi="方正仿宋_GBK" w:eastAsia="方正仿宋_GBK" w:cs="方正仿宋_GBK"/>
          <w:sz w:val="28"/>
          <w:szCs w:val="28"/>
          <w:u w:val="none"/>
          <w:lang w:val="en-US" w:eastAsia="zh-CN"/>
        </w:rPr>
        <w:t>增值税金额为</w:t>
      </w:r>
      <w:r>
        <w:rPr>
          <w:rFonts w:hint="eastAsia" w:ascii="方正仿宋_GBK" w:hAnsi="方正仿宋_GBK" w:eastAsia="方正仿宋_GBK" w:cs="方正仿宋_GBK"/>
          <w:b/>
          <w:bCs/>
          <w:sz w:val="28"/>
          <w:szCs w:val="28"/>
          <w:lang w:val="en-US" w:eastAsia="zh-CN"/>
        </w:rPr>
        <w:t>......元</w:t>
      </w:r>
      <w:r>
        <w:rPr>
          <w:rFonts w:hint="eastAsia" w:ascii="方正仿宋_GBK" w:hAnsi="方正仿宋_GBK" w:eastAsia="方正仿宋_GBK" w:cs="方正仿宋_GBK"/>
          <w:sz w:val="28"/>
          <w:szCs w:val="28"/>
        </w:rPr>
        <w:t>（人民币）</w:t>
      </w:r>
      <w:r>
        <w:rPr>
          <w:rFonts w:hint="eastAsia" w:ascii="方正仿宋_GBK" w:hAnsi="方正仿宋_GBK" w:eastAsia="方正仿宋_GBK" w:cs="方正仿宋_GBK"/>
          <w:sz w:val="28"/>
          <w:szCs w:val="28"/>
          <w:u w:val="single"/>
          <w:lang w:val="en-US" w:eastAsia="zh-CN"/>
        </w:rPr>
        <w:t>.......，</w:t>
      </w:r>
      <w:r>
        <w:rPr>
          <w:rFonts w:hint="eastAsia" w:ascii="方正仿宋_GBK" w:hAnsi="方正仿宋_GBK" w:eastAsia="方正仿宋_GBK" w:cs="方正仿宋_GBK"/>
          <w:sz w:val="28"/>
          <w:szCs w:val="28"/>
        </w:rPr>
        <w:t>两者不符以中文数字为准。详见后附</w:t>
      </w:r>
      <w:r>
        <w:rPr>
          <w:rFonts w:hint="eastAsia" w:ascii="方正仿宋_GBK" w:hAnsi="方正仿宋_GBK" w:eastAsia="方正仿宋_GBK" w:cs="方正仿宋_GBK"/>
          <w:sz w:val="28"/>
          <w:szCs w:val="28"/>
          <w:lang w:val="en-US" w:eastAsia="zh-CN"/>
        </w:rPr>
        <w:t>采购</w:t>
      </w:r>
      <w:r>
        <w:rPr>
          <w:rFonts w:hint="eastAsia" w:ascii="方正仿宋_GBK" w:hAnsi="方正仿宋_GBK" w:eastAsia="方正仿宋_GBK" w:cs="方正仿宋_GBK"/>
          <w:sz w:val="28"/>
          <w:szCs w:val="28"/>
        </w:rPr>
        <w:t>清单；最终结算金额＝按</w:t>
      </w:r>
      <w:r>
        <w:rPr>
          <w:rFonts w:hint="eastAsia" w:ascii="方正仿宋_GBK" w:hAnsi="方正仿宋_GBK" w:eastAsia="方正仿宋_GBK" w:cs="方正仿宋_GBK"/>
          <w:sz w:val="28"/>
          <w:szCs w:val="28"/>
          <w:lang w:val="en-US" w:eastAsia="zh-CN"/>
        </w:rPr>
        <w:t>安装</w:t>
      </w:r>
      <w:r>
        <w:rPr>
          <w:rFonts w:hint="eastAsia" w:ascii="方正仿宋_GBK" w:hAnsi="方正仿宋_GBK" w:eastAsia="方正仿宋_GBK" w:cs="方正仿宋_GBK"/>
          <w:sz w:val="28"/>
          <w:szCs w:val="28"/>
        </w:rPr>
        <w:t>完</w:t>
      </w:r>
      <w:r>
        <w:rPr>
          <w:rFonts w:hint="eastAsia" w:ascii="方正仿宋_GBK" w:hAnsi="方正仿宋_GBK" w:eastAsia="方正仿宋_GBK" w:cs="方正仿宋_GBK"/>
          <w:sz w:val="28"/>
          <w:szCs w:val="28"/>
          <w:lang w:val="en-US" w:eastAsia="zh-CN"/>
        </w:rPr>
        <w:t>成</w:t>
      </w:r>
      <w:r>
        <w:rPr>
          <w:rFonts w:hint="eastAsia" w:ascii="方正仿宋_GBK" w:hAnsi="方正仿宋_GBK" w:eastAsia="方正仿宋_GBK" w:cs="方正仿宋_GBK"/>
          <w:sz w:val="28"/>
          <w:szCs w:val="28"/>
        </w:rPr>
        <w:t>后确认的实际</w:t>
      </w:r>
      <w:r>
        <w:rPr>
          <w:rFonts w:hint="eastAsia" w:ascii="方正仿宋_GBK" w:hAnsi="方正仿宋_GBK" w:eastAsia="方正仿宋_GBK" w:cs="方正仿宋_GBK"/>
          <w:sz w:val="28"/>
          <w:szCs w:val="28"/>
          <w:lang w:val="en-US" w:eastAsia="zh-CN"/>
        </w:rPr>
        <w:t>种类</w:t>
      </w:r>
      <w:r>
        <w:rPr>
          <w:rFonts w:hint="eastAsia" w:ascii="方正仿宋_GBK" w:hAnsi="方正仿宋_GBK" w:eastAsia="方正仿宋_GBK" w:cs="方正仿宋_GBK"/>
          <w:sz w:val="28"/>
          <w:szCs w:val="28"/>
        </w:rPr>
        <w:t>×</w:t>
      </w:r>
      <w:r>
        <w:rPr>
          <w:rFonts w:hint="eastAsia" w:ascii="方正仿宋_GBK" w:hAnsi="方正仿宋_GBK" w:eastAsia="方正仿宋_GBK" w:cs="方正仿宋_GBK"/>
          <w:sz w:val="28"/>
          <w:szCs w:val="28"/>
          <w:lang w:val="en-US" w:eastAsia="zh-CN"/>
        </w:rPr>
        <w:t>固定单价</w:t>
      </w:r>
      <w:r>
        <w:rPr>
          <w:rFonts w:hint="eastAsia" w:ascii="方正仿宋_GBK" w:hAnsi="方正仿宋_GBK" w:eastAsia="方正仿宋_GBK" w:cs="方正仿宋_GBK"/>
          <w:sz w:val="28"/>
          <w:szCs w:val="28"/>
        </w:rPr>
        <w:t>。</w:t>
      </w:r>
    </w:p>
    <w:p>
      <w:pPr>
        <w:tabs>
          <w:tab w:val="left" w:pos="6360"/>
        </w:tabs>
        <w:spacing w:line="240" w:lineRule="auto"/>
        <w:ind w:firstLine="562" w:firstLineChars="200"/>
        <w:jc w:val="both"/>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lang w:val="en-US" w:eastAsia="zh-CN"/>
        </w:rPr>
        <w:t>三、</w:t>
      </w:r>
      <w:r>
        <w:rPr>
          <w:rFonts w:hint="eastAsia" w:ascii="方正仿宋_GBK" w:hAnsi="方正仿宋_GBK" w:eastAsia="方正仿宋_GBK" w:cs="方正仿宋_GBK"/>
          <w:b/>
          <w:bCs/>
          <w:sz w:val="28"/>
          <w:szCs w:val="28"/>
        </w:rPr>
        <w:t xml:space="preserve"> </w:t>
      </w:r>
      <w:r>
        <w:rPr>
          <w:rFonts w:hint="eastAsia" w:ascii="方正仿宋_GBK" w:hAnsi="方正仿宋_GBK" w:eastAsia="方正仿宋_GBK" w:cs="方正仿宋_GBK"/>
          <w:b/>
          <w:bCs/>
          <w:sz w:val="28"/>
          <w:szCs w:val="28"/>
          <w:lang w:val="en-US" w:eastAsia="zh-CN"/>
        </w:rPr>
        <w:t>货</w:t>
      </w:r>
      <w:r>
        <w:rPr>
          <w:rFonts w:hint="eastAsia" w:ascii="方正仿宋_GBK" w:hAnsi="方正仿宋_GBK" w:eastAsia="方正仿宋_GBK" w:cs="方正仿宋_GBK"/>
          <w:b/>
          <w:bCs/>
          <w:sz w:val="28"/>
          <w:szCs w:val="28"/>
        </w:rPr>
        <w:t>款的支付方式</w:t>
      </w:r>
    </w:p>
    <w:p>
      <w:pPr>
        <w:tabs>
          <w:tab w:val="left" w:pos="6360"/>
        </w:tabs>
        <w:spacing w:line="240" w:lineRule="auto"/>
        <w:ind w:firstLine="560" w:firstLineChars="200"/>
        <w:jc w:val="left"/>
        <w:rPr>
          <w:rFonts w:hint="eastAsia" w:ascii="方正仿宋_GBK" w:hAnsi="方正仿宋_GBK" w:eastAsia="方正仿宋_GBK" w:cs="方正仿宋_GBK"/>
          <w:sz w:val="28"/>
          <w:szCs w:val="28"/>
          <w:highlight w:val="none"/>
          <w:lang w:val="en-US" w:eastAsia="zh-CN"/>
        </w:rPr>
      </w:pPr>
      <w:r>
        <w:rPr>
          <w:rFonts w:hint="eastAsia" w:ascii="方正仿宋_GBK" w:hAnsi="方正仿宋_GBK" w:eastAsia="方正仿宋_GBK" w:cs="方正仿宋_GBK"/>
          <w:sz w:val="28"/>
          <w:szCs w:val="28"/>
          <w:highlight w:val="none"/>
          <w:lang w:val="en-US" w:eastAsia="zh-CN"/>
        </w:rPr>
        <w:t>3.1项目完工验收合格后</w:t>
      </w:r>
      <w:r>
        <w:rPr>
          <w:rFonts w:hint="eastAsia" w:ascii="方正仿宋_GBK" w:hAnsi="方正仿宋_GBK" w:eastAsia="方正仿宋_GBK" w:cs="方正仿宋_GBK"/>
          <w:sz w:val="28"/>
          <w:szCs w:val="28"/>
          <w:highlight w:val="none"/>
          <w:u w:val="single"/>
          <w:lang w:val="en-US" w:eastAsia="zh-CN"/>
        </w:rPr>
        <w:t xml:space="preserve">  15  </w:t>
      </w:r>
      <w:r>
        <w:rPr>
          <w:rFonts w:hint="eastAsia" w:ascii="方正仿宋_GBK" w:hAnsi="方正仿宋_GBK" w:eastAsia="方正仿宋_GBK" w:cs="方正仿宋_GBK"/>
          <w:sz w:val="28"/>
          <w:szCs w:val="28"/>
          <w:highlight w:val="none"/>
          <w:lang w:val="en-US" w:eastAsia="zh-CN"/>
        </w:rPr>
        <w:t xml:space="preserve">日内支付审计结算价的97%，审计结算价剩余的3%作为质量保证金，质保期满后无息支付。 </w:t>
      </w:r>
    </w:p>
    <w:p>
      <w:pPr>
        <w:tabs>
          <w:tab w:val="left" w:pos="6360"/>
        </w:tabs>
        <w:spacing w:line="240" w:lineRule="auto"/>
        <w:ind w:firstLine="560" w:firstLineChars="200"/>
        <w:jc w:val="left"/>
        <w:rPr>
          <w:rFonts w:hint="eastAsia" w:ascii="方正仿宋_GBK" w:hAnsi="方正仿宋_GBK" w:eastAsia="方正仿宋_GBK" w:cs="方正仿宋_GBK"/>
          <w:sz w:val="28"/>
          <w:szCs w:val="28"/>
          <w:highlight w:val="none"/>
          <w:lang w:val="en-US" w:eastAsia="zh-CN"/>
        </w:rPr>
      </w:pPr>
      <w:r>
        <w:rPr>
          <w:rFonts w:hint="eastAsia" w:ascii="方正仿宋_GBK" w:hAnsi="方正仿宋_GBK" w:eastAsia="方正仿宋_GBK" w:cs="方正仿宋_GBK"/>
          <w:sz w:val="28"/>
          <w:szCs w:val="28"/>
          <w:highlight w:val="none"/>
          <w:lang w:val="en-US" w:eastAsia="zh-CN"/>
        </w:rPr>
        <w:t>3.2在甲方支付任意一期款项前，乙方必须提前 5 天前向甲方开具符合甲方财务制度要求的增值税专用发票（</w:t>
      </w:r>
      <w:r>
        <w:rPr>
          <w:rFonts w:hint="eastAsia" w:ascii="方正仿宋_GBK" w:hAnsi="方正仿宋_GBK" w:eastAsia="方正仿宋_GBK" w:cs="方正仿宋_GBK"/>
          <w:sz w:val="28"/>
          <w:szCs w:val="28"/>
        </w:rPr>
        <w:t>税率为13%</w:t>
      </w:r>
      <w:r>
        <w:rPr>
          <w:rFonts w:hint="eastAsia" w:ascii="方正仿宋_GBK" w:hAnsi="方正仿宋_GBK" w:eastAsia="方正仿宋_GBK" w:cs="方正仿宋_GBK"/>
          <w:sz w:val="28"/>
          <w:szCs w:val="28"/>
          <w:highlight w:val="none"/>
          <w:lang w:val="en-US" w:eastAsia="zh-CN"/>
        </w:rPr>
        <w:t>）及其他申请支付材料；如若乙方迟延提供发票及申请支付材料的，甲方的付款期限顺延且不承担任何违约责任。</w:t>
      </w:r>
    </w:p>
    <w:p>
      <w:pPr>
        <w:tabs>
          <w:tab w:val="left" w:pos="6360"/>
        </w:tabs>
        <w:spacing w:line="240" w:lineRule="auto"/>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highlight w:val="none"/>
          <w:lang w:val="en-US" w:eastAsia="zh-CN"/>
        </w:rPr>
        <w:t>3.3</w:t>
      </w:r>
      <w:r>
        <w:rPr>
          <w:rFonts w:hint="eastAsia" w:ascii="方正仿宋_GBK" w:hAnsi="方正仿宋_GBK" w:eastAsia="方正仿宋_GBK" w:cs="方正仿宋_GBK"/>
          <w:sz w:val="28"/>
          <w:szCs w:val="28"/>
          <w:highlight w:val="none"/>
        </w:rPr>
        <w:t>尾款：</w:t>
      </w:r>
      <w:r>
        <w:rPr>
          <w:rFonts w:hint="eastAsia" w:ascii="方正仿宋_GBK" w:hAnsi="方正仿宋_GBK" w:eastAsia="方正仿宋_GBK" w:cs="方正仿宋_GBK"/>
          <w:sz w:val="28"/>
          <w:szCs w:val="28"/>
          <w:highlight w:val="none"/>
          <w:u w:val="single"/>
        </w:rPr>
        <w:t xml:space="preserve"> </w:t>
      </w:r>
      <w:r>
        <w:rPr>
          <w:rFonts w:hint="eastAsia" w:ascii="方正仿宋_GBK" w:hAnsi="方正仿宋_GBK" w:eastAsia="方正仿宋_GBK" w:cs="方正仿宋_GBK"/>
          <w:sz w:val="28"/>
          <w:szCs w:val="28"/>
          <w:highlight w:val="none"/>
          <w:u w:val="single"/>
          <w:lang w:val="en-US" w:eastAsia="zh-CN"/>
        </w:rPr>
        <w:t>3</w:t>
      </w:r>
      <w:r>
        <w:rPr>
          <w:rFonts w:hint="eastAsia" w:ascii="方正仿宋_GBK" w:hAnsi="方正仿宋_GBK" w:eastAsia="方正仿宋_GBK" w:cs="方正仿宋_GBK"/>
          <w:sz w:val="28"/>
          <w:szCs w:val="28"/>
          <w:highlight w:val="none"/>
          <w:u w:val="single"/>
        </w:rPr>
        <w:t xml:space="preserve"> </w:t>
      </w:r>
      <w:r>
        <w:rPr>
          <w:rFonts w:hint="eastAsia" w:ascii="方正仿宋_GBK" w:hAnsi="方正仿宋_GBK" w:eastAsia="方正仿宋_GBK" w:cs="方正仿宋_GBK"/>
          <w:sz w:val="28"/>
          <w:szCs w:val="28"/>
          <w:highlight w:val="none"/>
        </w:rPr>
        <w:t>% ，</w:t>
      </w:r>
      <w:r>
        <w:rPr>
          <w:rFonts w:hint="eastAsia" w:ascii="方正仿宋_GBK" w:hAnsi="方正仿宋_GBK" w:eastAsia="方正仿宋_GBK" w:cs="方正仿宋_GBK"/>
          <w:sz w:val="28"/>
          <w:szCs w:val="28"/>
          <w:highlight w:val="none"/>
          <w:lang w:val="en-US" w:eastAsia="zh-CN"/>
        </w:rPr>
        <w:t>作为缺陷责任期质保金，于2年后无息支付。</w:t>
      </w:r>
    </w:p>
    <w:p>
      <w:pPr>
        <w:tabs>
          <w:tab w:val="left" w:pos="6360"/>
        </w:tabs>
        <w:spacing w:line="240" w:lineRule="auto"/>
        <w:ind w:firstLine="562" w:firstLineChars="200"/>
        <w:jc w:val="both"/>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b/>
          <w:bCs/>
          <w:sz w:val="28"/>
          <w:szCs w:val="28"/>
          <w:lang w:val="en-US" w:eastAsia="zh-CN"/>
        </w:rPr>
        <w:t>四</w:t>
      </w:r>
      <w:r>
        <w:rPr>
          <w:rFonts w:hint="eastAsia" w:ascii="方正仿宋_GBK" w:hAnsi="方正仿宋_GBK" w:eastAsia="方正仿宋_GBK" w:cs="方正仿宋_GBK"/>
          <w:b/>
          <w:bCs/>
          <w:sz w:val="28"/>
          <w:szCs w:val="28"/>
        </w:rPr>
        <w:t>、交货时间：</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u w:val="single"/>
          <w:lang w:val="en-US" w:eastAsia="zh-CN"/>
        </w:rPr>
        <w:t>2023</w:t>
      </w:r>
      <w:r>
        <w:rPr>
          <w:rFonts w:hint="eastAsia" w:ascii="方正仿宋_GBK" w:hAnsi="方正仿宋_GBK" w:eastAsia="方正仿宋_GBK" w:cs="方正仿宋_GBK"/>
          <w:color w:val="000000"/>
          <w:sz w:val="28"/>
          <w:szCs w:val="28"/>
          <w:u w:val="single"/>
        </w:rPr>
        <w:t xml:space="preserve"> </w:t>
      </w:r>
      <w:r>
        <w:rPr>
          <w:rFonts w:hint="eastAsia" w:ascii="方正仿宋_GBK" w:hAnsi="方正仿宋_GBK" w:eastAsia="方正仿宋_GBK" w:cs="方正仿宋_GBK"/>
          <w:color w:val="000000"/>
          <w:sz w:val="28"/>
          <w:szCs w:val="28"/>
        </w:rPr>
        <w:t>年</w:t>
      </w:r>
      <w:r>
        <w:rPr>
          <w:rFonts w:hint="eastAsia" w:ascii="方正仿宋_GBK" w:hAnsi="方正仿宋_GBK" w:eastAsia="方正仿宋_GBK" w:cs="方正仿宋_GBK"/>
          <w:color w:val="000000"/>
          <w:sz w:val="28"/>
          <w:szCs w:val="28"/>
          <w:u w:val="single"/>
        </w:rPr>
        <w:t xml:space="preserve"> </w:t>
      </w:r>
      <w:r>
        <w:rPr>
          <w:rFonts w:hint="eastAsia" w:ascii="方正仿宋_GBK" w:hAnsi="方正仿宋_GBK" w:eastAsia="方正仿宋_GBK" w:cs="方正仿宋_GBK"/>
          <w:color w:val="000000"/>
          <w:sz w:val="28"/>
          <w:szCs w:val="28"/>
          <w:u w:val="single"/>
          <w:lang w:val="en-US" w:eastAsia="zh-CN"/>
        </w:rPr>
        <w:t xml:space="preserve">  </w:t>
      </w:r>
      <w:r>
        <w:rPr>
          <w:rFonts w:hint="eastAsia" w:ascii="方正仿宋_GBK" w:hAnsi="方正仿宋_GBK" w:eastAsia="方正仿宋_GBK" w:cs="方正仿宋_GBK"/>
          <w:color w:val="000000"/>
          <w:sz w:val="28"/>
          <w:szCs w:val="28"/>
          <w:u w:val="single"/>
        </w:rPr>
        <w:t xml:space="preserve"> </w:t>
      </w:r>
      <w:r>
        <w:rPr>
          <w:rFonts w:hint="eastAsia" w:ascii="方正仿宋_GBK" w:hAnsi="方正仿宋_GBK" w:eastAsia="方正仿宋_GBK" w:cs="方正仿宋_GBK"/>
          <w:color w:val="000000"/>
          <w:sz w:val="28"/>
          <w:szCs w:val="28"/>
        </w:rPr>
        <w:t>月</w:t>
      </w:r>
      <w:r>
        <w:rPr>
          <w:rFonts w:hint="eastAsia" w:ascii="方正仿宋_GBK" w:hAnsi="方正仿宋_GBK" w:eastAsia="方正仿宋_GBK" w:cs="方正仿宋_GBK"/>
          <w:color w:val="000000"/>
          <w:sz w:val="28"/>
          <w:szCs w:val="28"/>
          <w:u w:val="single"/>
        </w:rPr>
        <w:t xml:space="preserve"> </w:t>
      </w:r>
      <w:r>
        <w:rPr>
          <w:rFonts w:hint="eastAsia" w:ascii="方正仿宋_GBK" w:hAnsi="方正仿宋_GBK" w:eastAsia="方正仿宋_GBK" w:cs="方正仿宋_GBK"/>
          <w:color w:val="000000"/>
          <w:sz w:val="28"/>
          <w:szCs w:val="28"/>
          <w:u w:val="single"/>
          <w:lang w:val="en-US" w:eastAsia="zh-CN"/>
        </w:rPr>
        <w:t xml:space="preserve">   </w:t>
      </w:r>
      <w:r>
        <w:rPr>
          <w:rFonts w:hint="eastAsia" w:ascii="方正仿宋_GBK" w:hAnsi="方正仿宋_GBK" w:eastAsia="方正仿宋_GBK" w:cs="方正仿宋_GBK"/>
          <w:color w:val="000000"/>
          <w:sz w:val="28"/>
          <w:szCs w:val="28"/>
          <w:u w:val="single"/>
        </w:rPr>
        <w:t xml:space="preserve"> </w:t>
      </w:r>
      <w:r>
        <w:rPr>
          <w:rFonts w:hint="eastAsia" w:ascii="方正仿宋_GBK" w:hAnsi="方正仿宋_GBK" w:eastAsia="方正仿宋_GBK" w:cs="方正仿宋_GBK"/>
          <w:sz w:val="28"/>
          <w:szCs w:val="28"/>
        </w:rPr>
        <w:t>日前。</w:t>
      </w:r>
      <w:r>
        <w:rPr>
          <w:rFonts w:hint="eastAsia" w:ascii="方正仿宋_GBK" w:hAnsi="方正仿宋_GBK" w:eastAsia="方正仿宋_GBK" w:cs="方正仿宋_GBK"/>
          <w:sz w:val="28"/>
          <w:szCs w:val="28"/>
          <w:lang w:val="en-US" w:eastAsia="zh-CN"/>
        </w:rPr>
        <w:t xml:space="preserve">甲方要求延期交货应于交货日5天前通知乙方。   </w:t>
      </w:r>
    </w:p>
    <w:p>
      <w:pPr>
        <w:tabs>
          <w:tab w:val="left" w:pos="6360"/>
        </w:tabs>
        <w:spacing w:line="240" w:lineRule="auto"/>
        <w:ind w:firstLine="562" w:firstLineChars="200"/>
        <w:jc w:val="both"/>
        <w:rPr>
          <w:rFonts w:hint="eastAsia" w:ascii="方正仿宋_GBK" w:hAnsi="方正仿宋_GBK" w:eastAsia="方正仿宋_GBK" w:cs="方正仿宋_GBK"/>
          <w:sz w:val="28"/>
          <w:szCs w:val="28"/>
        </w:rPr>
      </w:pPr>
      <w:r>
        <w:rPr>
          <w:rFonts w:hint="eastAsia" w:ascii="方正仿宋_GBK" w:hAnsi="方正仿宋_GBK" w:eastAsia="方正仿宋_GBK" w:cs="方正仿宋_GBK"/>
          <w:b/>
          <w:bCs/>
          <w:sz w:val="28"/>
          <w:szCs w:val="28"/>
        </w:rPr>
        <w:t>六、交货地点：</w:t>
      </w:r>
      <w:r>
        <w:rPr>
          <w:rFonts w:hint="eastAsia" w:ascii="方正仿宋_GBK" w:hAnsi="方正仿宋_GBK" w:eastAsia="方正仿宋_GBK" w:cs="方正仿宋_GBK"/>
          <w:color w:val="000000"/>
          <w:sz w:val="28"/>
          <w:szCs w:val="28"/>
          <w:u w:val="single"/>
        </w:rPr>
        <w:t xml:space="preserve"> </w:t>
      </w:r>
      <w:r>
        <w:rPr>
          <w:rFonts w:hint="eastAsia" w:ascii="方正仿宋_GBK" w:hAnsi="方正仿宋_GBK" w:eastAsia="方正仿宋_GBK" w:cs="方正仿宋_GBK"/>
          <w:color w:val="000000"/>
          <w:sz w:val="28"/>
          <w:szCs w:val="28"/>
          <w:u w:val="single"/>
          <w:lang w:val="en-US" w:eastAsia="zh-CN"/>
        </w:rPr>
        <w:t xml:space="preserve">          </w:t>
      </w:r>
      <w:r>
        <w:rPr>
          <w:rFonts w:hint="eastAsia" w:ascii="方正仿宋_GBK" w:hAnsi="方正仿宋_GBK" w:eastAsia="方正仿宋_GBK" w:cs="方正仿宋_GBK"/>
          <w:color w:val="000000"/>
          <w:sz w:val="28"/>
          <w:szCs w:val="28"/>
          <w:u w:val="single"/>
        </w:rPr>
        <w:t xml:space="preserve"> 。</w:t>
      </w:r>
    </w:p>
    <w:p>
      <w:pPr>
        <w:pStyle w:val="23"/>
        <w:tabs>
          <w:tab w:val="left" w:pos="6360"/>
        </w:tabs>
        <w:spacing w:line="240" w:lineRule="auto"/>
        <w:ind w:left="0" w:leftChars="0" w:firstLine="562" w:firstLineChars="200"/>
        <w:jc w:val="both"/>
        <w:rPr>
          <w:rFonts w:hint="eastAsia" w:ascii="方正仿宋_GBK" w:hAnsi="方正仿宋_GBK" w:eastAsia="方正仿宋_GBK" w:cs="方正仿宋_GBK"/>
          <w:b/>
          <w:color w:val="000000"/>
          <w:sz w:val="28"/>
          <w:szCs w:val="28"/>
        </w:rPr>
      </w:pPr>
      <w:r>
        <w:rPr>
          <w:rFonts w:hint="eastAsia" w:ascii="方正仿宋_GBK" w:hAnsi="方正仿宋_GBK" w:eastAsia="方正仿宋_GBK" w:cs="方正仿宋_GBK"/>
          <w:b/>
          <w:bCs/>
          <w:sz w:val="28"/>
          <w:szCs w:val="28"/>
          <w:lang w:val="en-US" w:eastAsia="zh-CN" w:bidi="ar-SA"/>
        </w:rPr>
        <w:t>七、交货方式：</w:t>
      </w:r>
      <w:r>
        <w:rPr>
          <w:rFonts w:hint="eastAsia" w:ascii="方正仿宋_GBK" w:hAnsi="方正仿宋_GBK" w:eastAsia="方正仿宋_GBK" w:cs="方正仿宋_GBK"/>
          <w:sz w:val="28"/>
          <w:szCs w:val="28"/>
          <w:lang w:val="en-US" w:eastAsia="zh-CN" w:bidi="ar-SA"/>
        </w:rPr>
        <w:t>乙方送货，运费由乙方负担。产品在运输安装过程中，未在甲方指定地点安装调式前</w:t>
      </w:r>
      <w:r>
        <w:rPr>
          <w:rFonts w:hint="eastAsia" w:ascii="方正仿宋_GBK" w:hAnsi="方正仿宋_GBK" w:eastAsia="方正仿宋_GBK" w:cs="方正仿宋_GBK"/>
          <w:sz w:val="28"/>
          <w:szCs w:val="28"/>
        </w:rPr>
        <w:t>，发生损坏或灭失的风险由</w:t>
      </w:r>
      <w:r>
        <w:rPr>
          <w:rFonts w:hint="eastAsia" w:ascii="方正仿宋_GBK" w:hAnsi="方正仿宋_GBK" w:eastAsia="方正仿宋_GBK" w:cs="方正仿宋_GBK"/>
          <w:sz w:val="28"/>
          <w:szCs w:val="28"/>
          <w:lang w:eastAsia="zh-CN"/>
        </w:rPr>
        <w:t>乙方</w:t>
      </w:r>
      <w:r>
        <w:rPr>
          <w:rFonts w:hint="eastAsia" w:ascii="方正仿宋_GBK" w:hAnsi="方正仿宋_GBK" w:eastAsia="方正仿宋_GBK" w:cs="方正仿宋_GBK"/>
          <w:sz w:val="28"/>
          <w:szCs w:val="28"/>
        </w:rPr>
        <w:t>承担。</w:t>
      </w:r>
    </w:p>
    <w:p>
      <w:pPr>
        <w:tabs>
          <w:tab w:val="left" w:pos="6360"/>
        </w:tabs>
        <w:spacing w:line="240" w:lineRule="auto"/>
        <w:ind w:left="1544" w:leftChars="200" w:hanging="1124" w:hangingChars="400"/>
        <w:jc w:val="both"/>
        <w:rPr>
          <w:rFonts w:hint="eastAsia" w:ascii="方正仿宋_GBK" w:hAnsi="方正仿宋_GBK" w:eastAsia="方正仿宋_GBK" w:cs="方正仿宋_GBK"/>
          <w:sz w:val="28"/>
          <w:szCs w:val="28"/>
        </w:rPr>
      </w:pPr>
      <w:r>
        <w:rPr>
          <w:rFonts w:hint="eastAsia" w:ascii="方正仿宋_GBK" w:hAnsi="方正仿宋_GBK" w:eastAsia="方正仿宋_GBK" w:cs="方正仿宋_GBK"/>
          <w:b/>
          <w:bCs/>
          <w:sz w:val="28"/>
          <w:szCs w:val="28"/>
        </w:rPr>
        <w:t>八、安装调试：</w:t>
      </w:r>
    </w:p>
    <w:p>
      <w:pPr>
        <w:tabs>
          <w:tab w:val="left" w:pos="6360"/>
        </w:tabs>
        <w:spacing w:line="240" w:lineRule="auto"/>
        <w:ind w:firstLine="560" w:firstLineChars="200"/>
        <w:jc w:val="both"/>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1.</w:t>
      </w:r>
      <w:r>
        <w:rPr>
          <w:rFonts w:hint="eastAsia" w:ascii="方正仿宋_GBK" w:hAnsi="方正仿宋_GBK" w:eastAsia="方正仿宋_GBK" w:cs="方正仿宋_GBK"/>
          <w:sz w:val="28"/>
          <w:szCs w:val="28"/>
        </w:rPr>
        <w:t>安装期：交货后</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u w:val="single"/>
          <w:lang w:val="en-US" w:eastAsia="zh-CN"/>
        </w:rPr>
        <w:t>3</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天内。</w:t>
      </w:r>
      <w:r>
        <w:rPr>
          <w:rFonts w:hint="eastAsia" w:ascii="方正仿宋_GBK" w:hAnsi="方正仿宋_GBK" w:eastAsia="方正仿宋_GBK" w:cs="方正仿宋_GBK"/>
          <w:sz w:val="28"/>
          <w:szCs w:val="28"/>
          <w:lang w:eastAsia="zh-CN"/>
        </w:rPr>
        <w:t>甲方</w:t>
      </w:r>
      <w:r>
        <w:rPr>
          <w:rFonts w:hint="eastAsia" w:ascii="方正仿宋_GBK" w:hAnsi="方正仿宋_GBK" w:eastAsia="方正仿宋_GBK" w:cs="方正仿宋_GBK"/>
          <w:sz w:val="28"/>
          <w:szCs w:val="28"/>
        </w:rPr>
        <w:t>应于</w:t>
      </w:r>
      <w:r>
        <w:rPr>
          <w:rFonts w:hint="eastAsia" w:ascii="方正仿宋_GBK" w:hAnsi="方正仿宋_GBK" w:eastAsia="方正仿宋_GBK" w:cs="方正仿宋_GBK"/>
          <w:sz w:val="28"/>
          <w:szCs w:val="28"/>
          <w:lang w:eastAsia="zh-CN"/>
        </w:rPr>
        <w:t>乙方</w:t>
      </w:r>
      <w:r>
        <w:rPr>
          <w:rFonts w:hint="eastAsia" w:ascii="方正仿宋_GBK" w:hAnsi="方正仿宋_GBK" w:eastAsia="方正仿宋_GBK" w:cs="方正仿宋_GBK"/>
          <w:sz w:val="28"/>
          <w:szCs w:val="28"/>
        </w:rPr>
        <w:t>交货前</w:t>
      </w:r>
      <w:r>
        <w:rPr>
          <w:rFonts w:hint="eastAsia" w:ascii="方正仿宋_GBK" w:hAnsi="方正仿宋_GBK" w:eastAsia="方正仿宋_GBK" w:cs="方正仿宋_GBK"/>
          <w:sz w:val="28"/>
          <w:szCs w:val="28"/>
          <w:lang w:val="en-US" w:eastAsia="zh-CN"/>
        </w:rPr>
        <w:t>3</w:t>
      </w:r>
      <w:r>
        <w:rPr>
          <w:rFonts w:hint="eastAsia" w:ascii="方正仿宋_GBK" w:hAnsi="方正仿宋_GBK" w:eastAsia="方正仿宋_GBK" w:cs="方正仿宋_GBK"/>
          <w:sz w:val="28"/>
          <w:szCs w:val="28"/>
        </w:rPr>
        <w:t>日确认安装现场已具备安装条件，否则造成安装延误及损失，</w:t>
      </w:r>
      <w:r>
        <w:rPr>
          <w:rFonts w:hint="eastAsia" w:ascii="方正仿宋_GBK" w:hAnsi="方正仿宋_GBK" w:eastAsia="方正仿宋_GBK" w:cs="方正仿宋_GBK"/>
          <w:sz w:val="28"/>
          <w:szCs w:val="28"/>
          <w:lang w:eastAsia="zh-CN"/>
        </w:rPr>
        <w:t>乙方</w:t>
      </w:r>
      <w:r>
        <w:rPr>
          <w:rFonts w:hint="eastAsia" w:ascii="方正仿宋_GBK" w:hAnsi="方正仿宋_GBK" w:eastAsia="方正仿宋_GBK" w:cs="方正仿宋_GBK"/>
          <w:sz w:val="28"/>
          <w:szCs w:val="28"/>
        </w:rPr>
        <w:t>不承担责任。</w:t>
      </w:r>
    </w:p>
    <w:p>
      <w:pPr>
        <w:tabs>
          <w:tab w:val="left" w:pos="6360"/>
        </w:tabs>
        <w:spacing w:line="240" w:lineRule="auto"/>
        <w:ind w:firstLine="560" w:firstLineChars="200"/>
        <w:jc w:val="both"/>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w:t>
      </w:r>
      <w:r>
        <w:rPr>
          <w:rFonts w:hint="eastAsia" w:ascii="方正仿宋_GBK" w:hAnsi="方正仿宋_GBK" w:eastAsia="方正仿宋_GBK" w:cs="方正仿宋_GBK"/>
          <w:sz w:val="28"/>
          <w:szCs w:val="28"/>
          <w:lang w:eastAsia="zh-CN"/>
        </w:rPr>
        <w:t>.乙方</w:t>
      </w:r>
      <w:r>
        <w:rPr>
          <w:rFonts w:hint="eastAsia" w:ascii="方正仿宋_GBK" w:hAnsi="方正仿宋_GBK" w:eastAsia="方正仿宋_GBK" w:cs="方正仿宋_GBK"/>
          <w:sz w:val="28"/>
          <w:szCs w:val="28"/>
        </w:rPr>
        <w:t>根据</w:t>
      </w:r>
      <w:r>
        <w:rPr>
          <w:rFonts w:hint="eastAsia" w:ascii="方正仿宋_GBK" w:hAnsi="方正仿宋_GBK" w:eastAsia="方正仿宋_GBK" w:cs="方正仿宋_GBK"/>
          <w:sz w:val="28"/>
          <w:szCs w:val="28"/>
          <w:lang w:eastAsia="zh-CN"/>
        </w:rPr>
        <w:t>甲方</w:t>
      </w:r>
      <w:r>
        <w:rPr>
          <w:rFonts w:hint="eastAsia" w:ascii="方正仿宋_GBK" w:hAnsi="方正仿宋_GBK" w:eastAsia="方正仿宋_GBK" w:cs="方正仿宋_GBK"/>
          <w:sz w:val="28"/>
          <w:szCs w:val="28"/>
          <w:lang w:val="en-US" w:eastAsia="zh-CN"/>
        </w:rPr>
        <w:t>确认的的家具</w:t>
      </w:r>
      <w:r>
        <w:rPr>
          <w:rFonts w:hint="eastAsia" w:ascii="方正仿宋_GBK" w:hAnsi="方正仿宋_GBK" w:eastAsia="方正仿宋_GBK" w:cs="方正仿宋_GBK"/>
          <w:sz w:val="28"/>
          <w:szCs w:val="28"/>
        </w:rPr>
        <w:t>平面设计图纸</w:t>
      </w:r>
      <w:r>
        <w:rPr>
          <w:rFonts w:hint="eastAsia" w:ascii="方正仿宋_GBK" w:hAnsi="方正仿宋_GBK" w:eastAsia="方正仿宋_GBK" w:cs="方正仿宋_GBK"/>
          <w:sz w:val="28"/>
          <w:szCs w:val="28"/>
          <w:lang w:val="en-US" w:eastAsia="zh-CN"/>
        </w:rPr>
        <w:t>及采购清单</w:t>
      </w:r>
      <w:r>
        <w:rPr>
          <w:rFonts w:hint="eastAsia" w:ascii="方正仿宋_GBK" w:hAnsi="方正仿宋_GBK" w:eastAsia="方正仿宋_GBK" w:cs="方正仿宋_GBK"/>
          <w:sz w:val="28"/>
          <w:szCs w:val="28"/>
        </w:rPr>
        <w:t>进行产品安装调试，</w:t>
      </w:r>
      <w:r>
        <w:rPr>
          <w:rFonts w:hint="eastAsia" w:ascii="方正仿宋_GBK" w:hAnsi="方正仿宋_GBK" w:eastAsia="方正仿宋_GBK" w:cs="方正仿宋_GBK"/>
          <w:sz w:val="28"/>
          <w:szCs w:val="28"/>
          <w:lang w:val="en-US" w:eastAsia="zh-CN"/>
        </w:rPr>
        <w:t>乙方</w:t>
      </w:r>
      <w:r>
        <w:rPr>
          <w:rFonts w:hint="eastAsia" w:ascii="方正仿宋_GBK" w:hAnsi="方正仿宋_GBK" w:eastAsia="方正仿宋_GBK" w:cs="方正仿宋_GBK"/>
          <w:sz w:val="28"/>
          <w:szCs w:val="28"/>
        </w:rPr>
        <w:t>不得对该设计图纸再行更改。如</w:t>
      </w:r>
      <w:r>
        <w:rPr>
          <w:rFonts w:hint="eastAsia" w:ascii="方正仿宋_GBK" w:hAnsi="方正仿宋_GBK" w:eastAsia="方正仿宋_GBK" w:cs="方正仿宋_GBK"/>
          <w:sz w:val="28"/>
          <w:szCs w:val="28"/>
          <w:lang w:eastAsia="zh-CN"/>
        </w:rPr>
        <w:t>乙方</w:t>
      </w:r>
      <w:r>
        <w:rPr>
          <w:rFonts w:hint="eastAsia" w:ascii="方正仿宋_GBK" w:hAnsi="方正仿宋_GBK" w:eastAsia="方正仿宋_GBK" w:cs="方正仿宋_GBK"/>
          <w:sz w:val="28"/>
          <w:szCs w:val="28"/>
          <w:lang w:val="en-US" w:eastAsia="zh-CN"/>
        </w:rPr>
        <w:t>未经同意擅自</w:t>
      </w:r>
      <w:r>
        <w:rPr>
          <w:rFonts w:hint="eastAsia" w:ascii="方正仿宋_GBK" w:hAnsi="方正仿宋_GBK" w:eastAsia="方正仿宋_GBK" w:cs="方正仿宋_GBK"/>
          <w:sz w:val="28"/>
          <w:szCs w:val="28"/>
        </w:rPr>
        <w:t>更改，由此产生的额外费用由</w:t>
      </w:r>
      <w:r>
        <w:rPr>
          <w:rFonts w:hint="eastAsia" w:ascii="方正仿宋_GBK" w:hAnsi="方正仿宋_GBK" w:eastAsia="方正仿宋_GBK" w:cs="方正仿宋_GBK"/>
          <w:sz w:val="28"/>
          <w:szCs w:val="28"/>
          <w:lang w:val="en-US" w:eastAsia="zh-CN"/>
        </w:rPr>
        <w:t>乙</w:t>
      </w:r>
      <w:r>
        <w:rPr>
          <w:rFonts w:hint="eastAsia" w:ascii="方正仿宋_GBK" w:hAnsi="方正仿宋_GBK" w:eastAsia="方正仿宋_GBK" w:cs="方正仿宋_GBK"/>
          <w:sz w:val="28"/>
          <w:szCs w:val="28"/>
        </w:rPr>
        <w:t>方承担。</w:t>
      </w:r>
    </w:p>
    <w:p>
      <w:pPr>
        <w:tabs>
          <w:tab w:val="left" w:pos="6360"/>
        </w:tabs>
        <w:spacing w:line="240" w:lineRule="auto"/>
        <w:ind w:firstLine="560" w:firstLineChars="200"/>
        <w:jc w:val="both"/>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w:t>
      </w:r>
      <w:r>
        <w:rPr>
          <w:rFonts w:hint="eastAsia" w:ascii="方正仿宋_GBK" w:hAnsi="方正仿宋_GBK" w:eastAsia="方正仿宋_GBK" w:cs="方正仿宋_GBK"/>
          <w:sz w:val="28"/>
          <w:szCs w:val="28"/>
          <w:lang w:eastAsia="zh-CN"/>
        </w:rPr>
        <w:t>.甲方</w:t>
      </w:r>
      <w:r>
        <w:rPr>
          <w:rFonts w:hint="eastAsia" w:ascii="方正仿宋_GBK" w:hAnsi="方正仿宋_GBK" w:eastAsia="方正仿宋_GBK" w:cs="方正仿宋_GBK"/>
          <w:sz w:val="28"/>
          <w:szCs w:val="28"/>
        </w:rPr>
        <w:t>负责提供货运电梯、安装场地照明等。若</w:t>
      </w:r>
      <w:r>
        <w:rPr>
          <w:rFonts w:hint="eastAsia" w:ascii="方正仿宋_GBK" w:hAnsi="方正仿宋_GBK" w:eastAsia="方正仿宋_GBK" w:cs="方正仿宋_GBK"/>
          <w:sz w:val="28"/>
          <w:szCs w:val="28"/>
          <w:lang w:eastAsia="zh-CN"/>
        </w:rPr>
        <w:t>甲方</w:t>
      </w:r>
      <w:r>
        <w:rPr>
          <w:rFonts w:hint="eastAsia" w:ascii="方正仿宋_GBK" w:hAnsi="方正仿宋_GBK" w:eastAsia="方正仿宋_GBK" w:cs="方正仿宋_GBK"/>
          <w:sz w:val="28"/>
          <w:szCs w:val="28"/>
        </w:rPr>
        <w:t>无法提供，所需额外费用应由</w:t>
      </w:r>
      <w:r>
        <w:rPr>
          <w:rFonts w:hint="eastAsia" w:ascii="方正仿宋_GBK" w:hAnsi="方正仿宋_GBK" w:eastAsia="方正仿宋_GBK" w:cs="方正仿宋_GBK"/>
          <w:sz w:val="28"/>
          <w:szCs w:val="28"/>
          <w:lang w:eastAsia="zh-CN"/>
        </w:rPr>
        <w:t>甲方</w:t>
      </w:r>
      <w:r>
        <w:rPr>
          <w:rFonts w:hint="eastAsia" w:ascii="方正仿宋_GBK" w:hAnsi="方正仿宋_GBK" w:eastAsia="方正仿宋_GBK" w:cs="方正仿宋_GBK"/>
          <w:sz w:val="28"/>
          <w:szCs w:val="28"/>
        </w:rPr>
        <w:t>承担。</w:t>
      </w:r>
    </w:p>
    <w:p>
      <w:pPr>
        <w:tabs>
          <w:tab w:val="left" w:pos="6360"/>
        </w:tabs>
        <w:spacing w:line="240" w:lineRule="auto"/>
        <w:ind w:firstLine="562" w:firstLineChars="200"/>
        <w:jc w:val="both"/>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九、产品接收和验收：</w:t>
      </w:r>
    </w:p>
    <w:p>
      <w:pPr>
        <w:tabs>
          <w:tab w:val="left" w:pos="6360"/>
        </w:tabs>
        <w:spacing w:line="240" w:lineRule="auto"/>
        <w:ind w:firstLine="560" w:firstLineChars="20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（一）货物到达现场后，成交供应商应在使用单位人员在场情况下当面开箱，共同清点、检查外观，作出开箱记录，双方签字确认。</w:t>
      </w:r>
    </w:p>
    <w:p>
      <w:pPr>
        <w:tabs>
          <w:tab w:val="left" w:pos="6360"/>
        </w:tabs>
        <w:spacing w:line="240" w:lineRule="auto"/>
        <w:ind w:firstLine="560" w:firstLineChars="20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（二）成交供应商应保证货物到达采购人所在地完好无损，如有缺漏、损坏，由供应商负责调换、补齐或赔偿。</w:t>
      </w:r>
    </w:p>
    <w:p>
      <w:pPr>
        <w:tabs>
          <w:tab w:val="left" w:pos="6360"/>
        </w:tabs>
        <w:spacing w:line="240" w:lineRule="auto"/>
        <w:ind w:firstLine="560" w:firstLineChars="20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lang w:val="en-US" w:eastAsia="zh-CN"/>
        </w:rPr>
        <w:t>三</w:t>
      </w:r>
      <w:r>
        <w:rPr>
          <w:rFonts w:hint="eastAsia" w:ascii="方正仿宋_GBK" w:hAnsi="方正仿宋_GBK" w:eastAsia="方正仿宋_GBK" w:cs="方正仿宋_GBK"/>
          <w:sz w:val="28"/>
          <w:szCs w:val="28"/>
          <w:lang w:eastAsia="zh-CN"/>
        </w:rPr>
        <w:t>）成交供应商应提供完备的技术资料、装箱单和合格证等，并派遣专业技术人员进行现场安装调试。</w:t>
      </w:r>
    </w:p>
    <w:p>
      <w:pPr>
        <w:tabs>
          <w:tab w:val="left" w:pos="6360"/>
        </w:tabs>
        <w:spacing w:line="240" w:lineRule="auto"/>
        <w:ind w:firstLine="560" w:firstLineChars="20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lang w:val="en-US" w:eastAsia="zh-CN"/>
        </w:rPr>
        <w:t>四</w:t>
      </w:r>
      <w:r>
        <w:rPr>
          <w:rFonts w:hint="eastAsia" w:ascii="方正仿宋_GBK" w:hAnsi="方正仿宋_GBK" w:eastAsia="方正仿宋_GBK" w:cs="方正仿宋_GBK"/>
          <w:sz w:val="28"/>
          <w:szCs w:val="28"/>
          <w:lang w:eastAsia="zh-CN"/>
        </w:rPr>
        <w:t>）验收合格条件如下：</w:t>
      </w:r>
    </w:p>
    <w:p>
      <w:pPr>
        <w:tabs>
          <w:tab w:val="left" w:pos="6360"/>
        </w:tabs>
        <w:spacing w:line="240" w:lineRule="auto"/>
        <w:ind w:firstLine="560" w:firstLineChars="20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1、设备技术参数与采购合同一致，性能指标达到规定的标准。</w:t>
      </w:r>
    </w:p>
    <w:p>
      <w:pPr>
        <w:tabs>
          <w:tab w:val="left" w:pos="6360"/>
        </w:tabs>
        <w:spacing w:line="240" w:lineRule="auto"/>
        <w:ind w:firstLine="560" w:firstLineChars="20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2、货物技术资料、装箱单、合格证等资料齐全。</w:t>
      </w:r>
    </w:p>
    <w:p>
      <w:pPr>
        <w:tabs>
          <w:tab w:val="left" w:pos="6360"/>
        </w:tabs>
        <w:spacing w:line="240" w:lineRule="auto"/>
        <w:ind w:firstLine="560" w:firstLineChars="20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3、在规定时间内完成交货并验收，并经采购人确认。</w:t>
      </w:r>
    </w:p>
    <w:p>
      <w:pPr>
        <w:tabs>
          <w:tab w:val="left" w:pos="6360"/>
        </w:tabs>
        <w:spacing w:line="240" w:lineRule="auto"/>
        <w:ind w:firstLine="560" w:firstLineChars="20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4、产品在安装调试并试运行符合要求后，才作为最终验收。</w:t>
      </w:r>
    </w:p>
    <w:p>
      <w:pPr>
        <w:tabs>
          <w:tab w:val="left" w:pos="6360"/>
        </w:tabs>
        <w:spacing w:line="240" w:lineRule="auto"/>
        <w:ind w:firstLine="560" w:firstLineChars="20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val="en-US" w:eastAsia="zh-CN"/>
        </w:rPr>
        <w:t>5、</w:t>
      </w:r>
      <w:r>
        <w:rPr>
          <w:rFonts w:hint="eastAsia" w:ascii="方正仿宋_GBK" w:hAnsi="方正仿宋_GBK" w:eastAsia="方正仿宋_GBK" w:cs="方正仿宋_GBK"/>
          <w:sz w:val="28"/>
          <w:szCs w:val="28"/>
          <w:lang w:eastAsia="zh-CN"/>
        </w:rPr>
        <w:t>办公室家具安装完成后，</w:t>
      </w:r>
      <w:r>
        <w:rPr>
          <w:rFonts w:hint="eastAsia" w:ascii="方正仿宋_GBK" w:hAnsi="方正仿宋_GBK" w:eastAsia="方正仿宋_GBK" w:cs="方正仿宋_GBK"/>
          <w:sz w:val="28"/>
          <w:szCs w:val="28"/>
          <w:lang w:val="en-US" w:eastAsia="zh-CN"/>
        </w:rPr>
        <w:t>采购人</w:t>
      </w:r>
      <w:r>
        <w:rPr>
          <w:rFonts w:hint="eastAsia" w:ascii="方正仿宋_GBK" w:hAnsi="方正仿宋_GBK" w:eastAsia="方正仿宋_GBK" w:cs="方正仿宋_GBK"/>
          <w:sz w:val="28"/>
          <w:szCs w:val="28"/>
          <w:lang w:eastAsia="zh-CN"/>
        </w:rPr>
        <w:t>需邀请第三方检测机构，对办公室</w:t>
      </w:r>
      <w:r>
        <w:rPr>
          <w:rFonts w:hint="eastAsia" w:ascii="方正仿宋_GBK" w:hAnsi="方正仿宋_GBK" w:eastAsia="方正仿宋_GBK" w:cs="方正仿宋_GBK"/>
          <w:sz w:val="28"/>
          <w:szCs w:val="28"/>
          <w:lang w:val="en-US" w:eastAsia="zh-CN"/>
        </w:rPr>
        <w:t>内</w:t>
      </w:r>
      <w:r>
        <w:rPr>
          <w:rFonts w:hint="eastAsia" w:ascii="方正仿宋_GBK" w:hAnsi="方正仿宋_GBK" w:eastAsia="方正仿宋_GBK" w:cs="方正仿宋_GBK"/>
          <w:sz w:val="28"/>
          <w:szCs w:val="28"/>
          <w:lang w:eastAsia="zh-CN"/>
        </w:rPr>
        <w:t>进行有害气体检测，需达到合格标准，且</w:t>
      </w:r>
      <w:r>
        <w:rPr>
          <w:rFonts w:hint="eastAsia" w:ascii="方正仿宋_GBK" w:hAnsi="方正仿宋_GBK" w:eastAsia="方正仿宋_GBK" w:cs="方正仿宋_GBK"/>
          <w:sz w:val="28"/>
          <w:szCs w:val="28"/>
          <w:lang w:val="en-US" w:eastAsia="zh-CN"/>
        </w:rPr>
        <w:t>同时</w:t>
      </w:r>
      <w:r>
        <w:rPr>
          <w:rFonts w:hint="eastAsia" w:ascii="方正仿宋_GBK" w:hAnsi="方正仿宋_GBK" w:eastAsia="方正仿宋_GBK" w:cs="方正仿宋_GBK"/>
          <w:sz w:val="28"/>
          <w:szCs w:val="28"/>
          <w:lang w:eastAsia="zh-CN"/>
        </w:rPr>
        <w:t>出具有效的检测报告</w:t>
      </w:r>
      <w:r>
        <w:rPr>
          <w:rFonts w:hint="eastAsia" w:ascii="方正仿宋_GBK" w:hAnsi="方正仿宋_GBK" w:eastAsia="方正仿宋_GBK" w:cs="方正仿宋_GBK"/>
          <w:sz w:val="28"/>
          <w:szCs w:val="28"/>
          <w:lang w:val="en-US" w:eastAsia="zh-CN"/>
        </w:rPr>
        <w:t>对比</w:t>
      </w:r>
      <w:r>
        <w:rPr>
          <w:rFonts w:hint="eastAsia" w:ascii="方正仿宋_GBK" w:hAnsi="方正仿宋_GBK" w:eastAsia="方正仿宋_GBK" w:cs="方正仿宋_GBK"/>
          <w:sz w:val="28"/>
          <w:szCs w:val="28"/>
          <w:lang w:eastAsia="zh-CN"/>
        </w:rPr>
        <w:t>。若未达标，则投标单位有权不支付货款，</w:t>
      </w:r>
      <w:r>
        <w:rPr>
          <w:rFonts w:hint="eastAsia" w:ascii="方正仿宋_GBK" w:hAnsi="方正仿宋_GBK" w:eastAsia="方正仿宋_GBK" w:cs="方正仿宋_GBK"/>
          <w:sz w:val="28"/>
          <w:szCs w:val="28"/>
          <w:lang w:val="en-US" w:eastAsia="zh-CN"/>
        </w:rPr>
        <w:t>承担相关法律责任外还将列入失信黑名单。</w:t>
      </w:r>
    </w:p>
    <w:p>
      <w:pPr>
        <w:tabs>
          <w:tab w:val="left" w:pos="6360"/>
        </w:tabs>
        <w:spacing w:line="240" w:lineRule="auto"/>
        <w:ind w:firstLine="562" w:firstLineChars="200"/>
        <w:jc w:val="both"/>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十、质量保证及售后服务</w:t>
      </w:r>
    </w:p>
    <w:p>
      <w:pPr>
        <w:tabs>
          <w:tab w:val="left" w:pos="6360"/>
        </w:tabs>
        <w:spacing w:line="240" w:lineRule="auto"/>
        <w:ind w:firstLine="480" w:firstLineChars="200"/>
        <w:jc w:val="both"/>
        <w:rPr>
          <w:rFonts w:hint="eastAsia" w:ascii="方正仿宋_GBK" w:hAnsi="方正仿宋_GBK" w:eastAsia="方正仿宋_GBK" w:cs="方正仿宋_GBK"/>
          <w:sz w:val="28"/>
          <w:szCs w:val="28"/>
          <w:lang w:eastAsia="zh-CN"/>
        </w:rPr>
      </w:pPr>
      <w:r>
        <w:rPr>
          <w:rFonts w:hint="eastAsia" w:ascii="宋体" w:hAnsi="宋体" w:eastAsia="宋体" w:cs="宋体"/>
          <w:sz w:val="24"/>
          <w:u w:val="none"/>
          <w:lang w:eastAsia="zh-CN"/>
        </w:rPr>
        <w:t>（</w:t>
      </w:r>
      <w:r>
        <w:rPr>
          <w:rFonts w:hint="eastAsia" w:ascii="方正仿宋_GBK" w:hAnsi="方正仿宋_GBK" w:eastAsia="方正仿宋_GBK" w:cs="方正仿宋_GBK"/>
          <w:sz w:val="28"/>
          <w:szCs w:val="28"/>
          <w:lang w:val="en-US" w:eastAsia="zh-CN"/>
        </w:rPr>
        <w:t>一</w:t>
      </w:r>
      <w:r>
        <w:rPr>
          <w:rFonts w:hint="eastAsia" w:ascii="方正仿宋_GBK" w:hAnsi="方正仿宋_GBK" w:eastAsia="方正仿宋_GBK" w:cs="方正仿宋_GBK"/>
          <w:sz w:val="28"/>
          <w:szCs w:val="28"/>
          <w:lang w:eastAsia="zh-CN"/>
        </w:rPr>
        <w:t>）自验收之日起，提供最低2年的免费质保期。</w:t>
      </w:r>
    </w:p>
    <w:p>
      <w:pPr>
        <w:tabs>
          <w:tab w:val="left" w:pos="6360"/>
        </w:tabs>
        <w:spacing w:line="240" w:lineRule="auto"/>
        <w:ind w:firstLine="560" w:firstLineChars="20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lang w:val="en-US" w:eastAsia="zh-CN"/>
        </w:rPr>
        <w:t>二</w:t>
      </w:r>
      <w:r>
        <w:rPr>
          <w:rFonts w:hint="eastAsia" w:ascii="方正仿宋_GBK" w:hAnsi="方正仿宋_GBK" w:eastAsia="方正仿宋_GBK" w:cs="方正仿宋_GBK"/>
          <w:sz w:val="28"/>
          <w:szCs w:val="28"/>
          <w:lang w:eastAsia="zh-CN"/>
        </w:rPr>
        <w:t>）采购货物属于国家规定“三包”范围，其产品质量保证期不得低于“三包”规定。</w:t>
      </w:r>
    </w:p>
    <w:p>
      <w:pPr>
        <w:tabs>
          <w:tab w:val="left" w:pos="6360"/>
        </w:tabs>
        <w:spacing w:line="240" w:lineRule="auto"/>
        <w:ind w:firstLine="560" w:firstLineChars="20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lang w:val="en-US" w:eastAsia="zh-CN"/>
        </w:rPr>
        <w:t>三</w:t>
      </w:r>
      <w:r>
        <w:rPr>
          <w:rFonts w:hint="eastAsia" w:ascii="方正仿宋_GBK" w:hAnsi="方正仿宋_GBK" w:eastAsia="方正仿宋_GBK" w:cs="方正仿宋_GBK"/>
          <w:sz w:val="28"/>
          <w:szCs w:val="28"/>
          <w:lang w:eastAsia="zh-CN"/>
        </w:rPr>
        <w:t>）质量保证期内服务要求</w:t>
      </w:r>
    </w:p>
    <w:p>
      <w:pPr>
        <w:tabs>
          <w:tab w:val="left" w:pos="6360"/>
        </w:tabs>
        <w:spacing w:line="240" w:lineRule="auto"/>
        <w:ind w:firstLine="560" w:firstLineChars="20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val="en-US" w:eastAsia="zh-CN"/>
        </w:rPr>
        <w:t>1.</w:t>
      </w:r>
      <w:r>
        <w:rPr>
          <w:rFonts w:hint="eastAsia" w:ascii="方正仿宋_GBK" w:hAnsi="方正仿宋_GBK" w:eastAsia="方正仿宋_GBK" w:cs="方正仿宋_GBK"/>
          <w:sz w:val="28"/>
          <w:szCs w:val="28"/>
          <w:lang w:eastAsia="zh-CN"/>
        </w:rPr>
        <w:t>电话咨询：成交供应商和厂家应当为用户提供技术援助电话，解答用户在使用过程中遇到的问题，及时为用户提出解决问题的建议。</w:t>
      </w:r>
    </w:p>
    <w:p>
      <w:pPr>
        <w:tabs>
          <w:tab w:val="left" w:pos="6360"/>
        </w:tabs>
        <w:spacing w:line="240" w:lineRule="auto"/>
        <w:ind w:firstLine="560" w:firstLineChars="20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val="en-US" w:eastAsia="zh-CN"/>
        </w:rPr>
        <w:t>2.</w:t>
      </w:r>
      <w:r>
        <w:rPr>
          <w:rFonts w:hint="eastAsia" w:ascii="方正仿宋_GBK" w:hAnsi="方正仿宋_GBK" w:eastAsia="方正仿宋_GBK" w:cs="方正仿宋_GBK"/>
          <w:sz w:val="28"/>
          <w:szCs w:val="28"/>
          <w:lang w:eastAsia="zh-CN"/>
        </w:rPr>
        <w:t>现场响应：用户遇到使用及技术问题，电话咨询不能解决的，成交供应商或厂家应在2小时内采取相应响应措施；无法在4小时内解决的，应在12小时内派出专业人员进行技术支持。</w:t>
      </w:r>
    </w:p>
    <w:p>
      <w:pPr>
        <w:tabs>
          <w:tab w:val="left" w:pos="6360"/>
        </w:tabs>
        <w:spacing w:line="240" w:lineRule="auto"/>
        <w:ind w:firstLine="560" w:firstLineChars="20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val="en-US" w:eastAsia="zh-CN"/>
        </w:rPr>
        <w:t>3.</w:t>
      </w:r>
      <w:r>
        <w:rPr>
          <w:rFonts w:hint="eastAsia" w:ascii="方正仿宋_GBK" w:hAnsi="方正仿宋_GBK" w:eastAsia="方正仿宋_GBK" w:cs="方正仿宋_GBK"/>
          <w:sz w:val="28"/>
          <w:szCs w:val="28"/>
          <w:lang w:eastAsia="zh-CN"/>
        </w:rPr>
        <w:t>质保期外服务要求：成交供应商和厂家应同样提供免费电话咨询服务，并应承诺提供产品上门维护服务；采购人需要继续由原成交供应商和厂家提供售后服务的，成交供应商和厂家应以优惠价格提供售后服务。</w:t>
      </w:r>
    </w:p>
    <w:p>
      <w:pPr>
        <w:tabs>
          <w:tab w:val="left" w:pos="6360"/>
        </w:tabs>
        <w:spacing w:line="240" w:lineRule="auto"/>
        <w:ind w:firstLine="560" w:firstLineChars="20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val="en-US" w:eastAsia="zh-CN"/>
        </w:rPr>
        <w:t>4.</w:t>
      </w:r>
      <w:r>
        <w:rPr>
          <w:rFonts w:hint="eastAsia" w:ascii="方正仿宋_GBK" w:hAnsi="方正仿宋_GBK" w:eastAsia="方正仿宋_GBK" w:cs="方正仿宋_GBK"/>
          <w:sz w:val="28"/>
          <w:szCs w:val="28"/>
          <w:lang w:eastAsia="zh-CN"/>
        </w:rPr>
        <w:t xml:space="preserve">培训：供应商应负责免费对采购单位的使用及维护人员进行技术培训并提供相关技术资料。      </w:t>
      </w:r>
      <w:r>
        <w:rPr>
          <w:rFonts w:hint="eastAsia" w:ascii="方正仿宋_GBK" w:hAnsi="方正仿宋_GBK" w:eastAsia="方正仿宋_GBK" w:cs="方正仿宋_GBK"/>
          <w:sz w:val="28"/>
          <w:szCs w:val="28"/>
          <w:lang w:val="en-US" w:eastAsia="zh-CN"/>
        </w:rPr>
        <w:t xml:space="preserve"> </w:t>
      </w:r>
    </w:p>
    <w:p>
      <w:pPr>
        <w:tabs>
          <w:tab w:val="left" w:pos="6360"/>
        </w:tabs>
        <w:spacing w:line="240" w:lineRule="auto"/>
        <w:ind w:left="1825" w:leftChars="200" w:hanging="1405" w:hangingChars="500"/>
        <w:jc w:val="both"/>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十一、违约责任：</w:t>
      </w:r>
    </w:p>
    <w:p>
      <w:pPr>
        <w:tabs>
          <w:tab w:val="left" w:pos="6360"/>
        </w:tabs>
        <w:spacing w:line="240" w:lineRule="auto"/>
        <w:ind w:left="1890" w:leftChars="100" w:hanging="1680" w:hangingChars="600"/>
        <w:jc w:val="both"/>
        <w:rPr>
          <w:rFonts w:hint="eastAsia"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（一）</w:t>
      </w:r>
      <w:r>
        <w:rPr>
          <w:rFonts w:hint="eastAsia" w:ascii="方正楷体_GBK" w:hAnsi="方正楷体_GBK" w:eastAsia="方正楷体_GBK" w:cs="方正楷体_GBK"/>
          <w:sz w:val="28"/>
          <w:szCs w:val="28"/>
          <w:lang w:eastAsia="zh-CN"/>
        </w:rPr>
        <w:t>乙方</w:t>
      </w:r>
      <w:r>
        <w:rPr>
          <w:rFonts w:hint="eastAsia" w:ascii="方正楷体_GBK" w:hAnsi="方正楷体_GBK" w:eastAsia="方正楷体_GBK" w:cs="方正楷体_GBK"/>
          <w:sz w:val="28"/>
          <w:szCs w:val="28"/>
        </w:rPr>
        <w:t>责任：</w:t>
      </w:r>
    </w:p>
    <w:p>
      <w:pPr>
        <w:tabs>
          <w:tab w:val="left" w:pos="6360"/>
        </w:tabs>
        <w:spacing w:line="240" w:lineRule="auto"/>
        <w:ind w:firstLine="560" w:firstLineChars="200"/>
        <w:jc w:val="both"/>
        <w:rPr>
          <w:rFonts w:hint="eastAsia" w:ascii="方正仿宋_GBK" w:hAnsi="方正仿宋_GBK" w:eastAsia="方正仿宋_GBK" w:cs="方正仿宋_GBK"/>
          <w:sz w:val="28"/>
          <w:szCs w:val="28"/>
        </w:rPr>
      </w:pPr>
      <w:r>
        <w:rPr>
          <w:rFonts w:hint="eastAsia" w:ascii="方正楷体_GBK" w:hAnsi="方正楷体_GBK" w:eastAsia="方正楷体_GBK" w:cs="方正楷体_GBK"/>
          <w:sz w:val="28"/>
          <w:szCs w:val="28"/>
          <w:lang w:val="en-US" w:eastAsia="zh-CN"/>
        </w:rPr>
        <w:t>1.</w:t>
      </w:r>
      <w:r>
        <w:rPr>
          <w:rFonts w:hint="eastAsia" w:ascii="方正仿宋_GBK" w:hAnsi="方正仿宋_GBK" w:eastAsia="方正仿宋_GBK" w:cs="方正仿宋_GBK"/>
          <w:sz w:val="28"/>
          <w:szCs w:val="28"/>
          <w:lang w:eastAsia="zh-CN"/>
        </w:rPr>
        <w:t>乙方</w:t>
      </w:r>
      <w:r>
        <w:rPr>
          <w:rFonts w:hint="eastAsia" w:ascii="方正仿宋_GBK" w:hAnsi="方正仿宋_GBK" w:eastAsia="方正仿宋_GBK" w:cs="方正仿宋_GBK"/>
          <w:sz w:val="28"/>
          <w:szCs w:val="28"/>
        </w:rPr>
        <w:t>非因不可抗力（如地震、水灾、风灾等）逾期交货未超过</w:t>
      </w:r>
      <w:r>
        <w:rPr>
          <w:rFonts w:hint="eastAsia" w:ascii="方正仿宋_GBK" w:hAnsi="方正仿宋_GBK" w:eastAsia="方正仿宋_GBK" w:cs="方正仿宋_GBK"/>
          <w:color w:val="000000"/>
          <w:sz w:val="28"/>
          <w:szCs w:val="28"/>
        </w:rPr>
        <w:t>30日（含30日）的</w:t>
      </w:r>
      <w:r>
        <w:rPr>
          <w:rFonts w:hint="eastAsia" w:ascii="方正仿宋_GBK" w:hAnsi="方正仿宋_GBK" w:eastAsia="方正仿宋_GBK" w:cs="方正仿宋_GBK"/>
          <w:sz w:val="28"/>
          <w:szCs w:val="28"/>
        </w:rPr>
        <w:t>，应支付逾期不能交货部分货款总额</w:t>
      </w:r>
      <w:r>
        <w:rPr>
          <w:rFonts w:hint="eastAsia" w:ascii="方正仿宋_GBK" w:hAnsi="方正仿宋_GBK" w:eastAsia="方正仿宋_GBK" w:cs="方正仿宋_GBK"/>
          <w:color w:val="000000"/>
          <w:sz w:val="28"/>
          <w:szCs w:val="28"/>
        </w:rPr>
        <w:t>千分之一/天</w:t>
      </w:r>
      <w:r>
        <w:rPr>
          <w:rFonts w:hint="eastAsia" w:ascii="方正仿宋_GBK" w:hAnsi="方正仿宋_GBK" w:eastAsia="方正仿宋_GBK" w:cs="方正仿宋_GBK"/>
          <w:sz w:val="28"/>
          <w:szCs w:val="28"/>
        </w:rPr>
        <w:t>的违约金给</w:t>
      </w:r>
      <w:r>
        <w:rPr>
          <w:rFonts w:hint="eastAsia" w:ascii="方正仿宋_GBK" w:hAnsi="方正仿宋_GBK" w:eastAsia="方正仿宋_GBK" w:cs="方正仿宋_GBK"/>
          <w:sz w:val="28"/>
          <w:szCs w:val="28"/>
          <w:lang w:eastAsia="zh-CN"/>
        </w:rPr>
        <w:t>甲方</w:t>
      </w:r>
      <w:r>
        <w:rPr>
          <w:rFonts w:hint="eastAsia" w:ascii="方正仿宋_GBK" w:hAnsi="方正仿宋_GBK" w:eastAsia="方正仿宋_GBK" w:cs="方正仿宋_GBK"/>
          <w:sz w:val="28"/>
          <w:szCs w:val="28"/>
        </w:rPr>
        <w:t>，若逾期交货超过</w:t>
      </w:r>
      <w:r>
        <w:rPr>
          <w:rFonts w:hint="eastAsia" w:ascii="方正仿宋_GBK" w:hAnsi="方正仿宋_GBK" w:eastAsia="方正仿宋_GBK" w:cs="方正仿宋_GBK"/>
          <w:color w:val="000000"/>
          <w:sz w:val="28"/>
          <w:szCs w:val="28"/>
        </w:rPr>
        <w:t>30</w:t>
      </w:r>
      <w:r>
        <w:rPr>
          <w:rFonts w:hint="eastAsia" w:ascii="方正仿宋_GBK" w:hAnsi="方正仿宋_GBK" w:eastAsia="方正仿宋_GBK" w:cs="方正仿宋_GBK"/>
          <w:sz w:val="28"/>
          <w:szCs w:val="28"/>
        </w:rPr>
        <w:t>日，则适用本款第2项之规定</w:t>
      </w:r>
      <w:r>
        <w:rPr>
          <w:rFonts w:hint="eastAsia" w:ascii="方正仿宋_GBK" w:hAnsi="方正仿宋_GBK" w:eastAsia="方正仿宋_GBK" w:cs="方正仿宋_GBK"/>
          <w:b/>
          <w:sz w:val="28"/>
          <w:szCs w:val="28"/>
        </w:rPr>
        <w:t>。</w:t>
      </w:r>
    </w:p>
    <w:p>
      <w:pPr>
        <w:numPr>
          <w:ilvl w:val="0"/>
          <w:numId w:val="0"/>
        </w:numPr>
        <w:tabs>
          <w:tab w:val="left" w:pos="6360"/>
        </w:tabs>
        <w:spacing w:line="240" w:lineRule="auto"/>
        <w:ind w:firstLine="560" w:firstLineChars="200"/>
        <w:jc w:val="both"/>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2.</w:t>
      </w:r>
      <w:r>
        <w:rPr>
          <w:rFonts w:hint="eastAsia" w:ascii="方正仿宋_GBK" w:hAnsi="方正仿宋_GBK" w:eastAsia="方正仿宋_GBK" w:cs="方正仿宋_GBK"/>
          <w:sz w:val="28"/>
          <w:szCs w:val="28"/>
          <w:lang w:eastAsia="zh-CN"/>
        </w:rPr>
        <w:t>乙方</w:t>
      </w:r>
      <w:r>
        <w:rPr>
          <w:rFonts w:hint="eastAsia" w:ascii="方正仿宋_GBK" w:hAnsi="方正仿宋_GBK" w:eastAsia="方正仿宋_GBK" w:cs="方正仿宋_GBK"/>
          <w:sz w:val="28"/>
          <w:szCs w:val="28"/>
        </w:rPr>
        <w:t>非因不可抗力而不能交货超过</w:t>
      </w:r>
      <w:r>
        <w:rPr>
          <w:rFonts w:hint="eastAsia" w:ascii="方正仿宋_GBK" w:hAnsi="方正仿宋_GBK" w:eastAsia="方正仿宋_GBK" w:cs="方正仿宋_GBK"/>
          <w:color w:val="000000"/>
          <w:sz w:val="28"/>
          <w:szCs w:val="28"/>
        </w:rPr>
        <w:t>3</w:t>
      </w:r>
      <w:r>
        <w:rPr>
          <w:rFonts w:hint="eastAsia" w:ascii="方正仿宋_GBK" w:hAnsi="方正仿宋_GBK" w:eastAsia="方正仿宋_GBK" w:cs="方正仿宋_GBK"/>
          <w:color w:val="000000"/>
          <w:sz w:val="28"/>
          <w:szCs w:val="28"/>
          <w:lang w:val="en-US" w:eastAsia="zh-CN"/>
        </w:rPr>
        <w:t>0</w:t>
      </w:r>
      <w:r>
        <w:rPr>
          <w:rFonts w:hint="eastAsia" w:ascii="方正仿宋_GBK" w:hAnsi="方正仿宋_GBK" w:eastAsia="方正仿宋_GBK" w:cs="方正仿宋_GBK"/>
          <w:sz w:val="28"/>
          <w:szCs w:val="28"/>
        </w:rPr>
        <w:t>日，</w:t>
      </w:r>
      <w:r>
        <w:rPr>
          <w:rFonts w:hint="eastAsia" w:ascii="方正仿宋_GBK" w:hAnsi="方正仿宋_GBK" w:eastAsia="方正仿宋_GBK" w:cs="方正仿宋_GBK"/>
          <w:sz w:val="28"/>
          <w:szCs w:val="28"/>
          <w:lang w:eastAsia="zh-CN"/>
        </w:rPr>
        <w:t>乙方</w:t>
      </w:r>
      <w:r>
        <w:rPr>
          <w:rFonts w:hint="eastAsia" w:ascii="方正仿宋_GBK" w:hAnsi="方正仿宋_GBK" w:eastAsia="方正仿宋_GBK" w:cs="方正仿宋_GBK"/>
          <w:sz w:val="28"/>
          <w:szCs w:val="28"/>
        </w:rPr>
        <w:t>须按照不能交货部分货款总额的</w:t>
      </w:r>
      <w:r>
        <w:rPr>
          <w:rFonts w:hint="eastAsia" w:ascii="方正仿宋_GBK" w:hAnsi="方正仿宋_GBK" w:eastAsia="方正仿宋_GBK" w:cs="方正仿宋_GBK"/>
          <w:sz w:val="28"/>
          <w:szCs w:val="28"/>
          <w:lang w:val="en-US" w:eastAsia="zh-CN"/>
        </w:rPr>
        <w:t>100</w:t>
      </w:r>
      <w:r>
        <w:rPr>
          <w:rFonts w:hint="eastAsia" w:ascii="方正仿宋_GBK" w:hAnsi="方正仿宋_GBK" w:eastAsia="方正仿宋_GBK" w:cs="方正仿宋_GBK"/>
          <w:sz w:val="28"/>
          <w:szCs w:val="28"/>
        </w:rPr>
        <w:t>％承担违约责任。</w:t>
      </w:r>
    </w:p>
    <w:p>
      <w:pPr>
        <w:tabs>
          <w:tab w:val="left" w:pos="6360"/>
        </w:tabs>
        <w:spacing w:line="240" w:lineRule="auto"/>
        <w:ind w:left="1890" w:leftChars="100" w:hanging="1680" w:hangingChars="600"/>
        <w:jc w:val="both"/>
        <w:rPr>
          <w:rFonts w:hint="eastAsia"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（二）</w:t>
      </w:r>
      <w:r>
        <w:rPr>
          <w:rFonts w:hint="eastAsia" w:ascii="方正楷体_GBK" w:hAnsi="方正楷体_GBK" w:eastAsia="方正楷体_GBK" w:cs="方正楷体_GBK"/>
          <w:sz w:val="28"/>
          <w:szCs w:val="28"/>
          <w:lang w:eastAsia="zh-CN"/>
        </w:rPr>
        <w:t>甲方</w:t>
      </w:r>
      <w:r>
        <w:rPr>
          <w:rFonts w:hint="eastAsia" w:ascii="方正楷体_GBK" w:hAnsi="方正楷体_GBK" w:eastAsia="方正楷体_GBK" w:cs="方正楷体_GBK"/>
          <w:sz w:val="28"/>
          <w:szCs w:val="28"/>
        </w:rPr>
        <w:t>责任：</w:t>
      </w:r>
    </w:p>
    <w:p>
      <w:pPr>
        <w:tabs>
          <w:tab w:val="left" w:pos="6360"/>
        </w:tabs>
        <w:spacing w:line="240" w:lineRule="auto"/>
        <w:ind w:firstLine="560" w:firstLineChars="200"/>
        <w:jc w:val="both"/>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1.本合同经买卖双方签章生效后，</w:t>
      </w:r>
      <w:r>
        <w:rPr>
          <w:rFonts w:hint="eastAsia" w:ascii="方正仿宋_GBK" w:hAnsi="方正仿宋_GBK" w:eastAsia="方正仿宋_GBK" w:cs="方正仿宋_GBK"/>
          <w:sz w:val="28"/>
          <w:szCs w:val="28"/>
          <w:lang w:eastAsia="zh-CN"/>
        </w:rPr>
        <w:t>甲方</w:t>
      </w:r>
      <w:r>
        <w:rPr>
          <w:rFonts w:hint="eastAsia" w:ascii="方正仿宋_GBK" w:hAnsi="方正仿宋_GBK" w:eastAsia="方正仿宋_GBK" w:cs="方正仿宋_GBK"/>
          <w:sz w:val="28"/>
          <w:szCs w:val="28"/>
        </w:rPr>
        <w:t>非因不可抗力单方面提出解除合同，应向</w:t>
      </w:r>
      <w:r>
        <w:rPr>
          <w:rFonts w:hint="eastAsia" w:ascii="方正仿宋_GBK" w:hAnsi="方正仿宋_GBK" w:eastAsia="方正仿宋_GBK" w:cs="方正仿宋_GBK"/>
          <w:sz w:val="28"/>
          <w:szCs w:val="28"/>
          <w:lang w:eastAsia="zh-CN"/>
        </w:rPr>
        <w:t>乙方</w:t>
      </w:r>
      <w:r>
        <w:rPr>
          <w:rFonts w:hint="eastAsia" w:ascii="方正仿宋_GBK" w:hAnsi="方正仿宋_GBK" w:eastAsia="方正仿宋_GBK" w:cs="方正仿宋_GBK"/>
          <w:sz w:val="28"/>
          <w:szCs w:val="28"/>
        </w:rPr>
        <w:t>支付合同总金额20%的违约金。</w:t>
      </w:r>
    </w:p>
    <w:p>
      <w:pPr>
        <w:tabs>
          <w:tab w:val="left" w:pos="6360"/>
        </w:tabs>
        <w:spacing w:line="240" w:lineRule="auto"/>
        <w:ind w:firstLine="560" w:firstLineChars="200"/>
        <w:jc w:val="both"/>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2、报价单上所列产品及其颜色不得任意退、换（质量问题除外），如</w:t>
      </w:r>
      <w:r>
        <w:rPr>
          <w:rFonts w:hint="eastAsia" w:ascii="方正仿宋_GBK" w:hAnsi="方正仿宋_GBK" w:eastAsia="方正仿宋_GBK" w:cs="方正仿宋_GBK"/>
          <w:sz w:val="28"/>
          <w:szCs w:val="28"/>
          <w:lang w:eastAsia="zh-CN"/>
        </w:rPr>
        <w:t>甲方</w:t>
      </w:r>
      <w:r>
        <w:rPr>
          <w:rFonts w:hint="eastAsia" w:ascii="方正仿宋_GBK" w:hAnsi="方正仿宋_GBK" w:eastAsia="方正仿宋_GBK" w:cs="方正仿宋_GBK"/>
          <w:sz w:val="28"/>
          <w:szCs w:val="28"/>
        </w:rPr>
        <w:t>非因不可抗力（如地震、水灾、风灾等）要求退、换，则：</w:t>
      </w:r>
    </w:p>
    <w:p>
      <w:pPr>
        <w:spacing w:line="240" w:lineRule="auto"/>
        <w:ind w:left="600"/>
        <w:jc w:val="both"/>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1）订制品、桌屏、高隔间，</w:t>
      </w:r>
      <w:r>
        <w:rPr>
          <w:rFonts w:hint="eastAsia" w:ascii="方正仿宋_GBK" w:hAnsi="方正仿宋_GBK" w:eastAsia="方正仿宋_GBK" w:cs="方正仿宋_GBK"/>
          <w:sz w:val="28"/>
          <w:szCs w:val="28"/>
          <w:lang w:eastAsia="zh-CN"/>
        </w:rPr>
        <w:t>乙方</w:t>
      </w:r>
      <w:r>
        <w:rPr>
          <w:rFonts w:hint="eastAsia" w:ascii="方正仿宋_GBK" w:hAnsi="方正仿宋_GBK" w:eastAsia="方正仿宋_GBK" w:cs="方正仿宋_GBK"/>
          <w:sz w:val="28"/>
          <w:szCs w:val="28"/>
        </w:rPr>
        <w:t>不接受退换。</w:t>
      </w:r>
    </w:p>
    <w:p>
      <w:pPr>
        <w:spacing w:line="240" w:lineRule="auto"/>
        <w:ind w:left="600"/>
        <w:jc w:val="both"/>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2）其他类产品退、换，以售价之</w:t>
      </w:r>
      <w:r>
        <w:rPr>
          <w:rFonts w:hint="eastAsia" w:ascii="方正仿宋_GBK" w:hAnsi="方正仿宋_GBK" w:eastAsia="方正仿宋_GBK" w:cs="方正仿宋_GBK"/>
          <w:sz w:val="28"/>
          <w:szCs w:val="28"/>
          <w:lang w:val="en-US" w:eastAsia="zh-CN"/>
        </w:rPr>
        <w:t>5</w:t>
      </w:r>
      <w:r>
        <w:rPr>
          <w:rFonts w:hint="eastAsia" w:ascii="方正仿宋_GBK" w:hAnsi="方正仿宋_GBK" w:eastAsia="方正仿宋_GBK" w:cs="方正仿宋_GBK"/>
          <w:sz w:val="28"/>
          <w:szCs w:val="28"/>
        </w:rPr>
        <w:t>%收取损耗金，运输费用</w:t>
      </w:r>
      <w:r>
        <w:rPr>
          <w:rFonts w:hint="eastAsia" w:ascii="方正仿宋_GBK" w:hAnsi="方正仿宋_GBK" w:eastAsia="方正仿宋_GBK" w:cs="方正仿宋_GBK"/>
          <w:sz w:val="28"/>
          <w:szCs w:val="28"/>
          <w:lang w:val="en-US" w:eastAsia="zh-CN"/>
        </w:rPr>
        <w:t>由乙</w:t>
      </w:r>
      <w:r>
        <w:rPr>
          <w:rFonts w:hint="eastAsia" w:ascii="方正仿宋_GBK" w:hAnsi="方正仿宋_GBK" w:eastAsia="方正仿宋_GBK" w:cs="方正仿宋_GBK"/>
          <w:sz w:val="28"/>
          <w:szCs w:val="28"/>
          <w:lang w:eastAsia="zh-CN"/>
        </w:rPr>
        <w:t>方</w:t>
      </w:r>
      <w:r>
        <w:rPr>
          <w:rFonts w:hint="eastAsia" w:ascii="方正仿宋_GBK" w:hAnsi="方正仿宋_GBK" w:eastAsia="方正仿宋_GBK" w:cs="方正仿宋_GBK"/>
          <w:sz w:val="28"/>
          <w:szCs w:val="28"/>
        </w:rPr>
        <w:t>需另行承担。</w:t>
      </w:r>
    </w:p>
    <w:p>
      <w:pPr>
        <w:spacing w:line="240" w:lineRule="auto"/>
        <w:ind w:left="600"/>
        <w:jc w:val="both"/>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3）有损坏者不接受退、换。</w:t>
      </w:r>
    </w:p>
    <w:p>
      <w:pPr>
        <w:tabs>
          <w:tab w:val="left" w:pos="6360"/>
        </w:tabs>
        <w:spacing w:line="240" w:lineRule="auto"/>
        <w:ind w:left="480"/>
        <w:jc w:val="both"/>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4）</w:t>
      </w:r>
      <w:r>
        <w:rPr>
          <w:rFonts w:hint="eastAsia" w:ascii="方正仿宋_GBK" w:hAnsi="方正仿宋_GBK" w:eastAsia="方正仿宋_GBK" w:cs="方正仿宋_GBK"/>
          <w:sz w:val="28"/>
          <w:szCs w:val="28"/>
          <w:lang w:eastAsia="zh-CN"/>
        </w:rPr>
        <w:t>甲方</w:t>
      </w:r>
      <w:r>
        <w:rPr>
          <w:rFonts w:hint="eastAsia" w:ascii="方正仿宋_GBK" w:hAnsi="方正仿宋_GBK" w:eastAsia="方正仿宋_GBK" w:cs="方正仿宋_GBK"/>
          <w:sz w:val="28"/>
          <w:szCs w:val="28"/>
        </w:rPr>
        <w:t>对其他未退、换部分按本合同要求进行验收和付款。</w:t>
      </w:r>
    </w:p>
    <w:p>
      <w:pPr>
        <w:tabs>
          <w:tab w:val="left" w:pos="6360"/>
        </w:tabs>
        <w:spacing w:line="240" w:lineRule="auto"/>
        <w:ind w:firstLine="562" w:firstLineChars="200"/>
        <w:jc w:val="both"/>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十二、合同变更</w:t>
      </w:r>
    </w:p>
    <w:p>
      <w:pPr>
        <w:tabs>
          <w:tab w:val="left" w:pos="6360"/>
        </w:tabs>
        <w:spacing w:line="240" w:lineRule="auto"/>
        <w:ind w:firstLine="560" w:firstLineChars="200"/>
        <w:jc w:val="both"/>
        <w:rPr>
          <w:rFonts w:hint="eastAsia" w:ascii="方正仿宋_GBK" w:hAnsi="方正仿宋_GBK" w:eastAsia="方正仿宋_GBK" w:cs="方正仿宋_GBK"/>
          <w:kern w:val="0"/>
          <w:sz w:val="28"/>
          <w:szCs w:val="28"/>
          <w:lang w:val="en-US" w:eastAsia="zh-CN" w:bidi="ar-SA"/>
        </w:rPr>
      </w:pPr>
      <w:r>
        <w:rPr>
          <w:rFonts w:hint="eastAsia" w:ascii="方正仿宋_GBK" w:hAnsi="方正仿宋_GBK" w:eastAsia="方正仿宋_GBK" w:cs="方正仿宋_GBK"/>
          <w:kern w:val="0"/>
          <w:sz w:val="28"/>
          <w:szCs w:val="28"/>
          <w:lang w:val="en-US" w:eastAsia="zh-CN" w:bidi="ar-SA"/>
        </w:rPr>
        <w:t xml:space="preserve">1.本合同签订后，工程量在设计文件规定的工程量以内时，单价以工程量清单的单价为准；工程量若有变更或新增，变更合同价款按下列方法进行： </w:t>
      </w:r>
    </w:p>
    <w:p>
      <w:pPr>
        <w:spacing w:line="400" w:lineRule="exact"/>
        <w:ind w:firstLine="560" w:firstLineChars="200"/>
        <w:rPr>
          <w:rFonts w:hint="eastAsia" w:ascii="方正仿宋_GBK" w:hAnsi="方正仿宋_GBK" w:eastAsia="方正仿宋_GBK" w:cs="方正仿宋_GBK"/>
          <w:kern w:val="0"/>
          <w:sz w:val="28"/>
          <w:szCs w:val="28"/>
          <w:lang w:val="en-US" w:eastAsia="zh-CN" w:bidi="ar-SA"/>
        </w:rPr>
      </w:pP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kern w:val="0"/>
          <w:sz w:val="28"/>
          <w:szCs w:val="28"/>
          <w:lang w:val="en-US" w:eastAsia="zh-CN" w:bidi="ar-SA"/>
        </w:rPr>
        <w:t xml:space="preserve">合同中已有适用于变更工程的价格，按合同已有的价格变更合同价款； </w:t>
      </w:r>
    </w:p>
    <w:p>
      <w:pPr>
        <w:spacing w:line="400" w:lineRule="exact"/>
        <w:ind w:firstLine="560" w:firstLineChars="200"/>
        <w:rPr>
          <w:rFonts w:hint="eastAsia" w:ascii="方正仿宋_GBK" w:hAnsi="方正仿宋_GBK" w:eastAsia="方正仿宋_GBK" w:cs="方正仿宋_GBK"/>
          <w:kern w:val="0"/>
          <w:sz w:val="28"/>
          <w:szCs w:val="28"/>
          <w:lang w:val="en-US" w:eastAsia="zh-CN" w:bidi="ar-SA"/>
        </w:rPr>
      </w:pPr>
      <w:r>
        <w:rPr>
          <w:rFonts w:hint="eastAsia" w:ascii="方正仿宋_GBK" w:hAnsi="方正仿宋_GBK" w:eastAsia="方正仿宋_GBK" w:cs="方正仿宋_GBK"/>
          <w:sz w:val="28"/>
          <w:szCs w:val="28"/>
        </w:rPr>
        <w:t>2）</w:t>
      </w:r>
      <w:r>
        <w:rPr>
          <w:rFonts w:hint="eastAsia" w:ascii="方正仿宋_GBK" w:hAnsi="方正仿宋_GBK" w:eastAsia="方正仿宋_GBK" w:cs="方正仿宋_GBK"/>
          <w:kern w:val="0"/>
          <w:sz w:val="28"/>
          <w:szCs w:val="28"/>
          <w:lang w:val="en-US" w:eastAsia="zh-CN" w:bidi="ar-SA"/>
        </w:rPr>
        <w:t>合同中只有类似于变更工程的价格，可以参照类似价格变更合同价款；</w:t>
      </w:r>
    </w:p>
    <w:p>
      <w:pPr>
        <w:spacing w:line="40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w:t>
      </w:r>
      <w:r>
        <w:rPr>
          <w:rFonts w:hint="eastAsia" w:ascii="方正仿宋_GBK" w:hAnsi="方正仿宋_GBK" w:eastAsia="方正仿宋_GBK" w:cs="方正仿宋_GBK"/>
          <w:kern w:val="0"/>
          <w:sz w:val="28"/>
          <w:szCs w:val="28"/>
          <w:lang w:val="en-US" w:eastAsia="zh-CN" w:bidi="ar-SA"/>
        </w:rPr>
        <w:t>合同中没有适用于变更工程的价格，按甲方审定的符合市场的合理价格执行。</w:t>
      </w:r>
    </w:p>
    <w:p>
      <w:pPr>
        <w:tabs>
          <w:tab w:val="left" w:pos="6360"/>
          <w:tab w:val="left" w:pos="8280"/>
        </w:tabs>
        <w:spacing w:line="240" w:lineRule="auto"/>
        <w:ind w:firstLine="560" w:firstLineChars="200"/>
        <w:jc w:val="both"/>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2.</w:t>
      </w:r>
      <w:r>
        <w:rPr>
          <w:rFonts w:hint="eastAsia" w:ascii="方正仿宋_GBK" w:hAnsi="方正仿宋_GBK" w:eastAsia="方正仿宋_GBK" w:cs="方正仿宋_GBK"/>
          <w:sz w:val="28"/>
          <w:szCs w:val="28"/>
        </w:rPr>
        <w:t>双方签约后，因</w:t>
      </w:r>
      <w:r>
        <w:rPr>
          <w:rFonts w:hint="eastAsia" w:ascii="方正仿宋_GBK" w:hAnsi="方正仿宋_GBK" w:eastAsia="方正仿宋_GBK" w:cs="方正仿宋_GBK"/>
          <w:sz w:val="28"/>
          <w:szCs w:val="28"/>
          <w:lang w:eastAsia="zh-CN"/>
        </w:rPr>
        <w:t>甲方</w:t>
      </w:r>
      <w:r>
        <w:rPr>
          <w:rFonts w:hint="eastAsia" w:ascii="方正仿宋_GBK" w:hAnsi="方正仿宋_GBK" w:eastAsia="方正仿宋_GBK" w:cs="方正仿宋_GBK"/>
          <w:sz w:val="28"/>
          <w:szCs w:val="28"/>
        </w:rPr>
        <w:t>合理要求而变更交货的时间、地点、验收人等内容应填写《交货变更确认单》，经双方签字后生效。</w:t>
      </w:r>
    </w:p>
    <w:p>
      <w:pPr>
        <w:pStyle w:val="31"/>
        <w:tabs>
          <w:tab w:val="left" w:pos="6360"/>
        </w:tabs>
        <w:spacing w:line="240" w:lineRule="auto"/>
        <w:ind w:left="0" w:leftChars="0" w:firstLine="562"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b/>
          <w:bCs/>
          <w:sz w:val="28"/>
          <w:szCs w:val="28"/>
        </w:rPr>
        <w:t>十三、</w:t>
      </w:r>
      <w:r>
        <w:rPr>
          <w:rFonts w:hint="eastAsia" w:ascii="方正仿宋_GBK" w:hAnsi="方正仿宋_GBK" w:eastAsia="方正仿宋_GBK" w:cs="方正仿宋_GBK"/>
          <w:sz w:val="28"/>
          <w:szCs w:val="28"/>
        </w:rPr>
        <w:t>因本合同涉讼时，买卖双方应协商解决；协商不成则提交</w:t>
      </w:r>
      <w:r>
        <w:rPr>
          <w:rFonts w:hint="eastAsia" w:ascii="方正仿宋_GBK" w:hAnsi="方正仿宋_GBK" w:eastAsia="方正仿宋_GBK" w:cs="方正仿宋_GBK"/>
          <w:sz w:val="28"/>
          <w:szCs w:val="28"/>
          <w:lang w:eastAsia="zh-CN"/>
        </w:rPr>
        <w:t>乙方</w:t>
      </w:r>
      <w:r>
        <w:rPr>
          <w:rFonts w:hint="eastAsia" w:ascii="方正仿宋_GBK" w:hAnsi="方正仿宋_GBK" w:eastAsia="方正仿宋_GBK" w:cs="方正仿宋_GBK"/>
          <w:sz w:val="28"/>
          <w:szCs w:val="28"/>
        </w:rPr>
        <w:t>所在地有管辖权的人民法院诉讼解决。</w:t>
      </w:r>
    </w:p>
    <w:p>
      <w:pPr>
        <w:tabs>
          <w:tab w:val="left" w:pos="6360"/>
        </w:tabs>
        <w:spacing w:line="240" w:lineRule="auto"/>
        <w:ind w:firstLine="562" w:firstLineChars="200"/>
        <w:jc w:val="both"/>
        <w:rPr>
          <w:rFonts w:hint="eastAsia" w:ascii="方正仿宋_GBK" w:hAnsi="方正仿宋_GBK" w:eastAsia="方正仿宋_GBK" w:cs="方正仿宋_GBK"/>
          <w:sz w:val="28"/>
          <w:szCs w:val="28"/>
        </w:rPr>
      </w:pPr>
      <w:r>
        <w:rPr>
          <w:rFonts w:hint="eastAsia" w:ascii="方正仿宋_GBK" w:hAnsi="方正仿宋_GBK" w:eastAsia="方正仿宋_GBK" w:cs="方正仿宋_GBK"/>
          <w:b/>
          <w:bCs/>
          <w:sz w:val="28"/>
          <w:szCs w:val="28"/>
        </w:rPr>
        <w:t>十四、</w:t>
      </w:r>
      <w:r>
        <w:rPr>
          <w:rFonts w:hint="eastAsia" w:ascii="方正仿宋_GBK" w:hAnsi="方正仿宋_GBK" w:eastAsia="方正仿宋_GBK" w:cs="方正仿宋_GBK"/>
          <w:sz w:val="28"/>
          <w:szCs w:val="28"/>
        </w:rPr>
        <w:t>本合同具有以下附件：</w:t>
      </w:r>
      <w:r>
        <w:rPr>
          <w:rFonts w:hint="eastAsia" w:ascii="方正仿宋_GBK" w:hAnsi="方正仿宋_GBK" w:eastAsia="方正仿宋_GBK" w:cs="方正仿宋_GBK"/>
          <w:sz w:val="28"/>
          <w:szCs w:val="28"/>
          <w:u w:val="single"/>
        </w:rPr>
        <w:t>1、</w:t>
      </w:r>
      <w:r>
        <w:rPr>
          <w:rFonts w:hint="eastAsia" w:ascii="方正仿宋_GBK" w:hAnsi="方正仿宋_GBK" w:eastAsia="方正仿宋_GBK" w:cs="方正仿宋_GBK"/>
          <w:sz w:val="28"/>
          <w:szCs w:val="28"/>
          <w:u w:val="single"/>
          <w:lang w:val="en-US" w:eastAsia="zh-CN"/>
        </w:rPr>
        <w:t>采购</w:t>
      </w:r>
      <w:r>
        <w:rPr>
          <w:rFonts w:hint="eastAsia" w:ascii="方正仿宋_GBK" w:hAnsi="方正仿宋_GBK" w:eastAsia="方正仿宋_GBK" w:cs="方正仿宋_GBK"/>
          <w:sz w:val="28"/>
          <w:szCs w:val="28"/>
          <w:u w:val="single"/>
        </w:rPr>
        <w:t>清单</w:t>
      </w:r>
      <w:r>
        <w:rPr>
          <w:rFonts w:hint="eastAsia" w:ascii="方正仿宋_GBK" w:hAnsi="方正仿宋_GBK" w:eastAsia="方正仿宋_GBK" w:cs="方正仿宋_GBK"/>
          <w:color w:val="000000"/>
          <w:sz w:val="28"/>
          <w:szCs w:val="28"/>
        </w:rPr>
        <w:t>；</w:t>
      </w:r>
      <w:r>
        <w:rPr>
          <w:rFonts w:hint="eastAsia" w:ascii="方正仿宋_GBK" w:hAnsi="方正仿宋_GBK" w:eastAsia="方正仿宋_GBK" w:cs="方正仿宋_GBK"/>
          <w:sz w:val="28"/>
          <w:szCs w:val="28"/>
          <w:u w:val="single"/>
        </w:rPr>
        <w:t>2、平面设计图纸；</w:t>
      </w:r>
      <w:r>
        <w:rPr>
          <w:rFonts w:hint="eastAsia" w:ascii="方正仿宋_GBK" w:hAnsi="方正仿宋_GBK" w:eastAsia="方正仿宋_GBK" w:cs="方正仿宋_GBK"/>
          <w:sz w:val="28"/>
          <w:szCs w:val="28"/>
        </w:rPr>
        <w:t>均是本合同不可分割的组成部分，与本合同具有同等法律效力。</w:t>
      </w:r>
    </w:p>
    <w:p>
      <w:pPr>
        <w:spacing w:line="300" w:lineRule="auto"/>
        <w:ind w:firstLine="562"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b/>
          <w:bCs/>
          <w:sz w:val="28"/>
          <w:szCs w:val="28"/>
        </w:rPr>
        <w:t>十五、</w:t>
      </w:r>
      <w:r>
        <w:rPr>
          <w:rFonts w:hint="eastAsia" w:ascii="方正仿宋_GBK" w:hAnsi="方正仿宋_GBK" w:eastAsia="方正仿宋_GBK" w:cs="方正仿宋_GBK"/>
          <w:sz w:val="28"/>
          <w:szCs w:val="28"/>
        </w:rPr>
        <w:t>在本合同空白待填写部分经双方协商一致后填写，其他部分不得涂改。如有涂改，应由双方经办人确定后，加盖本人母印或公司公章，否则涂改部份无效。</w:t>
      </w:r>
    </w:p>
    <w:p>
      <w:pPr>
        <w:tabs>
          <w:tab w:val="left" w:pos="6360"/>
        </w:tabs>
        <w:spacing w:line="240" w:lineRule="auto"/>
        <w:ind w:firstLine="562" w:firstLineChars="200"/>
        <w:jc w:val="both"/>
        <w:rPr>
          <w:rFonts w:hint="eastAsia" w:ascii="方正仿宋_GBK" w:hAnsi="方正仿宋_GBK" w:eastAsia="方正仿宋_GBK" w:cs="方正仿宋_GBK"/>
          <w:sz w:val="28"/>
          <w:szCs w:val="28"/>
        </w:rPr>
      </w:pPr>
      <w:r>
        <w:rPr>
          <w:rFonts w:hint="eastAsia" w:ascii="方正仿宋_GBK" w:hAnsi="方正仿宋_GBK" w:eastAsia="方正仿宋_GBK" w:cs="方正仿宋_GBK"/>
          <w:b/>
          <w:bCs/>
          <w:sz w:val="28"/>
          <w:szCs w:val="28"/>
        </w:rPr>
        <w:t>十六、</w:t>
      </w:r>
      <w:r>
        <w:rPr>
          <w:rFonts w:hint="eastAsia" w:ascii="方正仿宋_GBK" w:hAnsi="方正仿宋_GBK" w:eastAsia="方正仿宋_GBK" w:cs="方正仿宋_GBK"/>
          <w:sz w:val="28"/>
          <w:szCs w:val="28"/>
        </w:rPr>
        <w:t>本合同正本一式</w:t>
      </w:r>
      <w:r>
        <w:rPr>
          <w:rFonts w:hint="eastAsia" w:ascii="方正仿宋_GBK" w:hAnsi="方正仿宋_GBK" w:eastAsia="方正仿宋_GBK" w:cs="方正仿宋_GBK"/>
          <w:sz w:val="28"/>
          <w:szCs w:val="28"/>
          <w:lang w:val="en-US" w:eastAsia="zh-CN"/>
        </w:rPr>
        <w:t>肆</w:t>
      </w:r>
      <w:r>
        <w:rPr>
          <w:rFonts w:hint="eastAsia" w:ascii="方正仿宋_GBK" w:hAnsi="方正仿宋_GBK" w:eastAsia="方正仿宋_GBK" w:cs="方正仿宋_GBK"/>
          <w:sz w:val="28"/>
          <w:szCs w:val="28"/>
        </w:rPr>
        <w:t>份，</w:t>
      </w:r>
      <w:r>
        <w:rPr>
          <w:rFonts w:hint="eastAsia" w:ascii="方正仿宋_GBK" w:hAnsi="方正仿宋_GBK" w:eastAsia="方正仿宋_GBK" w:cs="方正仿宋_GBK"/>
          <w:sz w:val="28"/>
          <w:szCs w:val="28"/>
          <w:lang w:val="en-US" w:eastAsia="zh-CN"/>
        </w:rPr>
        <w:t>甲方</w:t>
      </w:r>
      <w:r>
        <w:rPr>
          <w:rFonts w:hint="eastAsia" w:ascii="方正仿宋_GBK" w:hAnsi="方正仿宋_GBK" w:eastAsia="方正仿宋_GBK" w:cs="方正仿宋_GBK"/>
          <w:sz w:val="28"/>
          <w:szCs w:val="28"/>
        </w:rPr>
        <w:t>执</w:t>
      </w:r>
      <w:r>
        <w:rPr>
          <w:rFonts w:hint="eastAsia" w:ascii="方正仿宋_GBK" w:hAnsi="方正仿宋_GBK" w:eastAsia="方正仿宋_GBK" w:cs="方正仿宋_GBK"/>
          <w:sz w:val="28"/>
          <w:szCs w:val="28"/>
          <w:lang w:val="en-US" w:eastAsia="zh-CN"/>
        </w:rPr>
        <w:t>三</w:t>
      </w:r>
      <w:r>
        <w:rPr>
          <w:rFonts w:hint="eastAsia" w:ascii="方正仿宋_GBK" w:hAnsi="方正仿宋_GBK" w:eastAsia="方正仿宋_GBK" w:cs="方正仿宋_GBK"/>
          <w:sz w:val="28"/>
          <w:szCs w:val="28"/>
        </w:rPr>
        <w:t>份</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lang w:val="en-US" w:eastAsia="zh-CN"/>
        </w:rPr>
        <w:t>乙方执一份</w:t>
      </w:r>
      <w:r>
        <w:rPr>
          <w:rFonts w:hint="eastAsia" w:ascii="方正仿宋_GBK" w:hAnsi="方正仿宋_GBK" w:eastAsia="方正仿宋_GBK" w:cs="方正仿宋_GBK"/>
          <w:sz w:val="28"/>
          <w:szCs w:val="28"/>
        </w:rPr>
        <w:t>。本合同经买卖双方签章后生效。</w:t>
      </w:r>
    </w:p>
    <w:p>
      <w:pPr>
        <w:tabs>
          <w:tab w:val="left" w:pos="6360"/>
        </w:tabs>
        <w:spacing w:line="240" w:lineRule="auto"/>
        <w:ind w:firstLine="560" w:firstLineChars="200"/>
        <w:jc w:val="both"/>
        <w:rPr>
          <w:rFonts w:hint="eastAsia" w:ascii="方正仿宋_GBK" w:hAnsi="方正仿宋_GBK" w:eastAsia="方正仿宋_GBK" w:cs="方正仿宋_GBK"/>
          <w:sz w:val="28"/>
          <w:szCs w:val="28"/>
        </w:rPr>
      </w:pPr>
    </w:p>
    <w:tbl>
      <w:tblPr>
        <w:tblStyle w:val="41"/>
        <w:tblW w:w="0" w:type="auto"/>
        <w:tblInd w:w="0" w:type="dxa"/>
        <w:tblLayout w:type="fixed"/>
        <w:tblCellMar>
          <w:top w:w="0" w:type="dxa"/>
          <w:left w:w="28" w:type="dxa"/>
          <w:bottom w:w="0" w:type="dxa"/>
          <w:right w:w="28" w:type="dxa"/>
        </w:tblCellMar>
      </w:tblPr>
      <w:tblGrid>
        <w:gridCol w:w="4948"/>
        <w:gridCol w:w="5280"/>
      </w:tblGrid>
      <w:tr>
        <w:tblPrEx>
          <w:tblCellMar>
            <w:top w:w="0" w:type="dxa"/>
            <w:left w:w="28" w:type="dxa"/>
            <w:bottom w:w="0" w:type="dxa"/>
            <w:right w:w="28" w:type="dxa"/>
          </w:tblCellMar>
        </w:tblPrEx>
        <w:tc>
          <w:tcPr>
            <w:tcW w:w="4948" w:type="dxa"/>
            <w:noWrap w:val="0"/>
            <w:vAlign w:val="top"/>
          </w:tcPr>
          <w:p>
            <w:pPr>
              <w:tabs>
                <w:tab w:val="left" w:pos="6360"/>
              </w:tabs>
              <w:spacing w:before="120" w:after="120" w:line="0" w:lineRule="atLeast"/>
              <w:jc w:val="both"/>
              <w:rPr>
                <w:rFonts w:hint="eastAsia"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lang w:eastAsia="zh-CN"/>
              </w:rPr>
              <w:t>甲方</w:t>
            </w:r>
            <w:r>
              <w:rPr>
                <w:rFonts w:hint="eastAsia" w:ascii="方正仿宋_GBK" w:hAnsi="方正仿宋_GBK" w:eastAsia="方正仿宋_GBK" w:cs="方正仿宋_GBK"/>
                <w:b/>
                <w:sz w:val="24"/>
                <w:szCs w:val="24"/>
              </w:rPr>
              <w:t>（盖章）：</w:t>
            </w:r>
          </w:p>
          <w:p>
            <w:pPr>
              <w:pStyle w:val="15"/>
              <w:rPr>
                <w:rFonts w:hint="eastAsia"/>
              </w:rPr>
            </w:pPr>
            <w:r>
              <w:rPr>
                <w:rFonts w:hint="eastAsia" w:ascii="方正仿宋_GBK" w:hAnsi="方正仿宋_GBK" w:eastAsia="方正仿宋_GBK" w:cs="方正仿宋_GBK"/>
                <w:b/>
                <w:sz w:val="24"/>
                <w:szCs w:val="24"/>
                <w:lang w:val="en-US" w:eastAsia="zh-CN"/>
              </w:rPr>
              <w:t>法定代表人（签字）：</w:t>
            </w:r>
          </w:p>
          <w:p>
            <w:pPr>
              <w:tabs>
                <w:tab w:val="left" w:pos="6360"/>
              </w:tabs>
              <w:spacing w:before="120" w:after="120" w:line="0" w:lineRule="atLeast"/>
              <w:jc w:val="both"/>
              <w:rPr>
                <w:rFonts w:hint="eastAsia" w:ascii="方正仿宋_GBK" w:hAnsi="方正仿宋_GBK" w:eastAsia="方正仿宋_GBK" w:cs="方正仿宋_GBK"/>
                <w:b/>
                <w:sz w:val="24"/>
                <w:szCs w:val="24"/>
              </w:rPr>
            </w:pPr>
          </w:p>
          <w:p>
            <w:pPr>
              <w:tabs>
                <w:tab w:val="left" w:pos="6360"/>
              </w:tabs>
              <w:spacing w:before="120" w:after="120" w:line="0" w:lineRule="atLeast"/>
              <w:jc w:val="both"/>
              <w:rPr>
                <w:rFonts w:hint="eastAsia"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经办人（签字）：</w:t>
            </w:r>
          </w:p>
          <w:p>
            <w:pPr>
              <w:tabs>
                <w:tab w:val="left" w:pos="6360"/>
              </w:tabs>
              <w:spacing w:before="120" w:after="120" w:line="0" w:lineRule="atLeast"/>
              <w:jc w:val="both"/>
              <w:rPr>
                <w:rFonts w:hint="default" w:ascii="方正仿宋_GBK" w:hAnsi="方正仿宋_GBK" w:eastAsia="方正仿宋_GBK" w:cs="方正仿宋_GBK"/>
                <w:b/>
                <w:sz w:val="24"/>
                <w:szCs w:val="24"/>
                <w:lang w:val="en-US" w:eastAsia="zh-CN"/>
              </w:rPr>
            </w:pPr>
          </w:p>
          <w:p>
            <w:pPr>
              <w:tabs>
                <w:tab w:val="left" w:pos="6360"/>
              </w:tabs>
              <w:spacing w:before="120" w:after="120" w:line="0" w:lineRule="atLeast"/>
              <w:jc w:val="both"/>
              <w:rPr>
                <w:rFonts w:hint="eastAsia"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日期： 202</w:t>
            </w:r>
            <w:r>
              <w:rPr>
                <w:rFonts w:hint="eastAsia" w:ascii="方正仿宋_GBK" w:hAnsi="方正仿宋_GBK" w:eastAsia="方正仿宋_GBK" w:cs="方正仿宋_GBK"/>
                <w:b/>
                <w:sz w:val="24"/>
                <w:szCs w:val="24"/>
                <w:lang w:val="en-US" w:eastAsia="zh-CN"/>
              </w:rPr>
              <w:t>3</w:t>
            </w:r>
            <w:r>
              <w:rPr>
                <w:rFonts w:hint="eastAsia" w:ascii="方正仿宋_GBK" w:hAnsi="方正仿宋_GBK" w:eastAsia="方正仿宋_GBK" w:cs="方正仿宋_GBK"/>
                <w:b/>
                <w:sz w:val="24"/>
                <w:szCs w:val="24"/>
              </w:rPr>
              <w:t xml:space="preserve">年 </w:t>
            </w:r>
            <w:r>
              <w:rPr>
                <w:rFonts w:hint="eastAsia" w:ascii="方正仿宋_GBK" w:hAnsi="方正仿宋_GBK" w:eastAsia="方正仿宋_GBK" w:cs="方正仿宋_GBK"/>
                <w:b/>
                <w:sz w:val="24"/>
                <w:szCs w:val="24"/>
                <w:lang w:val="en-US" w:eastAsia="zh-CN"/>
              </w:rPr>
              <w:t xml:space="preserve">  </w:t>
            </w:r>
            <w:r>
              <w:rPr>
                <w:rFonts w:hint="eastAsia" w:ascii="方正仿宋_GBK" w:hAnsi="方正仿宋_GBK" w:eastAsia="方正仿宋_GBK" w:cs="方正仿宋_GBK"/>
                <w:b/>
                <w:sz w:val="24"/>
                <w:szCs w:val="24"/>
              </w:rPr>
              <w:t xml:space="preserve">月 </w:t>
            </w:r>
            <w:r>
              <w:rPr>
                <w:rFonts w:hint="eastAsia" w:ascii="方正仿宋_GBK" w:hAnsi="方正仿宋_GBK" w:eastAsia="方正仿宋_GBK" w:cs="方正仿宋_GBK"/>
                <w:b/>
                <w:sz w:val="24"/>
                <w:szCs w:val="24"/>
                <w:lang w:val="en-US" w:eastAsia="zh-CN"/>
              </w:rPr>
              <w:t xml:space="preserve">  </w:t>
            </w:r>
            <w:r>
              <w:rPr>
                <w:rFonts w:hint="eastAsia" w:ascii="方正仿宋_GBK" w:hAnsi="方正仿宋_GBK" w:eastAsia="方正仿宋_GBK" w:cs="方正仿宋_GBK"/>
                <w:b/>
                <w:sz w:val="24"/>
                <w:szCs w:val="24"/>
              </w:rPr>
              <w:t>日</w:t>
            </w:r>
          </w:p>
        </w:tc>
        <w:tc>
          <w:tcPr>
            <w:tcW w:w="5280" w:type="dxa"/>
            <w:noWrap w:val="0"/>
            <w:vAlign w:val="top"/>
          </w:tcPr>
          <w:p>
            <w:pPr>
              <w:tabs>
                <w:tab w:val="left" w:pos="6360"/>
              </w:tabs>
              <w:spacing w:before="120" w:after="120" w:line="0" w:lineRule="atLeast"/>
              <w:jc w:val="both"/>
              <w:rPr>
                <w:rFonts w:hint="eastAsia"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lang w:eastAsia="zh-CN"/>
              </w:rPr>
              <w:t>乙方</w:t>
            </w:r>
            <w:r>
              <w:rPr>
                <w:rFonts w:hint="eastAsia" w:ascii="方正仿宋_GBK" w:hAnsi="方正仿宋_GBK" w:eastAsia="方正仿宋_GBK" w:cs="方正仿宋_GBK"/>
                <w:b/>
                <w:sz w:val="24"/>
                <w:szCs w:val="24"/>
              </w:rPr>
              <w:t>（盖章）：</w:t>
            </w:r>
          </w:p>
          <w:p>
            <w:pPr>
              <w:tabs>
                <w:tab w:val="left" w:pos="6360"/>
              </w:tabs>
              <w:spacing w:before="120" w:after="120" w:line="0" w:lineRule="atLeast"/>
              <w:jc w:val="both"/>
              <w:rPr>
                <w:rFonts w:hint="eastAsia"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 xml:space="preserve">开户银行：       </w:t>
            </w:r>
          </w:p>
          <w:p>
            <w:pPr>
              <w:tabs>
                <w:tab w:val="left" w:pos="6360"/>
              </w:tabs>
              <w:spacing w:before="120" w:after="120" w:line="0" w:lineRule="atLeast"/>
              <w:ind w:left="601" w:hanging="602" w:hangingChars="250"/>
              <w:jc w:val="both"/>
              <w:rPr>
                <w:rFonts w:hint="eastAsia"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银行</w:t>
            </w:r>
            <w:r>
              <w:rPr>
                <w:rFonts w:hint="eastAsia" w:ascii="方正仿宋_GBK" w:hAnsi="方正仿宋_GBK" w:eastAsia="方正仿宋_GBK" w:cs="方正仿宋_GBK"/>
                <w:b/>
                <w:sz w:val="24"/>
                <w:szCs w:val="24"/>
                <w:lang w:eastAsia="zh-CN"/>
              </w:rPr>
              <w:t>账</w:t>
            </w:r>
            <w:r>
              <w:rPr>
                <w:rFonts w:hint="eastAsia" w:ascii="方正仿宋_GBK" w:hAnsi="方正仿宋_GBK" w:eastAsia="方正仿宋_GBK" w:cs="方正仿宋_GBK"/>
                <w:b/>
                <w:sz w:val="24"/>
                <w:szCs w:val="24"/>
              </w:rPr>
              <w:t>号：</w:t>
            </w:r>
          </w:p>
          <w:p>
            <w:pPr>
              <w:tabs>
                <w:tab w:val="left" w:pos="6360"/>
              </w:tabs>
              <w:spacing w:before="120" w:after="120" w:line="0" w:lineRule="atLeast"/>
              <w:jc w:val="both"/>
              <w:rPr>
                <w:rFonts w:hint="eastAsia"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经办人（签字）：</w:t>
            </w:r>
          </w:p>
          <w:p>
            <w:pPr>
              <w:tabs>
                <w:tab w:val="left" w:pos="6360"/>
              </w:tabs>
              <w:spacing w:before="120" w:after="120" w:line="0" w:lineRule="atLeast"/>
              <w:jc w:val="both"/>
              <w:rPr>
                <w:rFonts w:hint="eastAsia" w:ascii="方正仿宋_GBK" w:hAnsi="方正仿宋_GBK" w:eastAsia="方正仿宋_GBK" w:cs="方正仿宋_GBK"/>
                <w:b/>
                <w:sz w:val="24"/>
                <w:szCs w:val="24"/>
                <w:lang w:val="en-US" w:eastAsia="zh-CN"/>
              </w:rPr>
            </w:pPr>
            <w:r>
              <w:rPr>
                <w:rFonts w:hint="eastAsia" w:ascii="方正仿宋_GBK" w:hAnsi="方正仿宋_GBK" w:eastAsia="方正仿宋_GBK" w:cs="方正仿宋_GBK"/>
                <w:b/>
                <w:sz w:val="24"/>
                <w:szCs w:val="24"/>
                <w:lang w:val="en-US" w:eastAsia="zh-CN"/>
              </w:rPr>
              <w:t>法定代表人（签字）：</w:t>
            </w:r>
          </w:p>
          <w:p>
            <w:pPr>
              <w:tabs>
                <w:tab w:val="left" w:pos="6360"/>
              </w:tabs>
              <w:spacing w:before="120" w:after="120" w:line="0" w:lineRule="atLeast"/>
              <w:jc w:val="both"/>
              <w:rPr>
                <w:rFonts w:hint="eastAsia"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日期：     202</w:t>
            </w:r>
            <w:r>
              <w:rPr>
                <w:rFonts w:hint="eastAsia" w:ascii="方正仿宋_GBK" w:hAnsi="方正仿宋_GBK" w:eastAsia="方正仿宋_GBK" w:cs="方正仿宋_GBK"/>
                <w:b/>
                <w:sz w:val="24"/>
                <w:szCs w:val="24"/>
                <w:lang w:val="en-US" w:eastAsia="zh-CN"/>
              </w:rPr>
              <w:t>3</w:t>
            </w:r>
            <w:r>
              <w:rPr>
                <w:rFonts w:hint="eastAsia" w:ascii="方正仿宋_GBK" w:hAnsi="方正仿宋_GBK" w:eastAsia="方正仿宋_GBK" w:cs="方正仿宋_GBK"/>
                <w:b/>
                <w:sz w:val="24"/>
                <w:szCs w:val="24"/>
              </w:rPr>
              <w:t xml:space="preserve">年 </w:t>
            </w:r>
            <w:r>
              <w:rPr>
                <w:rFonts w:hint="eastAsia" w:ascii="方正仿宋_GBK" w:hAnsi="方正仿宋_GBK" w:eastAsia="方正仿宋_GBK" w:cs="方正仿宋_GBK"/>
                <w:b/>
                <w:sz w:val="24"/>
                <w:szCs w:val="24"/>
                <w:lang w:val="en-US" w:eastAsia="zh-CN"/>
              </w:rPr>
              <w:t xml:space="preserve">  </w:t>
            </w:r>
            <w:r>
              <w:rPr>
                <w:rFonts w:hint="eastAsia" w:ascii="方正仿宋_GBK" w:hAnsi="方正仿宋_GBK" w:eastAsia="方正仿宋_GBK" w:cs="方正仿宋_GBK"/>
                <w:b/>
                <w:sz w:val="24"/>
                <w:szCs w:val="24"/>
              </w:rPr>
              <w:t xml:space="preserve">月 </w:t>
            </w:r>
            <w:r>
              <w:rPr>
                <w:rFonts w:hint="eastAsia" w:ascii="方正仿宋_GBK" w:hAnsi="方正仿宋_GBK" w:eastAsia="方正仿宋_GBK" w:cs="方正仿宋_GBK"/>
                <w:b/>
                <w:sz w:val="24"/>
                <w:szCs w:val="24"/>
                <w:lang w:val="en-US" w:eastAsia="zh-CN"/>
              </w:rPr>
              <w:t xml:space="preserve">  </w:t>
            </w:r>
            <w:r>
              <w:rPr>
                <w:rFonts w:hint="eastAsia" w:ascii="方正仿宋_GBK" w:hAnsi="方正仿宋_GBK" w:eastAsia="方正仿宋_GBK" w:cs="方正仿宋_GBK"/>
                <w:b/>
                <w:sz w:val="24"/>
                <w:szCs w:val="24"/>
              </w:rPr>
              <w:t>日</w:t>
            </w:r>
          </w:p>
        </w:tc>
      </w:tr>
    </w:tbl>
    <w:p>
      <w:pPr>
        <w:widowControl/>
        <w:jc w:val="center"/>
        <w:rPr>
          <w:rFonts w:hint="eastAsia" w:ascii="宋体" w:hAnsi="宋体"/>
          <w:b/>
          <w:sz w:val="36"/>
          <w:szCs w:val="36"/>
          <w:lang w:eastAsia="zh-CN"/>
        </w:rPr>
      </w:pPr>
    </w:p>
    <w:p>
      <w:pPr>
        <w:widowControl/>
        <w:jc w:val="center"/>
        <w:rPr>
          <w:rFonts w:hint="eastAsia" w:ascii="宋体" w:hAnsi="宋体"/>
          <w:b/>
          <w:sz w:val="36"/>
          <w:szCs w:val="36"/>
          <w:lang w:eastAsia="zh-CN"/>
        </w:rPr>
      </w:pPr>
    </w:p>
    <w:p>
      <w:pPr>
        <w:widowControl/>
        <w:jc w:val="center"/>
        <w:rPr>
          <w:rFonts w:hint="eastAsia" w:ascii="宋体" w:hAnsi="宋体"/>
          <w:b/>
          <w:sz w:val="36"/>
          <w:szCs w:val="36"/>
          <w:lang w:eastAsia="zh-CN"/>
        </w:rPr>
      </w:pPr>
    </w:p>
    <w:p>
      <w:pPr>
        <w:widowControl/>
        <w:jc w:val="center"/>
        <w:rPr>
          <w:rFonts w:hint="eastAsia" w:ascii="宋体" w:hAnsi="宋体"/>
          <w:b/>
          <w:sz w:val="36"/>
          <w:szCs w:val="36"/>
          <w:lang w:eastAsia="zh-CN"/>
        </w:rPr>
      </w:pPr>
    </w:p>
    <w:p>
      <w:pPr>
        <w:widowControl/>
        <w:jc w:val="center"/>
        <w:rPr>
          <w:rFonts w:hint="eastAsia" w:ascii="宋体" w:hAnsi="宋体"/>
          <w:b/>
          <w:sz w:val="36"/>
          <w:szCs w:val="36"/>
          <w:lang w:eastAsia="zh-CN"/>
        </w:rPr>
      </w:pPr>
    </w:p>
    <w:p>
      <w:pPr>
        <w:widowControl/>
        <w:jc w:val="center"/>
        <w:rPr>
          <w:rFonts w:hint="eastAsia" w:ascii="宋体" w:hAnsi="宋体"/>
          <w:b/>
          <w:sz w:val="36"/>
          <w:szCs w:val="36"/>
          <w:lang w:eastAsia="zh-CN"/>
        </w:rPr>
      </w:pPr>
    </w:p>
    <w:p>
      <w:pPr>
        <w:widowControl/>
        <w:jc w:val="center"/>
        <w:rPr>
          <w:rFonts w:hint="eastAsia" w:ascii="宋体" w:hAnsi="宋体"/>
          <w:b/>
          <w:sz w:val="36"/>
          <w:szCs w:val="36"/>
          <w:lang w:eastAsia="zh-CN"/>
        </w:rPr>
      </w:pPr>
    </w:p>
    <w:p>
      <w:pPr>
        <w:widowControl/>
        <w:jc w:val="center"/>
        <w:rPr>
          <w:rFonts w:hint="eastAsia" w:ascii="宋体" w:hAnsi="宋体"/>
          <w:b/>
          <w:sz w:val="36"/>
          <w:szCs w:val="36"/>
          <w:lang w:eastAsia="zh-CN"/>
        </w:rPr>
      </w:pPr>
    </w:p>
    <w:p>
      <w:pPr>
        <w:widowControl/>
        <w:jc w:val="center"/>
        <w:rPr>
          <w:rFonts w:hint="eastAsia" w:ascii="宋体" w:hAnsi="宋体"/>
          <w:b/>
          <w:sz w:val="36"/>
          <w:szCs w:val="36"/>
          <w:lang w:eastAsia="zh-CN"/>
        </w:rPr>
      </w:pPr>
    </w:p>
    <w:p>
      <w:pPr>
        <w:widowControl/>
        <w:jc w:val="center"/>
        <w:rPr>
          <w:rFonts w:hint="eastAsia" w:ascii="宋体" w:hAnsi="宋体"/>
          <w:b/>
          <w:sz w:val="36"/>
          <w:szCs w:val="36"/>
          <w:lang w:eastAsia="zh-CN"/>
        </w:rPr>
      </w:pPr>
    </w:p>
    <w:p>
      <w:pPr>
        <w:widowControl/>
        <w:jc w:val="center"/>
        <w:rPr>
          <w:rFonts w:hint="eastAsia" w:ascii="宋体" w:hAnsi="宋体"/>
          <w:b/>
          <w:sz w:val="36"/>
          <w:szCs w:val="36"/>
          <w:lang w:eastAsia="zh-CN"/>
        </w:rPr>
      </w:pPr>
    </w:p>
    <w:p>
      <w:pPr>
        <w:widowControl/>
        <w:jc w:val="center"/>
        <w:rPr>
          <w:rFonts w:hint="eastAsia" w:ascii="宋体" w:hAnsi="宋体"/>
          <w:b/>
          <w:sz w:val="36"/>
          <w:szCs w:val="36"/>
          <w:lang w:eastAsia="zh-CN"/>
        </w:rPr>
      </w:pPr>
    </w:p>
    <w:p>
      <w:pPr>
        <w:widowControl/>
        <w:jc w:val="center"/>
        <w:rPr>
          <w:rFonts w:hint="eastAsia" w:ascii="宋体" w:hAnsi="宋体"/>
          <w:b/>
          <w:sz w:val="36"/>
          <w:szCs w:val="36"/>
          <w:lang w:eastAsia="zh-CN"/>
        </w:rPr>
      </w:pPr>
      <w:r>
        <w:rPr>
          <w:rFonts w:hint="eastAsia" w:ascii="宋体" w:hAnsi="宋体"/>
          <w:b/>
          <w:sz w:val="36"/>
          <w:szCs w:val="36"/>
          <w:lang w:eastAsia="zh-CN"/>
        </w:rPr>
        <w:t>重庆</w:t>
      </w:r>
      <w:r>
        <w:rPr>
          <w:rFonts w:hint="eastAsia" w:ascii="宋体" w:hAnsi="宋体"/>
          <w:b/>
          <w:sz w:val="36"/>
          <w:szCs w:val="36"/>
          <w:lang w:val="en-US" w:eastAsia="zh-CN"/>
        </w:rPr>
        <w:t>******************</w:t>
      </w:r>
      <w:r>
        <w:rPr>
          <w:rFonts w:hint="eastAsia" w:ascii="宋体" w:hAnsi="宋体"/>
          <w:b/>
          <w:sz w:val="36"/>
          <w:szCs w:val="36"/>
          <w:lang w:eastAsia="zh-CN"/>
        </w:rPr>
        <w:t>有限公司</w:t>
      </w:r>
    </w:p>
    <w:p>
      <w:pPr>
        <w:widowControl/>
        <w:spacing w:line="240" w:lineRule="auto"/>
        <w:jc w:val="center"/>
        <w:rPr>
          <w:rFonts w:hint="eastAsia" w:ascii="宋体" w:hAnsi="宋体"/>
          <w:b/>
          <w:sz w:val="36"/>
          <w:szCs w:val="36"/>
          <w:highlight w:val="none"/>
        </w:rPr>
      </w:pPr>
      <w:r>
        <w:rPr>
          <w:rFonts w:hint="eastAsia" w:ascii="宋体" w:hAnsi="宋体" w:eastAsia="宋体" w:cs="Times New Roman"/>
          <w:b/>
          <w:sz w:val="36"/>
          <w:szCs w:val="36"/>
          <w:highlight w:val="none"/>
        </w:rPr>
        <w:t>2023年办公家具采购</w:t>
      </w:r>
      <w:r>
        <w:rPr>
          <w:rFonts w:hint="eastAsia" w:ascii="宋体" w:hAnsi="宋体"/>
          <w:b/>
          <w:sz w:val="36"/>
          <w:szCs w:val="36"/>
          <w:highlight w:val="none"/>
        </w:rPr>
        <w:t>安全生产合同</w:t>
      </w:r>
    </w:p>
    <w:p>
      <w:pPr>
        <w:pStyle w:val="15"/>
        <w:rPr>
          <w:rFonts w:hint="eastAsia"/>
          <w:highlight w:val="none"/>
        </w:rPr>
      </w:pPr>
    </w:p>
    <w:p>
      <w:pPr>
        <w:spacing w:line="500" w:lineRule="exact"/>
        <w:ind w:firstLine="420" w:firstLineChars="200"/>
        <w:rPr>
          <w:rFonts w:ascii="宋体" w:hAnsi="宋体" w:cs="宋体"/>
          <w:szCs w:val="21"/>
          <w:highlight w:val="none"/>
        </w:rPr>
      </w:pPr>
      <w:r>
        <w:rPr>
          <w:rFonts w:hint="eastAsia" w:ascii="宋体" w:hAnsi="宋体" w:cs="宋体"/>
          <w:szCs w:val="21"/>
          <w:highlight w:val="none"/>
        </w:rPr>
        <w:t>为在</w:t>
      </w:r>
      <w:r>
        <w:rPr>
          <w:rFonts w:hint="eastAsia" w:ascii="宋体" w:hAnsi="宋体" w:eastAsia="宋体" w:cs="宋体"/>
          <w:b/>
          <w:bCs/>
          <w:szCs w:val="21"/>
          <w:highlight w:val="none"/>
          <w:u w:val="single"/>
          <w:lang w:val="en-US" w:eastAsia="zh-CN"/>
        </w:rPr>
        <w:t>2</w:t>
      </w:r>
      <w:r>
        <w:rPr>
          <w:rFonts w:hint="eastAsia" w:ascii="宋体" w:hAnsi="宋体" w:eastAsia="宋体" w:cs="宋体"/>
          <w:b/>
          <w:bCs/>
          <w:szCs w:val="21"/>
          <w:highlight w:val="none"/>
          <w:u w:val="single"/>
          <w:lang w:eastAsia="zh-CN"/>
        </w:rPr>
        <w:t>023年办公家具采购</w:t>
      </w:r>
      <w:r>
        <w:rPr>
          <w:rFonts w:hint="eastAsia" w:ascii="宋体" w:hAnsi="宋体" w:cs="宋体"/>
          <w:szCs w:val="21"/>
          <w:highlight w:val="none"/>
        </w:rPr>
        <w:t>实施过程中创造安全、高效的施工环境，切实搞好本项目的安全管理工作，本项目</w:t>
      </w:r>
      <w:r>
        <w:rPr>
          <w:rFonts w:hint="eastAsia" w:ascii="宋体" w:hAnsi="宋体" w:cs="宋体"/>
          <w:szCs w:val="21"/>
          <w:highlight w:val="none"/>
          <w:lang w:eastAsia="zh-CN"/>
        </w:rPr>
        <w:t>甲方</w:t>
      </w:r>
      <w:r>
        <w:rPr>
          <w:rFonts w:hint="eastAsia" w:ascii="宋体" w:hAnsi="宋体" w:cs="宋体"/>
          <w:b/>
          <w:bCs/>
          <w:szCs w:val="21"/>
          <w:highlight w:val="none"/>
          <w:u w:val="single"/>
          <w:lang w:eastAsia="zh-CN"/>
        </w:rPr>
        <w:t>重庆</w:t>
      </w:r>
      <w:r>
        <w:rPr>
          <w:rFonts w:hint="eastAsia" w:ascii="宋体" w:hAnsi="宋体" w:cs="宋体"/>
          <w:b/>
          <w:bCs/>
          <w:szCs w:val="21"/>
          <w:highlight w:val="none"/>
          <w:u w:val="single"/>
          <w:lang w:val="en-US" w:eastAsia="zh-CN"/>
        </w:rPr>
        <w:t>*****</w:t>
      </w:r>
      <w:r>
        <w:rPr>
          <w:rFonts w:hint="eastAsia" w:ascii="宋体" w:hAnsi="宋体" w:cs="宋体"/>
          <w:b/>
          <w:bCs/>
          <w:szCs w:val="21"/>
          <w:highlight w:val="none"/>
          <w:u w:val="single"/>
          <w:lang w:eastAsia="zh-CN"/>
        </w:rPr>
        <w:t>工程建设管理有限公司</w:t>
      </w:r>
      <w:r>
        <w:rPr>
          <w:rFonts w:hint="eastAsia" w:ascii="宋体" w:hAnsi="宋体" w:cs="宋体"/>
          <w:szCs w:val="21"/>
          <w:highlight w:val="none"/>
        </w:rPr>
        <w:t>与</w:t>
      </w:r>
      <w:r>
        <w:rPr>
          <w:rFonts w:hint="eastAsia" w:ascii="宋体" w:hAnsi="宋体" w:cs="宋体"/>
          <w:szCs w:val="21"/>
          <w:highlight w:val="none"/>
          <w:lang w:eastAsia="zh-CN"/>
        </w:rPr>
        <w:t>乙方</w:t>
      </w:r>
      <w:r>
        <w:rPr>
          <w:rFonts w:hint="eastAsia" w:ascii="宋体" w:hAnsi="宋体" w:cs="宋体"/>
          <w:b/>
          <w:bCs/>
          <w:szCs w:val="21"/>
          <w:highlight w:val="none"/>
          <w:u w:val="single"/>
          <w:lang w:val="en-US" w:eastAsia="zh-CN"/>
        </w:rPr>
        <w:t>重********</w:t>
      </w:r>
      <w:r>
        <w:rPr>
          <w:rFonts w:hint="eastAsia" w:ascii="宋体" w:hAnsi="宋体" w:cs="宋体"/>
          <w:szCs w:val="21"/>
          <w:highlight w:val="none"/>
        </w:rPr>
        <w:t>特此签订安全生产合同：</w:t>
      </w:r>
    </w:p>
    <w:p>
      <w:pPr>
        <w:spacing w:line="500" w:lineRule="exact"/>
        <w:ind w:firstLine="422" w:firstLineChars="200"/>
        <w:rPr>
          <w:rFonts w:ascii="宋体" w:hAnsi="宋体" w:cs="宋体"/>
          <w:b/>
          <w:szCs w:val="21"/>
          <w:highlight w:val="none"/>
        </w:rPr>
      </w:pPr>
      <w:r>
        <w:rPr>
          <w:rFonts w:hint="eastAsia" w:ascii="宋体" w:hAnsi="宋体" w:cs="宋体"/>
          <w:b/>
          <w:szCs w:val="21"/>
          <w:highlight w:val="none"/>
        </w:rPr>
        <w:t>一、此项工程甲乙双方安全责任人</w:t>
      </w:r>
    </w:p>
    <w:p>
      <w:pPr>
        <w:spacing w:line="500" w:lineRule="exact"/>
        <w:ind w:firstLine="420" w:firstLineChars="200"/>
        <w:rPr>
          <w:rFonts w:hint="eastAsia" w:ascii="宋体" w:hAnsi="宋体" w:eastAsia="宋体" w:cs="宋体"/>
          <w:szCs w:val="21"/>
          <w:highlight w:val="none"/>
          <w:lang w:eastAsia="zh-Hans"/>
        </w:rPr>
      </w:pPr>
      <w:r>
        <w:rPr>
          <w:rFonts w:hint="eastAsia" w:ascii="宋体" w:hAnsi="宋体" w:cs="宋体"/>
          <w:szCs w:val="21"/>
          <w:highlight w:val="none"/>
          <w:lang w:eastAsia="zh-CN"/>
        </w:rPr>
        <w:t>甲方</w:t>
      </w:r>
      <w:r>
        <w:rPr>
          <w:rFonts w:hint="eastAsia" w:ascii="宋体" w:hAnsi="宋体" w:cs="宋体"/>
          <w:szCs w:val="21"/>
          <w:highlight w:val="none"/>
        </w:rPr>
        <w:t>（</w:t>
      </w:r>
      <w:r>
        <w:rPr>
          <w:rFonts w:hint="eastAsia" w:ascii="宋体" w:hAnsi="宋体" w:cs="宋体"/>
          <w:szCs w:val="21"/>
          <w:highlight w:val="none"/>
          <w:u w:val="single"/>
          <w:lang w:val="en-US" w:eastAsia="zh-CN"/>
        </w:rPr>
        <w:t xml:space="preserve">      </w:t>
      </w:r>
      <w:r>
        <w:rPr>
          <w:rFonts w:hint="eastAsia" w:ascii="宋体" w:hAnsi="宋体" w:cs="宋体"/>
          <w:szCs w:val="21"/>
          <w:highlight w:val="none"/>
        </w:rPr>
        <w:t>）</w:t>
      </w:r>
      <w:r>
        <w:rPr>
          <w:rFonts w:hint="eastAsia" w:ascii="宋体" w:hAnsi="宋体" w:cs="宋体"/>
          <w:szCs w:val="21"/>
          <w:highlight w:val="none"/>
          <w:lang w:eastAsia="zh-Hans"/>
        </w:rPr>
        <w:t>，</w:t>
      </w:r>
      <w:r>
        <w:rPr>
          <w:rFonts w:hint="eastAsia" w:ascii="宋体" w:hAnsi="宋体" w:cs="宋体"/>
          <w:szCs w:val="21"/>
          <w:highlight w:val="none"/>
          <w:lang w:val="en-US" w:eastAsia="zh-Hans"/>
        </w:rPr>
        <w:t>联系电话：</w:t>
      </w:r>
      <w:r>
        <w:rPr>
          <w:rFonts w:hint="eastAsia" w:ascii="宋体" w:hAnsi="宋体" w:cs="宋体"/>
          <w:szCs w:val="21"/>
          <w:highlight w:val="none"/>
          <w:lang w:val="en-US" w:eastAsia="zh-CN"/>
        </w:rPr>
        <w:t xml:space="preserve">         </w:t>
      </w:r>
      <w:r>
        <w:rPr>
          <w:rFonts w:hint="eastAsia" w:ascii="宋体" w:hAnsi="宋体" w:cs="宋体"/>
          <w:szCs w:val="21"/>
          <w:highlight w:val="none"/>
        </w:rPr>
        <w:t>；</w:t>
      </w:r>
      <w:r>
        <w:rPr>
          <w:rFonts w:hint="eastAsia" w:ascii="宋体" w:hAnsi="宋体" w:cs="宋体"/>
          <w:szCs w:val="21"/>
          <w:highlight w:val="none"/>
          <w:lang w:eastAsia="zh-CN"/>
        </w:rPr>
        <w:t>乙方</w:t>
      </w:r>
      <w:r>
        <w:rPr>
          <w:rFonts w:hint="eastAsia" w:ascii="宋体" w:hAnsi="宋体" w:cs="宋体"/>
          <w:szCs w:val="21"/>
          <w:highlight w:val="none"/>
        </w:rPr>
        <w:t>（</w:t>
      </w:r>
      <w:r>
        <w:rPr>
          <w:rFonts w:hint="eastAsia" w:ascii="宋体" w:hAnsi="宋体" w:cs="宋体"/>
          <w:szCs w:val="21"/>
          <w:highlight w:val="none"/>
          <w:lang w:val="en-US" w:eastAsia="zh-CN"/>
        </w:rPr>
        <w:t xml:space="preserve">    </w:t>
      </w:r>
      <w:r>
        <w:rPr>
          <w:rFonts w:hint="eastAsia" w:ascii="宋体" w:hAnsi="宋体" w:cs="宋体"/>
          <w:szCs w:val="21"/>
          <w:highlight w:val="none"/>
        </w:rPr>
        <w:t>）</w:t>
      </w:r>
      <w:r>
        <w:rPr>
          <w:rFonts w:hint="eastAsia" w:ascii="宋体" w:hAnsi="宋体" w:cs="宋体"/>
          <w:szCs w:val="21"/>
          <w:highlight w:val="none"/>
          <w:lang w:eastAsia="zh-Hans"/>
        </w:rPr>
        <w:t>，</w:t>
      </w:r>
      <w:r>
        <w:rPr>
          <w:rFonts w:hint="eastAsia" w:ascii="宋体" w:hAnsi="宋体" w:cs="宋体"/>
          <w:szCs w:val="21"/>
          <w:highlight w:val="none"/>
          <w:lang w:val="en-US" w:eastAsia="zh-Hans"/>
        </w:rPr>
        <w:t>联系电话：</w:t>
      </w:r>
      <w:r>
        <w:rPr>
          <w:rFonts w:hint="eastAsia" w:ascii="宋体" w:hAnsi="宋体" w:cs="宋体"/>
          <w:szCs w:val="21"/>
          <w:highlight w:val="none"/>
          <w:lang w:val="en-US" w:eastAsia="zh-CN"/>
        </w:rPr>
        <w:t xml:space="preserve">            </w:t>
      </w:r>
      <w:r>
        <w:rPr>
          <w:rFonts w:hint="default" w:ascii="宋体" w:hAnsi="宋体" w:cs="宋体"/>
          <w:szCs w:val="21"/>
          <w:highlight w:val="none"/>
          <w:lang w:eastAsia="zh-Hans"/>
        </w:rPr>
        <w:t xml:space="preserve"> </w:t>
      </w:r>
      <w:r>
        <w:rPr>
          <w:rFonts w:hint="eastAsia" w:ascii="宋体" w:hAnsi="宋体" w:cs="宋体"/>
          <w:b w:val="0"/>
          <w:bCs w:val="0"/>
          <w:szCs w:val="21"/>
          <w:highlight w:val="none"/>
          <w:u w:val="none"/>
          <w:lang w:eastAsia="zh-Hans"/>
        </w:rPr>
        <w:t>。</w:t>
      </w:r>
    </w:p>
    <w:p>
      <w:pPr>
        <w:spacing w:line="500" w:lineRule="exact"/>
        <w:ind w:firstLine="422" w:firstLineChars="200"/>
        <w:rPr>
          <w:rFonts w:ascii="宋体" w:hAnsi="宋体" w:cs="宋体"/>
          <w:b/>
          <w:szCs w:val="21"/>
          <w:highlight w:val="none"/>
        </w:rPr>
      </w:pPr>
      <w:r>
        <w:rPr>
          <w:rFonts w:hint="eastAsia" w:ascii="宋体" w:hAnsi="宋体" w:cs="宋体"/>
          <w:b/>
          <w:szCs w:val="21"/>
          <w:highlight w:val="none"/>
        </w:rPr>
        <w:t>二、</w:t>
      </w:r>
      <w:r>
        <w:rPr>
          <w:rFonts w:hint="eastAsia" w:ascii="宋体" w:hAnsi="宋体" w:cs="宋体"/>
          <w:b/>
          <w:szCs w:val="21"/>
          <w:highlight w:val="none"/>
          <w:lang w:eastAsia="zh-CN"/>
        </w:rPr>
        <w:t>甲方</w:t>
      </w:r>
      <w:r>
        <w:rPr>
          <w:rFonts w:hint="eastAsia" w:ascii="宋体" w:hAnsi="宋体" w:cs="宋体"/>
          <w:b/>
          <w:szCs w:val="21"/>
          <w:highlight w:val="none"/>
        </w:rPr>
        <w:t>职责</w:t>
      </w:r>
    </w:p>
    <w:p>
      <w:pPr>
        <w:spacing w:line="500" w:lineRule="exact"/>
        <w:ind w:firstLine="420" w:firstLineChars="200"/>
        <w:rPr>
          <w:rFonts w:ascii="宋体" w:hAnsi="宋体" w:cs="宋体"/>
          <w:szCs w:val="21"/>
          <w:highlight w:val="none"/>
        </w:rPr>
      </w:pPr>
      <w:r>
        <w:rPr>
          <w:rFonts w:hint="eastAsia" w:ascii="宋体" w:hAnsi="宋体" w:cs="宋体"/>
          <w:szCs w:val="21"/>
          <w:highlight w:val="none"/>
        </w:rPr>
        <w:t>1、严格遵守国家有关安全生产的法律法规，认真执行工程</w:t>
      </w:r>
      <w:r>
        <w:rPr>
          <w:rFonts w:hint="eastAsia" w:ascii="宋体" w:hAnsi="宋体" w:cs="宋体"/>
          <w:szCs w:val="21"/>
          <w:highlight w:val="none"/>
          <w:lang w:val="en-US" w:eastAsia="zh-CN"/>
        </w:rPr>
        <w:t>采购</w:t>
      </w:r>
      <w:r>
        <w:rPr>
          <w:rFonts w:hint="eastAsia" w:ascii="宋体" w:hAnsi="宋体" w:cs="宋体"/>
          <w:szCs w:val="21"/>
          <w:highlight w:val="none"/>
        </w:rPr>
        <w:t>合同中的有关安全要求。</w:t>
      </w:r>
    </w:p>
    <w:p>
      <w:pPr>
        <w:spacing w:line="500" w:lineRule="exact"/>
        <w:ind w:firstLine="420" w:firstLineChars="200"/>
        <w:rPr>
          <w:rFonts w:ascii="宋体" w:hAnsi="宋体" w:cs="宋体"/>
          <w:szCs w:val="21"/>
          <w:highlight w:val="none"/>
        </w:rPr>
      </w:pPr>
      <w:r>
        <w:rPr>
          <w:rFonts w:hint="eastAsia" w:ascii="宋体" w:hAnsi="宋体" w:cs="宋体"/>
          <w:szCs w:val="21"/>
          <w:highlight w:val="none"/>
        </w:rPr>
        <w:t>2、按照“安全第一、预防为主”和坚持“管生产必须管安全”的原则进行安全生产管理，做到生产与安全工作同时计划、布置、检查、总结和评比。</w:t>
      </w:r>
    </w:p>
    <w:p>
      <w:pPr>
        <w:spacing w:line="500" w:lineRule="exact"/>
        <w:ind w:firstLine="420" w:firstLineChars="200"/>
        <w:rPr>
          <w:rFonts w:ascii="宋体" w:hAnsi="宋体" w:cs="宋体"/>
          <w:szCs w:val="21"/>
          <w:highlight w:val="none"/>
        </w:rPr>
      </w:pPr>
      <w:r>
        <w:rPr>
          <w:rFonts w:hint="eastAsia" w:ascii="宋体" w:hAnsi="宋体" w:cs="宋体"/>
          <w:szCs w:val="21"/>
          <w:highlight w:val="none"/>
        </w:rPr>
        <w:t>3、重要的安全设施必须坚持与主体工程“三同时”的原则，即：同时设计、审批，同时施工，同时验收，投入使用。</w:t>
      </w:r>
    </w:p>
    <w:p>
      <w:pPr>
        <w:spacing w:line="500" w:lineRule="exact"/>
        <w:ind w:firstLine="420" w:firstLineChars="200"/>
        <w:rPr>
          <w:rFonts w:ascii="宋体" w:hAnsi="宋体" w:cs="宋体"/>
          <w:szCs w:val="21"/>
          <w:highlight w:val="none"/>
        </w:rPr>
      </w:pPr>
      <w:r>
        <w:rPr>
          <w:rFonts w:hint="eastAsia" w:ascii="宋体" w:hAnsi="宋体" w:cs="宋体"/>
          <w:szCs w:val="21"/>
          <w:highlight w:val="none"/>
        </w:rPr>
        <w:t>4、定期召开安全生产调度会，及时传达中央及地方有关安全生产的精神。</w:t>
      </w:r>
    </w:p>
    <w:p>
      <w:pPr>
        <w:spacing w:line="500" w:lineRule="exact"/>
        <w:ind w:firstLine="420" w:firstLineChars="200"/>
        <w:rPr>
          <w:rFonts w:ascii="宋体" w:hAnsi="宋体" w:cs="宋体"/>
          <w:szCs w:val="21"/>
          <w:highlight w:val="none"/>
        </w:rPr>
      </w:pPr>
      <w:r>
        <w:rPr>
          <w:rFonts w:hint="eastAsia" w:ascii="宋体" w:hAnsi="宋体" w:cs="宋体"/>
          <w:szCs w:val="21"/>
          <w:highlight w:val="none"/>
        </w:rPr>
        <w:t>5、组织对</w:t>
      </w:r>
      <w:r>
        <w:rPr>
          <w:rFonts w:hint="eastAsia" w:ascii="宋体" w:hAnsi="宋体" w:cs="宋体"/>
          <w:szCs w:val="21"/>
          <w:highlight w:val="none"/>
          <w:lang w:eastAsia="zh-CN"/>
        </w:rPr>
        <w:t>乙方</w:t>
      </w:r>
      <w:r>
        <w:rPr>
          <w:rFonts w:hint="eastAsia" w:ascii="宋体" w:hAnsi="宋体" w:cs="宋体"/>
          <w:szCs w:val="21"/>
          <w:highlight w:val="none"/>
        </w:rPr>
        <w:t>施工现场安全生产检查，监督</w:t>
      </w:r>
      <w:r>
        <w:rPr>
          <w:rFonts w:hint="eastAsia" w:ascii="宋体" w:hAnsi="宋体" w:cs="宋体"/>
          <w:szCs w:val="21"/>
          <w:highlight w:val="none"/>
          <w:lang w:eastAsia="zh-CN"/>
        </w:rPr>
        <w:t>乙方</w:t>
      </w:r>
      <w:r>
        <w:rPr>
          <w:rFonts w:hint="eastAsia" w:ascii="宋体" w:hAnsi="宋体" w:cs="宋体"/>
          <w:szCs w:val="21"/>
          <w:highlight w:val="none"/>
        </w:rPr>
        <w:t>及时处理发现的各种安全隐患。</w:t>
      </w:r>
    </w:p>
    <w:p>
      <w:pPr>
        <w:spacing w:line="500" w:lineRule="exact"/>
        <w:ind w:firstLine="422" w:firstLineChars="200"/>
        <w:rPr>
          <w:rFonts w:ascii="宋体" w:hAnsi="宋体" w:cs="宋体"/>
          <w:b/>
          <w:szCs w:val="21"/>
          <w:highlight w:val="none"/>
        </w:rPr>
      </w:pPr>
      <w:r>
        <w:rPr>
          <w:rFonts w:hint="eastAsia" w:ascii="宋体" w:hAnsi="宋体" w:cs="宋体"/>
          <w:b/>
          <w:szCs w:val="21"/>
          <w:highlight w:val="none"/>
        </w:rPr>
        <w:t>三、</w:t>
      </w:r>
      <w:r>
        <w:rPr>
          <w:rFonts w:hint="eastAsia" w:ascii="宋体" w:hAnsi="宋体" w:cs="宋体"/>
          <w:b/>
          <w:szCs w:val="21"/>
          <w:highlight w:val="none"/>
          <w:lang w:eastAsia="zh-CN"/>
        </w:rPr>
        <w:t>乙方</w:t>
      </w:r>
      <w:r>
        <w:rPr>
          <w:rFonts w:hint="eastAsia" w:ascii="宋体" w:hAnsi="宋体" w:cs="宋体"/>
          <w:b/>
          <w:szCs w:val="21"/>
          <w:highlight w:val="none"/>
        </w:rPr>
        <w:t>职责</w:t>
      </w:r>
    </w:p>
    <w:p>
      <w:pPr>
        <w:spacing w:line="500" w:lineRule="exact"/>
        <w:ind w:firstLine="420" w:firstLineChars="200"/>
        <w:rPr>
          <w:rFonts w:hint="eastAsia" w:ascii="宋体" w:hAnsi="宋体" w:cs="宋体"/>
          <w:szCs w:val="21"/>
          <w:highlight w:val="none"/>
        </w:rPr>
      </w:pPr>
      <w:r>
        <w:rPr>
          <w:rFonts w:hint="eastAsia" w:ascii="宋体" w:hAnsi="宋体" w:cs="宋体"/>
          <w:szCs w:val="21"/>
          <w:highlight w:val="none"/>
        </w:rPr>
        <w:t>1、严格遵守国家</w:t>
      </w:r>
      <w:r>
        <w:rPr>
          <w:rFonts w:hint="eastAsia" w:ascii="宋体" w:hAnsi="宋体" w:cs="宋体"/>
          <w:szCs w:val="21"/>
          <w:highlight w:val="none"/>
          <w:lang w:eastAsia="zh-CN"/>
        </w:rPr>
        <w:t>《</w:t>
      </w:r>
      <w:r>
        <w:rPr>
          <w:rFonts w:hint="eastAsia" w:ascii="宋体" w:hAnsi="宋体" w:cs="宋体"/>
          <w:szCs w:val="21"/>
          <w:highlight w:val="none"/>
          <w:lang w:val="en-US" w:eastAsia="zh-CN"/>
        </w:rPr>
        <w:t>安全生产法</w:t>
      </w:r>
      <w:r>
        <w:rPr>
          <w:rFonts w:hint="eastAsia" w:ascii="宋体" w:hAnsi="宋体" w:cs="宋体"/>
          <w:szCs w:val="21"/>
          <w:highlight w:val="none"/>
          <w:lang w:eastAsia="zh-CN"/>
        </w:rPr>
        <w:t>》</w:t>
      </w:r>
      <w:r>
        <w:rPr>
          <w:rFonts w:hint="eastAsia" w:ascii="宋体" w:hAnsi="宋体" w:cs="宋体"/>
          <w:szCs w:val="21"/>
          <w:highlight w:val="none"/>
        </w:rPr>
        <w:t>等国家或地方规范性文件有关安全生产的规定，认真执行工程承包合同中的有关安全要求。</w:t>
      </w:r>
    </w:p>
    <w:p>
      <w:pPr>
        <w:spacing w:line="500" w:lineRule="exact"/>
        <w:ind w:firstLine="420" w:firstLineChars="200"/>
        <w:rPr>
          <w:rFonts w:hint="eastAsia" w:ascii="宋体" w:hAnsi="宋体" w:cs="宋体"/>
          <w:szCs w:val="21"/>
          <w:highlight w:val="none"/>
        </w:rPr>
      </w:pPr>
      <w:r>
        <w:rPr>
          <w:rFonts w:hint="eastAsia" w:ascii="宋体" w:hAnsi="宋体" w:cs="宋体"/>
          <w:szCs w:val="21"/>
          <w:highlight w:val="none"/>
        </w:rPr>
        <w:t>2、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pPr>
        <w:spacing w:line="500" w:lineRule="exact"/>
        <w:ind w:firstLine="420" w:firstLineChars="200"/>
        <w:rPr>
          <w:rFonts w:ascii="宋体" w:hAnsi="宋体" w:cs="宋体"/>
          <w:szCs w:val="21"/>
          <w:highlight w:val="none"/>
        </w:rPr>
      </w:pPr>
      <w:r>
        <w:rPr>
          <w:rFonts w:hint="eastAsia" w:ascii="宋体" w:hAnsi="宋体" w:cs="宋体"/>
          <w:szCs w:val="21"/>
          <w:highlight w:val="none"/>
        </w:rPr>
        <w:t>3、建立健全安全生产责任制。从派往项目实施的项目经理到生产工人（包括临时雇请的民工）的安全生产管理系统必须做到纵向到底，一环不漏；各职能部门、人员的安全生产责任制作到横向到边，人人有责。项目经理是安全生产的第一责任人。现场设置的安全机构，负责所有员工的安全和治安保卫工作及预防事故的发生。安全机构人员有权按有关规定发布指令，并采取保护性措施防止事故发生。</w:t>
      </w:r>
    </w:p>
    <w:p>
      <w:pPr>
        <w:spacing w:line="500" w:lineRule="exact"/>
        <w:ind w:firstLine="420" w:firstLineChars="200"/>
        <w:rPr>
          <w:rFonts w:ascii="宋体" w:hAnsi="宋体" w:cs="宋体"/>
          <w:szCs w:val="21"/>
          <w:highlight w:val="none"/>
        </w:rPr>
      </w:pPr>
      <w:r>
        <w:rPr>
          <w:rFonts w:hint="eastAsia" w:ascii="宋体" w:hAnsi="宋体" w:cs="宋体"/>
          <w:szCs w:val="21"/>
          <w:highlight w:val="none"/>
        </w:rPr>
        <w:t>4、</w:t>
      </w:r>
      <w:r>
        <w:rPr>
          <w:rFonts w:hint="eastAsia" w:ascii="宋体" w:hAnsi="宋体" w:cs="宋体"/>
          <w:szCs w:val="21"/>
          <w:highlight w:val="none"/>
          <w:lang w:eastAsia="zh-CN"/>
        </w:rPr>
        <w:t>乙方</w:t>
      </w:r>
      <w:r>
        <w:rPr>
          <w:rFonts w:hint="eastAsia" w:ascii="宋体" w:hAnsi="宋体" w:cs="宋体"/>
          <w:szCs w:val="21"/>
          <w:highlight w:val="none"/>
        </w:rPr>
        <w:t>在任何时候都应采取各种合理的预防措施，防止其员工发生任何违法、违禁、暴力或妨碍治安的行为。</w:t>
      </w:r>
    </w:p>
    <w:p>
      <w:pPr>
        <w:spacing w:line="500" w:lineRule="exact"/>
        <w:ind w:firstLine="420" w:firstLineChars="200"/>
        <w:rPr>
          <w:rFonts w:hint="eastAsia" w:ascii="宋体" w:hAnsi="宋体" w:cs="宋体"/>
          <w:szCs w:val="21"/>
          <w:highlight w:val="none"/>
        </w:rPr>
      </w:pPr>
      <w:r>
        <w:rPr>
          <w:rFonts w:hint="eastAsia" w:ascii="宋体" w:hAnsi="宋体" w:cs="宋体"/>
          <w:szCs w:val="21"/>
          <w:highlight w:val="none"/>
        </w:rPr>
        <w:t>5、</w:t>
      </w:r>
      <w:r>
        <w:rPr>
          <w:rFonts w:hint="eastAsia" w:ascii="宋体" w:hAnsi="宋体" w:cs="宋体"/>
          <w:szCs w:val="21"/>
          <w:highlight w:val="none"/>
          <w:lang w:eastAsia="zh-CN"/>
        </w:rPr>
        <w:t>乙方</w:t>
      </w:r>
      <w:r>
        <w:rPr>
          <w:rFonts w:hint="eastAsia" w:ascii="宋体" w:hAnsi="宋体" w:cs="宋体"/>
          <w:szCs w:val="21"/>
          <w:highlight w:val="none"/>
          <w:lang w:val="en-US" w:eastAsia="zh-CN"/>
        </w:rPr>
        <w:t>安装人员严禁在货物堆场及安装现场抽烟</w:t>
      </w:r>
      <w:r>
        <w:rPr>
          <w:rFonts w:hint="eastAsia" w:ascii="宋体" w:hAnsi="宋体" w:cs="宋体"/>
          <w:szCs w:val="21"/>
          <w:highlight w:val="none"/>
        </w:rPr>
        <w:t>。</w:t>
      </w:r>
    </w:p>
    <w:p>
      <w:pPr>
        <w:spacing w:line="500" w:lineRule="exact"/>
        <w:ind w:firstLine="420" w:firstLineChars="200"/>
        <w:rPr>
          <w:rFonts w:ascii="宋体" w:hAnsi="宋体" w:cs="宋体"/>
          <w:szCs w:val="21"/>
          <w:highlight w:val="none"/>
        </w:rPr>
      </w:pPr>
      <w:r>
        <w:rPr>
          <w:rFonts w:hint="eastAsia" w:ascii="宋体" w:hAnsi="宋体" w:cs="宋体"/>
          <w:szCs w:val="21"/>
          <w:highlight w:val="none"/>
        </w:rPr>
        <w:t>6、对于易燃易爆的材料除应专门妥善保管之外，还应配备有足够的消防设施，所有施工人员都应熟悉消防设备的性能和使用方法；</w:t>
      </w:r>
      <w:r>
        <w:rPr>
          <w:rFonts w:hint="eastAsia" w:ascii="宋体" w:hAnsi="宋体" w:cs="宋体"/>
          <w:szCs w:val="21"/>
          <w:highlight w:val="none"/>
          <w:lang w:eastAsia="zh-CN"/>
        </w:rPr>
        <w:t>乙方</w:t>
      </w:r>
      <w:r>
        <w:rPr>
          <w:rFonts w:hint="eastAsia" w:ascii="宋体" w:hAnsi="宋体" w:cs="宋体"/>
          <w:szCs w:val="21"/>
          <w:highlight w:val="none"/>
        </w:rPr>
        <w:t>不得将任何种类的爆炸物给予、易货或以其他方式转让给任何其他人，或允许、容忍上述同样行为。</w:t>
      </w:r>
    </w:p>
    <w:p>
      <w:pPr>
        <w:spacing w:line="500" w:lineRule="exact"/>
        <w:ind w:firstLine="420" w:firstLineChars="200"/>
        <w:rPr>
          <w:rFonts w:ascii="宋体" w:hAnsi="宋体" w:cs="宋体"/>
          <w:szCs w:val="21"/>
          <w:highlight w:val="none"/>
        </w:rPr>
      </w:pPr>
      <w:r>
        <w:rPr>
          <w:rFonts w:hint="eastAsia" w:ascii="宋体" w:hAnsi="宋体" w:cs="宋体"/>
          <w:szCs w:val="21"/>
          <w:highlight w:val="none"/>
        </w:rPr>
        <w:t>7、操作人员上岗，必须按规定穿戴防护用品。施工负责人和安全检查员应随时检查劳动防护用品的穿戴情况，不按规定穿戴防护用品的人员不得上岗。</w:t>
      </w:r>
    </w:p>
    <w:p>
      <w:pPr>
        <w:spacing w:line="500" w:lineRule="exact"/>
        <w:ind w:firstLine="420" w:firstLineChars="200"/>
        <w:rPr>
          <w:rFonts w:ascii="宋体" w:hAnsi="宋体" w:cs="宋体"/>
          <w:szCs w:val="21"/>
          <w:highlight w:val="none"/>
        </w:rPr>
      </w:pPr>
      <w:r>
        <w:rPr>
          <w:rFonts w:hint="eastAsia" w:ascii="宋体" w:hAnsi="宋体" w:cs="宋体"/>
          <w:szCs w:val="21"/>
          <w:highlight w:val="none"/>
        </w:rPr>
        <w:t>8、所有施工机具设备和高空作业的设备均应定期检查，保证其经常处于完好状态；不合格的机具、设备和劳动保护用品严禁使用。</w:t>
      </w:r>
    </w:p>
    <w:p>
      <w:pPr>
        <w:spacing w:line="500" w:lineRule="exact"/>
        <w:ind w:firstLine="420" w:firstLineChars="200"/>
        <w:rPr>
          <w:rFonts w:ascii="宋体" w:hAnsi="宋体" w:cs="宋体"/>
          <w:szCs w:val="21"/>
          <w:highlight w:val="none"/>
        </w:rPr>
      </w:pPr>
      <w:r>
        <w:rPr>
          <w:rFonts w:hint="eastAsia" w:ascii="宋体" w:hAnsi="宋体" w:cs="宋体"/>
          <w:szCs w:val="21"/>
          <w:highlight w:val="none"/>
        </w:rPr>
        <w:t>9、施工中采用新技术、新工艺、新设备、新材料时，必须制定相应的安全技术措施，施工现场必须具有相关的安全标志牌。</w:t>
      </w:r>
    </w:p>
    <w:p>
      <w:pPr>
        <w:spacing w:line="500" w:lineRule="exact"/>
        <w:ind w:firstLine="420" w:firstLineChars="200"/>
        <w:rPr>
          <w:rFonts w:ascii="宋体" w:hAnsi="宋体" w:cs="宋体"/>
          <w:szCs w:val="21"/>
          <w:highlight w:val="none"/>
        </w:rPr>
      </w:pPr>
      <w:r>
        <w:rPr>
          <w:rFonts w:hint="eastAsia" w:ascii="宋体" w:hAnsi="宋体" w:cs="宋体"/>
          <w:szCs w:val="21"/>
          <w:highlight w:val="none"/>
        </w:rPr>
        <w:t>10、</w:t>
      </w:r>
      <w:r>
        <w:rPr>
          <w:rFonts w:hint="eastAsia" w:ascii="宋体" w:hAnsi="宋体" w:cs="宋体"/>
          <w:szCs w:val="21"/>
          <w:highlight w:val="none"/>
          <w:lang w:eastAsia="zh-CN"/>
        </w:rPr>
        <w:t>乙方</w:t>
      </w:r>
      <w:r>
        <w:rPr>
          <w:rFonts w:hint="eastAsia" w:ascii="宋体" w:hAnsi="宋体" w:cs="宋体"/>
          <w:szCs w:val="21"/>
          <w:highlight w:val="none"/>
        </w:rPr>
        <w:t>必须按照本工程项目特点，组织制定本工程实施中的生产安全事故应急救援预案；如果发生安全事故，应按照《国务院关于特大安全事故行政责任追究的规定》以及其它有关规定，及时上报有关部门，并坚持“三不放过”的原则，严肃处理相关责任人。</w:t>
      </w:r>
    </w:p>
    <w:p>
      <w:pPr>
        <w:spacing w:line="500" w:lineRule="exact"/>
        <w:ind w:firstLine="422" w:firstLineChars="200"/>
        <w:rPr>
          <w:rFonts w:ascii="宋体" w:hAnsi="宋体" w:cs="宋体"/>
          <w:b/>
          <w:szCs w:val="21"/>
          <w:highlight w:val="none"/>
        </w:rPr>
      </w:pPr>
      <w:r>
        <w:rPr>
          <w:rFonts w:hint="eastAsia" w:ascii="宋体" w:hAnsi="宋体" w:cs="宋体"/>
          <w:b/>
          <w:szCs w:val="21"/>
          <w:highlight w:val="none"/>
        </w:rPr>
        <w:t>四、违约处罚及责任</w:t>
      </w:r>
    </w:p>
    <w:p>
      <w:pPr>
        <w:spacing w:line="500" w:lineRule="exact"/>
        <w:ind w:firstLine="420" w:firstLineChars="200"/>
        <w:rPr>
          <w:rFonts w:ascii="宋体" w:hAnsi="宋体" w:cs="宋体"/>
          <w:szCs w:val="21"/>
          <w:highlight w:val="none"/>
        </w:rPr>
      </w:pPr>
      <w:r>
        <w:rPr>
          <w:rFonts w:hint="eastAsia" w:ascii="宋体" w:hAnsi="宋体" w:cs="宋体"/>
          <w:szCs w:val="21"/>
          <w:highlight w:val="none"/>
        </w:rPr>
        <w:t>1、</w:t>
      </w:r>
      <w:r>
        <w:rPr>
          <w:rFonts w:hint="eastAsia" w:ascii="宋体" w:hAnsi="宋体" w:cs="宋体"/>
          <w:szCs w:val="21"/>
          <w:highlight w:val="none"/>
          <w:lang w:eastAsia="zh-CN"/>
        </w:rPr>
        <w:t>乙方</w:t>
      </w:r>
      <w:r>
        <w:rPr>
          <w:rFonts w:hint="eastAsia" w:ascii="宋体" w:hAnsi="宋体" w:cs="宋体"/>
          <w:szCs w:val="21"/>
          <w:highlight w:val="none"/>
        </w:rPr>
        <w:t>未按照</w:t>
      </w:r>
      <w:r>
        <w:rPr>
          <w:rFonts w:hint="eastAsia" w:ascii="宋体" w:hAnsi="宋体" w:cs="宋体"/>
          <w:szCs w:val="21"/>
          <w:highlight w:val="none"/>
          <w:lang w:eastAsia="zh-CN"/>
        </w:rPr>
        <w:t>《</w:t>
      </w:r>
      <w:r>
        <w:rPr>
          <w:rFonts w:hint="eastAsia" w:ascii="宋体" w:hAnsi="宋体" w:cs="宋体"/>
          <w:szCs w:val="21"/>
          <w:highlight w:val="none"/>
          <w:lang w:val="en-US" w:eastAsia="zh-CN"/>
        </w:rPr>
        <w:t>安全生产合同</w:t>
      </w:r>
      <w:r>
        <w:rPr>
          <w:rFonts w:hint="eastAsia" w:ascii="宋体" w:hAnsi="宋体" w:cs="宋体"/>
          <w:szCs w:val="21"/>
          <w:highlight w:val="none"/>
        </w:rPr>
        <w:t>》施工作业的，视违规施工具体情况向</w:t>
      </w:r>
      <w:r>
        <w:rPr>
          <w:rFonts w:hint="eastAsia" w:ascii="宋体" w:hAnsi="宋体" w:cs="宋体"/>
          <w:szCs w:val="21"/>
          <w:highlight w:val="none"/>
          <w:lang w:eastAsia="zh-CN"/>
        </w:rPr>
        <w:t>乙方</w:t>
      </w:r>
      <w:r>
        <w:rPr>
          <w:rFonts w:hint="eastAsia" w:ascii="宋体" w:hAnsi="宋体" w:cs="宋体"/>
          <w:szCs w:val="21"/>
          <w:highlight w:val="none"/>
        </w:rPr>
        <w:t>收取违约金500元至5000元。</w:t>
      </w:r>
    </w:p>
    <w:p>
      <w:pPr>
        <w:spacing w:line="500" w:lineRule="exact"/>
        <w:ind w:firstLine="420" w:firstLineChars="200"/>
        <w:rPr>
          <w:rFonts w:ascii="宋体" w:hAnsi="宋体" w:cs="宋体"/>
          <w:szCs w:val="21"/>
          <w:highlight w:val="none"/>
        </w:rPr>
      </w:pPr>
      <w:r>
        <w:rPr>
          <w:rFonts w:hint="eastAsia" w:ascii="宋体" w:hAnsi="宋体" w:cs="宋体"/>
          <w:szCs w:val="21"/>
          <w:highlight w:val="none"/>
        </w:rPr>
        <w:t>2、</w:t>
      </w:r>
      <w:r>
        <w:rPr>
          <w:rFonts w:hint="eastAsia" w:ascii="宋体" w:hAnsi="宋体" w:cs="宋体"/>
          <w:szCs w:val="21"/>
          <w:highlight w:val="none"/>
          <w:lang w:eastAsia="zh-CN"/>
        </w:rPr>
        <w:t>乙方</w:t>
      </w:r>
      <w:r>
        <w:rPr>
          <w:rFonts w:hint="eastAsia" w:ascii="宋体" w:hAnsi="宋体" w:cs="宋体"/>
          <w:szCs w:val="21"/>
          <w:highlight w:val="none"/>
        </w:rPr>
        <w:t>在收到违约金缴纳通知书后，三日内将违约金交</w:t>
      </w:r>
      <w:r>
        <w:rPr>
          <w:rFonts w:hint="eastAsia" w:ascii="宋体" w:hAnsi="宋体" w:cs="宋体"/>
          <w:szCs w:val="21"/>
          <w:highlight w:val="none"/>
          <w:lang w:eastAsia="zh-CN"/>
        </w:rPr>
        <w:t>甲方</w:t>
      </w:r>
      <w:r>
        <w:rPr>
          <w:rFonts w:hint="eastAsia" w:ascii="宋体" w:hAnsi="宋体" w:cs="宋体"/>
          <w:szCs w:val="21"/>
          <w:highlight w:val="none"/>
        </w:rPr>
        <w:t>计划财务部，</w:t>
      </w:r>
      <w:r>
        <w:rPr>
          <w:rFonts w:hint="eastAsia" w:ascii="宋体" w:hAnsi="宋体" w:cs="宋体"/>
          <w:szCs w:val="21"/>
          <w:highlight w:val="none"/>
          <w:lang w:val="en-US" w:eastAsia="zh-Hans"/>
        </w:rPr>
        <w:t>逾</w:t>
      </w:r>
      <w:r>
        <w:rPr>
          <w:rFonts w:hint="eastAsia" w:ascii="宋体" w:hAnsi="宋体" w:cs="宋体"/>
          <w:szCs w:val="21"/>
          <w:highlight w:val="none"/>
        </w:rPr>
        <w:t>期未交的，</w:t>
      </w:r>
      <w:r>
        <w:rPr>
          <w:rFonts w:hint="eastAsia" w:ascii="宋体" w:hAnsi="宋体" w:cs="宋体"/>
          <w:szCs w:val="21"/>
          <w:highlight w:val="none"/>
          <w:lang w:val="en-US" w:eastAsia="zh-Hans"/>
        </w:rPr>
        <w:t>甲方有权直接</w:t>
      </w:r>
      <w:r>
        <w:rPr>
          <w:rFonts w:hint="eastAsia" w:ascii="宋体" w:hAnsi="宋体" w:cs="宋体"/>
          <w:szCs w:val="21"/>
          <w:highlight w:val="none"/>
        </w:rPr>
        <w:t>在安全生产经费中双倍扣除</w:t>
      </w:r>
      <w:r>
        <w:rPr>
          <w:rFonts w:hint="eastAsia" w:ascii="宋体" w:hAnsi="宋体" w:cs="宋体"/>
          <w:szCs w:val="21"/>
          <w:highlight w:val="none"/>
          <w:lang w:eastAsia="zh-Hans"/>
        </w:rPr>
        <w:t>；</w:t>
      </w:r>
      <w:r>
        <w:rPr>
          <w:rFonts w:hint="eastAsia" w:ascii="宋体" w:hAnsi="宋体" w:cs="宋体"/>
          <w:szCs w:val="21"/>
          <w:highlight w:val="none"/>
          <w:lang w:val="en-US" w:eastAsia="zh-Hans"/>
        </w:rPr>
        <w:t>如乙方对违约金有异议，应在收到甲方</w:t>
      </w:r>
      <w:r>
        <w:rPr>
          <w:rFonts w:hint="eastAsia" w:ascii="宋体" w:hAnsi="宋体" w:cs="宋体"/>
          <w:szCs w:val="21"/>
          <w:highlight w:val="none"/>
        </w:rPr>
        <w:t>违约金缴纳通知书</w:t>
      </w:r>
      <w:r>
        <w:rPr>
          <w:rFonts w:hint="eastAsia" w:ascii="宋体" w:hAnsi="宋体" w:cs="宋体"/>
          <w:szCs w:val="21"/>
          <w:highlight w:val="none"/>
          <w:lang w:val="en-US" w:eastAsia="zh-Hans"/>
        </w:rPr>
        <w:t>的次日向甲方提出书面异议，否则视为无异议</w:t>
      </w:r>
      <w:r>
        <w:rPr>
          <w:rFonts w:hint="eastAsia" w:ascii="宋体" w:hAnsi="宋体" w:cs="宋体"/>
          <w:szCs w:val="21"/>
          <w:highlight w:val="none"/>
        </w:rPr>
        <w:t>。</w:t>
      </w:r>
    </w:p>
    <w:p>
      <w:pPr>
        <w:spacing w:line="500" w:lineRule="exact"/>
        <w:ind w:firstLine="420" w:firstLineChars="200"/>
        <w:rPr>
          <w:rFonts w:ascii="宋体" w:hAnsi="宋体" w:cs="宋体"/>
          <w:szCs w:val="21"/>
          <w:highlight w:val="none"/>
        </w:rPr>
      </w:pPr>
      <w:r>
        <w:rPr>
          <w:rFonts w:hint="eastAsia" w:ascii="宋体" w:hAnsi="宋体" w:cs="宋体"/>
          <w:szCs w:val="21"/>
          <w:highlight w:val="none"/>
        </w:rPr>
        <w:t>3、</w:t>
      </w:r>
      <w:r>
        <w:rPr>
          <w:rFonts w:hint="eastAsia" w:ascii="宋体" w:hAnsi="宋体" w:cs="宋体"/>
          <w:szCs w:val="21"/>
          <w:highlight w:val="none"/>
          <w:lang w:eastAsia="zh-CN"/>
        </w:rPr>
        <w:t>乙方</w:t>
      </w:r>
      <w:r>
        <w:rPr>
          <w:rFonts w:hint="eastAsia" w:ascii="宋体" w:hAnsi="宋体" w:cs="宋体"/>
          <w:szCs w:val="21"/>
          <w:highlight w:val="none"/>
        </w:rPr>
        <w:t>在施工期间违反安全生产相关要求</w:t>
      </w:r>
      <w:r>
        <w:rPr>
          <w:rFonts w:hint="eastAsia" w:ascii="宋体" w:hAnsi="宋体" w:cs="宋体"/>
          <w:szCs w:val="21"/>
          <w:highlight w:val="none"/>
          <w:lang w:val="en-US" w:eastAsia="zh-CN"/>
        </w:rPr>
        <w:t>或未按规定使用非现场移动可视化视频对施工现场全程监控</w:t>
      </w:r>
      <w:r>
        <w:rPr>
          <w:rFonts w:hint="eastAsia" w:ascii="宋体" w:hAnsi="宋体" w:cs="宋体"/>
          <w:szCs w:val="21"/>
          <w:highlight w:val="none"/>
        </w:rPr>
        <w:t>，造成安全事故或人身损害、财产损失的，</w:t>
      </w:r>
      <w:r>
        <w:rPr>
          <w:rFonts w:hint="eastAsia" w:ascii="宋体" w:hAnsi="宋体" w:cs="宋体"/>
          <w:szCs w:val="21"/>
          <w:highlight w:val="none"/>
          <w:lang w:eastAsia="zh-CN"/>
        </w:rPr>
        <w:t>乙方</w:t>
      </w:r>
      <w:r>
        <w:rPr>
          <w:rFonts w:hint="eastAsia" w:ascii="宋体" w:hAnsi="宋体" w:cs="宋体"/>
          <w:szCs w:val="21"/>
          <w:highlight w:val="none"/>
        </w:rPr>
        <w:t>承担全部责任。</w:t>
      </w:r>
    </w:p>
    <w:p>
      <w:pPr>
        <w:spacing w:line="500" w:lineRule="exact"/>
        <w:ind w:firstLine="422" w:firstLineChars="200"/>
        <w:rPr>
          <w:rFonts w:ascii="宋体" w:hAnsi="宋体" w:cs="宋体"/>
          <w:b/>
          <w:szCs w:val="21"/>
          <w:highlight w:val="none"/>
        </w:rPr>
      </w:pPr>
      <w:r>
        <w:rPr>
          <w:rFonts w:hint="eastAsia" w:ascii="宋体" w:hAnsi="宋体" w:cs="宋体"/>
          <w:b/>
          <w:szCs w:val="21"/>
          <w:highlight w:val="none"/>
        </w:rPr>
        <w:t>五、合同份数与时效</w:t>
      </w:r>
    </w:p>
    <w:p>
      <w:pPr>
        <w:spacing w:line="500" w:lineRule="exact"/>
        <w:ind w:firstLine="420" w:firstLineChars="200"/>
        <w:rPr>
          <w:rFonts w:ascii="宋体" w:hAnsi="宋体" w:cs="宋体"/>
          <w:szCs w:val="21"/>
          <w:highlight w:val="none"/>
        </w:rPr>
      </w:pPr>
      <w:r>
        <w:rPr>
          <w:rFonts w:hint="eastAsia" w:ascii="宋体" w:hAnsi="宋体" w:cs="宋体"/>
          <w:szCs w:val="21"/>
          <w:highlight w:val="none"/>
        </w:rPr>
        <w:t>1、本合同作为《</w:t>
      </w:r>
      <w:r>
        <w:rPr>
          <w:rFonts w:hint="eastAsia" w:ascii="宋体" w:hAnsi="宋体" w:cs="宋体"/>
          <w:b/>
          <w:bCs/>
          <w:szCs w:val="21"/>
          <w:highlight w:val="none"/>
          <w:u w:val="none"/>
          <w:lang w:eastAsia="zh-CN"/>
        </w:rPr>
        <w:t>重庆</w:t>
      </w:r>
      <w:r>
        <w:rPr>
          <w:rFonts w:hint="eastAsia" w:ascii="宋体" w:hAnsi="宋体" w:cs="宋体"/>
          <w:b/>
          <w:bCs/>
          <w:szCs w:val="21"/>
          <w:highlight w:val="none"/>
          <w:u w:val="none"/>
          <w:lang w:val="en-US" w:eastAsia="zh-CN"/>
        </w:rPr>
        <w:t>**********</w:t>
      </w:r>
      <w:r>
        <w:rPr>
          <w:rFonts w:hint="eastAsia" w:ascii="宋体" w:hAnsi="宋体" w:cs="宋体"/>
          <w:b/>
          <w:bCs/>
          <w:szCs w:val="21"/>
          <w:highlight w:val="none"/>
          <w:u w:val="none"/>
          <w:lang w:eastAsia="zh-CN"/>
        </w:rPr>
        <w:t>有限公司</w:t>
      </w:r>
      <w:r>
        <w:rPr>
          <w:rFonts w:hint="eastAsia" w:ascii="宋体" w:hAnsi="宋体" w:cs="Times New Roman"/>
          <w:b/>
          <w:i w:val="0"/>
          <w:iCs w:val="0"/>
          <w:color w:val="auto"/>
          <w:kern w:val="2"/>
          <w:sz w:val="21"/>
          <w:szCs w:val="21"/>
          <w:highlight w:val="none"/>
          <w:u w:val="none"/>
          <w:lang w:val="en-US" w:eastAsia="zh-CN" w:bidi="ar"/>
        </w:rPr>
        <w:t>垫江办公驻地装修</w:t>
      </w:r>
      <w:r>
        <w:rPr>
          <w:rFonts w:hint="eastAsia" w:ascii="宋体" w:hAnsi="宋体" w:cs="宋体"/>
          <w:b/>
          <w:bCs/>
          <w:i w:val="0"/>
          <w:iCs w:val="0"/>
          <w:kern w:val="2"/>
          <w:sz w:val="21"/>
          <w:szCs w:val="21"/>
          <w:highlight w:val="none"/>
          <w:u w:val="none"/>
          <w:lang w:val="en-US" w:eastAsia="zh-CN" w:bidi="ar"/>
        </w:rPr>
        <w:t>工程</w:t>
      </w:r>
      <w:r>
        <w:rPr>
          <w:rFonts w:hint="eastAsia" w:ascii="宋体" w:hAnsi="宋体" w:cs="宋体"/>
          <w:b/>
          <w:bCs/>
          <w:szCs w:val="21"/>
          <w:highlight w:val="none"/>
          <w:u w:val="none"/>
          <w:lang w:val="en-US" w:eastAsia="zh-CN"/>
        </w:rPr>
        <w:t>合同协议书</w:t>
      </w:r>
      <w:r>
        <w:rPr>
          <w:rFonts w:hint="eastAsia" w:ascii="宋体" w:hAnsi="宋体" w:cs="宋体"/>
          <w:szCs w:val="21"/>
          <w:highlight w:val="none"/>
        </w:rPr>
        <w:t>》的附件，与工程施工合同具有同等的法律效力。</w:t>
      </w:r>
    </w:p>
    <w:p>
      <w:pPr>
        <w:spacing w:line="500" w:lineRule="exact"/>
        <w:ind w:firstLine="420" w:firstLineChars="200"/>
        <w:rPr>
          <w:rFonts w:ascii="宋体" w:hAnsi="宋体" w:cs="宋体"/>
          <w:szCs w:val="21"/>
          <w:highlight w:val="none"/>
        </w:rPr>
      </w:pPr>
      <w:r>
        <w:rPr>
          <w:rFonts w:hint="eastAsia" w:ascii="宋体" w:hAnsi="宋体" w:cs="宋体"/>
          <w:szCs w:val="21"/>
          <w:highlight w:val="none"/>
        </w:rPr>
        <w:t>2、本合同一式</w:t>
      </w:r>
      <w:r>
        <w:rPr>
          <w:rFonts w:hint="eastAsia" w:ascii="宋体" w:hAnsi="宋体" w:cs="宋体"/>
          <w:b/>
          <w:szCs w:val="21"/>
          <w:highlight w:val="none"/>
          <w:u w:val="single"/>
        </w:rPr>
        <w:t xml:space="preserve"> 拾 </w:t>
      </w:r>
      <w:r>
        <w:rPr>
          <w:rFonts w:hint="eastAsia" w:ascii="宋体" w:hAnsi="宋体" w:cs="宋体"/>
          <w:szCs w:val="21"/>
          <w:highlight w:val="none"/>
        </w:rPr>
        <w:t>份，</w:t>
      </w:r>
      <w:r>
        <w:rPr>
          <w:rFonts w:hint="eastAsia" w:ascii="宋体" w:hAnsi="宋体" w:cs="宋体"/>
          <w:szCs w:val="21"/>
          <w:highlight w:val="none"/>
          <w:lang w:eastAsia="zh-CN"/>
        </w:rPr>
        <w:t>甲方</w:t>
      </w:r>
      <w:r>
        <w:rPr>
          <w:rFonts w:hint="eastAsia" w:ascii="宋体" w:hAnsi="宋体" w:cs="宋体"/>
          <w:szCs w:val="21"/>
          <w:highlight w:val="none"/>
        </w:rPr>
        <w:t>执</w:t>
      </w:r>
      <w:r>
        <w:rPr>
          <w:rFonts w:hint="eastAsia" w:ascii="宋体" w:hAnsi="宋体" w:cs="宋体"/>
          <w:b/>
          <w:szCs w:val="21"/>
          <w:highlight w:val="none"/>
          <w:u w:val="single"/>
        </w:rPr>
        <w:t xml:space="preserve"> 伍 </w:t>
      </w:r>
      <w:r>
        <w:rPr>
          <w:rFonts w:hint="eastAsia" w:ascii="宋体" w:hAnsi="宋体" w:cs="宋体"/>
          <w:szCs w:val="21"/>
          <w:highlight w:val="none"/>
        </w:rPr>
        <w:t>份，</w:t>
      </w:r>
      <w:r>
        <w:rPr>
          <w:rFonts w:hint="eastAsia" w:ascii="宋体" w:hAnsi="宋体" w:cs="宋体"/>
          <w:szCs w:val="21"/>
          <w:highlight w:val="none"/>
          <w:lang w:eastAsia="zh-CN"/>
        </w:rPr>
        <w:t>乙方</w:t>
      </w:r>
      <w:r>
        <w:rPr>
          <w:rFonts w:hint="eastAsia" w:ascii="宋体" w:hAnsi="宋体" w:cs="宋体"/>
          <w:szCs w:val="21"/>
          <w:highlight w:val="none"/>
        </w:rPr>
        <w:t>执</w:t>
      </w:r>
      <w:r>
        <w:rPr>
          <w:rFonts w:hint="eastAsia" w:ascii="宋体" w:hAnsi="宋体" w:cs="宋体"/>
          <w:b/>
          <w:szCs w:val="21"/>
          <w:highlight w:val="none"/>
          <w:u w:val="single"/>
        </w:rPr>
        <w:t xml:space="preserve"> 伍 </w:t>
      </w:r>
      <w:r>
        <w:rPr>
          <w:rFonts w:hint="eastAsia" w:ascii="宋体" w:hAnsi="宋体" w:cs="宋体"/>
          <w:szCs w:val="21"/>
          <w:highlight w:val="none"/>
        </w:rPr>
        <w:t>份。由双方法定代表人或其授权的代理人签署与加盖公章后生效，全部工程完工验收后终止。</w:t>
      </w:r>
    </w:p>
    <w:p>
      <w:pPr>
        <w:spacing w:line="500" w:lineRule="exact"/>
        <w:ind w:firstLine="420" w:firstLineChars="200"/>
        <w:rPr>
          <w:rFonts w:ascii="宋体" w:hAnsi="宋体" w:cs="宋体"/>
          <w:szCs w:val="21"/>
          <w:highlight w:val="none"/>
        </w:rPr>
      </w:pPr>
      <w:r>
        <w:rPr>
          <w:rFonts w:hint="eastAsia" w:ascii="宋体" w:hAnsi="宋体" w:cs="宋体"/>
          <w:szCs w:val="21"/>
          <w:highlight w:val="none"/>
        </w:rPr>
        <w:t>3、因本合同在履行过程中所产生的争议，双方协商解决，协商不成的，向</w:t>
      </w:r>
      <w:r>
        <w:rPr>
          <w:rFonts w:hint="eastAsia" w:ascii="宋体" w:hAnsi="宋体" w:cs="宋体"/>
          <w:b/>
          <w:bCs/>
          <w:szCs w:val="21"/>
          <w:highlight w:val="none"/>
          <w:u w:val="single"/>
        </w:rPr>
        <w:t>重庆</w:t>
      </w:r>
      <w:r>
        <w:rPr>
          <w:rFonts w:hint="eastAsia" w:ascii="宋体" w:hAnsi="宋体" w:cs="宋体"/>
          <w:szCs w:val="21"/>
          <w:highlight w:val="none"/>
        </w:rPr>
        <w:t>仲裁委员会申请仲裁。</w:t>
      </w:r>
    </w:p>
    <w:p>
      <w:pPr>
        <w:spacing w:line="500" w:lineRule="exact"/>
        <w:rPr>
          <w:rFonts w:ascii="宋体" w:hAnsi="宋体" w:cs="宋体"/>
          <w:szCs w:val="21"/>
          <w:highlight w:val="none"/>
        </w:rPr>
      </w:pPr>
    </w:p>
    <w:p>
      <w:pPr>
        <w:spacing w:line="360" w:lineRule="auto"/>
        <w:rPr>
          <w:rFonts w:hint="eastAsia" w:ascii="宋体" w:hAnsi="宋体" w:cs="宋体"/>
          <w:szCs w:val="21"/>
          <w:highlight w:val="none"/>
          <w:lang w:eastAsia="zh-CN"/>
        </w:rPr>
      </w:pPr>
      <w:bookmarkStart w:id="418" w:name="_Toc364674962"/>
      <w:bookmarkStart w:id="419" w:name="_Toc5134"/>
      <w:bookmarkStart w:id="420" w:name="_Toc364674940"/>
      <w:bookmarkStart w:id="421" w:name="_Toc364674802"/>
      <w:bookmarkStart w:id="422" w:name="_Toc364675101"/>
      <w:bookmarkStart w:id="423" w:name="_Toc29962"/>
    </w:p>
    <w:p>
      <w:pPr>
        <w:spacing w:line="360" w:lineRule="auto"/>
        <w:rPr>
          <w:rFonts w:ascii="宋体" w:hAnsi="宋体" w:cs="宋体"/>
          <w:szCs w:val="21"/>
          <w:highlight w:val="none"/>
        </w:rPr>
      </w:pPr>
      <w:r>
        <w:rPr>
          <w:rFonts w:hint="eastAsia" w:ascii="宋体" w:hAnsi="宋体" w:cs="宋体"/>
          <w:szCs w:val="21"/>
          <w:highlight w:val="none"/>
          <w:lang w:eastAsia="zh-CN"/>
        </w:rPr>
        <w:t>甲方</w:t>
      </w:r>
      <w:r>
        <w:rPr>
          <w:rFonts w:hint="eastAsia" w:ascii="宋体" w:hAnsi="宋体" w:cs="宋体"/>
          <w:szCs w:val="21"/>
          <w:highlight w:val="none"/>
        </w:rPr>
        <w:t>（</w:t>
      </w:r>
      <w:r>
        <w:rPr>
          <w:rFonts w:hint="eastAsia" w:ascii="宋体" w:hAnsi="宋体" w:cs="宋体"/>
          <w:highlight w:val="none"/>
        </w:rPr>
        <w:t>盖章</w:t>
      </w:r>
      <w:r>
        <w:rPr>
          <w:rFonts w:hint="eastAsia" w:ascii="宋体" w:hAnsi="宋体" w:cs="宋体"/>
          <w:szCs w:val="21"/>
          <w:highlight w:val="none"/>
        </w:rPr>
        <w:t xml:space="preserve">）：                               </w:t>
      </w:r>
      <w:r>
        <w:rPr>
          <w:rFonts w:hint="eastAsia" w:ascii="宋体" w:hAnsi="宋体" w:cs="宋体"/>
          <w:szCs w:val="21"/>
          <w:highlight w:val="none"/>
          <w:lang w:eastAsia="zh-CN"/>
        </w:rPr>
        <w:t>乙方</w:t>
      </w:r>
      <w:r>
        <w:rPr>
          <w:rFonts w:hint="eastAsia" w:ascii="宋体" w:hAnsi="宋体" w:cs="宋体"/>
          <w:szCs w:val="21"/>
          <w:highlight w:val="none"/>
        </w:rPr>
        <w:t>（</w:t>
      </w:r>
      <w:r>
        <w:rPr>
          <w:rFonts w:hint="eastAsia" w:ascii="宋体" w:hAnsi="宋体" w:cs="宋体"/>
          <w:highlight w:val="none"/>
        </w:rPr>
        <w:t>盖章</w:t>
      </w:r>
      <w:r>
        <w:rPr>
          <w:rFonts w:hint="eastAsia" w:ascii="宋体" w:hAnsi="宋体" w:cs="宋体"/>
          <w:szCs w:val="21"/>
          <w:highlight w:val="none"/>
        </w:rPr>
        <w:t>）：</w:t>
      </w:r>
    </w:p>
    <w:p>
      <w:pPr>
        <w:spacing w:line="360" w:lineRule="auto"/>
        <w:rPr>
          <w:rFonts w:hint="default" w:ascii="宋体" w:hAnsi="宋体" w:cs="宋体"/>
          <w:szCs w:val="21"/>
          <w:highlight w:val="none"/>
          <w:lang w:val="en-US"/>
        </w:rPr>
      </w:pPr>
      <w:r>
        <w:rPr>
          <w:rFonts w:hint="eastAsia" w:ascii="宋体" w:hAnsi="宋体" w:cs="宋体"/>
          <w:bCs/>
          <w:szCs w:val="21"/>
          <w:highlight w:val="none"/>
          <w:lang w:eastAsia="zh-CN"/>
        </w:rPr>
        <w:t>重庆</w:t>
      </w:r>
      <w:r>
        <w:rPr>
          <w:rFonts w:hint="eastAsia" w:ascii="宋体" w:hAnsi="宋体" w:cs="宋体"/>
          <w:bCs/>
          <w:szCs w:val="21"/>
          <w:highlight w:val="none"/>
          <w:lang w:val="en-US" w:eastAsia="zh-CN"/>
        </w:rPr>
        <w:t>***************</w:t>
      </w:r>
      <w:r>
        <w:rPr>
          <w:rFonts w:hint="eastAsia" w:ascii="宋体" w:hAnsi="宋体" w:cs="宋体"/>
          <w:bCs/>
          <w:szCs w:val="21"/>
          <w:highlight w:val="none"/>
          <w:lang w:eastAsia="zh-CN"/>
        </w:rPr>
        <w:t>有限公司</w:t>
      </w:r>
      <w:r>
        <w:rPr>
          <w:rFonts w:hint="eastAsia" w:ascii="宋体" w:hAnsi="宋体" w:cs="宋体"/>
          <w:bCs/>
          <w:szCs w:val="21"/>
          <w:highlight w:val="none"/>
          <w:lang w:val="en-US" w:eastAsia="zh-CN"/>
        </w:rPr>
        <w:t xml:space="preserve">                      </w:t>
      </w:r>
      <w:r>
        <w:rPr>
          <w:rFonts w:hint="eastAsia" w:hAnsi="宋体" w:cs="Times New Roman"/>
          <w:bCs w:val="0"/>
          <w:szCs w:val="21"/>
          <w:highlight w:val="none"/>
          <w:lang w:val="en-US" w:eastAsia="zh-CN"/>
        </w:rPr>
        <w:t>*************</w:t>
      </w:r>
    </w:p>
    <w:p>
      <w:pPr>
        <w:spacing w:line="360" w:lineRule="auto"/>
        <w:rPr>
          <w:rFonts w:hint="eastAsia" w:ascii="宋体" w:hAnsi="宋体" w:cs="宋体"/>
          <w:bCs/>
          <w:szCs w:val="21"/>
          <w:highlight w:val="none"/>
          <w:lang w:eastAsia="zh-CN"/>
        </w:rPr>
      </w:pPr>
      <w:r>
        <w:rPr>
          <w:rFonts w:hint="eastAsia" w:ascii="宋体" w:hAnsi="宋体" w:cs="宋体"/>
          <w:bCs/>
          <w:szCs w:val="21"/>
          <w:highlight w:val="none"/>
          <w:lang w:val="en-US" w:eastAsia="zh-CN"/>
        </w:rPr>
        <w:t>法定代表</w:t>
      </w:r>
      <w:r>
        <w:rPr>
          <w:rFonts w:hint="eastAsia" w:ascii="宋体" w:hAnsi="宋体" w:cs="宋体"/>
          <w:bCs/>
          <w:szCs w:val="21"/>
          <w:highlight w:val="none"/>
          <w:lang w:eastAsia="zh-CN"/>
        </w:rPr>
        <w:t>人                                  法定代表人</w:t>
      </w:r>
    </w:p>
    <w:p>
      <w:pPr>
        <w:spacing w:line="360" w:lineRule="auto"/>
        <w:rPr>
          <w:rFonts w:hint="eastAsia" w:ascii="宋体" w:hAnsi="宋体" w:cs="宋体"/>
          <w:bCs/>
          <w:szCs w:val="21"/>
          <w:highlight w:val="none"/>
          <w:lang w:eastAsia="zh-CN"/>
        </w:rPr>
      </w:pPr>
      <w:r>
        <w:rPr>
          <w:rFonts w:hint="eastAsia" w:ascii="宋体" w:hAnsi="宋体" w:cs="宋体"/>
          <w:bCs/>
          <w:szCs w:val="21"/>
          <w:highlight w:val="none"/>
          <w:lang w:eastAsia="zh-CN"/>
        </w:rPr>
        <w:t>或授权代表：                                或授权代表：</w:t>
      </w:r>
    </w:p>
    <w:p>
      <w:pPr>
        <w:spacing w:line="360" w:lineRule="auto"/>
        <w:rPr>
          <w:rFonts w:hint="eastAsia" w:ascii="宋体" w:hAnsi="宋体" w:cs="宋体"/>
          <w:bCs/>
          <w:szCs w:val="21"/>
          <w:highlight w:val="none"/>
          <w:lang w:eastAsia="zh-CN"/>
        </w:rPr>
      </w:pPr>
      <w:r>
        <w:rPr>
          <w:rFonts w:hint="eastAsia" w:ascii="宋体" w:hAnsi="宋体" w:cs="宋体"/>
          <w:bCs/>
          <w:szCs w:val="21"/>
          <w:highlight w:val="none"/>
          <w:lang w:eastAsia="zh-CN"/>
        </w:rPr>
        <w:t xml:space="preserve">                              </w:t>
      </w:r>
    </w:p>
    <w:p>
      <w:pPr>
        <w:spacing w:line="360" w:lineRule="auto"/>
        <w:rPr>
          <w:rFonts w:hint="eastAsia" w:ascii="宋体" w:hAnsi="宋体" w:cs="宋体"/>
          <w:bCs/>
          <w:szCs w:val="21"/>
          <w:highlight w:val="none"/>
          <w:lang w:eastAsia="zh-CN"/>
        </w:rPr>
      </w:pPr>
      <w:r>
        <w:rPr>
          <w:rFonts w:hint="eastAsia" w:ascii="宋体" w:hAnsi="宋体" w:cs="宋体"/>
          <w:bCs/>
          <w:szCs w:val="21"/>
          <w:highlight w:val="none"/>
          <w:lang w:eastAsia="zh-CN"/>
        </w:rPr>
        <w:t xml:space="preserve">                               </w:t>
      </w:r>
    </w:p>
    <w:p>
      <w:pPr>
        <w:spacing w:line="360" w:lineRule="auto"/>
        <w:rPr>
          <w:rFonts w:hint="eastAsia" w:ascii="宋体" w:hAnsi="宋体" w:cs="宋体"/>
          <w:bCs/>
          <w:szCs w:val="21"/>
          <w:highlight w:val="none"/>
          <w:lang w:eastAsia="zh-CN"/>
        </w:rPr>
      </w:pPr>
      <w:r>
        <w:rPr>
          <w:rFonts w:hint="eastAsia" w:ascii="宋体" w:hAnsi="宋体" w:cs="宋体"/>
          <w:bCs/>
          <w:szCs w:val="21"/>
          <w:highlight w:val="none"/>
          <w:lang w:eastAsia="zh-CN"/>
        </w:rPr>
        <w:t>经办人：                                      经办人：</w:t>
      </w:r>
    </w:p>
    <w:p>
      <w:pPr>
        <w:pStyle w:val="20"/>
        <w:tabs>
          <w:tab w:val="left" w:pos="5220"/>
        </w:tabs>
        <w:spacing w:line="360" w:lineRule="auto"/>
        <w:rPr>
          <w:rFonts w:hint="eastAsia" w:hAnsi="宋体" w:cs="宋体"/>
          <w:szCs w:val="21"/>
          <w:highlight w:val="none"/>
        </w:rPr>
      </w:pPr>
    </w:p>
    <w:p>
      <w:pPr>
        <w:spacing w:line="240" w:lineRule="exact"/>
        <w:rPr>
          <w:rFonts w:hint="eastAsia"/>
          <w:sz w:val="24"/>
          <w:highlight w:val="none"/>
          <w:u w:val="single"/>
        </w:rPr>
      </w:pPr>
      <w:r>
        <w:rPr>
          <w:rFonts w:hint="eastAsia" w:ascii="宋体" w:hAnsi="宋体"/>
          <w:szCs w:val="21"/>
          <w:highlight w:val="none"/>
        </w:rPr>
        <w:t xml:space="preserve">日 期：     </w:t>
      </w:r>
      <w:r>
        <w:rPr>
          <w:rFonts w:hint="eastAsia" w:ascii="宋体" w:hAnsi="宋体"/>
          <w:szCs w:val="21"/>
          <w:highlight w:val="none"/>
          <w:lang w:val="en-US" w:eastAsia="zh-CN"/>
        </w:rPr>
        <w:t>年</w:t>
      </w:r>
      <w:r>
        <w:rPr>
          <w:rFonts w:hint="eastAsia" w:ascii="宋体" w:hAnsi="宋体"/>
          <w:szCs w:val="21"/>
          <w:highlight w:val="none"/>
        </w:rPr>
        <w:t xml:space="preserve">    </w:t>
      </w:r>
      <w:r>
        <w:rPr>
          <w:rFonts w:hint="eastAsia" w:ascii="宋体" w:hAnsi="宋体"/>
          <w:szCs w:val="21"/>
          <w:highlight w:val="none"/>
          <w:lang w:val="en-US" w:eastAsia="zh-CN"/>
        </w:rPr>
        <w:t>月</w:t>
      </w:r>
      <w:r>
        <w:rPr>
          <w:rFonts w:hint="eastAsia" w:ascii="宋体" w:hAnsi="宋体"/>
          <w:szCs w:val="21"/>
          <w:highlight w:val="none"/>
        </w:rPr>
        <w:t xml:space="preserve">    </w:t>
      </w:r>
      <w:r>
        <w:rPr>
          <w:rFonts w:hint="eastAsia" w:ascii="宋体" w:hAnsi="宋体"/>
          <w:szCs w:val="21"/>
          <w:highlight w:val="none"/>
          <w:lang w:val="en-US" w:eastAsia="zh-CN"/>
        </w:rPr>
        <w:t>日</w:t>
      </w:r>
      <w:r>
        <w:rPr>
          <w:rFonts w:hint="eastAsia" w:ascii="宋体" w:hAnsi="宋体"/>
          <w:szCs w:val="21"/>
          <w:highlight w:val="none"/>
        </w:rPr>
        <w:t xml:space="preserve">            </w:t>
      </w:r>
      <w:r>
        <w:rPr>
          <w:rFonts w:hint="eastAsia" w:ascii="宋体" w:hAnsi="宋体"/>
          <w:szCs w:val="21"/>
          <w:highlight w:val="none"/>
          <w:lang w:val="en-US" w:eastAsia="zh-CN"/>
        </w:rPr>
        <w:t xml:space="preserve"> </w:t>
      </w:r>
      <w:r>
        <w:rPr>
          <w:rFonts w:hint="eastAsia" w:ascii="宋体" w:hAnsi="宋体"/>
          <w:szCs w:val="21"/>
          <w:highlight w:val="none"/>
        </w:rPr>
        <w:t xml:space="preserve">       日  期：     </w:t>
      </w:r>
      <w:r>
        <w:rPr>
          <w:rFonts w:hint="eastAsia" w:ascii="宋体" w:hAnsi="宋体"/>
          <w:szCs w:val="21"/>
          <w:highlight w:val="none"/>
          <w:lang w:val="en-US" w:eastAsia="zh-CN"/>
        </w:rPr>
        <w:t>年</w:t>
      </w:r>
      <w:r>
        <w:rPr>
          <w:rFonts w:hint="eastAsia" w:ascii="宋体" w:hAnsi="宋体"/>
          <w:szCs w:val="21"/>
          <w:highlight w:val="none"/>
        </w:rPr>
        <w:t xml:space="preserve">    </w:t>
      </w:r>
      <w:r>
        <w:rPr>
          <w:rFonts w:hint="eastAsia" w:ascii="宋体" w:hAnsi="宋体"/>
          <w:szCs w:val="21"/>
          <w:highlight w:val="none"/>
          <w:lang w:val="en-US" w:eastAsia="zh-CN"/>
        </w:rPr>
        <w:t>月</w:t>
      </w:r>
      <w:r>
        <w:rPr>
          <w:rFonts w:hint="eastAsia" w:ascii="宋体" w:hAnsi="宋体"/>
          <w:szCs w:val="21"/>
          <w:highlight w:val="none"/>
        </w:rPr>
        <w:t xml:space="preserve">    </w:t>
      </w:r>
      <w:r>
        <w:rPr>
          <w:rFonts w:hint="eastAsia" w:ascii="宋体" w:hAnsi="宋体"/>
          <w:szCs w:val="21"/>
          <w:highlight w:val="none"/>
          <w:lang w:val="en-US" w:eastAsia="zh-CN"/>
        </w:rPr>
        <w:t>日</w:t>
      </w:r>
    </w:p>
    <w:p>
      <w:pPr>
        <w:spacing w:line="500" w:lineRule="exact"/>
        <w:rPr>
          <w:rFonts w:hint="eastAsia" w:ascii="宋体" w:hAnsi="宋体" w:cs="宋体"/>
          <w:szCs w:val="21"/>
          <w:highlight w:val="none"/>
        </w:rPr>
      </w:pPr>
    </w:p>
    <w:p>
      <w:pPr>
        <w:spacing w:line="500" w:lineRule="exact"/>
        <w:jc w:val="center"/>
        <w:rPr>
          <w:rFonts w:hint="eastAsia" w:ascii="宋体" w:hAnsi="宋体" w:eastAsia="宋体"/>
          <w:b/>
          <w:sz w:val="36"/>
          <w:szCs w:val="36"/>
          <w:highlight w:val="none"/>
        </w:rPr>
      </w:pPr>
      <w:r>
        <w:rPr>
          <w:rFonts w:hint="eastAsia" w:ascii="宋体" w:hAnsi="宋体"/>
          <w:b/>
          <w:sz w:val="32"/>
          <w:szCs w:val="32"/>
          <w:highlight w:val="none"/>
        </w:rPr>
        <w:br w:type="page"/>
      </w:r>
      <w:r>
        <w:rPr>
          <w:rFonts w:hint="eastAsia" w:ascii="宋体" w:hAnsi="宋体"/>
          <w:b/>
          <w:sz w:val="36"/>
          <w:szCs w:val="36"/>
          <w:highlight w:val="none"/>
          <w:lang w:eastAsia="zh-CN"/>
        </w:rPr>
        <w:t>重庆</w:t>
      </w:r>
      <w:r>
        <w:rPr>
          <w:rFonts w:hint="eastAsia" w:ascii="宋体" w:hAnsi="宋体"/>
          <w:b/>
          <w:sz w:val="36"/>
          <w:szCs w:val="36"/>
          <w:highlight w:val="none"/>
          <w:lang w:val="en-US" w:eastAsia="zh-CN"/>
        </w:rPr>
        <w:t>****************</w:t>
      </w:r>
      <w:r>
        <w:rPr>
          <w:rFonts w:hint="eastAsia" w:ascii="宋体" w:hAnsi="宋体"/>
          <w:b/>
          <w:sz w:val="36"/>
          <w:szCs w:val="36"/>
          <w:highlight w:val="none"/>
          <w:lang w:eastAsia="zh-CN"/>
        </w:rPr>
        <w:t>有限公司</w:t>
      </w:r>
      <w:r>
        <w:rPr>
          <w:rFonts w:hint="eastAsia" w:ascii="宋体" w:hAnsi="宋体" w:cs="Times New Roman"/>
          <w:b/>
          <w:i w:val="0"/>
          <w:iCs w:val="0"/>
          <w:kern w:val="2"/>
          <w:sz w:val="36"/>
          <w:szCs w:val="36"/>
          <w:highlight w:val="none"/>
          <w:u w:val="none"/>
          <w:lang w:val="en-US" w:eastAsia="zh-CN" w:bidi="ar"/>
        </w:rPr>
        <w:t>2023年办公家具采购</w:t>
      </w:r>
      <w:r>
        <w:rPr>
          <w:rFonts w:hint="eastAsia" w:ascii="宋体" w:hAnsi="宋体" w:eastAsia="宋体"/>
          <w:b/>
          <w:sz w:val="36"/>
          <w:szCs w:val="36"/>
          <w:highlight w:val="none"/>
          <w:u w:val="none"/>
        </w:rPr>
        <w:t>廉</w:t>
      </w:r>
      <w:r>
        <w:rPr>
          <w:rFonts w:hint="eastAsia" w:ascii="宋体" w:hAnsi="宋体" w:eastAsia="宋体"/>
          <w:b/>
          <w:sz w:val="36"/>
          <w:szCs w:val="36"/>
          <w:highlight w:val="none"/>
        </w:rPr>
        <w:t>政合同</w:t>
      </w:r>
      <w:bookmarkEnd w:id="418"/>
      <w:bookmarkEnd w:id="419"/>
      <w:bookmarkEnd w:id="420"/>
      <w:bookmarkEnd w:id="421"/>
      <w:bookmarkEnd w:id="422"/>
      <w:bookmarkEnd w:id="423"/>
    </w:p>
    <w:p>
      <w:pPr>
        <w:pStyle w:val="15"/>
        <w:rPr>
          <w:rFonts w:hint="eastAsia"/>
          <w:highlight w:val="none"/>
        </w:rPr>
      </w:pPr>
    </w:p>
    <w:p>
      <w:pPr>
        <w:spacing w:line="520" w:lineRule="exact"/>
        <w:ind w:firstLine="420" w:firstLineChars="200"/>
        <w:rPr>
          <w:rFonts w:ascii="宋体" w:hAnsi="宋体"/>
          <w:szCs w:val="21"/>
          <w:highlight w:val="none"/>
        </w:rPr>
      </w:pPr>
      <w:r>
        <w:rPr>
          <w:rFonts w:hint="eastAsia" w:ascii="宋体" w:hAnsi="宋体"/>
          <w:szCs w:val="21"/>
          <w:highlight w:val="none"/>
        </w:rPr>
        <w:t>根据交通部《关于在交通基础设施建设中加强廉政建设的若干意见》以及有关工程建设、廉政建设的规定，为做好工程建设中的党风廉政建设，保证工程建设高效优质，保证建设资金的安全和有效使用以及投资效益，建设工程的项目法人</w:t>
      </w:r>
      <w:r>
        <w:rPr>
          <w:rFonts w:hint="eastAsia" w:ascii="宋体" w:hAnsi="宋体"/>
          <w:b/>
          <w:bCs w:val="0"/>
          <w:szCs w:val="21"/>
          <w:highlight w:val="none"/>
          <w:u w:val="single"/>
          <w:lang w:eastAsia="zh-CN"/>
        </w:rPr>
        <w:t>重庆</w:t>
      </w:r>
      <w:r>
        <w:rPr>
          <w:rFonts w:hint="eastAsia" w:ascii="宋体" w:hAnsi="宋体"/>
          <w:b/>
          <w:bCs w:val="0"/>
          <w:szCs w:val="21"/>
          <w:highlight w:val="none"/>
          <w:u w:val="single"/>
          <w:lang w:val="en-US" w:eastAsia="zh-CN"/>
        </w:rPr>
        <w:t>***********</w:t>
      </w:r>
      <w:r>
        <w:rPr>
          <w:rFonts w:hint="eastAsia" w:ascii="宋体" w:hAnsi="宋体"/>
          <w:b/>
          <w:bCs w:val="0"/>
          <w:szCs w:val="21"/>
          <w:highlight w:val="none"/>
          <w:u w:val="single"/>
          <w:lang w:eastAsia="zh-CN"/>
        </w:rPr>
        <w:t>管理有限公司</w:t>
      </w:r>
      <w:r>
        <w:rPr>
          <w:rFonts w:hint="eastAsia" w:ascii="宋体" w:hAnsi="宋体"/>
          <w:szCs w:val="21"/>
          <w:highlight w:val="none"/>
        </w:rPr>
        <w:t>（以下简称“</w:t>
      </w:r>
      <w:r>
        <w:rPr>
          <w:rFonts w:hint="eastAsia" w:ascii="宋体" w:hAnsi="宋体"/>
          <w:szCs w:val="21"/>
          <w:highlight w:val="none"/>
          <w:lang w:eastAsia="zh-CN"/>
        </w:rPr>
        <w:t>甲方</w:t>
      </w:r>
      <w:r>
        <w:rPr>
          <w:rFonts w:hint="eastAsia" w:ascii="宋体" w:hAnsi="宋体"/>
          <w:szCs w:val="21"/>
          <w:highlight w:val="none"/>
        </w:rPr>
        <w:t>”）与施工单位</w:t>
      </w:r>
      <w:r>
        <w:rPr>
          <w:rFonts w:hint="eastAsia" w:ascii="宋体" w:hAnsi="宋体"/>
          <w:szCs w:val="21"/>
          <w:highlight w:val="none"/>
          <w:u w:val="single"/>
          <w:lang w:val="en-US" w:eastAsia="zh-CN"/>
        </w:rPr>
        <w:t xml:space="preserve"> </w:t>
      </w:r>
      <w:r>
        <w:rPr>
          <w:rFonts w:hint="eastAsia" w:ascii="宋体" w:hAnsi="宋体"/>
          <w:b/>
          <w:szCs w:val="21"/>
          <w:highlight w:val="none"/>
          <w:u w:val="single"/>
          <w:lang w:val="en-US" w:eastAsia="zh-CN"/>
        </w:rPr>
        <w:t xml:space="preserve">                        </w:t>
      </w:r>
      <w:r>
        <w:rPr>
          <w:rFonts w:hint="eastAsia" w:ascii="宋体" w:hAnsi="宋体"/>
          <w:szCs w:val="21"/>
          <w:highlight w:val="none"/>
        </w:rPr>
        <w:t>（以下简称“</w:t>
      </w:r>
      <w:r>
        <w:rPr>
          <w:rFonts w:hint="eastAsia" w:ascii="宋体" w:hAnsi="宋体"/>
          <w:szCs w:val="21"/>
          <w:highlight w:val="none"/>
          <w:lang w:eastAsia="zh-CN"/>
        </w:rPr>
        <w:t>乙方</w:t>
      </w:r>
      <w:r>
        <w:rPr>
          <w:rFonts w:hint="eastAsia" w:ascii="宋体" w:hAnsi="宋体"/>
          <w:szCs w:val="21"/>
          <w:highlight w:val="none"/>
        </w:rPr>
        <w:t>”）特订立如下合同。</w:t>
      </w:r>
    </w:p>
    <w:p>
      <w:pPr>
        <w:widowControl/>
        <w:numPr>
          <w:ilvl w:val="0"/>
          <w:numId w:val="12"/>
        </w:numPr>
        <w:tabs>
          <w:tab w:val="left" w:pos="720"/>
        </w:tabs>
        <w:spacing w:line="520" w:lineRule="exact"/>
        <w:ind w:firstLine="480"/>
        <w:jc w:val="left"/>
        <w:rPr>
          <w:rFonts w:ascii="宋体" w:hAnsi="宋体"/>
          <w:b/>
          <w:szCs w:val="21"/>
          <w:highlight w:val="none"/>
        </w:rPr>
      </w:pPr>
      <w:r>
        <w:rPr>
          <w:rFonts w:hint="eastAsia" w:ascii="宋体" w:hAnsi="宋体"/>
          <w:b/>
          <w:szCs w:val="21"/>
          <w:highlight w:val="none"/>
        </w:rPr>
        <w:t>甲、乙双方的职责</w:t>
      </w:r>
    </w:p>
    <w:p>
      <w:pPr>
        <w:spacing w:line="520" w:lineRule="exact"/>
        <w:ind w:firstLine="420" w:firstLineChars="200"/>
        <w:rPr>
          <w:rFonts w:ascii="宋体" w:hAnsi="宋体"/>
          <w:b/>
          <w:bCs/>
          <w:szCs w:val="21"/>
          <w:highlight w:val="none"/>
        </w:rPr>
      </w:pPr>
      <w:r>
        <w:rPr>
          <w:rFonts w:hint="eastAsia" w:ascii="宋体" w:hAnsi="宋体"/>
          <w:szCs w:val="21"/>
          <w:highlight w:val="none"/>
        </w:rPr>
        <w:t>（1）严格遵守党的政策规定和国家有关法律法规及交通部的有关规定。严格执行《</w:t>
      </w:r>
      <w:r>
        <w:rPr>
          <w:rFonts w:hint="eastAsia" w:ascii="宋体" w:hAnsi="宋体" w:cs="宋体"/>
          <w:b/>
          <w:bCs/>
          <w:szCs w:val="21"/>
          <w:highlight w:val="none"/>
          <w:u w:val="none"/>
          <w:lang w:eastAsia="zh-CN"/>
        </w:rPr>
        <w:t>重庆</w:t>
      </w:r>
      <w:r>
        <w:rPr>
          <w:rFonts w:hint="eastAsia" w:ascii="宋体" w:hAnsi="宋体" w:cs="宋体"/>
          <w:b/>
          <w:bCs/>
          <w:szCs w:val="21"/>
          <w:highlight w:val="none"/>
          <w:u w:val="none"/>
          <w:lang w:val="en-US" w:eastAsia="zh-CN"/>
        </w:rPr>
        <w:t>*****************</w:t>
      </w:r>
      <w:r>
        <w:rPr>
          <w:rFonts w:hint="eastAsia" w:ascii="宋体" w:hAnsi="宋体" w:cs="宋体"/>
          <w:b/>
          <w:bCs/>
          <w:szCs w:val="21"/>
          <w:highlight w:val="none"/>
          <w:u w:val="none"/>
          <w:lang w:eastAsia="zh-CN"/>
        </w:rPr>
        <w:t>有限公司</w:t>
      </w:r>
      <w:r>
        <w:rPr>
          <w:rFonts w:hint="eastAsia" w:ascii="宋体" w:hAnsi="宋体" w:eastAsia="宋体" w:cs="宋体"/>
          <w:b/>
          <w:bCs/>
          <w:szCs w:val="21"/>
          <w:highlight w:val="none"/>
          <w:u w:val="none"/>
          <w:lang w:val="en-US" w:eastAsia="zh-CN"/>
        </w:rPr>
        <w:t>2023年办公家具采购</w:t>
      </w:r>
      <w:r>
        <w:rPr>
          <w:rFonts w:hint="eastAsia" w:ascii="宋体" w:hAnsi="宋体" w:cs="宋体"/>
          <w:b/>
          <w:bCs/>
          <w:szCs w:val="21"/>
          <w:highlight w:val="none"/>
          <w:u w:val="none"/>
          <w:lang w:val="en-US" w:eastAsia="zh-CN"/>
        </w:rPr>
        <w:t>合同协议书</w:t>
      </w:r>
      <w:r>
        <w:rPr>
          <w:rFonts w:hint="eastAsia" w:ascii="宋体" w:hAnsi="宋体"/>
          <w:szCs w:val="21"/>
          <w:highlight w:val="none"/>
        </w:rPr>
        <w:t xml:space="preserve">》的相关条款，自觉按合同办事。 </w:t>
      </w:r>
    </w:p>
    <w:p>
      <w:pPr>
        <w:widowControl/>
        <w:tabs>
          <w:tab w:val="left" w:pos="0"/>
        </w:tabs>
        <w:spacing w:line="520" w:lineRule="exact"/>
        <w:ind w:firstLine="420" w:firstLineChars="200"/>
        <w:jc w:val="left"/>
        <w:rPr>
          <w:rFonts w:ascii="宋体" w:hAnsi="宋体"/>
          <w:szCs w:val="21"/>
          <w:highlight w:val="none"/>
        </w:rPr>
      </w:pPr>
      <w:r>
        <w:rPr>
          <w:rFonts w:hint="eastAsia" w:ascii="宋体" w:hAnsi="宋体"/>
          <w:szCs w:val="21"/>
          <w:highlight w:val="none"/>
        </w:rPr>
        <w:t>（2）双方的业务活动坚持公开、公正、诚信、透明的原则（法律认定的商业秘密和合同文件另有规定除外）不得损害国家和集体利益。</w:t>
      </w:r>
    </w:p>
    <w:p>
      <w:pPr>
        <w:widowControl/>
        <w:tabs>
          <w:tab w:val="left" w:pos="1140"/>
        </w:tabs>
        <w:spacing w:line="520" w:lineRule="exact"/>
        <w:ind w:firstLine="420" w:firstLineChars="200"/>
        <w:jc w:val="left"/>
        <w:rPr>
          <w:rFonts w:ascii="宋体" w:hAnsi="宋体"/>
          <w:szCs w:val="21"/>
          <w:highlight w:val="none"/>
        </w:rPr>
      </w:pPr>
      <w:r>
        <w:rPr>
          <w:rFonts w:hint="eastAsia" w:ascii="宋体" w:hAnsi="宋体"/>
          <w:szCs w:val="21"/>
          <w:highlight w:val="none"/>
        </w:rPr>
        <w:t>（3）建立健全廉政制度，开展廉政教育，设立廉政告示牌，公布举报电话，监督并认真查处违法违纪行为。发现对方在业务活动中有违反廉政规定的行为，有及时提醒对方纠正的权利和义务。</w:t>
      </w:r>
    </w:p>
    <w:p>
      <w:pPr>
        <w:widowControl/>
        <w:tabs>
          <w:tab w:val="left" w:pos="1140"/>
        </w:tabs>
        <w:spacing w:line="520" w:lineRule="exact"/>
        <w:ind w:firstLine="420" w:firstLineChars="200"/>
        <w:jc w:val="left"/>
        <w:rPr>
          <w:rFonts w:ascii="宋体" w:hAnsi="宋体"/>
          <w:szCs w:val="21"/>
          <w:highlight w:val="none"/>
        </w:rPr>
      </w:pPr>
      <w:r>
        <w:rPr>
          <w:rFonts w:hint="eastAsia" w:ascii="宋体" w:hAnsi="宋体"/>
          <w:szCs w:val="21"/>
          <w:highlight w:val="none"/>
        </w:rPr>
        <w:t>（4）发现对方严重违反本合同义务条款的行为，有向其上级有关部门举报、建议给予处理并要求告知处理结果的权利。</w:t>
      </w:r>
    </w:p>
    <w:p>
      <w:pPr>
        <w:widowControl/>
        <w:tabs>
          <w:tab w:val="left" w:pos="1080"/>
        </w:tabs>
        <w:spacing w:line="520" w:lineRule="exact"/>
        <w:ind w:firstLine="316" w:firstLineChars="150"/>
        <w:jc w:val="left"/>
        <w:outlineLvl w:val="0"/>
        <w:rPr>
          <w:rFonts w:ascii="宋体" w:hAnsi="宋体"/>
          <w:b/>
          <w:szCs w:val="21"/>
          <w:highlight w:val="none"/>
        </w:rPr>
      </w:pPr>
      <w:bookmarkStart w:id="424" w:name="_Toc23200"/>
      <w:bookmarkStart w:id="425" w:name="_Toc11693"/>
      <w:r>
        <w:rPr>
          <w:rFonts w:hint="eastAsia" w:ascii="宋体" w:hAnsi="宋体"/>
          <w:b/>
          <w:szCs w:val="21"/>
          <w:highlight w:val="none"/>
        </w:rPr>
        <w:t>2、</w:t>
      </w:r>
      <w:r>
        <w:rPr>
          <w:rFonts w:hint="eastAsia" w:ascii="宋体" w:hAnsi="宋体"/>
          <w:b/>
          <w:szCs w:val="21"/>
          <w:highlight w:val="none"/>
          <w:lang w:eastAsia="zh-CN"/>
        </w:rPr>
        <w:t>甲方</w:t>
      </w:r>
      <w:r>
        <w:rPr>
          <w:rFonts w:hint="eastAsia" w:ascii="宋体" w:hAnsi="宋体"/>
          <w:b/>
          <w:szCs w:val="21"/>
          <w:highlight w:val="none"/>
        </w:rPr>
        <w:t>的义务</w:t>
      </w:r>
      <w:bookmarkEnd w:id="424"/>
      <w:bookmarkEnd w:id="425"/>
    </w:p>
    <w:p>
      <w:pPr>
        <w:widowControl/>
        <w:tabs>
          <w:tab w:val="left" w:pos="1140"/>
        </w:tabs>
        <w:spacing w:line="520" w:lineRule="exact"/>
        <w:ind w:firstLine="420" w:firstLineChars="200"/>
        <w:jc w:val="left"/>
        <w:rPr>
          <w:rFonts w:ascii="宋体" w:hAnsi="宋体"/>
          <w:szCs w:val="21"/>
          <w:highlight w:val="none"/>
        </w:rPr>
      </w:pPr>
      <w:r>
        <w:rPr>
          <w:rFonts w:hint="eastAsia" w:ascii="宋体" w:hAnsi="宋体"/>
          <w:szCs w:val="21"/>
          <w:highlight w:val="none"/>
        </w:rPr>
        <w:t>（1）</w:t>
      </w:r>
      <w:r>
        <w:rPr>
          <w:rFonts w:hint="eastAsia" w:ascii="宋体" w:hAnsi="宋体"/>
          <w:szCs w:val="21"/>
          <w:highlight w:val="none"/>
          <w:lang w:eastAsia="zh-CN"/>
        </w:rPr>
        <w:t>甲方</w:t>
      </w:r>
      <w:r>
        <w:rPr>
          <w:rFonts w:hint="eastAsia" w:ascii="宋体" w:hAnsi="宋体"/>
          <w:szCs w:val="21"/>
          <w:highlight w:val="none"/>
        </w:rPr>
        <w:t>及其工作人员不得索要或接受</w:t>
      </w:r>
      <w:r>
        <w:rPr>
          <w:rFonts w:hint="eastAsia" w:ascii="宋体" w:hAnsi="宋体"/>
          <w:szCs w:val="21"/>
          <w:highlight w:val="none"/>
          <w:lang w:eastAsia="zh-CN"/>
        </w:rPr>
        <w:t>乙方</w:t>
      </w:r>
      <w:r>
        <w:rPr>
          <w:rFonts w:hint="eastAsia" w:ascii="宋体" w:hAnsi="宋体"/>
          <w:szCs w:val="21"/>
          <w:highlight w:val="none"/>
        </w:rPr>
        <w:t>的礼金、有价证券和贵重物品，不得在</w:t>
      </w:r>
      <w:r>
        <w:rPr>
          <w:rFonts w:hint="eastAsia" w:ascii="宋体" w:hAnsi="宋体"/>
          <w:szCs w:val="21"/>
          <w:highlight w:val="none"/>
          <w:lang w:eastAsia="zh-CN"/>
        </w:rPr>
        <w:t>乙方</w:t>
      </w:r>
      <w:r>
        <w:rPr>
          <w:rFonts w:hint="eastAsia" w:ascii="宋体" w:hAnsi="宋体"/>
          <w:szCs w:val="21"/>
          <w:highlight w:val="none"/>
        </w:rPr>
        <w:t>报销任何应由</w:t>
      </w:r>
      <w:r>
        <w:rPr>
          <w:rFonts w:hint="eastAsia" w:ascii="宋体" w:hAnsi="宋体"/>
          <w:szCs w:val="21"/>
          <w:highlight w:val="none"/>
          <w:lang w:eastAsia="zh-CN"/>
        </w:rPr>
        <w:t>甲方</w:t>
      </w:r>
      <w:r>
        <w:rPr>
          <w:rFonts w:hint="eastAsia" w:ascii="宋体" w:hAnsi="宋体"/>
          <w:szCs w:val="21"/>
          <w:highlight w:val="none"/>
        </w:rPr>
        <w:t>或</w:t>
      </w:r>
      <w:r>
        <w:rPr>
          <w:rFonts w:hint="eastAsia" w:ascii="宋体" w:hAnsi="宋体"/>
          <w:szCs w:val="21"/>
          <w:highlight w:val="none"/>
          <w:lang w:eastAsia="zh-CN"/>
        </w:rPr>
        <w:t>甲方</w:t>
      </w:r>
      <w:r>
        <w:rPr>
          <w:rFonts w:hint="eastAsia" w:ascii="宋体" w:hAnsi="宋体"/>
          <w:szCs w:val="21"/>
          <w:highlight w:val="none"/>
        </w:rPr>
        <w:t>工作人员个人支付的费用等。</w:t>
      </w:r>
    </w:p>
    <w:p>
      <w:pPr>
        <w:widowControl/>
        <w:tabs>
          <w:tab w:val="left" w:pos="1140"/>
        </w:tabs>
        <w:spacing w:line="520" w:lineRule="exact"/>
        <w:ind w:firstLine="420" w:firstLineChars="200"/>
        <w:jc w:val="left"/>
        <w:rPr>
          <w:rFonts w:ascii="宋体" w:hAnsi="宋体"/>
          <w:szCs w:val="21"/>
          <w:highlight w:val="none"/>
        </w:rPr>
      </w:pPr>
      <w:r>
        <w:rPr>
          <w:rFonts w:hint="eastAsia" w:ascii="宋体" w:hAnsi="宋体"/>
          <w:szCs w:val="21"/>
          <w:highlight w:val="none"/>
        </w:rPr>
        <w:t>（2）</w:t>
      </w:r>
      <w:r>
        <w:rPr>
          <w:rFonts w:hint="eastAsia" w:ascii="宋体" w:hAnsi="宋体"/>
          <w:szCs w:val="21"/>
          <w:highlight w:val="none"/>
          <w:lang w:eastAsia="zh-CN"/>
        </w:rPr>
        <w:t>甲方</w:t>
      </w:r>
      <w:r>
        <w:rPr>
          <w:rFonts w:hint="eastAsia" w:ascii="宋体" w:hAnsi="宋体"/>
          <w:szCs w:val="21"/>
          <w:highlight w:val="none"/>
        </w:rPr>
        <w:t>工作人员不得参加</w:t>
      </w:r>
      <w:r>
        <w:rPr>
          <w:rFonts w:hint="eastAsia" w:ascii="宋体" w:hAnsi="宋体"/>
          <w:szCs w:val="21"/>
          <w:highlight w:val="none"/>
          <w:lang w:eastAsia="zh-CN"/>
        </w:rPr>
        <w:t>乙方</w:t>
      </w:r>
      <w:r>
        <w:rPr>
          <w:rFonts w:hint="eastAsia" w:ascii="宋体" w:hAnsi="宋体"/>
          <w:szCs w:val="21"/>
          <w:highlight w:val="none"/>
        </w:rPr>
        <w:t>安排的超标准宴请和娱乐活动；不得接受</w:t>
      </w:r>
      <w:r>
        <w:rPr>
          <w:rFonts w:hint="eastAsia" w:ascii="宋体" w:hAnsi="宋体"/>
          <w:szCs w:val="21"/>
          <w:highlight w:val="none"/>
          <w:lang w:eastAsia="zh-CN"/>
        </w:rPr>
        <w:t>乙方</w:t>
      </w:r>
      <w:r>
        <w:rPr>
          <w:rFonts w:hint="eastAsia" w:ascii="宋体" w:hAnsi="宋体"/>
          <w:szCs w:val="21"/>
          <w:highlight w:val="none"/>
        </w:rPr>
        <w:t>提供的通讯工具、交通工具和高档办公用品等。</w:t>
      </w:r>
    </w:p>
    <w:p>
      <w:pPr>
        <w:widowControl/>
        <w:tabs>
          <w:tab w:val="left" w:pos="1140"/>
        </w:tabs>
        <w:spacing w:line="520" w:lineRule="exact"/>
        <w:ind w:firstLine="420" w:firstLineChars="200"/>
        <w:jc w:val="left"/>
        <w:rPr>
          <w:rFonts w:ascii="宋体" w:hAnsi="宋体"/>
          <w:szCs w:val="21"/>
          <w:highlight w:val="none"/>
        </w:rPr>
      </w:pPr>
      <w:r>
        <w:rPr>
          <w:rFonts w:hint="eastAsia" w:ascii="宋体" w:hAnsi="宋体"/>
          <w:szCs w:val="21"/>
          <w:highlight w:val="none"/>
        </w:rPr>
        <w:t>（3）</w:t>
      </w:r>
      <w:r>
        <w:rPr>
          <w:rFonts w:hint="eastAsia" w:ascii="宋体" w:hAnsi="宋体"/>
          <w:szCs w:val="21"/>
          <w:highlight w:val="none"/>
          <w:lang w:eastAsia="zh-CN"/>
        </w:rPr>
        <w:t>甲方</w:t>
      </w:r>
      <w:r>
        <w:rPr>
          <w:rFonts w:hint="eastAsia" w:ascii="宋体" w:hAnsi="宋体"/>
          <w:szCs w:val="21"/>
          <w:highlight w:val="none"/>
        </w:rPr>
        <w:t>及其工作人员不得要求或者接受</w:t>
      </w:r>
      <w:r>
        <w:rPr>
          <w:rFonts w:hint="eastAsia" w:ascii="宋体" w:hAnsi="宋体"/>
          <w:szCs w:val="21"/>
          <w:highlight w:val="none"/>
          <w:lang w:eastAsia="zh-CN"/>
        </w:rPr>
        <w:t>乙方</w:t>
      </w:r>
      <w:r>
        <w:rPr>
          <w:rFonts w:hint="eastAsia" w:ascii="宋体" w:hAnsi="宋体"/>
          <w:szCs w:val="21"/>
          <w:highlight w:val="none"/>
        </w:rPr>
        <w:t>为其住房装修、婚丧嫁娶活动、配偶子女的工作安排以及出国出境、旅游等提供方便等。</w:t>
      </w:r>
    </w:p>
    <w:p>
      <w:pPr>
        <w:widowControl/>
        <w:tabs>
          <w:tab w:val="left" w:pos="1140"/>
        </w:tabs>
        <w:spacing w:line="520" w:lineRule="exact"/>
        <w:ind w:firstLine="420" w:firstLineChars="200"/>
        <w:jc w:val="left"/>
        <w:rPr>
          <w:rFonts w:ascii="宋体" w:hAnsi="宋体"/>
          <w:szCs w:val="21"/>
          <w:highlight w:val="none"/>
        </w:rPr>
      </w:pPr>
      <w:r>
        <w:rPr>
          <w:rFonts w:hint="eastAsia" w:ascii="宋体" w:hAnsi="宋体"/>
          <w:szCs w:val="21"/>
          <w:highlight w:val="none"/>
        </w:rPr>
        <w:t>（4）</w:t>
      </w:r>
      <w:r>
        <w:rPr>
          <w:rFonts w:hint="eastAsia" w:ascii="宋体" w:hAnsi="宋体"/>
          <w:szCs w:val="21"/>
          <w:highlight w:val="none"/>
          <w:lang w:eastAsia="zh-CN"/>
        </w:rPr>
        <w:t>甲方</w:t>
      </w:r>
      <w:r>
        <w:rPr>
          <w:rFonts w:hint="eastAsia" w:ascii="宋体" w:hAnsi="宋体"/>
          <w:szCs w:val="21"/>
          <w:highlight w:val="none"/>
        </w:rPr>
        <w:t>工作人员及其配偶、子女不得从事与</w:t>
      </w:r>
      <w:r>
        <w:rPr>
          <w:rFonts w:hint="eastAsia" w:ascii="宋体" w:hAnsi="宋体"/>
          <w:szCs w:val="21"/>
          <w:highlight w:val="none"/>
          <w:lang w:eastAsia="zh-CN"/>
        </w:rPr>
        <w:t>甲方</w:t>
      </w:r>
      <w:r>
        <w:rPr>
          <w:rFonts w:hint="eastAsia" w:ascii="宋体" w:hAnsi="宋体"/>
          <w:szCs w:val="21"/>
          <w:highlight w:val="none"/>
        </w:rPr>
        <w:t>工程有关的材料设备供应、工程分包、劳务等经济活动等。</w:t>
      </w:r>
    </w:p>
    <w:p>
      <w:pPr>
        <w:widowControl/>
        <w:tabs>
          <w:tab w:val="left" w:pos="1140"/>
        </w:tabs>
        <w:spacing w:line="520" w:lineRule="exact"/>
        <w:ind w:firstLine="420" w:firstLineChars="200"/>
        <w:jc w:val="left"/>
        <w:rPr>
          <w:rFonts w:ascii="宋体" w:hAnsi="宋体"/>
          <w:szCs w:val="21"/>
          <w:highlight w:val="none"/>
        </w:rPr>
      </w:pPr>
      <w:r>
        <w:rPr>
          <w:rFonts w:hint="eastAsia" w:ascii="宋体" w:hAnsi="宋体"/>
          <w:szCs w:val="21"/>
          <w:highlight w:val="none"/>
        </w:rPr>
        <w:t>（5）</w:t>
      </w:r>
      <w:r>
        <w:rPr>
          <w:rFonts w:hint="eastAsia" w:ascii="宋体" w:hAnsi="宋体"/>
          <w:szCs w:val="21"/>
          <w:highlight w:val="none"/>
          <w:lang w:eastAsia="zh-CN"/>
        </w:rPr>
        <w:t>甲方</w:t>
      </w:r>
      <w:r>
        <w:rPr>
          <w:rFonts w:hint="eastAsia" w:ascii="宋体" w:hAnsi="宋体"/>
          <w:szCs w:val="21"/>
          <w:highlight w:val="none"/>
        </w:rPr>
        <w:t>及其工作人员不得以任何理由向</w:t>
      </w:r>
      <w:r>
        <w:rPr>
          <w:rFonts w:hint="eastAsia" w:ascii="宋体" w:hAnsi="宋体"/>
          <w:szCs w:val="21"/>
          <w:highlight w:val="none"/>
          <w:lang w:eastAsia="zh-CN"/>
        </w:rPr>
        <w:t>乙方</w:t>
      </w:r>
      <w:r>
        <w:rPr>
          <w:rFonts w:hint="eastAsia" w:ascii="宋体" w:hAnsi="宋体"/>
          <w:szCs w:val="21"/>
          <w:highlight w:val="none"/>
        </w:rPr>
        <w:t>推销材料，不得要求</w:t>
      </w:r>
      <w:r>
        <w:rPr>
          <w:rFonts w:hint="eastAsia" w:ascii="宋体" w:hAnsi="宋体"/>
          <w:szCs w:val="21"/>
          <w:highlight w:val="none"/>
          <w:lang w:eastAsia="zh-CN"/>
        </w:rPr>
        <w:t>乙方</w:t>
      </w:r>
      <w:r>
        <w:rPr>
          <w:rFonts w:hint="eastAsia" w:ascii="宋体" w:hAnsi="宋体"/>
          <w:szCs w:val="21"/>
          <w:highlight w:val="none"/>
        </w:rPr>
        <w:t>购买合同规定外的材料和设备。</w:t>
      </w:r>
    </w:p>
    <w:p>
      <w:pPr>
        <w:widowControl/>
        <w:tabs>
          <w:tab w:val="left" w:pos="1140"/>
        </w:tabs>
        <w:spacing w:line="520" w:lineRule="exact"/>
        <w:ind w:firstLine="420" w:firstLineChars="200"/>
        <w:jc w:val="left"/>
        <w:rPr>
          <w:rFonts w:ascii="宋体" w:hAnsi="宋体"/>
          <w:szCs w:val="21"/>
          <w:highlight w:val="none"/>
        </w:rPr>
      </w:pPr>
      <w:r>
        <w:rPr>
          <w:rFonts w:hint="eastAsia" w:ascii="宋体" w:hAnsi="宋体"/>
          <w:szCs w:val="21"/>
          <w:highlight w:val="none"/>
        </w:rPr>
        <w:t>（6）</w:t>
      </w:r>
      <w:r>
        <w:rPr>
          <w:rFonts w:hint="eastAsia" w:ascii="宋体" w:hAnsi="宋体"/>
          <w:szCs w:val="21"/>
          <w:highlight w:val="none"/>
          <w:lang w:eastAsia="zh-CN"/>
        </w:rPr>
        <w:t>甲方</w:t>
      </w:r>
      <w:r>
        <w:rPr>
          <w:rFonts w:hint="eastAsia" w:ascii="宋体" w:hAnsi="宋体"/>
          <w:szCs w:val="21"/>
          <w:highlight w:val="none"/>
        </w:rPr>
        <w:t>工作人员要秉公办事，不准营私舞弊，不准利用职权从事各种个人有偿中介活动和安排个人施工队伍。</w:t>
      </w:r>
    </w:p>
    <w:p>
      <w:pPr>
        <w:widowControl/>
        <w:spacing w:line="520" w:lineRule="exact"/>
        <w:ind w:left="480"/>
        <w:jc w:val="left"/>
        <w:outlineLvl w:val="0"/>
        <w:rPr>
          <w:rFonts w:ascii="宋体" w:hAnsi="宋体"/>
          <w:b/>
          <w:szCs w:val="21"/>
          <w:highlight w:val="none"/>
        </w:rPr>
      </w:pPr>
      <w:bookmarkStart w:id="426" w:name="_Toc1268"/>
      <w:bookmarkStart w:id="427" w:name="_Toc7265"/>
      <w:r>
        <w:rPr>
          <w:rFonts w:hint="eastAsia" w:ascii="宋体" w:hAnsi="宋体"/>
          <w:b/>
          <w:szCs w:val="21"/>
          <w:highlight w:val="none"/>
        </w:rPr>
        <w:t>3、</w:t>
      </w:r>
      <w:r>
        <w:rPr>
          <w:rFonts w:hint="eastAsia" w:ascii="宋体" w:hAnsi="宋体"/>
          <w:b/>
          <w:szCs w:val="21"/>
          <w:highlight w:val="none"/>
          <w:lang w:eastAsia="zh-CN"/>
        </w:rPr>
        <w:t>乙方</w:t>
      </w:r>
      <w:r>
        <w:rPr>
          <w:rFonts w:hint="eastAsia" w:ascii="宋体" w:hAnsi="宋体"/>
          <w:b/>
          <w:szCs w:val="21"/>
          <w:highlight w:val="none"/>
        </w:rPr>
        <w:t>义务</w:t>
      </w:r>
      <w:bookmarkEnd w:id="426"/>
      <w:bookmarkEnd w:id="427"/>
    </w:p>
    <w:p>
      <w:pPr>
        <w:widowControl/>
        <w:tabs>
          <w:tab w:val="left" w:pos="1140"/>
        </w:tabs>
        <w:spacing w:line="520" w:lineRule="exact"/>
        <w:ind w:firstLine="367" w:firstLineChars="175"/>
        <w:jc w:val="left"/>
        <w:rPr>
          <w:rFonts w:ascii="宋体" w:hAnsi="宋体"/>
          <w:szCs w:val="21"/>
          <w:highlight w:val="none"/>
        </w:rPr>
      </w:pPr>
      <w:r>
        <w:rPr>
          <w:rFonts w:hint="eastAsia" w:ascii="宋体" w:hAnsi="宋体"/>
          <w:szCs w:val="21"/>
          <w:highlight w:val="none"/>
        </w:rPr>
        <w:t>（1）</w:t>
      </w:r>
      <w:r>
        <w:rPr>
          <w:rFonts w:hint="eastAsia" w:ascii="宋体" w:hAnsi="宋体"/>
          <w:szCs w:val="21"/>
          <w:highlight w:val="none"/>
          <w:lang w:eastAsia="zh-CN"/>
        </w:rPr>
        <w:t>乙方</w:t>
      </w:r>
      <w:r>
        <w:rPr>
          <w:rFonts w:hint="eastAsia" w:ascii="宋体" w:hAnsi="宋体"/>
          <w:szCs w:val="21"/>
          <w:highlight w:val="none"/>
        </w:rPr>
        <w:t>不得以任何理由向</w:t>
      </w:r>
      <w:r>
        <w:rPr>
          <w:rFonts w:hint="eastAsia" w:ascii="宋体" w:hAnsi="宋体"/>
          <w:szCs w:val="21"/>
          <w:highlight w:val="none"/>
          <w:lang w:eastAsia="zh-CN"/>
        </w:rPr>
        <w:t>甲方</w:t>
      </w:r>
      <w:r>
        <w:rPr>
          <w:rFonts w:hint="eastAsia" w:ascii="宋体" w:hAnsi="宋体"/>
          <w:szCs w:val="21"/>
          <w:highlight w:val="none"/>
        </w:rPr>
        <w:t>及其工作人员行贿或馈赠礼金、有价证券、贵重礼品。</w:t>
      </w:r>
    </w:p>
    <w:p>
      <w:pPr>
        <w:widowControl/>
        <w:tabs>
          <w:tab w:val="left" w:pos="1140"/>
        </w:tabs>
        <w:spacing w:line="520" w:lineRule="exact"/>
        <w:ind w:firstLine="367" w:firstLineChars="175"/>
        <w:jc w:val="left"/>
        <w:rPr>
          <w:rFonts w:ascii="宋体" w:hAnsi="宋体"/>
          <w:szCs w:val="21"/>
          <w:highlight w:val="none"/>
        </w:rPr>
      </w:pPr>
      <w:r>
        <w:rPr>
          <w:rFonts w:hint="eastAsia" w:ascii="宋体" w:hAnsi="宋体"/>
          <w:szCs w:val="21"/>
          <w:highlight w:val="none"/>
        </w:rPr>
        <w:t>（2）</w:t>
      </w:r>
      <w:r>
        <w:rPr>
          <w:rFonts w:hint="eastAsia" w:ascii="宋体" w:hAnsi="宋体"/>
          <w:szCs w:val="21"/>
          <w:highlight w:val="none"/>
          <w:lang w:eastAsia="zh-CN"/>
        </w:rPr>
        <w:t>乙方</w:t>
      </w:r>
      <w:r>
        <w:rPr>
          <w:rFonts w:hint="eastAsia" w:ascii="宋体" w:hAnsi="宋体"/>
          <w:szCs w:val="21"/>
          <w:highlight w:val="none"/>
        </w:rPr>
        <w:t>不得以任何名义为</w:t>
      </w:r>
      <w:r>
        <w:rPr>
          <w:rFonts w:hint="eastAsia" w:ascii="宋体" w:hAnsi="宋体"/>
          <w:szCs w:val="21"/>
          <w:highlight w:val="none"/>
          <w:lang w:eastAsia="zh-CN"/>
        </w:rPr>
        <w:t>甲方</w:t>
      </w:r>
      <w:r>
        <w:rPr>
          <w:rFonts w:hint="eastAsia" w:ascii="宋体" w:hAnsi="宋体"/>
          <w:szCs w:val="21"/>
          <w:highlight w:val="none"/>
        </w:rPr>
        <w:t>及其工作人员报销应由</w:t>
      </w:r>
      <w:r>
        <w:rPr>
          <w:rFonts w:hint="eastAsia" w:ascii="宋体" w:hAnsi="宋体"/>
          <w:szCs w:val="21"/>
          <w:highlight w:val="none"/>
          <w:lang w:eastAsia="zh-CN"/>
        </w:rPr>
        <w:t>甲方</w:t>
      </w:r>
      <w:r>
        <w:rPr>
          <w:rFonts w:hint="eastAsia" w:ascii="宋体" w:hAnsi="宋体"/>
          <w:szCs w:val="21"/>
          <w:highlight w:val="none"/>
        </w:rPr>
        <w:t>单位或个人支付的任何费用。</w:t>
      </w:r>
    </w:p>
    <w:p>
      <w:pPr>
        <w:widowControl/>
        <w:tabs>
          <w:tab w:val="left" w:pos="1140"/>
        </w:tabs>
        <w:spacing w:line="520" w:lineRule="exact"/>
        <w:ind w:firstLine="367" w:firstLineChars="175"/>
        <w:jc w:val="left"/>
        <w:rPr>
          <w:rFonts w:ascii="宋体" w:hAnsi="宋体"/>
          <w:szCs w:val="21"/>
          <w:highlight w:val="none"/>
        </w:rPr>
      </w:pPr>
      <w:r>
        <w:rPr>
          <w:rFonts w:hint="eastAsia" w:ascii="宋体" w:hAnsi="宋体"/>
          <w:szCs w:val="21"/>
          <w:highlight w:val="none"/>
        </w:rPr>
        <w:t>（3）</w:t>
      </w:r>
      <w:r>
        <w:rPr>
          <w:rFonts w:hint="eastAsia" w:ascii="宋体" w:hAnsi="宋体"/>
          <w:szCs w:val="21"/>
          <w:highlight w:val="none"/>
          <w:lang w:eastAsia="zh-CN"/>
        </w:rPr>
        <w:t>乙方</w:t>
      </w:r>
      <w:r>
        <w:rPr>
          <w:rFonts w:hint="eastAsia" w:ascii="宋体" w:hAnsi="宋体"/>
          <w:szCs w:val="21"/>
          <w:highlight w:val="none"/>
        </w:rPr>
        <w:t>不得以任何理由安排</w:t>
      </w:r>
      <w:r>
        <w:rPr>
          <w:rFonts w:hint="eastAsia" w:ascii="宋体" w:hAnsi="宋体"/>
          <w:szCs w:val="21"/>
          <w:highlight w:val="none"/>
          <w:lang w:eastAsia="zh-CN"/>
        </w:rPr>
        <w:t>甲方</w:t>
      </w:r>
      <w:r>
        <w:rPr>
          <w:rFonts w:hint="eastAsia" w:ascii="宋体" w:hAnsi="宋体"/>
          <w:szCs w:val="21"/>
          <w:highlight w:val="none"/>
        </w:rPr>
        <w:t>工作人员参加超标准宴请及娱乐活动。</w:t>
      </w:r>
    </w:p>
    <w:p>
      <w:pPr>
        <w:widowControl/>
        <w:tabs>
          <w:tab w:val="left" w:pos="1140"/>
        </w:tabs>
        <w:spacing w:line="520" w:lineRule="exact"/>
        <w:ind w:firstLine="367" w:firstLineChars="175"/>
        <w:jc w:val="left"/>
        <w:rPr>
          <w:rFonts w:ascii="宋体" w:hAnsi="宋体"/>
          <w:szCs w:val="21"/>
          <w:highlight w:val="none"/>
        </w:rPr>
      </w:pPr>
      <w:r>
        <w:rPr>
          <w:rFonts w:hint="eastAsia" w:ascii="宋体" w:hAnsi="宋体"/>
          <w:szCs w:val="21"/>
          <w:highlight w:val="none"/>
        </w:rPr>
        <w:t>（4）</w:t>
      </w:r>
      <w:r>
        <w:rPr>
          <w:rFonts w:hint="eastAsia" w:ascii="宋体" w:hAnsi="宋体"/>
          <w:szCs w:val="21"/>
          <w:highlight w:val="none"/>
          <w:lang w:eastAsia="zh-CN"/>
        </w:rPr>
        <w:t>乙方</w:t>
      </w:r>
      <w:r>
        <w:rPr>
          <w:rFonts w:hint="eastAsia" w:ascii="宋体" w:hAnsi="宋体"/>
          <w:szCs w:val="21"/>
          <w:highlight w:val="none"/>
        </w:rPr>
        <w:t>不得为</w:t>
      </w:r>
      <w:r>
        <w:rPr>
          <w:rFonts w:hint="eastAsia" w:ascii="宋体" w:hAnsi="宋体"/>
          <w:szCs w:val="21"/>
          <w:highlight w:val="none"/>
          <w:lang w:eastAsia="zh-CN"/>
        </w:rPr>
        <w:t>甲方</w:t>
      </w:r>
      <w:r>
        <w:rPr>
          <w:rFonts w:hint="eastAsia" w:ascii="宋体" w:hAnsi="宋体"/>
          <w:szCs w:val="21"/>
          <w:highlight w:val="none"/>
        </w:rPr>
        <w:t>单位和个人购置或提供通讯工具、交通工具和高档办公用品等。</w:t>
      </w:r>
    </w:p>
    <w:p>
      <w:pPr>
        <w:widowControl/>
        <w:spacing w:line="520" w:lineRule="exact"/>
        <w:ind w:firstLine="422" w:firstLineChars="200"/>
        <w:jc w:val="left"/>
        <w:outlineLvl w:val="0"/>
        <w:rPr>
          <w:rFonts w:ascii="宋体" w:hAnsi="宋体"/>
          <w:b/>
          <w:szCs w:val="21"/>
          <w:highlight w:val="none"/>
        </w:rPr>
      </w:pPr>
      <w:bookmarkStart w:id="428" w:name="_Toc14288"/>
      <w:bookmarkStart w:id="429" w:name="_Toc7887"/>
      <w:r>
        <w:rPr>
          <w:rFonts w:hint="eastAsia" w:ascii="宋体" w:hAnsi="宋体"/>
          <w:b/>
          <w:szCs w:val="21"/>
          <w:highlight w:val="none"/>
        </w:rPr>
        <w:t>4、违约责任</w:t>
      </w:r>
      <w:bookmarkEnd w:id="428"/>
      <w:bookmarkEnd w:id="429"/>
    </w:p>
    <w:p>
      <w:pPr>
        <w:widowControl/>
        <w:tabs>
          <w:tab w:val="left" w:pos="1140"/>
        </w:tabs>
        <w:spacing w:line="520" w:lineRule="exact"/>
        <w:ind w:firstLine="420" w:firstLineChars="200"/>
        <w:jc w:val="left"/>
        <w:rPr>
          <w:rFonts w:ascii="宋体" w:hAnsi="宋体"/>
          <w:szCs w:val="21"/>
          <w:highlight w:val="none"/>
        </w:rPr>
      </w:pPr>
      <w:r>
        <w:rPr>
          <w:rFonts w:hint="eastAsia" w:ascii="宋体" w:hAnsi="宋体"/>
          <w:szCs w:val="21"/>
          <w:highlight w:val="none"/>
        </w:rPr>
        <w:t>（1）</w:t>
      </w:r>
      <w:r>
        <w:rPr>
          <w:rFonts w:hint="eastAsia" w:ascii="宋体" w:hAnsi="宋体"/>
          <w:szCs w:val="21"/>
          <w:highlight w:val="none"/>
          <w:lang w:eastAsia="zh-CN"/>
        </w:rPr>
        <w:t>甲方</w:t>
      </w:r>
      <w:r>
        <w:rPr>
          <w:rFonts w:hint="eastAsia" w:ascii="宋体" w:hAnsi="宋体"/>
          <w:szCs w:val="21"/>
          <w:highlight w:val="none"/>
        </w:rPr>
        <w:t>及其工作人员违反本合同第一、二条，按管理权限，依据有关规定给予党纪、政纪或组织处理；涉嫌犯罪的，移交司法机关追究刑事责任；给</w:t>
      </w:r>
      <w:r>
        <w:rPr>
          <w:rFonts w:hint="eastAsia" w:ascii="宋体" w:hAnsi="宋体"/>
          <w:szCs w:val="21"/>
          <w:highlight w:val="none"/>
          <w:lang w:eastAsia="zh-CN"/>
        </w:rPr>
        <w:t>乙方</w:t>
      </w:r>
      <w:r>
        <w:rPr>
          <w:rFonts w:hint="eastAsia" w:ascii="宋体" w:hAnsi="宋体"/>
          <w:szCs w:val="21"/>
          <w:highlight w:val="none"/>
        </w:rPr>
        <w:t>单位造成经济损失的，应予以赔偿。</w:t>
      </w:r>
    </w:p>
    <w:p>
      <w:pPr>
        <w:widowControl/>
        <w:tabs>
          <w:tab w:val="left" w:pos="1140"/>
        </w:tabs>
        <w:spacing w:line="520" w:lineRule="exact"/>
        <w:ind w:firstLine="420" w:firstLineChars="200"/>
        <w:jc w:val="left"/>
        <w:rPr>
          <w:rFonts w:ascii="宋体" w:hAnsi="宋体"/>
          <w:szCs w:val="21"/>
          <w:highlight w:val="none"/>
        </w:rPr>
      </w:pPr>
      <w:r>
        <w:rPr>
          <w:rFonts w:hint="eastAsia" w:ascii="宋体" w:hAnsi="宋体"/>
          <w:szCs w:val="21"/>
          <w:highlight w:val="none"/>
        </w:rPr>
        <w:t>（2）</w:t>
      </w:r>
      <w:r>
        <w:rPr>
          <w:rFonts w:hint="eastAsia" w:ascii="宋体" w:hAnsi="宋体"/>
          <w:szCs w:val="21"/>
          <w:highlight w:val="none"/>
          <w:lang w:eastAsia="zh-CN"/>
        </w:rPr>
        <w:t>乙方</w:t>
      </w:r>
      <w:r>
        <w:rPr>
          <w:rFonts w:hint="eastAsia" w:ascii="宋体" w:hAnsi="宋体"/>
          <w:szCs w:val="21"/>
          <w:highlight w:val="none"/>
        </w:rPr>
        <w:t>及其工作人员违反本合同第一、三条，按管理权限，依据有关规定给予党纪、政纪或组织处理；给</w:t>
      </w:r>
      <w:r>
        <w:rPr>
          <w:rFonts w:hint="eastAsia" w:ascii="宋体" w:hAnsi="宋体"/>
          <w:szCs w:val="21"/>
          <w:highlight w:val="none"/>
          <w:lang w:eastAsia="zh-CN"/>
        </w:rPr>
        <w:t>甲方</w:t>
      </w:r>
      <w:r>
        <w:rPr>
          <w:rFonts w:hint="eastAsia" w:ascii="宋体" w:hAnsi="宋体"/>
          <w:szCs w:val="21"/>
          <w:highlight w:val="none"/>
        </w:rPr>
        <w:t>单位造成经济损失的，应予以赔偿；情节严重的，</w:t>
      </w:r>
      <w:r>
        <w:rPr>
          <w:rFonts w:hint="eastAsia" w:ascii="宋体" w:hAnsi="宋体"/>
          <w:szCs w:val="21"/>
          <w:highlight w:val="none"/>
          <w:lang w:eastAsia="zh-CN"/>
        </w:rPr>
        <w:t>甲方</w:t>
      </w:r>
      <w:r>
        <w:rPr>
          <w:rFonts w:hint="eastAsia" w:ascii="宋体" w:hAnsi="宋体"/>
          <w:szCs w:val="21"/>
          <w:highlight w:val="none"/>
        </w:rPr>
        <w:t>建议交通工程建设主管部门给予</w:t>
      </w:r>
      <w:r>
        <w:rPr>
          <w:rFonts w:hint="eastAsia" w:ascii="宋体" w:hAnsi="宋体"/>
          <w:szCs w:val="21"/>
          <w:highlight w:val="none"/>
          <w:lang w:eastAsia="zh-CN"/>
        </w:rPr>
        <w:t>乙方</w:t>
      </w:r>
      <w:r>
        <w:rPr>
          <w:rFonts w:hint="eastAsia" w:ascii="宋体" w:hAnsi="宋体"/>
          <w:szCs w:val="21"/>
          <w:highlight w:val="none"/>
        </w:rPr>
        <w:t>一至三年内不得进入其主管的交通工程建设市场的处罚。</w:t>
      </w:r>
    </w:p>
    <w:p>
      <w:pPr>
        <w:widowControl/>
        <w:spacing w:line="520" w:lineRule="exact"/>
        <w:ind w:firstLine="316" w:firstLineChars="150"/>
        <w:jc w:val="left"/>
        <w:rPr>
          <w:rFonts w:ascii="宋体" w:hAnsi="宋体"/>
          <w:szCs w:val="21"/>
          <w:highlight w:val="none"/>
        </w:rPr>
      </w:pPr>
      <w:r>
        <w:rPr>
          <w:rFonts w:hint="eastAsia" w:ascii="宋体" w:hAnsi="宋体"/>
          <w:b/>
          <w:szCs w:val="21"/>
          <w:highlight w:val="none"/>
        </w:rPr>
        <w:t>5、双方约定</w:t>
      </w:r>
      <w:r>
        <w:rPr>
          <w:rFonts w:hint="eastAsia" w:ascii="宋体" w:hAnsi="宋体"/>
          <w:szCs w:val="21"/>
          <w:highlight w:val="none"/>
        </w:rPr>
        <w:t>：本合同由双方或双方上级单位的纪检监察机关负责监督执行。由</w:t>
      </w:r>
      <w:r>
        <w:rPr>
          <w:rFonts w:hint="eastAsia" w:ascii="宋体" w:hAnsi="宋体"/>
          <w:szCs w:val="21"/>
          <w:highlight w:val="none"/>
          <w:lang w:eastAsia="zh-CN"/>
        </w:rPr>
        <w:t>甲方</w:t>
      </w:r>
      <w:r>
        <w:rPr>
          <w:rFonts w:hint="eastAsia" w:ascii="宋体" w:hAnsi="宋体"/>
          <w:szCs w:val="21"/>
          <w:highlight w:val="none"/>
        </w:rPr>
        <w:t>或</w:t>
      </w:r>
      <w:r>
        <w:rPr>
          <w:rFonts w:hint="eastAsia" w:ascii="宋体" w:hAnsi="宋体"/>
          <w:szCs w:val="21"/>
          <w:highlight w:val="none"/>
          <w:lang w:eastAsia="zh-CN"/>
        </w:rPr>
        <w:t>甲方</w:t>
      </w:r>
      <w:r>
        <w:rPr>
          <w:rFonts w:hint="eastAsia" w:ascii="宋体" w:hAnsi="宋体"/>
          <w:szCs w:val="21"/>
          <w:highlight w:val="none"/>
        </w:rPr>
        <w:t>上级单位的纪检监察机关约请</w:t>
      </w:r>
      <w:r>
        <w:rPr>
          <w:rFonts w:hint="eastAsia" w:ascii="宋体" w:hAnsi="宋体"/>
          <w:szCs w:val="21"/>
          <w:highlight w:val="none"/>
          <w:lang w:eastAsia="zh-CN"/>
        </w:rPr>
        <w:t>乙方</w:t>
      </w:r>
      <w:r>
        <w:rPr>
          <w:rFonts w:hint="eastAsia" w:ascii="宋体" w:hAnsi="宋体"/>
          <w:szCs w:val="21"/>
          <w:highlight w:val="none"/>
        </w:rPr>
        <w:t>或</w:t>
      </w:r>
      <w:r>
        <w:rPr>
          <w:rFonts w:hint="eastAsia" w:ascii="宋体" w:hAnsi="宋体"/>
          <w:szCs w:val="21"/>
          <w:highlight w:val="none"/>
          <w:lang w:eastAsia="zh-CN"/>
        </w:rPr>
        <w:t>乙方</w:t>
      </w:r>
      <w:r>
        <w:rPr>
          <w:rFonts w:hint="eastAsia" w:ascii="宋体" w:hAnsi="宋体"/>
          <w:szCs w:val="21"/>
          <w:highlight w:val="none"/>
        </w:rPr>
        <w:t>上级单位纪检监察机关对本合同执行情况进行检查，提出在本合同规定范围内的裁定意见。</w:t>
      </w:r>
    </w:p>
    <w:p>
      <w:pPr>
        <w:widowControl/>
        <w:spacing w:line="520" w:lineRule="exact"/>
        <w:ind w:firstLine="315" w:firstLineChars="150"/>
        <w:rPr>
          <w:rFonts w:ascii="宋体" w:hAnsi="宋体"/>
          <w:b/>
          <w:bCs/>
          <w:szCs w:val="21"/>
          <w:highlight w:val="none"/>
        </w:rPr>
      </w:pPr>
      <w:r>
        <w:rPr>
          <w:rFonts w:hint="eastAsia" w:ascii="宋体" w:hAnsi="宋体"/>
          <w:szCs w:val="21"/>
          <w:highlight w:val="none"/>
        </w:rPr>
        <w:t>6、本合同作为</w:t>
      </w:r>
      <w:r>
        <w:rPr>
          <w:rFonts w:hint="eastAsia" w:ascii="宋体" w:hAnsi="宋体"/>
          <w:b/>
          <w:szCs w:val="21"/>
          <w:highlight w:val="none"/>
        </w:rPr>
        <w:t>《</w:t>
      </w:r>
      <w:r>
        <w:rPr>
          <w:rFonts w:hint="eastAsia" w:ascii="宋体" w:hAnsi="宋体" w:cs="宋体"/>
          <w:b/>
          <w:bCs/>
          <w:szCs w:val="21"/>
          <w:highlight w:val="none"/>
          <w:u w:val="none"/>
          <w:lang w:eastAsia="zh-CN"/>
        </w:rPr>
        <w:t>重庆</w:t>
      </w:r>
      <w:r>
        <w:rPr>
          <w:rFonts w:hint="eastAsia" w:ascii="宋体" w:hAnsi="宋体" w:cs="宋体"/>
          <w:b/>
          <w:bCs/>
          <w:szCs w:val="21"/>
          <w:highlight w:val="none"/>
          <w:u w:val="none"/>
          <w:lang w:val="en-US" w:eastAsia="zh-CN"/>
        </w:rPr>
        <w:t>**********</w:t>
      </w:r>
      <w:r>
        <w:rPr>
          <w:rFonts w:hint="eastAsia" w:ascii="宋体" w:hAnsi="宋体" w:cs="宋体"/>
          <w:b/>
          <w:bCs/>
          <w:szCs w:val="21"/>
          <w:highlight w:val="none"/>
          <w:u w:val="none"/>
          <w:lang w:eastAsia="zh-CN"/>
        </w:rPr>
        <w:t>有限公司</w:t>
      </w:r>
      <w:r>
        <w:rPr>
          <w:rFonts w:hint="eastAsia" w:ascii="宋体" w:hAnsi="宋体" w:eastAsia="宋体" w:cs="宋体"/>
          <w:b/>
          <w:bCs/>
          <w:szCs w:val="21"/>
          <w:highlight w:val="none"/>
          <w:u w:val="none"/>
          <w:lang w:val="en-US" w:eastAsia="zh-CN"/>
        </w:rPr>
        <w:t>2023年办公家具采购</w:t>
      </w:r>
      <w:r>
        <w:rPr>
          <w:rFonts w:hint="eastAsia" w:ascii="宋体" w:hAnsi="宋体" w:cs="宋体"/>
          <w:b/>
          <w:bCs/>
          <w:szCs w:val="21"/>
          <w:highlight w:val="none"/>
          <w:u w:val="none"/>
          <w:lang w:val="en-US" w:eastAsia="zh-CN"/>
        </w:rPr>
        <w:t>合同协议书</w:t>
      </w:r>
      <w:r>
        <w:rPr>
          <w:rFonts w:hint="eastAsia" w:ascii="宋体" w:hAnsi="宋体"/>
          <w:b/>
          <w:szCs w:val="21"/>
          <w:highlight w:val="none"/>
        </w:rPr>
        <w:t>》</w:t>
      </w:r>
      <w:r>
        <w:rPr>
          <w:rFonts w:hint="eastAsia" w:ascii="宋体" w:hAnsi="宋体"/>
          <w:szCs w:val="21"/>
          <w:highlight w:val="none"/>
        </w:rPr>
        <w:t>的附件，与施工组织管理委托合同具有同等的法律效力。</w:t>
      </w:r>
    </w:p>
    <w:p>
      <w:pPr>
        <w:adjustRightInd w:val="0"/>
        <w:snapToGrid w:val="0"/>
        <w:spacing w:line="520" w:lineRule="exact"/>
        <w:ind w:firstLine="401" w:firstLineChars="191"/>
        <w:rPr>
          <w:szCs w:val="21"/>
          <w:highlight w:val="none"/>
        </w:rPr>
      </w:pPr>
      <w:r>
        <w:rPr>
          <w:rFonts w:hint="eastAsia" w:ascii="宋体" w:hAnsi="宋体"/>
          <w:szCs w:val="21"/>
          <w:highlight w:val="none"/>
        </w:rPr>
        <w:t>7、</w:t>
      </w:r>
      <w:r>
        <w:rPr>
          <w:rFonts w:hint="eastAsia" w:ascii="宋体"/>
          <w:szCs w:val="21"/>
          <w:highlight w:val="none"/>
        </w:rPr>
        <w:t>本合同一式</w:t>
      </w:r>
      <w:r>
        <w:rPr>
          <w:rFonts w:hint="eastAsia" w:ascii="宋体"/>
          <w:b/>
          <w:szCs w:val="21"/>
          <w:highlight w:val="none"/>
          <w:u w:val="single"/>
        </w:rPr>
        <w:t xml:space="preserve"> 拾 </w:t>
      </w:r>
      <w:r>
        <w:rPr>
          <w:rFonts w:hint="eastAsia" w:ascii="宋体"/>
          <w:szCs w:val="21"/>
          <w:highlight w:val="none"/>
        </w:rPr>
        <w:t>份，</w:t>
      </w:r>
      <w:r>
        <w:rPr>
          <w:rFonts w:hint="eastAsia" w:ascii="宋体"/>
          <w:szCs w:val="21"/>
          <w:highlight w:val="none"/>
          <w:lang w:eastAsia="zh-CN"/>
        </w:rPr>
        <w:t>甲方</w:t>
      </w:r>
      <w:r>
        <w:rPr>
          <w:rFonts w:hint="eastAsia" w:ascii="宋体"/>
          <w:szCs w:val="21"/>
          <w:highlight w:val="none"/>
        </w:rPr>
        <w:t>执</w:t>
      </w:r>
      <w:r>
        <w:rPr>
          <w:rFonts w:hint="eastAsia" w:ascii="宋体"/>
          <w:szCs w:val="21"/>
          <w:highlight w:val="none"/>
          <w:u w:val="single"/>
        </w:rPr>
        <w:t xml:space="preserve"> </w:t>
      </w:r>
      <w:r>
        <w:rPr>
          <w:rFonts w:hint="eastAsia" w:ascii="宋体"/>
          <w:b/>
          <w:szCs w:val="21"/>
          <w:highlight w:val="none"/>
          <w:u w:val="single"/>
        </w:rPr>
        <w:t>伍</w:t>
      </w:r>
      <w:r>
        <w:rPr>
          <w:rFonts w:hint="eastAsia" w:ascii="宋体"/>
          <w:szCs w:val="21"/>
          <w:highlight w:val="none"/>
          <w:u w:val="single"/>
        </w:rPr>
        <w:t xml:space="preserve"> </w:t>
      </w:r>
      <w:r>
        <w:rPr>
          <w:rFonts w:hint="eastAsia" w:ascii="宋体"/>
          <w:szCs w:val="21"/>
          <w:highlight w:val="none"/>
        </w:rPr>
        <w:t>份，</w:t>
      </w:r>
      <w:r>
        <w:rPr>
          <w:rFonts w:hint="eastAsia" w:ascii="宋体"/>
          <w:szCs w:val="21"/>
          <w:highlight w:val="none"/>
          <w:lang w:eastAsia="zh-CN"/>
        </w:rPr>
        <w:t>乙方</w:t>
      </w:r>
      <w:r>
        <w:rPr>
          <w:rFonts w:hint="eastAsia" w:ascii="宋体"/>
          <w:szCs w:val="21"/>
          <w:highlight w:val="none"/>
        </w:rPr>
        <w:t>执</w:t>
      </w:r>
      <w:r>
        <w:rPr>
          <w:rFonts w:hint="eastAsia" w:ascii="宋体"/>
          <w:szCs w:val="21"/>
          <w:highlight w:val="none"/>
          <w:u w:val="single"/>
        </w:rPr>
        <w:t xml:space="preserve"> </w:t>
      </w:r>
      <w:r>
        <w:rPr>
          <w:rFonts w:hint="eastAsia" w:ascii="宋体"/>
          <w:b/>
          <w:szCs w:val="21"/>
          <w:highlight w:val="none"/>
          <w:u w:val="single"/>
        </w:rPr>
        <w:t>伍</w:t>
      </w:r>
      <w:r>
        <w:rPr>
          <w:rFonts w:hint="eastAsia" w:ascii="宋体"/>
          <w:szCs w:val="21"/>
          <w:highlight w:val="none"/>
          <w:u w:val="single"/>
        </w:rPr>
        <w:t xml:space="preserve"> </w:t>
      </w:r>
      <w:r>
        <w:rPr>
          <w:rFonts w:hint="eastAsia" w:ascii="宋体"/>
          <w:szCs w:val="21"/>
          <w:highlight w:val="none"/>
        </w:rPr>
        <w:t>份，</w:t>
      </w:r>
      <w:r>
        <w:rPr>
          <w:rFonts w:hint="eastAsia"/>
          <w:szCs w:val="21"/>
          <w:highlight w:val="none"/>
        </w:rPr>
        <w:t>各文本均具有同等法律效力。由双方法定代表人或其授权代表签署与加盖公章后生效，</w:t>
      </w:r>
      <w:r>
        <w:rPr>
          <w:rFonts w:hint="eastAsia" w:ascii="宋体"/>
          <w:szCs w:val="21"/>
          <w:highlight w:val="none"/>
        </w:rPr>
        <w:t>甲乙双方</w:t>
      </w:r>
      <w:r>
        <w:rPr>
          <w:rFonts w:hint="eastAsia" w:ascii="宋体" w:hAnsi="宋体"/>
          <w:szCs w:val="21"/>
          <w:highlight w:val="none"/>
        </w:rPr>
        <w:t>履行完合同全部义务、结算价款支付完毕后本合同即告终止。</w:t>
      </w:r>
    </w:p>
    <w:p>
      <w:pPr>
        <w:spacing w:line="520" w:lineRule="exact"/>
        <w:rPr>
          <w:rFonts w:hint="eastAsia" w:ascii="宋体" w:hAnsi="宋体"/>
          <w:szCs w:val="21"/>
          <w:highlight w:val="none"/>
        </w:rPr>
      </w:pPr>
    </w:p>
    <w:p>
      <w:pPr>
        <w:spacing w:line="520" w:lineRule="exact"/>
        <w:rPr>
          <w:rFonts w:ascii="宋体" w:hAnsi="宋体" w:cs="宋体"/>
          <w:szCs w:val="21"/>
          <w:highlight w:val="none"/>
        </w:rPr>
      </w:pPr>
      <w:r>
        <w:rPr>
          <w:rFonts w:hint="eastAsia" w:ascii="宋体" w:hAnsi="宋体" w:cs="宋体"/>
          <w:szCs w:val="21"/>
          <w:highlight w:val="none"/>
          <w:lang w:eastAsia="zh-CN"/>
        </w:rPr>
        <w:t>甲方</w:t>
      </w:r>
      <w:r>
        <w:rPr>
          <w:rFonts w:hint="eastAsia" w:ascii="宋体" w:hAnsi="宋体" w:cs="宋体"/>
          <w:szCs w:val="21"/>
          <w:highlight w:val="none"/>
        </w:rPr>
        <w:t>（</w:t>
      </w:r>
      <w:r>
        <w:rPr>
          <w:rFonts w:hint="eastAsia" w:ascii="宋体" w:hAnsi="宋体" w:cs="宋体"/>
          <w:highlight w:val="none"/>
        </w:rPr>
        <w:t>盖章</w:t>
      </w:r>
      <w:r>
        <w:rPr>
          <w:rFonts w:hint="eastAsia" w:ascii="宋体" w:hAnsi="宋体" w:cs="宋体"/>
          <w:szCs w:val="21"/>
          <w:highlight w:val="none"/>
        </w:rPr>
        <w:t xml:space="preserve">）：                               </w:t>
      </w:r>
      <w:r>
        <w:rPr>
          <w:rFonts w:hint="eastAsia" w:ascii="宋体" w:hAnsi="宋体" w:cs="宋体"/>
          <w:szCs w:val="21"/>
          <w:highlight w:val="none"/>
          <w:lang w:eastAsia="zh-CN"/>
        </w:rPr>
        <w:t>乙方</w:t>
      </w:r>
      <w:r>
        <w:rPr>
          <w:rFonts w:hint="eastAsia" w:ascii="宋体" w:hAnsi="宋体" w:cs="宋体"/>
          <w:szCs w:val="21"/>
          <w:highlight w:val="none"/>
        </w:rPr>
        <w:t>（</w:t>
      </w:r>
      <w:r>
        <w:rPr>
          <w:rFonts w:hint="eastAsia" w:ascii="宋体" w:hAnsi="宋体" w:cs="宋体"/>
          <w:highlight w:val="none"/>
        </w:rPr>
        <w:t>盖章</w:t>
      </w:r>
      <w:r>
        <w:rPr>
          <w:rFonts w:hint="eastAsia" w:ascii="宋体" w:hAnsi="宋体" w:cs="宋体"/>
          <w:szCs w:val="21"/>
          <w:highlight w:val="none"/>
        </w:rPr>
        <w:t>）：</w:t>
      </w:r>
    </w:p>
    <w:p>
      <w:pPr>
        <w:spacing w:line="520" w:lineRule="exact"/>
        <w:rPr>
          <w:rFonts w:hint="eastAsia" w:hAnsi="宋体" w:cs="Times New Roman"/>
          <w:bCs w:val="0"/>
          <w:szCs w:val="21"/>
          <w:highlight w:val="none"/>
          <w:lang w:val="en-US" w:eastAsia="zh-CN"/>
        </w:rPr>
      </w:pPr>
      <w:r>
        <w:rPr>
          <w:rFonts w:hint="eastAsia" w:ascii="宋体" w:hAnsi="宋体" w:cs="宋体"/>
          <w:bCs/>
          <w:szCs w:val="21"/>
          <w:highlight w:val="none"/>
          <w:lang w:eastAsia="zh-CN"/>
        </w:rPr>
        <w:t>重庆</w:t>
      </w:r>
      <w:r>
        <w:rPr>
          <w:rFonts w:hint="eastAsia" w:ascii="宋体" w:hAnsi="宋体" w:cs="宋体"/>
          <w:bCs/>
          <w:szCs w:val="21"/>
          <w:highlight w:val="none"/>
          <w:lang w:val="en-US" w:eastAsia="zh-CN"/>
        </w:rPr>
        <w:t>****************</w:t>
      </w:r>
      <w:r>
        <w:rPr>
          <w:rFonts w:hint="eastAsia" w:ascii="宋体" w:hAnsi="宋体" w:cs="宋体"/>
          <w:bCs/>
          <w:szCs w:val="21"/>
          <w:highlight w:val="none"/>
          <w:lang w:eastAsia="zh-CN"/>
        </w:rPr>
        <w:t>理有限公司</w:t>
      </w:r>
      <w:r>
        <w:rPr>
          <w:rFonts w:hint="eastAsia" w:ascii="宋体" w:hAnsi="宋体" w:cs="宋体"/>
          <w:bCs/>
          <w:szCs w:val="21"/>
          <w:highlight w:val="none"/>
          <w:lang w:val="en-US" w:eastAsia="zh-CN"/>
        </w:rPr>
        <w:t xml:space="preserve">              </w:t>
      </w:r>
      <w:r>
        <w:rPr>
          <w:rFonts w:hint="eastAsia" w:hAnsi="宋体" w:cs="Times New Roman"/>
          <w:bCs w:val="0"/>
          <w:szCs w:val="21"/>
          <w:highlight w:val="none"/>
          <w:lang w:val="en-US" w:eastAsia="zh-CN"/>
        </w:rPr>
        <w:t>******************</w:t>
      </w:r>
    </w:p>
    <w:p>
      <w:pPr>
        <w:spacing w:line="520" w:lineRule="exact"/>
        <w:rPr>
          <w:rFonts w:hAnsi="宋体"/>
          <w:szCs w:val="21"/>
          <w:highlight w:val="none"/>
        </w:rPr>
      </w:pPr>
      <w:r>
        <w:rPr>
          <w:rFonts w:hint="eastAsia" w:hAnsi="宋体"/>
          <w:szCs w:val="21"/>
          <w:highlight w:val="none"/>
          <w:lang w:val="en-US" w:eastAsia="zh-CN"/>
        </w:rPr>
        <w:t>法定代表</w:t>
      </w:r>
      <w:r>
        <w:rPr>
          <w:rFonts w:hint="eastAsia" w:hAnsi="宋体"/>
          <w:szCs w:val="21"/>
          <w:highlight w:val="none"/>
        </w:rPr>
        <w:t xml:space="preserve">人                                 </w:t>
      </w:r>
      <w:r>
        <w:rPr>
          <w:rFonts w:hint="eastAsia" w:hAnsi="宋体"/>
          <w:szCs w:val="21"/>
          <w:highlight w:val="none"/>
          <w:lang w:val="en-US" w:eastAsia="zh-CN"/>
        </w:rPr>
        <w:t xml:space="preserve"> </w:t>
      </w:r>
      <w:r>
        <w:rPr>
          <w:rFonts w:hint="eastAsia" w:hAnsi="宋体"/>
          <w:szCs w:val="21"/>
          <w:highlight w:val="none"/>
        </w:rPr>
        <w:t xml:space="preserve"> 法定代表人</w:t>
      </w:r>
    </w:p>
    <w:p>
      <w:pPr>
        <w:pStyle w:val="20"/>
        <w:adjustRightInd w:val="0"/>
        <w:snapToGrid w:val="0"/>
        <w:spacing w:line="520" w:lineRule="exact"/>
        <w:rPr>
          <w:rFonts w:hint="eastAsia" w:ascii="Times New Roman" w:hAnsi="宋体" w:eastAsia="宋体" w:cs="Times New Roman"/>
          <w:kern w:val="2"/>
          <w:sz w:val="21"/>
          <w:szCs w:val="21"/>
          <w:highlight w:val="none"/>
          <w:lang w:val="en-US" w:eastAsia="zh-CN" w:bidi="ar-SA"/>
        </w:rPr>
      </w:pPr>
      <w:r>
        <w:rPr>
          <w:rFonts w:hint="eastAsia" w:ascii="Times New Roman" w:hAnsi="宋体" w:eastAsia="宋体" w:cs="Times New Roman"/>
          <w:kern w:val="2"/>
          <w:sz w:val="21"/>
          <w:szCs w:val="21"/>
          <w:highlight w:val="none"/>
          <w:lang w:val="en-US" w:eastAsia="zh-CN" w:bidi="ar-SA"/>
        </w:rPr>
        <w:t>或授权代表：                                       或授权代表：</w:t>
      </w:r>
    </w:p>
    <w:p>
      <w:pPr>
        <w:pStyle w:val="20"/>
        <w:adjustRightInd w:val="0"/>
        <w:snapToGrid w:val="0"/>
        <w:spacing w:line="360" w:lineRule="auto"/>
        <w:rPr>
          <w:rFonts w:hAnsi="宋体" w:cs="宋体"/>
          <w:szCs w:val="21"/>
          <w:highlight w:val="none"/>
        </w:rPr>
      </w:pPr>
      <w:r>
        <w:rPr>
          <w:rFonts w:hint="eastAsia" w:hAnsi="宋体" w:cs="宋体"/>
          <w:szCs w:val="21"/>
          <w:highlight w:val="none"/>
        </w:rPr>
        <w:t xml:space="preserve">                              </w:t>
      </w:r>
    </w:p>
    <w:p>
      <w:pPr>
        <w:pStyle w:val="20"/>
        <w:tabs>
          <w:tab w:val="left" w:pos="5220"/>
        </w:tabs>
        <w:spacing w:line="360" w:lineRule="auto"/>
        <w:rPr>
          <w:rFonts w:hAnsi="宋体" w:cs="宋体"/>
          <w:szCs w:val="21"/>
          <w:highlight w:val="none"/>
        </w:rPr>
      </w:pPr>
    </w:p>
    <w:p>
      <w:pPr>
        <w:pStyle w:val="20"/>
        <w:tabs>
          <w:tab w:val="left" w:pos="5220"/>
        </w:tabs>
        <w:spacing w:line="360" w:lineRule="auto"/>
        <w:rPr>
          <w:rFonts w:hint="eastAsia" w:hAnsi="宋体" w:cs="宋体"/>
          <w:szCs w:val="21"/>
          <w:highlight w:val="none"/>
        </w:rPr>
      </w:pPr>
      <w:r>
        <w:rPr>
          <w:rFonts w:hint="eastAsia" w:hAnsi="宋体" w:cs="宋体"/>
          <w:szCs w:val="21"/>
          <w:highlight w:val="none"/>
        </w:rPr>
        <w:t>经办人：                                      经办人：</w:t>
      </w:r>
    </w:p>
    <w:p>
      <w:pPr>
        <w:pStyle w:val="20"/>
        <w:tabs>
          <w:tab w:val="left" w:pos="5220"/>
        </w:tabs>
        <w:spacing w:line="360" w:lineRule="auto"/>
        <w:rPr>
          <w:rFonts w:hint="eastAsia" w:hAnsi="宋体" w:cs="宋体"/>
          <w:szCs w:val="21"/>
        </w:rPr>
      </w:pPr>
    </w:p>
    <w:p>
      <w:pPr>
        <w:spacing w:line="240" w:lineRule="exact"/>
        <w:rPr>
          <w:rFonts w:hint="eastAsia"/>
          <w:sz w:val="24"/>
          <w:u w:val="single"/>
        </w:rPr>
      </w:pPr>
      <w:r>
        <w:rPr>
          <w:rFonts w:hint="eastAsia" w:ascii="宋体" w:hAnsi="宋体"/>
          <w:szCs w:val="21"/>
        </w:rPr>
        <w:t xml:space="preserve">日 期：     </w:t>
      </w:r>
      <w:r>
        <w:rPr>
          <w:rFonts w:hint="eastAsia" w:ascii="宋体" w:hAnsi="宋体"/>
          <w:szCs w:val="21"/>
          <w:lang w:val="en-US" w:eastAsia="zh-CN"/>
        </w:rPr>
        <w:t>年</w:t>
      </w:r>
      <w:r>
        <w:rPr>
          <w:rFonts w:hint="eastAsia" w:ascii="宋体" w:hAnsi="宋体"/>
          <w:szCs w:val="21"/>
        </w:rPr>
        <w:t xml:space="preserve">    </w:t>
      </w:r>
      <w:r>
        <w:rPr>
          <w:rFonts w:hint="eastAsia" w:ascii="宋体" w:hAnsi="宋体"/>
          <w:szCs w:val="21"/>
          <w:lang w:val="en-US" w:eastAsia="zh-CN"/>
        </w:rPr>
        <w:t>月</w:t>
      </w:r>
      <w:r>
        <w:rPr>
          <w:rFonts w:hint="eastAsia" w:ascii="宋体" w:hAnsi="宋体"/>
          <w:szCs w:val="21"/>
        </w:rPr>
        <w:t xml:space="preserve">    </w:t>
      </w:r>
      <w:r>
        <w:rPr>
          <w:rFonts w:hint="eastAsia" w:ascii="宋体" w:hAnsi="宋体"/>
          <w:szCs w:val="21"/>
          <w:lang w:val="en-US" w:eastAsia="zh-CN"/>
        </w:rPr>
        <w:t>日</w:t>
      </w:r>
      <w:r>
        <w:rPr>
          <w:rFonts w:hint="eastAsia" w:ascii="宋体" w:hAnsi="宋体"/>
          <w:szCs w:val="21"/>
        </w:rPr>
        <w:t xml:space="preserve">            </w:t>
      </w:r>
      <w:r>
        <w:rPr>
          <w:rFonts w:hint="eastAsia" w:ascii="宋体" w:hAnsi="宋体"/>
          <w:szCs w:val="21"/>
          <w:lang w:val="en-US" w:eastAsia="zh-CN"/>
        </w:rPr>
        <w:t xml:space="preserve"> </w:t>
      </w:r>
      <w:r>
        <w:rPr>
          <w:rFonts w:hint="eastAsia" w:ascii="宋体" w:hAnsi="宋体"/>
          <w:szCs w:val="21"/>
        </w:rPr>
        <w:t xml:space="preserve">       日  期：     </w:t>
      </w:r>
      <w:r>
        <w:rPr>
          <w:rFonts w:hint="eastAsia" w:ascii="宋体" w:hAnsi="宋体"/>
          <w:szCs w:val="21"/>
          <w:lang w:val="en-US" w:eastAsia="zh-CN"/>
        </w:rPr>
        <w:t>年</w:t>
      </w:r>
      <w:r>
        <w:rPr>
          <w:rFonts w:hint="eastAsia" w:ascii="宋体" w:hAnsi="宋体"/>
          <w:szCs w:val="21"/>
        </w:rPr>
        <w:t xml:space="preserve">    </w:t>
      </w:r>
      <w:r>
        <w:rPr>
          <w:rFonts w:hint="eastAsia" w:ascii="宋体" w:hAnsi="宋体"/>
          <w:szCs w:val="21"/>
          <w:lang w:val="en-US" w:eastAsia="zh-CN"/>
        </w:rPr>
        <w:t>月</w:t>
      </w:r>
      <w:r>
        <w:rPr>
          <w:rFonts w:hint="eastAsia" w:ascii="宋体" w:hAnsi="宋体"/>
          <w:szCs w:val="21"/>
        </w:rPr>
        <w:t xml:space="preserve">    </w:t>
      </w:r>
      <w:r>
        <w:rPr>
          <w:rFonts w:hint="eastAsia" w:ascii="宋体" w:hAnsi="宋体"/>
          <w:szCs w:val="21"/>
          <w:lang w:val="en-US" w:eastAsia="zh-CN"/>
        </w:rPr>
        <w:t>日</w:t>
      </w:r>
    </w:p>
    <w:p>
      <w:pPr>
        <w:spacing w:line="360" w:lineRule="auto"/>
      </w:pPr>
    </w:p>
    <w:p/>
    <w:p/>
    <w:p>
      <w:pPr>
        <w:rPr>
          <w:rFonts w:hint="default"/>
          <w:lang w:val="en-US" w:eastAsia="zh-CN"/>
        </w:rPr>
      </w:pPr>
    </w:p>
    <w:p>
      <w:pPr>
        <w:pStyle w:val="2"/>
        <w:rPr>
          <w:rFonts w:hint="default" w:eastAsia="宋体"/>
          <w:lang w:val="en-US" w:eastAsia="zh-CN"/>
        </w:rPr>
      </w:pPr>
    </w:p>
    <w:p>
      <w:pPr>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
      <w:pPr>
        <w:spacing w:line="0" w:lineRule="atLeast"/>
        <w:jc w:val="both"/>
        <w:rPr>
          <w:rFonts w:hint="eastAsia" w:ascii="方正仿宋_GBK" w:hAnsi="方正仿宋_GBK" w:eastAsia="方正仿宋_GBK" w:cs="方正仿宋_GBK"/>
          <w:sz w:val="28"/>
          <w:szCs w:val="28"/>
        </w:rPr>
      </w:pPr>
    </w:p>
    <w:p>
      <w:pPr>
        <w:rPr>
          <w:rFonts w:hint="eastAsia" w:asciiTheme="minorEastAsia" w:hAnsiTheme="minorEastAsia" w:eastAsiaTheme="minorEastAsia" w:cstheme="minorEastAsia"/>
          <w:b w:val="0"/>
          <w:bCs w:val="0"/>
          <w:smallCaps/>
          <w:kern w:val="2"/>
          <w:sz w:val="24"/>
          <w:szCs w:val="24"/>
          <w:lang w:val="en-US" w:eastAsia="zh-CN" w:bidi="ar-SA"/>
        </w:rPr>
      </w:pPr>
    </w:p>
    <w:sectPr>
      <w:footerReference r:id="rId13" w:type="first"/>
      <w:footerReference r:id="rId12" w:type="default"/>
      <w:pgSz w:w="11906" w:h="16838"/>
      <w:pgMar w:top="1440" w:right="1800" w:bottom="1440" w:left="1800"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38C0BBA-552C-43D9-94E8-337AC6CDE590}"/>
  </w:font>
  <w:font w:name="黑体">
    <w:panose1 w:val="02010609060101010101"/>
    <w:charset w:val="86"/>
    <w:family w:val="auto"/>
    <w:pitch w:val="default"/>
    <w:sig w:usb0="800002BF" w:usb1="38CF7CFA" w:usb2="00000016" w:usb3="00000000" w:csb0="00040001" w:csb1="00000000"/>
    <w:embedRegular r:id="rId2" w:fontKey="{706611BD-BA1B-4C21-B276-95D4E4BA957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F3F68FBD-7856-43EA-B2E9-C5891ED64F57}"/>
  </w:font>
  <w:font w:name="仿宋_GB2312">
    <w:altName w:val="仿宋"/>
    <w:panose1 w:val="00000000000000000000"/>
    <w:charset w:val="86"/>
    <w:family w:val="modern"/>
    <w:pitch w:val="default"/>
    <w:sig w:usb0="00000000" w:usb1="00000000" w:usb2="00000000" w:usb3="00000000" w:csb0="00000000" w:csb1="00000000"/>
    <w:embedRegular r:id="rId4" w:fontKey="{88C4C9FC-82E8-4AD6-9FC8-3042423672D4}"/>
  </w:font>
  <w:font w:name="仿宋">
    <w:panose1 w:val="02010609060101010101"/>
    <w:charset w:val="86"/>
    <w:family w:val="auto"/>
    <w:pitch w:val="default"/>
    <w:sig w:usb0="800002BF" w:usb1="38CF7CFA" w:usb2="00000016" w:usb3="00000000" w:csb0="00040001" w:csb1="00000000"/>
    <w:embedRegular r:id="rId5" w:fontKey="{CBEA0B12-81A9-4086-9587-49BABF80336C}"/>
  </w:font>
  <w:font w:name="微软雅黑">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Calibri Light">
    <w:panose1 w:val="020F0302020204030204"/>
    <w:charset w:val="00"/>
    <w:family w:val="swiss"/>
    <w:pitch w:val="default"/>
    <w:sig w:usb0="E4002EFF" w:usb1="C200247B" w:usb2="00000009" w:usb3="00000000" w:csb0="200001FF" w:csb1="00000000"/>
  </w:font>
  <w:font w:name="华文细黑">
    <w:panose1 w:val="02010600040101010101"/>
    <w:charset w:val="86"/>
    <w:family w:val="auto"/>
    <w:pitch w:val="default"/>
    <w:sig w:usb0="00000287" w:usb1="080F0000" w:usb2="00000000" w:usb3="00000000" w:csb0="0004009F" w:csb1="DFD70000"/>
  </w:font>
  <w:font w:name="新宋体">
    <w:panose1 w:val="02010609030101010101"/>
    <w:charset w:val="86"/>
    <w:family w:val="modern"/>
    <w:pitch w:val="default"/>
    <w:sig w:usb0="00000203" w:usb1="288F0000" w:usb2="00000006" w:usb3="00000000" w:csb0="00040001" w:csb1="00000000"/>
  </w:font>
  <w:font w:name="Arial Unicode MS">
    <w:altName w:val="宋体"/>
    <w:panose1 w:val="020B0604020202020204"/>
    <w:charset w:val="86"/>
    <w:family w:val="swiss"/>
    <w:pitch w:val="default"/>
    <w:sig w:usb0="00000000" w:usb1="00000000" w:usb2="0000007F" w:usb3="00000000" w:csb0="203F01FF" w:csb1="DFFF0000"/>
  </w:font>
  <w:font w:name="方正黑体_GBK">
    <w:panose1 w:val="03000509000000000000"/>
    <w:charset w:val="86"/>
    <w:family w:val="auto"/>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Mangal">
    <w:altName w:val="DejaVu Math TeX Gyre"/>
    <w:panose1 w:val="02040503050203030202"/>
    <w:charset w:val="00"/>
    <w:family w:val="roman"/>
    <w:pitch w:val="default"/>
    <w:sig w:usb0="00000000" w:usb1="00000000" w:usb2="00000000" w:usb3="00000000" w:csb0="00000001" w:csb1="00000000"/>
  </w:font>
  <w:font w:name="DejaVu Math TeX Gyre">
    <w:panose1 w:val="02000503000000000000"/>
    <w:charset w:val="00"/>
    <w:family w:val="auto"/>
    <w:pitch w:val="default"/>
    <w:sig w:usb0="A10000EF" w:usb1="4201F9EE" w:usb2="02000000" w:usb3="00000000" w:csb0="60000193" w:csb1="0DD40000"/>
  </w:font>
  <w:font w:name="Cambria">
    <w:panose1 w:val="02040503050406030204"/>
    <w:charset w:val="00"/>
    <w:family w:val="roman"/>
    <w:pitch w:val="default"/>
    <w:sig w:usb0="E00006FF" w:usb1="420024FF" w:usb2="02000000" w:usb3="00000000" w:csb0="2000019F" w:csb1="00000000"/>
  </w:font>
  <w:font w:name="方正仿宋_GBK">
    <w:panose1 w:val="03000509000000000000"/>
    <w:charset w:val="86"/>
    <w:family w:val="auto"/>
    <w:pitch w:val="default"/>
    <w:sig w:usb0="00000001" w:usb1="080E0000" w:usb2="00000000" w:usb3="00000000" w:csb0="00040000" w:csb1="00000000"/>
    <w:embedRegular r:id="rId6" w:fontKey="{0D550181-44BE-4669-A715-05927CFA008A}"/>
  </w:font>
  <w:font w:name="方正小标宋_GBK">
    <w:panose1 w:val="03000509000000000000"/>
    <w:charset w:val="86"/>
    <w:family w:val="auto"/>
    <w:pitch w:val="default"/>
    <w:sig w:usb0="00000001" w:usb1="080E0000" w:usb2="00000000" w:usb3="00000000" w:csb0="00040000" w:csb1="00000000"/>
    <w:embedRegular r:id="rId7" w:fontKey="{7D94AB18-637A-4405-A50D-5E240CA0319D}"/>
  </w:font>
  <w:font w:name="楷体_GB2312">
    <w:altName w:val="楷体"/>
    <w:panose1 w:val="02010609030101010101"/>
    <w:charset w:val="86"/>
    <w:family w:val="modern"/>
    <w:pitch w:val="default"/>
    <w:sig w:usb0="00000000" w:usb1="00000000" w:usb2="00000010" w:usb3="00000000" w:csb0="00040000" w:csb1="00000000"/>
    <w:embedRegular r:id="rId8" w:fontKey="{9C8B2DFA-6CD4-4ACD-BEB6-428078AD8667}"/>
  </w:font>
  <w:font w:name="楷体">
    <w:panose1 w:val="02010609060101010101"/>
    <w:charset w:val="86"/>
    <w:family w:val="auto"/>
    <w:pitch w:val="default"/>
    <w:sig w:usb0="800002BF" w:usb1="38CF7CFA" w:usb2="00000016" w:usb3="00000000" w:csb0="00040001" w:csb1="00000000"/>
  </w:font>
  <w:font w:name="方正楷体_GBK">
    <w:panose1 w:val="03000509000000000000"/>
    <w:charset w:val="86"/>
    <w:family w:val="auto"/>
    <w:pitch w:val="default"/>
    <w:sig w:usb0="00000001" w:usb1="080E0000" w:usb2="00000000" w:usb3="00000000" w:csb0="00040000" w:csb1="00000000"/>
    <w:embedRegular r:id="rId9" w:fontKey="{D80F7B56-9F72-41F1-8EDA-D50B2C473E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p>
  <w:p>
    <w:pPr>
      <w:pStyle w:val="2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center" w:y="1"/>
      <w:rPr>
        <w:rStyle w:val="45"/>
      </w:rPr>
    </w:pPr>
    <w:r>
      <w:fldChar w:fldCharType="begin"/>
    </w:r>
    <w:r>
      <w:rPr>
        <w:rStyle w:val="45"/>
      </w:rPr>
      <w:instrText xml:space="preserve">PAGE  </w:instrText>
    </w:r>
    <w:r>
      <w:fldChar w:fldCharType="end"/>
    </w:r>
  </w:p>
  <w:p>
    <w:pPr>
      <w:pStyle w:val="2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w:fldChar w:fldCharType="begin"/>
    </w:r>
    <w:r>
      <w:instrText xml:space="preserve">PAGE   \* MERGEFORMAT</w:instrText>
    </w:r>
    <w:r>
      <w:fldChar w:fldCharType="separate"/>
    </w:r>
    <w:r>
      <w:rPr>
        <w:lang w:val="zh-CN"/>
      </w:rPr>
      <w:t>79</w:t>
    </w:r>
    <w:r>
      <w:fldChar w:fldCharType="end"/>
    </w:r>
  </w:p>
  <w:p>
    <w:pPr>
      <w:pStyle w:val="2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w:fldChar w:fldCharType="begin"/>
    </w:r>
    <w:r>
      <w:instrText xml:space="preserve">PAGE   \* MERGEFORMAT</w:instrText>
    </w:r>
    <w:r>
      <w:fldChar w:fldCharType="separate"/>
    </w:r>
    <w:r>
      <w:rPr>
        <w:lang w:val="zh-CN"/>
      </w:rPr>
      <w:t>35</w:t>
    </w:r>
    <w:r>
      <w:fldChar w:fldCharType="end"/>
    </w:r>
  </w:p>
  <w:p>
    <w:pPr>
      <w:pStyle w:val="2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520" w:h="235" w:hRule="exact" w:wrap="around" w:vAnchor="text" w:hAnchor="page" w:x="6073" w:y="-2"/>
      <w:rPr>
        <w:rStyle w:val="45"/>
      </w:rPr>
    </w:pPr>
    <w:r>
      <w:fldChar w:fldCharType="begin"/>
    </w:r>
    <w:r>
      <w:rPr>
        <w:rStyle w:val="45"/>
      </w:rPr>
      <w:instrText xml:space="preserve">PAGE  </w:instrText>
    </w:r>
    <w:r>
      <w:fldChar w:fldCharType="separate"/>
    </w:r>
    <w:r>
      <w:rPr>
        <w:rStyle w:val="45"/>
      </w:rPr>
      <w:t>78</w:t>
    </w:r>
    <w:r>
      <w:fldChar w:fldCharType="end"/>
    </w:r>
  </w:p>
  <w:p>
    <w:pPr>
      <w:pStyle w:val="25"/>
      <w:ind w:right="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right="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Text Box 1026"/>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pPr>
                            <w:pStyle w:val="25"/>
                            <w:rPr>
                              <w:rStyle w:val="45"/>
                            </w:rPr>
                          </w:pPr>
                          <w:r>
                            <w:fldChar w:fldCharType="begin"/>
                          </w:r>
                          <w:r>
                            <w:rPr>
                              <w:rStyle w:val="45"/>
                            </w:rPr>
                            <w:instrText xml:space="preserve">PAGE  </w:instrText>
                          </w:r>
                          <w:r>
                            <w:fldChar w:fldCharType="separate"/>
                          </w:r>
                          <w:r>
                            <w:rPr>
                              <w:rStyle w:val="45"/>
                            </w:rPr>
                            <w:t>95</w:t>
                          </w:r>
                          <w:r>
                            <w:fldChar w:fldCharType="end"/>
                          </w:r>
                        </w:p>
                      </w:txbxContent>
                    </wps:txbx>
                    <wps:bodyPr rot="0" vert="horz" wrap="none" lIns="0" tIns="0" rIns="0" bIns="0" anchor="t" anchorCtr="0" upright="1">
                      <a:spAutoFit/>
                    </wps:bodyPr>
                  </wps:wsp>
                </a:graphicData>
              </a:graphic>
            </wp:anchor>
          </w:drawing>
        </mc:Choice>
        <mc:Fallback>
          <w:pict>
            <v:shape id="Text Box 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DhqV/cBAAAGBAAADgAAAGRycy9lMm9Eb2MueG1srVNNj9sgEL1X6n9A&#10;3Bs7UbWKrDir7UapKm0/pN3+AIKxjQoMGkjs9Nd3wHF2u73soRc0MMOb9x7D5na0hp0UBg2u5stF&#10;yZlyEhrtupr/fNp/WHMWonCNMOBUzc8q8Nvt+3ebwVdqBT2YRiEjEBeqwde8j9FXRRFkr6wIC/DK&#10;UbIFtCLSFruiQTEQujXFqixvigGw8QhShUCnuynJL4j4FkBoWy3VDuTRKhcnVFRGRJIUeu0D32a2&#10;batk/N62QUVmak5KY16pCcWHtBbbjag6FL7X8kJBvIXCK01WaEdNr1A7EQU7ov4HymqJEKCNCwm2&#10;mIRkR0jFsnzlzWMvvMpayOrgr6aH/wcrv51+INNNzT9y5oSlB39SY2SfYGTLcnWTDBp8qKju0VNl&#10;HClDY5PFBv8A8ldgDu574Tp1hwhDr0RDBJfpZvHi6oQTEshh+AoNdRLHCBlobNEm98gPRuj0OOfr&#10;4yQ2MrVcr9brklKScvMm9RDVfN1jiJ8VWJaCmiO9foYXp4cQp9K5JHVzsNfG0LmojPvrgDDTSaaf&#10;GE/c43gYqTppOkBzJiEI00DRd6KgB/zN2UDDVHNHf4cz88WRFWnu5gDn4DAHwkm6WPPI2RTex2k+&#10;jx511xPubPYd2bXXWcgzhwtLGo9sxWWU0/y93Oeq5++7/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OqXm5zwAAAAUBAAAPAAAAAAAAAAEAIAAAACIAAABkcnMvZG93bnJldi54bWxQSwECFAAUAAAA&#10;CACHTuJAiDhqV/cBAAAGBAAADgAAAAAAAAABACAAAAAeAQAAZHJzL2Uyb0RvYy54bWxQSwUGAAAA&#10;AAYABgBZAQAAhwUAAAAA&#10;">
              <v:fill on="f" focussize="0,0"/>
              <v:stroke on="f"/>
              <v:imagedata o:title=""/>
              <o:lock v:ext="edit" aspectratio="f"/>
              <v:textbox inset="0mm,0mm,0mm,0mm" style="mso-fit-shape-to-text:t;">
                <w:txbxContent>
                  <w:p>
                    <w:pPr>
                      <w:pStyle w:val="25"/>
                      <w:rPr>
                        <w:rStyle w:val="45"/>
                      </w:rPr>
                    </w:pPr>
                    <w:r>
                      <w:fldChar w:fldCharType="begin"/>
                    </w:r>
                    <w:r>
                      <w:rPr>
                        <w:rStyle w:val="45"/>
                      </w:rPr>
                      <w:instrText xml:space="preserve">PAGE  </w:instrText>
                    </w:r>
                    <w:r>
                      <w:fldChar w:fldCharType="separate"/>
                    </w:r>
                    <w:r>
                      <w:rPr>
                        <w:rStyle w:val="45"/>
                      </w:rPr>
                      <w:t>95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0" t="0" r="0" b="0"/>
              <wp:wrapNone/>
              <wp:docPr id="3" name="Text Box 1025"/>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pPr>
                            <w:pStyle w:val="25"/>
                          </w:pPr>
                          <w:r>
                            <w:rPr>
                              <w:rFonts w:hint="eastAsia"/>
                            </w:rPr>
                            <w:fldChar w:fldCharType="begin"/>
                          </w:r>
                          <w:r>
                            <w:rPr>
                              <w:rFonts w:hint="eastAsia"/>
                            </w:rPr>
                            <w:instrText xml:space="preserve"> PAGE  \* MERGEFORMAT </w:instrText>
                          </w:r>
                          <w:r>
                            <w:rPr>
                              <w:rFonts w:hint="eastAsia"/>
                            </w:rPr>
                            <w:fldChar w:fldCharType="separate"/>
                          </w:r>
                          <w:r>
                            <w:t>92</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Text Box 1025" o:spid="_x0000_s1026" o:spt="202" type="#_x0000_t202" style="position:absolute;left:0pt;margin-top:0pt;height:10.35pt;width:9.05pt;mso-position-horizontal:center;mso-position-horizontal-relative:margin;mso-wrap-style:none;z-index:25166028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K7e2F78AQAABAQAAA4AAABkcnMvZTJvRG9jLnhtbK1TwW7bMAy9D9g/&#10;CLovtpN02Iw4Rdcgw4BuHdD2AxRZjoVZokApsbOvHyXHWddeethFoCTq8b1HanU9mI4dFXoNtuLF&#10;LOdMWQm1tvuKPz1uP3zizAdha9GBVRU/Kc+v1+/frXpXqjm00NUKGYFYX/au4m0IrswyL1tlhJ+B&#10;U5YuG0AjAm1xn9UoekI3XTbP849ZD1g7BKm8p9PNeMnPiPgWQGgaLdUG5MEoG0ZUVJ0IJMm32nm+&#10;TmybRslw3zReBdZVnJSGtFIRindxzdYrUe5RuFbLMwXxFgovNBmhLRW9QG1EEOyA+hWU0RLBQxNm&#10;Ekw2CkmOkIoif+HNQyucSlrIau8upvv/Byt/HH8i03XFF5xZYajhj2oI7AsMrMjnV9Gg3vmS8h4c&#10;ZYaBbmhskljv7kD+8szCbSvsXt0gQt8qURPBIr7Mnj0dcXwE2fXfoaZK4hAgAQ0Nmuge+cEInZpz&#10;ujQnspGxZLH8vLjiTNJVsSiWy8QtE+X02KEPXxUYFoOKI/U+gYvjnQ+RjCinlFjLwlZ3Xep/Z/85&#10;oMR4kshHviPzMOyGsxk7qE8kA2EcJ/pMFLSAvznraZQqbunncNZ9s2REnLopwCnYTYGwkh5WPHA2&#10;hrdhnM6DQ71vCXey+obM2uokJLo6cjizpOFI+s6DHKfv+T5l/f286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D5X5J0AAAAAMBAAAPAAAAAAAAAAEAIAAAACIAAABkcnMvZG93bnJldi54bWxQSwEC&#10;FAAUAAAACACHTuJArt7YXvwBAAAEBAAADgAAAAAAAAABACAAAAAfAQAAZHJzL2Uyb0RvYy54bWxQ&#10;SwUGAAAAAAYABgBZAQAAjQUAAAAA&#10;">
              <v:fill on="f" focussize="0,0"/>
              <v:stroke on="f"/>
              <v:imagedata o:title=""/>
              <o:lock v:ext="edit" aspectratio="f"/>
              <v:textbox inset="0mm,0mm,0mm,0mm" style="mso-fit-shape-to-text:t;">
                <w:txbxContent>
                  <w:p>
                    <w:pPr>
                      <w:pStyle w:val="25"/>
                    </w:pPr>
                    <w:r>
                      <w:rPr>
                        <w:rFonts w:hint="eastAsia"/>
                      </w:rPr>
                      <w:fldChar w:fldCharType="begin"/>
                    </w:r>
                    <w:r>
                      <w:rPr>
                        <w:rFonts w:hint="eastAsia"/>
                      </w:rPr>
                      <w:instrText xml:space="preserve"> PAGE  \* MERGEFORMAT </w:instrText>
                    </w:r>
                    <w:r>
                      <w:rPr>
                        <w:rFonts w:hint="eastAsia"/>
                      </w:rPr>
                      <w:fldChar w:fldCharType="separate"/>
                    </w:r>
                    <w:r>
                      <w:t>92</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right="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Text Box 1026"/>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pPr>
                            <w:pStyle w:val="25"/>
                            <w:rPr>
                              <w:rStyle w:val="45"/>
                            </w:rPr>
                          </w:pPr>
                          <w:r>
                            <w:fldChar w:fldCharType="begin"/>
                          </w:r>
                          <w:r>
                            <w:rPr>
                              <w:rStyle w:val="45"/>
                            </w:rPr>
                            <w:instrText xml:space="preserve">PAGE  </w:instrText>
                          </w:r>
                          <w:r>
                            <w:fldChar w:fldCharType="separate"/>
                          </w:r>
                          <w:r>
                            <w:rPr>
                              <w:rStyle w:val="45"/>
                            </w:rPr>
                            <w:t>95</w:t>
                          </w:r>
                          <w:r>
                            <w:fldChar w:fldCharType="end"/>
                          </w:r>
                        </w:p>
                      </w:txbxContent>
                    </wps:txbx>
                    <wps:bodyPr rot="0" vert="horz" wrap="none" lIns="0" tIns="0" rIns="0" bIns="0" anchor="t" anchorCtr="0" upright="1">
                      <a:spAutoFit/>
                    </wps:bodyPr>
                  </wps:wsp>
                </a:graphicData>
              </a:graphic>
            </wp:anchor>
          </w:drawing>
        </mc:Choice>
        <mc:Fallback>
          <w:pict>
            <v:shape id="Text Box 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f2WvYBAAAGBAAADgAAAGRycy9lMm9Eb2MueG1srVPLbtswELwX6D8Q&#10;vNeSdQgMwXKQxnBRIH0AST6AoiiJqMgllrQl9+u7pCwnTS859EIsucvZmeFyezuZgZ0Ueg224utV&#10;zpmyEhptu4o/Px0+bTjzQdhGDGBVxc/K89vdxw/b0ZWqgB6GRiEjEOvL0VW8D8GVWeZlr4zwK3DK&#10;UrIFNCLQFrusQTESuhmyIs9vshGwcQhSeU+n+znJL4j4HkBoWy3VHuTRKBtmVFSDCCTJ99p5vkts&#10;21bJ8KNtvQpsqDgpDWmlJhTXcc12W1F2KFyv5YWCeA+FN5qM0JaaXqH2Igh2RP0PlNESwUMbVhJM&#10;NgtJjpCKdf7Gm8deOJW0kNXeXU33/w9Wfj/9RKabihecWWHowZ/UFNhnmNg6L26iQaPzJdU9OqoM&#10;E2VobJJY7x5A/vLMwn0vbKfuEGHslWiI4DrezF5dnXF8BKnHb9BQJ3EMkICmFk10j/xghE6Pc74+&#10;TmQjY8tNsdnklJKUWzaxhyiX6w59+KLAsBhUHOn1E7w4Pfgwly4lsZuFgx4GOhflYP86IMx4kuhH&#10;xjP3MNUTVUdNNTRnEoIwDxR9Jwp6wN+cjTRMFbf0dzgbvlqyIs7dEuAS1EsgrKSLFQ+czeF9mOfz&#10;6FB3PeEuZt+RXQedhLxwuLCk8UhWXEY5zt/rfap6+b67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6pebnPAAAABQEAAA8AAAAAAAAAAQAgAAAAIgAAAGRycy9kb3ducmV2LnhtbFBLAQIUABQAAAAI&#10;AIdO4kD/Z/Za9gEAAAYEAAAOAAAAAAAAAAEAIAAAAB4BAABkcnMvZTJvRG9jLnhtbFBLBQYAAAAA&#10;BgAGAFkBAACGBQAAAAA=&#10;">
              <v:fill on="f" focussize="0,0"/>
              <v:stroke on="f"/>
              <v:imagedata o:title=""/>
              <o:lock v:ext="edit" aspectratio="f"/>
              <v:textbox inset="0mm,0mm,0mm,0mm" style="mso-fit-shape-to-text:t;">
                <w:txbxContent>
                  <w:p>
                    <w:pPr>
                      <w:pStyle w:val="25"/>
                      <w:rPr>
                        <w:rStyle w:val="45"/>
                      </w:rPr>
                    </w:pPr>
                    <w:r>
                      <w:fldChar w:fldCharType="begin"/>
                    </w:r>
                    <w:r>
                      <w:rPr>
                        <w:rStyle w:val="45"/>
                      </w:rPr>
                      <w:instrText xml:space="preserve">PAGE  </w:instrText>
                    </w:r>
                    <w:r>
                      <w:fldChar w:fldCharType="separate"/>
                    </w:r>
                    <w:r>
                      <w:rPr>
                        <w:rStyle w:val="45"/>
                      </w:rPr>
                      <w:t>95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0" t="0" r="635" b="0"/>
              <wp:wrapNone/>
              <wp:docPr id="1" name="Text Box 1025"/>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pPr>
                            <w:pStyle w:val="25"/>
                          </w:pPr>
                          <w:r>
                            <w:rPr>
                              <w:rFonts w:hint="eastAsia"/>
                            </w:rPr>
                            <w:fldChar w:fldCharType="begin"/>
                          </w:r>
                          <w:r>
                            <w:rPr>
                              <w:rFonts w:hint="eastAsia"/>
                            </w:rPr>
                            <w:instrText xml:space="preserve"> PAGE  \* MERGEFORMAT </w:instrText>
                          </w:r>
                          <w:r>
                            <w:rPr>
                              <w:rFonts w:hint="eastAsia"/>
                            </w:rPr>
                            <w:fldChar w:fldCharType="separate"/>
                          </w:r>
                          <w:r>
                            <w:t>92</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Text Box 1025" o:spid="_x0000_s1026" o:spt="202" type="#_x0000_t202" style="position:absolute;left:0pt;margin-top:0pt;height:10.35pt;width:9.05pt;mso-position-horizontal:center;mso-position-horizontal-relative:margin;mso-wrap-style:none;z-index:25166028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OFmvgH7AQAABAQAAA4AAABkcnMvZTJvRG9jLnhtbK1TwW7bMAy9D9g/&#10;CLovjtN02Iw4Rdcgw4BuHdDuA2RZtoVZokApsbOvHyXHWdddethFoCTq8b1HanMzmp4dFXoNtuT5&#10;YsmZshJqbduS/3jav/vAmQ/C1qIHq0p+Up7fbN++2QyuUCvooK8VMgKxvhhcybsQXJFlXnbKCL8A&#10;pyxdNoBGBNpim9UoBkI3fbZaLt9nA2DtEKTynk530yU/I+JrAKFptFQ7kAejbJhQUfUikCTfaef5&#10;NrFtGiXDQ9N4FVhfclIa0kpFKK7imm03omhRuE7LMwXxGgovNBmhLRW9QO1EEOyA+h8ooyWChyYs&#10;JJhsEpIcIRX58oU3j51wKmkhq727mO7/H6z8dvyOTNc0CZxZYajhT2oM7BOMLF+urqNBg/MF5T06&#10;ygwj3cTkKNa7e5A/PbNw1wnbqltEGDolaiKYx5fZs6cTjo8g1fAVaqokDgES0NigiYDkByN0as7p&#10;0pzIRsaS+frj1TVnkq7yq3y9TtwyUcyPHfrwWYFhMSg5Uu8TuDje+xDJiGJOibUs7HXfp/739q8D&#10;SowniXzkOzEPYzWezaigPpEMhGmc6DNR0AH+4mygUSq5pZ/DWf/FkhFx6uYA56CaA2ElPSx54GwK&#10;78I0nQeHuu0Id7b6lsza6yQkujpxOLOk4Uj6zoMcp+/5PmX9+bzb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PlfknQAAAAAwEAAA8AAAAAAAAAAQAgAAAAIgAAAGRycy9kb3ducmV2LnhtbFBLAQIU&#10;ABQAAAAIAIdO4kDhZr4B+wEAAAQEAAAOAAAAAAAAAAEAIAAAAB8BAABkcnMvZTJvRG9jLnhtbFBL&#10;BQYAAAAABgAGAFkBAACMBQAAAAA=&#10;">
              <v:fill on="f" focussize="0,0"/>
              <v:stroke on="f"/>
              <v:imagedata o:title=""/>
              <o:lock v:ext="edit" aspectratio="f"/>
              <v:textbox inset="0mm,0mm,0mm,0mm" style="mso-fit-shape-to-text:t;">
                <w:txbxContent>
                  <w:p>
                    <w:pPr>
                      <w:pStyle w:val="25"/>
                    </w:pPr>
                    <w:r>
                      <w:rPr>
                        <w:rFonts w:hint="eastAsia"/>
                      </w:rPr>
                      <w:fldChar w:fldCharType="begin"/>
                    </w:r>
                    <w:r>
                      <w:rPr>
                        <w:rFonts w:hint="eastAsia"/>
                      </w:rPr>
                      <w:instrText xml:space="preserve"> PAGE  \* MERGEFORMAT </w:instrText>
                    </w:r>
                    <w:r>
                      <w:rPr>
                        <w:rFonts w:hint="eastAsia"/>
                      </w:rPr>
                      <w:fldChar w:fldCharType="separate"/>
                    </w:r>
                    <w:r>
                      <w:t>92</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716A66"/>
    <w:multiLevelType w:val="singleLevel"/>
    <w:tmpl w:val="86716A66"/>
    <w:lvl w:ilvl="0" w:tentative="0">
      <w:start w:val="1"/>
      <w:numFmt w:val="decimal"/>
      <w:suff w:val="nothing"/>
      <w:lvlText w:val="%1．"/>
      <w:lvlJc w:val="left"/>
    </w:lvl>
  </w:abstractNum>
  <w:abstractNum w:abstractNumId="1">
    <w:nsid w:val="98FD122B"/>
    <w:multiLevelType w:val="singleLevel"/>
    <w:tmpl w:val="98FD122B"/>
    <w:lvl w:ilvl="0" w:tentative="0">
      <w:start w:val="1"/>
      <w:numFmt w:val="decimal"/>
      <w:lvlText w:val="%1."/>
      <w:lvlJc w:val="left"/>
      <w:pPr>
        <w:tabs>
          <w:tab w:val="left" w:pos="312"/>
        </w:tabs>
      </w:pPr>
    </w:lvl>
  </w:abstractNum>
  <w:abstractNum w:abstractNumId="2">
    <w:nsid w:val="B75FAD5F"/>
    <w:multiLevelType w:val="singleLevel"/>
    <w:tmpl w:val="B75FAD5F"/>
    <w:lvl w:ilvl="0" w:tentative="0">
      <w:start w:val="2"/>
      <w:numFmt w:val="chineseCounting"/>
      <w:suff w:val="nothing"/>
      <w:lvlText w:val="%1、"/>
      <w:lvlJc w:val="left"/>
      <w:rPr>
        <w:rFonts w:hint="eastAsia"/>
      </w:rPr>
    </w:lvl>
  </w:abstractNum>
  <w:abstractNum w:abstractNumId="3">
    <w:nsid w:val="E44BD308"/>
    <w:multiLevelType w:val="singleLevel"/>
    <w:tmpl w:val="E44BD308"/>
    <w:lvl w:ilvl="0" w:tentative="0">
      <w:start w:val="1"/>
      <w:numFmt w:val="decimal"/>
      <w:suff w:val="nothing"/>
      <w:lvlText w:val="%1、"/>
      <w:lvlJc w:val="left"/>
    </w:lvl>
  </w:abstractNum>
  <w:abstractNum w:abstractNumId="4">
    <w:nsid w:val="0000000D"/>
    <w:multiLevelType w:val="multilevel"/>
    <w:tmpl w:val="0000000D"/>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pStyle w:val="142"/>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5">
    <w:nsid w:val="1D6F5411"/>
    <w:multiLevelType w:val="multilevel"/>
    <w:tmpl w:val="1D6F5411"/>
    <w:lvl w:ilvl="0" w:tentative="0">
      <w:start w:val="1"/>
      <w:numFmt w:val="chineseCountingThousand"/>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
    <w:nsid w:val="2C1A204B"/>
    <w:multiLevelType w:val="multilevel"/>
    <w:tmpl w:val="2C1A204B"/>
    <w:lvl w:ilvl="0" w:tentative="0">
      <w:start w:val="1"/>
      <w:numFmt w:val="decimal"/>
      <w:lvlText w:val="%1."/>
      <w:lvlJc w:val="left"/>
      <w:pPr>
        <w:tabs>
          <w:tab w:val="left" w:pos="360"/>
        </w:tabs>
        <w:ind w:left="0" w:firstLine="0"/>
      </w:pPr>
    </w:lvl>
    <w:lvl w:ilvl="1" w:tentative="0">
      <w:start w:val="1"/>
      <w:numFmt w:val="decimal"/>
      <w:lvlText w:val="（%2）"/>
      <w:lvlJc w:val="left"/>
      <w:pPr>
        <w:tabs>
          <w:tab w:val="left" w:pos="1140"/>
        </w:tabs>
        <w:ind w:left="1140" w:hanging="720"/>
      </w:pPr>
      <w:rPr>
        <w:lang w:val="en-US"/>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37CE37EA"/>
    <w:multiLevelType w:val="singleLevel"/>
    <w:tmpl w:val="37CE37EA"/>
    <w:lvl w:ilvl="0" w:tentative="0">
      <w:start w:val="3"/>
      <w:numFmt w:val="chineseCounting"/>
      <w:suff w:val="space"/>
      <w:lvlText w:val="第%1章"/>
      <w:lvlJc w:val="left"/>
      <w:rPr>
        <w:rFonts w:hint="eastAsia"/>
      </w:rPr>
    </w:lvl>
  </w:abstractNum>
  <w:abstractNum w:abstractNumId="8">
    <w:nsid w:val="42C55291"/>
    <w:multiLevelType w:val="multilevel"/>
    <w:tmpl w:val="42C55291"/>
    <w:lvl w:ilvl="0" w:tentative="0">
      <w:start w:val="1"/>
      <w:numFmt w:val="chineseCountingThousand"/>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
    <w:nsid w:val="5F092D23"/>
    <w:multiLevelType w:val="multilevel"/>
    <w:tmpl w:val="5F092D23"/>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
    <w:nsid w:val="650D3870"/>
    <w:multiLevelType w:val="singleLevel"/>
    <w:tmpl w:val="650D3870"/>
    <w:lvl w:ilvl="0" w:tentative="0">
      <w:start w:val="1"/>
      <w:numFmt w:val="chineseCounting"/>
      <w:suff w:val="nothing"/>
      <w:lvlText w:val="（%1）"/>
      <w:lvlJc w:val="left"/>
      <w:pPr>
        <w:ind w:left="-4"/>
      </w:pPr>
    </w:lvl>
  </w:abstractNum>
  <w:abstractNum w:abstractNumId="11">
    <w:nsid w:val="650D3AFD"/>
    <w:multiLevelType w:val="singleLevel"/>
    <w:tmpl w:val="650D3AFD"/>
    <w:lvl w:ilvl="0" w:tentative="0">
      <w:start w:val="1"/>
      <w:numFmt w:val="chineseCounting"/>
      <w:suff w:val="nothing"/>
      <w:lvlText w:val="%1、"/>
      <w:lvlJc w:val="left"/>
      <w:pPr>
        <w:ind w:left="0" w:firstLine="420"/>
      </w:pPr>
      <w:rPr>
        <w:rFonts w:hint="eastAsia"/>
      </w:rPr>
    </w:lvl>
  </w:abstractNum>
  <w:num w:numId="1">
    <w:abstractNumId w:val="4"/>
  </w:num>
  <w:num w:numId="2">
    <w:abstractNumId w:val="8"/>
  </w:num>
  <w:num w:numId="3">
    <w:abstractNumId w:val="3"/>
  </w:num>
  <w:num w:numId="4">
    <w:abstractNumId w:val="10"/>
  </w:num>
  <w:num w:numId="5">
    <w:abstractNumId w:val="9"/>
  </w:num>
  <w:num w:numId="6">
    <w:abstractNumId w:val="7"/>
  </w:num>
  <w:num w:numId="7">
    <w:abstractNumId w:val="1"/>
  </w:num>
  <w:num w:numId="8">
    <w:abstractNumId w:val="5"/>
  </w:num>
  <w:num w:numId="9">
    <w:abstractNumId w:val="11"/>
  </w:num>
  <w:num w:numId="10">
    <w:abstractNumId w:val="0"/>
  </w:num>
  <w:num w:numId="11">
    <w:abstractNumId w:val="2"/>
  </w:num>
  <w:num w:numId="12">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revisionView w:markup="0"/>
  <w:trackRevisions w:val="1"/>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EyZTQ2YjAyNzE2YWM1MWQ1YjEwMzFjMGVlOTA4OGMifQ=="/>
    <w:docVar w:name="KGWebUrl" w:val="http://oa.cegc.com.cn:8088/sys/attachment/sys_att_main/jg_service.jsp"/>
  </w:docVars>
  <w:rsids>
    <w:rsidRoot w:val="00F1787C"/>
    <w:rsid w:val="00002283"/>
    <w:rsid w:val="0000322E"/>
    <w:rsid w:val="00003524"/>
    <w:rsid w:val="00006DC2"/>
    <w:rsid w:val="00014F18"/>
    <w:rsid w:val="0002191D"/>
    <w:rsid w:val="00022C81"/>
    <w:rsid w:val="000247E8"/>
    <w:rsid w:val="00025133"/>
    <w:rsid w:val="000252CD"/>
    <w:rsid w:val="00025B39"/>
    <w:rsid w:val="00026821"/>
    <w:rsid w:val="00031B7B"/>
    <w:rsid w:val="000329B5"/>
    <w:rsid w:val="000338C1"/>
    <w:rsid w:val="000349C1"/>
    <w:rsid w:val="00035D65"/>
    <w:rsid w:val="00035FD9"/>
    <w:rsid w:val="00037178"/>
    <w:rsid w:val="000439F3"/>
    <w:rsid w:val="00046EC8"/>
    <w:rsid w:val="0005109B"/>
    <w:rsid w:val="00055B95"/>
    <w:rsid w:val="000563B8"/>
    <w:rsid w:val="000572DF"/>
    <w:rsid w:val="00057B74"/>
    <w:rsid w:val="0006209E"/>
    <w:rsid w:val="000620D8"/>
    <w:rsid w:val="00066BA0"/>
    <w:rsid w:val="00067251"/>
    <w:rsid w:val="000757B2"/>
    <w:rsid w:val="0007604F"/>
    <w:rsid w:val="0007698A"/>
    <w:rsid w:val="00076FDF"/>
    <w:rsid w:val="0008303D"/>
    <w:rsid w:val="0008378C"/>
    <w:rsid w:val="000849FA"/>
    <w:rsid w:val="00085499"/>
    <w:rsid w:val="00086CAB"/>
    <w:rsid w:val="000875BF"/>
    <w:rsid w:val="00087626"/>
    <w:rsid w:val="0009000C"/>
    <w:rsid w:val="0009140C"/>
    <w:rsid w:val="00093516"/>
    <w:rsid w:val="000939F8"/>
    <w:rsid w:val="00093CD5"/>
    <w:rsid w:val="000940B1"/>
    <w:rsid w:val="000945AC"/>
    <w:rsid w:val="00095B35"/>
    <w:rsid w:val="00095EDA"/>
    <w:rsid w:val="0009781C"/>
    <w:rsid w:val="000A18D6"/>
    <w:rsid w:val="000A1E4C"/>
    <w:rsid w:val="000A2296"/>
    <w:rsid w:val="000A23A5"/>
    <w:rsid w:val="000A31DB"/>
    <w:rsid w:val="000A423A"/>
    <w:rsid w:val="000A4B3C"/>
    <w:rsid w:val="000A5164"/>
    <w:rsid w:val="000A60BC"/>
    <w:rsid w:val="000A6558"/>
    <w:rsid w:val="000B3499"/>
    <w:rsid w:val="000B446C"/>
    <w:rsid w:val="000B48BA"/>
    <w:rsid w:val="000B7D1A"/>
    <w:rsid w:val="000C0102"/>
    <w:rsid w:val="000C153A"/>
    <w:rsid w:val="000C3C36"/>
    <w:rsid w:val="000C4170"/>
    <w:rsid w:val="000C42B0"/>
    <w:rsid w:val="000C4955"/>
    <w:rsid w:val="000C5DB1"/>
    <w:rsid w:val="000C6C80"/>
    <w:rsid w:val="000C6EF3"/>
    <w:rsid w:val="000D0FF5"/>
    <w:rsid w:val="000D6003"/>
    <w:rsid w:val="000E2A4B"/>
    <w:rsid w:val="000E313E"/>
    <w:rsid w:val="000E59C6"/>
    <w:rsid w:val="000F2842"/>
    <w:rsid w:val="000F3AE6"/>
    <w:rsid w:val="00100F21"/>
    <w:rsid w:val="0010112E"/>
    <w:rsid w:val="00101194"/>
    <w:rsid w:val="00104DDA"/>
    <w:rsid w:val="00105562"/>
    <w:rsid w:val="001060F0"/>
    <w:rsid w:val="00107D39"/>
    <w:rsid w:val="00107E81"/>
    <w:rsid w:val="00110CAE"/>
    <w:rsid w:val="00112802"/>
    <w:rsid w:val="001150C8"/>
    <w:rsid w:val="00115A03"/>
    <w:rsid w:val="00120582"/>
    <w:rsid w:val="00123DF3"/>
    <w:rsid w:val="0012612C"/>
    <w:rsid w:val="0012618D"/>
    <w:rsid w:val="001264BE"/>
    <w:rsid w:val="00131319"/>
    <w:rsid w:val="001326B8"/>
    <w:rsid w:val="00133F0F"/>
    <w:rsid w:val="0013640A"/>
    <w:rsid w:val="00137B7C"/>
    <w:rsid w:val="00137FF4"/>
    <w:rsid w:val="00142542"/>
    <w:rsid w:val="00143D4F"/>
    <w:rsid w:val="00147ECF"/>
    <w:rsid w:val="001509A5"/>
    <w:rsid w:val="00151358"/>
    <w:rsid w:val="001528F7"/>
    <w:rsid w:val="00157E7E"/>
    <w:rsid w:val="00160A9D"/>
    <w:rsid w:val="00161FBA"/>
    <w:rsid w:val="0016324C"/>
    <w:rsid w:val="001637E6"/>
    <w:rsid w:val="001646C7"/>
    <w:rsid w:val="001661DF"/>
    <w:rsid w:val="00166289"/>
    <w:rsid w:val="00167BC0"/>
    <w:rsid w:val="00170C4F"/>
    <w:rsid w:val="001743B9"/>
    <w:rsid w:val="00180EFE"/>
    <w:rsid w:val="00183BEA"/>
    <w:rsid w:val="00184A5E"/>
    <w:rsid w:val="0018579A"/>
    <w:rsid w:val="0019148A"/>
    <w:rsid w:val="001A0018"/>
    <w:rsid w:val="001A0539"/>
    <w:rsid w:val="001A09DE"/>
    <w:rsid w:val="001A5CDC"/>
    <w:rsid w:val="001A7336"/>
    <w:rsid w:val="001B37EE"/>
    <w:rsid w:val="001B455F"/>
    <w:rsid w:val="001B5B62"/>
    <w:rsid w:val="001B7789"/>
    <w:rsid w:val="001C0BBE"/>
    <w:rsid w:val="001C47B4"/>
    <w:rsid w:val="001C7A81"/>
    <w:rsid w:val="001D0E4A"/>
    <w:rsid w:val="001D4A30"/>
    <w:rsid w:val="001D5992"/>
    <w:rsid w:val="001D620B"/>
    <w:rsid w:val="001D748A"/>
    <w:rsid w:val="001E2FBC"/>
    <w:rsid w:val="001E35E5"/>
    <w:rsid w:val="001E3AE0"/>
    <w:rsid w:val="001E4ED8"/>
    <w:rsid w:val="001F5D0C"/>
    <w:rsid w:val="001F6241"/>
    <w:rsid w:val="00203576"/>
    <w:rsid w:val="0020608C"/>
    <w:rsid w:val="002111A4"/>
    <w:rsid w:val="002136F9"/>
    <w:rsid w:val="00213C13"/>
    <w:rsid w:val="00214A65"/>
    <w:rsid w:val="00214E11"/>
    <w:rsid w:val="0021510A"/>
    <w:rsid w:val="00217ABC"/>
    <w:rsid w:val="00217CD9"/>
    <w:rsid w:val="00217F8C"/>
    <w:rsid w:val="002202C8"/>
    <w:rsid w:val="00220469"/>
    <w:rsid w:val="00220B1B"/>
    <w:rsid w:val="00220F2D"/>
    <w:rsid w:val="00222DE6"/>
    <w:rsid w:val="002258E9"/>
    <w:rsid w:val="00226226"/>
    <w:rsid w:val="00230813"/>
    <w:rsid w:val="00231314"/>
    <w:rsid w:val="00231845"/>
    <w:rsid w:val="002339FF"/>
    <w:rsid w:val="00235CEC"/>
    <w:rsid w:val="00236600"/>
    <w:rsid w:val="002460EA"/>
    <w:rsid w:val="00246DBB"/>
    <w:rsid w:val="002537F9"/>
    <w:rsid w:val="00253875"/>
    <w:rsid w:val="0025448C"/>
    <w:rsid w:val="002660DD"/>
    <w:rsid w:val="00272207"/>
    <w:rsid w:val="00272FC8"/>
    <w:rsid w:val="00277351"/>
    <w:rsid w:val="00277BB5"/>
    <w:rsid w:val="002826F6"/>
    <w:rsid w:val="00287A1A"/>
    <w:rsid w:val="0029648C"/>
    <w:rsid w:val="002966A3"/>
    <w:rsid w:val="00296F6F"/>
    <w:rsid w:val="00297D35"/>
    <w:rsid w:val="002A0370"/>
    <w:rsid w:val="002A055F"/>
    <w:rsid w:val="002A2803"/>
    <w:rsid w:val="002A4245"/>
    <w:rsid w:val="002A5EDA"/>
    <w:rsid w:val="002B19F4"/>
    <w:rsid w:val="002B4E72"/>
    <w:rsid w:val="002B52E8"/>
    <w:rsid w:val="002B6790"/>
    <w:rsid w:val="002B6B13"/>
    <w:rsid w:val="002B6E57"/>
    <w:rsid w:val="002B72CF"/>
    <w:rsid w:val="002C2E51"/>
    <w:rsid w:val="002C471B"/>
    <w:rsid w:val="002C4D8D"/>
    <w:rsid w:val="002C5A0E"/>
    <w:rsid w:val="002C7AB6"/>
    <w:rsid w:val="002D4FF9"/>
    <w:rsid w:val="002D54DB"/>
    <w:rsid w:val="002E0CB7"/>
    <w:rsid w:val="002E1D11"/>
    <w:rsid w:val="002E695F"/>
    <w:rsid w:val="002F308B"/>
    <w:rsid w:val="002F59DF"/>
    <w:rsid w:val="002F6545"/>
    <w:rsid w:val="002F737A"/>
    <w:rsid w:val="002F73BF"/>
    <w:rsid w:val="002F7968"/>
    <w:rsid w:val="00300BA8"/>
    <w:rsid w:val="0030183E"/>
    <w:rsid w:val="00305027"/>
    <w:rsid w:val="003111A2"/>
    <w:rsid w:val="0031451A"/>
    <w:rsid w:val="0031530B"/>
    <w:rsid w:val="00321B30"/>
    <w:rsid w:val="00321F2D"/>
    <w:rsid w:val="00322C4B"/>
    <w:rsid w:val="00323A00"/>
    <w:rsid w:val="0032479B"/>
    <w:rsid w:val="00325CDF"/>
    <w:rsid w:val="00326D75"/>
    <w:rsid w:val="003331DE"/>
    <w:rsid w:val="003332D7"/>
    <w:rsid w:val="003349A6"/>
    <w:rsid w:val="00336D14"/>
    <w:rsid w:val="00340515"/>
    <w:rsid w:val="003413B4"/>
    <w:rsid w:val="0034521F"/>
    <w:rsid w:val="003458EB"/>
    <w:rsid w:val="00345A28"/>
    <w:rsid w:val="003467A2"/>
    <w:rsid w:val="003505F1"/>
    <w:rsid w:val="003515E2"/>
    <w:rsid w:val="00351749"/>
    <w:rsid w:val="0035184A"/>
    <w:rsid w:val="00355399"/>
    <w:rsid w:val="00357908"/>
    <w:rsid w:val="003600B5"/>
    <w:rsid w:val="00361ABE"/>
    <w:rsid w:val="00362AD2"/>
    <w:rsid w:val="003638FE"/>
    <w:rsid w:val="003655B8"/>
    <w:rsid w:val="0036638D"/>
    <w:rsid w:val="003668C2"/>
    <w:rsid w:val="00367182"/>
    <w:rsid w:val="0037709D"/>
    <w:rsid w:val="00380543"/>
    <w:rsid w:val="00383AFE"/>
    <w:rsid w:val="00384108"/>
    <w:rsid w:val="00384E9A"/>
    <w:rsid w:val="003856B3"/>
    <w:rsid w:val="003858BE"/>
    <w:rsid w:val="003859B8"/>
    <w:rsid w:val="0039099F"/>
    <w:rsid w:val="00397134"/>
    <w:rsid w:val="003A063A"/>
    <w:rsid w:val="003A1115"/>
    <w:rsid w:val="003A67CF"/>
    <w:rsid w:val="003B5115"/>
    <w:rsid w:val="003B5AAE"/>
    <w:rsid w:val="003B696A"/>
    <w:rsid w:val="003C18C8"/>
    <w:rsid w:val="003C28DD"/>
    <w:rsid w:val="003C4C34"/>
    <w:rsid w:val="003C7632"/>
    <w:rsid w:val="003C7809"/>
    <w:rsid w:val="003D0BF2"/>
    <w:rsid w:val="003D4436"/>
    <w:rsid w:val="003D5153"/>
    <w:rsid w:val="003D5F84"/>
    <w:rsid w:val="003E0D5A"/>
    <w:rsid w:val="003E3829"/>
    <w:rsid w:val="003E38BD"/>
    <w:rsid w:val="003E68AB"/>
    <w:rsid w:val="003F098D"/>
    <w:rsid w:val="003F1C45"/>
    <w:rsid w:val="003F1F45"/>
    <w:rsid w:val="003F34F8"/>
    <w:rsid w:val="003F6AEE"/>
    <w:rsid w:val="003F7927"/>
    <w:rsid w:val="003F7A0C"/>
    <w:rsid w:val="00402F66"/>
    <w:rsid w:val="00403314"/>
    <w:rsid w:val="00404848"/>
    <w:rsid w:val="00411545"/>
    <w:rsid w:val="00412072"/>
    <w:rsid w:val="00415B93"/>
    <w:rsid w:val="00420586"/>
    <w:rsid w:val="00420FC3"/>
    <w:rsid w:val="00421DFA"/>
    <w:rsid w:val="00423CEA"/>
    <w:rsid w:val="00426621"/>
    <w:rsid w:val="0043226B"/>
    <w:rsid w:val="0043326B"/>
    <w:rsid w:val="00434144"/>
    <w:rsid w:val="00435BC6"/>
    <w:rsid w:val="004409EE"/>
    <w:rsid w:val="0044320E"/>
    <w:rsid w:val="00443CBF"/>
    <w:rsid w:val="00443D8E"/>
    <w:rsid w:val="00444730"/>
    <w:rsid w:val="00452F25"/>
    <w:rsid w:val="00453BE6"/>
    <w:rsid w:val="00454E6B"/>
    <w:rsid w:val="0045502B"/>
    <w:rsid w:val="004566D2"/>
    <w:rsid w:val="0045695D"/>
    <w:rsid w:val="004611CC"/>
    <w:rsid w:val="00461AD0"/>
    <w:rsid w:val="00461B62"/>
    <w:rsid w:val="004634AB"/>
    <w:rsid w:val="00466348"/>
    <w:rsid w:val="004706E6"/>
    <w:rsid w:val="0047569F"/>
    <w:rsid w:val="00476803"/>
    <w:rsid w:val="004774EC"/>
    <w:rsid w:val="00480132"/>
    <w:rsid w:val="004802D9"/>
    <w:rsid w:val="00480BDB"/>
    <w:rsid w:val="00481CDD"/>
    <w:rsid w:val="0048320C"/>
    <w:rsid w:val="004851D3"/>
    <w:rsid w:val="0049184F"/>
    <w:rsid w:val="00492555"/>
    <w:rsid w:val="00493C71"/>
    <w:rsid w:val="00494844"/>
    <w:rsid w:val="00496C67"/>
    <w:rsid w:val="004A15BA"/>
    <w:rsid w:val="004A1630"/>
    <w:rsid w:val="004A16CA"/>
    <w:rsid w:val="004A19AC"/>
    <w:rsid w:val="004A3E48"/>
    <w:rsid w:val="004B13EB"/>
    <w:rsid w:val="004B24DB"/>
    <w:rsid w:val="004B36BA"/>
    <w:rsid w:val="004C00BE"/>
    <w:rsid w:val="004C023B"/>
    <w:rsid w:val="004C0E82"/>
    <w:rsid w:val="004C1326"/>
    <w:rsid w:val="004C1C0B"/>
    <w:rsid w:val="004C42BC"/>
    <w:rsid w:val="004C4B65"/>
    <w:rsid w:val="004C5682"/>
    <w:rsid w:val="004C6795"/>
    <w:rsid w:val="004C71DC"/>
    <w:rsid w:val="004D1ADF"/>
    <w:rsid w:val="004D4A97"/>
    <w:rsid w:val="004D5467"/>
    <w:rsid w:val="004D6EA5"/>
    <w:rsid w:val="004E6A77"/>
    <w:rsid w:val="004F05BD"/>
    <w:rsid w:val="004F14CF"/>
    <w:rsid w:val="004F5845"/>
    <w:rsid w:val="004F7236"/>
    <w:rsid w:val="005016AD"/>
    <w:rsid w:val="00501C58"/>
    <w:rsid w:val="00502E26"/>
    <w:rsid w:val="00504EDE"/>
    <w:rsid w:val="005118BF"/>
    <w:rsid w:val="005142E6"/>
    <w:rsid w:val="00514DF5"/>
    <w:rsid w:val="005216B1"/>
    <w:rsid w:val="005230E8"/>
    <w:rsid w:val="005248B7"/>
    <w:rsid w:val="00524AAD"/>
    <w:rsid w:val="00527DED"/>
    <w:rsid w:val="00527F1C"/>
    <w:rsid w:val="0053576A"/>
    <w:rsid w:val="0053749E"/>
    <w:rsid w:val="0053783C"/>
    <w:rsid w:val="00540A63"/>
    <w:rsid w:val="00541EAD"/>
    <w:rsid w:val="00543B84"/>
    <w:rsid w:val="00551444"/>
    <w:rsid w:val="005516BA"/>
    <w:rsid w:val="00554CE3"/>
    <w:rsid w:val="00565E3C"/>
    <w:rsid w:val="0056641F"/>
    <w:rsid w:val="005668C7"/>
    <w:rsid w:val="00571660"/>
    <w:rsid w:val="0057233D"/>
    <w:rsid w:val="00573321"/>
    <w:rsid w:val="005758E3"/>
    <w:rsid w:val="00586261"/>
    <w:rsid w:val="005914DA"/>
    <w:rsid w:val="00591F3F"/>
    <w:rsid w:val="00594228"/>
    <w:rsid w:val="005946A1"/>
    <w:rsid w:val="00594DBC"/>
    <w:rsid w:val="0059501D"/>
    <w:rsid w:val="005A0E5B"/>
    <w:rsid w:val="005A1707"/>
    <w:rsid w:val="005A390C"/>
    <w:rsid w:val="005A3A26"/>
    <w:rsid w:val="005A6CF0"/>
    <w:rsid w:val="005B0870"/>
    <w:rsid w:val="005B2C7F"/>
    <w:rsid w:val="005B635A"/>
    <w:rsid w:val="005C1367"/>
    <w:rsid w:val="005C137A"/>
    <w:rsid w:val="005C3C93"/>
    <w:rsid w:val="005C62F7"/>
    <w:rsid w:val="005C7304"/>
    <w:rsid w:val="005D1938"/>
    <w:rsid w:val="005D1C59"/>
    <w:rsid w:val="005D3202"/>
    <w:rsid w:val="005D35E2"/>
    <w:rsid w:val="005D48DB"/>
    <w:rsid w:val="005E25FB"/>
    <w:rsid w:val="005E3EBE"/>
    <w:rsid w:val="005E3F38"/>
    <w:rsid w:val="005E782A"/>
    <w:rsid w:val="005F1D2D"/>
    <w:rsid w:val="005F2C77"/>
    <w:rsid w:val="00605878"/>
    <w:rsid w:val="00606A11"/>
    <w:rsid w:val="00610C35"/>
    <w:rsid w:val="00611462"/>
    <w:rsid w:val="00612C1F"/>
    <w:rsid w:val="006133CC"/>
    <w:rsid w:val="00614387"/>
    <w:rsid w:val="00614689"/>
    <w:rsid w:val="00616253"/>
    <w:rsid w:val="0061673D"/>
    <w:rsid w:val="00617262"/>
    <w:rsid w:val="006201A2"/>
    <w:rsid w:val="006226F3"/>
    <w:rsid w:val="006227F1"/>
    <w:rsid w:val="00622C1A"/>
    <w:rsid w:val="00623718"/>
    <w:rsid w:val="00625AF6"/>
    <w:rsid w:val="00626C3A"/>
    <w:rsid w:val="00633525"/>
    <w:rsid w:val="00634491"/>
    <w:rsid w:val="00640A2B"/>
    <w:rsid w:val="006410AE"/>
    <w:rsid w:val="00641DDB"/>
    <w:rsid w:val="00645AA4"/>
    <w:rsid w:val="0064614C"/>
    <w:rsid w:val="006501D9"/>
    <w:rsid w:val="0065343F"/>
    <w:rsid w:val="00662461"/>
    <w:rsid w:val="00663C2A"/>
    <w:rsid w:val="00664ABD"/>
    <w:rsid w:val="00672863"/>
    <w:rsid w:val="0067333E"/>
    <w:rsid w:val="00674008"/>
    <w:rsid w:val="006747F2"/>
    <w:rsid w:val="0067739E"/>
    <w:rsid w:val="00677827"/>
    <w:rsid w:val="00680AC1"/>
    <w:rsid w:val="00681547"/>
    <w:rsid w:val="00681630"/>
    <w:rsid w:val="00682C95"/>
    <w:rsid w:val="00685B7E"/>
    <w:rsid w:val="00685D10"/>
    <w:rsid w:val="006901D2"/>
    <w:rsid w:val="00694FA7"/>
    <w:rsid w:val="00696FA4"/>
    <w:rsid w:val="006A29F5"/>
    <w:rsid w:val="006A2D0D"/>
    <w:rsid w:val="006A4D20"/>
    <w:rsid w:val="006A79F4"/>
    <w:rsid w:val="006B1A0A"/>
    <w:rsid w:val="006B49C1"/>
    <w:rsid w:val="006B60A9"/>
    <w:rsid w:val="006C41F0"/>
    <w:rsid w:val="006C497C"/>
    <w:rsid w:val="006C5C98"/>
    <w:rsid w:val="006C75C9"/>
    <w:rsid w:val="006C7F0A"/>
    <w:rsid w:val="006D1032"/>
    <w:rsid w:val="006D367B"/>
    <w:rsid w:val="006D48FF"/>
    <w:rsid w:val="006D4950"/>
    <w:rsid w:val="006E2BEB"/>
    <w:rsid w:val="006E2F3D"/>
    <w:rsid w:val="006E3F3F"/>
    <w:rsid w:val="006E44D5"/>
    <w:rsid w:val="006F08B7"/>
    <w:rsid w:val="006F4CD0"/>
    <w:rsid w:val="00702554"/>
    <w:rsid w:val="0070267A"/>
    <w:rsid w:val="00704E87"/>
    <w:rsid w:val="00705864"/>
    <w:rsid w:val="0071015C"/>
    <w:rsid w:val="0071261D"/>
    <w:rsid w:val="0071777A"/>
    <w:rsid w:val="00722FD3"/>
    <w:rsid w:val="00724D14"/>
    <w:rsid w:val="00727D4B"/>
    <w:rsid w:val="00733DBE"/>
    <w:rsid w:val="00736D71"/>
    <w:rsid w:val="007372DF"/>
    <w:rsid w:val="00737EEA"/>
    <w:rsid w:val="00741B7A"/>
    <w:rsid w:val="007449BD"/>
    <w:rsid w:val="00747B86"/>
    <w:rsid w:val="007504EC"/>
    <w:rsid w:val="007508E2"/>
    <w:rsid w:val="007560DB"/>
    <w:rsid w:val="00756FB5"/>
    <w:rsid w:val="00756FFD"/>
    <w:rsid w:val="00761FD8"/>
    <w:rsid w:val="0076561F"/>
    <w:rsid w:val="00766052"/>
    <w:rsid w:val="00767E72"/>
    <w:rsid w:val="00770B52"/>
    <w:rsid w:val="00771915"/>
    <w:rsid w:val="00775C9B"/>
    <w:rsid w:val="00776703"/>
    <w:rsid w:val="007829F7"/>
    <w:rsid w:val="007857ED"/>
    <w:rsid w:val="00792102"/>
    <w:rsid w:val="0079289A"/>
    <w:rsid w:val="00795C0E"/>
    <w:rsid w:val="007961C7"/>
    <w:rsid w:val="0079740B"/>
    <w:rsid w:val="00797B24"/>
    <w:rsid w:val="007A0CD6"/>
    <w:rsid w:val="007A0FAF"/>
    <w:rsid w:val="007A113F"/>
    <w:rsid w:val="007A1179"/>
    <w:rsid w:val="007A1D32"/>
    <w:rsid w:val="007A5B10"/>
    <w:rsid w:val="007A6154"/>
    <w:rsid w:val="007A683C"/>
    <w:rsid w:val="007A6D78"/>
    <w:rsid w:val="007B04A9"/>
    <w:rsid w:val="007B119C"/>
    <w:rsid w:val="007B187B"/>
    <w:rsid w:val="007B1FF2"/>
    <w:rsid w:val="007B536D"/>
    <w:rsid w:val="007B53BD"/>
    <w:rsid w:val="007C074F"/>
    <w:rsid w:val="007C2233"/>
    <w:rsid w:val="007C27E7"/>
    <w:rsid w:val="007C38AE"/>
    <w:rsid w:val="007C4438"/>
    <w:rsid w:val="007C4BDE"/>
    <w:rsid w:val="007C6B07"/>
    <w:rsid w:val="007D0ED0"/>
    <w:rsid w:val="007D39FA"/>
    <w:rsid w:val="007D3CE4"/>
    <w:rsid w:val="007D6D40"/>
    <w:rsid w:val="007D719A"/>
    <w:rsid w:val="007E07E5"/>
    <w:rsid w:val="007E090D"/>
    <w:rsid w:val="007E4D6B"/>
    <w:rsid w:val="007E586D"/>
    <w:rsid w:val="007E5AE7"/>
    <w:rsid w:val="007F1DF1"/>
    <w:rsid w:val="007F2820"/>
    <w:rsid w:val="007F2E31"/>
    <w:rsid w:val="007F2F27"/>
    <w:rsid w:val="007F341C"/>
    <w:rsid w:val="007F3F04"/>
    <w:rsid w:val="007F5056"/>
    <w:rsid w:val="007F6705"/>
    <w:rsid w:val="00800029"/>
    <w:rsid w:val="00800203"/>
    <w:rsid w:val="008028ED"/>
    <w:rsid w:val="00802994"/>
    <w:rsid w:val="00802E86"/>
    <w:rsid w:val="00803A57"/>
    <w:rsid w:val="008048A3"/>
    <w:rsid w:val="00805344"/>
    <w:rsid w:val="00805BEB"/>
    <w:rsid w:val="00806DE5"/>
    <w:rsid w:val="00810363"/>
    <w:rsid w:val="008104E5"/>
    <w:rsid w:val="008111A1"/>
    <w:rsid w:val="00812A52"/>
    <w:rsid w:val="00812B54"/>
    <w:rsid w:val="00816118"/>
    <w:rsid w:val="00816C40"/>
    <w:rsid w:val="008170C3"/>
    <w:rsid w:val="00825742"/>
    <w:rsid w:val="00833989"/>
    <w:rsid w:val="00833FEE"/>
    <w:rsid w:val="0083448D"/>
    <w:rsid w:val="00834654"/>
    <w:rsid w:val="008346F1"/>
    <w:rsid w:val="008354B1"/>
    <w:rsid w:val="00836536"/>
    <w:rsid w:val="008365E2"/>
    <w:rsid w:val="00836AA3"/>
    <w:rsid w:val="0084014A"/>
    <w:rsid w:val="00840D93"/>
    <w:rsid w:val="0084176C"/>
    <w:rsid w:val="00842D69"/>
    <w:rsid w:val="008450AB"/>
    <w:rsid w:val="00846D68"/>
    <w:rsid w:val="008539A0"/>
    <w:rsid w:val="00855C88"/>
    <w:rsid w:val="00857785"/>
    <w:rsid w:val="00857AD8"/>
    <w:rsid w:val="008601D6"/>
    <w:rsid w:val="008607DC"/>
    <w:rsid w:val="00860E29"/>
    <w:rsid w:val="00861BC4"/>
    <w:rsid w:val="00863EE0"/>
    <w:rsid w:val="00866111"/>
    <w:rsid w:val="00866AB6"/>
    <w:rsid w:val="008704B2"/>
    <w:rsid w:val="00872187"/>
    <w:rsid w:val="00874906"/>
    <w:rsid w:val="00874BFC"/>
    <w:rsid w:val="00876B56"/>
    <w:rsid w:val="0088161E"/>
    <w:rsid w:val="0088193E"/>
    <w:rsid w:val="00882774"/>
    <w:rsid w:val="00882B8D"/>
    <w:rsid w:val="00885AC5"/>
    <w:rsid w:val="00886F6A"/>
    <w:rsid w:val="00887D97"/>
    <w:rsid w:val="00890EBC"/>
    <w:rsid w:val="00891734"/>
    <w:rsid w:val="00893C2B"/>
    <w:rsid w:val="008959E7"/>
    <w:rsid w:val="00895E46"/>
    <w:rsid w:val="008967CB"/>
    <w:rsid w:val="008977A4"/>
    <w:rsid w:val="008A3AA0"/>
    <w:rsid w:val="008A52E8"/>
    <w:rsid w:val="008A55D4"/>
    <w:rsid w:val="008B1019"/>
    <w:rsid w:val="008B3FC7"/>
    <w:rsid w:val="008B5DEA"/>
    <w:rsid w:val="008B6331"/>
    <w:rsid w:val="008B67BA"/>
    <w:rsid w:val="008B7405"/>
    <w:rsid w:val="008C0099"/>
    <w:rsid w:val="008C301B"/>
    <w:rsid w:val="008C5B46"/>
    <w:rsid w:val="008C725C"/>
    <w:rsid w:val="008D00FA"/>
    <w:rsid w:val="008D63E7"/>
    <w:rsid w:val="008D73C7"/>
    <w:rsid w:val="008E0572"/>
    <w:rsid w:val="008E1519"/>
    <w:rsid w:val="008E287D"/>
    <w:rsid w:val="008E3D1F"/>
    <w:rsid w:val="008E45A7"/>
    <w:rsid w:val="00900693"/>
    <w:rsid w:val="009006A6"/>
    <w:rsid w:val="00903037"/>
    <w:rsid w:val="009046B3"/>
    <w:rsid w:val="00905B3A"/>
    <w:rsid w:val="00916B64"/>
    <w:rsid w:val="00920C99"/>
    <w:rsid w:val="00925EBF"/>
    <w:rsid w:val="00927097"/>
    <w:rsid w:val="009275AE"/>
    <w:rsid w:val="009279C7"/>
    <w:rsid w:val="00931886"/>
    <w:rsid w:val="009332B4"/>
    <w:rsid w:val="0093372E"/>
    <w:rsid w:val="00933E5E"/>
    <w:rsid w:val="00940847"/>
    <w:rsid w:val="00940FA6"/>
    <w:rsid w:val="0094101C"/>
    <w:rsid w:val="009421B0"/>
    <w:rsid w:val="0094715F"/>
    <w:rsid w:val="009514A5"/>
    <w:rsid w:val="00953549"/>
    <w:rsid w:val="00954247"/>
    <w:rsid w:val="009564C7"/>
    <w:rsid w:val="00956F8D"/>
    <w:rsid w:val="009572C8"/>
    <w:rsid w:val="00962870"/>
    <w:rsid w:val="00962ACC"/>
    <w:rsid w:val="00964B02"/>
    <w:rsid w:val="009661C5"/>
    <w:rsid w:val="00972900"/>
    <w:rsid w:val="00972BE1"/>
    <w:rsid w:val="00974712"/>
    <w:rsid w:val="00974ED2"/>
    <w:rsid w:val="009756CC"/>
    <w:rsid w:val="00984865"/>
    <w:rsid w:val="00993114"/>
    <w:rsid w:val="009933AA"/>
    <w:rsid w:val="009967E9"/>
    <w:rsid w:val="00997538"/>
    <w:rsid w:val="009A2809"/>
    <w:rsid w:val="009A2EF8"/>
    <w:rsid w:val="009A4256"/>
    <w:rsid w:val="009B2BC0"/>
    <w:rsid w:val="009C1CE2"/>
    <w:rsid w:val="009C247E"/>
    <w:rsid w:val="009C33B6"/>
    <w:rsid w:val="009C5D1A"/>
    <w:rsid w:val="009C64B8"/>
    <w:rsid w:val="009C672B"/>
    <w:rsid w:val="009C6EA7"/>
    <w:rsid w:val="009D1627"/>
    <w:rsid w:val="009D412F"/>
    <w:rsid w:val="009D797B"/>
    <w:rsid w:val="009D7B9F"/>
    <w:rsid w:val="009E0777"/>
    <w:rsid w:val="009E1498"/>
    <w:rsid w:val="009E1C34"/>
    <w:rsid w:val="009E2FCF"/>
    <w:rsid w:val="009E3D1F"/>
    <w:rsid w:val="009E7FE7"/>
    <w:rsid w:val="009F2D22"/>
    <w:rsid w:val="009F5199"/>
    <w:rsid w:val="009F6408"/>
    <w:rsid w:val="00A00E02"/>
    <w:rsid w:val="00A047ED"/>
    <w:rsid w:val="00A05452"/>
    <w:rsid w:val="00A077AC"/>
    <w:rsid w:val="00A07D0B"/>
    <w:rsid w:val="00A123BA"/>
    <w:rsid w:val="00A14408"/>
    <w:rsid w:val="00A21CCE"/>
    <w:rsid w:val="00A2254A"/>
    <w:rsid w:val="00A23A4F"/>
    <w:rsid w:val="00A23CC4"/>
    <w:rsid w:val="00A2552A"/>
    <w:rsid w:val="00A260BF"/>
    <w:rsid w:val="00A268ED"/>
    <w:rsid w:val="00A27BFC"/>
    <w:rsid w:val="00A3283D"/>
    <w:rsid w:val="00A32C05"/>
    <w:rsid w:val="00A347AC"/>
    <w:rsid w:val="00A35AB5"/>
    <w:rsid w:val="00A35DDA"/>
    <w:rsid w:val="00A40D7A"/>
    <w:rsid w:val="00A428B1"/>
    <w:rsid w:val="00A4428D"/>
    <w:rsid w:val="00A45C50"/>
    <w:rsid w:val="00A45DFE"/>
    <w:rsid w:val="00A47351"/>
    <w:rsid w:val="00A474C6"/>
    <w:rsid w:val="00A47721"/>
    <w:rsid w:val="00A47E7E"/>
    <w:rsid w:val="00A47FEC"/>
    <w:rsid w:val="00A50146"/>
    <w:rsid w:val="00A52E4B"/>
    <w:rsid w:val="00A53075"/>
    <w:rsid w:val="00A543C4"/>
    <w:rsid w:val="00A56AFF"/>
    <w:rsid w:val="00A63042"/>
    <w:rsid w:val="00A637BA"/>
    <w:rsid w:val="00A63F81"/>
    <w:rsid w:val="00A66FA8"/>
    <w:rsid w:val="00A709A2"/>
    <w:rsid w:val="00A70CA2"/>
    <w:rsid w:val="00A71A44"/>
    <w:rsid w:val="00A7363E"/>
    <w:rsid w:val="00A805C4"/>
    <w:rsid w:val="00A81C0E"/>
    <w:rsid w:val="00A826A4"/>
    <w:rsid w:val="00A828D4"/>
    <w:rsid w:val="00A83919"/>
    <w:rsid w:val="00A84585"/>
    <w:rsid w:val="00A84832"/>
    <w:rsid w:val="00A8542F"/>
    <w:rsid w:val="00A86BF9"/>
    <w:rsid w:val="00A92E22"/>
    <w:rsid w:val="00A95AFB"/>
    <w:rsid w:val="00AA1ED7"/>
    <w:rsid w:val="00AA2125"/>
    <w:rsid w:val="00AA7B39"/>
    <w:rsid w:val="00AB03C8"/>
    <w:rsid w:val="00AB291E"/>
    <w:rsid w:val="00AB3079"/>
    <w:rsid w:val="00AB454C"/>
    <w:rsid w:val="00AC0B60"/>
    <w:rsid w:val="00AC17CE"/>
    <w:rsid w:val="00AC35C8"/>
    <w:rsid w:val="00AC5579"/>
    <w:rsid w:val="00AC77D9"/>
    <w:rsid w:val="00AD254C"/>
    <w:rsid w:val="00AD3F91"/>
    <w:rsid w:val="00AD5063"/>
    <w:rsid w:val="00AD5AFC"/>
    <w:rsid w:val="00AE0656"/>
    <w:rsid w:val="00AE0F5B"/>
    <w:rsid w:val="00AE17FA"/>
    <w:rsid w:val="00AE3AEB"/>
    <w:rsid w:val="00AE7FF3"/>
    <w:rsid w:val="00AF5A15"/>
    <w:rsid w:val="00AF5F1C"/>
    <w:rsid w:val="00AF6CF5"/>
    <w:rsid w:val="00B0490C"/>
    <w:rsid w:val="00B05534"/>
    <w:rsid w:val="00B05CAE"/>
    <w:rsid w:val="00B070E2"/>
    <w:rsid w:val="00B12019"/>
    <w:rsid w:val="00B122D8"/>
    <w:rsid w:val="00B13624"/>
    <w:rsid w:val="00B13908"/>
    <w:rsid w:val="00B151A8"/>
    <w:rsid w:val="00B20392"/>
    <w:rsid w:val="00B235BC"/>
    <w:rsid w:val="00B24221"/>
    <w:rsid w:val="00B2626C"/>
    <w:rsid w:val="00B307F7"/>
    <w:rsid w:val="00B32CAE"/>
    <w:rsid w:val="00B3421D"/>
    <w:rsid w:val="00B35641"/>
    <w:rsid w:val="00B36173"/>
    <w:rsid w:val="00B41020"/>
    <w:rsid w:val="00B42F9A"/>
    <w:rsid w:val="00B45410"/>
    <w:rsid w:val="00B459DA"/>
    <w:rsid w:val="00B4774B"/>
    <w:rsid w:val="00B52622"/>
    <w:rsid w:val="00B529B8"/>
    <w:rsid w:val="00B53EAE"/>
    <w:rsid w:val="00B5413F"/>
    <w:rsid w:val="00B63108"/>
    <w:rsid w:val="00B64A4E"/>
    <w:rsid w:val="00B64BC6"/>
    <w:rsid w:val="00B657A0"/>
    <w:rsid w:val="00B66875"/>
    <w:rsid w:val="00B70887"/>
    <w:rsid w:val="00B71C05"/>
    <w:rsid w:val="00B73167"/>
    <w:rsid w:val="00B756D1"/>
    <w:rsid w:val="00B7661F"/>
    <w:rsid w:val="00B77958"/>
    <w:rsid w:val="00B7798B"/>
    <w:rsid w:val="00B82491"/>
    <w:rsid w:val="00B83295"/>
    <w:rsid w:val="00B851D0"/>
    <w:rsid w:val="00B92194"/>
    <w:rsid w:val="00B94AC5"/>
    <w:rsid w:val="00B95D90"/>
    <w:rsid w:val="00B96171"/>
    <w:rsid w:val="00B97C03"/>
    <w:rsid w:val="00BA114B"/>
    <w:rsid w:val="00BA4C4A"/>
    <w:rsid w:val="00BA5453"/>
    <w:rsid w:val="00BA65F5"/>
    <w:rsid w:val="00BA7026"/>
    <w:rsid w:val="00BA718D"/>
    <w:rsid w:val="00BA75F2"/>
    <w:rsid w:val="00BA7E13"/>
    <w:rsid w:val="00BB1932"/>
    <w:rsid w:val="00BB471C"/>
    <w:rsid w:val="00BB4F74"/>
    <w:rsid w:val="00BB5003"/>
    <w:rsid w:val="00BB60E7"/>
    <w:rsid w:val="00BC050E"/>
    <w:rsid w:val="00BC12EE"/>
    <w:rsid w:val="00BC1489"/>
    <w:rsid w:val="00BC203B"/>
    <w:rsid w:val="00BC33A9"/>
    <w:rsid w:val="00BC75B5"/>
    <w:rsid w:val="00BD6DC6"/>
    <w:rsid w:val="00BE1BEC"/>
    <w:rsid w:val="00BE2434"/>
    <w:rsid w:val="00BE4A86"/>
    <w:rsid w:val="00BE4A91"/>
    <w:rsid w:val="00BE60A7"/>
    <w:rsid w:val="00BF28B3"/>
    <w:rsid w:val="00BF3D38"/>
    <w:rsid w:val="00BF6FA8"/>
    <w:rsid w:val="00BF76B0"/>
    <w:rsid w:val="00C02712"/>
    <w:rsid w:val="00C07B2A"/>
    <w:rsid w:val="00C11F6E"/>
    <w:rsid w:val="00C13F63"/>
    <w:rsid w:val="00C15831"/>
    <w:rsid w:val="00C168B7"/>
    <w:rsid w:val="00C21595"/>
    <w:rsid w:val="00C22F13"/>
    <w:rsid w:val="00C22FCC"/>
    <w:rsid w:val="00C24264"/>
    <w:rsid w:val="00C2444F"/>
    <w:rsid w:val="00C249A0"/>
    <w:rsid w:val="00C30D22"/>
    <w:rsid w:val="00C31744"/>
    <w:rsid w:val="00C33666"/>
    <w:rsid w:val="00C364DD"/>
    <w:rsid w:val="00C37792"/>
    <w:rsid w:val="00C40D84"/>
    <w:rsid w:val="00C415BC"/>
    <w:rsid w:val="00C44E2D"/>
    <w:rsid w:val="00C46B60"/>
    <w:rsid w:val="00C474B2"/>
    <w:rsid w:val="00C563B6"/>
    <w:rsid w:val="00C624A2"/>
    <w:rsid w:val="00C65656"/>
    <w:rsid w:val="00C66A53"/>
    <w:rsid w:val="00C66FB7"/>
    <w:rsid w:val="00C76490"/>
    <w:rsid w:val="00C848C9"/>
    <w:rsid w:val="00C8655B"/>
    <w:rsid w:val="00C91CDE"/>
    <w:rsid w:val="00C91F22"/>
    <w:rsid w:val="00C92C81"/>
    <w:rsid w:val="00C943E9"/>
    <w:rsid w:val="00CA01B6"/>
    <w:rsid w:val="00CA2781"/>
    <w:rsid w:val="00CA398D"/>
    <w:rsid w:val="00CA45CB"/>
    <w:rsid w:val="00CA6808"/>
    <w:rsid w:val="00CA7567"/>
    <w:rsid w:val="00CB3C66"/>
    <w:rsid w:val="00CB452C"/>
    <w:rsid w:val="00CB4A3D"/>
    <w:rsid w:val="00CB5C0F"/>
    <w:rsid w:val="00CB7FDA"/>
    <w:rsid w:val="00CC505F"/>
    <w:rsid w:val="00CC5715"/>
    <w:rsid w:val="00CD1726"/>
    <w:rsid w:val="00CD225D"/>
    <w:rsid w:val="00CD4175"/>
    <w:rsid w:val="00CD6C71"/>
    <w:rsid w:val="00CD78E5"/>
    <w:rsid w:val="00CE076F"/>
    <w:rsid w:val="00CE0E41"/>
    <w:rsid w:val="00CE2D7F"/>
    <w:rsid w:val="00CE32CD"/>
    <w:rsid w:val="00CE44DD"/>
    <w:rsid w:val="00CE470E"/>
    <w:rsid w:val="00CF2931"/>
    <w:rsid w:val="00CF3754"/>
    <w:rsid w:val="00CF3D31"/>
    <w:rsid w:val="00CF3FE8"/>
    <w:rsid w:val="00CF63E1"/>
    <w:rsid w:val="00D0363A"/>
    <w:rsid w:val="00D065C5"/>
    <w:rsid w:val="00D0782A"/>
    <w:rsid w:val="00D1077A"/>
    <w:rsid w:val="00D1446B"/>
    <w:rsid w:val="00D230C6"/>
    <w:rsid w:val="00D2649C"/>
    <w:rsid w:val="00D273BE"/>
    <w:rsid w:val="00D3252E"/>
    <w:rsid w:val="00D32643"/>
    <w:rsid w:val="00D3367B"/>
    <w:rsid w:val="00D37D3B"/>
    <w:rsid w:val="00D41955"/>
    <w:rsid w:val="00D41BBF"/>
    <w:rsid w:val="00D53D38"/>
    <w:rsid w:val="00D555A1"/>
    <w:rsid w:val="00D609BA"/>
    <w:rsid w:val="00D61413"/>
    <w:rsid w:val="00D62541"/>
    <w:rsid w:val="00D64F3A"/>
    <w:rsid w:val="00D66247"/>
    <w:rsid w:val="00D66886"/>
    <w:rsid w:val="00D66F49"/>
    <w:rsid w:val="00D7284C"/>
    <w:rsid w:val="00D74280"/>
    <w:rsid w:val="00D753A3"/>
    <w:rsid w:val="00D765D5"/>
    <w:rsid w:val="00D77AEF"/>
    <w:rsid w:val="00D813D8"/>
    <w:rsid w:val="00D8175D"/>
    <w:rsid w:val="00D818CF"/>
    <w:rsid w:val="00D81A15"/>
    <w:rsid w:val="00D83624"/>
    <w:rsid w:val="00D83DD9"/>
    <w:rsid w:val="00D86090"/>
    <w:rsid w:val="00D879C7"/>
    <w:rsid w:val="00D9071B"/>
    <w:rsid w:val="00D9317E"/>
    <w:rsid w:val="00D97A95"/>
    <w:rsid w:val="00DA0216"/>
    <w:rsid w:val="00DA24A3"/>
    <w:rsid w:val="00DA67A6"/>
    <w:rsid w:val="00DB0400"/>
    <w:rsid w:val="00DB0B93"/>
    <w:rsid w:val="00DB0CCC"/>
    <w:rsid w:val="00DB227F"/>
    <w:rsid w:val="00DB2BAB"/>
    <w:rsid w:val="00DB49D5"/>
    <w:rsid w:val="00DB759D"/>
    <w:rsid w:val="00DC0B72"/>
    <w:rsid w:val="00DC2813"/>
    <w:rsid w:val="00DC578C"/>
    <w:rsid w:val="00DC6A1F"/>
    <w:rsid w:val="00DC6F92"/>
    <w:rsid w:val="00DD1747"/>
    <w:rsid w:val="00DD2133"/>
    <w:rsid w:val="00DD38F6"/>
    <w:rsid w:val="00DD4A11"/>
    <w:rsid w:val="00DD4FB9"/>
    <w:rsid w:val="00DD737B"/>
    <w:rsid w:val="00DE1033"/>
    <w:rsid w:val="00DE288F"/>
    <w:rsid w:val="00DE2BFF"/>
    <w:rsid w:val="00DE3226"/>
    <w:rsid w:val="00DE4F9C"/>
    <w:rsid w:val="00DE58F9"/>
    <w:rsid w:val="00DE680C"/>
    <w:rsid w:val="00DE7971"/>
    <w:rsid w:val="00DF1985"/>
    <w:rsid w:val="00DF5B31"/>
    <w:rsid w:val="00E02114"/>
    <w:rsid w:val="00E03783"/>
    <w:rsid w:val="00E06502"/>
    <w:rsid w:val="00E0716D"/>
    <w:rsid w:val="00E10908"/>
    <w:rsid w:val="00E10E7C"/>
    <w:rsid w:val="00E15007"/>
    <w:rsid w:val="00E17769"/>
    <w:rsid w:val="00E20ABC"/>
    <w:rsid w:val="00E23505"/>
    <w:rsid w:val="00E24890"/>
    <w:rsid w:val="00E26737"/>
    <w:rsid w:val="00E30BDB"/>
    <w:rsid w:val="00E34C6A"/>
    <w:rsid w:val="00E36724"/>
    <w:rsid w:val="00E42612"/>
    <w:rsid w:val="00E42AF9"/>
    <w:rsid w:val="00E44E76"/>
    <w:rsid w:val="00E457A5"/>
    <w:rsid w:val="00E45EDE"/>
    <w:rsid w:val="00E516C7"/>
    <w:rsid w:val="00E52FD0"/>
    <w:rsid w:val="00E53668"/>
    <w:rsid w:val="00E53A37"/>
    <w:rsid w:val="00E562C9"/>
    <w:rsid w:val="00E57CE7"/>
    <w:rsid w:val="00E600FB"/>
    <w:rsid w:val="00E64BEA"/>
    <w:rsid w:val="00E64D73"/>
    <w:rsid w:val="00E65B2B"/>
    <w:rsid w:val="00E84AD3"/>
    <w:rsid w:val="00E8555A"/>
    <w:rsid w:val="00E907D3"/>
    <w:rsid w:val="00E9117E"/>
    <w:rsid w:val="00E91C2B"/>
    <w:rsid w:val="00E9267B"/>
    <w:rsid w:val="00E9477F"/>
    <w:rsid w:val="00EA168E"/>
    <w:rsid w:val="00EA2585"/>
    <w:rsid w:val="00EA416E"/>
    <w:rsid w:val="00EA6533"/>
    <w:rsid w:val="00EA7196"/>
    <w:rsid w:val="00EB0EF6"/>
    <w:rsid w:val="00EB209E"/>
    <w:rsid w:val="00EB6899"/>
    <w:rsid w:val="00EC0FB9"/>
    <w:rsid w:val="00EC1329"/>
    <w:rsid w:val="00EC1698"/>
    <w:rsid w:val="00EC21B3"/>
    <w:rsid w:val="00EC26B2"/>
    <w:rsid w:val="00EC4BAC"/>
    <w:rsid w:val="00EC58D0"/>
    <w:rsid w:val="00EC6200"/>
    <w:rsid w:val="00ED29DF"/>
    <w:rsid w:val="00EE220D"/>
    <w:rsid w:val="00EE440D"/>
    <w:rsid w:val="00EE4955"/>
    <w:rsid w:val="00EE5143"/>
    <w:rsid w:val="00EE75C1"/>
    <w:rsid w:val="00EF2300"/>
    <w:rsid w:val="00EF4112"/>
    <w:rsid w:val="00EF7399"/>
    <w:rsid w:val="00F02127"/>
    <w:rsid w:val="00F03096"/>
    <w:rsid w:val="00F04171"/>
    <w:rsid w:val="00F04CFE"/>
    <w:rsid w:val="00F04E3D"/>
    <w:rsid w:val="00F10690"/>
    <w:rsid w:val="00F14AAD"/>
    <w:rsid w:val="00F15A03"/>
    <w:rsid w:val="00F1614E"/>
    <w:rsid w:val="00F1787C"/>
    <w:rsid w:val="00F23B12"/>
    <w:rsid w:val="00F3551B"/>
    <w:rsid w:val="00F43948"/>
    <w:rsid w:val="00F4432F"/>
    <w:rsid w:val="00F47A3D"/>
    <w:rsid w:val="00F47D02"/>
    <w:rsid w:val="00F518DB"/>
    <w:rsid w:val="00F53D6E"/>
    <w:rsid w:val="00F55898"/>
    <w:rsid w:val="00F55EB1"/>
    <w:rsid w:val="00F56076"/>
    <w:rsid w:val="00F620DD"/>
    <w:rsid w:val="00F6265D"/>
    <w:rsid w:val="00F646A2"/>
    <w:rsid w:val="00F65BF5"/>
    <w:rsid w:val="00F70302"/>
    <w:rsid w:val="00F72A20"/>
    <w:rsid w:val="00F72AAD"/>
    <w:rsid w:val="00F72FBB"/>
    <w:rsid w:val="00F73BC2"/>
    <w:rsid w:val="00F73F3B"/>
    <w:rsid w:val="00F74775"/>
    <w:rsid w:val="00F75143"/>
    <w:rsid w:val="00F807D7"/>
    <w:rsid w:val="00F8218B"/>
    <w:rsid w:val="00F8241E"/>
    <w:rsid w:val="00F83C2D"/>
    <w:rsid w:val="00F848FF"/>
    <w:rsid w:val="00F8662C"/>
    <w:rsid w:val="00F90AD7"/>
    <w:rsid w:val="00F92857"/>
    <w:rsid w:val="00F941F8"/>
    <w:rsid w:val="00F96B5C"/>
    <w:rsid w:val="00F97718"/>
    <w:rsid w:val="00F97C4A"/>
    <w:rsid w:val="00FA1207"/>
    <w:rsid w:val="00FA56A4"/>
    <w:rsid w:val="00FA6D96"/>
    <w:rsid w:val="00FA7E59"/>
    <w:rsid w:val="00FB438B"/>
    <w:rsid w:val="00FB5E2B"/>
    <w:rsid w:val="00FB6394"/>
    <w:rsid w:val="00FB671E"/>
    <w:rsid w:val="00FC070A"/>
    <w:rsid w:val="00FC3792"/>
    <w:rsid w:val="00FC6389"/>
    <w:rsid w:val="00FD2B70"/>
    <w:rsid w:val="00FD480A"/>
    <w:rsid w:val="00FD4E1C"/>
    <w:rsid w:val="00FD5A4F"/>
    <w:rsid w:val="00FE041C"/>
    <w:rsid w:val="00FE3166"/>
    <w:rsid w:val="00FE3EEF"/>
    <w:rsid w:val="00FE5EBF"/>
    <w:rsid w:val="00FE7AEA"/>
    <w:rsid w:val="00FF3180"/>
    <w:rsid w:val="00FF4C28"/>
    <w:rsid w:val="00FF569F"/>
    <w:rsid w:val="00FF7182"/>
    <w:rsid w:val="015D18DC"/>
    <w:rsid w:val="01852BD3"/>
    <w:rsid w:val="02A800C5"/>
    <w:rsid w:val="038B3366"/>
    <w:rsid w:val="03981B5E"/>
    <w:rsid w:val="03996EAD"/>
    <w:rsid w:val="03B51AC1"/>
    <w:rsid w:val="03F60BFA"/>
    <w:rsid w:val="04023CC8"/>
    <w:rsid w:val="042674F4"/>
    <w:rsid w:val="04DC5749"/>
    <w:rsid w:val="04E26FED"/>
    <w:rsid w:val="04F56EBC"/>
    <w:rsid w:val="04FD6633"/>
    <w:rsid w:val="05871A0A"/>
    <w:rsid w:val="060C2525"/>
    <w:rsid w:val="067C53E7"/>
    <w:rsid w:val="06820F5E"/>
    <w:rsid w:val="06AE2ABA"/>
    <w:rsid w:val="06DD02BB"/>
    <w:rsid w:val="06E71F51"/>
    <w:rsid w:val="07050666"/>
    <w:rsid w:val="070A230E"/>
    <w:rsid w:val="072A3BA9"/>
    <w:rsid w:val="073B54B2"/>
    <w:rsid w:val="081748AE"/>
    <w:rsid w:val="08C2359B"/>
    <w:rsid w:val="09041814"/>
    <w:rsid w:val="092D7BDC"/>
    <w:rsid w:val="09332D2B"/>
    <w:rsid w:val="097F6E83"/>
    <w:rsid w:val="098B1DA7"/>
    <w:rsid w:val="09A31A61"/>
    <w:rsid w:val="09DE1094"/>
    <w:rsid w:val="09E2475B"/>
    <w:rsid w:val="0A3F34B7"/>
    <w:rsid w:val="0A4B11BE"/>
    <w:rsid w:val="0A5077B9"/>
    <w:rsid w:val="0A677349"/>
    <w:rsid w:val="0A8E5B8D"/>
    <w:rsid w:val="0AAC0CBB"/>
    <w:rsid w:val="0AD84BD3"/>
    <w:rsid w:val="0B1061C6"/>
    <w:rsid w:val="0B263481"/>
    <w:rsid w:val="0B2B08D5"/>
    <w:rsid w:val="0B5C03EA"/>
    <w:rsid w:val="0BB825ED"/>
    <w:rsid w:val="0BC0647C"/>
    <w:rsid w:val="0BE825D0"/>
    <w:rsid w:val="0BF26817"/>
    <w:rsid w:val="0C22464A"/>
    <w:rsid w:val="0C3A2893"/>
    <w:rsid w:val="0C623EAC"/>
    <w:rsid w:val="0CAD24AF"/>
    <w:rsid w:val="0CE60637"/>
    <w:rsid w:val="0D662EE5"/>
    <w:rsid w:val="0D9F0DC4"/>
    <w:rsid w:val="0DD359BA"/>
    <w:rsid w:val="0DDE695A"/>
    <w:rsid w:val="0DE362B1"/>
    <w:rsid w:val="0E026D1E"/>
    <w:rsid w:val="0E2301ED"/>
    <w:rsid w:val="0E2D072E"/>
    <w:rsid w:val="0E3B295D"/>
    <w:rsid w:val="0E551882"/>
    <w:rsid w:val="0ED97912"/>
    <w:rsid w:val="0F4C19DA"/>
    <w:rsid w:val="0F4C7D05"/>
    <w:rsid w:val="0F5F17BD"/>
    <w:rsid w:val="0F817C3E"/>
    <w:rsid w:val="0FAD64B5"/>
    <w:rsid w:val="0FB216B4"/>
    <w:rsid w:val="0FFF5930"/>
    <w:rsid w:val="10A265EF"/>
    <w:rsid w:val="11485B0D"/>
    <w:rsid w:val="117076B2"/>
    <w:rsid w:val="1189477D"/>
    <w:rsid w:val="1276289F"/>
    <w:rsid w:val="1288522D"/>
    <w:rsid w:val="129D6A95"/>
    <w:rsid w:val="12AF4046"/>
    <w:rsid w:val="12CE506D"/>
    <w:rsid w:val="12F65490"/>
    <w:rsid w:val="13112273"/>
    <w:rsid w:val="13511DF6"/>
    <w:rsid w:val="137B3A0F"/>
    <w:rsid w:val="138B4634"/>
    <w:rsid w:val="138F1214"/>
    <w:rsid w:val="13D101C7"/>
    <w:rsid w:val="1400440E"/>
    <w:rsid w:val="149E4218"/>
    <w:rsid w:val="14AB614D"/>
    <w:rsid w:val="15507C7E"/>
    <w:rsid w:val="15631440"/>
    <w:rsid w:val="15664AEF"/>
    <w:rsid w:val="158E23E1"/>
    <w:rsid w:val="159D7EA6"/>
    <w:rsid w:val="159F1BF9"/>
    <w:rsid w:val="15BC46A9"/>
    <w:rsid w:val="15ED6F84"/>
    <w:rsid w:val="160B0227"/>
    <w:rsid w:val="17081A7A"/>
    <w:rsid w:val="17292C0C"/>
    <w:rsid w:val="176F50FE"/>
    <w:rsid w:val="177B5C8D"/>
    <w:rsid w:val="17D46CD7"/>
    <w:rsid w:val="17DB2967"/>
    <w:rsid w:val="17DD0B49"/>
    <w:rsid w:val="17E44017"/>
    <w:rsid w:val="180B2DAD"/>
    <w:rsid w:val="181C1400"/>
    <w:rsid w:val="183967F7"/>
    <w:rsid w:val="18D157AD"/>
    <w:rsid w:val="18D435BC"/>
    <w:rsid w:val="18E133A7"/>
    <w:rsid w:val="18ED7E49"/>
    <w:rsid w:val="18FE7FAF"/>
    <w:rsid w:val="19BA69A5"/>
    <w:rsid w:val="19DF6D3F"/>
    <w:rsid w:val="19E24459"/>
    <w:rsid w:val="19F456B1"/>
    <w:rsid w:val="1A3D7EBE"/>
    <w:rsid w:val="1A4353A0"/>
    <w:rsid w:val="1B075A0C"/>
    <w:rsid w:val="1B7229E4"/>
    <w:rsid w:val="1B7A5EC7"/>
    <w:rsid w:val="1C5B4A0F"/>
    <w:rsid w:val="1CF6260F"/>
    <w:rsid w:val="1CF83AEA"/>
    <w:rsid w:val="1D7E09CF"/>
    <w:rsid w:val="1DC3496F"/>
    <w:rsid w:val="1E120FFB"/>
    <w:rsid w:val="1E6C2C99"/>
    <w:rsid w:val="1E7F32B0"/>
    <w:rsid w:val="1EEA13A6"/>
    <w:rsid w:val="1EFE64E9"/>
    <w:rsid w:val="1F6207D0"/>
    <w:rsid w:val="1FE1627D"/>
    <w:rsid w:val="1FE53EB8"/>
    <w:rsid w:val="1FEA603B"/>
    <w:rsid w:val="20293E2F"/>
    <w:rsid w:val="202C4E94"/>
    <w:rsid w:val="20351DDC"/>
    <w:rsid w:val="206E3E8E"/>
    <w:rsid w:val="208F7439"/>
    <w:rsid w:val="2093114F"/>
    <w:rsid w:val="209B57AA"/>
    <w:rsid w:val="20D83D6E"/>
    <w:rsid w:val="20EA6084"/>
    <w:rsid w:val="20F1461D"/>
    <w:rsid w:val="210B780F"/>
    <w:rsid w:val="212B522B"/>
    <w:rsid w:val="21393BFF"/>
    <w:rsid w:val="21736537"/>
    <w:rsid w:val="21977807"/>
    <w:rsid w:val="226827C0"/>
    <w:rsid w:val="22942795"/>
    <w:rsid w:val="22A10D06"/>
    <w:rsid w:val="22E12437"/>
    <w:rsid w:val="22E46F4A"/>
    <w:rsid w:val="23486890"/>
    <w:rsid w:val="23923527"/>
    <w:rsid w:val="24436391"/>
    <w:rsid w:val="24437A2F"/>
    <w:rsid w:val="24AD6D9A"/>
    <w:rsid w:val="25DD7C3D"/>
    <w:rsid w:val="26154215"/>
    <w:rsid w:val="26666FDC"/>
    <w:rsid w:val="2670482E"/>
    <w:rsid w:val="26B267E7"/>
    <w:rsid w:val="26F65310"/>
    <w:rsid w:val="27EF1935"/>
    <w:rsid w:val="27FA4C86"/>
    <w:rsid w:val="280A1B75"/>
    <w:rsid w:val="282C4CFE"/>
    <w:rsid w:val="283962F8"/>
    <w:rsid w:val="28A50847"/>
    <w:rsid w:val="290212C1"/>
    <w:rsid w:val="296E2766"/>
    <w:rsid w:val="298B4B23"/>
    <w:rsid w:val="29D875FE"/>
    <w:rsid w:val="2A194E5D"/>
    <w:rsid w:val="2A594BC2"/>
    <w:rsid w:val="2AA90FA0"/>
    <w:rsid w:val="2B547C4E"/>
    <w:rsid w:val="2B552F60"/>
    <w:rsid w:val="2BB367B9"/>
    <w:rsid w:val="2BB923EC"/>
    <w:rsid w:val="2BCC6F8A"/>
    <w:rsid w:val="2BFE6D98"/>
    <w:rsid w:val="2C184D47"/>
    <w:rsid w:val="2C4258B9"/>
    <w:rsid w:val="2C796A89"/>
    <w:rsid w:val="2CBD3A96"/>
    <w:rsid w:val="2CC74339"/>
    <w:rsid w:val="2CCE1414"/>
    <w:rsid w:val="2CF93ABF"/>
    <w:rsid w:val="2D193009"/>
    <w:rsid w:val="2D1E27A3"/>
    <w:rsid w:val="2D513D9E"/>
    <w:rsid w:val="2D766528"/>
    <w:rsid w:val="2E203F9F"/>
    <w:rsid w:val="2E6231E0"/>
    <w:rsid w:val="2E8A6255"/>
    <w:rsid w:val="2F0B1048"/>
    <w:rsid w:val="2F141AAA"/>
    <w:rsid w:val="2FF23F99"/>
    <w:rsid w:val="301007D1"/>
    <w:rsid w:val="30236367"/>
    <w:rsid w:val="30331BC6"/>
    <w:rsid w:val="303E7E03"/>
    <w:rsid w:val="305977E3"/>
    <w:rsid w:val="30757C00"/>
    <w:rsid w:val="307D5D65"/>
    <w:rsid w:val="30B34CE3"/>
    <w:rsid w:val="30CB1C83"/>
    <w:rsid w:val="31832D29"/>
    <w:rsid w:val="31DF1005"/>
    <w:rsid w:val="31F37E23"/>
    <w:rsid w:val="321573EB"/>
    <w:rsid w:val="32223DC6"/>
    <w:rsid w:val="329032EF"/>
    <w:rsid w:val="32B35AAA"/>
    <w:rsid w:val="335B05D1"/>
    <w:rsid w:val="33DD51E7"/>
    <w:rsid w:val="341E033D"/>
    <w:rsid w:val="342645AD"/>
    <w:rsid w:val="34335C8F"/>
    <w:rsid w:val="34617CD8"/>
    <w:rsid w:val="34A61339"/>
    <w:rsid w:val="34F3793E"/>
    <w:rsid w:val="351E039A"/>
    <w:rsid w:val="353B6B65"/>
    <w:rsid w:val="35574E9C"/>
    <w:rsid w:val="3566646C"/>
    <w:rsid w:val="35712E34"/>
    <w:rsid w:val="3578533B"/>
    <w:rsid w:val="35ED793B"/>
    <w:rsid w:val="364B1F47"/>
    <w:rsid w:val="366C082D"/>
    <w:rsid w:val="3697203F"/>
    <w:rsid w:val="36C90DD1"/>
    <w:rsid w:val="37082B69"/>
    <w:rsid w:val="372F30BB"/>
    <w:rsid w:val="373430B0"/>
    <w:rsid w:val="37704489"/>
    <w:rsid w:val="37A80102"/>
    <w:rsid w:val="37CA04FF"/>
    <w:rsid w:val="38324CC8"/>
    <w:rsid w:val="395E479A"/>
    <w:rsid w:val="39A36C2D"/>
    <w:rsid w:val="39A75CB9"/>
    <w:rsid w:val="39AA29B9"/>
    <w:rsid w:val="39E71AEC"/>
    <w:rsid w:val="39EA1A89"/>
    <w:rsid w:val="39F60058"/>
    <w:rsid w:val="3A6D2933"/>
    <w:rsid w:val="3AA23B37"/>
    <w:rsid w:val="3AB8426E"/>
    <w:rsid w:val="3ACF765C"/>
    <w:rsid w:val="3AD278CD"/>
    <w:rsid w:val="3B2A44B8"/>
    <w:rsid w:val="3BBC038E"/>
    <w:rsid w:val="3BE91B9E"/>
    <w:rsid w:val="3C2C4247"/>
    <w:rsid w:val="3C2F4849"/>
    <w:rsid w:val="3CA13116"/>
    <w:rsid w:val="3CA925AE"/>
    <w:rsid w:val="3CB6749E"/>
    <w:rsid w:val="3CF877AB"/>
    <w:rsid w:val="3D306CB2"/>
    <w:rsid w:val="3D667959"/>
    <w:rsid w:val="3D8230F2"/>
    <w:rsid w:val="3D886E2C"/>
    <w:rsid w:val="3D8A01B4"/>
    <w:rsid w:val="3D8E137E"/>
    <w:rsid w:val="3DD83D60"/>
    <w:rsid w:val="3E28552F"/>
    <w:rsid w:val="3E545824"/>
    <w:rsid w:val="3E570CDC"/>
    <w:rsid w:val="3EAD4174"/>
    <w:rsid w:val="3EAD7F9C"/>
    <w:rsid w:val="3EB32892"/>
    <w:rsid w:val="3EBC3336"/>
    <w:rsid w:val="3EBD39AE"/>
    <w:rsid w:val="3F064AE9"/>
    <w:rsid w:val="3F4C62B0"/>
    <w:rsid w:val="40360CD1"/>
    <w:rsid w:val="40613E30"/>
    <w:rsid w:val="40736573"/>
    <w:rsid w:val="408A19D6"/>
    <w:rsid w:val="408D2CDA"/>
    <w:rsid w:val="409B4A07"/>
    <w:rsid w:val="40D63212"/>
    <w:rsid w:val="40F66678"/>
    <w:rsid w:val="411D1604"/>
    <w:rsid w:val="4120577A"/>
    <w:rsid w:val="414A4DF9"/>
    <w:rsid w:val="41FD121E"/>
    <w:rsid w:val="421A7627"/>
    <w:rsid w:val="4233112B"/>
    <w:rsid w:val="427A66FF"/>
    <w:rsid w:val="429B3BAB"/>
    <w:rsid w:val="42C00E50"/>
    <w:rsid w:val="42D62A68"/>
    <w:rsid w:val="42F66C13"/>
    <w:rsid w:val="43702851"/>
    <w:rsid w:val="4424604A"/>
    <w:rsid w:val="445014AB"/>
    <w:rsid w:val="4462190A"/>
    <w:rsid w:val="44E57B3E"/>
    <w:rsid w:val="457E2BBE"/>
    <w:rsid w:val="45B37557"/>
    <w:rsid w:val="45E076C0"/>
    <w:rsid w:val="4662498C"/>
    <w:rsid w:val="46A022D9"/>
    <w:rsid w:val="46A9554B"/>
    <w:rsid w:val="46BE1A6C"/>
    <w:rsid w:val="46C277A4"/>
    <w:rsid w:val="471B3499"/>
    <w:rsid w:val="47797284"/>
    <w:rsid w:val="48037A8A"/>
    <w:rsid w:val="48377D23"/>
    <w:rsid w:val="486634EE"/>
    <w:rsid w:val="48764171"/>
    <w:rsid w:val="48807890"/>
    <w:rsid w:val="488D2276"/>
    <w:rsid w:val="48A64B98"/>
    <w:rsid w:val="48AF322F"/>
    <w:rsid w:val="48DE3178"/>
    <w:rsid w:val="48F765BE"/>
    <w:rsid w:val="49320F23"/>
    <w:rsid w:val="49557F00"/>
    <w:rsid w:val="49926383"/>
    <w:rsid w:val="49DD73AE"/>
    <w:rsid w:val="49F95BD6"/>
    <w:rsid w:val="4A1574BD"/>
    <w:rsid w:val="4A3465C0"/>
    <w:rsid w:val="4A4044FB"/>
    <w:rsid w:val="4A896855"/>
    <w:rsid w:val="4AB901A0"/>
    <w:rsid w:val="4AD703A4"/>
    <w:rsid w:val="4B390BF7"/>
    <w:rsid w:val="4B977CA8"/>
    <w:rsid w:val="4B9C5261"/>
    <w:rsid w:val="4BC620D3"/>
    <w:rsid w:val="4BD07B58"/>
    <w:rsid w:val="4C3176AB"/>
    <w:rsid w:val="4C477023"/>
    <w:rsid w:val="4C6E278E"/>
    <w:rsid w:val="4D7251FF"/>
    <w:rsid w:val="4D780FF4"/>
    <w:rsid w:val="4E1B5C4E"/>
    <w:rsid w:val="4E472C92"/>
    <w:rsid w:val="4E5F71E0"/>
    <w:rsid w:val="4E6C5236"/>
    <w:rsid w:val="4E9D5C2D"/>
    <w:rsid w:val="4ECD0316"/>
    <w:rsid w:val="4FA91AAC"/>
    <w:rsid w:val="4FBD0FF5"/>
    <w:rsid w:val="4FC854D7"/>
    <w:rsid w:val="50142DE1"/>
    <w:rsid w:val="5015687B"/>
    <w:rsid w:val="501926CA"/>
    <w:rsid w:val="505E3D68"/>
    <w:rsid w:val="506761BB"/>
    <w:rsid w:val="507D0830"/>
    <w:rsid w:val="515B7CA3"/>
    <w:rsid w:val="516A440A"/>
    <w:rsid w:val="51A85749"/>
    <w:rsid w:val="51C42E16"/>
    <w:rsid w:val="522F09F6"/>
    <w:rsid w:val="525351F4"/>
    <w:rsid w:val="525A6FBC"/>
    <w:rsid w:val="526C0997"/>
    <w:rsid w:val="528617C4"/>
    <w:rsid w:val="533D33D1"/>
    <w:rsid w:val="53670B33"/>
    <w:rsid w:val="53775B6A"/>
    <w:rsid w:val="538A5635"/>
    <w:rsid w:val="53A95CCE"/>
    <w:rsid w:val="53BE0B9B"/>
    <w:rsid w:val="53D43855"/>
    <w:rsid w:val="53FC4E8E"/>
    <w:rsid w:val="541717DC"/>
    <w:rsid w:val="548D4C6E"/>
    <w:rsid w:val="54D7098F"/>
    <w:rsid w:val="553C46BA"/>
    <w:rsid w:val="55551F6D"/>
    <w:rsid w:val="55642A38"/>
    <w:rsid w:val="55834A19"/>
    <w:rsid w:val="55F526C6"/>
    <w:rsid w:val="56066DC9"/>
    <w:rsid w:val="564E1228"/>
    <w:rsid w:val="56A6131D"/>
    <w:rsid w:val="56A82B00"/>
    <w:rsid w:val="56BC5AD0"/>
    <w:rsid w:val="56C80F57"/>
    <w:rsid w:val="56CD01F5"/>
    <w:rsid w:val="56D00C68"/>
    <w:rsid w:val="57895A45"/>
    <w:rsid w:val="57C5313B"/>
    <w:rsid w:val="57D807D4"/>
    <w:rsid w:val="57EA7969"/>
    <w:rsid w:val="5864049C"/>
    <w:rsid w:val="58647C55"/>
    <w:rsid w:val="586C6B09"/>
    <w:rsid w:val="58750691"/>
    <w:rsid w:val="58AA6505"/>
    <w:rsid w:val="58AB575D"/>
    <w:rsid w:val="59445F91"/>
    <w:rsid w:val="59815208"/>
    <w:rsid w:val="59CC2BDC"/>
    <w:rsid w:val="5A1E2DE7"/>
    <w:rsid w:val="5A456DE4"/>
    <w:rsid w:val="5B123FA7"/>
    <w:rsid w:val="5B613C0E"/>
    <w:rsid w:val="5BCA6564"/>
    <w:rsid w:val="5C1E3775"/>
    <w:rsid w:val="5C381264"/>
    <w:rsid w:val="5C672644"/>
    <w:rsid w:val="5C786178"/>
    <w:rsid w:val="5C7D2BE1"/>
    <w:rsid w:val="5C8132C7"/>
    <w:rsid w:val="5CA23A25"/>
    <w:rsid w:val="5CC26330"/>
    <w:rsid w:val="5CC60CB6"/>
    <w:rsid w:val="5CC71F84"/>
    <w:rsid w:val="5D017C51"/>
    <w:rsid w:val="5D4F2A78"/>
    <w:rsid w:val="5D792AE4"/>
    <w:rsid w:val="5E23412A"/>
    <w:rsid w:val="5E2F58D3"/>
    <w:rsid w:val="5F0B7907"/>
    <w:rsid w:val="5F4E4EA4"/>
    <w:rsid w:val="5F5C32D6"/>
    <w:rsid w:val="5FFA1467"/>
    <w:rsid w:val="600E788A"/>
    <w:rsid w:val="601E27BC"/>
    <w:rsid w:val="602E3927"/>
    <w:rsid w:val="60794FD4"/>
    <w:rsid w:val="60814FEF"/>
    <w:rsid w:val="60D32F5A"/>
    <w:rsid w:val="610E2B4C"/>
    <w:rsid w:val="61DA278D"/>
    <w:rsid w:val="61DE43D4"/>
    <w:rsid w:val="61E06967"/>
    <w:rsid w:val="626736F9"/>
    <w:rsid w:val="628E1BE9"/>
    <w:rsid w:val="62A14035"/>
    <w:rsid w:val="62D06FF9"/>
    <w:rsid w:val="62D765EB"/>
    <w:rsid w:val="63074F0B"/>
    <w:rsid w:val="63391953"/>
    <w:rsid w:val="636B22CC"/>
    <w:rsid w:val="63903465"/>
    <w:rsid w:val="639E253B"/>
    <w:rsid w:val="63C04ED0"/>
    <w:rsid w:val="63D7428B"/>
    <w:rsid w:val="640C4C0D"/>
    <w:rsid w:val="64516662"/>
    <w:rsid w:val="645830D7"/>
    <w:rsid w:val="647258C3"/>
    <w:rsid w:val="64AA2E73"/>
    <w:rsid w:val="64C3223A"/>
    <w:rsid w:val="652D143E"/>
    <w:rsid w:val="65376B47"/>
    <w:rsid w:val="654042F5"/>
    <w:rsid w:val="65AF123E"/>
    <w:rsid w:val="660447CA"/>
    <w:rsid w:val="66333BE5"/>
    <w:rsid w:val="666C4EE6"/>
    <w:rsid w:val="66FB0FDC"/>
    <w:rsid w:val="66FC5AFF"/>
    <w:rsid w:val="6721439E"/>
    <w:rsid w:val="67BA7741"/>
    <w:rsid w:val="680D0CA5"/>
    <w:rsid w:val="683A0714"/>
    <w:rsid w:val="68540ACB"/>
    <w:rsid w:val="68631C3C"/>
    <w:rsid w:val="68A45648"/>
    <w:rsid w:val="68A5668C"/>
    <w:rsid w:val="68DF7A9F"/>
    <w:rsid w:val="68F12C1C"/>
    <w:rsid w:val="6911241F"/>
    <w:rsid w:val="69B67115"/>
    <w:rsid w:val="69EF53B4"/>
    <w:rsid w:val="6A126DD2"/>
    <w:rsid w:val="6A420E56"/>
    <w:rsid w:val="6A924E32"/>
    <w:rsid w:val="6A94008C"/>
    <w:rsid w:val="6ACD27B7"/>
    <w:rsid w:val="6AE60947"/>
    <w:rsid w:val="6AF107D3"/>
    <w:rsid w:val="6B0B374F"/>
    <w:rsid w:val="6B6234E5"/>
    <w:rsid w:val="6BBD11F5"/>
    <w:rsid w:val="6BD12800"/>
    <w:rsid w:val="6C141940"/>
    <w:rsid w:val="6C5E02FC"/>
    <w:rsid w:val="6C8B0F52"/>
    <w:rsid w:val="6CDD0DD0"/>
    <w:rsid w:val="6D0127E4"/>
    <w:rsid w:val="6D0C4352"/>
    <w:rsid w:val="6D1C168A"/>
    <w:rsid w:val="6D3D5F93"/>
    <w:rsid w:val="6DB941BD"/>
    <w:rsid w:val="6E1679D0"/>
    <w:rsid w:val="6E5F1098"/>
    <w:rsid w:val="6EA40AC9"/>
    <w:rsid w:val="6EA41FA2"/>
    <w:rsid w:val="6EFE0C04"/>
    <w:rsid w:val="6F381CAC"/>
    <w:rsid w:val="6F680C83"/>
    <w:rsid w:val="6F971246"/>
    <w:rsid w:val="6F9C6902"/>
    <w:rsid w:val="6FA0729C"/>
    <w:rsid w:val="70100CA2"/>
    <w:rsid w:val="703802FE"/>
    <w:rsid w:val="70A24D48"/>
    <w:rsid w:val="70BA64EF"/>
    <w:rsid w:val="70C900DF"/>
    <w:rsid w:val="71326D32"/>
    <w:rsid w:val="715A596A"/>
    <w:rsid w:val="717C247D"/>
    <w:rsid w:val="71832D29"/>
    <w:rsid w:val="71907818"/>
    <w:rsid w:val="71E95916"/>
    <w:rsid w:val="72503887"/>
    <w:rsid w:val="7250588C"/>
    <w:rsid w:val="727E786A"/>
    <w:rsid w:val="72AE0974"/>
    <w:rsid w:val="72BD0544"/>
    <w:rsid w:val="72D11D5C"/>
    <w:rsid w:val="72E85DAD"/>
    <w:rsid w:val="732303D9"/>
    <w:rsid w:val="73532CC9"/>
    <w:rsid w:val="744975DD"/>
    <w:rsid w:val="746920A5"/>
    <w:rsid w:val="74DE73F5"/>
    <w:rsid w:val="75201745"/>
    <w:rsid w:val="75441FDB"/>
    <w:rsid w:val="75B83969"/>
    <w:rsid w:val="75D07F8B"/>
    <w:rsid w:val="75EE5669"/>
    <w:rsid w:val="7713795D"/>
    <w:rsid w:val="77333A00"/>
    <w:rsid w:val="774E1211"/>
    <w:rsid w:val="777B71D8"/>
    <w:rsid w:val="77842A2B"/>
    <w:rsid w:val="77A54D53"/>
    <w:rsid w:val="77DA0089"/>
    <w:rsid w:val="77FC6767"/>
    <w:rsid w:val="781A0BEC"/>
    <w:rsid w:val="78202415"/>
    <w:rsid w:val="78213FC9"/>
    <w:rsid w:val="78701D9C"/>
    <w:rsid w:val="791C3FA0"/>
    <w:rsid w:val="795E40AC"/>
    <w:rsid w:val="79722779"/>
    <w:rsid w:val="79E90815"/>
    <w:rsid w:val="7A0E7A81"/>
    <w:rsid w:val="7A1A383D"/>
    <w:rsid w:val="7A44070B"/>
    <w:rsid w:val="7A6E32C8"/>
    <w:rsid w:val="7A983323"/>
    <w:rsid w:val="7AC900CF"/>
    <w:rsid w:val="7ACB6801"/>
    <w:rsid w:val="7B052FBD"/>
    <w:rsid w:val="7B5A5A6C"/>
    <w:rsid w:val="7B5C250E"/>
    <w:rsid w:val="7B72690D"/>
    <w:rsid w:val="7B9A3DB8"/>
    <w:rsid w:val="7C9408F4"/>
    <w:rsid w:val="7CBB0603"/>
    <w:rsid w:val="7CC40BE2"/>
    <w:rsid w:val="7CFB2CE9"/>
    <w:rsid w:val="7D212CA5"/>
    <w:rsid w:val="7D255EE2"/>
    <w:rsid w:val="7D69777E"/>
    <w:rsid w:val="7DD016AB"/>
    <w:rsid w:val="7E1A0A9F"/>
    <w:rsid w:val="7E3C401A"/>
    <w:rsid w:val="7EB755EB"/>
    <w:rsid w:val="7EC816E4"/>
    <w:rsid w:val="7EF34773"/>
    <w:rsid w:val="7F7F2734"/>
    <w:rsid w:val="7FA63F96"/>
    <w:rsid w:val="7FB9287C"/>
    <w:rsid w:val="7FCC47FD"/>
    <w:rsid w:val="7FFB1B6E"/>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qFormat="1" w:uiPriority="99" w:semiHidden="0" w:name="Body Text First Indent 2"/>
    <w:lsdException w:uiPriority="99" w:name="Note Heading"/>
    <w:lsdException w:uiPriority="99"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2"/>
    <w:qFormat/>
    <w:uiPriority w:val="0"/>
    <w:pPr>
      <w:keepNext/>
      <w:keepLines/>
      <w:spacing w:before="20" w:beforeLines="0" w:after="20" w:afterLines="0" w:line="240" w:lineRule="auto"/>
      <w:jc w:val="center"/>
      <w:outlineLvl w:val="0"/>
    </w:pPr>
    <w:rPr>
      <w:rFonts w:ascii="Times New Roman" w:hAnsi="Times New Roman" w:eastAsia="宋体"/>
      <w:b/>
      <w:bCs/>
      <w:kern w:val="44"/>
      <w:sz w:val="44"/>
      <w:szCs w:val="44"/>
    </w:rPr>
  </w:style>
  <w:style w:type="paragraph" w:styleId="4">
    <w:name w:val="heading 2"/>
    <w:basedOn w:val="1"/>
    <w:next w:val="1"/>
    <w:link w:val="77"/>
    <w:qFormat/>
    <w:uiPriority w:val="0"/>
    <w:pPr>
      <w:keepNext/>
      <w:keepLines/>
      <w:spacing w:before="260" w:after="260" w:line="415" w:lineRule="auto"/>
      <w:jc w:val="left"/>
      <w:outlineLvl w:val="1"/>
    </w:pPr>
    <w:rPr>
      <w:rFonts w:ascii="Arial" w:hAnsi="Arial" w:eastAsiaTheme="minorEastAsia"/>
      <w:bCs/>
      <w:kern w:val="0"/>
      <w:sz w:val="24"/>
      <w:szCs w:val="32"/>
    </w:rPr>
  </w:style>
  <w:style w:type="paragraph" w:styleId="5">
    <w:name w:val="heading 3"/>
    <w:basedOn w:val="1"/>
    <w:next w:val="1"/>
    <w:link w:val="56"/>
    <w:qFormat/>
    <w:uiPriority w:val="0"/>
    <w:pPr>
      <w:keepNext/>
      <w:keepLines/>
      <w:spacing w:before="260" w:after="260" w:line="415" w:lineRule="auto"/>
      <w:jc w:val="center"/>
      <w:outlineLvl w:val="2"/>
    </w:pPr>
    <w:rPr>
      <w:b/>
      <w:bCs/>
      <w:kern w:val="0"/>
      <w:sz w:val="30"/>
      <w:szCs w:val="32"/>
    </w:rPr>
  </w:style>
  <w:style w:type="paragraph" w:styleId="6">
    <w:name w:val="heading 4"/>
    <w:basedOn w:val="1"/>
    <w:next w:val="1"/>
    <w:link w:val="91"/>
    <w:qFormat/>
    <w:uiPriority w:val="0"/>
    <w:pPr>
      <w:keepNext/>
      <w:keepLines/>
      <w:spacing w:before="280" w:after="290" w:line="374" w:lineRule="auto"/>
      <w:jc w:val="center"/>
      <w:outlineLvl w:val="3"/>
    </w:pPr>
    <w:rPr>
      <w:rFonts w:ascii="Arial" w:hAnsi="Arial" w:eastAsiaTheme="minorEastAsia"/>
      <w:bCs/>
      <w:kern w:val="0"/>
      <w:sz w:val="24"/>
      <w:szCs w:val="28"/>
    </w:rPr>
  </w:style>
  <w:style w:type="paragraph" w:styleId="7">
    <w:name w:val="heading 6"/>
    <w:basedOn w:val="1"/>
    <w:next w:val="1"/>
    <w:link w:val="58"/>
    <w:qFormat/>
    <w:uiPriority w:val="0"/>
    <w:pPr>
      <w:keepNext/>
      <w:keepLines/>
      <w:widowControl/>
      <w:tabs>
        <w:tab w:val="left" w:pos="1440"/>
      </w:tabs>
      <w:spacing w:before="240" w:after="64" w:line="319" w:lineRule="auto"/>
      <w:ind w:left="1152" w:hanging="1152"/>
      <w:jc w:val="left"/>
      <w:outlineLvl w:val="5"/>
    </w:pPr>
    <w:rPr>
      <w:rFonts w:ascii="Arial" w:hAnsi="Arial" w:eastAsia="黑体"/>
      <w:b/>
      <w:bCs/>
      <w:kern w:val="0"/>
      <w:sz w:val="24"/>
    </w:rPr>
  </w:style>
  <w:style w:type="paragraph" w:styleId="8">
    <w:name w:val="heading 7"/>
    <w:basedOn w:val="1"/>
    <w:next w:val="1"/>
    <w:link w:val="98"/>
    <w:qFormat/>
    <w:uiPriority w:val="0"/>
    <w:pPr>
      <w:keepNext/>
      <w:keepLines/>
      <w:widowControl/>
      <w:tabs>
        <w:tab w:val="left" w:pos="2520"/>
      </w:tabs>
      <w:spacing w:before="240" w:after="64" w:line="319" w:lineRule="auto"/>
      <w:ind w:left="1296" w:hanging="1296"/>
      <w:jc w:val="left"/>
      <w:outlineLvl w:val="6"/>
    </w:pPr>
    <w:rPr>
      <w:b/>
      <w:bCs/>
      <w:kern w:val="0"/>
      <w:sz w:val="24"/>
    </w:rPr>
  </w:style>
  <w:style w:type="paragraph" w:styleId="9">
    <w:name w:val="heading 8"/>
    <w:basedOn w:val="1"/>
    <w:next w:val="1"/>
    <w:link w:val="80"/>
    <w:qFormat/>
    <w:uiPriority w:val="0"/>
    <w:pPr>
      <w:keepNext/>
      <w:keepLines/>
      <w:widowControl/>
      <w:tabs>
        <w:tab w:val="left" w:pos="1440"/>
      </w:tabs>
      <w:spacing w:before="240" w:after="64" w:line="319" w:lineRule="auto"/>
      <w:ind w:left="1440" w:hanging="1440"/>
      <w:jc w:val="left"/>
      <w:outlineLvl w:val="7"/>
    </w:pPr>
    <w:rPr>
      <w:rFonts w:ascii="Arial" w:hAnsi="Arial" w:eastAsia="黑体"/>
      <w:kern w:val="0"/>
      <w:sz w:val="24"/>
    </w:rPr>
  </w:style>
  <w:style w:type="paragraph" w:styleId="10">
    <w:name w:val="heading 9"/>
    <w:basedOn w:val="1"/>
    <w:next w:val="1"/>
    <w:link w:val="72"/>
    <w:qFormat/>
    <w:uiPriority w:val="0"/>
    <w:pPr>
      <w:keepNext/>
      <w:keepLines/>
      <w:widowControl/>
      <w:tabs>
        <w:tab w:val="left" w:pos="1584"/>
      </w:tabs>
      <w:spacing w:before="240" w:after="64" w:line="319" w:lineRule="auto"/>
      <w:ind w:left="1584" w:hanging="1584"/>
      <w:jc w:val="left"/>
      <w:outlineLvl w:val="8"/>
    </w:pPr>
    <w:rPr>
      <w:rFonts w:ascii="Arial" w:hAnsi="Arial" w:eastAsia="黑体"/>
      <w:kern w:val="0"/>
      <w:sz w:val="20"/>
      <w:szCs w:val="21"/>
    </w:rPr>
  </w:style>
  <w:style w:type="character" w:default="1" w:styleId="43">
    <w:name w:val="Default Paragraph Font"/>
    <w:unhideWhenUsed/>
    <w:qFormat/>
    <w:uiPriority w:val="1"/>
  </w:style>
  <w:style w:type="table" w:default="1" w:styleId="41">
    <w:name w:val="Normal Table"/>
    <w:unhideWhenUsed/>
    <w:qFormat/>
    <w:uiPriority w:val="99"/>
    <w:tblPr>
      <w:tblCellMar>
        <w:top w:w="0" w:type="dxa"/>
        <w:left w:w="108" w:type="dxa"/>
        <w:bottom w:w="0" w:type="dxa"/>
        <w:right w:w="108" w:type="dxa"/>
      </w:tblCellMar>
    </w:tblPr>
  </w:style>
  <w:style w:type="paragraph" w:styleId="2">
    <w:name w:val="Normal Indent"/>
    <w:basedOn w:val="1"/>
    <w:link w:val="68"/>
    <w:qFormat/>
    <w:uiPriority w:val="0"/>
    <w:pPr>
      <w:ind w:firstLine="420" w:firstLineChars="200"/>
    </w:pPr>
  </w:style>
  <w:style w:type="paragraph" w:styleId="11">
    <w:name w:val="toc 7"/>
    <w:basedOn w:val="1"/>
    <w:next w:val="1"/>
    <w:qFormat/>
    <w:uiPriority w:val="39"/>
    <w:pPr>
      <w:ind w:left="1260"/>
      <w:jc w:val="left"/>
    </w:pPr>
    <w:rPr>
      <w:rFonts w:ascii="Calibri" w:hAnsi="Calibri"/>
      <w:sz w:val="18"/>
      <w:szCs w:val="18"/>
    </w:rPr>
  </w:style>
  <w:style w:type="paragraph" w:styleId="12">
    <w:name w:val="Document Map"/>
    <w:basedOn w:val="1"/>
    <w:link w:val="75"/>
    <w:qFormat/>
    <w:uiPriority w:val="0"/>
    <w:pPr>
      <w:shd w:val="clear" w:color="auto" w:fill="000080"/>
    </w:pPr>
    <w:rPr>
      <w:kern w:val="0"/>
      <w:sz w:val="20"/>
    </w:rPr>
  </w:style>
  <w:style w:type="paragraph" w:styleId="13">
    <w:name w:val="annotation text"/>
    <w:basedOn w:val="1"/>
    <w:link w:val="57"/>
    <w:unhideWhenUsed/>
    <w:qFormat/>
    <w:uiPriority w:val="99"/>
    <w:pPr>
      <w:jc w:val="left"/>
    </w:pPr>
    <w:rPr>
      <w:kern w:val="0"/>
      <w:sz w:val="20"/>
    </w:rPr>
  </w:style>
  <w:style w:type="paragraph" w:styleId="14">
    <w:name w:val="Body Text 3"/>
    <w:basedOn w:val="1"/>
    <w:link w:val="61"/>
    <w:qFormat/>
    <w:uiPriority w:val="0"/>
    <w:rPr>
      <w:rFonts w:ascii="宋体"/>
      <w:kern w:val="0"/>
      <w:sz w:val="24"/>
      <w:szCs w:val="20"/>
    </w:rPr>
  </w:style>
  <w:style w:type="paragraph" w:styleId="15">
    <w:name w:val="Body Text"/>
    <w:basedOn w:val="1"/>
    <w:next w:val="1"/>
    <w:link w:val="64"/>
    <w:qFormat/>
    <w:uiPriority w:val="0"/>
    <w:pPr>
      <w:spacing w:after="120"/>
    </w:pPr>
    <w:rPr>
      <w:kern w:val="0"/>
      <w:sz w:val="20"/>
    </w:rPr>
  </w:style>
  <w:style w:type="paragraph" w:styleId="16">
    <w:name w:val="Body Text Indent"/>
    <w:basedOn w:val="1"/>
    <w:link w:val="74"/>
    <w:qFormat/>
    <w:uiPriority w:val="0"/>
    <w:pPr>
      <w:spacing w:after="120"/>
      <w:ind w:left="420" w:leftChars="200"/>
    </w:pPr>
    <w:rPr>
      <w:kern w:val="0"/>
      <w:sz w:val="20"/>
    </w:rPr>
  </w:style>
  <w:style w:type="paragraph" w:styleId="17">
    <w:name w:val="Block Text"/>
    <w:basedOn w:val="1"/>
    <w:qFormat/>
    <w:uiPriority w:val="0"/>
    <w:pPr>
      <w:autoSpaceDE w:val="0"/>
      <w:autoSpaceDN w:val="0"/>
      <w:adjustRightInd w:val="0"/>
      <w:spacing w:line="1270" w:lineRule="exact"/>
      <w:ind w:left="2160" w:right="-20" w:hanging="2160" w:hangingChars="300"/>
      <w:jc w:val="left"/>
    </w:pPr>
    <w:rPr>
      <w:rFonts w:eastAsia="仿宋_GB2312"/>
      <w:sz w:val="72"/>
    </w:rPr>
  </w:style>
  <w:style w:type="paragraph" w:styleId="18">
    <w:name w:val="toc 5"/>
    <w:basedOn w:val="1"/>
    <w:next w:val="1"/>
    <w:qFormat/>
    <w:uiPriority w:val="39"/>
    <w:pPr>
      <w:ind w:left="840"/>
      <w:jc w:val="left"/>
    </w:pPr>
    <w:rPr>
      <w:rFonts w:ascii="Calibri" w:hAnsi="Calibri"/>
      <w:sz w:val="18"/>
      <w:szCs w:val="18"/>
    </w:rPr>
  </w:style>
  <w:style w:type="paragraph" w:styleId="19">
    <w:name w:val="toc 3"/>
    <w:basedOn w:val="1"/>
    <w:next w:val="1"/>
    <w:qFormat/>
    <w:uiPriority w:val="39"/>
    <w:pPr>
      <w:ind w:left="420"/>
      <w:jc w:val="left"/>
    </w:pPr>
    <w:rPr>
      <w:rFonts w:ascii="Calibri" w:hAnsi="Calibri"/>
      <w:i/>
      <w:iCs/>
      <w:sz w:val="20"/>
      <w:szCs w:val="20"/>
    </w:rPr>
  </w:style>
  <w:style w:type="paragraph" w:styleId="20">
    <w:name w:val="Plain Text"/>
    <w:basedOn w:val="1"/>
    <w:link w:val="97"/>
    <w:qFormat/>
    <w:uiPriority w:val="99"/>
    <w:rPr>
      <w:rFonts w:ascii="Courier New" w:hAnsi="Courier New"/>
      <w:kern w:val="0"/>
      <w:sz w:val="20"/>
      <w:szCs w:val="20"/>
    </w:rPr>
  </w:style>
  <w:style w:type="paragraph" w:styleId="21">
    <w:name w:val="toc 8"/>
    <w:basedOn w:val="1"/>
    <w:next w:val="1"/>
    <w:qFormat/>
    <w:uiPriority w:val="39"/>
    <w:pPr>
      <w:ind w:left="1470"/>
      <w:jc w:val="left"/>
    </w:pPr>
    <w:rPr>
      <w:rFonts w:ascii="Calibri" w:hAnsi="Calibri"/>
      <w:sz w:val="18"/>
      <w:szCs w:val="18"/>
    </w:rPr>
  </w:style>
  <w:style w:type="paragraph" w:styleId="22">
    <w:name w:val="Date"/>
    <w:basedOn w:val="1"/>
    <w:next w:val="1"/>
    <w:link w:val="81"/>
    <w:qFormat/>
    <w:uiPriority w:val="99"/>
    <w:rPr>
      <w:kern w:val="0"/>
      <w:sz w:val="24"/>
      <w:szCs w:val="20"/>
    </w:rPr>
  </w:style>
  <w:style w:type="paragraph" w:styleId="23">
    <w:name w:val="Body Text Indent 2"/>
    <w:basedOn w:val="1"/>
    <w:qFormat/>
    <w:uiPriority w:val="0"/>
    <w:pPr>
      <w:spacing w:after="120" w:line="480" w:lineRule="auto"/>
      <w:ind w:left="420" w:leftChars="200"/>
    </w:pPr>
  </w:style>
  <w:style w:type="paragraph" w:styleId="24">
    <w:name w:val="Balloon Text"/>
    <w:basedOn w:val="1"/>
    <w:link w:val="79"/>
    <w:qFormat/>
    <w:uiPriority w:val="0"/>
    <w:rPr>
      <w:kern w:val="0"/>
      <w:sz w:val="18"/>
      <w:szCs w:val="18"/>
    </w:rPr>
  </w:style>
  <w:style w:type="paragraph" w:styleId="25">
    <w:name w:val="footer"/>
    <w:basedOn w:val="1"/>
    <w:link w:val="93"/>
    <w:qFormat/>
    <w:uiPriority w:val="0"/>
    <w:pPr>
      <w:tabs>
        <w:tab w:val="center" w:pos="4153"/>
        <w:tab w:val="right" w:pos="8306"/>
      </w:tabs>
      <w:snapToGrid w:val="0"/>
      <w:jc w:val="left"/>
    </w:pPr>
    <w:rPr>
      <w:kern w:val="0"/>
      <w:sz w:val="18"/>
      <w:szCs w:val="18"/>
    </w:rPr>
  </w:style>
  <w:style w:type="paragraph" w:styleId="26">
    <w:name w:val="header"/>
    <w:basedOn w:val="1"/>
    <w:link w:val="71"/>
    <w:qFormat/>
    <w:uiPriority w:val="0"/>
    <w:pPr>
      <w:pBdr>
        <w:bottom w:val="single" w:color="auto" w:sz="6" w:space="1"/>
      </w:pBdr>
      <w:tabs>
        <w:tab w:val="center" w:pos="4153"/>
        <w:tab w:val="right" w:pos="8306"/>
      </w:tabs>
      <w:snapToGrid w:val="0"/>
      <w:jc w:val="center"/>
    </w:pPr>
    <w:rPr>
      <w:kern w:val="0"/>
      <w:sz w:val="18"/>
      <w:szCs w:val="18"/>
    </w:rPr>
  </w:style>
  <w:style w:type="paragraph" w:styleId="27">
    <w:name w:val="toc 1"/>
    <w:basedOn w:val="1"/>
    <w:next w:val="1"/>
    <w:qFormat/>
    <w:uiPriority w:val="39"/>
    <w:pPr>
      <w:spacing w:before="120" w:after="120"/>
      <w:jc w:val="left"/>
    </w:pPr>
    <w:rPr>
      <w:rFonts w:ascii="Calibri" w:hAnsi="Calibri"/>
      <w:b/>
      <w:bCs/>
      <w:caps/>
      <w:sz w:val="20"/>
      <w:szCs w:val="20"/>
    </w:rPr>
  </w:style>
  <w:style w:type="paragraph" w:styleId="28">
    <w:name w:val="toc 4"/>
    <w:basedOn w:val="1"/>
    <w:next w:val="1"/>
    <w:qFormat/>
    <w:uiPriority w:val="39"/>
    <w:pPr>
      <w:ind w:left="630"/>
      <w:jc w:val="left"/>
    </w:pPr>
    <w:rPr>
      <w:rFonts w:ascii="Calibri" w:hAnsi="Calibri"/>
      <w:sz w:val="18"/>
      <w:szCs w:val="18"/>
    </w:rPr>
  </w:style>
  <w:style w:type="paragraph" w:styleId="29">
    <w:name w:val="footnote text"/>
    <w:basedOn w:val="1"/>
    <w:link w:val="65"/>
    <w:qFormat/>
    <w:uiPriority w:val="0"/>
    <w:rPr>
      <w:kern w:val="0"/>
      <w:sz w:val="20"/>
      <w:szCs w:val="20"/>
    </w:rPr>
  </w:style>
  <w:style w:type="paragraph" w:styleId="30">
    <w:name w:val="toc 6"/>
    <w:basedOn w:val="1"/>
    <w:next w:val="1"/>
    <w:qFormat/>
    <w:uiPriority w:val="39"/>
    <w:pPr>
      <w:ind w:left="1050"/>
      <w:jc w:val="left"/>
    </w:pPr>
    <w:rPr>
      <w:rFonts w:ascii="Calibri" w:hAnsi="Calibri"/>
      <w:sz w:val="18"/>
      <w:szCs w:val="18"/>
    </w:rPr>
  </w:style>
  <w:style w:type="paragraph" w:styleId="31">
    <w:name w:val="Body Text Indent 3"/>
    <w:basedOn w:val="1"/>
    <w:link w:val="85"/>
    <w:qFormat/>
    <w:uiPriority w:val="0"/>
    <w:pPr>
      <w:spacing w:after="120"/>
      <w:ind w:left="420" w:leftChars="200"/>
    </w:pPr>
    <w:rPr>
      <w:kern w:val="0"/>
      <w:sz w:val="16"/>
      <w:szCs w:val="16"/>
    </w:rPr>
  </w:style>
  <w:style w:type="paragraph" w:styleId="32">
    <w:name w:val="table of figures"/>
    <w:basedOn w:val="1"/>
    <w:next w:val="1"/>
    <w:qFormat/>
    <w:uiPriority w:val="0"/>
    <w:pPr>
      <w:ind w:left="200" w:leftChars="200" w:hanging="200" w:hangingChars="200"/>
    </w:pPr>
  </w:style>
  <w:style w:type="paragraph" w:styleId="33">
    <w:name w:val="toc 2"/>
    <w:basedOn w:val="1"/>
    <w:next w:val="1"/>
    <w:qFormat/>
    <w:uiPriority w:val="39"/>
    <w:pPr>
      <w:ind w:left="210"/>
      <w:jc w:val="left"/>
    </w:pPr>
    <w:rPr>
      <w:rFonts w:ascii="Calibri" w:hAnsi="Calibri"/>
      <w:smallCaps/>
      <w:sz w:val="20"/>
      <w:szCs w:val="20"/>
    </w:rPr>
  </w:style>
  <w:style w:type="paragraph" w:styleId="34">
    <w:name w:val="toc 9"/>
    <w:basedOn w:val="1"/>
    <w:next w:val="1"/>
    <w:qFormat/>
    <w:uiPriority w:val="39"/>
    <w:pPr>
      <w:ind w:left="1680"/>
      <w:jc w:val="left"/>
    </w:pPr>
    <w:rPr>
      <w:rFonts w:ascii="Calibri" w:hAnsi="Calibri"/>
      <w:sz w:val="18"/>
      <w:szCs w:val="18"/>
    </w:rPr>
  </w:style>
  <w:style w:type="paragraph" w:styleId="35">
    <w:name w:val="HTML Preformatted"/>
    <w:basedOn w:val="1"/>
    <w:link w:val="95"/>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微软雅黑" w:hAnsi="微软雅黑" w:eastAsia="微软雅黑"/>
      <w:kern w:val="0"/>
      <w:sz w:val="24"/>
    </w:rPr>
  </w:style>
  <w:style w:type="paragraph" w:styleId="3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37">
    <w:name w:val="index 1"/>
    <w:basedOn w:val="1"/>
    <w:next w:val="1"/>
    <w:semiHidden/>
    <w:qFormat/>
    <w:uiPriority w:val="0"/>
    <w:pPr>
      <w:spacing w:line="360" w:lineRule="auto"/>
      <w:jc w:val="center"/>
    </w:pPr>
    <w:rPr>
      <w:rFonts w:ascii="宋体" w:hAnsi="Arial" w:cs="Arial"/>
      <w:b/>
      <w:color w:val="000000"/>
      <w:sz w:val="24"/>
    </w:rPr>
  </w:style>
  <w:style w:type="paragraph" w:styleId="38">
    <w:name w:val="Title"/>
    <w:basedOn w:val="1"/>
    <w:link w:val="78"/>
    <w:qFormat/>
    <w:uiPriority w:val="0"/>
    <w:pPr>
      <w:adjustRightInd w:val="0"/>
      <w:spacing w:before="240" w:after="60" w:line="420" w:lineRule="atLeast"/>
      <w:jc w:val="center"/>
      <w:textAlignment w:val="baseline"/>
      <w:outlineLvl w:val="0"/>
    </w:pPr>
    <w:rPr>
      <w:rFonts w:ascii="Arial" w:hAnsi="Arial"/>
      <w:b/>
      <w:kern w:val="0"/>
      <w:sz w:val="32"/>
      <w:szCs w:val="20"/>
    </w:rPr>
  </w:style>
  <w:style w:type="paragraph" w:styleId="39">
    <w:name w:val="annotation subject"/>
    <w:basedOn w:val="13"/>
    <w:next w:val="13"/>
    <w:link w:val="67"/>
    <w:qFormat/>
    <w:uiPriority w:val="0"/>
    <w:rPr>
      <w:b/>
      <w:bCs/>
    </w:rPr>
  </w:style>
  <w:style w:type="paragraph" w:styleId="40">
    <w:name w:val="Body Text First Indent 2"/>
    <w:basedOn w:val="16"/>
    <w:unhideWhenUsed/>
    <w:qFormat/>
    <w:uiPriority w:val="99"/>
    <w:pPr>
      <w:spacing w:after="120" w:line="240" w:lineRule="auto"/>
      <w:ind w:left="420" w:leftChars="200" w:firstLine="420" w:firstLineChars="200"/>
    </w:pPr>
  </w:style>
  <w:style w:type="table" w:styleId="42">
    <w:name w:val="Table Grid"/>
    <w:basedOn w:val="41"/>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qFormat/>
    <w:uiPriority w:val="0"/>
    <w:rPr>
      <w:b/>
      <w:bCs/>
    </w:rPr>
  </w:style>
  <w:style w:type="character" w:styleId="45">
    <w:name w:val="page number"/>
    <w:basedOn w:val="43"/>
    <w:qFormat/>
    <w:uiPriority w:val="0"/>
  </w:style>
  <w:style w:type="character" w:styleId="46">
    <w:name w:val="FollowedHyperlink"/>
    <w:qFormat/>
    <w:uiPriority w:val="0"/>
    <w:rPr>
      <w:color w:val="800080"/>
      <w:u w:val="single"/>
    </w:rPr>
  </w:style>
  <w:style w:type="character" w:styleId="47">
    <w:name w:val="Hyperlink"/>
    <w:qFormat/>
    <w:uiPriority w:val="99"/>
    <w:rPr>
      <w:color w:val="0000FF"/>
      <w:u w:val="single"/>
    </w:rPr>
  </w:style>
  <w:style w:type="character" w:styleId="48">
    <w:name w:val="annotation reference"/>
    <w:qFormat/>
    <w:uiPriority w:val="0"/>
    <w:rPr>
      <w:sz w:val="21"/>
      <w:szCs w:val="21"/>
    </w:rPr>
  </w:style>
  <w:style w:type="character" w:styleId="49">
    <w:name w:val="footnote reference"/>
    <w:qFormat/>
    <w:uiPriority w:val="0"/>
    <w:rPr>
      <w:vertAlign w:val="superscript"/>
    </w:rPr>
  </w:style>
  <w:style w:type="paragraph" w:customStyle="1" w:styleId="50">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1">
    <w:name w:val="目录 53"/>
    <w:next w:val="1"/>
    <w:qFormat/>
    <w:uiPriority w:val="0"/>
    <w:pPr>
      <w:wordWrap w:val="0"/>
      <w:ind w:left="1275"/>
      <w:jc w:val="both"/>
    </w:pPr>
    <w:rPr>
      <w:rFonts w:ascii="Times New Roman" w:hAnsi="Times New Roman" w:eastAsia="宋体" w:cs="Times New Roman"/>
      <w:sz w:val="21"/>
      <w:lang w:val="en-US" w:eastAsia="zh-CN" w:bidi="ar-SA"/>
    </w:rPr>
  </w:style>
  <w:style w:type="character" w:customStyle="1" w:styleId="52">
    <w:name w:val="apple-style-span"/>
    <w:qFormat/>
    <w:uiPriority w:val="0"/>
    <w:rPr>
      <w:rFonts w:ascii="Verdana" w:hAnsi="Verdana" w:eastAsia="宋体"/>
      <w:sz w:val="21"/>
      <w:lang w:val="en-US" w:eastAsia="en-US" w:bidi="ar-SA"/>
    </w:rPr>
  </w:style>
  <w:style w:type="character" w:customStyle="1" w:styleId="53">
    <w:name w:val="正文文本 3 Char1"/>
    <w:semiHidden/>
    <w:qFormat/>
    <w:uiPriority w:val="99"/>
    <w:rPr>
      <w:rFonts w:ascii="Times New Roman" w:hAnsi="Times New Roman" w:eastAsia="宋体" w:cs="Times New Roman"/>
      <w:sz w:val="16"/>
      <w:szCs w:val="16"/>
    </w:rPr>
  </w:style>
  <w:style w:type="character" w:customStyle="1" w:styleId="54">
    <w:name w:val="样式 宋体"/>
    <w:qFormat/>
    <w:uiPriority w:val="0"/>
    <w:rPr>
      <w:rFonts w:ascii="Times New Roman" w:hAnsi="Times New Roman" w:eastAsia="宋体"/>
      <w:sz w:val="21"/>
    </w:rPr>
  </w:style>
  <w:style w:type="character" w:customStyle="1" w:styleId="55">
    <w:name w:val="正文文本 (2) + 9.5 pt"/>
    <w:qFormat/>
    <w:uiPriority w:val="0"/>
    <w:rPr>
      <w:rFonts w:ascii="MingLiU" w:hAnsi="MingLiU" w:eastAsia="MingLiU" w:cs="MingLiU"/>
      <w:color w:val="000000"/>
      <w:spacing w:val="0"/>
      <w:w w:val="100"/>
      <w:position w:val="0"/>
      <w:sz w:val="19"/>
      <w:szCs w:val="19"/>
      <w:u w:val="none"/>
      <w:lang w:val="zh-TW" w:eastAsia="zh-TW" w:bidi="zh-TW"/>
    </w:rPr>
  </w:style>
  <w:style w:type="character" w:customStyle="1" w:styleId="56">
    <w:name w:val="标题 3 字符"/>
    <w:link w:val="5"/>
    <w:qFormat/>
    <w:uiPriority w:val="0"/>
    <w:rPr>
      <w:b/>
      <w:bCs/>
      <w:sz w:val="30"/>
      <w:szCs w:val="32"/>
      <w:lang w:bidi="ar-SA"/>
    </w:rPr>
  </w:style>
  <w:style w:type="character" w:customStyle="1" w:styleId="57">
    <w:name w:val="批注文字 字符"/>
    <w:link w:val="13"/>
    <w:semiHidden/>
    <w:qFormat/>
    <w:uiPriority w:val="99"/>
    <w:rPr>
      <w:rFonts w:ascii="Times New Roman" w:hAnsi="Times New Roman" w:eastAsia="宋体" w:cs="Times New Roman"/>
      <w:szCs w:val="24"/>
    </w:rPr>
  </w:style>
  <w:style w:type="character" w:customStyle="1" w:styleId="58">
    <w:name w:val="标题 6 字符"/>
    <w:link w:val="7"/>
    <w:qFormat/>
    <w:uiPriority w:val="0"/>
    <w:rPr>
      <w:rFonts w:ascii="Arial" w:hAnsi="Arial" w:eastAsia="黑体" w:cs="Times New Roman"/>
      <w:b/>
      <w:bCs/>
      <w:kern w:val="0"/>
      <w:sz w:val="24"/>
      <w:szCs w:val="24"/>
    </w:rPr>
  </w:style>
  <w:style w:type="character" w:customStyle="1" w:styleId="59">
    <w:name w:val="Char Char8"/>
    <w:qFormat/>
    <w:uiPriority w:val="0"/>
    <w:rPr>
      <w:rFonts w:ascii="Arial" w:hAnsi="Arial" w:eastAsia="黑体"/>
      <w:b/>
      <w:bCs/>
      <w:kern w:val="2"/>
      <w:sz w:val="32"/>
      <w:szCs w:val="32"/>
      <w:lang w:val="en-US" w:eastAsia="zh-CN" w:bidi="ar-SA"/>
    </w:rPr>
  </w:style>
  <w:style w:type="character" w:customStyle="1" w:styleId="60">
    <w:name w:val="脚注文本 Char1"/>
    <w:semiHidden/>
    <w:qFormat/>
    <w:uiPriority w:val="99"/>
    <w:rPr>
      <w:rFonts w:ascii="Times New Roman" w:hAnsi="Times New Roman" w:eastAsia="宋体" w:cs="Times New Roman"/>
      <w:sz w:val="18"/>
      <w:szCs w:val="18"/>
    </w:rPr>
  </w:style>
  <w:style w:type="character" w:customStyle="1" w:styleId="61">
    <w:name w:val="正文文本 3 字符"/>
    <w:link w:val="14"/>
    <w:qFormat/>
    <w:uiPriority w:val="0"/>
    <w:rPr>
      <w:rFonts w:ascii="宋体"/>
      <w:sz w:val="24"/>
    </w:rPr>
  </w:style>
  <w:style w:type="character" w:customStyle="1" w:styleId="62">
    <w:name w:val="页脚 Char1"/>
    <w:semiHidden/>
    <w:qFormat/>
    <w:uiPriority w:val="99"/>
    <w:rPr>
      <w:rFonts w:ascii="Times New Roman" w:hAnsi="Times New Roman" w:eastAsia="宋体" w:cs="Times New Roman"/>
      <w:sz w:val="18"/>
      <w:szCs w:val="18"/>
    </w:rPr>
  </w:style>
  <w:style w:type="character" w:customStyle="1" w:styleId="63">
    <w:name w:val="标题 Char1"/>
    <w:qFormat/>
    <w:uiPriority w:val="10"/>
    <w:rPr>
      <w:rFonts w:ascii="Calibri Light" w:hAnsi="Calibri Light" w:eastAsia="宋体" w:cs="Times New Roman"/>
      <w:b/>
      <w:bCs/>
      <w:sz w:val="32"/>
      <w:szCs w:val="32"/>
    </w:rPr>
  </w:style>
  <w:style w:type="character" w:customStyle="1" w:styleId="64">
    <w:name w:val="正文文本 字符"/>
    <w:link w:val="15"/>
    <w:qFormat/>
    <w:uiPriority w:val="0"/>
    <w:rPr>
      <w:rFonts w:eastAsia="宋体"/>
      <w:szCs w:val="24"/>
    </w:rPr>
  </w:style>
  <w:style w:type="character" w:customStyle="1" w:styleId="65">
    <w:name w:val="脚注文本 字符"/>
    <w:link w:val="29"/>
    <w:qFormat/>
    <w:uiPriority w:val="0"/>
    <w:rPr>
      <w:rFonts w:eastAsia="宋体"/>
    </w:rPr>
  </w:style>
  <w:style w:type="character" w:customStyle="1" w:styleId="66">
    <w:name w:val="纯文本 Char1"/>
    <w:semiHidden/>
    <w:qFormat/>
    <w:uiPriority w:val="99"/>
    <w:rPr>
      <w:rFonts w:ascii="宋体" w:hAnsi="Courier New" w:eastAsia="宋体" w:cs="Courier New"/>
      <w:szCs w:val="21"/>
    </w:rPr>
  </w:style>
  <w:style w:type="character" w:customStyle="1" w:styleId="67">
    <w:name w:val="批注主题 字符"/>
    <w:link w:val="39"/>
    <w:qFormat/>
    <w:uiPriority w:val="0"/>
    <w:rPr>
      <w:rFonts w:ascii="Times New Roman" w:hAnsi="Times New Roman" w:eastAsia="宋体" w:cs="Times New Roman"/>
      <w:b/>
      <w:bCs/>
      <w:szCs w:val="24"/>
    </w:rPr>
  </w:style>
  <w:style w:type="character" w:customStyle="1" w:styleId="68">
    <w:name w:val="正文缩进 字符"/>
    <w:link w:val="2"/>
    <w:qFormat/>
    <w:locked/>
    <w:uiPriority w:val="0"/>
    <w:rPr>
      <w:kern w:val="2"/>
      <w:sz w:val="21"/>
      <w:szCs w:val="24"/>
    </w:rPr>
  </w:style>
  <w:style w:type="character" w:customStyle="1" w:styleId="69">
    <w:name w:val="font11"/>
    <w:qFormat/>
    <w:uiPriority w:val="0"/>
    <w:rPr>
      <w:rFonts w:hint="default" w:ascii="Times New Roman" w:hAnsi="Times New Roman" w:cs="Times New Roman"/>
      <w:color w:val="000000"/>
      <w:sz w:val="22"/>
      <w:szCs w:val="22"/>
      <w:u w:val="none"/>
    </w:rPr>
  </w:style>
  <w:style w:type="character" w:customStyle="1" w:styleId="70">
    <w:name w:val="font01"/>
    <w:qFormat/>
    <w:uiPriority w:val="0"/>
    <w:rPr>
      <w:rFonts w:hint="eastAsia" w:ascii="宋体" w:hAnsi="宋体" w:eastAsia="宋体" w:cs="宋体"/>
      <w:color w:val="000000"/>
      <w:sz w:val="22"/>
      <w:szCs w:val="22"/>
      <w:u w:val="none"/>
    </w:rPr>
  </w:style>
  <w:style w:type="character" w:customStyle="1" w:styleId="71">
    <w:name w:val="页眉 字符"/>
    <w:link w:val="26"/>
    <w:qFormat/>
    <w:uiPriority w:val="0"/>
    <w:rPr>
      <w:rFonts w:ascii="Times New Roman" w:hAnsi="Times New Roman" w:eastAsia="宋体" w:cs="Times New Roman"/>
      <w:sz w:val="18"/>
      <w:szCs w:val="18"/>
    </w:rPr>
  </w:style>
  <w:style w:type="character" w:customStyle="1" w:styleId="72">
    <w:name w:val="标题 9 字符"/>
    <w:link w:val="10"/>
    <w:qFormat/>
    <w:uiPriority w:val="0"/>
    <w:rPr>
      <w:rFonts w:ascii="Arial" w:hAnsi="Arial" w:eastAsia="黑体" w:cs="Times New Roman"/>
      <w:kern w:val="0"/>
      <w:szCs w:val="21"/>
    </w:rPr>
  </w:style>
  <w:style w:type="character" w:customStyle="1" w:styleId="73">
    <w:name w:val="标题 2 Char1"/>
    <w:qFormat/>
    <w:uiPriority w:val="0"/>
    <w:rPr>
      <w:rFonts w:ascii="Arial" w:hAnsi="Arial" w:eastAsia="黑体" w:cs="Times New Roman"/>
      <w:b/>
      <w:bCs/>
      <w:sz w:val="32"/>
      <w:szCs w:val="32"/>
      <w:lang w:val="en-US" w:eastAsia="en-US" w:bidi="ar-SA"/>
    </w:rPr>
  </w:style>
  <w:style w:type="character" w:customStyle="1" w:styleId="74">
    <w:name w:val="正文文本缩进 字符"/>
    <w:link w:val="16"/>
    <w:qFormat/>
    <w:uiPriority w:val="0"/>
    <w:rPr>
      <w:szCs w:val="24"/>
    </w:rPr>
  </w:style>
  <w:style w:type="character" w:customStyle="1" w:styleId="75">
    <w:name w:val="文档结构图 字符"/>
    <w:link w:val="12"/>
    <w:qFormat/>
    <w:uiPriority w:val="0"/>
    <w:rPr>
      <w:rFonts w:ascii="Times New Roman" w:hAnsi="Times New Roman" w:eastAsia="宋体" w:cs="Times New Roman"/>
      <w:szCs w:val="24"/>
      <w:shd w:val="clear" w:color="auto" w:fill="000080"/>
    </w:rPr>
  </w:style>
  <w:style w:type="character" w:customStyle="1" w:styleId="76">
    <w:name w:val="font161"/>
    <w:qFormat/>
    <w:uiPriority w:val="0"/>
    <w:rPr>
      <w:b/>
      <w:bCs/>
      <w:sz w:val="32"/>
      <w:szCs w:val="32"/>
    </w:rPr>
  </w:style>
  <w:style w:type="character" w:customStyle="1" w:styleId="77">
    <w:name w:val="标题 2 字符"/>
    <w:link w:val="4"/>
    <w:qFormat/>
    <w:uiPriority w:val="0"/>
    <w:rPr>
      <w:rFonts w:ascii="Arial" w:hAnsi="Arial" w:eastAsiaTheme="minorEastAsia"/>
      <w:bCs/>
      <w:sz w:val="24"/>
      <w:szCs w:val="32"/>
      <w:lang w:bidi="ar-SA"/>
    </w:rPr>
  </w:style>
  <w:style w:type="character" w:customStyle="1" w:styleId="78">
    <w:name w:val="标题 字符"/>
    <w:link w:val="38"/>
    <w:qFormat/>
    <w:uiPriority w:val="0"/>
    <w:rPr>
      <w:rFonts w:ascii="Arial" w:hAnsi="Arial"/>
      <w:b/>
      <w:sz w:val="32"/>
    </w:rPr>
  </w:style>
  <w:style w:type="character" w:customStyle="1" w:styleId="79">
    <w:name w:val="批注框文本 字符"/>
    <w:link w:val="24"/>
    <w:qFormat/>
    <w:uiPriority w:val="0"/>
    <w:rPr>
      <w:rFonts w:ascii="Times New Roman" w:hAnsi="Times New Roman" w:eastAsia="宋体" w:cs="Times New Roman"/>
      <w:sz w:val="18"/>
      <w:szCs w:val="18"/>
    </w:rPr>
  </w:style>
  <w:style w:type="character" w:customStyle="1" w:styleId="80">
    <w:name w:val="标题 8 字符"/>
    <w:link w:val="9"/>
    <w:qFormat/>
    <w:uiPriority w:val="0"/>
    <w:rPr>
      <w:rFonts w:ascii="Arial" w:hAnsi="Arial" w:eastAsia="黑体" w:cs="Times New Roman"/>
      <w:kern w:val="0"/>
      <w:sz w:val="24"/>
      <w:szCs w:val="24"/>
    </w:rPr>
  </w:style>
  <w:style w:type="character" w:customStyle="1" w:styleId="81">
    <w:name w:val="日期 字符"/>
    <w:link w:val="22"/>
    <w:qFormat/>
    <w:uiPriority w:val="99"/>
    <w:rPr>
      <w:rFonts w:ascii="Times New Roman" w:hAnsi="Times New Roman" w:eastAsia="宋体" w:cs="Times New Roman"/>
      <w:sz w:val="24"/>
      <w:szCs w:val="20"/>
    </w:rPr>
  </w:style>
  <w:style w:type="character" w:customStyle="1" w:styleId="82">
    <w:name w:val="标题 1 字符"/>
    <w:link w:val="3"/>
    <w:qFormat/>
    <w:uiPriority w:val="0"/>
    <w:rPr>
      <w:rFonts w:ascii="Times New Roman" w:hAnsi="Times New Roman" w:eastAsia="宋体"/>
      <w:b/>
      <w:bCs/>
      <w:kern w:val="44"/>
      <w:sz w:val="44"/>
      <w:szCs w:val="44"/>
      <w:lang w:bidi="ar-SA"/>
    </w:rPr>
  </w:style>
  <w:style w:type="character" w:customStyle="1" w:styleId="83">
    <w:name w:val="招标节 Char"/>
    <w:link w:val="84"/>
    <w:qFormat/>
    <w:locked/>
    <w:uiPriority w:val="0"/>
    <w:rPr>
      <w:b/>
      <w:sz w:val="24"/>
      <w:szCs w:val="24"/>
    </w:rPr>
  </w:style>
  <w:style w:type="paragraph" w:customStyle="1" w:styleId="84">
    <w:name w:val="招标节"/>
    <w:basedOn w:val="1"/>
    <w:next w:val="1"/>
    <w:link w:val="83"/>
    <w:qFormat/>
    <w:uiPriority w:val="0"/>
    <w:pPr>
      <w:spacing w:beforeLines="50" w:afterLines="50"/>
      <w:outlineLvl w:val="1"/>
    </w:pPr>
    <w:rPr>
      <w:b/>
      <w:kern w:val="0"/>
      <w:sz w:val="24"/>
    </w:rPr>
  </w:style>
  <w:style w:type="character" w:customStyle="1" w:styleId="85">
    <w:name w:val="正文文本缩进 3 字符"/>
    <w:link w:val="31"/>
    <w:qFormat/>
    <w:uiPriority w:val="0"/>
    <w:rPr>
      <w:rFonts w:ascii="Times New Roman" w:hAnsi="Times New Roman" w:eastAsia="宋体" w:cs="Times New Roman"/>
      <w:sz w:val="16"/>
      <w:szCs w:val="16"/>
    </w:rPr>
  </w:style>
  <w:style w:type="character" w:customStyle="1" w:styleId="86">
    <w:name w:val="tpc_content1"/>
    <w:qFormat/>
    <w:uiPriority w:val="0"/>
    <w:rPr>
      <w:sz w:val="20"/>
      <w:szCs w:val="20"/>
    </w:rPr>
  </w:style>
  <w:style w:type="character" w:customStyle="1" w:styleId="87">
    <w:name w:val="Char Char"/>
    <w:qFormat/>
    <w:uiPriority w:val="0"/>
    <w:rPr>
      <w:rFonts w:ascii="Arial" w:hAnsi="Arial" w:eastAsiaTheme="minorEastAsia"/>
      <w:bCs/>
      <w:kern w:val="2"/>
      <w:sz w:val="32"/>
      <w:szCs w:val="32"/>
      <w:lang w:val="en-US" w:eastAsia="zh-CN" w:bidi="ar-SA"/>
    </w:rPr>
  </w:style>
  <w:style w:type="character" w:customStyle="1" w:styleId="88">
    <w:name w:val="正文文本 Char1"/>
    <w:semiHidden/>
    <w:qFormat/>
    <w:uiPriority w:val="99"/>
    <w:rPr>
      <w:rFonts w:ascii="Times New Roman" w:hAnsi="Times New Roman" w:eastAsia="宋体" w:cs="Times New Roman"/>
      <w:szCs w:val="24"/>
    </w:rPr>
  </w:style>
  <w:style w:type="character" w:customStyle="1" w:styleId="89">
    <w:name w:val="Char Char2"/>
    <w:qFormat/>
    <w:uiPriority w:val="0"/>
    <w:rPr>
      <w:rFonts w:eastAsia="宋体"/>
      <w:kern w:val="2"/>
      <w:sz w:val="21"/>
      <w:szCs w:val="24"/>
      <w:lang w:val="en-US" w:eastAsia="zh-CN" w:bidi="ar-SA"/>
    </w:rPr>
  </w:style>
  <w:style w:type="character" w:customStyle="1" w:styleId="90">
    <w:name w:val="apple-converted-space"/>
    <w:qFormat/>
    <w:uiPriority w:val="0"/>
  </w:style>
  <w:style w:type="character" w:customStyle="1" w:styleId="91">
    <w:name w:val="标题 4 字符"/>
    <w:link w:val="6"/>
    <w:qFormat/>
    <w:uiPriority w:val="0"/>
    <w:rPr>
      <w:rFonts w:ascii="Arial" w:hAnsi="Arial" w:eastAsiaTheme="minorEastAsia"/>
      <w:bCs/>
      <w:sz w:val="24"/>
      <w:szCs w:val="28"/>
      <w:lang w:bidi="ar-SA"/>
    </w:rPr>
  </w:style>
  <w:style w:type="character" w:customStyle="1" w:styleId="92">
    <w:name w:val="正文文本缩进 Char1"/>
    <w:semiHidden/>
    <w:qFormat/>
    <w:uiPriority w:val="99"/>
    <w:rPr>
      <w:rFonts w:ascii="Times New Roman" w:hAnsi="Times New Roman" w:eastAsia="宋体" w:cs="Times New Roman"/>
      <w:szCs w:val="24"/>
    </w:rPr>
  </w:style>
  <w:style w:type="character" w:customStyle="1" w:styleId="93">
    <w:name w:val="页脚 字符"/>
    <w:link w:val="25"/>
    <w:qFormat/>
    <w:uiPriority w:val="0"/>
    <w:rPr>
      <w:sz w:val="18"/>
      <w:szCs w:val="18"/>
    </w:rPr>
  </w:style>
  <w:style w:type="character" w:customStyle="1" w:styleId="94">
    <w:name w:val="Char Char7"/>
    <w:qFormat/>
    <w:uiPriority w:val="0"/>
    <w:rPr>
      <w:rFonts w:ascii="Arial" w:hAnsi="Arial" w:eastAsia="黑体"/>
      <w:b/>
      <w:bCs/>
      <w:kern w:val="2"/>
      <w:sz w:val="32"/>
      <w:szCs w:val="32"/>
      <w:lang w:val="en-US" w:eastAsia="zh-CN" w:bidi="ar-SA"/>
    </w:rPr>
  </w:style>
  <w:style w:type="character" w:customStyle="1" w:styleId="95">
    <w:name w:val="HTML 预设格式 字符"/>
    <w:link w:val="35"/>
    <w:qFormat/>
    <w:uiPriority w:val="0"/>
    <w:rPr>
      <w:rFonts w:ascii="微软雅黑" w:hAnsi="微软雅黑" w:eastAsia="微软雅黑" w:cs="Times New Roman"/>
      <w:kern w:val="0"/>
      <w:sz w:val="24"/>
      <w:szCs w:val="24"/>
    </w:rPr>
  </w:style>
  <w:style w:type="character" w:customStyle="1" w:styleId="96">
    <w:name w:val="批注文字 Char"/>
    <w:qFormat/>
    <w:uiPriority w:val="0"/>
    <w:rPr>
      <w:rFonts w:eastAsia="宋体"/>
      <w:kern w:val="2"/>
      <w:sz w:val="21"/>
      <w:szCs w:val="24"/>
      <w:lang w:val="en-US" w:eastAsia="zh-CN" w:bidi="ar-SA"/>
    </w:rPr>
  </w:style>
  <w:style w:type="character" w:customStyle="1" w:styleId="97">
    <w:name w:val="纯文本 字符"/>
    <w:link w:val="20"/>
    <w:qFormat/>
    <w:uiPriority w:val="99"/>
    <w:rPr>
      <w:rFonts w:ascii="Courier New" w:hAnsi="Courier New"/>
    </w:rPr>
  </w:style>
  <w:style w:type="character" w:customStyle="1" w:styleId="98">
    <w:name w:val="标题 7 字符"/>
    <w:link w:val="8"/>
    <w:qFormat/>
    <w:uiPriority w:val="0"/>
    <w:rPr>
      <w:rFonts w:ascii="Times New Roman" w:hAnsi="Times New Roman" w:eastAsia="宋体" w:cs="Times New Roman"/>
      <w:b/>
      <w:bCs/>
      <w:kern w:val="0"/>
      <w:sz w:val="24"/>
      <w:szCs w:val="24"/>
    </w:rPr>
  </w:style>
  <w:style w:type="paragraph" w:customStyle="1" w:styleId="99">
    <w:name w:val="样式4"/>
    <w:basedOn w:val="5"/>
    <w:qFormat/>
    <w:uiPriority w:val="0"/>
    <w:rPr>
      <w:rFonts w:eastAsia="Arial"/>
    </w:rPr>
  </w:style>
  <w:style w:type="paragraph" w:customStyle="1" w:styleId="100">
    <w:name w:val="Normal_95"/>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01">
    <w:name w:val="Normal_67"/>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02">
    <w:name w:val="font10"/>
    <w:basedOn w:val="1"/>
    <w:qFormat/>
    <w:uiPriority w:val="0"/>
    <w:pPr>
      <w:widowControl/>
      <w:spacing w:before="100" w:beforeAutospacing="1" w:after="100" w:afterAutospacing="1"/>
      <w:jc w:val="left"/>
    </w:pPr>
    <w:rPr>
      <w:kern w:val="0"/>
      <w:sz w:val="28"/>
      <w:szCs w:val="28"/>
    </w:rPr>
  </w:style>
  <w:style w:type="paragraph" w:customStyle="1" w:styleId="103">
    <w:name w:val="Normal_53"/>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04">
    <w:name w:val="Normal_60"/>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05">
    <w:name w:val="样式1"/>
    <w:basedOn w:val="5"/>
    <w:qFormat/>
    <w:uiPriority w:val="0"/>
    <w:rPr>
      <w:rFonts w:eastAsia="Arial"/>
    </w:rPr>
  </w:style>
  <w:style w:type="paragraph" w:customStyle="1" w:styleId="106">
    <w:name w:val="Normal_250"/>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07">
    <w:name w:val="Normal_57"/>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08">
    <w:name w:val="Char"/>
    <w:basedOn w:val="1"/>
    <w:qFormat/>
    <w:uiPriority w:val="0"/>
    <w:pPr>
      <w:tabs>
        <w:tab w:val="left" w:pos="360"/>
      </w:tabs>
    </w:pPr>
    <w:rPr>
      <w:sz w:val="24"/>
    </w:rPr>
  </w:style>
  <w:style w:type="paragraph" w:customStyle="1" w:styleId="109">
    <w:name w:val="Normal_93"/>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10">
    <w:name w:val="表格"/>
    <w:basedOn w:val="1"/>
    <w:qFormat/>
    <w:uiPriority w:val="0"/>
    <w:pPr>
      <w:jc w:val="center"/>
      <w:textAlignment w:val="center"/>
    </w:pPr>
    <w:rPr>
      <w:rFonts w:ascii="华文细黑" w:hAnsi="华文细黑"/>
      <w:kern w:val="0"/>
      <w:szCs w:val="20"/>
    </w:rPr>
  </w:style>
  <w:style w:type="paragraph" w:customStyle="1" w:styleId="111">
    <w:name w:val="Normal_55"/>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12">
    <w:name w:val="Normal_61"/>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13">
    <w:name w:val="Normal_68"/>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14">
    <w:name w:val="样式 居中 首行缩进:  2 字符"/>
    <w:basedOn w:val="1"/>
    <w:qFormat/>
    <w:uiPriority w:val="0"/>
    <w:pPr>
      <w:widowControl/>
      <w:spacing w:line="360" w:lineRule="auto"/>
      <w:ind w:firstLine="480" w:firstLineChars="200"/>
      <w:jc w:val="center"/>
    </w:pPr>
    <w:rPr>
      <w:rFonts w:ascii="Calibri" w:hAnsi="Calibri" w:cs="宋体"/>
      <w:kern w:val="0"/>
      <w:szCs w:val="20"/>
      <w:lang w:eastAsia="en-US" w:bidi="en-US"/>
    </w:rPr>
  </w:style>
  <w:style w:type="paragraph" w:customStyle="1" w:styleId="115">
    <w:name w:val="Normal_63"/>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16">
    <w:name w:val="Normal_51"/>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17">
    <w:name w:val="Normal_59"/>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18">
    <w:name w:val="Normal_66"/>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19">
    <w:name w:val="Normal_64"/>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20">
    <w:name w:val="列表段落1"/>
    <w:basedOn w:val="1"/>
    <w:qFormat/>
    <w:uiPriority w:val="34"/>
    <w:pPr>
      <w:ind w:firstLine="420" w:firstLineChars="200"/>
    </w:pPr>
    <w:rPr>
      <w:rFonts w:ascii="Calibri" w:hAnsi="Calibri"/>
      <w:szCs w:val="22"/>
    </w:rPr>
  </w:style>
  <w:style w:type="paragraph" w:customStyle="1" w:styleId="121">
    <w:name w:val="样式 标题 2 + Times New Roman 四号 非加粗 段前: 5 磅 段后: 0 磅 行距: 固定值 20..."/>
    <w:basedOn w:val="4"/>
    <w:qFormat/>
    <w:uiPriority w:val="0"/>
    <w:pPr>
      <w:spacing w:before="100" w:after="0" w:line="400" w:lineRule="exact"/>
    </w:pPr>
    <w:rPr>
      <w:rFonts w:ascii="Times New Roman" w:hAnsi="Times New Roman" w:cs="宋体"/>
      <w:b/>
      <w:bCs w:val="0"/>
      <w:sz w:val="28"/>
      <w:szCs w:val="20"/>
    </w:rPr>
  </w:style>
  <w:style w:type="paragraph" w:customStyle="1" w:styleId="122">
    <w:name w:val="Normal_50"/>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23">
    <w:name w:val="Normal_65"/>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24">
    <w:name w:val="表中"/>
    <w:basedOn w:val="1"/>
    <w:qFormat/>
    <w:uiPriority w:val="0"/>
    <w:pPr>
      <w:autoSpaceDE w:val="0"/>
      <w:autoSpaceDN w:val="0"/>
      <w:adjustRightInd w:val="0"/>
      <w:spacing w:line="360" w:lineRule="atLeast"/>
      <w:jc w:val="center"/>
    </w:pPr>
    <w:rPr>
      <w:rFonts w:ascii="宋体"/>
      <w:kern w:val="0"/>
      <w:szCs w:val="20"/>
    </w:rPr>
  </w:style>
  <w:style w:type="paragraph" w:customStyle="1" w:styleId="125">
    <w:name w:val="样式 标题 1 + 黑体 三号 非加粗 居中 段前: 6 磅 段后: 6 磅 行距: 固定值 20 磅"/>
    <w:basedOn w:val="3"/>
    <w:qFormat/>
    <w:uiPriority w:val="0"/>
    <w:pPr>
      <w:spacing w:before="120" w:after="120" w:line="400" w:lineRule="exact"/>
    </w:pPr>
    <w:rPr>
      <w:rFonts w:ascii="黑体" w:hAnsi="黑体" w:eastAsia="黑体" w:cs="宋体"/>
      <w:b w:val="0"/>
      <w:bCs w:val="0"/>
      <w:sz w:val="32"/>
      <w:szCs w:val="20"/>
    </w:rPr>
  </w:style>
  <w:style w:type="paragraph" w:customStyle="1" w:styleId="126">
    <w:name w:val="1"/>
    <w:basedOn w:val="1"/>
    <w:next w:val="1"/>
    <w:qFormat/>
    <w:uiPriority w:val="99"/>
  </w:style>
  <w:style w:type="paragraph" w:customStyle="1" w:styleId="127">
    <w:name w:val="Normal_58"/>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28">
    <w:name w:val="Normal_56"/>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29">
    <w:name w:val="规范文本"/>
    <w:basedOn w:val="20"/>
    <w:qFormat/>
    <w:uiPriority w:val="0"/>
    <w:pPr>
      <w:adjustRightInd w:val="0"/>
      <w:snapToGrid w:val="0"/>
      <w:spacing w:line="360" w:lineRule="exact"/>
      <w:ind w:firstLine="420"/>
    </w:pPr>
    <w:rPr>
      <w:rFonts w:ascii="宋体"/>
      <w:snapToGrid w:val="0"/>
      <w:szCs w:val="21"/>
    </w:rPr>
  </w:style>
  <w:style w:type="paragraph" w:customStyle="1" w:styleId="130">
    <w:name w:val="样式 标题 2 + Times New Roman 四号 非加粗 行距: 单倍行距"/>
    <w:basedOn w:val="4"/>
    <w:qFormat/>
    <w:uiPriority w:val="0"/>
    <w:pPr>
      <w:spacing w:before="0" w:after="0" w:line="240" w:lineRule="auto"/>
      <w:jc w:val="center"/>
    </w:pPr>
    <w:rPr>
      <w:rFonts w:ascii="宋体" w:hAnsi="宋体" w:eastAsia="宋体"/>
      <w:bCs w:val="0"/>
      <w:color w:val="000000"/>
      <w:kern w:val="44"/>
      <w:sz w:val="28"/>
      <w:szCs w:val="28"/>
    </w:rPr>
  </w:style>
  <w:style w:type="paragraph" w:customStyle="1" w:styleId="131">
    <w:name w:val="节"/>
    <w:basedOn w:val="20"/>
    <w:qFormat/>
    <w:uiPriority w:val="0"/>
    <w:pPr>
      <w:adjustRightInd w:val="0"/>
      <w:snapToGrid w:val="0"/>
      <w:spacing w:before="600" w:after="600"/>
      <w:jc w:val="center"/>
      <w:outlineLvl w:val="2"/>
    </w:pPr>
    <w:rPr>
      <w:rFonts w:ascii="黑体" w:eastAsia="黑体"/>
      <w:snapToGrid w:val="0"/>
      <w:w w:val="90"/>
      <w:sz w:val="32"/>
    </w:rPr>
  </w:style>
  <w:style w:type="paragraph" w:customStyle="1" w:styleId="132">
    <w:name w:val="Normal_82"/>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33">
    <w:name w:val="样式3"/>
    <w:basedOn w:val="5"/>
    <w:qFormat/>
    <w:uiPriority w:val="0"/>
    <w:rPr>
      <w:rFonts w:eastAsia="Arial"/>
    </w:rPr>
  </w:style>
  <w:style w:type="paragraph" w:customStyle="1" w:styleId="134">
    <w:name w:val="Normal_96"/>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35">
    <w:name w:val="Normal_52"/>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36">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137">
    <w:name w:val="Normal_92"/>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38">
    <w:name w:val="正文文本 (15)"/>
    <w:basedOn w:val="1"/>
    <w:qFormat/>
    <w:uiPriority w:val="0"/>
    <w:pPr>
      <w:shd w:val="clear" w:color="auto" w:fill="FFFFFF"/>
      <w:spacing w:line="0" w:lineRule="atLeast"/>
      <w:jc w:val="left"/>
    </w:pPr>
    <w:rPr>
      <w:rFonts w:ascii="MingLiU" w:hAnsi="MingLiU" w:eastAsia="MingLiU"/>
      <w:spacing w:val="10"/>
      <w:kern w:val="0"/>
      <w:sz w:val="19"/>
      <w:szCs w:val="19"/>
    </w:rPr>
  </w:style>
  <w:style w:type="paragraph" w:customStyle="1" w:styleId="139">
    <w:name w:val="Normal_94"/>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40">
    <w:name w:val="Normal_48"/>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41">
    <w:name w:val="正文文本 (2)"/>
    <w:basedOn w:val="1"/>
    <w:qFormat/>
    <w:uiPriority w:val="0"/>
    <w:pPr>
      <w:shd w:val="clear" w:color="auto" w:fill="FFFFFF"/>
      <w:spacing w:before="300" w:line="439" w:lineRule="exact"/>
      <w:jc w:val="distribute"/>
    </w:pPr>
    <w:rPr>
      <w:rFonts w:ascii="MingLiU" w:hAnsi="MingLiU" w:eastAsia="MingLiU"/>
      <w:kern w:val="0"/>
      <w:sz w:val="22"/>
      <w:szCs w:val="22"/>
    </w:rPr>
  </w:style>
  <w:style w:type="paragraph" w:customStyle="1" w:styleId="142">
    <w:name w:val="设计说明2"/>
    <w:basedOn w:val="1"/>
    <w:qFormat/>
    <w:uiPriority w:val="0"/>
    <w:pPr>
      <w:numPr>
        <w:ilvl w:val="1"/>
        <w:numId w:val="1"/>
      </w:numPr>
      <w:tabs>
        <w:tab w:val="left" w:pos="630"/>
      </w:tabs>
      <w:spacing w:before="120" w:after="120" w:line="400" w:lineRule="exact"/>
      <w:jc w:val="left"/>
      <w:outlineLvl w:val="1"/>
    </w:pPr>
    <w:rPr>
      <w:rFonts w:ascii="新宋体" w:hAnsi="新宋体"/>
      <w:b/>
      <w:sz w:val="28"/>
      <w:szCs w:val="20"/>
    </w:rPr>
  </w:style>
  <w:style w:type="paragraph" w:customStyle="1" w:styleId="143">
    <w:name w:val="Normal_62"/>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44">
    <w:name w:val="样式 宋体 左 首行缩进:  2 字符"/>
    <w:basedOn w:val="1"/>
    <w:qFormat/>
    <w:uiPriority w:val="0"/>
    <w:pPr>
      <w:widowControl/>
      <w:spacing w:line="360" w:lineRule="auto"/>
      <w:ind w:firstLine="200" w:firstLineChars="200"/>
    </w:pPr>
    <w:rPr>
      <w:rFonts w:cs="宋体"/>
      <w:kern w:val="0"/>
      <w:szCs w:val="20"/>
      <w:lang w:eastAsia="en-US" w:bidi="en-US"/>
    </w:rPr>
  </w:style>
  <w:style w:type="paragraph" w:customStyle="1" w:styleId="145">
    <w:name w:val="Normal_54"/>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46">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47">
    <w:name w:val="第二"/>
    <w:basedOn w:val="1"/>
    <w:qFormat/>
    <w:uiPriority w:val="0"/>
    <w:pPr>
      <w:adjustRightInd w:val="0"/>
      <w:snapToGrid w:val="0"/>
      <w:spacing w:line="360" w:lineRule="auto"/>
      <w:ind w:right="-108" w:rightChars="-45" w:firstLine="482"/>
    </w:pPr>
    <w:rPr>
      <w:b/>
    </w:rPr>
  </w:style>
  <w:style w:type="paragraph" w:customStyle="1" w:styleId="148">
    <w:name w:val="样式 标题 3 + (中文) 黑体 小四 非加粗 段前: 7.8 磅 段后: 0 磅 行距: 固定值 20 磅"/>
    <w:basedOn w:val="5"/>
    <w:qFormat/>
    <w:uiPriority w:val="0"/>
    <w:pPr>
      <w:spacing w:before="0" w:after="0" w:line="400" w:lineRule="exact"/>
    </w:pPr>
    <w:rPr>
      <w:rFonts w:eastAsia="黑体" w:cs="宋体"/>
      <w:b w:val="0"/>
      <w:bCs w:val="0"/>
      <w:sz w:val="24"/>
      <w:szCs w:val="20"/>
    </w:rPr>
  </w:style>
  <w:style w:type="paragraph" w:customStyle="1" w:styleId="149">
    <w:name w:val="xl27"/>
    <w:basedOn w:val="1"/>
    <w:qFormat/>
    <w:uiPriority w:val="0"/>
    <w:pPr>
      <w:widowControl/>
      <w:spacing w:before="100" w:beforeAutospacing="1" w:after="100" w:afterAutospacing="1"/>
      <w:jc w:val="center"/>
      <w:textAlignment w:val="center"/>
    </w:pPr>
    <w:rPr>
      <w:rFonts w:ascii="Arial Unicode MS" w:hAnsi="Arial Unicode MS" w:eastAsia="Arial Unicode MS"/>
      <w:kern w:val="0"/>
      <w:sz w:val="24"/>
    </w:rPr>
  </w:style>
  <w:style w:type="paragraph" w:customStyle="1" w:styleId="150">
    <w:name w:val="内容"/>
    <w:basedOn w:val="1"/>
    <w:qFormat/>
    <w:uiPriority w:val="0"/>
    <w:pPr>
      <w:spacing w:line="480" w:lineRule="exact"/>
      <w:ind w:firstLine="200" w:firstLineChars="200"/>
    </w:pPr>
  </w:style>
  <w:style w:type="paragraph" w:customStyle="1" w:styleId="151">
    <w:name w:val="正文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52">
    <w:name w:val="Normal_49"/>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53">
    <w:name w:val="列出段落1"/>
    <w:basedOn w:val="1"/>
    <w:qFormat/>
    <w:uiPriority w:val="99"/>
    <w:pPr>
      <w:ind w:firstLine="420" w:firstLineChars="200"/>
    </w:pPr>
  </w:style>
  <w:style w:type="paragraph" w:customStyle="1" w:styleId="154">
    <w:name w:val="Normal_47"/>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55">
    <w:name w:val="表格文字"/>
    <w:basedOn w:val="1"/>
    <w:qFormat/>
    <w:uiPriority w:val="0"/>
    <w:pPr>
      <w:adjustRightInd w:val="0"/>
      <w:spacing w:line="420" w:lineRule="atLeast"/>
      <w:jc w:val="left"/>
      <w:textAlignment w:val="baseline"/>
    </w:pPr>
    <w:rPr>
      <w:kern w:val="0"/>
      <w:szCs w:val="20"/>
    </w:rPr>
  </w:style>
  <w:style w:type="paragraph" w:customStyle="1" w:styleId="156">
    <w:name w:val="须知内容"/>
    <w:qFormat/>
    <w:uiPriority w:val="0"/>
    <w:pPr>
      <w:tabs>
        <w:tab w:val="left" w:pos="5140"/>
        <w:tab w:val="left" w:pos="8520"/>
      </w:tabs>
      <w:adjustRightInd w:val="0"/>
      <w:snapToGrid w:val="0"/>
      <w:spacing w:line="320" w:lineRule="atLeast"/>
    </w:pPr>
    <w:rPr>
      <w:rFonts w:ascii="仿宋_GB2312" w:hAnsi="宋体" w:eastAsia="仿宋_GB2312" w:cs="Times New Roman"/>
      <w:kern w:val="2"/>
      <w:sz w:val="21"/>
      <w:szCs w:val="21"/>
      <w:lang w:val="en-US" w:eastAsia="zh-CN" w:bidi="ar-SA"/>
    </w:rPr>
  </w:style>
  <w:style w:type="paragraph" w:customStyle="1" w:styleId="157">
    <w:name w:val="样式2"/>
    <w:basedOn w:val="5"/>
    <w:qFormat/>
    <w:uiPriority w:val="0"/>
  </w:style>
  <w:style w:type="paragraph" w:customStyle="1" w:styleId="158">
    <w:name w:val="UserStyle_0"/>
    <w:qFormat/>
    <w:uiPriority w:val="0"/>
    <w:rPr>
      <w:rFonts w:ascii="方正黑体_GBK" w:hAnsi="方正黑体_GBK" w:eastAsia="方正黑体_GBK" w:cs="Times New Roman"/>
      <w:color w:val="000000"/>
      <w:sz w:val="24"/>
      <w:szCs w:val="22"/>
      <w:lang w:val="en-US" w:eastAsia="zh-CN" w:bidi="ar-SA"/>
    </w:rPr>
  </w:style>
  <w:style w:type="paragraph" w:customStyle="1" w:styleId="159">
    <w:name w:val="无间隔11"/>
    <w:qFormat/>
    <w:uiPriority w:val="0"/>
    <w:pPr>
      <w:adjustRightInd w:val="0"/>
      <w:snapToGrid w:val="0"/>
    </w:pPr>
    <w:rPr>
      <w:rFonts w:ascii="Tahoma" w:hAnsi="Tahoma" w:eastAsia="微软雅黑" w:cstheme="minorBidi"/>
      <w:sz w:val="22"/>
      <w:szCs w:val="22"/>
      <w:lang w:val="en-US" w:eastAsia="zh-CN" w:bidi="ar-SA"/>
    </w:rPr>
  </w:style>
  <w:style w:type="character" w:customStyle="1" w:styleId="160">
    <w:name w:val="标题 1 Char Char"/>
    <w:basedOn w:val="43"/>
    <w:qFormat/>
    <w:uiPriority w:val="0"/>
    <w:rPr>
      <w:rFonts w:eastAsia="宋体"/>
      <w:b/>
      <w:spacing w:val="-2"/>
      <w:sz w:val="24"/>
      <w:lang w:val="en-US" w:eastAsia="zh-CN" w:bidi="ar-SA"/>
    </w:rPr>
  </w:style>
  <w:style w:type="paragraph" w:customStyle="1" w:styleId="161">
    <w:name w:val="Char1"/>
    <w:basedOn w:val="1"/>
    <w:qFormat/>
    <w:uiPriority w:val="0"/>
    <w:rPr>
      <w:rFonts w:ascii="Tahoma" w:hAnsi="Tahoma"/>
      <w:sz w:val="24"/>
      <w:szCs w:val="20"/>
    </w:rPr>
  </w:style>
  <w:style w:type="paragraph" w:customStyle="1" w:styleId="162">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163">
    <w:name w:val="正文_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4">
    <w:name w:val="正文_14"/>
    <w:qFormat/>
    <w:uiPriority w:val="0"/>
    <w:rPr>
      <w:rFonts w:ascii="Times New Roman" w:hAnsi="Times New Roman" w:eastAsia="宋体" w:cs="Times New Roman"/>
      <w:sz w:val="21"/>
      <w:szCs w:val="22"/>
      <w:lang w:val="en-US" w:eastAsia="zh-CN" w:bidi="ar-SA"/>
    </w:rPr>
  </w:style>
  <w:style w:type="paragraph" w:customStyle="1" w:styleId="165">
    <w:name w:val="正文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6">
    <w:name w:val="正文_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7">
    <w:name w:val="正文_1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8">
    <w:name w:val="纯文本_3"/>
    <w:basedOn w:val="167"/>
    <w:qFormat/>
    <w:uiPriority w:val="0"/>
    <w:pPr>
      <w:widowControl/>
      <w:jc w:val="left"/>
    </w:pPr>
    <w:rPr>
      <w:rFonts w:ascii="宋体" w:hAnsi="Courier New" w:eastAsiaTheme="minorEastAsia" w:cstheme="minorBidi"/>
      <w:szCs w:val="21"/>
    </w:rPr>
  </w:style>
  <w:style w:type="paragraph" w:customStyle="1" w:styleId="169">
    <w:name w:val="纯文本_0_1"/>
    <w:basedOn w:val="1"/>
    <w:qFormat/>
    <w:uiPriority w:val="0"/>
    <w:pPr>
      <w:widowControl/>
      <w:jc w:val="left"/>
    </w:pPr>
    <w:rPr>
      <w:rFonts w:ascii="宋体" w:hAnsi="Courier New" w:eastAsiaTheme="minorEastAsia" w:cstheme="minorBidi"/>
      <w:szCs w:val="21"/>
    </w:rPr>
  </w:style>
  <w:style w:type="paragraph" w:customStyle="1" w:styleId="170">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1">
    <w:name w:val="正文_2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72">
    <w:name w:val="font91"/>
    <w:basedOn w:val="43"/>
    <w:qFormat/>
    <w:uiPriority w:val="0"/>
    <w:rPr>
      <w:rFonts w:hint="eastAsia" w:ascii="宋体" w:hAnsi="宋体" w:eastAsia="宋体" w:cs="宋体"/>
      <w:color w:val="FF0000"/>
      <w:sz w:val="18"/>
      <w:szCs w:val="18"/>
      <w:u w:val="none"/>
    </w:rPr>
  </w:style>
  <w:style w:type="paragraph" w:customStyle="1" w:styleId="173">
    <w:name w:val="List Paragraph"/>
    <w:basedOn w:val="1"/>
    <w:qFormat/>
    <w:uiPriority w:val="99"/>
    <w:pPr>
      <w:ind w:firstLine="420" w:firstLineChars="200"/>
    </w:pPr>
  </w:style>
  <w:style w:type="paragraph" w:customStyle="1" w:styleId="174">
    <w:name w:val="TOC Heading"/>
    <w:basedOn w:val="3"/>
    <w:next w:val="1"/>
    <w:unhideWhenUsed/>
    <w:qFormat/>
    <w:uiPriority w:val="39"/>
    <w:pPr>
      <w:widowControl/>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lang w:bidi="hi-IN"/>
    </w:rPr>
  </w:style>
  <w:style w:type="paragraph" w:customStyle="1" w:styleId="175">
    <w:name w:val="附件"/>
    <w:next w:val="1"/>
    <w:qFormat/>
    <w:uiPriority w:val="0"/>
    <w:pPr>
      <w:tabs>
        <w:tab w:val="right" w:leader="dot" w:pos="9402"/>
      </w:tabs>
      <w:spacing w:line="400" w:lineRule="exact"/>
      <w:jc w:val="center"/>
      <w:outlineLvl w:val="0"/>
    </w:pPr>
    <w:rPr>
      <w:rFonts w:ascii="Times New Roman" w:hAnsi="Times New Roman" w:eastAsia="方正黑体_GBK" w:cs="Times New Roman"/>
      <w:b/>
      <w:bCs/>
      <w:smallCaps/>
      <w:kern w:val="2"/>
      <w:sz w:val="2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8" Type="http://schemas.openxmlformats.org/officeDocument/2006/relationships/fontTable" Target="fontTable.xml"/><Relationship Id="rId67" Type="http://schemas.openxmlformats.org/officeDocument/2006/relationships/customXml" Target="../customXml/item2.xml"/><Relationship Id="rId66" Type="http://schemas.openxmlformats.org/officeDocument/2006/relationships/numbering" Target="numbering.xml"/><Relationship Id="rId65" Type="http://schemas.openxmlformats.org/officeDocument/2006/relationships/customXml" Target="../customXml/item1.xml"/><Relationship Id="rId64" Type="http://schemas.openxmlformats.org/officeDocument/2006/relationships/image" Target="media/image50.png"/><Relationship Id="rId63" Type="http://schemas.openxmlformats.org/officeDocument/2006/relationships/image" Target="media/image49.png"/><Relationship Id="rId62" Type="http://schemas.openxmlformats.org/officeDocument/2006/relationships/image" Target="media/image48.png"/><Relationship Id="rId61" Type="http://schemas.openxmlformats.org/officeDocument/2006/relationships/image" Target="media/image47.png"/><Relationship Id="rId60" Type="http://schemas.openxmlformats.org/officeDocument/2006/relationships/image" Target="media/image46.png"/><Relationship Id="rId6" Type="http://schemas.openxmlformats.org/officeDocument/2006/relationships/footer" Target="footer3.xml"/><Relationship Id="rId59" Type="http://schemas.openxmlformats.org/officeDocument/2006/relationships/image" Target="media/image45.png"/><Relationship Id="rId58" Type="http://schemas.openxmlformats.org/officeDocument/2006/relationships/image" Target="media/image44.png"/><Relationship Id="rId57" Type="http://schemas.openxmlformats.org/officeDocument/2006/relationships/image" Target="media/image43.png"/><Relationship Id="rId56" Type="http://schemas.openxmlformats.org/officeDocument/2006/relationships/image" Target="media/image42.png"/><Relationship Id="rId55" Type="http://schemas.openxmlformats.org/officeDocument/2006/relationships/image" Target="media/image41.png"/><Relationship Id="rId54" Type="http://schemas.openxmlformats.org/officeDocument/2006/relationships/image" Target="media/image40.png"/><Relationship Id="rId53" Type="http://schemas.openxmlformats.org/officeDocument/2006/relationships/image" Target="media/image39.png"/><Relationship Id="rId52" Type="http://schemas.openxmlformats.org/officeDocument/2006/relationships/image" Target="media/image38.png"/><Relationship Id="rId51" Type="http://schemas.openxmlformats.org/officeDocument/2006/relationships/image" Target="media/image37.png"/><Relationship Id="rId50" Type="http://schemas.openxmlformats.org/officeDocument/2006/relationships/image" Target="media/image36.png"/><Relationship Id="rId5" Type="http://schemas.openxmlformats.org/officeDocument/2006/relationships/footer" Target="footer2.xml"/><Relationship Id="rId49" Type="http://schemas.openxmlformats.org/officeDocument/2006/relationships/image" Target="media/image35.png"/><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footer" Target="footer1.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0726B4-2830-415E-A1C9-D937857F3B1F}">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142</Pages>
  <Words>24670</Words>
  <Characters>31493</Characters>
  <Lines>120</Lines>
  <Paragraphs>33</Paragraphs>
  <TotalTime>14</TotalTime>
  <ScaleCrop>false</ScaleCrop>
  <LinksUpToDate>false</LinksUpToDate>
  <CharactersWithSpaces>38301</CharactersWithSpaces>
  <Application>WPS Office_11.8.2.11542_F1E327BC-269C-435d-A152-05C5408002CA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2023-03-17T03:10:00Z</dcterms:created>
  <dc:creator>陈桂兰</dc:creator>
  <cp:lastModifiedBy>哈皮扭几儿</cp:lastModifiedBy>
  <cp:lastPrinted>2020-05-11T07:11:00Z</cp:lastPrinted>
  <dcterms:modified xsi:type="dcterms:W3CDTF">2023-10-08T03:23:31Z</dcterms:modified>
  <dc:title>项目名称：2019年重庆市取消高速公路省界收费站项目</dc:title>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2052-11.8.2.11542</vt:lpwstr>
  </property>
  <property fmtid="{D5CDD505-2E9C-101B-9397-08002B2CF9AE}" pid="3" name="ICV">
    <vt:lpwstr>3259D10717FA4245932BCDD2F185147E</vt:lpwstr>
  </property>
</Properties>
</file>