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_GBK" w:eastAsia="方正小标宋_GBK"/>
          <w:sz w:val="32"/>
          <w:szCs w:val="32"/>
        </w:rPr>
      </w:pPr>
      <w:bookmarkStart w:id="0" w:name="OLE_LINK1"/>
      <w:r>
        <w:rPr>
          <w:rFonts w:hint="eastAsia" w:ascii="方正小标宋_GBK" w:eastAsia="方正小标宋_GBK"/>
          <w:sz w:val="32"/>
          <w:szCs w:val="32"/>
        </w:rPr>
        <w:t>重庆港万州港区新田作业区二期工程浮式起重机趸船建造及附属设备采购一标段</w:t>
      </w:r>
    </w:p>
    <w:p>
      <w:pPr>
        <w:spacing w:line="400" w:lineRule="exact"/>
        <w:jc w:val="center"/>
        <w:rPr>
          <w:rFonts w:ascii="方正小标宋_GBK" w:eastAsia="方正小标宋_GBK"/>
          <w:sz w:val="32"/>
          <w:szCs w:val="32"/>
        </w:rPr>
      </w:pPr>
      <w:r>
        <w:rPr>
          <w:rFonts w:hint="eastAsia" w:ascii="方正小标宋_GBK" w:eastAsia="方正小标宋_GBK"/>
          <w:sz w:val="32"/>
          <w:szCs w:val="32"/>
        </w:rPr>
        <w:t>中标候选人公示</w:t>
      </w:r>
    </w:p>
    <w:p>
      <w:pPr>
        <w:spacing w:line="400" w:lineRule="exact"/>
        <w:jc w:val="center"/>
        <w:rPr>
          <w:rFonts w:ascii="方正小标宋_GBK" w:eastAsia="方正小标宋_GBK"/>
          <w:sz w:val="24"/>
          <w:szCs w:val="30"/>
        </w:rPr>
      </w:pPr>
      <w:r>
        <w:rPr>
          <w:rFonts w:hint="eastAsia" w:ascii="方正小标宋_GBK" w:eastAsia="方正小标宋_GBK"/>
          <w:sz w:val="24"/>
          <w:szCs w:val="30"/>
        </w:rPr>
        <w:t>（公示期：2023年</w:t>
      </w:r>
      <w:r>
        <w:rPr>
          <w:rFonts w:ascii="方正小标宋_GBK" w:eastAsia="方正小标宋_GBK"/>
          <w:sz w:val="24"/>
          <w:szCs w:val="30"/>
        </w:rPr>
        <w:t>11</w:t>
      </w:r>
      <w:r>
        <w:rPr>
          <w:rFonts w:hint="eastAsia" w:ascii="方正小标宋_GBK" w:eastAsia="方正小标宋_GBK"/>
          <w:sz w:val="24"/>
          <w:szCs w:val="30"/>
        </w:rPr>
        <w:t>月</w:t>
      </w:r>
      <w:r>
        <w:rPr>
          <w:rFonts w:ascii="方正小标宋_GBK" w:eastAsia="方正小标宋_GBK"/>
          <w:sz w:val="24"/>
          <w:szCs w:val="30"/>
        </w:rPr>
        <w:t>10</w:t>
      </w:r>
      <w:r>
        <w:rPr>
          <w:rFonts w:hint="eastAsia" w:ascii="方正小标宋_GBK" w:eastAsia="方正小标宋_GBK"/>
          <w:sz w:val="24"/>
          <w:szCs w:val="30"/>
        </w:rPr>
        <w:t>日至2023年</w:t>
      </w:r>
      <w:r>
        <w:rPr>
          <w:rFonts w:ascii="方正小标宋_GBK" w:eastAsia="方正小标宋_GBK"/>
          <w:sz w:val="24"/>
          <w:szCs w:val="30"/>
        </w:rPr>
        <w:t>11</w:t>
      </w:r>
      <w:r>
        <w:rPr>
          <w:rFonts w:hint="eastAsia" w:ascii="方正小标宋_GBK" w:eastAsia="方正小标宋_GBK"/>
          <w:sz w:val="24"/>
          <w:szCs w:val="30"/>
        </w:rPr>
        <w:t>月</w:t>
      </w:r>
      <w:r>
        <w:rPr>
          <w:rFonts w:ascii="方正小标宋_GBK" w:eastAsia="方正小标宋_GBK"/>
          <w:sz w:val="24"/>
          <w:szCs w:val="30"/>
        </w:rPr>
        <w:t>13</w:t>
      </w:r>
      <w:r>
        <w:rPr>
          <w:rFonts w:hint="eastAsia" w:ascii="方正小标宋_GBK" w:eastAsia="方正小标宋_GBK"/>
          <w:sz w:val="24"/>
          <w:szCs w:val="30"/>
        </w:rPr>
        <w:t>日）</w:t>
      </w:r>
    </w:p>
    <w:tbl>
      <w:tblPr>
        <w:tblStyle w:val="6"/>
        <w:tblW w:w="9899" w:type="dxa"/>
        <w:jc w:val="center"/>
        <w:tblLayout w:type="fixed"/>
        <w:tblCellMar>
          <w:top w:w="0" w:type="dxa"/>
          <w:left w:w="108" w:type="dxa"/>
          <w:bottom w:w="0" w:type="dxa"/>
          <w:right w:w="108" w:type="dxa"/>
        </w:tblCellMar>
      </w:tblPr>
      <w:tblGrid>
        <w:gridCol w:w="1483"/>
        <w:gridCol w:w="2324"/>
        <w:gridCol w:w="1503"/>
        <w:gridCol w:w="123"/>
        <w:gridCol w:w="836"/>
        <w:gridCol w:w="1839"/>
        <w:gridCol w:w="179"/>
        <w:gridCol w:w="1612"/>
      </w:tblGrid>
      <w:tr>
        <w:tblPrEx>
          <w:tblCellMar>
            <w:top w:w="0" w:type="dxa"/>
            <w:left w:w="108" w:type="dxa"/>
            <w:bottom w:w="0" w:type="dxa"/>
            <w:right w:w="108" w:type="dxa"/>
          </w:tblCellMar>
        </w:tblPrEx>
        <w:trPr>
          <w:trHeight w:val="420" w:hRule="atLeast"/>
          <w:jc w:val="center"/>
        </w:trPr>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项目标段名称</w:t>
            </w:r>
          </w:p>
        </w:tc>
        <w:tc>
          <w:tcPr>
            <w:tcW w:w="478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重庆港万州港区新田作业区二期工程浮式起重机趸船建造及附属设备采购一标段</w:t>
            </w:r>
          </w:p>
        </w:tc>
        <w:tc>
          <w:tcPr>
            <w:tcW w:w="2018" w:type="dxa"/>
            <w:gridSpan w:val="2"/>
            <w:vMerge w:val="restart"/>
            <w:tcBorders>
              <w:top w:val="single" w:color="auto" w:sz="4" w:space="0"/>
              <w:left w:val="nil"/>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最高限价（或招标控制价）（元）</w:t>
            </w:r>
          </w:p>
        </w:tc>
        <w:tc>
          <w:tcPr>
            <w:tcW w:w="1612" w:type="dxa"/>
            <w:vMerge w:val="restart"/>
            <w:tcBorders>
              <w:top w:val="single" w:color="auto" w:sz="4" w:space="0"/>
              <w:left w:val="nil"/>
              <w:right w:val="single" w:color="000000"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68637500.00</w:t>
            </w:r>
          </w:p>
        </w:tc>
      </w:tr>
      <w:tr>
        <w:tblPrEx>
          <w:tblCellMar>
            <w:top w:w="0" w:type="dxa"/>
            <w:left w:w="108" w:type="dxa"/>
            <w:bottom w:w="0" w:type="dxa"/>
            <w:right w:w="108" w:type="dxa"/>
          </w:tblCellMar>
        </w:tblPrEx>
        <w:trPr>
          <w:trHeight w:val="420" w:hRule="atLeast"/>
          <w:jc w:val="center"/>
        </w:trPr>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项目编码</w:t>
            </w:r>
          </w:p>
        </w:tc>
        <w:tc>
          <w:tcPr>
            <w:tcW w:w="478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cs="宋体" w:asciiTheme="minorEastAsia" w:hAnsiTheme="minorEastAsia"/>
                <w:color w:val="000000"/>
                <w:kern w:val="0"/>
                <w:szCs w:val="21"/>
              </w:rPr>
              <w:t>50000120231011001030101</w:t>
            </w:r>
          </w:p>
        </w:tc>
        <w:tc>
          <w:tcPr>
            <w:tcW w:w="2018" w:type="dxa"/>
            <w:gridSpan w:val="2"/>
            <w:vMerge w:val="continue"/>
            <w:tcBorders>
              <w:left w:val="nil"/>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1612" w:type="dxa"/>
            <w:vMerge w:val="continue"/>
            <w:tcBorders>
              <w:left w:val="nil"/>
              <w:right w:val="single" w:color="000000" w:sz="4" w:space="0"/>
            </w:tcBorders>
            <w:shd w:val="clear" w:color="auto" w:fill="auto"/>
            <w:vAlign w:val="center"/>
          </w:tcPr>
          <w:p>
            <w:pPr>
              <w:widowControl/>
              <w:jc w:val="center"/>
              <w:rPr>
                <w:rFonts w:cs="Calibri" w:asciiTheme="minorEastAsia" w:hAnsiTheme="minorEastAsia"/>
                <w:color w:val="000000"/>
                <w:kern w:val="0"/>
                <w:szCs w:val="21"/>
              </w:rPr>
            </w:pPr>
          </w:p>
        </w:tc>
      </w:tr>
      <w:tr>
        <w:tblPrEx>
          <w:tblCellMar>
            <w:top w:w="0" w:type="dxa"/>
            <w:left w:w="108" w:type="dxa"/>
            <w:bottom w:w="0" w:type="dxa"/>
            <w:right w:w="108" w:type="dxa"/>
          </w:tblCellMar>
        </w:tblPrEx>
        <w:trPr>
          <w:trHeight w:val="420" w:hRule="atLeast"/>
          <w:jc w:val="center"/>
        </w:trPr>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招标公告编号</w:t>
            </w:r>
          </w:p>
        </w:tc>
        <w:tc>
          <w:tcPr>
            <w:tcW w:w="478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2018"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1612" w:type="dxa"/>
            <w:vMerge w:val="continue"/>
            <w:tcBorders>
              <w:left w:val="nil"/>
              <w:bottom w:val="single" w:color="auto" w:sz="4" w:space="0"/>
              <w:right w:val="single" w:color="000000" w:sz="4" w:space="0"/>
            </w:tcBorders>
            <w:shd w:val="clear" w:color="auto" w:fill="auto"/>
            <w:vAlign w:val="center"/>
          </w:tcPr>
          <w:p>
            <w:pPr>
              <w:widowControl/>
              <w:jc w:val="center"/>
              <w:rPr>
                <w:rFonts w:cs="Calibri" w:asciiTheme="minorEastAsia" w:hAnsiTheme="minorEastAsia"/>
                <w:color w:val="000000"/>
                <w:kern w:val="0"/>
                <w:szCs w:val="21"/>
              </w:rPr>
            </w:pPr>
          </w:p>
        </w:tc>
      </w:tr>
      <w:tr>
        <w:tblPrEx>
          <w:tblCellMar>
            <w:top w:w="0" w:type="dxa"/>
            <w:left w:w="108" w:type="dxa"/>
            <w:bottom w:w="0" w:type="dxa"/>
            <w:right w:w="108" w:type="dxa"/>
          </w:tblCellMar>
        </w:tblPrEx>
        <w:trPr>
          <w:trHeight w:val="479" w:hRule="atLeast"/>
          <w:jc w:val="center"/>
        </w:trPr>
        <w:tc>
          <w:tcPr>
            <w:tcW w:w="14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招标人</w:t>
            </w:r>
          </w:p>
        </w:tc>
        <w:tc>
          <w:tcPr>
            <w:tcW w:w="478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ascii="Times New Roman" w:hAnsi="Times New Roman" w:eastAsia="宋体" w:cs="Times New Roman"/>
                <w:szCs w:val="21"/>
                <w:lang w:bidi="ar"/>
              </w:rPr>
              <w:t>重庆川渝三峡港口物流有限公司</w:t>
            </w:r>
          </w:p>
        </w:tc>
        <w:tc>
          <w:tcPr>
            <w:tcW w:w="201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招标人联系电话</w:t>
            </w:r>
          </w:p>
        </w:tc>
        <w:tc>
          <w:tcPr>
            <w:tcW w:w="16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snapToGrid w:val="0"/>
                <w:szCs w:val="21"/>
                <w:lang w:val="en-US" w:eastAsia="zh-CN" w:bidi="ar"/>
              </w:rPr>
            </w:pPr>
            <w:r>
              <w:rPr>
                <w:rFonts w:hint="eastAsia" w:ascii="宋体" w:hAnsi="宋体" w:eastAsia="宋体" w:cs="宋体"/>
                <w:snapToGrid w:val="0"/>
                <w:szCs w:val="21"/>
                <w:lang w:bidi="ar"/>
              </w:rPr>
              <w:t>023-</w:t>
            </w:r>
            <w:r>
              <w:rPr>
                <w:rFonts w:hint="eastAsia" w:ascii="宋体" w:hAnsi="宋体" w:eastAsia="宋体" w:cs="宋体"/>
                <w:snapToGrid w:val="0"/>
                <w:szCs w:val="21"/>
                <w:lang w:val="en-US" w:eastAsia="zh-CN" w:bidi="ar"/>
              </w:rPr>
              <w:t>58552178</w:t>
            </w:r>
          </w:p>
        </w:tc>
      </w:tr>
      <w:tr>
        <w:tblPrEx>
          <w:tblCellMar>
            <w:top w:w="0" w:type="dxa"/>
            <w:left w:w="108" w:type="dxa"/>
            <w:bottom w:w="0" w:type="dxa"/>
            <w:right w:w="108" w:type="dxa"/>
          </w:tblCellMar>
        </w:tblPrEx>
        <w:trPr>
          <w:trHeight w:val="557" w:hRule="atLeast"/>
          <w:jc w:val="center"/>
        </w:trPr>
        <w:tc>
          <w:tcPr>
            <w:tcW w:w="14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招标代理机构</w:t>
            </w:r>
          </w:p>
        </w:tc>
        <w:tc>
          <w:tcPr>
            <w:tcW w:w="478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重庆国际投资咨询集团有限公司</w:t>
            </w:r>
          </w:p>
        </w:tc>
        <w:tc>
          <w:tcPr>
            <w:tcW w:w="201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招标代理机构联系电话</w:t>
            </w:r>
          </w:p>
        </w:tc>
        <w:tc>
          <w:tcPr>
            <w:tcW w:w="16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Cs w:val="21"/>
              </w:rPr>
            </w:pPr>
            <w:r>
              <w:rPr>
                <w:rFonts w:ascii="宋体" w:hAnsi="宋体" w:eastAsia="宋体" w:cs="宋体"/>
                <w:snapToGrid w:val="0"/>
                <w:szCs w:val="21"/>
                <w:lang w:bidi="ar"/>
              </w:rPr>
              <w:t>023-67107374</w:t>
            </w:r>
          </w:p>
        </w:tc>
      </w:tr>
      <w:tr>
        <w:tblPrEx>
          <w:tblCellMar>
            <w:top w:w="0" w:type="dxa"/>
            <w:left w:w="108" w:type="dxa"/>
            <w:bottom w:w="0" w:type="dxa"/>
            <w:right w:w="108" w:type="dxa"/>
          </w:tblCellMar>
        </w:tblPrEx>
        <w:trPr>
          <w:trHeight w:val="747" w:hRule="atLeast"/>
          <w:jc w:val="center"/>
        </w:trPr>
        <w:tc>
          <w:tcPr>
            <w:tcW w:w="14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中标候选人排序</w:t>
            </w:r>
          </w:p>
        </w:tc>
        <w:tc>
          <w:tcPr>
            <w:tcW w:w="2324"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名称</w:t>
            </w:r>
          </w:p>
        </w:tc>
        <w:tc>
          <w:tcPr>
            <w:tcW w:w="1503" w:type="dxa"/>
            <w:tcBorders>
              <w:top w:val="nil"/>
              <w:left w:val="single" w:color="auto" w:sz="4" w:space="0"/>
              <w:bottom w:val="nil"/>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投标总报价（元）</w:t>
            </w:r>
          </w:p>
        </w:tc>
        <w:tc>
          <w:tcPr>
            <w:tcW w:w="2798" w:type="dxa"/>
            <w:gridSpan w:val="3"/>
            <w:tcBorders>
              <w:top w:val="nil"/>
              <w:left w:val="single" w:color="auto" w:sz="4" w:space="0"/>
              <w:bottom w:val="nil"/>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ascii="Times New Roman" w:hAnsi="Times New Roman" w:eastAsia="宋体" w:cs="Times New Roman"/>
                <w:snapToGrid w:val="0"/>
                <w:szCs w:val="21"/>
                <w:lang w:bidi="ar"/>
              </w:rPr>
              <w:t>交货期</w:t>
            </w:r>
          </w:p>
        </w:tc>
        <w:tc>
          <w:tcPr>
            <w:tcW w:w="17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hint="eastAsia" w:cs="宋体" w:asciiTheme="minorEastAsia" w:hAnsiTheme="minorEastAsia"/>
                <w:color w:val="000000"/>
                <w:kern w:val="0"/>
                <w:szCs w:val="21"/>
              </w:rPr>
              <w:t>质量</w:t>
            </w:r>
          </w:p>
        </w:tc>
      </w:tr>
      <w:tr>
        <w:tblPrEx>
          <w:tblCellMar>
            <w:top w:w="0" w:type="dxa"/>
            <w:left w:w="108" w:type="dxa"/>
            <w:bottom w:w="0" w:type="dxa"/>
            <w:right w:w="108" w:type="dxa"/>
          </w:tblCellMar>
        </w:tblPrEx>
        <w:trPr>
          <w:trHeight w:val="870" w:hRule="atLeast"/>
          <w:jc w:val="center"/>
        </w:trPr>
        <w:tc>
          <w:tcPr>
            <w:tcW w:w="14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第一名</w:t>
            </w:r>
          </w:p>
        </w:tc>
        <w:tc>
          <w:tcPr>
            <w:tcW w:w="232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Cs w:val="21"/>
              </w:rPr>
            </w:pPr>
            <w:r>
              <w:rPr>
                <w:rFonts w:hint="eastAsia" w:cs="Calibri" w:asciiTheme="minorEastAsia" w:hAnsiTheme="minorEastAsia"/>
                <w:color w:val="000000"/>
                <w:kern w:val="0"/>
                <w:szCs w:val="21"/>
              </w:rPr>
              <w:t>枝江盛懋船业有限公司</w:t>
            </w:r>
          </w:p>
        </w:tc>
        <w:tc>
          <w:tcPr>
            <w:tcW w:w="15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新宋体" w:cs="Calibri" w:asciiTheme="minorEastAsia" w:hAnsiTheme="minorEastAsia"/>
                <w:color w:val="000000"/>
                <w:kern w:val="0"/>
                <w:szCs w:val="21"/>
              </w:rPr>
            </w:pPr>
            <w:r>
              <w:rPr>
                <w:rFonts w:eastAsia="新宋体" w:cs="Calibri" w:asciiTheme="minorEastAsia" w:hAnsiTheme="minorEastAsia"/>
                <w:color w:val="000000"/>
                <w:kern w:val="0"/>
                <w:szCs w:val="21"/>
              </w:rPr>
              <w:t>67669368.40</w:t>
            </w:r>
          </w:p>
        </w:tc>
        <w:tc>
          <w:tcPr>
            <w:tcW w:w="279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达到招标文件要求</w:t>
            </w:r>
          </w:p>
        </w:tc>
        <w:tc>
          <w:tcPr>
            <w:tcW w:w="17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达到招标文件要求</w:t>
            </w:r>
          </w:p>
        </w:tc>
      </w:tr>
      <w:tr>
        <w:tblPrEx>
          <w:tblCellMar>
            <w:top w:w="0" w:type="dxa"/>
            <w:left w:w="108" w:type="dxa"/>
            <w:bottom w:w="0" w:type="dxa"/>
            <w:right w:w="108" w:type="dxa"/>
          </w:tblCellMar>
        </w:tblPrEx>
        <w:trPr>
          <w:trHeight w:val="870" w:hRule="atLeast"/>
          <w:jc w:val="center"/>
        </w:trPr>
        <w:tc>
          <w:tcPr>
            <w:tcW w:w="14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第二名</w:t>
            </w:r>
          </w:p>
        </w:tc>
        <w:tc>
          <w:tcPr>
            <w:tcW w:w="2324" w:type="dxa"/>
            <w:tcBorders>
              <w:top w:val="nil"/>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Cs w:val="21"/>
              </w:rPr>
            </w:pPr>
            <w:r>
              <w:rPr>
                <w:rFonts w:hint="eastAsia" w:cs="Calibri" w:asciiTheme="minorEastAsia" w:hAnsiTheme="minorEastAsia"/>
                <w:color w:val="000000"/>
                <w:kern w:val="0"/>
                <w:szCs w:val="21"/>
              </w:rPr>
              <w:t>中国葛洲坝集团机械船舶有限公司</w:t>
            </w:r>
          </w:p>
        </w:tc>
        <w:tc>
          <w:tcPr>
            <w:tcW w:w="1503" w:type="dxa"/>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66289695.00</w:t>
            </w:r>
          </w:p>
        </w:tc>
        <w:tc>
          <w:tcPr>
            <w:tcW w:w="2798" w:type="dxa"/>
            <w:gridSpan w:val="3"/>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达到招标文件要求</w:t>
            </w:r>
          </w:p>
        </w:tc>
        <w:tc>
          <w:tcPr>
            <w:tcW w:w="17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达到招标文件要求</w:t>
            </w:r>
          </w:p>
        </w:tc>
      </w:tr>
      <w:tr>
        <w:tblPrEx>
          <w:tblCellMar>
            <w:top w:w="0" w:type="dxa"/>
            <w:left w:w="108" w:type="dxa"/>
            <w:bottom w:w="0" w:type="dxa"/>
            <w:right w:w="108" w:type="dxa"/>
          </w:tblCellMar>
        </w:tblPrEx>
        <w:trPr>
          <w:trHeight w:val="1145" w:hRule="atLeast"/>
          <w:jc w:val="center"/>
        </w:trPr>
        <w:tc>
          <w:tcPr>
            <w:tcW w:w="14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第三名</w:t>
            </w:r>
          </w:p>
        </w:tc>
        <w:tc>
          <w:tcPr>
            <w:tcW w:w="2324" w:type="dxa"/>
            <w:tcBorders>
              <w:top w:val="nil"/>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Cs w:val="21"/>
              </w:rPr>
            </w:pPr>
            <w:r>
              <w:rPr>
                <w:rFonts w:hint="eastAsia" w:cs="Calibri" w:asciiTheme="minorEastAsia" w:hAnsiTheme="minorEastAsia"/>
                <w:color w:val="000000"/>
                <w:kern w:val="0"/>
                <w:szCs w:val="21"/>
              </w:rPr>
              <w:t>湖北合创重工有限公司</w:t>
            </w:r>
          </w:p>
        </w:tc>
        <w:tc>
          <w:tcPr>
            <w:tcW w:w="1503" w:type="dxa"/>
            <w:tcBorders>
              <w:top w:val="nil"/>
              <w:left w:val="nil"/>
              <w:bottom w:val="single" w:color="auto" w:sz="4" w:space="0"/>
              <w:right w:val="single" w:color="auto" w:sz="4" w:space="0"/>
            </w:tcBorders>
            <w:shd w:val="clear" w:color="auto" w:fill="auto"/>
            <w:vAlign w:val="center"/>
          </w:tcPr>
          <w:p>
            <w:pPr>
              <w:widowControl/>
              <w:jc w:val="center"/>
              <w:rPr>
                <w:rFonts w:eastAsia="新宋体" w:cs="Calibri" w:asciiTheme="minorEastAsia" w:hAnsiTheme="minorEastAsia"/>
                <w:color w:val="000000"/>
                <w:kern w:val="0"/>
                <w:szCs w:val="21"/>
              </w:rPr>
            </w:pPr>
            <w:r>
              <w:rPr>
                <w:rFonts w:eastAsia="新宋体" w:cs="Calibri" w:asciiTheme="minorEastAsia" w:hAnsiTheme="minorEastAsia"/>
                <w:color w:val="000000"/>
                <w:kern w:val="0"/>
                <w:szCs w:val="21"/>
              </w:rPr>
              <w:t>68230000.00</w:t>
            </w:r>
          </w:p>
        </w:tc>
        <w:tc>
          <w:tcPr>
            <w:tcW w:w="2798" w:type="dxa"/>
            <w:gridSpan w:val="3"/>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达到招标文件</w:t>
            </w:r>
          </w:p>
        </w:tc>
        <w:tc>
          <w:tcPr>
            <w:tcW w:w="1791" w:type="dxa"/>
            <w:gridSpan w:val="2"/>
            <w:tcBorders>
              <w:top w:val="nil"/>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达到招标文件要求</w:t>
            </w:r>
          </w:p>
        </w:tc>
      </w:tr>
      <w:tr>
        <w:tblPrEx>
          <w:tblCellMar>
            <w:top w:w="0" w:type="dxa"/>
            <w:left w:w="108" w:type="dxa"/>
            <w:bottom w:w="0" w:type="dxa"/>
            <w:right w:w="108" w:type="dxa"/>
          </w:tblCellMar>
        </w:tblPrEx>
        <w:trPr>
          <w:trHeight w:val="4350" w:hRule="atLeast"/>
          <w:jc w:val="center"/>
        </w:trPr>
        <w:tc>
          <w:tcPr>
            <w:tcW w:w="14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中标候选人响应招标文件要求的资格能力条件</w:t>
            </w:r>
          </w:p>
        </w:tc>
        <w:tc>
          <w:tcPr>
            <w:tcW w:w="8416" w:type="dxa"/>
            <w:gridSpan w:val="7"/>
            <w:tcBorders>
              <w:top w:val="single" w:color="auto" w:sz="4" w:space="0"/>
              <w:left w:val="nil"/>
              <w:bottom w:val="single" w:color="auto" w:sz="4" w:space="0"/>
              <w:right w:val="single" w:color="000000" w:sz="4" w:space="0"/>
            </w:tcBorders>
            <w:shd w:val="clear" w:color="auto" w:fill="auto"/>
            <w:vAlign w:val="center"/>
          </w:tcPr>
          <w:p>
            <w:pPr>
              <w:widowControl/>
              <w:ind w:firstLine="420" w:firstLineChars="200"/>
              <w:jc w:val="left"/>
              <w:rPr>
                <w:rFonts w:ascii="宋体" w:hAnsi="宋体" w:eastAsia="宋体" w:cs="宋体"/>
                <w:color w:val="000000"/>
                <w:kern w:val="0"/>
                <w:sz w:val="22"/>
              </w:rPr>
            </w:pPr>
            <w:r>
              <w:rPr>
                <w:rFonts w:hint="eastAsia" w:cs="宋体" w:asciiTheme="minorEastAsia" w:hAnsiTheme="minorEastAsia"/>
                <w:bCs/>
                <w:color w:val="000000"/>
                <w:kern w:val="0"/>
                <w:szCs w:val="21"/>
              </w:rPr>
              <w:t>均满足招标文件要求。</w:t>
            </w:r>
          </w:p>
        </w:tc>
      </w:tr>
      <w:tr>
        <w:tblPrEx>
          <w:tblCellMar>
            <w:top w:w="0" w:type="dxa"/>
            <w:left w:w="108" w:type="dxa"/>
            <w:bottom w:w="0" w:type="dxa"/>
            <w:right w:w="108" w:type="dxa"/>
          </w:tblCellMar>
        </w:tblPrEx>
        <w:trPr>
          <w:trHeight w:val="4469" w:hRule="atLeast"/>
          <w:jc w:val="center"/>
        </w:trPr>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404" w:type="dxa"/>
            <w:gridSpan w:val="7"/>
            <w:tcBorders>
              <w:top w:val="single" w:color="auto" w:sz="4" w:space="0"/>
              <w:left w:val="nil"/>
              <w:bottom w:val="single" w:color="auto" w:sz="4" w:space="0"/>
              <w:right w:val="single" w:color="000000" w:sz="4" w:space="0"/>
            </w:tcBorders>
            <w:shd w:val="clear" w:color="auto" w:fill="auto"/>
            <w:vAlign w:val="center"/>
          </w:tcPr>
          <w:p>
            <w:pPr>
              <w:widowControl/>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否决投标情况：</w:t>
            </w:r>
          </w:p>
          <w:p>
            <w:pPr>
              <w:widowControl/>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①投标人枝江江瑞船务有限责任公司投标文件中未提供2022年度利润表，不满足招标文件第二章投标人须知前附表第1.4.1条第2款中财务要求“...财务报表须至少包括现金流量表、资产负债表、利润表”，根据招标文件《否决投标情形一览表》A-2项“投标人的财务须满足投标人须知前附表1.4.1项的要求，否则由评标委员会作否决投标处理”，其投标文件被否决。②投标人枝江鸿巨船舶制造有限公司投标文件中未提供“安全稳定运行1年以上”的业绩证明材料，不满足招标文件第二章投标人须知前附表第1.4.1条第3款中业绩要求“...且已安全稳定运行1年以上”，根据招标文件《否决投标情形一览表》A-3项“投标人的业绩须满足投标人须知前附表1.4.1项的要求，否则由评标委员会作否决投标处理”，其投标文件被否决。</w:t>
            </w:r>
          </w:p>
        </w:tc>
      </w:tr>
      <w:tr>
        <w:tblPrEx>
          <w:tblCellMar>
            <w:top w:w="0" w:type="dxa"/>
            <w:left w:w="108" w:type="dxa"/>
            <w:bottom w:w="0" w:type="dxa"/>
            <w:right w:w="108" w:type="dxa"/>
          </w:tblCellMar>
        </w:tblPrEx>
        <w:trPr>
          <w:trHeight w:val="1259" w:hRule="atLeast"/>
          <w:jc w:val="center"/>
        </w:trPr>
        <w:tc>
          <w:tcPr>
            <w:tcW w:w="14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2"/>
              </w:rPr>
              <w:t>中标候选人评标情况</w:t>
            </w:r>
          </w:p>
        </w:tc>
        <w:tc>
          <w:tcPr>
            <w:tcW w:w="8404" w:type="dxa"/>
            <w:gridSpan w:val="7"/>
            <w:tcBorders>
              <w:top w:val="single" w:color="auto" w:sz="4" w:space="0"/>
              <w:left w:val="nil"/>
              <w:bottom w:val="single" w:color="auto" w:sz="4" w:space="0"/>
              <w:right w:val="single" w:color="000000" w:sz="4" w:space="0"/>
            </w:tcBorders>
            <w:shd w:val="clear" w:color="auto" w:fill="auto"/>
            <w:vAlign w:val="center"/>
          </w:tcPr>
          <w:p>
            <w:pPr>
              <w:widowControl/>
              <w:ind w:firstLine="420" w:firstLineChars="200"/>
              <w:jc w:val="left"/>
              <w:rPr>
                <w:rFonts w:ascii="宋体" w:hAnsi="宋体" w:eastAsia="宋体" w:cs="宋体"/>
                <w:bCs/>
                <w:color w:val="000000"/>
                <w:kern w:val="0"/>
                <w:sz w:val="20"/>
                <w:szCs w:val="20"/>
              </w:rPr>
            </w:pPr>
            <w:r>
              <w:rPr>
                <w:rFonts w:hint="eastAsia" w:cs="宋体" w:asciiTheme="minorEastAsia" w:hAnsiTheme="minorEastAsia"/>
                <w:color w:val="000000"/>
                <w:kern w:val="0"/>
                <w:szCs w:val="21"/>
              </w:rPr>
              <w:t>无异常。</w:t>
            </w:r>
          </w:p>
        </w:tc>
      </w:tr>
      <w:tr>
        <w:tblPrEx>
          <w:tblCellMar>
            <w:top w:w="0" w:type="dxa"/>
            <w:left w:w="108" w:type="dxa"/>
            <w:bottom w:w="0" w:type="dxa"/>
            <w:right w:w="108" w:type="dxa"/>
          </w:tblCellMar>
        </w:tblPrEx>
        <w:trPr>
          <w:trHeight w:val="1944" w:hRule="atLeast"/>
          <w:jc w:val="center"/>
        </w:trPr>
        <w:tc>
          <w:tcPr>
            <w:tcW w:w="14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2"/>
              </w:rPr>
              <w:t>提出异议的渠道和方式</w:t>
            </w:r>
          </w:p>
        </w:tc>
        <w:tc>
          <w:tcPr>
            <w:tcW w:w="8404"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both"/>
              <w:rPr>
                <w:rFonts w:ascii="宋体" w:hAnsi="宋体" w:eastAsia="宋体" w:cs="宋体"/>
                <w:color w:val="000000"/>
                <w:kern w:val="0"/>
                <w:sz w:val="22"/>
              </w:rPr>
            </w:pPr>
            <w:r>
              <w:rPr>
                <w:rFonts w:hint="eastAsia" w:ascii="宋体" w:hAnsi="宋体" w:eastAsia="宋体" w:cs="宋体"/>
                <w:color w:val="000000"/>
                <w:kern w:val="0"/>
                <w:sz w:val="22"/>
              </w:rPr>
              <w:t xml:space="preserve">    投标人或者其他利害关系人对评标结果有异议的，应在中标候选人公示期内以书面形式向招标人：重庆川渝三峡港口物流有限公司</w:t>
            </w:r>
            <w:r>
              <w:rPr>
                <w:rFonts w:hint="eastAsia" w:ascii="宋体" w:hAnsi="宋体" w:eastAsia="宋体" w:cs="宋体"/>
                <w:color w:val="000000"/>
                <w:kern w:val="0"/>
                <w:sz w:val="22"/>
                <w:lang w:val="en-US" w:eastAsia="zh-CN"/>
              </w:rPr>
              <w:t>（</w:t>
            </w:r>
            <w:bookmarkStart w:id="1" w:name="_GoBack"/>
            <w:bookmarkEnd w:id="1"/>
            <w:r>
              <w:rPr>
                <w:rFonts w:hint="eastAsia" w:ascii="宋体" w:hAnsi="宋体" w:eastAsia="宋体" w:cs="宋体"/>
                <w:color w:val="000000"/>
                <w:kern w:val="0"/>
                <w:sz w:val="22"/>
              </w:rPr>
              <w:t>联系人：李老师，联系电话</w:t>
            </w:r>
            <w:r>
              <w:rPr>
                <w:rFonts w:hint="eastAsia" w:ascii="宋体" w:hAnsi="宋体" w:eastAsia="宋体" w:cs="宋体"/>
                <w:color w:val="000000"/>
                <w:kern w:val="0"/>
                <w:sz w:val="22"/>
                <w:lang w:eastAsia="zh-CN"/>
              </w:rPr>
              <w:t>：</w:t>
            </w:r>
            <w:r>
              <w:rPr>
                <w:rFonts w:hint="eastAsia" w:ascii="宋体" w:hAnsi="宋体" w:eastAsia="宋体" w:cs="宋体"/>
                <w:snapToGrid w:val="0"/>
                <w:szCs w:val="21"/>
                <w:lang w:bidi="ar"/>
              </w:rPr>
              <w:t>023-</w:t>
            </w:r>
            <w:r>
              <w:rPr>
                <w:rFonts w:hint="eastAsia" w:ascii="宋体" w:hAnsi="宋体" w:eastAsia="宋体" w:cs="宋体"/>
                <w:snapToGrid w:val="0"/>
                <w:szCs w:val="21"/>
                <w:lang w:val="en-US" w:eastAsia="zh-CN" w:bidi="ar"/>
              </w:rPr>
              <w:t>58552178）</w:t>
            </w:r>
            <w:r>
              <w:rPr>
                <w:rFonts w:hint="eastAsia" w:ascii="宋体" w:hAnsi="宋体" w:eastAsia="宋体" w:cs="宋体"/>
                <w:color w:val="000000"/>
                <w:kern w:val="0"/>
                <w:sz w:val="22"/>
              </w:rPr>
              <w:t>提出异议。</w:t>
            </w:r>
          </w:p>
        </w:tc>
      </w:tr>
      <w:tr>
        <w:tblPrEx>
          <w:tblCellMar>
            <w:top w:w="0" w:type="dxa"/>
            <w:left w:w="108" w:type="dxa"/>
            <w:bottom w:w="0" w:type="dxa"/>
            <w:right w:w="108" w:type="dxa"/>
          </w:tblCellMar>
        </w:tblPrEx>
        <w:trPr>
          <w:trHeight w:val="1771" w:hRule="atLeast"/>
          <w:jc w:val="center"/>
        </w:trPr>
        <w:tc>
          <w:tcPr>
            <w:tcW w:w="54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440"/>
              <w:rPr>
                <w:rFonts w:hint="eastAsia" w:cs="Calibri" w:asciiTheme="majorEastAsia" w:hAnsiTheme="majorEastAsia" w:eastAsiaTheme="majorEastAsia"/>
                <w:color w:val="000000"/>
                <w:kern w:val="0"/>
                <w:sz w:val="22"/>
                <w:lang w:eastAsia="zh-CN"/>
              </w:rPr>
            </w:pPr>
            <w:r>
              <w:rPr>
                <w:rFonts w:hint="eastAsia" w:cs="宋体" w:asciiTheme="majorEastAsia" w:hAnsiTheme="majorEastAsia" w:eastAsiaTheme="majorEastAsia"/>
                <w:color w:val="000000"/>
                <w:kern w:val="0"/>
                <w:sz w:val="22"/>
              </w:rPr>
              <w:t>招标人（盖章）</w:t>
            </w:r>
            <w:r>
              <w:rPr>
                <w:rFonts w:cs="Calibri" w:asciiTheme="majorEastAsia" w:hAnsiTheme="majorEastAsia" w:eastAsiaTheme="majorEastAsia"/>
                <w:color w:val="000000"/>
                <w:kern w:val="0"/>
                <w:sz w:val="22"/>
              </w:rPr>
              <w:t xml:space="preserve">:   </w:t>
            </w:r>
          </w:p>
          <w:p>
            <w:pPr>
              <w:widowControl/>
              <w:ind w:right="440"/>
              <w:rPr>
                <w:rFonts w:hint="eastAsia" w:cs="Calibri" w:asciiTheme="majorEastAsia" w:hAnsiTheme="majorEastAsia" w:eastAsiaTheme="majorEastAsia"/>
                <w:color w:val="000000"/>
                <w:kern w:val="0"/>
                <w:sz w:val="22"/>
                <w:lang w:eastAsia="zh-CN"/>
              </w:rPr>
            </w:pPr>
          </w:p>
          <w:p>
            <w:pPr>
              <w:widowControl/>
              <w:ind w:right="440"/>
              <w:rPr>
                <w:rFonts w:hint="eastAsia" w:ascii="Times New Roman" w:hAnsi="Times New Roman" w:eastAsia="宋体" w:cs="Times New Roman"/>
                <w:szCs w:val="21"/>
                <w:lang w:eastAsia="zh-CN" w:bidi="ar"/>
              </w:rPr>
            </w:pPr>
            <w:r>
              <w:rPr>
                <w:rFonts w:hint="eastAsia" w:ascii="Times New Roman" w:hAnsi="Times New Roman" w:eastAsia="宋体" w:cs="Times New Roman"/>
                <w:szCs w:val="21"/>
                <w:lang w:bidi="ar"/>
              </w:rPr>
              <w:t>重庆川渝三峡港口物流有限公司</w:t>
            </w:r>
          </w:p>
          <w:p>
            <w:pPr>
              <w:widowControl/>
              <w:ind w:right="440"/>
              <w:rPr>
                <w:rFonts w:hint="eastAsia" w:ascii="Times New Roman" w:hAnsi="Times New Roman" w:eastAsia="宋体" w:cs="Times New Roman"/>
                <w:szCs w:val="21"/>
                <w:lang w:eastAsia="zh-CN" w:bidi="ar"/>
              </w:rPr>
            </w:pPr>
          </w:p>
          <w:p>
            <w:pPr>
              <w:widowControl/>
              <w:ind w:right="440"/>
              <w:rPr>
                <w:rFonts w:hint="eastAsia" w:cs="Calibri" w:asciiTheme="majorEastAsia" w:hAnsiTheme="majorEastAsia" w:eastAsiaTheme="majorEastAsia"/>
                <w:color w:val="000000"/>
                <w:kern w:val="0"/>
                <w:sz w:val="22"/>
                <w:lang w:eastAsia="zh-CN"/>
              </w:rPr>
            </w:pPr>
          </w:p>
          <w:p>
            <w:pPr>
              <w:widowControl/>
              <w:ind w:right="440"/>
              <w:rPr>
                <w:rFonts w:hint="eastAsia" w:cs="Calibri" w:asciiTheme="majorEastAsia" w:hAnsiTheme="majorEastAsia" w:eastAsiaTheme="majorEastAsia"/>
                <w:color w:val="000000"/>
                <w:kern w:val="0"/>
                <w:sz w:val="22"/>
                <w:lang w:eastAsia="zh-CN"/>
              </w:rPr>
            </w:pPr>
            <w:r>
              <w:rPr>
                <w:rFonts w:cs="Calibri" w:asciiTheme="majorEastAsia" w:hAnsiTheme="majorEastAsia" w:eastAsiaTheme="majorEastAsia"/>
                <w:color w:val="000000"/>
                <w:kern w:val="0"/>
                <w:sz w:val="22"/>
              </w:rPr>
              <w:t xml:space="preserve">                                          </w:t>
            </w:r>
          </w:p>
          <w:p>
            <w:pPr>
              <w:widowControl/>
              <w:ind w:right="440"/>
              <w:rPr>
                <w:rFonts w:cs="Calibri" w:asciiTheme="majorEastAsia" w:hAnsiTheme="majorEastAsia" w:eastAsiaTheme="majorEastAsia"/>
                <w:color w:val="000000"/>
                <w:kern w:val="0"/>
                <w:sz w:val="22"/>
              </w:rPr>
            </w:pP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rPr>
              <w:t>2023年</w:t>
            </w:r>
            <w:r>
              <w:rPr>
                <w:rFonts w:cs="Calibri" w:asciiTheme="majorEastAsia" w:hAnsiTheme="majorEastAsia" w:eastAsiaTheme="majorEastAsia"/>
                <w:color w:val="000000"/>
                <w:kern w:val="0"/>
                <w:sz w:val="22"/>
              </w:rPr>
              <w:t>11</w:t>
            </w:r>
            <w:r>
              <w:rPr>
                <w:rFonts w:hint="eastAsia" w:cs="Calibri" w:asciiTheme="majorEastAsia" w:hAnsiTheme="majorEastAsia" w:eastAsiaTheme="majorEastAsia"/>
                <w:color w:val="000000"/>
                <w:kern w:val="0"/>
                <w:sz w:val="22"/>
              </w:rPr>
              <w:t>月</w:t>
            </w:r>
            <w:r>
              <w:rPr>
                <w:rFonts w:cs="Calibri" w:asciiTheme="majorEastAsia" w:hAnsiTheme="majorEastAsia" w:eastAsiaTheme="majorEastAsia"/>
                <w:color w:val="000000"/>
                <w:kern w:val="0"/>
                <w:sz w:val="22"/>
              </w:rPr>
              <w:t>10</w:t>
            </w:r>
            <w:r>
              <w:rPr>
                <w:rFonts w:hint="eastAsia" w:cs="Calibri" w:asciiTheme="majorEastAsia" w:hAnsiTheme="majorEastAsia" w:eastAsiaTheme="majorEastAsia"/>
                <w:color w:val="000000"/>
                <w:kern w:val="0"/>
                <w:sz w:val="22"/>
              </w:rPr>
              <w:t xml:space="preserve">日      </w:t>
            </w:r>
            <w:r>
              <w:rPr>
                <w:rFonts w:cs="Calibri" w:asciiTheme="majorEastAsia" w:hAnsiTheme="majorEastAsia" w:eastAsiaTheme="majorEastAsia"/>
                <w:color w:val="000000"/>
                <w:kern w:val="0"/>
                <w:sz w:val="22"/>
              </w:rPr>
              <w:t xml:space="preserve">                                                        </w:t>
            </w:r>
          </w:p>
        </w:tc>
        <w:tc>
          <w:tcPr>
            <w:tcW w:w="4454"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招标代理机构（盖章）： </w:t>
            </w:r>
          </w:p>
          <w:p>
            <w:pPr>
              <w:widowControl/>
              <w:jc w:val="left"/>
              <w:rPr>
                <w:rFonts w:hint="eastAsia" w:ascii="宋体" w:hAnsi="宋体" w:eastAsia="宋体" w:cs="宋体"/>
                <w:color w:val="000000"/>
                <w:kern w:val="0"/>
                <w:sz w:val="22"/>
                <w:lang w:eastAsia="zh-CN"/>
              </w:rPr>
            </w:pPr>
          </w:p>
          <w:p>
            <w:pPr>
              <w:widowControl/>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rPr>
              <w:t>　重庆国际投资咨询集团有限公司</w:t>
            </w:r>
          </w:p>
          <w:p>
            <w:pPr>
              <w:widowControl/>
              <w:jc w:val="left"/>
              <w:rPr>
                <w:rFonts w:hint="eastAsia" w:cs="宋体" w:asciiTheme="minorEastAsia" w:hAnsiTheme="minorEastAsia" w:eastAsiaTheme="minorEastAsia"/>
                <w:color w:val="000000"/>
                <w:kern w:val="0"/>
                <w:szCs w:val="21"/>
                <w:lang w:eastAsia="zh-CN"/>
              </w:rPr>
            </w:pPr>
          </w:p>
          <w:p>
            <w:pPr>
              <w:widowControl/>
              <w:jc w:val="left"/>
              <w:rPr>
                <w:rFonts w:hint="eastAsia" w:ascii="宋体" w:hAnsi="宋体" w:eastAsia="宋体" w:cs="宋体"/>
                <w:color w:val="000000"/>
                <w:kern w:val="0"/>
                <w:sz w:val="22"/>
                <w:lang w:eastAsia="zh-CN"/>
              </w:rPr>
            </w:pPr>
          </w:p>
          <w:p>
            <w:pPr>
              <w:widowControl/>
              <w:jc w:val="left"/>
              <w:rPr>
                <w:rFonts w:hint="eastAsia" w:ascii="宋体" w:hAnsi="宋体" w:eastAsia="宋体" w:cs="宋体"/>
                <w:color w:val="000000"/>
                <w:kern w:val="0"/>
                <w:sz w:val="22"/>
                <w:lang w:eastAsia="zh-CN"/>
              </w:rPr>
            </w:pP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w:t>
            </w:r>
            <w:r>
              <w:rPr>
                <w:rFonts w:hint="eastAsia" w:cs="Calibri" w:asciiTheme="majorEastAsia" w:hAnsiTheme="majorEastAsia" w:eastAsiaTheme="majorEastAsia"/>
                <w:color w:val="000000"/>
                <w:kern w:val="0"/>
                <w:sz w:val="22"/>
              </w:rPr>
              <w:t>2023年</w:t>
            </w:r>
            <w:r>
              <w:rPr>
                <w:rFonts w:cs="Calibri" w:asciiTheme="majorEastAsia" w:hAnsiTheme="majorEastAsia" w:eastAsiaTheme="majorEastAsia"/>
                <w:color w:val="000000"/>
                <w:kern w:val="0"/>
                <w:sz w:val="22"/>
              </w:rPr>
              <w:t>11</w:t>
            </w:r>
            <w:r>
              <w:rPr>
                <w:rFonts w:hint="eastAsia" w:cs="Calibri" w:asciiTheme="majorEastAsia" w:hAnsiTheme="majorEastAsia" w:eastAsiaTheme="majorEastAsia"/>
                <w:color w:val="000000"/>
                <w:kern w:val="0"/>
                <w:sz w:val="22"/>
              </w:rPr>
              <w:t>月</w:t>
            </w:r>
            <w:r>
              <w:rPr>
                <w:rFonts w:cs="Calibri" w:asciiTheme="majorEastAsia" w:hAnsiTheme="majorEastAsia" w:eastAsiaTheme="majorEastAsia"/>
                <w:color w:val="000000"/>
                <w:kern w:val="0"/>
                <w:sz w:val="22"/>
              </w:rPr>
              <w:t>10</w:t>
            </w:r>
            <w:r>
              <w:rPr>
                <w:rFonts w:hint="eastAsia" w:cs="Calibri" w:asciiTheme="majorEastAsia" w:hAnsiTheme="majorEastAsia" w:eastAsiaTheme="majorEastAsia"/>
                <w:color w:val="000000"/>
                <w:kern w:val="0"/>
                <w:sz w:val="22"/>
              </w:rPr>
              <w:t>日</w:t>
            </w:r>
            <w:r>
              <w:rPr>
                <w:rFonts w:hint="eastAsia" w:ascii="宋体" w:hAnsi="宋体" w:eastAsia="宋体" w:cs="宋体"/>
                <w:color w:val="000000"/>
                <w:kern w:val="0"/>
                <w:sz w:val="22"/>
              </w:rPr>
              <w:t xml:space="preserve"> </w:t>
            </w:r>
          </w:p>
        </w:tc>
      </w:tr>
    </w:tbl>
    <w:p>
      <w:pPr>
        <w:jc w:val="left"/>
        <w:rPr>
          <w:rFonts w:ascii="方正小标宋_GBK" w:eastAsia="方正小标宋_GBK"/>
          <w:sz w:val="30"/>
          <w:szCs w:val="30"/>
        </w:rPr>
      </w:pPr>
      <w:r>
        <w:rPr>
          <w:rFonts w:hint="eastAsia" w:ascii="宋体" w:hAnsi="宋体" w:eastAsia="宋体" w:cs="宋体"/>
          <w:color w:val="000000"/>
          <w:kern w:val="0"/>
          <w:sz w:val="22"/>
        </w:rPr>
        <w:t>注：1.招标人及其委托的招标代理机对填写的中标候选人公示内容的真实性、准确性和一致性负责。</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bookmarkEnd w:id="0"/>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1F0EDD7C-09B2-422D-BBC9-BD890FD3F043}"/>
  </w:font>
  <w:font w:name="monospace">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panose1 w:val="02000000000000000000"/>
    <w:charset w:val="86"/>
    <w:family w:val="script"/>
    <w:pitch w:val="default"/>
    <w:sig w:usb0="00000001" w:usb1="080E0000" w:usb2="00000000" w:usb3="00000000" w:csb0="00040000" w:csb1="00000000"/>
    <w:embedRegular r:id="rId2" w:fontKey="{2186AAC5-B698-4B92-AEE4-627BF45D1A0F}"/>
  </w:font>
  <w:font w:name="新宋体">
    <w:panose1 w:val="02010609030101010101"/>
    <w:charset w:val="86"/>
    <w:family w:val="modern"/>
    <w:pitch w:val="default"/>
    <w:sig w:usb0="00000203" w:usb1="288F0000" w:usb2="00000006" w:usb3="00000000" w:csb0="00040001" w:csb1="00000000"/>
    <w:embedRegular r:id="rId3" w:fontKey="{C85B9393-4E16-453E-9BC8-8206296A0D75}"/>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4MDk3Nzg1N2Q2Njc1YmVjOTk4MjZkNzkzYTY2Y2IifQ=="/>
  </w:docVars>
  <w:rsids>
    <w:rsidRoot w:val="00172A27"/>
    <w:rsid w:val="0000724E"/>
    <w:rsid w:val="0002722D"/>
    <w:rsid w:val="00065390"/>
    <w:rsid w:val="000838C4"/>
    <w:rsid w:val="0010126F"/>
    <w:rsid w:val="00144F53"/>
    <w:rsid w:val="00147A29"/>
    <w:rsid w:val="00170048"/>
    <w:rsid w:val="00172A27"/>
    <w:rsid w:val="001A05AA"/>
    <w:rsid w:val="001D3ABF"/>
    <w:rsid w:val="001D3F3D"/>
    <w:rsid w:val="001D6CF2"/>
    <w:rsid w:val="002018F7"/>
    <w:rsid w:val="0020311B"/>
    <w:rsid w:val="0020706E"/>
    <w:rsid w:val="002106F7"/>
    <w:rsid w:val="002204A4"/>
    <w:rsid w:val="00221071"/>
    <w:rsid w:val="00243447"/>
    <w:rsid w:val="00257621"/>
    <w:rsid w:val="00265821"/>
    <w:rsid w:val="003625C5"/>
    <w:rsid w:val="00371DC1"/>
    <w:rsid w:val="003739A3"/>
    <w:rsid w:val="003A092C"/>
    <w:rsid w:val="003B2ACD"/>
    <w:rsid w:val="003E1BD0"/>
    <w:rsid w:val="003E47B4"/>
    <w:rsid w:val="00424905"/>
    <w:rsid w:val="0042559C"/>
    <w:rsid w:val="00471BB0"/>
    <w:rsid w:val="004F7249"/>
    <w:rsid w:val="0055752E"/>
    <w:rsid w:val="005A20AB"/>
    <w:rsid w:val="005F7769"/>
    <w:rsid w:val="005F79AD"/>
    <w:rsid w:val="00636DB4"/>
    <w:rsid w:val="006611B5"/>
    <w:rsid w:val="0066508E"/>
    <w:rsid w:val="006A71D4"/>
    <w:rsid w:val="006B6A22"/>
    <w:rsid w:val="006D0778"/>
    <w:rsid w:val="006F0B05"/>
    <w:rsid w:val="006F7C68"/>
    <w:rsid w:val="00767792"/>
    <w:rsid w:val="007776A0"/>
    <w:rsid w:val="007B162E"/>
    <w:rsid w:val="007B2F4F"/>
    <w:rsid w:val="007B76AF"/>
    <w:rsid w:val="007C4F8D"/>
    <w:rsid w:val="00810AF5"/>
    <w:rsid w:val="00814343"/>
    <w:rsid w:val="008421D2"/>
    <w:rsid w:val="0085357B"/>
    <w:rsid w:val="00880F9B"/>
    <w:rsid w:val="008913F7"/>
    <w:rsid w:val="008D49D4"/>
    <w:rsid w:val="00903302"/>
    <w:rsid w:val="00922B94"/>
    <w:rsid w:val="009702C3"/>
    <w:rsid w:val="009A75FB"/>
    <w:rsid w:val="009B76B6"/>
    <w:rsid w:val="00A07B48"/>
    <w:rsid w:val="00A4293A"/>
    <w:rsid w:val="00AC2D02"/>
    <w:rsid w:val="00AE04B3"/>
    <w:rsid w:val="00AF14F0"/>
    <w:rsid w:val="00B155AA"/>
    <w:rsid w:val="00B7388D"/>
    <w:rsid w:val="00B9444B"/>
    <w:rsid w:val="00C04B10"/>
    <w:rsid w:val="00C179F2"/>
    <w:rsid w:val="00C25BB3"/>
    <w:rsid w:val="00C65D63"/>
    <w:rsid w:val="00C8328B"/>
    <w:rsid w:val="00C86496"/>
    <w:rsid w:val="00D36461"/>
    <w:rsid w:val="00D4385D"/>
    <w:rsid w:val="00D86C8D"/>
    <w:rsid w:val="00D955BB"/>
    <w:rsid w:val="00DE0676"/>
    <w:rsid w:val="00E00A45"/>
    <w:rsid w:val="00E018D9"/>
    <w:rsid w:val="00E33F2A"/>
    <w:rsid w:val="00E47760"/>
    <w:rsid w:val="00E7470D"/>
    <w:rsid w:val="00E902D0"/>
    <w:rsid w:val="00EE17D4"/>
    <w:rsid w:val="00F02F83"/>
    <w:rsid w:val="00F64EAF"/>
    <w:rsid w:val="00FD015D"/>
    <w:rsid w:val="00FF194E"/>
    <w:rsid w:val="00FF5607"/>
    <w:rsid w:val="022805E2"/>
    <w:rsid w:val="0469023D"/>
    <w:rsid w:val="048D011F"/>
    <w:rsid w:val="06452608"/>
    <w:rsid w:val="0863371A"/>
    <w:rsid w:val="08AD5860"/>
    <w:rsid w:val="098F3628"/>
    <w:rsid w:val="0A0D6587"/>
    <w:rsid w:val="0E8205C8"/>
    <w:rsid w:val="0EA76E8A"/>
    <w:rsid w:val="0F465797"/>
    <w:rsid w:val="114B2B7C"/>
    <w:rsid w:val="12F83553"/>
    <w:rsid w:val="14542699"/>
    <w:rsid w:val="14A4762F"/>
    <w:rsid w:val="172909AD"/>
    <w:rsid w:val="18A57261"/>
    <w:rsid w:val="19384759"/>
    <w:rsid w:val="1EC2419A"/>
    <w:rsid w:val="1F0249DE"/>
    <w:rsid w:val="1F594DCB"/>
    <w:rsid w:val="206362C2"/>
    <w:rsid w:val="26F22790"/>
    <w:rsid w:val="277650E1"/>
    <w:rsid w:val="28285559"/>
    <w:rsid w:val="2BA51ED8"/>
    <w:rsid w:val="33BF10C2"/>
    <w:rsid w:val="350F2982"/>
    <w:rsid w:val="3840320A"/>
    <w:rsid w:val="384A3439"/>
    <w:rsid w:val="394B3759"/>
    <w:rsid w:val="39C655B3"/>
    <w:rsid w:val="3C930F29"/>
    <w:rsid w:val="3D104F98"/>
    <w:rsid w:val="405C3390"/>
    <w:rsid w:val="412B7893"/>
    <w:rsid w:val="432E5F43"/>
    <w:rsid w:val="457C0004"/>
    <w:rsid w:val="46465DA0"/>
    <w:rsid w:val="4663234F"/>
    <w:rsid w:val="46A65F92"/>
    <w:rsid w:val="4C1E7807"/>
    <w:rsid w:val="4CC06D52"/>
    <w:rsid w:val="5086209E"/>
    <w:rsid w:val="53146DCD"/>
    <w:rsid w:val="55A34B77"/>
    <w:rsid w:val="568C167B"/>
    <w:rsid w:val="581C1692"/>
    <w:rsid w:val="5AFC3965"/>
    <w:rsid w:val="5B481ED4"/>
    <w:rsid w:val="61683D37"/>
    <w:rsid w:val="67CD478D"/>
    <w:rsid w:val="69611F28"/>
    <w:rsid w:val="6968575C"/>
    <w:rsid w:val="69FA219A"/>
    <w:rsid w:val="728211E6"/>
    <w:rsid w:val="72EF1212"/>
    <w:rsid w:val="75EA6F4D"/>
    <w:rsid w:val="76D17890"/>
    <w:rsid w:val="78A32892"/>
    <w:rsid w:val="79760F61"/>
    <w:rsid w:val="7AD67361"/>
    <w:rsid w:val="7B872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23"/>
    <w:unhideWhenUsed/>
    <w:qFormat/>
    <w:uiPriority w:val="99"/>
    <w:pPr>
      <w:spacing w:after="120"/>
    </w:pPr>
  </w:style>
  <w:style w:type="paragraph" w:styleId="3">
    <w:name w:val="Body Text Indent"/>
    <w:basedOn w:val="1"/>
    <w:link w:val="25"/>
    <w:unhideWhenUsed/>
    <w:qFormat/>
    <w:uiPriority w:val="99"/>
    <w:pPr>
      <w:spacing w:after="120"/>
      <w:ind w:left="420" w:leftChars="200"/>
    </w:pPr>
  </w:style>
  <w:style w:type="paragraph" w:styleId="4">
    <w:name w:val="footer"/>
    <w:basedOn w:val="1"/>
    <w:link w:val="21"/>
    <w:unhideWhenUsed/>
    <w:qFormat/>
    <w:uiPriority w:val="99"/>
    <w:pPr>
      <w:tabs>
        <w:tab w:val="center" w:pos="4153"/>
        <w:tab w:val="right" w:pos="8306"/>
      </w:tabs>
      <w:snapToGrid w:val="0"/>
      <w:jc w:val="left"/>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FollowedHyperlink"/>
    <w:basedOn w:val="7"/>
    <w:unhideWhenUsed/>
    <w:qFormat/>
    <w:uiPriority w:val="99"/>
    <w:rPr>
      <w:color w:val="800080"/>
      <w:u w:val="none"/>
    </w:rPr>
  </w:style>
  <w:style w:type="character" w:styleId="10">
    <w:name w:val="Emphasis"/>
    <w:basedOn w:val="7"/>
    <w:qFormat/>
    <w:uiPriority w:val="20"/>
    <w:rPr>
      <w:b/>
      <w:bCs/>
    </w:rPr>
  </w:style>
  <w:style w:type="character" w:styleId="11">
    <w:name w:val="HTML Definition"/>
    <w:basedOn w:val="7"/>
    <w:unhideWhenUsed/>
    <w:qFormat/>
    <w:uiPriority w:val="99"/>
  </w:style>
  <w:style w:type="character" w:styleId="12">
    <w:name w:val="HTML Typewriter"/>
    <w:basedOn w:val="7"/>
    <w:unhideWhenUsed/>
    <w:qFormat/>
    <w:uiPriority w:val="99"/>
    <w:rPr>
      <w:rFonts w:hint="default" w:ascii="monospace" w:hAnsi="monospace" w:eastAsia="monospace" w:cs="monospace"/>
      <w:sz w:val="20"/>
    </w:rPr>
  </w:style>
  <w:style w:type="character" w:styleId="13">
    <w:name w:val="HTML Acronym"/>
    <w:basedOn w:val="7"/>
    <w:unhideWhenUsed/>
    <w:qFormat/>
    <w:uiPriority w:val="99"/>
  </w:style>
  <w:style w:type="character" w:styleId="14">
    <w:name w:val="HTML Variable"/>
    <w:basedOn w:val="7"/>
    <w:unhideWhenUsed/>
    <w:qFormat/>
    <w:uiPriority w:val="99"/>
  </w:style>
  <w:style w:type="character" w:styleId="15">
    <w:name w:val="Hyperlink"/>
    <w:basedOn w:val="7"/>
    <w:unhideWhenUsed/>
    <w:qFormat/>
    <w:uiPriority w:val="99"/>
    <w:rPr>
      <w:color w:val="0000FF"/>
      <w:u w:val="none"/>
    </w:rPr>
  </w:style>
  <w:style w:type="character" w:styleId="16">
    <w:name w:val="HTML Code"/>
    <w:basedOn w:val="7"/>
    <w:unhideWhenUsed/>
    <w:qFormat/>
    <w:uiPriority w:val="99"/>
    <w:rPr>
      <w:rFonts w:hint="default" w:ascii="monospace" w:hAnsi="monospace" w:eastAsia="monospace" w:cs="monospace"/>
      <w:sz w:val="20"/>
    </w:rPr>
  </w:style>
  <w:style w:type="character" w:styleId="17">
    <w:name w:val="HTML Cite"/>
    <w:basedOn w:val="7"/>
    <w:unhideWhenUsed/>
    <w:qFormat/>
    <w:uiPriority w:val="99"/>
    <w:rPr>
      <w:bdr w:val="single" w:color="BDBEC1" w:sz="4" w:space="0"/>
      <w:shd w:val="clear" w:color="auto" w:fill="F2F4F9"/>
    </w:rPr>
  </w:style>
  <w:style w:type="character" w:styleId="18">
    <w:name w:val="HTML Keyboard"/>
    <w:basedOn w:val="7"/>
    <w:unhideWhenUsed/>
    <w:qFormat/>
    <w:uiPriority w:val="99"/>
    <w:rPr>
      <w:rFonts w:ascii="monospace" w:hAnsi="monospace" w:eastAsia="monospace" w:cs="monospace"/>
      <w:sz w:val="20"/>
    </w:rPr>
  </w:style>
  <w:style w:type="character" w:styleId="19">
    <w:name w:val="HTML Sample"/>
    <w:basedOn w:val="7"/>
    <w:unhideWhenUsed/>
    <w:qFormat/>
    <w:uiPriority w:val="99"/>
    <w:rPr>
      <w:rFonts w:hint="default" w:ascii="monospace" w:hAnsi="monospace" w:eastAsia="monospace" w:cs="monospace"/>
    </w:rPr>
  </w:style>
  <w:style w:type="character" w:customStyle="1" w:styleId="20">
    <w:name w:val="页眉 字符"/>
    <w:basedOn w:val="7"/>
    <w:link w:val="5"/>
    <w:qFormat/>
    <w:uiPriority w:val="99"/>
    <w:rPr>
      <w:kern w:val="2"/>
      <w:sz w:val="18"/>
      <w:szCs w:val="18"/>
    </w:rPr>
  </w:style>
  <w:style w:type="character" w:customStyle="1" w:styleId="21">
    <w:name w:val="页脚 字符"/>
    <w:basedOn w:val="7"/>
    <w:link w:val="4"/>
    <w:qFormat/>
    <w:uiPriority w:val="99"/>
    <w:rPr>
      <w:kern w:val="2"/>
      <w:sz w:val="18"/>
      <w:szCs w:val="18"/>
    </w:rPr>
  </w:style>
  <w:style w:type="paragraph" w:customStyle="1" w:styleId="22">
    <w:name w:val="Default"/>
    <w:unhideWhenUsed/>
    <w:qFormat/>
    <w:uiPriority w:val="99"/>
    <w:pPr>
      <w:widowControl w:val="0"/>
      <w:autoSpaceDE w:val="0"/>
      <w:autoSpaceDN w:val="0"/>
      <w:adjustRightInd w:val="0"/>
    </w:pPr>
    <w:rPr>
      <w:rFonts w:hint="eastAsia" w:ascii="Arial Unicode MS" w:hAnsi="Arial Unicode MS" w:eastAsia="Arial Unicode MS" w:cs="Times New Roman"/>
      <w:color w:val="000000"/>
      <w:sz w:val="24"/>
      <w:szCs w:val="24"/>
      <w:lang w:val="en-US" w:eastAsia="zh-CN" w:bidi="ar-SA"/>
    </w:rPr>
  </w:style>
  <w:style w:type="character" w:customStyle="1" w:styleId="23">
    <w:name w:val="正文文本 字符"/>
    <w:basedOn w:val="7"/>
    <w:link w:val="2"/>
    <w:qFormat/>
    <w:uiPriority w:val="0"/>
    <w:rPr>
      <w:kern w:val="2"/>
      <w:sz w:val="21"/>
      <w:szCs w:val="24"/>
    </w:rPr>
  </w:style>
  <w:style w:type="character" w:customStyle="1" w:styleId="24">
    <w:name w:val="正文文本首行缩进 2 字符"/>
    <w:basedOn w:val="25"/>
    <w:qFormat/>
    <w:uiPriority w:val="0"/>
    <w:rPr>
      <w:rFonts w:hint="default" w:ascii="Times New Roman" w:hAnsi="Times New Roman" w:cs="Times New Roman"/>
      <w:kern w:val="2"/>
      <w:sz w:val="21"/>
      <w:szCs w:val="24"/>
    </w:rPr>
  </w:style>
  <w:style w:type="character" w:customStyle="1" w:styleId="25">
    <w:name w:val="正文文本缩进 字符"/>
    <w:basedOn w:val="7"/>
    <w:link w:val="3"/>
    <w:qFormat/>
    <w:uiPriority w:val="0"/>
    <w:rPr>
      <w:rFonts w:hint="default" w:ascii="Times New Roman" w:hAnsi="Times New Roman" w:cs="Times New Roman"/>
      <w:kern w:val="2"/>
      <w:sz w:val="21"/>
      <w:szCs w:val="24"/>
    </w:rPr>
  </w:style>
  <w:style w:type="character" w:customStyle="1" w:styleId="26">
    <w:name w:val="mini-outputtext1"/>
    <w:basedOn w:val="7"/>
    <w:qFormat/>
    <w:uiPriority w:val="0"/>
  </w:style>
  <w:style w:type="paragraph" w:styleId="2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cqmzj</Company>
  <Pages>2</Pages>
  <Words>195</Words>
  <Characters>1118</Characters>
  <Lines>9</Lines>
  <Paragraphs>2</Paragraphs>
  <TotalTime>2</TotalTime>
  <ScaleCrop>false</ScaleCrop>
  <LinksUpToDate>false</LinksUpToDate>
  <CharactersWithSpaces>1311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平凡的世界</cp:lastModifiedBy>
  <cp:lastPrinted>2020-04-29T08:41:00Z</cp:lastPrinted>
  <dcterms:modified xsi:type="dcterms:W3CDTF">2023-11-10T05:50:17Z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795A66ED406D462AA4FC0BF9E2C1CD91_13</vt:lpwstr>
  </property>
</Properties>
</file>