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outlineLvl w:val="1"/>
        <w:rPr>
          <w:rFonts w:ascii="宋体" w:hAnsi="宋体" w:cs="宋体"/>
          <w:snapToGrid w:val="0"/>
          <w:color w:val="auto"/>
          <w:kern w:val="0"/>
          <w:sz w:val="28"/>
          <w:szCs w:val="28"/>
          <w:highlight w:val="none"/>
        </w:rPr>
      </w:pPr>
      <w:bookmarkStart w:id="0" w:name="_Toc26353"/>
      <w:bookmarkStart w:id="1" w:name="_Toc13782"/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</w:rPr>
        <w:t>重庆航发电力销售有限公司2023年度光伏设备采购</w:t>
      </w:r>
      <w:bookmarkEnd w:id="0"/>
      <w:bookmarkEnd w:id="1"/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</w:rPr>
        <w:t>及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协助</w:t>
      </w: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</w:rPr>
        <w:t>安装服务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outlineLvl w:val="1"/>
        <w:rPr>
          <w:rFonts w:ascii="宋体" w:hAnsi="宋体" w:cs="宋体"/>
          <w:snapToGrid w:val="0"/>
          <w:color w:val="auto"/>
          <w:kern w:val="0"/>
          <w:sz w:val="28"/>
          <w:szCs w:val="28"/>
          <w:highlight w:val="none"/>
        </w:rPr>
      </w:pPr>
      <w:bookmarkStart w:id="2" w:name="_Toc24038"/>
      <w:bookmarkStart w:id="3" w:name="_Toc7956"/>
      <w:bookmarkStart w:id="4" w:name="_Toc3252"/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</w:rPr>
        <w:t>招标公告</w:t>
      </w:r>
      <w:bookmarkEnd w:id="2"/>
      <w:bookmarkEnd w:id="3"/>
      <w:bookmarkEnd w:id="4"/>
    </w:p>
    <w:p>
      <w:pPr>
        <w:pStyle w:val="3"/>
        <w:adjustRightInd w:val="0"/>
        <w:snapToGrid w:val="0"/>
        <w:spacing w:before="0" w:after="0" w:line="360" w:lineRule="auto"/>
        <w:jc w:val="left"/>
        <w:rPr>
          <w:rFonts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5" w:name="_Toc2873"/>
      <w:bookmarkStart w:id="6" w:name="_Toc287607728"/>
      <w:bookmarkStart w:id="7" w:name="_Toc287620667"/>
      <w:bookmarkStart w:id="8" w:name="_Toc200359238"/>
      <w:bookmarkStart w:id="9" w:name="_Toc509218692"/>
      <w:bookmarkStart w:id="10" w:name="_Toc430530416"/>
      <w:bookmarkStart w:id="11" w:name="_Toc24372"/>
      <w:bookmarkStart w:id="12" w:name="_Toc32037"/>
      <w:bookmarkStart w:id="13" w:name="_Toc277082536"/>
      <w:bookmarkStart w:id="14" w:name="_Toc9570"/>
      <w:bookmarkStart w:id="15" w:name="_Toc26854"/>
      <w:bookmarkStart w:id="16" w:name="_Toc224103299"/>
      <w:bookmarkStart w:id="17" w:name="_Toc5315"/>
      <w:bookmarkStart w:id="18" w:name="_Toc200359427"/>
      <w:bookmarkStart w:id="19" w:name="_Toc22336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1.  招标条件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pacing w:line="360" w:lineRule="auto"/>
        <w:ind w:firstLine="420" w:firstLineChars="200"/>
        <w:jc w:val="left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bookmarkStart w:id="20" w:name="OLE_LINK1"/>
      <w:bookmarkStart w:id="21" w:name="_Toc287607729"/>
      <w:bookmarkStart w:id="22" w:name="_Toc430530417"/>
      <w:bookmarkStart w:id="23" w:name="_Toc224103300"/>
      <w:bookmarkStart w:id="24" w:name="_Toc277082537"/>
      <w:bookmarkStart w:id="25" w:name="_Toc200359428"/>
      <w:bookmarkStart w:id="26" w:name="_Toc200359239"/>
      <w:bookmarkStart w:id="27" w:name="_Toc287620668"/>
      <w:bookmarkStart w:id="28" w:name="_Toc509218693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本招标项目为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重庆航发电力销售有限公司2023年度光伏设备采购及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协助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安装服务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，项目业主为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重庆航发电力销售有限公司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，建设资金来自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业主自筹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，项目出资比例为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100%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，招标人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</w:rPr>
        <w:t>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重庆航发电力销售有限公司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，招标代理机构为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重庆国际投资咨询集团有限公司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</w:rPr>
        <w:t>。项目已具备招标条件，现对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u w:val="single"/>
        </w:rPr>
        <w:t>该批设备采购及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u w:val="single"/>
          <w:lang w:val="en-US" w:eastAsia="zh-CN"/>
        </w:rPr>
        <w:t>协助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u w:val="single"/>
        </w:rPr>
        <w:t>安装服务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</w:rPr>
        <w:t>进行公开招标。</w:t>
      </w:r>
    </w:p>
    <w:bookmarkEnd w:id="20"/>
    <w:p>
      <w:pPr>
        <w:pStyle w:val="3"/>
        <w:adjustRightInd w:val="0"/>
        <w:snapToGrid w:val="0"/>
        <w:spacing w:before="0" w:after="0" w:line="360" w:lineRule="auto"/>
        <w:jc w:val="left"/>
        <w:rPr>
          <w:rFonts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29" w:name="_Toc13941"/>
      <w:bookmarkStart w:id="30" w:name="_Toc7540"/>
      <w:bookmarkStart w:id="31" w:name="_Toc21940"/>
      <w:bookmarkStart w:id="32" w:name="_Toc24807"/>
      <w:bookmarkStart w:id="33" w:name="_Toc19313"/>
      <w:bookmarkStart w:id="34" w:name="_Toc30570"/>
      <w:bookmarkStart w:id="35" w:name="_Toc31509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2.  项目概况与招标范围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color w:val="auto"/>
          <w:highlight w:val="none"/>
          <w:lang w:val="en-US" w:eastAsia="zh-CN"/>
        </w:rPr>
      </w:pPr>
      <w:bookmarkStart w:id="36" w:name="OLE_LINK3"/>
      <w:r>
        <w:rPr>
          <w:rFonts w:hint="eastAsia"/>
          <w:color w:val="auto"/>
          <w:highlight w:val="none"/>
          <w:lang w:val="en-US" w:eastAsia="zh-CN"/>
        </w:rPr>
        <w:t>2.1建设地点：</w:t>
      </w:r>
      <w:r>
        <w:rPr>
          <w:color w:val="auto"/>
          <w:highlight w:val="none"/>
        </w:rPr>
        <w:t>重庆龙溪河服务区分布式光伏</w:t>
      </w:r>
      <w:r>
        <w:rPr>
          <w:rFonts w:hint="eastAsia"/>
          <w:color w:val="auto"/>
          <w:highlight w:val="none"/>
          <w:lang w:val="en-US" w:eastAsia="zh-CN"/>
        </w:rPr>
        <w:t>位于</w:t>
      </w:r>
      <w:r>
        <w:rPr>
          <w:rFonts w:hint="eastAsia"/>
          <w:color w:val="auto"/>
          <w:highlight w:val="none"/>
        </w:rPr>
        <w:t>沪</w:t>
      </w:r>
      <w:r>
        <w:rPr>
          <w:color w:val="auto"/>
          <w:highlight w:val="none"/>
        </w:rPr>
        <w:t>蓉高速公路梁平段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  <w:vertAlign w:val="superscript"/>
          <w:lang w:val="en-US" w:eastAsia="zh-CN"/>
        </w:rPr>
        <w:t xml:space="preserve"> </w:t>
      </w:r>
      <w:r>
        <w:rPr>
          <w:color w:val="auto"/>
          <w:highlight w:val="none"/>
        </w:rPr>
        <w:t>重庆新田港码头分布式光伏</w:t>
      </w:r>
      <w:r>
        <w:rPr>
          <w:rFonts w:hint="eastAsia"/>
          <w:color w:val="auto"/>
          <w:highlight w:val="none"/>
          <w:lang w:val="en-US" w:eastAsia="zh-CN"/>
        </w:rPr>
        <w:t>位于</w:t>
      </w:r>
      <w:r>
        <w:rPr>
          <w:color w:val="auto"/>
          <w:highlight w:val="none"/>
        </w:rPr>
        <w:t>万州区新田</w:t>
      </w:r>
      <w:r>
        <w:rPr>
          <w:rFonts w:hint="eastAsia"/>
          <w:color w:val="auto"/>
          <w:highlight w:val="none"/>
          <w:lang w:val="en-US" w:eastAsia="zh-CN"/>
        </w:rPr>
        <w:t>港区内；</w:t>
      </w:r>
      <w:r>
        <w:rPr>
          <w:color w:val="auto"/>
          <w:highlight w:val="none"/>
        </w:rPr>
        <w:t>重庆渝湘高速分布式光伏</w:t>
      </w:r>
      <w:r>
        <w:rPr>
          <w:rFonts w:hint="eastAsia"/>
          <w:color w:val="auto"/>
          <w:highlight w:val="none"/>
          <w:lang w:val="en-US" w:eastAsia="zh-CN"/>
        </w:rPr>
        <w:t>分布于梁平、万州、</w:t>
      </w:r>
      <w:r>
        <w:rPr>
          <w:color w:val="auto"/>
          <w:highlight w:val="none"/>
        </w:rPr>
        <w:t>南川、武隆、黔江、酉阳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color w:val="auto"/>
          <w:highlight w:val="none"/>
        </w:rPr>
        <w:t>秀山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等沿线隧道和服务区；</w:t>
      </w:r>
      <w:r>
        <w:rPr>
          <w:color w:val="auto"/>
          <w:highlight w:val="none"/>
        </w:rPr>
        <w:t>重庆水轮机厂分布式光伏</w:t>
      </w:r>
      <w:r>
        <w:rPr>
          <w:rFonts w:hint="eastAsia"/>
          <w:color w:val="auto"/>
          <w:highlight w:val="none"/>
          <w:lang w:val="en-US" w:eastAsia="zh-CN"/>
        </w:rPr>
        <w:t>位于江津珞璜园区厂区内。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2.2项目概况：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t>重庆龙溪河服务区分布式光伏发电项目：位于重庆市G42</w:t>
      </w:r>
      <w:r>
        <w:rPr>
          <w:rFonts w:hint="eastAsia"/>
          <w:color w:val="auto"/>
          <w:highlight w:val="none"/>
        </w:rPr>
        <w:t>沪</w:t>
      </w:r>
      <w:r>
        <w:rPr>
          <w:color w:val="auto"/>
          <w:highlight w:val="none"/>
        </w:rPr>
        <w:t>蓉高速公路梁平段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占地面积约3000</w:t>
      </w:r>
      <w:r>
        <w:rPr>
          <w:color w:val="auto"/>
          <w:highlight w:val="none"/>
        </w:rPr>
        <w:t>m</w:t>
      </w:r>
      <w:r>
        <w:rPr>
          <w:color w:val="auto"/>
          <w:highlight w:val="none"/>
          <w:vertAlign w:val="superscript"/>
        </w:rPr>
        <w:t>2</w:t>
      </w:r>
      <w:r>
        <w:rPr>
          <w:color w:val="auto"/>
          <w:highlight w:val="none"/>
        </w:rPr>
        <w:t>，主要利用服务区南北侧现有的配电房屋顶、综合楼屋顶及绿化带</w:t>
      </w:r>
      <w:r>
        <w:rPr>
          <w:rFonts w:hint="eastAsia"/>
          <w:color w:val="auto"/>
          <w:highlight w:val="none"/>
        </w:rPr>
        <w:t>。</w:t>
      </w:r>
    </w:p>
    <w:p>
      <w:pPr>
        <w:pStyle w:val="7"/>
        <w:ind w:left="0" w:leftChars="0"/>
        <w:rPr>
          <w:color w:val="auto"/>
          <w:highlight w:val="none"/>
        </w:rPr>
      </w:pPr>
      <w:r>
        <w:rPr>
          <w:color w:val="auto"/>
          <w:highlight w:val="none"/>
        </w:rPr>
        <w:t>重庆新田港码头分布式光伏发电项目（一期）：位于重庆市万州区新田镇五溪村</w:t>
      </w:r>
      <w:r>
        <w:rPr>
          <w:rFonts w:hint="eastAsia"/>
          <w:color w:val="auto"/>
          <w:highlight w:val="none"/>
          <w:lang w:val="en-US" w:eastAsia="zh-CN"/>
        </w:rPr>
        <w:t>，占地面积约1200</w:t>
      </w:r>
      <w:r>
        <w:rPr>
          <w:color w:val="auto"/>
          <w:highlight w:val="none"/>
        </w:rPr>
        <w:t>m</w:t>
      </w:r>
      <w:r>
        <w:rPr>
          <w:color w:val="auto"/>
          <w:highlight w:val="none"/>
          <w:vertAlign w:val="superscript"/>
        </w:rPr>
        <w:t>2</w:t>
      </w:r>
      <w:r>
        <w:rPr>
          <w:color w:val="auto"/>
          <w:highlight w:val="none"/>
        </w:rPr>
        <w:t>，主要分布在综合楼屋顶设置光伏组件</w:t>
      </w:r>
      <w:r>
        <w:rPr>
          <w:rFonts w:hint="eastAsia"/>
          <w:color w:val="auto"/>
          <w:highlight w:val="none"/>
        </w:rPr>
        <w:t>。</w:t>
      </w:r>
    </w:p>
    <w:p>
      <w:pPr>
        <w:pStyle w:val="7"/>
        <w:ind w:left="0" w:leftChars="0"/>
        <w:rPr>
          <w:color w:val="auto"/>
          <w:highlight w:val="none"/>
        </w:rPr>
      </w:pPr>
      <w:r>
        <w:rPr>
          <w:color w:val="auto"/>
          <w:highlight w:val="none"/>
        </w:rPr>
        <w:t>重庆渝湘高速分布式光伏项目（一期）：将在渝湘高速重庆段南川、武隆、黔江、酉阳，秀山5个区县开建</w:t>
      </w:r>
      <w:r>
        <w:rPr>
          <w:rFonts w:hint="eastAsia"/>
          <w:color w:val="auto"/>
          <w:highlight w:val="none"/>
          <w:lang w:val="en-US" w:eastAsia="zh-CN"/>
        </w:rPr>
        <w:t>，占地面积约20000</w:t>
      </w:r>
      <w:r>
        <w:rPr>
          <w:color w:val="auto"/>
          <w:highlight w:val="none"/>
        </w:rPr>
        <w:t>m</w:t>
      </w:r>
      <w:r>
        <w:rPr>
          <w:color w:val="auto"/>
          <w:highlight w:val="none"/>
          <w:vertAlign w:val="superscript"/>
        </w:rPr>
        <w:t>2</w:t>
      </w:r>
      <w:r>
        <w:rPr>
          <w:color w:val="auto"/>
          <w:highlight w:val="none"/>
        </w:rPr>
        <w:t>，主要利用途经的隧道隔离带、服务区及管理中心的屋顶</w:t>
      </w:r>
      <w:r>
        <w:rPr>
          <w:rFonts w:hint="eastAsia"/>
          <w:color w:val="auto"/>
          <w:highlight w:val="none"/>
        </w:rPr>
        <w:t>。</w:t>
      </w:r>
    </w:p>
    <w:p>
      <w:pPr>
        <w:pStyle w:val="7"/>
        <w:ind w:left="0" w:leftChars="0"/>
        <w:rPr>
          <w:color w:val="auto"/>
          <w:highlight w:val="none"/>
        </w:rPr>
      </w:pPr>
      <w:r>
        <w:rPr>
          <w:color w:val="auto"/>
          <w:highlight w:val="none"/>
        </w:rPr>
        <w:t>重庆水轮机厂屋顶分布式光伏项目：在工厂厂房彩钢瓦屋顶上布设分布式光伏</w:t>
      </w:r>
      <w:r>
        <w:rPr>
          <w:rFonts w:hint="eastAsia"/>
          <w:color w:val="auto"/>
          <w:highlight w:val="none"/>
          <w:lang w:val="en-US" w:eastAsia="zh-CN"/>
        </w:rPr>
        <w:t>，占用屋顶面积约25000</w:t>
      </w:r>
      <w:r>
        <w:rPr>
          <w:color w:val="auto"/>
          <w:highlight w:val="none"/>
        </w:rPr>
        <w:t>m</w:t>
      </w:r>
      <w:r>
        <w:rPr>
          <w:color w:val="auto"/>
          <w:highlight w:val="none"/>
          <w:vertAlign w:val="superscript"/>
        </w:rPr>
        <w:t>2</w:t>
      </w:r>
      <w:r>
        <w:rPr>
          <w:rFonts w:hint="eastAsia"/>
          <w:color w:val="auto"/>
          <w:highlight w:val="none"/>
        </w:rPr>
        <w:t>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color w:val="auto"/>
          <w:highlight w:val="none"/>
        </w:rPr>
      </w:pPr>
      <w:bookmarkStart w:id="37" w:name="_Toc287620669"/>
      <w:bookmarkStart w:id="38" w:name="_Toc277082538"/>
      <w:bookmarkStart w:id="39" w:name="_Toc287607730"/>
      <w:bookmarkStart w:id="40" w:name="_Toc200359429"/>
      <w:bookmarkStart w:id="41" w:name="_Toc224103301"/>
      <w:bookmarkStart w:id="42" w:name="_Toc200359240"/>
      <w:bookmarkStart w:id="43" w:name="_Toc509218694"/>
      <w:bookmarkStart w:id="44" w:name="_Toc430530418"/>
      <w:r>
        <w:rPr>
          <w:rFonts w:hint="eastAsia"/>
          <w:color w:val="auto"/>
          <w:highlight w:val="none"/>
        </w:rPr>
        <w:t>本次招标为重庆航发电力销售有限公司2023年度光伏组件、逆变器及电缆采购，总装机规模约4.23</w:t>
      </w:r>
      <w:r>
        <w:rPr>
          <w:color w:val="auto"/>
          <w:highlight w:val="none"/>
        </w:rPr>
        <w:t>M</w:t>
      </w:r>
      <w:r>
        <w:rPr>
          <w:rFonts w:hint="eastAsia"/>
          <w:color w:val="auto"/>
          <w:highlight w:val="none"/>
        </w:rPr>
        <w:t>Wp。</w:t>
      </w:r>
      <w:r>
        <w:rPr>
          <w:rFonts w:hint="eastAsia"/>
          <w:color w:val="auto"/>
          <w:highlight w:val="none"/>
          <w:lang w:val="en-US" w:eastAsia="zh-CN"/>
        </w:rPr>
        <w:t>N型</w:t>
      </w:r>
      <w:r>
        <w:rPr>
          <w:rFonts w:hint="eastAsia"/>
          <w:color w:val="auto"/>
          <w:highlight w:val="none"/>
        </w:rPr>
        <w:t>光伏组件设备约7300块；逆变器</w:t>
      </w:r>
      <w:r>
        <w:rPr>
          <w:color w:val="auto"/>
          <w:highlight w:val="none"/>
        </w:rPr>
        <w:t>14</w:t>
      </w:r>
      <w:r>
        <w:rPr>
          <w:rFonts w:hint="eastAsia"/>
          <w:color w:val="auto"/>
          <w:highlight w:val="none"/>
        </w:rPr>
        <w:t>种规格</w:t>
      </w:r>
      <w:r>
        <w:rPr>
          <w:color w:val="auto"/>
          <w:highlight w:val="none"/>
        </w:rPr>
        <w:t>（25-110kw）</w:t>
      </w:r>
      <w:r>
        <w:rPr>
          <w:rFonts w:hint="eastAsia"/>
          <w:color w:val="auto"/>
          <w:highlight w:val="none"/>
        </w:rPr>
        <w:t>，总数约50台，具体数量根据实际需求进行配置；ZRC-YJV22-0.6/1kV-3*185+1*95mm²电缆约</w:t>
      </w:r>
      <w:r>
        <w:rPr>
          <w:color w:val="auto"/>
          <w:highlight w:val="none"/>
        </w:rPr>
        <w:t>2800</w:t>
      </w:r>
      <w:r>
        <w:rPr>
          <w:rFonts w:hint="eastAsia"/>
          <w:color w:val="auto"/>
          <w:highlight w:val="none"/>
        </w:rPr>
        <w:t>米。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snapToGrid w:val="0"/>
          <w:color w:val="auto"/>
          <w:kern w:val="0"/>
          <w:szCs w:val="21"/>
          <w:highlight w:val="none"/>
        </w:rPr>
      </w:pPr>
      <w:r>
        <w:rPr>
          <w:rFonts w:hint="eastAsia"/>
          <w:snapToGrid w:val="0"/>
          <w:color w:val="auto"/>
          <w:kern w:val="0"/>
          <w:szCs w:val="21"/>
          <w:highlight w:val="none"/>
        </w:rPr>
        <w:t>2.3 本次招标项目合同估算金额：约810万元。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2.4 招标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范围</w:t>
      </w:r>
      <w:r>
        <w:rPr>
          <w:rFonts w:hint="eastAsia" w:ascii="宋体" w:hAnsi="宋体" w:cs="宋体"/>
          <w:color w:val="auto"/>
          <w:highlight w:val="none"/>
        </w:rPr>
        <w:t>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Calibri" w:hAnsi="Calibri"/>
          <w:snapToGrid w:val="0"/>
          <w:color w:val="auto"/>
          <w:kern w:val="0"/>
          <w:szCs w:val="21"/>
          <w:highlight w:val="none"/>
        </w:rPr>
      </w:pPr>
      <w:r>
        <w:rPr>
          <w:rFonts w:hint="eastAsia" w:hAnsi="宋体"/>
          <w:color w:val="auto"/>
          <w:highlight w:val="none"/>
        </w:rPr>
        <w:t>卖</w:t>
      </w:r>
      <w:r>
        <w:rPr>
          <w:color w:val="auto"/>
          <w:highlight w:val="none"/>
        </w:rPr>
        <w:t>方应提供全新的、符合本招标文件规定的运行功能和性能要求的</w:t>
      </w:r>
      <w:r>
        <w:rPr>
          <w:rFonts w:hint="eastAsia"/>
          <w:color w:val="auto"/>
          <w:highlight w:val="none"/>
        </w:rPr>
        <w:t>光伏组件设备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</w:rPr>
        <w:t>逆变器、电缆</w:t>
      </w:r>
      <w:r>
        <w:rPr>
          <w:color w:val="auto"/>
          <w:highlight w:val="none"/>
        </w:rPr>
        <w:t>，并保证设备质量与使用寿命；对合同设备的设计、制造、所需材料和部件的采购、成套、工厂检验、出厂前的组装检查、出厂试验、包装、保管、运输及保险、交货、现场开箱检验；提交全套技术文件（包括图纸、资料、说明书、标准和规范）</w:t>
      </w:r>
      <w:r>
        <w:rPr>
          <w:rFonts w:hint="eastAsia"/>
          <w:color w:val="auto"/>
          <w:highlight w:val="none"/>
        </w:rPr>
        <w:t>、负责</w:t>
      </w:r>
      <w:r>
        <w:rPr>
          <w:rFonts w:hint="eastAsia"/>
          <w:color w:val="auto"/>
          <w:highlight w:val="none"/>
          <w:lang w:val="en-US" w:eastAsia="zh-CN"/>
        </w:rPr>
        <w:t>协助施工方的</w:t>
      </w:r>
      <w:r>
        <w:rPr>
          <w:rFonts w:hint="eastAsia"/>
          <w:color w:val="auto"/>
          <w:highlight w:val="none"/>
        </w:rPr>
        <w:t>安装</w:t>
      </w:r>
      <w:r>
        <w:rPr>
          <w:color w:val="auto"/>
          <w:highlight w:val="none"/>
        </w:rPr>
        <w:t>工作</w:t>
      </w:r>
      <w:r>
        <w:rPr>
          <w:rFonts w:hint="eastAsia"/>
          <w:color w:val="auto"/>
          <w:highlight w:val="none"/>
        </w:rPr>
        <w:t>（由</w:t>
      </w:r>
      <w:r>
        <w:rPr>
          <w:rFonts w:hint="eastAsia"/>
          <w:color w:val="auto"/>
          <w:highlight w:val="none"/>
          <w:lang w:eastAsia="zh-CN"/>
        </w:rPr>
        <w:t>卖方</w:t>
      </w:r>
      <w:r>
        <w:rPr>
          <w:rFonts w:hint="eastAsia"/>
          <w:color w:val="auto"/>
          <w:highlight w:val="none"/>
        </w:rPr>
        <w:t>全面负责产品质量和安装质量）、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调试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工作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直至并网发电</w:t>
      </w:r>
      <w:r>
        <w:rPr>
          <w:color w:val="auto"/>
          <w:highlight w:val="none"/>
        </w:rPr>
        <w:t>；提供</w:t>
      </w:r>
      <w:r>
        <w:rPr>
          <w:rFonts w:hint="eastAsia"/>
          <w:color w:val="auto"/>
          <w:highlight w:val="none"/>
        </w:rPr>
        <w:t>出厂验收</w:t>
      </w:r>
      <w:r>
        <w:rPr>
          <w:color w:val="auto"/>
          <w:highlight w:val="none"/>
        </w:rPr>
        <w:t>等服务工作</w:t>
      </w:r>
      <w:r>
        <w:rPr>
          <w:rFonts w:hint="eastAsia"/>
          <w:color w:val="auto"/>
          <w:highlight w:val="none"/>
        </w:rPr>
        <w:t>，配合项目的交工验收、竣工验收</w:t>
      </w:r>
      <w:r>
        <w:rPr>
          <w:color w:val="auto"/>
          <w:highlight w:val="none"/>
        </w:rPr>
        <w:t>及相关服务等工作</w:t>
      </w:r>
      <w:r>
        <w:rPr>
          <w:rFonts w:hint="eastAsia" w:ascii="Calibri" w:hAnsi="Calibri"/>
          <w:snapToGrid w:val="0"/>
          <w:color w:val="auto"/>
          <w:kern w:val="0"/>
          <w:szCs w:val="21"/>
          <w:highlight w:val="none"/>
        </w:rPr>
        <w:t>。具体设备详见第五章供货要求。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hAnsi="宋体" w:eastAsia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2.5交货期：</w:t>
      </w:r>
      <w:r>
        <w:rPr>
          <w:rFonts w:hint="eastAsia"/>
          <w:color w:val="auto"/>
          <w:highlight w:val="none"/>
        </w:rPr>
        <w:t>根据各项目具体情况分批交货</w:t>
      </w:r>
      <w:r>
        <w:rPr>
          <w:rFonts w:hint="eastAsia" w:hAnsi="宋体"/>
          <w:color w:val="auto"/>
          <w:highlight w:val="none"/>
        </w:rPr>
        <w:t>，具体交货时间由招标人书面通知。</w:t>
      </w:r>
      <w:r>
        <w:rPr>
          <w:rFonts w:hint="eastAsia" w:hAnsi="宋体"/>
          <w:color w:val="auto"/>
          <w:highlight w:val="none"/>
          <w:lang w:eastAsia="zh-CN"/>
        </w:rPr>
        <w:t>各项目的计划交货期如下表：</w:t>
      </w:r>
    </w:p>
    <w:tbl>
      <w:tblPr>
        <w:tblStyle w:val="9"/>
        <w:tblW w:w="855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9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eastAsia="zh-CN"/>
              </w:rPr>
              <w:t>项目名称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eastAsia="zh-CN"/>
              </w:rPr>
              <w:t>计划交货期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重庆龙溪河服务区分布式光伏发电项目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12月8日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重庆新田港码头分布式光伏发电项目（一期）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12月8日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重庆渝湘高速分布式光伏项目（一期）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12月8日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重庆水轮机厂屋顶分布式光伏项目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12月8日</w:t>
            </w:r>
            <w:r>
              <w:rPr>
                <w:rFonts w:hint="eastAsia" w:cs="方正仿宋_GBK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前</w:t>
            </w:r>
          </w:p>
        </w:tc>
      </w:tr>
    </w:tbl>
    <w:p>
      <w:pPr>
        <w:pStyle w:val="7"/>
        <w:rPr>
          <w:color w:val="auto"/>
          <w:highlight w:val="none"/>
        </w:rPr>
      </w:pP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</w:t>
      </w:r>
      <w:r>
        <w:rPr>
          <w:rFonts w:ascii="宋体" w:hAnsi="宋体" w:cs="宋体"/>
          <w:color w:val="auto"/>
          <w:highlight w:val="none"/>
        </w:rPr>
        <w:t>6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交货</w:t>
      </w:r>
      <w:r>
        <w:rPr>
          <w:rFonts w:hint="eastAsia" w:ascii="宋体" w:hAnsi="宋体" w:cs="宋体"/>
          <w:color w:val="auto"/>
          <w:highlight w:val="none"/>
        </w:rPr>
        <w:t>地点：</w:t>
      </w:r>
      <w:r>
        <w:rPr>
          <w:rFonts w:hint="eastAsia"/>
          <w:snapToGrid w:val="0"/>
          <w:color w:val="auto"/>
          <w:kern w:val="0"/>
          <w:szCs w:val="21"/>
          <w:highlight w:val="none"/>
        </w:rPr>
        <w:t>买方指定地点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2.7 质保期：初步验收合格之日起不少于12个月。</w:t>
      </w:r>
    </w:p>
    <w:bookmarkEnd w:id="36"/>
    <w:p>
      <w:pPr>
        <w:pStyle w:val="3"/>
        <w:adjustRightInd w:val="0"/>
        <w:snapToGrid w:val="0"/>
        <w:spacing w:before="0" w:after="0" w:line="360" w:lineRule="auto"/>
        <w:jc w:val="left"/>
        <w:rPr>
          <w:rFonts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45" w:name="_Toc10048"/>
      <w:bookmarkStart w:id="46" w:name="_Toc25398"/>
      <w:bookmarkStart w:id="47" w:name="_Toc26989"/>
      <w:bookmarkStart w:id="48" w:name="_Toc28189"/>
      <w:bookmarkStart w:id="49" w:name="_Toc27711"/>
      <w:bookmarkStart w:id="50" w:name="_Toc22306"/>
      <w:bookmarkStart w:id="51" w:name="_Toc32404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3.  投标人资格要求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outlineLvl w:val="2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bookmarkStart w:id="52" w:name="_Toc27665"/>
      <w:bookmarkStart w:id="53" w:name="_Toc30195"/>
      <w:bookmarkStart w:id="54" w:name="_Toc23373"/>
      <w:bookmarkStart w:id="55" w:name="OLE_LINK2"/>
      <w:bookmarkStart w:id="56" w:name="OLE_LINK4"/>
      <w:bookmarkStart w:id="57" w:name="_Toc200359430"/>
      <w:bookmarkStart w:id="58" w:name="_Toc430530419"/>
      <w:bookmarkStart w:id="59" w:name="_Toc287607731"/>
      <w:bookmarkStart w:id="60" w:name="_Toc277082539"/>
      <w:bookmarkStart w:id="61" w:name="_Toc200359241"/>
      <w:bookmarkStart w:id="62" w:name="_Toc287620670"/>
      <w:bookmarkStart w:id="63" w:name="_Toc224103302"/>
      <w:bookmarkStart w:id="64" w:name="_Toc509218695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3.1  本次招标要求投标人须具备以下条件：</w:t>
      </w:r>
      <w:bookmarkEnd w:id="52"/>
      <w:bookmarkEnd w:id="53"/>
      <w:bookmarkEnd w:id="54"/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3.1.1 本次招标要求投标人为</w:t>
      </w:r>
      <w:r>
        <w:rPr>
          <w:rFonts w:hint="eastAsia" w:ascii="宋体" w:hAnsi="宋体" w:cs="宋体"/>
          <w:color w:val="auto"/>
          <w:szCs w:val="21"/>
          <w:highlight w:val="none"/>
        </w:rPr>
        <w:t>中国境内注册的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独立法人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>的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光伏组件生产厂家或代理商</w:t>
      </w:r>
      <w:r>
        <w:rPr>
          <w:rFonts w:hint="eastAsia" w:ascii="宋体" w:hAnsi="宋体" w:cs="宋体"/>
          <w:color w:val="auto"/>
          <w:szCs w:val="21"/>
          <w:highlight w:val="none"/>
        </w:rPr>
        <w:t>，具有有效的营业执照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3.1.2 本次招标要求投标人具备的业绩条件：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201</w:t>
      </w:r>
      <w:r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  <w:t>8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年1月1日至投标截止日（以合同签订时间为准）至少具有1个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>已完成的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单个合同装机规模不低于</w:t>
      </w:r>
      <w:r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  <w:t>3MWp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的单晶硅光伏组件供货的合同业绩。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3.1.3 投标人还应在其他方面具有相应的供货能力，详见招标文件第二章投标人须知前附表第1.4.1条内容。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outlineLvl w:val="2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bookmarkStart w:id="65" w:name="_Toc23294"/>
      <w:bookmarkStart w:id="66" w:name="_Toc7839"/>
      <w:bookmarkStart w:id="67" w:name="_Toc28333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3.2  本次招标不接受联合体投标。</w:t>
      </w:r>
      <w:bookmarkEnd w:id="55"/>
      <w:bookmarkEnd w:id="65"/>
      <w:bookmarkEnd w:id="66"/>
      <w:bookmarkEnd w:id="67"/>
    </w:p>
    <w:bookmarkEnd w:id="56"/>
    <w:p>
      <w:pPr>
        <w:pStyle w:val="3"/>
        <w:adjustRightInd w:val="0"/>
        <w:snapToGrid w:val="0"/>
        <w:spacing w:before="0" w:after="0" w:line="360" w:lineRule="auto"/>
        <w:jc w:val="left"/>
        <w:rPr>
          <w:rFonts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68" w:name="_Toc31583"/>
      <w:bookmarkStart w:id="69" w:name="_Toc31449"/>
      <w:bookmarkStart w:id="70" w:name="_Toc7608"/>
      <w:bookmarkStart w:id="71" w:name="_Toc11346"/>
      <w:bookmarkStart w:id="72" w:name="_Toc9345"/>
      <w:bookmarkStart w:id="73" w:name="_Toc12260"/>
      <w:bookmarkStart w:id="74" w:name="_Toc23811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4.  招标文件的获取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8"/>
      <w:bookmarkEnd w:id="69"/>
      <w:bookmarkEnd w:id="70"/>
      <w:bookmarkEnd w:id="71"/>
      <w:bookmarkEnd w:id="72"/>
      <w:bookmarkEnd w:id="73"/>
      <w:bookmarkEnd w:id="74"/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4.1 本招标项目采用全流程电子招投标，投标人在投标前可在重庆市公共资源交易网（www.cqggzy.com）下载招标文件、工程量清单、电子图纸等资料。参与投标的投标人需在重庆市公共资源交易网（www.cqggzy.com）完成市场主体信息登记以及 CA 数字证书办理，办理方式请参见重庆市公共资源交易网（www.cqggzy.com）导航栏“主体信息”页面中“市场主体信息登记”“CA 数字证书办理”。若投标人未及时完成市场主体信息登记和 CA 数字证书办理导致无法完成全流程电子招投标的，责任自负。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4.2  投标人可在附件招标公告规定的时限内在重庆市公共资源交易网（www.cqggzy.com）本项目招标公告网页下方“我要提问”栏提出疑问。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4.3  招标人应在附件招标公告规定的时限内在重庆市公共资源交易网（www.cqggzy.com）发布澄清或修改。</w:t>
      </w:r>
    </w:p>
    <w:p>
      <w:pPr>
        <w:pStyle w:val="3"/>
        <w:adjustRightInd w:val="0"/>
        <w:snapToGrid w:val="0"/>
        <w:spacing w:before="0" w:after="0" w:line="360" w:lineRule="auto"/>
        <w:jc w:val="left"/>
        <w:rPr>
          <w:rFonts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75" w:name="_Toc430530420"/>
      <w:bookmarkStart w:id="76" w:name="_Toc4561"/>
      <w:bookmarkStart w:id="77" w:name="_Toc23219"/>
      <w:bookmarkStart w:id="78" w:name="_Toc287607732"/>
      <w:bookmarkStart w:id="79" w:name="_Toc29073"/>
      <w:bookmarkStart w:id="80" w:name="_Toc200359242"/>
      <w:bookmarkStart w:id="81" w:name="_Toc17866"/>
      <w:bookmarkStart w:id="82" w:name="_Toc30895"/>
      <w:bookmarkStart w:id="83" w:name="_Toc224103303"/>
      <w:bookmarkStart w:id="84" w:name="_Toc200359431"/>
      <w:bookmarkStart w:id="85" w:name="_Toc14540"/>
      <w:bookmarkStart w:id="86" w:name="_Toc16054"/>
      <w:bookmarkStart w:id="87" w:name="_Toc277082540"/>
      <w:bookmarkStart w:id="88" w:name="_Toc287620671"/>
      <w:bookmarkStart w:id="89" w:name="_Toc509218696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5.  投标文件的递交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5.1 投标文件递交的截止时间（投标截止时间，下同）详见附件招标公告规定的投标截止时间，投标人应当在投标截止时间前，通过互联网使用CA数字证书登录重庆市电子招投标系统，将加密的电子投标文件上传。</w:t>
      </w:r>
    </w:p>
    <w:p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5.2 未按要求加密的电子投标文件，将无法上传至重庆市电子招投标系统，逾期未完成投标文件上传的，</w:t>
      </w:r>
      <w:bookmarkStart w:id="90" w:name="_Toc509218697"/>
      <w:bookmarkStart w:id="91" w:name="_Toc224103304"/>
      <w:bookmarkStart w:id="92" w:name="_Toc287607733"/>
      <w:bookmarkStart w:id="93" w:name="_Toc200359432"/>
      <w:bookmarkStart w:id="94" w:name="_Toc200359243"/>
      <w:bookmarkStart w:id="95" w:name="_Toc430530421"/>
      <w:bookmarkStart w:id="96" w:name="_Toc287620672"/>
      <w:bookmarkStart w:id="97" w:name="_Toc277082541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视为撤回投标文件。</w:t>
      </w:r>
    </w:p>
    <w:p>
      <w:pPr>
        <w:pStyle w:val="3"/>
        <w:adjustRightInd w:val="0"/>
        <w:snapToGrid w:val="0"/>
        <w:spacing w:before="0" w:after="0" w:line="360" w:lineRule="auto"/>
        <w:jc w:val="left"/>
        <w:rPr>
          <w:rFonts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98" w:name="_Toc18527"/>
      <w:bookmarkStart w:id="99" w:name="_Toc4314"/>
      <w:bookmarkStart w:id="100" w:name="_Toc21982"/>
      <w:bookmarkStart w:id="101" w:name="_Toc16112"/>
      <w:bookmarkStart w:id="102" w:name="_Toc30591"/>
      <w:bookmarkStart w:id="103" w:name="_Toc31316"/>
      <w:bookmarkStart w:id="104" w:name="_Toc27580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6.  发布公告的媒介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>
      <w:pPr>
        <w:tabs>
          <w:tab w:val="left" w:pos="495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本次招标公告同时在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>重庆市公共资源交易网（https://www.cqggzy.com/）、重庆高速公路集团有限公司官网（http://www.cegc.com.cn/）和重庆高速公路集团有限公司招投标管理平台（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http://cqgsbid.cegc.com.cn:7900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>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上发布。</w:t>
      </w:r>
    </w:p>
    <w:p>
      <w:pPr>
        <w:pStyle w:val="3"/>
        <w:adjustRightInd w:val="0"/>
        <w:snapToGrid w:val="0"/>
        <w:spacing w:before="0" w:after="0" w:line="360" w:lineRule="auto"/>
        <w:jc w:val="left"/>
        <w:rPr>
          <w:rFonts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105" w:name="_Toc3995"/>
      <w:bookmarkStart w:id="106" w:name="_Toc10146"/>
      <w:bookmarkStart w:id="107" w:name="_Toc224103305"/>
      <w:bookmarkStart w:id="108" w:name="_Toc14827"/>
      <w:bookmarkStart w:id="109" w:name="_Toc7452"/>
      <w:bookmarkStart w:id="110" w:name="_Toc430530422"/>
      <w:bookmarkStart w:id="111" w:name="_Toc287607734"/>
      <w:bookmarkStart w:id="112" w:name="_Toc287620673"/>
      <w:bookmarkStart w:id="113" w:name="_Toc27876"/>
      <w:bookmarkStart w:id="114" w:name="_Toc16498"/>
      <w:bookmarkStart w:id="115" w:name="_Toc277082542"/>
      <w:bookmarkStart w:id="116" w:name="_Toc509218698"/>
      <w:bookmarkStart w:id="117" w:name="_Toc19604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7.  联系方式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>
      <w:pPr>
        <w:tabs>
          <w:tab w:val="left" w:pos="3566"/>
        </w:tabs>
        <w:autoSpaceDE w:val="0"/>
        <w:autoSpaceDN w:val="0"/>
        <w:spacing w:line="420" w:lineRule="exact"/>
        <w:ind w:left="102" w:right="108"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招标人：重庆航发电力销售有限公司</w:t>
      </w:r>
    </w:p>
    <w:p>
      <w:pPr>
        <w:tabs>
          <w:tab w:val="left" w:pos="3566"/>
        </w:tabs>
        <w:autoSpaceDE w:val="0"/>
        <w:autoSpaceDN w:val="0"/>
        <w:spacing w:line="420" w:lineRule="exact"/>
        <w:ind w:left="102" w:right="108"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地址：重庆市北部新区高新园星光大道68号C1-9-1</w:t>
      </w:r>
    </w:p>
    <w:p>
      <w:pPr>
        <w:tabs>
          <w:tab w:val="left" w:pos="3566"/>
        </w:tabs>
        <w:autoSpaceDE w:val="0"/>
        <w:autoSpaceDN w:val="0"/>
        <w:spacing w:line="420" w:lineRule="exact"/>
        <w:ind w:left="102" w:right="108"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联系人：肖老师</w:t>
      </w:r>
    </w:p>
    <w:p>
      <w:pPr>
        <w:tabs>
          <w:tab w:val="left" w:pos="3566"/>
        </w:tabs>
        <w:autoSpaceDE w:val="0"/>
        <w:autoSpaceDN w:val="0"/>
        <w:spacing w:line="420" w:lineRule="exact"/>
        <w:ind w:left="102" w:right="108" w:firstLine="420"/>
        <w:jc w:val="left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电话：023-67684604</w:t>
      </w:r>
    </w:p>
    <w:p>
      <w:pPr>
        <w:rPr>
          <w:rFonts w:ascii="宋体" w:hAnsi="宋体" w:cs="宋体"/>
          <w:color w:val="auto"/>
          <w:highlight w:val="none"/>
        </w:rPr>
      </w:pPr>
    </w:p>
    <w:p>
      <w:pPr>
        <w:tabs>
          <w:tab w:val="left" w:pos="3566"/>
        </w:tabs>
        <w:autoSpaceDE w:val="0"/>
        <w:autoSpaceDN w:val="0"/>
        <w:spacing w:line="420" w:lineRule="exact"/>
        <w:ind w:left="102" w:right="108" w:firstLine="420"/>
        <w:jc w:val="left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招标代理机构：重庆国际投资咨询集团有限公司</w:t>
      </w:r>
    </w:p>
    <w:p>
      <w:pPr>
        <w:tabs>
          <w:tab w:val="left" w:pos="3566"/>
        </w:tabs>
        <w:autoSpaceDE w:val="0"/>
        <w:autoSpaceDN w:val="0"/>
        <w:spacing w:line="420" w:lineRule="exact"/>
        <w:ind w:left="102" w:right="108" w:firstLine="420"/>
        <w:jc w:val="left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地址：重庆市江北区五简路2号重咨大厦A栋</w:t>
      </w:r>
    </w:p>
    <w:p>
      <w:pPr>
        <w:tabs>
          <w:tab w:val="left" w:pos="3566"/>
        </w:tabs>
        <w:autoSpaceDE w:val="0"/>
        <w:autoSpaceDN w:val="0"/>
        <w:spacing w:line="420" w:lineRule="exact"/>
        <w:ind w:left="102" w:right="108" w:firstLine="420"/>
        <w:jc w:val="left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联系人：刘老师</w:t>
      </w:r>
    </w:p>
    <w:p>
      <w:pPr>
        <w:tabs>
          <w:tab w:val="left" w:pos="3566"/>
        </w:tabs>
        <w:autoSpaceDE w:val="0"/>
        <w:autoSpaceDN w:val="0"/>
        <w:spacing w:line="420" w:lineRule="exact"/>
        <w:ind w:left="102" w:right="108" w:firstLine="420"/>
        <w:jc w:val="left"/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电话：</w:t>
      </w:r>
      <w:r>
        <w:rPr>
          <w:rFonts w:hint="eastAsia"/>
          <w:color w:val="auto"/>
          <w:highlight w:val="none"/>
        </w:rPr>
        <w:t>023-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6</w:t>
      </w:r>
      <w:bookmarkStart w:id="118" w:name="_GoBack"/>
      <w:bookmarkEnd w:id="118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7107374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13EAA"/>
    <w:rsid w:val="63E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楷体_GBK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Indent 2"/>
    <w:basedOn w:val="1"/>
    <w:qFormat/>
    <w:uiPriority w:val="0"/>
    <w:pPr>
      <w:ind w:firstLine="280" w:firstLineChars="100"/>
    </w:pPr>
    <w:rPr>
      <w:rFonts w:ascii="Calibri" w:hAnsi="Calibri"/>
      <w:sz w:val="28"/>
      <w:szCs w:val="20"/>
    </w:rPr>
  </w:style>
  <w:style w:type="paragraph" w:styleId="7">
    <w:name w:val="Body Text First Indent 2"/>
    <w:basedOn w:val="4"/>
    <w:next w:val="6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2023-04-17T09:04:00Z</dcterms:created>
  <dc:creator>Administrator</dc:creator>
  <cp:lastModifiedBy>刘道红</cp:lastModifiedBy>
  <dcterms:modified xsi:type="dcterms:W3CDTF">2023-11-07T02:18:59Z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