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val="en-US" w:eastAsia="zh-CN"/>
        </w:rPr>
        <w:t>重庆</w:t>
      </w:r>
      <w:r>
        <w:rPr>
          <w:rFonts w:hint="eastAsia" w:ascii="宋体" w:hAnsi="宋体" w:cs="宋体"/>
          <w:b/>
          <w:sz w:val="32"/>
          <w:szCs w:val="32"/>
        </w:rPr>
        <w:t>高速公路省界</w:t>
      </w:r>
      <w:r>
        <w:rPr>
          <w:rFonts w:hint="eastAsia" w:ascii="宋体" w:hAnsi="宋体" w:cs="宋体"/>
          <w:b/>
          <w:sz w:val="32"/>
          <w:szCs w:val="32"/>
          <w:lang w:val="en-US" w:eastAsia="zh-CN"/>
        </w:rPr>
        <w:t>入口</w:t>
      </w:r>
      <w:r>
        <w:rPr>
          <w:rFonts w:hint="eastAsia" w:ascii="宋体" w:hAnsi="宋体" w:cs="宋体"/>
          <w:b/>
          <w:sz w:val="32"/>
          <w:szCs w:val="32"/>
        </w:rPr>
        <w:t>不停车超限检测预警系统建设项目设计服务</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采购人：重庆高速公路集团有限公司联网收费结算中心</w:t>
      </w:r>
    </w:p>
    <w:p>
      <w:pPr>
        <w:jc w:val="center"/>
        <w:rPr>
          <w:rFonts w:ascii="宋体" w:hAnsi="宋体" w:cs="宋体"/>
          <w:b/>
          <w:sz w:val="28"/>
          <w:szCs w:val="28"/>
        </w:rPr>
      </w:pPr>
      <w:r>
        <w:rPr>
          <w:rFonts w:hint="eastAsia" w:ascii="宋体" w:hAnsi="宋体" w:cs="宋体"/>
          <w:b/>
          <w:sz w:val="28"/>
          <w:szCs w:val="28"/>
        </w:rPr>
        <w:t>202</w:t>
      </w:r>
      <w:r>
        <w:rPr>
          <w:rFonts w:ascii="宋体" w:hAnsi="宋体" w:cs="宋体"/>
          <w:b/>
          <w:sz w:val="28"/>
          <w:szCs w:val="28"/>
        </w:rPr>
        <w:t>3</w:t>
      </w:r>
      <w:r>
        <w:rPr>
          <w:rFonts w:hint="eastAsia" w:ascii="宋体" w:hAnsi="宋体" w:cs="宋体"/>
          <w:b/>
          <w:sz w:val="28"/>
          <w:szCs w:val="28"/>
        </w:rPr>
        <w:t>年11月</w:t>
      </w:r>
    </w:p>
    <w:p>
      <w:pPr>
        <w:pStyle w:val="1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br w:type="page"/>
      </w:r>
    </w:p>
    <w:p>
      <w:pPr>
        <w:pStyle w:val="3"/>
        <w:spacing w:before="0" w:after="0" w:line="360" w:lineRule="auto"/>
        <w:jc w:val="center"/>
        <w:rPr>
          <w:rFonts w:ascii="宋体" w:hAnsi="宋体" w:cs="宋体"/>
        </w:rPr>
      </w:pPr>
      <w:bookmarkStart w:id="0" w:name="_Toc246996900"/>
      <w:bookmarkStart w:id="1" w:name="_Toc247096243"/>
      <w:bookmarkStart w:id="2" w:name="_Toc246996157"/>
      <w:bookmarkStart w:id="3" w:name="_Toc152045511"/>
      <w:bookmarkStart w:id="4" w:name="_Toc247085671"/>
      <w:bookmarkStart w:id="5" w:name="_Toc144974479"/>
      <w:bookmarkStart w:id="6" w:name="_Toc179632527"/>
      <w:bookmarkStart w:id="7" w:name="_Toc2000404"/>
      <w:bookmarkStart w:id="8" w:name="_Toc507319890"/>
      <w:bookmarkStart w:id="9" w:name="_Toc152042287"/>
      <w:bookmarkStart w:id="10" w:name="_Toc10533"/>
      <w:r>
        <w:rPr>
          <w:rFonts w:hint="eastAsia" w:ascii="宋体" w:hAnsi="宋体" w:cs="宋体"/>
        </w:rPr>
        <w:t xml:space="preserve">第一章 </w:t>
      </w:r>
      <w:bookmarkEnd w:id="0"/>
      <w:bookmarkEnd w:id="1"/>
      <w:bookmarkEnd w:id="2"/>
      <w:bookmarkEnd w:id="3"/>
      <w:bookmarkEnd w:id="4"/>
      <w:bookmarkEnd w:id="5"/>
      <w:bookmarkEnd w:id="6"/>
      <w:bookmarkEnd w:id="7"/>
      <w:bookmarkEnd w:id="8"/>
      <w:bookmarkEnd w:id="9"/>
      <w:r>
        <w:rPr>
          <w:rFonts w:hint="eastAsia" w:ascii="宋体" w:hAnsi="宋体" w:cs="宋体"/>
        </w:rPr>
        <w:t>比选公告</w:t>
      </w:r>
      <w:bookmarkEnd w:id="10"/>
    </w:p>
    <w:p>
      <w:pPr>
        <w:spacing w:line="440" w:lineRule="exact"/>
        <w:jc w:val="center"/>
        <w:rPr>
          <w:rFonts w:ascii="宋体" w:hAnsi="宋体" w:cs="宋体"/>
          <w:b/>
          <w:sz w:val="28"/>
          <w:szCs w:val="28"/>
        </w:rPr>
      </w:pPr>
      <w:bookmarkStart w:id="11" w:name="OLE_LINK3"/>
      <w:bookmarkStart w:id="12" w:name="OLE_LINK2"/>
    </w:p>
    <w:p>
      <w:pPr>
        <w:pStyle w:val="4"/>
        <w:spacing w:before="0" w:after="0" w:line="360" w:lineRule="auto"/>
        <w:rPr>
          <w:rFonts w:ascii="宋体" w:hAnsi="宋体" w:eastAsia="宋体" w:cs="宋体"/>
        </w:rPr>
      </w:pPr>
      <w:bookmarkStart w:id="13" w:name="_Toc11329213"/>
      <w:bookmarkStart w:id="14" w:name="_Toc24874"/>
      <w:bookmarkStart w:id="15" w:name="_Toc507319891"/>
      <w:bookmarkStart w:id="16" w:name="_Toc179632528"/>
      <w:bookmarkStart w:id="17" w:name="_Toc144974480"/>
      <w:bookmarkStart w:id="18" w:name="_Toc152042288"/>
      <w:bookmarkStart w:id="19" w:name="_Toc152045512"/>
      <w:bookmarkStart w:id="20" w:name="_Toc6549"/>
      <w:bookmarkStart w:id="21" w:name="_Toc246996901"/>
      <w:bookmarkStart w:id="22" w:name="_Toc10076"/>
      <w:bookmarkStart w:id="23" w:name="_Toc246996158"/>
      <w:bookmarkStart w:id="24" w:name="_Toc247085672"/>
      <w:r>
        <w:rPr>
          <w:rFonts w:hint="eastAsia" w:ascii="宋体" w:hAnsi="宋体" w:eastAsia="宋体" w:cs="宋体"/>
        </w:rPr>
        <w:t>1. 比选条件</w:t>
      </w:r>
      <w:bookmarkEnd w:id="13"/>
      <w:bookmarkEnd w:id="14"/>
      <w:bookmarkEnd w:id="15"/>
      <w:bookmarkEnd w:id="16"/>
      <w:bookmarkEnd w:id="17"/>
      <w:bookmarkEnd w:id="18"/>
      <w:bookmarkEnd w:id="19"/>
      <w:bookmarkEnd w:id="20"/>
      <w:bookmarkEnd w:id="21"/>
      <w:bookmarkEnd w:id="22"/>
      <w:bookmarkEnd w:id="23"/>
      <w:bookmarkEnd w:id="24"/>
    </w:p>
    <w:p>
      <w:pPr>
        <w:spacing w:line="400" w:lineRule="exact"/>
        <w:ind w:firstLine="420" w:firstLineChars="200"/>
        <w:rPr>
          <w:rFonts w:ascii="宋体" w:hAnsi="宋体" w:cs="宋体"/>
          <w:szCs w:val="21"/>
        </w:rPr>
      </w:pPr>
      <w:r>
        <w:rPr>
          <w:rFonts w:hint="eastAsia" w:ascii="宋体" w:hAnsi="宋体" w:cs="宋体"/>
          <w:szCs w:val="21"/>
        </w:rPr>
        <w:t>本竞争性比选项目</w:t>
      </w:r>
      <w:r>
        <w:rPr>
          <w:rFonts w:hint="eastAsia" w:ascii="宋体" w:hAnsi="宋体" w:cs="宋体"/>
          <w:szCs w:val="21"/>
          <w:lang w:val="en-US" w:eastAsia="zh-CN"/>
        </w:rPr>
        <w:t>重庆</w:t>
      </w:r>
      <w:r>
        <w:rPr>
          <w:rFonts w:hint="eastAsia" w:ascii="宋体" w:hAnsi="宋体" w:cs="宋体"/>
          <w:szCs w:val="21"/>
          <w:u w:val="single"/>
        </w:rPr>
        <w:t>高速公路省界</w:t>
      </w:r>
      <w:r>
        <w:rPr>
          <w:rFonts w:hint="eastAsia" w:ascii="宋体" w:hAnsi="宋体" w:cs="宋体"/>
          <w:szCs w:val="21"/>
          <w:u w:val="single"/>
          <w:lang w:val="en-US" w:eastAsia="zh-CN"/>
        </w:rPr>
        <w:t>入口</w:t>
      </w:r>
      <w:r>
        <w:rPr>
          <w:rFonts w:hint="eastAsia" w:ascii="宋体" w:hAnsi="宋体" w:cs="宋体"/>
          <w:szCs w:val="21"/>
          <w:u w:val="single"/>
        </w:rPr>
        <w:t>不停车超限检测预警系统建设项目设计服务</w:t>
      </w:r>
      <w:r>
        <w:rPr>
          <w:rFonts w:hint="eastAsia" w:ascii="宋体" w:hAnsi="宋体" w:cs="宋体"/>
          <w:szCs w:val="21"/>
        </w:rPr>
        <w:t>，采购人为</w:t>
      </w:r>
      <w:r>
        <w:rPr>
          <w:rFonts w:hint="eastAsia" w:ascii="宋体" w:hAnsi="宋体" w:cs="宋体"/>
          <w:szCs w:val="21"/>
          <w:u w:val="single"/>
        </w:rPr>
        <w:t>重庆高速公路集团有限公司联网收费结算中心</w:t>
      </w:r>
      <w:r>
        <w:rPr>
          <w:rFonts w:hint="eastAsia" w:ascii="宋体" w:hAnsi="宋体" w:cs="宋体"/>
          <w:szCs w:val="21"/>
        </w:rPr>
        <w:t>，项目业主为重庆高速公路集团有限公司东北营运分公司、重庆高速公路集团有限公司东南营运分公司、重庆渝东高速公路有限公司、重庆渝黔高速公路有限公司和重庆铁发建新高速公路有限公司，建设资金来自业主自筹，</w:t>
      </w:r>
      <w:r>
        <w:rPr>
          <w:rFonts w:hint="eastAsia"/>
          <w:szCs w:val="21"/>
        </w:rPr>
        <w:t>项目中标后分别与上述5家</w:t>
      </w:r>
      <w:r>
        <w:rPr>
          <w:rFonts w:hint="eastAsia"/>
          <w:szCs w:val="21"/>
          <w:lang w:val="en-US" w:eastAsia="zh-CN"/>
        </w:rPr>
        <w:t>项目</w:t>
      </w:r>
      <w:r>
        <w:rPr>
          <w:rFonts w:hint="eastAsia"/>
          <w:szCs w:val="21"/>
        </w:rPr>
        <w:t>业主进行合同谈判，并签订合同。</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5" w:name="_Toc247085673"/>
      <w:bookmarkStart w:id="26" w:name="_Toc144974481"/>
      <w:bookmarkStart w:id="27" w:name="_Toc10952"/>
      <w:bookmarkStart w:id="28" w:name="_Toc152045513"/>
      <w:bookmarkStart w:id="29" w:name="_Toc21343"/>
      <w:bookmarkStart w:id="30" w:name="_Toc18109"/>
      <w:bookmarkStart w:id="31" w:name="_Toc246996159"/>
      <w:bookmarkStart w:id="32" w:name="_Toc246996902"/>
      <w:bookmarkStart w:id="33" w:name="_Toc507319892"/>
      <w:bookmarkStart w:id="34" w:name="_Toc152042289"/>
      <w:bookmarkStart w:id="35" w:name="_Toc179632529"/>
      <w:bookmarkStart w:id="36" w:name="_Toc11329214"/>
      <w:r>
        <w:rPr>
          <w:rFonts w:hint="eastAsia" w:ascii="宋体" w:hAnsi="宋体" w:eastAsia="宋体" w:cs="宋体"/>
        </w:rPr>
        <w:t>2. 项目概况与比选范围</w:t>
      </w:r>
      <w:bookmarkEnd w:id="25"/>
      <w:bookmarkEnd w:id="26"/>
      <w:bookmarkEnd w:id="27"/>
      <w:bookmarkEnd w:id="28"/>
      <w:bookmarkEnd w:id="29"/>
      <w:bookmarkEnd w:id="30"/>
      <w:bookmarkEnd w:id="31"/>
      <w:bookmarkEnd w:id="32"/>
      <w:bookmarkEnd w:id="33"/>
      <w:bookmarkEnd w:id="34"/>
      <w:bookmarkEnd w:id="35"/>
      <w:bookmarkEnd w:id="36"/>
    </w:p>
    <w:p>
      <w:pPr>
        <w:pStyle w:val="7"/>
        <w:adjustRightInd w:val="0"/>
        <w:spacing w:line="400" w:lineRule="exact"/>
        <w:rPr>
          <w:rFonts w:ascii="宋体" w:hAnsi="宋体" w:cs="宋体"/>
        </w:rPr>
      </w:pPr>
      <w:r>
        <w:rPr>
          <w:rFonts w:hint="eastAsia" w:ascii="宋体" w:hAnsi="宋体" w:cs="宋体"/>
        </w:rPr>
        <w:t>2.1 项目概况：</w:t>
      </w:r>
      <w:r>
        <w:rPr>
          <w:rFonts w:hint="eastAsia" w:ascii="宋体" w:hAnsi="宋体" w:cs="宋体"/>
          <w:lang w:val="en-US" w:eastAsia="zh-CN"/>
        </w:rPr>
        <w:t>根据</w:t>
      </w:r>
      <w:r>
        <w:rPr>
          <w:rFonts w:hint="eastAsia" w:ascii="宋体" w:hAnsi="宋体" w:cs="宋体"/>
        </w:rPr>
        <w:t>重庆市交通局下达《关于加快推进高速公路省界不停车超限检测预警系统建设的通知》（渝交管养【2023】42号）</w:t>
      </w:r>
      <w:r>
        <w:rPr>
          <w:rFonts w:hint="eastAsia" w:ascii="宋体" w:hAnsi="宋体" w:cs="宋体"/>
          <w:lang w:val="en-US" w:eastAsia="zh-CN"/>
        </w:rPr>
        <w:t>要求</w:t>
      </w:r>
      <w:r>
        <w:rPr>
          <w:rFonts w:hint="eastAsia" w:ascii="宋体" w:hAnsi="宋体" w:cs="宋体"/>
        </w:rPr>
        <w:t>，现需编制G42沪蓉高速(巫山)、G50沪渝高速(石柱)、G65包茂高速(秀山)、G75兰海高速(綦江)G7521渝筑高速(綦江)等5处入省界路段不停车超限检测预警系统施工图设计文件。</w:t>
      </w:r>
    </w:p>
    <w:p>
      <w:pPr>
        <w:spacing w:line="400" w:lineRule="exact"/>
        <w:ind w:firstLine="420" w:firstLineChars="200"/>
        <w:rPr>
          <w:rFonts w:ascii="宋体" w:hAnsi="宋体" w:cs="宋体"/>
        </w:rPr>
      </w:pPr>
      <w:r>
        <w:rPr>
          <w:rFonts w:hint="eastAsia" w:ascii="宋体" w:hAnsi="宋体" w:cs="宋体"/>
        </w:rPr>
        <w:t>2.2 比选范围：本次省界不停车超限检测预警系统施工图设计范围包含公路车辆动态称重检测系统、视频监控系统、信息发布系统、交通标志与标线、供配电与防雷接地、前端信息处理系统、治超联网管理系统及相关附属设施。</w:t>
      </w:r>
    </w:p>
    <w:p>
      <w:pPr>
        <w:spacing w:line="400" w:lineRule="exact"/>
        <w:ind w:firstLine="420" w:firstLineChars="200"/>
        <w:rPr>
          <w:rFonts w:ascii="宋体" w:hAnsi="宋体" w:cs="宋体"/>
        </w:rPr>
      </w:pPr>
      <w:r>
        <w:rPr>
          <w:rFonts w:hint="eastAsia" w:ascii="宋体" w:hAnsi="宋体" w:cs="宋体"/>
        </w:rPr>
        <w:t>2.3 工期要求：2023年</w:t>
      </w:r>
      <w:r>
        <w:rPr>
          <w:rFonts w:hint="eastAsia" w:ascii="宋体" w:hAnsi="宋体" w:cs="宋体"/>
          <w:highlight w:val="none"/>
          <w:rPrChange w:id="0" w:author="谢晗" w:date="2023-11-17T09:05:31Z">
            <w:rPr>
              <w:rFonts w:hint="eastAsia" w:ascii="宋体" w:hAnsi="宋体" w:cs="宋体"/>
              <w:highlight w:val="yellow"/>
            </w:rPr>
          </w:rPrChange>
        </w:rPr>
        <w:t>11月30日前</w:t>
      </w:r>
      <w:r>
        <w:rPr>
          <w:rFonts w:hint="eastAsia" w:ascii="宋体" w:hAnsi="宋体" w:cs="宋体"/>
        </w:rPr>
        <w:t>。</w:t>
      </w:r>
    </w:p>
    <w:p>
      <w:pPr>
        <w:pStyle w:val="4"/>
        <w:spacing w:before="120" w:after="0" w:line="360" w:lineRule="auto"/>
        <w:rPr>
          <w:rFonts w:ascii="宋体" w:hAnsi="宋体" w:eastAsia="宋体" w:cs="宋体"/>
        </w:rPr>
      </w:pPr>
      <w:bookmarkStart w:id="37" w:name="_Toc507319893"/>
      <w:bookmarkStart w:id="38" w:name="_Toc7065"/>
      <w:bookmarkStart w:id="39" w:name="_Toc152045514"/>
      <w:bookmarkStart w:id="40" w:name="_Toc179632530"/>
      <w:bookmarkStart w:id="41" w:name="_Toc144974482"/>
      <w:bookmarkStart w:id="42" w:name="_Toc11329215"/>
      <w:bookmarkStart w:id="43" w:name="_Toc10171"/>
      <w:bookmarkStart w:id="44" w:name="_Toc152042290"/>
      <w:bookmarkStart w:id="45" w:name="_Toc246996160"/>
      <w:bookmarkStart w:id="46" w:name="_Toc247085674"/>
      <w:bookmarkStart w:id="47" w:name="_Toc30356"/>
      <w:bookmarkStart w:id="48" w:name="_Toc246996903"/>
      <w:r>
        <w:rPr>
          <w:rFonts w:hint="eastAsia" w:ascii="宋体" w:hAnsi="宋体" w:eastAsia="宋体" w:cs="宋体"/>
        </w:rPr>
        <w:t>3. 报价人资格要求</w:t>
      </w:r>
      <w:bookmarkEnd w:id="37"/>
      <w:bookmarkEnd w:id="38"/>
      <w:bookmarkEnd w:id="39"/>
      <w:bookmarkEnd w:id="40"/>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szCs w:val="21"/>
          <w:shd w:val="clear" w:color="auto" w:fill="FFFFFF"/>
        </w:rPr>
      </w:pPr>
      <w:bookmarkStart w:id="49" w:name="_Toc152042291"/>
      <w:bookmarkStart w:id="50" w:name="_Toc179632531"/>
      <w:bookmarkStart w:id="51" w:name="_Toc246996161"/>
      <w:bookmarkStart w:id="52" w:name="_Toc144974483"/>
      <w:bookmarkStart w:id="53" w:name="_Toc246996904"/>
      <w:bookmarkStart w:id="54" w:name="_Toc247085675"/>
      <w:bookmarkStart w:id="55" w:name="_Toc152045515"/>
      <w:r>
        <w:rPr>
          <w:rFonts w:hint="eastAsia" w:ascii="宋体" w:hAnsi="宋体" w:cs="宋体"/>
          <w:szCs w:val="21"/>
          <w:shd w:val="clear" w:color="auto" w:fill="FFFFFF"/>
        </w:rPr>
        <w:t>3.1 资质要求（未提供以下资质证明的，将被视为无效响应文件，以下证明需加盖公司章）：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具备</w:t>
      </w:r>
      <w:r>
        <w:rPr>
          <w:rFonts w:hint="eastAsia" w:ascii="宋体" w:hAnsi="宋体" w:cs="宋体"/>
          <w:szCs w:val="21"/>
          <w:shd w:val="clear" w:color="auto" w:fill="FFFFFF"/>
        </w:rPr>
        <w:t>有效</w:t>
      </w:r>
      <w:r>
        <w:rPr>
          <w:rFonts w:hint="eastAsia" w:ascii="宋体" w:hAnsi="宋体" w:cs="宋体"/>
          <w:szCs w:val="21"/>
          <w:shd w:val="clear" w:color="auto" w:fill="FFFFFF"/>
          <w:lang w:val="en-US" w:eastAsia="zh-CN"/>
        </w:rPr>
        <w:t>的</w:t>
      </w:r>
      <w:r>
        <w:rPr>
          <w:rFonts w:hint="eastAsia" w:ascii="宋体" w:hAnsi="宋体" w:cs="宋体"/>
          <w:szCs w:val="21"/>
          <w:shd w:val="clear" w:color="auto" w:fill="FFFFFF"/>
        </w:rPr>
        <w:t>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）投标人须具备工程设计公路行业甲级或公路工程综合甲级资质。</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业绩要求：投标人在近三年（指2020年1月1日至2023年1月1日，以合同签订时间为准）业绩应满足：至少独立完成一项合同金额不低于</w:t>
      </w:r>
      <w:del w:id="1" w:author="lwsf" w:date="2023-11-16T16:25:54Z">
        <w:r>
          <w:rPr>
            <w:rFonts w:hint="default" w:ascii="宋体" w:hAnsi="宋体" w:cs="宋体"/>
            <w:szCs w:val="21"/>
            <w:shd w:val="clear" w:color="auto" w:fill="FFFFFF"/>
            <w:lang w:val="en-US"/>
          </w:rPr>
          <w:delText>10</w:delText>
        </w:r>
      </w:del>
      <w:ins w:id="2" w:author="lwsf" w:date="2023-11-16T16:25:54Z">
        <w:r>
          <w:rPr>
            <w:rFonts w:hint="eastAsia" w:ascii="宋体" w:hAnsi="宋体" w:cs="宋体"/>
            <w:szCs w:val="21"/>
            <w:shd w:val="clear" w:color="auto" w:fill="FFFFFF"/>
            <w:lang w:val="en-US" w:eastAsia="zh-CN"/>
          </w:rPr>
          <w:t>20</w:t>
        </w:r>
      </w:ins>
      <w:r>
        <w:rPr>
          <w:rFonts w:hint="eastAsia" w:ascii="宋体" w:hAnsi="宋体" w:cs="宋体"/>
          <w:szCs w:val="21"/>
          <w:shd w:val="clear" w:color="auto" w:fill="FFFFFF"/>
        </w:rPr>
        <w:t>万元的新建或改扩建高速公路项目机电工程设计业绩。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3.3报价人须提供采购人要求的所有资质要求、业绩要求的复印件并加盖单位鲜公章。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6" w:name="_Toc14361"/>
      <w:bookmarkStart w:id="57" w:name="_Toc11329216"/>
      <w:bookmarkStart w:id="58" w:name="_Toc507319894"/>
      <w:bookmarkStart w:id="59" w:name="_Toc12460"/>
      <w:bookmarkStart w:id="60" w:name="_Toc25619"/>
      <w:r>
        <w:rPr>
          <w:rFonts w:hint="eastAsia" w:ascii="宋体" w:hAnsi="宋体" w:eastAsia="宋体" w:cs="宋体"/>
        </w:rPr>
        <w:t xml:space="preserve">4. </w:t>
      </w:r>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方正仿宋_GBK"/>
        </w:rPr>
        <w:t>发布公告的媒介</w:t>
      </w:r>
    </w:p>
    <w:p>
      <w:pPr>
        <w:snapToGrid w:val="0"/>
        <w:spacing w:line="360" w:lineRule="auto"/>
        <w:ind w:firstLine="420" w:firstLineChars="200"/>
        <w:rPr>
          <w:rFonts w:ascii="宋体" w:hAnsi="宋体" w:cs="方正仿宋_GBK"/>
          <w:szCs w:val="21"/>
        </w:rPr>
      </w:pPr>
      <w:bookmarkStart w:id="61" w:name="_Toc247085676"/>
      <w:bookmarkStart w:id="62" w:name="_Toc179632532"/>
      <w:bookmarkStart w:id="63" w:name="_Toc246996905"/>
      <w:bookmarkStart w:id="64" w:name="_Toc507319895"/>
      <w:bookmarkStart w:id="65" w:name="_Toc246996162"/>
      <w:bookmarkStart w:id="66" w:name="_Toc152042292"/>
      <w:bookmarkStart w:id="67" w:name="_Toc152045516"/>
      <w:bookmarkStart w:id="68" w:name="_Toc11329217"/>
      <w:bookmarkStart w:id="69" w:name="_Toc144974484"/>
      <w:bookmarkStart w:id="70" w:name="_Toc9131"/>
      <w:bookmarkStart w:id="71" w:name="_Toc16686"/>
      <w:bookmarkStart w:id="72" w:name="_Toc31493"/>
      <w:r>
        <w:rPr>
          <w:rFonts w:hint="eastAsia" w:ascii="宋体" w:hAnsi="宋体" w:cs="方正仿宋_GBK"/>
          <w:szCs w:val="21"/>
        </w:rPr>
        <w:t>本次招标公告在重庆高速公路集团有限公司官网上发布。</w:t>
      </w:r>
    </w:p>
    <w:p>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61"/>
      <w:bookmarkEnd w:id="62"/>
      <w:bookmarkEnd w:id="63"/>
      <w:bookmarkEnd w:id="64"/>
      <w:bookmarkEnd w:id="65"/>
      <w:bookmarkEnd w:id="66"/>
      <w:bookmarkEnd w:id="67"/>
      <w:bookmarkEnd w:id="68"/>
      <w:bookmarkEnd w:id="69"/>
      <w:r>
        <w:rPr>
          <w:rFonts w:hint="eastAsia" w:ascii="宋体" w:hAnsi="宋体" w:eastAsia="宋体" w:cs="宋体"/>
        </w:rPr>
        <w:t>及相关事宜</w:t>
      </w:r>
      <w:bookmarkEnd w:id="70"/>
      <w:bookmarkEnd w:id="71"/>
      <w:bookmarkEnd w:id="72"/>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w:t>
      </w:r>
      <w:r>
        <w:rPr>
          <w:rFonts w:hint="eastAsia" w:ascii="宋体" w:hAnsi="宋体"/>
          <w:szCs w:val="21"/>
        </w:rPr>
        <w:t>202</w:t>
      </w:r>
      <w:r>
        <w:rPr>
          <w:rFonts w:ascii="宋体" w:hAnsi="宋体"/>
          <w:szCs w:val="21"/>
        </w:rPr>
        <w:t>3</w:t>
      </w:r>
      <w:r>
        <w:rPr>
          <w:rFonts w:hint="eastAsia" w:ascii="宋体" w:hAnsi="宋体"/>
          <w:szCs w:val="21"/>
        </w:rPr>
        <w:t>年11月</w:t>
      </w:r>
      <w:r>
        <w:rPr>
          <w:rFonts w:hint="eastAsia" w:ascii="宋体" w:hAnsi="宋体"/>
          <w:szCs w:val="21"/>
          <w:highlight w:val="none"/>
          <w:lang w:val="en-US" w:eastAsia="zh-CN"/>
        </w:rPr>
        <w:t>23</w:t>
      </w:r>
      <w:r>
        <w:rPr>
          <w:rFonts w:hint="eastAsia" w:ascii="宋体" w:hAnsi="宋体"/>
          <w:szCs w:val="21"/>
          <w:highlight w:val="none"/>
        </w:rPr>
        <w:t>日</w:t>
      </w:r>
      <w:r>
        <w:rPr>
          <w:rFonts w:hint="eastAsia" w:ascii="宋体" w:hAnsi="宋体"/>
          <w:szCs w:val="21"/>
        </w:rPr>
        <w:t>下午</w:t>
      </w:r>
      <w:r>
        <w:rPr>
          <w:rFonts w:hint="eastAsia" w:ascii="宋体" w:hAnsi="宋体" w:cs="宋体"/>
          <w:szCs w:val="21"/>
        </w:rPr>
        <w:t xml:space="preserve"> 1</w:t>
      </w:r>
      <w:r>
        <w:rPr>
          <w:rFonts w:hint="eastAsia" w:ascii="宋体" w:hAnsi="宋体" w:cs="宋体"/>
          <w:szCs w:val="21"/>
          <w:lang w:val="en-US" w:eastAsia="zh-CN"/>
        </w:rPr>
        <w:t>5</w:t>
      </w:r>
      <w:r>
        <w:rPr>
          <w:rFonts w:hint="eastAsia" w:ascii="宋体" w:hAnsi="宋体" w:cs="宋体"/>
          <w:szCs w:val="21"/>
        </w:rPr>
        <w:t>时 00 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5.2报价的上传与递交：报价人</w:t>
      </w:r>
      <w:r>
        <w:rPr>
          <w:rFonts w:hint="eastAsia" w:ascii="宋体" w:hAnsi="宋体"/>
          <w:szCs w:val="21"/>
        </w:rPr>
        <w:t>于202</w:t>
      </w:r>
      <w:r>
        <w:rPr>
          <w:rFonts w:ascii="宋体" w:hAnsi="宋体"/>
          <w:szCs w:val="21"/>
        </w:rPr>
        <w:t>3</w:t>
      </w:r>
      <w:r>
        <w:rPr>
          <w:rFonts w:hint="eastAsia" w:ascii="宋体" w:hAnsi="宋体"/>
          <w:szCs w:val="21"/>
        </w:rPr>
        <w:t>年11月</w:t>
      </w:r>
      <w:r>
        <w:rPr>
          <w:rFonts w:hint="eastAsia" w:ascii="宋体" w:hAnsi="宋体"/>
          <w:szCs w:val="21"/>
          <w:lang w:val="en-US" w:eastAsia="zh-CN"/>
        </w:rPr>
        <w:t>23</w:t>
      </w:r>
      <w:r>
        <w:rPr>
          <w:rFonts w:hint="eastAsia" w:ascii="宋体" w:hAnsi="宋体"/>
          <w:szCs w:val="21"/>
        </w:rPr>
        <w:t>日下午1</w:t>
      </w:r>
      <w:r>
        <w:rPr>
          <w:rFonts w:hint="eastAsia" w:ascii="宋体" w:hAnsi="宋体"/>
          <w:szCs w:val="21"/>
          <w:lang w:val="en-US" w:eastAsia="zh-CN"/>
        </w:rPr>
        <w:t>5</w:t>
      </w:r>
      <w:bookmarkStart w:id="232" w:name="_GoBack"/>
      <w:bookmarkEnd w:id="232"/>
      <w:r>
        <w:rPr>
          <w:rFonts w:hint="eastAsia" w:ascii="宋体" w:hAnsi="宋体"/>
          <w:szCs w:val="21"/>
        </w:rPr>
        <w:t>：00前将报价文件纸质密封件交到高速集团505办公室。</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73" w:name="_Toc507319897"/>
      <w:bookmarkStart w:id="74" w:name="_Toc246996164"/>
      <w:bookmarkStart w:id="75" w:name="_Toc179632534"/>
      <w:bookmarkStart w:id="76" w:name="_Toc152045517"/>
      <w:bookmarkStart w:id="77" w:name="_Toc144974485"/>
      <w:bookmarkStart w:id="78" w:name="_Toc21615"/>
      <w:bookmarkStart w:id="79" w:name="_Toc246996907"/>
      <w:bookmarkStart w:id="80" w:name="_Toc11329219"/>
      <w:bookmarkStart w:id="81" w:name="_Toc393"/>
      <w:bookmarkStart w:id="82" w:name="_Toc152042293"/>
      <w:bookmarkStart w:id="83" w:name="_Toc247085678"/>
      <w:bookmarkStart w:id="84" w:name="_Toc18402"/>
      <w:r>
        <w:rPr>
          <w:rFonts w:hint="eastAsia" w:ascii="宋体" w:hAnsi="宋体" w:eastAsia="宋体" w:cs="宋体"/>
        </w:rPr>
        <w:t>6. 联系方式</w:t>
      </w:r>
      <w:bookmarkEnd w:id="73"/>
      <w:bookmarkEnd w:id="74"/>
      <w:bookmarkEnd w:id="75"/>
      <w:bookmarkEnd w:id="76"/>
      <w:bookmarkEnd w:id="77"/>
      <w:bookmarkEnd w:id="78"/>
      <w:bookmarkEnd w:id="79"/>
      <w:bookmarkEnd w:id="80"/>
      <w:bookmarkEnd w:id="81"/>
      <w:bookmarkEnd w:id="82"/>
      <w:bookmarkEnd w:id="83"/>
      <w:bookmarkEnd w:id="84"/>
    </w:p>
    <w:tbl>
      <w:tblPr>
        <w:tblStyle w:val="18"/>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2"/>
              <w:spacing w:before="0" w:beforeAutospacing="0" w:after="0" w:afterAutospacing="0" w:line="400" w:lineRule="exact"/>
              <w:ind w:firstLine="480" w:firstLineChars="200"/>
              <w:jc w:val="both"/>
              <w:rPr>
                <w:rFonts w:ascii="宋体" w:hAnsi="宋体" w:cs="宋体"/>
                <w:kern w:val="2"/>
                <w:sz w:val="24"/>
                <w:szCs w:val="24"/>
              </w:rPr>
            </w:pPr>
            <w:r>
              <w:rPr>
                <w:rFonts w:hint="eastAsia" w:ascii="宋体" w:hAnsi="宋体" w:cs="宋体"/>
                <w:kern w:val="2"/>
                <w:sz w:val="24"/>
                <w:szCs w:val="24"/>
              </w:rPr>
              <w:t>采购人：重庆高速公路集团有限公司联网收费结算中心</w:t>
            </w:r>
          </w:p>
        </w:tc>
        <w:tc>
          <w:tcPr>
            <w:tcW w:w="1415" w:type="dxa"/>
            <w:vAlign w:val="center"/>
          </w:tcPr>
          <w:p>
            <w:pPr>
              <w:pStyle w:val="2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abs>
                <w:tab w:val="left" w:pos="3621"/>
              </w:tabs>
              <w:spacing w:line="360" w:lineRule="auto"/>
              <w:ind w:firstLine="480" w:firstLineChars="200"/>
              <w:rPr>
                <w:rFonts w:ascii="宋体" w:hAnsi="宋体" w:cs="宋体"/>
                <w:sz w:val="24"/>
              </w:rPr>
            </w:pPr>
            <w:r>
              <w:rPr>
                <w:rFonts w:hint="eastAsia" w:ascii="宋体" w:hAnsi="宋体" w:cs="宋体"/>
                <w:sz w:val="24"/>
              </w:rPr>
              <w:t>地址：重庆市银杉路重庆高速集团505办公室</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abs>
                <w:tab w:val="left" w:pos="3621"/>
              </w:tabs>
              <w:spacing w:line="360" w:lineRule="auto"/>
              <w:ind w:firstLine="480" w:firstLineChars="200"/>
              <w:rPr>
                <w:rFonts w:ascii="宋体" w:hAnsi="宋体" w:cs="宋体"/>
                <w:sz w:val="24"/>
              </w:rPr>
            </w:pPr>
            <w:r>
              <w:rPr>
                <w:rFonts w:hint="eastAsia" w:ascii="宋体" w:hAnsi="宋体" w:cs="宋体"/>
                <w:sz w:val="24"/>
              </w:rPr>
              <w:t>联系人：谢老师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abs>
                <w:tab w:val="left" w:pos="3621"/>
              </w:tabs>
              <w:spacing w:line="360" w:lineRule="auto"/>
              <w:ind w:firstLine="480" w:firstLineChars="200"/>
              <w:rPr>
                <w:rFonts w:ascii="宋体" w:hAnsi="宋体" w:cs="宋体"/>
                <w:sz w:val="24"/>
              </w:rPr>
            </w:pPr>
            <w:r>
              <w:rPr>
                <w:rFonts w:hint="eastAsia" w:ascii="宋体" w:hAnsi="宋体" w:cs="宋体"/>
                <w:sz w:val="24"/>
              </w:rPr>
              <w:t>电 话： 18696688945</w:t>
            </w:r>
          </w:p>
        </w:tc>
        <w:tc>
          <w:tcPr>
            <w:tcW w:w="1415" w:type="dxa"/>
            <w:vAlign w:val="center"/>
          </w:tcPr>
          <w:p>
            <w:pPr>
              <w:spacing w:line="400" w:lineRule="exact"/>
              <w:ind w:firstLine="420" w:firstLineChars="200"/>
              <w:rPr>
                <w:rFonts w:ascii="宋体" w:hAnsi="宋体" w:cs="宋体"/>
                <w:szCs w:val="21"/>
              </w:rPr>
            </w:pPr>
          </w:p>
        </w:tc>
      </w:tr>
    </w:tbl>
    <w:p/>
    <w:p>
      <w:pPr>
        <w:pStyle w:val="13"/>
      </w:pPr>
    </w:p>
    <w:p/>
    <w:p>
      <w:pPr>
        <w:pStyle w:val="13"/>
      </w:pPr>
    </w:p>
    <w:p>
      <w:pPr>
        <w:pStyle w:val="13"/>
      </w:pPr>
    </w:p>
    <w:bookmarkEnd w:id="11"/>
    <w:bookmarkEnd w:id="12"/>
    <w:p>
      <w:pPr>
        <w:pStyle w:val="3"/>
        <w:spacing w:before="0" w:after="0" w:line="360" w:lineRule="auto"/>
        <w:jc w:val="center"/>
        <w:rPr>
          <w:rFonts w:ascii="宋体" w:hAnsi="宋体" w:cs="宋体"/>
        </w:rPr>
      </w:pPr>
      <w:bookmarkStart w:id="85" w:name="_Toc144974495"/>
      <w:bookmarkStart w:id="86" w:name="_Toc507319898"/>
      <w:bookmarkStart w:id="87" w:name="_Toc2000405"/>
      <w:bookmarkStart w:id="88" w:name="_Toc21719"/>
      <w:bookmarkStart w:id="89" w:name="_Toc152045527"/>
      <w:bookmarkStart w:id="90" w:name="_Toc246996173"/>
      <w:bookmarkStart w:id="91" w:name="_Toc246996916"/>
      <w:bookmarkStart w:id="92" w:name="_Toc247085687"/>
      <w:bookmarkStart w:id="93" w:name="_Toc152042303"/>
      <w:bookmarkStart w:id="94" w:name="_Toc179632544"/>
      <w:r>
        <w:rPr>
          <w:rFonts w:hint="eastAsia" w:ascii="宋体" w:hAnsi="宋体" w:cs="宋体"/>
        </w:rPr>
        <w:br w:type="page"/>
      </w:r>
      <w:r>
        <w:rPr>
          <w:rFonts w:hint="eastAsia" w:ascii="宋体" w:hAnsi="宋体" w:cs="宋体"/>
        </w:rPr>
        <w:t>第二章 报价人须知</w:t>
      </w:r>
      <w:bookmarkEnd w:id="85"/>
      <w:bookmarkEnd w:id="86"/>
      <w:bookmarkEnd w:id="87"/>
      <w:bookmarkEnd w:id="88"/>
      <w:bookmarkEnd w:id="89"/>
      <w:bookmarkEnd w:id="90"/>
      <w:bookmarkEnd w:id="91"/>
      <w:bookmarkEnd w:id="92"/>
      <w:bookmarkEnd w:id="93"/>
      <w:bookmarkEnd w:id="94"/>
    </w:p>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9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采购人：重庆高速公路集团有限公司联网收费结算中心</w:t>
            </w:r>
          </w:p>
          <w:p>
            <w:pPr>
              <w:spacing w:line="400" w:lineRule="exact"/>
              <w:ind w:firstLine="420" w:firstLineChars="200"/>
              <w:rPr>
                <w:rFonts w:ascii="宋体" w:hAnsi="宋体" w:cs="宋体"/>
                <w:szCs w:val="21"/>
              </w:rPr>
            </w:pPr>
            <w:r>
              <w:rPr>
                <w:rFonts w:hint="eastAsia" w:ascii="宋体" w:hAnsi="宋体" w:cs="宋体"/>
                <w:szCs w:val="21"/>
              </w:rPr>
              <w:t>地  址：重庆市银杉路重庆高速集团</w:t>
            </w:r>
          </w:p>
          <w:p>
            <w:pPr>
              <w:spacing w:line="400" w:lineRule="exact"/>
              <w:ind w:firstLine="420" w:firstLineChars="200"/>
              <w:rPr>
                <w:rFonts w:ascii="宋体" w:hAnsi="宋体" w:cs="宋体"/>
                <w:szCs w:val="21"/>
              </w:rPr>
            </w:pPr>
            <w:r>
              <w:rPr>
                <w:rFonts w:hint="eastAsia" w:ascii="宋体" w:hAnsi="宋体" w:cs="宋体"/>
                <w:szCs w:val="21"/>
              </w:rPr>
              <w:t>联系人：谢老师</w:t>
            </w:r>
          </w:p>
          <w:p>
            <w:pPr>
              <w:topLinePunct/>
              <w:spacing w:line="420" w:lineRule="exact"/>
              <w:ind w:firstLine="420" w:firstLineChars="200"/>
            </w:pPr>
            <w:r>
              <w:rPr>
                <w:rFonts w:hint="eastAsia" w:ascii="宋体" w:hAnsi="宋体" w:cs="宋体"/>
                <w:szCs w:val="21"/>
              </w:rPr>
              <w:t>电  话：18696688945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u w:val="single"/>
                <w:lang w:val="en-US" w:eastAsia="zh-CN"/>
              </w:rPr>
              <w:t>重庆</w:t>
            </w:r>
            <w:r>
              <w:rPr>
                <w:rFonts w:ascii="宋体" w:hAnsi="宋体" w:cs="宋体"/>
                <w:szCs w:val="21"/>
                <w:u w:val="single"/>
              </w:rPr>
              <w:t>高速公路省界</w:t>
            </w:r>
            <w:r>
              <w:rPr>
                <w:rFonts w:hint="eastAsia" w:ascii="宋体" w:hAnsi="宋体" w:cs="宋体"/>
                <w:szCs w:val="21"/>
                <w:u w:val="single"/>
                <w:lang w:val="en-US" w:eastAsia="zh-CN"/>
              </w:rPr>
              <w:t>入口</w:t>
            </w:r>
            <w:r>
              <w:rPr>
                <w:rFonts w:ascii="宋体" w:hAnsi="宋体" w:cs="宋体"/>
                <w:szCs w:val="21"/>
                <w:u w:val="single"/>
              </w:rPr>
              <w:t>不停车超限检测预警系统建设项目设计服务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项目相关单位</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szCs w:val="21"/>
              </w:rPr>
              <w:t>重庆高速公路集团有限公司东北营运分公司、重庆高速公路集团有限公司东南营运分公司、重庆渝东高速公路有限公司、重庆渝黔高速公路有限公司、重庆铁发建新高速公路有限公司。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10"/>
                <w:szCs w:val="21"/>
              </w:rPr>
            </w:pPr>
            <w:r>
              <w:rPr>
                <w:rFonts w:hint="eastAsia" w:ascii="宋体" w:hAnsi="宋体" w:cs="宋体"/>
                <w:szCs w:val="21"/>
              </w:rPr>
              <w:t>达到国家和地方现行有关质量标准。提供承诺。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无安全生产责任事故。提供承诺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（3）项目主要人员要求：见附录1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采购人发布的需求、补遗书、答疑、澄清、最高限价通知等附件。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23"/>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bookmarkStart w:id="96" w:name="_Hlt227984024"/>
            <w:bookmarkEnd w:id="96"/>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报价人按照采购人提供的需求填写报价</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高速公路省界不停车超限检测预警系统建设项目设计服务最高限价31.04万元。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left="-76" w:leftChars="-36" w:firstLine="420" w:firstLineChars="200"/>
            </w:pPr>
            <w:r>
              <w:t>1.</w:t>
            </w:r>
            <w:r>
              <w:rPr>
                <w:rFonts w:hint="eastAsia"/>
              </w:rPr>
              <w:t>乙方工作完成延迟</w:t>
            </w:r>
          </w:p>
          <w:p>
            <w:pPr>
              <w:spacing w:line="400" w:lineRule="exact"/>
              <w:ind w:left="-76" w:leftChars="-36" w:firstLine="420" w:firstLineChars="200"/>
            </w:pPr>
            <w:r>
              <w:rPr>
                <w:rFonts w:hint="eastAsia"/>
              </w:rPr>
              <w:t>由于乙方单方原因造成的，乙方工作比照双方约定的完成且项目验收通过时间延误的，则每延误一天（不足一天的，按一天计算），乙方应当向甲方支付费用总额</w:t>
            </w:r>
            <w:r>
              <w:t>2</w:t>
            </w:r>
            <w:r>
              <w:rPr>
                <w:rFonts w:hint="eastAsia"/>
              </w:rPr>
              <w:t>‰的违约金并赔偿由此给甲方造成的全部损失。</w:t>
            </w:r>
          </w:p>
          <w:p>
            <w:pPr>
              <w:spacing w:line="400" w:lineRule="exact"/>
              <w:ind w:left="-76" w:leftChars="-36" w:firstLine="420" w:firstLineChars="200"/>
            </w:pPr>
            <w:r>
              <w:t>2.</w:t>
            </w:r>
            <w:r>
              <w:rPr>
                <w:rFonts w:hint="eastAsia"/>
              </w:rPr>
              <w:t>乙方如出现以下任一情形时，乙方除应承担本合同其他条款约定的违约责任（若有）外，甲方有权要求乙方支付费用总额的</w:t>
            </w:r>
            <w:r>
              <w:t>10%</w:t>
            </w:r>
            <w:r>
              <w:rPr>
                <w:rFonts w:hint="eastAsia"/>
              </w:rPr>
              <w:t>的违约金并赔偿甲方的全部损失，具体赔偿金额由甲方根据违约严重程度确定，同时甲方有权单方解除本合同：</w:t>
            </w:r>
          </w:p>
          <w:p>
            <w:pPr>
              <w:spacing w:line="400" w:lineRule="exact"/>
              <w:ind w:left="-76" w:leftChars="-36" w:firstLine="420" w:firstLineChars="200"/>
            </w:pPr>
            <w:r>
              <w:rPr>
                <w:rFonts w:hint="eastAsia"/>
              </w:rPr>
              <w:t>（</w:t>
            </w:r>
            <w:r>
              <w:t>1</w:t>
            </w:r>
            <w:r>
              <w:rPr>
                <w:rFonts w:hint="eastAsia"/>
              </w:rPr>
              <w:t>）乙方拒不履行合同义务或所提供的服务不符合合同约定或不能满足甲方要求的；</w:t>
            </w:r>
          </w:p>
          <w:p>
            <w:pPr>
              <w:spacing w:line="400" w:lineRule="exact"/>
              <w:ind w:left="-76" w:leftChars="-36" w:firstLine="420" w:firstLineChars="200"/>
            </w:pPr>
            <w:r>
              <w:rPr>
                <w:rFonts w:hint="eastAsia"/>
              </w:rPr>
              <w:t>（</w:t>
            </w:r>
            <w:r>
              <w:t>2</w:t>
            </w:r>
            <w:r>
              <w:rPr>
                <w:rFonts w:hint="eastAsia"/>
              </w:rPr>
              <w:t>）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pPr>
              <w:spacing w:line="400" w:lineRule="exact"/>
              <w:ind w:left="-76" w:leftChars="-36" w:firstLine="420" w:firstLineChars="200"/>
            </w:pPr>
            <w:r>
              <w:rPr>
                <w:rFonts w:hint="eastAsia"/>
              </w:rPr>
              <w:t>（</w:t>
            </w:r>
            <w:r>
              <w:t>3</w:t>
            </w:r>
            <w:r>
              <w:rPr>
                <w:rFonts w:hint="eastAsia"/>
              </w:rPr>
              <w:t>）乙方提供给甲方的相关公司资质信息造假；乙方不配合甲方检查或配合甲方接受行业监管机构的相关审查或在审查中提供虚假信息；乙方隐瞒公司重大不良事件或对合同执行有影响的公司重大变动信息；出现合同项下工作的转包或分包。</w:t>
            </w:r>
          </w:p>
          <w:p>
            <w:pPr>
              <w:spacing w:line="400" w:lineRule="exact"/>
              <w:ind w:left="-76" w:leftChars="-36" w:firstLine="420" w:firstLineChars="200"/>
            </w:pPr>
            <w:r>
              <w:rPr>
                <w:rFonts w:hint="eastAsia"/>
              </w:rPr>
              <w:t>（</w:t>
            </w:r>
            <w:r>
              <w:t>4</w:t>
            </w:r>
            <w:r>
              <w:rPr>
                <w:rFonts w:hint="eastAsia"/>
              </w:rPr>
              <w:t>）故意在程序中设置恶意代码或后门；未经甲方许可直接在生产环境操作并接触敏感的生产数据；</w:t>
            </w:r>
          </w:p>
          <w:p>
            <w:pPr>
              <w:spacing w:line="400" w:lineRule="exact"/>
              <w:ind w:left="-76" w:leftChars="-36" w:firstLine="420" w:firstLineChars="200"/>
            </w:pPr>
            <w:r>
              <w:rPr>
                <w:rFonts w:hint="eastAsia"/>
              </w:rPr>
              <w:t>（</w:t>
            </w:r>
            <w:r>
              <w:t>5</w:t>
            </w:r>
            <w:r>
              <w:rPr>
                <w:rFonts w:hint="eastAsia"/>
              </w:rPr>
              <w:t>）侵犯甲方知识产权；侵犯第三方知识产权；违反保密协议要求；乙方派出人员未遵守甲方相关规定，造成事故发生或保密信息外泄。</w:t>
            </w:r>
          </w:p>
          <w:p>
            <w:pPr>
              <w:spacing w:line="400" w:lineRule="exact"/>
              <w:ind w:left="-76" w:leftChars="-36" w:firstLine="420" w:firstLineChars="200"/>
            </w:pPr>
            <w:r>
              <w:rPr>
                <w:rFonts w:hint="eastAsia"/>
              </w:rPr>
              <w:t>（</w:t>
            </w:r>
            <w:r>
              <w:t>6</w:t>
            </w:r>
            <w:r>
              <w:rPr>
                <w:rFonts w:hint="eastAsia"/>
              </w:rPr>
              <w:t>）乙方将本合同约定之专业服务或部分服务再行委托给第三方的；</w:t>
            </w:r>
          </w:p>
          <w:p>
            <w:pPr>
              <w:spacing w:line="400" w:lineRule="exact"/>
              <w:ind w:left="-76" w:leftChars="-36" w:firstLine="420" w:firstLineChars="200"/>
            </w:pPr>
            <w:r>
              <w:rPr>
                <w:rFonts w:hint="eastAsia"/>
              </w:rPr>
              <w:t>（</w:t>
            </w:r>
            <w:r>
              <w:t>7</w:t>
            </w:r>
            <w:r>
              <w:rPr>
                <w:rFonts w:hint="eastAsia"/>
              </w:rPr>
              <w:t>）乙方出现违反本合同约定的其他情形。</w:t>
            </w:r>
          </w:p>
          <w:p>
            <w:pPr>
              <w:spacing w:line="400" w:lineRule="exact"/>
              <w:ind w:left="-76" w:leftChars="-36" w:firstLine="420" w:firstLineChars="200"/>
            </w:pPr>
            <w:r>
              <w:t>3</w:t>
            </w:r>
            <w:r>
              <w:rPr>
                <w:rFonts w:hint="eastAsia"/>
              </w:rPr>
              <w:t>、因乙方违约导致甲方单方解除本合同的，则乙方除应承担本合同其他条款所约定的违约责任外，甲方同时有权拒绝付款，乙方应向甲方退还已收取的款项（若有），并赔偿甲方的全部损失，损失无法确定的按不少于已支付费用总额</w:t>
            </w:r>
            <w:r>
              <w:t>30%</w:t>
            </w:r>
            <w:r>
              <w:rPr>
                <w:rFonts w:hint="eastAsia"/>
              </w:rPr>
              <w:t>计算。甲方行使单方解除权的，解除通知自甲方发出之日起三日后即视为送达。</w:t>
            </w:r>
          </w:p>
          <w:p>
            <w:pPr>
              <w:spacing w:line="400" w:lineRule="exact"/>
              <w:ind w:left="-76" w:leftChars="-36" w:firstLine="420" w:firstLineChars="200"/>
            </w:pPr>
            <w:r>
              <w:t>4</w:t>
            </w:r>
            <w:r>
              <w:rPr>
                <w:rFonts w:hint="eastAsia"/>
              </w:rPr>
              <w:t>、本合同所约定的乙方应赔偿的甲方损失，包括但不限于损害赔偿金、预期利益损失、诉讼费、保全费、律师费等一切实现债权的费用。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szCs w:val="21"/>
              </w:rPr>
              <w:t>18</w:t>
            </w:r>
          </w:p>
        </w:tc>
        <w:tc>
          <w:tcPr>
            <w:tcW w:w="2106" w:type="dxa"/>
          </w:tcPr>
          <w:p>
            <w:pPr>
              <w:spacing w:line="400" w:lineRule="exact"/>
              <w:jc w:val="center"/>
              <w:rPr>
                <w:rFonts w:ascii="宋体" w:hAnsi="宋体" w:cs="宋体"/>
                <w:kern w:val="0"/>
                <w:szCs w:val="21"/>
              </w:rPr>
            </w:pPr>
            <w:r>
              <w:rPr>
                <w:rFonts w:hint="eastAsia" w:ascii="宋体" w:hAnsi="宋体" w:cs="宋体"/>
                <w:szCs w:val="21"/>
              </w:rPr>
              <w:t>中标候选人的人数</w:t>
            </w:r>
          </w:p>
        </w:tc>
        <w:tc>
          <w:tcPr>
            <w:tcW w:w="7104" w:type="dxa"/>
            <w:vAlign w:val="center"/>
          </w:tcPr>
          <w:p>
            <w:pPr>
              <w:spacing w:line="400" w:lineRule="exact"/>
            </w:pPr>
            <w:r>
              <w:rPr>
                <w:rFonts w:hint="eastAsia" w:ascii="宋体" w:hAnsi="宋体" w:cs="宋体"/>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pStyle w:val="23"/>
              <w:spacing w:line="400" w:lineRule="exact"/>
              <w:jc w:val="center"/>
              <w:rPr>
                <w:rFonts w:hAnsi="宋体"/>
                <w:szCs w:val="21"/>
              </w:rPr>
            </w:pPr>
            <w:r>
              <w:rPr>
                <w:rFonts w:hint="eastAsia" w:hAnsi="宋体"/>
                <w:color w:val="auto"/>
                <w:kern w:val="2"/>
                <w:sz w:val="21"/>
                <w:szCs w:val="21"/>
              </w:rPr>
              <w:t>19</w:t>
            </w:r>
          </w:p>
        </w:tc>
        <w:tc>
          <w:tcPr>
            <w:tcW w:w="2106" w:type="dxa"/>
            <w:vAlign w:val="center"/>
          </w:tcPr>
          <w:p>
            <w:pPr>
              <w:pStyle w:val="23"/>
              <w:spacing w:line="400" w:lineRule="exact"/>
              <w:jc w:val="center"/>
              <w:rPr>
                <w:rFonts w:hAnsi="宋体"/>
                <w:szCs w:val="21"/>
              </w:rPr>
            </w:pPr>
            <w:r>
              <w:rPr>
                <w:rFonts w:hint="eastAsia" w:hAnsi="宋体"/>
                <w:color w:val="auto"/>
                <w:kern w:val="2"/>
                <w:sz w:val="21"/>
                <w:szCs w:val="21"/>
              </w:rPr>
              <w:t>保证金</w:t>
            </w:r>
          </w:p>
        </w:tc>
        <w:tc>
          <w:tcPr>
            <w:tcW w:w="7104" w:type="dxa"/>
            <w:vAlign w:val="center"/>
          </w:tcPr>
          <w:p>
            <w:pPr>
              <w:pStyle w:val="23"/>
              <w:spacing w:line="400" w:lineRule="exact"/>
              <w:ind w:firstLine="420" w:firstLineChars="200"/>
              <w:rPr>
                <w:rFonts w:hAnsi="宋体"/>
              </w:rPr>
            </w:pPr>
            <w:r>
              <w:rPr>
                <w:rFonts w:hint="eastAsia" w:hAnsi="宋体"/>
                <w:color w:val="auto"/>
                <w:kern w:val="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3"/>
              <w:spacing w:line="400" w:lineRule="exact"/>
              <w:jc w:val="center"/>
              <w:rPr>
                <w:rFonts w:hAnsi="宋体"/>
                <w:color w:val="auto"/>
                <w:kern w:val="2"/>
                <w:sz w:val="21"/>
                <w:szCs w:val="21"/>
              </w:rPr>
            </w:pPr>
            <w:r>
              <w:rPr>
                <w:rFonts w:hint="eastAsia" w:hAnsi="宋体"/>
                <w:color w:val="auto"/>
                <w:sz w:val="21"/>
                <w:szCs w:val="21"/>
              </w:rPr>
              <w:t>20</w:t>
            </w:r>
          </w:p>
        </w:tc>
        <w:tc>
          <w:tcPr>
            <w:tcW w:w="2106" w:type="dxa"/>
            <w:vAlign w:val="center"/>
          </w:tcPr>
          <w:p>
            <w:pPr>
              <w:pStyle w:val="23"/>
              <w:spacing w:line="400" w:lineRule="exact"/>
              <w:jc w:val="center"/>
              <w:rPr>
                <w:rFonts w:hAnsi="宋体"/>
                <w:color w:val="auto"/>
                <w:kern w:val="2"/>
                <w:sz w:val="21"/>
                <w:szCs w:val="21"/>
              </w:rPr>
            </w:pPr>
            <w:r>
              <w:rPr>
                <w:rFonts w:hint="eastAsia" w:hAnsi="宋体"/>
                <w:color w:val="auto"/>
                <w:kern w:val="2"/>
                <w:sz w:val="21"/>
                <w:szCs w:val="21"/>
              </w:rPr>
              <w:t>监督部门</w:t>
            </w:r>
          </w:p>
        </w:tc>
        <w:tc>
          <w:tcPr>
            <w:tcW w:w="7104" w:type="dxa"/>
            <w:vAlign w:val="center"/>
          </w:tcPr>
          <w:p>
            <w:pPr>
              <w:pStyle w:val="23"/>
              <w:spacing w:line="400" w:lineRule="exact"/>
              <w:ind w:firstLine="420" w:firstLineChars="200"/>
              <w:rPr>
                <w:rFonts w:hAnsi="宋体"/>
                <w:color w:val="auto"/>
                <w:kern w:val="2"/>
                <w:sz w:val="21"/>
                <w:szCs w:val="21"/>
              </w:rPr>
            </w:pPr>
            <w:r>
              <w:rPr>
                <w:rFonts w:hAnsi="宋体"/>
                <w:color w:val="auto"/>
                <w:kern w:val="2"/>
                <w:sz w:val="21"/>
                <w:szCs w:val="21"/>
              </w:rPr>
              <w:t>监督部门：重庆高速公路集团有限公司联网收费结算中心</w:t>
            </w:r>
          </w:p>
          <w:p>
            <w:pPr>
              <w:pStyle w:val="23"/>
              <w:spacing w:line="400" w:lineRule="exact"/>
              <w:ind w:firstLine="420" w:firstLineChars="200"/>
              <w:rPr>
                <w:rFonts w:hAnsi="宋体"/>
                <w:color w:val="auto"/>
                <w:kern w:val="2"/>
                <w:sz w:val="21"/>
                <w:szCs w:val="21"/>
              </w:rPr>
            </w:pPr>
            <w:r>
              <w:rPr>
                <w:rFonts w:hAnsi="宋体"/>
                <w:color w:val="auto"/>
                <w:kern w:val="2"/>
                <w:sz w:val="21"/>
                <w:szCs w:val="21"/>
              </w:rPr>
              <w:t>地    址：</w:t>
            </w:r>
            <w:r>
              <w:rPr>
                <w:rFonts w:hint="eastAsia" w:hAnsi="宋体"/>
                <w:color w:val="auto"/>
                <w:kern w:val="2"/>
                <w:sz w:val="21"/>
                <w:szCs w:val="21"/>
              </w:rPr>
              <w:t>重庆渝北区银杉路66号</w:t>
            </w:r>
          </w:p>
          <w:p>
            <w:pPr>
              <w:pStyle w:val="23"/>
              <w:spacing w:line="400" w:lineRule="exact"/>
              <w:ind w:firstLine="420" w:firstLineChars="200"/>
              <w:rPr>
                <w:rFonts w:hAnsi="宋体"/>
                <w:color w:val="auto"/>
                <w:kern w:val="2"/>
                <w:sz w:val="21"/>
              </w:rPr>
            </w:pPr>
            <w:r>
              <w:rPr>
                <w:rFonts w:hAnsi="宋体"/>
                <w:color w:val="auto"/>
                <w:kern w:val="2"/>
                <w:sz w:val="21"/>
                <w:szCs w:val="21"/>
              </w:rPr>
              <w:t>电    话：</w:t>
            </w:r>
            <w:r>
              <w:rPr>
                <w:rFonts w:hint="eastAsia" w:hAnsi="宋体"/>
                <w:color w:val="auto"/>
                <w:kern w:val="2"/>
                <w:sz w:val="21"/>
                <w:szCs w:val="21"/>
              </w:rPr>
              <w:t>02389138575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3"/>
              <w:spacing w:line="400" w:lineRule="exact"/>
              <w:jc w:val="center"/>
              <w:rPr>
                <w:rFonts w:hAnsi="宋体"/>
                <w:color w:val="auto"/>
                <w:sz w:val="21"/>
                <w:szCs w:val="21"/>
              </w:rPr>
            </w:pPr>
            <w:r>
              <w:rPr>
                <w:rFonts w:hint="eastAsia" w:hAnsi="宋体"/>
                <w:color w:val="auto"/>
                <w:kern w:val="2"/>
                <w:sz w:val="21"/>
                <w:szCs w:val="21"/>
              </w:rPr>
              <w:t>21</w:t>
            </w:r>
          </w:p>
        </w:tc>
        <w:tc>
          <w:tcPr>
            <w:tcW w:w="2106" w:type="dxa"/>
            <w:vAlign w:val="center"/>
          </w:tcPr>
          <w:p>
            <w:pPr>
              <w:pStyle w:val="23"/>
              <w:spacing w:line="400" w:lineRule="exact"/>
              <w:ind w:firstLine="482" w:firstLineChars="200"/>
              <w:jc w:val="center"/>
              <w:rPr>
                <w:rFonts w:hAnsi="宋体"/>
                <w:color w:val="auto"/>
                <w:sz w:val="21"/>
                <w:szCs w:val="21"/>
              </w:rPr>
            </w:pPr>
            <w:r>
              <w:rPr>
                <w:rFonts w:hAnsi="宋体"/>
                <w:b/>
                <w:bCs/>
                <w:szCs w:val="21"/>
              </w:rPr>
              <w:t>需要补充的其他内容</w:t>
            </w:r>
          </w:p>
        </w:tc>
        <w:tc>
          <w:tcPr>
            <w:tcW w:w="7104" w:type="dxa"/>
            <w:vAlign w:val="center"/>
          </w:tcPr>
          <w:p>
            <w:pPr>
              <w:pStyle w:val="23"/>
              <w:spacing w:line="400" w:lineRule="exact"/>
              <w:ind w:firstLine="420" w:firstLineChars="200"/>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3"/>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23"/>
              <w:spacing w:line="400" w:lineRule="exact"/>
              <w:ind w:firstLine="420" w:firstLineChars="200"/>
              <w:rPr>
                <w:rFonts w:hAnsi="宋体"/>
                <w:color w:val="auto"/>
                <w:kern w:val="2"/>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3"/>
              <w:spacing w:line="400" w:lineRule="exact"/>
              <w:jc w:val="center"/>
              <w:rPr>
                <w:rFonts w:hAnsi="宋体"/>
                <w:color w:val="auto"/>
                <w:kern w:val="2"/>
                <w:sz w:val="21"/>
                <w:szCs w:val="21"/>
              </w:rPr>
            </w:pPr>
            <w:r>
              <w:rPr>
                <w:rFonts w:hint="eastAsia" w:hAnsi="宋体"/>
                <w:color w:val="auto"/>
                <w:kern w:val="2"/>
                <w:sz w:val="21"/>
                <w:szCs w:val="21"/>
              </w:rPr>
              <w:t>22.2</w:t>
            </w:r>
          </w:p>
        </w:tc>
        <w:tc>
          <w:tcPr>
            <w:tcW w:w="9210" w:type="dxa"/>
            <w:gridSpan w:val="2"/>
            <w:vAlign w:val="center"/>
          </w:tcPr>
          <w:p>
            <w:pPr>
              <w:pStyle w:val="23"/>
              <w:spacing w:line="400" w:lineRule="exact"/>
              <w:ind w:firstLine="420" w:firstLineChars="200"/>
              <w:rPr>
                <w:rFonts w:hAnsi="宋体"/>
                <w:b/>
                <w:bCs/>
                <w:szCs w:val="21"/>
              </w:rPr>
            </w:pPr>
            <w:r>
              <w:rPr>
                <w:rFonts w:hint="eastAsia"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3"/>
              <w:spacing w:line="400" w:lineRule="exact"/>
              <w:jc w:val="center"/>
              <w:rPr>
                <w:rFonts w:hAnsi="宋体"/>
                <w:color w:val="auto"/>
                <w:kern w:val="2"/>
                <w:sz w:val="21"/>
                <w:szCs w:val="21"/>
              </w:rPr>
            </w:pPr>
          </w:p>
        </w:tc>
        <w:tc>
          <w:tcPr>
            <w:tcW w:w="9210" w:type="dxa"/>
            <w:gridSpan w:val="2"/>
            <w:vAlign w:val="center"/>
          </w:tcPr>
          <w:p>
            <w:pPr>
              <w:pStyle w:val="23"/>
              <w:spacing w:line="400" w:lineRule="exact"/>
              <w:ind w:firstLine="420" w:firstLineChars="200"/>
              <w:rPr>
                <w:rFonts w:hAnsi="宋体"/>
                <w:sz w:val="21"/>
                <w:szCs w:val="21"/>
              </w:rPr>
            </w:pPr>
          </w:p>
        </w:tc>
      </w:tr>
      <w:bookmarkEnd w:id="9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97" w:name="_Toc30198"/>
      <w:bookmarkStart w:id="98" w:name="_Toc11329222"/>
      <w:bookmarkStart w:id="99" w:name="_Toc11284"/>
      <w:bookmarkStart w:id="100" w:name="_Toc17532"/>
      <w:r>
        <w:rPr>
          <w:rFonts w:hint="eastAsia" w:ascii="宋体" w:hAnsi="宋体" w:eastAsia="宋体" w:cs="宋体"/>
          <w:sz w:val="28"/>
          <w:szCs w:val="28"/>
        </w:rPr>
        <w:t xml:space="preserve">附录1  </w:t>
      </w:r>
      <w:bookmarkEnd w:id="97"/>
      <w:bookmarkEnd w:id="98"/>
      <w:bookmarkEnd w:id="99"/>
      <w:bookmarkEnd w:id="100"/>
      <w:bookmarkStart w:id="101" w:name="_Toc12773"/>
      <w:bookmarkStart w:id="102" w:name="_Toc27096"/>
      <w:bookmarkStart w:id="103" w:name="_Toc11329226"/>
      <w:bookmarkStart w:id="104" w:name="_Toc25591"/>
      <w:r>
        <w:rPr>
          <w:rFonts w:hint="eastAsia" w:ascii="宋体" w:hAnsi="宋体" w:eastAsia="宋体" w:cs="宋体"/>
          <w:bCs w:val="0"/>
          <w:sz w:val="28"/>
          <w:szCs w:val="28"/>
        </w:rPr>
        <w:t>资格审查文件（项目主要人员最低要求）</w:t>
      </w:r>
      <w:bookmarkEnd w:id="101"/>
      <w:bookmarkEnd w:id="102"/>
      <w:bookmarkEnd w:id="103"/>
      <w:bookmarkEnd w:id="104"/>
    </w:p>
    <w:p>
      <w:pPr>
        <w:spacing w:line="400" w:lineRule="exact"/>
        <w:jc w:val="center"/>
      </w:pPr>
      <w:r>
        <w:rPr>
          <w:rFonts w:hint="eastAsia" w:ascii="宋体" w:hAnsi="宋体" w:cs="宋体"/>
          <w:b/>
          <w:szCs w:val="21"/>
        </w:rPr>
        <w:t>主要管理人员最低要求</w:t>
      </w:r>
    </w:p>
    <w:tbl>
      <w:tblPr>
        <w:tblStyle w:val="1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bookmarkStart w:id="105" w:name="_Toc388534043"/>
            <w:bookmarkStart w:id="106" w:name="_Toc387234996"/>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lang w:bidi="ar"/>
              </w:rPr>
            </w:pPr>
            <w:r>
              <w:rPr>
                <w:rFonts w:hint="eastAsia" w:ascii="宋体" w:hAnsi="宋体" w:cs="宋体"/>
                <w:szCs w:val="21"/>
                <w:lang w:bidi="ar"/>
              </w:rPr>
              <w:t>机电工程相关专业高级工程师及以上技术职称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2</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项目设计师</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3</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lang w:bidi="ar"/>
              </w:rPr>
            </w:pPr>
            <w:r>
              <w:rPr>
                <w:rFonts w:hint="eastAsia" w:ascii="宋体" w:hAnsi="宋体" w:cs="宋体"/>
                <w:szCs w:val="21"/>
                <w:lang w:bidi="ar"/>
              </w:rPr>
              <w:t>机电工程相关专业中级工程师及以上技术职称</w:t>
            </w:r>
          </w:p>
        </w:tc>
      </w:tr>
    </w:tbl>
    <w:p>
      <w:pPr>
        <w:spacing w:line="400" w:lineRule="exact"/>
        <w:ind w:firstLine="420"/>
        <w:rPr>
          <w:rFonts w:ascii="宋体" w:hAnsi="宋体" w:cs="宋体"/>
          <w:szCs w:val="21"/>
          <w:lang w:bidi="ar"/>
        </w:rPr>
      </w:pPr>
      <w:r>
        <w:rPr>
          <w:rFonts w:hint="eastAsia" w:ascii="宋体" w:hAnsi="宋体" w:cs="宋体"/>
          <w:szCs w:val="21"/>
          <w:lang w:bidi="ar"/>
        </w:rPr>
        <w:t>注：需提供项目人员名单（表格形式），以上人员相关资质证件、身份证复印件及由社保局出具的报价人为以上人员缴纳近三个月的养老保险证明（带有社保部门公章或社保部门的有效电子印章），并加盖单位鲜公章。</w:t>
      </w:r>
    </w:p>
    <w:p>
      <w:pPr>
        <w:pStyle w:val="23"/>
        <w:adjustRightInd/>
        <w:spacing w:line="400" w:lineRule="exact"/>
        <w:ind w:firstLine="422" w:firstLineChars="200"/>
        <w:jc w:val="both"/>
        <w:rPr>
          <w:rFonts w:hAnsi="宋体"/>
          <w:b/>
          <w:sz w:val="28"/>
          <w:szCs w:val="28"/>
        </w:rPr>
        <w:sectPr>
          <w:pgSz w:w="11906" w:h="16838"/>
          <w:pgMar w:top="1418" w:right="1134" w:bottom="1418" w:left="1134" w:header="851" w:footer="992" w:gutter="0"/>
          <w:cols w:space="720" w:num="1"/>
          <w:docGrid w:type="lines" w:linePitch="312" w:charSpace="0"/>
        </w:sectPr>
      </w:pPr>
      <w:r>
        <w:rPr>
          <w:rFonts w:hint="eastAsia" w:hAnsi="宋体"/>
          <w:b/>
          <w:bCs/>
          <w:color w:val="auto"/>
          <w:sz w:val="21"/>
          <w:szCs w:val="21"/>
        </w:rPr>
        <w:t>附录1的要求为强制性条件，其中任何一条不满足要求，则按否决报价处理。</w:t>
      </w:r>
    </w:p>
    <w:bookmarkEnd w:id="105"/>
    <w:bookmarkEnd w:id="106"/>
    <w:p>
      <w:pPr>
        <w:pStyle w:val="3"/>
        <w:numPr>
          <w:ilvl w:val="0"/>
          <w:numId w:val="1"/>
        </w:numPr>
        <w:spacing w:before="0" w:after="0" w:line="360" w:lineRule="auto"/>
        <w:jc w:val="center"/>
        <w:rPr>
          <w:rFonts w:ascii="宋体" w:hAnsi="宋体" w:cs="宋体"/>
        </w:rPr>
      </w:pPr>
      <w:bookmarkStart w:id="107" w:name="_Toc152042364"/>
      <w:bookmarkStart w:id="108" w:name="_Toc144974554"/>
      <w:bookmarkStart w:id="109" w:name="_Toc7682"/>
      <w:bookmarkStart w:id="110" w:name="_Toc247085745"/>
      <w:bookmarkStart w:id="111" w:name="_Toc2000406"/>
      <w:bookmarkStart w:id="112" w:name="_Toc507319957"/>
      <w:bookmarkStart w:id="113" w:name="_Toc179632605"/>
      <w:bookmarkStart w:id="114" w:name="_Toc246996973"/>
      <w:bookmarkStart w:id="115" w:name="_Toc246996230"/>
      <w:bookmarkStart w:id="116" w:name="_Toc152045587"/>
      <w:r>
        <w:rPr>
          <w:rFonts w:hint="eastAsia" w:ascii="宋体" w:hAnsi="宋体" w:cs="宋体"/>
        </w:rPr>
        <w:t>评标办法（综合评估法）</w:t>
      </w:r>
      <w:bookmarkEnd w:id="107"/>
      <w:bookmarkEnd w:id="108"/>
      <w:bookmarkEnd w:id="109"/>
      <w:bookmarkEnd w:id="110"/>
      <w:bookmarkEnd w:id="111"/>
      <w:bookmarkEnd w:id="112"/>
      <w:bookmarkEnd w:id="113"/>
      <w:bookmarkEnd w:id="114"/>
      <w:bookmarkEnd w:id="115"/>
      <w:bookmarkEnd w:id="11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23"/>
        <w:gridCol w:w="824"/>
        <w:gridCol w:w="404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2"/>
              <w:rPr>
                <w:sz w:val="22"/>
                <w:szCs w:val="22"/>
              </w:rPr>
            </w:pPr>
          </w:p>
        </w:tc>
        <w:tc>
          <w:tcPr>
            <w:tcW w:w="0" w:type="auto"/>
            <w:gridSpan w:val="4"/>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0" w:type="auto"/>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1</w:t>
            </w:r>
          </w:p>
        </w:tc>
        <w:tc>
          <w:tcPr>
            <w:tcW w:w="0" w:type="auto"/>
            <w:gridSpan w:val="4"/>
            <w:vAlign w:val="center"/>
          </w:tcPr>
          <w:p>
            <w:pPr>
              <w:spacing w:line="320" w:lineRule="exact"/>
              <w:rPr>
                <w:rFonts w:ascii="宋体" w:hAnsi="宋体" w:cs="宋体"/>
                <w:b/>
                <w:kern w:val="0"/>
                <w:sz w:val="22"/>
                <w:szCs w:val="22"/>
              </w:rPr>
            </w:pPr>
            <w:r>
              <w:rPr>
                <w:rFonts w:hint="eastAsia" w:ascii="宋体" w:hAnsi="宋体" w:cs="宋体"/>
                <w:b/>
                <w:kern w:val="0"/>
                <w:sz w:val="22"/>
                <w:szCs w:val="22"/>
              </w:rPr>
              <w:t>如出现综合得分相等时，按以下原则确定第一中标候选人：</w:t>
            </w:r>
          </w:p>
          <w:p>
            <w:pPr>
              <w:spacing w:line="320" w:lineRule="exact"/>
              <w:rPr>
                <w:rFonts w:ascii="宋体" w:hAnsi="宋体" w:cs="宋体"/>
                <w:b/>
                <w:kern w:val="0"/>
                <w:sz w:val="22"/>
                <w:szCs w:val="22"/>
              </w:rPr>
            </w:pPr>
            <w:r>
              <w:rPr>
                <w:rFonts w:hint="eastAsia" w:ascii="宋体" w:hAnsi="宋体" w:cs="宋体"/>
                <w:b/>
                <w:kern w:val="0"/>
                <w:sz w:val="22"/>
                <w:szCs w:val="22"/>
              </w:rPr>
              <w:t>（1）以评标价低的投标人优先；</w:t>
            </w:r>
          </w:p>
          <w:p>
            <w:pPr>
              <w:spacing w:line="320" w:lineRule="exact"/>
              <w:rPr>
                <w:rFonts w:ascii="宋体" w:hAnsi="宋体" w:cs="宋体"/>
                <w:b/>
                <w:kern w:val="0"/>
                <w:sz w:val="22"/>
                <w:szCs w:val="22"/>
              </w:rPr>
            </w:pPr>
            <w:r>
              <w:rPr>
                <w:rFonts w:hint="eastAsia" w:ascii="宋体" w:hAnsi="宋体" w:cs="宋体"/>
                <w:b/>
                <w:kern w:val="0"/>
                <w:sz w:val="22"/>
                <w:szCs w:val="22"/>
              </w:rPr>
              <w:t>（2）如评标价也相同时，以技术得分较高的投标人优先；</w:t>
            </w:r>
          </w:p>
          <w:p>
            <w:pPr>
              <w:spacing w:line="320" w:lineRule="exact"/>
              <w:rPr>
                <w:rFonts w:ascii="宋体" w:hAnsi="宋体" w:cs="宋体"/>
                <w:b/>
                <w:kern w:val="0"/>
                <w:sz w:val="22"/>
                <w:szCs w:val="22"/>
              </w:rPr>
            </w:pPr>
            <w:r>
              <w:rPr>
                <w:rFonts w:hint="eastAsia" w:ascii="宋体" w:hAnsi="宋体" w:cs="宋体"/>
                <w:b/>
                <w:kern w:val="0"/>
                <w:sz w:val="22"/>
                <w:szCs w:val="22"/>
              </w:rPr>
              <w:t>（3）如技术得分也相同时，以商务得分高的优先；</w:t>
            </w:r>
          </w:p>
          <w:p>
            <w:pPr>
              <w:pStyle w:val="2"/>
              <w:spacing w:after="0" w:line="320" w:lineRule="exact"/>
              <w:rPr>
                <w:rFonts w:cs="Calibri"/>
                <w:sz w:val="22"/>
                <w:szCs w:val="22"/>
              </w:rPr>
            </w:pPr>
            <w:r>
              <w:rPr>
                <w:rFonts w:hint="eastAsia" w:cs="Calibri"/>
                <w:b/>
                <w:bCs/>
                <w:sz w:val="22"/>
                <w:szCs w:val="22"/>
              </w:rPr>
              <w:t>（4）</w:t>
            </w:r>
            <w:r>
              <w:rPr>
                <w:rFonts w:ascii="宋体" w:hAnsi="宋体" w:cs="宋体"/>
                <w:b/>
                <w:sz w:val="22"/>
                <w:szCs w:val="22"/>
              </w:rPr>
              <w:t>如商务得分也</w:t>
            </w:r>
            <w:r>
              <w:rPr>
                <w:rFonts w:hint="eastAsia" w:ascii="宋体" w:hAnsi="宋体" w:cs="宋体"/>
                <w:b/>
                <w:sz w:val="22"/>
                <w:szCs w:val="22"/>
              </w:rPr>
              <w:t>相</w:t>
            </w:r>
            <w:r>
              <w:rPr>
                <w:rFonts w:ascii="宋体" w:hAnsi="宋体" w:cs="宋体"/>
                <w:b/>
                <w:sz w:val="22"/>
                <w:szCs w:val="22"/>
              </w:rPr>
              <w:t>同时，</w:t>
            </w:r>
            <w:r>
              <w:rPr>
                <w:rFonts w:hint="eastAsia" w:ascii="宋体" w:hAnsi="宋体" w:cs="宋体"/>
                <w:b/>
                <w:sz w:val="22"/>
                <w:szCs w:val="22"/>
              </w:rPr>
              <w:t>由评标委员会投票决定。</w:t>
            </w:r>
            <w:r>
              <w:rPr>
                <w:rFonts w:hint="eastAsia" w:cs="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0" w:type="auto"/>
            <w:gridSpan w:val="2"/>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评审因素</w:t>
            </w:r>
          </w:p>
        </w:tc>
        <w:tc>
          <w:tcPr>
            <w:tcW w:w="0" w:type="auto"/>
            <w:gridSpan w:val="2"/>
            <w:vAlign w:val="center"/>
          </w:tcPr>
          <w:p>
            <w:pPr>
              <w:spacing w:line="320" w:lineRule="exact"/>
              <w:jc w:val="center"/>
              <w:rPr>
                <w:rFonts w:ascii="宋体" w:hAnsi="宋体" w:cs="宋体"/>
                <w:b/>
                <w:kern w:val="0"/>
                <w:sz w:val="22"/>
                <w:szCs w:val="22"/>
              </w:rPr>
            </w:pPr>
            <w:r>
              <w:rPr>
                <w:rFonts w:hint="eastAsia" w:ascii="宋体" w:hAnsi="宋体" w:cs="宋体"/>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2.1.1</w:t>
            </w:r>
          </w:p>
        </w:tc>
        <w:tc>
          <w:tcPr>
            <w:tcW w:w="817" w:type="dxa"/>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资格评审标准</w:t>
            </w: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营业执照</w:t>
            </w:r>
          </w:p>
        </w:tc>
        <w:tc>
          <w:tcPr>
            <w:tcW w:w="0" w:type="auto"/>
            <w:gridSpan w:val="2"/>
            <w:vAlign w:val="center"/>
          </w:tcPr>
          <w:p>
            <w:pPr>
              <w:pStyle w:val="25"/>
              <w:spacing w:line="320" w:lineRule="exact"/>
              <w:ind w:firstLine="0" w:firstLineChars="0"/>
              <w:rPr>
                <w:sz w:val="22"/>
                <w:szCs w:val="22"/>
              </w:rPr>
            </w:pPr>
            <w:r>
              <w:rPr>
                <w:rFonts w:hint="eastAsia"/>
                <w:sz w:val="22"/>
                <w:szCs w:val="22"/>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资质要求</w:t>
            </w:r>
          </w:p>
        </w:tc>
        <w:tc>
          <w:tcPr>
            <w:tcW w:w="0" w:type="auto"/>
            <w:gridSpan w:val="2"/>
            <w:vAlign w:val="center"/>
          </w:tcPr>
          <w:p>
            <w:pPr>
              <w:pStyle w:val="25"/>
              <w:spacing w:line="320" w:lineRule="exact"/>
              <w:ind w:firstLine="0" w:firstLineChars="0"/>
              <w:rPr>
                <w:sz w:val="22"/>
                <w:szCs w:val="22"/>
              </w:rPr>
            </w:pPr>
            <w:r>
              <w:rPr>
                <w:rFonts w:hint="eastAsia"/>
                <w:sz w:val="22"/>
                <w:szCs w:val="22"/>
              </w:rPr>
              <w:t>符合第一章“竞争性比选公告”第3.1项规定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业绩要求</w:t>
            </w:r>
          </w:p>
        </w:tc>
        <w:tc>
          <w:tcPr>
            <w:tcW w:w="0" w:type="auto"/>
            <w:gridSpan w:val="2"/>
            <w:vAlign w:val="center"/>
          </w:tcPr>
          <w:p>
            <w:pPr>
              <w:pStyle w:val="25"/>
              <w:spacing w:line="320" w:lineRule="exact"/>
              <w:ind w:firstLine="0" w:firstLineChars="0"/>
              <w:rPr>
                <w:sz w:val="22"/>
                <w:szCs w:val="22"/>
              </w:rPr>
            </w:pPr>
            <w:r>
              <w:rPr>
                <w:rFonts w:hint="eastAsia"/>
                <w:sz w:val="22"/>
                <w:szCs w:val="22"/>
              </w:rPr>
              <w:t>符合第一章“竞争性比选公告”第3.2项规定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2.1.2</w:t>
            </w:r>
          </w:p>
        </w:tc>
        <w:tc>
          <w:tcPr>
            <w:tcW w:w="817" w:type="dxa"/>
            <w:vMerge w:val="restart"/>
            <w:vAlign w:val="center"/>
          </w:tcPr>
          <w:p>
            <w:pPr>
              <w:spacing w:line="320" w:lineRule="exact"/>
              <w:jc w:val="center"/>
              <w:rPr>
                <w:rFonts w:ascii="宋体" w:hAnsi="宋体"/>
                <w:kern w:val="0"/>
                <w:sz w:val="22"/>
                <w:szCs w:val="22"/>
              </w:rPr>
            </w:pPr>
            <w:r>
              <w:rPr>
                <w:rFonts w:hint="eastAsia" w:ascii="宋体" w:hAnsi="宋体" w:cs="宋体"/>
                <w:kern w:val="0"/>
                <w:sz w:val="22"/>
                <w:szCs w:val="22"/>
              </w:rPr>
              <w:t>形式评审标准</w:t>
            </w: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投标人名称</w:t>
            </w:r>
          </w:p>
        </w:tc>
        <w:tc>
          <w:tcPr>
            <w:tcW w:w="0" w:type="auto"/>
            <w:gridSpan w:val="2"/>
            <w:vAlign w:val="center"/>
          </w:tcPr>
          <w:p>
            <w:pPr>
              <w:pStyle w:val="25"/>
              <w:spacing w:line="320" w:lineRule="exact"/>
              <w:ind w:firstLine="0" w:firstLineChars="0"/>
              <w:rPr>
                <w:sz w:val="22"/>
                <w:szCs w:val="22"/>
              </w:rPr>
            </w:pPr>
            <w:r>
              <w:rPr>
                <w:rFonts w:hint="eastAsia"/>
                <w:sz w:val="22"/>
                <w:szCs w:val="22"/>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投标文件格式</w:t>
            </w:r>
          </w:p>
        </w:tc>
        <w:tc>
          <w:tcPr>
            <w:tcW w:w="0" w:type="auto"/>
            <w:gridSpan w:val="2"/>
            <w:vAlign w:val="center"/>
          </w:tcPr>
          <w:p>
            <w:pPr>
              <w:pStyle w:val="25"/>
              <w:spacing w:line="320" w:lineRule="exact"/>
              <w:ind w:firstLine="0" w:firstLineChars="0"/>
              <w:rPr>
                <w:sz w:val="22"/>
                <w:szCs w:val="22"/>
              </w:rPr>
            </w:pPr>
            <w:r>
              <w:rPr>
                <w:rFonts w:hint="eastAsia"/>
                <w:sz w:val="22"/>
                <w:szCs w:val="22"/>
              </w:rPr>
              <w:t>符合</w:t>
            </w:r>
            <w:r>
              <w:rPr>
                <w:rFonts w:hint="eastAsia"/>
              </w:rPr>
              <w:t>竞争性比选响应声明书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投标函的格式</w:t>
            </w:r>
          </w:p>
        </w:tc>
        <w:tc>
          <w:tcPr>
            <w:tcW w:w="0" w:type="auto"/>
            <w:gridSpan w:val="2"/>
            <w:vAlign w:val="center"/>
          </w:tcPr>
          <w:p>
            <w:pPr>
              <w:pStyle w:val="25"/>
              <w:spacing w:line="320" w:lineRule="exact"/>
              <w:ind w:firstLine="0" w:firstLineChars="0"/>
              <w:rPr>
                <w:sz w:val="22"/>
                <w:szCs w:val="22"/>
              </w:rPr>
            </w:pPr>
            <w:r>
              <w:rPr>
                <w:rFonts w:hint="eastAsia"/>
                <w:sz w:val="22"/>
                <w:szCs w:val="22"/>
              </w:rPr>
              <w:t>符合</w:t>
            </w:r>
            <w:r>
              <w:rPr>
                <w:rFonts w:hint="eastAsia"/>
              </w:rPr>
              <w:t>竞争性比选响应声明书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投标函部分的签字盖章</w:t>
            </w:r>
          </w:p>
        </w:tc>
        <w:tc>
          <w:tcPr>
            <w:tcW w:w="0" w:type="auto"/>
            <w:gridSpan w:val="2"/>
            <w:vAlign w:val="center"/>
          </w:tcPr>
          <w:p>
            <w:pPr>
              <w:pStyle w:val="25"/>
              <w:spacing w:line="320" w:lineRule="exact"/>
              <w:ind w:firstLine="0" w:firstLineChars="0"/>
              <w:rPr>
                <w:sz w:val="22"/>
                <w:szCs w:val="22"/>
              </w:rPr>
            </w:pPr>
            <w:r>
              <w:rPr>
                <w:rFonts w:hint="eastAsia"/>
                <w:sz w:val="22"/>
                <w:szCs w:val="22"/>
              </w:rPr>
              <w:t>投标函的格式要求法定代表人或其委托代理人签字（或盖章）的须齐全，要求加盖单位公章的，应加盖单位公章。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投标文件的签署</w:t>
            </w:r>
          </w:p>
        </w:tc>
        <w:tc>
          <w:tcPr>
            <w:tcW w:w="0" w:type="auto"/>
            <w:gridSpan w:val="2"/>
            <w:vAlign w:val="center"/>
          </w:tcPr>
          <w:p>
            <w:pPr>
              <w:pStyle w:val="25"/>
              <w:spacing w:line="320" w:lineRule="exact"/>
              <w:ind w:firstLine="0" w:firstLineChars="0"/>
              <w:rPr>
                <w:sz w:val="22"/>
                <w:szCs w:val="22"/>
              </w:rPr>
            </w:pPr>
            <w:r>
              <w:rPr>
                <w:rFonts w:hint="eastAsia"/>
                <w:sz w:val="22"/>
                <w:szCs w:val="22"/>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Align w:val="center"/>
          </w:tcPr>
          <w:p>
            <w:pPr>
              <w:spacing w:line="320" w:lineRule="exact"/>
              <w:jc w:val="center"/>
              <w:rPr>
                <w:rFonts w:ascii="宋体" w:hAnsi="宋体" w:cs="宋体"/>
                <w:kern w:val="0"/>
                <w:sz w:val="22"/>
                <w:szCs w:val="22"/>
              </w:rPr>
            </w:pPr>
            <w:r>
              <w:rPr>
                <w:rFonts w:hint="eastAsia"/>
                <w:sz w:val="22"/>
                <w:szCs w:val="22"/>
              </w:rPr>
              <w:t>授权使用证明</w:t>
            </w: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kern w:val="0"/>
                <w:sz w:val="22"/>
                <w:szCs w:val="22"/>
              </w:rPr>
              <w:t>委托代理人</w:t>
            </w:r>
          </w:p>
        </w:tc>
        <w:tc>
          <w:tcPr>
            <w:tcW w:w="0" w:type="auto"/>
            <w:gridSpan w:val="2"/>
            <w:vAlign w:val="center"/>
          </w:tcPr>
          <w:p>
            <w:pPr>
              <w:pStyle w:val="25"/>
              <w:spacing w:line="320" w:lineRule="exact"/>
              <w:ind w:firstLine="0" w:firstLineChars="0"/>
              <w:rPr>
                <w:sz w:val="22"/>
                <w:szCs w:val="22"/>
              </w:rPr>
            </w:pPr>
            <w:r>
              <w:rPr>
                <w:rFonts w:hint="eastAsia"/>
                <w:sz w:val="22"/>
                <w:szCs w:val="22"/>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pPr>
              <w:spacing w:line="320" w:lineRule="exact"/>
              <w:jc w:val="center"/>
              <w:rPr>
                <w:rFonts w:ascii="宋体" w:hAnsi="宋体" w:cs="宋体"/>
                <w:sz w:val="22"/>
                <w:szCs w:val="22"/>
              </w:rPr>
            </w:pPr>
            <w:r>
              <w:rPr>
                <w:rFonts w:hint="eastAsia" w:ascii="宋体" w:hAnsi="宋体" w:cs="宋体"/>
                <w:kern w:val="0"/>
                <w:sz w:val="22"/>
                <w:szCs w:val="22"/>
              </w:rPr>
              <w:t>2.1.3</w:t>
            </w:r>
          </w:p>
        </w:tc>
        <w:tc>
          <w:tcPr>
            <w:tcW w:w="817" w:type="dxa"/>
            <w:vMerge w:val="restart"/>
            <w:vAlign w:val="center"/>
          </w:tcPr>
          <w:p>
            <w:pPr>
              <w:spacing w:line="320" w:lineRule="exact"/>
              <w:jc w:val="center"/>
              <w:rPr>
                <w:rFonts w:ascii="宋体" w:hAnsi="宋体" w:cs="宋体"/>
                <w:sz w:val="22"/>
                <w:szCs w:val="22"/>
              </w:rPr>
            </w:pPr>
            <w:r>
              <w:rPr>
                <w:rFonts w:hint="eastAsia" w:ascii="宋体" w:hAnsi="宋体" w:cs="宋体"/>
                <w:kern w:val="0"/>
                <w:sz w:val="22"/>
                <w:szCs w:val="22"/>
              </w:rPr>
              <w:t>响应性评审标准</w:t>
            </w: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报价唯一</w:t>
            </w:r>
          </w:p>
        </w:tc>
        <w:tc>
          <w:tcPr>
            <w:tcW w:w="0" w:type="auto"/>
            <w:gridSpan w:val="2"/>
            <w:vAlign w:val="center"/>
          </w:tcPr>
          <w:p>
            <w:pPr>
              <w:pStyle w:val="25"/>
              <w:spacing w:line="320" w:lineRule="exact"/>
              <w:ind w:firstLine="0" w:firstLineChars="0"/>
              <w:rPr>
                <w:sz w:val="22"/>
                <w:szCs w:val="22"/>
              </w:rPr>
            </w:pPr>
            <w:r>
              <w:rPr>
                <w:rFonts w:hint="eastAsia"/>
                <w:sz w:val="22"/>
                <w:szCs w:val="22"/>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sz w:val="22"/>
                <w:szCs w:val="22"/>
              </w:rPr>
            </w:pPr>
          </w:p>
        </w:tc>
        <w:tc>
          <w:tcPr>
            <w:tcW w:w="817" w:type="dxa"/>
            <w:vMerge w:val="continue"/>
            <w:vAlign w:val="center"/>
          </w:tcPr>
          <w:p>
            <w:pPr>
              <w:spacing w:line="320" w:lineRule="exact"/>
              <w:jc w:val="center"/>
              <w:rPr>
                <w:rFonts w:ascii="宋体" w:hAnsi="宋体" w:cs="宋体"/>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投标总报价</w:t>
            </w:r>
          </w:p>
        </w:tc>
        <w:tc>
          <w:tcPr>
            <w:tcW w:w="0" w:type="auto"/>
            <w:gridSpan w:val="2"/>
            <w:vAlign w:val="center"/>
          </w:tcPr>
          <w:p>
            <w:pPr>
              <w:pStyle w:val="25"/>
              <w:spacing w:line="320" w:lineRule="exact"/>
              <w:ind w:firstLine="0" w:firstLineChars="0"/>
              <w:rPr>
                <w:sz w:val="22"/>
                <w:szCs w:val="22"/>
              </w:rPr>
            </w:pPr>
            <w:r>
              <w:rPr>
                <w:rFonts w:hint="eastAsia"/>
                <w:sz w:val="22"/>
                <w:szCs w:val="22"/>
              </w:rPr>
              <w:t>投标总报价不得高于招标人公布的最高投标限价；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服务</w:t>
            </w:r>
            <w:r>
              <w:rPr>
                <w:rFonts w:ascii="宋体" w:hAnsi="宋体" w:cs="宋体"/>
                <w:kern w:val="0"/>
                <w:sz w:val="22"/>
                <w:szCs w:val="22"/>
              </w:rPr>
              <w:t>周期</w:t>
            </w:r>
          </w:p>
        </w:tc>
        <w:tc>
          <w:tcPr>
            <w:tcW w:w="0" w:type="auto"/>
            <w:gridSpan w:val="2"/>
            <w:vAlign w:val="center"/>
          </w:tcPr>
          <w:p>
            <w:pPr>
              <w:pStyle w:val="25"/>
              <w:spacing w:line="320" w:lineRule="exact"/>
              <w:ind w:firstLine="0" w:firstLineChars="0"/>
              <w:rPr>
                <w:sz w:val="22"/>
                <w:szCs w:val="22"/>
              </w:rPr>
            </w:pPr>
            <w:r>
              <w:rPr>
                <w:rFonts w:hint="eastAsia"/>
                <w:sz w:val="22"/>
                <w:szCs w:val="22"/>
              </w:rPr>
              <w:t>符合第一章“竞争性比选公告”第2.3项规定。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textDirection w:val="tbRlV"/>
            <w:vAlign w:val="center"/>
          </w:tcPr>
          <w:p>
            <w:pPr>
              <w:spacing w:line="320" w:lineRule="exact"/>
              <w:jc w:val="center"/>
              <w:rPr>
                <w:rFonts w:ascii="宋体" w:hAnsi="宋体" w:cs="宋体"/>
                <w:kern w:val="0"/>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投标有效期</w:t>
            </w:r>
          </w:p>
        </w:tc>
        <w:tc>
          <w:tcPr>
            <w:tcW w:w="6119" w:type="dxa"/>
            <w:gridSpan w:val="2"/>
            <w:vAlign w:val="center"/>
          </w:tcPr>
          <w:p>
            <w:pPr>
              <w:pStyle w:val="25"/>
              <w:spacing w:line="320" w:lineRule="exact"/>
              <w:ind w:firstLine="0" w:firstLineChars="0"/>
              <w:rPr>
                <w:sz w:val="22"/>
                <w:szCs w:val="22"/>
              </w:rPr>
            </w:pPr>
            <w:r>
              <w:rPr>
                <w:rFonts w:hint="eastAsia"/>
                <w:sz w:val="22"/>
                <w:szCs w:val="22"/>
              </w:rPr>
              <w:t>符合第一章“竞争性比选公告”第4、5项规定。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tcPr>
          <w:p>
            <w:pPr>
              <w:spacing w:line="320" w:lineRule="exact"/>
              <w:rPr>
                <w:rFonts w:ascii="宋体" w:hAnsi="宋体"/>
                <w:sz w:val="22"/>
                <w:szCs w:val="22"/>
              </w:rPr>
            </w:pPr>
          </w:p>
        </w:tc>
        <w:tc>
          <w:tcPr>
            <w:tcW w:w="817" w:type="dxa"/>
            <w:vMerge w:val="continue"/>
          </w:tcPr>
          <w:p>
            <w:pPr>
              <w:spacing w:line="320" w:lineRule="exact"/>
              <w:rPr>
                <w:rFonts w:ascii="宋体" w:hAnsi="宋体"/>
                <w:sz w:val="22"/>
                <w:szCs w:val="22"/>
              </w:rPr>
            </w:pPr>
          </w:p>
        </w:tc>
        <w:tc>
          <w:tcPr>
            <w:tcW w:w="820" w:type="dxa"/>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实质性要求</w:t>
            </w:r>
          </w:p>
        </w:tc>
        <w:tc>
          <w:tcPr>
            <w:tcW w:w="0" w:type="auto"/>
            <w:gridSpan w:val="2"/>
            <w:vAlign w:val="center"/>
          </w:tcPr>
          <w:p>
            <w:pPr>
              <w:pStyle w:val="25"/>
              <w:spacing w:line="320" w:lineRule="exact"/>
              <w:ind w:firstLine="0" w:firstLineChars="0"/>
              <w:rPr>
                <w:sz w:val="22"/>
                <w:szCs w:val="22"/>
              </w:rPr>
            </w:pPr>
            <w:r>
              <w:rPr>
                <w:rFonts w:hint="eastAsia"/>
                <w:sz w:val="22"/>
                <w:szCs w:val="22"/>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2.2.1</w:t>
            </w:r>
          </w:p>
        </w:tc>
        <w:tc>
          <w:tcPr>
            <w:tcW w:w="0" w:type="auto"/>
            <w:gridSpan w:val="2"/>
            <w:vAlign w:val="center"/>
          </w:tcPr>
          <w:p>
            <w:pPr>
              <w:tabs>
                <w:tab w:val="left" w:pos="1875"/>
              </w:tabs>
              <w:spacing w:line="320" w:lineRule="exact"/>
              <w:jc w:val="center"/>
              <w:rPr>
                <w:rFonts w:ascii="宋体" w:hAnsi="宋体" w:cs="宋体"/>
                <w:kern w:val="0"/>
                <w:sz w:val="22"/>
                <w:szCs w:val="22"/>
              </w:rPr>
            </w:pPr>
            <w:r>
              <w:rPr>
                <w:rFonts w:hint="eastAsia" w:ascii="宋体" w:hAnsi="宋体" w:cs="宋体"/>
                <w:kern w:val="0"/>
                <w:sz w:val="22"/>
                <w:szCs w:val="22"/>
              </w:rPr>
              <w:t xml:space="preserve">分值构成 </w:t>
            </w:r>
            <w:r>
              <w:rPr>
                <w:rFonts w:ascii="宋体" w:hAnsi="宋体" w:cs="宋体"/>
                <w:kern w:val="0"/>
                <w:sz w:val="22"/>
                <w:szCs w:val="22"/>
              </w:rPr>
              <w:t>(</w:t>
            </w:r>
            <w:r>
              <w:rPr>
                <w:rFonts w:hint="eastAsia" w:ascii="宋体" w:hAnsi="宋体" w:cs="宋体"/>
                <w:kern w:val="0"/>
                <w:sz w:val="22"/>
                <w:szCs w:val="22"/>
              </w:rPr>
              <w:t>总分</w:t>
            </w:r>
            <w:r>
              <w:rPr>
                <w:rFonts w:ascii="宋体" w:hAnsi="宋体" w:cs="宋体"/>
                <w:kern w:val="0"/>
                <w:sz w:val="22"/>
                <w:szCs w:val="22"/>
              </w:rPr>
              <w:t>1OO</w:t>
            </w:r>
            <w:r>
              <w:rPr>
                <w:rFonts w:hint="eastAsia" w:ascii="宋体" w:hAnsi="宋体" w:cs="宋体"/>
                <w:kern w:val="0"/>
                <w:sz w:val="22"/>
                <w:szCs w:val="22"/>
              </w:rPr>
              <w:t>分</w:t>
            </w:r>
            <w:r>
              <w:rPr>
                <w:rFonts w:ascii="宋体" w:hAnsi="宋体" w:cs="宋体"/>
                <w:kern w:val="0"/>
                <w:sz w:val="22"/>
                <w:szCs w:val="22"/>
              </w:rPr>
              <w:t>)</w:t>
            </w:r>
          </w:p>
        </w:tc>
        <w:tc>
          <w:tcPr>
            <w:tcW w:w="0" w:type="auto"/>
            <w:gridSpan w:val="2"/>
          </w:tcPr>
          <w:p>
            <w:pPr>
              <w:pStyle w:val="25"/>
              <w:spacing w:line="320" w:lineRule="exact"/>
              <w:ind w:firstLine="0" w:firstLineChars="0"/>
              <w:rPr>
                <w:sz w:val="22"/>
                <w:szCs w:val="22"/>
              </w:rPr>
            </w:pPr>
            <w:r>
              <w:rPr>
                <w:rFonts w:hint="eastAsia"/>
                <w:sz w:val="22"/>
                <w:szCs w:val="22"/>
              </w:rPr>
              <w:t>（1）商务部分30分；</w:t>
            </w:r>
          </w:p>
          <w:p>
            <w:pPr>
              <w:pStyle w:val="25"/>
              <w:spacing w:line="320" w:lineRule="exact"/>
              <w:ind w:firstLine="0" w:firstLineChars="0"/>
              <w:rPr>
                <w:sz w:val="22"/>
                <w:szCs w:val="22"/>
              </w:rPr>
            </w:pPr>
            <w:r>
              <w:rPr>
                <w:rFonts w:hint="eastAsia"/>
                <w:sz w:val="22"/>
                <w:szCs w:val="22"/>
              </w:rPr>
              <w:t>（2）技术部分20分；</w:t>
            </w:r>
          </w:p>
          <w:p>
            <w:pPr>
              <w:pStyle w:val="25"/>
              <w:spacing w:line="320" w:lineRule="exact"/>
              <w:ind w:firstLine="0" w:firstLineChars="0"/>
              <w:rPr>
                <w:sz w:val="22"/>
                <w:szCs w:val="22"/>
              </w:rPr>
            </w:pPr>
            <w:r>
              <w:rPr>
                <w:rFonts w:hint="eastAsia"/>
                <w:sz w:val="22"/>
                <w:szCs w:val="22"/>
              </w:rPr>
              <w:t>（3）报价部分50分。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2.2.2</w:t>
            </w:r>
          </w:p>
        </w:tc>
        <w:tc>
          <w:tcPr>
            <w:tcW w:w="0" w:type="auto"/>
            <w:gridSpan w:val="2"/>
            <w:vAlign w:val="center"/>
          </w:tcPr>
          <w:p>
            <w:pPr>
              <w:spacing w:line="320" w:lineRule="exact"/>
              <w:jc w:val="center"/>
              <w:rPr>
                <w:rFonts w:ascii="宋体" w:hAnsi="宋体" w:cs="宋体"/>
                <w:kern w:val="0"/>
                <w:sz w:val="22"/>
                <w:szCs w:val="22"/>
              </w:rPr>
            </w:pPr>
            <w:r>
              <w:rPr>
                <w:rFonts w:hint="eastAsia" w:ascii="宋体" w:hAnsi="宋体" w:cs="宋体"/>
                <w:kern w:val="0"/>
                <w:sz w:val="22"/>
                <w:szCs w:val="22"/>
              </w:rPr>
              <w:t>评标基准价计算方法</w:t>
            </w:r>
          </w:p>
        </w:tc>
        <w:tc>
          <w:tcPr>
            <w:tcW w:w="0" w:type="auto"/>
            <w:gridSpan w:val="2"/>
          </w:tcPr>
          <w:p>
            <w:pPr>
              <w:spacing w:line="320" w:lineRule="exact"/>
            </w:pPr>
            <w:r>
              <w:rPr>
                <w:rFonts w:hint="eastAsia"/>
              </w:rPr>
              <w:t>由评标委员会计算评标基准价：</w:t>
            </w:r>
          </w:p>
          <w:p>
            <w:pPr>
              <w:spacing w:line="320" w:lineRule="exact"/>
            </w:pPr>
            <w:r>
              <w:rPr>
                <w:rFonts w:hint="eastAsia"/>
              </w:rPr>
              <w:t>（1）评标价的确定：评标价＝投标函文字报价</w:t>
            </w:r>
          </w:p>
          <w:p>
            <w:pPr>
              <w:spacing w:line="320" w:lineRule="exact"/>
            </w:pPr>
            <w:r>
              <w:rPr>
                <w:rFonts w:hint="eastAsia"/>
              </w:rPr>
              <w:t>（2）评标基准价的确定：</w:t>
            </w:r>
          </w:p>
          <w:p>
            <w:pPr>
              <w:widowControl/>
              <w:spacing w:line="320" w:lineRule="exact"/>
              <w:jc w:val="left"/>
            </w:pPr>
            <w:r>
              <w:rPr>
                <w:rFonts w:hint="eastAsia"/>
              </w:rPr>
              <w:t>在通过初步评审后且不高于最高投标限价的投标报价中去掉六分之一（不能整除的按小数前整数取整，不足六家报价则不去掉）的最低价和最高价后的算术平均值即为评标基准价。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400" w:lineRule="exact"/>
              <w:rPr>
                <w:rFonts w:ascii="宋体" w:hAnsi="宋体"/>
                <w:kern w:val="0"/>
              </w:rPr>
            </w:pPr>
            <w:r>
              <w:rPr>
                <w:rFonts w:hint="eastAsia" w:ascii="宋体" w:hAnsi="宋体"/>
                <w:kern w:val="0"/>
              </w:rPr>
              <w:t>2.2.</w:t>
            </w:r>
            <w:r>
              <w:rPr>
                <w:rFonts w:ascii="宋体" w:hAnsi="宋体"/>
                <w:kern w:val="0"/>
              </w:rPr>
              <w:t>3</w:t>
            </w:r>
          </w:p>
        </w:tc>
        <w:tc>
          <w:tcPr>
            <w:tcW w:w="0" w:type="auto"/>
            <w:gridSpan w:val="2"/>
            <w:vAlign w:val="center"/>
          </w:tcPr>
          <w:p>
            <w:pPr>
              <w:tabs>
                <w:tab w:val="left" w:pos="1875"/>
              </w:tabs>
              <w:spacing w:line="400" w:lineRule="exact"/>
              <w:jc w:val="center"/>
            </w:pPr>
            <w:r>
              <w:t>投标报价的偏差率计算公式</w:t>
            </w:r>
          </w:p>
        </w:tc>
        <w:tc>
          <w:tcPr>
            <w:tcW w:w="0" w:type="auto"/>
            <w:gridSpan w:val="2"/>
          </w:tcPr>
          <w:p>
            <w:pPr>
              <w:spacing w:line="400" w:lineRule="exact"/>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100％×（投标人报价</w:t>
            </w:r>
            <w:del w:id="3" w:author="lwsf" w:date="2023-11-16T16:30:23Z">
              <w:r>
                <w:rPr>
                  <w:rFonts w:hint="default" w:ascii="宋体" w:hAnsi="宋体"/>
                  <w:kern w:val="0"/>
                  <w:lang w:val="en-US"/>
                </w:rPr>
                <w:delText>一</w:delText>
              </w:r>
            </w:del>
            <w:ins w:id="4" w:author="lwsf" w:date="2023-11-16T16:30:23Z">
              <w:r>
                <w:rPr>
                  <w:rFonts w:hint="eastAsia" w:ascii="宋体" w:hAnsi="宋体"/>
                  <w:kern w:val="0"/>
                  <w:lang w:val="en-US" w:eastAsia="zh-CN"/>
                </w:rPr>
                <w:t>-</w:t>
              </w:r>
            </w:ins>
            <w:r>
              <w:rPr>
                <w:rFonts w:ascii="宋体" w:hAnsi="宋体"/>
                <w:kern w:val="0"/>
              </w:rPr>
              <w:t>评标基准价）／评标基准价</w:t>
            </w:r>
          </w:p>
          <w:p>
            <w:pPr>
              <w:pStyle w:val="2"/>
              <w:rPr>
                <w:rFonts w:ascii="宋体" w:hAnsi="宋体"/>
                <w:kern w:val="0"/>
                <w:szCs w:val="21"/>
              </w:rPr>
            </w:pPr>
            <w:r>
              <w:rPr>
                <w:rFonts w:ascii="宋体" w:hAnsi="宋体"/>
                <w:kern w:val="0"/>
              </w:rPr>
              <w:t>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p>
            <w:r>
              <w:rPr>
                <w:rFonts w:hint="eastAsia"/>
              </w:rPr>
              <w:t>若偏差率&gt;20%，则该报价作废，重新计算基准价。</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line="320" w:lineRule="exact"/>
              <w:jc w:val="center"/>
              <w:rPr>
                <w:rFonts w:ascii="宋体" w:hAnsi="宋体" w:cs="宋体"/>
                <w:kern w:val="0"/>
                <w:sz w:val="22"/>
                <w:szCs w:val="22"/>
              </w:rPr>
            </w:pPr>
            <w:r>
              <w:rPr>
                <w:rFonts w:hint="eastAsia" w:ascii="宋体" w:hAnsi="宋体" w:cs="宋体"/>
                <w:b/>
                <w:sz w:val="22"/>
                <w:szCs w:val="22"/>
                <w:lang w:bidi="ar"/>
              </w:rPr>
              <w:t>条款号</w:t>
            </w:r>
          </w:p>
        </w:tc>
        <w:tc>
          <w:tcPr>
            <w:tcW w:w="0" w:type="auto"/>
            <w:gridSpan w:val="2"/>
            <w:vAlign w:val="center"/>
          </w:tcPr>
          <w:p>
            <w:pPr>
              <w:spacing w:line="320" w:lineRule="exact"/>
              <w:jc w:val="center"/>
              <w:rPr>
                <w:rFonts w:ascii="宋体" w:hAnsi="宋体" w:cs="宋体"/>
                <w:b/>
                <w:bCs/>
                <w:sz w:val="22"/>
                <w:szCs w:val="22"/>
              </w:rPr>
            </w:pPr>
            <w:r>
              <w:rPr>
                <w:rFonts w:hint="eastAsia" w:ascii="宋体" w:hAnsi="宋体" w:cs="宋体"/>
                <w:b/>
                <w:sz w:val="22"/>
                <w:szCs w:val="22"/>
                <w:lang w:bidi="ar"/>
              </w:rPr>
              <w:t>评分因素权重分值</w:t>
            </w:r>
          </w:p>
        </w:tc>
        <w:tc>
          <w:tcPr>
            <w:tcW w:w="0" w:type="auto"/>
            <w:vAlign w:val="center"/>
          </w:tcPr>
          <w:p>
            <w:pPr>
              <w:spacing w:line="320" w:lineRule="exact"/>
              <w:jc w:val="center"/>
              <w:rPr>
                <w:rFonts w:ascii="宋体" w:hAnsi="宋体" w:cs="宋体"/>
                <w:b/>
                <w:sz w:val="22"/>
                <w:szCs w:val="22"/>
                <w:lang w:bidi="ar"/>
              </w:rPr>
            </w:pPr>
            <w:r>
              <w:rPr>
                <w:rFonts w:hint="eastAsia" w:ascii="宋体" w:hAnsi="宋体" w:cs="宋体"/>
                <w:b/>
                <w:sz w:val="22"/>
                <w:szCs w:val="22"/>
                <w:lang w:bidi="ar"/>
              </w:rPr>
              <w:t>各评分因素细分项</w:t>
            </w:r>
          </w:p>
        </w:tc>
        <w:tc>
          <w:tcPr>
            <w:tcW w:w="0" w:type="auto"/>
            <w:vAlign w:val="center"/>
          </w:tcPr>
          <w:p>
            <w:pPr>
              <w:spacing w:line="320" w:lineRule="exact"/>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vAlign w:val="center"/>
          </w:tcPr>
          <w:p>
            <w:pPr>
              <w:spacing w:line="320" w:lineRule="exact"/>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.2.4（1）</w:t>
            </w:r>
          </w:p>
        </w:tc>
        <w:tc>
          <w:tcPr>
            <w:tcW w:w="817" w:type="dxa"/>
            <w:vMerge w:val="restart"/>
            <w:vAlign w:val="center"/>
          </w:tcPr>
          <w:p>
            <w:pPr>
              <w:spacing w:line="320" w:lineRule="exact"/>
              <w:jc w:val="center"/>
              <w:rPr>
                <w:rFonts w:ascii="宋体" w:hAnsi="宋体"/>
                <w:sz w:val="22"/>
                <w:szCs w:val="22"/>
              </w:rPr>
            </w:pPr>
            <w:r>
              <w:rPr>
                <w:rFonts w:hint="eastAsia" w:ascii="宋体" w:hAnsi="宋体"/>
                <w:sz w:val="22"/>
                <w:szCs w:val="22"/>
              </w:rPr>
              <w:t>商务部分评分标准（30分）</w:t>
            </w:r>
          </w:p>
        </w:tc>
        <w:tc>
          <w:tcPr>
            <w:tcW w:w="820" w:type="dxa"/>
            <w:vAlign w:val="center"/>
          </w:tcPr>
          <w:p>
            <w:pPr>
              <w:spacing w:line="320" w:lineRule="exact"/>
              <w:jc w:val="center"/>
              <w:rPr>
                <w:rFonts w:ascii="宋体" w:hAnsi="宋体"/>
                <w:sz w:val="22"/>
                <w:szCs w:val="22"/>
              </w:rPr>
            </w:pPr>
            <w:r>
              <w:rPr>
                <w:rFonts w:hint="eastAsia" w:ascii="宋体" w:hAnsi="宋体"/>
                <w:sz w:val="22"/>
                <w:szCs w:val="22"/>
              </w:rPr>
              <w:t>投标人资格</w:t>
            </w:r>
          </w:p>
          <w:p>
            <w:pPr>
              <w:spacing w:line="320" w:lineRule="exact"/>
              <w:jc w:val="center"/>
              <w:rPr>
                <w:rFonts w:ascii="宋体" w:hAnsi="宋体"/>
                <w:sz w:val="22"/>
                <w:szCs w:val="22"/>
                <w:shd w:val="clear" w:color="FFFFFF" w:fill="auto"/>
              </w:rPr>
            </w:pPr>
            <w:r>
              <w:rPr>
                <w:rFonts w:hint="eastAsia" w:ascii="宋体" w:hAnsi="宋体"/>
                <w:sz w:val="22"/>
                <w:szCs w:val="22"/>
                <w:shd w:val="clear" w:color="FFFFFF" w:fill="auto"/>
              </w:rPr>
              <w:t>（10分）</w:t>
            </w:r>
          </w:p>
        </w:tc>
        <w:tc>
          <w:tcPr>
            <w:tcW w:w="0" w:type="auto"/>
            <w:vAlign w:val="center"/>
          </w:tcPr>
          <w:p>
            <w:pPr>
              <w:pStyle w:val="17"/>
              <w:spacing w:after="0" w:line="320" w:lineRule="exact"/>
              <w:ind w:firstLine="0"/>
              <w:rPr>
                <w:rFonts w:ascii="Times New Roman" w:eastAsia="宋体"/>
                <w:sz w:val="22"/>
                <w:szCs w:val="22"/>
              </w:rPr>
            </w:pPr>
            <w:r>
              <w:rPr>
                <w:rFonts w:hint="eastAsia" w:ascii="Times New Roman" w:eastAsia="宋体"/>
                <w:sz w:val="22"/>
                <w:szCs w:val="22"/>
              </w:rPr>
              <w:t>具备</w:t>
            </w:r>
            <w:r>
              <w:rPr>
                <w:rFonts w:hint="eastAsia" w:hAnsi="宋体" w:eastAsia="宋体" w:cs="宋体"/>
                <w:szCs w:val="21"/>
                <w:shd w:val="clear" w:color="auto" w:fill="FFFFFF"/>
              </w:rPr>
              <w:t>工程设计公路行业甲级或公路工程综合甲级资质</w:t>
            </w:r>
            <w:r>
              <w:rPr>
                <w:rFonts w:hint="eastAsia" w:ascii="Times New Roman" w:eastAsia="宋体"/>
                <w:sz w:val="22"/>
                <w:szCs w:val="22"/>
              </w:rPr>
              <w:t>，得10分。</w:t>
            </w:r>
          </w:p>
          <w:p>
            <w:pPr>
              <w:pStyle w:val="17"/>
              <w:spacing w:after="0" w:line="320" w:lineRule="exact"/>
              <w:ind w:firstLine="0"/>
              <w:rPr>
                <w:rFonts w:ascii="Times New Roman" w:eastAsia="宋体"/>
                <w:sz w:val="22"/>
                <w:szCs w:val="22"/>
              </w:rPr>
            </w:pPr>
            <w:r>
              <w:rPr>
                <w:rFonts w:hint="eastAsia" w:ascii="Times New Roman" w:eastAsia="宋体"/>
                <w:sz w:val="22"/>
                <w:szCs w:val="22"/>
              </w:rPr>
              <w:t>注：投标人须提供相应文件证明材料</w:t>
            </w:r>
          </w:p>
        </w:tc>
        <w:tc>
          <w:tcPr>
            <w:tcW w:w="0" w:type="auto"/>
            <w:vMerge w:val="restart"/>
            <w:vAlign w:val="center"/>
          </w:tcPr>
          <w:p>
            <w:pPr>
              <w:pStyle w:val="17"/>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spacing w:line="320" w:lineRule="exact"/>
              <w:jc w:val="center"/>
              <w:rPr>
                <w:rFonts w:ascii="宋体" w:hAnsi="宋体" w:cs="宋体"/>
                <w:kern w:val="0"/>
                <w:sz w:val="22"/>
                <w:szCs w:val="22"/>
              </w:rPr>
            </w:pPr>
          </w:p>
        </w:tc>
        <w:tc>
          <w:tcPr>
            <w:tcW w:w="817" w:type="dxa"/>
            <w:vMerge w:val="continue"/>
            <w:vAlign w:val="center"/>
          </w:tcPr>
          <w:p>
            <w:pPr>
              <w:spacing w:line="320" w:lineRule="exact"/>
              <w:jc w:val="center"/>
              <w:rPr>
                <w:rFonts w:ascii="宋体" w:hAnsi="宋体"/>
                <w:sz w:val="22"/>
                <w:szCs w:val="22"/>
              </w:rPr>
            </w:pPr>
          </w:p>
        </w:tc>
        <w:tc>
          <w:tcPr>
            <w:tcW w:w="820" w:type="dxa"/>
            <w:vAlign w:val="center"/>
          </w:tcPr>
          <w:p>
            <w:pPr>
              <w:spacing w:line="320" w:lineRule="exact"/>
              <w:jc w:val="center"/>
              <w:rPr>
                <w:rFonts w:ascii="宋体" w:hAnsi="宋体"/>
                <w:sz w:val="22"/>
                <w:szCs w:val="22"/>
              </w:rPr>
            </w:pPr>
            <w:r>
              <w:rPr>
                <w:rFonts w:hint="eastAsia" w:ascii="宋体" w:hAnsi="宋体"/>
                <w:sz w:val="22"/>
                <w:szCs w:val="22"/>
              </w:rPr>
              <w:t>投标人业绩</w:t>
            </w:r>
          </w:p>
          <w:p>
            <w:pPr>
              <w:spacing w:line="320" w:lineRule="exact"/>
              <w:jc w:val="center"/>
              <w:rPr>
                <w:rFonts w:ascii="宋体" w:hAnsi="宋体"/>
                <w:sz w:val="22"/>
                <w:szCs w:val="22"/>
              </w:rPr>
            </w:pPr>
            <w:r>
              <w:rPr>
                <w:rFonts w:hint="eastAsia" w:ascii="宋体" w:hAnsi="宋体"/>
                <w:sz w:val="22"/>
                <w:szCs w:val="22"/>
                <w:shd w:val="clear" w:color="FFFFFF" w:fill="auto"/>
              </w:rPr>
              <w:t>（20分）</w:t>
            </w:r>
          </w:p>
        </w:tc>
        <w:tc>
          <w:tcPr>
            <w:tcW w:w="0" w:type="auto"/>
            <w:vAlign w:val="center"/>
          </w:tcPr>
          <w:p>
            <w:pPr>
              <w:pStyle w:val="25"/>
              <w:spacing w:line="360" w:lineRule="auto"/>
              <w:ind w:firstLine="0" w:firstLineChars="0"/>
              <w:rPr>
                <w:sz w:val="22"/>
                <w:szCs w:val="22"/>
              </w:rPr>
            </w:pPr>
            <w:r>
              <w:rPr>
                <w:rFonts w:hint="eastAsia"/>
                <w:sz w:val="22"/>
                <w:szCs w:val="22"/>
              </w:rPr>
              <w:t>1.满足第一章“竞争性比选公告”第3.2项规定得10分；</w:t>
            </w:r>
          </w:p>
          <w:p>
            <w:pPr>
              <w:pStyle w:val="25"/>
              <w:spacing w:line="320" w:lineRule="exact"/>
              <w:ind w:firstLine="0" w:firstLineChars="0"/>
              <w:rPr>
                <w:sz w:val="22"/>
                <w:szCs w:val="22"/>
              </w:rPr>
            </w:pPr>
            <w:r>
              <w:rPr>
                <w:rFonts w:hint="eastAsia"/>
                <w:sz w:val="22"/>
                <w:szCs w:val="22"/>
              </w:rPr>
              <w:t>2.额外提供最多一个单项合同额</w:t>
            </w:r>
            <w:del w:id="5" w:author="lwsf" w:date="2023-11-16T16:27:40Z">
              <w:r>
                <w:rPr>
                  <w:rFonts w:hint="default"/>
                  <w:sz w:val="22"/>
                  <w:szCs w:val="22"/>
                  <w:lang w:val="en-US"/>
                </w:rPr>
                <w:delText>100</w:delText>
              </w:r>
            </w:del>
            <w:ins w:id="6" w:author="lwsf" w:date="2023-11-16T16:28:27Z">
              <w:r>
                <w:rPr>
                  <w:rFonts w:hint="eastAsia"/>
                  <w:sz w:val="22"/>
                  <w:szCs w:val="22"/>
                  <w:lang w:val="en-US" w:eastAsia="zh-CN"/>
                </w:rPr>
                <w:t>1</w:t>
              </w:r>
            </w:ins>
            <w:ins w:id="7" w:author="lwsf" w:date="2023-11-16T16:27:40Z">
              <w:r>
                <w:rPr>
                  <w:rFonts w:hint="eastAsia"/>
                  <w:sz w:val="22"/>
                  <w:szCs w:val="22"/>
                  <w:lang w:val="en-US" w:eastAsia="zh-CN"/>
                </w:rPr>
                <w:t>0</w:t>
              </w:r>
            </w:ins>
            <w:r>
              <w:rPr>
                <w:rFonts w:hint="eastAsia"/>
                <w:sz w:val="22"/>
                <w:szCs w:val="22"/>
              </w:rPr>
              <w:t>万元以上的高速公路超限检测系统设计项目业绩合同得5分，如该业绩为重庆范围内高速公路超限检测设计项目业绩合同得10分。</w:t>
            </w:r>
          </w:p>
        </w:tc>
        <w:tc>
          <w:tcPr>
            <w:tcW w:w="0" w:type="auto"/>
            <w:vMerge w:val="continue"/>
            <w:vAlign w:val="center"/>
          </w:tcPr>
          <w:p>
            <w:pPr>
              <w:pStyle w:val="17"/>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vAlign w:val="center"/>
          </w:tcPr>
          <w:p>
            <w:pPr>
              <w:pStyle w:val="17"/>
              <w:spacing w:after="0" w:line="320" w:lineRule="exact"/>
              <w:ind w:firstLine="0"/>
              <w:rPr>
                <w:rFonts w:ascii="Times New Roman" w:eastAsia="宋体" w:cs="Calibri"/>
                <w:sz w:val="22"/>
                <w:szCs w:val="22"/>
              </w:rPr>
            </w:pPr>
            <w:r>
              <w:rPr>
                <w:rFonts w:hint="eastAsia" w:ascii="Times New Roman" w:eastAsia="宋体" w:cs="Calibri"/>
                <w:sz w:val="22"/>
                <w:szCs w:val="22"/>
              </w:rPr>
              <w:t>2.2.4（2）</w:t>
            </w:r>
          </w:p>
        </w:tc>
        <w:tc>
          <w:tcPr>
            <w:tcW w:w="817" w:type="dxa"/>
            <w:vMerge w:val="restart"/>
            <w:vAlign w:val="center"/>
          </w:tcPr>
          <w:p>
            <w:pPr>
              <w:pStyle w:val="17"/>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技术部分评分标准（20分）</w:t>
            </w:r>
          </w:p>
        </w:tc>
        <w:tc>
          <w:tcPr>
            <w:tcW w:w="820" w:type="dxa"/>
            <w:vAlign w:val="center"/>
          </w:tcPr>
          <w:p>
            <w:pPr>
              <w:pStyle w:val="17"/>
              <w:spacing w:after="0" w:line="320" w:lineRule="exact"/>
              <w:ind w:firstLine="0"/>
              <w:jc w:val="center"/>
              <w:rPr>
                <w:rFonts w:ascii="Times New Roman" w:eastAsia="宋体" w:cs="Calibri"/>
                <w:sz w:val="22"/>
                <w:szCs w:val="22"/>
              </w:rPr>
            </w:pPr>
            <w:r>
              <w:rPr>
                <w:rFonts w:hint="eastAsia" w:ascii="Times New Roman" w:eastAsia="宋体" w:cs="Calibri"/>
                <w:sz w:val="22"/>
                <w:szCs w:val="22"/>
                <w:lang w:bidi="ar"/>
              </w:rPr>
              <w:t>方案内容完整（10分）</w:t>
            </w:r>
          </w:p>
        </w:tc>
        <w:tc>
          <w:tcPr>
            <w:tcW w:w="0" w:type="auto"/>
            <w:vAlign w:val="center"/>
          </w:tcPr>
          <w:p>
            <w:pPr>
              <w:pStyle w:val="17"/>
              <w:numPr>
                <w:ilvl w:val="0"/>
                <w:numId w:val="2"/>
              </w:numPr>
              <w:spacing w:after="0" w:line="320" w:lineRule="exact"/>
              <w:ind w:firstLine="0"/>
              <w:rPr>
                <w:rFonts w:ascii="Times New Roman" w:eastAsia="宋体" w:cs="Calibri"/>
                <w:sz w:val="22"/>
                <w:szCs w:val="22"/>
              </w:rPr>
            </w:pPr>
            <w:r>
              <w:rPr>
                <w:rFonts w:hint="eastAsia" w:ascii="Times New Roman" w:eastAsia="宋体" w:cs="Calibri"/>
                <w:sz w:val="22"/>
                <w:szCs w:val="22"/>
              </w:rPr>
              <w:t>施工图设计包含</w:t>
            </w:r>
            <w:r>
              <w:rPr>
                <w:rFonts w:hint="eastAsia" w:asciiTheme="minorEastAsia" w:hAnsiTheme="minorEastAsia" w:eastAsiaTheme="minorEastAsia" w:cstheme="minorEastAsia"/>
                <w:sz w:val="22"/>
                <w:szCs w:val="18"/>
              </w:rPr>
              <w:t>公路车辆动态称重检测系统、视频监控系统、信息发布系统、交通标志与标线、供配电与防雷接地、前端信息处理系统、治超联网管理系统及相关附属设施</w:t>
            </w:r>
            <w:r>
              <w:rPr>
                <w:rFonts w:hint="eastAsia" w:ascii="Times New Roman" w:eastAsia="宋体" w:cs="Calibri"/>
                <w:sz w:val="22"/>
                <w:szCs w:val="22"/>
              </w:rPr>
              <w:t>。</w:t>
            </w:r>
          </w:p>
          <w:p>
            <w:pPr>
              <w:pStyle w:val="17"/>
              <w:numPr>
                <w:ilvl w:val="0"/>
                <w:numId w:val="2"/>
              </w:numPr>
              <w:spacing w:after="0" w:line="320" w:lineRule="exact"/>
              <w:ind w:firstLine="0"/>
              <w:rPr>
                <w:rFonts w:ascii="Times New Roman" w:eastAsia="宋体" w:cs="Calibri"/>
                <w:sz w:val="22"/>
                <w:szCs w:val="22"/>
              </w:rPr>
            </w:pPr>
            <w:r>
              <w:rPr>
                <w:rFonts w:hint="eastAsia" w:ascii="Times New Roman" w:eastAsia="宋体" w:cs="Calibri"/>
                <w:sz w:val="22"/>
                <w:szCs w:val="22"/>
              </w:rPr>
              <w:t>无方案不得分，一般得0~</w:t>
            </w:r>
            <w:del w:id="8" w:author="lwsf" w:date="2023-11-16T16:31:25Z">
              <w:r>
                <w:rPr>
                  <w:rFonts w:hint="default" w:ascii="Times New Roman" w:eastAsia="宋体" w:cs="Calibri"/>
                  <w:sz w:val="22"/>
                  <w:szCs w:val="22"/>
                  <w:lang w:val="en-US"/>
                </w:rPr>
                <w:delText>5</w:delText>
              </w:r>
            </w:del>
            <w:ins w:id="9" w:author="lwsf" w:date="2023-11-16T16:31:25Z">
              <w:r>
                <w:rPr>
                  <w:rFonts w:hint="eastAsia" w:ascii="Times New Roman" w:eastAsia="宋体" w:cs="Calibri"/>
                  <w:sz w:val="22"/>
                  <w:szCs w:val="22"/>
                  <w:lang w:val="en-US" w:eastAsia="zh-CN"/>
                </w:rPr>
                <w:t>6</w:t>
              </w:r>
            </w:ins>
            <w:r>
              <w:rPr>
                <w:rFonts w:hint="eastAsia" w:ascii="Times New Roman" w:eastAsia="宋体" w:cs="Calibri"/>
                <w:sz w:val="22"/>
                <w:szCs w:val="22"/>
              </w:rPr>
              <w:t>分，良得6~8分，优秀得</w:t>
            </w:r>
            <w:del w:id="10" w:author="lwsf" w:date="2023-11-16T16:31:30Z">
              <w:r>
                <w:rPr>
                  <w:rFonts w:hint="default" w:ascii="Times New Roman" w:eastAsia="宋体" w:cs="Calibri"/>
                  <w:sz w:val="22"/>
                  <w:szCs w:val="22"/>
                  <w:lang w:val="en-US"/>
                </w:rPr>
                <w:delText>9</w:delText>
              </w:r>
            </w:del>
            <w:ins w:id="11" w:author="lwsf" w:date="2023-11-16T16:31:30Z">
              <w:r>
                <w:rPr>
                  <w:rFonts w:hint="eastAsia" w:ascii="Times New Roman" w:eastAsia="宋体" w:cs="Calibri"/>
                  <w:sz w:val="22"/>
                  <w:szCs w:val="22"/>
                  <w:lang w:val="en-US" w:eastAsia="zh-CN"/>
                </w:rPr>
                <w:t>8</w:t>
              </w:r>
            </w:ins>
            <w:r>
              <w:rPr>
                <w:rFonts w:hint="eastAsia" w:ascii="Times New Roman" w:eastAsia="宋体" w:cs="Calibri"/>
                <w:sz w:val="22"/>
                <w:szCs w:val="22"/>
              </w:rPr>
              <w:t>~10分。</w:t>
            </w:r>
          </w:p>
          <w:p>
            <w:pPr>
              <w:pStyle w:val="17"/>
              <w:spacing w:after="0" w:line="320" w:lineRule="exact"/>
              <w:ind w:firstLine="0"/>
              <w:rPr>
                <w:rFonts w:ascii="Times New Roman" w:eastAsia="宋体" w:cs="Calibri"/>
                <w:sz w:val="22"/>
                <w:szCs w:val="22"/>
              </w:rPr>
            </w:pPr>
          </w:p>
        </w:tc>
        <w:tc>
          <w:tcPr>
            <w:tcW w:w="1813" w:type="dxa"/>
            <w:vMerge w:val="restart"/>
            <w:vAlign w:val="center"/>
          </w:tcPr>
          <w:p>
            <w:pPr>
              <w:pStyle w:val="17"/>
              <w:spacing w:after="0" w:line="320" w:lineRule="exact"/>
              <w:ind w:firstLine="0"/>
              <w:rPr>
                <w:rFonts w:ascii="Times New Roman" w:eastAsia="宋体" w:cs="Calibri"/>
                <w:sz w:val="22"/>
                <w:szCs w:val="22"/>
                <w:highlight w:val="yellow"/>
              </w:rPr>
            </w:pPr>
            <w:r>
              <w:rPr>
                <w:rFonts w:hint="eastAsia" w:ascii="Times New Roman" w:eastAsia="宋体" w:cs="Calibri"/>
                <w:sz w:val="22"/>
                <w:szCs w:val="22"/>
              </w:rPr>
              <w:t>技术得分由评标委员会各成员打分后的算术平均值作为投标人的技术得分。该项保留两位小数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6" w:type="dxa"/>
            <w:vMerge w:val="continue"/>
            <w:vAlign w:val="center"/>
          </w:tcPr>
          <w:p>
            <w:pPr>
              <w:pStyle w:val="17"/>
              <w:spacing w:after="0" w:line="320" w:lineRule="exact"/>
              <w:ind w:firstLine="0"/>
              <w:rPr>
                <w:rFonts w:ascii="Times New Roman" w:eastAsia="宋体" w:cs="Calibri"/>
                <w:sz w:val="22"/>
                <w:szCs w:val="22"/>
              </w:rPr>
            </w:pPr>
          </w:p>
        </w:tc>
        <w:tc>
          <w:tcPr>
            <w:tcW w:w="817" w:type="dxa"/>
            <w:vMerge w:val="continue"/>
            <w:vAlign w:val="center"/>
          </w:tcPr>
          <w:p>
            <w:pPr>
              <w:pStyle w:val="17"/>
              <w:spacing w:after="0" w:line="320" w:lineRule="exact"/>
              <w:ind w:firstLine="0"/>
              <w:rPr>
                <w:rFonts w:ascii="Times New Roman" w:eastAsia="宋体" w:cs="Calibri"/>
                <w:sz w:val="22"/>
                <w:szCs w:val="22"/>
              </w:rPr>
            </w:pPr>
          </w:p>
        </w:tc>
        <w:tc>
          <w:tcPr>
            <w:tcW w:w="820" w:type="dxa"/>
            <w:vAlign w:val="center"/>
          </w:tcPr>
          <w:p>
            <w:pPr>
              <w:pStyle w:val="17"/>
              <w:spacing w:after="0" w:line="320" w:lineRule="exact"/>
              <w:ind w:firstLine="0"/>
              <w:jc w:val="center"/>
              <w:rPr>
                <w:rFonts w:ascii="Times New Roman" w:eastAsia="宋体" w:cs="Calibri"/>
                <w:sz w:val="22"/>
                <w:szCs w:val="22"/>
                <w:lang w:bidi="ar"/>
              </w:rPr>
            </w:pPr>
            <w:r>
              <w:rPr>
                <w:rFonts w:hint="eastAsia" w:ascii="Times New Roman" w:eastAsia="宋体" w:cs="Calibri"/>
                <w:sz w:val="22"/>
                <w:szCs w:val="22"/>
              </w:rPr>
              <w:t>方案实施可行性</w:t>
            </w:r>
            <w:r>
              <w:rPr>
                <w:rFonts w:hint="eastAsia" w:ascii="Times New Roman" w:eastAsia="宋体" w:cs="Calibri"/>
                <w:sz w:val="22"/>
                <w:szCs w:val="22"/>
                <w:lang w:bidi="ar"/>
              </w:rPr>
              <w:t>（10分）</w:t>
            </w:r>
          </w:p>
        </w:tc>
        <w:tc>
          <w:tcPr>
            <w:tcW w:w="4306" w:type="dxa"/>
            <w:vAlign w:val="center"/>
          </w:tcPr>
          <w:p>
            <w:pPr>
              <w:pStyle w:val="17"/>
              <w:spacing w:after="0" w:line="320" w:lineRule="exact"/>
              <w:ind w:firstLine="0"/>
              <w:rPr>
                <w:rFonts w:ascii="Times New Roman" w:eastAsia="宋体" w:cs="Calibri"/>
                <w:sz w:val="22"/>
                <w:szCs w:val="22"/>
              </w:rPr>
            </w:pPr>
            <w:r>
              <w:rPr>
                <w:rFonts w:hint="eastAsia" w:ascii="Times New Roman" w:eastAsia="宋体" w:cs="Calibri"/>
                <w:sz w:val="22"/>
                <w:szCs w:val="22"/>
              </w:rPr>
              <w:t>投标人向项目业主提供完整的施工图设计。以上技术方案满足招标文件要求和采购人实际需求，设计内容符合现场实际，具有合理性、可行性，符合《重庆市公路车辆动态超限检测系统（外场设施）建设验收指导意见》要求。</w:t>
            </w:r>
          </w:p>
          <w:p>
            <w:pPr>
              <w:pStyle w:val="17"/>
              <w:spacing w:after="0" w:line="320" w:lineRule="exact"/>
              <w:ind w:firstLine="0"/>
              <w:rPr>
                <w:rFonts w:ascii="Times New Roman" w:eastAsia="宋体" w:cs="Calibri"/>
                <w:sz w:val="22"/>
                <w:szCs w:val="22"/>
              </w:rPr>
            </w:pPr>
            <w:r>
              <w:rPr>
                <w:rFonts w:hint="eastAsia" w:ascii="Times New Roman" w:eastAsia="宋体" w:cs="Calibri"/>
                <w:sz w:val="22"/>
                <w:szCs w:val="22"/>
              </w:rPr>
              <w:t>方案编制较差得0~</w:t>
            </w:r>
            <w:del w:id="12" w:author="lwsf" w:date="2023-11-16T16:31:38Z">
              <w:r>
                <w:rPr>
                  <w:rFonts w:hint="default" w:ascii="Times New Roman" w:eastAsia="宋体" w:cs="Calibri"/>
                  <w:sz w:val="22"/>
                  <w:szCs w:val="22"/>
                  <w:lang w:val="en-US"/>
                </w:rPr>
                <w:delText>5</w:delText>
              </w:r>
            </w:del>
            <w:ins w:id="13" w:author="lwsf" w:date="2023-11-16T16:31:38Z">
              <w:r>
                <w:rPr>
                  <w:rFonts w:hint="eastAsia" w:ascii="Times New Roman" w:eastAsia="宋体" w:cs="Calibri"/>
                  <w:sz w:val="22"/>
                  <w:szCs w:val="22"/>
                  <w:lang w:val="en-US" w:eastAsia="zh-CN"/>
                </w:rPr>
                <w:t>6</w:t>
              </w:r>
            </w:ins>
            <w:r>
              <w:rPr>
                <w:rFonts w:hint="eastAsia" w:ascii="Times New Roman" w:eastAsia="宋体" w:cs="Calibri"/>
                <w:sz w:val="22"/>
                <w:szCs w:val="22"/>
              </w:rPr>
              <w:t>分，一般得6~8分，优良得8~10分</w:t>
            </w:r>
          </w:p>
          <w:p>
            <w:pPr>
              <w:pStyle w:val="17"/>
              <w:spacing w:after="0" w:line="320" w:lineRule="exact"/>
              <w:ind w:firstLine="0"/>
              <w:rPr>
                <w:rFonts w:ascii="Times New Roman" w:eastAsia="宋体" w:cs="Calibri"/>
                <w:sz w:val="22"/>
                <w:szCs w:val="22"/>
              </w:rPr>
            </w:pPr>
          </w:p>
        </w:tc>
        <w:tc>
          <w:tcPr>
            <w:tcW w:w="1813" w:type="dxa"/>
            <w:vMerge w:val="continue"/>
            <w:vAlign w:val="center"/>
          </w:tcPr>
          <w:p>
            <w:pPr>
              <w:pStyle w:val="17"/>
              <w:spacing w:after="0" w:line="320" w:lineRule="exact"/>
              <w:ind w:firstLine="0"/>
              <w:rPr>
                <w:rFonts w:ascii="Times New Roman" w:eastAsia="宋体" w:cs="Calibri"/>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17"/>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2.2.4（3）</w:t>
            </w:r>
          </w:p>
        </w:tc>
        <w:tc>
          <w:tcPr>
            <w:tcW w:w="817" w:type="dxa"/>
            <w:vAlign w:val="center"/>
          </w:tcPr>
          <w:p>
            <w:pPr>
              <w:pStyle w:val="17"/>
              <w:spacing w:after="0" w:line="320" w:lineRule="exact"/>
              <w:ind w:firstLine="0"/>
              <w:jc w:val="center"/>
              <w:rPr>
                <w:rFonts w:ascii="Times New Roman" w:eastAsia="宋体" w:cs="Calibri"/>
                <w:sz w:val="22"/>
                <w:szCs w:val="22"/>
              </w:rPr>
            </w:pPr>
            <w:r>
              <w:rPr>
                <w:rFonts w:hint="eastAsia" w:ascii="Times New Roman" w:eastAsia="宋体" w:cs="Calibri"/>
                <w:sz w:val="22"/>
                <w:szCs w:val="22"/>
              </w:rPr>
              <w:t>评标价得分（50分）</w:t>
            </w:r>
          </w:p>
        </w:tc>
        <w:tc>
          <w:tcPr>
            <w:tcW w:w="6939" w:type="dxa"/>
            <w:gridSpan w:val="3"/>
            <w:vAlign w:val="center"/>
          </w:tcPr>
          <w:p>
            <w:pPr>
              <w:pStyle w:val="17"/>
              <w:spacing w:after="0" w:line="320" w:lineRule="exact"/>
              <w:ind w:firstLine="0"/>
              <w:rPr>
                <w:rFonts w:ascii="Times New Roman" w:eastAsia="宋体" w:cs="Calibri"/>
                <w:sz w:val="22"/>
                <w:szCs w:val="22"/>
                <w:highlight w:val="yellow"/>
              </w:rPr>
            </w:pPr>
            <w:r>
              <w:rPr>
                <w:rFonts w:hint="eastAsia" w:ascii="Times New Roman" w:eastAsia="宋体" w:cs="Calibri"/>
                <w:sz w:val="22"/>
                <w:szCs w:val="22"/>
              </w:rPr>
              <w:t>各有效投标报价分别与评标基准价相比较，等于基准价得50分；高于基准价时，每增加1%扣1分；低于基准价时，每减少1%扣0.5分，采用线性插值法进行计算，最多扣5分。该项保留两位小数</w:t>
            </w:r>
          </w:p>
        </w:tc>
      </w:tr>
    </w:tbl>
    <w:p>
      <w:pPr>
        <w:spacing w:line="360" w:lineRule="auto"/>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综合评估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评标委员会应当对符合资格的报价人的投标文件进行符合性审查，以确定其是否满足招标文件的实质性要求。</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（三）比较与评价。按招标文件中规定的评标方法和标准，对资格审查和符合性审查合格的投标文件进行商务和技术评估。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复核后，评标委员会汇总每个报价人每项评分因素的得分。</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按评审后得分由高到低的排列顺序推荐综合得分排名第一的报价人为本项目中标候选人。</w:t>
      </w:r>
    </w:p>
    <w:p>
      <w:pPr>
        <w:pStyle w:val="13"/>
        <w:spacing w:line="360" w:lineRule="auto"/>
        <w:ind w:firstLine="482"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（五）无效投标条款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报价人或其投标文件出现下列情况之一者，应为无效投标：</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投标文件未按招标文件要求签署、盖章的；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不具备招标文件中规定的资格要求的；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报价超过招标文件中规定的预算金额或者最高限价的；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投标文件含有采购人不能接受的附加条件的；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报价人串通投标的；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报价人组成联合体投标的；</w:t>
      </w:r>
    </w:p>
    <w:p>
      <w:pPr>
        <w:pStyle w:val="13"/>
        <w:numPr>
          <w:ilvl w:val="0"/>
          <w:numId w:val="3"/>
        </w:numPr>
      </w:pPr>
      <w:r>
        <w:rPr>
          <w:rFonts w:hint="eastAsia"/>
          <w:sz w:val="24"/>
          <w:szCs w:val="28"/>
        </w:rPr>
        <w:t>报价有算术错误的，包括但不限于大写金额与小写金额不一致的、总价金额与依据单价计算出的结果不一致的等；</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法律、法规和招标文件规定的其他无效情形。</w:t>
      </w:r>
    </w:p>
    <w:p/>
    <w:p/>
    <w:p>
      <w:pPr>
        <w:spacing w:line="440" w:lineRule="exact"/>
        <w:ind w:firstLine="210" w:firstLineChars="100"/>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13"/>
      </w:pPr>
      <w:bookmarkStart w:id="117" w:name="_Toc13787"/>
    </w:p>
    <w:p>
      <w:pPr>
        <w:pStyle w:val="3"/>
        <w:spacing w:before="0" w:after="0" w:line="360" w:lineRule="auto"/>
        <w:jc w:val="center"/>
        <w:rPr>
          <w:rFonts w:ascii="宋体" w:hAnsi="宋体" w:cs="宋体"/>
        </w:rPr>
      </w:pPr>
      <w:r>
        <w:rPr>
          <w:rFonts w:hint="eastAsia" w:ascii="宋体" w:hAnsi="宋体" w:cs="宋体"/>
        </w:rPr>
        <w:t>第四章 报价说明</w:t>
      </w:r>
      <w:bookmarkEnd w:id="117"/>
    </w:p>
    <w:p>
      <w:pPr>
        <w:pStyle w:val="13"/>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本次报价为人民币报价，包含：材料费、人工费、通行费、车辆使用费、保险费、规费、税金等直至交付使用的所有费用。因投标人自身原因造成漏报、少报皆由其自行承担责任，招标人不再补偿。</w:t>
      </w:r>
    </w:p>
    <w:p/>
    <w:p>
      <w:pPr>
        <w:pStyle w:val="13"/>
        <w:sectPr>
          <w:footerReference r:id="rId8"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18" w:name="_Toc144974855"/>
      <w:bookmarkStart w:id="119" w:name="_Toc246996354"/>
      <w:bookmarkStart w:id="120" w:name="_Toc246997097"/>
      <w:bookmarkStart w:id="121" w:name="_Toc152045786"/>
      <w:bookmarkStart w:id="122" w:name="_Toc152042575"/>
      <w:bookmarkStart w:id="123" w:name="_Toc179632806"/>
      <w:bookmarkStart w:id="124" w:name="_Toc247085872"/>
    </w:p>
    <w:p>
      <w:pPr>
        <w:pStyle w:val="3"/>
        <w:spacing w:before="0" w:after="0" w:line="360" w:lineRule="auto"/>
        <w:jc w:val="center"/>
        <w:rPr>
          <w:rFonts w:ascii="宋体" w:hAnsi="宋体" w:cs="宋体"/>
        </w:rPr>
      </w:pPr>
      <w:bookmarkStart w:id="125" w:name="_Toc152042554"/>
      <w:bookmarkStart w:id="126" w:name="_Toc179632789"/>
      <w:bookmarkStart w:id="127" w:name="_Toc152045772"/>
      <w:bookmarkStart w:id="128" w:name="_Toc247085855"/>
      <w:bookmarkStart w:id="129" w:name="_Toc246997083"/>
      <w:bookmarkStart w:id="130" w:name="_Toc24503"/>
      <w:bookmarkStart w:id="131" w:name="_Toc144974834"/>
      <w:bookmarkStart w:id="132" w:name="_Toc2000409"/>
      <w:bookmarkStart w:id="133" w:name="_Toc246996340"/>
      <w:bookmarkStart w:id="134" w:name="_Toc514858705"/>
      <w:r>
        <w:rPr>
          <w:rFonts w:hint="eastAsia" w:ascii="宋体" w:hAnsi="宋体" w:cs="宋体"/>
        </w:rPr>
        <w:t xml:space="preserve">第五章  </w:t>
      </w:r>
      <w:bookmarkEnd w:id="125"/>
      <w:bookmarkEnd w:id="126"/>
      <w:bookmarkEnd w:id="127"/>
      <w:bookmarkEnd w:id="128"/>
      <w:bookmarkEnd w:id="129"/>
      <w:bookmarkEnd w:id="130"/>
      <w:bookmarkEnd w:id="131"/>
      <w:bookmarkEnd w:id="132"/>
      <w:bookmarkEnd w:id="133"/>
      <w:bookmarkEnd w:id="134"/>
      <w:r>
        <w:rPr>
          <w:rFonts w:hint="eastAsia" w:ascii="宋体" w:hAnsi="宋体" w:cs="宋体"/>
        </w:rPr>
        <w:t>项目技术需求</w:t>
      </w:r>
    </w:p>
    <w:p>
      <w:pPr>
        <w:ind w:firstLine="420"/>
        <w:jc w:val="left"/>
        <w:rPr>
          <w:rFonts w:ascii="宋体" w:hAnsi="宋体" w:cs="宋体"/>
          <w:b/>
        </w:rPr>
      </w:pPr>
      <w:bookmarkStart w:id="135" w:name="_Toc152042571"/>
      <w:bookmarkStart w:id="136" w:name="_Toc247096438"/>
      <w:bookmarkStart w:id="137" w:name="_Toc144974851"/>
      <w:bookmarkStart w:id="138" w:name="_Toc152045782"/>
      <w:bookmarkStart w:id="139" w:name="_Toc179632800"/>
      <w:bookmarkStart w:id="140" w:name="_Toc246997093"/>
      <w:bookmarkStart w:id="141" w:name="_Toc247085866"/>
      <w:bookmarkStart w:id="142" w:name="_Toc246996350"/>
    </w:p>
    <w:p>
      <w:pPr>
        <w:ind w:firstLine="560" w:firstLineChars="200"/>
        <w:jc w:val="left"/>
        <w:rPr>
          <w:rFonts w:hint="eastAsia" w:ascii="方正黑体_GBK" w:hAnsi="方正黑体_GBK" w:eastAsia="方正黑体_GBK" w:cs="方正黑体_GBK"/>
          <w:bCs/>
          <w:sz w:val="28"/>
          <w:szCs w:val="21"/>
        </w:rPr>
      </w:pPr>
      <w:bookmarkStart w:id="143" w:name="_Toc50371525"/>
      <w:bookmarkStart w:id="144" w:name="_Toc470099669"/>
      <w:r>
        <w:rPr>
          <w:rFonts w:hint="eastAsia" w:ascii="方正黑体_GBK" w:hAnsi="方正黑体_GBK" w:eastAsia="方正黑体_GBK" w:cs="方正黑体_GBK"/>
          <w:bCs/>
          <w:sz w:val="28"/>
          <w:szCs w:val="21"/>
        </w:rPr>
        <w:t>一、服务内容</w:t>
      </w:r>
      <w:bookmarkEnd w:id="143"/>
      <w:bookmarkEnd w:id="144"/>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为了加强对高速公路超限车辆管控，根据《重庆市公路车辆动态超限检测系统（外场设施）验收指导意见的通知》（渝治超办〔2</w:t>
      </w:r>
      <w:r>
        <w:rPr>
          <w:rFonts w:asciiTheme="minorEastAsia" w:hAnsiTheme="minorEastAsia" w:eastAsiaTheme="minorEastAsia"/>
          <w:szCs w:val="21"/>
        </w:rPr>
        <w:t>023</w:t>
      </w: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号）标准建设省界不停车超限检测预警系统，设备精度不低于动态5级称，车道规模按照2车道覆盖方式设置，并根据相关要求接入省级治超平台联网管理。</w:t>
      </w:r>
    </w:p>
    <w:p>
      <w:pPr>
        <w:ind w:firstLine="560" w:firstLineChars="200"/>
        <w:jc w:val="left"/>
        <w:rPr>
          <w:rFonts w:hint="eastAsia" w:ascii="方正黑体_GBK" w:hAnsi="方正黑体_GBK" w:eastAsia="方正黑体_GBK" w:cs="方正黑体_GBK"/>
          <w:bCs/>
          <w:sz w:val="28"/>
          <w:szCs w:val="21"/>
        </w:rPr>
      </w:pPr>
      <w:r>
        <w:rPr>
          <w:rFonts w:hint="eastAsia" w:ascii="方正黑体_GBK" w:hAnsi="方正黑体_GBK" w:eastAsia="方正黑体_GBK" w:cs="方正黑体_GBK"/>
          <w:bCs/>
          <w:sz w:val="28"/>
          <w:szCs w:val="21"/>
        </w:rPr>
        <w:t>二、项目设计依据</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依据现行相关规范、标准进行施工图设计。</w:t>
      </w:r>
    </w:p>
    <w:p>
      <w:pPr>
        <w:ind w:firstLine="560" w:firstLineChars="200"/>
        <w:jc w:val="left"/>
        <w:rPr>
          <w:rFonts w:hint="eastAsia" w:ascii="方正黑体_GBK" w:hAnsi="方正黑体_GBK" w:eastAsia="方正黑体_GBK" w:cs="方正黑体_GBK"/>
          <w:bCs/>
          <w:sz w:val="28"/>
          <w:szCs w:val="21"/>
        </w:rPr>
      </w:pPr>
      <w:bookmarkStart w:id="145" w:name="_Toc50371534"/>
      <w:r>
        <w:rPr>
          <w:rFonts w:hint="eastAsia" w:ascii="方正黑体_GBK" w:hAnsi="方正黑体_GBK" w:eastAsia="方正黑体_GBK" w:cs="方正黑体_GBK"/>
          <w:bCs/>
          <w:sz w:val="28"/>
          <w:szCs w:val="21"/>
        </w:rPr>
        <w:t>三、项目设计内容</w:t>
      </w:r>
      <w:bookmarkEnd w:id="145"/>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宋体" w:hAnsi="宋体" w:eastAsia="宋体" w:cs="宋体"/>
          <w:szCs w:val="21"/>
        </w:rPr>
        <w:t>完成</w:t>
      </w:r>
      <w:r>
        <w:rPr>
          <w:rFonts w:hint="eastAsia" w:ascii="宋体" w:hAnsi="宋体" w:eastAsia="宋体" w:cs="宋体"/>
          <w:color w:val="000000"/>
          <w:kern w:val="0"/>
          <w:sz w:val="22"/>
          <w:szCs w:val="22"/>
        </w:rPr>
        <w:t>G42沪蓉高速（巫山）、G50沪渝高速（石柱）、G65包茂高速（秀山）、G75兰海高速（綦江）、G7521渝筑高速（綦江）5处省界超限预检系统设计，设计内容包括高速动态称重检测、车牌识别、视频监控、信息发布、供配电、数据传输、交通标志与标线等。</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pStyle w:val="13"/>
        <w:rPr>
          <w:rFonts w:ascii="宋体" w:hAnsi="宋体" w:cs="宋体"/>
        </w:rPr>
      </w:pPr>
    </w:p>
    <w:p>
      <w:pPr>
        <w:rPr>
          <w:rFonts w:ascii="宋体" w:hAnsi="宋体" w:cs="宋体"/>
          <w:b/>
        </w:rPr>
      </w:pPr>
    </w:p>
    <w:p>
      <w:pPr>
        <w:pStyle w:val="13"/>
        <w:rPr>
          <w:rFonts w:ascii="宋体" w:hAnsi="宋体" w:cs="宋体"/>
        </w:rPr>
      </w:pPr>
    </w:p>
    <w:p>
      <w:pPr>
        <w:rPr>
          <w:rFonts w:ascii="宋体" w:hAnsi="宋体" w:cs="宋体"/>
          <w:b/>
        </w:rPr>
      </w:pPr>
    </w:p>
    <w:p>
      <w:pPr>
        <w:pStyle w:val="13"/>
        <w:rPr>
          <w:rFonts w:ascii="宋体" w:hAnsi="宋体" w:cs="宋体"/>
        </w:rPr>
      </w:pPr>
    </w:p>
    <w:p>
      <w:pPr>
        <w:rPr>
          <w:rFonts w:ascii="宋体" w:hAnsi="宋体" w:cs="宋体"/>
          <w:b/>
        </w:rPr>
      </w:pPr>
    </w:p>
    <w:p>
      <w:pPr>
        <w:pStyle w:val="13"/>
        <w:rPr>
          <w:rFonts w:ascii="宋体" w:hAnsi="宋体" w:cs="宋体"/>
        </w:rPr>
      </w:pPr>
    </w:p>
    <w:p>
      <w:pPr>
        <w:pStyle w:val="13"/>
        <w:rPr>
          <w:rFonts w:ascii="宋体" w:hAnsi="宋体" w:cs="宋体"/>
        </w:rPr>
      </w:pPr>
    </w:p>
    <w:p>
      <w:pPr>
        <w:rPr>
          <w:rFonts w:ascii="宋体" w:hAnsi="宋体" w:cs="宋体"/>
          <w:b/>
        </w:rPr>
      </w:pPr>
    </w:p>
    <w:p/>
    <w:bookmarkEnd w:id="135"/>
    <w:bookmarkEnd w:id="136"/>
    <w:bookmarkEnd w:id="137"/>
    <w:bookmarkEnd w:id="138"/>
    <w:bookmarkEnd w:id="139"/>
    <w:bookmarkEnd w:id="140"/>
    <w:bookmarkEnd w:id="141"/>
    <w:bookmarkEnd w:id="142"/>
    <w:p>
      <w:pPr>
        <w:pStyle w:val="13"/>
      </w:pPr>
    </w:p>
    <w:bookmarkEnd w:id="118"/>
    <w:bookmarkEnd w:id="119"/>
    <w:bookmarkEnd w:id="120"/>
    <w:bookmarkEnd w:id="121"/>
    <w:bookmarkEnd w:id="122"/>
    <w:bookmarkEnd w:id="123"/>
    <w:bookmarkEnd w:id="124"/>
    <w:p>
      <w:pPr>
        <w:spacing w:line="400" w:lineRule="exact"/>
        <w:ind w:firstLine="420" w:firstLineChars="200"/>
        <w:rPr>
          <w:rFonts w:ascii="宋体" w:hAnsi="宋体" w:cs="宋体"/>
        </w:rPr>
      </w:pPr>
      <w:bookmarkStart w:id="146" w:name="_Toc514430114"/>
      <w:bookmarkStart w:id="147" w:name="_Toc2000412"/>
      <w:bookmarkStart w:id="148" w:name="_Toc12089"/>
      <w:bookmarkStart w:id="149" w:name="_Toc514858708"/>
      <w:bookmarkStart w:id="150" w:name="_Toc247085873"/>
      <w:bookmarkStart w:id="151" w:name="_Toc144974856"/>
      <w:bookmarkStart w:id="152" w:name="_Toc246997098"/>
      <w:bookmarkStart w:id="153" w:name="_Toc152045787"/>
      <w:bookmarkStart w:id="154" w:name="_Toc246996355"/>
      <w:bookmarkStart w:id="155" w:name="_Toc507320039"/>
      <w:bookmarkStart w:id="156" w:name="_Toc152042576"/>
      <w:bookmarkStart w:id="157" w:name="_Toc179632807"/>
      <w:r>
        <w:rPr>
          <w:rFonts w:hint="eastAsia" w:ascii="宋体" w:hAnsi="宋体" w:cs="宋体"/>
        </w:rPr>
        <w:br w:type="page"/>
      </w:r>
      <w:bookmarkEnd w:id="146"/>
      <w:bookmarkEnd w:id="147"/>
      <w:bookmarkEnd w:id="148"/>
      <w:bookmarkEnd w:id="149"/>
      <w:bookmarkStart w:id="158"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59" w:name="_Toc2000413"/>
      <w:bookmarkStart w:id="160" w:name="_Toc24853"/>
      <w:bookmarkStart w:id="161" w:name="_Toc514858709"/>
      <w:r>
        <w:rPr>
          <w:rFonts w:hint="eastAsia" w:ascii="宋体" w:hAnsi="宋体" w:cs="宋体"/>
        </w:rPr>
        <w:t>第六章  竞争性比选响应文件格式</w:t>
      </w:r>
      <w:bookmarkEnd w:id="158"/>
      <w:bookmarkEnd w:id="159"/>
      <w:bookmarkEnd w:id="160"/>
      <w:bookmarkEnd w:id="161"/>
    </w:p>
    <w:p>
      <w:pPr>
        <w:rPr>
          <w:rFonts w:ascii="宋体" w:hAnsi="宋体" w:cs="宋体"/>
        </w:rPr>
      </w:pPr>
    </w:p>
    <w:p>
      <w:pPr>
        <w:rPr>
          <w:rFonts w:ascii="宋体" w:hAnsi="宋体" w:cs="宋体"/>
        </w:rPr>
      </w:pPr>
    </w:p>
    <w:p>
      <w:pPr>
        <w:jc w:val="center"/>
        <w:rPr>
          <w:rFonts w:ascii="宋体" w:hAnsi="宋体" w:cs="宋体"/>
          <w:sz w:val="52"/>
          <w:szCs w:val="52"/>
          <w:u w:val="single"/>
        </w:rPr>
      </w:pPr>
      <w:bookmarkStart w:id="162" w:name="_Toc503971829"/>
      <w:bookmarkStart w:id="163" w:name="_Toc513646738"/>
      <w:bookmarkStart w:id="164" w:name="_Toc514858710"/>
      <w:bookmarkStart w:id="165" w:name="_Toc503951046"/>
      <w:bookmarkStart w:id="166" w:name="_Toc513633967"/>
      <w:r>
        <w:rPr>
          <w:rFonts w:hint="eastAsia" w:ascii="宋体" w:hAnsi="宋体" w:cs="宋体"/>
          <w:u w:val="single"/>
        </w:rPr>
        <w:t xml:space="preserve">                           </w:t>
      </w:r>
      <w:r>
        <w:rPr>
          <w:rFonts w:hint="eastAsia" w:ascii="宋体" w:hAnsi="宋体" w:cs="宋体"/>
          <w:sz w:val="52"/>
          <w:szCs w:val="52"/>
          <w:u w:val="single"/>
        </w:rPr>
        <w:t>（项目名称）</w:t>
      </w:r>
      <w:bookmarkEnd w:id="162"/>
      <w:bookmarkEnd w:id="163"/>
      <w:bookmarkEnd w:id="164"/>
      <w:bookmarkEnd w:id="165"/>
      <w:bookmarkEnd w:id="16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pStyle w:val="13"/>
      </w:pPr>
    </w:p>
    <w:p/>
    <w:p>
      <w:pPr>
        <w:pStyle w:val="13"/>
      </w:pPr>
    </w:p>
    <w:p/>
    <w:p>
      <w:pPr>
        <w:pStyle w:val="13"/>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67" w:name="_Toc11329273"/>
      <w:bookmarkStart w:id="168" w:name="_Toc28780"/>
      <w:bookmarkStart w:id="169" w:name="_Toc1368"/>
      <w:bookmarkStart w:id="170" w:name="_Toc5459"/>
      <w:r>
        <w:rPr>
          <w:rFonts w:hint="eastAsia" w:ascii="宋体" w:hAnsi="宋体" w:eastAsia="宋体" w:cs="宋体"/>
        </w:rPr>
        <w:t>目    录</w:t>
      </w:r>
      <w:bookmarkEnd w:id="150"/>
      <w:bookmarkEnd w:id="151"/>
      <w:bookmarkEnd w:id="152"/>
      <w:bookmarkEnd w:id="153"/>
      <w:bookmarkEnd w:id="154"/>
      <w:bookmarkEnd w:id="155"/>
      <w:bookmarkEnd w:id="156"/>
      <w:bookmarkEnd w:id="157"/>
      <w:bookmarkEnd w:id="167"/>
      <w:bookmarkEnd w:id="168"/>
      <w:bookmarkEnd w:id="169"/>
      <w:bookmarkEnd w:id="170"/>
    </w:p>
    <w:p>
      <w:pPr>
        <w:numPr>
          <w:ilvl w:val="0"/>
          <w:numId w:val="4"/>
        </w:numPr>
        <w:spacing w:line="400" w:lineRule="exact"/>
        <w:rPr>
          <w:rFonts w:ascii="宋体" w:hAnsi="宋体" w:cs="宋体"/>
        </w:rPr>
      </w:pPr>
      <w:r>
        <w:rPr>
          <w:rFonts w:hint="eastAsia" w:ascii="宋体" w:hAnsi="宋体" w:cs="宋体"/>
        </w:rPr>
        <w:t>竞争性响应声明书</w:t>
      </w:r>
    </w:p>
    <w:p>
      <w:pPr>
        <w:numPr>
          <w:ilvl w:val="0"/>
          <w:numId w:val="4"/>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13"/>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171" w:name="_Toc8870"/>
      <w:bookmarkStart w:id="172" w:name="_Toc11329274"/>
      <w:bookmarkStart w:id="173" w:name="_Toc25874"/>
      <w:bookmarkStart w:id="174" w:name="_Toc29547"/>
      <w:bookmarkStart w:id="175" w:name="_Toc15863"/>
      <w:bookmarkStart w:id="176" w:name="_Toc503951048"/>
      <w:bookmarkStart w:id="177" w:name="_Toc513633969"/>
      <w:bookmarkStart w:id="178" w:name="_Toc447827053"/>
      <w:r>
        <w:rPr>
          <w:rFonts w:hint="eastAsia" w:ascii="宋体" w:hAnsi="宋体" w:eastAsia="宋体" w:cs="宋体"/>
          <w:sz w:val="28"/>
        </w:rPr>
        <w:t>一、</w:t>
      </w:r>
      <w:bookmarkEnd w:id="171"/>
      <w:bookmarkEnd w:id="172"/>
      <w:r>
        <w:rPr>
          <w:rFonts w:hint="eastAsia" w:ascii="宋体" w:hAnsi="宋体" w:eastAsia="宋体" w:cs="宋体"/>
          <w:sz w:val="28"/>
        </w:rPr>
        <w:t>竞争比选响应声明书</w:t>
      </w:r>
      <w:bookmarkEnd w:id="173"/>
      <w:bookmarkEnd w:id="174"/>
      <w:bookmarkEnd w:id="17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重庆高速公路集团有限公司联网收费结算中心</w:t>
      </w:r>
    </w:p>
    <w:p>
      <w:pPr>
        <w:spacing w:line="700" w:lineRule="atLeast"/>
        <w:ind w:firstLine="480" w:firstLineChars="200"/>
        <w:rPr>
          <w:rFonts w:ascii="Arial" w:hAnsi="Arial" w:cs="Arial"/>
          <w:color w:val="000000"/>
          <w:sz w:val="24"/>
        </w:rPr>
      </w:pPr>
      <w:r>
        <w:rPr>
          <w:rFonts w:hint="eastAsia" w:ascii="Arial" w:hAnsi="Arial" w:cs="Arial"/>
          <w:sz w:val="24"/>
        </w:rPr>
        <w:t>根据贵方为</w:t>
      </w:r>
      <w:ins w:id="14" w:author="谢晗" w:date="2023-11-17T08:47:15Z">
        <w:r>
          <w:rPr>
            <w:rFonts w:hint="eastAsia" w:ascii="Arial" w:hAnsi="Arial" w:cs="Arial"/>
            <w:sz w:val="24"/>
            <w:lang w:val="en-US" w:eastAsia="zh-CN"/>
          </w:rPr>
          <w:t>重庆</w:t>
        </w:r>
      </w:ins>
      <w:r>
        <w:rPr>
          <w:rFonts w:hint="eastAsia" w:ascii="宋体" w:hAnsi="宋体" w:cs="宋体"/>
          <w:sz w:val="24"/>
          <w:u w:val="single"/>
        </w:rPr>
        <w:t>高速公路省界不停车超限检测预警系统建设项目设计服务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元）的报价总价按照竞争比选文件的要求，承担本次竞争比选文件要求的设计项目。</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bookmarkStart w:id="179" w:name="_Toc27815"/>
      <w:bookmarkStart w:id="180" w:name="_Toc491883232"/>
    </w:p>
    <w:p>
      <w:pPr>
        <w:pStyle w:val="13"/>
      </w:pPr>
    </w:p>
    <w:p>
      <w:pPr>
        <w:pStyle w:val="4"/>
        <w:jc w:val="center"/>
        <w:rPr>
          <w:rFonts w:ascii="宋体" w:hAnsi="宋体" w:eastAsia="宋体" w:cs="宋体"/>
          <w:sz w:val="28"/>
          <w:szCs w:val="28"/>
        </w:rPr>
      </w:pPr>
      <w:r>
        <w:rPr>
          <w:rFonts w:hint="eastAsia" w:ascii="宋体" w:hAnsi="宋体" w:eastAsia="宋体" w:cs="宋体"/>
          <w:sz w:val="28"/>
          <w:szCs w:val="28"/>
        </w:rPr>
        <w:t>二、法定代表人身份证明或法定代表人授权委托书</w:t>
      </w:r>
      <w:bookmarkEnd w:id="179"/>
    </w:p>
    <w:p>
      <w:pPr>
        <w:pStyle w:val="4"/>
        <w:jc w:val="center"/>
        <w:rPr>
          <w:rFonts w:ascii="宋体" w:hAnsi="宋体" w:eastAsia="宋体" w:cs="宋体"/>
          <w:sz w:val="24"/>
          <w:szCs w:val="24"/>
        </w:rPr>
      </w:pPr>
      <w:bookmarkStart w:id="181" w:name="_Toc14141"/>
      <w:r>
        <w:rPr>
          <w:rFonts w:hint="eastAsia" w:ascii="宋体" w:hAnsi="宋体" w:eastAsia="宋体" w:cs="宋体"/>
          <w:sz w:val="24"/>
          <w:szCs w:val="24"/>
        </w:rPr>
        <w:t>（一）法定代表人身份证明</w:t>
      </w:r>
      <w:bookmarkEnd w:id="180"/>
      <w:bookmarkEnd w:id="181"/>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182" w:name="_Toc352691662"/>
      <w:bookmarkStart w:id="183" w:name="_Toc369531698"/>
      <w:bookmarkStart w:id="184" w:name="_Toc27897"/>
      <w:r>
        <w:rPr>
          <w:rFonts w:ascii="宋体" w:hAnsi="宋体"/>
          <w:u w:val="single"/>
        </w:rPr>
        <w:t xml:space="preserve">        </w:t>
      </w:r>
      <w:r>
        <w:rPr>
          <w:rFonts w:ascii="宋体" w:hAnsi="宋体"/>
        </w:rPr>
        <w:t>年</w:t>
      </w:r>
      <w:bookmarkEnd w:id="182"/>
      <w:bookmarkEnd w:id="183"/>
      <w:bookmarkEnd w:id="184"/>
      <w:r>
        <w:rPr>
          <w:rFonts w:ascii="宋体" w:hAnsi="宋体"/>
        </w:rPr>
        <w:t>龄</w:t>
      </w:r>
      <w:bookmarkStart w:id="185" w:name="_Toc384308377"/>
      <w:bookmarkStart w:id="186" w:name="_Toc152042578"/>
      <w:bookmarkStart w:id="187" w:name="_Toc361508754"/>
      <w:bookmarkStart w:id="188" w:name="_Toc352691663"/>
      <w:bookmarkStart w:id="189" w:name="_Toc300835211"/>
      <w:bookmarkStart w:id="190" w:name="_Toc247514248"/>
      <w:bookmarkStart w:id="191" w:name="_Toc369531699"/>
      <w:bookmarkStart w:id="192" w:name="_Toc152045789"/>
      <w:bookmarkStart w:id="193" w:name="_Toc15573"/>
      <w:bookmarkStart w:id="194" w:name="_Toc247527829"/>
      <w:bookmarkStart w:id="195" w:name="_Toc144974858"/>
      <w:r>
        <w:rPr>
          <w:rFonts w:ascii="宋体" w:hAnsi="宋体"/>
        </w:rPr>
        <w:t>：</w:t>
      </w:r>
      <w:bookmarkEnd w:id="185"/>
      <w:bookmarkEnd w:id="186"/>
      <w:bookmarkEnd w:id="187"/>
      <w:bookmarkEnd w:id="188"/>
      <w:bookmarkEnd w:id="189"/>
      <w:bookmarkEnd w:id="190"/>
      <w:bookmarkEnd w:id="191"/>
      <w:bookmarkEnd w:id="192"/>
      <w:bookmarkEnd w:id="193"/>
      <w:bookmarkEnd w:id="194"/>
      <w:bookmarkEnd w:id="195"/>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196" w:name="_Toc491883233"/>
      <w:bookmarkStart w:id="197" w:name="_Toc58"/>
      <w:r>
        <w:rPr>
          <w:rFonts w:hint="eastAsia" w:ascii="宋体" w:hAnsi="宋体" w:eastAsia="宋体" w:cs="宋体"/>
          <w:sz w:val="24"/>
          <w:szCs w:val="24"/>
        </w:rPr>
        <w:t>（二）</w:t>
      </w:r>
      <w:bookmarkEnd w:id="196"/>
      <w:r>
        <w:rPr>
          <w:rFonts w:hint="eastAsia" w:ascii="宋体" w:hAnsi="宋体" w:eastAsia="宋体" w:cs="宋体"/>
          <w:sz w:val="24"/>
          <w:szCs w:val="24"/>
        </w:rPr>
        <w:t>法定代表人授权委托书</w:t>
      </w:r>
      <w:bookmarkEnd w:id="197"/>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13"/>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198" w:name="_Toc11329275"/>
      <w:r>
        <w:rPr>
          <w:rFonts w:hint="eastAsia" w:ascii="宋体" w:hAnsi="宋体" w:cs="宋体"/>
          <w:b/>
          <w:bCs/>
          <w:kern w:val="0"/>
          <w:sz w:val="28"/>
          <w:szCs w:val="32"/>
        </w:rPr>
        <w:t>三、</w:t>
      </w:r>
      <w:bookmarkEnd w:id="176"/>
      <w:bookmarkEnd w:id="177"/>
      <w:bookmarkEnd w:id="178"/>
      <w:bookmarkEnd w:id="198"/>
      <w:r>
        <w:rPr>
          <w:rFonts w:hint="eastAsia" w:ascii="宋体" w:hAnsi="宋体" w:cs="宋体"/>
          <w:b/>
          <w:bCs/>
          <w:kern w:val="0"/>
          <w:sz w:val="28"/>
          <w:szCs w:val="32"/>
        </w:rPr>
        <w:t>报价一览表</w:t>
      </w:r>
    </w:p>
    <w:p>
      <w:pPr>
        <w:ind w:left="765"/>
        <w:jc w:val="center"/>
        <w:rPr>
          <w:rFonts w:ascii="宋体" w:hAnsi="宋体" w:cs="宋体"/>
          <w:szCs w:val="21"/>
        </w:rPr>
      </w:pPr>
    </w:p>
    <w:p>
      <w:pPr>
        <w:pStyle w:val="16"/>
        <w:jc w:val="both"/>
        <w:rPr>
          <w:rFonts w:hAnsi="宋体"/>
        </w:rPr>
      </w:pPr>
      <w:r>
        <w:rPr>
          <w:rFonts w:hint="eastAsia" w:hAnsi="宋体"/>
        </w:rPr>
        <w:t>重庆高速公路集团有限公司联网收费结算中心：</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ins w:id="15" w:author="谢晗" w:date="2023-11-17T08:47:33Z">
        <w:r>
          <w:rPr>
            <w:rFonts w:hint="eastAsia" w:ascii="宋体" w:hAnsi="宋体"/>
            <w:color w:val="000000"/>
            <w:sz w:val="24"/>
            <w:lang w:val="en-US" w:eastAsia="zh-CN"/>
          </w:rPr>
          <w:t>重庆</w:t>
        </w:r>
      </w:ins>
      <w:r>
        <w:rPr>
          <w:rFonts w:hint="eastAsia" w:ascii="宋体" w:hAnsi="宋体" w:cs="宋体"/>
          <w:sz w:val="24"/>
          <w:u w:val="single"/>
        </w:rPr>
        <w:t>高速公路省界不停车超限检测预警系统建设项目设计服务</w:t>
      </w:r>
      <w:r>
        <w:rPr>
          <w:rFonts w:hint="eastAsia" w:ascii="宋体" w:hAnsi="宋体"/>
          <w:color w:val="000000"/>
          <w:sz w:val="24"/>
        </w:rPr>
        <w:t>竞争比选响应报价如下：</w:t>
      </w:r>
      <w:r>
        <w:rPr>
          <w:rFonts w:hint="eastAsia" w:ascii="宋体" w:hAnsi="宋体"/>
          <w:b/>
          <w:color w:val="000000"/>
          <w:sz w:val="24"/>
        </w:rPr>
        <w:t xml:space="preserve"> </w:t>
      </w:r>
    </w:p>
    <w:p>
      <w:pPr>
        <w:spacing w:line="400" w:lineRule="exact"/>
        <w:ind w:firstLine="480" w:firstLineChars="200"/>
        <w:rPr>
          <w:rFonts w:asciiTheme="minorEastAsia" w:hAnsiTheme="minorEastAsia" w:eastAsiaTheme="minorEastAsia"/>
          <w:sz w:val="24"/>
        </w:rPr>
      </w:pP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w:t>
      </w:r>
    </w:p>
    <w:tbl>
      <w:tblPr>
        <w:tblStyle w:val="18"/>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537"/>
        <w:gridCol w:w="1044"/>
        <w:gridCol w:w="2149"/>
        <w:gridCol w:w="114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399" w:type="dxa"/>
            <w:vAlign w:val="center"/>
          </w:tcPr>
          <w:p>
            <w:pPr>
              <w:spacing w:line="500" w:lineRule="exact"/>
              <w:jc w:val="center"/>
              <w:rPr>
                <w:rFonts w:ascii="宋体" w:hAnsi="宋体" w:cs="仿宋"/>
                <w:szCs w:val="28"/>
              </w:rPr>
            </w:pPr>
            <w:r>
              <w:rPr>
                <w:rFonts w:hint="eastAsia" w:ascii="宋体" w:hAnsi="宋体" w:cs="仿宋"/>
                <w:szCs w:val="28"/>
              </w:rPr>
              <w:t>序号</w:t>
            </w:r>
          </w:p>
        </w:tc>
        <w:tc>
          <w:tcPr>
            <w:tcW w:w="2537" w:type="dxa"/>
            <w:vAlign w:val="center"/>
          </w:tcPr>
          <w:p>
            <w:pPr>
              <w:spacing w:line="500" w:lineRule="exact"/>
              <w:jc w:val="center"/>
              <w:rPr>
                <w:rFonts w:ascii="宋体" w:hAnsi="宋体" w:cs="仿宋"/>
                <w:szCs w:val="28"/>
              </w:rPr>
            </w:pPr>
            <w:r>
              <w:rPr>
                <w:rFonts w:hint="eastAsia" w:ascii="宋体" w:hAnsi="宋体" w:cs="仿宋"/>
                <w:szCs w:val="28"/>
              </w:rPr>
              <w:t>项目名称</w:t>
            </w:r>
          </w:p>
        </w:tc>
        <w:tc>
          <w:tcPr>
            <w:tcW w:w="1044" w:type="dxa"/>
            <w:vAlign w:val="center"/>
          </w:tcPr>
          <w:p>
            <w:pPr>
              <w:spacing w:line="500" w:lineRule="exact"/>
              <w:jc w:val="center"/>
              <w:rPr>
                <w:rFonts w:ascii="宋体" w:hAnsi="宋体" w:cs="仿宋"/>
                <w:szCs w:val="28"/>
              </w:rPr>
            </w:pPr>
            <w:r>
              <w:rPr>
                <w:rFonts w:hint="eastAsia" w:ascii="宋体" w:hAnsi="宋体" w:cs="仿宋"/>
                <w:szCs w:val="28"/>
              </w:rPr>
              <w:t>数量</w:t>
            </w:r>
          </w:p>
        </w:tc>
        <w:tc>
          <w:tcPr>
            <w:tcW w:w="2149" w:type="dxa"/>
            <w:vAlign w:val="center"/>
          </w:tcPr>
          <w:p>
            <w:pPr>
              <w:snapToGrid w:val="0"/>
              <w:spacing w:line="240" w:lineRule="atLeast"/>
              <w:rPr>
                <w:rFonts w:ascii="宋体" w:hAnsi="宋体" w:cs="仿宋"/>
                <w:szCs w:val="28"/>
              </w:rPr>
            </w:pPr>
            <w:r>
              <w:rPr>
                <w:rFonts w:hint="eastAsia" w:ascii="宋体" w:hAnsi="宋体" w:cs="仿宋"/>
                <w:szCs w:val="28"/>
              </w:rPr>
              <w:t>竞标报价（小写）</w:t>
            </w:r>
          </w:p>
        </w:tc>
        <w:tc>
          <w:tcPr>
            <w:tcW w:w="1146" w:type="dxa"/>
            <w:vAlign w:val="center"/>
          </w:tcPr>
          <w:p>
            <w:pPr>
              <w:spacing w:line="500" w:lineRule="exact"/>
              <w:jc w:val="center"/>
              <w:rPr>
                <w:rFonts w:ascii="宋体" w:hAnsi="宋体" w:cs="仿宋"/>
                <w:szCs w:val="28"/>
              </w:rPr>
            </w:pPr>
            <w:r>
              <w:rPr>
                <w:rFonts w:hint="eastAsia" w:ascii="宋体" w:hAnsi="宋体" w:cs="仿宋"/>
                <w:szCs w:val="28"/>
              </w:rPr>
              <w:t>服务时间</w:t>
            </w:r>
          </w:p>
        </w:tc>
        <w:tc>
          <w:tcPr>
            <w:tcW w:w="1458" w:type="dxa"/>
            <w:vAlign w:val="center"/>
          </w:tcPr>
          <w:p>
            <w:pPr>
              <w:spacing w:line="500" w:lineRule="exact"/>
              <w:jc w:val="center"/>
              <w:rPr>
                <w:rFonts w:ascii="宋体" w:hAnsi="宋体" w:cs="仿宋"/>
                <w:szCs w:val="28"/>
              </w:rPr>
            </w:pPr>
            <w:r>
              <w:rPr>
                <w:rFonts w:hint="eastAsia" w:ascii="宋体" w:hAnsi="宋体" w:cs="仿宋"/>
                <w:szCs w:val="28"/>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399" w:type="dxa"/>
            <w:tcBorders>
              <w:bottom w:val="single" w:color="auto" w:sz="4" w:space="0"/>
            </w:tcBorders>
            <w:vAlign w:val="center"/>
          </w:tcPr>
          <w:p>
            <w:pPr>
              <w:spacing w:line="500" w:lineRule="exact"/>
              <w:jc w:val="center"/>
              <w:rPr>
                <w:rFonts w:ascii="宋体" w:hAnsi="宋体" w:cs="仿宋"/>
                <w:szCs w:val="28"/>
              </w:rPr>
            </w:pPr>
          </w:p>
        </w:tc>
        <w:tc>
          <w:tcPr>
            <w:tcW w:w="2537" w:type="dxa"/>
            <w:tcBorders>
              <w:bottom w:val="single" w:color="auto" w:sz="4" w:space="0"/>
            </w:tcBorders>
          </w:tcPr>
          <w:p>
            <w:pPr>
              <w:spacing w:line="500" w:lineRule="exact"/>
              <w:rPr>
                <w:rFonts w:ascii="宋体" w:hAnsi="宋体" w:cs="仿宋"/>
                <w:szCs w:val="28"/>
              </w:rPr>
            </w:pPr>
          </w:p>
        </w:tc>
        <w:tc>
          <w:tcPr>
            <w:tcW w:w="1044" w:type="dxa"/>
            <w:tcBorders>
              <w:bottom w:val="single" w:color="auto" w:sz="4" w:space="0"/>
            </w:tcBorders>
          </w:tcPr>
          <w:p>
            <w:pPr>
              <w:spacing w:line="500" w:lineRule="exact"/>
              <w:rPr>
                <w:rFonts w:ascii="宋体" w:hAnsi="宋体" w:cs="仿宋"/>
                <w:szCs w:val="28"/>
              </w:rPr>
            </w:pPr>
          </w:p>
        </w:tc>
        <w:tc>
          <w:tcPr>
            <w:tcW w:w="2149" w:type="dxa"/>
            <w:tcBorders>
              <w:bottom w:val="single" w:color="auto" w:sz="4" w:space="0"/>
            </w:tcBorders>
          </w:tcPr>
          <w:p>
            <w:pPr>
              <w:spacing w:line="500" w:lineRule="exact"/>
              <w:rPr>
                <w:rFonts w:ascii="宋体" w:hAnsi="宋体" w:cs="仿宋"/>
                <w:szCs w:val="28"/>
              </w:rPr>
            </w:pPr>
          </w:p>
        </w:tc>
        <w:tc>
          <w:tcPr>
            <w:tcW w:w="1146" w:type="dxa"/>
            <w:tcBorders>
              <w:bottom w:val="single" w:color="auto" w:sz="4" w:space="0"/>
            </w:tcBorders>
          </w:tcPr>
          <w:p>
            <w:pPr>
              <w:spacing w:line="500" w:lineRule="exact"/>
              <w:rPr>
                <w:rFonts w:ascii="宋体" w:hAnsi="宋体" w:cs="仿宋"/>
                <w:szCs w:val="28"/>
              </w:rPr>
            </w:pPr>
          </w:p>
        </w:tc>
        <w:tc>
          <w:tcPr>
            <w:tcW w:w="1458" w:type="dxa"/>
            <w:tcBorders>
              <w:bottom w:val="single" w:color="auto" w:sz="4" w:space="0"/>
            </w:tcBorders>
          </w:tcPr>
          <w:p>
            <w:pPr>
              <w:spacing w:line="500" w:lineRule="exact"/>
              <w:rPr>
                <w:rFonts w:ascii="宋体" w:hAnsi="宋体"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733" w:type="dxa"/>
            <w:gridSpan w:val="6"/>
            <w:tcBorders>
              <w:bottom w:val="single" w:color="auto" w:sz="4" w:space="0"/>
            </w:tcBorders>
            <w:vAlign w:val="center"/>
          </w:tcPr>
          <w:p>
            <w:pPr>
              <w:spacing w:line="560" w:lineRule="exact"/>
              <w:rPr>
                <w:rFonts w:ascii="宋体" w:hAnsi="宋体" w:cs="仿宋"/>
                <w:szCs w:val="28"/>
              </w:rPr>
            </w:pPr>
            <w:r>
              <w:rPr>
                <w:rFonts w:hint="eastAsia" w:ascii="宋体" w:hAnsi="宋体" w:cs="仿宋"/>
                <w:szCs w:val="28"/>
              </w:rPr>
              <w:t xml:space="preserve">竞标报价（大写）：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733" w:type="dxa"/>
            <w:gridSpan w:val="6"/>
            <w:vAlign w:val="center"/>
          </w:tcPr>
          <w:p>
            <w:pPr>
              <w:pStyle w:val="10"/>
              <w:spacing w:line="500" w:lineRule="exact"/>
              <w:rPr>
                <w:rFonts w:ascii="宋体" w:hAnsi="宋体" w:cs="仿宋"/>
                <w:sz w:val="21"/>
                <w:szCs w:val="28"/>
              </w:rPr>
            </w:pPr>
            <w:r>
              <w:rPr>
                <w:rFonts w:hint="eastAsia" w:ascii="宋体" w:hAnsi="宋体" w:cs="仿宋"/>
                <w:sz w:val="21"/>
                <w:szCs w:val="28"/>
              </w:rPr>
              <w:t xml:space="preserve">备注： </w:t>
            </w:r>
          </w:p>
        </w:tc>
      </w:tr>
    </w:tbl>
    <w:p>
      <w:pPr>
        <w:pStyle w:val="10"/>
        <w:spacing w:line="500" w:lineRule="exact"/>
        <w:rPr>
          <w:rFonts w:ascii="宋体" w:hAnsi="宋体" w:cs="仿宋"/>
          <w:szCs w:val="28"/>
        </w:rPr>
      </w:pPr>
    </w:p>
    <w:p>
      <w:pPr>
        <w:rPr>
          <w:rFonts w:ascii="宋体" w:hAnsi="宋体" w:cs="仿宋"/>
        </w:rPr>
      </w:pPr>
    </w:p>
    <w:p>
      <w:pPr>
        <w:spacing w:line="500" w:lineRule="exact"/>
        <w:rPr>
          <w:rFonts w:ascii="宋体" w:hAnsi="宋体" w:cs="仿宋"/>
          <w:sz w:val="24"/>
          <w:szCs w:val="28"/>
        </w:rPr>
      </w:pPr>
    </w:p>
    <w:p>
      <w:pPr>
        <w:spacing w:line="500" w:lineRule="exact"/>
        <w:rPr>
          <w:rFonts w:ascii="宋体" w:hAnsi="宋体" w:cs="仿宋"/>
          <w:sz w:val="24"/>
          <w:szCs w:val="28"/>
        </w:rPr>
      </w:pPr>
      <w:r>
        <w:rPr>
          <w:rFonts w:hint="eastAsia" w:ascii="宋体" w:hAnsi="宋体" w:cs="仿宋"/>
          <w:sz w:val="24"/>
          <w:szCs w:val="28"/>
        </w:rPr>
        <w:t>供应商：</w:t>
      </w:r>
      <w:r>
        <w:rPr>
          <w:rFonts w:ascii="宋体" w:hAnsi="宋体" w:cs="仿宋"/>
          <w:sz w:val="24"/>
          <w:szCs w:val="28"/>
        </w:rPr>
        <w:t xml:space="preserve">           </w:t>
      </w:r>
      <w:r>
        <w:rPr>
          <w:rFonts w:hint="eastAsia" w:ascii="宋体" w:hAnsi="宋体" w:cs="仿宋"/>
          <w:sz w:val="24"/>
          <w:szCs w:val="28"/>
        </w:rPr>
        <w:t xml:space="preserve">                    法定代表人或法定代表人授权代表：</w:t>
      </w:r>
    </w:p>
    <w:p>
      <w:pPr>
        <w:spacing w:line="500" w:lineRule="exact"/>
        <w:rPr>
          <w:rFonts w:ascii="宋体" w:hAnsi="宋体" w:cs="仿宋"/>
          <w:sz w:val="24"/>
          <w:szCs w:val="28"/>
        </w:rPr>
      </w:pPr>
      <w:r>
        <w:rPr>
          <w:rFonts w:hint="eastAsia" w:ascii="宋体" w:hAnsi="宋体" w:cs="仿宋"/>
          <w:sz w:val="24"/>
          <w:szCs w:val="28"/>
        </w:rPr>
        <w:t>（供应商公章）                               （签字或盖章）</w:t>
      </w:r>
    </w:p>
    <w:p>
      <w:pPr>
        <w:spacing w:line="500" w:lineRule="exact"/>
        <w:rPr>
          <w:rFonts w:ascii="宋体" w:hAnsi="宋体" w:cs="仿宋"/>
          <w:sz w:val="24"/>
          <w:szCs w:val="28"/>
        </w:rPr>
      </w:pPr>
    </w:p>
    <w:p>
      <w:pPr>
        <w:spacing w:line="500" w:lineRule="exact"/>
        <w:rPr>
          <w:rFonts w:ascii="宋体" w:hAnsi="宋体" w:cs="仿宋"/>
          <w:sz w:val="24"/>
          <w:szCs w:val="28"/>
        </w:rPr>
      </w:pPr>
    </w:p>
    <w:p>
      <w:pPr>
        <w:spacing w:line="500" w:lineRule="exact"/>
        <w:rPr>
          <w:rFonts w:ascii="宋体" w:hAnsi="宋体" w:cs="仿宋"/>
          <w:sz w:val="24"/>
          <w:szCs w:val="28"/>
        </w:rPr>
      </w:pPr>
      <w:r>
        <w:rPr>
          <w:rFonts w:hint="eastAsia" w:ascii="宋体" w:hAnsi="宋体" w:cs="仿宋"/>
          <w:sz w:val="24"/>
          <w:szCs w:val="28"/>
        </w:rPr>
        <w:t xml:space="preserve">                                            年     月     日</w:t>
      </w:r>
    </w:p>
    <w:p>
      <w:pPr>
        <w:snapToGrid w:val="0"/>
        <w:spacing w:line="500" w:lineRule="exact"/>
        <w:rPr>
          <w:rFonts w:ascii="方正仿宋_GBK" w:hAnsi="宋体" w:eastAsia="方正仿宋_GBK"/>
          <w:sz w:val="24"/>
          <w:szCs w:val="28"/>
        </w:rPr>
      </w:pPr>
    </w:p>
    <w:p>
      <w:pPr>
        <w:adjustRightInd w:val="0"/>
        <w:snapToGrid w:val="0"/>
        <w:spacing w:line="500" w:lineRule="exact"/>
        <w:ind w:firstLine="480"/>
        <w:rPr>
          <w:rFonts w:ascii="方正仿宋_GBK" w:hAnsi="方正仿宋_GBK" w:eastAsia="方正仿宋_GBK" w:cs="方正仿宋_GBK"/>
          <w:sz w:val="24"/>
        </w:rPr>
      </w:pPr>
      <w:r>
        <w:rPr>
          <w:rFonts w:hint="eastAsia" w:asciiTheme="minorEastAsia" w:hAnsiTheme="minorEastAsia" w:eastAsiaTheme="minorEastAsia"/>
          <w:sz w:val="24"/>
          <w:szCs w:val="28"/>
        </w:rPr>
        <w:t>注：</w:t>
      </w:r>
      <w:r>
        <w:rPr>
          <w:rFonts w:hint="eastAsia" w:ascii="方正仿宋_GBK" w:hAnsi="方正仿宋_GBK" w:eastAsia="方正仿宋_GBK" w:cs="方正仿宋_GBK"/>
          <w:sz w:val="24"/>
        </w:rPr>
        <w:t>1.请供应商完整填写本表；</w:t>
      </w:r>
    </w:p>
    <w:p>
      <w:pPr>
        <w:snapToGrid w:val="0"/>
        <w:spacing w:line="500" w:lineRule="exact"/>
        <w:ind w:firstLine="720" w:firstLineChars="300"/>
        <w:rPr>
          <w:rFonts w:asciiTheme="minorEastAsia" w:hAnsiTheme="minorEastAsia" w:eastAsiaTheme="minorEastAsia"/>
          <w:sz w:val="24"/>
          <w:szCs w:val="28"/>
        </w:rPr>
      </w:pPr>
      <w:r>
        <w:rPr>
          <w:rFonts w:hint="eastAsia" w:ascii="方正仿宋_GBK" w:hAnsi="方正仿宋_GBK" w:eastAsia="方正仿宋_GBK" w:cs="方正仿宋_GBK"/>
          <w:sz w:val="24"/>
        </w:rPr>
        <w:t>2.该表可扩展，并逐页签字或加盖单位公章。</w:t>
      </w:r>
    </w:p>
    <w:p>
      <w:pPr>
        <w:snapToGrid w:val="0"/>
        <w:spacing w:line="500" w:lineRule="exact"/>
        <w:rPr>
          <w:rFonts w:asciiTheme="minorEastAsia" w:hAnsiTheme="minorEastAsia" w:eastAsiaTheme="minorEastAsia"/>
          <w:sz w:val="24"/>
        </w:rPr>
      </w:pPr>
      <w:r>
        <w:rPr>
          <w:rFonts w:asciiTheme="minorEastAsia" w:hAnsiTheme="minorEastAsia" w:eastAsiaTheme="minorEastAsia"/>
          <w:sz w:val="24"/>
          <w:szCs w:val="28"/>
        </w:rPr>
        <w:t xml:space="preserve">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199" w:name="_Toc513633971"/>
      <w:bookmarkStart w:id="200" w:name="_Toc11329278"/>
      <w:bookmarkStart w:id="201" w:name="_Toc503951050"/>
      <w:bookmarkStart w:id="202" w:name="_Toc246997112"/>
      <w:bookmarkStart w:id="203" w:name="_Toc247085887"/>
      <w:bookmarkStart w:id="204" w:name="_Toc179632823"/>
      <w:bookmarkStart w:id="205" w:name="_Toc152042592"/>
      <w:bookmarkStart w:id="206" w:name="_Toc152045803"/>
      <w:bookmarkStart w:id="207" w:name="_Toc447827058"/>
      <w:bookmarkStart w:id="208" w:name="_Toc144974871"/>
      <w:bookmarkStart w:id="209" w:name="_Toc246996369"/>
      <w:r>
        <w:rPr>
          <w:rFonts w:hint="eastAsia" w:ascii="宋体" w:hAnsi="宋体" w:eastAsia="宋体" w:cs="宋体"/>
          <w:sz w:val="28"/>
        </w:rPr>
        <w:br w:type="page"/>
      </w:r>
      <w:bookmarkStart w:id="210" w:name="_Toc11961"/>
      <w:bookmarkStart w:id="211" w:name="_Toc18757"/>
      <w:bookmarkStart w:id="212" w:name="_Toc12910"/>
      <w:r>
        <w:rPr>
          <w:rFonts w:hint="eastAsia" w:ascii="宋体" w:hAnsi="宋体" w:eastAsia="宋体" w:cs="宋体"/>
          <w:sz w:val="28"/>
        </w:rPr>
        <w:t>四、资格审查资料</w:t>
      </w:r>
      <w:bookmarkEnd w:id="199"/>
      <w:bookmarkEnd w:id="200"/>
      <w:bookmarkEnd w:id="201"/>
      <w:bookmarkEnd w:id="210"/>
      <w:bookmarkEnd w:id="211"/>
      <w:bookmarkEnd w:id="212"/>
    </w:p>
    <w:p>
      <w:pPr>
        <w:pStyle w:val="4"/>
        <w:spacing w:before="0" w:after="0" w:line="360" w:lineRule="auto"/>
        <w:jc w:val="center"/>
        <w:rPr>
          <w:rFonts w:ascii="宋体" w:hAnsi="宋体" w:eastAsia="宋体" w:cs="宋体"/>
          <w:sz w:val="28"/>
        </w:rPr>
      </w:pPr>
      <w:bookmarkStart w:id="213" w:name="_Toc32456"/>
      <w:bookmarkStart w:id="214" w:name="_Toc17915"/>
      <w:bookmarkStart w:id="215" w:name="_Toc22003"/>
      <w:r>
        <w:rPr>
          <w:rFonts w:hint="eastAsia" w:ascii="宋体" w:hAnsi="宋体" w:eastAsia="宋体" w:cs="宋体"/>
          <w:sz w:val="28"/>
        </w:rPr>
        <w:t>（营业执照、资质证书、项目人员资料等）</w:t>
      </w:r>
      <w:bookmarkEnd w:id="213"/>
      <w:bookmarkEnd w:id="214"/>
      <w:bookmarkEnd w:id="215"/>
    </w:p>
    <w:p>
      <w:pPr>
        <w:jc w:val="center"/>
        <w:rPr>
          <w:rFonts w:ascii="宋体" w:hAnsi="宋体" w:cs="宋体"/>
          <w:b/>
          <w:szCs w:val="21"/>
        </w:rPr>
      </w:pPr>
    </w:p>
    <w:p>
      <w:pPr>
        <w:jc w:val="center"/>
      </w:pPr>
      <w:r>
        <w:rPr>
          <w:rFonts w:hint="eastAsia" w:ascii="宋体" w:hAnsi="宋体" w:cs="宋体"/>
          <w:b/>
          <w:szCs w:val="21"/>
        </w:rPr>
        <w:t>项目主要人员名单</w:t>
      </w:r>
    </w:p>
    <w:bookmarkEnd w:id="202"/>
    <w:bookmarkEnd w:id="203"/>
    <w:bookmarkEnd w:id="204"/>
    <w:bookmarkEnd w:id="205"/>
    <w:bookmarkEnd w:id="206"/>
    <w:bookmarkEnd w:id="207"/>
    <w:bookmarkEnd w:id="208"/>
    <w:bookmarkEnd w:id="209"/>
    <w:tbl>
      <w:tblPr>
        <w:tblStyle w:val="18"/>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16" w:name="_Toc503951055"/>
            <w:bookmarkStart w:id="217" w:name="_Toc447827068"/>
            <w:bookmarkStart w:id="218" w:name="_Toc513633973"/>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项目设计师</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23"/>
        <w:adjustRightInd/>
        <w:spacing w:line="360" w:lineRule="auto"/>
        <w:rPr>
          <w:rFonts w:ascii="Times New Roman" w:hAnsi="宋体" w:cs="Times New Roman"/>
          <w:color w:val="auto"/>
          <w:sz w:val="21"/>
          <w:szCs w:val="21"/>
        </w:rPr>
      </w:pPr>
      <w:bookmarkStart w:id="219" w:name="_Toc11672"/>
      <w:bookmarkStart w:id="220" w:name="_Toc11329281"/>
      <w:r>
        <w:rPr>
          <w:rFonts w:hint="eastAsia" w:ascii="Times New Roman" w:hAnsi="宋体" w:cs="Times New Roman"/>
          <w:color w:val="auto"/>
          <w:sz w:val="21"/>
          <w:szCs w:val="21"/>
        </w:rPr>
        <w:t>注：需提供项目人员名单（表格形式），以上人员相关资质证件、身份证复印件及由社保局出具的报价人为以上人员缴纳近三个月的养老保险证明（带有社保部门公章或社保部门的有效电子印章），并加盖单位鲜公章。</w:t>
      </w:r>
    </w:p>
    <w:p/>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21" w:name="_Toc29559"/>
      <w:bookmarkStart w:id="222" w:name="_Toc11243"/>
      <w:r>
        <w:rPr>
          <w:rFonts w:hint="eastAsia" w:ascii="宋体" w:hAnsi="宋体" w:eastAsia="宋体" w:cs="宋体"/>
          <w:sz w:val="28"/>
        </w:rPr>
        <w:t>五、</w:t>
      </w:r>
      <w:bookmarkEnd w:id="216"/>
      <w:bookmarkEnd w:id="217"/>
      <w:bookmarkEnd w:id="218"/>
      <w:r>
        <w:rPr>
          <w:rFonts w:hint="eastAsia" w:ascii="宋体" w:hAnsi="宋体" w:eastAsia="宋体" w:cs="宋体"/>
          <w:sz w:val="28"/>
        </w:rPr>
        <w:t>报价人须知前附表规定的材料</w:t>
      </w:r>
      <w:bookmarkEnd w:id="219"/>
      <w:bookmarkEnd w:id="220"/>
      <w:bookmarkEnd w:id="221"/>
      <w:bookmarkEnd w:id="222"/>
    </w:p>
    <w:p>
      <w:pPr>
        <w:pStyle w:val="5"/>
        <w:jc w:val="center"/>
        <w:rPr>
          <w:rFonts w:ascii="宋体" w:hAnsi="宋体" w:cs="宋体"/>
          <w:sz w:val="28"/>
        </w:rPr>
      </w:pPr>
      <w:bookmarkStart w:id="223" w:name="bookmark81"/>
      <w:bookmarkStart w:id="224" w:name="_Toc513633974"/>
      <w:bookmarkStart w:id="225" w:name="_Toc503951058"/>
      <w:r>
        <w:rPr>
          <w:rFonts w:hint="eastAsia" w:ascii="宋体" w:hAnsi="宋体" w:cs="宋体"/>
          <w:sz w:val="28"/>
        </w:rPr>
        <w:t>（一）</w:t>
      </w:r>
      <w:bookmarkEnd w:id="223"/>
      <w:bookmarkStart w:id="226" w:name="_Toc504639215"/>
      <w:bookmarkStart w:id="227" w:name="_Toc507681700"/>
      <w:bookmarkStart w:id="228" w:name="_Toc507681488"/>
      <w:r>
        <w:rPr>
          <w:rFonts w:hint="eastAsia" w:ascii="宋体" w:hAnsi="宋体" w:cs="宋体"/>
          <w:sz w:val="28"/>
        </w:rPr>
        <w:t>报价人自行承诺部分</w:t>
      </w:r>
      <w:bookmarkEnd w:id="226"/>
      <w:bookmarkEnd w:id="227"/>
      <w:bookmarkEnd w:id="228"/>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29" w:name="_Toc508110857"/>
      <w:bookmarkStart w:id="230" w:name="_Toc452107137"/>
      <w:bookmarkStart w:id="231" w:name="_Toc4375"/>
      <w:r>
        <w:rPr>
          <w:rFonts w:hint="eastAsia"/>
          <w:sz w:val="28"/>
          <w:szCs w:val="28"/>
        </w:rPr>
        <w:t>（一）报价人基本信息表</w:t>
      </w:r>
      <w:bookmarkEnd w:id="229"/>
      <w:bookmarkEnd w:id="230"/>
      <w:bookmarkEnd w:id="231"/>
    </w:p>
    <w:p>
      <w:pPr>
        <w:pStyle w:val="11"/>
      </w:pPr>
    </w:p>
    <w:tbl>
      <w:tblPr>
        <w:tblStyle w:val="18"/>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13"/>
        <w:rPr>
          <w:kern w:val="0"/>
          <w:szCs w:val="32"/>
        </w:rPr>
      </w:pPr>
      <w:r>
        <w:br w:type="page"/>
      </w:r>
    </w:p>
    <w:p>
      <w:pPr>
        <w:pStyle w:val="5"/>
        <w:jc w:val="center"/>
        <w:rPr>
          <w:rFonts w:ascii="宋体" w:hAnsi="宋体" w:cs="宋体"/>
          <w:sz w:val="28"/>
        </w:rPr>
      </w:pPr>
      <w:r>
        <w:rPr>
          <w:rFonts w:hint="eastAsia" w:ascii="宋体" w:hAnsi="宋体" w:cs="宋体"/>
          <w:sz w:val="28"/>
        </w:rPr>
        <w:t>（二）其他材料</w:t>
      </w:r>
    </w:p>
    <w:p>
      <w:pPr>
        <w:pStyle w:val="13"/>
        <w:rPr>
          <w:kern w:val="0"/>
          <w:szCs w:val="32"/>
        </w:rPr>
      </w:pPr>
      <w:r>
        <w:br w:type="page"/>
      </w:r>
    </w:p>
    <w:p/>
    <w:p>
      <w:pPr>
        <w:pStyle w:val="4"/>
        <w:spacing w:before="0" w:after="0" w:line="360" w:lineRule="auto"/>
        <w:jc w:val="center"/>
        <w:rPr>
          <w:rFonts w:ascii="宋体" w:hAnsi="宋体" w:eastAsia="宋体" w:cs="宋体"/>
          <w:sz w:val="28"/>
        </w:rPr>
      </w:pPr>
      <w:r>
        <w:rPr>
          <w:rFonts w:hint="eastAsia" w:ascii="宋体" w:hAnsi="宋体" w:eastAsia="宋体" w:cs="宋体"/>
          <w:sz w:val="28"/>
        </w:rPr>
        <w:t>七、合同（格式）</w:t>
      </w:r>
    </w:p>
    <w:p>
      <w:pPr>
        <w:pStyle w:val="13"/>
      </w:pPr>
    </w:p>
    <w:p>
      <w:pPr>
        <w:jc w:val="center"/>
        <w:rPr>
          <w:rFonts w:ascii="宋体" w:hAnsi="宋体" w:cs="宋体"/>
          <w:b/>
          <w:sz w:val="48"/>
        </w:rPr>
      </w:pPr>
      <w:ins w:id="16" w:author="谢晗" w:date="2023-11-17T08:48:11Z">
        <w:r>
          <w:rPr>
            <w:rFonts w:hint="eastAsia" w:ascii="宋体" w:hAnsi="宋体" w:cs="宋体"/>
            <w:b/>
            <w:sz w:val="48"/>
            <w:lang w:val="en-US" w:eastAsia="zh-CN"/>
          </w:rPr>
          <w:t>重庆</w:t>
        </w:r>
      </w:ins>
      <w:r>
        <w:rPr>
          <w:rFonts w:hint="eastAsia" w:ascii="宋体" w:hAnsi="宋体" w:cs="宋体"/>
          <w:b/>
          <w:sz w:val="48"/>
        </w:rPr>
        <w:t>高速公路省界不停车超限检测预警系统建设项目设计合同</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400" w:lineRule="exact"/>
        <w:jc w:val="center"/>
        <w:rPr>
          <w:rFonts w:ascii="宋体" w:hAnsi="宋体" w:cs="宋体"/>
          <w:b/>
          <w:bCs/>
          <w:sz w:val="28"/>
          <w:u w:val="single"/>
        </w:rPr>
      </w:pPr>
      <w:r>
        <w:rPr>
          <w:rFonts w:hint="eastAsia" w:ascii="宋体" w:hAnsi="宋体" w:cs="宋体"/>
          <w:b/>
          <w:bCs/>
          <w:sz w:val="28"/>
        </w:rPr>
        <w:t>项目名称：</w:t>
      </w:r>
      <w:ins w:id="17" w:author="谢晗" w:date="2023-11-17T08:48:13Z">
        <w:r>
          <w:rPr>
            <w:rFonts w:hint="eastAsia" w:ascii="宋体" w:hAnsi="宋体" w:cs="宋体"/>
            <w:b/>
            <w:bCs/>
            <w:sz w:val="28"/>
            <w:lang w:val="en-US" w:eastAsia="zh-CN"/>
          </w:rPr>
          <w:t>重庆</w:t>
        </w:r>
      </w:ins>
      <w:r>
        <w:rPr>
          <w:rFonts w:hint="eastAsia" w:ascii="宋体" w:hAnsi="宋体" w:cs="宋体"/>
          <w:b/>
          <w:bCs/>
          <w:sz w:val="28"/>
          <w:u w:val="single"/>
        </w:rPr>
        <w:t>高速公路省界不停车超限检测预警系统建设项目设计</w:t>
      </w:r>
    </w:p>
    <w:p>
      <w:pPr>
        <w:tabs>
          <w:tab w:val="left" w:pos="5460"/>
        </w:tabs>
        <w:ind w:left="-540" w:leftChars="-257"/>
        <w:rPr>
          <w:rFonts w:ascii="宋体" w:hAnsi="宋体" w:cs="宋体"/>
          <w:b/>
          <w:bCs/>
          <w:sz w:val="28"/>
          <w:u w:val="single"/>
        </w:rPr>
      </w:pPr>
    </w:p>
    <w:p>
      <w:pPr>
        <w:ind w:left="-540" w:leftChars="-257"/>
        <w:rPr>
          <w:rFonts w:ascii="宋体" w:hAnsi="宋体" w:cs="宋体"/>
          <w:b/>
          <w:bCs/>
          <w:sz w:val="24"/>
        </w:rPr>
      </w:pPr>
    </w:p>
    <w:p>
      <w:pPr>
        <w:spacing w:line="0" w:lineRule="atLeast"/>
        <w:ind w:left="-540" w:leftChars="-257"/>
        <w:rPr>
          <w:rFonts w:ascii="宋体" w:hAnsi="宋体" w:cs="宋体"/>
          <w:sz w:val="28"/>
          <w:u w:val="single"/>
        </w:rPr>
      </w:pPr>
      <w:r>
        <w:rPr>
          <w:rFonts w:hint="eastAsia" w:ascii="宋体" w:hAnsi="宋体" w:cs="宋体"/>
          <w:b/>
          <w:bCs/>
          <w:sz w:val="28"/>
        </w:rPr>
        <w:t xml:space="preserve">          委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pPr>
        <w:tabs>
          <w:tab w:val="center" w:pos="3883"/>
        </w:tabs>
        <w:spacing w:line="0" w:lineRule="atLeast"/>
        <w:rPr>
          <w:rFonts w:ascii="宋体" w:hAnsi="宋体" w:cs="宋体"/>
          <w:b/>
          <w:bCs/>
          <w:sz w:val="28"/>
        </w:rPr>
      </w:pPr>
      <w:r>
        <w:rPr>
          <w:rFonts w:hint="eastAsia" w:ascii="宋体" w:hAnsi="宋体" w:cs="宋体"/>
          <w:b/>
          <w:bCs/>
          <w:sz w:val="28"/>
        </w:rPr>
        <w:t xml:space="preserve">     （甲方） </w:t>
      </w:r>
    </w:p>
    <w:p>
      <w:pPr>
        <w:ind w:left="-540" w:leftChars="-257"/>
        <w:rPr>
          <w:rFonts w:ascii="宋体" w:hAnsi="宋体" w:cs="宋体"/>
          <w:b/>
          <w:bCs/>
        </w:rPr>
      </w:pPr>
    </w:p>
    <w:p>
      <w:pPr>
        <w:ind w:left="-540" w:leftChars="-257"/>
        <w:rPr>
          <w:rFonts w:ascii="宋体" w:hAnsi="宋体" w:cs="宋体"/>
          <w:b/>
          <w:bCs/>
          <w:sz w:val="24"/>
        </w:rPr>
      </w:pPr>
    </w:p>
    <w:p>
      <w:pPr>
        <w:tabs>
          <w:tab w:val="left" w:pos="1582"/>
          <w:tab w:val="left" w:pos="1610"/>
        </w:tabs>
        <w:spacing w:line="0" w:lineRule="atLeast"/>
        <w:ind w:left="-540" w:leftChars="-257"/>
        <w:rPr>
          <w:rFonts w:ascii="宋体" w:hAnsi="宋体" w:cs="宋体"/>
          <w:b/>
          <w:bCs/>
          <w:sz w:val="28"/>
        </w:rPr>
      </w:pPr>
      <w:r>
        <w:rPr>
          <w:rFonts w:hint="eastAsia" w:ascii="宋体" w:hAnsi="宋体" w:cs="宋体"/>
          <w:b/>
          <w:bCs/>
          <w:sz w:val="28"/>
        </w:rPr>
        <w:t xml:space="preserve">          受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pPr>
        <w:tabs>
          <w:tab w:val="left" w:pos="5460"/>
        </w:tabs>
        <w:spacing w:line="0" w:lineRule="atLeast"/>
        <w:ind w:left="-540" w:leftChars="-257"/>
        <w:rPr>
          <w:rFonts w:ascii="宋体" w:hAnsi="宋体" w:cs="宋体"/>
          <w:b/>
          <w:bCs/>
          <w:sz w:val="28"/>
        </w:rPr>
      </w:pPr>
      <w:r>
        <w:rPr>
          <w:rFonts w:hint="eastAsia" w:ascii="宋体" w:hAnsi="宋体" w:cs="宋体"/>
          <w:b/>
          <w:bCs/>
          <w:sz w:val="28"/>
        </w:rPr>
        <w:t xml:space="preserve">         （乙方）</w:t>
      </w:r>
    </w:p>
    <w:p>
      <w:pPr>
        <w:rPr>
          <w:rFonts w:ascii="宋体" w:hAnsi="宋体" w:cs="宋体"/>
          <w:sz w:val="28"/>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0" w:lineRule="atLeast"/>
        <w:rPr>
          <w:rFonts w:ascii="宋体" w:hAnsi="宋体" w:cs="宋体"/>
          <w:b/>
          <w:sz w:val="28"/>
        </w:rPr>
      </w:pPr>
      <w:r>
        <w:rPr>
          <w:rFonts w:hint="eastAsia" w:ascii="宋体" w:hAnsi="宋体" w:cs="宋体"/>
          <w:b/>
          <w:sz w:val="28"/>
        </w:rPr>
        <w:t xml:space="preserve"> </w:t>
      </w:r>
    </w:p>
    <w:p>
      <w:pPr>
        <w:spacing w:line="0" w:lineRule="atLeast"/>
        <w:jc w:val="center"/>
        <w:rPr>
          <w:rFonts w:ascii="宋体" w:hAnsi="宋体" w:cs="宋体"/>
          <w:sz w:val="28"/>
        </w:rPr>
      </w:pPr>
    </w:p>
    <w:p>
      <w:pPr>
        <w:spacing w:line="0" w:lineRule="atLeast"/>
        <w:ind w:firstLine="1120" w:firstLineChars="400"/>
        <w:jc w:val="center"/>
        <w:rPr>
          <w:rFonts w:ascii="宋体" w:hAnsi="宋体" w:cs="宋体"/>
          <w:b/>
          <w:sz w:val="28"/>
        </w:rPr>
      </w:pPr>
      <w:r>
        <w:rPr>
          <w:rFonts w:hint="eastAsia" w:ascii="宋体" w:hAnsi="宋体" w:cs="宋体"/>
          <w:sz w:val="28"/>
        </w:rPr>
        <w:t xml:space="preserve">签订日期：     </w:t>
      </w:r>
      <w:r>
        <w:rPr>
          <w:rFonts w:hint="eastAsia" w:ascii="宋体" w:hAnsi="宋体" w:cs="宋体"/>
          <w:b/>
          <w:sz w:val="28"/>
        </w:rPr>
        <w:t>年   月   日</w:t>
      </w:r>
    </w:p>
    <w:p>
      <w:pPr>
        <w:spacing w:line="0" w:lineRule="atLeast"/>
        <w:rPr>
          <w:rFonts w:ascii="宋体" w:hAnsi="宋体" w:cs="宋体"/>
          <w:sz w:val="28"/>
        </w:rPr>
        <w:sectPr>
          <w:footerReference r:id="rId9" w:type="default"/>
          <w:footerReference r:id="rId10" w:type="even"/>
          <w:pgSz w:w="11906" w:h="16838"/>
          <w:pgMar w:top="1440" w:right="1800" w:bottom="1440" w:left="1800" w:header="851" w:footer="992" w:gutter="0"/>
          <w:cols w:space="425" w:num="1"/>
          <w:docGrid w:type="lines" w:linePitch="312" w:charSpace="0"/>
        </w:sectPr>
      </w:pPr>
    </w:p>
    <w:p>
      <w:pPr>
        <w:pStyle w:val="15"/>
        <w:spacing w:after="0" w:afterAutospacing="0"/>
        <w:jc w:val="center"/>
        <w:rPr>
          <w:b/>
          <w:bCs/>
          <w:sz w:val="36"/>
        </w:rPr>
      </w:pPr>
      <w:r>
        <w:rPr>
          <w:rFonts w:hint="eastAsia"/>
          <w:b/>
          <w:bCs/>
          <w:sz w:val="36"/>
        </w:rPr>
        <w:t>填 写 说 明</w:t>
      </w:r>
    </w:p>
    <w:p>
      <w:pPr>
        <w:pStyle w:val="15"/>
        <w:spacing w:before="156" w:beforeLines="50" w:beforeAutospacing="0" w:after="0" w:afterAutospacing="0"/>
        <w:ind w:firstLine="480" w:firstLineChars="200"/>
      </w:pPr>
      <w:r>
        <w:rPr>
          <w:rFonts w:hint="eastAsia"/>
        </w:rPr>
        <w:t>一、设计合同是指受托方依据国家政策法规、按照国家相关技术标准对委托方的信息系统进行标注化设计所订立的合同。</w:t>
      </w:r>
    </w:p>
    <w:p>
      <w:pPr>
        <w:pStyle w:val="15"/>
        <w:spacing w:before="156" w:beforeLines="50" w:beforeAutospacing="0" w:after="0" w:afterAutospacing="0"/>
        <w:ind w:firstLine="480" w:firstLineChars="200"/>
      </w:pPr>
      <w:r>
        <w:rPr>
          <w:rFonts w:hint="eastAsia"/>
        </w:rPr>
        <w:t>二、工作内容、依据、方式和要求：</w:t>
      </w:r>
    </w:p>
    <w:p>
      <w:pPr>
        <w:pStyle w:val="15"/>
        <w:spacing w:before="156" w:beforeLines="50" w:beforeAutospacing="0" w:after="0" w:afterAutospacing="0"/>
        <w:ind w:firstLine="480" w:firstLineChars="200"/>
      </w:pPr>
      <w:r>
        <w:rPr>
          <w:rFonts w:hint="eastAsia"/>
        </w:rPr>
        <w:t>包括设计工作的定义、依据、标的范围及效益情况；特定技术问题的难度、主要技术经济指标；具体的做法、手段、程序以及交付成果的形式。</w:t>
      </w:r>
    </w:p>
    <w:p>
      <w:pPr>
        <w:pStyle w:val="15"/>
        <w:spacing w:before="156" w:beforeLines="50" w:beforeAutospacing="0" w:after="0" w:afterAutospacing="0"/>
        <w:ind w:firstLine="480" w:firstLineChars="200"/>
      </w:pPr>
      <w:r>
        <w:rPr>
          <w:rFonts w:hint="eastAsia"/>
        </w:rPr>
        <w:t>三、工作条件和协作事项：</w:t>
      </w:r>
    </w:p>
    <w:p>
      <w:pPr>
        <w:pStyle w:val="15"/>
        <w:spacing w:before="156" w:beforeLines="50" w:beforeAutospacing="0" w:after="0" w:afterAutospacing="0"/>
        <w:ind w:firstLine="480" w:firstLineChars="200"/>
      </w:pPr>
      <w:r>
        <w:rPr>
          <w:rFonts w:hint="eastAsia"/>
        </w:rPr>
        <w:t>包括甲方为乙方提供的资料、文件、人员配合及其他条件，双方协作的具体事项。</w:t>
      </w:r>
    </w:p>
    <w:p>
      <w:pPr>
        <w:pStyle w:val="15"/>
        <w:spacing w:before="156" w:beforeLines="50" w:beforeAutospacing="0" w:after="0" w:afterAutospacing="0"/>
        <w:ind w:firstLine="480" w:firstLineChars="200"/>
      </w:pPr>
      <w:r>
        <w:rPr>
          <w:rFonts w:hint="eastAsia"/>
        </w:rPr>
        <w:t>四、其他：</w:t>
      </w:r>
    </w:p>
    <w:p>
      <w:pPr>
        <w:pStyle w:val="15"/>
        <w:spacing w:before="156" w:beforeLines="50" w:beforeAutospacing="0" w:after="0" w:afterAutospacing="0"/>
        <w:ind w:firstLine="480" w:firstLineChars="200"/>
      </w:pPr>
      <w:r>
        <w:rPr>
          <w:rFonts w:hint="eastAsia"/>
        </w:rPr>
        <w:t>合同如果是通过中介机构介绍签订的，应将中介合同作为本合同的附件。如果双方当事人约定定金、财产抵押担保的，应将给付定金、财产抵押及担保手续的复印件作为本合同的附件。</w:t>
      </w:r>
    </w:p>
    <w:p>
      <w:pPr>
        <w:pStyle w:val="15"/>
        <w:spacing w:before="156" w:beforeLines="50" w:beforeAutospacing="0" w:after="0" w:afterAutospacing="0"/>
        <w:ind w:firstLine="480" w:firstLineChars="200"/>
      </w:pPr>
      <w:r>
        <w:rPr>
          <w:rFonts w:hint="eastAsia"/>
        </w:rPr>
        <w:t>五、委托代理人签订合同时，应出具委托证书。</w:t>
      </w:r>
    </w:p>
    <w:p>
      <w:pPr>
        <w:pStyle w:val="15"/>
        <w:spacing w:before="156" w:beforeLines="50" w:beforeAutospacing="0" w:after="0" w:afterAutospacing="0"/>
        <w:ind w:firstLine="480" w:firstLineChars="200"/>
      </w:pPr>
      <w:r>
        <w:rPr>
          <w:rFonts w:hint="eastAsia"/>
        </w:rPr>
        <w:t>六、本合同中，凡是当事人约定认为无需填写的条款，在该条款填写的空白处划(/)表示。</w:t>
      </w:r>
    </w:p>
    <w:p>
      <w:pPr>
        <w:rPr>
          <w:rFonts w:ascii="宋体" w:hAnsi="宋体" w:cs="宋体"/>
        </w:rPr>
      </w:pPr>
    </w:p>
    <w:p>
      <w:pPr>
        <w:jc w:val="right"/>
        <w:rPr>
          <w:rFonts w:ascii="宋体" w:hAnsi="宋体" w:cs="宋体"/>
        </w:rPr>
      </w:pPr>
      <w:r>
        <w:rPr>
          <w:rFonts w:hint="eastAsia" w:ascii="宋体" w:hAnsi="宋体" w:cs="宋体"/>
        </w:rPr>
        <w:br w:type="page"/>
      </w:r>
    </w:p>
    <w:tbl>
      <w:tblPr>
        <w:tblStyle w:val="1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400" w:lineRule="exact"/>
            </w:pPr>
            <w:r>
              <w:rPr>
                <w:rFonts w:hint="eastAsia"/>
              </w:rPr>
              <w:t>　  依据《中华人民共和国民法典》及有关法规的规定，双方就</w:t>
            </w:r>
            <w:ins w:id="18" w:author="谢晗" w:date="2023-11-17T08:48:21Z">
              <w:r>
                <w:rPr>
                  <w:rFonts w:hint="eastAsia"/>
                  <w:lang w:val="en-US" w:eastAsia="zh-CN"/>
                </w:rPr>
                <w:t>重庆</w:t>
              </w:r>
            </w:ins>
            <w:r>
              <w:rPr>
                <w:rFonts w:hint="eastAsia"/>
                <w:u w:val="single"/>
              </w:rPr>
              <w:t>高速公路省界不停车超限检测预警系统建设项目施工图</w:t>
            </w:r>
            <w:r>
              <w:rPr>
                <w:rFonts w:hint="eastAsia"/>
              </w:rPr>
              <w:t>设计工作协商一致，特签订本协议。</w:t>
            </w:r>
          </w:p>
          <w:p>
            <w:pPr>
              <w:spacing w:line="500" w:lineRule="atLeast"/>
              <w:rPr>
                <w:rFonts w:ascii="宋体" w:hAnsi="宋体" w:cs="宋体"/>
                <w:b/>
                <w:sz w:val="28"/>
              </w:rPr>
            </w:pPr>
            <w:r>
              <w:rPr>
                <w:rFonts w:hint="eastAsia" w:ascii="宋体" w:hAnsi="宋体" w:cs="宋体"/>
                <w:b/>
                <w:sz w:val="28"/>
              </w:rPr>
              <w:t>第一条、工作内容、依据、方式和要求</w:t>
            </w:r>
          </w:p>
          <w:p>
            <w:pPr>
              <w:spacing w:line="640" w:lineRule="exact"/>
              <w:ind w:firstLine="480"/>
              <w:rPr>
                <w:rFonts w:ascii="宋体" w:hAnsi="宋体" w:cs="宋体"/>
                <w:sz w:val="24"/>
              </w:rPr>
            </w:pPr>
            <w:r>
              <w:rPr>
                <w:rFonts w:hint="eastAsia" w:ascii="宋体" w:hAnsi="宋体" w:cs="宋体"/>
                <w:b/>
                <w:sz w:val="24"/>
              </w:rPr>
              <w:t>1.1 内容</w:t>
            </w:r>
            <w:r>
              <w:rPr>
                <w:rFonts w:hint="eastAsia" w:ascii="宋体" w:hAnsi="宋体" w:cs="宋体"/>
                <w:sz w:val="24"/>
              </w:rPr>
              <w:t>：乙方受甲方委托，按照有关管理规范和技术标准，开展</w:t>
            </w:r>
            <w:ins w:id="19" w:author="谢晗" w:date="2023-11-17T08:48:27Z">
              <w:r>
                <w:rPr>
                  <w:rFonts w:hint="eastAsia" w:ascii="宋体" w:hAnsi="宋体" w:cs="宋体"/>
                  <w:sz w:val="24"/>
                  <w:lang w:val="en-US" w:eastAsia="zh-CN"/>
                </w:rPr>
                <w:t>重庆</w:t>
              </w:r>
            </w:ins>
            <w:r>
              <w:rPr>
                <w:rFonts w:hint="eastAsia" w:ascii="宋体" w:hAnsi="宋体" w:cs="宋体"/>
                <w:sz w:val="24"/>
              </w:rPr>
              <w:t xml:space="preserve">高速公路省界不停车超限检测预警系统建设项目施工图设计。  </w:t>
            </w:r>
          </w:p>
          <w:p>
            <w:pPr>
              <w:spacing w:line="640" w:lineRule="exact"/>
              <w:ind w:firstLine="480"/>
              <w:rPr>
                <w:rFonts w:ascii="宋体" w:hAnsi="宋体" w:cs="宋体"/>
                <w:bCs/>
                <w:sz w:val="24"/>
              </w:rPr>
            </w:pPr>
            <w:r>
              <w:rPr>
                <w:rFonts w:hint="eastAsia" w:ascii="宋体" w:hAnsi="宋体" w:cs="宋体"/>
                <w:b/>
                <w:sz w:val="24"/>
              </w:rPr>
              <w:t>1.2 依据：</w:t>
            </w:r>
            <w:r>
              <w:rPr>
                <w:rFonts w:hint="eastAsia" w:ascii="宋体" w:hAnsi="宋体" w:cs="宋体"/>
                <w:bCs/>
                <w:sz w:val="24"/>
              </w:rPr>
              <w:t>《关于加快推进高速公路省界不停车超限检测预警系统建设的通知》（渝交管养【2023】42号）、《重庆市公路车辆动态超限检测系统（外场设施）建设验收指导意见的通知》（渝治超办【2023】32号）。</w:t>
            </w:r>
          </w:p>
          <w:p>
            <w:pPr>
              <w:spacing w:line="640" w:lineRule="exact"/>
              <w:ind w:firstLine="480"/>
              <w:rPr>
                <w:rFonts w:ascii="宋体" w:hAnsi="宋体" w:cs="宋体"/>
                <w:sz w:val="24"/>
              </w:rPr>
            </w:pPr>
            <w:r>
              <w:rPr>
                <w:rFonts w:hint="eastAsia" w:ascii="宋体" w:hAnsi="宋体" w:cs="宋体"/>
                <w:b/>
                <w:sz w:val="24"/>
              </w:rPr>
              <w:t>1.3 要求</w:t>
            </w:r>
            <w:r>
              <w:rPr>
                <w:rFonts w:hint="eastAsia" w:ascii="宋体" w:hAnsi="宋体" w:cs="宋体"/>
                <w:sz w:val="24"/>
              </w:rPr>
              <w:t>：</w:t>
            </w:r>
          </w:p>
          <w:p>
            <w:pPr>
              <w:spacing w:line="640" w:lineRule="exact"/>
              <w:ind w:firstLine="480"/>
              <w:rPr>
                <w:rFonts w:ascii="宋体" w:hAnsi="宋体" w:cs="宋体"/>
                <w:sz w:val="24"/>
              </w:rPr>
            </w:pPr>
            <w:r>
              <w:rPr>
                <w:rFonts w:hint="eastAsia" w:ascii="宋体" w:hAnsi="宋体" w:cs="宋体"/>
                <w:sz w:val="24"/>
              </w:rPr>
              <w:t>1.3.1 乙方应按照上述国家法规和技术标准的要求，坚持客观、独立的第三方立场进行设计工作，保持设计结果及结论的独立性、科学性和可行性。</w:t>
            </w:r>
          </w:p>
          <w:p>
            <w:pPr>
              <w:spacing w:line="640" w:lineRule="exact"/>
              <w:ind w:firstLine="480"/>
              <w:rPr>
                <w:rFonts w:ascii="宋体" w:hAnsi="宋体" w:cs="宋体"/>
                <w:sz w:val="24"/>
              </w:rPr>
            </w:pPr>
            <w:r>
              <w:rPr>
                <w:rFonts w:hint="eastAsia" w:ascii="宋体" w:hAnsi="宋体" w:cs="宋体"/>
                <w:sz w:val="24"/>
              </w:rPr>
              <w:t>1.3.2 甲方提供的设计过程中协调沟通平台。</w:t>
            </w:r>
          </w:p>
          <w:p>
            <w:pPr>
              <w:spacing w:line="640" w:lineRule="exact"/>
              <w:ind w:firstLine="480"/>
            </w:pPr>
            <w:r>
              <w:rPr>
                <w:rFonts w:hint="eastAsia" w:ascii="宋体" w:hAnsi="宋体" w:cs="宋体"/>
                <w:sz w:val="24"/>
              </w:rPr>
              <w:t>1.3.3 按照甲方的要求，按时提供有关设计资料，配合作好方案讨论、修改、定稿等工作，并与甲方及时配合与协调。</w:t>
            </w:r>
          </w:p>
          <w:p>
            <w:pPr>
              <w:spacing w:line="640" w:lineRule="exact"/>
              <w:ind w:firstLine="480" w:firstLineChars="200"/>
              <w:rPr>
                <w:rFonts w:ascii="宋体" w:hAnsi="宋体" w:cs="宋体"/>
                <w:sz w:val="24"/>
              </w:rPr>
            </w:pPr>
            <w:r>
              <w:rPr>
                <w:rFonts w:hint="eastAsia" w:ascii="宋体" w:hAnsi="宋体" w:cs="宋体"/>
                <w:sz w:val="24"/>
              </w:rPr>
              <w:t>1.3.4 乙方应根据设计工作的具体情况编制施工图设计图，经过甲、乙双方确认后形成正式的施工图设计图。</w:t>
            </w:r>
          </w:p>
          <w:p>
            <w:pPr>
              <w:spacing w:line="640" w:lineRule="exact"/>
              <w:ind w:firstLine="48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5在合同期限内，乙方为甲方提供设计讲解，讲解时间和内容由双方具体协商决定。</w:t>
            </w:r>
          </w:p>
          <w:p>
            <w:pPr>
              <w:spacing w:line="640" w:lineRule="exact"/>
              <w:rPr>
                <w:rFonts w:ascii="宋体" w:hAnsi="宋体" w:cs="宋体"/>
                <w:b/>
                <w:bCs/>
                <w:sz w:val="28"/>
              </w:rPr>
            </w:pPr>
            <w:r>
              <w:rPr>
                <w:rFonts w:hint="eastAsia" w:ascii="宋体" w:hAnsi="宋体" w:cs="宋体"/>
                <w:b/>
                <w:bCs/>
                <w:sz w:val="28"/>
              </w:rPr>
              <w:t>第二条、委托方的协作事项</w:t>
            </w:r>
          </w:p>
          <w:p>
            <w:pPr>
              <w:spacing w:line="640" w:lineRule="exact"/>
              <w:ind w:firstLine="480" w:firstLineChars="200"/>
              <w:rPr>
                <w:rFonts w:ascii="宋体" w:hAnsi="宋体" w:cs="宋体"/>
                <w:sz w:val="24"/>
              </w:rPr>
            </w:pPr>
            <w:r>
              <w:rPr>
                <w:rFonts w:hint="eastAsia" w:ascii="宋体" w:hAnsi="宋体" w:cs="宋体"/>
                <w:sz w:val="24"/>
              </w:rPr>
              <w:t>为保证设计工作顺利进行，甲方需向乙方提供必要的协作和配合：</w:t>
            </w:r>
          </w:p>
          <w:p>
            <w:pPr>
              <w:spacing w:line="640" w:lineRule="exact"/>
              <w:ind w:firstLine="480" w:firstLineChars="200"/>
              <w:rPr>
                <w:rFonts w:ascii="宋体" w:hAnsi="宋体" w:cs="宋体"/>
                <w:sz w:val="24"/>
              </w:rPr>
            </w:pPr>
            <w:r>
              <w:rPr>
                <w:rFonts w:hint="eastAsia" w:ascii="宋体" w:hAnsi="宋体" w:cs="宋体"/>
                <w:sz w:val="24"/>
              </w:rPr>
              <w:t>2.1 甲方应准确详实的向乙方说明目前所需设计的工作的现状。</w:t>
            </w:r>
          </w:p>
          <w:p>
            <w:pPr>
              <w:spacing w:line="640" w:lineRule="exact"/>
              <w:ind w:firstLine="480" w:firstLineChars="200"/>
              <w:rPr>
                <w:rFonts w:ascii="宋体" w:hAnsi="宋体" w:cs="宋体"/>
                <w:sz w:val="24"/>
              </w:rPr>
            </w:pPr>
            <w:r>
              <w:rPr>
                <w:rFonts w:hint="eastAsia" w:ascii="宋体" w:hAnsi="宋体" w:cs="宋体"/>
                <w:sz w:val="24"/>
              </w:rPr>
              <w:t>2.2 甲方应组织协调内部相关人员协助乙方开展设计工作，回答访谈问询，按时参加有关设计工作会议。</w:t>
            </w:r>
          </w:p>
          <w:p>
            <w:pPr>
              <w:spacing w:line="640" w:lineRule="exact"/>
              <w:ind w:firstLine="480" w:firstLineChars="200"/>
              <w:rPr>
                <w:rFonts w:ascii="宋体" w:hAnsi="宋体" w:cs="宋体"/>
                <w:sz w:val="24"/>
              </w:rPr>
            </w:pPr>
            <w:r>
              <w:rPr>
                <w:rFonts w:hint="eastAsia" w:ascii="宋体" w:hAnsi="宋体" w:cs="宋体"/>
                <w:sz w:val="24"/>
              </w:rPr>
              <w:t>2.3 甲方应准备、提供设计工作所需的管理制度、规范、图纸、数据、设计文档和过程记录等相关资料，并对其正确、有效性负责。</w:t>
            </w:r>
          </w:p>
          <w:p>
            <w:pPr>
              <w:spacing w:line="640" w:lineRule="exact"/>
              <w:rPr>
                <w:rFonts w:ascii="宋体" w:hAnsi="宋体" w:cs="宋体"/>
                <w:b/>
                <w:bCs/>
                <w:sz w:val="28"/>
              </w:rPr>
            </w:pPr>
            <w:r>
              <w:rPr>
                <w:rFonts w:hint="eastAsia" w:ascii="宋体" w:hAnsi="宋体" w:cs="宋体"/>
                <w:b/>
                <w:bCs/>
                <w:sz w:val="28"/>
              </w:rPr>
              <w:t>第三条、知识产权和保密要求</w:t>
            </w:r>
          </w:p>
          <w:p>
            <w:pPr>
              <w:spacing w:line="640" w:lineRule="exact"/>
              <w:ind w:firstLine="480" w:firstLineChars="200"/>
              <w:rPr>
                <w:rFonts w:ascii="宋体" w:hAnsi="宋体" w:cs="宋体"/>
                <w:sz w:val="24"/>
              </w:rPr>
            </w:pPr>
            <w:r>
              <w:rPr>
                <w:rFonts w:hint="eastAsia" w:ascii="宋体" w:hAnsi="宋体" w:cs="宋体"/>
                <w:sz w:val="24"/>
              </w:rPr>
              <w:t>3.1 甲方承诺所提供的内容包括设计图纸、应用软件等具有合法权源，没有任何侵犯他人知识产权或其他合法权益的行为。若有侵权行为，甲方承担由此而引起的一切后果。</w:t>
            </w:r>
          </w:p>
          <w:p>
            <w:pPr>
              <w:spacing w:line="640" w:lineRule="exact"/>
              <w:ind w:firstLine="480" w:firstLineChars="200"/>
              <w:rPr>
                <w:rFonts w:ascii="宋体" w:hAnsi="宋体" w:cs="宋体"/>
                <w:sz w:val="24"/>
              </w:rPr>
            </w:pPr>
            <w:r>
              <w:rPr>
                <w:rFonts w:hint="eastAsia" w:ascii="宋体" w:hAnsi="宋体" w:cs="宋体"/>
                <w:sz w:val="24"/>
              </w:rPr>
              <w:t>3.2 设计工作的成果和结论属甲方所有，乙方对其商业引用和公开应得到甲方的授权。</w:t>
            </w:r>
          </w:p>
          <w:p>
            <w:pPr>
              <w:spacing w:line="640" w:lineRule="exact"/>
              <w:ind w:firstLine="480" w:firstLineChars="200"/>
              <w:rPr>
                <w:rFonts w:ascii="宋体" w:hAnsi="宋体" w:cs="宋体"/>
                <w:sz w:val="24"/>
              </w:rPr>
            </w:pPr>
            <w:r>
              <w:rPr>
                <w:rFonts w:hint="eastAsia" w:ascii="宋体" w:hAnsi="宋体" w:cs="宋体"/>
                <w:sz w:val="24"/>
              </w:rPr>
              <w:t>3.3附件一《</w:t>
            </w:r>
            <w:r>
              <w:rPr>
                <w:rFonts w:hint="eastAsia" w:ascii="宋体" w:hAnsi="宋体" w:cs="宋体"/>
                <w:sz w:val="24"/>
                <w:lang w:val="en-US" w:eastAsia="zh-CN"/>
              </w:rPr>
              <w:t>重庆</w:t>
            </w:r>
            <w:r>
              <w:rPr>
                <w:rFonts w:hint="eastAsia" w:ascii="宋体" w:hAnsi="宋体" w:cs="宋体"/>
                <w:sz w:val="24"/>
              </w:rPr>
              <w:t>高速公路省界不停车超限检测预警系统建设项目设计保密协议》为本协议不可分割的部分，对双方的保密责任和义务进行约定。</w:t>
            </w:r>
          </w:p>
          <w:p>
            <w:pPr>
              <w:spacing w:line="640" w:lineRule="exact"/>
              <w:ind w:firstLine="480" w:firstLineChars="200"/>
              <w:rPr>
                <w:rFonts w:ascii="宋体" w:hAnsi="宋体" w:cs="宋体"/>
                <w:sz w:val="24"/>
              </w:rPr>
            </w:pPr>
            <w:r>
              <w:rPr>
                <w:rFonts w:hint="eastAsia" w:ascii="宋体" w:hAnsi="宋体" w:cs="宋体"/>
                <w:sz w:val="24"/>
              </w:rPr>
              <w:t>3.4甲方如果要引用乙方出具的设计报告，必须完整引用，不得作部分内容引用。若因违背此约束而造成的不良后果，由甲方负责。</w:t>
            </w:r>
          </w:p>
          <w:p>
            <w:pPr>
              <w:spacing w:line="500" w:lineRule="atLeast"/>
              <w:rPr>
                <w:rFonts w:ascii="宋体" w:hAnsi="宋体" w:cs="宋体"/>
                <w:b/>
                <w:sz w:val="28"/>
              </w:rPr>
            </w:pPr>
            <w:r>
              <w:rPr>
                <w:rFonts w:hint="eastAsia" w:ascii="宋体" w:hAnsi="宋体" w:cs="宋体"/>
                <w:b/>
                <w:sz w:val="28"/>
              </w:rPr>
              <w:t>第四条、履行期限</w:t>
            </w:r>
          </w:p>
          <w:p>
            <w:pPr>
              <w:spacing w:line="500" w:lineRule="atLeast"/>
              <w:ind w:firstLine="480" w:firstLineChars="200"/>
              <w:rPr>
                <w:rFonts w:ascii="宋体" w:hAnsi="宋体" w:cs="宋体"/>
                <w:sz w:val="24"/>
              </w:rPr>
            </w:pPr>
            <w:r>
              <w:rPr>
                <w:rFonts w:hint="eastAsia" w:ascii="宋体" w:hAnsi="宋体" w:cs="宋体"/>
                <w:sz w:val="24"/>
              </w:rPr>
              <w:t>本合同执行时间按照甲方约定时间履行。</w:t>
            </w:r>
          </w:p>
          <w:p>
            <w:pPr>
              <w:spacing w:line="500" w:lineRule="atLeast"/>
              <w:rPr>
                <w:rFonts w:ascii="宋体" w:hAnsi="宋体" w:cs="宋体"/>
                <w:b/>
                <w:sz w:val="28"/>
              </w:rPr>
            </w:pPr>
            <w:r>
              <w:rPr>
                <w:rFonts w:hint="eastAsia" w:ascii="宋体" w:hAnsi="宋体" w:cs="宋体"/>
                <w:b/>
                <w:sz w:val="28"/>
              </w:rPr>
              <w:t>第五条、工作验收方法</w:t>
            </w:r>
          </w:p>
          <w:p>
            <w:pPr>
              <w:spacing w:line="500" w:lineRule="atLeast"/>
              <w:ind w:firstLine="480" w:firstLineChars="200"/>
              <w:rPr>
                <w:rFonts w:ascii="宋体" w:hAnsi="宋体" w:cs="宋体"/>
                <w:sz w:val="24"/>
              </w:rPr>
            </w:pPr>
            <w:r>
              <w:rPr>
                <w:rFonts w:hint="eastAsia" w:ascii="宋体" w:hAnsi="宋体" w:cs="宋体"/>
                <w:sz w:val="24"/>
              </w:rPr>
              <w:t xml:space="preserve">设计工作达到了本合同第1.3款所列要求，并通过评审，采用 </w:t>
            </w:r>
            <w:r>
              <w:rPr>
                <w:rFonts w:hint="eastAsia" w:ascii="宋体" w:hAnsi="宋体" w:cs="宋体"/>
                <w:sz w:val="24"/>
                <w:u w:val="single"/>
              </w:rPr>
              <w:t>乙方出具正式施工图设计，甲方签收</w:t>
            </w:r>
            <w:r>
              <w:rPr>
                <w:rFonts w:hint="eastAsia" w:ascii="宋体" w:hAnsi="宋体" w:cs="宋体"/>
                <w:sz w:val="24"/>
              </w:rPr>
              <w:t xml:space="preserve"> 方式验收。</w:t>
            </w:r>
          </w:p>
          <w:p>
            <w:pPr>
              <w:spacing w:line="500" w:lineRule="atLeast"/>
              <w:rPr>
                <w:rFonts w:ascii="宋体" w:hAnsi="宋体" w:cs="宋体"/>
                <w:b/>
                <w:sz w:val="28"/>
              </w:rPr>
            </w:pPr>
            <w:r>
              <w:rPr>
                <w:rFonts w:hint="eastAsia" w:ascii="宋体" w:hAnsi="宋体" w:cs="宋体"/>
                <w:b/>
                <w:sz w:val="28"/>
              </w:rPr>
              <w:t>第六条、设计费用及其支付方式</w:t>
            </w:r>
          </w:p>
          <w:p>
            <w:pPr>
              <w:spacing w:line="500" w:lineRule="atLeast"/>
              <w:ind w:firstLine="480" w:firstLineChars="200"/>
              <w:rPr>
                <w:rFonts w:ascii="宋体" w:hAnsi="宋体" w:cs="宋体"/>
                <w:sz w:val="24"/>
              </w:rPr>
            </w:pPr>
            <w:r>
              <w:rPr>
                <w:rFonts w:hint="eastAsia" w:ascii="宋体" w:hAnsi="宋体" w:cs="宋体"/>
                <w:sz w:val="24"/>
              </w:rPr>
              <w:t>（6.1）本项目设计费用：</w:t>
            </w:r>
            <w:r>
              <w:rPr>
                <w:rFonts w:hint="eastAsia" w:ascii="宋体" w:hAnsi="宋体" w:cs="宋体"/>
                <w:sz w:val="24"/>
                <w:u w:val="single"/>
              </w:rPr>
              <w:t>人民币：</w:t>
            </w:r>
            <w:r>
              <w:rPr>
                <w:rFonts w:ascii="宋体" w:hAnsi="宋体" w:cs="宋体"/>
                <w:sz w:val="24"/>
                <w:u w:val="single"/>
              </w:rPr>
              <w:t xml:space="preserve">      </w:t>
            </w:r>
            <w:r>
              <w:rPr>
                <w:rFonts w:hint="eastAsia" w:ascii="宋体" w:hAnsi="宋体" w:cs="宋体"/>
                <w:sz w:val="24"/>
                <w:u w:val="single"/>
              </w:rPr>
              <w:t xml:space="preserve"> 元（大写： </w:t>
            </w:r>
            <w:r>
              <w:rPr>
                <w:rFonts w:ascii="宋体" w:hAnsi="宋体" w:cs="宋体"/>
                <w:sz w:val="24"/>
                <w:u w:val="single"/>
              </w:rPr>
              <w:t xml:space="preserve">   </w:t>
            </w:r>
            <w:r>
              <w:rPr>
                <w:rFonts w:hint="eastAsia" w:ascii="宋体" w:hAnsi="宋体" w:cs="宋体"/>
                <w:sz w:val="24"/>
                <w:u w:val="single"/>
              </w:rPr>
              <w:t xml:space="preserve">  元整）</w:t>
            </w:r>
          </w:p>
          <w:p>
            <w:pPr>
              <w:spacing w:line="500" w:lineRule="atLeast"/>
              <w:ind w:firstLine="480" w:firstLineChars="200"/>
              <w:rPr>
                <w:rFonts w:ascii="宋体" w:hAnsi="宋体" w:cs="宋体"/>
                <w:sz w:val="24"/>
              </w:rPr>
            </w:pPr>
            <w:r>
              <w:rPr>
                <w:rFonts w:hint="eastAsia" w:ascii="宋体" w:hAnsi="宋体" w:cs="宋体"/>
                <w:sz w:val="24"/>
              </w:rPr>
              <w:t>（6.2）支付方式：</w:t>
            </w:r>
          </w:p>
          <w:p>
            <w:pPr>
              <w:spacing w:line="500" w:lineRule="atLeast"/>
              <w:ind w:firstLine="480" w:firstLineChars="200"/>
              <w:rPr>
                <w:rFonts w:ascii="宋体" w:hAnsi="宋体" w:cs="宋体"/>
                <w:sz w:val="24"/>
              </w:rPr>
            </w:pPr>
            <w:r>
              <w:rPr>
                <w:rFonts w:hint="eastAsia" w:ascii="宋体" w:hAnsi="宋体" w:cs="宋体"/>
                <w:sz w:val="24"/>
              </w:rPr>
              <w:t>（1）</w:t>
            </w:r>
            <w:r>
              <w:rPr>
                <w:rFonts w:hint="eastAsia" w:ascii="宋体" w:hAnsi="宋体" w:cs="宋体"/>
                <w:sz w:val="24"/>
                <w:highlight w:val="none"/>
                <w:shd w:val="clear" w:color="auto" w:fill="auto"/>
                <w:rPrChange w:id="20" w:author="谢晗" w:date="2023-11-17T09:07:05Z">
                  <w:rPr>
                    <w:rFonts w:hint="eastAsia" w:ascii="宋体" w:hAnsi="宋体" w:cs="宋体"/>
                    <w:sz w:val="24"/>
                  </w:rPr>
                </w:rPrChange>
              </w:rPr>
              <w:t>乙方按合同完成施工图设计，并经评审结束出具正式施工图设计后</w:t>
            </w:r>
            <w:ins w:id="21" w:author="谢晗" w:date="2023-11-17T09:06:22Z">
              <w:r>
                <w:rPr>
                  <w:rFonts w:hint="eastAsia" w:ascii="宋体" w:hAnsi="宋体" w:cs="宋体"/>
                  <w:sz w:val="24"/>
                  <w:highlight w:val="none"/>
                  <w:shd w:val="clear" w:color="auto" w:fill="auto"/>
                  <w:lang w:eastAsia="zh-CN"/>
                  <w:rPrChange w:id="22" w:author="谢晗" w:date="2023-11-17T09:07:05Z">
                    <w:rPr>
                      <w:rFonts w:hint="eastAsia" w:ascii="宋体" w:hAnsi="宋体" w:cs="宋体"/>
                      <w:sz w:val="24"/>
                      <w:highlight w:val="yellow"/>
                      <w:shd w:val="clear" w:color="auto" w:fill="auto"/>
                      <w:lang w:eastAsia="zh-CN"/>
                    </w:rPr>
                  </w:rPrChange>
                </w:rPr>
                <w:t>，</w:t>
              </w:r>
            </w:ins>
            <w:ins w:id="23" w:author="谢晗" w:date="2023-11-17T09:06:24Z">
              <w:r>
                <w:rPr>
                  <w:rFonts w:hint="eastAsia" w:ascii="宋体" w:hAnsi="宋体" w:cs="宋体"/>
                  <w:sz w:val="24"/>
                  <w:highlight w:val="none"/>
                  <w:shd w:val="clear" w:color="auto" w:fill="auto"/>
                  <w:lang w:val="en-US" w:eastAsia="zh-CN"/>
                  <w:rPrChange w:id="24" w:author="谢晗" w:date="2023-11-17T09:07:05Z">
                    <w:rPr>
                      <w:rFonts w:hint="eastAsia" w:ascii="宋体" w:hAnsi="宋体" w:cs="宋体"/>
                      <w:sz w:val="24"/>
                      <w:highlight w:val="yellow"/>
                      <w:shd w:val="clear" w:color="auto" w:fill="auto"/>
                      <w:lang w:val="en-US" w:eastAsia="zh-CN"/>
                    </w:rPr>
                  </w:rPrChange>
                </w:rPr>
                <w:t>甲方</w:t>
              </w:r>
            </w:ins>
            <w:ins w:id="25" w:author="谢晗" w:date="2023-11-17T09:06:14Z">
              <w:r>
                <w:rPr>
                  <w:rFonts w:hint="eastAsia" w:ascii="宋体" w:hAnsi="宋体" w:cs="宋体"/>
                  <w:sz w:val="24"/>
                  <w:highlight w:val="none"/>
                  <w:shd w:val="clear" w:color="auto" w:fill="auto"/>
                  <w:lang w:val="en-US" w:eastAsia="zh-CN"/>
                  <w:rPrChange w:id="26" w:author="谢晗" w:date="2023-11-17T09:07:05Z">
                    <w:rPr>
                      <w:rFonts w:hint="eastAsia" w:ascii="宋体" w:hAnsi="宋体" w:cs="宋体"/>
                      <w:sz w:val="24"/>
                      <w:highlight w:val="yellow"/>
                      <w:shd w:val="clear" w:color="auto" w:fill="auto"/>
                      <w:lang w:val="en-US" w:eastAsia="zh-CN"/>
                    </w:rPr>
                  </w:rPrChange>
                </w:rPr>
                <w:t>应</w:t>
              </w:r>
            </w:ins>
            <w:ins w:id="27" w:author="谢晗" w:date="2023-11-17T09:06:17Z">
              <w:r>
                <w:rPr>
                  <w:rFonts w:hint="eastAsia" w:ascii="宋体" w:hAnsi="宋体" w:cs="宋体"/>
                  <w:sz w:val="24"/>
                  <w:highlight w:val="none"/>
                  <w:shd w:val="clear" w:color="auto" w:fill="auto"/>
                  <w:lang w:val="en-US" w:eastAsia="zh-CN"/>
                  <w:rPrChange w:id="28" w:author="谢晗" w:date="2023-11-17T09:07:05Z">
                    <w:rPr>
                      <w:rFonts w:hint="eastAsia" w:ascii="宋体" w:hAnsi="宋体" w:cs="宋体"/>
                      <w:sz w:val="24"/>
                      <w:highlight w:val="yellow"/>
                      <w:shd w:val="clear" w:color="auto" w:fill="auto"/>
                      <w:lang w:val="en-US" w:eastAsia="zh-CN"/>
                    </w:rPr>
                  </w:rPrChange>
                </w:rPr>
                <w:t>在</w:t>
              </w:r>
            </w:ins>
            <w:ins w:id="29" w:author="谢晗" w:date="2023-11-17T09:06:35Z">
              <w:r>
                <w:rPr>
                  <w:rFonts w:hint="eastAsia" w:ascii="宋体" w:hAnsi="宋体" w:cs="宋体"/>
                  <w:sz w:val="24"/>
                  <w:highlight w:val="none"/>
                  <w:shd w:val="clear" w:color="auto" w:fill="auto"/>
                  <w:lang w:val="en-US" w:eastAsia="zh-CN"/>
                  <w:rPrChange w:id="30" w:author="谢晗" w:date="2023-11-17T09:07:05Z">
                    <w:rPr>
                      <w:rFonts w:hint="eastAsia" w:ascii="宋体" w:hAnsi="宋体" w:cs="宋体"/>
                      <w:sz w:val="24"/>
                      <w:highlight w:val="yellow"/>
                      <w:shd w:val="clear" w:color="auto" w:fill="auto"/>
                      <w:lang w:val="en-US" w:eastAsia="zh-CN"/>
                    </w:rPr>
                  </w:rPrChange>
                </w:rPr>
                <w:t>在</w:t>
              </w:r>
            </w:ins>
            <w:del w:id="31" w:author="谢晗" w:date="2023-11-17T09:06:31Z">
              <w:r>
                <w:rPr>
                  <w:rFonts w:hint="default" w:ascii="宋体" w:hAnsi="宋体" w:cs="宋体"/>
                  <w:sz w:val="24"/>
                  <w:highlight w:val="none"/>
                  <w:shd w:val="clear" w:color="auto" w:fill="auto"/>
                  <w:rPrChange w:id="32" w:author="谢晗" w:date="2023-11-17T09:07:05Z">
                    <w:rPr>
                      <w:rFonts w:hint="eastAsia" w:ascii="宋体" w:hAnsi="宋体" w:cs="宋体"/>
                      <w:sz w:val="24"/>
                    </w:rPr>
                  </w:rPrChange>
                </w:rPr>
                <w:delText>180</w:delText>
              </w:r>
            </w:del>
            <w:ins w:id="33" w:author="谢晗" w:date="2023-11-17T09:06:31Z">
              <w:r>
                <w:rPr>
                  <w:rFonts w:hint="eastAsia" w:ascii="宋体" w:hAnsi="宋体" w:cs="宋体"/>
                  <w:sz w:val="24"/>
                  <w:highlight w:val="none"/>
                  <w:shd w:val="clear" w:color="auto" w:fill="auto"/>
                  <w:lang w:eastAsia="zh-CN"/>
                  <w:rPrChange w:id="34" w:author="谢晗" w:date="2023-11-17T09:07:05Z">
                    <w:rPr>
                      <w:rFonts w:hint="eastAsia" w:ascii="宋体" w:hAnsi="宋体" w:cs="宋体"/>
                      <w:sz w:val="24"/>
                      <w:highlight w:val="yellow"/>
                      <w:shd w:val="clear" w:color="auto" w:fill="auto"/>
                      <w:lang w:eastAsia="zh-CN"/>
                    </w:rPr>
                  </w:rPrChange>
                </w:rPr>
                <w:t>3</w:t>
              </w:r>
            </w:ins>
            <w:ins w:id="35" w:author="谢晗" w:date="2023-11-17T09:06:31Z">
              <w:r>
                <w:rPr>
                  <w:rFonts w:hint="eastAsia" w:ascii="宋体" w:hAnsi="宋体" w:cs="宋体"/>
                  <w:sz w:val="24"/>
                  <w:highlight w:val="none"/>
                  <w:shd w:val="clear" w:color="auto" w:fill="auto"/>
                  <w:lang w:val="en-US" w:eastAsia="zh-CN"/>
                  <w:rPrChange w:id="36" w:author="谢晗" w:date="2023-11-17T09:07:05Z">
                    <w:rPr>
                      <w:rFonts w:hint="eastAsia" w:ascii="宋体" w:hAnsi="宋体" w:cs="宋体"/>
                      <w:sz w:val="24"/>
                      <w:highlight w:val="yellow"/>
                      <w:shd w:val="clear" w:color="auto" w:fill="auto"/>
                      <w:lang w:val="en-US" w:eastAsia="zh-CN"/>
                    </w:rPr>
                  </w:rPrChange>
                </w:rPr>
                <w:t>0</w:t>
              </w:r>
            </w:ins>
            <w:ins w:id="37" w:author="谢晗" w:date="2023-11-17T09:06:38Z">
              <w:r>
                <w:rPr>
                  <w:rFonts w:hint="eastAsia" w:ascii="宋体" w:hAnsi="宋体" w:cs="宋体"/>
                  <w:sz w:val="24"/>
                  <w:highlight w:val="none"/>
                  <w:shd w:val="clear" w:color="auto" w:fill="auto"/>
                  <w:lang w:val="en-US" w:eastAsia="zh-CN"/>
                  <w:rPrChange w:id="38" w:author="谢晗" w:date="2023-11-17T09:07:05Z">
                    <w:rPr>
                      <w:rFonts w:hint="eastAsia" w:ascii="宋体" w:hAnsi="宋体" w:cs="宋体"/>
                      <w:sz w:val="24"/>
                      <w:highlight w:val="yellow"/>
                      <w:shd w:val="clear" w:color="auto" w:fill="auto"/>
                      <w:lang w:val="en-US" w:eastAsia="zh-CN"/>
                    </w:rPr>
                  </w:rPrChange>
                </w:rPr>
                <w:t>个</w:t>
              </w:r>
            </w:ins>
            <w:ins w:id="39" w:author="谢晗" w:date="2023-11-17T09:06:39Z">
              <w:r>
                <w:rPr>
                  <w:rFonts w:hint="eastAsia" w:ascii="宋体" w:hAnsi="宋体" w:cs="宋体"/>
                  <w:sz w:val="24"/>
                  <w:highlight w:val="none"/>
                  <w:shd w:val="clear" w:color="auto" w:fill="auto"/>
                  <w:lang w:val="en-US" w:eastAsia="zh-CN"/>
                  <w:rPrChange w:id="40" w:author="谢晗" w:date="2023-11-17T09:07:05Z">
                    <w:rPr>
                      <w:rFonts w:hint="eastAsia" w:ascii="宋体" w:hAnsi="宋体" w:cs="宋体"/>
                      <w:sz w:val="24"/>
                      <w:highlight w:val="yellow"/>
                      <w:shd w:val="clear" w:color="auto" w:fill="auto"/>
                      <w:lang w:val="en-US" w:eastAsia="zh-CN"/>
                    </w:rPr>
                  </w:rPrChange>
                </w:rPr>
                <w:t>工作</w:t>
              </w:r>
            </w:ins>
            <w:ins w:id="41" w:author="谢晗" w:date="2023-11-17T09:06:42Z">
              <w:r>
                <w:rPr>
                  <w:rFonts w:hint="eastAsia" w:ascii="宋体" w:hAnsi="宋体" w:cs="宋体"/>
                  <w:sz w:val="24"/>
                  <w:highlight w:val="none"/>
                  <w:shd w:val="clear" w:color="auto" w:fill="auto"/>
                  <w:lang w:val="en-US" w:eastAsia="zh-CN"/>
                  <w:rPrChange w:id="42" w:author="谢晗" w:date="2023-11-17T09:07:05Z">
                    <w:rPr>
                      <w:rFonts w:hint="eastAsia" w:ascii="宋体" w:hAnsi="宋体" w:cs="宋体"/>
                      <w:sz w:val="24"/>
                      <w:highlight w:val="yellow"/>
                      <w:shd w:val="clear" w:color="auto" w:fill="auto"/>
                      <w:lang w:val="en-US" w:eastAsia="zh-CN"/>
                    </w:rPr>
                  </w:rPrChange>
                </w:rPr>
                <w:t>日</w:t>
              </w:r>
            </w:ins>
            <w:del w:id="43" w:author="谢晗" w:date="2023-11-17T09:06:40Z">
              <w:r>
                <w:rPr>
                  <w:rFonts w:hint="eastAsia" w:ascii="宋体" w:hAnsi="宋体" w:cs="宋体"/>
                  <w:sz w:val="24"/>
                  <w:highlight w:val="none"/>
                  <w:shd w:val="clear" w:color="auto" w:fill="auto"/>
                  <w:rPrChange w:id="44" w:author="谢晗" w:date="2023-11-17T09:07:05Z">
                    <w:rPr>
                      <w:rFonts w:hint="eastAsia" w:ascii="宋体" w:hAnsi="宋体" w:cs="宋体"/>
                      <w:sz w:val="24"/>
                    </w:rPr>
                  </w:rPrChange>
                </w:rPr>
                <w:delText>日</w:delText>
              </w:r>
            </w:del>
            <w:r>
              <w:rPr>
                <w:rFonts w:hint="eastAsia" w:ascii="宋体" w:hAnsi="宋体" w:cs="宋体"/>
                <w:sz w:val="24"/>
                <w:highlight w:val="none"/>
                <w:shd w:val="clear" w:color="auto" w:fill="auto"/>
                <w:rPrChange w:id="45" w:author="谢晗" w:date="2023-11-17T09:07:05Z">
                  <w:rPr>
                    <w:rFonts w:hint="eastAsia" w:ascii="宋体" w:hAnsi="宋体" w:cs="宋体"/>
                    <w:sz w:val="24"/>
                  </w:rPr>
                </w:rPrChange>
              </w:rPr>
              <w:t>内，</w:t>
            </w:r>
            <w:ins w:id="46" w:author="谢晗" w:date="2023-11-17T09:06:48Z">
              <w:r>
                <w:rPr>
                  <w:rFonts w:hint="eastAsia" w:ascii="宋体" w:hAnsi="宋体" w:cs="宋体"/>
                  <w:sz w:val="24"/>
                  <w:highlight w:val="none"/>
                  <w:shd w:val="clear" w:color="auto" w:fill="auto"/>
                  <w:lang w:val="en-US" w:eastAsia="zh-CN"/>
                  <w:rPrChange w:id="47" w:author="谢晗" w:date="2023-11-17T09:07:05Z">
                    <w:rPr>
                      <w:rFonts w:hint="eastAsia" w:ascii="宋体" w:hAnsi="宋体" w:cs="宋体"/>
                      <w:sz w:val="24"/>
                      <w:highlight w:val="yellow"/>
                      <w:shd w:val="clear" w:color="auto" w:fill="auto"/>
                      <w:lang w:val="en-US" w:eastAsia="zh-CN"/>
                    </w:rPr>
                  </w:rPrChange>
                </w:rPr>
                <w:t>完成</w:t>
              </w:r>
            </w:ins>
            <w:r>
              <w:rPr>
                <w:rFonts w:hint="eastAsia" w:ascii="宋体" w:hAnsi="宋体" w:cs="宋体"/>
                <w:sz w:val="24"/>
                <w:highlight w:val="none"/>
                <w:shd w:val="clear" w:color="auto" w:fill="auto"/>
                <w:rPrChange w:id="48" w:author="谢晗" w:date="2023-11-17T09:07:05Z">
                  <w:rPr>
                    <w:rFonts w:hint="eastAsia" w:ascii="宋体" w:hAnsi="宋体" w:cs="宋体"/>
                    <w:sz w:val="24"/>
                  </w:rPr>
                </w:rPrChange>
              </w:rPr>
              <w:t>一次性支付合同金额100%</w:t>
            </w:r>
            <w:r>
              <w:rPr>
                <w:rFonts w:hint="eastAsia" w:ascii="宋体" w:hAnsi="宋体" w:cs="宋体"/>
                <w:sz w:val="24"/>
                <w:highlight w:val="none"/>
                <w:shd w:val="clear" w:color="auto" w:fill="auto"/>
                <w:lang w:eastAsia="zh-CN"/>
              </w:rPr>
              <w:t>。（</w:t>
            </w:r>
            <w:r>
              <w:rPr>
                <w:rFonts w:hint="eastAsia" w:ascii="宋体" w:hAnsi="宋体" w:cs="宋体"/>
                <w:sz w:val="24"/>
                <w:highlight w:val="none"/>
                <w:shd w:val="clear" w:color="auto" w:fill="auto"/>
                <w:lang w:val="en-US" w:eastAsia="zh-CN"/>
              </w:rPr>
              <w:t>具体内容以双方约定为准）</w:t>
            </w:r>
          </w:p>
          <w:p>
            <w:pPr>
              <w:spacing w:line="500" w:lineRule="atLeast"/>
              <w:ind w:firstLine="480" w:firstLineChars="200"/>
              <w:rPr>
                <w:rFonts w:ascii="宋体" w:hAnsi="宋体" w:cs="宋体"/>
                <w:sz w:val="24"/>
              </w:rPr>
            </w:pPr>
            <w:r>
              <w:rPr>
                <w:rFonts w:hint="eastAsia" w:ascii="宋体" w:hAnsi="宋体" w:cs="宋体"/>
                <w:sz w:val="24"/>
              </w:rPr>
              <w:t>（2）乙方应于甲方付款前提供等额增值税专用发票给甲方。</w:t>
            </w:r>
          </w:p>
          <w:p>
            <w:pPr>
              <w:spacing w:line="500" w:lineRule="atLeast"/>
              <w:rPr>
                <w:rFonts w:ascii="宋体" w:hAnsi="宋体" w:cs="宋体"/>
                <w:sz w:val="24"/>
              </w:rPr>
            </w:pPr>
            <w:r>
              <w:rPr>
                <w:rFonts w:hint="eastAsia" w:ascii="宋体" w:hAnsi="宋体" w:cs="宋体"/>
                <w:sz w:val="24"/>
              </w:rPr>
              <w:t xml:space="preserve">    </w:t>
            </w:r>
            <w:r>
              <w:rPr>
                <w:rFonts w:hint="eastAsia" w:ascii="宋体" w:hAnsi="宋体" w:cs="宋体"/>
                <w:b/>
                <w:sz w:val="28"/>
              </w:rPr>
              <w:t>第七条、违约金或者损失赔偿额的计算方法</w:t>
            </w:r>
          </w:p>
          <w:p>
            <w:pPr>
              <w:spacing w:line="500" w:lineRule="atLeast"/>
              <w:ind w:firstLine="480" w:firstLineChars="200"/>
              <w:rPr>
                <w:rFonts w:ascii="宋体" w:hAnsi="宋体" w:cs="宋体"/>
                <w:sz w:val="24"/>
              </w:rPr>
            </w:pPr>
            <w:r>
              <w:rPr>
                <w:rFonts w:hint="eastAsia" w:ascii="宋体" w:hAnsi="宋体" w:cs="宋体"/>
                <w:sz w:val="24"/>
              </w:rPr>
              <w:t>7.1 甲方授权乙方严格按照国家相关技术指标开展设计工作，并不得将设计结果作为项目验收和付款的依据。</w:t>
            </w:r>
          </w:p>
          <w:p>
            <w:pPr>
              <w:spacing w:line="500" w:lineRule="atLeast"/>
              <w:ind w:firstLine="480" w:firstLineChars="200"/>
              <w:rPr>
                <w:rFonts w:ascii="宋体" w:hAnsi="宋体" w:cs="宋体"/>
                <w:sz w:val="24"/>
              </w:rPr>
            </w:pPr>
            <w:r>
              <w:rPr>
                <w:rFonts w:hint="eastAsia" w:ascii="宋体" w:hAnsi="宋体" w:cs="宋体"/>
                <w:sz w:val="24"/>
              </w:rPr>
              <w:t>7.2 若因甲方提供的信息及相应协作、配合工作不符合本协议第一条、第二条的要求造成乙方设计工作无法开展，乙方应要求甲方补充材料，因此而延误的时间乙方将在本协议规定的期限基础上顺延。</w:t>
            </w:r>
          </w:p>
          <w:p>
            <w:pPr>
              <w:spacing w:line="360" w:lineRule="auto"/>
              <w:ind w:firstLine="480" w:firstLineChars="200"/>
              <w:rPr>
                <w:rFonts w:ascii="宋体" w:hAnsi="宋体" w:cs="宋体"/>
                <w:sz w:val="24"/>
              </w:rPr>
            </w:pPr>
            <w:r>
              <w:rPr>
                <w:rFonts w:hint="eastAsia" w:ascii="宋体" w:hAnsi="宋体" w:cs="宋体"/>
                <w:sz w:val="24"/>
              </w:rPr>
              <w:t>7.3 由于乙方单方原因造成的，乙方工作比照双方约定的完成且项目验收通过时间延误的，则每延误一天（不足一天的，按一天计算），乙方应当向甲方支付费用总额2‰的违约金并赔偿由此给甲方造成的全部损失。</w:t>
            </w:r>
          </w:p>
          <w:p>
            <w:pPr>
              <w:spacing w:line="360" w:lineRule="auto"/>
              <w:rPr>
                <w:rFonts w:ascii="宋体" w:hAnsi="宋体" w:cs="宋体"/>
                <w:sz w:val="24"/>
              </w:rPr>
            </w:pPr>
            <w:r>
              <w:rPr>
                <w:rFonts w:hint="eastAsia" w:ascii="宋体" w:hAnsi="宋体" w:cs="宋体"/>
                <w:sz w:val="24"/>
              </w:rPr>
              <w:t xml:space="preserve">    7.4 乙方如出现以下任一情形时，乙方除应承担本合同其他条款约定的违约责任（若有）外，甲方有权要求乙方支付费用总额的10%的违约金并赔偿甲方的全部损失，具体赔偿金额由甲方根据违约严重程度确定，同时甲方有权单方解除本合同：</w:t>
            </w:r>
          </w:p>
          <w:p>
            <w:pPr>
              <w:spacing w:line="360" w:lineRule="auto"/>
              <w:ind w:firstLine="480" w:firstLineChars="200"/>
              <w:rPr>
                <w:rFonts w:ascii="宋体" w:hAnsi="宋体" w:cs="宋体"/>
                <w:sz w:val="24"/>
              </w:rPr>
            </w:pPr>
            <w:r>
              <w:rPr>
                <w:rFonts w:hint="eastAsia" w:ascii="宋体" w:hAnsi="宋体" w:cs="宋体"/>
                <w:sz w:val="24"/>
              </w:rPr>
              <w:t>（1）乙方拒不履行合同义务或所提供的服务不符合合同约定或不能满足甲方要求的；</w:t>
            </w:r>
          </w:p>
          <w:p>
            <w:pPr>
              <w:spacing w:line="360" w:lineRule="auto"/>
              <w:ind w:firstLine="480" w:firstLineChars="200"/>
              <w:rPr>
                <w:rFonts w:ascii="宋体" w:hAnsi="宋体" w:cs="宋体"/>
                <w:sz w:val="24"/>
              </w:rPr>
            </w:pPr>
            <w:r>
              <w:rPr>
                <w:rFonts w:hint="eastAsia" w:ascii="宋体" w:hAnsi="宋体" w:cs="宋体"/>
                <w:sz w:val="24"/>
              </w:rPr>
              <w:t>（2）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pPr>
              <w:spacing w:line="360" w:lineRule="auto"/>
              <w:ind w:firstLine="480" w:firstLineChars="200"/>
              <w:rPr>
                <w:rFonts w:ascii="宋体" w:hAnsi="宋体" w:cs="宋体"/>
                <w:sz w:val="24"/>
              </w:rPr>
            </w:pPr>
            <w:r>
              <w:rPr>
                <w:rFonts w:hint="eastAsia" w:ascii="宋体" w:hAnsi="宋体" w:cs="宋体"/>
                <w:sz w:val="24"/>
              </w:rPr>
              <w:t>（3）乙方提供给甲方的相关公司资质信息造假；乙方不配合甲方检查或配合甲方接受银行业监管机构的相关审查或在审查中提供虚假信息；乙方隐瞒公司重大不良事件或对合同执行有影响的公司重大变动信息；出现合同项下工作的转包或分包。</w:t>
            </w:r>
          </w:p>
          <w:p>
            <w:pPr>
              <w:spacing w:line="360" w:lineRule="auto"/>
              <w:ind w:firstLine="480" w:firstLineChars="200"/>
              <w:rPr>
                <w:rFonts w:ascii="宋体" w:hAnsi="宋体" w:cs="宋体"/>
                <w:sz w:val="24"/>
              </w:rPr>
            </w:pPr>
            <w:r>
              <w:rPr>
                <w:rFonts w:hint="eastAsia" w:ascii="宋体" w:hAnsi="宋体" w:cs="宋体"/>
                <w:sz w:val="24"/>
              </w:rPr>
              <w:t>（4）故意在程序中设置恶意代码或后门；未经甲方许可直接在生产环境操作并接触敏感的生产数据；</w:t>
            </w:r>
          </w:p>
          <w:p>
            <w:pPr>
              <w:spacing w:line="360" w:lineRule="auto"/>
              <w:ind w:firstLine="480" w:firstLineChars="200"/>
              <w:rPr>
                <w:rFonts w:ascii="宋体" w:hAnsi="宋体" w:cs="宋体"/>
                <w:sz w:val="24"/>
              </w:rPr>
            </w:pPr>
            <w:r>
              <w:rPr>
                <w:rFonts w:hint="eastAsia" w:ascii="宋体" w:hAnsi="宋体" w:cs="宋体"/>
                <w:sz w:val="24"/>
              </w:rPr>
              <w:t>（5）侵犯甲方知识产权；侵犯第三方知识产权；违反保密协议要求；乙方派出人员未遵守甲方相关规定，造成事故发生或保密信息外泄。</w:t>
            </w:r>
          </w:p>
          <w:p>
            <w:pPr>
              <w:spacing w:line="360" w:lineRule="auto"/>
              <w:ind w:firstLine="480" w:firstLineChars="200"/>
              <w:rPr>
                <w:rFonts w:ascii="宋体" w:hAnsi="宋体" w:cs="宋体"/>
                <w:sz w:val="24"/>
              </w:rPr>
            </w:pPr>
            <w:r>
              <w:rPr>
                <w:rFonts w:hint="eastAsia" w:ascii="宋体" w:hAnsi="宋体" w:cs="宋体"/>
                <w:sz w:val="24"/>
              </w:rPr>
              <w:t>（6）乙方将本合同约定之专业服务或部分服务再行委托给第三方的；</w:t>
            </w:r>
          </w:p>
          <w:p>
            <w:pPr>
              <w:spacing w:line="360" w:lineRule="auto"/>
              <w:ind w:firstLine="480" w:firstLineChars="200"/>
              <w:rPr>
                <w:rFonts w:ascii="宋体" w:hAnsi="宋体" w:cs="宋体"/>
                <w:sz w:val="24"/>
              </w:rPr>
            </w:pPr>
            <w:r>
              <w:rPr>
                <w:rFonts w:hint="eastAsia" w:ascii="宋体" w:hAnsi="宋体" w:cs="宋体"/>
                <w:sz w:val="24"/>
              </w:rPr>
              <w:t>（7）乙方出现违反本合同约定的其他情形。</w:t>
            </w:r>
          </w:p>
          <w:p>
            <w:pPr>
              <w:spacing w:line="500" w:lineRule="atLeast"/>
              <w:ind w:firstLine="480" w:firstLineChars="200"/>
              <w:rPr>
                <w:rFonts w:ascii="宋体" w:hAnsi="宋体" w:cs="宋体"/>
                <w:sz w:val="24"/>
              </w:rPr>
            </w:pPr>
            <w:r>
              <w:rPr>
                <w:rFonts w:hint="eastAsia" w:ascii="宋体" w:hAnsi="宋体" w:cs="宋体"/>
                <w:sz w:val="24"/>
              </w:rPr>
              <w:t>7.5 设计工作进入合同履行日期后，若甲方单方面取消服务委托，应向乙方赔付合同金额全额。</w:t>
            </w:r>
          </w:p>
          <w:p>
            <w:pPr>
              <w:spacing w:line="500" w:lineRule="atLeast"/>
              <w:ind w:firstLine="480" w:firstLineChars="200"/>
              <w:rPr>
                <w:rFonts w:ascii="宋体" w:hAnsi="宋体" w:cs="宋体"/>
                <w:sz w:val="24"/>
              </w:rPr>
            </w:pPr>
            <w:r>
              <w:rPr>
                <w:rFonts w:hint="eastAsia" w:ascii="宋体" w:hAnsi="宋体" w:cs="宋体"/>
                <w:sz w:val="24"/>
              </w:rPr>
              <w:t>7.6 若因乙方技术原因不能完成设计工作，乙方应向甲方赔付违约金，为合同金额的30%。</w:t>
            </w:r>
          </w:p>
          <w:p>
            <w:pPr>
              <w:spacing w:line="500" w:lineRule="atLeast"/>
              <w:ind w:firstLine="480" w:firstLineChars="200"/>
              <w:rPr>
                <w:rFonts w:ascii="宋体" w:hAnsi="宋体" w:cs="宋体"/>
                <w:sz w:val="24"/>
              </w:rPr>
            </w:pPr>
            <w:r>
              <w:rPr>
                <w:rFonts w:hint="eastAsia" w:ascii="宋体" w:hAnsi="宋体" w:cs="宋体"/>
                <w:sz w:val="24"/>
              </w:rPr>
              <w:t>7.7 甲方未按合同规定的付款时间准时支付合同款项时，应从最后付款日十日后的次日起，每日向乙方偿付逾期付款部分总值的万分之三的违约金。</w:t>
            </w:r>
          </w:p>
          <w:p>
            <w:pPr>
              <w:spacing w:line="500" w:lineRule="atLeast"/>
              <w:rPr>
                <w:rFonts w:ascii="宋体" w:hAnsi="宋体" w:cs="宋体"/>
                <w:b/>
                <w:bCs/>
                <w:sz w:val="28"/>
              </w:rPr>
            </w:pPr>
            <w:r>
              <w:rPr>
                <w:rFonts w:hint="eastAsia" w:ascii="宋体" w:hAnsi="宋体" w:cs="宋体"/>
                <w:b/>
                <w:bCs/>
                <w:sz w:val="28"/>
              </w:rPr>
              <w:t>第八条、争议的解决办法</w:t>
            </w:r>
          </w:p>
          <w:p>
            <w:pPr>
              <w:spacing w:line="500" w:lineRule="atLeast"/>
              <w:ind w:firstLine="480" w:firstLineChars="200"/>
              <w:rPr>
                <w:rFonts w:ascii="宋体" w:hAnsi="宋体" w:cs="宋体"/>
                <w:sz w:val="24"/>
              </w:rPr>
            </w:pPr>
            <w:r>
              <w:rPr>
                <w:rFonts w:hint="eastAsia" w:ascii="宋体" w:hAnsi="宋体" w:cs="宋体"/>
                <w:sz w:val="24"/>
              </w:rPr>
              <w:t>本合同在履行过程中发生争议，双方应本着诚意友好协商解决。若双方不愿协商、调解解决或者协商、调解不成的，双方商定，采用以下第</w:t>
            </w:r>
            <w:r>
              <w:rPr>
                <w:rFonts w:hint="eastAsia" w:ascii="宋体" w:hAnsi="宋体" w:cs="宋体"/>
                <w:sz w:val="24"/>
                <w:u w:val="single"/>
              </w:rPr>
              <w:t xml:space="preserve">  1  </w:t>
            </w:r>
            <w:r>
              <w:rPr>
                <w:rFonts w:hint="eastAsia" w:ascii="宋体" w:hAnsi="宋体" w:cs="宋体"/>
                <w:sz w:val="24"/>
              </w:rPr>
              <w:t>种方式解决。</w:t>
            </w:r>
          </w:p>
          <w:p>
            <w:pPr>
              <w:spacing w:line="500" w:lineRule="atLeast"/>
              <w:ind w:left="360"/>
              <w:rPr>
                <w:rFonts w:ascii="宋体" w:hAnsi="宋体" w:cs="宋体"/>
                <w:sz w:val="24"/>
              </w:rPr>
            </w:pPr>
            <w:r>
              <w:rPr>
                <w:rFonts w:hint="eastAsia" w:ascii="宋体" w:hAnsi="宋体" w:cs="宋体"/>
                <w:sz w:val="24"/>
              </w:rPr>
              <w:t>(1) 因本合同所发生的任何争议，申请</w:t>
            </w:r>
            <w:r>
              <w:rPr>
                <w:rFonts w:hint="eastAsia" w:ascii="宋体" w:hAnsi="宋体" w:cs="宋体"/>
                <w:sz w:val="24"/>
                <w:u w:val="single"/>
              </w:rPr>
              <w:t xml:space="preserve"> 重庆仲裁委员会 </w:t>
            </w:r>
            <w:r>
              <w:rPr>
                <w:rFonts w:hint="eastAsia" w:ascii="宋体" w:hAnsi="宋体" w:cs="宋体"/>
                <w:sz w:val="24"/>
              </w:rPr>
              <w:t>仲裁；</w:t>
            </w:r>
          </w:p>
          <w:p>
            <w:pPr>
              <w:spacing w:line="500" w:lineRule="atLeast"/>
              <w:ind w:left="360"/>
              <w:rPr>
                <w:rFonts w:ascii="宋体" w:hAnsi="宋体" w:cs="宋体"/>
                <w:sz w:val="24"/>
              </w:rPr>
            </w:pPr>
            <w:r>
              <w:rPr>
                <w:rFonts w:hint="eastAsia" w:ascii="宋体" w:hAnsi="宋体" w:cs="宋体"/>
                <w:sz w:val="24"/>
              </w:rPr>
              <w:t>(2) 诉讼方式解决争议。</w:t>
            </w:r>
          </w:p>
          <w:p>
            <w:pPr>
              <w:spacing w:line="640" w:lineRule="exact"/>
              <w:rPr>
                <w:rFonts w:ascii="宋体" w:hAnsi="宋体" w:cs="宋体"/>
                <w:b/>
                <w:bCs/>
                <w:sz w:val="28"/>
              </w:rPr>
            </w:pPr>
            <w:r>
              <w:rPr>
                <w:rFonts w:hint="eastAsia" w:ascii="宋体" w:hAnsi="宋体" w:cs="宋体"/>
                <w:b/>
                <w:bCs/>
                <w:sz w:val="28"/>
              </w:rPr>
              <w:t>第九条、其它</w:t>
            </w:r>
          </w:p>
          <w:p>
            <w:pPr>
              <w:spacing w:line="500" w:lineRule="atLeast"/>
              <w:ind w:firstLine="480" w:firstLineChars="200"/>
              <w:rPr>
                <w:rFonts w:ascii="宋体" w:hAnsi="宋体" w:cs="宋体"/>
                <w:sz w:val="24"/>
              </w:rPr>
            </w:pPr>
            <w:r>
              <w:rPr>
                <w:rFonts w:hint="eastAsia" w:ascii="宋体" w:hAnsi="宋体" w:cs="宋体"/>
                <w:sz w:val="24"/>
              </w:rPr>
              <w:t>9.1 合同在双方签字盖章后生效。未尽事宜，以附件的形式补充或修正条款，双方签字盖章后，具有同等法律效力。</w:t>
            </w:r>
          </w:p>
          <w:p>
            <w:pPr>
              <w:spacing w:line="500" w:lineRule="atLeast"/>
              <w:ind w:firstLine="480" w:firstLineChars="200"/>
              <w:rPr>
                <w:rFonts w:ascii="宋体" w:hAnsi="宋体" w:cs="宋体"/>
                <w:sz w:val="24"/>
              </w:rPr>
            </w:pPr>
            <w:r>
              <w:rPr>
                <w:rFonts w:hint="eastAsia" w:ascii="宋体" w:hAnsi="宋体" w:cs="宋体"/>
                <w:sz w:val="24"/>
              </w:rPr>
              <w:t>9.2 本合同一式陆份，甲、乙双方各执叁份。</w:t>
            </w:r>
          </w:p>
          <w:p>
            <w:pPr>
              <w:spacing w:line="500" w:lineRule="atLeast"/>
              <w:ind w:firstLine="480" w:firstLineChars="200"/>
              <w:rPr>
                <w:rFonts w:ascii="宋体" w:hAnsi="宋体" w:cs="宋体"/>
                <w:sz w:val="24"/>
              </w:rPr>
            </w:pPr>
            <w:r>
              <w:rPr>
                <w:rFonts w:hint="eastAsia" w:ascii="宋体" w:hAnsi="宋体" w:cs="宋体"/>
                <w:sz w:val="24"/>
              </w:rPr>
              <w:t>9.3 本协议附件为：</w:t>
            </w:r>
          </w:p>
          <w:p>
            <w:pPr>
              <w:spacing w:line="500" w:lineRule="atLeast"/>
              <w:ind w:firstLine="960" w:firstLineChars="400"/>
              <w:rPr>
                <w:rFonts w:ascii="宋体" w:hAnsi="宋体" w:cs="宋体"/>
                <w:sz w:val="24"/>
              </w:rPr>
            </w:pPr>
            <w:r>
              <w:rPr>
                <w:rFonts w:hint="eastAsia" w:ascii="宋体" w:hAnsi="宋体" w:cs="宋体"/>
                <w:sz w:val="24"/>
              </w:rPr>
              <w:t>附件一：高速公路省界不停车超限检测预警系统建设项目设计保密协议</w:t>
            </w:r>
          </w:p>
          <w:p>
            <w:pPr>
              <w:spacing w:line="640" w:lineRule="exact"/>
              <w:rPr>
                <w:rFonts w:ascii="宋体" w:hAnsi="宋体" w:cs="宋体"/>
                <w:sz w:val="24"/>
              </w:rPr>
            </w:pPr>
          </w:p>
          <w:p>
            <w:pPr>
              <w:spacing w:line="640" w:lineRule="exact"/>
              <w:ind w:firstLine="240" w:firstLineChars="100"/>
              <w:rPr>
                <w:rFonts w:ascii="宋体" w:hAnsi="宋体" w:cs="宋体"/>
                <w:sz w:val="24"/>
              </w:rPr>
            </w:pPr>
            <w:r>
              <w:rPr>
                <w:rFonts w:hint="eastAsia" w:ascii="宋体" w:hAnsi="宋体" w:cs="宋体"/>
                <w:sz w:val="24"/>
              </w:rPr>
              <w:t>--------------------------------此页以下无正文-----------------------------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640" w:lineRule="exact"/>
              <w:ind w:firstLine="240" w:firstLineChars="100"/>
              <w:rPr>
                <w:rFonts w:ascii="宋体" w:hAnsi="宋体" w:cs="宋体"/>
                <w:sz w:val="24"/>
              </w:rPr>
            </w:pPr>
          </w:p>
        </w:tc>
      </w:tr>
    </w:tbl>
    <w:p>
      <w:pPr>
        <w:pStyle w:val="13"/>
      </w:pP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221"/>
        <w:gridCol w:w="2742"/>
        <w:gridCol w:w="1260"/>
        <w:gridCol w:w="540"/>
        <w:gridCol w:w="532"/>
        <w:gridCol w:w="18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68" w:type="dxa"/>
            <w:vMerge w:val="restart"/>
          </w:tcPr>
          <w:p>
            <w:pPr>
              <w:spacing w:before="93" w:beforeLines="30" w:after="93" w:afterLines="30" w:line="240" w:lineRule="atLeast"/>
              <w:jc w:val="center"/>
              <w:rPr>
                <w:rFonts w:ascii="宋体" w:hAnsi="宋体" w:cs="宋体"/>
                <w:sz w:val="24"/>
              </w:rPr>
            </w:pPr>
            <w:r>
              <w:rPr>
                <w:rFonts w:hint="eastAsia" w:ascii="宋体" w:hAnsi="宋体" w:cs="宋体"/>
              </w:rPr>
              <w:br w:type="page"/>
            </w:r>
          </w:p>
          <w:p>
            <w:pPr>
              <w:spacing w:before="93" w:beforeLines="30" w:after="93" w:afterLines="30" w:line="240" w:lineRule="atLeast"/>
              <w:jc w:val="center"/>
              <w:rPr>
                <w:rFonts w:ascii="宋体" w:hAnsi="宋体" w:cs="宋体"/>
                <w:sz w:val="24"/>
              </w:rPr>
            </w:pPr>
            <w:r>
              <w:rPr>
                <w:rFonts w:hint="eastAsia" w:ascii="宋体" w:hAnsi="宋体" w:cs="宋体"/>
                <w:sz w:val="24"/>
              </w:rPr>
              <w:t>委</w:t>
            </w:r>
          </w:p>
          <w:p>
            <w:pPr>
              <w:spacing w:before="93" w:beforeLines="30" w:after="93" w:afterLines="30" w:line="240" w:lineRule="atLeast"/>
              <w:jc w:val="center"/>
              <w:rPr>
                <w:rFonts w:ascii="宋体" w:hAnsi="宋体" w:cs="宋体"/>
                <w:sz w:val="24"/>
              </w:rPr>
            </w:pPr>
            <w:r>
              <w:rPr>
                <w:rFonts w:hint="eastAsia" w:ascii="宋体" w:hAnsi="宋体" w:cs="宋体"/>
                <w:sz w:val="24"/>
              </w:rPr>
              <w:t>托</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甲</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tc>
        <w:tc>
          <w:tcPr>
            <w:tcW w:w="2221" w:type="dxa"/>
            <w:vAlign w:val="center"/>
          </w:tcPr>
          <w:p>
            <w:pPr>
              <w:rPr>
                <w:rFonts w:ascii="宋体" w:hAnsi="宋体" w:cs="宋体"/>
                <w:sz w:val="24"/>
              </w:rPr>
            </w:pPr>
            <w:r>
              <w:rPr>
                <w:rFonts w:hint="eastAsia" w:ascii="宋体" w:hAnsi="宋体" w:cs="宋体"/>
                <w:sz w:val="24"/>
              </w:rPr>
              <w:t xml:space="preserve">名称（或姓名）  </w:t>
            </w:r>
          </w:p>
        </w:tc>
        <w:tc>
          <w:tcPr>
            <w:tcW w:w="6775" w:type="dxa"/>
            <w:gridSpan w:val="6"/>
            <w:vAlign w:val="center"/>
          </w:tcPr>
          <w:p>
            <w:pPr>
              <w:ind w:firstLine="480" w:firstLineChars="200"/>
              <w:rPr>
                <w:rFonts w:ascii="宋体" w:hAnsi="宋体" w:cs="宋体"/>
                <w:sz w:val="24"/>
              </w:rPr>
            </w:pPr>
            <w:r>
              <w:rPr>
                <w:rFonts w:hint="eastAsia" w:ascii="宋体" w:hAnsi="宋体"/>
                <w:sz w:val="24"/>
              </w:rPr>
              <w:t xml:space="preserve"> </w:t>
            </w:r>
            <w:r>
              <w:rPr>
                <w:rFonts w:ascii="宋体" w:hAnsi="宋体"/>
                <w:sz w:val="24"/>
              </w:rPr>
              <w:t xml:space="preserve">                       </w:t>
            </w: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统一社会信用代码</w:t>
            </w:r>
          </w:p>
        </w:tc>
        <w:tc>
          <w:tcPr>
            <w:tcW w:w="6775" w:type="dxa"/>
            <w:gridSpan w:val="6"/>
            <w:vAlign w:val="center"/>
          </w:tcPr>
          <w:p>
            <w:pPr>
              <w:spacing w:before="93" w:beforeLines="30" w:after="93" w:afterLines="30" w:line="240" w:lineRule="atLeast"/>
              <w:jc w:val="righ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法定代表人</w:t>
            </w:r>
          </w:p>
        </w:tc>
        <w:tc>
          <w:tcPr>
            <w:tcW w:w="2742" w:type="dxa"/>
            <w:vAlign w:val="center"/>
          </w:tcPr>
          <w:p>
            <w:pPr>
              <w:spacing w:before="93" w:beforeLines="30" w:after="93" w:afterLines="30" w:line="240" w:lineRule="atLeast"/>
              <w:jc w:val="right"/>
              <w:rPr>
                <w:rFonts w:ascii="宋体" w:hAnsi="宋体" w:cs="宋体"/>
                <w:sz w:val="24"/>
              </w:rPr>
            </w:pPr>
            <w:r>
              <w:rPr>
                <w:rFonts w:hint="eastAsia" w:ascii="宋体" w:hAnsi="宋体" w:cs="宋体"/>
                <w:sz w:val="24"/>
              </w:rPr>
              <w:t>（签章）</w:t>
            </w:r>
          </w:p>
        </w:tc>
        <w:tc>
          <w:tcPr>
            <w:tcW w:w="1800" w:type="dxa"/>
            <w:gridSpan w:val="2"/>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委托代理人</w:t>
            </w:r>
          </w:p>
        </w:tc>
        <w:tc>
          <w:tcPr>
            <w:tcW w:w="2233" w:type="dxa"/>
            <w:gridSpan w:val="3"/>
            <w:vAlign w:val="center"/>
          </w:tcPr>
          <w:p>
            <w:pPr>
              <w:spacing w:before="93" w:beforeLines="30" w:after="93" w:afterLines="30" w:line="240" w:lineRule="atLeast"/>
              <w:jc w:val="right"/>
              <w:rPr>
                <w:rFonts w:ascii="宋体" w:hAnsi="宋体" w:cs="宋体"/>
                <w:sz w:val="24"/>
              </w:rPr>
            </w:pPr>
            <w:r>
              <w:rPr>
                <w:rFonts w:hint="eastAsia" w:ascii="宋体" w:hAnsi="宋体" w:cs="宋体"/>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8" w:type="dxa"/>
            <w:vMerge w:val="continue"/>
          </w:tcPr>
          <w:p>
            <w:pPr>
              <w:rPr>
                <w:rFonts w:ascii="宋体" w:hAnsi="宋体" w:cs="宋体"/>
              </w:rPr>
            </w:pPr>
          </w:p>
        </w:tc>
        <w:tc>
          <w:tcPr>
            <w:tcW w:w="2221" w:type="dxa"/>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通讯地址</w:t>
            </w:r>
          </w:p>
        </w:tc>
        <w:tc>
          <w:tcPr>
            <w:tcW w:w="6775" w:type="dxa"/>
            <w:gridSpan w:val="6"/>
            <w:vAlign w:val="center"/>
          </w:tcPr>
          <w:p>
            <w:pPr>
              <w:pStyle w:val="8"/>
              <w:spacing w:before="0" w:after="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联系人、联系电话</w:t>
            </w:r>
          </w:p>
        </w:tc>
        <w:tc>
          <w:tcPr>
            <w:tcW w:w="4002" w:type="dxa"/>
            <w:gridSpan w:val="2"/>
            <w:vAlign w:val="center"/>
          </w:tcPr>
          <w:p>
            <w:pPr>
              <w:spacing w:before="93" w:beforeLines="30" w:after="93" w:afterLines="30" w:line="240" w:lineRule="atLeast"/>
              <w:ind w:firstLine="480" w:firstLineChars="200"/>
              <w:jc w:val="center"/>
              <w:rPr>
                <w:rFonts w:ascii="宋体" w:hAnsi="宋体" w:cs="宋体"/>
                <w:sz w:val="24"/>
              </w:rPr>
            </w:pPr>
          </w:p>
        </w:tc>
        <w:tc>
          <w:tcPr>
            <w:tcW w:w="1072" w:type="dxa"/>
            <w:gridSpan w:val="2"/>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传  真</w:t>
            </w:r>
          </w:p>
        </w:tc>
        <w:tc>
          <w:tcPr>
            <w:tcW w:w="1701" w:type="dxa"/>
            <w:gridSpan w:val="2"/>
            <w:vAlign w:val="center"/>
          </w:tcPr>
          <w:p>
            <w:pPr>
              <w:spacing w:before="93" w:beforeLines="30" w:after="93" w:afterLines="30"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开户银行</w:t>
            </w:r>
          </w:p>
        </w:tc>
        <w:tc>
          <w:tcPr>
            <w:tcW w:w="6775" w:type="dxa"/>
            <w:gridSpan w:val="6"/>
            <w:vAlign w:val="center"/>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帐     号</w:t>
            </w:r>
          </w:p>
        </w:tc>
        <w:tc>
          <w:tcPr>
            <w:tcW w:w="4002" w:type="dxa"/>
            <w:gridSpan w:val="2"/>
          </w:tcPr>
          <w:p>
            <w:pPr>
              <w:spacing w:before="93" w:beforeLines="30" w:after="93" w:afterLines="30" w:line="240" w:lineRule="atLeast"/>
              <w:jc w:val="left"/>
              <w:rPr>
                <w:rFonts w:ascii="宋体" w:hAnsi="宋体" w:cs="宋体"/>
                <w:sz w:val="24"/>
              </w:rPr>
            </w:pPr>
          </w:p>
        </w:tc>
        <w:tc>
          <w:tcPr>
            <w:tcW w:w="1256" w:type="dxa"/>
            <w:gridSpan w:val="3"/>
          </w:tcPr>
          <w:p>
            <w:pPr>
              <w:spacing w:before="93" w:beforeLines="30" w:after="93" w:afterLines="30" w:line="240" w:lineRule="atLeast"/>
              <w:jc w:val="center"/>
              <w:rPr>
                <w:rFonts w:ascii="宋体" w:hAnsi="宋体" w:cs="宋体"/>
                <w:sz w:val="24"/>
              </w:rPr>
            </w:pPr>
            <w:r>
              <w:rPr>
                <w:rFonts w:hint="eastAsia" w:ascii="宋体" w:hAnsi="宋体" w:cs="宋体"/>
                <w:sz w:val="24"/>
              </w:rPr>
              <w:t>邮政编码</w:t>
            </w:r>
          </w:p>
        </w:tc>
        <w:tc>
          <w:tcPr>
            <w:tcW w:w="1517" w:type="dxa"/>
          </w:tcPr>
          <w:p>
            <w:pPr>
              <w:spacing w:before="93" w:beforeLines="30" w:after="93" w:afterLines="30"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受托</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乙</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名称（或姓名）</w:t>
            </w:r>
          </w:p>
        </w:tc>
        <w:tc>
          <w:tcPr>
            <w:tcW w:w="6775" w:type="dxa"/>
            <w:gridSpan w:val="6"/>
          </w:tcPr>
          <w:p>
            <w:pPr>
              <w:spacing w:before="93" w:beforeLines="30" w:after="93" w:afterLines="30" w:line="240" w:lineRule="atLeast"/>
              <w:ind w:firstLine="720" w:firstLineChars="300"/>
              <w:rPr>
                <w:rFonts w:ascii="宋体" w:hAnsi="宋体" w:cs="宋体"/>
                <w:sz w:val="24"/>
              </w:rPr>
            </w:pPr>
            <w:r>
              <w:rPr>
                <w:rFonts w:hint="eastAsia" w:ascii="宋体" w:hAnsi="宋体" w:cs="宋体"/>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统一社会信用代码</w:t>
            </w:r>
          </w:p>
        </w:tc>
        <w:tc>
          <w:tcPr>
            <w:tcW w:w="6775" w:type="dxa"/>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法定代表人</w:t>
            </w:r>
          </w:p>
        </w:tc>
        <w:tc>
          <w:tcPr>
            <w:tcW w:w="2742" w:type="dxa"/>
          </w:tcPr>
          <w:p>
            <w:pPr>
              <w:spacing w:before="93" w:beforeLines="30" w:after="93" w:afterLines="30" w:line="240" w:lineRule="atLeast"/>
              <w:jc w:val="right"/>
              <w:rPr>
                <w:rFonts w:ascii="宋体" w:hAnsi="宋体" w:cs="宋体"/>
                <w:sz w:val="24"/>
              </w:rPr>
            </w:pPr>
            <w:r>
              <w:rPr>
                <w:rFonts w:hint="eastAsia" w:ascii="宋体" w:hAnsi="宋体" w:cs="宋体"/>
                <w:sz w:val="24"/>
              </w:rPr>
              <w:t xml:space="preserve">        （签章）               </w:t>
            </w:r>
          </w:p>
        </w:tc>
        <w:tc>
          <w:tcPr>
            <w:tcW w:w="1800" w:type="dxa"/>
            <w:gridSpan w:val="2"/>
          </w:tcPr>
          <w:p>
            <w:pPr>
              <w:spacing w:before="93" w:beforeLines="30" w:after="93" w:afterLines="30" w:line="240" w:lineRule="atLeast"/>
              <w:jc w:val="center"/>
              <w:rPr>
                <w:rFonts w:ascii="宋体" w:hAnsi="宋体" w:cs="宋体"/>
                <w:sz w:val="24"/>
              </w:rPr>
            </w:pPr>
            <w:r>
              <w:rPr>
                <w:rFonts w:hint="eastAsia" w:ascii="宋体" w:hAnsi="宋体" w:cs="宋体"/>
                <w:sz w:val="24"/>
              </w:rPr>
              <w:t>委托代理人</w:t>
            </w:r>
          </w:p>
        </w:tc>
        <w:tc>
          <w:tcPr>
            <w:tcW w:w="2233" w:type="dxa"/>
            <w:gridSpan w:val="3"/>
          </w:tcPr>
          <w:p>
            <w:pPr>
              <w:spacing w:before="93" w:beforeLines="30" w:after="93" w:afterLines="30" w:line="240" w:lineRule="atLeast"/>
              <w:jc w:val="center"/>
              <w:rPr>
                <w:rFonts w:ascii="宋体" w:hAnsi="宋体" w:cs="宋体"/>
                <w:sz w:val="24"/>
              </w:rPr>
            </w:pPr>
            <w:r>
              <w:rPr>
                <w:rFonts w:hint="eastAsia" w:ascii="宋体" w:hAnsi="宋体" w:cs="宋体"/>
                <w:sz w:val="24"/>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通讯地址</w:t>
            </w:r>
          </w:p>
        </w:tc>
        <w:tc>
          <w:tcPr>
            <w:tcW w:w="6775" w:type="dxa"/>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rPr>
                <w:rFonts w:ascii="宋体" w:hAnsi="宋体" w:cs="宋体"/>
                <w:sz w:val="24"/>
              </w:rPr>
            </w:pPr>
            <w:r>
              <w:rPr>
                <w:rFonts w:hint="eastAsia" w:ascii="宋体" w:hAnsi="宋体" w:cs="宋体"/>
                <w:sz w:val="24"/>
              </w:rPr>
              <w:t>联系人、联系电话</w:t>
            </w:r>
          </w:p>
        </w:tc>
        <w:tc>
          <w:tcPr>
            <w:tcW w:w="4002" w:type="dxa"/>
            <w:gridSpan w:val="2"/>
          </w:tcPr>
          <w:p>
            <w:pPr>
              <w:spacing w:before="93" w:beforeLines="30" w:after="93" w:afterLines="30" w:line="240" w:lineRule="atLeast"/>
              <w:rPr>
                <w:rFonts w:ascii="宋体" w:hAnsi="宋体" w:cs="宋体"/>
                <w:color w:val="FF0000"/>
                <w:sz w:val="24"/>
              </w:rPr>
            </w:pPr>
          </w:p>
        </w:tc>
        <w:tc>
          <w:tcPr>
            <w:tcW w:w="1072" w:type="dxa"/>
            <w:gridSpan w:val="2"/>
          </w:tcPr>
          <w:p>
            <w:pPr>
              <w:spacing w:before="93" w:beforeLines="30" w:after="93" w:afterLines="30" w:line="240" w:lineRule="atLeast"/>
              <w:jc w:val="center"/>
              <w:rPr>
                <w:rFonts w:ascii="宋体" w:hAnsi="宋体" w:cs="宋体"/>
                <w:sz w:val="24"/>
              </w:rPr>
            </w:pPr>
            <w:r>
              <w:rPr>
                <w:rFonts w:hint="eastAsia" w:ascii="宋体" w:hAnsi="宋体" w:cs="宋体"/>
                <w:sz w:val="24"/>
              </w:rPr>
              <w:t>传  真</w:t>
            </w:r>
          </w:p>
        </w:tc>
        <w:tc>
          <w:tcPr>
            <w:tcW w:w="1701" w:type="dxa"/>
            <w:gridSpan w:val="2"/>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tcPr>
          <w:p>
            <w:pPr>
              <w:spacing w:before="93" w:beforeLines="30" w:after="93" w:afterLines="30" w:line="240" w:lineRule="atLeast"/>
              <w:jc w:val="center"/>
              <w:rPr>
                <w:rFonts w:ascii="宋体" w:hAnsi="宋体" w:cs="宋体"/>
                <w:sz w:val="24"/>
              </w:rPr>
            </w:pPr>
            <w:r>
              <w:rPr>
                <w:rFonts w:hint="eastAsia" w:ascii="宋体" w:hAnsi="宋体" w:cs="宋体"/>
                <w:sz w:val="24"/>
              </w:rPr>
              <w:t>开户银行</w:t>
            </w:r>
          </w:p>
        </w:tc>
        <w:tc>
          <w:tcPr>
            <w:tcW w:w="6775" w:type="dxa"/>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宋体" w:hAnsi="宋体" w:cs="宋体"/>
              </w:rPr>
            </w:pPr>
          </w:p>
        </w:tc>
        <w:tc>
          <w:tcPr>
            <w:tcW w:w="2221" w:type="dxa"/>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帐     号</w:t>
            </w:r>
          </w:p>
        </w:tc>
        <w:tc>
          <w:tcPr>
            <w:tcW w:w="4002" w:type="dxa"/>
            <w:gridSpan w:val="2"/>
            <w:vAlign w:val="center"/>
          </w:tcPr>
          <w:p>
            <w:pPr>
              <w:spacing w:before="93" w:beforeLines="30" w:after="93" w:afterLines="30" w:line="240" w:lineRule="atLeast"/>
              <w:rPr>
                <w:rFonts w:ascii="宋体" w:hAnsi="宋体" w:cs="宋体"/>
                <w:sz w:val="24"/>
              </w:rPr>
            </w:pPr>
          </w:p>
        </w:tc>
        <w:tc>
          <w:tcPr>
            <w:tcW w:w="1256" w:type="dxa"/>
            <w:gridSpan w:val="3"/>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邮政编码</w:t>
            </w:r>
          </w:p>
        </w:tc>
        <w:tc>
          <w:tcPr>
            <w:tcW w:w="1517" w:type="dxa"/>
            <w:vAlign w:val="center"/>
          </w:tcPr>
          <w:p>
            <w:pPr>
              <w:spacing w:before="93" w:beforeLines="30" w:after="93" w:afterLines="30" w:line="240" w:lineRule="atLeast"/>
              <w:jc w:val="center"/>
              <w:rPr>
                <w:rFonts w:ascii="宋体" w:hAnsi="宋体" w:cs="宋体"/>
                <w:sz w:val="24"/>
              </w:rPr>
            </w:pPr>
          </w:p>
        </w:tc>
      </w:tr>
    </w:tbl>
    <w:p>
      <w:pPr>
        <w:rPr>
          <w:rFonts w:ascii="宋体" w:hAnsi="宋体" w:cs="宋体"/>
          <w:b/>
          <w:sz w:val="28"/>
        </w:rPr>
      </w:pPr>
    </w:p>
    <w:p>
      <w:pPr>
        <w:rPr>
          <w:rFonts w:ascii="宋体" w:hAnsi="宋体" w:cs="宋体"/>
          <w:b/>
          <w:sz w:val="28"/>
        </w:rPr>
      </w:pPr>
    </w:p>
    <w:p>
      <w:pPr>
        <w:rPr>
          <w:rFonts w:ascii="宋体" w:hAnsi="宋体" w:cs="宋体"/>
          <w:b/>
          <w:sz w:val="28"/>
        </w:rPr>
      </w:pPr>
      <w:r>
        <w:rPr>
          <w:rFonts w:hint="eastAsia" w:ascii="宋体" w:hAnsi="宋体" w:cs="宋体"/>
          <w:b/>
          <w:sz w:val="28"/>
        </w:rPr>
        <w:br w:type="page"/>
      </w:r>
    </w:p>
    <w:p>
      <w:pPr>
        <w:rPr>
          <w:rFonts w:ascii="宋体" w:hAnsi="宋体" w:cs="宋体"/>
          <w:b/>
          <w:sz w:val="28"/>
        </w:rPr>
      </w:pPr>
      <w:r>
        <w:rPr>
          <w:rFonts w:hint="eastAsia" w:ascii="宋体" w:hAnsi="宋体" w:cs="宋体"/>
          <w:b/>
          <w:sz w:val="28"/>
        </w:rPr>
        <w:t>附件一：</w:t>
      </w:r>
    </w:p>
    <w:p>
      <w:pPr>
        <w:jc w:val="center"/>
        <w:rPr>
          <w:rFonts w:ascii="宋体" w:hAnsi="宋体" w:cs="宋体"/>
          <w:b/>
          <w:sz w:val="28"/>
        </w:rPr>
      </w:pPr>
      <w:ins w:id="49" w:author="谢晗" w:date="2023-11-17T08:49:19Z">
        <w:r>
          <w:rPr>
            <w:rFonts w:hint="eastAsia" w:ascii="宋体" w:hAnsi="宋体" w:cs="宋体"/>
            <w:b/>
            <w:sz w:val="28"/>
            <w:lang w:val="en-US" w:eastAsia="zh-CN"/>
          </w:rPr>
          <w:t>重庆</w:t>
        </w:r>
      </w:ins>
      <w:r>
        <w:rPr>
          <w:rFonts w:hint="eastAsia" w:ascii="宋体" w:hAnsi="宋体" w:cs="宋体"/>
          <w:b/>
          <w:sz w:val="28"/>
        </w:rPr>
        <w:t>高速公路省界不停车超限检测预警系统建设项目设计保密协议</w:t>
      </w:r>
    </w:p>
    <w:p>
      <w:pPr>
        <w:rPr>
          <w:rFonts w:ascii="宋体" w:hAnsi="宋体" w:cs="宋体"/>
          <w:sz w:val="28"/>
          <w:szCs w:val="28"/>
        </w:rPr>
      </w:pP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受甲方委托，乙方对甲方的</w:t>
      </w:r>
      <w:ins w:id="50" w:author="谢晗" w:date="2023-11-17T08:49:22Z">
        <w:r>
          <w:rPr>
            <w:rFonts w:hint="eastAsia" w:ascii="宋体" w:hAnsi="宋体" w:cs="宋体"/>
            <w:sz w:val="24"/>
            <w:lang w:val="en-US" w:eastAsia="zh-CN"/>
          </w:rPr>
          <w:t>重庆</w:t>
        </w:r>
      </w:ins>
      <w:r>
        <w:rPr>
          <w:rFonts w:hint="eastAsia" w:ascii="宋体" w:hAnsi="宋体" w:cs="宋体"/>
          <w:sz w:val="24"/>
        </w:rPr>
        <w:t>高速公路省界不停车超限检测预警系统建设项目开展施工图设计工作，为了促进双方合作，依据《中华人民共和国民法典》及有关法律法规并经双方经友好协商，双方应采取合理措施保守对方商业秘密与技术、经营信息，妥善保管涉密信息载体并限定涉密信息的知悉范围签订如下协议（以下简称本协议）。</w:t>
      </w:r>
    </w:p>
    <w:p>
      <w:pPr>
        <w:spacing w:before="156" w:beforeLines="50" w:after="156" w:afterLines="50" w:line="360" w:lineRule="auto"/>
        <w:ind w:firstLine="200"/>
        <w:rPr>
          <w:rFonts w:ascii="宋体" w:hAnsi="宋体" w:cs="宋体"/>
          <w:sz w:val="24"/>
        </w:rPr>
      </w:pPr>
      <w:r>
        <w:rPr>
          <w:rFonts w:hint="eastAsia" w:ascii="宋体" w:hAnsi="宋体" w:cs="宋体"/>
          <w:sz w:val="24"/>
        </w:rPr>
        <w:t>1．乙方不得在设计工作中获取非甲方提供的保密信息，乙方不得将甲方的保密信息透露给任何第三方，而应尽力避免由于疏忽将保密信息披露给任何第三方。</w:t>
      </w:r>
    </w:p>
    <w:p>
      <w:pPr>
        <w:spacing w:before="156" w:beforeLines="50" w:after="156" w:afterLines="50" w:line="360" w:lineRule="auto"/>
        <w:ind w:firstLine="200"/>
        <w:rPr>
          <w:rFonts w:ascii="宋体" w:hAnsi="宋体" w:cs="宋体"/>
          <w:sz w:val="24"/>
        </w:rPr>
      </w:pPr>
      <w:r>
        <w:rPr>
          <w:rFonts w:hint="eastAsia" w:ascii="宋体" w:hAnsi="宋体" w:cs="宋体"/>
          <w:sz w:val="24"/>
        </w:rPr>
        <w:t>2．乙方不应使用甲方的保密信息也不应在自己的组织内流通，除非是为与甲方人员或授权代表商谈、讨论和协商之需或在本协议签署后经甲方书面授权的任何目的。</w:t>
      </w:r>
    </w:p>
    <w:p>
      <w:pPr>
        <w:spacing w:before="156" w:beforeLines="50" w:after="156" w:afterLines="50" w:line="360" w:lineRule="auto"/>
        <w:ind w:firstLine="200"/>
        <w:rPr>
          <w:rFonts w:ascii="宋体" w:hAnsi="宋体" w:cs="宋体"/>
          <w:sz w:val="24"/>
        </w:rPr>
      </w:pPr>
      <w:r>
        <w:rPr>
          <w:rFonts w:hint="eastAsia" w:ascii="宋体" w:hAnsi="宋体" w:cs="宋体"/>
          <w:sz w:val="24"/>
        </w:rPr>
        <w:t>3．乙方不应为除本协议规定的目的以外的自身利益或任何其他方的利益而使用任何甲方的保密信息。</w:t>
      </w:r>
    </w:p>
    <w:p>
      <w:pPr>
        <w:spacing w:before="156" w:beforeLines="50" w:after="156" w:afterLines="50" w:line="360" w:lineRule="auto"/>
        <w:ind w:firstLine="200"/>
        <w:rPr>
          <w:rFonts w:ascii="宋体" w:hAnsi="宋体" w:cs="宋体"/>
          <w:sz w:val="24"/>
        </w:rPr>
      </w:pPr>
      <w:r>
        <w:rPr>
          <w:rFonts w:hint="eastAsia" w:ascii="宋体" w:hAnsi="宋体" w:cs="宋体"/>
          <w:sz w:val="24"/>
        </w:rPr>
        <w:t>4．乙方对以下方面的信息没有保密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spacing w:before="156" w:beforeLines="50" w:after="156" w:afterLines="50" w:line="360" w:lineRule="auto"/>
        <w:ind w:firstLine="200"/>
        <w:rPr>
          <w:rFonts w:ascii="宋体" w:hAnsi="宋体" w:cs="宋体"/>
          <w:sz w:val="24"/>
        </w:rPr>
      </w:pPr>
      <w:r>
        <w:rPr>
          <w:rFonts w:hint="eastAsia" w:ascii="宋体" w:hAnsi="宋体" w:cs="宋体"/>
          <w:sz w:val="24"/>
        </w:rPr>
        <w:t>5．本协议或向乙方披露的保密信息均不得视为向乙方授予任何知识产权或与之有关的任何性质的权利。</w:t>
      </w:r>
    </w:p>
    <w:p>
      <w:pPr>
        <w:spacing w:before="156" w:beforeLines="50" w:after="156" w:afterLines="50" w:line="360" w:lineRule="auto"/>
        <w:ind w:firstLine="200"/>
        <w:rPr>
          <w:rFonts w:ascii="宋体" w:hAnsi="宋体" w:cs="宋体"/>
          <w:sz w:val="24"/>
        </w:rPr>
      </w:pPr>
      <w:r>
        <w:rPr>
          <w:rFonts w:hint="eastAsia" w:ascii="宋体" w:hAnsi="宋体" w:cs="宋体"/>
          <w:sz w:val="24"/>
        </w:rPr>
        <w:t>6．所有由甲方提供给乙方的材料，包括但不限于文件、设计和清单应仍为甲方的财产，且甲方要求时应立即归还原件和所有据此制作的副本。但原件归还影响合同履行的，甲方应向乙方提供或允许乙方制作并保留副本至相应工作结束。</w:t>
      </w:r>
    </w:p>
    <w:p>
      <w:pPr>
        <w:spacing w:before="156" w:beforeLines="50" w:after="156" w:afterLines="50" w:line="360" w:lineRule="auto"/>
        <w:ind w:firstLine="200"/>
        <w:rPr>
          <w:rFonts w:ascii="宋体" w:hAnsi="宋体" w:cs="宋体"/>
          <w:sz w:val="24"/>
        </w:rPr>
      </w:pPr>
      <w:r>
        <w:rPr>
          <w:rFonts w:hint="eastAsia" w:ascii="宋体" w:hAnsi="宋体" w:cs="宋体"/>
          <w:sz w:val="24"/>
        </w:rPr>
        <w:t>7．甲方不得将乙方出示的设计方案等保密信息透露给任何第三方，而应尽力避免由于疏忽将保密信息披露给任何第三方。</w:t>
      </w:r>
    </w:p>
    <w:p>
      <w:pPr>
        <w:spacing w:before="156" w:beforeLines="50" w:after="156" w:afterLines="50" w:line="360" w:lineRule="auto"/>
        <w:ind w:firstLine="200"/>
        <w:rPr>
          <w:rFonts w:ascii="宋体" w:hAnsi="宋体" w:cs="宋体"/>
          <w:sz w:val="24"/>
        </w:rPr>
      </w:pPr>
      <w:r>
        <w:rPr>
          <w:rFonts w:hint="eastAsia" w:ascii="宋体" w:hAnsi="宋体" w:cs="宋体"/>
          <w:sz w:val="24"/>
        </w:rPr>
        <w:t>8．</w:t>
      </w:r>
      <w:r>
        <w:rPr>
          <w:rFonts w:hint="eastAsia" w:ascii="宋体" w:hAnsi="宋体" w:cs="宋体"/>
          <w:color w:val="000000"/>
          <w:sz w:val="24"/>
        </w:rPr>
        <w:t>本协议自双方合同签字盖章之日起生效，对签字双方及其关联机构及其继受者均具有约束力。如保密信息因接受方之外的原因而成为公知信息，则本协议对该部分保密信息自动失效。</w:t>
      </w:r>
    </w:p>
    <w:p>
      <w:pPr>
        <w:spacing w:before="156" w:beforeLines="50" w:after="156" w:afterLines="50" w:line="360" w:lineRule="auto"/>
        <w:ind w:firstLine="200"/>
        <w:rPr>
          <w:rFonts w:ascii="宋体" w:hAnsi="宋体" w:cs="宋体"/>
          <w:sz w:val="24"/>
        </w:rPr>
      </w:pPr>
      <w:r>
        <w:rPr>
          <w:rFonts w:hint="eastAsia" w:ascii="宋体" w:hAnsi="宋体" w:cs="宋体"/>
          <w:sz w:val="24"/>
        </w:rPr>
        <w:t>9．本协议自生效之日起二年内具有效力。本协议有效期内任何时间双方可通过相互同意或向另一方发出书面通知六十天后终止协议；但提前终止本协议不应豁免乙方在本协议下就终止生效日前提供给乙方保密信息所应履行的义务。</w:t>
      </w:r>
    </w:p>
    <w:p>
      <w:pPr>
        <w:spacing w:before="156" w:beforeLines="50" w:after="156" w:afterLines="50" w:line="360" w:lineRule="auto"/>
        <w:ind w:firstLine="200"/>
        <w:rPr>
          <w:rFonts w:ascii="宋体" w:hAnsi="宋体" w:cs="宋体"/>
          <w:color w:val="000000"/>
          <w:sz w:val="24"/>
        </w:rPr>
      </w:pPr>
      <w:r>
        <w:rPr>
          <w:rFonts w:hint="eastAsia" w:ascii="宋体" w:hAnsi="宋体" w:cs="宋体"/>
          <w:sz w:val="24"/>
        </w:rPr>
        <w:t>10．</w:t>
      </w:r>
      <w:r>
        <w:rPr>
          <w:rFonts w:hint="eastAsia" w:ascii="宋体" w:hAnsi="宋体" w:cs="宋体"/>
          <w:color w:val="000000"/>
          <w:sz w:val="24"/>
        </w:rPr>
        <w:t>本协议包含双方关于此事项的全部约定。双方在此之前达成的任何口头或书面的协议或约定，如果与本协议冲突，则以本协议内容为准。本协议的任何修改须以书面方式做出并经双方签字才能生效。</w:t>
      </w:r>
    </w:p>
    <w:p/>
    <w:p>
      <w:pPr>
        <w:pStyle w:val="13"/>
        <w:rPr>
          <w:rFonts w:ascii="Arial" w:hAnsi="Arial" w:cs="Arial"/>
          <w:caps w:val="0"/>
          <w:color w:val="000000"/>
          <w:sz w:val="24"/>
          <w:szCs w:val="24"/>
        </w:rPr>
      </w:pPr>
    </w:p>
    <w:bookmarkEnd w:id="224"/>
    <w:bookmarkEnd w:id="225"/>
    <w:p>
      <w:pPr>
        <w:widowControl/>
        <w:jc w:val="left"/>
      </w:pPr>
    </w:p>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520" w:h="235" w:hRule="exact" w:wrap="around" w:vAnchor="text" w:hAnchor="page" w:x="6073" w:y="-2"/>
      <w:rPr>
        <w:rStyle w:val="20"/>
      </w:rPr>
    </w:pPr>
    <w:r>
      <w:fldChar w:fldCharType="begin"/>
    </w:r>
    <w:r>
      <w:rPr>
        <w:rStyle w:val="20"/>
      </w:rPr>
      <w:instrText xml:space="preserve">PAGE  </w:instrText>
    </w:r>
    <w:r>
      <w:fldChar w:fldCharType="separate"/>
    </w:r>
    <w:r>
      <w:rPr>
        <w:rStyle w:val="20"/>
      </w:rPr>
      <w:t>13</w:t>
    </w:r>
    <w:r>
      <w:fldChar w:fldCharType="end"/>
    </w:r>
  </w:p>
  <w:p>
    <w:pPr>
      <w:pStyle w:val="11"/>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val="zh-CN"/>
      </w:rPr>
      <w:t>第</w:t>
    </w:r>
    <w:r>
      <w:fldChar w:fldCharType="begin"/>
    </w:r>
    <w:r>
      <w:instrText xml:space="preserve">PAGE  \* Arabic  \* MERGEFORMAT</w:instrText>
    </w:r>
    <w:r>
      <w:fldChar w:fldCharType="separate"/>
    </w:r>
    <w:r>
      <w:rPr>
        <w:lang w:val="zh-CN"/>
      </w:rPr>
      <w:t>23</w:t>
    </w:r>
    <w:r>
      <w:fldChar w:fldCharType="end"/>
    </w:r>
    <w:r>
      <w:rPr>
        <w:rFonts w:hint="eastAsia"/>
      </w:rPr>
      <w:t>页/</w:t>
    </w:r>
    <w:r>
      <w:rPr>
        <w:rFonts w:hint="eastAsia"/>
        <w:lang w:val="zh-CN"/>
      </w:rPr>
      <w:t>共</w:t>
    </w:r>
    <w:r>
      <w:fldChar w:fldCharType="begin"/>
    </w:r>
    <w:r>
      <w:instrText xml:space="preserve">NUMPAGES  \* Arabic  \* MERGEFORMAT</w:instrText>
    </w:r>
    <w:r>
      <w:fldChar w:fldCharType="separate"/>
    </w:r>
    <w:r>
      <w:rPr>
        <w:lang w:val="zh-CN"/>
      </w:rPr>
      <w:t>33</w:t>
    </w:r>
    <w:r>
      <w:rPr>
        <w:lang w:val="zh-CN"/>
      </w:rPr>
      <w:fldChar w:fldCharType="end"/>
    </w:r>
    <w:r>
      <w:rPr>
        <w:rFonts w:hint="eastAsia"/>
      </w:rPr>
      <w:t>页</w:t>
    </w:r>
  </w:p>
  <w:p>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20"/>
                            </w:rPr>
                          </w:pPr>
                          <w:r>
                            <w:fldChar w:fldCharType="begin"/>
                          </w:r>
                          <w:r>
                            <w:rPr>
                              <w:rStyle w:val="20"/>
                            </w:rPr>
                            <w:instrText xml:space="preserve">PAGE  </w:instrText>
                          </w:r>
                          <w:r>
                            <w:fldChar w:fldCharType="separate"/>
                          </w:r>
                          <w:r>
                            <w:rPr>
                              <w:rStyle w:val="20"/>
                            </w:rPr>
                            <w:t>32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B904"/>
    <w:multiLevelType w:val="singleLevel"/>
    <w:tmpl w:val="80CBB904"/>
    <w:lvl w:ilvl="0" w:tentative="0">
      <w:start w:val="1"/>
      <w:numFmt w:val="bullet"/>
      <w:lvlText w:val=""/>
      <w:lvlJc w:val="left"/>
      <w:pPr>
        <w:ind w:left="420" w:hanging="420"/>
      </w:pPr>
      <w:rPr>
        <w:rFonts w:hint="default" w:ascii="Wingdings" w:hAnsi="Wingdings"/>
      </w:rPr>
    </w:lvl>
  </w:abstractNum>
  <w:abstractNum w:abstractNumId="1">
    <w:nsid w:val="21B2BDE6"/>
    <w:multiLevelType w:val="singleLevel"/>
    <w:tmpl w:val="21B2BDE6"/>
    <w:lvl w:ilvl="0" w:tentative="0">
      <w:start w:val="3"/>
      <w:numFmt w:val="chineseCounting"/>
      <w:suff w:val="space"/>
      <w:lvlText w:val="第%1章"/>
      <w:lvlJc w:val="left"/>
      <w:rPr>
        <w:rFonts w:hint="eastAsia"/>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7E4E3002"/>
    <w:multiLevelType w:val="singleLevel"/>
    <w:tmpl w:val="7E4E3002"/>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晗">
    <w15:presenceInfo w15:providerId="None" w15:userId="谢晗"/>
  </w15:person>
  <w15:person w15:author="lwsf">
    <w15:presenceInfo w15:providerId="None" w15:userId="lw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MDNjOGQ1MzNiZGE2MmZlNjE2Yzk2OTNmMThmYjYifQ=="/>
  </w:docVars>
  <w:rsids>
    <w:rsidRoot w:val="1BA674FB"/>
    <w:rsid w:val="00104D41"/>
    <w:rsid w:val="005F3A49"/>
    <w:rsid w:val="006E1FEC"/>
    <w:rsid w:val="00865F9F"/>
    <w:rsid w:val="00916238"/>
    <w:rsid w:val="00A50514"/>
    <w:rsid w:val="00A56E46"/>
    <w:rsid w:val="02EF1DD4"/>
    <w:rsid w:val="05526D1E"/>
    <w:rsid w:val="064A30EB"/>
    <w:rsid w:val="0AD90F51"/>
    <w:rsid w:val="0D9E2404"/>
    <w:rsid w:val="136A10B9"/>
    <w:rsid w:val="15AB5A3A"/>
    <w:rsid w:val="180C2789"/>
    <w:rsid w:val="1A7419A9"/>
    <w:rsid w:val="1BA674FB"/>
    <w:rsid w:val="1E22493B"/>
    <w:rsid w:val="1EA57152"/>
    <w:rsid w:val="26881727"/>
    <w:rsid w:val="2BF30E54"/>
    <w:rsid w:val="2C022EBC"/>
    <w:rsid w:val="2CE77D3A"/>
    <w:rsid w:val="318A7A9B"/>
    <w:rsid w:val="33D31EF5"/>
    <w:rsid w:val="39D67A87"/>
    <w:rsid w:val="3A7655B3"/>
    <w:rsid w:val="3ACD2EC9"/>
    <w:rsid w:val="3B592513"/>
    <w:rsid w:val="3BB35830"/>
    <w:rsid w:val="401A5AD9"/>
    <w:rsid w:val="40CF345D"/>
    <w:rsid w:val="47496A45"/>
    <w:rsid w:val="498309FB"/>
    <w:rsid w:val="4A276562"/>
    <w:rsid w:val="4BCC727D"/>
    <w:rsid w:val="4CBF5E31"/>
    <w:rsid w:val="4EDA610D"/>
    <w:rsid w:val="50701A6F"/>
    <w:rsid w:val="52364362"/>
    <w:rsid w:val="52443527"/>
    <w:rsid w:val="531235A5"/>
    <w:rsid w:val="535A282D"/>
    <w:rsid w:val="57A05F8B"/>
    <w:rsid w:val="600F5D18"/>
    <w:rsid w:val="69C7155C"/>
    <w:rsid w:val="6AA36A54"/>
    <w:rsid w:val="739F4EC6"/>
    <w:rsid w:val="77E83D61"/>
    <w:rsid w:val="78F46397"/>
    <w:rsid w:val="7D06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99"/>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99"/>
    <w:pPr>
      <w:jc w:val="left"/>
    </w:pPr>
    <w:rPr>
      <w:kern w:val="0"/>
      <w:sz w:val="20"/>
    </w:rPr>
  </w:style>
  <w:style w:type="paragraph" w:styleId="10">
    <w:name w:val="Date"/>
    <w:basedOn w:val="1"/>
    <w:next w:val="1"/>
    <w:qFormat/>
    <w:uiPriority w:val="0"/>
    <w:rPr>
      <w:kern w:val="0"/>
      <w:sz w:val="24"/>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ind w:left="210"/>
      <w:jc w:val="left"/>
    </w:pPr>
    <w:rPr>
      <w:rFonts w:ascii="Calibri" w:hAnsi="Calibri"/>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index 1"/>
    <w:basedOn w:val="1"/>
    <w:next w:val="1"/>
    <w:semiHidden/>
    <w:qFormat/>
    <w:uiPriority w:val="0"/>
    <w:pPr>
      <w:spacing w:line="360" w:lineRule="auto"/>
      <w:jc w:val="center"/>
    </w:pPr>
    <w:rPr>
      <w:rFonts w:ascii="宋体" w:hAnsi="Arial" w:cs="Arial"/>
      <w:b/>
      <w:color w:val="000000"/>
      <w:sz w:val="24"/>
    </w:rPr>
  </w:style>
  <w:style w:type="paragraph" w:styleId="17">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character" w:styleId="20">
    <w:name w:val="page number"/>
    <w:qFormat/>
    <w:uiPriority w:val="0"/>
  </w:style>
  <w:style w:type="character" w:styleId="21">
    <w:name w:val="annotation reference"/>
    <w:qFormat/>
    <w:uiPriority w:val="0"/>
    <w:rPr>
      <w:sz w:val="21"/>
      <w:szCs w:val="21"/>
    </w:rPr>
  </w:style>
  <w:style w:type="paragraph" w:customStyle="1" w:styleId="22">
    <w:name w:val="font10"/>
    <w:basedOn w:val="1"/>
    <w:qFormat/>
    <w:uiPriority w:val="0"/>
    <w:pPr>
      <w:widowControl/>
      <w:spacing w:before="100" w:beforeAutospacing="1" w:after="100" w:afterAutospacing="1"/>
      <w:jc w:val="left"/>
    </w:pPr>
    <w:rPr>
      <w:kern w:val="0"/>
      <w:sz w:val="28"/>
      <w:szCs w:val="2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标题 1 字符"/>
    <w:link w:val="3"/>
    <w:qFormat/>
    <w:uiPriority w:val="0"/>
    <w:rPr>
      <w:b/>
      <w:bCs/>
      <w:kern w:val="44"/>
      <w:sz w:val="44"/>
      <w:szCs w:val="44"/>
    </w:rPr>
  </w:style>
  <w:style w:type="paragraph" w:customStyle="1" w:styleId="25">
    <w:name w:val="表格内正文，无编号"/>
    <w:basedOn w:val="1"/>
    <w:qFormat/>
    <w:uiPriority w:val="0"/>
    <w:pPr>
      <w:spacing w:line="400" w:lineRule="exact"/>
      <w:ind w:firstLine="64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10997</Words>
  <Characters>11403</Characters>
  <Lines>96</Lines>
  <Paragraphs>27</Paragraphs>
  <TotalTime>64</TotalTime>
  <ScaleCrop>false</ScaleCrop>
  <LinksUpToDate>false</LinksUpToDate>
  <CharactersWithSpaces>12823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2023-11-14T09:56:00Z</dcterms:created>
  <dc:creator>狼性</dc:creator>
  <cp:lastModifiedBy>谢晗</cp:lastModifiedBy>
  <dcterms:modified xsi:type="dcterms:W3CDTF">2023-11-17T05:07:14Z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C9F5EF8B795C4147AFED547CE2340E9A</vt:lpwstr>
  </property>
</Properties>
</file>