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0"/>
          <w:tab w:val="left" w:pos="4320"/>
          <w:tab w:val="left" w:pos="5420"/>
        </w:tabs>
        <w:autoSpaceDE w:val="0"/>
        <w:autoSpaceDN w:val="0"/>
        <w:adjustRightInd w:val="0"/>
        <w:spacing w:line="300" w:lineRule="exact"/>
        <w:ind w:right="-20"/>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spacing w:line="520" w:lineRule="exact"/>
        <w:rPr>
          <w:rFonts w:ascii="仿宋" w:hAnsi="仿宋" w:eastAsia="仿宋" w:cs="仿宋"/>
          <w:b/>
          <w:bCs/>
          <w:sz w:val="36"/>
          <w:szCs w:val="36"/>
        </w:rPr>
      </w:pPr>
      <w:r>
        <w:rPr>
          <w:rFonts w:hint="eastAsia" w:ascii="仿宋" w:hAnsi="仿宋" w:eastAsia="仿宋" w:cs="仿宋"/>
          <w:b/>
          <w:bCs/>
          <w:sz w:val="36"/>
          <w:szCs w:val="36"/>
        </w:rPr>
        <w:t xml:space="preserve">        重庆三环高速公路合川至长寿段项目</w:t>
      </w:r>
    </w:p>
    <w:p>
      <w:pPr>
        <w:autoSpaceDE w:val="0"/>
        <w:autoSpaceDN w:val="0"/>
        <w:adjustRightInd w:val="0"/>
        <w:snapToGrid w:val="0"/>
        <w:spacing w:line="520" w:lineRule="exact"/>
        <w:jc w:val="center"/>
        <w:rPr>
          <w:rFonts w:ascii="仿宋" w:hAnsi="仿宋" w:eastAsia="仿宋" w:cs="仿宋"/>
          <w:b/>
          <w:bCs/>
          <w:sz w:val="36"/>
          <w:szCs w:val="36"/>
        </w:rPr>
      </w:pPr>
      <w:r>
        <w:rPr>
          <w:rFonts w:hint="eastAsia" w:ascii="仿宋" w:hAnsi="仿宋" w:eastAsia="仿宋" w:cs="仿宋"/>
          <w:b/>
          <w:bCs/>
          <w:sz w:val="36"/>
          <w:szCs w:val="36"/>
        </w:rPr>
        <w:t>渝北区征迁资金专项审计</w:t>
      </w:r>
    </w:p>
    <w:p>
      <w:pPr>
        <w:autoSpaceDE w:val="0"/>
        <w:autoSpaceDN w:val="0"/>
        <w:adjustRightInd w:val="0"/>
        <w:snapToGrid w:val="0"/>
        <w:spacing w:line="360" w:lineRule="auto"/>
        <w:jc w:val="center"/>
        <w:rPr>
          <w:rFonts w:ascii="仿宋" w:hAnsi="仿宋" w:eastAsia="仿宋" w:cs="仿宋"/>
          <w:sz w:val="36"/>
          <w:szCs w:val="36"/>
        </w:rPr>
      </w:pPr>
    </w:p>
    <w:p>
      <w:pPr>
        <w:autoSpaceDE w:val="0"/>
        <w:autoSpaceDN w:val="0"/>
        <w:adjustRightInd w:val="0"/>
        <w:snapToGrid w:val="0"/>
        <w:spacing w:line="360" w:lineRule="auto"/>
        <w:jc w:val="center"/>
        <w:rPr>
          <w:rFonts w:ascii="仿宋" w:hAnsi="仿宋" w:eastAsia="仿宋" w:cs="仿宋"/>
          <w:b/>
          <w:color w:val="000000"/>
          <w:kern w:val="0"/>
          <w:sz w:val="36"/>
          <w:szCs w:val="36"/>
        </w:rPr>
      </w:pPr>
    </w:p>
    <w:p>
      <w:pPr>
        <w:spacing w:before="480"/>
        <w:jc w:val="center"/>
        <w:rPr>
          <w:rFonts w:ascii="仿宋" w:hAnsi="仿宋" w:eastAsia="仿宋" w:cs="仿宋"/>
          <w:b/>
          <w:bCs/>
          <w:color w:val="000000"/>
          <w:spacing w:val="80"/>
          <w:sz w:val="96"/>
          <w:szCs w:val="96"/>
        </w:rPr>
      </w:pPr>
      <w:r>
        <w:rPr>
          <w:rFonts w:hint="eastAsia" w:ascii="仿宋" w:hAnsi="仿宋" w:eastAsia="仿宋" w:cs="仿宋"/>
          <w:b/>
          <w:color w:val="000000"/>
          <w:spacing w:val="80"/>
          <w:sz w:val="96"/>
          <w:szCs w:val="96"/>
        </w:rPr>
        <w:t>询价文件</w:t>
      </w:r>
    </w:p>
    <w:p>
      <w:pPr>
        <w:jc w:val="center"/>
        <w:rPr>
          <w:rFonts w:ascii="仿宋" w:hAnsi="仿宋" w:eastAsia="仿宋" w:cs="仿宋"/>
          <w:b/>
          <w:color w:val="000000"/>
          <w:sz w:val="30"/>
          <w:szCs w:val="30"/>
        </w:rPr>
      </w:pPr>
      <w:r>
        <w:rPr>
          <w:rFonts w:hint="eastAsia" w:ascii="仿宋" w:hAnsi="仿宋" w:eastAsia="仿宋" w:cs="仿宋"/>
          <w:b/>
          <w:color w:val="000000"/>
          <w:sz w:val="30"/>
          <w:szCs w:val="30"/>
        </w:rPr>
        <w:t xml:space="preserve"> </w:t>
      </w: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snapToGrid w:val="0"/>
        <w:ind w:firstLine="829" w:firstLineChars="295"/>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p>
    <w:p>
      <w:pPr>
        <w:snapToGrid w:val="0"/>
        <w:ind w:firstLine="829" w:firstLineChars="295"/>
        <w:rPr>
          <w:rFonts w:ascii="仿宋" w:hAnsi="仿宋" w:eastAsia="仿宋" w:cs="仿宋"/>
          <w:b/>
          <w:color w:val="000000"/>
          <w:kern w:val="0"/>
          <w:sz w:val="28"/>
          <w:szCs w:val="28"/>
        </w:rPr>
      </w:pPr>
    </w:p>
    <w:p>
      <w:pPr>
        <w:snapToGrid w:val="0"/>
        <w:jc w:val="center"/>
        <w:rPr>
          <w:rFonts w:ascii="仿宋" w:hAnsi="仿宋" w:eastAsia="仿宋" w:cs="仿宋"/>
          <w:b/>
          <w:snapToGrid w:val="0"/>
          <w:spacing w:val="-10"/>
          <w:sz w:val="28"/>
          <w:szCs w:val="28"/>
        </w:rPr>
      </w:pPr>
      <w:r>
        <w:rPr>
          <w:rFonts w:hint="eastAsia" w:ascii="仿宋" w:hAnsi="仿宋" w:eastAsia="仿宋" w:cs="仿宋"/>
          <w:b/>
          <w:color w:val="000000"/>
          <w:kern w:val="0"/>
          <w:sz w:val="28"/>
          <w:szCs w:val="28"/>
        </w:rPr>
        <w:t>询 价 人：</w:t>
      </w:r>
      <w:r>
        <w:rPr>
          <w:rFonts w:hint="eastAsia" w:ascii="仿宋" w:hAnsi="仿宋" w:eastAsia="仿宋" w:cs="仿宋"/>
          <w:b/>
          <w:snapToGrid w:val="0"/>
          <w:spacing w:val="-10"/>
          <w:sz w:val="28"/>
          <w:szCs w:val="28"/>
        </w:rPr>
        <w:t>重庆长合高速公路有限公司</w:t>
      </w:r>
    </w:p>
    <w:p>
      <w:pPr>
        <w:snapToGrid w:val="0"/>
        <w:jc w:val="center"/>
        <w:rPr>
          <w:rFonts w:ascii="仿宋" w:hAnsi="仿宋" w:eastAsia="仿宋" w:cs="仿宋"/>
          <w:b/>
          <w:color w:val="000000"/>
          <w:spacing w:val="15"/>
          <w:sz w:val="36"/>
          <w:szCs w:val="36"/>
        </w:rPr>
      </w:pPr>
      <w:r>
        <w:rPr>
          <w:rFonts w:hint="eastAsia" w:ascii="仿宋" w:hAnsi="仿宋" w:eastAsia="仿宋" w:cs="仿宋"/>
          <w:b/>
          <w:snapToGrid w:val="0"/>
          <w:spacing w:val="-10"/>
          <w:sz w:val="28"/>
          <w:szCs w:val="28"/>
        </w:rPr>
        <w:t xml:space="preserve">            重庆市渝北区征地事务中心</w:t>
      </w:r>
    </w:p>
    <w:p>
      <w:pPr>
        <w:snapToGrid w:val="0"/>
        <w:rPr>
          <w:rFonts w:ascii="仿宋" w:hAnsi="仿宋" w:eastAsia="仿宋" w:cs="仿宋"/>
          <w:b/>
          <w:color w:val="000000"/>
          <w:sz w:val="36"/>
          <w:szCs w:val="36"/>
          <w:u w:val="single"/>
        </w:rPr>
      </w:pPr>
    </w:p>
    <w:p>
      <w:pPr>
        <w:pStyle w:val="8"/>
        <w:snapToGrid w:val="0"/>
        <w:ind w:left="5250"/>
        <w:jc w:val="center"/>
        <w:rPr>
          <w:rFonts w:ascii="仿宋" w:hAnsi="仿宋" w:eastAsia="仿宋" w:cs="仿宋"/>
          <w:b/>
          <w:color w:val="000000"/>
          <w:sz w:val="36"/>
          <w:szCs w:val="36"/>
        </w:rPr>
      </w:pPr>
    </w:p>
    <w:p>
      <w:pPr>
        <w:rPr>
          <w:rFonts w:ascii="仿宋" w:hAnsi="仿宋" w:eastAsia="仿宋" w:cs="仿宋"/>
          <w:color w:val="000000"/>
        </w:rPr>
      </w:pPr>
    </w:p>
    <w:p>
      <w:pPr>
        <w:snapToGrid w:val="0"/>
        <w:ind w:right="17"/>
        <w:jc w:val="center"/>
        <w:rPr>
          <w:rFonts w:ascii="仿宋" w:hAnsi="仿宋" w:eastAsia="仿宋" w:cs="仿宋"/>
          <w:b/>
          <w:color w:val="000000"/>
          <w:sz w:val="30"/>
          <w:szCs w:val="30"/>
        </w:rPr>
      </w:pPr>
    </w:p>
    <w:p>
      <w:pPr>
        <w:spacing w:line="360" w:lineRule="auto"/>
        <w:jc w:val="center"/>
        <w:rPr>
          <w:rFonts w:ascii="仿宋" w:hAnsi="仿宋" w:eastAsia="仿宋" w:cs="仿宋"/>
          <w:b/>
          <w:color w:val="000000"/>
          <w:sz w:val="30"/>
          <w:szCs w:val="30"/>
          <w:shd w:val="clear" w:color="auto" w:fill="FFFFFF"/>
        </w:rPr>
      </w:pPr>
      <w:r>
        <w:rPr>
          <w:rFonts w:hint="eastAsia" w:ascii="仿宋" w:hAnsi="仿宋" w:eastAsia="仿宋" w:cs="仿宋"/>
          <w:b/>
          <w:color w:val="000000"/>
          <w:sz w:val="30"/>
          <w:szCs w:val="30"/>
        </w:rPr>
        <w:t>二〇二三年十一月</w:t>
      </w:r>
    </w:p>
    <w:p>
      <w:pPr>
        <w:tabs>
          <w:tab w:val="left" w:pos="3200"/>
          <w:tab w:val="left" w:pos="4320"/>
          <w:tab w:val="left" w:pos="5420"/>
        </w:tabs>
        <w:autoSpaceDE w:val="0"/>
        <w:autoSpaceDN w:val="0"/>
        <w:adjustRightInd w:val="0"/>
        <w:spacing w:line="300" w:lineRule="exact"/>
        <w:ind w:right="-20"/>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pPr>
    </w:p>
    <w:p>
      <w:pPr>
        <w:tabs>
          <w:tab w:val="left" w:pos="3200"/>
          <w:tab w:val="left" w:pos="4320"/>
          <w:tab w:val="left" w:pos="5420"/>
        </w:tabs>
        <w:autoSpaceDE w:val="0"/>
        <w:autoSpaceDN w:val="0"/>
        <w:adjustRightInd w:val="0"/>
        <w:spacing w:line="300" w:lineRule="exact"/>
        <w:ind w:right="-20"/>
        <w:rPr>
          <w:rFonts w:ascii="仿宋" w:hAnsi="仿宋" w:eastAsia="仿宋" w:cs="仿宋"/>
          <w:b/>
          <w:color w:val="000000"/>
          <w:kern w:val="0"/>
          <w:position w:val="-2"/>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7" w:h="16840"/>
          <w:pgMar w:top="1417" w:right="1701" w:bottom="1417" w:left="1701" w:header="720" w:footer="720" w:gutter="0"/>
          <w:pgNumType w:start="0"/>
          <w:cols w:space="720" w:num="1"/>
          <w:titlePg/>
          <w:docGrid w:linePitch="286" w:charSpace="0"/>
        </w:sectPr>
      </w:pPr>
    </w:p>
    <w:p>
      <w:pPr>
        <w:ind w:firstLine="3640" w:firstLineChars="700"/>
        <w:rPr>
          <w:sz w:val="52"/>
          <w:szCs w:val="52"/>
        </w:rPr>
      </w:pPr>
      <w:r>
        <w:rPr>
          <w:rFonts w:ascii="宋体" w:hAnsi="宋体"/>
          <w:sz w:val="52"/>
          <w:szCs w:val="52"/>
        </w:rPr>
        <w:t>目录</w:t>
      </w:r>
    </w:p>
    <w:p>
      <w:pPr>
        <w:pStyle w:val="27"/>
        <w:tabs>
          <w:tab w:val="right" w:leader="dot" w:pos="8505"/>
        </w:tabs>
        <w:spacing w:line="800" w:lineRule="exact"/>
        <w:rPr>
          <w:rFonts w:ascii="仿宋" w:hAnsi="仿宋" w:eastAsia="仿宋" w:cs="仿宋"/>
          <w:sz w:val="32"/>
          <w:szCs w:val="32"/>
        </w:rPr>
      </w:pPr>
      <w:r>
        <w:fldChar w:fldCharType="begin"/>
      </w:r>
      <w:r>
        <w:instrText xml:space="preserve"> HYPERLINK \l "_Toc16877_WPSOffice_Level1" </w:instrText>
      </w:r>
      <w:r>
        <w:fldChar w:fldCharType="separate"/>
      </w:r>
      <w:r>
        <w:rPr>
          <w:rFonts w:hint="eastAsia" w:ascii="仿宋" w:hAnsi="仿宋" w:eastAsia="仿宋" w:cs="仿宋"/>
          <w:sz w:val="32"/>
          <w:szCs w:val="32"/>
        </w:rPr>
        <w:t>第一章  邀请书</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p>
    <w:p>
      <w:pPr>
        <w:pStyle w:val="27"/>
        <w:tabs>
          <w:tab w:val="right" w:leader="dot" w:pos="8505"/>
        </w:tabs>
        <w:spacing w:line="800" w:lineRule="exact"/>
        <w:rPr>
          <w:rFonts w:ascii="仿宋" w:hAnsi="仿宋" w:eastAsia="仿宋" w:cs="仿宋"/>
          <w:sz w:val="32"/>
          <w:szCs w:val="32"/>
        </w:rPr>
      </w:pPr>
      <w:r>
        <w:fldChar w:fldCharType="begin"/>
      </w:r>
      <w:r>
        <w:instrText xml:space="preserve"> HYPERLINK \l "_Toc8842_WPSOffice_Level1" </w:instrText>
      </w:r>
      <w:r>
        <w:fldChar w:fldCharType="separate"/>
      </w:r>
      <w:r>
        <w:rPr>
          <w:rFonts w:hint="eastAsia" w:ascii="仿宋" w:hAnsi="仿宋" w:eastAsia="仿宋" w:cs="仿宋"/>
          <w:sz w:val="32"/>
          <w:szCs w:val="32"/>
        </w:rPr>
        <w:t>第二章  投标人须知</w:t>
      </w:r>
      <w:r>
        <w:rPr>
          <w:rFonts w:hint="eastAsia" w:ascii="仿宋" w:hAnsi="仿宋" w:eastAsia="仿宋" w:cs="仿宋"/>
          <w:sz w:val="32"/>
          <w:szCs w:val="32"/>
        </w:rPr>
        <w:tab/>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27"/>
        <w:tabs>
          <w:tab w:val="right" w:leader="dot" w:pos="8505"/>
        </w:tabs>
        <w:spacing w:line="800" w:lineRule="exact"/>
        <w:rPr>
          <w:rFonts w:ascii="仿宋" w:hAnsi="仿宋" w:eastAsia="仿宋" w:cs="仿宋"/>
          <w:sz w:val="32"/>
          <w:szCs w:val="32"/>
        </w:rPr>
      </w:pPr>
      <w:r>
        <w:fldChar w:fldCharType="begin"/>
      </w:r>
      <w:r>
        <w:instrText xml:space="preserve"> HYPERLINK \l "_Toc31947_WPSOffice_Level1" </w:instrText>
      </w:r>
      <w:r>
        <w:fldChar w:fldCharType="separate"/>
      </w:r>
      <w:r>
        <w:rPr>
          <w:rFonts w:hint="eastAsia" w:ascii="仿宋" w:hAnsi="仿宋" w:eastAsia="仿宋" w:cs="仿宋"/>
          <w:sz w:val="32"/>
          <w:szCs w:val="32"/>
        </w:rPr>
        <w:t>第三章  评标办法</w:t>
      </w:r>
      <w:r>
        <w:rPr>
          <w:rFonts w:hint="eastAsia" w:ascii="仿宋" w:hAnsi="仿宋" w:eastAsia="仿宋" w:cs="仿宋"/>
          <w:sz w:val="32"/>
          <w:szCs w:val="32"/>
        </w:rPr>
        <w:tab/>
      </w:r>
      <w:bookmarkStart w:id="0" w:name="_Toc31947_WPSOffice_Level1Page"/>
      <w:r>
        <w:rPr>
          <w:rFonts w:hint="eastAsia" w:ascii="仿宋" w:hAnsi="仿宋" w:eastAsia="仿宋" w:cs="仿宋"/>
          <w:sz w:val="32"/>
          <w:szCs w:val="32"/>
        </w:rPr>
        <w:t>2</w:t>
      </w:r>
      <w:bookmarkEnd w:id="0"/>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27"/>
        <w:tabs>
          <w:tab w:val="right" w:leader="dot" w:pos="8505"/>
        </w:tabs>
        <w:spacing w:line="800" w:lineRule="exact"/>
        <w:rPr>
          <w:rFonts w:ascii="仿宋" w:hAnsi="仿宋" w:eastAsia="仿宋" w:cs="仿宋"/>
          <w:sz w:val="32"/>
          <w:szCs w:val="32"/>
        </w:rPr>
      </w:pPr>
      <w:r>
        <w:rPr>
          <w:rFonts w:hint="eastAsia" w:ascii="仿宋" w:hAnsi="仿宋" w:eastAsia="仿宋" w:cs="仿宋"/>
          <w:sz w:val="32"/>
          <w:szCs w:val="32"/>
        </w:rPr>
        <w:t>第四章  合同协议书</w:t>
      </w:r>
      <w:r>
        <w:fldChar w:fldCharType="begin"/>
      </w:r>
      <w:r>
        <w:instrText xml:space="preserve"> HYPERLINK \l "_Toc6194_WPSOffice_Level1" </w:instrText>
      </w:r>
      <w:r>
        <w:fldChar w:fldCharType="separate"/>
      </w:r>
      <w:r>
        <w:rPr>
          <w:rFonts w:hint="eastAsia" w:ascii="仿宋" w:hAnsi="仿宋" w:eastAsia="仿宋" w:cs="仿宋"/>
          <w:sz w:val="32"/>
          <w:szCs w:val="32"/>
        </w:rPr>
        <w:tab/>
      </w:r>
      <w:bookmarkStart w:id="1" w:name="_Toc6194_WPSOffice_Level1Page"/>
      <w:r>
        <w:rPr>
          <w:rFonts w:hint="eastAsia" w:ascii="仿宋" w:hAnsi="仿宋" w:eastAsia="仿宋" w:cs="仿宋"/>
          <w:sz w:val="32"/>
          <w:szCs w:val="32"/>
        </w:rPr>
        <w:t>3</w:t>
      </w:r>
      <w:bookmarkEnd w:id="1"/>
      <w:r>
        <w:rPr>
          <w:rFonts w:hint="eastAsia" w:ascii="仿宋" w:hAnsi="仿宋" w:eastAsia="仿宋" w:cs="仿宋"/>
          <w:sz w:val="32"/>
          <w:szCs w:val="32"/>
        </w:rPr>
        <w:t>2</w:t>
      </w:r>
      <w:r>
        <w:rPr>
          <w:rFonts w:hint="eastAsia" w:ascii="仿宋" w:hAnsi="仿宋" w:eastAsia="仿宋" w:cs="仿宋"/>
          <w:sz w:val="32"/>
          <w:szCs w:val="32"/>
        </w:rPr>
        <w:fldChar w:fldCharType="end"/>
      </w:r>
    </w:p>
    <w:p>
      <w:pPr>
        <w:pStyle w:val="27"/>
        <w:tabs>
          <w:tab w:val="right" w:leader="dot" w:pos="8505"/>
        </w:tabs>
        <w:spacing w:line="800" w:lineRule="exact"/>
        <w:rPr>
          <w:rFonts w:ascii="仿宋" w:hAnsi="仿宋" w:eastAsia="仿宋" w:cs="仿宋"/>
          <w:sz w:val="32"/>
          <w:szCs w:val="32"/>
        </w:rPr>
      </w:pPr>
      <w:r>
        <w:fldChar w:fldCharType="begin"/>
      </w:r>
      <w:r>
        <w:instrText xml:space="preserve"> HYPERLINK \l "_Toc12080_WPSOffice_Level1" </w:instrText>
      </w:r>
      <w:r>
        <w:fldChar w:fldCharType="separate"/>
      </w:r>
      <w:r>
        <w:rPr>
          <w:rFonts w:hint="eastAsia" w:ascii="仿宋" w:hAnsi="仿宋" w:eastAsia="仿宋" w:cs="仿宋"/>
          <w:sz w:val="32"/>
          <w:szCs w:val="32"/>
        </w:rPr>
        <w:t>第五章  投标文件格式</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2"/>
        <w:spacing w:line="800" w:lineRule="exact"/>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3105" w:hanging="3105"/>
        <w:rPr>
          <w:rFonts w:ascii="仿宋" w:hAnsi="仿宋" w:eastAsia="仿宋" w:cs="仿宋"/>
          <w:b/>
          <w:snapToGrid w:val="0"/>
          <w:color w:val="000000"/>
          <w:kern w:val="0"/>
          <w:sz w:val="32"/>
          <w:szCs w:val="32"/>
        </w:rPr>
      </w:pPr>
    </w:p>
    <w:p>
      <w:pPr>
        <w:pStyle w:val="2"/>
        <w:ind w:left="0" w:firstLine="0"/>
        <w:jc w:val="both"/>
        <w:rPr>
          <w:rFonts w:ascii="仿宋" w:hAnsi="仿宋" w:eastAsia="仿宋" w:cs="仿宋"/>
          <w:b/>
          <w:snapToGrid w:val="0"/>
          <w:color w:val="000000"/>
          <w:kern w:val="0"/>
          <w:sz w:val="32"/>
          <w:szCs w:val="32"/>
        </w:rPr>
        <w:sectPr>
          <w:headerReference r:id="rId9" w:type="default"/>
          <w:footerReference r:id="rId10" w:type="default"/>
          <w:pgSz w:w="11907" w:h="16839"/>
          <w:pgMar w:top="1417" w:right="1701" w:bottom="1417" w:left="1701" w:header="720" w:footer="720" w:gutter="0"/>
          <w:cols w:space="720" w:num="1"/>
          <w:docGrid w:linePitch="286" w:charSpace="0"/>
        </w:sectPr>
      </w:pPr>
    </w:p>
    <w:p>
      <w:pPr>
        <w:pStyle w:val="2"/>
        <w:ind w:left="3650" w:leftChars="1319" w:hanging="880" w:hangingChars="275"/>
        <w:jc w:val="both"/>
        <w:rPr>
          <w:rFonts w:ascii="仿宋" w:hAnsi="仿宋" w:eastAsia="仿宋" w:cs="仿宋"/>
          <w:b/>
          <w:snapToGrid w:val="0"/>
          <w:color w:val="000000"/>
          <w:kern w:val="0"/>
          <w:sz w:val="32"/>
          <w:szCs w:val="32"/>
        </w:rPr>
      </w:pPr>
      <w:r>
        <w:rPr>
          <w:rFonts w:hint="eastAsia" w:ascii="仿宋_GB2312" w:eastAsia="仿宋_GB2312"/>
          <w:sz w:val="32"/>
          <w:szCs w:val="32"/>
        </w:rPr>
        <w:t xml:space="preserve"> </w:t>
      </w:r>
      <w:r>
        <w:rPr>
          <w:rFonts w:hint="eastAsia" w:ascii="仿宋" w:hAnsi="仿宋" w:eastAsia="仿宋" w:cs="仿宋"/>
          <w:b/>
          <w:snapToGrid w:val="0"/>
          <w:color w:val="000000"/>
          <w:kern w:val="0"/>
          <w:sz w:val="32"/>
          <w:szCs w:val="32"/>
        </w:rPr>
        <w:t>第一章  邀请书</w:t>
      </w:r>
    </w:p>
    <w:p>
      <w:pPr>
        <w:pStyle w:val="3"/>
        <w:jc w:val="center"/>
        <w:rPr>
          <w:rFonts w:ascii="仿宋" w:hAnsi="仿宋" w:eastAsia="仿宋" w:cs="仿宋"/>
          <w:snapToGrid w:val="0"/>
          <w:color w:val="000000"/>
          <w:szCs w:val="32"/>
        </w:rPr>
      </w:pPr>
      <w:bookmarkStart w:id="2" w:name="_Toc470130539"/>
      <w:bookmarkStart w:id="3" w:name="_Toc364411330"/>
      <w:bookmarkStart w:id="4" w:name="_Toc421899218"/>
      <w:bookmarkStart w:id="5" w:name="_Toc257373099"/>
      <w:bookmarkStart w:id="6" w:name="_Toc200359432"/>
      <w:bookmarkStart w:id="7" w:name="_Toc200359243"/>
      <w:bookmarkStart w:id="8" w:name="_Toc259797063"/>
      <w:bookmarkStart w:id="9" w:name="_Toc364411507"/>
      <w:r>
        <w:rPr>
          <w:rFonts w:hint="eastAsia" w:ascii="仿宋" w:hAnsi="仿宋" w:eastAsia="仿宋" w:cs="仿宋"/>
          <w:snapToGrid w:val="0"/>
          <w:color w:val="000000"/>
          <w:szCs w:val="32"/>
        </w:rPr>
        <w:t>重庆三环高速公路合川至长寿段项目</w:t>
      </w:r>
    </w:p>
    <w:p>
      <w:pPr>
        <w:pStyle w:val="3"/>
        <w:jc w:val="center"/>
        <w:rPr>
          <w:rFonts w:ascii="仿宋" w:hAnsi="仿宋" w:eastAsia="仿宋" w:cs="仿宋"/>
          <w:snapToGrid w:val="0"/>
          <w:color w:val="000000"/>
          <w:szCs w:val="32"/>
        </w:rPr>
      </w:pPr>
      <w:r>
        <w:rPr>
          <w:rFonts w:hint="eastAsia" w:ascii="仿宋" w:hAnsi="仿宋" w:eastAsia="仿宋" w:cs="仿宋"/>
          <w:snapToGrid w:val="0"/>
          <w:color w:val="000000"/>
          <w:szCs w:val="32"/>
        </w:rPr>
        <w:t>渝北区征迁资金专项审计询价邀请书</w:t>
      </w:r>
      <w:bookmarkEnd w:id="2"/>
    </w:p>
    <w:p>
      <w:pPr>
        <w:tabs>
          <w:tab w:val="left" w:pos="4950"/>
        </w:tabs>
        <w:autoSpaceDE w:val="0"/>
        <w:autoSpaceDN w:val="0"/>
        <w:adjustRightInd w:val="0"/>
        <w:snapToGrid w:val="0"/>
        <w:spacing w:line="360" w:lineRule="auto"/>
        <w:jc w:val="left"/>
        <w:rPr>
          <w:rFonts w:ascii="仿宋" w:hAnsi="仿宋" w:eastAsia="仿宋" w:cs="仿宋"/>
          <w:snapToGrid w:val="0"/>
          <w:color w:val="000000"/>
          <w:sz w:val="28"/>
          <w:szCs w:val="28"/>
        </w:rPr>
      </w:pPr>
      <w:r>
        <w:rPr>
          <w:rFonts w:hint="eastAsia" w:ascii="仿宋" w:hAnsi="仿宋" w:eastAsia="仿宋" w:cs="仿宋"/>
          <w:b/>
          <w:snapToGrid w:val="0"/>
          <w:w w:val="99"/>
          <w:kern w:val="0"/>
          <w:sz w:val="28"/>
          <w:szCs w:val="28"/>
          <w:u w:val="single"/>
        </w:rPr>
        <w:t>XXXXXXXXXXX    :</w:t>
      </w:r>
    </w:p>
    <w:p>
      <w:pPr>
        <w:pStyle w:val="3"/>
        <w:rPr>
          <w:rFonts w:ascii="仿宋" w:hAnsi="仿宋" w:eastAsia="仿宋" w:cs="仿宋"/>
          <w:snapToGrid w:val="0"/>
          <w:color w:val="000000"/>
          <w:sz w:val="28"/>
          <w:szCs w:val="28"/>
        </w:rPr>
      </w:pPr>
      <w:bookmarkStart w:id="10" w:name="_Toc470130540"/>
      <w:r>
        <w:rPr>
          <w:rFonts w:hint="eastAsia" w:ascii="仿宋" w:hAnsi="仿宋" w:eastAsia="仿宋" w:cs="仿宋"/>
          <w:snapToGrid w:val="0"/>
          <w:color w:val="000000"/>
          <w:sz w:val="28"/>
          <w:szCs w:val="28"/>
        </w:rPr>
        <w:t>1. 询价条件</w:t>
      </w:r>
      <w:bookmarkEnd w:id="10"/>
    </w:p>
    <w:p>
      <w:pPr>
        <w:spacing w:line="360" w:lineRule="auto"/>
        <w:ind w:firstLine="560" w:firstLineChars="200"/>
        <w:rPr>
          <w:rFonts w:ascii="仿宋" w:hAnsi="仿宋" w:eastAsia="仿宋" w:cs="仿宋"/>
          <w:sz w:val="28"/>
          <w:szCs w:val="28"/>
        </w:rPr>
      </w:pPr>
      <w:bookmarkStart w:id="11" w:name="_Toc421899214"/>
      <w:r>
        <w:rPr>
          <w:rFonts w:hint="eastAsia" w:ascii="仿宋" w:hAnsi="仿宋" w:eastAsia="仿宋" w:cs="仿宋"/>
          <w:sz w:val="28"/>
          <w:szCs w:val="28"/>
        </w:rPr>
        <w:t>由长合高速公路有限公司承建的重庆三环高速公路合川至长寿段(以下简称“本项目”)可行性研究报告已由重庆市发展和改革委员会以渝发改交〔2015〕1257号文核准建设，初步设计已由重庆市交通委员会以渝交委路〔2015〕99号批准。本项目建设资金为自筹资本金、银行贷款。项目现有渝北区征迁资金专项审计工作已具备询价条件，询价人重庆长合高速公路有限公司、重庆市渝北区征地事务中心邀请你单位参与本项工作询价。</w:t>
      </w:r>
    </w:p>
    <w:p>
      <w:pPr>
        <w:spacing w:line="360" w:lineRule="auto"/>
        <w:rPr>
          <w:rFonts w:ascii="仿宋" w:hAnsi="仿宋" w:eastAsia="仿宋" w:cs="仿宋"/>
          <w:b/>
          <w:bCs/>
          <w:sz w:val="28"/>
          <w:szCs w:val="28"/>
        </w:rPr>
      </w:pPr>
      <w:bookmarkStart w:id="12" w:name="_Toc470130541"/>
      <w:r>
        <w:rPr>
          <w:rFonts w:hint="eastAsia" w:ascii="仿宋" w:hAnsi="仿宋" w:eastAsia="仿宋" w:cs="仿宋"/>
          <w:b/>
          <w:bCs/>
          <w:sz w:val="28"/>
          <w:szCs w:val="28"/>
        </w:rPr>
        <w:t>2. 项目概况与询价范围</w:t>
      </w:r>
      <w:bookmarkEnd w:id="11"/>
      <w:bookmarkEnd w:id="12"/>
    </w:p>
    <w:p>
      <w:pPr>
        <w:spacing w:line="360" w:lineRule="auto"/>
        <w:ind w:firstLine="560" w:firstLineChars="200"/>
        <w:rPr>
          <w:rFonts w:ascii="仿宋" w:hAnsi="仿宋" w:eastAsia="仿宋" w:cs="仿宋"/>
          <w:sz w:val="28"/>
          <w:szCs w:val="28"/>
        </w:rPr>
      </w:pPr>
      <w:bookmarkStart w:id="13" w:name="_Toc421899215"/>
      <w:bookmarkStart w:id="14" w:name="_Toc200359429"/>
      <w:bookmarkStart w:id="15" w:name="_Toc200359240"/>
      <w:bookmarkStart w:id="16" w:name="_Toc259797060"/>
      <w:bookmarkStart w:id="17" w:name="_Toc364411327"/>
      <w:bookmarkStart w:id="18" w:name="_Toc257373096"/>
      <w:bookmarkStart w:id="19" w:name="_Toc364411504"/>
      <w:bookmarkStart w:id="20" w:name="_Toc470130542"/>
      <w:r>
        <w:rPr>
          <w:rFonts w:hint="eastAsia" w:ascii="仿宋" w:hAnsi="仿宋" w:eastAsia="仿宋" w:cs="仿宋"/>
          <w:sz w:val="28"/>
          <w:szCs w:val="28"/>
        </w:rPr>
        <w:t>2.1项目概况：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路线起于合川沙溪互通，与重庆三环高速公路铜梁至合川段相接，终点为渝北区渝长高速公路箭沱湾立交附近，与南川至两江新区高速公路连接。本项目按双向四车道高速公路标准建设，设计速度80公里/小时，桥隧比约46.9%，全长76.06公里，建设工期3.5年。本项目总投资概算批复金额为111.97亿元人民币（以下“元”均指人民币元），建安费76.08亿元。项目已于2017年3月开工，2</w:t>
      </w:r>
      <w:r>
        <w:rPr>
          <w:rFonts w:ascii="仿宋" w:hAnsi="仿宋" w:eastAsia="仿宋" w:cs="仿宋"/>
          <w:sz w:val="28"/>
          <w:szCs w:val="28"/>
        </w:rPr>
        <w:t>021</w:t>
      </w:r>
      <w:r>
        <w:rPr>
          <w:rFonts w:hint="eastAsia" w:ascii="仿宋" w:hAnsi="仿宋" w:eastAsia="仿宋" w:cs="仿宋"/>
          <w:sz w:val="28"/>
          <w:szCs w:val="28"/>
        </w:rPr>
        <w:t>年10月交工通车。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2.2询价范围：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（1）清理本项目渝北区各类征迁合同的签订情况及费用支付情况，检查合同签订是否合规、合理，费用支付、结算是否规范，提出针对性的咨询建议；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（2）全面梳理项目发生的各类成本费用，编制（审核）项目渝北区征迁项目专项审计资料。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（3）协助委托方建立各类费用的合同台账，进行动态管理。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（4）国家审计机关对本项目进行决算审计时，全力配合审计工作。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（5）委托方要求完成的其他工作。</w:t>
      </w:r>
    </w:p>
    <w:p>
      <w:pPr>
        <w:pStyle w:val="3"/>
        <w:rPr>
          <w:rFonts w:ascii="仿宋" w:hAnsi="仿宋" w:eastAsia="仿宋" w:cs="仿宋"/>
          <w:snapToGrid w:val="0"/>
          <w:color w:val="000000"/>
          <w:spacing w:val="0"/>
          <w:sz w:val="28"/>
          <w:szCs w:val="28"/>
        </w:rPr>
      </w:pPr>
      <w:r>
        <w:rPr>
          <w:rFonts w:hint="eastAsia" w:ascii="仿宋" w:hAnsi="仿宋" w:eastAsia="仿宋" w:cs="仿宋"/>
          <w:snapToGrid w:val="0"/>
          <w:color w:val="000000"/>
          <w:spacing w:val="0"/>
          <w:sz w:val="28"/>
          <w:szCs w:val="28"/>
        </w:rPr>
        <w:t>3. 投标人资格要求</w:t>
      </w:r>
      <w:bookmarkEnd w:id="13"/>
      <w:bookmarkEnd w:id="14"/>
      <w:bookmarkEnd w:id="15"/>
      <w:bookmarkEnd w:id="16"/>
      <w:bookmarkEnd w:id="17"/>
      <w:bookmarkEnd w:id="18"/>
      <w:bookmarkEnd w:id="19"/>
      <w:bookmarkEnd w:id="20"/>
    </w:p>
    <w:p>
      <w:pPr>
        <w:spacing w:line="360" w:lineRule="auto"/>
        <w:ind w:firstLine="560" w:firstLineChars="200"/>
        <w:rPr>
          <w:rFonts w:ascii="仿宋" w:hAnsi="仿宋" w:eastAsia="仿宋" w:cs="仿宋"/>
          <w:snapToGrid w:val="0"/>
          <w:color w:val="000000"/>
          <w:kern w:val="0"/>
          <w:position w:val="-2"/>
          <w:sz w:val="28"/>
          <w:szCs w:val="28"/>
        </w:rPr>
      </w:pPr>
      <w:bookmarkStart w:id="21" w:name="_Toc259797061"/>
      <w:bookmarkStart w:id="22" w:name="_Toc200359241"/>
      <w:bookmarkStart w:id="23" w:name="_Toc200359430"/>
      <w:bookmarkStart w:id="24" w:name="_Toc257373097"/>
      <w:r>
        <w:rPr>
          <w:rFonts w:hint="eastAsia" w:ascii="仿宋" w:hAnsi="仿宋" w:eastAsia="仿宋" w:cs="仿宋"/>
          <w:snapToGrid w:val="0"/>
          <w:color w:val="000000"/>
          <w:kern w:val="0"/>
          <w:sz w:val="28"/>
          <w:szCs w:val="28"/>
        </w:rPr>
        <w:t xml:space="preserve"> 3.1</w:t>
      </w:r>
      <w:r>
        <w:rPr>
          <w:rFonts w:hint="eastAsia" w:ascii="仿宋" w:hAnsi="仿宋" w:eastAsia="仿宋" w:cs="仿宋"/>
          <w:sz w:val="28"/>
          <w:szCs w:val="28"/>
        </w:rPr>
        <w:t>本次询价要求投标人须具备：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（1）具有省级以上（含省级）财政部门颁发的会计师事务所执业资格证书（或分所）（提供加盖投标人鲜章的证书复印件）；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若为分支机构的，必须取得总公司（所）的授权书。经营规模、综合实力等相应情况以分支机构的情况为准。总公司（所）仅能授权一家分支机构进行投标，且发出授权后总公司（所）不得与分支机构一同参与投标。</w:t>
      </w:r>
    </w:p>
    <w:p>
      <w:pPr>
        <w:pStyle w:val="3"/>
        <w:rPr>
          <w:rFonts w:ascii="仿宋" w:hAnsi="仿宋" w:eastAsia="仿宋" w:cs="仿宋"/>
          <w:snapToGrid w:val="0"/>
          <w:color w:val="000000"/>
          <w:spacing w:val="0"/>
          <w:sz w:val="28"/>
          <w:szCs w:val="28"/>
        </w:rPr>
      </w:pPr>
      <w:bookmarkStart w:id="25" w:name="_Toc470130543"/>
      <w:bookmarkStart w:id="26" w:name="_Toc364411505"/>
      <w:bookmarkStart w:id="27" w:name="_Toc421899216"/>
      <w:bookmarkStart w:id="28" w:name="_Toc364411328"/>
      <w:r>
        <w:rPr>
          <w:rFonts w:hint="eastAsia" w:ascii="仿宋" w:hAnsi="仿宋" w:eastAsia="仿宋" w:cs="仿宋"/>
          <w:snapToGrid w:val="0"/>
          <w:color w:val="000000"/>
          <w:spacing w:val="0"/>
          <w:sz w:val="28"/>
          <w:szCs w:val="28"/>
        </w:rPr>
        <w:t>4. 询价文件的获取</w:t>
      </w:r>
      <w:bookmarkEnd w:id="21"/>
      <w:bookmarkEnd w:id="22"/>
      <w:bookmarkEnd w:id="23"/>
      <w:bookmarkEnd w:id="24"/>
      <w:bookmarkEnd w:id="25"/>
      <w:bookmarkEnd w:id="26"/>
      <w:bookmarkEnd w:id="27"/>
      <w:bookmarkEnd w:id="28"/>
    </w:p>
    <w:p>
      <w:pPr>
        <w:spacing w:line="360" w:lineRule="auto"/>
        <w:ind w:left="141" w:leftChars="67" w:firstLine="420" w:firstLineChars="150"/>
        <w:rPr>
          <w:rFonts w:ascii="仿宋" w:hAnsi="仿宋" w:eastAsia="仿宋" w:cs="仿宋"/>
          <w:sz w:val="28"/>
          <w:szCs w:val="28"/>
        </w:rPr>
      </w:pPr>
      <w:bookmarkStart w:id="29" w:name="_Toc259797062"/>
      <w:bookmarkStart w:id="30" w:name="_Toc364411329"/>
      <w:bookmarkStart w:id="31" w:name="_Toc257373098"/>
      <w:bookmarkStart w:id="32" w:name="_Toc200359431"/>
      <w:bookmarkStart w:id="33" w:name="_Toc421899217"/>
      <w:bookmarkStart w:id="34" w:name="_Toc200359242"/>
      <w:bookmarkStart w:id="35" w:name="_Toc364411506"/>
      <w:r>
        <w:rPr>
          <w:rFonts w:hint="eastAsia" w:ascii="仿宋" w:hAnsi="仿宋" w:eastAsia="仿宋" w:cs="仿宋"/>
          <w:sz w:val="28"/>
          <w:szCs w:val="28"/>
        </w:rPr>
        <w:t>凡有意参加投标者，请于2023年</w:t>
      </w:r>
      <w:r>
        <w:rPr>
          <w:rFonts w:hint="eastAsia" w:ascii="仿宋" w:hAnsi="仿宋" w:eastAsia="仿宋" w:cs="仿宋"/>
          <w:sz w:val="28"/>
          <w:szCs w:val="28"/>
          <w:u w:val="single"/>
        </w:rPr>
        <w:t xml:space="preserve">  11  </w:t>
      </w:r>
      <w:r>
        <w:rPr>
          <w:rFonts w:hint="eastAsia" w:ascii="仿宋" w:hAnsi="仿宋" w:eastAsia="仿宋" w:cs="仿宋"/>
          <w:sz w:val="28"/>
          <w:szCs w:val="28"/>
        </w:rPr>
        <w:t>月</w:t>
      </w:r>
      <w:r>
        <w:rPr>
          <w:rFonts w:hint="eastAsia" w:ascii="仿宋" w:hAnsi="仿宋" w:eastAsia="仿宋" w:cs="仿宋"/>
          <w:sz w:val="28"/>
          <w:szCs w:val="28"/>
          <w:u w:val="single"/>
        </w:rPr>
        <w:t xml:space="preserve"> 26  </w:t>
      </w:r>
      <w:r>
        <w:rPr>
          <w:rFonts w:hint="eastAsia" w:ascii="仿宋" w:hAnsi="仿宋" w:eastAsia="仿宋" w:cs="仿宋"/>
          <w:sz w:val="28"/>
          <w:szCs w:val="28"/>
        </w:rPr>
        <w:t>日前，在“</w:t>
      </w:r>
      <w:r>
        <w:rPr>
          <w:rFonts w:ascii="仿宋" w:hAnsi="仿宋" w:eastAsia="仿宋" w:cs="仿宋"/>
          <w:sz w:val="28"/>
          <w:szCs w:val="28"/>
        </w:rPr>
        <w:t>重庆高速集团官网</w:t>
      </w:r>
      <w:r>
        <w:rPr>
          <w:rFonts w:hint="eastAsia" w:ascii="仿宋" w:hAnsi="仿宋" w:eastAsia="仿宋" w:cs="仿宋"/>
          <w:sz w:val="28"/>
          <w:szCs w:val="28"/>
        </w:rPr>
        <w:t>招标采购板块</w:t>
      </w:r>
      <w:r>
        <w:rPr>
          <w:rFonts w:hint="eastAsia" w:ascii="仿宋" w:hAnsi="仿宋" w:cs="仿宋"/>
          <w:bCs/>
          <w:sz w:val="28"/>
          <w:szCs w:val="28"/>
        </w:rPr>
        <w:t>”</w:t>
      </w:r>
      <w:r>
        <w:rPr>
          <w:rFonts w:hint="eastAsia" w:ascii="仿宋" w:hAnsi="仿宋" w:eastAsia="仿宋" w:cs="仿宋"/>
          <w:sz w:val="28"/>
          <w:szCs w:val="28"/>
        </w:rPr>
        <w:t>下载本询价文件。</w:t>
      </w:r>
    </w:p>
    <w:p>
      <w:pPr>
        <w:pStyle w:val="3"/>
        <w:rPr>
          <w:rFonts w:ascii="仿宋" w:hAnsi="仿宋" w:eastAsia="仿宋" w:cs="仿宋"/>
          <w:snapToGrid w:val="0"/>
          <w:color w:val="000000"/>
          <w:spacing w:val="0"/>
          <w:sz w:val="28"/>
          <w:szCs w:val="28"/>
        </w:rPr>
      </w:pPr>
      <w:bookmarkStart w:id="36" w:name="_Toc470130544"/>
      <w:r>
        <w:rPr>
          <w:rFonts w:hint="eastAsia" w:ascii="仿宋" w:hAnsi="仿宋" w:eastAsia="仿宋" w:cs="仿宋"/>
          <w:snapToGrid w:val="0"/>
          <w:color w:val="000000"/>
          <w:spacing w:val="0"/>
          <w:sz w:val="28"/>
          <w:szCs w:val="28"/>
        </w:rPr>
        <w:t>5. 投标文件的递交</w:t>
      </w:r>
      <w:bookmarkEnd w:id="29"/>
      <w:bookmarkEnd w:id="30"/>
      <w:bookmarkEnd w:id="31"/>
      <w:bookmarkEnd w:id="32"/>
      <w:bookmarkEnd w:id="33"/>
      <w:bookmarkEnd w:id="34"/>
      <w:bookmarkEnd w:id="35"/>
      <w:bookmarkEnd w:id="3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5.1 投标文件递交的截止时间：2023年 </w:t>
      </w:r>
      <w:r>
        <w:rPr>
          <w:rFonts w:hint="eastAsia" w:ascii="仿宋" w:hAnsi="仿宋" w:eastAsia="仿宋" w:cs="仿宋"/>
          <w:sz w:val="28"/>
          <w:szCs w:val="28"/>
          <w:u w:val="single"/>
        </w:rPr>
        <w:t xml:space="preserve">   11 </w:t>
      </w:r>
      <w:r>
        <w:rPr>
          <w:rFonts w:hint="eastAsia" w:ascii="仿宋" w:hAnsi="仿宋" w:eastAsia="仿宋" w:cs="仿宋"/>
          <w:sz w:val="28"/>
          <w:szCs w:val="28"/>
        </w:rPr>
        <w:t>月</w:t>
      </w:r>
      <w:r>
        <w:rPr>
          <w:rFonts w:hint="eastAsia" w:ascii="仿宋" w:hAnsi="仿宋" w:eastAsia="仿宋" w:cs="仿宋"/>
          <w:sz w:val="28"/>
          <w:szCs w:val="28"/>
          <w:u w:val="single"/>
        </w:rPr>
        <w:t xml:space="preserve">  27 </w:t>
      </w:r>
      <w:r>
        <w:rPr>
          <w:rFonts w:hint="eastAsia" w:ascii="仿宋" w:hAnsi="仿宋" w:eastAsia="仿宋" w:cs="仿宋"/>
          <w:sz w:val="28"/>
          <w:szCs w:val="28"/>
        </w:rPr>
        <w:t>日10:00 时， 地点为：（重庆市渝北区木耳收费站重庆长合高速公路有限公司321室）</w:t>
      </w:r>
    </w:p>
    <w:p>
      <w:pPr>
        <w:spacing w:line="360" w:lineRule="auto"/>
        <w:ind w:firstLine="560" w:firstLineChars="200"/>
        <w:rPr>
          <w:rFonts w:ascii="仿宋" w:hAnsi="仿宋" w:eastAsia="仿宋" w:cs="仿宋"/>
          <w:snapToGrid w:val="0"/>
          <w:color w:val="000000"/>
          <w:kern w:val="0"/>
          <w:sz w:val="28"/>
          <w:szCs w:val="28"/>
        </w:rPr>
      </w:pPr>
      <w:r>
        <w:rPr>
          <w:rFonts w:hint="eastAsia" w:ascii="仿宋" w:hAnsi="仿宋" w:eastAsia="仿宋" w:cs="仿宋"/>
          <w:sz w:val="28"/>
          <w:szCs w:val="28"/>
        </w:rPr>
        <w:t>5.2 逾期送达的或者未送达指定地点的投标文件，询价人不予受理</w:t>
      </w:r>
      <w:r>
        <w:rPr>
          <w:rFonts w:hint="eastAsia" w:ascii="仿宋" w:hAnsi="仿宋" w:eastAsia="仿宋" w:cs="仿宋"/>
          <w:snapToGrid w:val="0"/>
          <w:color w:val="000000"/>
          <w:kern w:val="0"/>
          <w:sz w:val="28"/>
          <w:szCs w:val="28"/>
        </w:rPr>
        <w:t>。</w:t>
      </w:r>
    </w:p>
    <w:p>
      <w:pPr>
        <w:spacing w:line="360" w:lineRule="auto"/>
        <w:ind w:firstLine="560" w:firstLineChars="200"/>
        <w:rPr>
          <w:rFonts w:ascii="仿宋" w:hAnsi="仿宋" w:eastAsia="仿宋" w:cs="仿宋"/>
          <w:snapToGrid w:val="0"/>
          <w:color w:val="000000"/>
          <w:kern w:val="0"/>
          <w:sz w:val="28"/>
          <w:szCs w:val="28"/>
        </w:rPr>
      </w:pPr>
    </w:p>
    <w:p>
      <w:pPr>
        <w:spacing w:line="360" w:lineRule="auto"/>
        <w:rPr>
          <w:rFonts w:ascii="仿宋" w:hAnsi="仿宋" w:eastAsia="仿宋" w:cs="仿宋"/>
          <w:snapToGrid w:val="0"/>
          <w:color w:val="000000"/>
          <w:kern w:val="0"/>
          <w:sz w:val="28"/>
          <w:szCs w:val="28"/>
        </w:rPr>
      </w:pPr>
    </w:p>
    <w:p>
      <w:pPr>
        <w:spacing w:line="360" w:lineRule="auto"/>
        <w:rPr>
          <w:rFonts w:ascii="仿宋" w:hAnsi="仿宋" w:eastAsia="仿宋" w:cs="仿宋"/>
          <w:snapToGrid w:val="0"/>
          <w:color w:val="000000"/>
          <w:kern w:val="0"/>
          <w:sz w:val="28"/>
          <w:szCs w:val="28"/>
        </w:rPr>
      </w:pPr>
    </w:p>
    <w:p>
      <w:pPr>
        <w:spacing w:line="360" w:lineRule="auto"/>
        <w:rPr>
          <w:rFonts w:ascii="仿宋" w:hAnsi="仿宋" w:eastAsia="仿宋" w:cs="仿宋"/>
          <w:snapToGrid w:val="0"/>
          <w:color w:val="000000"/>
          <w:kern w:val="0"/>
          <w:sz w:val="28"/>
          <w:szCs w:val="28"/>
        </w:rPr>
      </w:pPr>
    </w:p>
    <w:bookmarkEnd w:id="3"/>
    <w:bookmarkEnd w:id="4"/>
    <w:bookmarkEnd w:id="5"/>
    <w:bookmarkEnd w:id="6"/>
    <w:bookmarkEnd w:id="7"/>
    <w:bookmarkEnd w:id="8"/>
    <w:bookmarkEnd w:id="9"/>
    <w:p>
      <w:pPr>
        <w:pStyle w:val="3"/>
        <w:rPr>
          <w:rFonts w:ascii="仿宋" w:hAnsi="仿宋" w:eastAsia="仿宋" w:cs="仿宋"/>
          <w:snapToGrid w:val="0"/>
          <w:color w:val="000000"/>
          <w:spacing w:val="0"/>
          <w:sz w:val="28"/>
          <w:szCs w:val="28"/>
        </w:rPr>
      </w:pPr>
      <w:bookmarkStart w:id="37" w:name="_Toc470130546"/>
      <w:bookmarkStart w:id="38" w:name="_Toc257373100"/>
      <w:bookmarkStart w:id="39" w:name="_Toc259797064"/>
      <w:bookmarkStart w:id="40" w:name="_Toc364411508"/>
      <w:bookmarkStart w:id="41" w:name="_Toc421899219"/>
      <w:bookmarkStart w:id="42" w:name="_Toc364411331"/>
      <w:r>
        <w:rPr>
          <w:rFonts w:hint="eastAsia" w:ascii="仿宋" w:hAnsi="仿宋" w:eastAsia="仿宋" w:cs="仿宋"/>
          <w:snapToGrid w:val="0"/>
          <w:color w:val="000000"/>
          <w:spacing w:val="0"/>
          <w:sz w:val="28"/>
          <w:szCs w:val="28"/>
        </w:rPr>
        <w:t>6. 联系方式</w:t>
      </w:r>
      <w:bookmarkEnd w:id="37"/>
      <w:bookmarkEnd w:id="38"/>
      <w:bookmarkEnd w:id="39"/>
      <w:bookmarkEnd w:id="40"/>
      <w:bookmarkEnd w:id="41"/>
      <w:bookmarkEnd w:id="42"/>
    </w:p>
    <w:p>
      <w:pPr>
        <w:tabs>
          <w:tab w:val="left" w:pos="5140"/>
          <w:tab w:val="left" w:pos="8520"/>
        </w:tabs>
        <w:autoSpaceDE w:val="0"/>
        <w:autoSpaceDN w:val="0"/>
        <w:adjustRightInd w:val="0"/>
        <w:snapToGrid w:val="0"/>
        <w:spacing w:line="360" w:lineRule="auto"/>
        <w:ind w:left="7102" w:leftChars="266" w:hanging="6543" w:hangingChars="2337"/>
        <w:jc w:val="left"/>
        <w:rPr>
          <w:rFonts w:ascii="仿宋" w:hAnsi="仿宋" w:eastAsia="仿宋" w:cs="仿宋"/>
          <w:color w:val="000000"/>
          <w:sz w:val="28"/>
          <w:szCs w:val="28"/>
          <w:u w:val="single"/>
        </w:rPr>
      </w:pPr>
      <w:r>
        <w:rPr>
          <w:rFonts w:hint="eastAsia" w:ascii="仿宋" w:hAnsi="仿宋" w:eastAsia="仿宋" w:cs="仿宋"/>
          <w:snapToGrid w:val="0"/>
          <w:color w:val="000000"/>
          <w:kern w:val="0"/>
          <w:sz w:val="28"/>
          <w:szCs w:val="28"/>
        </w:rPr>
        <w:t>询价人：</w:t>
      </w:r>
      <w:r>
        <w:rPr>
          <w:rFonts w:hint="eastAsia" w:ascii="仿宋" w:hAnsi="仿宋" w:eastAsia="仿宋" w:cs="仿宋"/>
          <w:snapToGrid w:val="0"/>
          <w:color w:val="000000"/>
          <w:kern w:val="0"/>
          <w:sz w:val="28"/>
          <w:szCs w:val="28"/>
          <w:u w:val="single"/>
        </w:rPr>
        <w:t>重庆长合高速公路有限公司 渝北区征地事务中心</w:t>
      </w:r>
    </w:p>
    <w:p>
      <w:pPr>
        <w:tabs>
          <w:tab w:val="left" w:pos="5140"/>
          <w:tab w:val="left" w:pos="8420"/>
        </w:tabs>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u w:val="single"/>
        </w:rPr>
      </w:pPr>
      <w:r>
        <w:rPr>
          <w:rFonts w:hint="eastAsia" w:ascii="仿宋" w:hAnsi="仿宋" w:eastAsia="仿宋" w:cs="仿宋"/>
          <w:snapToGrid w:val="0"/>
          <w:color w:val="000000"/>
          <w:kern w:val="0"/>
          <w:sz w:val="28"/>
          <w:szCs w:val="28"/>
        </w:rPr>
        <w:t>地  址：</w:t>
      </w:r>
      <w:r>
        <w:rPr>
          <w:rFonts w:hint="eastAsia" w:ascii="仿宋" w:hAnsi="仿宋" w:eastAsia="仿宋" w:cs="仿宋"/>
          <w:sz w:val="28"/>
          <w:szCs w:val="28"/>
          <w:u w:val="single"/>
        </w:rPr>
        <w:t>重庆长合高速公路有限公司（渝北区木耳收费站旁）</w:t>
      </w:r>
      <w:r>
        <w:rPr>
          <w:rFonts w:hint="eastAsia" w:ascii="仿宋" w:hAnsi="仿宋" w:eastAsia="仿宋" w:cs="仿宋"/>
          <w:snapToGrid w:val="0"/>
          <w:color w:val="000000"/>
          <w:kern w:val="0"/>
          <w:sz w:val="28"/>
          <w:szCs w:val="28"/>
          <w:u w:val="single"/>
        </w:rPr>
        <w:t xml:space="preserve"> </w:t>
      </w:r>
    </w:p>
    <w:p>
      <w:pPr>
        <w:tabs>
          <w:tab w:val="left" w:pos="8420"/>
        </w:tabs>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联系人：</w:t>
      </w:r>
      <w:r>
        <w:rPr>
          <w:rFonts w:hint="eastAsia" w:ascii="仿宋" w:hAnsi="仿宋" w:eastAsia="仿宋" w:cs="仿宋"/>
          <w:snapToGrid w:val="0"/>
          <w:color w:val="000000"/>
          <w:kern w:val="0"/>
          <w:sz w:val="28"/>
          <w:szCs w:val="28"/>
          <w:u w:val="single"/>
        </w:rPr>
        <w:t>屈老师</w:t>
      </w:r>
      <w:r>
        <w:rPr>
          <w:rFonts w:hint="eastAsia" w:ascii="仿宋" w:hAnsi="仿宋" w:eastAsia="仿宋" w:cs="仿宋"/>
          <w:sz w:val="28"/>
          <w:szCs w:val="28"/>
          <w:u w:val="single"/>
        </w:rPr>
        <w:t xml:space="preserve"> 罗老师</w:t>
      </w:r>
    </w:p>
    <w:p>
      <w:pPr>
        <w:tabs>
          <w:tab w:val="left" w:pos="5140"/>
          <w:tab w:val="left" w:pos="8420"/>
        </w:tabs>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电  话：</w:t>
      </w:r>
      <w:r>
        <w:rPr>
          <w:rFonts w:hint="eastAsia" w:ascii="仿宋" w:hAnsi="仿宋" w:eastAsia="仿宋" w:cs="仿宋"/>
          <w:spacing w:val="-6"/>
          <w:sz w:val="24"/>
        </w:rPr>
        <w:t>13637912734</w:t>
      </w:r>
    </w:p>
    <w:p>
      <w:pPr>
        <w:spacing w:line="360" w:lineRule="auto"/>
        <w:ind w:left="4189" w:leftChars="1995" w:firstLine="2520" w:firstLineChars="450"/>
        <w:rPr>
          <w:rFonts w:ascii="仿宋" w:hAnsi="仿宋" w:eastAsia="仿宋" w:cs="仿宋"/>
          <w:snapToGrid w:val="0"/>
          <w:color w:val="000000"/>
          <w:kern w:val="0"/>
          <w:sz w:val="28"/>
          <w:szCs w:val="28"/>
          <w:u w:val="single"/>
        </w:rPr>
      </w:pPr>
      <w:r>
        <w:rPr>
          <w:rFonts w:hint="eastAsia" w:ascii="仿宋" w:hAnsi="仿宋" w:eastAsia="仿宋" w:cs="仿宋"/>
          <w:snapToGrid w:val="0"/>
          <w:color w:val="000000"/>
          <w:w w:val="200"/>
          <w:kern w:val="0"/>
          <w:sz w:val="28"/>
          <w:szCs w:val="28"/>
        </w:rPr>
        <w:t xml:space="preserve">     </w:t>
      </w:r>
      <w:r>
        <w:rPr>
          <w:rFonts w:hint="eastAsia" w:ascii="仿宋" w:hAnsi="仿宋" w:eastAsia="仿宋" w:cs="仿宋"/>
          <w:bCs/>
          <w:snapToGrid w:val="0"/>
          <w:color w:val="000000"/>
          <w:kern w:val="0"/>
          <w:sz w:val="28"/>
          <w:szCs w:val="28"/>
        </w:rPr>
        <w:t>2023年</w:t>
      </w:r>
      <w:r>
        <w:rPr>
          <w:rFonts w:hint="eastAsia" w:ascii="仿宋" w:hAnsi="仿宋" w:eastAsia="仿宋" w:cs="仿宋"/>
          <w:bCs/>
          <w:snapToGrid w:val="0"/>
          <w:color w:val="000000"/>
          <w:kern w:val="0"/>
          <w:sz w:val="28"/>
          <w:szCs w:val="28"/>
          <w:u w:val="single"/>
        </w:rPr>
        <w:t xml:space="preserve">  11 </w:t>
      </w:r>
      <w:r>
        <w:rPr>
          <w:rFonts w:hint="eastAsia" w:ascii="仿宋" w:hAnsi="仿宋" w:eastAsia="仿宋" w:cs="仿宋"/>
          <w:bCs/>
          <w:snapToGrid w:val="0"/>
          <w:color w:val="000000"/>
          <w:kern w:val="0"/>
          <w:sz w:val="28"/>
          <w:szCs w:val="28"/>
        </w:rPr>
        <w:t>月</w:t>
      </w:r>
      <w:r>
        <w:rPr>
          <w:rFonts w:hint="eastAsia" w:ascii="仿宋" w:hAnsi="仿宋" w:eastAsia="仿宋" w:cs="仿宋"/>
          <w:bCs/>
          <w:snapToGrid w:val="0"/>
          <w:color w:val="000000"/>
          <w:kern w:val="0"/>
          <w:sz w:val="28"/>
          <w:szCs w:val="28"/>
          <w:u w:val="single"/>
        </w:rPr>
        <w:t xml:space="preserve">  20</w:t>
      </w:r>
      <w:r>
        <w:rPr>
          <w:rFonts w:hint="eastAsia" w:ascii="仿宋" w:hAnsi="仿宋" w:eastAsia="仿宋" w:cs="仿宋"/>
          <w:bCs/>
          <w:snapToGrid w:val="0"/>
          <w:color w:val="000000"/>
          <w:kern w:val="0"/>
          <w:sz w:val="28"/>
          <w:szCs w:val="28"/>
        </w:rPr>
        <w:t>日</w:t>
      </w:r>
      <w:r>
        <w:rPr>
          <w:rFonts w:hint="eastAsia" w:ascii="仿宋" w:hAnsi="仿宋" w:eastAsia="仿宋" w:cs="仿宋"/>
          <w:snapToGrid w:val="0"/>
          <w:color w:val="000000"/>
          <w:w w:val="200"/>
          <w:kern w:val="0"/>
          <w:sz w:val="28"/>
          <w:szCs w:val="28"/>
        </w:rPr>
        <w:t xml:space="preserve">   </w:t>
      </w:r>
      <w:r>
        <w:rPr>
          <w:rFonts w:hint="eastAsia" w:ascii="仿宋" w:hAnsi="仿宋" w:eastAsia="仿宋" w:cs="仿宋"/>
          <w:b/>
          <w:snapToGrid w:val="0"/>
          <w:color w:val="000000"/>
          <w:kern w:val="0"/>
          <w:sz w:val="28"/>
          <w:szCs w:val="28"/>
        </w:rPr>
        <w:t xml:space="preserve"> </w:t>
      </w:r>
    </w:p>
    <w:p>
      <w:pPr>
        <w:pStyle w:val="2"/>
        <w:ind w:left="0" w:firstLine="0"/>
        <w:rPr>
          <w:rFonts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rPr>
        <w:br w:type="page"/>
      </w:r>
      <w:bookmarkStart w:id="43" w:name="_Toc8842_WPSOffice_Level1"/>
      <w:bookmarkStart w:id="44" w:name="_Toc470130547"/>
      <w:bookmarkStart w:id="45" w:name="_Toc20971_WPSOffice_Level1"/>
      <w:bookmarkStart w:id="46" w:name="_Toc16043_WPSOffice_Level1"/>
      <w:r>
        <w:rPr>
          <w:rFonts w:hint="eastAsia" w:ascii="仿宋" w:hAnsi="仿宋" w:eastAsia="仿宋" w:cs="仿宋"/>
          <w:b/>
          <w:snapToGrid w:val="0"/>
          <w:color w:val="000000"/>
          <w:kern w:val="0"/>
          <w:sz w:val="32"/>
          <w:szCs w:val="32"/>
        </w:rPr>
        <w:t>第二章  投标人须知</w:t>
      </w:r>
      <w:bookmarkEnd w:id="43"/>
      <w:bookmarkEnd w:id="44"/>
      <w:bookmarkEnd w:id="45"/>
      <w:bookmarkEnd w:id="46"/>
    </w:p>
    <w:tbl>
      <w:tblPr>
        <w:tblStyle w:val="12"/>
        <w:tblW w:w="9385" w:type="dxa"/>
        <w:jc w:val="center"/>
        <w:tblLayout w:type="fixed"/>
        <w:tblCellMar>
          <w:top w:w="0" w:type="dxa"/>
          <w:left w:w="108" w:type="dxa"/>
          <w:bottom w:w="0" w:type="dxa"/>
          <w:right w:w="108" w:type="dxa"/>
        </w:tblCellMar>
      </w:tblPr>
      <w:tblGrid>
        <w:gridCol w:w="958"/>
        <w:gridCol w:w="2985"/>
        <w:gridCol w:w="5442"/>
      </w:tblGrid>
      <w:tr>
        <w:tblPrEx>
          <w:tblCellMar>
            <w:top w:w="0" w:type="dxa"/>
            <w:left w:w="108" w:type="dxa"/>
            <w:bottom w:w="0" w:type="dxa"/>
            <w:right w:w="108" w:type="dxa"/>
          </w:tblCellMar>
        </w:tblPrEx>
        <w:trPr>
          <w:tblHeade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000000"/>
                <w:sz w:val="24"/>
              </w:rPr>
            </w:pPr>
            <w:r>
              <w:rPr>
                <w:rFonts w:hint="eastAsia" w:ascii="仿宋" w:hAnsi="仿宋" w:eastAsia="仿宋" w:cs="仿宋"/>
                <w:b/>
                <w:color w:val="000000"/>
                <w:sz w:val="24"/>
              </w:rPr>
              <w:t>条款号</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000000"/>
                <w:sz w:val="24"/>
              </w:rPr>
            </w:pPr>
            <w:r>
              <w:rPr>
                <w:rFonts w:hint="eastAsia" w:ascii="仿宋" w:hAnsi="仿宋" w:eastAsia="仿宋" w:cs="仿宋"/>
                <w:b/>
                <w:color w:val="000000"/>
                <w:sz w:val="24"/>
              </w:rPr>
              <w:t>条款名称</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000000"/>
                <w:sz w:val="24"/>
              </w:rPr>
            </w:pPr>
            <w:r>
              <w:rPr>
                <w:rFonts w:hint="eastAsia" w:ascii="仿宋" w:hAnsi="仿宋" w:eastAsia="仿宋" w:cs="仿宋"/>
                <w:b/>
                <w:color w:val="000000"/>
                <w:sz w:val="24"/>
              </w:rPr>
              <w:t>编列内容</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询价人</w:t>
            </w:r>
          </w:p>
        </w:tc>
        <w:tc>
          <w:tcPr>
            <w:tcW w:w="54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询价人：重庆长合高速公路有限公司 重庆市渝北区征地事务中心</w:t>
            </w:r>
          </w:p>
          <w:p>
            <w:pPr>
              <w:spacing w:line="360" w:lineRule="exact"/>
              <w:rPr>
                <w:rFonts w:ascii="仿宋" w:hAnsi="仿宋" w:eastAsia="仿宋" w:cs="仿宋"/>
                <w:sz w:val="24"/>
              </w:rPr>
            </w:pPr>
            <w:r>
              <w:rPr>
                <w:rFonts w:hint="eastAsia" w:ascii="仿宋" w:hAnsi="仿宋" w:eastAsia="仿宋" w:cs="仿宋"/>
                <w:sz w:val="24"/>
              </w:rPr>
              <w:t>地  址：渝北区南北大道木耳收费站</w:t>
            </w:r>
          </w:p>
          <w:p>
            <w:pPr>
              <w:spacing w:line="360" w:lineRule="exact"/>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pacing w:val="-6"/>
                <w:sz w:val="24"/>
              </w:rPr>
              <w:t>13637912734</w:t>
            </w:r>
          </w:p>
          <w:p>
            <w:pPr>
              <w:adjustRightInd w:val="0"/>
              <w:snapToGrid w:val="0"/>
              <w:spacing w:line="360" w:lineRule="auto"/>
              <w:rPr>
                <w:rFonts w:ascii="仿宋" w:hAnsi="仿宋" w:eastAsia="仿宋" w:cs="仿宋"/>
                <w:spacing w:val="-6"/>
                <w:sz w:val="24"/>
              </w:rPr>
            </w:pPr>
            <w:r>
              <w:rPr>
                <w:rFonts w:hint="eastAsia" w:ascii="仿宋" w:hAnsi="仿宋" w:eastAsia="仿宋" w:cs="仿宋"/>
                <w:sz w:val="24"/>
              </w:rPr>
              <w:t>联系人：</w:t>
            </w:r>
            <w:r>
              <w:rPr>
                <w:rFonts w:hint="eastAsia" w:ascii="仿宋" w:hAnsi="仿宋" w:eastAsia="仿宋" w:cs="仿宋"/>
                <w:spacing w:val="-6"/>
                <w:sz w:val="24"/>
              </w:rPr>
              <w:t xml:space="preserve"> 罗老师</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1.1.3</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询价代理机构</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rPr>
            </w:pPr>
            <w:r>
              <w:rPr>
                <w:rFonts w:hint="eastAsia" w:ascii="仿宋" w:hAnsi="仿宋" w:eastAsia="仿宋" w:cs="仿宋"/>
                <w:sz w:val="24"/>
              </w:rPr>
              <w:t>无</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询价项目名称</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重庆三环高速公路合川至长寿段项目渝北区征迁资金专项审计</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1.1.5</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建设地点</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重庆市渝北区</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1.1.6</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建设规模</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详见询价邀请书</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1.1.7</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工程概算</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spacing w:line="400" w:lineRule="exact"/>
              <w:rPr>
                <w:rFonts w:ascii="仿宋" w:hAnsi="仿宋" w:eastAsia="仿宋" w:cs="仿宋"/>
                <w:sz w:val="24"/>
                <w:szCs w:val="24"/>
                <w:lang w:val="zh-TW" w:eastAsia="zh-TW"/>
              </w:rPr>
            </w:pPr>
            <w:r>
              <w:rPr>
                <w:rFonts w:hint="eastAsia" w:ascii="仿宋" w:hAnsi="仿宋" w:eastAsia="仿宋" w:cs="仿宋"/>
                <w:sz w:val="24"/>
                <w:szCs w:val="24"/>
                <w:lang w:val="zh-TW" w:eastAsia="zh-TW"/>
              </w:rPr>
              <w:t>项目总投资</w:t>
            </w:r>
            <w:r>
              <w:rPr>
                <w:rFonts w:hint="eastAsia" w:ascii="仿宋" w:hAnsi="仿宋" w:eastAsia="仿宋" w:cs="仿宋"/>
                <w:sz w:val="24"/>
                <w:szCs w:val="24"/>
                <w:lang w:val="zh-TW"/>
              </w:rPr>
              <w:t>概算</w:t>
            </w:r>
            <w:r>
              <w:rPr>
                <w:rFonts w:hint="eastAsia" w:ascii="仿宋" w:hAnsi="仿宋" w:eastAsia="仿宋" w:cs="仿宋"/>
                <w:sz w:val="24"/>
                <w:szCs w:val="24"/>
              </w:rPr>
              <w:t>批复</w:t>
            </w:r>
            <w:r>
              <w:rPr>
                <w:rFonts w:hint="eastAsia" w:ascii="仿宋" w:hAnsi="仿宋" w:eastAsia="仿宋" w:cs="仿宋"/>
                <w:sz w:val="24"/>
                <w:szCs w:val="24"/>
                <w:lang w:val="zh-TW" w:eastAsia="zh-TW"/>
              </w:rPr>
              <w:t>金额</w:t>
            </w:r>
            <w:r>
              <w:rPr>
                <w:rFonts w:hint="eastAsia" w:ascii="仿宋" w:hAnsi="仿宋" w:eastAsia="仿宋" w:cs="仿宋"/>
                <w:sz w:val="24"/>
                <w:szCs w:val="24"/>
              </w:rPr>
              <w:t>111.97</w:t>
            </w:r>
            <w:r>
              <w:rPr>
                <w:rFonts w:hint="eastAsia" w:ascii="仿宋" w:hAnsi="仿宋" w:eastAsia="仿宋" w:cs="仿宋"/>
                <w:sz w:val="24"/>
                <w:szCs w:val="24"/>
                <w:lang w:val="zh-TW" w:eastAsia="zh-TW"/>
              </w:rPr>
              <w:t>亿元</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1.2.1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资金来源及比例</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资金来源：建设资金为自筹资本金、银行贷款。</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1.2.2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资金落实情况</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已落实</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1.3.1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询价范围</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渝北区征地拆迁资金专项审计</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1.3.2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咨询服务期限</w:t>
            </w:r>
          </w:p>
        </w:tc>
        <w:tc>
          <w:tcPr>
            <w:tcW w:w="5442"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仿宋" w:hAnsi="仿宋" w:eastAsia="仿宋" w:cs="仿宋"/>
                <w:sz w:val="24"/>
              </w:rPr>
            </w:pPr>
            <w:r>
              <w:rPr>
                <w:rFonts w:hint="eastAsia" w:ascii="仿宋" w:hAnsi="仿宋" w:eastAsia="仿宋" w:cs="仿宋"/>
                <w:sz w:val="24"/>
              </w:rPr>
              <w:t>咨询服务期：至项目竣工审计完成</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1.4.1</w:t>
            </w:r>
          </w:p>
        </w:tc>
        <w:tc>
          <w:tcPr>
            <w:tcW w:w="2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投标人资质条件、能力、信誉</w:t>
            </w:r>
          </w:p>
        </w:tc>
        <w:tc>
          <w:tcPr>
            <w:tcW w:w="5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（1）资质要求：见投标人须知附录</w:t>
            </w:r>
          </w:p>
          <w:p>
            <w:pPr>
              <w:spacing w:line="360" w:lineRule="auto"/>
              <w:rPr>
                <w:rFonts w:ascii="仿宋" w:hAnsi="仿宋" w:eastAsia="仿宋" w:cs="仿宋"/>
                <w:sz w:val="24"/>
              </w:rPr>
            </w:pPr>
            <w:r>
              <w:rPr>
                <w:rFonts w:hint="eastAsia" w:ascii="仿宋" w:hAnsi="仿宋" w:eastAsia="仿宋" w:cs="仿宋"/>
                <w:sz w:val="24"/>
              </w:rPr>
              <w:t>（2）业绩要求：见投标人须知附录</w:t>
            </w:r>
          </w:p>
          <w:p>
            <w:pPr>
              <w:spacing w:line="360" w:lineRule="auto"/>
              <w:rPr>
                <w:rFonts w:ascii="仿宋" w:hAnsi="仿宋" w:eastAsia="仿宋" w:cs="仿宋"/>
                <w:sz w:val="24"/>
              </w:rPr>
            </w:pPr>
            <w:r>
              <w:rPr>
                <w:rFonts w:hint="eastAsia" w:ascii="仿宋" w:hAnsi="仿宋" w:eastAsia="仿宋" w:cs="仿宋"/>
                <w:sz w:val="24"/>
              </w:rPr>
              <w:t>（3）信誉要求：见投标人须知附录</w:t>
            </w:r>
          </w:p>
          <w:p>
            <w:pPr>
              <w:spacing w:line="360" w:lineRule="auto"/>
              <w:rPr>
                <w:rFonts w:ascii="仿宋" w:hAnsi="仿宋" w:eastAsia="仿宋" w:cs="仿宋"/>
                <w:sz w:val="24"/>
              </w:rPr>
            </w:pPr>
            <w:r>
              <w:rPr>
                <w:rFonts w:hint="eastAsia" w:ascii="仿宋" w:hAnsi="仿宋" w:eastAsia="仿宋" w:cs="仿宋"/>
                <w:sz w:val="24"/>
              </w:rPr>
              <w:t>（4）其他主要人员：见投标人须知附录</w:t>
            </w:r>
          </w:p>
          <w:p>
            <w:pPr>
              <w:spacing w:line="360" w:lineRule="auto"/>
              <w:rPr>
                <w:rFonts w:ascii="仿宋" w:hAnsi="仿宋" w:eastAsia="仿宋" w:cs="仿宋"/>
                <w:sz w:val="24"/>
              </w:rPr>
            </w:pPr>
            <w:r>
              <w:rPr>
                <w:rFonts w:hint="eastAsia" w:ascii="仿宋" w:hAnsi="仿宋" w:eastAsia="仿宋" w:cs="仿宋"/>
                <w:sz w:val="24"/>
              </w:rPr>
              <w:t>（5）其他要求：</w:t>
            </w:r>
            <w:r>
              <w:rPr>
                <w:rFonts w:hint="eastAsia" w:ascii="仿宋" w:hAnsi="仿宋" w:eastAsia="仿宋" w:cs="仿宋"/>
                <w:sz w:val="24"/>
                <w:lang w:val="zh-TW"/>
              </w:rPr>
              <w:t>／</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4.2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是否接受联合体投标</w:t>
            </w:r>
          </w:p>
        </w:tc>
        <w:tc>
          <w:tcPr>
            <w:tcW w:w="544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 w:hAnsi="仿宋" w:eastAsia="仿宋" w:cs="仿宋"/>
                <w:sz w:val="24"/>
              </w:rPr>
            </w:pPr>
            <w:r>
              <w:rPr>
                <w:rFonts w:hint="eastAsia" w:ascii="仿宋" w:hAnsi="仿宋" w:eastAsia="仿宋" w:cs="仿宋"/>
                <w:sz w:val="24"/>
              </w:rPr>
              <w:t>否</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1.4.3</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投标人不得存在的其他关联情形</w:t>
            </w:r>
          </w:p>
        </w:tc>
        <w:tc>
          <w:tcPr>
            <w:tcW w:w="544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 w:hAnsi="仿宋" w:eastAsia="仿宋" w:cs="仿宋"/>
                <w:color w:val="000000"/>
                <w:sz w:val="24"/>
              </w:rPr>
            </w:pPr>
            <w:r>
              <w:rPr>
                <w:rFonts w:hint="eastAsia" w:ascii="仿宋" w:hAnsi="仿宋" w:eastAsia="仿宋" w:cs="仿宋"/>
                <w:sz w:val="24"/>
              </w:rPr>
              <w:t>／</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1.4.4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rPr>
            </w:pPr>
            <w:r>
              <w:rPr>
                <w:rFonts w:hint="eastAsia" w:ascii="仿宋" w:hAnsi="仿宋" w:eastAsia="仿宋" w:cs="仿宋"/>
                <w:sz w:val="24"/>
              </w:rPr>
              <w:t>投标人不得存在的其他不良状况或不良信用记录</w:t>
            </w:r>
          </w:p>
        </w:tc>
        <w:tc>
          <w:tcPr>
            <w:tcW w:w="544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 w:hAnsi="仿宋" w:eastAsia="仿宋" w:cs="仿宋"/>
                <w:sz w:val="24"/>
              </w:rPr>
            </w:pPr>
            <w:r>
              <w:rPr>
                <w:rFonts w:hint="eastAsia" w:ascii="仿宋" w:hAnsi="仿宋" w:eastAsia="仿宋" w:cs="仿宋"/>
                <w:sz w:val="24"/>
              </w:rPr>
              <w:t>／</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1.9.1</w:t>
            </w:r>
          </w:p>
        </w:tc>
        <w:tc>
          <w:tcPr>
            <w:tcW w:w="2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踏勘现场</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不组织</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1.10.1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投标预备会</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不召开</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构成询价文件的其他资料</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补遗书（如有）</w:t>
            </w:r>
          </w:p>
        </w:tc>
      </w:tr>
      <w:tr>
        <w:tblPrEx>
          <w:tblCellMar>
            <w:top w:w="0" w:type="dxa"/>
            <w:left w:w="108" w:type="dxa"/>
            <w:bottom w:w="0" w:type="dxa"/>
            <w:right w:w="108" w:type="dxa"/>
          </w:tblCellMar>
        </w:tblPrEx>
        <w:trPr>
          <w:trHeight w:val="454" w:hRule="atLeast"/>
          <w:jc w:val="center"/>
        </w:trPr>
        <w:tc>
          <w:tcPr>
            <w:tcW w:w="958" w:type="dxa"/>
            <w:vMerge w:val="restart"/>
            <w:tcBorders>
              <w:top w:val="single" w:color="auto" w:sz="4" w:space="0"/>
              <w:left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2.2.1</w:t>
            </w:r>
          </w:p>
        </w:tc>
        <w:tc>
          <w:tcPr>
            <w:tcW w:w="2985"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投标人要求澄清询价文件</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color w:val="000000"/>
              </w:rPr>
            </w:pPr>
            <w:r>
              <w:rPr>
                <w:rFonts w:hint="eastAsia" w:ascii="仿宋" w:hAnsi="仿宋" w:eastAsia="仿宋" w:cs="仿宋"/>
                <w:color w:val="000000"/>
              </w:rPr>
              <w:t>时间：</w:t>
            </w:r>
            <w:r>
              <w:rPr>
                <w:rFonts w:hint="eastAsia" w:ascii="仿宋" w:hAnsi="仿宋" w:eastAsia="仿宋" w:cs="仿宋"/>
              </w:rPr>
              <w:t>投标截止时间3日前</w:t>
            </w:r>
          </w:p>
        </w:tc>
      </w:tr>
      <w:tr>
        <w:tblPrEx>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2985"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形式：</w:t>
            </w:r>
            <w:r>
              <w:rPr>
                <w:rFonts w:hint="eastAsia" w:ascii="仿宋" w:hAnsi="仿宋" w:eastAsia="仿宋" w:cs="仿宋"/>
                <w:sz w:val="24"/>
              </w:rPr>
              <w:t>发送相关函件至询价人处对询价文件的内容进行提问。</w:t>
            </w:r>
          </w:p>
        </w:tc>
      </w:tr>
      <w:tr>
        <w:tblPrEx>
          <w:tblCellMar>
            <w:top w:w="0" w:type="dxa"/>
            <w:left w:w="108" w:type="dxa"/>
            <w:bottom w:w="0" w:type="dxa"/>
            <w:right w:w="108" w:type="dxa"/>
          </w:tblCellMar>
        </w:tblPrEx>
        <w:trPr>
          <w:jc w:val="center"/>
        </w:trPr>
        <w:tc>
          <w:tcPr>
            <w:tcW w:w="958" w:type="dxa"/>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2.2.2</w:t>
            </w:r>
          </w:p>
        </w:tc>
        <w:tc>
          <w:tcPr>
            <w:tcW w:w="2985" w:type="dxa"/>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询价文件澄清发出的形式</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投标截止时间 2日前，询价人将通过相关回复函件对询价文件的内容进行补充或澄清</w:t>
            </w:r>
            <w:r>
              <w:rPr>
                <w:rFonts w:hint="eastAsia" w:ascii="仿宋" w:hAnsi="仿宋" w:eastAsia="仿宋" w:cs="仿宋"/>
                <w:sz w:val="24"/>
                <w:lang w:val="zh-TW"/>
              </w:rPr>
              <w:t>。</w:t>
            </w:r>
          </w:p>
        </w:tc>
      </w:tr>
      <w:tr>
        <w:tblPrEx>
          <w:tblCellMar>
            <w:top w:w="0" w:type="dxa"/>
            <w:left w:w="108" w:type="dxa"/>
            <w:bottom w:w="0" w:type="dxa"/>
            <w:right w:w="108" w:type="dxa"/>
          </w:tblCellMar>
        </w:tblPrEx>
        <w:trPr>
          <w:jc w:val="center"/>
        </w:trPr>
        <w:tc>
          <w:tcPr>
            <w:tcW w:w="958" w:type="dxa"/>
            <w:vMerge w:val="restart"/>
            <w:tcBorders>
              <w:top w:val="single" w:color="auto" w:sz="4" w:space="0"/>
              <w:left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2.2.3</w:t>
            </w:r>
          </w:p>
        </w:tc>
        <w:tc>
          <w:tcPr>
            <w:tcW w:w="2985"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投标人确认收到询价文件澄清</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kern w:val="2"/>
              </w:rPr>
            </w:pPr>
            <w:r>
              <w:rPr>
                <w:rFonts w:hint="eastAsia" w:ascii="仿宋" w:hAnsi="仿宋" w:eastAsia="仿宋" w:cs="仿宋"/>
                <w:kern w:val="2"/>
              </w:rPr>
              <w:t>时间：收到澄清后24小时内（以发出时间为准）</w:t>
            </w:r>
          </w:p>
        </w:tc>
      </w:tr>
      <w:tr>
        <w:tblPrEx>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2985"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kern w:val="2"/>
              </w:rPr>
            </w:pPr>
            <w:r>
              <w:rPr>
                <w:rFonts w:hint="eastAsia" w:ascii="仿宋" w:hAnsi="仿宋" w:eastAsia="仿宋" w:cs="仿宋"/>
                <w:kern w:val="2"/>
              </w:rPr>
              <w:t>形式：通过相关回复函件确认已收到澄清文件。</w:t>
            </w:r>
          </w:p>
        </w:tc>
      </w:tr>
      <w:tr>
        <w:tblPrEx>
          <w:tblCellMar>
            <w:top w:w="0" w:type="dxa"/>
            <w:left w:w="108" w:type="dxa"/>
            <w:bottom w:w="0" w:type="dxa"/>
            <w:right w:w="108" w:type="dxa"/>
          </w:tblCellMar>
        </w:tblPrEx>
        <w:trPr>
          <w:jc w:val="center"/>
        </w:trPr>
        <w:tc>
          <w:tcPr>
            <w:tcW w:w="958" w:type="dxa"/>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2.3.1</w:t>
            </w:r>
          </w:p>
        </w:tc>
        <w:tc>
          <w:tcPr>
            <w:tcW w:w="2985" w:type="dxa"/>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询价文件修改发出的形式</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函件发送</w:t>
            </w:r>
          </w:p>
        </w:tc>
      </w:tr>
      <w:tr>
        <w:tblPrEx>
          <w:tblCellMar>
            <w:top w:w="0" w:type="dxa"/>
            <w:left w:w="108" w:type="dxa"/>
            <w:bottom w:w="0" w:type="dxa"/>
            <w:right w:w="108" w:type="dxa"/>
          </w:tblCellMar>
        </w:tblPrEx>
        <w:trPr>
          <w:jc w:val="center"/>
        </w:trPr>
        <w:tc>
          <w:tcPr>
            <w:tcW w:w="958" w:type="dxa"/>
            <w:vMerge w:val="restart"/>
            <w:tcBorders>
              <w:top w:val="single" w:color="auto" w:sz="4" w:space="0"/>
              <w:left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2.3.2</w:t>
            </w:r>
          </w:p>
        </w:tc>
        <w:tc>
          <w:tcPr>
            <w:tcW w:w="2985"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投标人确认收到询价文件修改</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kern w:val="2"/>
              </w:rPr>
            </w:pPr>
            <w:r>
              <w:rPr>
                <w:rFonts w:hint="eastAsia" w:ascii="仿宋" w:hAnsi="仿宋" w:eastAsia="仿宋" w:cs="仿宋"/>
                <w:kern w:val="2"/>
              </w:rPr>
              <w:t>时间：收到修改后24小时内（以发出时间为准）</w:t>
            </w:r>
          </w:p>
        </w:tc>
      </w:tr>
      <w:tr>
        <w:tblPrEx>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2985" w:type="dxa"/>
            <w:vMerge w:val="continue"/>
            <w:tcBorders>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kern w:val="2"/>
              </w:rPr>
            </w:pPr>
            <w:r>
              <w:rPr>
                <w:rFonts w:hint="eastAsia" w:ascii="仿宋" w:hAnsi="仿宋" w:eastAsia="仿宋" w:cs="仿宋"/>
                <w:kern w:val="2"/>
              </w:rPr>
              <w:t>形式：通过相关回复函件确认已收到修改后的询价文件</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3.1.1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构成投标文件的其他资料</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kern w:val="2"/>
              </w:rPr>
            </w:pPr>
            <w:r>
              <w:rPr>
                <w:rFonts w:hint="eastAsia" w:ascii="仿宋" w:hAnsi="仿宋" w:eastAsia="仿宋" w:cs="仿宋"/>
                <w:kern w:val="2"/>
              </w:rPr>
              <w:t>开标前投标人发出的补遗、承诺均作为构成投标文件的其他材料；</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3.2.3</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报价方式</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潜在投标人自行报价</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3.2.4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最高投标限价</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20万元。</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3.2.5</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投标报价的其他要求</w:t>
            </w:r>
          </w:p>
        </w:tc>
        <w:tc>
          <w:tcPr>
            <w:tcW w:w="5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z w:val="24"/>
              </w:rPr>
              <w:t>审计服务费包括派驻人员服务费用、办公设施费、交通设施费（含燃料消耗等费用）、生活设施费、企业管理费、利润和税金、加班费、后期服务费等所有费用在内。</w:t>
            </w:r>
          </w:p>
          <w:p>
            <w:pPr>
              <w:adjustRightInd w:val="0"/>
              <w:snapToGrid w:val="0"/>
              <w:spacing w:line="360" w:lineRule="auto"/>
              <w:rPr>
                <w:rFonts w:ascii="仿宋" w:hAnsi="仿宋" w:eastAsia="仿宋" w:cs="仿宋"/>
                <w:sz w:val="24"/>
              </w:rPr>
            </w:pPr>
            <w:r>
              <w:rPr>
                <w:rFonts w:hint="eastAsia" w:ascii="仿宋" w:hAnsi="仿宋" w:eastAsia="仿宋" w:cs="仿宋"/>
                <w:sz w:val="24"/>
              </w:rPr>
              <w:t>（2）派驻现场的人员及自备设备等财产的有关保险由承包人自行办理，保险费由承包人承担并支付，并包含在投标报价中，发包人不单独支付。</w:t>
            </w:r>
          </w:p>
          <w:p>
            <w:pPr>
              <w:adjustRightInd w:val="0"/>
              <w:snapToGrid w:val="0"/>
              <w:spacing w:line="360" w:lineRule="auto"/>
              <w:rPr>
                <w:rFonts w:ascii="仿宋" w:hAnsi="仿宋" w:eastAsia="仿宋" w:cs="仿宋"/>
                <w:sz w:val="24"/>
              </w:rPr>
            </w:pPr>
            <w:r>
              <w:rPr>
                <w:rFonts w:hint="eastAsia" w:ascii="仿宋" w:hAnsi="仿宋" w:eastAsia="仿宋" w:cs="仿宋"/>
                <w:sz w:val="24"/>
              </w:rPr>
              <w:t>（3）因完成本项目审计需缴纳的一切税费均由承包人承担，并包含在投标报价中，发包人不单独支付。中标后，在过程支付中承包人应向询价人出具合法有效增值税普通发票。</w:t>
            </w:r>
          </w:p>
          <w:p>
            <w:pPr>
              <w:spacing w:line="360" w:lineRule="auto"/>
              <w:rPr>
                <w:rFonts w:ascii="仿宋" w:hAnsi="仿宋" w:eastAsia="仿宋" w:cs="仿宋"/>
                <w:sz w:val="24"/>
              </w:rPr>
            </w:pPr>
            <w:r>
              <w:rPr>
                <w:rFonts w:hint="eastAsia" w:ascii="仿宋" w:hAnsi="仿宋" w:eastAsia="仿宋" w:cs="仿宋"/>
                <w:sz w:val="24"/>
              </w:rPr>
              <w:t>（4）承包人应充分考虑项目具有连续性（双班或三班）的工作，这种具有连续性的工作所产生的加班费用，应在投标报价中考虑，发包人不单独支付。承包人不得以任何理由向第三方索取加班费。</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3.3.1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投标有效期</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color w:val="000000"/>
              </w:rPr>
            </w:pPr>
            <w:bookmarkStart w:id="47" w:name="_Toc384308207"/>
            <w:bookmarkStart w:id="48" w:name="_Toc361508582"/>
            <w:bookmarkStart w:id="49" w:name="_Toc1789"/>
            <w:bookmarkStart w:id="50" w:name="_Toc300834946"/>
            <w:bookmarkStart w:id="51" w:name="_Toc369531512"/>
            <w:bookmarkStart w:id="52" w:name="_Toc352691470"/>
            <w:r>
              <w:rPr>
                <w:rFonts w:hint="eastAsia" w:ascii="仿宋" w:hAnsi="仿宋" w:eastAsia="仿宋" w:cs="仿宋"/>
              </w:rPr>
              <w:t>开标之日后90天</w:t>
            </w:r>
          </w:p>
        </w:tc>
      </w:tr>
      <w:bookmarkEnd w:id="47"/>
      <w:bookmarkEnd w:id="48"/>
      <w:bookmarkEnd w:id="49"/>
      <w:bookmarkEnd w:id="50"/>
      <w:bookmarkEnd w:id="51"/>
      <w:bookmarkEnd w:id="52"/>
      <w:tr>
        <w:tblPrEx>
          <w:tblCellMar>
            <w:top w:w="0" w:type="dxa"/>
            <w:left w:w="108" w:type="dxa"/>
            <w:bottom w:w="0" w:type="dxa"/>
            <w:right w:w="108" w:type="dxa"/>
          </w:tblCellMar>
        </w:tblPrEx>
        <w:trPr>
          <w:trHeight w:val="90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3.4.1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投标保证金</w:t>
            </w:r>
          </w:p>
        </w:tc>
        <w:tc>
          <w:tcPr>
            <w:tcW w:w="5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pacing w:val="-6"/>
                <w:sz w:val="24"/>
              </w:rPr>
            </w:pPr>
            <w:r>
              <w:rPr>
                <w:rFonts w:hint="eastAsia" w:ascii="仿宋" w:hAnsi="仿宋" w:eastAsia="仿宋" w:cs="仿宋"/>
                <w:spacing w:val="-6"/>
                <w:sz w:val="24"/>
              </w:rPr>
              <w:t>/</w:t>
            </w:r>
          </w:p>
        </w:tc>
      </w:tr>
      <w:tr>
        <w:tblPrEx>
          <w:tblCellMar>
            <w:top w:w="0" w:type="dxa"/>
            <w:left w:w="108" w:type="dxa"/>
            <w:bottom w:w="0" w:type="dxa"/>
            <w:right w:w="108" w:type="dxa"/>
          </w:tblCellMar>
        </w:tblPrEx>
        <w:trPr>
          <w:trHeight w:val="559"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3.4.3</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仿宋" w:hAnsi="仿宋" w:eastAsia="仿宋" w:cs="仿宋"/>
                <w:sz w:val="24"/>
              </w:rPr>
            </w:pPr>
            <w:r>
              <w:rPr>
                <w:rFonts w:hint="eastAsia" w:ascii="仿宋" w:hAnsi="仿宋" w:eastAsia="仿宋" w:cs="仿宋"/>
                <w:sz w:val="24"/>
              </w:rPr>
              <w:t>投标保证金的利息计算原则</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360" w:lineRule="atLeast"/>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90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3.5</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资格审查资料的特殊要求</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color w:val="000000"/>
                <w:sz w:val="24"/>
                <w:szCs w:val="24"/>
              </w:rPr>
            </w:pPr>
            <w:r>
              <w:rPr>
                <w:rFonts w:hint="eastAsia" w:ascii="仿宋" w:hAnsi="仿宋" w:eastAsia="仿宋" w:cs="仿宋"/>
                <w:b/>
                <w:position w:val="6"/>
                <w:sz w:val="24"/>
                <w:szCs w:val="24"/>
                <w:bdr w:val="single" w:color="auto" w:sz="4" w:space="0"/>
              </w:rPr>
              <w:t>√</w:t>
            </w:r>
            <w:r>
              <w:rPr>
                <w:rFonts w:hint="eastAsia" w:ascii="仿宋" w:hAnsi="仿宋" w:eastAsia="仿宋" w:cs="仿宋"/>
                <w:color w:val="000000"/>
                <w:sz w:val="24"/>
                <w:szCs w:val="24"/>
              </w:rPr>
              <w:t xml:space="preserve">  </w:t>
            </w:r>
            <w:r>
              <w:rPr>
                <w:rFonts w:hint="eastAsia" w:ascii="仿宋" w:hAnsi="仿宋" w:eastAsia="仿宋" w:cs="仿宋"/>
                <w:sz w:val="24"/>
                <w:szCs w:val="24"/>
              </w:rPr>
              <w:t>无</w:t>
            </w:r>
          </w:p>
        </w:tc>
      </w:tr>
      <w:tr>
        <w:tblPrEx>
          <w:tblCellMar>
            <w:top w:w="0" w:type="dxa"/>
            <w:left w:w="108" w:type="dxa"/>
            <w:bottom w:w="0" w:type="dxa"/>
            <w:right w:w="108" w:type="dxa"/>
          </w:tblCellMar>
        </w:tblPrEx>
        <w:trPr>
          <w:trHeight w:val="90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3.5.2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业绩证明材料</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r>
              <w:rPr>
                <w:rFonts w:hint="eastAsia" w:ascii="仿宋" w:hAnsi="仿宋" w:eastAsia="仿宋" w:cs="仿宋"/>
                <w:sz w:val="24"/>
              </w:rPr>
              <w:t>投标人在2015年至今至少承担过1项征地拆迁相关审计工作。</w:t>
            </w:r>
          </w:p>
        </w:tc>
      </w:tr>
      <w:tr>
        <w:tblPrEx>
          <w:tblCellMar>
            <w:top w:w="0" w:type="dxa"/>
            <w:left w:w="108" w:type="dxa"/>
            <w:bottom w:w="0" w:type="dxa"/>
            <w:right w:w="108" w:type="dxa"/>
          </w:tblCellMar>
        </w:tblPrEx>
        <w:trPr>
          <w:trHeight w:val="512"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3.5.4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项目负责人资历</w:t>
            </w:r>
          </w:p>
        </w:tc>
        <w:tc>
          <w:tcPr>
            <w:tcW w:w="5442" w:type="dxa"/>
            <w:tcBorders>
              <w:top w:val="single" w:color="auto" w:sz="4" w:space="0"/>
              <w:left w:val="single" w:color="auto" w:sz="4" w:space="0"/>
              <w:bottom w:val="single" w:color="auto" w:sz="4" w:space="0"/>
              <w:right w:val="single" w:color="auto" w:sz="4" w:space="0"/>
            </w:tcBorders>
            <w:vAlign w:val="center"/>
          </w:tcPr>
          <w:p>
            <w:pPr>
              <w:pStyle w:val="2"/>
              <w:spacing w:before="240" w:after="240" w:line="240" w:lineRule="atLeast"/>
              <w:ind w:left="0" w:firstLine="0"/>
              <w:jc w:val="both"/>
              <w:rPr>
                <w:rFonts w:ascii="仿宋" w:hAnsi="仿宋" w:eastAsia="仿宋" w:cs="仿宋"/>
                <w:sz w:val="24"/>
                <w:szCs w:val="24"/>
              </w:rPr>
            </w:pPr>
            <w:r>
              <w:rPr>
                <w:rFonts w:hint="eastAsia" w:ascii="仿宋" w:hAnsi="仿宋" w:eastAsia="仿宋" w:cs="仿宋"/>
                <w:sz w:val="24"/>
                <w:szCs w:val="24"/>
              </w:rPr>
              <w:t>详见附录4  资格审查条件（派驻人员最低要求）</w:t>
            </w:r>
          </w:p>
        </w:tc>
      </w:tr>
      <w:tr>
        <w:tblPrEx>
          <w:tblCellMar>
            <w:top w:w="0" w:type="dxa"/>
            <w:left w:w="108" w:type="dxa"/>
            <w:bottom w:w="0" w:type="dxa"/>
            <w:right w:w="108" w:type="dxa"/>
          </w:tblCellMar>
        </w:tblPrEx>
        <w:trPr>
          <w:trHeight w:val="382"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3.6.1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是否允许递交备选投标方案</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sz w:val="24"/>
                <w:szCs w:val="24"/>
              </w:rPr>
            </w:pPr>
            <w:r>
              <w:rPr>
                <w:rFonts w:hint="eastAsia" w:ascii="仿宋" w:hAnsi="仿宋" w:eastAsia="仿宋" w:cs="仿宋"/>
                <w:sz w:val="24"/>
                <w:szCs w:val="24"/>
              </w:rPr>
              <w:t>不允许</w:t>
            </w:r>
          </w:p>
        </w:tc>
      </w:tr>
      <w:tr>
        <w:tblPrEx>
          <w:tblCellMar>
            <w:top w:w="0" w:type="dxa"/>
            <w:left w:w="108" w:type="dxa"/>
            <w:bottom w:w="0" w:type="dxa"/>
            <w:right w:w="108" w:type="dxa"/>
          </w:tblCellMar>
        </w:tblPrEx>
        <w:trPr>
          <w:trHeight w:val="807"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3.7.1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投标文件副本份数及其他要求</w:t>
            </w:r>
          </w:p>
        </w:tc>
        <w:tc>
          <w:tcPr>
            <w:tcW w:w="5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cs="仿宋"/>
                <w:highlight w:val="yellow"/>
              </w:rPr>
            </w:pPr>
            <w:r>
              <w:rPr>
                <w:rFonts w:hint="eastAsia" w:ascii="仿宋" w:hAnsi="仿宋" w:eastAsia="仿宋" w:cs="仿宋"/>
                <w:sz w:val="24"/>
              </w:rPr>
              <w:t>/</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3.7.2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rPr>
            </w:pPr>
            <w:r>
              <w:rPr>
                <w:rFonts w:hint="eastAsia" w:ascii="仿宋" w:hAnsi="仿宋" w:eastAsia="仿宋" w:cs="仿宋"/>
                <w:sz w:val="24"/>
              </w:rPr>
              <w:t>装订的其他要求</w:t>
            </w:r>
          </w:p>
        </w:tc>
        <w:tc>
          <w:tcPr>
            <w:tcW w:w="5442" w:type="dxa"/>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color w:val="000000"/>
                <w:highlight w:val="yellow"/>
              </w:rPr>
            </w:pPr>
            <w:r>
              <w:rPr>
                <w:rFonts w:hint="eastAsia" w:ascii="仿宋" w:hAnsi="仿宋" w:eastAsia="仿宋" w:cs="仿宋"/>
              </w:rPr>
              <w:t>无。</w:t>
            </w:r>
          </w:p>
        </w:tc>
      </w:tr>
      <w:tr>
        <w:tblPrEx>
          <w:tblCellMar>
            <w:top w:w="0" w:type="dxa"/>
            <w:left w:w="108" w:type="dxa"/>
            <w:bottom w:w="0" w:type="dxa"/>
            <w:right w:w="108" w:type="dxa"/>
          </w:tblCellMar>
        </w:tblPrEx>
        <w:trPr>
          <w:trHeight w:val="9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4.1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投标文件是否退还</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5.1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开标时间和地点</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开标时间：2023年11月2</w:t>
            </w:r>
            <w:r>
              <w:rPr>
                <w:rFonts w:hint="default" w:ascii="仿宋" w:hAnsi="仿宋" w:eastAsia="仿宋" w:cs="仿宋"/>
                <w:color w:val="000000"/>
                <w:sz w:val="24"/>
              </w:rPr>
              <w:t>8</w:t>
            </w:r>
            <w:bookmarkStart w:id="672" w:name="_GoBack"/>
            <w:bookmarkEnd w:id="672"/>
            <w:r>
              <w:rPr>
                <w:rFonts w:hint="eastAsia" w:ascii="仿宋" w:hAnsi="仿宋" w:eastAsia="仿宋" w:cs="仿宋"/>
                <w:color w:val="000000"/>
                <w:sz w:val="24"/>
              </w:rPr>
              <w:t>日</w:t>
            </w:r>
          </w:p>
          <w:p>
            <w:pPr>
              <w:adjustRightInd w:val="0"/>
              <w:snapToGrid w:val="0"/>
              <w:spacing w:line="380" w:lineRule="exact"/>
              <w:rPr>
                <w:rFonts w:ascii="仿宋" w:hAnsi="仿宋" w:eastAsia="仿宋" w:cs="仿宋"/>
                <w:color w:val="000000"/>
                <w:sz w:val="24"/>
              </w:rPr>
            </w:pPr>
            <w:r>
              <w:rPr>
                <w:rFonts w:hint="eastAsia" w:ascii="仿宋" w:hAnsi="仿宋" w:eastAsia="仿宋" w:cs="仿宋"/>
                <w:color w:val="000000"/>
                <w:sz w:val="24"/>
              </w:rPr>
              <w:t>开标地点：重庆长合高速公路有限公司（渝北区木耳收费站旁）</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6.1.1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评标委员会的组建</w:t>
            </w:r>
          </w:p>
        </w:tc>
        <w:tc>
          <w:tcPr>
            <w:tcW w:w="54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评标委员会构成：</w:t>
            </w:r>
            <w:r>
              <w:rPr>
                <w:rFonts w:hint="eastAsia" w:ascii="仿宋" w:hAnsi="仿宋" w:eastAsia="仿宋" w:cs="仿宋"/>
                <w:sz w:val="24"/>
              </w:rPr>
              <w:t>5人及以上单数</w:t>
            </w:r>
            <w:r>
              <w:rPr>
                <w:rFonts w:hint="eastAsia" w:ascii="仿宋" w:hAnsi="仿宋" w:eastAsia="仿宋" w:cs="仿宋"/>
                <w:color w:val="000000"/>
                <w:sz w:val="24"/>
              </w:rPr>
              <w:t>。</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6.1.2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评标委员会推荐中标候选人的人数</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1～3名</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7.4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是否授权评标委员会确定中标人</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color w:val="000000"/>
                <w:sz w:val="24"/>
              </w:rPr>
              <w:t>√否</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仿宋" w:hAnsi="仿宋" w:eastAsia="仿宋" w:cs="仿宋"/>
                <w:sz w:val="24"/>
              </w:rPr>
            </w:pPr>
            <w:r>
              <w:rPr>
                <w:rFonts w:hint="eastAsia" w:ascii="仿宋" w:hAnsi="仿宋" w:eastAsia="仿宋" w:cs="仿宋"/>
                <w:sz w:val="24"/>
              </w:rPr>
              <w:t>7.5</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仿宋" w:hAnsi="仿宋" w:eastAsia="仿宋" w:cs="仿宋"/>
                <w:sz w:val="24"/>
              </w:rPr>
            </w:pPr>
            <w:r>
              <w:rPr>
                <w:rFonts w:hint="eastAsia" w:ascii="仿宋" w:hAnsi="仿宋" w:eastAsia="仿宋" w:cs="仿宋"/>
                <w:sz w:val="24"/>
              </w:rPr>
              <w:t>中标通知书和中标结果通知发出的形式</w:t>
            </w:r>
          </w:p>
        </w:tc>
        <w:tc>
          <w:tcPr>
            <w:tcW w:w="5442"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仿宋" w:hAnsi="仿宋" w:eastAsia="仿宋" w:cs="仿宋"/>
                <w:sz w:val="24"/>
              </w:rPr>
            </w:pPr>
            <w:r>
              <w:rPr>
                <w:rFonts w:hint="eastAsia" w:ascii="仿宋" w:hAnsi="仿宋" w:eastAsia="仿宋" w:cs="仿宋"/>
                <w:sz w:val="24"/>
              </w:rPr>
              <w:t>书面形式</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7.</w:t>
            </w:r>
            <w:r>
              <w:rPr>
                <w:rFonts w:hint="eastAsia" w:ascii="仿宋" w:hAnsi="仿宋" w:eastAsia="仿宋" w:cs="仿宋"/>
                <w:sz w:val="24"/>
              </w:rPr>
              <w:t>7.</w:t>
            </w:r>
            <w:r>
              <w:rPr>
                <w:rFonts w:hint="eastAsia" w:ascii="仿宋" w:hAnsi="仿宋" w:eastAsia="仿宋" w:cs="仿宋"/>
                <w:color w:val="000000"/>
                <w:sz w:val="24"/>
              </w:rPr>
              <w:t>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履约保证金</w:t>
            </w:r>
          </w:p>
        </w:tc>
        <w:tc>
          <w:tcPr>
            <w:tcW w:w="5442" w:type="dxa"/>
            <w:tcBorders>
              <w:top w:val="single" w:color="auto" w:sz="4" w:space="0"/>
              <w:left w:val="single" w:color="auto" w:sz="4" w:space="0"/>
              <w:bottom w:val="single" w:color="auto" w:sz="4" w:space="0"/>
              <w:right w:val="single" w:color="auto" w:sz="4" w:space="0"/>
            </w:tcBorders>
            <w:vAlign w:val="center"/>
          </w:tcPr>
          <w:p>
            <w:pPr>
              <w:pStyle w:val="6"/>
              <w:topLinePunct/>
              <w:spacing w:line="400" w:lineRule="exact"/>
              <w:rPr>
                <w:rFonts w:ascii="仿宋" w:hAnsi="仿宋" w:eastAsia="仿宋" w:cs="仿宋"/>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8.5.1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监督部门</w:t>
            </w:r>
          </w:p>
        </w:tc>
        <w:tc>
          <w:tcPr>
            <w:tcW w:w="544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r>
              <w:rPr>
                <w:rFonts w:hint="eastAsia" w:ascii="仿宋" w:hAnsi="仿宋" w:eastAsia="仿宋" w:cs="仿宋"/>
                <w:sz w:val="24"/>
              </w:rPr>
              <w:t>重庆长合高速公路有限公司监察</w:t>
            </w:r>
            <w:r>
              <w:rPr>
                <w:rFonts w:ascii="仿宋" w:hAnsi="仿宋" w:eastAsia="仿宋" w:cs="仿宋"/>
                <w:sz w:val="24"/>
              </w:rPr>
              <w:t>人员</w:t>
            </w:r>
          </w:p>
          <w:p>
            <w:pPr>
              <w:spacing w:line="440" w:lineRule="atLeast"/>
              <w:rPr>
                <w:rFonts w:ascii="仿宋" w:hAnsi="仿宋" w:eastAsia="仿宋" w:cs="仿宋"/>
                <w:sz w:val="24"/>
                <w:highlight w:val="yellow"/>
              </w:rPr>
            </w:pPr>
            <w:r>
              <w:rPr>
                <w:rFonts w:hint="eastAsia" w:ascii="仿宋" w:hAnsi="仿宋" w:eastAsia="仿宋" w:cs="仿宋"/>
                <w:sz w:val="24"/>
              </w:rPr>
              <w:t xml:space="preserve">电话：023-61368879 </w:t>
            </w:r>
          </w:p>
        </w:tc>
      </w:tr>
      <w:tr>
        <w:tblPrEx>
          <w:tblCellMar>
            <w:top w:w="0" w:type="dxa"/>
            <w:left w:w="108" w:type="dxa"/>
            <w:bottom w:w="0" w:type="dxa"/>
            <w:right w:w="108" w:type="dxa"/>
          </w:tblCellMar>
        </w:tblPrEx>
        <w:trPr>
          <w:trHeight w:val="88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sz w:val="24"/>
              </w:rPr>
              <w:t>9</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是否采用电子询价投标</w:t>
            </w:r>
          </w:p>
        </w:tc>
        <w:tc>
          <w:tcPr>
            <w:tcW w:w="54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否</w:t>
            </w:r>
          </w:p>
        </w:tc>
      </w:tr>
      <w:tr>
        <w:tblPrEx>
          <w:tblCellMar>
            <w:top w:w="0" w:type="dxa"/>
            <w:left w:w="108" w:type="dxa"/>
            <w:bottom w:w="0" w:type="dxa"/>
            <w:right w:w="108" w:type="dxa"/>
          </w:tblCellMar>
        </w:tblPrEx>
        <w:trPr>
          <w:trHeight w:val="489" w:hRule="atLeast"/>
          <w:jc w:val="center"/>
        </w:trPr>
        <w:tc>
          <w:tcPr>
            <w:tcW w:w="938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sz w:val="24"/>
              </w:rPr>
              <w:t>需要补充的其他内容</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10.4</w:t>
            </w:r>
          </w:p>
        </w:tc>
        <w:tc>
          <w:tcPr>
            <w:tcW w:w="8427"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r>
              <w:rPr>
                <w:rFonts w:hint="eastAsia" w:ascii="仿宋" w:hAnsi="仿宋" w:eastAsia="仿宋" w:cs="仿宋"/>
                <w:sz w:val="24"/>
              </w:rPr>
              <w:t>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p>
            <w:pPr>
              <w:spacing w:line="440" w:lineRule="atLeast"/>
              <w:rPr>
                <w:rFonts w:ascii="仿宋" w:hAnsi="仿宋" w:eastAsia="仿宋" w:cs="仿宋"/>
                <w:sz w:val="24"/>
              </w:rPr>
            </w:pPr>
            <w:r>
              <w:rPr>
                <w:rFonts w:hint="eastAsia" w:ascii="仿宋" w:hAnsi="仿宋" w:eastAsia="仿宋" w:cs="仿宋"/>
                <w:sz w:val="24"/>
              </w:rPr>
              <w:t>重新询价：</w:t>
            </w:r>
          </w:p>
          <w:p>
            <w:pPr>
              <w:spacing w:line="440" w:lineRule="atLeast"/>
              <w:rPr>
                <w:rFonts w:ascii="仿宋" w:hAnsi="仿宋" w:eastAsia="仿宋" w:cs="仿宋"/>
                <w:sz w:val="24"/>
              </w:rPr>
            </w:pPr>
            <w:r>
              <w:rPr>
                <w:rFonts w:hint="eastAsia" w:ascii="仿宋" w:hAnsi="仿宋" w:eastAsia="仿宋" w:cs="仿宋"/>
                <w:sz w:val="24"/>
              </w:rPr>
              <w:t>排名第一的中标候选人放弃中标、因不可抗力不能履行合同、或者被查实存在影响中标结果的违法行为等情形，不符合中标条件的，询价人可以按照评标委员会提出的中标候选人名单排序依次确定其他中标候选人为中标人，也可以重新询价。</w:t>
            </w:r>
          </w:p>
        </w:tc>
      </w:tr>
      <w:tr>
        <w:tblPrEx>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10.5</w:t>
            </w:r>
          </w:p>
        </w:tc>
        <w:tc>
          <w:tcPr>
            <w:tcW w:w="8427"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r>
              <w:rPr>
                <w:rFonts w:hint="eastAsia" w:ascii="仿宋" w:hAnsi="仿宋" w:eastAsia="仿宋" w:cs="仿宋"/>
                <w:sz w:val="24"/>
              </w:rPr>
              <w:t>不再询价：</w:t>
            </w:r>
          </w:p>
          <w:p>
            <w:pPr>
              <w:spacing w:line="440" w:lineRule="atLeast"/>
              <w:rPr>
                <w:rFonts w:ascii="仿宋" w:hAnsi="仿宋" w:eastAsia="仿宋" w:cs="仿宋"/>
                <w:sz w:val="24"/>
              </w:rPr>
            </w:pPr>
            <w:r>
              <w:rPr>
                <w:rFonts w:hint="eastAsia" w:ascii="仿宋" w:hAnsi="仿宋" w:eastAsia="仿宋" w:cs="仿宋"/>
                <w:sz w:val="24"/>
              </w:rPr>
              <w:t>重新询价后投标人仍少于三人，按法定程序开标和评标，确定中标人。经评审无合格投标人，属于审批或核准项目的，报经原审批部门批准可以不再询价；其他项目，询价人可以自行决定不再询价。</w:t>
            </w:r>
          </w:p>
        </w:tc>
      </w:tr>
    </w:tbl>
    <w:p>
      <w:pPr>
        <w:widowControl/>
        <w:spacing w:line="360" w:lineRule="auto"/>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注：如本前附表与投标人须知及询价文件有矛盾或不一致的，若有补遗澄清说明的，将以补遗澄清说明为准；如果没有澄清说明的，均以本前附表为准。</w:t>
      </w: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附录1  资格审查条件（资质最低要求）</w:t>
      </w:r>
    </w:p>
    <w:tbl>
      <w:tblPr>
        <w:tblStyle w:val="12"/>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419"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资质等级要求</w:t>
            </w:r>
          </w:p>
        </w:tc>
        <w:tc>
          <w:tcPr>
            <w:tcW w:w="442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见投标邀请书</w:t>
            </w:r>
          </w:p>
        </w:tc>
      </w:tr>
    </w:tbl>
    <w:p>
      <w:pPr>
        <w:widowControl/>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注：1. 投标人按“五证合一”登记制度办理营业执照的，组织机构代码证、税务登记证（副本）和社会保险登记证以投标人所提供的营业执照（副本）复印件为准。</w:t>
      </w: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p>
    <w:p>
      <w:pPr>
        <w:widowControl/>
        <w:spacing w:line="360" w:lineRule="auto"/>
        <w:jc w:val="left"/>
        <w:rPr>
          <w:rFonts w:ascii="仿宋" w:hAnsi="仿宋" w:eastAsia="仿宋" w:cs="仿宋"/>
          <w:b/>
          <w:kern w:val="44"/>
          <w:sz w:val="28"/>
          <w:szCs w:val="28"/>
        </w:rPr>
      </w:pPr>
    </w:p>
    <w:p>
      <w:pPr>
        <w:widowControl/>
        <w:spacing w:line="360" w:lineRule="auto"/>
        <w:jc w:val="left"/>
        <w:rPr>
          <w:rFonts w:ascii="仿宋" w:hAnsi="仿宋" w:eastAsia="仿宋" w:cs="仿宋"/>
          <w:b/>
          <w:kern w:val="44"/>
          <w:sz w:val="28"/>
          <w:szCs w:val="28"/>
        </w:rPr>
      </w:pPr>
      <w:r>
        <w:rPr>
          <w:rFonts w:hint="eastAsia" w:ascii="仿宋" w:hAnsi="仿宋" w:eastAsia="仿宋" w:cs="仿宋"/>
          <w:b/>
          <w:kern w:val="44"/>
          <w:sz w:val="28"/>
          <w:szCs w:val="28"/>
        </w:rPr>
        <w:t>附录2  资格审查条件（业绩最低要求）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39" w:type="dxa"/>
            <w:vAlign w:val="center"/>
          </w:tcPr>
          <w:p>
            <w:pPr>
              <w:spacing w:line="240" w:lineRule="atLeast"/>
              <w:jc w:val="center"/>
              <w:rPr>
                <w:rFonts w:ascii="仿宋" w:hAnsi="仿宋" w:eastAsia="仿宋" w:cs="仿宋"/>
                <w:sz w:val="24"/>
              </w:rPr>
            </w:pPr>
            <w:r>
              <w:rPr>
                <w:rFonts w:hint="eastAsia" w:ascii="仿宋" w:hAnsi="仿宋" w:eastAsia="仿宋" w:cs="仿宋"/>
                <w:sz w:val="24"/>
              </w:rPr>
              <w:t>企业业绩要求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9039" w:type="dxa"/>
            <w:vAlign w:val="center"/>
          </w:tcPr>
          <w:p>
            <w:pPr>
              <w:spacing w:line="440" w:lineRule="atLeast"/>
              <w:rPr>
                <w:rFonts w:ascii="仿宋" w:hAnsi="仿宋" w:eastAsia="仿宋" w:cs="仿宋"/>
                <w:sz w:val="24"/>
              </w:rPr>
            </w:pPr>
            <w:r>
              <w:rPr>
                <w:rFonts w:hint="eastAsia" w:ascii="仿宋" w:hAnsi="仿宋" w:eastAsia="仿宋" w:cs="仿宋"/>
                <w:sz w:val="24"/>
              </w:rPr>
              <w:t>投标人在2015年至今承担过至少1项征地拆迁相关审计工作。</w:t>
            </w:r>
          </w:p>
        </w:tc>
      </w:tr>
    </w:tbl>
    <w:p>
      <w:pPr>
        <w:widowControl/>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注：1、以上项目必须附上相关证明资料。</w:t>
      </w:r>
    </w:p>
    <w:p>
      <w:pPr>
        <w:widowControl/>
        <w:spacing w:line="360" w:lineRule="auto"/>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2、投标人如发生了法人合法变更或重组，应提供相关部门的合法批件或其他相关证明材料，以证明业绩合法继承的有效性。</w:t>
      </w:r>
    </w:p>
    <w:p>
      <w:pPr>
        <w:widowControl/>
        <w:spacing w:line="360" w:lineRule="auto"/>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3、询价人不接受分包或转包或联合体成员单位的业绩。</w:t>
      </w:r>
    </w:p>
    <w:p>
      <w:pPr>
        <w:widowControl/>
        <w:jc w:val="left"/>
        <w:rPr>
          <w:rFonts w:ascii="仿宋" w:hAnsi="仿宋" w:eastAsia="仿宋" w:cs="仿宋"/>
          <w:b/>
          <w:kern w:val="44"/>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kern w:val="44"/>
          <w:sz w:val="28"/>
          <w:szCs w:val="28"/>
        </w:rPr>
        <w:t>注</w:t>
      </w:r>
      <w:r>
        <w:rPr>
          <w:rFonts w:hint="eastAsia" w:ascii="仿宋" w:hAnsi="仿宋" w:eastAsia="仿宋" w:cs="仿宋"/>
          <w:b/>
          <w:color w:val="000000"/>
          <w:kern w:val="0"/>
          <w:sz w:val="28"/>
          <w:szCs w:val="28"/>
        </w:rPr>
        <w:t>：由各投标人自行对上述诉讼和履约的真实情况进行承诺。</w:t>
      </w: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sz w:val="28"/>
          <w:szCs w:val="28"/>
        </w:rPr>
      </w:pPr>
      <w:r>
        <w:rPr>
          <w:rFonts w:hint="eastAsia" w:ascii="仿宋" w:hAnsi="仿宋" w:eastAsia="仿宋" w:cs="仿宋"/>
          <w:b/>
          <w:color w:val="000000"/>
          <w:kern w:val="0"/>
          <w:sz w:val="28"/>
          <w:szCs w:val="28"/>
        </w:rPr>
        <w:t>附录</w:t>
      </w:r>
      <w:r>
        <w:rPr>
          <w:rFonts w:ascii="仿宋" w:hAnsi="仿宋" w:eastAsia="仿宋" w:cs="仿宋"/>
          <w:b/>
          <w:color w:val="000000"/>
          <w:kern w:val="0"/>
          <w:sz w:val="28"/>
          <w:szCs w:val="28"/>
        </w:rPr>
        <w:t>3</w:t>
      </w:r>
      <w:r>
        <w:rPr>
          <w:rFonts w:hint="eastAsia" w:ascii="仿宋" w:hAnsi="仿宋" w:eastAsia="仿宋" w:cs="仿宋"/>
          <w:b/>
          <w:color w:val="000000"/>
          <w:kern w:val="0"/>
          <w:sz w:val="28"/>
          <w:szCs w:val="28"/>
        </w:rPr>
        <w:t xml:space="preserve"> 资格审查条件（派驻人员最低要求）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4560"/>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40" w:type="dxa"/>
            <w:vAlign w:val="center"/>
          </w:tcPr>
          <w:p>
            <w:pPr>
              <w:spacing w:line="240" w:lineRule="atLeast"/>
              <w:ind w:firstLine="480" w:firstLineChars="200"/>
              <w:rPr>
                <w:rFonts w:ascii="仿宋" w:hAnsi="仿宋" w:eastAsia="仿宋" w:cs="仿宋"/>
                <w:sz w:val="24"/>
              </w:rPr>
            </w:pPr>
            <w:r>
              <w:rPr>
                <w:rFonts w:hint="eastAsia" w:ascii="仿宋" w:hAnsi="仿宋" w:eastAsia="仿宋" w:cs="仿宋"/>
                <w:sz w:val="24"/>
              </w:rPr>
              <w:t>项目负责人</w:t>
            </w:r>
          </w:p>
        </w:tc>
        <w:tc>
          <w:tcPr>
            <w:tcW w:w="456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要求</w:t>
            </w:r>
          </w:p>
        </w:tc>
        <w:tc>
          <w:tcPr>
            <w:tcW w:w="2139"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注册会计师</w:t>
            </w:r>
          </w:p>
        </w:tc>
        <w:tc>
          <w:tcPr>
            <w:tcW w:w="4560" w:type="dxa"/>
            <w:vAlign w:val="center"/>
          </w:tcPr>
          <w:p>
            <w:pPr>
              <w:spacing w:line="440" w:lineRule="atLeast"/>
              <w:rPr>
                <w:rFonts w:ascii="仿宋" w:hAnsi="仿宋" w:eastAsia="仿宋" w:cs="仿宋"/>
                <w:sz w:val="24"/>
              </w:rPr>
            </w:pPr>
            <w:r>
              <w:rPr>
                <w:rFonts w:hint="eastAsia" w:ascii="仿宋" w:hAnsi="仿宋" w:eastAsia="仿宋" w:cs="仿宋"/>
                <w:sz w:val="24"/>
              </w:rPr>
              <w:t>同时具备注册会计师（执业10年以上，以注册证书中注册时间为准）、高级会计师资格，并在本单位注册。</w:t>
            </w:r>
          </w:p>
          <w:p>
            <w:pPr>
              <w:spacing w:line="440" w:lineRule="atLeast"/>
              <w:rPr>
                <w:rFonts w:ascii="仿宋" w:hAnsi="仿宋" w:eastAsia="仿宋" w:cs="仿宋"/>
                <w:sz w:val="24"/>
              </w:rPr>
            </w:pPr>
            <w:r>
              <w:rPr>
                <w:rFonts w:hint="eastAsia" w:ascii="仿宋" w:hAnsi="仿宋" w:eastAsia="仿宋" w:cs="仿宋"/>
                <w:sz w:val="24"/>
              </w:rPr>
              <w:t>提供近2年连续缴纳社保证明，社保局出具或社保网络平台打印的一人一份社保证明，能显示身份证号码、社保号码、单位名称、查询编码、查询网址等信息。</w:t>
            </w:r>
          </w:p>
        </w:tc>
        <w:tc>
          <w:tcPr>
            <w:tcW w:w="2139" w:type="dxa"/>
            <w:vAlign w:val="center"/>
          </w:tcPr>
          <w:p>
            <w:pPr>
              <w:spacing w:line="240" w:lineRule="atLeast"/>
              <w:jc w:val="center"/>
              <w:rPr>
                <w:rFonts w:ascii="仿宋" w:hAnsi="仿宋" w:eastAsia="仿宋" w:cs="仿宋"/>
                <w:sz w:val="24"/>
              </w:rPr>
            </w:pPr>
            <w:r>
              <w:rPr>
                <w:rFonts w:hint="eastAsia" w:ascii="仿宋" w:hAnsi="仿宋" w:eastAsia="仿宋" w:cs="仿宋"/>
                <w:sz w:val="24"/>
              </w:rPr>
              <w:t>1</w:t>
            </w:r>
          </w:p>
        </w:tc>
      </w:tr>
    </w:tbl>
    <w:p>
      <w:pPr>
        <w:rPr>
          <w:rFonts w:ascii="仿宋" w:hAnsi="仿宋" w:eastAsia="仿宋" w:cs="仿宋"/>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 1、在本次投标时上表所列应为自有人员，需附清晰可辨的相关资质资料。</w:t>
      </w:r>
    </w:p>
    <w:p>
      <w:pPr>
        <w:widowControl/>
        <w:spacing w:line="360" w:lineRule="auto"/>
        <w:ind w:firstLine="703" w:firstLineChars="25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2、提供身份证、相关资格证书复印件。</w:t>
      </w:r>
    </w:p>
    <w:p>
      <w:pPr>
        <w:widowControl/>
        <w:spacing w:line="360" w:lineRule="auto"/>
        <w:jc w:val="left"/>
        <w:rPr>
          <w:rFonts w:ascii="仿宋" w:hAnsi="仿宋" w:eastAsia="仿宋" w:cs="仿宋"/>
          <w:b/>
          <w:color w:val="000000"/>
          <w:kern w:val="0"/>
          <w:sz w:val="28"/>
          <w:szCs w:val="28"/>
        </w:rPr>
      </w:pPr>
    </w:p>
    <w:p>
      <w:pPr>
        <w:widowControl/>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附录</w:t>
      </w:r>
      <w:r>
        <w:rPr>
          <w:rFonts w:ascii="仿宋" w:hAnsi="仿宋" w:eastAsia="仿宋" w:cs="仿宋"/>
          <w:b/>
          <w:color w:val="000000"/>
          <w:kern w:val="0"/>
          <w:sz w:val="28"/>
          <w:szCs w:val="28"/>
        </w:rPr>
        <w:t>4</w:t>
      </w:r>
      <w:r>
        <w:rPr>
          <w:rFonts w:hint="eastAsia" w:ascii="仿宋" w:hAnsi="仿宋" w:eastAsia="仿宋" w:cs="仿宋"/>
          <w:b/>
          <w:color w:val="000000"/>
          <w:kern w:val="0"/>
          <w:sz w:val="28"/>
          <w:szCs w:val="28"/>
        </w:rPr>
        <w:t xml:space="preserve"> 其他主要人员最低要求</w:t>
      </w:r>
    </w:p>
    <w:tbl>
      <w:tblPr>
        <w:tblStyle w:val="12"/>
        <w:tblW w:w="866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84"/>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人员</w:t>
            </w:r>
          </w:p>
        </w:tc>
        <w:tc>
          <w:tcPr>
            <w:tcW w:w="2184"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数量</w:t>
            </w:r>
          </w:p>
        </w:tc>
        <w:tc>
          <w:tcPr>
            <w:tcW w:w="4903"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财务咨询人员</w:t>
            </w:r>
          </w:p>
        </w:tc>
        <w:tc>
          <w:tcPr>
            <w:tcW w:w="2184" w:type="dxa"/>
            <w:vAlign w:val="center"/>
          </w:tcPr>
          <w:p>
            <w:pPr>
              <w:spacing w:line="240" w:lineRule="atLeast"/>
              <w:ind w:firstLine="960" w:firstLineChars="400"/>
              <w:rPr>
                <w:rFonts w:ascii="仿宋" w:hAnsi="仿宋" w:eastAsia="仿宋" w:cs="仿宋"/>
                <w:sz w:val="24"/>
              </w:rPr>
            </w:pPr>
            <w:r>
              <w:rPr>
                <w:rFonts w:hint="eastAsia" w:ascii="仿宋" w:hAnsi="仿宋" w:eastAsia="仿宋" w:cs="仿宋"/>
                <w:sz w:val="24"/>
              </w:rPr>
              <w:t>3</w:t>
            </w:r>
          </w:p>
        </w:tc>
        <w:tc>
          <w:tcPr>
            <w:tcW w:w="4903"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具备2年及以上财务审计工作经验</w:t>
            </w:r>
          </w:p>
        </w:tc>
      </w:tr>
    </w:tbl>
    <w:p>
      <w:pPr>
        <w:rPr>
          <w:rFonts w:ascii="仿宋" w:hAnsi="仿宋" w:eastAsia="仿宋" w:cs="仿宋"/>
          <w:sz w:val="28"/>
          <w:szCs w:val="28"/>
        </w:rPr>
      </w:pPr>
    </w:p>
    <w:p>
      <w:pPr>
        <w:spacing w:line="360" w:lineRule="auto"/>
        <w:rPr>
          <w:rFonts w:ascii="仿宋" w:hAnsi="仿宋" w:eastAsia="仿宋" w:cs="仿宋"/>
          <w:b/>
          <w:bCs/>
          <w:sz w:val="28"/>
          <w:szCs w:val="28"/>
        </w:rPr>
        <w:sectPr>
          <w:footerReference r:id="rId11" w:type="default"/>
          <w:pgSz w:w="11907" w:h="16839"/>
          <w:pgMar w:top="1417" w:right="1701" w:bottom="1417" w:left="1701" w:header="720" w:footer="720" w:gutter="0"/>
          <w:pgNumType w:start="1"/>
          <w:cols w:space="720" w:num="1"/>
          <w:docGrid w:linePitch="286" w:charSpace="0"/>
        </w:sectPr>
      </w:pPr>
      <w:r>
        <w:rPr>
          <w:rFonts w:hint="eastAsia" w:ascii="仿宋" w:hAnsi="仿宋" w:eastAsia="仿宋" w:cs="仿宋"/>
          <w:b/>
          <w:bCs/>
          <w:sz w:val="28"/>
          <w:szCs w:val="28"/>
        </w:rPr>
        <w:t>注：1、以上人员均需提供近2年连续缴纳社保证明，社保局出具或社保网络平台打印的一人一份社保证明，能显示身份证号码、社保号码、单位名称、查询编码、查询网址等信息。</w:t>
      </w:r>
    </w:p>
    <w:p>
      <w:pPr>
        <w:pStyle w:val="3"/>
        <w:rPr>
          <w:rFonts w:ascii="仿宋" w:hAnsi="仿宋" w:eastAsia="仿宋" w:cs="仿宋"/>
          <w:snapToGrid w:val="0"/>
          <w:color w:val="000000"/>
          <w:spacing w:val="0"/>
          <w:sz w:val="28"/>
          <w:szCs w:val="28"/>
        </w:rPr>
      </w:pPr>
      <w:bookmarkStart w:id="53" w:name="_Toc421899222"/>
      <w:bookmarkStart w:id="54" w:name="_Toc200513126"/>
      <w:bookmarkStart w:id="55" w:name="_Toc470130549"/>
      <w:bookmarkStart w:id="56" w:name="_Toc364411334"/>
      <w:bookmarkStart w:id="57" w:name="_Toc259797067"/>
      <w:r>
        <w:rPr>
          <w:rFonts w:hint="eastAsia" w:ascii="仿宋" w:hAnsi="仿宋" w:eastAsia="仿宋" w:cs="仿宋"/>
          <w:snapToGrid w:val="0"/>
          <w:color w:val="000000"/>
          <w:spacing w:val="0"/>
          <w:sz w:val="28"/>
          <w:szCs w:val="28"/>
        </w:rPr>
        <w:t>1.  总则</w:t>
      </w:r>
      <w:bookmarkEnd w:id="53"/>
      <w:bookmarkEnd w:id="54"/>
      <w:bookmarkEnd w:id="55"/>
      <w:bookmarkEnd w:id="56"/>
      <w:bookmarkEnd w:id="57"/>
    </w:p>
    <w:p>
      <w:pPr>
        <w:pStyle w:val="4"/>
        <w:snapToGrid w:val="0"/>
        <w:spacing w:line="360" w:lineRule="auto"/>
        <w:rPr>
          <w:rFonts w:ascii="仿宋" w:hAnsi="仿宋" w:eastAsia="仿宋" w:cs="仿宋"/>
          <w:snapToGrid w:val="0"/>
          <w:color w:val="000000"/>
          <w:szCs w:val="28"/>
        </w:rPr>
      </w:pPr>
      <w:bookmarkStart w:id="58" w:name="_Toc470130550"/>
      <w:bookmarkStart w:id="59" w:name="_Toc259797068"/>
      <w:bookmarkStart w:id="60" w:name="_Toc200513127"/>
      <w:bookmarkStart w:id="61" w:name="_Toc4018"/>
      <w:bookmarkStart w:id="62" w:name="_Toc2471"/>
      <w:bookmarkStart w:id="63" w:name="_Toc421899223"/>
      <w:bookmarkStart w:id="64" w:name="_Toc366074314"/>
      <w:bookmarkStart w:id="65" w:name="_Toc364411512"/>
      <w:bookmarkStart w:id="66" w:name="_Toc366074403"/>
      <w:bookmarkStart w:id="67" w:name="_Toc21116"/>
      <w:r>
        <w:rPr>
          <w:rFonts w:hint="eastAsia" w:ascii="仿宋" w:hAnsi="仿宋" w:eastAsia="仿宋" w:cs="仿宋"/>
          <w:snapToGrid w:val="0"/>
          <w:color w:val="000000"/>
          <w:szCs w:val="28"/>
        </w:rPr>
        <w:t>1.1  项目概况</w:t>
      </w:r>
      <w:bookmarkEnd w:id="58"/>
      <w:bookmarkEnd w:id="59"/>
      <w:bookmarkEnd w:id="60"/>
      <w:bookmarkEnd w:id="61"/>
      <w:bookmarkEnd w:id="62"/>
      <w:bookmarkEnd w:id="63"/>
      <w:bookmarkEnd w:id="64"/>
      <w:bookmarkEnd w:id="65"/>
      <w:bookmarkEnd w:id="66"/>
      <w:bookmarkEnd w:id="67"/>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（1）根据《中华人民共和国招标投标法》等有关法律、法规和规章的规定，现对本项目</w:t>
      </w:r>
      <w:r>
        <w:rPr>
          <w:rFonts w:hint="eastAsia" w:ascii="仿宋" w:hAnsi="仿宋" w:eastAsia="仿宋" w:cs="仿宋"/>
          <w:sz w:val="28"/>
          <w:szCs w:val="28"/>
        </w:rPr>
        <w:t>渝北境征迁资金专项审计工作</w:t>
      </w:r>
      <w:r>
        <w:rPr>
          <w:rFonts w:hint="eastAsia" w:ascii="仿宋" w:hAnsi="仿宋" w:eastAsia="仿宋" w:cs="仿宋"/>
          <w:snapToGrid w:val="0"/>
          <w:color w:val="000000"/>
          <w:kern w:val="0"/>
          <w:sz w:val="28"/>
          <w:szCs w:val="28"/>
        </w:rPr>
        <w:t>进行询价。</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（2）本询价项目询价人：见投标人须知前附表。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（3）本询价项目名称：见投标人须知前附表。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（4）本项目建设地点：见投标人须知前附表。  </w:t>
      </w:r>
    </w:p>
    <w:p>
      <w:pPr>
        <w:pStyle w:val="4"/>
        <w:snapToGrid w:val="0"/>
        <w:spacing w:line="360" w:lineRule="auto"/>
        <w:rPr>
          <w:rFonts w:ascii="仿宋" w:hAnsi="仿宋" w:eastAsia="仿宋" w:cs="仿宋"/>
          <w:snapToGrid w:val="0"/>
          <w:color w:val="000000"/>
          <w:szCs w:val="28"/>
        </w:rPr>
      </w:pPr>
      <w:bookmarkStart w:id="68" w:name="_Toc200513128"/>
      <w:bookmarkStart w:id="69" w:name="_Toc366074315"/>
      <w:bookmarkStart w:id="70" w:name="_Toc7154"/>
      <w:bookmarkStart w:id="71" w:name="_Toc421899224"/>
      <w:bookmarkStart w:id="72" w:name="_Toc22689"/>
      <w:bookmarkStart w:id="73" w:name="_Toc470130551"/>
      <w:bookmarkStart w:id="74" w:name="_Toc25579"/>
      <w:bookmarkStart w:id="75" w:name="_Toc364411513"/>
      <w:bookmarkStart w:id="76" w:name="_Toc259797069"/>
      <w:bookmarkStart w:id="77" w:name="_Toc366074404"/>
      <w:r>
        <w:rPr>
          <w:rFonts w:hint="eastAsia" w:ascii="仿宋" w:hAnsi="仿宋" w:eastAsia="仿宋" w:cs="仿宋"/>
          <w:snapToGrid w:val="0"/>
          <w:color w:val="000000"/>
          <w:szCs w:val="28"/>
        </w:rPr>
        <w:t>1.2  资金来源和落实情况</w:t>
      </w:r>
      <w:bookmarkEnd w:id="68"/>
      <w:bookmarkEnd w:id="69"/>
      <w:bookmarkEnd w:id="70"/>
      <w:bookmarkEnd w:id="71"/>
      <w:bookmarkEnd w:id="72"/>
      <w:bookmarkEnd w:id="73"/>
      <w:bookmarkEnd w:id="74"/>
      <w:bookmarkEnd w:id="75"/>
      <w:bookmarkEnd w:id="76"/>
      <w:bookmarkEnd w:id="77"/>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（1）本询价项目的资金来源：见投标人须知前附表。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（2）本询价项目的出资比例：见投标人须知前附表。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（3）本询价项目的资金落实情况：见投标人须知前附表。 </w:t>
      </w:r>
    </w:p>
    <w:p>
      <w:pPr>
        <w:pStyle w:val="4"/>
        <w:snapToGrid w:val="0"/>
        <w:spacing w:line="360" w:lineRule="auto"/>
        <w:rPr>
          <w:rFonts w:ascii="仿宋" w:hAnsi="仿宋" w:eastAsia="仿宋" w:cs="仿宋"/>
          <w:snapToGrid w:val="0"/>
          <w:color w:val="000000"/>
          <w:szCs w:val="28"/>
        </w:rPr>
      </w:pPr>
      <w:bookmarkStart w:id="78" w:name="_Toc13246"/>
      <w:bookmarkStart w:id="79" w:name="_Toc259797070"/>
      <w:bookmarkStart w:id="80" w:name="_Toc421899225"/>
      <w:bookmarkStart w:id="81" w:name="_Toc364411514"/>
      <w:bookmarkStart w:id="82" w:name="_Toc470130552"/>
      <w:bookmarkStart w:id="83" w:name="_Toc20758"/>
      <w:bookmarkStart w:id="84" w:name="_Toc366074316"/>
      <w:bookmarkStart w:id="85" w:name="_Toc200513129"/>
      <w:bookmarkStart w:id="86" w:name="_Toc366074405"/>
      <w:bookmarkStart w:id="87" w:name="_Toc17725"/>
      <w:r>
        <w:rPr>
          <w:rFonts w:hint="eastAsia" w:ascii="仿宋" w:hAnsi="仿宋" w:eastAsia="仿宋" w:cs="仿宋"/>
          <w:snapToGrid w:val="0"/>
          <w:color w:val="000000"/>
          <w:szCs w:val="28"/>
        </w:rPr>
        <w:t>1.3  询价范围、计划工期和质量要求</w:t>
      </w:r>
      <w:bookmarkEnd w:id="78"/>
      <w:bookmarkEnd w:id="79"/>
      <w:bookmarkEnd w:id="80"/>
      <w:bookmarkEnd w:id="81"/>
      <w:bookmarkEnd w:id="82"/>
      <w:bookmarkEnd w:id="83"/>
      <w:bookmarkEnd w:id="84"/>
      <w:bookmarkEnd w:id="85"/>
      <w:bookmarkEnd w:id="86"/>
      <w:bookmarkEnd w:id="87"/>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（1）本次询价范围：见投标人须知前附表。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（2）本项目的服务期限：见投标人须知前附表。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（3）本项目的质量要求：以询价人要求为准。 </w:t>
      </w:r>
    </w:p>
    <w:p>
      <w:pPr>
        <w:pStyle w:val="4"/>
        <w:snapToGrid w:val="0"/>
        <w:spacing w:line="360" w:lineRule="auto"/>
        <w:rPr>
          <w:rFonts w:ascii="仿宋" w:hAnsi="仿宋" w:eastAsia="仿宋" w:cs="仿宋"/>
          <w:snapToGrid w:val="0"/>
          <w:color w:val="000000"/>
          <w:szCs w:val="28"/>
        </w:rPr>
      </w:pPr>
      <w:bookmarkStart w:id="88" w:name="_Toc9"/>
      <w:bookmarkStart w:id="89" w:name="_Toc366074317"/>
      <w:bookmarkStart w:id="90" w:name="_Toc200513131"/>
      <w:bookmarkStart w:id="91" w:name="_Toc5079"/>
      <w:bookmarkStart w:id="92" w:name="_Toc470130553"/>
      <w:bookmarkStart w:id="93" w:name="_Toc3997"/>
      <w:bookmarkStart w:id="94" w:name="_Toc364411515"/>
      <w:bookmarkStart w:id="95" w:name="_Toc421899226"/>
      <w:bookmarkStart w:id="96" w:name="_Toc259797071"/>
      <w:bookmarkStart w:id="97" w:name="_Toc366074406"/>
      <w:r>
        <w:rPr>
          <w:rFonts w:hint="eastAsia" w:ascii="仿宋" w:hAnsi="仿宋" w:eastAsia="仿宋" w:cs="仿宋"/>
          <w:snapToGrid w:val="0"/>
          <w:color w:val="000000"/>
          <w:szCs w:val="28"/>
        </w:rPr>
        <w:t>1.4  投标人资格要求</w:t>
      </w:r>
      <w:bookmarkEnd w:id="88"/>
      <w:bookmarkEnd w:id="89"/>
      <w:bookmarkEnd w:id="90"/>
      <w:bookmarkEnd w:id="91"/>
      <w:bookmarkEnd w:id="92"/>
      <w:bookmarkEnd w:id="93"/>
      <w:bookmarkEnd w:id="94"/>
      <w:bookmarkEnd w:id="95"/>
      <w:bookmarkEnd w:id="96"/>
      <w:bookmarkEnd w:id="97"/>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1.4.1投标人应具备承担本项目的资质条件、能力和信誉。</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（1）资质条件：见投标人须知前附表；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（2）财务要求：见投标人须知前附表；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（3）业绩要求：见投标人须知前附表；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（4）信誉要求：见投标人须知前附表；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（5）项目负责人资格：见投标人须知前附表；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（6）主要管理人员和技术人员要求：见投标人须知前附表。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1.4.2不接受联合体投标。</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1.4.3投标人不得存在下列情形之一：</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position w:val="-2"/>
          <w:sz w:val="28"/>
          <w:szCs w:val="28"/>
        </w:rPr>
        <w:t>（1）为询价人不具有独立法人资格的附属机构（单位）；</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（2）为本项目前期准备提供设计或监理服务的；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（3）为本项目的监理人；</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（4）为本项目的代建人；</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（5）为本项目提供询价代理服务的；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（6）与本项目的监理人或代建人或询价代理机构同为一个法定代表人的；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（7）与本项目的监理人或代建人或询价代理机构相互控股或参股的；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（8）与本项目的监理人或代建人或询价代理机构相互任职或工作的；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（9）被责令停业的；</w:t>
      </w:r>
      <w:bookmarkStart w:id="98" w:name="_Toc254714391"/>
      <w:bookmarkStart w:id="99" w:name="_Toc254711877"/>
      <w:bookmarkStart w:id="100" w:name="_Toc254714019"/>
      <w:bookmarkStart w:id="101" w:name="_Toc200513132"/>
    </w:p>
    <w:p>
      <w:pPr>
        <w:autoSpaceDE w:val="0"/>
        <w:autoSpaceDN w:val="0"/>
        <w:adjustRightInd w:val="0"/>
        <w:snapToGrid w:val="0"/>
        <w:spacing w:line="360" w:lineRule="auto"/>
        <w:ind w:firstLine="700" w:firstLineChars="25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(10)被暂停或取消投标资格的；</w:t>
      </w:r>
      <w:bookmarkEnd w:id="98"/>
      <w:bookmarkEnd w:id="99"/>
      <w:bookmarkEnd w:id="100"/>
      <w:bookmarkStart w:id="102" w:name="_Toc254714020"/>
      <w:bookmarkStart w:id="103" w:name="_Toc254714392"/>
      <w:bookmarkStart w:id="104" w:name="_Toc254711878"/>
    </w:p>
    <w:p>
      <w:pPr>
        <w:autoSpaceDE w:val="0"/>
        <w:autoSpaceDN w:val="0"/>
        <w:adjustRightInd w:val="0"/>
        <w:snapToGrid w:val="0"/>
        <w:spacing w:line="360" w:lineRule="auto"/>
        <w:ind w:firstLine="700" w:firstLineChars="25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(11)财产被接管或冻结的；</w:t>
      </w:r>
      <w:bookmarkEnd w:id="102"/>
      <w:bookmarkEnd w:id="103"/>
      <w:bookmarkEnd w:id="104"/>
    </w:p>
    <w:p>
      <w:pPr>
        <w:autoSpaceDE w:val="0"/>
        <w:autoSpaceDN w:val="0"/>
        <w:adjustRightInd w:val="0"/>
        <w:snapToGrid w:val="0"/>
        <w:spacing w:line="360" w:lineRule="auto"/>
        <w:ind w:firstLine="700" w:firstLineChars="250"/>
        <w:jc w:val="left"/>
        <w:rPr>
          <w:rFonts w:ascii="仿宋" w:hAnsi="仿宋" w:eastAsia="仿宋" w:cs="仿宋"/>
          <w:snapToGrid w:val="0"/>
          <w:color w:val="000000"/>
          <w:kern w:val="0"/>
          <w:sz w:val="28"/>
          <w:szCs w:val="28"/>
        </w:rPr>
      </w:pPr>
      <w:bookmarkStart w:id="105" w:name="_Toc254711879"/>
      <w:bookmarkStart w:id="106" w:name="_Toc254714021"/>
      <w:bookmarkStart w:id="107" w:name="_Toc254714393"/>
      <w:r>
        <w:rPr>
          <w:rFonts w:hint="eastAsia" w:ascii="仿宋" w:hAnsi="仿宋" w:eastAsia="仿宋" w:cs="仿宋"/>
          <w:snapToGrid w:val="0"/>
          <w:color w:val="000000"/>
          <w:kern w:val="0"/>
          <w:sz w:val="28"/>
          <w:szCs w:val="28"/>
        </w:rPr>
        <w:t>(12)在最近三年内有骗取中标或严重违约或重大工程质量问题的；</w:t>
      </w:r>
      <w:bookmarkEnd w:id="105"/>
      <w:bookmarkEnd w:id="106"/>
      <w:bookmarkEnd w:id="107"/>
      <w:bookmarkStart w:id="108" w:name="_Toc254714022"/>
      <w:bookmarkStart w:id="109" w:name="_Toc254714394"/>
      <w:bookmarkStart w:id="110" w:name="_Toc254711880"/>
    </w:p>
    <w:p>
      <w:pPr>
        <w:autoSpaceDE w:val="0"/>
        <w:autoSpaceDN w:val="0"/>
        <w:adjustRightInd w:val="0"/>
        <w:snapToGrid w:val="0"/>
        <w:spacing w:line="360" w:lineRule="auto"/>
        <w:ind w:firstLine="700" w:firstLineChars="25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(13)经评标委员会认定存在正在诉讼的案件，会对承担本项目造成重大影响的；</w:t>
      </w:r>
      <w:bookmarkEnd w:id="108"/>
      <w:bookmarkEnd w:id="109"/>
      <w:bookmarkEnd w:id="110"/>
      <w:bookmarkStart w:id="111" w:name="_Toc254714023"/>
      <w:bookmarkStart w:id="112" w:name="_Toc254714395"/>
      <w:bookmarkStart w:id="113" w:name="_Toc254711881"/>
    </w:p>
    <w:bookmarkEnd w:id="111"/>
    <w:bookmarkEnd w:id="112"/>
    <w:bookmarkEnd w:id="113"/>
    <w:p>
      <w:pPr>
        <w:autoSpaceDE w:val="0"/>
        <w:autoSpaceDN w:val="0"/>
        <w:adjustRightInd w:val="0"/>
        <w:snapToGrid w:val="0"/>
        <w:spacing w:line="360" w:lineRule="auto"/>
        <w:ind w:firstLine="700" w:firstLineChars="250"/>
        <w:jc w:val="left"/>
        <w:rPr>
          <w:rFonts w:ascii="仿宋" w:hAnsi="仿宋" w:eastAsia="仿宋" w:cs="仿宋"/>
          <w:snapToGrid w:val="0"/>
          <w:color w:val="000000"/>
          <w:kern w:val="0"/>
          <w:sz w:val="28"/>
          <w:szCs w:val="28"/>
        </w:rPr>
      </w:pPr>
      <w:bookmarkStart w:id="114" w:name="_Toc254714397"/>
      <w:bookmarkStart w:id="115" w:name="_Toc254714025"/>
      <w:bookmarkStart w:id="116" w:name="_Toc254711883"/>
      <w:r>
        <w:rPr>
          <w:rFonts w:hint="eastAsia" w:ascii="仿宋" w:hAnsi="仿宋" w:eastAsia="仿宋" w:cs="仿宋"/>
          <w:snapToGrid w:val="0"/>
          <w:color w:val="000000"/>
          <w:kern w:val="0"/>
          <w:sz w:val="28"/>
          <w:szCs w:val="28"/>
        </w:rPr>
        <w:t>(14)为投资参股本项目的法人单位</w:t>
      </w:r>
      <w:bookmarkEnd w:id="114"/>
      <w:bookmarkEnd w:id="115"/>
      <w:bookmarkEnd w:id="116"/>
      <w:r>
        <w:rPr>
          <w:rFonts w:hint="eastAsia" w:ascii="仿宋" w:hAnsi="仿宋" w:eastAsia="仿宋" w:cs="仿宋"/>
          <w:snapToGrid w:val="0"/>
          <w:color w:val="000000"/>
          <w:kern w:val="0"/>
          <w:sz w:val="28"/>
          <w:szCs w:val="28"/>
        </w:rPr>
        <w:t>。</w:t>
      </w:r>
    </w:p>
    <w:p>
      <w:pPr>
        <w:pStyle w:val="4"/>
        <w:snapToGrid w:val="0"/>
        <w:spacing w:line="360" w:lineRule="auto"/>
        <w:rPr>
          <w:rFonts w:ascii="仿宋" w:hAnsi="仿宋" w:eastAsia="仿宋" w:cs="仿宋"/>
          <w:snapToGrid w:val="0"/>
          <w:color w:val="000000"/>
          <w:szCs w:val="28"/>
        </w:rPr>
      </w:pPr>
      <w:bookmarkStart w:id="117" w:name="_Toc17055"/>
      <w:bookmarkStart w:id="118" w:name="_Toc364411516"/>
      <w:bookmarkStart w:id="119" w:name="_Toc9646"/>
      <w:bookmarkStart w:id="120" w:name="_Toc366074318"/>
      <w:bookmarkStart w:id="121" w:name="_Toc259797072"/>
      <w:bookmarkStart w:id="122" w:name="_Toc421899227"/>
      <w:bookmarkStart w:id="123" w:name="_Toc26129"/>
      <w:bookmarkStart w:id="124" w:name="_Toc470130554"/>
      <w:bookmarkStart w:id="125" w:name="_Toc366074407"/>
      <w:r>
        <w:rPr>
          <w:rFonts w:hint="eastAsia" w:ascii="仿宋" w:hAnsi="仿宋" w:eastAsia="仿宋" w:cs="仿宋"/>
          <w:snapToGrid w:val="0"/>
          <w:color w:val="000000"/>
          <w:szCs w:val="28"/>
        </w:rPr>
        <w:t>1.5  费用承担</w:t>
      </w:r>
      <w:bookmarkEnd w:id="101"/>
      <w:bookmarkEnd w:id="117"/>
      <w:bookmarkEnd w:id="118"/>
      <w:bookmarkEnd w:id="119"/>
      <w:bookmarkEnd w:id="120"/>
      <w:bookmarkEnd w:id="121"/>
      <w:bookmarkEnd w:id="122"/>
      <w:bookmarkEnd w:id="123"/>
      <w:bookmarkEnd w:id="124"/>
      <w:bookmarkEnd w:id="12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投标人准备和参加投标活动发生的费用自理。</w:t>
      </w:r>
    </w:p>
    <w:p>
      <w:pPr>
        <w:pStyle w:val="4"/>
        <w:snapToGrid w:val="0"/>
        <w:spacing w:line="360" w:lineRule="auto"/>
        <w:rPr>
          <w:rFonts w:ascii="仿宋" w:hAnsi="仿宋" w:eastAsia="仿宋" w:cs="仿宋"/>
          <w:snapToGrid w:val="0"/>
          <w:color w:val="000000"/>
          <w:szCs w:val="28"/>
        </w:rPr>
      </w:pPr>
      <w:bookmarkStart w:id="126" w:name="_Toc470130555"/>
      <w:bookmarkStart w:id="127" w:name="_Toc366074319"/>
      <w:bookmarkStart w:id="128" w:name="_Toc421899228"/>
      <w:bookmarkStart w:id="129" w:name="_Toc7109"/>
      <w:bookmarkStart w:id="130" w:name="_Toc259797073"/>
      <w:bookmarkStart w:id="131" w:name="_Toc1647"/>
      <w:bookmarkStart w:id="132" w:name="_Toc200513133"/>
      <w:bookmarkStart w:id="133" w:name="_Toc354"/>
      <w:bookmarkStart w:id="134" w:name="_Toc364411517"/>
      <w:bookmarkStart w:id="135" w:name="_Toc366074408"/>
      <w:r>
        <w:rPr>
          <w:rFonts w:hint="eastAsia" w:ascii="仿宋" w:hAnsi="仿宋" w:eastAsia="仿宋" w:cs="仿宋"/>
          <w:snapToGrid w:val="0"/>
          <w:color w:val="000000"/>
          <w:szCs w:val="28"/>
        </w:rPr>
        <w:t>1.6  保密</w:t>
      </w:r>
      <w:bookmarkEnd w:id="126"/>
      <w:bookmarkEnd w:id="127"/>
      <w:bookmarkEnd w:id="128"/>
      <w:bookmarkEnd w:id="129"/>
      <w:bookmarkEnd w:id="130"/>
      <w:bookmarkEnd w:id="131"/>
      <w:bookmarkEnd w:id="132"/>
      <w:bookmarkEnd w:id="133"/>
      <w:bookmarkEnd w:id="134"/>
      <w:bookmarkEnd w:id="13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参与询价投标活动的各方应对询价文件和投标文件中的商业和技术等秘密保密，违者应对由此造成的后果承担法律责任。</w:t>
      </w:r>
    </w:p>
    <w:p>
      <w:pPr>
        <w:pStyle w:val="4"/>
        <w:snapToGrid w:val="0"/>
        <w:spacing w:line="360" w:lineRule="auto"/>
        <w:rPr>
          <w:rFonts w:ascii="仿宋" w:hAnsi="仿宋" w:eastAsia="仿宋" w:cs="仿宋"/>
          <w:snapToGrid w:val="0"/>
          <w:color w:val="000000"/>
          <w:szCs w:val="28"/>
        </w:rPr>
      </w:pPr>
      <w:bookmarkStart w:id="136" w:name="_Toc16385"/>
      <w:bookmarkStart w:id="137" w:name="_Toc470130556"/>
      <w:bookmarkStart w:id="138" w:name="_Toc23372"/>
      <w:bookmarkStart w:id="139" w:name="_Toc200513134"/>
      <w:bookmarkStart w:id="140" w:name="_Toc259797074"/>
      <w:bookmarkStart w:id="141" w:name="_Toc364411518"/>
      <w:bookmarkStart w:id="142" w:name="_Toc366074320"/>
      <w:bookmarkStart w:id="143" w:name="_Toc21791"/>
      <w:bookmarkStart w:id="144" w:name="_Toc366074409"/>
      <w:bookmarkStart w:id="145" w:name="_Toc421899229"/>
      <w:r>
        <w:rPr>
          <w:rFonts w:hint="eastAsia" w:ascii="仿宋" w:hAnsi="仿宋" w:eastAsia="仿宋" w:cs="仿宋"/>
          <w:snapToGrid w:val="0"/>
          <w:color w:val="000000"/>
          <w:szCs w:val="28"/>
        </w:rPr>
        <w:t>1.7  语言文字</w:t>
      </w:r>
      <w:bookmarkEnd w:id="136"/>
      <w:bookmarkEnd w:id="137"/>
      <w:bookmarkEnd w:id="138"/>
      <w:bookmarkEnd w:id="139"/>
      <w:bookmarkEnd w:id="140"/>
      <w:bookmarkEnd w:id="141"/>
      <w:bookmarkEnd w:id="142"/>
      <w:bookmarkEnd w:id="143"/>
      <w:bookmarkEnd w:id="144"/>
      <w:bookmarkEnd w:id="14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除专用术语外，与询价投标有关的语言均使用中文。必要时专用术语应附有中文注释。</w:t>
      </w:r>
    </w:p>
    <w:p>
      <w:pPr>
        <w:pStyle w:val="4"/>
        <w:snapToGrid w:val="0"/>
        <w:spacing w:line="360" w:lineRule="auto"/>
        <w:rPr>
          <w:rFonts w:ascii="仿宋" w:hAnsi="仿宋" w:eastAsia="仿宋" w:cs="仿宋"/>
          <w:snapToGrid w:val="0"/>
          <w:color w:val="000000"/>
          <w:szCs w:val="28"/>
        </w:rPr>
      </w:pPr>
      <w:bookmarkStart w:id="146" w:name="_Toc364411519"/>
      <w:bookmarkStart w:id="147" w:name="_Toc470130557"/>
      <w:bookmarkStart w:id="148" w:name="_Toc29110"/>
      <w:bookmarkStart w:id="149" w:name="_Toc421899230"/>
      <w:bookmarkStart w:id="150" w:name="_Toc32523"/>
      <w:bookmarkStart w:id="151" w:name="_Toc366074321"/>
      <w:bookmarkStart w:id="152" w:name="_Toc259797075"/>
      <w:bookmarkStart w:id="153" w:name="_Toc2442"/>
      <w:bookmarkStart w:id="154" w:name="_Toc200513135"/>
      <w:bookmarkStart w:id="155" w:name="_Toc366074410"/>
      <w:r>
        <w:rPr>
          <w:rFonts w:hint="eastAsia" w:ascii="仿宋" w:hAnsi="仿宋" w:eastAsia="仿宋" w:cs="仿宋"/>
          <w:snapToGrid w:val="0"/>
          <w:color w:val="000000"/>
          <w:szCs w:val="28"/>
        </w:rPr>
        <w:t>1.8  计量单位</w:t>
      </w:r>
      <w:bookmarkEnd w:id="146"/>
      <w:bookmarkEnd w:id="147"/>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705" w:firstLineChars="252"/>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所有计量均采用中华人民共和国法定计量单位。</w:t>
      </w:r>
    </w:p>
    <w:p>
      <w:pPr>
        <w:pStyle w:val="4"/>
        <w:snapToGrid w:val="0"/>
        <w:spacing w:line="360" w:lineRule="auto"/>
        <w:rPr>
          <w:rFonts w:ascii="仿宋" w:hAnsi="仿宋" w:eastAsia="仿宋" w:cs="仿宋"/>
          <w:snapToGrid w:val="0"/>
          <w:color w:val="000000"/>
          <w:szCs w:val="28"/>
        </w:rPr>
      </w:pPr>
      <w:bookmarkStart w:id="156" w:name="_Toc3925"/>
      <w:bookmarkStart w:id="157" w:name="_Toc421899231"/>
      <w:bookmarkStart w:id="158" w:name="_Toc200513136"/>
      <w:bookmarkStart w:id="159" w:name="_Toc470130558"/>
      <w:bookmarkStart w:id="160" w:name="_Toc366074411"/>
      <w:bookmarkStart w:id="161" w:name="_Toc14600"/>
      <w:bookmarkStart w:id="162" w:name="_Toc453"/>
      <w:bookmarkStart w:id="163" w:name="_Toc259797076"/>
      <w:bookmarkStart w:id="164" w:name="_Toc364411520"/>
      <w:bookmarkStart w:id="165" w:name="_Toc366074322"/>
      <w:r>
        <w:rPr>
          <w:rFonts w:hint="eastAsia" w:ascii="仿宋" w:hAnsi="仿宋" w:eastAsia="仿宋" w:cs="仿宋"/>
          <w:snapToGrid w:val="0"/>
          <w:color w:val="000000"/>
          <w:szCs w:val="28"/>
        </w:rPr>
        <w:t>1.9  踏勘现场</w:t>
      </w:r>
      <w:bookmarkEnd w:id="156"/>
      <w:bookmarkEnd w:id="157"/>
      <w:bookmarkEnd w:id="158"/>
      <w:bookmarkEnd w:id="159"/>
      <w:bookmarkEnd w:id="160"/>
      <w:bookmarkEnd w:id="161"/>
      <w:bookmarkEnd w:id="162"/>
      <w:bookmarkEnd w:id="163"/>
      <w:bookmarkEnd w:id="164"/>
      <w:bookmarkEnd w:id="165"/>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bookmarkStart w:id="166" w:name="_Toc200513137"/>
      <w:bookmarkStart w:id="167" w:name="_Toc259797077"/>
      <w:bookmarkStart w:id="168" w:name="_Toc364411521"/>
      <w:bookmarkStart w:id="169" w:name="_Toc421899232"/>
      <w:bookmarkStart w:id="170" w:name="_Toc26285"/>
      <w:bookmarkStart w:id="171" w:name="_Toc366074323"/>
      <w:bookmarkStart w:id="172" w:name="_Toc366074412"/>
      <w:bookmarkStart w:id="173" w:name="_Toc31739"/>
      <w:bookmarkStart w:id="174" w:name="_Toc13284"/>
      <w:r>
        <w:rPr>
          <w:rFonts w:hint="eastAsia" w:ascii="仿宋" w:hAnsi="仿宋" w:eastAsia="仿宋" w:cs="仿宋"/>
          <w:snapToGrid w:val="0"/>
          <w:color w:val="000000"/>
          <w:kern w:val="0"/>
          <w:sz w:val="28"/>
          <w:szCs w:val="28"/>
        </w:rPr>
        <w:t>1.9.1  投标人须知前附表规定组织踏勘现场的，询价人按投标人须知前附表规定的时间、 地点组织投标人踏勘项目现场。</w:t>
      </w:r>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1.9.2  投标人踏勘现场发生的费用自理。</w:t>
      </w:r>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1.9.3  除询价人的原因外，投标人自行负责在踏勘现场中所发生的人员伤亡和财产损失。</w:t>
      </w:r>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1.9.4  询价人在踏勘现场中介绍的工程场地和相关的周边环境情况，供投标人在编制投标文件时参考，询价人不对投标人据此做出的判断和决策负责。</w:t>
      </w:r>
    </w:p>
    <w:p>
      <w:pPr>
        <w:pStyle w:val="4"/>
        <w:snapToGrid w:val="0"/>
        <w:spacing w:line="360" w:lineRule="auto"/>
        <w:rPr>
          <w:rFonts w:ascii="仿宋" w:hAnsi="仿宋" w:eastAsia="仿宋" w:cs="仿宋"/>
          <w:snapToGrid w:val="0"/>
          <w:color w:val="000000"/>
          <w:szCs w:val="28"/>
        </w:rPr>
      </w:pPr>
      <w:bookmarkStart w:id="175" w:name="_Toc470130559"/>
      <w:r>
        <w:rPr>
          <w:rFonts w:hint="eastAsia" w:ascii="仿宋" w:hAnsi="仿宋" w:eastAsia="仿宋" w:cs="仿宋"/>
          <w:snapToGrid w:val="0"/>
          <w:color w:val="000000"/>
          <w:szCs w:val="28"/>
        </w:rPr>
        <w:t>1.10 投标预备会</w:t>
      </w:r>
      <w:bookmarkEnd w:id="166"/>
      <w:bookmarkEnd w:id="167"/>
      <w:bookmarkEnd w:id="168"/>
      <w:bookmarkEnd w:id="169"/>
      <w:bookmarkEnd w:id="170"/>
      <w:bookmarkEnd w:id="171"/>
      <w:bookmarkEnd w:id="172"/>
      <w:bookmarkEnd w:id="173"/>
      <w:bookmarkEnd w:id="174"/>
      <w:bookmarkEnd w:id="175"/>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不召开。</w:t>
      </w:r>
    </w:p>
    <w:p>
      <w:pPr>
        <w:pStyle w:val="4"/>
        <w:snapToGrid w:val="0"/>
        <w:spacing w:line="360" w:lineRule="auto"/>
        <w:rPr>
          <w:rFonts w:ascii="仿宋" w:hAnsi="仿宋" w:eastAsia="仿宋" w:cs="仿宋"/>
          <w:snapToGrid w:val="0"/>
          <w:color w:val="000000"/>
          <w:szCs w:val="28"/>
        </w:rPr>
      </w:pPr>
      <w:bookmarkStart w:id="176" w:name="_Toc200513138"/>
      <w:bookmarkStart w:id="177" w:name="_Toc259797078"/>
      <w:bookmarkStart w:id="178" w:name="_Toc470130560"/>
      <w:bookmarkStart w:id="179" w:name="_Toc18460"/>
      <w:bookmarkStart w:id="180" w:name="_Toc364411522"/>
      <w:bookmarkStart w:id="181" w:name="_Toc366074324"/>
      <w:bookmarkStart w:id="182" w:name="_Toc8709"/>
      <w:bookmarkStart w:id="183" w:name="_Toc421899233"/>
      <w:bookmarkStart w:id="184" w:name="_Toc366074413"/>
      <w:bookmarkStart w:id="185" w:name="_Toc18023"/>
      <w:r>
        <w:rPr>
          <w:rFonts w:hint="eastAsia" w:ascii="仿宋" w:hAnsi="仿宋" w:eastAsia="仿宋" w:cs="仿宋"/>
          <w:snapToGrid w:val="0"/>
          <w:color w:val="000000"/>
          <w:szCs w:val="28"/>
        </w:rPr>
        <w:t>1.11 分包</w:t>
      </w:r>
      <w:bookmarkEnd w:id="176"/>
      <w:bookmarkEnd w:id="177"/>
      <w:bookmarkEnd w:id="178"/>
      <w:bookmarkEnd w:id="179"/>
      <w:bookmarkEnd w:id="180"/>
      <w:bookmarkEnd w:id="181"/>
      <w:bookmarkEnd w:id="182"/>
      <w:bookmarkEnd w:id="183"/>
      <w:bookmarkEnd w:id="184"/>
      <w:bookmarkEnd w:id="18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186" w:name="_Toc200513139"/>
      <w:r>
        <w:rPr>
          <w:rFonts w:hint="eastAsia" w:ascii="仿宋" w:hAnsi="仿宋" w:eastAsia="仿宋" w:cs="仿宋"/>
          <w:snapToGrid w:val="0"/>
          <w:color w:val="000000"/>
          <w:kern w:val="0"/>
          <w:sz w:val="28"/>
          <w:szCs w:val="28"/>
        </w:rPr>
        <w:t>不分包。</w:t>
      </w:r>
    </w:p>
    <w:p>
      <w:pPr>
        <w:pStyle w:val="4"/>
        <w:snapToGrid w:val="0"/>
        <w:spacing w:line="360" w:lineRule="auto"/>
        <w:rPr>
          <w:rFonts w:ascii="仿宋" w:hAnsi="仿宋" w:eastAsia="仿宋" w:cs="仿宋"/>
          <w:snapToGrid w:val="0"/>
          <w:color w:val="000000"/>
          <w:szCs w:val="28"/>
        </w:rPr>
      </w:pPr>
      <w:bookmarkStart w:id="187" w:name="_Toc259797079"/>
      <w:bookmarkStart w:id="188" w:name="_Toc364411523"/>
      <w:bookmarkStart w:id="189" w:name="_Toc366074325"/>
      <w:bookmarkStart w:id="190" w:name="_Toc470130561"/>
      <w:bookmarkStart w:id="191" w:name="_Toc2221"/>
      <w:bookmarkStart w:id="192" w:name="_Toc15157"/>
      <w:bookmarkStart w:id="193" w:name="_Toc2902"/>
      <w:bookmarkStart w:id="194" w:name="_Toc421899234"/>
      <w:bookmarkStart w:id="195" w:name="_Toc366074414"/>
      <w:r>
        <w:rPr>
          <w:rFonts w:hint="eastAsia" w:ascii="仿宋" w:hAnsi="仿宋" w:eastAsia="仿宋" w:cs="仿宋"/>
          <w:snapToGrid w:val="0"/>
          <w:color w:val="000000"/>
          <w:szCs w:val="28"/>
        </w:rPr>
        <w:t>1.12 偏离</w:t>
      </w:r>
      <w:bookmarkEnd w:id="186"/>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560" w:firstLineChars="200"/>
        <w:jc w:val="left"/>
        <w:rPr>
          <w:rFonts w:ascii="仿宋" w:hAnsi="仿宋" w:eastAsia="仿宋" w:cs="仿宋"/>
          <w:snapToGrid w:val="0"/>
          <w:color w:val="000000"/>
          <w:sz w:val="28"/>
          <w:szCs w:val="28"/>
        </w:rPr>
      </w:pPr>
      <w:bookmarkStart w:id="196" w:name="_Toc200513140"/>
      <w:bookmarkStart w:id="197" w:name="_Toc259797080"/>
      <w:r>
        <w:rPr>
          <w:rFonts w:hint="eastAsia" w:ascii="仿宋" w:hAnsi="仿宋" w:eastAsia="仿宋" w:cs="仿宋"/>
          <w:snapToGrid w:val="0"/>
          <w:color w:val="000000"/>
          <w:kern w:val="0"/>
          <w:sz w:val="28"/>
          <w:szCs w:val="28"/>
        </w:rPr>
        <w:t>不偏离。</w:t>
      </w:r>
    </w:p>
    <w:p>
      <w:pPr>
        <w:pStyle w:val="3"/>
        <w:rPr>
          <w:rFonts w:ascii="仿宋" w:hAnsi="仿宋" w:eastAsia="仿宋" w:cs="仿宋"/>
          <w:snapToGrid w:val="0"/>
          <w:color w:val="000000"/>
          <w:spacing w:val="0"/>
          <w:sz w:val="28"/>
          <w:szCs w:val="28"/>
        </w:rPr>
      </w:pPr>
      <w:bookmarkStart w:id="198" w:name="_Toc470130562"/>
      <w:bookmarkStart w:id="199" w:name="_Toc421899235"/>
      <w:bookmarkStart w:id="200" w:name="_Toc364411335"/>
      <w:r>
        <w:rPr>
          <w:rFonts w:hint="eastAsia" w:ascii="仿宋" w:hAnsi="仿宋" w:eastAsia="仿宋" w:cs="仿宋"/>
          <w:snapToGrid w:val="0"/>
          <w:color w:val="000000"/>
          <w:spacing w:val="0"/>
          <w:sz w:val="28"/>
          <w:szCs w:val="28"/>
        </w:rPr>
        <w:t>2.  询价文件</w:t>
      </w:r>
      <w:bookmarkEnd w:id="196"/>
      <w:bookmarkEnd w:id="197"/>
      <w:bookmarkEnd w:id="198"/>
      <w:bookmarkEnd w:id="199"/>
      <w:bookmarkEnd w:id="200"/>
    </w:p>
    <w:p>
      <w:pPr>
        <w:pStyle w:val="4"/>
        <w:snapToGrid w:val="0"/>
        <w:spacing w:line="360" w:lineRule="auto"/>
        <w:rPr>
          <w:rFonts w:ascii="仿宋" w:hAnsi="仿宋" w:eastAsia="仿宋" w:cs="仿宋"/>
          <w:snapToGrid w:val="0"/>
          <w:color w:val="000000"/>
          <w:szCs w:val="28"/>
        </w:rPr>
      </w:pPr>
      <w:bookmarkStart w:id="201" w:name="_Toc200513141"/>
      <w:bookmarkStart w:id="202" w:name="_Toc11815"/>
      <w:bookmarkStart w:id="203" w:name="_Toc8591"/>
      <w:bookmarkStart w:id="204" w:name="_Toc421899236"/>
      <w:bookmarkStart w:id="205" w:name="_Toc364411525"/>
      <w:bookmarkStart w:id="206" w:name="_Toc470130563"/>
      <w:bookmarkStart w:id="207" w:name="_Toc259797081"/>
      <w:bookmarkStart w:id="208" w:name="_Toc366074327"/>
      <w:bookmarkStart w:id="209" w:name="_Toc366074416"/>
      <w:bookmarkStart w:id="210" w:name="_Toc26442"/>
      <w:r>
        <w:rPr>
          <w:rFonts w:hint="eastAsia" w:ascii="仿宋" w:hAnsi="仿宋" w:eastAsia="仿宋" w:cs="仿宋"/>
          <w:snapToGrid w:val="0"/>
          <w:color w:val="000000"/>
          <w:szCs w:val="28"/>
        </w:rPr>
        <w:t>2.1  询价文件的组成</w:t>
      </w:r>
      <w:bookmarkEnd w:id="201"/>
      <w:bookmarkEnd w:id="202"/>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left="359" w:leftChars="171"/>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本询价文件包括：</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（1）邀请书；</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（2）投标人须知；</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（3）评标办法；</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（4）合同条款及格式；</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（5）投标人须知前附表规定的其他材料。</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根据本章第2.2款和第2.3款对询价文件所作的澄清、修改，均为询价文件的组成部分。</w:t>
      </w:r>
    </w:p>
    <w:p>
      <w:pPr>
        <w:pStyle w:val="4"/>
        <w:snapToGrid w:val="0"/>
        <w:spacing w:line="360" w:lineRule="auto"/>
        <w:rPr>
          <w:rFonts w:ascii="仿宋" w:hAnsi="仿宋" w:eastAsia="仿宋" w:cs="仿宋"/>
          <w:snapToGrid w:val="0"/>
          <w:color w:val="000000"/>
          <w:szCs w:val="28"/>
        </w:rPr>
      </w:pPr>
      <w:bookmarkStart w:id="211" w:name="_Toc200513142"/>
      <w:bookmarkStart w:id="212" w:name="_Toc5250"/>
      <w:bookmarkStart w:id="213" w:name="_Toc259797082"/>
      <w:bookmarkStart w:id="214" w:name="_Toc28146"/>
      <w:bookmarkStart w:id="215" w:name="_Toc364411526"/>
      <w:bookmarkStart w:id="216" w:name="_Toc12123"/>
      <w:bookmarkStart w:id="217" w:name="_Toc470130564"/>
      <w:bookmarkStart w:id="218" w:name="_Toc366074328"/>
      <w:bookmarkStart w:id="219" w:name="_Toc366074417"/>
      <w:bookmarkStart w:id="220" w:name="_Toc421899237"/>
      <w:r>
        <w:rPr>
          <w:rFonts w:hint="eastAsia" w:ascii="仿宋" w:hAnsi="仿宋" w:eastAsia="仿宋" w:cs="仿宋"/>
          <w:snapToGrid w:val="0"/>
          <w:color w:val="000000"/>
          <w:szCs w:val="28"/>
        </w:rPr>
        <w:t>2.2  询价文件的澄清</w:t>
      </w:r>
      <w:bookmarkEnd w:id="211"/>
      <w:bookmarkEnd w:id="212"/>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2.2.1  投标人应仔细阅读和检查询价文件的全部内容。如发现附件不全，应及时向询价人提出，以便补齐。如有疑问，应在投标人须知前附表规定的时间和方式提出，要求询价人对询价文件予以澄清。</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2.2.2  询价文件的澄清将在投标人须知前附表规定的投标截止时间</w:t>
      </w:r>
      <w:r>
        <w:rPr>
          <w:rFonts w:ascii="仿宋" w:hAnsi="仿宋" w:eastAsia="仿宋" w:cs="仿宋"/>
          <w:snapToGrid w:val="0"/>
          <w:color w:val="000000"/>
          <w:kern w:val="0"/>
          <w:sz w:val="28"/>
          <w:szCs w:val="28"/>
        </w:rPr>
        <w:t>3</w:t>
      </w:r>
      <w:r>
        <w:rPr>
          <w:rFonts w:hint="eastAsia" w:ascii="仿宋" w:hAnsi="仿宋" w:eastAsia="仿宋" w:cs="仿宋"/>
          <w:snapToGrid w:val="0"/>
          <w:color w:val="000000"/>
          <w:kern w:val="0"/>
          <w:sz w:val="28"/>
          <w:szCs w:val="28"/>
        </w:rPr>
        <w:t>天前以规定方式发给潜在的投标人，但不指明澄清问题的来源。如果澄清发出的时间距投标截止时间不足</w:t>
      </w:r>
      <w:r>
        <w:rPr>
          <w:rFonts w:ascii="仿宋" w:hAnsi="仿宋" w:eastAsia="仿宋" w:cs="仿宋"/>
          <w:snapToGrid w:val="0"/>
          <w:color w:val="000000"/>
          <w:kern w:val="0"/>
          <w:sz w:val="28"/>
          <w:szCs w:val="28"/>
        </w:rPr>
        <w:t>3</w:t>
      </w:r>
      <w:r>
        <w:rPr>
          <w:rFonts w:hint="eastAsia" w:ascii="仿宋" w:hAnsi="仿宋" w:eastAsia="仿宋" w:cs="仿宋"/>
          <w:snapToGrid w:val="0"/>
          <w:color w:val="000000"/>
          <w:kern w:val="0"/>
          <w:sz w:val="28"/>
          <w:szCs w:val="28"/>
        </w:rPr>
        <w:t>天，相应延长投标截止时间。</w:t>
      </w:r>
    </w:p>
    <w:p>
      <w:pPr>
        <w:pStyle w:val="4"/>
        <w:snapToGrid w:val="0"/>
        <w:spacing w:line="360" w:lineRule="auto"/>
        <w:rPr>
          <w:rFonts w:ascii="仿宋" w:hAnsi="仿宋" w:eastAsia="仿宋" w:cs="仿宋"/>
          <w:snapToGrid w:val="0"/>
          <w:color w:val="000000"/>
          <w:szCs w:val="28"/>
        </w:rPr>
      </w:pPr>
      <w:bookmarkStart w:id="221" w:name="_Toc259797083"/>
      <w:bookmarkStart w:id="222" w:name="_Toc13304"/>
      <w:bookmarkStart w:id="223" w:name="_Toc13061"/>
      <w:bookmarkStart w:id="224" w:name="_Toc18284"/>
      <w:bookmarkStart w:id="225" w:name="_Toc200513143"/>
      <w:bookmarkStart w:id="226" w:name="_Toc470130565"/>
      <w:bookmarkStart w:id="227" w:name="_Toc366074329"/>
      <w:bookmarkStart w:id="228" w:name="_Toc366074418"/>
      <w:bookmarkStart w:id="229" w:name="_Toc364411527"/>
      <w:bookmarkStart w:id="230" w:name="_Toc421899238"/>
      <w:r>
        <w:rPr>
          <w:rFonts w:hint="eastAsia" w:ascii="仿宋" w:hAnsi="仿宋" w:eastAsia="仿宋" w:cs="仿宋"/>
          <w:snapToGrid w:val="0"/>
          <w:color w:val="000000"/>
          <w:szCs w:val="28"/>
        </w:rPr>
        <w:t>2.3  询价文件的修改</w:t>
      </w:r>
      <w:bookmarkEnd w:id="221"/>
      <w:bookmarkEnd w:id="222"/>
      <w:bookmarkEnd w:id="223"/>
      <w:bookmarkEnd w:id="224"/>
      <w:bookmarkEnd w:id="225"/>
      <w:bookmarkEnd w:id="226"/>
      <w:bookmarkEnd w:id="227"/>
      <w:bookmarkEnd w:id="228"/>
      <w:bookmarkEnd w:id="229"/>
      <w:bookmarkEnd w:id="230"/>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position w:val="-2"/>
          <w:sz w:val="28"/>
          <w:szCs w:val="28"/>
        </w:rPr>
      </w:pPr>
      <w:r>
        <w:rPr>
          <w:rFonts w:hint="eastAsia" w:ascii="仿宋" w:hAnsi="仿宋" w:eastAsia="仿宋" w:cs="仿宋"/>
          <w:snapToGrid w:val="0"/>
          <w:color w:val="000000"/>
          <w:kern w:val="0"/>
          <w:sz w:val="28"/>
          <w:szCs w:val="28"/>
        </w:rPr>
        <w:t>2.3.1  在投标截止时间</w:t>
      </w:r>
      <w:r>
        <w:rPr>
          <w:rFonts w:ascii="仿宋" w:hAnsi="仿宋" w:eastAsia="仿宋" w:cs="仿宋"/>
          <w:snapToGrid w:val="0"/>
          <w:color w:val="000000"/>
          <w:kern w:val="0"/>
          <w:sz w:val="28"/>
          <w:szCs w:val="28"/>
        </w:rPr>
        <w:t>2</w:t>
      </w:r>
      <w:r>
        <w:rPr>
          <w:rFonts w:hint="eastAsia" w:ascii="仿宋" w:hAnsi="仿宋" w:eastAsia="仿宋" w:cs="仿宋"/>
          <w:snapToGrid w:val="0"/>
          <w:color w:val="000000"/>
          <w:kern w:val="0"/>
          <w:sz w:val="28"/>
          <w:szCs w:val="28"/>
        </w:rPr>
        <w:t>天前，询价人可以修改询价文件，并按前附表规定的时间和方式发出。如果修改询价文件的时间距投标截止时间不足</w:t>
      </w:r>
      <w:r>
        <w:rPr>
          <w:rFonts w:ascii="仿宋" w:hAnsi="仿宋" w:eastAsia="仿宋" w:cs="仿宋"/>
          <w:snapToGrid w:val="0"/>
          <w:color w:val="000000"/>
          <w:kern w:val="0"/>
          <w:sz w:val="28"/>
          <w:szCs w:val="28"/>
        </w:rPr>
        <w:t>2</w:t>
      </w:r>
      <w:r>
        <w:rPr>
          <w:rFonts w:hint="eastAsia" w:ascii="仿宋" w:hAnsi="仿宋" w:eastAsia="仿宋" w:cs="仿宋"/>
          <w:snapToGrid w:val="0"/>
          <w:color w:val="000000"/>
          <w:kern w:val="0"/>
          <w:sz w:val="28"/>
          <w:szCs w:val="28"/>
        </w:rPr>
        <w:t>天，相应延长投标截</w:t>
      </w:r>
      <w:r>
        <w:rPr>
          <w:rFonts w:hint="eastAsia" w:ascii="仿宋" w:hAnsi="仿宋" w:eastAsia="仿宋" w:cs="仿宋"/>
          <w:snapToGrid w:val="0"/>
          <w:color w:val="000000"/>
          <w:kern w:val="0"/>
          <w:position w:val="-2"/>
          <w:sz w:val="28"/>
          <w:szCs w:val="28"/>
        </w:rPr>
        <w:t xml:space="preserve">止时间。 </w:t>
      </w:r>
    </w:p>
    <w:p>
      <w:pPr>
        <w:pStyle w:val="3"/>
        <w:rPr>
          <w:rFonts w:ascii="仿宋" w:hAnsi="仿宋" w:eastAsia="仿宋" w:cs="仿宋"/>
          <w:snapToGrid w:val="0"/>
          <w:color w:val="000000"/>
          <w:spacing w:val="0"/>
          <w:sz w:val="28"/>
          <w:szCs w:val="28"/>
        </w:rPr>
      </w:pPr>
      <w:bookmarkStart w:id="231" w:name="_Toc200513144"/>
      <w:bookmarkStart w:id="232" w:name="_Toc421899239"/>
      <w:bookmarkStart w:id="233" w:name="_Toc470130566"/>
      <w:bookmarkStart w:id="234" w:name="_Toc259797084"/>
      <w:bookmarkStart w:id="235" w:name="_Toc364411336"/>
      <w:r>
        <w:rPr>
          <w:rFonts w:hint="eastAsia" w:ascii="仿宋" w:hAnsi="仿宋" w:eastAsia="仿宋" w:cs="仿宋"/>
          <w:snapToGrid w:val="0"/>
          <w:color w:val="000000"/>
          <w:spacing w:val="0"/>
          <w:sz w:val="28"/>
          <w:szCs w:val="28"/>
        </w:rPr>
        <w:t>3.  投标文件</w:t>
      </w:r>
      <w:bookmarkEnd w:id="231"/>
      <w:bookmarkEnd w:id="232"/>
      <w:bookmarkEnd w:id="233"/>
      <w:bookmarkEnd w:id="234"/>
      <w:bookmarkEnd w:id="23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236" w:name="_Toc470130567"/>
      <w:bookmarkStart w:id="237" w:name="_Toc366074331"/>
      <w:bookmarkStart w:id="238" w:name="_Toc200513145"/>
      <w:bookmarkStart w:id="239" w:name="_Toc364411529"/>
      <w:bookmarkStart w:id="240" w:name="_Toc366074420"/>
      <w:bookmarkStart w:id="241" w:name="_Toc28567"/>
      <w:bookmarkStart w:id="242" w:name="_Toc15134"/>
      <w:bookmarkStart w:id="243" w:name="_Toc259797085"/>
      <w:bookmarkStart w:id="244" w:name="_Toc1126"/>
      <w:bookmarkStart w:id="245" w:name="_Toc421899240"/>
      <w:r>
        <w:rPr>
          <w:rFonts w:hint="eastAsia" w:ascii="仿宋" w:hAnsi="仿宋" w:eastAsia="仿宋" w:cs="仿宋"/>
          <w:bCs/>
          <w:snapToGrid w:val="0"/>
          <w:color w:val="000000"/>
          <w:sz w:val="28"/>
          <w:szCs w:val="28"/>
        </w:rPr>
        <w:t>3</w:t>
      </w:r>
      <w:r>
        <w:rPr>
          <w:rFonts w:hint="eastAsia" w:ascii="仿宋" w:hAnsi="仿宋" w:eastAsia="仿宋" w:cs="仿宋"/>
          <w:bCs/>
          <w:snapToGrid w:val="0"/>
          <w:color w:val="000000"/>
          <w:kern w:val="0"/>
          <w:sz w:val="28"/>
          <w:szCs w:val="28"/>
        </w:rPr>
        <w:t xml:space="preserve">.1 </w:t>
      </w:r>
      <w:r>
        <w:rPr>
          <w:rFonts w:hint="eastAsia" w:ascii="仿宋" w:hAnsi="仿宋" w:eastAsia="仿宋" w:cs="仿宋"/>
          <w:snapToGrid w:val="0"/>
          <w:color w:val="000000"/>
          <w:kern w:val="0"/>
          <w:sz w:val="28"/>
          <w:szCs w:val="28"/>
        </w:rPr>
        <w:t xml:space="preserve"> 投标文件的组成</w:t>
      </w:r>
      <w:bookmarkEnd w:id="236"/>
      <w:bookmarkEnd w:id="237"/>
      <w:bookmarkEnd w:id="238"/>
      <w:bookmarkEnd w:id="239"/>
      <w:bookmarkEnd w:id="240"/>
      <w:bookmarkEnd w:id="241"/>
      <w:bookmarkEnd w:id="242"/>
      <w:bookmarkEnd w:id="243"/>
      <w:bookmarkEnd w:id="244"/>
      <w:bookmarkEnd w:id="24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246" w:name="_Toc259797086"/>
      <w:bookmarkStart w:id="247" w:name="_Toc200513146"/>
      <w:bookmarkStart w:id="248" w:name="_Toc366074421"/>
      <w:bookmarkStart w:id="249" w:name="_Toc366074332"/>
      <w:bookmarkStart w:id="250" w:name="_Toc364411530"/>
      <w:bookmarkStart w:id="251" w:name="_Toc25246"/>
      <w:r>
        <w:rPr>
          <w:rFonts w:hint="eastAsia" w:ascii="仿宋" w:hAnsi="仿宋" w:eastAsia="仿宋" w:cs="仿宋"/>
          <w:snapToGrid w:val="0"/>
          <w:color w:val="000000"/>
          <w:kern w:val="0"/>
          <w:sz w:val="28"/>
          <w:szCs w:val="28"/>
        </w:rPr>
        <w:t>3.1.1 投标文件应包括下列内容：</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（1）投标函及投标函附录；</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（2）法定代表人身份证明或授权委托书；</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（3）项目管理机构；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（4）资格审查资料；</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（5）其他材料。</w:t>
      </w:r>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252" w:name="_Toc19281"/>
      <w:bookmarkStart w:id="253" w:name="_Toc470130568"/>
      <w:bookmarkStart w:id="254" w:name="_Toc7840"/>
      <w:bookmarkStart w:id="255" w:name="_Toc421899241"/>
      <w:r>
        <w:rPr>
          <w:rFonts w:hint="eastAsia" w:ascii="仿宋" w:hAnsi="仿宋" w:eastAsia="仿宋" w:cs="仿宋"/>
          <w:b/>
          <w:bCs/>
          <w:snapToGrid w:val="0"/>
          <w:color w:val="000000"/>
          <w:kern w:val="0"/>
          <w:sz w:val="28"/>
          <w:szCs w:val="28"/>
        </w:rPr>
        <w:t>3.2  投标报价</w:t>
      </w:r>
      <w:bookmarkEnd w:id="246"/>
      <w:bookmarkEnd w:id="247"/>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256" w:name="_Toc200513147"/>
      <w:r>
        <w:rPr>
          <w:rFonts w:hint="eastAsia" w:ascii="仿宋" w:hAnsi="仿宋" w:eastAsia="仿宋" w:cs="仿宋"/>
          <w:snapToGrid w:val="0"/>
          <w:color w:val="000000"/>
          <w:kern w:val="0"/>
          <w:sz w:val="28"/>
          <w:szCs w:val="28"/>
        </w:rPr>
        <w:t>见投标人须知前附表。</w:t>
      </w:r>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257" w:name="_Toc254711924"/>
      <w:bookmarkStart w:id="258" w:name="_Toc259797087"/>
      <w:bookmarkStart w:id="259" w:name="_Toc364411531"/>
      <w:bookmarkStart w:id="260" w:name="_Toc366074422"/>
      <w:bookmarkStart w:id="261" w:name="_Toc13298"/>
      <w:bookmarkStart w:id="262" w:name="_Toc366074333"/>
      <w:bookmarkStart w:id="263" w:name="_Toc421899242"/>
      <w:bookmarkStart w:id="264" w:name="_Toc11076"/>
      <w:bookmarkStart w:id="265" w:name="_Toc470130569"/>
      <w:bookmarkStart w:id="266" w:name="_Toc4475"/>
      <w:r>
        <w:rPr>
          <w:rFonts w:hint="eastAsia" w:ascii="仿宋" w:hAnsi="仿宋" w:eastAsia="仿宋" w:cs="仿宋"/>
          <w:b/>
          <w:bCs/>
          <w:snapToGrid w:val="0"/>
          <w:color w:val="000000"/>
          <w:kern w:val="0"/>
          <w:sz w:val="28"/>
          <w:szCs w:val="28"/>
        </w:rPr>
        <w:t>3.3  投标有效期</w:t>
      </w:r>
      <w:bookmarkEnd w:id="256"/>
      <w:bookmarkEnd w:id="257"/>
      <w:bookmarkEnd w:id="258"/>
      <w:bookmarkEnd w:id="259"/>
      <w:bookmarkEnd w:id="260"/>
      <w:bookmarkEnd w:id="261"/>
      <w:bookmarkEnd w:id="262"/>
      <w:bookmarkEnd w:id="263"/>
      <w:bookmarkEnd w:id="264"/>
      <w:bookmarkEnd w:id="265"/>
      <w:bookmarkEnd w:id="266"/>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3.3.1  在投标人须知前附表规定的投标有效期内，投标人不得要求撤销或修改其投标文件。</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3.3.2  出现特殊情况需要延长投标有效期的，询价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60" w:lineRule="auto"/>
        <w:rPr>
          <w:rFonts w:ascii="仿宋" w:hAnsi="仿宋" w:eastAsia="仿宋" w:cs="仿宋"/>
          <w:b/>
          <w:bCs/>
          <w:color w:val="000000"/>
          <w:sz w:val="28"/>
          <w:szCs w:val="28"/>
        </w:rPr>
      </w:pPr>
      <w:bookmarkStart w:id="267" w:name="_Toc30379"/>
      <w:bookmarkStart w:id="268" w:name="_Toc366074335"/>
      <w:bookmarkStart w:id="269" w:name="_Toc366074424"/>
      <w:bookmarkStart w:id="270" w:name="_Toc254711930"/>
      <w:bookmarkStart w:id="271" w:name="_Toc9328"/>
      <w:bookmarkStart w:id="272" w:name="_Toc421899244"/>
      <w:bookmarkStart w:id="273" w:name="_Toc470130571"/>
      <w:bookmarkStart w:id="274" w:name="_Toc8974"/>
      <w:bookmarkStart w:id="275" w:name="_Toc364411533"/>
      <w:bookmarkStart w:id="276" w:name="_Toc259797089"/>
      <w:bookmarkStart w:id="277" w:name="_Toc200513150"/>
      <w:r>
        <w:rPr>
          <w:rFonts w:hint="eastAsia" w:ascii="仿宋" w:hAnsi="仿宋" w:eastAsia="仿宋" w:cs="仿宋"/>
          <w:b/>
          <w:bCs/>
          <w:color w:val="000000"/>
          <w:sz w:val="28"/>
          <w:szCs w:val="28"/>
        </w:rPr>
        <w:t>3.4 资格审查资料</w:t>
      </w:r>
      <w:bookmarkEnd w:id="267"/>
      <w:bookmarkEnd w:id="268"/>
      <w:bookmarkEnd w:id="269"/>
      <w:bookmarkEnd w:id="270"/>
      <w:bookmarkEnd w:id="271"/>
      <w:bookmarkEnd w:id="272"/>
      <w:bookmarkEnd w:id="273"/>
      <w:bookmarkEnd w:id="274"/>
      <w:bookmarkEnd w:id="275"/>
      <w:bookmarkEnd w:id="276"/>
    </w:p>
    <w:bookmarkEnd w:id="277"/>
    <w:p>
      <w:pPr>
        <w:spacing w:line="360" w:lineRule="auto"/>
        <w:ind w:firstLine="560" w:firstLineChars="200"/>
        <w:rPr>
          <w:rFonts w:ascii="仿宋" w:hAnsi="仿宋" w:eastAsia="仿宋" w:cs="仿宋"/>
          <w:color w:val="000000"/>
          <w:sz w:val="28"/>
          <w:szCs w:val="28"/>
        </w:rPr>
      </w:pPr>
      <w:bookmarkStart w:id="278" w:name="_Toc200513151"/>
      <w:bookmarkStart w:id="279" w:name="_Toc366074336"/>
      <w:bookmarkStart w:id="280" w:name="_Toc366074425"/>
      <w:bookmarkStart w:id="281" w:name="_Toc259797090"/>
      <w:bookmarkStart w:id="282" w:name="_Toc254711937"/>
      <w:bookmarkStart w:id="283" w:name="_Toc16812"/>
      <w:bookmarkStart w:id="284" w:name="_Toc364411534"/>
      <w:r>
        <w:rPr>
          <w:rFonts w:hint="eastAsia" w:ascii="仿宋" w:hAnsi="仿宋" w:eastAsia="仿宋" w:cs="仿宋"/>
          <w:color w:val="000000"/>
          <w:sz w:val="28"/>
          <w:szCs w:val="28"/>
        </w:rPr>
        <w:t>详见投标人须知前附表。</w:t>
      </w:r>
    </w:p>
    <w:p>
      <w:pPr>
        <w:spacing w:line="360" w:lineRule="auto"/>
        <w:rPr>
          <w:rFonts w:ascii="仿宋" w:hAnsi="仿宋" w:eastAsia="仿宋" w:cs="仿宋"/>
          <w:b/>
          <w:bCs/>
          <w:color w:val="000000"/>
          <w:sz w:val="28"/>
          <w:szCs w:val="28"/>
        </w:rPr>
      </w:pPr>
      <w:bookmarkStart w:id="285" w:name="_Toc421899245"/>
      <w:bookmarkStart w:id="286" w:name="_Toc12253"/>
      <w:bookmarkStart w:id="287" w:name="_Toc470130572"/>
      <w:bookmarkStart w:id="288" w:name="_Toc29229"/>
      <w:r>
        <w:rPr>
          <w:rFonts w:hint="eastAsia" w:ascii="仿宋" w:hAnsi="仿宋" w:eastAsia="仿宋" w:cs="仿宋"/>
          <w:b/>
          <w:bCs/>
          <w:color w:val="000000"/>
          <w:sz w:val="28"/>
          <w:szCs w:val="28"/>
        </w:rPr>
        <w:t>3.5  备选投标方案</w:t>
      </w:r>
      <w:bookmarkEnd w:id="278"/>
      <w:bookmarkEnd w:id="279"/>
      <w:bookmarkEnd w:id="280"/>
      <w:bookmarkEnd w:id="281"/>
      <w:bookmarkEnd w:id="282"/>
      <w:bookmarkEnd w:id="283"/>
      <w:bookmarkEnd w:id="284"/>
      <w:bookmarkEnd w:id="285"/>
      <w:bookmarkEnd w:id="286"/>
      <w:bookmarkEnd w:id="287"/>
      <w:bookmarkEnd w:id="288"/>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不允许。</w:t>
      </w:r>
    </w:p>
    <w:p>
      <w:pPr>
        <w:spacing w:line="360" w:lineRule="auto"/>
        <w:rPr>
          <w:rFonts w:ascii="仿宋" w:hAnsi="仿宋" w:eastAsia="仿宋" w:cs="仿宋"/>
          <w:b/>
          <w:bCs/>
          <w:color w:val="000000"/>
          <w:sz w:val="28"/>
          <w:szCs w:val="28"/>
        </w:rPr>
      </w:pPr>
      <w:bookmarkStart w:id="289" w:name="_Toc16647"/>
      <w:bookmarkStart w:id="290" w:name="_Toc421899246"/>
      <w:bookmarkStart w:id="291" w:name="_Toc364411535"/>
      <w:bookmarkStart w:id="292" w:name="_Toc366074337"/>
      <w:bookmarkStart w:id="293" w:name="_Toc259797091"/>
      <w:bookmarkStart w:id="294" w:name="_Toc18373"/>
      <w:bookmarkStart w:id="295" w:name="_Toc200513152"/>
      <w:bookmarkStart w:id="296" w:name="_Toc254711938"/>
      <w:bookmarkStart w:id="297" w:name="_Toc470130573"/>
      <w:bookmarkStart w:id="298" w:name="_Toc366074426"/>
      <w:bookmarkStart w:id="299" w:name="_Toc7492"/>
      <w:r>
        <w:rPr>
          <w:rFonts w:hint="eastAsia" w:ascii="仿宋" w:hAnsi="仿宋" w:eastAsia="仿宋" w:cs="仿宋"/>
          <w:b/>
          <w:bCs/>
          <w:color w:val="000000"/>
          <w:sz w:val="28"/>
          <w:szCs w:val="28"/>
        </w:rPr>
        <w:t>3.6  投标文件的编制</w:t>
      </w:r>
      <w:bookmarkEnd w:id="289"/>
      <w:bookmarkEnd w:id="290"/>
      <w:bookmarkEnd w:id="291"/>
      <w:bookmarkEnd w:id="292"/>
      <w:bookmarkEnd w:id="293"/>
      <w:bookmarkEnd w:id="294"/>
      <w:bookmarkEnd w:id="295"/>
      <w:bookmarkEnd w:id="296"/>
      <w:bookmarkEnd w:id="297"/>
      <w:bookmarkEnd w:id="298"/>
      <w:bookmarkEnd w:id="299"/>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3.6.1 投标文件应按第五章“投标文件格式”进行编写，如有必要，可以增加附页，作为投标文件的组成部分，投标人提供的证明材料的复印件必须清晰可辩。其中，投标函附录在满足询价文件实质性要求的基础上，可以提出比询价文件要求更有利于询价人的承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3.6.2 投标文件应当对询价文件有关工期、投标有效期、质量要求、技术标准和要求、 询价范围等实质性内容做出响应。</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3.6.3 投标文件应用不褪色的材料书写或打印，投标文件的内容应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3.6.4 中标人在中标后需将投标文件纸质版一式两份交由询价人存档。</w:t>
      </w:r>
    </w:p>
    <w:p>
      <w:pPr>
        <w:pStyle w:val="3"/>
        <w:jc w:val="both"/>
        <w:rPr>
          <w:rFonts w:ascii="仿宋" w:hAnsi="仿宋" w:eastAsia="仿宋" w:cs="仿宋"/>
          <w:snapToGrid w:val="0"/>
          <w:color w:val="000000"/>
          <w:spacing w:val="0"/>
          <w:sz w:val="28"/>
          <w:szCs w:val="28"/>
        </w:rPr>
      </w:pPr>
      <w:bookmarkStart w:id="300" w:name="_Toc259797092"/>
      <w:bookmarkStart w:id="301" w:name="_Toc470130574"/>
      <w:bookmarkStart w:id="302" w:name="_Toc421899247"/>
      <w:bookmarkStart w:id="303" w:name="_Toc200513153"/>
      <w:bookmarkStart w:id="304" w:name="_Toc364411337"/>
      <w:r>
        <w:rPr>
          <w:rFonts w:hint="eastAsia" w:ascii="仿宋" w:hAnsi="仿宋" w:eastAsia="仿宋" w:cs="仿宋"/>
          <w:snapToGrid w:val="0"/>
          <w:color w:val="000000"/>
          <w:spacing w:val="0"/>
          <w:sz w:val="28"/>
          <w:szCs w:val="28"/>
        </w:rPr>
        <w:t>4.  投标</w:t>
      </w:r>
      <w:bookmarkEnd w:id="300"/>
      <w:bookmarkEnd w:id="301"/>
      <w:bookmarkEnd w:id="302"/>
      <w:bookmarkEnd w:id="303"/>
      <w:bookmarkEnd w:id="304"/>
    </w:p>
    <w:p>
      <w:pPr>
        <w:pStyle w:val="4"/>
        <w:snapToGrid w:val="0"/>
        <w:spacing w:line="360" w:lineRule="auto"/>
        <w:rPr>
          <w:rFonts w:ascii="仿宋" w:hAnsi="仿宋" w:eastAsia="仿宋" w:cs="仿宋"/>
          <w:snapToGrid w:val="0"/>
          <w:color w:val="000000"/>
          <w:szCs w:val="28"/>
        </w:rPr>
      </w:pPr>
      <w:bookmarkStart w:id="305" w:name="_Toc366074339"/>
      <w:bookmarkStart w:id="306" w:name="_Toc200513154"/>
      <w:bookmarkStart w:id="307" w:name="_Toc364411537"/>
      <w:bookmarkStart w:id="308" w:name="_Toc14532"/>
      <w:bookmarkStart w:id="309" w:name="_Toc19374"/>
      <w:bookmarkStart w:id="310" w:name="_Toc20008"/>
      <w:bookmarkStart w:id="311" w:name="_Toc259797093"/>
      <w:bookmarkStart w:id="312" w:name="_Toc366074428"/>
      <w:bookmarkStart w:id="313" w:name="_Toc421899248"/>
      <w:bookmarkStart w:id="314" w:name="_Toc470130575"/>
      <w:r>
        <w:rPr>
          <w:rFonts w:hint="eastAsia" w:ascii="仿宋" w:hAnsi="仿宋" w:eastAsia="仿宋" w:cs="仿宋"/>
          <w:snapToGrid w:val="0"/>
          <w:color w:val="000000"/>
          <w:szCs w:val="28"/>
        </w:rPr>
        <w:t>4.1  投标文件的密封和标记</w:t>
      </w:r>
      <w:bookmarkEnd w:id="305"/>
      <w:bookmarkEnd w:id="306"/>
      <w:bookmarkEnd w:id="307"/>
      <w:bookmarkEnd w:id="308"/>
      <w:bookmarkEnd w:id="309"/>
      <w:bookmarkEnd w:id="310"/>
      <w:bookmarkEnd w:id="311"/>
      <w:bookmarkEnd w:id="312"/>
      <w:bookmarkEnd w:id="313"/>
      <w:bookmarkEnd w:id="314"/>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315" w:name="_Toc200513155"/>
      <w:r>
        <w:rPr>
          <w:rFonts w:hint="eastAsia" w:ascii="仿宋" w:hAnsi="仿宋" w:eastAsia="仿宋" w:cs="仿宋"/>
          <w:snapToGrid w:val="0"/>
          <w:color w:val="000000"/>
          <w:kern w:val="0"/>
          <w:sz w:val="28"/>
          <w:szCs w:val="28"/>
        </w:rPr>
        <w:t>4.1.1  投标文件的密封见投标人须知前附表。</w:t>
      </w:r>
    </w:p>
    <w:p>
      <w:pPr>
        <w:autoSpaceDE w:val="0"/>
        <w:autoSpaceDN w:val="0"/>
        <w:adjustRightInd w:val="0"/>
        <w:snapToGrid w:val="0"/>
        <w:spacing w:line="360" w:lineRule="auto"/>
        <w:ind w:left="559" w:leftChars="266"/>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4.1.2  投标文件的封套上应写明的内容见投标人须知前附表。4.1.3  未按本章第 4.1.1 项或第 4.1.2 项要求密封和加写标</w:t>
      </w:r>
    </w:p>
    <w:p>
      <w:pPr>
        <w:autoSpaceDE w:val="0"/>
        <w:autoSpaceDN w:val="0"/>
        <w:adjustRightInd w:val="0"/>
        <w:snapToGrid w:val="0"/>
        <w:spacing w:line="360" w:lineRule="auto"/>
        <w:jc w:val="left"/>
        <w:rPr>
          <w:rFonts w:ascii="仿宋" w:hAnsi="仿宋" w:eastAsia="仿宋" w:cs="仿宋"/>
          <w:b/>
          <w:snapToGrid w:val="0"/>
          <w:color w:val="000000"/>
          <w:sz w:val="28"/>
          <w:szCs w:val="28"/>
        </w:rPr>
      </w:pPr>
      <w:r>
        <w:rPr>
          <w:rFonts w:hint="eastAsia" w:ascii="仿宋" w:hAnsi="仿宋" w:eastAsia="仿宋" w:cs="仿宋"/>
          <w:snapToGrid w:val="0"/>
          <w:color w:val="000000"/>
          <w:kern w:val="0"/>
          <w:sz w:val="28"/>
          <w:szCs w:val="28"/>
        </w:rPr>
        <w:t>记的投标文件，</w:t>
      </w:r>
      <w:r>
        <w:rPr>
          <w:rFonts w:hint="eastAsia" w:ascii="仿宋" w:hAnsi="仿宋" w:eastAsia="仿宋" w:cs="仿宋"/>
          <w:snapToGrid w:val="0"/>
          <w:kern w:val="0"/>
          <w:sz w:val="28"/>
          <w:szCs w:val="28"/>
        </w:rPr>
        <w:t>询价人不予受理</w:t>
      </w:r>
      <w:r>
        <w:rPr>
          <w:rFonts w:hint="eastAsia" w:ascii="仿宋" w:hAnsi="仿宋" w:eastAsia="仿宋" w:cs="仿宋"/>
          <w:snapToGrid w:val="0"/>
          <w:color w:val="000000"/>
          <w:kern w:val="0"/>
          <w:sz w:val="28"/>
          <w:szCs w:val="28"/>
        </w:rPr>
        <w:t>。</w:t>
      </w:r>
    </w:p>
    <w:p>
      <w:pPr>
        <w:pStyle w:val="4"/>
        <w:snapToGrid w:val="0"/>
        <w:spacing w:line="360" w:lineRule="auto"/>
        <w:rPr>
          <w:rFonts w:ascii="仿宋" w:hAnsi="仿宋" w:eastAsia="仿宋" w:cs="仿宋"/>
          <w:snapToGrid w:val="0"/>
          <w:color w:val="000000"/>
          <w:szCs w:val="28"/>
        </w:rPr>
      </w:pPr>
      <w:bookmarkStart w:id="316" w:name="_Toc2448"/>
      <w:bookmarkStart w:id="317" w:name="_Toc259797094"/>
      <w:bookmarkStart w:id="318" w:name="_Toc366074340"/>
      <w:bookmarkStart w:id="319" w:name="_Toc366074429"/>
      <w:bookmarkStart w:id="320" w:name="_Toc364411538"/>
      <w:bookmarkStart w:id="321" w:name="_Toc4712"/>
      <w:bookmarkStart w:id="322" w:name="_Toc470130576"/>
      <w:bookmarkStart w:id="323" w:name="_Toc25191"/>
      <w:bookmarkStart w:id="324" w:name="_Toc421899249"/>
      <w:r>
        <w:rPr>
          <w:rFonts w:hint="eastAsia" w:ascii="仿宋" w:hAnsi="仿宋" w:eastAsia="仿宋" w:cs="仿宋"/>
          <w:snapToGrid w:val="0"/>
          <w:color w:val="000000"/>
          <w:szCs w:val="28"/>
        </w:rPr>
        <w:t>4.2  投标文件的递交</w:t>
      </w:r>
      <w:bookmarkEnd w:id="315"/>
      <w:bookmarkEnd w:id="316"/>
      <w:bookmarkEnd w:id="317"/>
      <w:bookmarkEnd w:id="318"/>
      <w:bookmarkEnd w:id="319"/>
      <w:bookmarkEnd w:id="320"/>
      <w:bookmarkEnd w:id="321"/>
      <w:bookmarkEnd w:id="322"/>
      <w:bookmarkEnd w:id="323"/>
      <w:bookmarkEnd w:id="324"/>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4.2.1  投标人应在本章第 2.2.2 项规定的投标截止时间前递交</w:t>
      </w:r>
    </w:p>
    <w:p>
      <w:pPr>
        <w:autoSpaceDE w:val="0"/>
        <w:autoSpaceDN w:val="0"/>
        <w:adjustRightInd w:val="0"/>
        <w:snapToGrid w:val="0"/>
        <w:spacing w:line="360" w:lineRule="auto"/>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投标文件。</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4.2.2  投标人递交投标文件的地点：见投标人须知前附表。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4.2.3  除投标人须知前附表另有规定外，投标人所递交的投标文</w:t>
      </w:r>
    </w:p>
    <w:p>
      <w:pPr>
        <w:autoSpaceDE w:val="0"/>
        <w:autoSpaceDN w:val="0"/>
        <w:adjustRightInd w:val="0"/>
        <w:snapToGrid w:val="0"/>
        <w:spacing w:line="360" w:lineRule="auto"/>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件不予退还。</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4.2.4  询价人收到投标文件后，向投标人出具签收凭证。</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4.2.5  逾期送达的或者未送达指定地点的投标文件，询价人不予受理。</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4.2.6  在特殊情况下，询价人如果决定延后投标截止时间，应在投标人须知前附表规定的时间前，以书面形式通知所有投标人延后投标截止时间。在此情况下，询价人和投标人的权利和义务相应延后至新的投标截止时间。</w:t>
      </w:r>
    </w:p>
    <w:p>
      <w:pPr>
        <w:pStyle w:val="4"/>
        <w:snapToGrid w:val="0"/>
        <w:spacing w:line="360" w:lineRule="auto"/>
        <w:rPr>
          <w:rFonts w:ascii="仿宋" w:hAnsi="仿宋" w:eastAsia="仿宋" w:cs="仿宋"/>
          <w:snapToGrid w:val="0"/>
          <w:color w:val="000000"/>
          <w:szCs w:val="28"/>
        </w:rPr>
      </w:pPr>
      <w:bookmarkStart w:id="325" w:name="_Toc200513156"/>
      <w:bookmarkStart w:id="326" w:name="_Toc364411539"/>
      <w:bookmarkStart w:id="327" w:name="_Toc366074430"/>
      <w:bookmarkStart w:id="328" w:name="_Toc17704"/>
      <w:bookmarkStart w:id="329" w:name="_Toc31994"/>
      <w:bookmarkStart w:id="330" w:name="_Toc366074341"/>
      <w:bookmarkStart w:id="331" w:name="_Toc259797095"/>
      <w:bookmarkStart w:id="332" w:name="_Toc16325"/>
      <w:bookmarkStart w:id="333" w:name="_Toc421899250"/>
      <w:bookmarkStart w:id="334" w:name="_Toc470130577"/>
      <w:r>
        <w:rPr>
          <w:rFonts w:hint="eastAsia" w:ascii="仿宋" w:hAnsi="仿宋" w:eastAsia="仿宋" w:cs="仿宋"/>
          <w:snapToGrid w:val="0"/>
          <w:color w:val="000000"/>
          <w:szCs w:val="28"/>
        </w:rPr>
        <w:t>4.3  投标文件的修改与撤回</w:t>
      </w:r>
      <w:bookmarkEnd w:id="325"/>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4.3.1  在本章第2.2.2项规定的投标截止时间前，投标人可以修改或撤回已递交的投标文件，但应以书面形式通知询价人。</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4.3.2  投标人修改或撤回已递交投标文件的书面通知应按照本章第3.7.3项的要求签字或盖章。询价人收到书面通知后，向投标人出具签收凭证。</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4.3.3  修改的内容为投标文件的组成部分。修改的投标文件应按照本章第3条、第4条规定进行编制、密封、标记和递交，并标明“修改”字样。 </w:t>
      </w:r>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335" w:name="_Toc259797096"/>
      <w:bookmarkStart w:id="336" w:name="_Toc364411338"/>
      <w:bookmarkStart w:id="337" w:name="_Toc200513157"/>
      <w:bookmarkStart w:id="338" w:name="_Toc470130578"/>
      <w:bookmarkStart w:id="339" w:name="_Toc421899251"/>
      <w:r>
        <w:rPr>
          <w:rFonts w:hint="eastAsia" w:ascii="仿宋" w:hAnsi="仿宋" w:eastAsia="仿宋" w:cs="仿宋"/>
          <w:b/>
          <w:bCs/>
          <w:snapToGrid w:val="0"/>
          <w:color w:val="000000"/>
          <w:kern w:val="0"/>
          <w:sz w:val="28"/>
          <w:szCs w:val="28"/>
        </w:rPr>
        <w:t>5.  开标</w:t>
      </w:r>
      <w:bookmarkEnd w:id="335"/>
      <w:bookmarkEnd w:id="336"/>
      <w:bookmarkEnd w:id="337"/>
      <w:bookmarkEnd w:id="338"/>
      <w:bookmarkEnd w:id="339"/>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340" w:name="_Toc20954"/>
      <w:bookmarkStart w:id="341" w:name="_Toc3398"/>
      <w:bookmarkStart w:id="342" w:name="_Toc14356"/>
      <w:bookmarkStart w:id="343" w:name="_Toc421899252"/>
      <w:bookmarkStart w:id="344" w:name="_Toc366074343"/>
      <w:bookmarkStart w:id="345" w:name="_Toc470130579"/>
      <w:bookmarkStart w:id="346" w:name="_Toc259797097"/>
      <w:bookmarkStart w:id="347" w:name="_Toc364411541"/>
      <w:bookmarkStart w:id="348" w:name="_Toc366074432"/>
      <w:bookmarkStart w:id="349" w:name="_Toc200513158"/>
      <w:r>
        <w:rPr>
          <w:rFonts w:hint="eastAsia" w:ascii="仿宋" w:hAnsi="仿宋" w:eastAsia="仿宋" w:cs="仿宋"/>
          <w:b/>
          <w:bCs/>
          <w:snapToGrid w:val="0"/>
          <w:color w:val="000000"/>
          <w:kern w:val="0"/>
          <w:sz w:val="28"/>
          <w:szCs w:val="28"/>
        </w:rPr>
        <w:t>5.1  开标时间和地点</w:t>
      </w:r>
      <w:bookmarkEnd w:id="340"/>
      <w:bookmarkEnd w:id="341"/>
      <w:bookmarkEnd w:id="342"/>
      <w:bookmarkEnd w:id="343"/>
      <w:bookmarkEnd w:id="344"/>
      <w:bookmarkEnd w:id="345"/>
      <w:bookmarkEnd w:id="346"/>
      <w:bookmarkEnd w:id="347"/>
      <w:bookmarkEnd w:id="348"/>
      <w:bookmarkEnd w:id="349"/>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350" w:name="_Toc254711945"/>
      <w:bookmarkStart w:id="351" w:name="_Toc254714459"/>
      <w:bookmarkStart w:id="352" w:name="_Toc254714087"/>
      <w:bookmarkStart w:id="353" w:name="_Toc200513159"/>
      <w:r>
        <w:rPr>
          <w:rFonts w:hint="eastAsia" w:ascii="仿宋" w:hAnsi="仿宋" w:eastAsia="仿宋" w:cs="仿宋"/>
          <w:snapToGrid w:val="0"/>
          <w:color w:val="000000"/>
          <w:kern w:val="0"/>
          <w:sz w:val="28"/>
          <w:szCs w:val="28"/>
        </w:rPr>
        <w:t>询价人在投标截止时间（开标时间）和投标人须知前附表规定的地点公开开标。</w:t>
      </w:r>
      <w:bookmarkEnd w:id="350"/>
      <w:bookmarkEnd w:id="351"/>
      <w:bookmarkEnd w:id="352"/>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354" w:name="_Toc366074433"/>
      <w:bookmarkStart w:id="355" w:name="_Toc27512"/>
      <w:bookmarkStart w:id="356" w:name="_Toc364411542"/>
      <w:bookmarkStart w:id="357" w:name="_Toc366074344"/>
      <w:bookmarkStart w:id="358" w:name="_Toc3339"/>
      <w:bookmarkStart w:id="359" w:name="_Toc421899253"/>
      <w:bookmarkStart w:id="360" w:name="_Toc470130580"/>
      <w:bookmarkStart w:id="361" w:name="_Toc259797098"/>
      <w:bookmarkStart w:id="362" w:name="_Toc14626"/>
      <w:r>
        <w:rPr>
          <w:rFonts w:hint="eastAsia" w:ascii="仿宋" w:hAnsi="仿宋" w:eastAsia="仿宋" w:cs="仿宋"/>
          <w:b/>
          <w:bCs/>
          <w:snapToGrid w:val="0"/>
          <w:color w:val="000000"/>
          <w:kern w:val="0"/>
          <w:sz w:val="28"/>
          <w:szCs w:val="28"/>
        </w:rPr>
        <w:t>5.2  开标程序</w:t>
      </w:r>
      <w:bookmarkEnd w:id="353"/>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bookmarkStart w:id="363" w:name="_Toc200513160"/>
      <w:bookmarkStart w:id="364" w:name="_Toc259797099"/>
      <w:r>
        <w:rPr>
          <w:rFonts w:hint="eastAsia" w:ascii="仿宋" w:hAnsi="仿宋" w:eastAsia="仿宋" w:cs="仿宋"/>
          <w:snapToGrid w:val="0"/>
          <w:color w:val="000000"/>
          <w:kern w:val="0"/>
          <w:sz w:val="28"/>
          <w:szCs w:val="28"/>
        </w:rPr>
        <w:t>见投标人须知前附表。</w:t>
      </w:r>
    </w:p>
    <w:p>
      <w:pPr>
        <w:autoSpaceDE w:val="0"/>
        <w:autoSpaceDN w:val="0"/>
        <w:adjustRightInd w:val="0"/>
        <w:snapToGrid w:val="0"/>
        <w:spacing w:line="360" w:lineRule="auto"/>
        <w:jc w:val="left"/>
        <w:rPr>
          <w:rFonts w:ascii="仿宋" w:hAnsi="仿宋" w:eastAsia="仿宋" w:cs="仿宋"/>
          <w:b/>
          <w:bCs/>
          <w:snapToGrid w:val="0"/>
          <w:color w:val="000000"/>
          <w:kern w:val="0"/>
          <w:sz w:val="28"/>
          <w:szCs w:val="28"/>
        </w:rPr>
      </w:pPr>
      <w:bookmarkStart w:id="365" w:name="_Toc364411339"/>
      <w:bookmarkStart w:id="366" w:name="_Toc421899254"/>
      <w:bookmarkStart w:id="367" w:name="_Toc470130581"/>
      <w:r>
        <w:rPr>
          <w:rFonts w:hint="eastAsia" w:ascii="仿宋" w:hAnsi="仿宋" w:eastAsia="仿宋" w:cs="仿宋"/>
          <w:b/>
          <w:bCs/>
          <w:snapToGrid w:val="0"/>
          <w:color w:val="000000"/>
          <w:kern w:val="0"/>
          <w:sz w:val="28"/>
          <w:szCs w:val="28"/>
        </w:rPr>
        <w:t>6.  评标</w:t>
      </w:r>
      <w:bookmarkEnd w:id="363"/>
      <w:bookmarkEnd w:id="364"/>
      <w:bookmarkEnd w:id="365"/>
      <w:bookmarkEnd w:id="366"/>
      <w:bookmarkEnd w:id="367"/>
    </w:p>
    <w:p>
      <w:pPr>
        <w:autoSpaceDE w:val="0"/>
        <w:autoSpaceDN w:val="0"/>
        <w:adjustRightInd w:val="0"/>
        <w:snapToGrid w:val="0"/>
        <w:spacing w:line="360" w:lineRule="auto"/>
        <w:rPr>
          <w:rFonts w:ascii="仿宋" w:hAnsi="仿宋" w:eastAsia="仿宋" w:cs="仿宋"/>
          <w:b/>
          <w:bCs/>
          <w:snapToGrid w:val="0"/>
          <w:color w:val="000000"/>
          <w:kern w:val="0"/>
          <w:sz w:val="28"/>
          <w:szCs w:val="28"/>
        </w:rPr>
      </w:pPr>
      <w:bookmarkStart w:id="368" w:name="_Toc259797100"/>
      <w:bookmarkStart w:id="369" w:name="_Toc364411544"/>
      <w:bookmarkStart w:id="370" w:name="_Toc200513161"/>
      <w:bookmarkStart w:id="371" w:name="_Toc31635"/>
      <w:bookmarkStart w:id="372" w:name="_Toc366074435"/>
      <w:bookmarkStart w:id="373" w:name="_Toc421899255"/>
      <w:bookmarkStart w:id="374" w:name="_Toc21394"/>
      <w:bookmarkStart w:id="375" w:name="_Toc470130582"/>
      <w:bookmarkStart w:id="376" w:name="_Toc366074346"/>
      <w:bookmarkStart w:id="377" w:name="_Toc2990"/>
      <w:r>
        <w:rPr>
          <w:rFonts w:hint="eastAsia" w:ascii="仿宋" w:hAnsi="仿宋" w:eastAsia="仿宋" w:cs="仿宋"/>
          <w:b/>
          <w:bCs/>
          <w:snapToGrid w:val="0"/>
          <w:color w:val="000000"/>
          <w:kern w:val="0"/>
          <w:sz w:val="28"/>
          <w:szCs w:val="28"/>
        </w:rPr>
        <w:t>6.1  评标委员会</w:t>
      </w:r>
      <w:bookmarkEnd w:id="368"/>
      <w:bookmarkEnd w:id="369"/>
      <w:bookmarkEnd w:id="370"/>
      <w:bookmarkEnd w:id="371"/>
      <w:bookmarkEnd w:id="372"/>
      <w:bookmarkEnd w:id="373"/>
      <w:bookmarkEnd w:id="374"/>
      <w:bookmarkEnd w:id="375"/>
      <w:bookmarkEnd w:id="376"/>
      <w:bookmarkEnd w:id="377"/>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6.1.1  评标由询价人组建的评标委员会负责。评标委员会成员人数见投标人须知前附表。</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6.1.2  评标委员会成员有下列情形之一的，应当回避：</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（1）询价人或投标人的主要负责人的近亲属；</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w:t>
      </w:r>
      <w:r>
        <w:rPr>
          <w:rFonts w:ascii="仿宋" w:hAnsi="仿宋" w:eastAsia="仿宋" w:cs="仿宋"/>
          <w:snapToGrid w:val="0"/>
          <w:color w:val="000000"/>
          <w:kern w:val="0"/>
          <w:sz w:val="28"/>
          <w:szCs w:val="28"/>
        </w:rPr>
        <w:t>2</w:t>
      </w:r>
      <w:r>
        <w:rPr>
          <w:rFonts w:hint="eastAsia" w:ascii="仿宋" w:hAnsi="仿宋" w:eastAsia="仿宋" w:cs="仿宋"/>
          <w:snapToGrid w:val="0"/>
          <w:color w:val="000000"/>
          <w:kern w:val="0"/>
          <w:sz w:val="28"/>
          <w:szCs w:val="28"/>
        </w:rPr>
        <w:t>）与投标人有经济利益关系，可能影响对投标公正评审的；</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w:t>
      </w:r>
      <w:r>
        <w:rPr>
          <w:rFonts w:ascii="仿宋" w:hAnsi="仿宋" w:eastAsia="仿宋" w:cs="仿宋"/>
          <w:snapToGrid w:val="0"/>
          <w:color w:val="000000"/>
          <w:kern w:val="0"/>
          <w:sz w:val="28"/>
          <w:szCs w:val="28"/>
        </w:rPr>
        <w:t>3</w:t>
      </w:r>
      <w:r>
        <w:rPr>
          <w:rFonts w:hint="eastAsia" w:ascii="仿宋" w:hAnsi="仿宋" w:eastAsia="仿宋" w:cs="仿宋"/>
          <w:snapToGrid w:val="0"/>
          <w:color w:val="000000"/>
          <w:kern w:val="0"/>
          <w:sz w:val="28"/>
          <w:szCs w:val="28"/>
        </w:rPr>
        <w:t xml:space="preserve">）曾因在询价、评标以及其他与询价投标有关活动中从事违法行为而受过行政处罚或刑事处罚的。 </w:t>
      </w:r>
    </w:p>
    <w:p>
      <w:pPr>
        <w:pStyle w:val="4"/>
        <w:snapToGrid w:val="0"/>
        <w:spacing w:line="360" w:lineRule="auto"/>
        <w:rPr>
          <w:rFonts w:ascii="仿宋" w:hAnsi="仿宋" w:eastAsia="仿宋" w:cs="仿宋"/>
          <w:snapToGrid w:val="0"/>
          <w:color w:val="000000"/>
          <w:szCs w:val="28"/>
        </w:rPr>
      </w:pPr>
      <w:bookmarkStart w:id="378" w:name="_Toc8354"/>
      <w:bookmarkStart w:id="379" w:name="_Toc3941"/>
      <w:bookmarkStart w:id="380" w:name="_Toc421899256"/>
      <w:bookmarkStart w:id="381" w:name="_Toc470130583"/>
      <w:bookmarkStart w:id="382" w:name="_Toc22920"/>
      <w:bookmarkStart w:id="383" w:name="_Toc364411545"/>
      <w:bookmarkStart w:id="384" w:name="_Toc259797101"/>
      <w:bookmarkStart w:id="385" w:name="_Toc366074347"/>
      <w:bookmarkStart w:id="386" w:name="_Toc366074436"/>
      <w:bookmarkStart w:id="387" w:name="_Toc200513162"/>
      <w:r>
        <w:rPr>
          <w:rFonts w:hint="eastAsia" w:ascii="仿宋" w:hAnsi="仿宋" w:eastAsia="仿宋" w:cs="仿宋"/>
          <w:snapToGrid w:val="0"/>
          <w:color w:val="000000"/>
          <w:szCs w:val="28"/>
        </w:rPr>
        <w:t>6.2  评标原则</w:t>
      </w:r>
      <w:bookmarkEnd w:id="378"/>
      <w:bookmarkEnd w:id="379"/>
      <w:bookmarkEnd w:id="380"/>
      <w:bookmarkEnd w:id="381"/>
      <w:bookmarkEnd w:id="382"/>
      <w:bookmarkEnd w:id="383"/>
      <w:bookmarkEnd w:id="384"/>
      <w:bookmarkEnd w:id="385"/>
      <w:bookmarkEnd w:id="386"/>
      <w:bookmarkEnd w:id="387"/>
      <w:r>
        <w:rPr>
          <w:rFonts w:hint="eastAsia" w:ascii="仿宋" w:hAnsi="仿宋" w:eastAsia="仿宋" w:cs="仿宋"/>
          <w:snapToGrid w:val="0"/>
          <w:color w:val="000000"/>
          <w:szCs w:val="28"/>
        </w:rPr>
        <w:t xml:space="preserve">  </w:t>
      </w:r>
    </w:p>
    <w:p>
      <w:pPr>
        <w:spacing w:line="360" w:lineRule="auto"/>
        <w:ind w:firstLine="560" w:firstLineChars="200"/>
        <w:rPr>
          <w:rFonts w:ascii="仿宋" w:hAnsi="仿宋" w:eastAsia="仿宋" w:cs="仿宋"/>
          <w:color w:val="000000"/>
          <w:sz w:val="28"/>
          <w:szCs w:val="28"/>
        </w:rPr>
      </w:pPr>
      <w:bookmarkStart w:id="388" w:name="_Toc254714093"/>
      <w:bookmarkStart w:id="389" w:name="_Toc254714465"/>
      <w:r>
        <w:rPr>
          <w:rFonts w:hint="eastAsia" w:ascii="仿宋" w:hAnsi="仿宋" w:eastAsia="仿宋" w:cs="仿宋"/>
          <w:color w:val="000000"/>
          <w:sz w:val="28"/>
          <w:szCs w:val="28"/>
        </w:rPr>
        <w:t>评标活动遵循公平、公正、科学和择优的原则。</w:t>
      </w:r>
      <w:bookmarkEnd w:id="388"/>
      <w:bookmarkEnd w:id="389"/>
      <w:r>
        <w:rPr>
          <w:rFonts w:hint="eastAsia" w:ascii="仿宋" w:hAnsi="仿宋" w:eastAsia="仿宋" w:cs="仿宋"/>
          <w:color w:val="000000"/>
          <w:sz w:val="28"/>
          <w:szCs w:val="28"/>
        </w:rPr>
        <w:t xml:space="preserve">  </w:t>
      </w:r>
    </w:p>
    <w:p>
      <w:pPr>
        <w:pStyle w:val="4"/>
        <w:snapToGrid w:val="0"/>
        <w:spacing w:line="360" w:lineRule="auto"/>
        <w:rPr>
          <w:rFonts w:ascii="仿宋" w:hAnsi="仿宋" w:eastAsia="仿宋" w:cs="仿宋"/>
          <w:snapToGrid w:val="0"/>
          <w:color w:val="000000"/>
          <w:szCs w:val="28"/>
        </w:rPr>
      </w:pPr>
      <w:bookmarkStart w:id="390" w:name="_Toc14918"/>
      <w:bookmarkStart w:id="391" w:name="_Toc366074437"/>
      <w:bookmarkStart w:id="392" w:name="_Toc421899257"/>
      <w:bookmarkStart w:id="393" w:name="_Toc470130584"/>
      <w:bookmarkStart w:id="394" w:name="_Toc259797102"/>
      <w:bookmarkStart w:id="395" w:name="_Toc200513163"/>
      <w:bookmarkStart w:id="396" w:name="_Toc364411546"/>
      <w:bookmarkStart w:id="397" w:name="_Toc18960"/>
      <w:bookmarkStart w:id="398" w:name="_Toc18656"/>
      <w:bookmarkStart w:id="399" w:name="_Toc366074348"/>
      <w:r>
        <w:rPr>
          <w:rFonts w:hint="eastAsia" w:ascii="仿宋" w:hAnsi="仿宋" w:eastAsia="仿宋" w:cs="仿宋"/>
          <w:snapToGrid w:val="0"/>
          <w:color w:val="000000"/>
          <w:szCs w:val="28"/>
        </w:rPr>
        <w:t>6.3  评标</w:t>
      </w:r>
      <w:bookmarkEnd w:id="390"/>
      <w:bookmarkEnd w:id="391"/>
      <w:bookmarkEnd w:id="392"/>
      <w:bookmarkEnd w:id="393"/>
      <w:bookmarkEnd w:id="394"/>
      <w:bookmarkEnd w:id="395"/>
      <w:bookmarkEnd w:id="396"/>
      <w:bookmarkEnd w:id="397"/>
      <w:bookmarkEnd w:id="398"/>
      <w:bookmarkEnd w:id="399"/>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评标委员会按照第三章“评标办法”规定的方法、评审因素、标准和程序对投标文件进行评审。第三章“评标办法”没有规定的方法、评审因素和标准，不作为评标依据。</w:t>
      </w:r>
    </w:p>
    <w:p>
      <w:pPr>
        <w:pStyle w:val="4"/>
        <w:snapToGrid w:val="0"/>
        <w:spacing w:line="360" w:lineRule="auto"/>
        <w:rPr>
          <w:rFonts w:ascii="仿宋" w:hAnsi="仿宋" w:eastAsia="仿宋" w:cs="仿宋"/>
          <w:snapToGrid w:val="0"/>
          <w:color w:val="000000"/>
          <w:szCs w:val="28"/>
        </w:rPr>
      </w:pPr>
      <w:bookmarkStart w:id="400" w:name="_Toc470130585"/>
      <w:bookmarkStart w:id="401" w:name="_Toc200513164"/>
      <w:bookmarkStart w:id="402" w:name="_Toc259797103"/>
      <w:bookmarkStart w:id="403" w:name="_Toc421899258"/>
      <w:r>
        <w:rPr>
          <w:rFonts w:hint="eastAsia" w:ascii="仿宋" w:hAnsi="仿宋" w:eastAsia="仿宋" w:cs="仿宋"/>
          <w:snapToGrid w:val="0"/>
          <w:color w:val="000000"/>
          <w:szCs w:val="28"/>
        </w:rPr>
        <w:t>7.  合同授予</w:t>
      </w:r>
      <w:bookmarkEnd w:id="400"/>
      <w:bookmarkEnd w:id="401"/>
      <w:bookmarkEnd w:id="402"/>
      <w:bookmarkEnd w:id="403"/>
    </w:p>
    <w:p>
      <w:pPr>
        <w:pStyle w:val="4"/>
        <w:snapToGrid w:val="0"/>
        <w:spacing w:line="360" w:lineRule="auto"/>
        <w:rPr>
          <w:rFonts w:ascii="仿宋" w:hAnsi="仿宋" w:eastAsia="仿宋" w:cs="仿宋"/>
          <w:snapToGrid w:val="0"/>
          <w:color w:val="000000"/>
          <w:szCs w:val="28"/>
        </w:rPr>
      </w:pPr>
      <w:bookmarkStart w:id="404" w:name="_Toc259797104"/>
      <w:bookmarkStart w:id="405" w:name="_Toc10561"/>
      <w:bookmarkStart w:id="406" w:name="_Toc366074350"/>
      <w:bookmarkStart w:id="407" w:name="_Toc963"/>
      <w:bookmarkStart w:id="408" w:name="_Toc470130586"/>
      <w:bookmarkStart w:id="409" w:name="_Toc364411548"/>
      <w:bookmarkStart w:id="410" w:name="_Toc200513165"/>
      <w:bookmarkStart w:id="411" w:name="_Toc366074439"/>
      <w:bookmarkStart w:id="412" w:name="_Toc2906"/>
      <w:bookmarkStart w:id="413" w:name="_Toc421899259"/>
      <w:r>
        <w:rPr>
          <w:rFonts w:hint="eastAsia" w:ascii="仿宋" w:hAnsi="仿宋" w:eastAsia="仿宋" w:cs="仿宋"/>
          <w:snapToGrid w:val="0"/>
          <w:color w:val="000000"/>
          <w:szCs w:val="28"/>
        </w:rPr>
        <w:t>7.1  定标方式</w:t>
      </w:r>
      <w:bookmarkEnd w:id="404"/>
      <w:bookmarkEnd w:id="405"/>
      <w:bookmarkEnd w:id="406"/>
      <w:bookmarkEnd w:id="407"/>
      <w:bookmarkEnd w:id="408"/>
      <w:bookmarkEnd w:id="409"/>
      <w:bookmarkEnd w:id="410"/>
      <w:bookmarkEnd w:id="411"/>
      <w:bookmarkEnd w:id="412"/>
      <w:bookmarkEnd w:id="413"/>
    </w:p>
    <w:p>
      <w:pPr>
        <w:pStyle w:val="4"/>
        <w:snapToGrid w:val="0"/>
        <w:spacing w:line="360" w:lineRule="auto"/>
        <w:ind w:firstLine="560" w:firstLineChars="200"/>
        <w:rPr>
          <w:rFonts w:ascii="仿宋" w:hAnsi="仿宋" w:eastAsia="仿宋" w:cs="仿宋"/>
          <w:b w:val="0"/>
          <w:snapToGrid w:val="0"/>
          <w:color w:val="000000"/>
          <w:szCs w:val="28"/>
        </w:rPr>
      </w:pPr>
      <w:bookmarkStart w:id="414" w:name="_Toc470130587"/>
      <w:bookmarkStart w:id="415" w:name="_Toc20504"/>
      <w:bookmarkStart w:id="416" w:name="_Toc259797105"/>
      <w:bookmarkStart w:id="417" w:name="_Toc200513166"/>
      <w:bookmarkStart w:id="418" w:name="_Toc25011"/>
      <w:bookmarkStart w:id="419" w:name="_Toc364411549"/>
      <w:bookmarkStart w:id="420" w:name="_Toc421899260"/>
      <w:bookmarkStart w:id="421" w:name="_Toc366074351"/>
      <w:bookmarkStart w:id="422" w:name="_Toc366074440"/>
      <w:bookmarkStart w:id="423" w:name="_Toc9602"/>
      <w:r>
        <w:rPr>
          <w:rFonts w:hint="eastAsia" w:ascii="仿宋" w:hAnsi="仿宋" w:eastAsia="仿宋" w:cs="仿宋"/>
          <w:b w:val="0"/>
          <w:snapToGrid w:val="0"/>
          <w:color w:val="000000"/>
          <w:szCs w:val="28"/>
        </w:rPr>
        <w:t>国有资金占控股或者主导地位的依法必须进行询价的项目，询价人应当确定排名第一的中标候选人为中标人。排名第一的中标候选人放弃中标、因不可抗力不能履行合同、不按照询价文件要求提交履约保证金，或者被查实存在影响中标结果的违法行为等情形，不符合中标条件的，询价人可以按照评标委员会提出的中标候选人名单排序依次确定其他中标候选人为中标人，也可以重新询价。</w:t>
      </w:r>
      <w:bookmarkEnd w:id="414"/>
    </w:p>
    <w:p>
      <w:pPr>
        <w:pStyle w:val="4"/>
        <w:spacing w:line="360" w:lineRule="auto"/>
        <w:rPr>
          <w:rFonts w:ascii="仿宋" w:hAnsi="仿宋" w:eastAsia="仿宋" w:cs="仿宋"/>
          <w:b w:val="0"/>
          <w:snapToGrid w:val="0"/>
          <w:color w:val="000000"/>
          <w:szCs w:val="28"/>
        </w:rPr>
      </w:pPr>
      <w:bookmarkStart w:id="424" w:name="_Toc470130588"/>
      <w:r>
        <w:rPr>
          <w:rFonts w:hint="eastAsia" w:ascii="仿宋" w:hAnsi="仿宋" w:eastAsia="仿宋" w:cs="仿宋"/>
          <w:b w:val="0"/>
          <w:snapToGrid w:val="0"/>
          <w:color w:val="000000"/>
          <w:szCs w:val="28"/>
        </w:rPr>
        <w:t>评标委员会推荐中标候选人的人数见投标人须知前附表。</w:t>
      </w:r>
      <w:bookmarkEnd w:id="424"/>
    </w:p>
    <w:p>
      <w:pPr>
        <w:pStyle w:val="4"/>
        <w:snapToGrid w:val="0"/>
        <w:spacing w:line="360" w:lineRule="auto"/>
        <w:rPr>
          <w:rFonts w:ascii="仿宋" w:hAnsi="仿宋" w:eastAsia="仿宋" w:cs="仿宋"/>
          <w:snapToGrid w:val="0"/>
          <w:color w:val="000000"/>
          <w:szCs w:val="28"/>
        </w:rPr>
      </w:pPr>
      <w:bookmarkStart w:id="425" w:name="_Toc470130589"/>
      <w:r>
        <w:rPr>
          <w:rFonts w:hint="eastAsia" w:ascii="仿宋" w:hAnsi="仿宋" w:eastAsia="仿宋" w:cs="仿宋"/>
          <w:snapToGrid w:val="0"/>
          <w:color w:val="000000"/>
          <w:szCs w:val="28"/>
        </w:rPr>
        <w:t>7.2  中标通知</w:t>
      </w:r>
      <w:bookmarkEnd w:id="415"/>
      <w:bookmarkEnd w:id="416"/>
      <w:bookmarkEnd w:id="417"/>
      <w:bookmarkEnd w:id="418"/>
      <w:bookmarkEnd w:id="419"/>
      <w:bookmarkEnd w:id="420"/>
      <w:bookmarkEnd w:id="421"/>
      <w:bookmarkEnd w:id="422"/>
      <w:bookmarkEnd w:id="423"/>
      <w:bookmarkEnd w:id="425"/>
    </w:p>
    <w:p>
      <w:pPr>
        <w:spacing w:line="360" w:lineRule="auto"/>
        <w:ind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在本章第 3.3 款规定的投标有效期内，询价人以书面形式向中标人发出中标通知书，同时将中标结果通知未中标的投标人。</w:t>
      </w:r>
    </w:p>
    <w:p>
      <w:pPr>
        <w:pStyle w:val="4"/>
        <w:snapToGrid w:val="0"/>
        <w:spacing w:line="360" w:lineRule="auto"/>
        <w:rPr>
          <w:rFonts w:ascii="仿宋" w:hAnsi="仿宋" w:eastAsia="仿宋" w:cs="仿宋"/>
          <w:snapToGrid w:val="0"/>
          <w:color w:val="000000"/>
          <w:szCs w:val="28"/>
        </w:rPr>
      </w:pPr>
      <w:bookmarkStart w:id="426" w:name="_Toc200513167"/>
      <w:bookmarkStart w:id="427" w:name="_Toc259797106"/>
      <w:bookmarkStart w:id="428" w:name="_Toc366074441"/>
      <w:bookmarkStart w:id="429" w:name="_Toc421899261"/>
      <w:bookmarkStart w:id="430" w:name="_Toc19263"/>
      <w:bookmarkStart w:id="431" w:name="_Toc470130590"/>
      <w:bookmarkStart w:id="432" w:name="_Toc21164"/>
      <w:bookmarkStart w:id="433" w:name="_Toc366074352"/>
      <w:bookmarkStart w:id="434" w:name="_Toc364411550"/>
      <w:bookmarkStart w:id="435" w:name="_Toc5542"/>
      <w:bookmarkStart w:id="436" w:name="_Toc200513168"/>
      <w:bookmarkStart w:id="437" w:name="_Toc259797107"/>
      <w:r>
        <w:rPr>
          <w:rFonts w:hint="eastAsia" w:ascii="仿宋" w:hAnsi="仿宋" w:eastAsia="仿宋" w:cs="仿宋"/>
          <w:snapToGrid w:val="0"/>
          <w:color w:val="000000"/>
          <w:szCs w:val="28"/>
        </w:rPr>
        <w:t xml:space="preserve">7.3  </w:t>
      </w:r>
      <w:bookmarkEnd w:id="426"/>
      <w:bookmarkEnd w:id="427"/>
      <w:r>
        <w:rPr>
          <w:rFonts w:hint="eastAsia" w:ascii="仿宋" w:hAnsi="仿宋" w:eastAsia="仿宋" w:cs="仿宋"/>
          <w:snapToGrid w:val="0"/>
          <w:color w:val="000000"/>
          <w:szCs w:val="28"/>
        </w:rPr>
        <w:t>履约担保</w:t>
      </w:r>
      <w:bookmarkEnd w:id="428"/>
      <w:bookmarkEnd w:id="429"/>
      <w:bookmarkEnd w:id="430"/>
      <w:bookmarkEnd w:id="431"/>
      <w:bookmarkEnd w:id="432"/>
      <w:bookmarkEnd w:id="433"/>
      <w:bookmarkEnd w:id="434"/>
      <w:bookmarkEnd w:id="435"/>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见投标人须知前附表。</w:t>
      </w:r>
    </w:p>
    <w:p>
      <w:pPr>
        <w:pStyle w:val="4"/>
        <w:snapToGrid w:val="0"/>
        <w:spacing w:line="360" w:lineRule="auto"/>
        <w:rPr>
          <w:rFonts w:ascii="仿宋" w:hAnsi="仿宋" w:eastAsia="仿宋" w:cs="仿宋"/>
          <w:snapToGrid w:val="0"/>
          <w:color w:val="000000"/>
          <w:szCs w:val="28"/>
        </w:rPr>
      </w:pPr>
      <w:bookmarkStart w:id="438" w:name="_Toc26882"/>
      <w:bookmarkStart w:id="439" w:name="_Toc12185"/>
      <w:bookmarkStart w:id="440" w:name="_Toc366074353"/>
      <w:bookmarkStart w:id="441" w:name="_Toc364411551"/>
      <w:bookmarkStart w:id="442" w:name="_Toc366074442"/>
      <w:bookmarkStart w:id="443" w:name="_Toc8966"/>
      <w:bookmarkStart w:id="444" w:name="_Toc421899262"/>
      <w:bookmarkStart w:id="445" w:name="_Toc470130591"/>
      <w:r>
        <w:rPr>
          <w:rFonts w:hint="eastAsia" w:ascii="仿宋" w:hAnsi="仿宋" w:eastAsia="仿宋" w:cs="仿宋"/>
          <w:snapToGrid w:val="0"/>
          <w:color w:val="000000"/>
          <w:szCs w:val="28"/>
        </w:rPr>
        <w:t>7.4  签订合同</w:t>
      </w:r>
      <w:bookmarkEnd w:id="436"/>
      <w:bookmarkEnd w:id="437"/>
      <w:bookmarkEnd w:id="438"/>
      <w:bookmarkEnd w:id="439"/>
      <w:bookmarkEnd w:id="440"/>
      <w:bookmarkEnd w:id="441"/>
      <w:bookmarkEnd w:id="442"/>
      <w:bookmarkEnd w:id="443"/>
      <w:bookmarkEnd w:id="444"/>
      <w:bookmarkEnd w:id="44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7.4.1 询价人和中标人应当自中标通知书发出之日起 30 天内，根据询价文件和中标人的投标文件订立书面合同。中标人无正当理由拒签合同的，询价人取消其中标资格，其投标保证金不予退还；给询价人造成的损失超过投标保证金数额的，中标人还应当对超过部分予以赔偿。</w:t>
      </w:r>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7.4.2  发出中标通知书后，询价人无正当理由拒签合同的，询价人向中标人退还投标保证金；给中标人造成损失的，还应当赔偿损失。</w:t>
      </w:r>
    </w:p>
    <w:p>
      <w:pPr>
        <w:pStyle w:val="3"/>
        <w:rPr>
          <w:rFonts w:ascii="仿宋" w:hAnsi="仿宋" w:eastAsia="仿宋" w:cs="仿宋"/>
          <w:snapToGrid w:val="0"/>
          <w:color w:val="000000"/>
          <w:spacing w:val="0"/>
          <w:sz w:val="28"/>
          <w:szCs w:val="28"/>
        </w:rPr>
      </w:pPr>
      <w:bookmarkStart w:id="446" w:name="_Toc470130592"/>
      <w:bookmarkStart w:id="447" w:name="_Toc259797108"/>
      <w:bookmarkStart w:id="448" w:name="_Toc421899263"/>
      <w:bookmarkStart w:id="449" w:name="_Toc200513169"/>
      <w:bookmarkStart w:id="450" w:name="_Toc364411340"/>
      <w:r>
        <w:rPr>
          <w:rFonts w:hint="eastAsia" w:ascii="仿宋" w:hAnsi="仿宋" w:eastAsia="仿宋" w:cs="仿宋"/>
          <w:snapToGrid w:val="0"/>
          <w:color w:val="000000"/>
          <w:spacing w:val="0"/>
          <w:sz w:val="28"/>
          <w:szCs w:val="28"/>
        </w:rPr>
        <w:t>8.  重新询价和不再</w:t>
      </w:r>
      <w:bookmarkEnd w:id="446"/>
      <w:bookmarkEnd w:id="447"/>
      <w:bookmarkEnd w:id="448"/>
      <w:bookmarkEnd w:id="449"/>
      <w:bookmarkEnd w:id="450"/>
      <w:r>
        <w:rPr>
          <w:rFonts w:hint="eastAsia" w:ascii="仿宋" w:hAnsi="仿宋" w:eastAsia="仿宋" w:cs="仿宋"/>
          <w:snapToGrid w:val="0"/>
          <w:color w:val="000000"/>
          <w:spacing w:val="0"/>
          <w:sz w:val="28"/>
          <w:szCs w:val="28"/>
        </w:rPr>
        <w:t>询价</w:t>
      </w:r>
    </w:p>
    <w:p>
      <w:pPr>
        <w:pStyle w:val="4"/>
        <w:snapToGrid w:val="0"/>
        <w:spacing w:line="360" w:lineRule="auto"/>
        <w:rPr>
          <w:rFonts w:ascii="仿宋" w:hAnsi="仿宋" w:eastAsia="仿宋" w:cs="仿宋"/>
          <w:snapToGrid w:val="0"/>
          <w:color w:val="000000"/>
          <w:szCs w:val="28"/>
        </w:rPr>
      </w:pPr>
      <w:bookmarkStart w:id="451" w:name="_Toc366074444"/>
      <w:bookmarkStart w:id="452" w:name="_Toc259797109"/>
      <w:bookmarkStart w:id="453" w:name="_Toc29175"/>
      <w:bookmarkStart w:id="454" w:name="_Toc421899264"/>
      <w:bookmarkStart w:id="455" w:name="_Toc366074355"/>
      <w:bookmarkStart w:id="456" w:name="_Toc29657"/>
      <w:bookmarkStart w:id="457" w:name="_Toc470130593"/>
      <w:bookmarkStart w:id="458" w:name="_Toc200513170"/>
      <w:bookmarkStart w:id="459" w:name="_Toc14416"/>
      <w:bookmarkStart w:id="460" w:name="_Toc364411553"/>
      <w:r>
        <w:rPr>
          <w:rFonts w:hint="eastAsia" w:ascii="仿宋" w:hAnsi="仿宋" w:eastAsia="仿宋" w:cs="仿宋"/>
          <w:snapToGrid w:val="0"/>
          <w:color w:val="000000"/>
          <w:szCs w:val="28"/>
        </w:rPr>
        <w:t>8.1  重新</w:t>
      </w:r>
      <w:bookmarkEnd w:id="451"/>
      <w:bookmarkEnd w:id="452"/>
      <w:bookmarkEnd w:id="453"/>
      <w:bookmarkEnd w:id="454"/>
      <w:bookmarkEnd w:id="455"/>
      <w:bookmarkEnd w:id="456"/>
      <w:bookmarkEnd w:id="457"/>
      <w:bookmarkEnd w:id="458"/>
      <w:bookmarkEnd w:id="459"/>
      <w:bookmarkEnd w:id="460"/>
      <w:r>
        <w:rPr>
          <w:rFonts w:hint="eastAsia" w:ascii="仿宋" w:hAnsi="仿宋" w:eastAsia="仿宋" w:cs="仿宋"/>
          <w:snapToGrid w:val="0"/>
          <w:color w:val="000000"/>
          <w:szCs w:val="28"/>
        </w:rPr>
        <w:t>询价</w:t>
      </w:r>
    </w:p>
    <w:p>
      <w:pPr>
        <w:autoSpaceDE w:val="0"/>
        <w:autoSpaceDN w:val="0"/>
        <w:adjustRightInd w:val="0"/>
        <w:snapToGrid w:val="0"/>
        <w:spacing w:line="360" w:lineRule="auto"/>
        <w:ind w:left="359" w:leftChars="171"/>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有下列情形之一的，询价人将重新询价：</w:t>
      </w:r>
    </w:p>
    <w:p>
      <w:pPr>
        <w:autoSpaceDE w:val="0"/>
        <w:autoSpaceDN w:val="0"/>
        <w:adjustRightInd w:val="0"/>
        <w:snapToGrid w:val="0"/>
        <w:spacing w:line="360" w:lineRule="auto"/>
        <w:ind w:left="359" w:leftChars="171"/>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（1）投标截止时间止，投标人少于 3 个的；</w:t>
      </w:r>
    </w:p>
    <w:p>
      <w:pPr>
        <w:autoSpaceDE w:val="0"/>
        <w:autoSpaceDN w:val="0"/>
        <w:adjustRightInd w:val="0"/>
        <w:snapToGrid w:val="0"/>
        <w:spacing w:line="360" w:lineRule="auto"/>
        <w:ind w:left="359" w:leftChars="171"/>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（2）经评标委员会评审后否决所有投标的。</w:t>
      </w:r>
    </w:p>
    <w:p>
      <w:pPr>
        <w:autoSpaceDE w:val="0"/>
        <w:autoSpaceDN w:val="0"/>
        <w:adjustRightInd w:val="0"/>
        <w:snapToGrid w:val="0"/>
        <w:spacing w:line="360" w:lineRule="auto"/>
        <w:ind w:left="359" w:leftChars="171"/>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（3）经评审后，如合格的投标人少于三个的，且明显缺乏竞争的，评标委员会可以否决全部投标，询价人将重新组织询价。</w:t>
      </w:r>
    </w:p>
    <w:p>
      <w:pPr>
        <w:pStyle w:val="4"/>
        <w:snapToGrid w:val="0"/>
        <w:spacing w:line="360" w:lineRule="auto"/>
        <w:rPr>
          <w:rFonts w:ascii="仿宋" w:hAnsi="仿宋" w:eastAsia="仿宋" w:cs="仿宋"/>
          <w:snapToGrid w:val="0"/>
          <w:color w:val="000000"/>
          <w:szCs w:val="28"/>
        </w:rPr>
      </w:pPr>
      <w:bookmarkStart w:id="461" w:name="_Toc200513171"/>
      <w:bookmarkStart w:id="462" w:name="_Toc1078"/>
      <w:bookmarkStart w:id="463" w:name="_Toc366074356"/>
      <w:bookmarkStart w:id="464" w:name="_Toc28425"/>
      <w:bookmarkStart w:id="465" w:name="_Toc259797110"/>
      <w:bookmarkStart w:id="466" w:name="_Toc366074445"/>
      <w:bookmarkStart w:id="467" w:name="_Toc421899265"/>
      <w:bookmarkStart w:id="468" w:name="_Toc470130594"/>
      <w:bookmarkStart w:id="469" w:name="_Toc364411554"/>
      <w:bookmarkStart w:id="470" w:name="_Toc5859"/>
      <w:r>
        <w:rPr>
          <w:rFonts w:hint="eastAsia" w:ascii="仿宋" w:hAnsi="仿宋" w:eastAsia="仿宋" w:cs="仿宋"/>
          <w:snapToGrid w:val="0"/>
          <w:color w:val="000000"/>
          <w:szCs w:val="28"/>
        </w:rPr>
        <w:t>8.2  不再</w:t>
      </w:r>
      <w:bookmarkEnd w:id="461"/>
      <w:bookmarkEnd w:id="462"/>
      <w:bookmarkEnd w:id="463"/>
      <w:bookmarkEnd w:id="464"/>
      <w:bookmarkEnd w:id="465"/>
      <w:bookmarkEnd w:id="466"/>
      <w:bookmarkEnd w:id="467"/>
      <w:bookmarkEnd w:id="468"/>
      <w:bookmarkEnd w:id="469"/>
      <w:bookmarkEnd w:id="470"/>
      <w:r>
        <w:rPr>
          <w:rFonts w:hint="eastAsia" w:ascii="仿宋" w:hAnsi="仿宋" w:eastAsia="仿宋" w:cs="仿宋"/>
          <w:snapToGrid w:val="0"/>
          <w:color w:val="000000"/>
          <w:szCs w:val="28"/>
        </w:rPr>
        <w:t>询价</w:t>
      </w:r>
    </w:p>
    <w:p>
      <w:pPr>
        <w:autoSpaceDE w:val="0"/>
        <w:autoSpaceDN w:val="0"/>
        <w:adjustRightInd w:val="0"/>
        <w:snapToGrid w:val="0"/>
        <w:spacing w:line="360" w:lineRule="auto"/>
        <w:ind w:firstLine="42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重新询价后投标人仍少于3个，按法定程序开标和评标，确定中标人。经评审无合格投标人，属于必须审批或核准的工程建设项目，经原审批或核准部门批准后不再进行询价。</w:t>
      </w:r>
    </w:p>
    <w:p>
      <w:pPr>
        <w:pStyle w:val="3"/>
        <w:rPr>
          <w:rFonts w:ascii="仿宋" w:hAnsi="仿宋" w:eastAsia="仿宋" w:cs="仿宋"/>
          <w:snapToGrid w:val="0"/>
          <w:color w:val="000000"/>
          <w:spacing w:val="0"/>
          <w:sz w:val="28"/>
          <w:szCs w:val="28"/>
        </w:rPr>
      </w:pPr>
      <w:bookmarkStart w:id="471" w:name="_Toc421899266"/>
      <w:bookmarkStart w:id="472" w:name="_Toc259797111"/>
      <w:bookmarkStart w:id="473" w:name="_Toc364411341"/>
      <w:bookmarkStart w:id="474" w:name="_Toc470130595"/>
      <w:bookmarkStart w:id="475" w:name="_Toc200513172"/>
      <w:r>
        <w:rPr>
          <w:rFonts w:hint="eastAsia" w:ascii="仿宋" w:hAnsi="仿宋" w:eastAsia="仿宋" w:cs="仿宋"/>
          <w:snapToGrid w:val="0"/>
          <w:color w:val="000000"/>
          <w:spacing w:val="0"/>
          <w:sz w:val="28"/>
          <w:szCs w:val="28"/>
        </w:rPr>
        <w:t>9.  纪律和监督</w:t>
      </w:r>
      <w:bookmarkEnd w:id="471"/>
      <w:bookmarkEnd w:id="472"/>
      <w:bookmarkEnd w:id="473"/>
      <w:bookmarkEnd w:id="474"/>
      <w:bookmarkEnd w:id="475"/>
    </w:p>
    <w:p>
      <w:pPr>
        <w:pStyle w:val="4"/>
        <w:snapToGrid w:val="0"/>
        <w:spacing w:line="360" w:lineRule="auto"/>
        <w:rPr>
          <w:rFonts w:ascii="仿宋" w:hAnsi="仿宋" w:eastAsia="仿宋" w:cs="仿宋"/>
          <w:snapToGrid w:val="0"/>
          <w:color w:val="000000"/>
          <w:szCs w:val="28"/>
        </w:rPr>
      </w:pPr>
      <w:bookmarkStart w:id="476" w:name="_Toc259797112"/>
      <w:bookmarkStart w:id="477" w:name="_Toc200513173"/>
      <w:bookmarkStart w:id="478" w:name="_Toc421899267"/>
      <w:bookmarkStart w:id="479" w:name="_Toc366074358"/>
      <w:bookmarkStart w:id="480" w:name="_Toc32501"/>
      <w:bookmarkStart w:id="481" w:name="_Toc21448"/>
      <w:bookmarkStart w:id="482" w:name="_Toc29122"/>
      <w:bookmarkStart w:id="483" w:name="_Toc470130596"/>
      <w:bookmarkStart w:id="484" w:name="_Toc366074447"/>
      <w:bookmarkStart w:id="485" w:name="_Toc364411556"/>
      <w:r>
        <w:rPr>
          <w:rFonts w:hint="eastAsia" w:ascii="仿宋" w:hAnsi="仿宋" w:eastAsia="仿宋" w:cs="仿宋"/>
          <w:snapToGrid w:val="0"/>
          <w:color w:val="000000"/>
          <w:szCs w:val="28"/>
        </w:rPr>
        <w:t>9.1  对询价人的纪律要求</w:t>
      </w:r>
      <w:bookmarkEnd w:id="476"/>
      <w:bookmarkEnd w:id="477"/>
      <w:bookmarkEnd w:id="478"/>
      <w:bookmarkEnd w:id="479"/>
      <w:bookmarkEnd w:id="480"/>
      <w:bookmarkEnd w:id="481"/>
      <w:bookmarkEnd w:id="482"/>
      <w:bookmarkEnd w:id="483"/>
      <w:bookmarkEnd w:id="484"/>
      <w:bookmarkEnd w:id="48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询价人不得泄漏询价投标活动中应当保密的情况和资料，不得与投标人串通损害国家利益、社会公共利益或者他人合法权益。</w:t>
      </w:r>
    </w:p>
    <w:p>
      <w:pPr>
        <w:pStyle w:val="4"/>
        <w:snapToGrid w:val="0"/>
        <w:spacing w:line="360" w:lineRule="auto"/>
        <w:rPr>
          <w:rFonts w:ascii="仿宋" w:hAnsi="仿宋" w:eastAsia="仿宋" w:cs="仿宋"/>
          <w:snapToGrid w:val="0"/>
          <w:color w:val="000000"/>
          <w:szCs w:val="28"/>
        </w:rPr>
      </w:pPr>
      <w:bookmarkStart w:id="486" w:name="_Toc4148"/>
      <w:bookmarkStart w:id="487" w:name="_Toc28160"/>
      <w:bookmarkStart w:id="488" w:name="_Toc421899268"/>
      <w:bookmarkStart w:id="489" w:name="_Toc470130597"/>
      <w:bookmarkStart w:id="490" w:name="_Toc366074448"/>
      <w:bookmarkStart w:id="491" w:name="_Toc366074359"/>
      <w:bookmarkStart w:id="492" w:name="_Toc27713"/>
      <w:bookmarkStart w:id="493" w:name="_Toc259797113"/>
      <w:bookmarkStart w:id="494" w:name="_Toc200513174"/>
      <w:bookmarkStart w:id="495" w:name="_Toc364411557"/>
      <w:r>
        <w:rPr>
          <w:rFonts w:hint="eastAsia" w:ascii="仿宋" w:hAnsi="仿宋" w:eastAsia="仿宋" w:cs="仿宋"/>
          <w:snapToGrid w:val="0"/>
          <w:color w:val="000000"/>
          <w:szCs w:val="28"/>
        </w:rPr>
        <w:t>9.2  对投标人的纪律要求</w:t>
      </w:r>
      <w:bookmarkEnd w:id="486"/>
      <w:bookmarkEnd w:id="487"/>
      <w:bookmarkEnd w:id="488"/>
      <w:bookmarkEnd w:id="489"/>
      <w:bookmarkEnd w:id="490"/>
      <w:bookmarkEnd w:id="491"/>
      <w:bookmarkEnd w:id="492"/>
      <w:bookmarkEnd w:id="493"/>
      <w:bookmarkEnd w:id="494"/>
      <w:bookmarkEnd w:id="495"/>
    </w:p>
    <w:p>
      <w:pPr>
        <w:autoSpaceDE w:val="0"/>
        <w:autoSpaceDN w:val="0"/>
        <w:adjustRightInd w:val="0"/>
        <w:snapToGrid w:val="0"/>
        <w:spacing w:line="360" w:lineRule="auto"/>
        <w:ind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投标人不得相互串通投标或者与询价人串通投标，不得向询价人或者评标委员会成员行贿谋取中标，不得以他人名义投标或者以其他方式弄虚作假骗取中标；投标人不得以任何方式干扰、影响评标工作。</w:t>
      </w:r>
    </w:p>
    <w:p>
      <w:pPr>
        <w:pStyle w:val="4"/>
        <w:snapToGrid w:val="0"/>
        <w:spacing w:line="360" w:lineRule="auto"/>
        <w:rPr>
          <w:rFonts w:ascii="仿宋" w:hAnsi="仿宋" w:eastAsia="仿宋" w:cs="仿宋"/>
          <w:snapToGrid w:val="0"/>
          <w:color w:val="000000"/>
          <w:szCs w:val="28"/>
        </w:rPr>
      </w:pPr>
      <w:bookmarkStart w:id="496" w:name="_Toc421899269"/>
      <w:bookmarkStart w:id="497" w:name="_Toc366074360"/>
      <w:bookmarkStart w:id="498" w:name="_Toc470130598"/>
      <w:bookmarkStart w:id="499" w:name="_Toc259797114"/>
      <w:bookmarkStart w:id="500" w:name="_Toc364411558"/>
      <w:bookmarkStart w:id="501" w:name="_Toc366074449"/>
      <w:bookmarkStart w:id="502" w:name="_Toc25189"/>
      <w:bookmarkStart w:id="503" w:name="_Toc200513175"/>
      <w:bookmarkStart w:id="504" w:name="_Toc4168"/>
      <w:bookmarkStart w:id="505" w:name="_Toc14934"/>
      <w:r>
        <w:rPr>
          <w:rFonts w:hint="eastAsia" w:ascii="仿宋" w:hAnsi="仿宋" w:eastAsia="仿宋" w:cs="仿宋"/>
          <w:snapToGrid w:val="0"/>
          <w:color w:val="000000"/>
          <w:szCs w:val="28"/>
        </w:rPr>
        <w:t>9.3  对评标委员会成员的纪律要求</w:t>
      </w:r>
      <w:bookmarkEnd w:id="496"/>
      <w:bookmarkEnd w:id="497"/>
      <w:bookmarkEnd w:id="498"/>
      <w:bookmarkEnd w:id="499"/>
      <w:bookmarkEnd w:id="500"/>
      <w:bookmarkEnd w:id="501"/>
      <w:bookmarkEnd w:id="502"/>
      <w:bookmarkEnd w:id="503"/>
      <w:bookmarkEnd w:id="504"/>
      <w:bookmarkEnd w:id="505"/>
    </w:p>
    <w:p>
      <w:pPr>
        <w:autoSpaceDE w:val="0"/>
        <w:autoSpaceDN w:val="0"/>
        <w:adjustRightInd w:val="0"/>
        <w:snapToGrid w:val="0"/>
        <w:spacing w:line="360" w:lineRule="auto"/>
        <w:ind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napToGrid w:val="0"/>
        <w:spacing w:line="360" w:lineRule="auto"/>
        <w:rPr>
          <w:rFonts w:ascii="仿宋" w:hAnsi="仿宋" w:eastAsia="仿宋" w:cs="仿宋"/>
          <w:snapToGrid w:val="0"/>
          <w:color w:val="000000"/>
          <w:szCs w:val="28"/>
        </w:rPr>
      </w:pPr>
      <w:bookmarkStart w:id="506" w:name="_Toc259797115"/>
      <w:bookmarkStart w:id="507" w:name="_Toc200513176"/>
      <w:bookmarkStart w:id="508" w:name="_Toc364411559"/>
      <w:bookmarkStart w:id="509" w:name="_Toc366074361"/>
      <w:bookmarkStart w:id="510" w:name="_Toc366074450"/>
      <w:bookmarkStart w:id="511" w:name="_Toc18482"/>
      <w:bookmarkStart w:id="512" w:name="_Toc16340"/>
      <w:bookmarkStart w:id="513" w:name="_Toc8718"/>
      <w:bookmarkStart w:id="514" w:name="_Toc421899270"/>
      <w:bookmarkStart w:id="515" w:name="_Toc470130599"/>
      <w:r>
        <w:rPr>
          <w:rFonts w:hint="eastAsia" w:ascii="仿宋" w:hAnsi="仿宋" w:eastAsia="仿宋" w:cs="仿宋"/>
          <w:snapToGrid w:val="0"/>
          <w:color w:val="000000"/>
          <w:szCs w:val="28"/>
        </w:rPr>
        <w:t>9.4  对与评标活动有关的工作人员的纪律要求</w:t>
      </w:r>
      <w:bookmarkEnd w:id="506"/>
      <w:bookmarkEnd w:id="507"/>
      <w:bookmarkEnd w:id="508"/>
      <w:bookmarkEnd w:id="509"/>
      <w:bookmarkEnd w:id="510"/>
      <w:bookmarkEnd w:id="511"/>
      <w:bookmarkEnd w:id="512"/>
      <w:bookmarkEnd w:id="513"/>
      <w:bookmarkEnd w:id="514"/>
      <w:bookmarkEnd w:id="515"/>
    </w:p>
    <w:p>
      <w:pPr>
        <w:autoSpaceDE w:val="0"/>
        <w:autoSpaceDN w:val="0"/>
        <w:adjustRightInd w:val="0"/>
        <w:snapToGrid w:val="0"/>
        <w:spacing w:line="360" w:lineRule="auto"/>
        <w:ind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napToGrid w:val="0"/>
        <w:spacing w:line="360" w:lineRule="auto"/>
        <w:rPr>
          <w:rFonts w:ascii="仿宋" w:hAnsi="仿宋" w:eastAsia="仿宋" w:cs="仿宋"/>
          <w:snapToGrid w:val="0"/>
          <w:color w:val="000000"/>
          <w:szCs w:val="28"/>
        </w:rPr>
      </w:pPr>
      <w:bookmarkStart w:id="516" w:name="_Toc421899271"/>
      <w:bookmarkStart w:id="517" w:name="_Toc259797116"/>
      <w:bookmarkStart w:id="518" w:name="_Toc10312"/>
      <w:bookmarkStart w:id="519" w:name="_Toc200513177"/>
      <w:bookmarkStart w:id="520" w:name="_Toc364411560"/>
      <w:bookmarkStart w:id="521" w:name="_Toc366074362"/>
      <w:bookmarkStart w:id="522" w:name="_Toc366074451"/>
      <w:bookmarkStart w:id="523" w:name="_Toc12142"/>
      <w:bookmarkStart w:id="524" w:name="_Toc9927"/>
      <w:bookmarkStart w:id="525" w:name="_Toc470130600"/>
      <w:r>
        <w:rPr>
          <w:rFonts w:hint="eastAsia" w:ascii="仿宋" w:hAnsi="仿宋" w:eastAsia="仿宋" w:cs="仿宋"/>
          <w:snapToGrid w:val="0"/>
          <w:color w:val="000000"/>
          <w:szCs w:val="28"/>
        </w:rPr>
        <w:t>9.5  投诉</w:t>
      </w:r>
      <w:bookmarkEnd w:id="516"/>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投标人和其他利害关系人认为本次询价活动违反法律、法规和规章规定的，有权向有关行政监督部门投诉。</w:t>
      </w:r>
    </w:p>
    <w:p>
      <w:pPr>
        <w:autoSpaceDE w:val="0"/>
        <w:autoSpaceDN w:val="0"/>
        <w:adjustRightInd w:val="0"/>
        <w:snapToGrid w:val="0"/>
        <w:spacing w:line="360" w:lineRule="auto"/>
        <w:ind w:firstLine="560" w:firstLineChars="200"/>
        <w:jc w:val="left"/>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监督部门的联系方式见投标人须知前附表。</w:t>
      </w:r>
    </w:p>
    <w:p>
      <w:pPr>
        <w:pStyle w:val="4"/>
        <w:snapToGrid w:val="0"/>
        <w:spacing w:line="360" w:lineRule="auto"/>
        <w:rPr>
          <w:rFonts w:ascii="仿宋" w:hAnsi="仿宋" w:eastAsia="仿宋" w:cs="仿宋"/>
          <w:snapToGrid w:val="0"/>
          <w:color w:val="000000"/>
          <w:szCs w:val="28"/>
        </w:rPr>
      </w:pPr>
      <w:bookmarkStart w:id="526" w:name="_Toc259797117"/>
      <w:bookmarkStart w:id="527" w:name="_Toc421899272"/>
      <w:bookmarkStart w:id="528" w:name="_Toc200513178"/>
      <w:bookmarkStart w:id="529" w:name="_Toc364411342"/>
      <w:bookmarkStart w:id="530" w:name="_Toc470130601"/>
      <w:r>
        <w:rPr>
          <w:rFonts w:hint="eastAsia" w:ascii="仿宋" w:hAnsi="仿宋" w:eastAsia="仿宋" w:cs="仿宋"/>
          <w:snapToGrid w:val="0"/>
          <w:color w:val="000000"/>
          <w:szCs w:val="28"/>
        </w:rPr>
        <w:t>10. 需要补充的其他内容</w:t>
      </w:r>
      <w:bookmarkEnd w:id="526"/>
      <w:bookmarkEnd w:id="527"/>
      <w:bookmarkEnd w:id="528"/>
      <w:bookmarkEnd w:id="529"/>
      <w:bookmarkEnd w:id="530"/>
      <w:bookmarkStart w:id="531" w:name="_Toc312413593"/>
      <w:bookmarkStart w:id="532" w:name="_Toc259797118"/>
      <w:bookmarkStart w:id="533" w:name="_Toc364411343"/>
    </w:p>
    <w:p>
      <w:pPr>
        <w:pStyle w:val="2"/>
        <w:ind w:left="3105" w:hanging="3105"/>
        <w:rPr>
          <w:rFonts w:ascii="仿宋" w:hAnsi="仿宋" w:eastAsia="仿宋" w:cs="仿宋"/>
          <w:b/>
          <w:snapToGrid w:val="0"/>
          <w:color w:val="000000"/>
          <w:kern w:val="0"/>
          <w:sz w:val="32"/>
          <w:szCs w:val="32"/>
        </w:rPr>
      </w:pPr>
      <w:r>
        <w:rPr>
          <w:rFonts w:hint="eastAsia" w:ascii="仿宋" w:hAnsi="仿宋" w:eastAsia="仿宋" w:cs="仿宋"/>
          <w:b/>
          <w:snapToGrid w:val="0"/>
          <w:color w:val="000000"/>
          <w:kern w:val="0"/>
          <w:sz w:val="28"/>
          <w:szCs w:val="28"/>
        </w:rPr>
        <w:br w:type="page"/>
      </w:r>
      <w:bookmarkEnd w:id="531"/>
      <w:bookmarkEnd w:id="532"/>
      <w:bookmarkEnd w:id="533"/>
      <w:bookmarkStart w:id="534" w:name="_Toc470130602"/>
      <w:bookmarkStart w:id="535" w:name="_Toc31947_WPSOffice_Level1"/>
      <w:bookmarkStart w:id="536" w:name="_Toc3916_WPSOffice_Level1"/>
      <w:bookmarkStart w:id="537" w:name="_Toc12019_WPSOffice_Level1"/>
      <w:bookmarkStart w:id="538" w:name="_Toc470130603"/>
      <w:bookmarkStart w:id="539" w:name="_Toc28783"/>
      <w:bookmarkStart w:id="540" w:name="_Toc421899274"/>
      <w:bookmarkStart w:id="541" w:name="_Toc390874629"/>
      <w:r>
        <w:rPr>
          <w:rFonts w:hint="eastAsia" w:ascii="仿宋" w:hAnsi="仿宋" w:eastAsia="仿宋" w:cs="仿宋"/>
          <w:b/>
          <w:snapToGrid w:val="0"/>
          <w:color w:val="000000"/>
          <w:kern w:val="0"/>
          <w:sz w:val="32"/>
          <w:szCs w:val="32"/>
        </w:rPr>
        <w:t>第三章  评标办法</w:t>
      </w:r>
      <w:bookmarkEnd w:id="534"/>
      <w:bookmarkEnd w:id="535"/>
      <w:bookmarkEnd w:id="536"/>
      <w:bookmarkEnd w:id="537"/>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本项目采用综合评分法进行评标。</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综合评分法，是指投标文件满足询价文件全部实质性要求且按照评审因素的量化指标评审得分最高的合格投标人为中标候选人的评标方法。投标人总得分为价格、综合能力、服务方案等评定因素分别按照相应分值计算分项得分后相加，满分为100分.</w:t>
      </w:r>
    </w:p>
    <w:p>
      <w:pPr>
        <w:numPr>
          <w:ilvl w:val="0"/>
          <w:numId w:val="1"/>
        </w:numPr>
        <w:snapToGrid w:val="0"/>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符合性审查</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评标委员会应当对符合资格的投标人的投标文件进行符合性审查，以确定其是否满足询价文件的实质性要求。符合性审查资料表如下：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83"/>
        <w:gridCol w:w="1877"/>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序号</w:t>
            </w:r>
          </w:p>
        </w:tc>
        <w:tc>
          <w:tcPr>
            <w:tcW w:w="3360"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评审因素</w:t>
            </w:r>
          </w:p>
        </w:tc>
        <w:tc>
          <w:tcPr>
            <w:tcW w:w="4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restart"/>
            <w:vAlign w:val="center"/>
          </w:tcPr>
          <w:p>
            <w:pPr>
              <w:spacing w:line="240" w:lineRule="atLeast"/>
              <w:jc w:val="center"/>
              <w:rPr>
                <w:rFonts w:ascii="仿宋" w:hAnsi="仿宋" w:eastAsia="仿宋" w:cs="仿宋"/>
                <w:sz w:val="24"/>
              </w:rPr>
            </w:pPr>
            <w:r>
              <w:rPr>
                <w:rFonts w:hint="eastAsia" w:ascii="仿宋" w:hAnsi="仿宋" w:eastAsia="仿宋" w:cs="仿宋"/>
                <w:sz w:val="24"/>
              </w:rPr>
              <w:t>1</w:t>
            </w:r>
          </w:p>
        </w:tc>
        <w:tc>
          <w:tcPr>
            <w:tcW w:w="1483" w:type="dxa"/>
            <w:vMerge w:val="restart"/>
            <w:vAlign w:val="center"/>
          </w:tcPr>
          <w:p>
            <w:pPr>
              <w:spacing w:line="240" w:lineRule="atLeast"/>
              <w:jc w:val="center"/>
              <w:rPr>
                <w:rFonts w:ascii="仿宋" w:hAnsi="仿宋" w:eastAsia="仿宋" w:cs="仿宋"/>
                <w:sz w:val="24"/>
              </w:rPr>
            </w:pPr>
            <w:r>
              <w:rPr>
                <w:rFonts w:hint="eastAsia" w:ascii="仿宋" w:hAnsi="仿宋" w:eastAsia="仿宋" w:cs="仿宋"/>
                <w:color w:val="000000"/>
                <w:sz w:val="28"/>
                <w:szCs w:val="28"/>
              </w:rPr>
              <w:t>符合性审查</w:t>
            </w:r>
          </w:p>
        </w:tc>
        <w:tc>
          <w:tcPr>
            <w:tcW w:w="1877"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投标文件签署</w:t>
            </w:r>
          </w:p>
        </w:tc>
        <w:tc>
          <w:tcPr>
            <w:tcW w:w="4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vAlign w:val="center"/>
          </w:tcPr>
          <w:p>
            <w:pPr>
              <w:spacing w:line="240" w:lineRule="atLeast"/>
              <w:jc w:val="center"/>
              <w:rPr>
                <w:rFonts w:ascii="仿宋" w:hAnsi="仿宋" w:eastAsia="仿宋" w:cs="仿宋"/>
                <w:sz w:val="24"/>
              </w:rPr>
            </w:pPr>
          </w:p>
        </w:tc>
        <w:tc>
          <w:tcPr>
            <w:tcW w:w="1483" w:type="dxa"/>
            <w:vMerge w:val="continue"/>
            <w:vAlign w:val="center"/>
          </w:tcPr>
          <w:p>
            <w:pPr>
              <w:spacing w:line="240" w:lineRule="atLeast"/>
              <w:jc w:val="center"/>
              <w:rPr>
                <w:rFonts w:ascii="仿宋" w:hAnsi="仿宋" w:eastAsia="仿宋" w:cs="仿宋"/>
                <w:sz w:val="24"/>
              </w:rPr>
            </w:pPr>
          </w:p>
        </w:tc>
        <w:tc>
          <w:tcPr>
            <w:tcW w:w="1877"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投标方案</w:t>
            </w:r>
          </w:p>
        </w:tc>
        <w:tc>
          <w:tcPr>
            <w:tcW w:w="4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vAlign w:val="center"/>
          </w:tcPr>
          <w:p>
            <w:pPr>
              <w:spacing w:line="240" w:lineRule="atLeast"/>
              <w:jc w:val="center"/>
              <w:rPr>
                <w:rFonts w:ascii="仿宋" w:hAnsi="仿宋" w:eastAsia="仿宋" w:cs="仿宋"/>
                <w:sz w:val="24"/>
              </w:rPr>
            </w:pPr>
          </w:p>
        </w:tc>
        <w:tc>
          <w:tcPr>
            <w:tcW w:w="1483" w:type="dxa"/>
            <w:vMerge w:val="continue"/>
            <w:vAlign w:val="center"/>
          </w:tcPr>
          <w:p>
            <w:pPr>
              <w:spacing w:line="240" w:lineRule="atLeast"/>
              <w:jc w:val="center"/>
              <w:rPr>
                <w:rFonts w:ascii="仿宋" w:hAnsi="仿宋" w:eastAsia="仿宋" w:cs="仿宋"/>
                <w:sz w:val="24"/>
              </w:rPr>
            </w:pPr>
          </w:p>
        </w:tc>
        <w:tc>
          <w:tcPr>
            <w:tcW w:w="1877"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报价唯一</w:t>
            </w:r>
          </w:p>
        </w:tc>
        <w:tc>
          <w:tcPr>
            <w:tcW w:w="4575"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只能在最高限价内报价，只能有一个有效报价，不得提交选择性报价。</w:t>
            </w:r>
          </w:p>
        </w:tc>
      </w:tr>
    </w:tbl>
    <w:p>
      <w:pPr>
        <w:snapToGrid w:val="0"/>
        <w:rPr>
          <w:rFonts w:ascii="仿宋" w:hAnsi="仿宋" w:eastAsia="仿宋" w:cs="仿宋"/>
          <w:b/>
          <w:bCs/>
          <w:color w:val="000000"/>
          <w:sz w:val="28"/>
          <w:szCs w:val="28"/>
        </w:rPr>
      </w:pPr>
      <w:bookmarkStart w:id="542" w:name="_Toc492721017"/>
      <w:bookmarkStart w:id="543" w:name="_Toc493506300"/>
      <w:bookmarkStart w:id="544" w:name="_Toc267320057"/>
    </w:p>
    <w:p>
      <w:pPr>
        <w:numPr>
          <w:ilvl w:val="0"/>
          <w:numId w:val="1"/>
        </w:numPr>
        <w:snapToGrid w:val="0"/>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评标标准</w:t>
      </w:r>
      <w:bookmarkEnd w:id="542"/>
      <w:bookmarkEnd w:id="543"/>
      <w:bookmarkEnd w:id="544"/>
    </w:p>
    <w:p>
      <w:pPr>
        <w:snapToGrid w:val="0"/>
        <w:spacing w:line="360" w:lineRule="auto"/>
        <w:rPr>
          <w:rFonts w:ascii="仿宋" w:hAnsi="仿宋" w:eastAsia="仿宋" w:cs="仿宋"/>
          <w:color w:val="000000"/>
          <w:sz w:val="28"/>
          <w:szCs w:val="28"/>
        </w:rPr>
      </w:pPr>
      <w:r>
        <w:rPr>
          <w:rFonts w:hint="eastAsia" w:ascii="仿宋" w:hAnsi="仿宋" w:eastAsia="仿宋" w:cs="仿宋"/>
          <w:b/>
          <w:bCs/>
          <w:color w:val="000000"/>
          <w:sz w:val="28"/>
          <w:szCs w:val="28"/>
        </w:rPr>
        <w:t>2.1评审因素</w:t>
      </w:r>
    </w:p>
    <w:p>
      <w:pPr>
        <w:jc w:val="left"/>
        <w:rPr>
          <w:rFonts w:ascii="仿宋" w:hAnsi="仿宋" w:eastAsia="仿宋" w:cs="仿宋"/>
          <w:sz w:val="24"/>
        </w:rPr>
      </w:pPr>
    </w:p>
    <w:tbl>
      <w:tblPr>
        <w:tblStyle w:val="12"/>
        <w:tblW w:w="9782" w:type="dxa"/>
        <w:tblInd w:w="-318" w:type="dxa"/>
        <w:tblLayout w:type="fixed"/>
        <w:tblCellMar>
          <w:top w:w="0" w:type="dxa"/>
          <w:left w:w="108" w:type="dxa"/>
          <w:bottom w:w="0" w:type="dxa"/>
          <w:right w:w="108" w:type="dxa"/>
        </w:tblCellMar>
      </w:tblPr>
      <w:tblGrid>
        <w:gridCol w:w="426"/>
        <w:gridCol w:w="993"/>
        <w:gridCol w:w="4394"/>
        <w:gridCol w:w="737"/>
        <w:gridCol w:w="3232"/>
      </w:tblGrid>
      <w:tr>
        <w:tblPrEx>
          <w:tblCellMar>
            <w:top w:w="0" w:type="dxa"/>
            <w:left w:w="108" w:type="dxa"/>
            <w:bottom w:w="0" w:type="dxa"/>
            <w:right w:w="108" w:type="dxa"/>
          </w:tblCellMar>
        </w:tblPrEx>
        <w:trPr>
          <w:trHeight w:val="656"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序号</w:t>
            </w:r>
          </w:p>
        </w:tc>
        <w:tc>
          <w:tcPr>
            <w:tcW w:w="993"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项目</w:t>
            </w:r>
          </w:p>
        </w:tc>
        <w:tc>
          <w:tcPr>
            <w:tcW w:w="439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评标细则</w:t>
            </w:r>
          </w:p>
        </w:tc>
        <w:tc>
          <w:tcPr>
            <w:tcW w:w="73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分值</w:t>
            </w:r>
          </w:p>
        </w:tc>
        <w:tc>
          <w:tcPr>
            <w:tcW w:w="3232"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说明</w:t>
            </w:r>
          </w:p>
        </w:tc>
      </w:tr>
      <w:tr>
        <w:tblPrEx>
          <w:tblCellMar>
            <w:top w:w="0" w:type="dxa"/>
            <w:left w:w="108" w:type="dxa"/>
            <w:bottom w:w="0" w:type="dxa"/>
            <w:right w:w="108" w:type="dxa"/>
          </w:tblCellMar>
        </w:tblPrEx>
        <w:trPr>
          <w:trHeight w:val="778" w:hRule="atLeast"/>
        </w:trPr>
        <w:tc>
          <w:tcPr>
            <w:tcW w:w="426" w:type="dxa"/>
            <w:tcBorders>
              <w:top w:val="nil"/>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1</w:t>
            </w:r>
          </w:p>
        </w:tc>
        <w:tc>
          <w:tcPr>
            <w:tcW w:w="993" w:type="dxa"/>
            <w:tcBorders>
              <w:top w:val="nil"/>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投标报价（45分）</w:t>
            </w:r>
          </w:p>
        </w:tc>
        <w:tc>
          <w:tcPr>
            <w:tcW w:w="4394" w:type="dxa"/>
            <w:tcBorders>
              <w:top w:val="nil"/>
              <w:left w:val="nil"/>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以投标报价的到站含税总价作为计算依据，所有投标人有效报价中最低报价得满分45分，其他报价比最低报价每高1%，扣1分。</w:t>
            </w:r>
          </w:p>
        </w:tc>
        <w:tc>
          <w:tcPr>
            <w:tcW w:w="737" w:type="dxa"/>
            <w:tcBorders>
              <w:top w:val="nil"/>
              <w:left w:val="nil"/>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45</w:t>
            </w:r>
          </w:p>
        </w:tc>
        <w:tc>
          <w:tcPr>
            <w:tcW w:w="3232" w:type="dxa"/>
            <w:tcBorders>
              <w:top w:val="nil"/>
              <w:left w:val="single" w:color="auto" w:sz="4" w:space="0"/>
              <w:bottom w:val="single" w:color="000000"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偏差比例保留小数点后两位，即不足1%时，按0.XX%计算，扣减分值即为0.XX分。</w:t>
            </w:r>
          </w:p>
        </w:tc>
      </w:tr>
      <w:tr>
        <w:tblPrEx>
          <w:tblCellMar>
            <w:top w:w="0" w:type="dxa"/>
            <w:left w:w="108" w:type="dxa"/>
            <w:bottom w:w="0" w:type="dxa"/>
            <w:right w:w="108" w:type="dxa"/>
          </w:tblCellMar>
        </w:tblPrEx>
        <w:trPr>
          <w:trHeight w:val="956" w:hRule="atLeast"/>
        </w:trPr>
        <w:tc>
          <w:tcPr>
            <w:tcW w:w="426"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2</w:t>
            </w:r>
          </w:p>
          <w:p>
            <w:pPr>
              <w:spacing w:line="240" w:lineRule="atLeast"/>
              <w:jc w:val="center"/>
              <w:rPr>
                <w:rFonts w:ascii="仿宋" w:hAnsi="仿宋" w:eastAsia="仿宋" w:cs="仿宋"/>
                <w:sz w:val="24"/>
              </w:rPr>
            </w:pPr>
          </w:p>
        </w:tc>
        <w:tc>
          <w:tcPr>
            <w:tcW w:w="993"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综合</w:t>
            </w:r>
          </w:p>
          <w:p>
            <w:pPr>
              <w:spacing w:line="240" w:lineRule="atLeast"/>
              <w:jc w:val="center"/>
              <w:rPr>
                <w:rFonts w:ascii="仿宋" w:hAnsi="仿宋" w:eastAsia="仿宋" w:cs="仿宋"/>
                <w:sz w:val="24"/>
              </w:rPr>
            </w:pPr>
            <w:r>
              <w:rPr>
                <w:rFonts w:hint="eastAsia" w:ascii="仿宋" w:hAnsi="仿宋" w:eastAsia="仿宋" w:cs="仿宋"/>
                <w:sz w:val="24"/>
              </w:rPr>
              <w:t>实力（25分）</w:t>
            </w:r>
          </w:p>
        </w:tc>
        <w:tc>
          <w:tcPr>
            <w:tcW w:w="439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专职注册会计师：注册在本单位的全国注册会计师数量5人以下得2分，5人以上（含）10人以下（不含）得3分， 10人以上得5分。</w:t>
            </w:r>
          </w:p>
        </w:tc>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5</w:t>
            </w:r>
          </w:p>
        </w:tc>
        <w:tc>
          <w:tcPr>
            <w:tcW w:w="32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查询或证件为准。</w:t>
            </w:r>
          </w:p>
        </w:tc>
      </w:tr>
      <w:tr>
        <w:tblPrEx>
          <w:tblCellMar>
            <w:top w:w="0" w:type="dxa"/>
            <w:left w:w="108" w:type="dxa"/>
            <w:bottom w:w="0" w:type="dxa"/>
            <w:right w:w="108" w:type="dxa"/>
          </w:tblCellMar>
        </w:tblPrEx>
        <w:trPr>
          <w:trHeight w:val="1125" w:hRule="atLeast"/>
        </w:trPr>
        <w:tc>
          <w:tcPr>
            <w:tcW w:w="426"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993"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439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营业收入：2019年以来，三年平均营业收入在100万元及以下，得2分；在200万以上的3分；在500万元以上，得4分；在1000万元以上，得5分。最多得5分。</w:t>
            </w:r>
          </w:p>
        </w:tc>
        <w:tc>
          <w:tcPr>
            <w:tcW w:w="73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5</w:t>
            </w:r>
          </w:p>
        </w:tc>
        <w:tc>
          <w:tcPr>
            <w:tcW w:w="3232"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以经第三方会计师事务所出具的审计报告为准，提供审计报告复印件，签章齐全。</w:t>
            </w:r>
          </w:p>
        </w:tc>
      </w:tr>
      <w:tr>
        <w:tblPrEx>
          <w:tblCellMar>
            <w:top w:w="0" w:type="dxa"/>
            <w:left w:w="108" w:type="dxa"/>
            <w:bottom w:w="0" w:type="dxa"/>
            <w:right w:w="108" w:type="dxa"/>
          </w:tblCellMar>
        </w:tblPrEx>
        <w:trPr>
          <w:trHeight w:val="1752" w:hRule="atLeast"/>
        </w:trPr>
        <w:tc>
          <w:tcPr>
            <w:tcW w:w="426"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993"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4394" w:type="dxa"/>
            <w:tcBorders>
              <w:top w:val="nil"/>
              <w:left w:val="nil"/>
              <w:bottom w:val="single" w:color="auto" w:sz="4" w:space="0"/>
              <w:right w:val="single" w:color="auto" w:sz="4" w:space="0"/>
            </w:tcBorders>
            <w:vAlign w:val="center"/>
          </w:tcPr>
          <w:p>
            <w:pPr>
              <w:spacing w:line="240" w:lineRule="atLeast"/>
              <w:rPr>
                <w:rFonts w:ascii="仿宋" w:hAnsi="仿宋" w:eastAsia="仿宋" w:cs="仿宋"/>
                <w:sz w:val="24"/>
              </w:rPr>
            </w:pPr>
            <w:r>
              <w:rPr>
                <w:rFonts w:hint="eastAsia" w:ascii="仿宋" w:hAnsi="仿宋" w:eastAsia="仿宋" w:cs="仿宋"/>
                <w:sz w:val="24"/>
              </w:rPr>
              <w:t>业绩：</w:t>
            </w:r>
          </w:p>
          <w:p>
            <w:pPr>
              <w:spacing w:line="240" w:lineRule="atLeast"/>
              <w:jc w:val="center"/>
              <w:rPr>
                <w:rFonts w:ascii="仿宋" w:hAnsi="仿宋" w:eastAsia="仿宋" w:cs="仿宋"/>
                <w:sz w:val="24"/>
              </w:rPr>
            </w:pPr>
            <w:r>
              <w:rPr>
                <w:rFonts w:hint="eastAsia" w:ascii="仿宋" w:hAnsi="仿宋" w:eastAsia="仿宋" w:cs="仿宋"/>
                <w:sz w:val="24"/>
              </w:rPr>
              <w:t>在满足资格审查要求的前提下，2015年以来承担过至少1次征地拆迁相关审计工作</w:t>
            </w:r>
          </w:p>
        </w:tc>
        <w:tc>
          <w:tcPr>
            <w:tcW w:w="737"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5</w:t>
            </w:r>
          </w:p>
        </w:tc>
        <w:tc>
          <w:tcPr>
            <w:tcW w:w="3232"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提供加盖公章的合同复印件或证明资料</w:t>
            </w:r>
          </w:p>
        </w:tc>
      </w:tr>
      <w:tr>
        <w:tblPrEx>
          <w:tblCellMar>
            <w:top w:w="0" w:type="dxa"/>
            <w:left w:w="108" w:type="dxa"/>
            <w:bottom w:w="0" w:type="dxa"/>
            <w:right w:w="108" w:type="dxa"/>
          </w:tblCellMar>
        </w:tblPrEx>
        <w:trPr>
          <w:trHeight w:val="1019" w:hRule="atLeast"/>
        </w:trPr>
        <w:tc>
          <w:tcPr>
            <w:tcW w:w="426"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993"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4394"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同时具备质量管理、环境管理、职业健康安全管理体系认证证书的得4分，最高4分</w:t>
            </w:r>
          </w:p>
        </w:tc>
        <w:tc>
          <w:tcPr>
            <w:tcW w:w="737"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4</w:t>
            </w:r>
          </w:p>
        </w:tc>
        <w:tc>
          <w:tcPr>
            <w:tcW w:w="3232" w:type="dxa"/>
            <w:tcBorders>
              <w:top w:val="nil"/>
              <w:left w:val="nil"/>
              <w:bottom w:val="single" w:color="auto" w:sz="4" w:space="0"/>
              <w:right w:val="single" w:color="auto" w:sz="4" w:space="0"/>
            </w:tcBorders>
            <w:vAlign w:val="center"/>
          </w:tcPr>
          <w:p>
            <w:pPr>
              <w:spacing w:line="240" w:lineRule="atLeast"/>
              <w:rPr>
                <w:rFonts w:ascii="仿宋" w:hAnsi="仿宋" w:eastAsia="仿宋" w:cs="仿宋"/>
                <w:sz w:val="24"/>
              </w:rPr>
            </w:pPr>
            <w:r>
              <w:rPr>
                <w:rFonts w:hint="eastAsia" w:ascii="仿宋" w:hAnsi="仿宋" w:eastAsia="仿宋" w:cs="仿宋"/>
                <w:sz w:val="24"/>
              </w:rPr>
              <w:t>须提供相关证书复印件</w:t>
            </w:r>
          </w:p>
        </w:tc>
      </w:tr>
      <w:tr>
        <w:tblPrEx>
          <w:tblCellMar>
            <w:top w:w="0" w:type="dxa"/>
            <w:left w:w="108" w:type="dxa"/>
            <w:bottom w:w="0" w:type="dxa"/>
            <w:right w:w="108" w:type="dxa"/>
          </w:tblCellMar>
        </w:tblPrEx>
        <w:trPr>
          <w:trHeight w:val="934" w:hRule="atLeast"/>
        </w:trPr>
        <w:tc>
          <w:tcPr>
            <w:tcW w:w="426"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993" w:type="dxa"/>
            <w:vMerge w:val="continue"/>
            <w:tcBorders>
              <w:left w:val="single" w:color="auto" w:sz="4" w:space="0"/>
              <w:right w:val="single" w:color="auto" w:sz="4" w:space="0"/>
            </w:tcBorders>
            <w:vAlign w:val="center"/>
          </w:tcPr>
          <w:p>
            <w:pPr>
              <w:spacing w:line="240" w:lineRule="atLeast"/>
              <w:jc w:val="center"/>
              <w:rPr>
                <w:rFonts w:ascii="仿宋" w:hAnsi="仿宋" w:eastAsia="仿宋" w:cs="仿宋"/>
                <w:sz w:val="24"/>
              </w:rPr>
            </w:pPr>
          </w:p>
        </w:tc>
        <w:tc>
          <w:tcPr>
            <w:tcW w:w="4394"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获得过省级注册会计师协会颁发的荣誉证书一项得3分，最高6分</w:t>
            </w:r>
          </w:p>
        </w:tc>
        <w:tc>
          <w:tcPr>
            <w:tcW w:w="737"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6</w:t>
            </w:r>
          </w:p>
        </w:tc>
        <w:tc>
          <w:tcPr>
            <w:tcW w:w="3232" w:type="dxa"/>
            <w:tcBorders>
              <w:top w:val="nil"/>
              <w:left w:val="nil"/>
              <w:bottom w:val="single" w:color="auto" w:sz="4" w:space="0"/>
              <w:right w:val="single" w:color="auto" w:sz="4" w:space="0"/>
            </w:tcBorders>
            <w:vAlign w:val="center"/>
          </w:tcPr>
          <w:p>
            <w:pPr>
              <w:spacing w:line="240" w:lineRule="atLeast"/>
              <w:rPr>
                <w:rFonts w:ascii="仿宋" w:hAnsi="仿宋" w:eastAsia="仿宋" w:cs="仿宋"/>
                <w:sz w:val="24"/>
              </w:rPr>
            </w:pPr>
            <w:r>
              <w:rPr>
                <w:rFonts w:hint="eastAsia" w:ascii="仿宋" w:hAnsi="仿宋" w:eastAsia="仿宋" w:cs="仿宋"/>
                <w:sz w:val="24"/>
              </w:rPr>
              <w:t>须提供相关证书复印件</w:t>
            </w:r>
          </w:p>
        </w:tc>
      </w:tr>
      <w:tr>
        <w:tblPrEx>
          <w:tblCellMar>
            <w:top w:w="0" w:type="dxa"/>
            <w:left w:w="108" w:type="dxa"/>
            <w:bottom w:w="0" w:type="dxa"/>
            <w:right w:w="108" w:type="dxa"/>
          </w:tblCellMar>
        </w:tblPrEx>
        <w:trPr>
          <w:trHeight w:val="699"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3</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服务</w:t>
            </w:r>
          </w:p>
          <w:p>
            <w:pPr>
              <w:spacing w:line="240" w:lineRule="atLeast"/>
              <w:jc w:val="center"/>
              <w:rPr>
                <w:rFonts w:ascii="仿宋" w:hAnsi="仿宋" w:eastAsia="仿宋" w:cs="仿宋"/>
                <w:sz w:val="24"/>
              </w:rPr>
            </w:pPr>
            <w:r>
              <w:rPr>
                <w:rFonts w:hint="eastAsia" w:ascii="仿宋" w:hAnsi="仿宋" w:eastAsia="仿宋" w:cs="仿宋"/>
                <w:sz w:val="24"/>
              </w:rPr>
              <w:t>方案（30分）</w:t>
            </w:r>
          </w:p>
        </w:tc>
        <w:tc>
          <w:tcPr>
            <w:tcW w:w="439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1、专项审计指导思想明确和工作目标清晰优：2-4分，良：1-2分，差：0-1分）；</w:t>
            </w:r>
          </w:p>
          <w:p>
            <w:pPr>
              <w:spacing w:line="240" w:lineRule="atLeast"/>
              <w:jc w:val="center"/>
              <w:rPr>
                <w:rFonts w:ascii="仿宋" w:hAnsi="仿宋" w:eastAsia="仿宋" w:cs="仿宋"/>
                <w:sz w:val="24"/>
              </w:rPr>
            </w:pPr>
            <w:r>
              <w:rPr>
                <w:rFonts w:hint="eastAsia" w:ascii="仿宋" w:hAnsi="仿宋" w:eastAsia="仿宋" w:cs="仿宋"/>
                <w:sz w:val="24"/>
              </w:rPr>
              <w:t>2、列明审核工作内容，针对审核工作分析重难点，提出问题的解决方法（优：3-6分，良：1-3分，差：0-1分）；</w:t>
            </w:r>
          </w:p>
          <w:p>
            <w:pPr>
              <w:spacing w:line="240" w:lineRule="atLeast"/>
              <w:jc w:val="center"/>
              <w:rPr>
                <w:rFonts w:ascii="仿宋" w:hAnsi="仿宋" w:eastAsia="仿宋" w:cs="仿宋"/>
                <w:sz w:val="24"/>
              </w:rPr>
            </w:pPr>
            <w:r>
              <w:rPr>
                <w:rFonts w:hint="eastAsia" w:ascii="仿宋" w:hAnsi="仿宋" w:eastAsia="仿宋" w:cs="仿宋"/>
                <w:sz w:val="24"/>
              </w:rPr>
              <w:t>3、明确具体的审核程序和方法，与建设各方的衔接（优：6-8分，良：4-6分，差：0-4分）；</w:t>
            </w:r>
          </w:p>
          <w:p>
            <w:pPr>
              <w:spacing w:line="240" w:lineRule="atLeast"/>
              <w:jc w:val="center"/>
              <w:rPr>
                <w:rFonts w:ascii="仿宋" w:hAnsi="仿宋" w:eastAsia="仿宋" w:cs="仿宋"/>
                <w:sz w:val="24"/>
              </w:rPr>
            </w:pPr>
            <w:r>
              <w:rPr>
                <w:rFonts w:hint="eastAsia" w:ascii="仿宋" w:hAnsi="仿宋" w:eastAsia="仿宋" w:cs="仿宋"/>
                <w:sz w:val="24"/>
              </w:rPr>
              <w:t>4、根据审核工作需要机构配置完整且合理，分工明确，审核工作咨询人员岗位职责及制度健全，专业人员配置合理（优：3-6分，良：1-3分，差：0-1分）；</w:t>
            </w:r>
          </w:p>
          <w:p>
            <w:pPr>
              <w:spacing w:line="240" w:lineRule="atLeast"/>
              <w:jc w:val="center"/>
              <w:rPr>
                <w:rFonts w:ascii="仿宋" w:hAnsi="仿宋" w:eastAsia="仿宋" w:cs="仿宋"/>
                <w:sz w:val="24"/>
              </w:rPr>
            </w:pPr>
            <w:r>
              <w:rPr>
                <w:rFonts w:hint="eastAsia" w:ascii="仿宋" w:hAnsi="仿宋" w:eastAsia="仿宋" w:cs="仿宋"/>
                <w:sz w:val="24"/>
              </w:rPr>
              <w:t>5、审核进度和质量管理，明确工作成果提交时间，列出相应的进度和质量控制措施（优：3-6分，良：1-3分，差：0-1分）；</w:t>
            </w:r>
          </w:p>
        </w:tc>
        <w:tc>
          <w:tcPr>
            <w:tcW w:w="73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30</w:t>
            </w:r>
          </w:p>
        </w:tc>
        <w:tc>
          <w:tcPr>
            <w:tcW w:w="3232"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r>
              <w:rPr>
                <w:rFonts w:hint="eastAsia" w:ascii="仿宋" w:hAnsi="仿宋" w:eastAsia="仿宋" w:cs="仿宋"/>
                <w:sz w:val="24"/>
              </w:rPr>
              <w:t>提供服务方案</w:t>
            </w:r>
          </w:p>
        </w:tc>
      </w:tr>
    </w:tbl>
    <w:p/>
    <w:p>
      <w:pPr>
        <w:pStyle w:val="2"/>
        <w:ind w:left="3105" w:hanging="3105"/>
        <w:rPr>
          <w:rFonts w:ascii="仿宋" w:hAnsi="仿宋" w:eastAsia="仿宋" w:cs="仿宋"/>
          <w:color w:val="000000"/>
          <w:szCs w:val="28"/>
        </w:rPr>
      </w:pPr>
    </w:p>
    <w:p>
      <w:pPr>
        <w:pStyle w:val="2"/>
        <w:ind w:left="3105" w:hanging="3105"/>
        <w:rPr>
          <w:rFonts w:ascii="仿宋" w:hAnsi="仿宋" w:eastAsia="仿宋" w:cs="仿宋"/>
          <w:color w:val="000000"/>
          <w:szCs w:val="28"/>
        </w:rPr>
      </w:pPr>
    </w:p>
    <w:p/>
    <w:p/>
    <w:p/>
    <w:p/>
    <w:p>
      <w:pPr>
        <w:pStyle w:val="2"/>
        <w:ind w:left="3105" w:hanging="3105"/>
        <w:rPr>
          <w:rFonts w:ascii="仿宋" w:hAnsi="仿宋" w:eastAsia="仿宋" w:cs="仿宋"/>
          <w:color w:val="000000"/>
          <w:szCs w:val="28"/>
        </w:rPr>
      </w:pPr>
      <w:r>
        <w:rPr>
          <w:rFonts w:hint="eastAsia" w:ascii="仿宋" w:hAnsi="仿宋" w:eastAsia="仿宋" w:cs="仿宋"/>
          <w:color w:val="000000"/>
          <w:szCs w:val="28"/>
        </w:rPr>
        <w:t>评标方法</w:t>
      </w:r>
      <w:bookmarkEnd w:id="538"/>
      <w:bookmarkEnd w:id="539"/>
      <w:bookmarkEnd w:id="540"/>
      <w:bookmarkEnd w:id="541"/>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本次评标采用综合评标法。评标委员会对满足询价文件实质性要求的投标文件，按照本章第2.1款规定的评分标准进行打分，并按得分由高到低顺序推荐中标候选人，或根据询价人授权直接确定中标人，但投标报价低于其成本的除外。</w:t>
      </w:r>
    </w:p>
    <w:p>
      <w:pPr>
        <w:pStyle w:val="4"/>
        <w:numPr>
          <w:ilvl w:val="0"/>
          <w:numId w:val="1"/>
        </w:numPr>
        <w:spacing w:line="360" w:lineRule="auto"/>
        <w:rPr>
          <w:rFonts w:ascii="仿宋" w:hAnsi="仿宋" w:eastAsia="仿宋" w:cs="仿宋"/>
          <w:color w:val="000000"/>
          <w:szCs w:val="28"/>
        </w:rPr>
      </w:pPr>
      <w:bookmarkStart w:id="545" w:name="_Toc254865372"/>
      <w:bookmarkStart w:id="546" w:name="_Toc366074365"/>
      <w:bookmarkStart w:id="547" w:name="_Toc390874630"/>
      <w:bookmarkStart w:id="548" w:name="_Toc259797119"/>
      <w:bookmarkStart w:id="549" w:name="_Toc421899275"/>
      <w:bookmarkStart w:id="550" w:name="_Toc470130604"/>
      <w:bookmarkStart w:id="551" w:name="_Toc28526"/>
      <w:bookmarkStart w:id="552" w:name="_Toc364411563"/>
      <w:r>
        <w:rPr>
          <w:rFonts w:hint="eastAsia" w:ascii="仿宋" w:hAnsi="仿宋" w:eastAsia="仿宋" w:cs="仿宋"/>
          <w:color w:val="000000"/>
          <w:szCs w:val="28"/>
        </w:rPr>
        <w:t>评审标准</w:t>
      </w:r>
      <w:bookmarkEnd w:id="545"/>
      <w:bookmarkEnd w:id="546"/>
      <w:bookmarkEnd w:id="547"/>
      <w:bookmarkEnd w:id="548"/>
      <w:bookmarkEnd w:id="549"/>
      <w:bookmarkEnd w:id="550"/>
      <w:bookmarkEnd w:id="551"/>
      <w:bookmarkEnd w:id="552"/>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4.1 初步评审标准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2.1.1  形式评审标准：见评标办法前附表。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2.1.2  资格评审标准：见评标办法前附表。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2.1.3  响应性评审标准：见评标办法前附表。</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4.2 分值构成与评分标准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4.2.1  分值构成</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投标报价：见评标办法前附表；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4.2.2  评分标准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投标报价评分标准：见评标办法前附表。</w:t>
      </w:r>
    </w:p>
    <w:p>
      <w:pPr>
        <w:pStyle w:val="4"/>
        <w:spacing w:line="360" w:lineRule="auto"/>
        <w:rPr>
          <w:rFonts w:ascii="仿宋" w:hAnsi="仿宋" w:eastAsia="仿宋" w:cs="仿宋"/>
          <w:color w:val="000000"/>
          <w:szCs w:val="28"/>
        </w:rPr>
      </w:pPr>
      <w:bookmarkStart w:id="553" w:name="_Toc22239"/>
      <w:bookmarkStart w:id="554" w:name="_Toc421899276"/>
      <w:bookmarkStart w:id="555" w:name="_Toc390874631"/>
      <w:bookmarkStart w:id="556" w:name="_Toc470130605"/>
      <w:r>
        <w:rPr>
          <w:rFonts w:hint="eastAsia" w:ascii="仿宋" w:hAnsi="仿宋" w:eastAsia="仿宋" w:cs="仿宋"/>
          <w:color w:val="000000"/>
          <w:szCs w:val="28"/>
        </w:rPr>
        <w:t>5. 评标程序</w:t>
      </w:r>
      <w:bookmarkEnd w:id="553"/>
      <w:bookmarkEnd w:id="554"/>
      <w:bookmarkEnd w:id="555"/>
      <w:bookmarkEnd w:id="556"/>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5.1初步评审</w:t>
      </w:r>
    </w:p>
    <w:p>
      <w:pPr>
        <w:autoSpaceDE w:val="0"/>
        <w:autoSpaceDN w:val="0"/>
        <w:adjustRightInd w:val="0"/>
        <w:snapToGrid w:val="0"/>
        <w:spacing w:line="360" w:lineRule="auto"/>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5.1.1  评标委员会可以要求投标人提交第二章“投标人须知”第1.4.1项规定的有关证明和证件的原件，以便核验。评标委员会依据本章规定的标准对投标文件进行符合性评审。有一项不符合评审标准的，作无效投标文件处理。</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5.1.2  有下列情形之一的，评标委员会应当否决其投标：</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（1）投标文件未经投标单位盖章和单位负责人签字；</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）投标人不符合国家或者询价文件规定的资格条件；</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）同一投标人提交两个以上不同的投标文件或者投标报价，但询价文件要求提交备选投标的除外；</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4</w:t>
      </w:r>
      <w:r>
        <w:rPr>
          <w:rFonts w:hint="eastAsia" w:ascii="仿宋" w:hAnsi="仿宋" w:eastAsia="仿宋" w:cs="仿宋"/>
          <w:color w:val="000000"/>
          <w:sz w:val="28"/>
          <w:szCs w:val="28"/>
        </w:rPr>
        <w:t>）投标报价低于成本或者高于询价文件设定的最高投标限价；</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5</w:t>
      </w:r>
      <w:r>
        <w:rPr>
          <w:rFonts w:hint="eastAsia" w:ascii="仿宋" w:hAnsi="仿宋" w:eastAsia="仿宋" w:cs="仿宋"/>
          <w:color w:val="000000"/>
          <w:sz w:val="28"/>
          <w:szCs w:val="28"/>
        </w:rPr>
        <w:t>）投标文件没有对询价文件的实质性要求和条件作出响应；</w:t>
      </w:r>
    </w:p>
    <w:p>
      <w:pPr>
        <w:autoSpaceDE w:val="0"/>
        <w:autoSpaceDN w:val="0"/>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6</w:t>
      </w:r>
      <w:r>
        <w:rPr>
          <w:rFonts w:hint="eastAsia" w:ascii="仿宋" w:hAnsi="仿宋" w:eastAsia="仿宋" w:cs="仿宋"/>
          <w:color w:val="000000"/>
          <w:sz w:val="28"/>
          <w:szCs w:val="28"/>
        </w:rPr>
        <w:t>）投标人有串通投标、弄虚作假、行贿等违法行为。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5.1.3  投标报价有算术错误的，评标委员会按以下原则对投标报价进行修正，修正的价格经投标人书面确认后具有约束力。投标人不接受修正价格的，其投标作废标处理，并没收其投标担保。</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（1）投标文件中的大写金额与小写金额不一致的，以大写金额为准；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（2）总价金额与依据单价计算出的结果不一致的，以单价金额为准修正总价，但单价金额小数点有明显错误的除外；</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（3）当单价与数量相乘不等于合价时，以单价计算为准，如果单价有明显的小数点位置差错，应以标出的合价为准，同时对单价予以修正；</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5.1.4修正后的最终投标报价若超过投标控制价上限（如有），投标人的投标文件作废标处理。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5.1.5</w:t>
      </w:r>
      <w:r>
        <w:rPr>
          <w:rFonts w:ascii="仿宋" w:hAnsi="仿宋" w:eastAsia="仿宋" w:cs="仿宋"/>
          <w:color w:val="000000"/>
          <w:sz w:val="28"/>
          <w:szCs w:val="28"/>
        </w:rPr>
        <w:t xml:space="preserve"> </w:t>
      </w:r>
      <w:r>
        <w:rPr>
          <w:rFonts w:hint="eastAsia" w:ascii="仿宋" w:hAnsi="仿宋" w:eastAsia="仿宋" w:cs="仿宋"/>
          <w:color w:val="000000"/>
          <w:sz w:val="28"/>
          <w:szCs w:val="28"/>
        </w:rPr>
        <w:t>修正后的最终投标报价仅作为签订合同的一个依据，不参与评标价得分的计算。</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5.2详细评审</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5.2.1 评标委员会按本章第2.1款规定的量化因素和分值进行打分，并计算出综合评</w:t>
      </w:r>
      <w:r>
        <w:rPr>
          <w:rFonts w:hint="eastAsia" w:ascii="仿宋" w:hAnsi="仿宋" w:eastAsia="仿宋" w:cs="仿宋"/>
          <w:color w:val="000000"/>
          <w:kern w:val="0"/>
          <w:sz w:val="28"/>
          <w:szCs w:val="28"/>
        </w:rPr>
        <w:t>估得分。</w:t>
      </w:r>
    </w:p>
    <w:p>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（1）按本章规定的评审因素和分值对投标报价计算出得分（A)；</w:t>
      </w:r>
    </w:p>
    <w:p>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5.2.2 评分分值计算保留小数点后两位，小数点后第三位“四舍五入”（询价文件中有另外约定的除外）。</w:t>
      </w:r>
    </w:p>
    <w:p>
      <w:pPr>
        <w:autoSpaceDE w:val="0"/>
        <w:autoSpaceDN w:val="0"/>
        <w:adjustRightInd w:val="0"/>
        <w:snapToGrid w:val="0"/>
        <w:spacing w:line="360" w:lineRule="auto"/>
        <w:ind w:firstLine="560" w:firstLineChars="200"/>
        <w:jc w:val="left"/>
        <w:rPr>
          <w:rFonts w:ascii="仿宋" w:hAnsi="仿宋" w:eastAsia="仿宋" w:cs="仿宋"/>
          <w:bCs/>
          <w:color w:val="000000"/>
          <w:kern w:val="0"/>
          <w:sz w:val="28"/>
          <w:szCs w:val="28"/>
        </w:rPr>
      </w:pPr>
      <w:r>
        <w:rPr>
          <w:rFonts w:hint="eastAsia" w:ascii="仿宋" w:hAnsi="仿宋" w:eastAsia="仿宋" w:cs="仿宋"/>
          <w:color w:val="000000"/>
          <w:kern w:val="0"/>
          <w:sz w:val="28"/>
          <w:szCs w:val="28"/>
        </w:rPr>
        <w:t>5.2.3 评标委员会认定该投标人投标报价明显低于成本价的除外，应当要求该投标人作出书面说明并提供相应的证明材料。投标人不能合理说明或者不能提供相应证明材料的，由评标委员会认定该投标人以低于成本报价竞标，其投标报价为无效报价。</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5.3投标文件的澄清和补正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5.3.2  澄清、说明和</w:t>
      </w:r>
      <w:r>
        <w:rPr>
          <w:rFonts w:hint="eastAsia" w:ascii="仿宋" w:hAnsi="仿宋" w:eastAsia="仿宋" w:cs="仿宋"/>
          <w:color w:val="000000"/>
          <w:kern w:val="0"/>
          <w:sz w:val="28"/>
          <w:szCs w:val="28"/>
        </w:rPr>
        <w:t>补正不得改变投标文件的实质性内容（算术性错误修正的除外）。投标人的书面澄清、说明和补正属于投标文件的组成部分。</w:t>
      </w:r>
    </w:p>
    <w:p>
      <w:pPr>
        <w:spacing w:line="360" w:lineRule="auto"/>
        <w:ind w:firstLine="700" w:firstLineChars="250"/>
        <w:rPr>
          <w:rFonts w:ascii="仿宋" w:hAnsi="仿宋" w:eastAsia="仿宋" w:cs="仿宋"/>
          <w:color w:val="000000"/>
          <w:sz w:val="28"/>
          <w:szCs w:val="28"/>
        </w:rPr>
      </w:pPr>
      <w:r>
        <w:rPr>
          <w:rFonts w:hint="eastAsia" w:ascii="仿宋" w:hAnsi="仿宋" w:eastAsia="仿宋" w:cs="仿宋"/>
          <w:color w:val="000000"/>
          <w:kern w:val="0"/>
          <w:sz w:val="28"/>
          <w:szCs w:val="28"/>
        </w:rPr>
        <w:t>5.3.3  评标委员会对投标人提交的澄清、说明或补正有疑问的，可以要求投标人进一步澄清、说明或补正，直至满足评标委员会的要求。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5.3.4  凡超出询价文件规定的或给发包人带来未曾要求的利益的变化、偏差或其他因素在评标时不予考虑。</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 xml:space="preserve"> 5.4评标结果</w:t>
      </w:r>
    </w:p>
    <w:p>
      <w:pPr>
        <w:autoSpaceDE w:val="0"/>
        <w:autoSpaceDN w:val="0"/>
        <w:adjustRightInd w:val="0"/>
        <w:snapToGrid w:val="0"/>
        <w:spacing w:line="360" w:lineRule="auto"/>
        <w:jc w:val="left"/>
        <w:rPr>
          <w:rFonts w:ascii="仿宋" w:hAnsi="仿宋" w:eastAsia="仿宋" w:cs="仿宋"/>
          <w:color w:val="000000"/>
          <w:kern w:val="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5.</w:t>
      </w:r>
      <w:r>
        <w:rPr>
          <w:rFonts w:hint="eastAsia" w:ascii="仿宋" w:hAnsi="仿宋" w:eastAsia="仿宋" w:cs="仿宋"/>
          <w:color w:val="000000"/>
          <w:spacing w:val="-1"/>
          <w:kern w:val="0"/>
          <w:sz w:val="28"/>
          <w:szCs w:val="28"/>
        </w:rPr>
        <w:t>4</w:t>
      </w:r>
      <w:r>
        <w:rPr>
          <w:rFonts w:hint="eastAsia" w:ascii="仿宋" w:hAnsi="仿宋" w:eastAsia="仿宋" w:cs="仿宋"/>
          <w:color w:val="000000"/>
          <w:kern w:val="0"/>
          <w:sz w:val="28"/>
          <w:szCs w:val="28"/>
        </w:rPr>
        <w:t xml:space="preserve">.1 </w:t>
      </w:r>
      <w:r>
        <w:rPr>
          <w:rFonts w:hint="eastAsia" w:ascii="仿宋" w:hAnsi="仿宋" w:eastAsia="仿宋" w:cs="仿宋"/>
          <w:color w:val="000000"/>
          <w:spacing w:val="1"/>
          <w:kern w:val="0"/>
          <w:sz w:val="28"/>
          <w:szCs w:val="28"/>
        </w:rPr>
        <w:t xml:space="preserve"> </w:t>
      </w:r>
      <w:r>
        <w:rPr>
          <w:rFonts w:hint="eastAsia" w:ascii="仿宋" w:hAnsi="仿宋" w:eastAsia="仿宋" w:cs="仿宋"/>
          <w:color w:val="000000"/>
          <w:kern w:val="0"/>
          <w:sz w:val="28"/>
          <w:szCs w:val="28"/>
        </w:rPr>
        <w:t>除第二章“投标</w:t>
      </w:r>
      <w:r>
        <w:rPr>
          <w:rFonts w:hint="eastAsia" w:ascii="仿宋" w:hAnsi="仿宋" w:eastAsia="仿宋" w:cs="仿宋"/>
          <w:color w:val="000000"/>
          <w:spacing w:val="1"/>
          <w:kern w:val="0"/>
          <w:sz w:val="28"/>
          <w:szCs w:val="28"/>
        </w:rPr>
        <w:t>人</w:t>
      </w:r>
      <w:r>
        <w:rPr>
          <w:rFonts w:hint="eastAsia" w:ascii="仿宋" w:hAnsi="仿宋" w:eastAsia="仿宋" w:cs="仿宋"/>
          <w:color w:val="000000"/>
          <w:kern w:val="0"/>
          <w:sz w:val="28"/>
          <w:szCs w:val="28"/>
        </w:rPr>
        <w:t>须知”前</w:t>
      </w:r>
      <w:r>
        <w:rPr>
          <w:rFonts w:hint="eastAsia" w:ascii="仿宋" w:hAnsi="仿宋" w:eastAsia="仿宋" w:cs="仿宋"/>
          <w:color w:val="000000"/>
          <w:spacing w:val="1"/>
          <w:kern w:val="0"/>
          <w:sz w:val="28"/>
          <w:szCs w:val="28"/>
        </w:rPr>
        <w:t>附</w:t>
      </w:r>
      <w:r>
        <w:rPr>
          <w:rFonts w:hint="eastAsia" w:ascii="仿宋" w:hAnsi="仿宋" w:eastAsia="仿宋" w:cs="仿宋"/>
          <w:color w:val="000000"/>
          <w:kern w:val="0"/>
          <w:sz w:val="28"/>
          <w:szCs w:val="28"/>
        </w:rPr>
        <w:t>表授权直</w:t>
      </w:r>
      <w:r>
        <w:rPr>
          <w:rFonts w:hint="eastAsia" w:ascii="仿宋" w:hAnsi="仿宋" w:eastAsia="仿宋" w:cs="仿宋"/>
          <w:color w:val="000000"/>
          <w:spacing w:val="1"/>
          <w:kern w:val="0"/>
          <w:sz w:val="28"/>
          <w:szCs w:val="28"/>
        </w:rPr>
        <w:t>接</w:t>
      </w:r>
      <w:r>
        <w:rPr>
          <w:rFonts w:hint="eastAsia" w:ascii="仿宋" w:hAnsi="仿宋" w:eastAsia="仿宋" w:cs="仿宋"/>
          <w:color w:val="000000"/>
          <w:kern w:val="0"/>
          <w:sz w:val="28"/>
          <w:szCs w:val="28"/>
        </w:rPr>
        <w:t>确定中标</w:t>
      </w:r>
      <w:r>
        <w:rPr>
          <w:rFonts w:hint="eastAsia" w:ascii="仿宋" w:hAnsi="仿宋" w:eastAsia="仿宋" w:cs="仿宋"/>
          <w:color w:val="000000"/>
          <w:spacing w:val="1"/>
          <w:kern w:val="0"/>
          <w:sz w:val="28"/>
          <w:szCs w:val="28"/>
        </w:rPr>
        <w:t>人</w:t>
      </w:r>
      <w:r>
        <w:rPr>
          <w:rFonts w:hint="eastAsia" w:ascii="仿宋" w:hAnsi="仿宋" w:eastAsia="仿宋" w:cs="仿宋"/>
          <w:color w:val="000000"/>
          <w:kern w:val="0"/>
          <w:sz w:val="28"/>
          <w:szCs w:val="28"/>
        </w:rPr>
        <w:t>外，评标</w:t>
      </w:r>
      <w:r>
        <w:rPr>
          <w:rFonts w:hint="eastAsia" w:ascii="仿宋" w:hAnsi="仿宋" w:eastAsia="仿宋" w:cs="仿宋"/>
          <w:color w:val="000000"/>
          <w:spacing w:val="1"/>
          <w:kern w:val="0"/>
          <w:sz w:val="28"/>
          <w:szCs w:val="28"/>
        </w:rPr>
        <w:t>委</w:t>
      </w:r>
      <w:r>
        <w:rPr>
          <w:rFonts w:hint="eastAsia" w:ascii="仿宋" w:hAnsi="仿宋" w:eastAsia="仿宋" w:cs="仿宋"/>
          <w:color w:val="000000"/>
          <w:kern w:val="0"/>
          <w:sz w:val="28"/>
          <w:szCs w:val="28"/>
        </w:rPr>
        <w:t>员会按照</w:t>
      </w:r>
      <w:r>
        <w:rPr>
          <w:rFonts w:hint="eastAsia" w:ascii="仿宋" w:hAnsi="仿宋" w:eastAsia="仿宋" w:cs="仿宋"/>
          <w:color w:val="000000"/>
          <w:spacing w:val="1"/>
          <w:kern w:val="0"/>
          <w:sz w:val="28"/>
          <w:szCs w:val="28"/>
        </w:rPr>
        <w:t>得分</w:t>
      </w:r>
      <w:r>
        <w:rPr>
          <w:rFonts w:hint="eastAsia" w:ascii="仿宋" w:hAnsi="仿宋" w:eastAsia="仿宋" w:cs="仿宋"/>
          <w:color w:val="000000"/>
          <w:kern w:val="0"/>
          <w:sz w:val="28"/>
          <w:szCs w:val="28"/>
        </w:rPr>
        <w:t>由高到低的顺序推荐中标候选人。</w:t>
      </w:r>
    </w:p>
    <w:p>
      <w:pPr>
        <w:autoSpaceDE w:val="0"/>
        <w:autoSpaceDN w:val="0"/>
        <w:adjustRightInd w:val="0"/>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pacing w:val="1"/>
          <w:kern w:val="0"/>
          <w:sz w:val="28"/>
          <w:szCs w:val="28"/>
        </w:rPr>
        <w:t xml:space="preserve">     5</w:t>
      </w:r>
      <w:r>
        <w:rPr>
          <w:rFonts w:hint="eastAsia" w:ascii="仿宋" w:hAnsi="仿宋" w:eastAsia="仿宋" w:cs="仿宋"/>
          <w:color w:val="000000"/>
          <w:kern w:val="0"/>
          <w:sz w:val="28"/>
          <w:szCs w:val="28"/>
        </w:rPr>
        <w:t>.4.2  评标</w:t>
      </w:r>
      <w:r>
        <w:rPr>
          <w:rFonts w:hint="eastAsia" w:ascii="仿宋" w:hAnsi="仿宋" w:eastAsia="仿宋" w:cs="仿宋"/>
          <w:color w:val="000000"/>
          <w:spacing w:val="-1"/>
          <w:kern w:val="0"/>
          <w:sz w:val="28"/>
          <w:szCs w:val="28"/>
        </w:rPr>
        <w:t>委</w:t>
      </w:r>
      <w:r>
        <w:rPr>
          <w:rFonts w:hint="eastAsia" w:ascii="仿宋" w:hAnsi="仿宋" w:eastAsia="仿宋" w:cs="仿宋"/>
          <w:color w:val="000000"/>
          <w:kern w:val="0"/>
          <w:sz w:val="28"/>
          <w:szCs w:val="28"/>
        </w:rPr>
        <w:t>员会完成评标后，应当向询价人提交书面评标报告。</w:t>
      </w:r>
      <w:r>
        <w:rPr>
          <w:rFonts w:hint="eastAsia" w:ascii="仿宋" w:hAnsi="仿宋" w:eastAsia="仿宋" w:cs="仿宋"/>
          <w:color w:val="000000"/>
          <w:sz w:val="28"/>
          <w:szCs w:val="28"/>
        </w:rPr>
        <w:t xml:space="preserve">    </w:t>
      </w:r>
    </w:p>
    <w:p>
      <w:pPr>
        <w:pStyle w:val="2"/>
        <w:ind w:left="3105" w:hanging="3105"/>
        <w:rPr>
          <w:rFonts w:ascii="仿宋" w:hAnsi="仿宋" w:eastAsia="仿宋" w:cs="仿宋"/>
          <w:b/>
          <w:snapToGrid w:val="0"/>
          <w:color w:val="000000"/>
          <w:kern w:val="0"/>
          <w:sz w:val="32"/>
          <w:szCs w:val="32"/>
        </w:rPr>
      </w:pPr>
      <w:bookmarkStart w:id="557" w:name="_Toc10929_WPSOffice_Level1"/>
      <w:bookmarkStart w:id="558" w:name="_Toc259797121"/>
      <w:bookmarkStart w:id="559" w:name="_Toc209605549"/>
      <w:bookmarkStart w:id="560" w:name="_Toc364411344"/>
      <w:bookmarkStart w:id="561" w:name="_Toc224103393"/>
      <w:r>
        <w:rPr>
          <w:rFonts w:hint="eastAsia" w:ascii="仿宋" w:hAnsi="仿宋" w:eastAsia="仿宋" w:cs="仿宋"/>
          <w:b/>
          <w:snapToGrid w:val="0"/>
          <w:color w:val="000000"/>
          <w:kern w:val="0"/>
          <w:sz w:val="32"/>
          <w:szCs w:val="32"/>
        </w:rPr>
        <w:t>第四章  合同协议书</w:t>
      </w:r>
    </w:p>
    <w:p>
      <w:pPr>
        <w:jc w:val="center"/>
        <w:rPr>
          <w:rFonts w:ascii="仿宋_GB2312" w:hAnsi="ˎ̥" w:eastAsia="仿宋_GB2312" w:cs="宋体"/>
          <w:b/>
          <w:kern w:val="0"/>
          <w:sz w:val="32"/>
          <w:szCs w:val="32"/>
        </w:rPr>
      </w:pPr>
    </w:p>
    <w:p>
      <w:pPr>
        <w:jc w:val="center"/>
        <w:rPr>
          <w:rFonts w:ascii="仿宋_GB2312" w:eastAsia="仿宋_GB2312"/>
          <w:b/>
          <w:sz w:val="32"/>
          <w:szCs w:val="32"/>
        </w:rPr>
      </w:pPr>
      <w:r>
        <w:rPr>
          <w:rFonts w:hint="eastAsia" w:ascii="仿宋_GB2312" w:hAnsi="ˎ̥" w:eastAsia="仿宋_GB2312" w:cs="宋体"/>
          <w:b/>
          <w:kern w:val="0"/>
          <w:sz w:val="32"/>
          <w:szCs w:val="32"/>
        </w:rPr>
        <w:t>重庆三环高速公路合川至长寿段</w:t>
      </w:r>
      <w:r>
        <w:rPr>
          <w:rFonts w:hint="eastAsia" w:ascii="仿宋_GB2312" w:eastAsia="仿宋_GB2312"/>
          <w:b/>
          <w:sz w:val="32"/>
          <w:szCs w:val="32"/>
        </w:rPr>
        <w:t>项目</w:t>
      </w:r>
      <w:bookmarkEnd w:id="557"/>
    </w:p>
    <w:p>
      <w:pPr>
        <w:jc w:val="center"/>
        <w:rPr>
          <w:rFonts w:ascii="仿宋_GB2312" w:hAnsi="ˎ̥" w:eastAsia="仿宋_GB2312" w:cs="宋体"/>
          <w:b/>
          <w:kern w:val="0"/>
          <w:sz w:val="32"/>
          <w:szCs w:val="32"/>
        </w:rPr>
      </w:pPr>
      <w:r>
        <w:rPr>
          <w:rFonts w:hint="eastAsia" w:ascii="仿宋_GB2312" w:hAnsi="ˎ̥" w:eastAsia="仿宋_GB2312" w:cs="宋体"/>
          <w:b/>
          <w:kern w:val="0"/>
          <w:sz w:val="32"/>
          <w:szCs w:val="32"/>
        </w:rPr>
        <w:t>渝北境征迁资金专项审计协议书</w:t>
      </w:r>
    </w:p>
    <w:p>
      <w:pPr>
        <w:rPr>
          <w:rFonts w:ascii="宋体" w:hAnsi="宋体"/>
          <w:sz w:val="28"/>
          <w:szCs w:val="28"/>
          <w:u w:val="single"/>
        </w:rPr>
      </w:pPr>
      <w:r>
        <w:rPr>
          <w:rFonts w:hint="eastAsia" w:ascii="宋体" w:hAnsi="宋体" w:cs="方正仿宋_GBK"/>
          <w:sz w:val="28"/>
          <w:szCs w:val="28"/>
        </w:rPr>
        <w:t>甲方（委托方）：</w:t>
      </w:r>
      <w:r>
        <w:rPr>
          <w:rFonts w:hint="eastAsia" w:ascii="宋体" w:hAnsi="宋体"/>
          <w:sz w:val="28"/>
          <w:szCs w:val="28"/>
          <w:u w:val="single"/>
        </w:rPr>
        <w:t>重庆长合高速公路有限公司、重庆市渝北区征地事务中心</w:t>
      </w:r>
    </w:p>
    <w:p>
      <w:pPr>
        <w:rPr>
          <w:rFonts w:ascii="宋体" w:hAnsi="宋体"/>
          <w:sz w:val="28"/>
          <w:szCs w:val="28"/>
          <w:u w:val="single"/>
        </w:rPr>
      </w:pPr>
      <w:r>
        <w:rPr>
          <w:rFonts w:hint="eastAsia" w:ascii="宋体" w:hAnsi="宋体"/>
          <w:sz w:val="28"/>
          <w:szCs w:val="28"/>
        </w:rPr>
        <w:t>乙方（受托方）：</w:t>
      </w:r>
    </w:p>
    <w:p>
      <w:pPr>
        <w:ind w:firstLine="560" w:firstLineChars="200"/>
        <w:rPr>
          <w:rFonts w:ascii="宋体" w:hAnsi="宋体"/>
          <w:sz w:val="28"/>
          <w:szCs w:val="28"/>
        </w:rPr>
      </w:pPr>
      <w:r>
        <w:rPr>
          <w:rFonts w:hint="eastAsia" w:ascii="宋体" w:hAnsi="宋体"/>
          <w:sz w:val="28"/>
          <w:szCs w:val="28"/>
        </w:rPr>
        <w:t>根据《中华人民共和国民法典》、</w:t>
      </w:r>
      <w:r>
        <w:rPr>
          <w:rFonts w:hint="eastAsia" w:ascii="宋体" w:hAnsi="宋体" w:cs="宋体"/>
          <w:kern w:val="0"/>
          <w:sz w:val="28"/>
          <w:szCs w:val="28"/>
        </w:rPr>
        <w:t>《中华人民共和国审计法》</w:t>
      </w:r>
      <w:r>
        <w:rPr>
          <w:rFonts w:hint="eastAsia" w:ascii="宋体" w:hAnsi="宋体"/>
          <w:sz w:val="28"/>
          <w:szCs w:val="28"/>
        </w:rPr>
        <w:t>的规定，在平等、自愿的基础上，经甲、乙双方协商一致，就重庆长合高速公路有限公司、重庆市渝北区征地事务中心（以下简称委托人）共同委托对重庆三环高速公路合川至长寿段项目渝北区征迁资金专项审计工作（以下简称“本</w:t>
      </w:r>
      <w:r>
        <w:rPr>
          <w:rFonts w:ascii="宋体" w:hAnsi="宋体"/>
          <w:sz w:val="28"/>
          <w:szCs w:val="28"/>
        </w:rPr>
        <w:t>项目</w:t>
      </w:r>
      <w:r>
        <w:rPr>
          <w:rFonts w:hint="eastAsia" w:ascii="宋体" w:hAnsi="宋体"/>
          <w:sz w:val="28"/>
          <w:szCs w:val="28"/>
        </w:rPr>
        <w:t>”）有关事宜，达成如下协议：</w:t>
      </w:r>
    </w:p>
    <w:p>
      <w:pPr>
        <w:spacing w:line="360" w:lineRule="auto"/>
        <w:ind w:firstLine="560" w:firstLineChars="200"/>
        <w:rPr>
          <w:rFonts w:ascii="宋体" w:hAnsi="宋体"/>
          <w:sz w:val="28"/>
          <w:szCs w:val="28"/>
        </w:rPr>
      </w:pPr>
      <w:r>
        <w:rPr>
          <w:rFonts w:hint="eastAsia" w:ascii="宋体" w:hAnsi="宋体"/>
          <w:sz w:val="28"/>
          <w:szCs w:val="28"/>
        </w:rPr>
        <w:t>一、工程项目名称：重庆三环高速公路合川至长寿</w:t>
      </w:r>
      <w:r>
        <w:rPr>
          <w:rFonts w:ascii="宋体" w:hAnsi="宋体"/>
          <w:sz w:val="28"/>
          <w:szCs w:val="28"/>
        </w:rPr>
        <w:t>段</w:t>
      </w:r>
      <w:r>
        <w:rPr>
          <w:rFonts w:hint="eastAsia" w:ascii="宋体" w:hAnsi="宋体"/>
          <w:sz w:val="28"/>
          <w:szCs w:val="28"/>
        </w:rPr>
        <w:t>渝北区征迁资金专项审计。</w:t>
      </w:r>
    </w:p>
    <w:p>
      <w:pPr>
        <w:ind w:firstLine="560" w:firstLineChars="200"/>
        <w:rPr>
          <w:rFonts w:ascii="宋体" w:hAnsi="宋体"/>
          <w:sz w:val="28"/>
          <w:szCs w:val="28"/>
        </w:rPr>
      </w:pPr>
      <w:r>
        <w:rPr>
          <w:rFonts w:hint="eastAsia" w:ascii="宋体" w:hAnsi="宋体"/>
          <w:sz w:val="28"/>
          <w:szCs w:val="28"/>
        </w:rPr>
        <w:t>二、工程概况：本项目路线起于合川沙溪互通，与重庆三环高速公路铜梁至合川段对接，终点为渝北区渝长高速公路箭沱湾立交附近，与南川至两江新区高速公路连接。路线按双向四车道高速公路标准建设，设计速度80公里/小时，桥隧比约46.9%，全长76.062公里，工程总投资约111.97亿元，建设工期3.5年。总投资概算金额约111.97亿元人民币，于2017年3月正式开工，2021年10月交工通车。</w:t>
      </w:r>
    </w:p>
    <w:p>
      <w:pPr>
        <w:ind w:firstLine="560" w:firstLineChars="200"/>
        <w:rPr>
          <w:rFonts w:ascii="宋体" w:hAnsi="宋体"/>
          <w:sz w:val="28"/>
          <w:szCs w:val="28"/>
        </w:rPr>
      </w:pPr>
      <w:r>
        <w:rPr>
          <w:rFonts w:hint="eastAsia" w:ascii="宋体" w:hAnsi="宋体"/>
          <w:sz w:val="28"/>
          <w:szCs w:val="28"/>
        </w:rPr>
        <w:t>三、服务时间：从甲方通知进场开始至完成全部服务内容且出具正式审计报告为止。</w:t>
      </w:r>
    </w:p>
    <w:p>
      <w:pPr>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合同</w:t>
      </w:r>
      <w:r>
        <w:rPr>
          <w:rFonts w:hint="eastAsia" w:ascii="宋体" w:hAnsi="宋体"/>
          <w:sz w:val="28"/>
          <w:szCs w:val="28"/>
        </w:rPr>
        <w:t>组成</w:t>
      </w:r>
      <w:r>
        <w:rPr>
          <w:rFonts w:ascii="宋体" w:hAnsi="宋体"/>
          <w:sz w:val="28"/>
          <w:szCs w:val="28"/>
        </w:rPr>
        <w:t>文件</w:t>
      </w:r>
    </w:p>
    <w:p>
      <w:pPr>
        <w:widowControl/>
        <w:ind w:firstLine="560" w:firstLineChars="200"/>
        <w:rPr>
          <w:rFonts w:ascii="宋体" w:hAnsi="宋体"/>
          <w:sz w:val="28"/>
          <w:szCs w:val="28"/>
        </w:rPr>
      </w:pPr>
      <w:r>
        <w:rPr>
          <w:rFonts w:hint="eastAsia" w:ascii="宋体" w:hAnsi="宋体"/>
          <w:sz w:val="28"/>
          <w:szCs w:val="28"/>
        </w:rPr>
        <w:t>本协议书与下列文件一起构成合同文件:</w:t>
      </w:r>
    </w:p>
    <w:p>
      <w:pPr>
        <w:widowControl/>
        <w:ind w:firstLine="560" w:firstLineChars="200"/>
        <w:rPr>
          <w:rFonts w:ascii="宋体" w:hAnsi="宋体"/>
          <w:sz w:val="28"/>
          <w:szCs w:val="28"/>
        </w:rPr>
      </w:pPr>
      <w:bookmarkStart w:id="562" w:name="_Toc8837_WPSOffice_Level1"/>
      <w:r>
        <w:rPr>
          <w:rFonts w:hint="eastAsia" w:ascii="宋体" w:hAnsi="宋体"/>
          <w:sz w:val="28"/>
          <w:szCs w:val="28"/>
        </w:rPr>
        <w:t>1.本合同</w:t>
      </w:r>
      <w:r>
        <w:rPr>
          <w:rFonts w:ascii="宋体" w:hAnsi="宋体"/>
          <w:sz w:val="28"/>
          <w:szCs w:val="28"/>
        </w:rPr>
        <w:t>书；</w:t>
      </w:r>
      <w:bookmarkEnd w:id="562"/>
    </w:p>
    <w:p>
      <w:pPr>
        <w:widowControl/>
        <w:ind w:firstLine="560" w:firstLineChars="200"/>
        <w:rPr>
          <w:rFonts w:ascii="宋体" w:hAnsi="宋体"/>
          <w:sz w:val="28"/>
          <w:szCs w:val="28"/>
        </w:rPr>
      </w:pPr>
      <w:bookmarkStart w:id="563" w:name="_Toc8634_WPSOffice_Level1"/>
      <w:r>
        <w:rPr>
          <w:rFonts w:hint="eastAsia" w:ascii="宋体" w:hAnsi="宋体"/>
          <w:sz w:val="28"/>
          <w:szCs w:val="28"/>
        </w:rPr>
        <w:t>2.询价文</w:t>
      </w:r>
      <w:bookmarkEnd w:id="563"/>
      <w:r>
        <w:rPr>
          <w:rFonts w:hint="eastAsia" w:ascii="宋体" w:hAnsi="宋体"/>
          <w:sz w:val="28"/>
          <w:szCs w:val="28"/>
        </w:rPr>
        <w:t>件</w:t>
      </w:r>
    </w:p>
    <w:p>
      <w:pPr>
        <w:widowControl/>
        <w:ind w:firstLine="560" w:firstLineChars="200"/>
        <w:rPr>
          <w:rFonts w:ascii="宋体" w:hAnsi="宋体"/>
          <w:sz w:val="28"/>
          <w:szCs w:val="28"/>
        </w:rPr>
      </w:pPr>
      <w:bookmarkStart w:id="564" w:name="_Toc17791_WPSOffice_Level1"/>
      <w:r>
        <w:rPr>
          <w:rFonts w:hint="eastAsia" w:ascii="宋体" w:hAnsi="宋体"/>
          <w:sz w:val="28"/>
          <w:szCs w:val="28"/>
        </w:rPr>
        <w:t>3.投标</w:t>
      </w:r>
      <w:r>
        <w:rPr>
          <w:rFonts w:ascii="宋体" w:hAnsi="宋体"/>
          <w:sz w:val="28"/>
          <w:szCs w:val="28"/>
        </w:rPr>
        <w:t>文件</w:t>
      </w:r>
      <w:bookmarkEnd w:id="564"/>
    </w:p>
    <w:p>
      <w:pPr>
        <w:widowControl/>
        <w:ind w:firstLine="560" w:firstLineChars="200"/>
        <w:rPr>
          <w:rFonts w:ascii="宋体" w:hAnsi="宋体"/>
          <w:sz w:val="28"/>
          <w:szCs w:val="28"/>
        </w:rPr>
      </w:pPr>
      <w:bookmarkStart w:id="565" w:name="_Toc16946_WPSOffice_Level1"/>
      <w:r>
        <w:rPr>
          <w:rFonts w:ascii="宋体" w:hAnsi="宋体"/>
          <w:sz w:val="28"/>
          <w:szCs w:val="28"/>
        </w:rPr>
        <w:t>4</w:t>
      </w:r>
      <w:r>
        <w:rPr>
          <w:rFonts w:hint="eastAsia" w:ascii="宋体" w:hAnsi="宋体"/>
          <w:sz w:val="28"/>
          <w:szCs w:val="28"/>
        </w:rPr>
        <w:t>.合同</w:t>
      </w:r>
      <w:r>
        <w:rPr>
          <w:rFonts w:ascii="宋体" w:hAnsi="宋体"/>
          <w:sz w:val="28"/>
          <w:szCs w:val="28"/>
        </w:rPr>
        <w:t>执行过程中甲</w:t>
      </w:r>
      <w:r>
        <w:rPr>
          <w:rFonts w:hint="eastAsia" w:ascii="宋体" w:hAnsi="宋体"/>
          <w:sz w:val="28"/>
          <w:szCs w:val="28"/>
        </w:rPr>
        <w:t>方相关</w:t>
      </w:r>
      <w:r>
        <w:rPr>
          <w:rFonts w:ascii="宋体" w:hAnsi="宋体"/>
          <w:sz w:val="28"/>
          <w:szCs w:val="28"/>
        </w:rPr>
        <w:t>管理文件</w:t>
      </w:r>
      <w:r>
        <w:rPr>
          <w:rFonts w:hint="eastAsia" w:ascii="宋体" w:hAnsi="宋体"/>
          <w:sz w:val="28"/>
          <w:szCs w:val="28"/>
        </w:rPr>
        <w:t>。</w:t>
      </w:r>
      <w:bookmarkEnd w:id="565"/>
    </w:p>
    <w:p>
      <w:pPr>
        <w:widowControl/>
        <w:ind w:firstLine="560" w:firstLineChars="200"/>
        <w:rPr>
          <w:rFonts w:ascii="宋体" w:hAnsi="宋体"/>
          <w:sz w:val="28"/>
          <w:szCs w:val="28"/>
        </w:rPr>
      </w:pPr>
      <w:r>
        <w:rPr>
          <w:rFonts w:ascii="宋体" w:hAnsi="宋体"/>
          <w:sz w:val="28"/>
          <w:szCs w:val="28"/>
        </w:rPr>
        <w:t>上述各项合同文件</w:t>
      </w:r>
      <w:r>
        <w:rPr>
          <w:rFonts w:hint="eastAsia" w:ascii="宋体" w:hAnsi="宋体"/>
          <w:sz w:val="28"/>
          <w:szCs w:val="28"/>
        </w:rPr>
        <w:t>如有</w:t>
      </w:r>
      <w:r>
        <w:rPr>
          <w:rFonts w:ascii="宋体" w:hAnsi="宋体"/>
          <w:sz w:val="28"/>
          <w:szCs w:val="28"/>
        </w:rPr>
        <w:t>矛盾，以排名在前的为准。</w:t>
      </w:r>
    </w:p>
    <w:p>
      <w:pPr>
        <w:ind w:firstLine="560" w:firstLineChars="200"/>
        <w:rPr>
          <w:rFonts w:ascii="宋体" w:hAnsi="宋体"/>
          <w:sz w:val="28"/>
          <w:szCs w:val="28"/>
        </w:rPr>
      </w:pPr>
      <w:bookmarkStart w:id="566" w:name="_Toc28553_WPSOffice_Level1"/>
      <w:r>
        <w:rPr>
          <w:rFonts w:hint="eastAsia" w:ascii="宋体" w:hAnsi="宋体"/>
          <w:sz w:val="28"/>
          <w:szCs w:val="28"/>
        </w:rPr>
        <w:t>四、服务内容：</w:t>
      </w:r>
      <w:bookmarkEnd w:id="566"/>
    </w:p>
    <w:p>
      <w:pPr>
        <w:widowControl/>
        <w:ind w:firstLine="560" w:firstLineChars="200"/>
        <w:rPr>
          <w:rFonts w:ascii="宋体" w:hAnsi="宋体"/>
          <w:sz w:val="28"/>
          <w:szCs w:val="28"/>
        </w:rPr>
      </w:pPr>
      <w:r>
        <w:rPr>
          <w:rFonts w:hint="eastAsia" w:ascii="宋体" w:hAnsi="宋体"/>
          <w:sz w:val="28"/>
          <w:szCs w:val="28"/>
        </w:rPr>
        <w:t>1、服务类别</w:t>
      </w:r>
    </w:p>
    <w:p>
      <w:pPr>
        <w:spacing w:line="360" w:lineRule="auto"/>
        <w:ind w:firstLine="560" w:firstLineChars="200"/>
        <w:rPr>
          <w:rFonts w:ascii="宋体" w:hAnsi="宋体"/>
          <w:sz w:val="28"/>
          <w:szCs w:val="28"/>
        </w:rPr>
      </w:pPr>
      <w:r>
        <w:rPr>
          <w:rFonts w:hint="eastAsia" w:ascii="宋体" w:hAnsi="宋体"/>
          <w:sz w:val="28"/>
          <w:szCs w:val="28"/>
        </w:rPr>
        <w:t>征地拆迁费专项审计</w:t>
      </w:r>
    </w:p>
    <w:p>
      <w:pPr>
        <w:spacing w:line="360" w:lineRule="auto"/>
        <w:ind w:firstLine="560" w:firstLineChars="200"/>
        <w:rPr>
          <w:rFonts w:ascii="宋体" w:hAnsi="宋体"/>
          <w:sz w:val="28"/>
          <w:szCs w:val="28"/>
        </w:rPr>
      </w:pPr>
      <w:r>
        <w:rPr>
          <w:rFonts w:hint="eastAsia" w:ascii="宋体" w:hAnsi="宋体"/>
          <w:sz w:val="28"/>
          <w:szCs w:val="28"/>
        </w:rPr>
        <w:t>2、服务内容：</w:t>
      </w:r>
    </w:p>
    <w:p>
      <w:pPr>
        <w:spacing w:line="360" w:lineRule="auto"/>
        <w:ind w:firstLine="560" w:firstLineChars="200"/>
        <w:rPr>
          <w:rFonts w:ascii="宋体" w:hAnsi="宋体" w:cs="仿宋"/>
          <w:color w:val="FF0000"/>
          <w:sz w:val="28"/>
          <w:szCs w:val="28"/>
        </w:rPr>
      </w:pPr>
      <w:r>
        <w:rPr>
          <w:rFonts w:hint="eastAsia" w:ascii="宋体" w:hAnsi="宋体" w:cs="仿宋"/>
          <w:sz w:val="28"/>
          <w:szCs w:val="28"/>
        </w:rPr>
        <w:t>（1）全面清理渝北区征地事务中心对于长合高速公路渝北区境各类合同的签订情况及费用支付情况，审核合同签订的合规性，审核费用支付、结算是否合法合规合理，提供重庆长合高速公路有限公司、重庆市渝北区征地事务中心双方均认可的咨询建议和审计数据。</w:t>
      </w:r>
    </w:p>
    <w:p>
      <w:pPr>
        <w:spacing w:line="360" w:lineRule="auto"/>
        <w:ind w:firstLine="560" w:firstLineChars="200"/>
        <w:rPr>
          <w:rFonts w:ascii="宋体" w:hAnsi="宋体" w:cs="仿宋"/>
          <w:sz w:val="28"/>
          <w:szCs w:val="28"/>
        </w:rPr>
      </w:pPr>
      <w:r>
        <w:rPr>
          <w:rFonts w:hint="eastAsia" w:ascii="宋体" w:hAnsi="宋体" w:cs="仿宋"/>
          <w:sz w:val="28"/>
          <w:szCs w:val="28"/>
        </w:rPr>
        <w:t>（2）全面梳理项目发生的各类成本费用，编制（审核）渝北区征迁资金专项审计报告；</w:t>
      </w:r>
    </w:p>
    <w:p>
      <w:pPr>
        <w:spacing w:line="360" w:lineRule="auto"/>
        <w:ind w:firstLine="560" w:firstLineChars="200"/>
        <w:rPr>
          <w:rFonts w:ascii="宋体" w:hAnsi="宋体" w:cs="仿宋"/>
          <w:sz w:val="28"/>
          <w:szCs w:val="28"/>
        </w:rPr>
      </w:pPr>
      <w:r>
        <w:rPr>
          <w:rFonts w:hint="eastAsia" w:ascii="宋体" w:hAnsi="宋体" w:cs="仿宋"/>
          <w:sz w:val="28"/>
          <w:szCs w:val="28"/>
        </w:rPr>
        <w:t>（3）协助甲方建立征地拆迁各类费用的合同台账，进行动态管理。</w:t>
      </w:r>
    </w:p>
    <w:p>
      <w:pPr>
        <w:spacing w:line="360" w:lineRule="auto"/>
        <w:ind w:firstLine="560" w:firstLineChars="200"/>
        <w:rPr>
          <w:rFonts w:ascii="宋体" w:hAnsi="宋体" w:cs="仿宋"/>
          <w:sz w:val="28"/>
          <w:szCs w:val="28"/>
        </w:rPr>
      </w:pPr>
      <w:r>
        <w:rPr>
          <w:rFonts w:hint="eastAsia" w:ascii="宋体" w:hAnsi="宋体" w:cs="仿宋"/>
          <w:sz w:val="28"/>
          <w:szCs w:val="28"/>
        </w:rPr>
        <w:t>（4）国家审计机关对本项目进行决算审计时，全力做好配合及协调工作。</w:t>
      </w:r>
    </w:p>
    <w:p>
      <w:pPr>
        <w:spacing w:line="360" w:lineRule="auto"/>
        <w:ind w:firstLine="560" w:firstLineChars="200"/>
        <w:rPr>
          <w:rFonts w:ascii="宋体" w:hAnsi="宋体" w:cs="仿宋"/>
          <w:sz w:val="28"/>
          <w:szCs w:val="28"/>
        </w:rPr>
      </w:pPr>
      <w:r>
        <w:rPr>
          <w:rFonts w:hint="eastAsia" w:ascii="宋体" w:hAnsi="宋体" w:cs="仿宋"/>
          <w:sz w:val="28"/>
          <w:szCs w:val="28"/>
        </w:rPr>
        <w:t>（5）甲方要求完成的其他工作。</w:t>
      </w:r>
    </w:p>
    <w:p>
      <w:pPr>
        <w:spacing w:line="360" w:lineRule="auto"/>
        <w:ind w:firstLine="560" w:firstLineChars="200"/>
        <w:rPr>
          <w:rFonts w:ascii="宋体" w:hAnsi="宋体"/>
          <w:sz w:val="28"/>
          <w:szCs w:val="28"/>
        </w:rPr>
      </w:pPr>
      <w:r>
        <w:rPr>
          <w:rFonts w:hint="eastAsia" w:ascii="宋体" w:hAnsi="宋体"/>
          <w:sz w:val="28"/>
          <w:szCs w:val="28"/>
        </w:rPr>
        <w:t>3、成果文件：</w:t>
      </w:r>
    </w:p>
    <w:p>
      <w:pPr>
        <w:spacing w:line="360" w:lineRule="auto"/>
        <w:ind w:firstLine="560" w:firstLineChars="200"/>
        <w:rPr>
          <w:rFonts w:ascii="宋体" w:hAnsi="宋体"/>
          <w:sz w:val="28"/>
          <w:szCs w:val="28"/>
        </w:rPr>
      </w:pPr>
      <w:r>
        <w:rPr>
          <w:rFonts w:hint="eastAsia" w:ascii="宋体" w:hAnsi="宋体"/>
          <w:sz w:val="28"/>
          <w:szCs w:val="28"/>
        </w:rPr>
        <w:t>包括但不限于征迁资金专项审计报告、审计数据认可审签表等。</w:t>
      </w:r>
    </w:p>
    <w:p>
      <w:pPr>
        <w:spacing w:line="360" w:lineRule="auto"/>
        <w:rPr>
          <w:rFonts w:ascii="宋体" w:hAnsi="宋体"/>
          <w:sz w:val="28"/>
          <w:szCs w:val="28"/>
        </w:rPr>
      </w:pPr>
      <w:r>
        <w:rPr>
          <w:rFonts w:hint="eastAsia" w:ascii="宋体" w:hAnsi="宋体"/>
          <w:sz w:val="28"/>
          <w:szCs w:val="28"/>
        </w:rPr>
        <w:t>报告中应针对发现问题提出管理建议内控管理方面的建议。</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质量要求</w:t>
      </w:r>
    </w:p>
    <w:p>
      <w:pPr>
        <w:spacing w:line="360" w:lineRule="auto"/>
        <w:ind w:firstLine="560" w:firstLineChars="200"/>
        <w:rPr>
          <w:rFonts w:ascii="宋体" w:hAnsi="宋体"/>
          <w:sz w:val="28"/>
          <w:szCs w:val="28"/>
        </w:rPr>
      </w:pPr>
      <w:r>
        <w:rPr>
          <w:rFonts w:hint="eastAsia" w:ascii="宋体" w:hAnsi="宋体"/>
          <w:sz w:val="28"/>
          <w:szCs w:val="28"/>
        </w:rPr>
        <w:t>乙方提交的专项审计报告及审计建议需达到委托双方一致认可要求</w:t>
      </w:r>
    </w:p>
    <w:p>
      <w:pPr>
        <w:spacing w:line="360" w:lineRule="auto"/>
        <w:ind w:firstLine="560" w:firstLineChars="200"/>
        <w:rPr>
          <w:rFonts w:ascii="宋体" w:hAnsi="宋体"/>
          <w:sz w:val="28"/>
          <w:szCs w:val="28"/>
        </w:rPr>
      </w:pPr>
      <w:bookmarkStart w:id="567" w:name="_Toc10981_WPSOffice_Level1"/>
      <w:r>
        <w:rPr>
          <w:rFonts w:hint="eastAsia" w:ascii="宋体" w:hAnsi="宋体"/>
          <w:sz w:val="28"/>
          <w:szCs w:val="28"/>
        </w:rPr>
        <w:t>五、甲方责任、权利</w:t>
      </w:r>
      <w:bookmarkEnd w:id="567"/>
    </w:p>
    <w:p>
      <w:pPr>
        <w:ind w:firstLine="560" w:firstLineChars="200"/>
        <w:rPr>
          <w:rFonts w:ascii="宋体" w:hAnsi="宋体"/>
          <w:sz w:val="28"/>
          <w:szCs w:val="28"/>
        </w:rPr>
      </w:pPr>
      <w:r>
        <w:rPr>
          <w:rFonts w:hint="eastAsia" w:ascii="宋体" w:hAnsi="宋体"/>
          <w:sz w:val="28"/>
          <w:szCs w:val="28"/>
        </w:rPr>
        <w:t>1、在本协议生效后，甲方按照本协议书约定的付费标准及方式向乙方支付委托服务费；</w:t>
      </w:r>
    </w:p>
    <w:p>
      <w:pPr>
        <w:ind w:firstLine="560" w:firstLineChars="200"/>
        <w:rPr>
          <w:rFonts w:ascii="宋体" w:hAnsi="宋体"/>
          <w:sz w:val="28"/>
          <w:szCs w:val="28"/>
        </w:rPr>
      </w:pPr>
      <w:r>
        <w:rPr>
          <w:rFonts w:hint="eastAsia" w:ascii="宋体" w:hAnsi="宋体"/>
          <w:sz w:val="28"/>
          <w:szCs w:val="28"/>
        </w:rPr>
        <w:t>2、当甲方认为乙方不按合同履行其职责，甲方有权要求更换乙方有关人员，直至终止合同并要求乙方承担相应的赔偿责任；</w:t>
      </w:r>
    </w:p>
    <w:p>
      <w:pPr>
        <w:ind w:firstLine="560" w:firstLineChars="200"/>
        <w:rPr>
          <w:rFonts w:ascii="宋体" w:hAnsi="宋体"/>
          <w:sz w:val="28"/>
          <w:szCs w:val="28"/>
        </w:rPr>
      </w:pPr>
      <w:r>
        <w:rPr>
          <w:rFonts w:hint="eastAsia" w:ascii="宋体" w:hAnsi="宋体"/>
          <w:sz w:val="28"/>
          <w:szCs w:val="28"/>
        </w:rPr>
        <w:t>3、了解掌握乙方审计的有关情况，并可对有争议的事项及异常情况发表意见；</w:t>
      </w:r>
    </w:p>
    <w:p>
      <w:pPr>
        <w:ind w:firstLine="560" w:firstLineChars="200"/>
        <w:rPr>
          <w:rFonts w:ascii="宋体" w:hAnsi="宋体"/>
          <w:sz w:val="28"/>
          <w:szCs w:val="28"/>
        </w:rPr>
      </w:pPr>
      <w:r>
        <w:rPr>
          <w:rFonts w:hint="eastAsia" w:ascii="宋体" w:hAnsi="宋体"/>
          <w:sz w:val="28"/>
          <w:szCs w:val="28"/>
        </w:rPr>
        <w:t>4、督促第三方按乙方要求，提供完整的各类项目资料。</w:t>
      </w:r>
    </w:p>
    <w:p>
      <w:pPr>
        <w:ind w:firstLine="560" w:firstLineChars="200"/>
        <w:rPr>
          <w:rFonts w:ascii="宋体" w:hAnsi="宋体"/>
          <w:sz w:val="28"/>
          <w:szCs w:val="28"/>
        </w:rPr>
      </w:pPr>
      <w:bookmarkStart w:id="568" w:name="_Toc26014_WPSOffice_Level1"/>
      <w:r>
        <w:rPr>
          <w:rFonts w:hint="eastAsia" w:ascii="宋体" w:hAnsi="宋体"/>
          <w:sz w:val="28"/>
          <w:szCs w:val="28"/>
        </w:rPr>
        <w:t>六、乙方责任、权利</w:t>
      </w:r>
      <w:bookmarkEnd w:id="568"/>
    </w:p>
    <w:p>
      <w:pPr>
        <w:ind w:firstLine="560" w:firstLineChars="200"/>
        <w:rPr>
          <w:rFonts w:ascii="宋体" w:hAnsi="宋体"/>
          <w:sz w:val="28"/>
          <w:szCs w:val="28"/>
        </w:rPr>
      </w:pPr>
      <w:r>
        <w:rPr>
          <w:rFonts w:hint="eastAsia" w:ascii="宋体" w:hAnsi="宋体"/>
          <w:sz w:val="28"/>
          <w:szCs w:val="28"/>
        </w:rPr>
        <w:t>按照甲方要求配备且不限于以下要求的相关人员：注册会计师1名，审计人员3名。</w:t>
      </w:r>
    </w:p>
    <w:p>
      <w:pPr>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、在协议生效后，按甲方要求及时进驻现场，根据国家相关政策法规开展审计工作，在协议生效2个月内完成审计，并出具委托人双方均认可的审计报告；</w:t>
      </w:r>
    </w:p>
    <w:p>
      <w:pPr>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乙方按照《中国注册会计师独立审计准则》和《会计师事务所从事基本建设工程预算、结算、决算审查暂行办法》等有关法规的要求独立、公正的进行审计，根据甲方时间需求出具真实、合法的审计成果文件，并对成果文件的合法性、真实性、准确性负责；</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乙方应对在审计过程中知悉的甲方的工程及商业秘密、信息和资料等严加保密，如有违反，应向甲方承担合同金额10%的违约金，如有损失，乙方应另行赔偿；本条款长期有效，不因本协议的终止、解除、无效等失效。</w:t>
      </w:r>
    </w:p>
    <w:p>
      <w:pPr>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、乙方应当履行合同中约定的义务，因乙方的单方过失造成的经济损失，除应当向甲方赔偿一切损失外，还应承担甲方为实现自身权益支出的一切费用（包括但不限于律师费、诉讼费、鉴定费、保全费等）。。</w:t>
      </w:r>
    </w:p>
    <w:p>
      <w:pPr>
        <w:ind w:firstLine="560" w:firstLineChars="200"/>
        <w:rPr>
          <w:rFonts w:ascii="宋体" w:hAnsi="宋体"/>
          <w:sz w:val="28"/>
          <w:szCs w:val="28"/>
        </w:rPr>
      </w:pPr>
      <w:bookmarkStart w:id="569" w:name="_Toc2618_WPSOffice_Level1"/>
      <w:r>
        <w:rPr>
          <w:rFonts w:hint="eastAsia" w:ascii="宋体" w:hAnsi="宋体"/>
          <w:sz w:val="28"/>
          <w:szCs w:val="28"/>
        </w:rPr>
        <w:t>七、费用及支付方式</w:t>
      </w:r>
      <w:bookmarkEnd w:id="569"/>
    </w:p>
    <w:p>
      <w:pPr>
        <w:ind w:firstLine="560" w:firstLineChars="200"/>
        <w:rPr>
          <w:rFonts w:ascii="宋体" w:hAnsi="宋体"/>
          <w:sz w:val="28"/>
          <w:szCs w:val="28"/>
        </w:rPr>
      </w:pPr>
      <w:r>
        <w:rPr>
          <w:rFonts w:hint="eastAsia" w:ascii="宋体" w:hAnsi="宋体"/>
          <w:sz w:val="28"/>
          <w:szCs w:val="28"/>
        </w:rPr>
        <w:t>1、审计服务费用</w:t>
      </w:r>
    </w:p>
    <w:p>
      <w:pPr>
        <w:ind w:firstLine="560" w:firstLineChars="200"/>
        <w:rPr>
          <w:rFonts w:ascii="宋体" w:hAnsi="宋体"/>
          <w:sz w:val="28"/>
          <w:szCs w:val="28"/>
        </w:rPr>
      </w:pPr>
      <w:r>
        <w:rPr>
          <w:rFonts w:hint="eastAsia" w:ascii="宋体" w:hAnsi="宋体"/>
          <w:sz w:val="28"/>
          <w:szCs w:val="28"/>
        </w:rPr>
        <w:t>按包干含税价整</w:t>
      </w:r>
      <w:r>
        <w:rPr>
          <w:rFonts w:ascii="宋体" w:hAnsi="宋体"/>
          <w:sz w:val="28"/>
          <w:szCs w:val="28"/>
        </w:rPr>
        <w:t>（</w:t>
      </w:r>
      <w:r>
        <w:rPr>
          <w:rFonts w:hint="eastAsia" w:ascii="宋体" w:hAnsi="宋体"/>
          <w:sz w:val="28"/>
          <w:szCs w:val="28"/>
        </w:rPr>
        <w:t>小写</w:t>
      </w:r>
      <w:r>
        <w:rPr>
          <w:rFonts w:ascii="宋体" w:hAnsi="宋体"/>
          <w:sz w:val="28"/>
          <w:szCs w:val="28"/>
        </w:rPr>
        <w:t>：</w:t>
      </w:r>
      <w:r>
        <w:rPr>
          <w:rFonts w:hint="eastAsia" w:ascii="宋体" w:hAnsi="宋体"/>
          <w:sz w:val="28"/>
          <w:szCs w:val="28"/>
        </w:rPr>
        <w:t>元</w:t>
      </w:r>
      <w:r>
        <w:rPr>
          <w:rFonts w:ascii="宋体" w:hAnsi="宋体"/>
          <w:sz w:val="28"/>
          <w:szCs w:val="28"/>
        </w:rPr>
        <w:t>）</w:t>
      </w:r>
      <w:r>
        <w:rPr>
          <w:rFonts w:hint="eastAsia" w:ascii="宋体" w:hAnsi="宋体"/>
          <w:sz w:val="28"/>
          <w:szCs w:val="28"/>
        </w:rPr>
        <w:t>，其中不含税价款   元，税率</w:t>
      </w:r>
      <w:r>
        <w:rPr>
          <w:rFonts w:ascii="宋体" w:hAnsi="宋体"/>
          <w:sz w:val="28"/>
          <w:szCs w:val="28"/>
        </w:rPr>
        <w:t>为</w:t>
      </w:r>
      <w:r>
        <w:rPr>
          <w:rFonts w:ascii="宋体" w:hAnsi="宋体"/>
          <w:sz w:val="28"/>
          <w:szCs w:val="28"/>
          <w:u w:val="single"/>
        </w:rPr>
        <w:t>6</w:t>
      </w:r>
      <w:r>
        <w:rPr>
          <w:rFonts w:ascii="宋体" w:hAnsi="宋体"/>
          <w:sz w:val="28"/>
          <w:szCs w:val="28"/>
        </w:rPr>
        <w:t>%；</w:t>
      </w:r>
      <w:r>
        <w:rPr>
          <w:rFonts w:hint="eastAsia" w:ascii="宋体" w:hAnsi="宋体"/>
          <w:sz w:val="28"/>
          <w:szCs w:val="28"/>
        </w:rPr>
        <w:t>税额</w:t>
      </w:r>
      <w:r>
        <w:rPr>
          <w:rFonts w:ascii="宋体" w:hAnsi="宋体"/>
          <w:sz w:val="28"/>
          <w:szCs w:val="28"/>
        </w:rPr>
        <w:t>为</w:t>
      </w:r>
      <w:r>
        <w:rPr>
          <w:rFonts w:hint="eastAsia" w:ascii="宋体" w:hAnsi="宋体"/>
          <w:sz w:val="28"/>
          <w:szCs w:val="28"/>
        </w:rPr>
        <w:t xml:space="preserve">   元，审计费用由委托双方各承担50%。</w:t>
      </w:r>
    </w:p>
    <w:p>
      <w:pPr>
        <w:ind w:firstLine="560" w:firstLineChars="200"/>
        <w:rPr>
          <w:rFonts w:ascii="宋体" w:hAnsi="宋体"/>
          <w:sz w:val="28"/>
          <w:szCs w:val="28"/>
        </w:rPr>
      </w:pPr>
      <w:r>
        <w:rPr>
          <w:rFonts w:hint="eastAsia" w:ascii="宋体" w:hAnsi="宋体"/>
          <w:sz w:val="28"/>
          <w:szCs w:val="28"/>
        </w:rPr>
        <w:t>2、付款办法</w:t>
      </w:r>
    </w:p>
    <w:p>
      <w:pPr>
        <w:ind w:firstLine="560" w:firstLineChars="200"/>
        <w:rPr>
          <w:rFonts w:ascii="宋体" w:hAnsi="宋体"/>
          <w:sz w:val="28"/>
          <w:szCs w:val="28"/>
        </w:rPr>
      </w:pPr>
      <w:r>
        <w:rPr>
          <w:rFonts w:hint="eastAsia" w:ascii="宋体" w:hAnsi="宋体"/>
          <w:sz w:val="28"/>
          <w:szCs w:val="28"/>
        </w:rPr>
        <w:t>甲方收到乙方出具的委托双方一致认可的正式专项审计报告后20个工作日内，一次性支付审计服务费，甲方付款前，乙方须先向甲方共同委托人按合同约定承担比例提供等额的正规增值税普通发票。</w:t>
      </w:r>
    </w:p>
    <w:p>
      <w:pPr>
        <w:ind w:firstLine="560" w:firstLineChars="200"/>
        <w:rPr>
          <w:rFonts w:ascii="宋体" w:hAnsi="宋体"/>
          <w:sz w:val="28"/>
          <w:szCs w:val="28"/>
        </w:rPr>
      </w:pPr>
      <w:bookmarkStart w:id="570" w:name="_Toc3195_WPSOffice_Level1"/>
      <w:r>
        <w:rPr>
          <w:rFonts w:hint="eastAsia" w:ascii="宋体" w:hAnsi="宋体"/>
          <w:sz w:val="28"/>
          <w:szCs w:val="28"/>
        </w:rPr>
        <w:t>八、约定事项的变更</w:t>
      </w:r>
      <w:bookmarkEnd w:id="570"/>
    </w:p>
    <w:p>
      <w:pPr>
        <w:ind w:firstLine="560" w:firstLineChars="200"/>
        <w:rPr>
          <w:rFonts w:ascii="宋体" w:hAnsi="宋体"/>
          <w:sz w:val="28"/>
          <w:szCs w:val="28"/>
        </w:rPr>
      </w:pPr>
      <w:r>
        <w:rPr>
          <w:rFonts w:hint="eastAsia" w:ascii="宋体" w:hAnsi="宋体"/>
          <w:sz w:val="28"/>
          <w:szCs w:val="28"/>
        </w:rPr>
        <w:t>由于出现不可预见的情况，影响审计工作如期完成，或需提前出具审计报告，甲乙双方可要求变更约定事项，但应及时通知另一方，并由双方协商解决。</w:t>
      </w:r>
    </w:p>
    <w:p>
      <w:pPr>
        <w:ind w:firstLine="560" w:firstLineChars="200"/>
        <w:rPr>
          <w:rFonts w:ascii="宋体" w:hAnsi="宋体"/>
          <w:sz w:val="28"/>
          <w:szCs w:val="28"/>
        </w:rPr>
      </w:pPr>
      <w:bookmarkStart w:id="571" w:name="_Toc10793_WPSOffice_Level1"/>
      <w:r>
        <w:rPr>
          <w:rFonts w:hint="eastAsia" w:ascii="宋体" w:hAnsi="宋体"/>
          <w:sz w:val="28"/>
          <w:szCs w:val="28"/>
        </w:rPr>
        <w:t>九、违约责任</w:t>
      </w:r>
      <w:bookmarkEnd w:id="571"/>
    </w:p>
    <w:p>
      <w:pPr>
        <w:ind w:firstLine="560" w:firstLineChars="200"/>
        <w:rPr>
          <w:rFonts w:ascii="宋体" w:hAnsi="宋体"/>
          <w:sz w:val="28"/>
          <w:szCs w:val="28"/>
        </w:rPr>
      </w:pPr>
      <w:r>
        <w:rPr>
          <w:rFonts w:hint="eastAsia" w:ascii="宋体" w:hAnsi="宋体"/>
          <w:sz w:val="28"/>
          <w:szCs w:val="28"/>
        </w:rPr>
        <w:t>1、甲乙双方任何一方违约，按《中华人民共和国民法典》规定承担违约责任。</w:t>
      </w:r>
    </w:p>
    <w:p>
      <w:pPr>
        <w:ind w:firstLine="560" w:firstLineChars="200"/>
        <w:rPr>
          <w:rFonts w:ascii="宋体" w:hAnsi="宋体"/>
          <w:sz w:val="28"/>
          <w:szCs w:val="28"/>
        </w:rPr>
      </w:pPr>
      <w:r>
        <w:rPr>
          <w:rFonts w:hint="eastAsia" w:ascii="宋体" w:hAnsi="宋体"/>
          <w:sz w:val="28"/>
          <w:szCs w:val="28"/>
        </w:rPr>
        <w:t>2、如因审查结果存在真实性、准确性等质量问题，乙方应向甲方承担合同金额5%的违约金，如有损失，乙方应另行赔偿，并重新出具符合相关要求的审查结果。</w:t>
      </w:r>
    </w:p>
    <w:p>
      <w:pPr>
        <w:ind w:firstLine="560" w:firstLineChars="200"/>
        <w:rPr>
          <w:rFonts w:ascii="宋体" w:hAnsi="宋体"/>
          <w:sz w:val="28"/>
          <w:szCs w:val="28"/>
        </w:rPr>
      </w:pPr>
      <w:r>
        <w:rPr>
          <w:rFonts w:hint="eastAsia" w:ascii="宋体" w:hAnsi="宋体"/>
          <w:sz w:val="28"/>
          <w:szCs w:val="28"/>
        </w:rPr>
        <w:t>3、乙方未按时出具成果文件的，每逾期一日应向甲方承担合同金额3‰的违约金，逾期超过30天的，甲方有权单方面解除本合同并要求乙方承担合同金额10％的违约金。如逾期对甲方造成损失的，乙方应另行赔偿。</w:t>
      </w:r>
    </w:p>
    <w:p>
      <w:pPr>
        <w:ind w:firstLine="560" w:firstLineChars="200"/>
        <w:rPr>
          <w:rFonts w:ascii="宋体" w:hAnsi="宋体"/>
          <w:sz w:val="28"/>
          <w:szCs w:val="28"/>
        </w:rPr>
      </w:pPr>
      <w:bookmarkStart w:id="572" w:name="_Toc17855_WPSOffice_Level1"/>
      <w:r>
        <w:rPr>
          <w:rFonts w:hint="eastAsia" w:ascii="宋体" w:hAnsi="宋体"/>
          <w:sz w:val="28"/>
          <w:szCs w:val="28"/>
        </w:rPr>
        <w:t>十、争议解决</w:t>
      </w:r>
      <w:bookmarkEnd w:id="572"/>
    </w:p>
    <w:p>
      <w:pPr>
        <w:ind w:firstLine="560" w:firstLineChars="200"/>
        <w:rPr>
          <w:rFonts w:ascii="宋体" w:hAnsi="宋体"/>
          <w:sz w:val="28"/>
          <w:szCs w:val="28"/>
        </w:rPr>
      </w:pPr>
      <w:r>
        <w:rPr>
          <w:rFonts w:hint="eastAsia" w:ascii="宋体" w:hAnsi="宋体"/>
          <w:sz w:val="28"/>
          <w:szCs w:val="28"/>
        </w:rPr>
        <w:t>甲乙双方发生争议，应先通过友好协商解决，协商不成，任何一方均向重庆仲裁委员会申请仲</w:t>
      </w:r>
      <w:r>
        <w:rPr>
          <w:rFonts w:ascii="宋体" w:hAnsi="宋体"/>
          <w:sz w:val="28"/>
          <w:szCs w:val="28"/>
        </w:rPr>
        <w:t>裁，仲裁是终局的，对双方均有约束</w:t>
      </w:r>
      <w:r>
        <w:rPr>
          <w:rFonts w:hint="eastAsia" w:ascii="宋体" w:hAnsi="宋体"/>
          <w:sz w:val="28"/>
          <w:szCs w:val="28"/>
        </w:rPr>
        <w:t>。</w:t>
      </w:r>
    </w:p>
    <w:p>
      <w:pPr>
        <w:ind w:firstLine="560" w:firstLineChars="200"/>
        <w:rPr>
          <w:rFonts w:ascii="宋体" w:hAnsi="宋体"/>
          <w:sz w:val="28"/>
          <w:szCs w:val="28"/>
        </w:rPr>
      </w:pPr>
      <w:bookmarkStart w:id="573" w:name="_Toc12106_WPSOffice_Level1"/>
      <w:r>
        <w:rPr>
          <w:rFonts w:hint="eastAsia" w:ascii="宋体" w:hAnsi="宋体"/>
          <w:sz w:val="28"/>
          <w:szCs w:val="28"/>
        </w:rPr>
        <w:t>十一、其他约定事项</w:t>
      </w:r>
      <w:bookmarkEnd w:id="573"/>
    </w:p>
    <w:p>
      <w:pPr>
        <w:ind w:firstLine="560" w:firstLineChars="200"/>
        <w:rPr>
          <w:rFonts w:ascii="宋体" w:hAnsi="宋体"/>
          <w:sz w:val="28"/>
          <w:szCs w:val="28"/>
        </w:rPr>
      </w:pPr>
      <w:r>
        <w:rPr>
          <w:rFonts w:hint="eastAsia" w:ascii="宋体" w:hAnsi="宋体"/>
          <w:sz w:val="28"/>
          <w:szCs w:val="28"/>
        </w:rPr>
        <w:t>本协议一式陆份，甲乙双方各执叁份，具有同等法律效力。本协议自甲乙双方法定代表人或授权代表签字并加盖公章或合同专用章之日起生效，并在本协议事项全部完成后自然失效。</w:t>
      </w:r>
    </w:p>
    <w:p>
      <w:pPr>
        <w:ind w:firstLine="560" w:firstLineChars="200"/>
        <w:rPr>
          <w:rFonts w:ascii="宋体" w:hAnsi="宋体"/>
          <w:sz w:val="28"/>
          <w:szCs w:val="28"/>
        </w:rPr>
      </w:pPr>
      <w:r>
        <w:rPr>
          <w:rFonts w:hint="eastAsia" w:ascii="宋体" w:hAnsi="宋体"/>
          <w:sz w:val="28"/>
          <w:szCs w:val="28"/>
        </w:rPr>
        <w:t>十二、通知与送达</w:t>
      </w:r>
    </w:p>
    <w:p>
      <w:pPr>
        <w:ind w:firstLine="560" w:firstLineChars="200"/>
        <w:rPr>
          <w:rFonts w:ascii="宋体" w:hAnsi="宋体"/>
          <w:sz w:val="28"/>
          <w:szCs w:val="28"/>
        </w:rPr>
      </w:pPr>
      <w:r>
        <w:rPr>
          <w:rFonts w:hint="eastAsia" w:ascii="宋体" w:hAnsi="宋体"/>
          <w:sz w:val="28"/>
          <w:szCs w:val="28"/>
        </w:rPr>
        <w:t>双方确认，因履行本合同之需要，一方向对方发送有关通知或者其他文件，如果受送达一方拒绝签收，或者送达一方认为必要时，送达一方可以按本合同尾部载明的地址、电话号码等相关信息，以邮政、快递等方式送达，并且自发出之次日起视为已经送达。如果一方需变更地址或者相关信息的，应及时通知对方，在变更通知到达对方之前，视为没有变更。因履行本合同发生争议申请仲裁（或提起诉讼）的，本条关于送达的约定适用于仲裁机构（或人民法院）对仲裁文书（法律文书）的送达。</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本页无正文。</w:t>
      </w:r>
    </w:p>
    <w:p>
      <w:pPr>
        <w:ind w:firstLine="560" w:firstLineChars="200"/>
        <w:rPr>
          <w:rFonts w:ascii="宋体" w:hAnsi="宋体"/>
          <w:sz w:val="28"/>
          <w:szCs w:val="28"/>
        </w:rPr>
      </w:pPr>
    </w:p>
    <w:p>
      <w:pPr>
        <w:spacing w:line="390" w:lineRule="exact"/>
        <w:rPr>
          <w:rFonts w:ascii="宋体" w:hAnsi="宋体"/>
          <w:sz w:val="28"/>
          <w:szCs w:val="28"/>
        </w:rPr>
      </w:pPr>
      <w:r>
        <w:rPr>
          <w:rFonts w:hint="eastAsia" w:ascii="宋体" w:hAnsi="宋体"/>
          <w:sz w:val="28"/>
          <w:szCs w:val="28"/>
        </w:rPr>
        <w:t>甲方：重庆长合高速公路有限公司   重庆市渝北区征地事务中心</w:t>
      </w:r>
    </w:p>
    <w:p>
      <w:pPr>
        <w:spacing w:line="390" w:lineRule="exact"/>
        <w:rPr>
          <w:rFonts w:ascii="宋体" w:hAnsi="宋体"/>
          <w:sz w:val="28"/>
          <w:szCs w:val="28"/>
        </w:rPr>
      </w:pPr>
      <w:r>
        <w:rPr>
          <w:rFonts w:hint="eastAsia" w:ascii="宋体" w:hAnsi="宋体"/>
          <w:sz w:val="28"/>
          <w:szCs w:val="28"/>
        </w:rPr>
        <w:t xml:space="preserve">      法定代表人（或委托代理人）：</w:t>
      </w:r>
    </w:p>
    <w:p>
      <w:pPr>
        <w:spacing w:line="390" w:lineRule="exact"/>
        <w:rPr>
          <w:rFonts w:ascii="宋体" w:hAnsi="宋体"/>
          <w:sz w:val="28"/>
          <w:szCs w:val="28"/>
        </w:rPr>
      </w:pPr>
    </w:p>
    <w:p>
      <w:pPr>
        <w:spacing w:line="390" w:lineRule="exact"/>
        <w:rPr>
          <w:rFonts w:ascii="宋体" w:hAnsi="宋体"/>
          <w:sz w:val="28"/>
          <w:szCs w:val="28"/>
        </w:rPr>
      </w:pPr>
    </w:p>
    <w:p>
      <w:pPr>
        <w:spacing w:line="390" w:lineRule="exact"/>
        <w:rPr>
          <w:rFonts w:ascii="宋体" w:hAnsi="宋体"/>
          <w:sz w:val="28"/>
          <w:szCs w:val="28"/>
        </w:rPr>
      </w:pPr>
    </w:p>
    <w:p>
      <w:pPr>
        <w:spacing w:line="390" w:lineRule="exact"/>
        <w:rPr>
          <w:rFonts w:ascii="宋体" w:hAnsi="宋体"/>
          <w:sz w:val="28"/>
          <w:szCs w:val="28"/>
        </w:rPr>
      </w:pPr>
    </w:p>
    <w:p>
      <w:pPr>
        <w:spacing w:line="390" w:lineRule="exact"/>
        <w:rPr>
          <w:rFonts w:ascii="宋体" w:hAnsi="宋体"/>
          <w:sz w:val="28"/>
          <w:szCs w:val="28"/>
        </w:rPr>
      </w:pPr>
      <w:r>
        <w:rPr>
          <w:rFonts w:hint="eastAsia" w:ascii="宋体" w:hAnsi="宋体"/>
          <w:sz w:val="28"/>
          <w:szCs w:val="28"/>
        </w:rPr>
        <w:t>乙方：</w:t>
      </w:r>
    </w:p>
    <w:p>
      <w:pPr>
        <w:spacing w:line="390" w:lineRule="exact"/>
        <w:rPr>
          <w:rFonts w:ascii="宋体" w:hAnsi="宋体"/>
          <w:sz w:val="28"/>
          <w:szCs w:val="28"/>
        </w:rPr>
      </w:pPr>
    </w:p>
    <w:p>
      <w:pPr>
        <w:spacing w:line="390" w:lineRule="exact"/>
        <w:rPr>
          <w:rFonts w:ascii="宋体" w:hAnsi="宋体"/>
          <w:sz w:val="28"/>
          <w:szCs w:val="28"/>
        </w:rPr>
      </w:pPr>
    </w:p>
    <w:p>
      <w:pPr>
        <w:spacing w:line="390" w:lineRule="exact"/>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 签约时间：  年  月  日</w:t>
      </w:r>
    </w:p>
    <w:p/>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bookmarkStart w:id="574" w:name="_Toc470130606"/>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Pr>
        <w:pStyle w:val="2"/>
        <w:ind w:left="3105" w:hanging="3105"/>
        <w:rPr>
          <w:rFonts w:ascii="仿宋" w:hAnsi="仿宋" w:eastAsia="仿宋" w:cs="仿宋"/>
          <w:b/>
          <w:snapToGrid w:val="0"/>
          <w:color w:val="000000"/>
          <w:kern w:val="0"/>
          <w:sz w:val="28"/>
          <w:szCs w:val="28"/>
        </w:rPr>
      </w:pPr>
    </w:p>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p>
      <w:pPr>
        <w:rPr>
          <w:rFonts w:ascii="仿宋" w:hAnsi="仿宋" w:eastAsia="仿宋" w:cs="仿宋"/>
          <w:b/>
          <w:snapToGrid w:val="0"/>
          <w:color w:val="000000"/>
          <w:kern w:val="0"/>
          <w:sz w:val="28"/>
          <w:szCs w:val="28"/>
        </w:rPr>
      </w:pPr>
    </w:p>
    <w:bookmarkEnd w:id="558"/>
    <w:bookmarkEnd w:id="559"/>
    <w:bookmarkEnd w:id="560"/>
    <w:bookmarkEnd w:id="561"/>
    <w:bookmarkEnd w:id="574"/>
    <w:p>
      <w:pPr>
        <w:pStyle w:val="2"/>
        <w:ind w:left="0" w:firstLine="0"/>
        <w:rPr>
          <w:rFonts w:ascii="仿宋" w:hAnsi="仿宋" w:eastAsia="仿宋" w:cs="仿宋"/>
          <w:b/>
          <w:snapToGrid w:val="0"/>
          <w:color w:val="000000"/>
          <w:kern w:val="0"/>
          <w:sz w:val="32"/>
          <w:szCs w:val="32"/>
        </w:rPr>
      </w:pPr>
      <w:bookmarkStart w:id="575" w:name="_Toc470130612"/>
      <w:bookmarkStart w:id="576" w:name="_Toc32031_WPSOffice_Level1"/>
      <w:bookmarkStart w:id="577" w:name="_Toc259797144"/>
      <w:bookmarkStart w:id="578" w:name="_Toc12080_WPSOffice_Level1"/>
      <w:bookmarkStart w:id="579" w:name="_Toc31934_WPSOffice_Level1"/>
      <w:bookmarkStart w:id="580" w:name="_Toc364411351"/>
    </w:p>
    <w:p>
      <w:pPr>
        <w:pStyle w:val="2"/>
        <w:ind w:left="0" w:firstLine="2875" w:firstLineChars="895"/>
        <w:jc w:val="both"/>
        <w:rPr>
          <w:rFonts w:ascii="仿宋" w:hAnsi="仿宋" w:eastAsia="仿宋" w:cs="仿宋"/>
          <w:b/>
          <w:snapToGrid w:val="0"/>
          <w:color w:val="000000"/>
          <w:kern w:val="0"/>
          <w:sz w:val="32"/>
          <w:szCs w:val="32"/>
        </w:rPr>
      </w:pPr>
      <w:r>
        <w:rPr>
          <w:rFonts w:hint="eastAsia" w:ascii="仿宋" w:hAnsi="仿宋" w:eastAsia="仿宋" w:cs="仿宋"/>
          <w:b/>
          <w:snapToGrid w:val="0"/>
          <w:color w:val="000000"/>
          <w:kern w:val="0"/>
          <w:sz w:val="32"/>
          <w:szCs w:val="32"/>
        </w:rPr>
        <w:t xml:space="preserve"> 投标文件格式</w:t>
      </w:r>
      <w:bookmarkEnd w:id="575"/>
      <w:bookmarkEnd w:id="576"/>
      <w:bookmarkEnd w:id="577"/>
      <w:bookmarkEnd w:id="578"/>
      <w:bookmarkEnd w:id="579"/>
      <w:bookmarkEnd w:id="580"/>
    </w:p>
    <w:p>
      <w:pPr>
        <w:pStyle w:val="26"/>
        <w:spacing w:line="360" w:lineRule="auto"/>
        <w:ind w:firstLine="560" w:firstLineChars="200"/>
        <w:jc w:val="left"/>
        <w:rPr>
          <w:rFonts w:ascii="仿宋" w:hAnsi="仿宋" w:eastAsia="仿宋" w:cs="仿宋"/>
          <w:sz w:val="28"/>
          <w:szCs w:val="28"/>
        </w:rPr>
      </w:pPr>
      <w:bookmarkStart w:id="581" w:name="_Toc22155"/>
      <w:bookmarkStart w:id="582" w:name="_Toc9416"/>
      <w:bookmarkStart w:id="583" w:name="_Toc1541"/>
      <w:bookmarkStart w:id="584" w:name="_Toc364411352"/>
      <w:bookmarkStart w:id="585" w:name="_Toc350091945"/>
      <w:bookmarkStart w:id="586" w:name="_Toc364411584"/>
      <w:bookmarkStart w:id="587" w:name="_Toc259797145"/>
      <w:bookmarkStart w:id="588" w:name="_Toc366074471"/>
      <w:bookmarkStart w:id="589" w:name="_Toc390874649"/>
      <w:bookmarkStart w:id="590" w:name="_Toc421899295"/>
      <w:bookmarkStart w:id="591" w:name="_Toc470130613"/>
      <w:bookmarkStart w:id="592" w:name="_Toc423782348"/>
      <w:bookmarkStart w:id="593" w:name="_Toc27264"/>
      <w:r>
        <w:rPr>
          <w:rFonts w:hint="eastAsia" w:ascii="仿宋" w:hAnsi="仿宋" w:eastAsia="仿宋" w:cs="仿宋"/>
          <w:sz w:val="28"/>
          <w:szCs w:val="28"/>
        </w:rPr>
        <w:t>目录</w:t>
      </w:r>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26"/>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一、投标函部分</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（一）投标函及投标函附录</w:t>
      </w:r>
    </w:p>
    <w:p>
      <w:pPr>
        <w:pStyle w:val="26"/>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二、资格审查资料</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（一）法定代表人身份证明及授权委托书</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（二）投标人基本情况表</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（三）项目管理机构组成表</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（四）主要管理人员资历表</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（五）信誉声明</w:t>
      </w:r>
    </w:p>
    <w:p>
      <w:pPr>
        <w:pStyle w:val="2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（六）类似业绩</w:t>
      </w:r>
    </w:p>
    <w:p>
      <w:pPr>
        <w:pStyle w:val="26"/>
        <w:spacing w:line="360" w:lineRule="auto"/>
        <w:ind w:firstLine="980" w:firstLineChars="350"/>
        <w:jc w:val="left"/>
        <w:rPr>
          <w:rFonts w:ascii="仿宋" w:hAnsi="仿宋" w:eastAsia="仿宋" w:cs="仿宋"/>
          <w:sz w:val="28"/>
          <w:szCs w:val="28"/>
        </w:rPr>
      </w:pPr>
      <w:r>
        <w:rPr>
          <w:rFonts w:hint="eastAsia" w:ascii="仿宋" w:hAnsi="仿宋" w:eastAsia="仿宋" w:cs="仿宋"/>
          <w:sz w:val="28"/>
          <w:szCs w:val="28"/>
        </w:rPr>
        <w:t>（七）其他材料</w:t>
      </w:r>
    </w:p>
    <w:p>
      <w:pPr>
        <w:pStyle w:val="26"/>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三、技术部分（服务方案）</w:t>
      </w:r>
    </w:p>
    <w:p>
      <w:pPr>
        <w:pStyle w:val="26"/>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四、其他资料（按评分标准要求提供）</w:t>
      </w: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jc w:val="center"/>
        <w:rPr>
          <w:rFonts w:ascii="仿宋" w:hAnsi="仿宋" w:eastAsia="仿宋" w:cs="仿宋"/>
          <w:b/>
          <w:color w:val="000000"/>
          <w:sz w:val="28"/>
          <w:szCs w:val="28"/>
        </w:rPr>
      </w:pPr>
      <w:bookmarkStart w:id="594" w:name="_Toc22372_WPSOffice_Level1"/>
      <w:bookmarkStart w:id="595" w:name="_Toc5410_WPSOffice_Level1"/>
      <w:bookmarkStart w:id="596" w:name="_Toc26010_WPSOffice_Level1"/>
      <w:r>
        <w:rPr>
          <w:rFonts w:hint="eastAsia" w:ascii="仿宋" w:hAnsi="仿宋" w:eastAsia="仿宋" w:cs="仿宋"/>
          <w:b/>
          <w:color w:val="000000"/>
          <w:w w:val="99"/>
          <w:kern w:val="0"/>
          <w:sz w:val="28"/>
          <w:szCs w:val="28"/>
          <w:u w:val="single"/>
        </w:rPr>
        <w:t>（项目名称）</w:t>
      </w:r>
      <w:bookmarkEnd w:id="594"/>
      <w:bookmarkEnd w:id="595"/>
      <w:bookmarkEnd w:id="596"/>
    </w:p>
    <w:p>
      <w:pPr>
        <w:spacing w:line="360" w:lineRule="auto"/>
        <w:jc w:val="center"/>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pPr>
    </w:p>
    <w:p>
      <w:pPr>
        <w:spacing w:line="360" w:lineRule="auto"/>
        <w:jc w:val="center"/>
        <w:rPr>
          <w:rFonts w:ascii="仿宋" w:hAnsi="仿宋" w:eastAsia="仿宋" w:cs="仿宋"/>
          <w:b/>
          <w:color w:val="000000"/>
          <w:sz w:val="32"/>
          <w:szCs w:val="32"/>
        </w:rPr>
      </w:pPr>
    </w:p>
    <w:p>
      <w:pPr>
        <w:spacing w:line="360" w:lineRule="auto"/>
        <w:jc w:val="center"/>
        <w:rPr>
          <w:rFonts w:ascii="仿宋" w:hAnsi="仿宋" w:eastAsia="仿宋" w:cs="仿宋"/>
          <w:b/>
          <w:color w:val="000000"/>
          <w:sz w:val="32"/>
          <w:szCs w:val="32"/>
        </w:rPr>
      </w:pPr>
    </w:p>
    <w:p>
      <w:pPr>
        <w:spacing w:line="360" w:lineRule="auto"/>
        <w:jc w:val="center"/>
        <w:rPr>
          <w:rFonts w:ascii="仿宋" w:hAnsi="仿宋" w:eastAsia="仿宋" w:cs="仿宋"/>
          <w:b/>
          <w:color w:val="000000"/>
          <w:sz w:val="32"/>
          <w:szCs w:val="32"/>
        </w:rPr>
      </w:pPr>
    </w:p>
    <w:p>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投 标 文 件</w: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360" w:lineRule="auto"/>
        <w:jc w:val="center"/>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pPr>
      <w:bookmarkStart w:id="597" w:name="_Toc11350_WPSOffice_Level1"/>
      <w:bookmarkStart w:id="598" w:name="_Toc28300_WPSOffice_Level1"/>
      <w:bookmarkStart w:id="599" w:name="_Toc7420_WPSOffice_Level1"/>
      <w:r>
        <w:rPr>
          <w:rFonts w:hint="eastAsia" w:ascii="仿宋" w:hAnsi="仿宋" w:eastAsia="仿宋" w:cs="仿宋"/>
          <w:b/>
          <w:color w:val="000000"/>
          <w:sz w:val="28"/>
          <w:szCs w:val="28"/>
        </w:rPr>
        <w:t>投标人：</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（盖单位章）</w:t>
      </w:r>
      <w:bookmarkEnd w:id="597"/>
      <w:bookmarkEnd w:id="598"/>
      <w:bookmarkEnd w:id="599"/>
    </w:p>
    <w:p>
      <w:pPr>
        <w:spacing w:line="360" w:lineRule="auto"/>
        <w:jc w:val="center"/>
        <w:rPr>
          <w:rFonts w:ascii="仿宋" w:hAnsi="仿宋" w:eastAsia="仿宋" w:cs="仿宋"/>
          <w:b/>
          <w:color w:val="000000"/>
          <w:sz w:val="28"/>
          <w:szCs w:val="28"/>
        </w:rPr>
      </w:pPr>
      <w:bookmarkStart w:id="600" w:name="_Toc28013_WPSOffice_Level1"/>
      <w:bookmarkStart w:id="601" w:name="_Toc8385_WPSOffice_Level1"/>
      <w:bookmarkStart w:id="602" w:name="_Toc12325_WPSOffice_Level1"/>
      <w:r>
        <w:rPr>
          <w:rFonts w:hint="eastAsia" w:ascii="仿宋" w:hAnsi="仿宋" w:eastAsia="仿宋" w:cs="仿宋"/>
          <w:b/>
          <w:color w:val="000000"/>
          <w:sz w:val="28"/>
          <w:szCs w:val="28"/>
        </w:rPr>
        <w:t>法人或法人授权代表：</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（签字）</w:t>
      </w:r>
      <w:bookmarkEnd w:id="600"/>
      <w:bookmarkEnd w:id="601"/>
      <w:bookmarkEnd w:id="602"/>
    </w:p>
    <w:p>
      <w:pPr>
        <w:spacing w:line="360" w:lineRule="auto"/>
        <w:ind w:firstLine="2249" w:firstLineChars="800"/>
        <w:rPr>
          <w:rFonts w:ascii="仿宋" w:hAnsi="仿宋" w:eastAsia="仿宋" w:cs="仿宋"/>
          <w:b/>
          <w:color w:val="000000"/>
          <w:sz w:val="28"/>
          <w:szCs w:val="28"/>
        </w:rPr>
      </w:pP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rPr>
          <w:rFonts w:ascii="仿宋" w:hAnsi="仿宋" w:eastAsia="仿宋" w:cs="仿宋"/>
          <w:color w:val="000000"/>
          <w:sz w:val="28"/>
          <w:szCs w:val="28"/>
        </w:rPr>
      </w:pPr>
    </w:p>
    <w:p>
      <w:pPr>
        <w:jc w:val="center"/>
        <w:rPr>
          <w:rFonts w:ascii="仿宋" w:hAnsi="仿宋" w:eastAsia="仿宋" w:cs="仿宋"/>
          <w:b/>
          <w:bCs/>
          <w:color w:val="000000"/>
          <w:sz w:val="32"/>
          <w:szCs w:val="32"/>
        </w:rPr>
      </w:pPr>
      <w:bookmarkStart w:id="603" w:name="_Toc7220_WPSOffice_Level1"/>
      <w:bookmarkStart w:id="604" w:name="_Toc6960_WPSOffice_Level1"/>
      <w:bookmarkStart w:id="605" w:name="_Toc26834_WPSOffice_Level1"/>
      <w:r>
        <w:rPr>
          <w:rFonts w:hint="eastAsia" w:ascii="仿宋" w:hAnsi="仿宋" w:eastAsia="仿宋" w:cs="仿宋"/>
          <w:b/>
          <w:bCs/>
          <w:color w:val="000000"/>
          <w:sz w:val="32"/>
          <w:szCs w:val="32"/>
        </w:rPr>
        <w:t>一、投标函部分</w:t>
      </w:r>
      <w:bookmarkEnd w:id="603"/>
      <w:bookmarkEnd w:id="604"/>
      <w:bookmarkEnd w:id="605"/>
    </w:p>
    <w:p>
      <w:pPr>
        <w:rPr>
          <w:rFonts w:ascii="仿宋" w:hAnsi="仿宋" w:eastAsia="仿宋" w:cs="仿宋"/>
          <w:b/>
          <w:color w:val="000000"/>
          <w:sz w:val="28"/>
          <w:szCs w:val="28"/>
        </w:rPr>
      </w:pPr>
      <w:r>
        <w:rPr>
          <w:rFonts w:hint="eastAsia" w:ascii="仿宋" w:hAnsi="仿宋" w:eastAsia="仿宋" w:cs="仿宋"/>
          <w:b/>
          <w:color w:val="000000"/>
          <w:sz w:val="28"/>
          <w:szCs w:val="28"/>
        </w:rPr>
        <w:t>目</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录</w:t>
      </w:r>
    </w:p>
    <w:p>
      <w:pPr>
        <w:rPr>
          <w:rFonts w:ascii="仿宋" w:hAnsi="仿宋" w:eastAsia="仿宋" w:cs="仿宋"/>
          <w:color w:val="000000"/>
          <w:sz w:val="28"/>
          <w:szCs w:val="28"/>
        </w:rPr>
      </w:pPr>
      <w:r>
        <w:rPr>
          <w:rFonts w:hint="eastAsia" w:ascii="仿宋" w:hAnsi="仿宋" w:eastAsia="仿宋" w:cs="仿宋"/>
          <w:color w:val="000000"/>
          <w:sz w:val="28"/>
          <w:szCs w:val="28"/>
        </w:rPr>
        <w:t>（一）投标函及投标函附录</w:t>
      </w:r>
    </w:p>
    <w:p>
      <w:pPr>
        <w:rPr>
          <w:rFonts w:ascii="仿宋" w:hAnsi="仿宋" w:eastAsia="仿宋" w:cs="仿宋"/>
          <w:color w:val="000000"/>
          <w:sz w:val="28"/>
          <w:szCs w:val="28"/>
        </w:rPr>
        <w:sectPr>
          <w:headerReference r:id="rId12" w:type="default"/>
          <w:footnotePr>
            <w:numFmt w:val="decimalEnclosedCircleChinese"/>
            <w:numRestart w:val="eachPage"/>
          </w:footnotePr>
          <w:type w:val="nextColumn"/>
          <w:pgSz w:w="11907" w:h="16840"/>
          <w:pgMar w:top="1417" w:right="1701" w:bottom="1417" w:left="1701" w:header="851" w:footer="907" w:gutter="0"/>
          <w:cols w:space="720" w:num="1"/>
          <w:docGrid w:type="lines" w:linePitch="312" w:charSpace="0"/>
        </w:sectPr>
      </w:pPr>
    </w:p>
    <w:p>
      <w:pPr>
        <w:pStyle w:val="2"/>
        <w:spacing w:beforeLines="50"/>
        <w:ind w:left="3780" w:firstLine="0"/>
        <w:jc w:val="both"/>
        <w:rPr>
          <w:rFonts w:ascii="仿宋" w:hAnsi="仿宋" w:eastAsia="仿宋" w:cs="仿宋"/>
          <w:b/>
          <w:bCs/>
          <w:color w:val="000000"/>
          <w:sz w:val="28"/>
          <w:szCs w:val="28"/>
        </w:rPr>
      </w:pPr>
      <w:bookmarkStart w:id="606" w:name="_Toc423782349"/>
      <w:bookmarkStart w:id="607" w:name="_Toc421899296"/>
      <w:bookmarkStart w:id="608" w:name="_Toc470130614"/>
      <w:bookmarkStart w:id="609" w:name="_Toc355006534"/>
      <w:bookmarkStart w:id="610" w:name="_Toc23221"/>
      <w:bookmarkStart w:id="611" w:name="_Toc24452"/>
      <w:bookmarkStart w:id="612" w:name="_Toc24518"/>
      <w:bookmarkStart w:id="613" w:name="_Toc18890"/>
      <w:r>
        <w:rPr>
          <w:rFonts w:hint="eastAsia" w:ascii="仿宋" w:hAnsi="仿宋" w:eastAsia="仿宋" w:cs="仿宋"/>
          <w:b/>
          <w:bCs/>
          <w:color w:val="000000"/>
          <w:sz w:val="28"/>
          <w:szCs w:val="28"/>
        </w:rPr>
        <w:t>（一）投标函</w:t>
      </w:r>
      <w:bookmarkEnd w:id="606"/>
      <w:bookmarkEnd w:id="607"/>
      <w:bookmarkEnd w:id="608"/>
      <w:bookmarkEnd w:id="609"/>
      <w:bookmarkEnd w:id="610"/>
      <w:bookmarkEnd w:id="611"/>
      <w:bookmarkEnd w:id="612"/>
      <w:bookmarkEnd w:id="613"/>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（询价人名称）：</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1.我方已仔细研究了</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（项目名称）询价文件的全部内容（含补遗、说明等），在考察工程现场后，愿意以人民币（大写）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元）的投标总报价。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2.我方承诺在投标有效期内不修改、撤销投标文件。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3.如我方中标：</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（1）我方承诺在收到中标通知书后，在中标通知书规定的期限内与你方签订合同。</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（2）随同本投标函递交的投标函附录属于合同文件的组成部分。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（3）我方承诺按照询价文件规定向你方递交履约担保。</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4.我方在此声明，所递交的投标文件及有关资料内容完整、真实和准确，且不存在第二章“投标人须知”第1.4.3项规定的任何一种情形。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5.在合同协议书正式签署生效之前，本投标函连同你方的中标通知书将构成我们双方之间共同遵守的文件，对双方具有约束力。</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（其他补充说明）。</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tabs>
          <w:tab w:val="left" w:pos="2977"/>
          <w:tab w:val="left" w:pos="3261"/>
        </w:tabs>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tabs>
          <w:tab w:val="left" w:pos="2977"/>
          <w:tab w:val="left" w:pos="3261"/>
        </w:tabs>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  投标人：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（盖单位章）</w:t>
      </w:r>
    </w:p>
    <w:p>
      <w:pPr>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                    法定代表人或其委托代理人：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地址：</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网址：</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电话：</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传真：</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邮政编码：</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p>
    <w:p>
      <w:pPr>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440" w:lineRule="atLeast"/>
        <w:ind w:firstLine="560" w:firstLineChars="200"/>
        <w:jc w:val="left"/>
        <w:rPr>
          <w:rFonts w:ascii="仿宋" w:hAnsi="仿宋" w:eastAsia="仿宋" w:cs="仿宋"/>
          <w:b/>
          <w:bCs/>
          <w:color w:val="000000"/>
          <w:sz w:val="28"/>
          <w:szCs w:val="28"/>
        </w:rPr>
      </w:pPr>
      <w:r>
        <w:rPr>
          <w:rFonts w:hint="eastAsia" w:ascii="仿宋" w:hAnsi="仿宋" w:eastAsia="仿宋" w:cs="仿宋"/>
          <w:color w:val="000000"/>
          <w:sz w:val="28"/>
          <w:szCs w:val="28"/>
        </w:rPr>
        <w:br w:type="page"/>
      </w:r>
      <w:bookmarkStart w:id="614" w:name="_Toc25273"/>
      <w:bookmarkStart w:id="615" w:name="_Toc1852"/>
      <w:bookmarkStart w:id="616" w:name="_Toc423782354"/>
      <w:bookmarkStart w:id="617" w:name="_Toc3094"/>
      <w:bookmarkStart w:id="618" w:name="_Toc15573"/>
      <w:bookmarkStart w:id="619" w:name="_Toc421899301"/>
    </w:p>
    <w:bookmarkEnd w:id="614"/>
    <w:bookmarkEnd w:id="615"/>
    <w:bookmarkEnd w:id="616"/>
    <w:bookmarkEnd w:id="617"/>
    <w:bookmarkEnd w:id="618"/>
    <w:bookmarkEnd w:id="619"/>
    <w:p>
      <w:pPr>
        <w:spacing w:line="360" w:lineRule="auto"/>
        <w:jc w:val="center"/>
        <w:rPr>
          <w:rFonts w:ascii="仿宋" w:hAnsi="仿宋" w:eastAsia="仿宋" w:cs="仿宋"/>
          <w:b/>
          <w:bCs/>
          <w:color w:val="000000"/>
          <w:sz w:val="28"/>
          <w:szCs w:val="28"/>
        </w:rPr>
      </w:pPr>
      <w:bookmarkStart w:id="620" w:name="_Toc18279_WPSOffice_Level1"/>
      <w:bookmarkStart w:id="621" w:name="_Toc24282"/>
      <w:bookmarkStart w:id="622" w:name="_Toc8494_WPSOffice_Level1"/>
      <w:bookmarkStart w:id="623" w:name="_Toc11453_WPSOffice_Level1"/>
      <w:r>
        <w:rPr>
          <w:rFonts w:hint="eastAsia" w:ascii="仿宋" w:hAnsi="仿宋" w:eastAsia="仿宋" w:cs="仿宋"/>
          <w:b/>
          <w:bCs/>
          <w:color w:val="000000"/>
          <w:sz w:val="28"/>
          <w:szCs w:val="28"/>
        </w:rPr>
        <w:t>二、资格审查部分</w:t>
      </w:r>
      <w:bookmarkEnd w:id="620"/>
      <w:bookmarkEnd w:id="621"/>
      <w:bookmarkEnd w:id="622"/>
      <w:bookmarkEnd w:id="623"/>
      <w:bookmarkStart w:id="624" w:name="_Toc382396848"/>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目   录</w:t>
      </w:r>
      <w:bookmarkEnd w:id="624"/>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（一）法定代表人身份证明及授权委托书</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（二）投标人基本情况表</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（三）项目管理机构组成表</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（四）主要管理人员资历表</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（五）信誉声明</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（六）类似业绩</w:t>
      </w:r>
    </w:p>
    <w:p>
      <w:pPr>
        <w:spacing w:line="360" w:lineRule="auto"/>
        <w:ind w:firstLine="420" w:firstLineChars="150"/>
        <w:rPr>
          <w:rFonts w:ascii="仿宋" w:hAnsi="仿宋" w:eastAsia="仿宋" w:cs="仿宋"/>
          <w:color w:val="000000"/>
          <w:kern w:val="0"/>
          <w:sz w:val="28"/>
          <w:szCs w:val="28"/>
        </w:rPr>
      </w:pPr>
      <w:r>
        <w:rPr>
          <w:rFonts w:hint="eastAsia" w:ascii="仿宋" w:hAnsi="仿宋" w:eastAsia="仿宋" w:cs="仿宋"/>
          <w:color w:val="000000"/>
          <w:kern w:val="0"/>
          <w:sz w:val="28"/>
          <w:szCs w:val="28"/>
        </w:rPr>
        <w:t>（七）其他材料</w:t>
      </w:r>
    </w:p>
    <w:p>
      <w:pPr>
        <w:spacing w:line="400" w:lineRule="exact"/>
        <w:rPr>
          <w:rFonts w:ascii="仿宋" w:hAnsi="仿宋" w:eastAsia="仿宋" w:cs="仿宋"/>
          <w:b/>
          <w:bCs/>
          <w:color w:val="000000"/>
          <w:sz w:val="28"/>
          <w:szCs w:val="28"/>
        </w:rPr>
      </w:pPr>
      <w:r>
        <w:rPr>
          <w:rFonts w:hint="eastAsia" w:ascii="仿宋" w:hAnsi="仿宋" w:eastAsia="仿宋" w:cs="仿宋"/>
          <w:color w:val="000000"/>
          <w:kern w:val="0"/>
          <w:sz w:val="28"/>
          <w:szCs w:val="28"/>
        </w:rPr>
        <w:br w:type="page"/>
      </w:r>
      <w:bookmarkStart w:id="625" w:name="_Toc470130620"/>
      <w:bookmarkStart w:id="626" w:name="_Toc390874661"/>
      <w:bookmarkStart w:id="627" w:name="_Toc19275"/>
      <w:bookmarkStart w:id="628" w:name="_Toc11898"/>
      <w:bookmarkStart w:id="629" w:name="_Toc13092"/>
      <w:bookmarkStart w:id="630" w:name="_Toc421899304"/>
      <w:bookmarkStart w:id="631" w:name="_Toc423782357"/>
      <w:bookmarkStart w:id="632" w:name="_Toc28028"/>
      <w:r>
        <w:rPr>
          <w:rFonts w:hint="eastAsia" w:ascii="仿宋" w:hAnsi="仿宋" w:eastAsia="仿宋" w:cs="仿宋"/>
          <w:b/>
          <w:bCs/>
          <w:color w:val="000000"/>
          <w:sz w:val="28"/>
          <w:szCs w:val="28"/>
        </w:rPr>
        <w:t>（一）法定代表人身份证明及授权委托书</w:t>
      </w:r>
      <w:bookmarkEnd w:id="625"/>
    </w:p>
    <w:p>
      <w:pPr>
        <w:pStyle w:val="2"/>
        <w:spacing w:beforeLines="50" w:line="360" w:lineRule="exact"/>
        <w:ind w:left="0" w:firstLine="0"/>
        <w:rPr>
          <w:rFonts w:ascii="仿宋" w:hAnsi="仿宋" w:eastAsia="仿宋" w:cs="仿宋"/>
          <w:b/>
          <w:bCs/>
          <w:color w:val="000000"/>
          <w:sz w:val="28"/>
          <w:szCs w:val="28"/>
        </w:rPr>
      </w:pPr>
      <w:bookmarkStart w:id="633" w:name="_Toc470130621"/>
      <w:bookmarkStart w:id="634" w:name="_Toc6595_WPSOffice_Level1"/>
      <w:bookmarkStart w:id="635" w:name="_Toc404_WPSOffice_Level1"/>
      <w:bookmarkStart w:id="636" w:name="_Toc24534_WPSOffice_Level1"/>
      <w:r>
        <w:rPr>
          <w:rFonts w:hint="eastAsia" w:ascii="仿宋" w:hAnsi="仿宋" w:eastAsia="仿宋" w:cs="仿宋"/>
          <w:b/>
          <w:bCs/>
          <w:color w:val="000000"/>
          <w:sz w:val="28"/>
          <w:szCs w:val="28"/>
        </w:rPr>
        <w:t>法定代表人身份证明</w:t>
      </w:r>
      <w:bookmarkEnd w:id="633"/>
      <w:bookmarkEnd w:id="634"/>
      <w:bookmarkEnd w:id="635"/>
      <w:bookmarkEnd w:id="636"/>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投标人名称：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单位性质：</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pPr>
        <w:spacing w:line="360" w:lineRule="auto"/>
        <w:rPr>
          <w:rFonts w:ascii="仿宋" w:hAnsi="仿宋" w:eastAsia="仿宋" w:cs="仿宋"/>
          <w:color w:val="000000"/>
          <w:kern w:val="0"/>
          <w:sz w:val="28"/>
          <w:szCs w:val="28"/>
          <w:u w:val="single"/>
        </w:rPr>
      </w:pPr>
      <w:r>
        <w:rPr>
          <w:rFonts w:hint="eastAsia" w:ascii="仿宋" w:hAnsi="仿宋" w:eastAsia="仿宋" w:cs="仿宋"/>
          <w:color w:val="000000"/>
          <w:kern w:val="0"/>
          <w:sz w:val="28"/>
          <w:szCs w:val="28"/>
        </w:rPr>
        <w:t>成立时间：</w:t>
      </w:r>
      <w:r>
        <w:rPr>
          <w:rFonts w:hint="eastAsia" w:ascii="仿宋" w:hAnsi="仿宋" w:eastAsia="仿宋" w:cs="仿宋"/>
          <w:color w:val="000000"/>
          <w:kern w:val="0"/>
          <w:sz w:val="28"/>
          <w:szCs w:val="28"/>
          <w:u w:val="single"/>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经营期限：</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年龄：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职务：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系                   （投标人名称）的法定代表人。</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特此证明。</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附：法定代表人身份证正反面</w:t>
      </w:r>
    </w:p>
    <w:p>
      <w:pPr>
        <w:spacing w:line="500" w:lineRule="exact"/>
        <w:rPr>
          <w:rFonts w:ascii="仿宋" w:hAnsi="仿宋" w:eastAsia="仿宋" w:cs="仿宋"/>
          <w:color w:val="000000"/>
          <w:sz w:val="28"/>
          <w:szCs w:val="28"/>
        </w:rPr>
      </w:pPr>
    </w:p>
    <w:p>
      <w:pPr>
        <w:spacing w:line="360" w:lineRule="auto"/>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投 标 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（盖单位章）</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年    月    日</w:t>
      </w:r>
    </w:p>
    <w:p>
      <w:pPr>
        <w:spacing w:line="360" w:lineRule="auto"/>
        <w:rPr>
          <w:rFonts w:ascii="仿宋" w:hAnsi="仿宋" w:eastAsia="仿宋" w:cs="仿宋"/>
          <w:color w:val="000000"/>
          <w:kern w:val="0"/>
          <w:sz w:val="28"/>
          <w:szCs w:val="28"/>
        </w:rPr>
      </w:pP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rPr>
          <w:rFonts w:ascii="仿宋" w:hAnsi="仿宋" w:eastAsia="仿宋" w:cs="仿宋"/>
          <w:color w:val="000000"/>
          <w:sz w:val="28"/>
          <w:szCs w:val="28"/>
        </w:rPr>
      </w:pPr>
    </w:p>
    <w:p>
      <w:pPr>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2"/>
        <w:spacing w:beforeLines="50" w:line="360" w:lineRule="exact"/>
        <w:ind w:left="0" w:firstLine="0"/>
        <w:rPr>
          <w:rFonts w:ascii="仿宋" w:hAnsi="仿宋" w:eastAsia="仿宋" w:cs="仿宋"/>
          <w:b/>
          <w:bCs/>
          <w:color w:val="000000"/>
          <w:sz w:val="28"/>
          <w:szCs w:val="28"/>
        </w:rPr>
      </w:pPr>
      <w:bookmarkStart w:id="637" w:name="_Toc12623_WPSOffice_Level1"/>
      <w:bookmarkStart w:id="638" w:name="_Toc8302_WPSOffice_Level1"/>
      <w:bookmarkStart w:id="639" w:name="_Toc470130622"/>
      <w:bookmarkStart w:id="640" w:name="_Toc11802_WPSOffice_Level1"/>
    </w:p>
    <w:p>
      <w:pPr>
        <w:pStyle w:val="2"/>
        <w:spacing w:beforeLines="50" w:line="360" w:lineRule="exact"/>
        <w:ind w:left="0" w:firstLine="0"/>
        <w:rPr>
          <w:rFonts w:ascii="仿宋" w:hAnsi="仿宋" w:eastAsia="仿宋" w:cs="仿宋"/>
          <w:b/>
          <w:bCs/>
          <w:color w:val="000000"/>
          <w:sz w:val="28"/>
          <w:szCs w:val="28"/>
        </w:rPr>
      </w:pPr>
    </w:p>
    <w:p>
      <w:pPr>
        <w:pStyle w:val="2"/>
        <w:spacing w:beforeLines="50" w:line="360" w:lineRule="exact"/>
        <w:ind w:left="0" w:firstLine="0"/>
        <w:rPr>
          <w:rFonts w:ascii="仿宋" w:hAnsi="仿宋" w:eastAsia="仿宋" w:cs="仿宋"/>
          <w:b/>
          <w:bCs/>
          <w:color w:val="000000"/>
          <w:sz w:val="28"/>
          <w:szCs w:val="28"/>
        </w:rPr>
      </w:pPr>
      <w:r>
        <w:rPr>
          <w:rFonts w:hint="eastAsia" w:ascii="仿宋" w:hAnsi="仿宋" w:eastAsia="仿宋" w:cs="仿宋"/>
          <w:b/>
          <w:bCs/>
          <w:color w:val="000000"/>
          <w:sz w:val="28"/>
          <w:szCs w:val="28"/>
        </w:rPr>
        <w:t>授权委托书</w:t>
      </w:r>
      <w:bookmarkEnd w:id="637"/>
      <w:bookmarkEnd w:id="638"/>
      <w:bookmarkEnd w:id="639"/>
      <w:bookmarkEnd w:id="640"/>
    </w:p>
    <w:p>
      <w:pPr>
        <w:spacing w:line="500" w:lineRule="exact"/>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（姓名）系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（投标人名称）的法定代表人，现委托</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（姓名）为我方代理人。代理人根据授权，以我方名义签署、澄清、递交、撤回、修改</w:t>
      </w:r>
      <w:r>
        <w:rPr>
          <w:rFonts w:hint="eastAsia" w:ascii="仿宋" w:hAnsi="仿宋" w:eastAsia="仿宋" w:cs="仿宋"/>
          <w:color w:val="000000"/>
          <w:kern w:val="0"/>
          <w:sz w:val="28"/>
          <w:szCs w:val="28"/>
          <w:u w:val="single"/>
        </w:rPr>
        <w:t xml:space="preserve">     （项目名称）     </w:t>
      </w:r>
      <w:r>
        <w:rPr>
          <w:rFonts w:hint="eastAsia" w:ascii="仿宋" w:hAnsi="仿宋" w:eastAsia="仿宋" w:cs="仿宋"/>
          <w:color w:val="000000"/>
          <w:kern w:val="0"/>
          <w:sz w:val="28"/>
          <w:szCs w:val="28"/>
        </w:rPr>
        <w:t>施工投标文件、签订合同和处理有关事宜，其法律后果由我方承担。</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委托期限：</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代理人无转委托权。 </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申请人：              （盖单位章）</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法定代表人：             （签字）</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身份证号码：                           </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委托代理人：             （签字）</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身份证号码：                   </w:t>
      </w:r>
    </w:p>
    <w:p>
      <w:pPr>
        <w:spacing w:line="360" w:lineRule="auto"/>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年    月    日</w:t>
      </w:r>
    </w:p>
    <w:p>
      <w:pPr>
        <w:spacing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附：法定代表人身份证明、法人授权代表身份证正反面。</w:t>
      </w:r>
    </w:p>
    <w:p>
      <w:pPr>
        <w:numPr>
          <w:ilvl w:val="0"/>
          <w:numId w:val="2"/>
        </w:num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rPr>
          <w:rFonts w:ascii="仿宋" w:hAnsi="仿宋" w:eastAsia="仿宋" w:cs="仿宋"/>
          <w:color w:val="000000"/>
          <w:kern w:val="0"/>
          <w:sz w:val="28"/>
          <w:szCs w:val="28"/>
        </w:rPr>
      </w:pPr>
    </w:p>
    <w:p>
      <w:pPr>
        <w:spacing w:line="360" w:lineRule="auto"/>
        <w:rPr>
          <w:rFonts w:ascii="仿宋" w:hAnsi="仿宋" w:eastAsia="仿宋" w:cs="仿宋"/>
          <w:color w:val="000000"/>
          <w:kern w:val="0"/>
          <w:sz w:val="28"/>
          <w:szCs w:val="28"/>
        </w:rPr>
      </w:pPr>
    </w:p>
    <w:p>
      <w:pPr>
        <w:pStyle w:val="4"/>
        <w:numPr>
          <w:ilvl w:val="0"/>
          <w:numId w:val="3"/>
        </w:numPr>
        <w:spacing w:line="240" w:lineRule="atLeast"/>
        <w:jc w:val="center"/>
        <w:rPr>
          <w:rFonts w:ascii="仿宋" w:hAnsi="仿宋" w:eastAsia="仿宋" w:cs="仿宋"/>
          <w:bCs/>
          <w:color w:val="000000"/>
          <w:szCs w:val="28"/>
        </w:rPr>
      </w:pPr>
      <w:bookmarkStart w:id="641" w:name="_Toc470130623"/>
      <w:r>
        <w:rPr>
          <w:rFonts w:hint="eastAsia" w:ascii="仿宋" w:hAnsi="仿宋" w:eastAsia="仿宋" w:cs="仿宋"/>
          <w:bCs/>
          <w:color w:val="000000"/>
          <w:szCs w:val="28"/>
        </w:rPr>
        <w:t>投标人基本情况表</w:t>
      </w:r>
      <w:bookmarkEnd w:id="626"/>
      <w:bookmarkEnd w:id="627"/>
      <w:bookmarkEnd w:id="628"/>
      <w:bookmarkEnd w:id="629"/>
      <w:bookmarkEnd w:id="630"/>
      <w:bookmarkEnd w:id="631"/>
      <w:bookmarkEnd w:id="632"/>
      <w:bookmarkEnd w:id="641"/>
    </w:p>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945"/>
        <w:gridCol w:w="1155"/>
        <w:gridCol w:w="630"/>
        <w:gridCol w:w="945"/>
        <w:gridCol w:w="105"/>
        <w:gridCol w:w="210"/>
        <w:gridCol w:w="840"/>
        <w:gridCol w:w="105"/>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投标人名称</w:t>
            </w:r>
          </w:p>
        </w:tc>
        <w:tc>
          <w:tcPr>
            <w:tcW w:w="6615" w:type="dxa"/>
            <w:gridSpan w:val="10"/>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注册地址</w:t>
            </w:r>
          </w:p>
        </w:tc>
        <w:tc>
          <w:tcPr>
            <w:tcW w:w="2730"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邮政编码</w:t>
            </w:r>
          </w:p>
        </w:tc>
        <w:tc>
          <w:tcPr>
            <w:tcW w:w="2835" w:type="dxa"/>
            <w:gridSpan w:val="5"/>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Merge w:val="restart"/>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联系方式</w:t>
            </w: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p>
        </w:tc>
        <w:tc>
          <w:tcPr>
            <w:tcW w:w="178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电话</w:t>
            </w:r>
          </w:p>
        </w:tc>
        <w:tc>
          <w:tcPr>
            <w:tcW w:w="2835" w:type="dxa"/>
            <w:gridSpan w:val="5"/>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传真</w:t>
            </w:r>
          </w:p>
        </w:tc>
        <w:tc>
          <w:tcPr>
            <w:tcW w:w="178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电子邮件</w:t>
            </w:r>
          </w:p>
        </w:tc>
        <w:tc>
          <w:tcPr>
            <w:tcW w:w="2835" w:type="dxa"/>
            <w:gridSpan w:val="5"/>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w:t>
            </w: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姓名</w:t>
            </w:r>
          </w:p>
        </w:tc>
        <w:tc>
          <w:tcPr>
            <w:tcW w:w="115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890" w:type="dxa"/>
            <w:gridSpan w:val="4"/>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技术职称</w:t>
            </w:r>
          </w:p>
        </w:tc>
        <w:tc>
          <w:tcPr>
            <w:tcW w:w="94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73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电话</w:t>
            </w: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技术负责人</w:t>
            </w: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姓名</w:t>
            </w:r>
          </w:p>
        </w:tc>
        <w:tc>
          <w:tcPr>
            <w:tcW w:w="115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890" w:type="dxa"/>
            <w:gridSpan w:val="4"/>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技术职称</w:t>
            </w:r>
          </w:p>
        </w:tc>
        <w:tc>
          <w:tcPr>
            <w:tcW w:w="94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73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电话</w:t>
            </w:r>
          </w:p>
        </w:tc>
        <w:tc>
          <w:tcPr>
            <w:tcW w:w="94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成立时间</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4515" w:type="dxa"/>
            <w:gridSpan w:val="8"/>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企业资质等级</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575" w:type="dxa"/>
            <w:gridSpan w:val="2"/>
            <w:vMerge w:val="restart"/>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其中</w:t>
            </w:r>
          </w:p>
        </w:tc>
        <w:tc>
          <w:tcPr>
            <w:tcW w:w="115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项目经理</w:t>
            </w:r>
          </w:p>
        </w:tc>
        <w:tc>
          <w:tcPr>
            <w:tcW w:w="178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营业执照号</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575" w:type="dxa"/>
            <w:gridSpan w:val="2"/>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高级职称人员</w:t>
            </w:r>
          </w:p>
        </w:tc>
        <w:tc>
          <w:tcPr>
            <w:tcW w:w="178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注册资金</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575" w:type="dxa"/>
            <w:gridSpan w:val="2"/>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中级职称人员</w:t>
            </w:r>
          </w:p>
        </w:tc>
        <w:tc>
          <w:tcPr>
            <w:tcW w:w="178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基本账户开户银行</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575" w:type="dxa"/>
            <w:gridSpan w:val="2"/>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初级职工人员</w:t>
            </w:r>
          </w:p>
        </w:tc>
        <w:tc>
          <w:tcPr>
            <w:tcW w:w="178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基本账户账户</w:t>
            </w:r>
          </w:p>
        </w:tc>
        <w:tc>
          <w:tcPr>
            <w:tcW w:w="210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575" w:type="dxa"/>
            <w:gridSpan w:val="2"/>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技工</w:t>
            </w:r>
          </w:p>
        </w:tc>
        <w:tc>
          <w:tcPr>
            <w:tcW w:w="1785"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经营范围</w:t>
            </w:r>
          </w:p>
        </w:tc>
        <w:tc>
          <w:tcPr>
            <w:tcW w:w="6615" w:type="dxa"/>
            <w:gridSpan w:val="10"/>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资产构成情况及投资参股的关联企业情况</w:t>
            </w:r>
          </w:p>
        </w:tc>
        <w:tc>
          <w:tcPr>
            <w:tcW w:w="6615" w:type="dxa"/>
            <w:gridSpan w:val="10"/>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备注</w:t>
            </w:r>
          </w:p>
        </w:tc>
        <w:tc>
          <w:tcPr>
            <w:tcW w:w="6615" w:type="dxa"/>
            <w:gridSpan w:val="10"/>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bl>
    <w:p>
      <w:pPr>
        <w:pStyle w:val="4"/>
        <w:spacing w:line="240" w:lineRule="atLeast"/>
        <w:jc w:val="both"/>
        <w:rPr>
          <w:rFonts w:ascii="仿宋" w:hAnsi="仿宋" w:eastAsia="仿宋" w:cs="仿宋"/>
          <w:bCs/>
          <w:color w:val="000000"/>
          <w:szCs w:val="28"/>
        </w:rPr>
      </w:pPr>
      <w:bookmarkStart w:id="642" w:name="_Toc423782359"/>
      <w:bookmarkStart w:id="643" w:name="_Toc14703"/>
      <w:bookmarkStart w:id="644" w:name="_Toc31891"/>
      <w:bookmarkStart w:id="645" w:name="_Toc22474"/>
      <w:bookmarkStart w:id="646" w:name="_Toc390874663"/>
      <w:bookmarkStart w:id="647" w:name="_Toc421899306"/>
      <w:bookmarkStart w:id="648" w:name="_Toc470130625"/>
      <w:bookmarkStart w:id="649" w:name="_Toc31809"/>
    </w:p>
    <w:p>
      <w:pPr>
        <w:pStyle w:val="4"/>
        <w:spacing w:line="240" w:lineRule="atLeast"/>
        <w:jc w:val="center"/>
        <w:rPr>
          <w:rFonts w:ascii="仿宋" w:hAnsi="仿宋" w:eastAsia="仿宋" w:cs="仿宋"/>
          <w:bCs/>
          <w:color w:val="000000"/>
          <w:szCs w:val="28"/>
        </w:rPr>
      </w:pPr>
      <w:r>
        <w:rPr>
          <w:rFonts w:hint="eastAsia" w:ascii="仿宋" w:hAnsi="仿宋" w:eastAsia="仿宋" w:cs="仿宋"/>
          <w:bCs/>
          <w:color w:val="000000"/>
          <w:szCs w:val="28"/>
        </w:rPr>
        <w:t>（三）</w:t>
      </w:r>
      <w:bookmarkEnd w:id="642"/>
      <w:bookmarkEnd w:id="643"/>
      <w:bookmarkEnd w:id="644"/>
      <w:bookmarkEnd w:id="645"/>
      <w:bookmarkEnd w:id="646"/>
      <w:bookmarkEnd w:id="647"/>
      <w:bookmarkEnd w:id="648"/>
      <w:bookmarkEnd w:id="649"/>
      <w:bookmarkStart w:id="650" w:name="_Toc470130626"/>
      <w:r>
        <w:rPr>
          <w:rFonts w:hint="eastAsia" w:ascii="仿宋" w:hAnsi="仿宋" w:eastAsia="仿宋" w:cs="仿宋"/>
          <w:bCs/>
          <w:color w:val="000000"/>
          <w:szCs w:val="28"/>
        </w:rPr>
        <w:t>项目管理机构组成表</w:t>
      </w:r>
      <w:bookmarkEnd w:id="650"/>
    </w:p>
    <w:tbl>
      <w:tblPr>
        <w:tblStyle w:val="12"/>
        <w:tblpPr w:leftFromText="180" w:rightFromText="180" w:vertAnchor="text" w:horzAnchor="page" w:tblpX="1755"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21"/>
        <w:gridCol w:w="2550"/>
        <w:gridCol w:w="1050"/>
        <w:gridCol w:w="126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姓名</w:t>
            </w: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年龄</w:t>
            </w: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拟在本项目中担任的职务</w:t>
            </w: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w:t>
            </w:r>
          </w:p>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职称</w:t>
            </w: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工作</w:t>
            </w:r>
          </w:p>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年限</w:t>
            </w: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821"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5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05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695" w:type="dxa"/>
            <w:vAlign w:val="center"/>
          </w:tcPr>
          <w:p>
            <w:pPr>
              <w:autoSpaceDE w:val="0"/>
              <w:autoSpaceDN w:val="0"/>
              <w:adjustRightInd w:val="0"/>
              <w:snapToGrid w:val="0"/>
              <w:spacing w:line="240" w:lineRule="atLeast"/>
              <w:jc w:val="center"/>
              <w:rPr>
                <w:rFonts w:ascii="仿宋" w:hAnsi="仿宋" w:eastAsia="仿宋" w:cs="仿宋"/>
                <w:color w:val="000000"/>
                <w:kern w:val="0"/>
                <w:sz w:val="28"/>
                <w:szCs w:val="28"/>
              </w:rPr>
            </w:pPr>
          </w:p>
        </w:tc>
      </w:tr>
    </w:tbl>
    <w:p>
      <w:pPr>
        <w:pStyle w:val="4"/>
        <w:spacing w:line="240" w:lineRule="atLeast"/>
        <w:jc w:val="both"/>
        <w:rPr>
          <w:rFonts w:ascii="仿宋" w:hAnsi="仿宋" w:eastAsia="仿宋" w:cs="仿宋"/>
          <w:bCs/>
          <w:color w:val="000000"/>
          <w:szCs w:val="28"/>
        </w:rPr>
      </w:pPr>
      <w:bookmarkStart w:id="651" w:name="_Toc390874668"/>
      <w:bookmarkStart w:id="652" w:name="_Toc23927"/>
      <w:bookmarkStart w:id="653" w:name="_Toc423782364"/>
      <w:bookmarkStart w:id="654" w:name="_Toc421899311"/>
      <w:bookmarkStart w:id="655" w:name="_Toc22628"/>
      <w:bookmarkStart w:id="656" w:name="_Toc27747"/>
      <w:bookmarkStart w:id="657" w:name="_Toc22061"/>
      <w:bookmarkStart w:id="658" w:name="_Toc470130627"/>
    </w:p>
    <w:p>
      <w:pPr>
        <w:pStyle w:val="4"/>
        <w:spacing w:line="240" w:lineRule="atLeast"/>
        <w:jc w:val="center"/>
        <w:rPr>
          <w:rFonts w:ascii="仿宋" w:hAnsi="仿宋" w:eastAsia="仿宋" w:cs="仿宋"/>
          <w:bCs/>
          <w:color w:val="000000"/>
          <w:szCs w:val="28"/>
        </w:rPr>
      </w:pPr>
      <w:r>
        <w:rPr>
          <w:rFonts w:hint="eastAsia" w:ascii="仿宋" w:hAnsi="仿宋" w:eastAsia="仿宋" w:cs="仿宋"/>
          <w:bCs/>
          <w:color w:val="000000"/>
          <w:szCs w:val="28"/>
        </w:rPr>
        <w:t>（四）</w:t>
      </w:r>
      <w:bookmarkEnd w:id="651"/>
      <w:bookmarkEnd w:id="652"/>
      <w:bookmarkEnd w:id="653"/>
      <w:bookmarkEnd w:id="654"/>
      <w:bookmarkEnd w:id="655"/>
      <w:bookmarkEnd w:id="656"/>
      <w:bookmarkEnd w:id="657"/>
      <w:r>
        <w:rPr>
          <w:rFonts w:hint="eastAsia" w:ascii="仿宋" w:hAnsi="仿宋" w:eastAsia="仿宋" w:cs="仿宋"/>
          <w:bCs/>
          <w:color w:val="000000"/>
          <w:szCs w:val="28"/>
        </w:rPr>
        <w:t>项目负责人资历表</w:t>
      </w:r>
      <w:bookmarkEnd w:id="65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10"/>
        <w:gridCol w:w="105"/>
        <w:gridCol w:w="1575"/>
        <w:gridCol w:w="630"/>
        <w:gridCol w:w="630"/>
        <w:gridCol w:w="630"/>
        <w:gridCol w:w="1050"/>
        <w:gridCol w:w="315"/>
        <w:gridCol w:w="84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姓名</w:t>
            </w:r>
          </w:p>
        </w:tc>
        <w:tc>
          <w:tcPr>
            <w:tcW w:w="1890"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年龄</w:t>
            </w:r>
          </w:p>
        </w:tc>
        <w:tc>
          <w:tcPr>
            <w:tcW w:w="168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专业</w:t>
            </w:r>
          </w:p>
        </w:tc>
        <w:tc>
          <w:tcPr>
            <w:tcW w:w="157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70"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职称</w:t>
            </w:r>
          </w:p>
        </w:tc>
        <w:tc>
          <w:tcPr>
            <w:tcW w:w="1890" w:type="dxa"/>
            <w:gridSpan w:val="3"/>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26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公司单位  职    务</w:t>
            </w:r>
          </w:p>
        </w:tc>
        <w:tc>
          <w:tcPr>
            <w:tcW w:w="1680"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115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拟在本项目工程担任职务</w:t>
            </w:r>
          </w:p>
        </w:tc>
        <w:tc>
          <w:tcPr>
            <w:tcW w:w="1575"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70" w:type="dxa"/>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毕业学校</w:t>
            </w:r>
          </w:p>
        </w:tc>
        <w:tc>
          <w:tcPr>
            <w:tcW w:w="7560" w:type="dxa"/>
            <w:gridSpan w:val="10"/>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月毕业于</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学校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专业，学制</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30" w:type="dxa"/>
            <w:gridSpan w:val="11"/>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p>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p>
        </w:tc>
        <w:tc>
          <w:tcPr>
            <w:tcW w:w="3570" w:type="dxa"/>
            <w:gridSpan w:val="5"/>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参加过的工程项目名称</w:t>
            </w:r>
          </w:p>
        </w:tc>
        <w:tc>
          <w:tcPr>
            <w:tcW w:w="136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担任何职</w:t>
            </w:r>
          </w:p>
        </w:tc>
        <w:tc>
          <w:tcPr>
            <w:tcW w:w="241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3570" w:type="dxa"/>
            <w:gridSpan w:val="5"/>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136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241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3570" w:type="dxa"/>
            <w:gridSpan w:val="5"/>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136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241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3570" w:type="dxa"/>
            <w:gridSpan w:val="5"/>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136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241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3570" w:type="dxa"/>
            <w:gridSpan w:val="5"/>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136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c>
          <w:tcPr>
            <w:tcW w:w="2415" w:type="dxa"/>
            <w:gridSpan w:val="2"/>
            <w:vAlign w:val="center"/>
          </w:tcPr>
          <w:p>
            <w:pPr>
              <w:tabs>
                <w:tab w:val="left" w:pos="3395"/>
                <w:tab w:val="left" w:pos="5940"/>
              </w:tabs>
              <w:autoSpaceDE w:val="0"/>
              <w:autoSpaceDN w:val="0"/>
              <w:adjustRightInd w:val="0"/>
              <w:snapToGrid w:val="0"/>
              <w:spacing w:line="240" w:lineRule="atLeas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990" w:type="dxa"/>
            <w:gridSpan w:val="5"/>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获奖情况</w:t>
            </w:r>
          </w:p>
        </w:tc>
        <w:tc>
          <w:tcPr>
            <w:tcW w:w="5040" w:type="dxa"/>
            <w:gridSpan w:val="6"/>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85" w:type="dxa"/>
            <w:gridSpan w:val="3"/>
            <w:vMerge w:val="restart"/>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目前任职     项目状况</w:t>
            </w:r>
          </w:p>
        </w:tc>
        <w:tc>
          <w:tcPr>
            <w:tcW w:w="220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tc>
        <w:tc>
          <w:tcPr>
            <w:tcW w:w="5040" w:type="dxa"/>
            <w:gridSpan w:val="6"/>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85" w:type="dxa"/>
            <w:gridSpan w:val="3"/>
            <w:vMerge w:val="continue"/>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c>
          <w:tcPr>
            <w:tcW w:w="2205" w:type="dxa"/>
            <w:gridSpan w:val="2"/>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担任职位</w:t>
            </w:r>
          </w:p>
        </w:tc>
        <w:tc>
          <w:tcPr>
            <w:tcW w:w="5040" w:type="dxa"/>
            <w:gridSpan w:val="6"/>
            <w:vAlign w:val="center"/>
          </w:tcPr>
          <w:p>
            <w:pPr>
              <w:tabs>
                <w:tab w:val="left" w:pos="3395"/>
                <w:tab w:val="left" w:pos="5940"/>
              </w:tabs>
              <w:autoSpaceDE w:val="0"/>
              <w:autoSpaceDN w:val="0"/>
              <w:adjustRightInd w:val="0"/>
              <w:snapToGrid w:val="0"/>
              <w:spacing w:line="24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85" w:type="dxa"/>
            <w:gridSpan w:val="3"/>
            <w:vMerge w:val="continue"/>
            <w:vAlign w:val="center"/>
          </w:tcPr>
          <w:p>
            <w:pPr>
              <w:tabs>
                <w:tab w:val="left" w:pos="3395"/>
                <w:tab w:val="left" w:pos="5940"/>
              </w:tabs>
              <w:autoSpaceDE w:val="0"/>
              <w:autoSpaceDN w:val="0"/>
              <w:adjustRightInd w:val="0"/>
              <w:snapToGrid w:val="0"/>
              <w:spacing w:line="360" w:lineRule="auto"/>
              <w:jc w:val="center"/>
              <w:rPr>
                <w:rFonts w:ascii="仿宋" w:hAnsi="仿宋" w:eastAsia="仿宋" w:cs="仿宋"/>
                <w:color w:val="000000"/>
                <w:kern w:val="0"/>
                <w:sz w:val="28"/>
                <w:szCs w:val="28"/>
              </w:rPr>
            </w:pPr>
          </w:p>
        </w:tc>
        <w:tc>
          <w:tcPr>
            <w:tcW w:w="2205" w:type="dxa"/>
            <w:gridSpan w:val="2"/>
            <w:vAlign w:val="center"/>
          </w:tcPr>
          <w:p>
            <w:pPr>
              <w:tabs>
                <w:tab w:val="left" w:pos="3395"/>
                <w:tab w:val="left" w:pos="5940"/>
              </w:tabs>
              <w:autoSpaceDE w:val="0"/>
              <w:autoSpaceDN w:val="0"/>
              <w:adjustRightInd w:val="0"/>
              <w:snapToGrid w:val="0"/>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可以调离日期</w:t>
            </w:r>
          </w:p>
        </w:tc>
        <w:tc>
          <w:tcPr>
            <w:tcW w:w="5040" w:type="dxa"/>
            <w:gridSpan w:val="6"/>
            <w:vAlign w:val="center"/>
          </w:tcPr>
          <w:p>
            <w:pPr>
              <w:spacing w:line="360" w:lineRule="auto"/>
              <w:jc w:val="lef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3990" w:type="dxa"/>
            <w:gridSpan w:val="5"/>
            <w:vAlign w:val="center"/>
          </w:tcPr>
          <w:p>
            <w:pPr>
              <w:tabs>
                <w:tab w:val="left" w:pos="3395"/>
                <w:tab w:val="left" w:pos="5940"/>
              </w:tabs>
              <w:autoSpaceDE w:val="0"/>
              <w:autoSpaceDN w:val="0"/>
              <w:adjustRightInd w:val="0"/>
              <w:snapToGrid w:val="0"/>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备注</w:t>
            </w:r>
          </w:p>
        </w:tc>
        <w:tc>
          <w:tcPr>
            <w:tcW w:w="5040" w:type="dxa"/>
            <w:gridSpan w:val="6"/>
            <w:vAlign w:val="center"/>
          </w:tcPr>
          <w:p>
            <w:pPr>
              <w:tabs>
                <w:tab w:val="left" w:pos="3395"/>
                <w:tab w:val="left" w:pos="5940"/>
              </w:tabs>
              <w:autoSpaceDE w:val="0"/>
              <w:autoSpaceDN w:val="0"/>
              <w:adjustRightInd w:val="0"/>
              <w:snapToGrid w:val="0"/>
              <w:spacing w:line="360" w:lineRule="auto"/>
              <w:jc w:val="center"/>
              <w:rPr>
                <w:rFonts w:ascii="仿宋" w:hAnsi="仿宋" w:eastAsia="仿宋" w:cs="仿宋"/>
                <w:color w:val="000000"/>
                <w:kern w:val="0"/>
                <w:sz w:val="28"/>
                <w:szCs w:val="28"/>
              </w:rPr>
            </w:pPr>
          </w:p>
        </w:tc>
      </w:tr>
    </w:tbl>
    <w:p>
      <w:pPr>
        <w:pStyle w:val="4"/>
        <w:spacing w:line="360" w:lineRule="auto"/>
        <w:jc w:val="both"/>
        <w:rPr>
          <w:rFonts w:ascii="仿宋" w:hAnsi="仿宋" w:eastAsia="仿宋" w:cs="仿宋"/>
          <w:bCs/>
          <w:color w:val="000000"/>
          <w:szCs w:val="28"/>
        </w:rPr>
      </w:pPr>
      <w:bookmarkStart w:id="659" w:name="_Toc22067"/>
      <w:bookmarkStart w:id="660" w:name="_Toc14110"/>
      <w:bookmarkStart w:id="661" w:name="_Toc390874669"/>
      <w:bookmarkStart w:id="662" w:name="_Toc25093"/>
      <w:bookmarkStart w:id="663" w:name="_Toc6723"/>
      <w:bookmarkStart w:id="664" w:name="_Toc421899312"/>
      <w:bookmarkStart w:id="665" w:name="_Toc423782365"/>
    </w:p>
    <w:p>
      <w:pPr>
        <w:pStyle w:val="4"/>
        <w:spacing w:line="360" w:lineRule="auto"/>
        <w:jc w:val="center"/>
        <w:rPr>
          <w:rFonts w:ascii="仿宋" w:hAnsi="仿宋" w:eastAsia="仿宋" w:cs="仿宋"/>
          <w:bCs/>
          <w:color w:val="000000"/>
          <w:szCs w:val="28"/>
        </w:rPr>
      </w:pPr>
      <w:r>
        <w:rPr>
          <w:rFonts w:hint="eastAsia" w:ascii="仿宋" w:hAnsi="仿宋" w:eastAsia="仿宋" w:cs="仿宋"/>
          <w:bCs/>
          <w:color w:val="000000"/>
          <w:szCs w:val="28"/>
        </w:rPr>
        <w:t>（五）信誉声明</w:t>
      </w:r>
    </w:p>
    <w:p>
      <w:pPr>
        <w:rPr>
          <w:rFonts w:ascii="仿宋" w:hAnsi="仿宋" w:eastAsia="仿宋" w:cs="仿宋"/>
          <w:sz w:val="28"/>
          <w:szCs w:val="28"/>
        </w:rPr>
      </w:pPr>
      <w:r>
        <w:rPr>
          <w:rFonts w:hint="eastAsia" w:ascii="仿宋" w:hAnsi="仿宋" w:eastAsia="仿宋" w:cs="仿宋"/>
          <w:sz w:val="28"/>
          <w:szCs w:val="28"/>
        </w:rPr>
        <w:t>格式自理</w:t>
      </w: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r>
        <w:rPr>
          <w:rFonts w:hint="eastAsia" w:ascii="仿宋" w:hAnsi="仿宋" w:eastAsia="仿宋" w:cs="仿宋"/>
          <w:bCs/>
          <w:color w:val="000000"/>
          <w:szCs w:val="28"/>
        </w:rPr>
        <w:t>（六）类似业绩</w:t>
      </w:r>
    </w:p>
    <w:p>
      <w:pPr>
        <w:rPr>
          <w:rFonts w:ascii="仿宋" w:hAnsi="仿宋" w:eastAsia="仿宋" w:cs="仿宋"/>
          <w:sz w:val="28"/>
          <w:szCs w:val="28"/>
        </w:rPr>
      </w:pPr>
      <w:r>
        <w:rPr>
          <w:rFonts w:hint="eastAsia" w:ascii="仿宋" w:hAnsi="仿宋" w:eastAsia="仿宋" w:cs="仿宋"/>
          <w:sz w:val="28"/>
          <w:szCs w:val="28"/>
        </w:rPr>
        <w:t>格式自理</w:t>
      </w:r>
    </w:p>
    <w:p>
      <w:pPr>
        <w:rPr>
          <w:rFonts w:ascii="仿宋" w:hAnsi="仿宋" w:eastAsia="仿宋" w:cs="仿宋"/>
          <w:sz w:val="28"/>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rPr>
          <w:rFonts w:hint="eastAsia" w:ascii="仿宋" w:hAnsi="仿宋" w:eastAsia="仿宋" w:cs="仿宋"/>
          <w:bCs/>
          <w:color w:val="000000"/>
          <w:szCs w:val="28"/>
        </w:rPr>
      </w:pPr>
    </w:p>
    <w:p>
      <w:pPr>
        <w:pStyle w:val="4"/>
        <w:spacing w:line="360" w:lineRule="auto"/>
        <w:ind w:firstLine="3204" w:firstLineChars="1140"/>
        <w:rPr>
          <w:rFonts w:ascii="仿宋" w:hAnsi="仿宋" w:eastAsia="仿宋" w:cs="仿宋"/>
          <w:bCs/>
          <w:color w:val="000000"/>
          <w:szCs w:val="28"/>
        </w:rPr>
      </w:pPr>
      <w:r>
        <w:rPr>
          <w:rFonts w:hint="eastAsia" w:ascii="仿宋" w:hAnsi="仿宋" w:eastAsia="仿宋" w:cs="仿宋"/>
          <w:bCs/>
          <w:color w:val="000000"/>
          <w:szCs w:val="28"/>
        </w:rPr>
        <w:t>（七）其他材料</w:t>
      </w:r>
    </w:p>
    <w:bookmarkEnd w:id="659"/>
    <w:bookmarkEnd w:id="660"/>
    <w:bookmarkEnd w:id="661"/>
    <w:bookmarkEnd w:id="662"/>
    <w:bookmarkEnd w:id="663"/>
    <w:bookmarkEnd w:id="664"/>
    <w:bookmarkEnd w:id="665"/>
    <w:p>
      <w:pPr>
        <w:pStyle w:val="4"/>
        <w:spacing w:line="360" w:lineRule="auto"/>
        <w:rPr>
          <w:rFonts w:ascii="仿宋" w:hAnsi="仿宋" w:eastAsia="仿宋" w:cs="仿宋"/>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bookmarkStart w:id="666" w:name="_Toc4103_WPSOffice_Level1"/>
      <w:bookmarkStart w:id="667" w:name="_Toc5895_WPSOffice_Level1"/>
      <w:bookmarkStart w:id="668" w:name="_Toc4081_WPSOffice_Level1"/>
      <w:r>
        <w:rPr>
          <w:rFonts w:hint="eastAsia" w:ascii="仿宋" w:hAnsi="仿宋" w:eastAsia="仿宋" w:cs="仿宋"/>
          <w:bCs/>
          <w:color w:val="000000"/>
          <w:szCs w:val="28"/>
        </w:rPr>
        <w:t>三、技术部分（服务方案）</w:t>
      </w:r>
      <w:bookmarkEnd w:id="666"/>
      <w:bookmarkEnd w:id="667"/>
      <w:bookmarkEnd w:id="668"/>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rPr>
          <w:rFonts w:ascii="仿宋" w:hAnsi="仿宋" w:eastAsia="仿宋" w:cs="仿宋"/>
          <w:bCs/>
          <w:color w:val="000000"/>
          <w:szCs w:val="28"/>
        </w:rPr>
      </w:pPr>
    </w:p>
    <w:p>
      <w:pPr>
        <w:pStyle w:val="4"/>
        <w:spacing w:line="360" w:lineRule="auto"/>
        <w:jc w:val="center"/>
        <w:rPr>
          <w:rFonts w:ascii="仿宋" w:hAnsi="仿宋" w:eastAsia="仿宋" w:cs="仿宋"/>
          <w:bCs/>
          <w:color w:val="000000"/>
          <w:szCs w:val="28"/>
        </w:rPr>
      </w:pPr>
    </w:p>
    <w:p>
      <w:pPr>
        <w:pStyle w:val="4"/>
        <w:spacing w:line="360" w:lineRule="auto"/>
        <w:jc w:val="center"/>
        <w:rPr>
          <w:rFonts w:hint="eastAsia" w:ascii="仿宋" w:hAnsi="仿宋" w:eastAsia="仿宋" w:cs="仿宋"/>
          <w:bCs/>
          <w:color w:val="000000"/>
          <w:szCs w:val="28"/>
        </w:rPr>
      </w:pPr>
      <w:bookmarkStart w:id="669" w:name="_Toc18466_WPSOffice_Level1"/>
      <w:bookmarkStart w:id="670" w:name="_Toc161_WPSOffice_Level1"/>
      <w:bookmarkStart w:id="671" w:name="_Toc472_WPSOffice_Level1"/>
    </w:p>
    <w:p>
      <w:pPr>
        <w:pStyle w:val="4"/>
        <w:spacing w:line="360" w:lineRule="auto"/>
        <w:jc w:val="center"/>
        <w:rPr>
          <w:rFonts w:ascii="仿宋" w:hAnsi="仿宋" w:eastAsia="仿宋" w:cs="仿宋"/>
          <w:bCs/>
          <w:color w:val="000000"/>
          <w:szCs w:val="28"/>
        </w:rPr>
      </w:pPr>
      <w:r>
        <w:rPr>
          <w:rFonts w:hint="eastAsia" w:ascii="仿宋" w:hAnsi="仿宋" w:eastAsia="仿宋" w:cs="仿宋"/>
          <w:bCs/>
          <w:color w:val="000000"/>
          <w:szCs w:val="28"/>
        </w:rPr>
        <w:t>四、其他资料（按评分标准要求提供）</w:t>
      </w:r>
      <w:bookmarkEnd w:id="669"/>
      <w:bookmarkEnd w:id="670"/>
      <w:bookmarkEnd w:id="671"/>
    </w:p>
    <w:p>
      <w:pPr>
        <w:pStyle w:val="4"/>
        <w:spacing w:line="360" w:lineRule="auto"/>
        <w:jc w:val="center"/>
        <w:rPr>
          <w:rFonts w:ascii="仿宋" w:hAnsi="仿宋" w:eastAsia="仿宋" w:cs="仿宋"/>
          <w:bCs/>
          <w:color w:val="000000"/>
          <w:szCs w:val="28"/>
        </w:rPr>
      </w:pPr>
    </w:p>
    <w:p>
      <w:pPr>
        <w:rPr>
          <w:rFonts w:ascii="仿宋_GB2312" w:eastAsia="仿宋_GB2312"/>
          <w:sz w:val="32"/>
          <w:szCs w:val="32"/>
        </w:rPr>
      </w:pPr>
    </w:p>
    <w:p>
      <w:pPr>
        <w:rPr>
          <w:rFonts w:ascii="方正仿宋_GBK" w:eastAsia="方正仿宋_GBK"/>
          <w:sz w:val="32"/>
          <w:szCs w:val="32"/>
        </w:rPr>
      </w:pPr>
    </w:p>
    <w:p>
      <w:r>
        <w:drawing>
          <wp:inline distT="0" distB="0" distL="0" distR="0">
            <wp:extent cx="5934075" cy="7896225"/>
            <wp:effectExtent l="19050" t="0" r="9525" b="0"/>
            <wp:docPr id="1" name="图片 1" descr="C:\Users\Administrator\Desktop\MVIMG_20231120_14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MVIMG_20231120_141106.jpg"/>
                    <pic:cNvPicPr>
                      <a:picLocks noChangeAspect="1" noChangeArrowheads="1"/>
                    </pic:cNvPicPr>
                  </pic:nvPicPr>
                  <pic:blipFill>
                    <a:blip r:embed="rId16" cstate="print"/>
                    <a:srcRect/>
                    <a:stretch>
                      <a:fillRect/>
                    </a:stretch>
                  </pic:blipFill>
                  <pic:spPr>
                    <a:xfrm>
                      <a:off x="0" y="0"/>
                      <a:ext cx="5934075" cy="7896225"/>
                    </a:xfrm>
                    <a:prstGeom prst="rect">
                      <a:avLst/>
                    </a:prstGeom>
                    <a:noFill/>
                    <a:ln w="9525">
                      <a:noFill/>
                      <a:miter lim="800000"/>
                      <a:headEnd/>
                      <a:tailEnd/>
                    </a:ln>
                  </pic:spPr>
                </pic:pic>
              </a:graphicData>
            </a:graphic>
          </wp:inline>
        </w:drawing>
      </w:r>
    </w:p>
    <w:sectPr>
      <w:headerReference r:id="rId13" w:type="default"/>
      <w:footerReference r:id="rId14" w:type="default"/>
      <w:pgSz w:w="11906" w:h="16838"/>
      <w:pgMar w:top="993" w:right="1274" w:bottom="1135" w:left="1276"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2"/>
      <w:rPr>
        <w:rStyle w:val="14"/>
      </w:rPr>
    </w:pPr>
    <w:r>
      <w:fldChar w:fldCharType="begin"/>
    </w:r>
    <w:r>
      <w:rPr>
        <w:rStyle w:val="14"/>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9" o:spid="_x0000_s1025" o:spt="202" type="#_x0000_t202" style="position:absolute;left:0pt;margin-top:0pt;height:12.05pt;width:5.3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48</w:t>
    </w:r>
    <w:r>
      <w:fldChar w:fldCharType="end"/>
    </w:r>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eastAsia="仿宋_GB2312"/>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eastAsia="仿宋_GB2312"/>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95"/>
        <w:tab w:val="left" w:pos="3370"/>
        <w:tab w:val="left" w:pos="5555"/>
      </w:tabs>
      <w:autoSpaceDE w:val="0"/>
      <w:autoSpaceDN w:val="0"/>
      <w:adjustRightInd w:val="0"/>
      <w:snapToGrid w:val="0"/>
      <w:spacing w:beforeLines="50" w:line="360" w:lineRule="auto"/>
      <w:jc w:val="right"/>
      <w:rPr>
        <w:rFonts w:ascii="宋体"/>
        <w:b/>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72B95"/>
    <w:multiLevelType w:val="singleLevel"/>
    <w:tmpl w:val="89772B95"/>
    <w:lvl w:ilvl="0" w:tentative="0">
      <w:start w:val="2"/>
      <w:numFmt w:val="chineseCounting"/>
      <w:suff w:val="nothing"/>
      <w:lvlText w:val="（%1）"/>
      <w:lvlJc w:val="left"/>
      <w:rPr>
        <w:rFonts w:hint="eastAsia"/>
      </w:rPr>
    </w:lvl>
  </w:abstractNum>
  <w:abstractNum w:abstractNumId="1">
    <w:nsid w:val="C73AE7CB"/>
    <w:multiLevelType w:val="singleLevel"/>
    <w:tmpl w:val="C73AE7CB"/>
    <w:lvl w:ilvl="0" w:tentative="0">
      <w:start w:val="1"/>
      <w:numFmt w:val="decimal"/>
      <w:suff w:val="nothing"/>
      <w:lvlText w:val="%1、"/>
      <w:lvlJc w:val="left"/>
    </w:lvl>
  </w:abstractNum>
  <w:abstractNum w:abstractNumId="2">
    <w:nsid w:val="7D8F86F5"/>
    <w:multiLevelType w:val="singleLevel"/>
    <w:tmpl w:val="7D8F86F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28C9"/>
    <w:rsid w:val="001428C9"/>
    <w:rsid w:val="002C3187"/>
    <w:rsid w:val="002E0CD4"/>
    <w:rsid w:val="005516FE"/>
    <w:rsid w:val="00565DF6"/>
    <w:rsid w:val="005A34C2"/>
    <w:rsid w:val="006144AF"/>
    <w:rsid w:val="00642970"/>
    <w:rsid w:val="0092658F"/>
    <w:rsid w:val="00DD7428"/>
    <w:rsid w:val="00F948E8"/>
    <w:rsid w:val="1DFCD498"/>
    <w:rsid w:val="7D5F33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99"/>
    <w:pPr>
      <w:tabs>
        <w:tab w:val="left" w:pos="0"/>
      </w:tabs>
      <w:autoSpaceDE w:val="0"/>
      <w:autoSpaceDN w:val="0"/>
      <w:adjustRightInd w:val="0"/>
      <w:snapToGrid w:val="0"/>
      <w:spacing w:line="360" w:lineRule="auto"/>
      <w:ind w:left="5100" w:hanging="1320"/>
      <w:jc w:val="center"/>
      <w:outlineLvl w:val="0"/>
    </w:pPr>
    <w:rPr>
      <w:rFonts w:eastAsia="黑体"/>
      <w:sz w:val="44"/>
    </w:rPr>
  </w:style>
  <w:style w:type="paragraph" w:styleId="3">
    <w:name w:val="heading 2"/>
    <w:basedOn w:val="1"/>
    <w:next w:val="1"/>
    <w:link w:val="18"/>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32"/>
    </w:rPr>
  </w:style>
  <w:style w:type="paragraph" w:styleId="4">
    <w:name w:val="heading 3"/>
    <w:basedOn w:val="1"/>
    <w:next w:val="1"/>
    <w:link w:val="19"/>
    <w:qFormat/>
    <w:uiPriority w:val="99"/>
    <w:pPr>
      <w:autoSpaceDE w:val="0"/>
      <w:autoSpaceDN w:val="0"/>
      <w:adjustRightInd w:val="0"/>
      <w:spacing w:before="16"/>
      <w:jc w:val="left"/>
      <w:outlineLvl w:val="2"/>
    </w:pPr>
    <w:rPr>
      <w:rFonts w:ascii="仿宋_GB2312" w:eastAsia="仿宋_GB2312"/>
      <w:b/>
      <w:kern w:val="0"/>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99"/>
    <w:pPr>
      <w:adjustRightInd w:val="0"/>
      <w:spacing w:line="360" w:lineRule="atLeast"/>
      <w:jc w:val="left"/>
      <w:textAlignment w:val="baseline"/>
    </w:pPr>
    <w:rPr>
      <w:kern w:val="0"/>
      <w:sz w:val="24"/>
    </w:rPr>
  </w:style>
  <w:style w:type="paragraph" w:styleId="6">
    <w:name w:val="Body Text 3"/>
    <w:basedOn w:val="1"/>
    <w:link w:val="24"/>
    <w:uiPriority w:val="0"/>
    <w:pPr>
      <w:spacing w:after="120"/>
    </w:pPr>
    <w:rPr>
      <w:sz w:val="16"/>
      <w:szCs w:val="16"/>
    </w:rPr>
  </w:style>
  <w:style w:type="paragraph" w:styleId="7">
    <w:name w:val="Body Text"/>
    <w:basedOn w:val="1"/>
    <w:link w:val="22"/>
    <w:uiPriority w:val="0"/>
    <w:pPr>
      <w:jc w:val="center"/>
    </w:pPr>
    <w:rPr>
      <w:rFonts w:ascii="仿宋_GB2312"/>
      <w:b/>
      <w:bCs/>
      <w:sz w:val="40"/>
      <w:szCs w:val="24"/>
    </w:rPr>
  </w:style>
  <w:style w:type="paragraph" w:styleId="8">
    <w:name w:val="Date"/>
    <w:basedOn w:val="1"/>
    <w:next w:val="1"/>
    <w:link w:val="21"/>
    <w:uiPriority w:val="99"/>
    <w:pPr>
      <w:ind w:left="100" w:leftChars="2500"/>
    </w:pPr>
    <w:rPr>
      <w:kern w:val="0"/>
      <w:sz w:val="24"/>
    </w:rPr>
  </w:style>
  <w:style w:type="paragraph" w:styleId="9">
    <w:name w:val="Balloon Text"/>
    <w:basedOn w:val="1"/>
    <w:link w:val="25"/>
    <w:uiPriority w:val="0"/>
    <w:rPr>
      <w:rFonts w:asciiTheme="minorHAnsi" w:hAnsiTheme="minorHAnsi" w:eastAsiaTheme="minorEastAsia" w:cstheme="minorBidi"/>
      <w:sz w:val="18"/>
      <w:szCs w:val="18"/>
    </w:rPr>
  </w:style>
  <w:style w:type="paragraph" w:styleId="10">
    <w:name w:val="footer"/>
    <w:basedOn w:val="1"/>
    <w:link w:val="16"/>
    <w:unhideWhenUsed/>
    <w:uiPriority w:val="99"/>
    <w:pPr>
      <w:tabs>
        <w:tab w:val="center" w:pos="4153"/>
        <w:tab w:val="right" w:pos="8306"/>
      </w:tabs>
      <w:snapToGrid w:val="0"/>
      <w:jc w:val="left"/>
    </w:pPr>
    <w:rPr>
      <w:sz w:val="18"/>
      <w:szCs w:val="18"/>
    </w:rPr>
  </w:style>
  <w:style w:type="paragraph" w:styleId="11">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character" w:styleId="14">
    <w:name w:val="page number"/>
    <w:uiPriority w:val="99"/>
    <w:rPr>
      <w:rFonts w:cs="Times New Roman"/>
    </w:rPr>
  </w:style>
  <w:style w:type="character" w:customStyle="1" w:styleId="15">
    <w:name w:val="页眉 Char"/>
    <w:basedOn w:val="13"/>
    <w:link w:val="11"/>
    <w:uiPriority w:val="0"/>
    <w:rPr>
      <w:sz w:val="18"/>
      <w:szCs w:val="18"/>
    </w:rPr>
  </w:style>
  <w:style w:type="character" w:customStyle="1" w:styleId="16">
    <w:name w:val="页脚 Char"/>
    <w:basedOn w:val="13"/>
    <w:link w:val="10"/>
    <w:uiPriority w:val="99"/>
    <w:rPr>
      <w:sz w:val="18"/>
      <w:szCs w:val="18"/>
    </w:rPr>
  </w:style>
  <w:style w:type="character" w:customStyle="1" w:styleId="17">
    <w:name w:val="标题 1 Char"/>
    <w:basedOn w:val="13"/>
    <w:link w:val="2"/>
    <w:uiPriority w:val="99"/>
    <w:rPr>
      <w:rFonts w:ascii="Times New Roman" w:hAnsi="Times New Roman" w:eastAsia="黑体" w:cs="Times New Roman"/>
      <w:sz w:val="44"/>
      <w:szCs w:val="20"/>
    </w:rPr>
  </w:style>
  <w:style w:type="character" w:customStyle="1" w:styleId="18">
    <w:name w:val="标题 2 Char"/>
    <w:basedOn w:val="13"/>
    <w:link w:val="3"/>
    <w:uiPriority w:val="99"/>
    <w:rPr>
      <w:rFonts w:ascii="仿宋_GB2312" w:hAnsi="Times New Roman" w:eastAsia="仿宋_GB2312" w:cs="Times New Roman"/>
      <w:b/>
      <w:spacing w:val="1"/>
      <w:w w:val="99"/>
      <w:kern w:val="0"/>
      <w:sz w:val="32"/>
      <w:szCs w:val="20"/>
    </w:rPr>
  </w:style>
  <w:style w:type="character" w:customStyle="1" w:styleId="19">
    <w:name w:val="标题 3 Char"/>
    <w:basedOn w:val="13"/>
    <w:link w:val="4"/>
    <w:uiPriority w:val="99"/>
    <w:rPr>
      <w:rFonts w:ascii="仿宋_GB2312" w:hAnsi="Times New Roman" w:eastAsia="仿宋_GB2312" w:cs="Times New Roman"/>
      <w:b/>
      <w:kern w:val="0"/>
      <w:sz w:val="28"/>
      <w:szCs w:val="20"/>
    </w:rPr>
  </w:style>
  <w:style w:type="character" w:customStyle="1" w:styleId="20">
    <w:name w:val="批注框文本 Char"/>
    <w:link w:val="9"/>
    <w:uiPriority w:val="0"/>
    <w:rPr>
      <w:sz w:val="18"/>
      <w:szCs w:val="18"/>
    </w:rPr>
  </w:style>
  <w:style w:type="character" w:customStyle="1" w:styleId="21">
    <w:name w:val="日期 Char"/>
    <w:basedOn w:val="13"/>
    <w:link w:val="8"/>
    <w:uiPriority w:val="99"/>
    <w:rPr>
      <w:rFonts w:ascii="Times New Roman" w:hAnsi="Times New Roman" w:eastAsia="宋体" w:cs="Times New Roman"/>
      <w:kern w:val="0"/>
      <w:sz w:val="24"/>
      <w:szCs w:val="20"/>
    </w:rPr>
  </w:style>
  <w:style w:type="character" w:customStyle="1" w:styleId="22">
    <w:name w:val="正文文本 Char"/>
    <w:basedOn w:val="13"/>
    <w:link w:val="7"/>
    <w:uiPriority w:val="0"/>
    <w:rPr>
      <w:rFonts w:ascii="仿宋_GB2312" w:hAnsi="Times New Roman" w:eastAsia="宋体" w:cs="Times New Roman"/>
      <w:b/>
      <w:bCs/>
      <w:sz w:val="40"/>
      <w:szCs w:val="24"/>
    </w:rPr>
  </w:style>
  <w:style w:type="character" w:customStyle="1" w:styleId="23">
    <w:name w:val="批注文字 Char"/>
    <w:basedOn w:val="13"/>
    <w:link w:val="5"/>
    <w:uiPriority w:val="99"/>
    <w:rPr>
      <w:rFonts w:ascii="Times New Roman" w:hAnsi="Times New Roman" w:eastAsia="宋体" w:cs="Times New Roman"/>
      <w:kern w:val="0"/>
      <w:sz w:val="24"/>
      <w:szCs w:val="20"/>
    </w:rPr>
  </w:style>
  <w:style w:type="character" w:customStyle="1" w:styleId="24">
    <w:name w:val="正文文本 3 Char"/>
    <w:basedOn w:val="13"/>
    <w:link w:val="6"/>
    <w:uiPriority w:val="0"/>
    <w:rPr>
      <w:rFonts w:ascii="Times New Roman" w:hAnsi="Times New Roman" w:eastAsia="宋体" w:cs="Times New Roman"/>
      <w:sz w:val="16"/>
      <w:szCs w:val="16"/>
    </w:rPr>
  </w:style>
  <w:style w:type="character" w:customStyle="1" w:styleId="25">
    <w:name w:val="批注框文本 Char1"/>
    <w:basedOn w:val="13"/>
    <w:link w:val="9"/>
    <w:semiHidden/>
    <w:uiPriority w:val="99"/>
    <w:rPr>
      <w:rFonts w:ascii="Times New Roman" w:hAnsi="Times New Roman" w:eastAsia="宋体" w:cs="Times New Roman"/>
      <w:sz w:val="18"/>
      <w:szCs w:val="18"/>
    </w:rPr>
  </w:style>
  <w:style w:type="paragraph" w:customStyle="1" w:styleId="26">
    <w:name w:val="p0"/>
    <w:basedOn w:val="1"/>
    <w:uiPriority w:val="0"/>
    <w:pPr>
      <w:widowControl/>
    </w:pPr>
    <w:rPr>
      <w:kern w:val="0"/>
      <w:szCs w:val="21"/>
    </w:rPr>
  </w:style>
  <w:style w:type="paragraph" w:customStyle="1" w:styleId="27">
    <w:name w:val="WPSOffice手动目录 1"/>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50</Pages>
  <Words>2652</Words>
  <Characters>15120</Characters>
  <Lines>126</Lines>
  <Paragraphs>35</Paragraphs>
  <TotalTime>25</TotalTime>
  <ScaleCrop>false</ScaleCrop>
  <LinksUpToDate>false</LinksUpToDate>
  <CharactersWithSpaces>17737</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2023-11-20T14:32:00Z</dcterms:created>
  <dc:creator>未定义</dc:creator>
  <cp:lastModifiedBy>未定义</cp:lastModifiedBy>
  <dcterms:modified xsi:type="dcterms:W3CDTF">2023-11-21T11:56:27Z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