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42828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42828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重庆高速巫云开建设有限公司宣传和企业文化物料制作及视频摄制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42828"/>
          <w:spacing w:val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42828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公开竞争性比选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42828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流标公示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一、评标情况：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    根据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本次询价文件评比办法，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lang w:val="en-US" w:eastAsia="zh-CN"/>
        </w:rPr>
        <w:t>巫云开公司宣传和企业文化物料制作及视频摄制公开竞争性比选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项目收到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家单位报价，其中有效报价单位为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lang w:val="en-US" w:eastAsia="zh-CN"/>
        </w:rPr>
        <w:t>两家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  <w:t>，本次比选不成功，作流标处理。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二、提出异议的渠道和方式：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    重庆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  <w:lang w:val="en-US" w:eastAsia="zh-CN"/>
        </w:rPr>
        <w:t>高速巫云开建设有限公司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，联系电话：023-89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  <w:lang w:val="en-US" w:eastAsia="zh-CN"/>
        </w:rPr>
        <w:t>138471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三、发布公告媒介：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    本次流标公告将在重庆高速公路集团官方网站（http://www.cegc.com.cn）、重庆高速公路集团有限公司招投标管理平台（http://219.152.86.3:8081/pms/）上发布。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四、监督部门：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  <w:lang w:val="en-US" w:eastAsia="zh-CN"/>
        </w:rPr>
        <w:t>重庆高速巫云开建设有限公司党群人力部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，联系电话：023-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  <w:lang w:val="en-US" w:eastAsia="zh-CN"/>
        </w:rPr>
        <w:t>89136354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五、公示时间：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    挂网公告后三天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E44A0"/>
    <w:rsid w:val="088E44A0"/>
    <w:rsid w:val="29E752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900"/>
        <w:tab w:val="left" w:pos="2340"/>
      </w:tabs>
      <w:spacing w:line="360" w:lineRule="auto"/>
      <w:jc w:val="left"/>
    </w:pPr>
    <w:rPr>
      <w:rFonts w:ascii="宋体"/>
      <w:color w:val="000000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2023-11-24T06:49:00Z</dcterms:created>
  <dc:creator>leileimo</dc:creator>
  <cp:lastModifiedBy>leileimo</cp:lastModifiedBy>
  <dcterms:modified xsi:type="dcterms:W3CDTF">2023-11-24T07:03:31Z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CB1A50E9E26B4A8B82FFF1FA1013F85B</vt:lpwstr>
  </property>
</Properties>
</file>